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9E7AA" w14:textId="1A4E6FE1" w:rsidR="003714CD" w:rsidRPr="000471A8" w:rsidRDefault="00596B1B" w:rsidP="000471A8">
      <w:pPr>
        <w:pStyle w:val="Heading1"/>
      </w:pPr>
      <w:r w:rsidRPr="000471A8">
        <w:t xml:space="preserve">Tables extracted from the </w:t>
      </w:r>
      <w:r w:rsidR="003714CD" w:rsidRPr="000471A8">
        <w:t>Production Licence Annual Title Assessment Report (ATAR) Template</w:t>
      </w:r>
    </w:p>
    <w:tbl>
      <w:tblPr>
        <w:tblStyle w:val="TableGrid"/>
        <w:tblW w:w="4400" w:type="pct"/>
        <w:tblInd w:w="1559" w:type="dxa"/>
        <w:tblLook w:val="04A0" w:firstRow="1" w:lastRow="0" w:firstColumn="1" w:lastColumn="0" w:noHBand="0" w:noVBand="1"/>
        <w:tblCaption w:val="Pool Resource Table"/>
      </w:tblPr>
      <w:tblGrid>
        <w:gridCol w:w="3728"/>
        <w:gridCol w:w="1134"/>
        <w:gridCol w:w="1139"/>
        <w:gridCol w:w="977"/>
        <w:gridCol w:w="162"/>
        <w:gridCol w:w="1139"/>
        <w:gridCol w:w="1137"/>
        <w:gridCol w:w="1142"/>
        <w:gridCol w:w="1137"/>
        <w:gridCol w:w="1139"/>
        <w:gridCol w:w="1128"/>
      </w:tblGrid>
      <w:tr w:rsidR="003714CD" w:rsidRPr="00240E21" w14:paraId="16E917C0" w14:textId="77777777" w:rsidTr="009F007B">
        <w:trPr>
          <w:trHeight w:val="355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9933CF" w14:textId="77777777" w:rsidR="003714CD" w:rsidRPr="001A3F58" w:rsidRDefault="003714CD" w:rsidP="000471A8">
            <w:pPr>
              <w:pStyle w:val="Heading3"/>
              <w:ind w:left="0"/>
            </w:pPr>
            <w:r w:rsidRPr="001A3F58">
              <w:t>Pool Resource Table</w:t>
            </w:r>
          </w:p>
          <w:p w14:paraId="3C6557E1" w14:textId="77777777" w:rsidR="003714CD" w:rsidRPr="00240E21" w:rsidRDefault="003714CD" w:rsidP="00704ECA">
            <w:pPr>
              <w:rPr>
                <w:b/>
                <w:i/>
                <w:sz w:val="18"/>
                <w:szCs w:val="18"/>
              </w:rPr>
            </w:pPr>
          </w:p>
        </w:tc>
      </w:tr>
      <w:tr w:rsidR="003714CD" w:rsidRPr="00240E21" w14:paraId="0CABA220" w14:textId="77777777" w:rsidTr="009F007B">
        <w:trPr>
          <w:trHeight w:val="355"/>
        </w:trPr>
        <w:tc>
          <w:tcPr>
            <w:tcW w:w="249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0DF65" w14:textId="77777777" w:rsidR="003714CD" w:rsidRPr="00240E21" w:rsidRDefault="003714CD" w:rsidP="00704ECA">
            <w:pPr>
              <w:rPr>
                <w:b/>
                <w:i/>
                <w:sz w:val="18"/>
                <w:szCs w:val="18"/>
              </w:rPr>
            </w:pPr>
            <w:r w:rsidRPr="00240E21">
              <w:rPr>
                <w:b/>
                <w:i/>
                <w:sz w:val="18"/>
                <w:szCs w:val="18"/>
              </w:rPr>
              <w:t xml:space="preserve">Field Name: 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EC6D379" w14:textId="4ACFA1B4" w:rsidR="003714CD" w:rsidRPr="00240E21" w:rsidRDefault="00704ECA" w:rsidP="00704EC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Number of Pools:</w:t>
            </w:r>
          </w:p>
        </w:tc>
      </w:tr>
      <w:tr w:rsidR="003714CD" w:rsidRPr="00240E21" w14:paraId="4D2BF7C2" w14:textId="77777777" w:rsidTr="009F007B">
        <w:trPr>
          <w:trHeight w:val="355"/>
        </w:trPr>
        <w:tc>
          <w:tcPr>
            <w:tcW w:w="249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75EF2" w14:textId="77777777" w:rsidR="003714CD" w:rsidRPr="00240E21" w:rsidRDefault="003714CD" w:rsidP="00704ECA">
            <w:pPr>
              <w:rPr>
                <w:b/>
                <w:i/>
                <w:sz w:val="18"/>
                <w:szCs w:val="18"/>
              </w:rPr>
            </w:pPr>
            <w:r w:rsidRPr="00240E21">
              <w:rPr>
                <w:b/>
                <w:i/>
                <w:sz w:val="18"/>
                <w:szCs w:val="18"/>
              </w:rPr>
              <w:t>Reference Date: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1824208" w14:textId="6939C739" w:rsidR="003714CD" w:rsidRPr="00240E21" w:rsidRDefault="003714CD" w:rsidP="00704EC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Reservoir Name</w:t>
            </w:r>
            <w:r w:rsidR="00E852E1">
              <w:rPr>
                <w:b/>
                <w:i/>
                <w:sz w:val="18"/>
                <w:szCs w:val="18"/>
              </w:rPr>
              <w:t xml:space="preserve"> (if different to pool name)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3714CD" w:rsidRPr="00240E21" w14:paraId="2D1CECC7" w14:textId="77777777" w:rsidTr="009F007B">
        <w:trPr>
          <w:trHeight w:val="355"/>
        </w:trPr>
        <w:tc>
          <w:tcPr>
            <w:tcW w:w="249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CB8ED" w14:textId="77777777" w:rsidR="003714CD" w:rsidRPr="00240E21" w:rsidRDefault="003714CD" w:rsidP="00704ECA">
            <w:pPr>
              <w:rPr>
                <w:b/>
                <w:i/>
                <w:sz w:val="18"/>
                <w:szCs w:val="18"/>
              </w:rPr>
            </w:pPr>
            <w:r w:rsidRPr="00240E21">
              <w:rPr>
                <w:b/>
                <w:i/>
                <w:sz w:val="18"/>
                <w:szCs w:val="18"/>
              </w:rPr>
              <w:t>Reference Point*:</w:t>
            </w:r>
          </w:p>
        </w:tc>
        <w:tc>
          <w:tcPr>
            <w:tcW w:w="250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ADF21B6" w14:textId="43F0B027" w:rsidR="003714CD" w:rsidRPr="00240E21" w:rsidRDefault="00E852E1" w:rsidP="00704EC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Project or notional project associated with resource estimate: </w:t>
            </w:r>
          </w:p>
        </w:tc>
      </w:tr>
      <w:tr w:rsidR="003714CD" w:rsidRPr="00240E21" w14:paraId="079FC203" w14:textId="77777777" w:rsidTr="009F007B">
        <w:trPr>
          <w:trHeight w:val="355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B467D5" w14:textId="03A2AF76" w:rsidR="003714CD" w:rsidRPr="00240E21" w:rsidRDefault="003714CD" w:rsidP="00704ECA">
            <w:pPr>
              <w:rPr>
                <w:b/>
                <w:i/>
                <w:sz w:val="18"/>
                <w:szCs w:val="18"/>
              </w:rPr>
            </w:pPr>
            <w:r w:rsidRPr="00240E21">
              <w:rPr>
                <w:b/>
                <w:i/>
                <w:sz w:val="18"/>
                <w:szCs w:val="18"/>
              </w:rPr>
              <w:t xml:space="preserve">Brief summary of </w:t>
            </w:r>
            <w:r w:rsidR="00112D64">
              <w:rPr>
                <w:b/>
                <w:i/>
                <w:sz w:val="18"/>
                <w:szCs w:val="18"/>
              </w:rPr>
              <w:t xml:space="preserve">notional </w:t>
            </w:r>
            <w:r w:rsidRPr="00240E21">
              <w:rPr>
                <w:b/>
                <w:i/>
                <w:sz w:val="18"/>
                <w:szCs w:val="18"/>
              </w:rPr>
              <w:t>or actual development associated with resource estimate:</w:t>
            </w:r>
          </w:p>
          <w:p w14:paraId="2900328B" w14:textId="77777777" w:rsidR="003714CD" w:rsidRPr="00240E21" w:rsidRDefault="003714CD" w:rsidP="00704ECA">
            <w:pPr>
              <w:rPr>
                <w:b/>
                <w:i/>
                <w:sz w:val="18"/>
                <w:szCs w:val="18"/>
              </w:rPr>
            </w:pPr>
          </w:p>
        </w:tc>
      </w:tr>
      <w:tr w:rsidR="003714CD" w:rsidRPr="00240E21" w14:paraId="68A08280" w14:textId="77777777" w:rsidTr="009F007B">
        <w:trPr>
          <w:trHeight w:val="355"/>
        </w:trPr>
        <w:tc>
          <w:tcPr>
            <w:tcW w:w="1335" w:type="pct"/>
            <w:vMerge w:val="restart"/>
          </w:tcPr>
          <w:p w14:paraId="16E29375" w14:textId="08600474" w:rsidR="003714CD" w:rsidRPr="00240E21" w:rsidRDefault="00704ECA" w:rsidP="00704EC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Resource for all pools in field</w:t>
            </w:r>
          </w:p>
        </w:tc>
        <w:tc>
          <w:tcPr>
            <w:tcW w:w="1222" w:type="pct"/>
            <w:gridSpan w:val="4"/>
          </w:tcPr>
          <w:p w14:paraId="0D3FA2FC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Petroleum Initially in Place</w:t>
            </w:r>
          </w:p>
        </w:tc>
        <w:tc>
          <w:tcPr>
            <w:tcW w:w="1224" w:type="pct"/>
            <w:gridSpan w:val="3"/>
          </w:tcPr>
          <w:p w14:paraId="5D5C48DB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Reserves</w:t>
            </w:r>
          </w:p>
        </w:tc>
        <w:tc>
          <w:tcPr>
            <w:tcW w:w="1219" w:type="pct"/>
            <w:gridSpan w:val="3"/>
          </w:tcPr>
          <w:p w14:paraId="3863D2F3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Contingent Resources</w:t>
            </w:r>
          </w:p>
        </w:tc>
      </w:tr>
      <w:tr w:rsidR="003714CD" w:rsidRPr="00240E21" w14:paraId="18555AE4" w14:textId="77777777" w:rsidTr="009F007B">
        <w:trPr>
          <w:trHeight w:val="355"/>
        </w:trPr>
        <w:tc>
          <w:tcPr>
            <w:tcW w:w="1335" w:type="pct"/>
            <w:vMerge/>
          </w:tcPr>
          <w:p w14:paraId="70BB5A9D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6" w:type="pct"/>
          </w:tcPr>
          <w:p w14:paraId="5E902B60" w14:textId="1A7B4DC2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1P</w:t>
            </w:r>
            <w:r w:rsidR="00704ECA">
              <w:rPr>
                <w:i/>
                <w:sz w:val="18"/>
                <w:szCs w:val="18"/>
              </w:rPr>
              <w:t>/1C</w:t>
            </w:r>
          </w:p>
        </w:tc>
        <w:tc>
          <w:tcPr>
            <w:tcW w:w="408" w:type="pct"/>
          </w:tcPr>
          <w:p w14:paraId="5BDCE2E8" w14:textId="0762DD61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2P</w:t>
            </w:r>
            <w:r w:rsidR="00704ECA">
              <w:rPr>
                <w:i/>
                <w:sz w:val="18"/>
                <w:szCs w:val="18"/>
              </w:rPr>
              <w:t>/2C</w:t>
            </w:r>
          </w:p>
        </w:tc>
        <w:tc>
          <w:tcPr>
            <w:tcW w:w="408" w:type="pct"/>
            <w:gridSpan w:val="2"/>
          </w:tcPr>
          <w:p w14:paraId="43F9C0BD" w14:textId="76D373CE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3P</w:t>
            </w:r>
            <w:r w:rsidR="00704ECA">
              <w:rPr>
                <w:i/>
                <w:sz w:val="18"/>
                <w:szCs w:val="18"/>
              </w:rPr>
              <w:t>/3C</w:t>
            </w:r>
          </w:p>
        </w:tc>
        <w:tc>
          <w:tcPr>
            <w:tcW w:w="408" w:type="pct"/>
          </w:tcPr>
          <w:p w14:paraId="5F63E00F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1P </w:t>
            </w:r>
          </w:p>
        </w:tc>
        <w:tc>
          <w:tcPr>
            <w:tcW w:w="407" w:type="pct"/>
          </w:tcPr>
          <w:p w14:paraId="159791A5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2P </w:t>
            </w:r>
          </w:p>
        </w:tc>
        <w:tc>
          <w:tcPr>
            <w:tcW w:w="409" w:type="pct"/>
          </w:tcPr>
          <w:p w14:paraId="72BB1385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3P </w:t>
            </w:r>
          </w:p>
        </w:tc>
        <w:tc>
          <w:tcPr>
            <w:tcW w:w="407" w:type="pct"/>
          </w:tcPr>
          <w:p w14:paraId="0DE8D872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1C </w:t>
            </w:r>
          </w:p>
        </w:tc>
        <w:tc>
          <w:tcPr>
            <w:tcW w:w="408" w:type="pct"/>
          </w:tcPr>
          <w:p w14:paraId="38C43C18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2C </w:t>
            </w:r>
          </w:p>
        </w:tc>
        <w:tc>
          <w:tcPr>
            <w:tcW w:w="404" w:type="pct"/>
          </w:tcPr>
          <w:p w14:paraId="5B4244C7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3C </w:t>
            </w:r>
          </w:p>
        </w:tc>
      </w:tr>
      <w:tr w:rsidR="003714CD" w:rsidRPr="00240E21" w14:paraId="34F32D39" w14:textId="77777777" w:rsidTr="009F007B">
        <w:trPr>
          <w:trHeight w:val="355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1D8C9314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Field Unit Input</w:t>
            </w:r>
          </w:p>
        </w:tc>
      </w:tr>
      <w:tr w:rsidR="003714CD" w:rsidRPr="00240E21" w14:paraId="036B4241" w14:textId="77777777" w:rsidTr="009F007B">
        <w:trPr>
          <w:trHeight w:val="355"/>
        </w:trPr>
        <w:tc>
          <w:tcPr>
            <w:tcW w:w="1335" w:type="pct"/>
          </w:tcPr>
          <w:p w14:paraId="701ABE11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(Bcf)</w:t>
            </w:r>
          </w:p>
        </w:tc>
        <w:tc>
          <w:tcPr>
            <w:tcW w:w="406" w:type="pct"/>
          </w:tcPr>
          <w:p w14:paraId="4CFA94A0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424A11B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4C4560A0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C98AF79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2890642A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465F635E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473EB42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E152235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0BCE464A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</w:tr>
      <w:tr w:rsidR="003714CD" w:rsidRPr="00240E21" w14:paraId="79D9FA86" w14:textId="77777777" w:rsidTr="009F007B">
        <w:trPr>
          <w:trHeight w:val="355"/>
        </w:trPr>
        <w:tc>
          <w:tcPr>
            <w:tcW w:w="1335" w:type="pct"/>
          </w:tcPr>
          <w:p w14:paraId="44D96206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Liquids (MMBbl)</w:t>
            </w:r>
          </w:p>
        </w:tc>
        <w:tc>
          <w:tcPr>
            <w:tcW w:w="406" w:type="pct"/>
          </w:tcPr>
          <w:p w14:paraId="629252AD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27A902A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52F96284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44531D4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2D955D9F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56355ACD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7E95399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D38E85A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7B36A161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</w:tr>
      <w:tr w:rsidR="003714CD" w:rsidRPr="00240E21" w14:paraId="3700F9A2" w14:textId="77777777" w:rsidTr="009F007B">
        <w:trPr>
          <w:trHeight w:val="355"/>
        </w:trPr>
        <w:tc>
          <w:tcPr>
            <w:tcW w:w="1335" w:type="pct"/>
          </w:tcPr>
          <w:p w14:paraId="3A6CE349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Condensate (MMBbl)</w:t>
            </w:r>
          </w:p>
        </w:tc>
        <w:tc>
          <w:tcPr>
            <w:tcW w:w="406" w:type="pct"/>
          </w:tcPr>
          <w:p w14:paraId="7E58440D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B37B371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42EBAE52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68B6970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D58CBE0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22921037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884DE87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C59C4FE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1AE75051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</w:tr>
      <w:tr w:rsidR="003714CD" w:rsidRPr="00240E21" w14:paraId="75D48DA4" w14:textId="77777777" w:rsidTr="009F007B">
        <w:trPr>
          <w:trHeight w:val="355"/>
        </w:trPr>
        <w:tc>
          <w:tcPr>
            <w:tcW w:w="1335" w:type="pct"/>
          </w:tcPr>
          <w:p w14:paraId="3B759D42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Oil (MMBbl)</w:t>
            </w:r>
          </w:p>
        </w:tc>
        <w:tc>
          <w:tcPr>
            <w:tcW w:w="406" w:type="pct"/>
          </w:tcPr>
          <w:p w14:paraId="2A1ECBEA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A8188CD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566A1489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EA2B38C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2CECB4B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5259B005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5C29D5D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61BD8B2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1554EB53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</w:tr>
      <w:tr w:rsidR="003714CD" w:rsidRPr="00240E21" w14:paraId="2BADC84A" w14:textId="77777777" w:rsidTr="009F007B">
        <w:trPr>
          <w:trHeight w:val="355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14:paraId="764AB925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SI Unit </w:t>
            </w:r>
          </w:p>
        </w:tc>
      </w:tr>
      <w:tr w:rsidR="003714CD" w:rsidRPr="00240E21" w14:paraId="504BA797" w14:textId="77777777" w:rsidTr="009F007B">
        <w:trPr>
          <w:trHeight w:val="355"/>
        </w:trPr>
        <w:tc>
          <w:tcPr>
            <w:tcW w:w="1335" w:type="pct"/>
          </w:tcPr>
          <w:p w14:paraId="44E97E7F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(10</w:t>
            </w:r>
            <w:r w:rsidRPr="00240E21">
              <w:rPr>
                <w:i/>
                <w:sz w:val="18"/>
                <w:szCs w:val="18"/>
                <w:vertAlign w:val="superscript"/>
              </w:rPr>
              <w:t>9</w:t>
            </w:r>
            <w:r w:rsidRPr="00240E21">
              <w:rPr>
                <w:i/>
                <w:sz w:val="18"/>
                <w:szCs w:val="18"/>
              </w:rPr>
              <w:t xml:space="preserve"> m</w:t>
            </w:r>
            <w:r w:rsidRPr="00240E21">
              <w:rPr>
                <w:i/>
                <w:sz w:val="18"/>
                <w:szCs w:val="18"/>
                <w:vertAlign w:val="superscript"/>
              </w:rPr>
              <w:t>3</w:t>
            </w:r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4CA6B024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1C04566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3833183F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B35F996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0B4BB06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30778C41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54C607E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E1EC709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4DC66CE0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</w:tr>
      <w:tr w:rsidR="003714CD" w:rsidRPr="00240E21" w14:paraId="56B0EEFB" w14:textId="77777777" w:rsidTr="009F007B">
        <w:trPr>
          <w:trHeight w:val="355"/>
        </w:trPr>
        <w:tc>
          <w:tcPr>
            <w:tcW w:w="1335" w:type="pct"/>
          </w:tcPr>
          <w:p w14:paraId="01691A03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Liquids (GL)</w:t>
            </w:r>
          </w:p>
        </w:tc>
        <w:tc>
          <w:tcPr>
            <w:tcW w:w="406" w:type="pct"/>
          </w:tcPr>
          <w:p w14:paraId="38178383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91D08B0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69E333E8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C4B41BE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E25F687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116F9773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111DABE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50154D6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3F2056DB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</w:tr>
      <w:tr w:rsidR="003714CD" w:rsidRPr="00240E21" w14:paraId="27DC48C5" w14:textId="77777777" w:rsidTr="009F007B">
        <w:trPr>
          <w:trHeight w:val="356"/>
        </w:trPr>
        <w:tc>
          <w:tcPr>
            <w:tcW w:w="1335" w:type="pct"/>
          </w:tcPr>
          <w:p w14:paraId="5CCCE60E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Condensate (GL)</w:t>
            </w:r>
          </w:p>
        </w:tc>
        <w:tc>
          <w:tcPr>
            <w:tcW w:w="406" w:type="pct"/>
          </w:tcPr>
          <w:p w14:paraId="3BA27CE1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39D9CC0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309369DC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250FD48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18117D43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71FF3F77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6832A70C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A3F6A12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6DD53843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</w:tr>
      <w:tr w:rsidR="003714CD" w:rsidRPr="00240E21" w14:paraId="1EE71696" w14:textId="77777777" w:rsidTr="009F007B">
        <w:trPr>
          <w:trHeight w:val="356"/>
        </w:trPr>
        <w:tc>
          <w:tcPr>
            <w:tcW w:w="1335" w:type="pct"/>
          </w:tcPr>
          <w:p w14:paraId="48E06CBB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Oil (GL)</w:t>
            </w:r>
          </w:p>
        </w:tc>
        <w:tc>
          <w:tcPr>
            <w:tcW w:w="406" w:type="pct"/>
          </w:tcPr>
          <w:p w14:paraId="64B8207E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6C36475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  <w:gridSpan w:val="2"/>
          </w:tcPr>
          <w:p w14:paraId="10F19873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F72333E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B24A597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47F18A6A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1857E864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F7AFCAC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2C3C431A" w14:textId="77777777" w:rsidR="003714CD" w:rsidRPr="00240E21" w:rsidRDefault="003714CD" w:rsidP="00704ECA">
            <w:pPr>
              <w:rPr>
                <w:i/>
                <w:sz w:val="18"/>
                <w:szCs w:val="18"/>
              </w:rPr>
            </w:pPr>
          </w:p>
        </w:tc>
      </w:tr>
    </w:tbl>
    <w:p w14:paraId="3A547C26" w14:textId="0E445A0C" w:rsidR="00F23BF0" w:rsidRDefault="003714CD" w:rsidP="00F23BF0">
      <w:pPr>
        <w:spacing w:after="0" w:line="240" w:lineRule="auto"/>
        <w:ind w:left="1559"/>
        <w:rPr>
          <w:i/>
          <w:sz w:val="18"/>
          <w:szCs w:val="18"/>
        </w:rPr>
      </w:pPr>
      <w:r w:rsidRPr="00240E21">
        <w:rPr>
          <w:i/>
          <w:sz w:val="18"/>
          <w:szCs w:val="18"/>
        </w:rPr>
        <w:t>Note – Probabilistic (P</w:t>
      </w:r>
      <w:r w:rsidRPr="00240E21">
        <w:rPr>
          <w:i/>
          <w:sz w:val="18"/>
          <w:szCs w:val="18"/>
          <w:vertAlign w:val="subscript"/>
        </w:rPr>
        <w:t>90</w:t>
      </w:r>
      <w:r w:rsidRPr="00240E21">
        <w:rPr>
          <w:i/>
          <w:sz w:val="18"/>
          <w:szCs w:val="18"/>
        </w:rPr>
        <w:t>, P</w:t>
      </w:r>
      <w:r w:rsidRPr="00240E21">
        <w:rPr>
          <w:i/>
          <w:sz w:val="18"/>
          <w:szCs w:val="18"/>
          <w:vertAlign w:val="subscript"/>
        </w:rPr>
        <w:t>50</w:t>
      </w:r>
      <w:r w:rsidRPr="00240E21">
        <w:rPr>
          <w:i/>
          <w:sz w:val="18"/>
          <w:szCs w:val="18"/>
        </w:rPr>
        <w:t xml:space="preserve"> and P</w:t>
      </w:r>
      <w:r w:rsidRPr="00240E21">
        <w:rPr>
          <w:i/>
          <w:sz w:val="18"/>
          <w:szCs w:val="18"/>
          <w:vertAlign w:val="subscript"/>
        </w:rPr>
        <w:t>10</w:t>
      </w:r>
      <w:r w:rsidRPr="00240E21">
        <w:rPr>
          <w:i/>
          <w:sz w:val="18"/>
          <w:szCs w:val="18"/>
        </w:rPr>
        <w:t xml:space="preserve">) or deterministic (low, best and high) </w:t>
      </w:r>
      <w:r w:rsidR="00112D64" w:rsidRPr="006064F3">
        <w:rPr>
          <w:i/>
          <w:sz w:val="18"/>
          <w:szCs w:val="18"/>
        </w:rPr>
        <w:t>or deterministic (Proved, Proved plus Probable, or Proved plus Probable plus Possible)</w:t>
      </w:r>
      <w:r w:rsidR="00112D64">
        <w:rPr>
          <w:i/>
          <w:sz w:val="18"/>
          <w:szCs w:val="18"/>
        </w:rPr>
        <w:t xml:space="preserve"> </w:t>
      </w:r>
      <w:r w:rsidRPr="00240E21">
        <w:rPr>
          <w:i/>
          <w:sz w:val="18"/>
          <w:szCs w:val="18"/>
        </w:rPr>
        <w:t>values for 1P, 2P or 3P and 1C, 2C and 3C estimates are acceptable under SPE PRMS Guidelines (2011).  Volumes reported at Standard Conditions, 60</w:t>
      </w:r>
      <m:oMath>
        <m:r>
          <w:rPr>
            <w:rFonts w:ascii="Cambria Math" w:hAnsi="Cambria Math"/>
            <w:sz w:val="18"/>
            <w:szCs w:val="18"/>
          </w:rPr>
          <m:t>° F (15.56</m:t>
        </m:r>
      </m:oMath>
      <w:r w:rsidRPr="00240E21">
        <w:rPr>
          <w:i/>
          <w:sz w:val="18"/>
          <w:szCs w:val="18"/>
        </w:rPr>
        <w:t>° C) and 1 atm (101.325 kPa); 1 cf = 0.02831685 m</w:t>
      </w:r>
      <w:r w:rsidRPr="00240E21">
        <w:rPr>
          <w:i/>
          <w:sz w:val="18"/>
          <w:szCs w:val="18"/>
          <w:vertAlign w:val="superscript"/>
        </w:rPr>
        <w:t>3</w:t>
      </w:r>
      <w:r w:rsidRPr="00240E21">
        <w:rPr>
          <w:i/>
          <w:sz w:val="18"/>
          <w:szCs w:val="18"/>
        </w:rPr>
        <w:t xml:space="preserve">; </w:t>
      </w:r>
      <w:r w:rsidR="00984CE3">
        <w:rPr>
          <w:i/>
          <w:sz w:val="18"/>
          <w:szCs w:val="18"/>
        </w:rPr>
        <w:t xml:space="preserve">                        </w:t>
      </w:r>
      <w:r w:rsidRPr="00240E21">
        <w:rPr>
          <w:i/>
          <w:sz w:val="18"/>
          <w:szCs w:val="18"/>
        </w:rPr>
        <w:t>1 MMBbl = 0.1589873 GL</w:t>
      </w:r>
    </w:p>
    <w:p w14:paraId="1CAB7B55" w14:textId="407B88B8" w:rsidR="00B51624" w:rsidRPr="000471A8" w:rsidRDefault="00F23BF0" w:rsidP="000471A8">
      <w:pPr>
        <w:spacing w:after="0" w:line="240" w:lineRule="auto"/>
        <w:ind w:left="1559"/>
        <w:rPr>
          <w:i/>
          <w:sz w:val="18"/>
          <w:szCs w:val="18"/>
        </w:rPr>
      </w:pPr>
      <w:r w:rsidRPr="00240E21">
        <w:rPr>
          <w:i/>
          <w:sz w:val="18"/>
          <w:szCs w:val="18"/>
        </w:rPr>
        <w:t>* e.g. Sales gas, ex onshore gas plant, LNG f.o.b; stabilised condensate; ideal split C4-, C5+</w:t>
      </w:r>
      <w:r>
        <w:rPr>
          <w:i/>
          <w:sz w:val="18"/>
          <w:szCs w:val="18"/>
        </w:rPr>
        <w:t xml:space="preserve">. </w:t>
      </w:r>
      <w:r w:rsidRPr="00D52BE9">
        <w:rPr>
          <w:i/>
          <w:sz w:val="18"/>
          <w:szCs w:val="18"/>
        </w:rPr>
        <w:t>Natural Gas Liquids are only reported if extracted</w:t>
      </w:r>
      <w:r>
        <w:rPr>
          <w:i/>
          <w:sz w:val="18"/>
          <w:szCs w:val="18"/>
        </w:rPr>
        <w:t>.</w:t>
      </w:r>
    </w:p>
    <w:p w14:paraId="1C2E2EF0" w14:textId="77777777" w:rsidR="00B51624" w:rsidRDefault="00B5162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leGrid"/>
        <w:tblW w:w="4400" w:type="pct"/>
        <w:tblInd w:w="1559" w:type="dxa"/>
        <w:tblLook w:val="04A0" w:firstRow="1" w:lastRow="0" w:firstColumn="1" w:lastColumn="0" w:noHBand="0" w:noVBand="1"/>
        <w:tblCaption w:val="Resource for Pools in Field"/>
      </w:tblPr>
      <w:tblGrid>
        <w:gridCol w:w="3728"/>
        <w:gridCol w:w="1134"/>
        <w:gridCol w:w="1139"/>
        <w:gridCol w:w="1139"/>
        <w:gridCol w:w="1139"/>
        <w:gridCol w:w="1137"/>
        <w:gridCol w:w="1142"/>
        <w:gridCol w:w="1137"/>
        <w:gridCol w:w="1139"/>
        <w:gridCol w:w="1128"/>
      </w:tblGrid>
      <w:tr w:rsidR="00704ECA" w:rsidRPr="00240E21" w14:paraId="420156FF" w14:textId="77777777" w:rsidTr="00704ECA">
        <w:trPr>
          <w:trHeight w:val="355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4221B3" w14:textId="3890B3F5" w:rsidR="00704ECA" w:rsidRPr="001A3F58" w:rsidRDefault="00704ECA" w:rsidP="000471A8">
            <w:pPr>
              <w:pStyle w:val="Heading3"/>
              <w:ind w:left="0"/>
            </w:pPr>
            <w:r>
              <w:lastRenderedPageBreak/>
              <w:t>Resource for Pools in Field</w:t>
            </w:r>
          </w:p>
          <w:p w14:paraId="231399D5" w14:textId="77777777" w:rsidR="00704ECA" w:rsidRPr="00240E21" w:rsidRDefault="00704ECA" w:rsidP="00704ECA">
            <w:pPr>
              <w:rPr>
                <w:b/>
                <w:i/>
                <w:sz w:val="18"/>
                <w:szCs w:val="18"/>
              </w:rPr>
            </w:pPr>
          </w:p>
        </w:tc>
      </w:tr>
      <w:tr w:rsidR="00704ECA" w:rsidRPr="00240E21" w14:paraId="1D87CA81" w14:textId="77777777" w:rsidTr="00704ECA">
        <w:trPr>
          <w:trHeight w:val="355"/>
        </w:trPr>
        <w:tc>
          <w:tcPr>
            <w:tcW w:w="1335" w:type="pct"/>
            <w:vMerge w:val="restart"/>
          </w:tcPr>
          <w:p w14:paraId="1138F740" w14:textId="77777777" w:rsidR="00704ECA" w:rsidRDefault="00E567E1" w:rsidP="00704EC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Pool</w:t>
            </w:r>
            <w:r w:rsidRPr="00240E21">
              <w:rPr>
                <w:b/>
                <w:i/>
                <w:sz w:val="18"/>
                <w:szCs w:val="18"/>
              </w:rPr>
              <w:t xml:space="preserve"> Name:</w:t>
            </w:r>
          </w:p>
          <w:p w14:paraId="17E1C2F2" w14:textId="77777777" w:rsidR="00E567E1" w:rsidRDefault="00E567E1" w:rsidP="00704ECA">
            <w:pPr>
              <w:rPr>
                <w:b/>
                <w:i/>
                <w:sz w:val="18"/>
                <w:szCs w:val="18"/>
              </w:rPr>
            </w:pPr>
          </w:p>
          <w:p w14:paraId="220FA1FC" w14:textId="7ABBE730" w:rsidR="00E567E1" w:rsidRPr="00240E21" w:rsidRDefault="00E567E1" w:rsidP="00E567E1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Reservoir name (if different):</w:t>
            </w:r>
          </w:p>
        </w:tc>
        <w:tc>
          <w:tcPr>
            <w:tcW w:w="1222" w:type="pct"/>
            <w:gridSpan w:val="3"/>
          </w:tcPr>
          <w:p w14:paraId="4CC603D5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Petroleum Initially in Place</w:t>
            </w:r>
          </w:p>
        </w:tc>
        <w:tc>
          <w:tcPr>
            <w:tcW w:w="1224" w:type="pct"/>
            <w:gridSpan w:val="3"/>
          </w:tcPr>
          <w:p w14:paraId="638DE090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Reserves</w:t>
            </w:r>
          </w:p>
        </w:tc>
        <w:tc>
          <w:tcPr>
            <w:tcW w:w="1219" w:type="pct"/>
            <w:gridSpan w:val="3"/>
          </w:tcPr>
          <w:p w14:paraId="54ECDA84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Contingent Resources</w:t>
            </w:r>
          </w:p>
        </w:tc>
      </w:tr>
      <w:tr w:rsidR="00704ECA" w:rsidRPr="00240E21" w14:paraId="706A8F7F" w14:textId="77777777" w:rsidTr="00704ECA">
        <w:trPr>
          <w:trHeight w:val="355"/>
        </w:trPr>
        <w:tc>
          <w:tcPr>
            <w:tcW w:w="1335" w:type="pct"/>
            <w:vMerge/>
          </w:tcPr>
          <w:p w14:paraId="7D707473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6" w:type="pct"/>
          </w:tcPr>
          <w:p w14:paraId="5E306BD1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1P</w:t>
            </w:r>
            <w:r>
              <w:rPr>
                <w:i/>
                <w:sz w:val="18"/>
                <w:szCs w:val="18"/>
              </w:rPr>
              <w:t>/1C</w:t>
            </w:r>
          </w:p>
        </w:tc>
        <w:tc>
          <w:tcPr>
            <w:tcW w:w="408" w:type="pct"/>
          </w:tcPr>
          <w:p w14:paraId="02A51D80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2P</w:t>
            </w:r>
            <w:r>
              <w:rPr>
                <w:i/>
                <w:sz w:val="18"/>
                <w:szCs w:val="18"/>
              </w:rPr>
              <w:t>/2C</w:t>
            </w:r>
          </w:p>
        </w:tc>
        <w:tc>
          <w:tcPr>
            <w:tcW w:w="408" w:type="pct"/>
          </w:tcPr>
          <w:p w14:paraId="1369728C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3P</w:t>
            </w:r>
            <w:r>
              <w:rPr>
                <w:i/>
                <w:sz w:val="18"/>
                <w:szCs w:val="18"/>
              </w:rPr>
              <w:t>/3C</w:t>
            </w:r>
          </w:p>
        </w:tc>
        <w:tc>
          <w:tcPr>
            <w:tcW w:w="408" w:type="pct"/>
          </w:tcPr>
          <w:p w14:paraId="4F5C1D6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1P </w:t>
            </w:r>
          </w:p>
        </w:tc>
        <w:tc>
          <w:tcPr>
            <w:tcW w:w="407" w:type="pct"/>
          </w:tcPr>
          <w:p w14:paraId="1BE1FB20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2P </w:t>
            </w:r>
          </w:p>
        </w:tc>
        <w:tc>
          <w:tcPr>
            <w:tcW w:w="409" w:type="pct"/>
          </w:tcPr>
          <w:p w14:paraId="476BBF42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3P </w:t>
            </w:r>
          </w:p>
        </w:tc>
        <w:tc>
          <w:tcPr>
            <w:tcW w:w="407" w:type="pct"/>
          </w:tcPr>
          <w:p w14:paraId="0B952F81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1C </w:t>
            </w:r>
          </w:p>
        </w:tc>
        <w:tc>
          <w:tcPr>
            <w:tcW w:w="408" w:type="pct"/>
          </w:tcPr>
          <w:p w14:paraId="754C2A3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2C </w:t>
            </w:r>
          </w:p>
        </w:tc>
        <w:tc>
          <w:tcPr>
            <w:tcW w:w="404" w:type="pct"/>
          </w:tcPr>
          <w:p w14:paraId="05FDB08C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3C </w:t>
            </w:r>
          </w:p>
        </w:tc>
      </w:tr>
      <w:tr w:rsidR="00704ECA" w:rsidRPr="00240E21" w14:paraId="5624760C" w14:textId="77777777" w:rsidTr="00704ECA">
        <w:trPr>
          <w:trHeight w:val="355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30FF485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Field Unit Input</w:t>
            </w:r>
          </w:p>
        </w:tc>
      </w:tr>
      <w:tr w:rsidR="00704ECA" w:rsidRPr="00240E21" w14:paraId="6611DB02" w14:textId="77777777" w:rsidTr="00704ECA">
        <w:trPr>
          <w:trHeight w:val="355"/>
        </w:trPr>
        <w:tc>
          <w:tcPr>
            <w:tcW w:w="1335" w:type="pct"/>
          </w:tcPr>
          <w:p w14:paraId="4FD17B22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(Bcf)</w:t>
            </w:r>
          </w:p>
        </w:tc>
        <w:tc>
          <w:tcPr>
            <w:tcW w:w="406" w:type="pct"/>
          </w:tcPr>
          <w:p w14:paraId="326D99D9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1B3F326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F83C00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C6BF5A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34BD2C8B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58628E89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80306E5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72C52F7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4A77840E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</w:tr>
      <w:tr w:rsidR="00704ECA" w:rsidRPr="00240E21" w14:paraId="46F2B929" w14:textId="77777777" w:rsidTr="00704ECA">
        <w:trPr>
          <w:trHeight w:val="355"/>
        </w:trPr>
        <w:tc>
          <w:tcPr>
            <w:tcW w:w="1335" w:type="pct"/>
          </w:tcPr>
          <w:p w14:paraId="560BD855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Liquids (MMBbl)</w:t>
            </w:r>
          </w:p>
        </w:tc>
        <w:tc>
          <w:tcPr>
            <w:tcW w:w="406" w:type="pct"/>
          </w:tcPr>
          <w:p w14:paraId="1F771158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5E115F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7156D85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C173C4B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1270CCD6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0C6EDB14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13D73DA0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363CEC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6701B111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</w:tr>
      <w:tr w:rsidR="00704ECA" w:rsidRPr="00240E21" w14:paraId="68684AF1" w14:textId="77777777" w:rsidTr="00704ECA">
        <w:trPr>
          <w:trHeight w:val="355"/>
        </w:trPr>
        <w:tc>
          <w:tcPr>
            <w:tcW w:w="1335" w:type="pct"/>
          </w:tcPr>
          <w:p w14:paraId="68B62785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Condensate (MMBbl)</w:t>
            </w:r>
          </w:p>
        </w:tc>
        <w:tc>
          <w:tcPr>
            <w:tcW w:w="406" w:type="pct"/>
          </w:tcPr>
          <w:p w14:paraId="2F16FA0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F838B4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4840D39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28FC0E0A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68B3504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421C7C6E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59DE555C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17D9C9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0AEE05FC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</w:tr>
      <w:tr w:rsidR="00704ECA" w:rsidRPr="00240E21" w14:paraId="250998C4" w14:textId="77777777" w:rsidTr="00704ECA">
        <w:trPr>
          <w:trHeight w:val="355"/>
        </w:trPr>
        <w:tc>
          <w:tcPr>
            <w:tcW w:w="1335" w:type="pct"/>
          </w:tcPr>
          <w:p w14:paraId="040FFAD0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Oil (MMBbl)</w:t>
            </w:r>
          </w:p>
        </w:tc>
        <w:tc>
          <w:tcPr>
            <w:tcW w:w="406" w:type="pct"/>
          </w:tcPr>
          <w:p w14:paraId="7415A951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7E0D8B9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8B2550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C761BDC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A17809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72AE01F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188F49F6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C15305E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63ED635B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</w:tr>
      <w:tr w:rsidR="00704ECA" w:rsidRPr="00240E21" w14:paraId="4ABEDCAA" w14:textId="77777777" w:rsidTr="00704ECA">
        <w:trPr>
          <w:trHeight w:val="355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C365098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 xml:space="preserve">SI Unit </w:t>
            </w:r>
          </w:p>
        </w:tc>
      </w:tr>
      <w:tr w:rsidR="00704ECA" w:rsidRPr="00240E21" w14:paraId="69C39F60" w14:textId="77777777" w:rsidTr="00704ECA">
        <w:trPr>
          <w:trHeight w:val="355"/>
        </w:trPr>
        <w:tc>
          <w:tcPr>
            <w:tcW w:w="1335" w:type="pct"/>
          </w:tcPr>
          <w:p w14:paraId="172452EE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(10</w:t>
            </w:r>
            <w:r w:rsidRPr="00240E21">
              <w:rPr>
                <w:i/>
                <w:sz w:val="18"/>
                <w:szCs w:val="18"/>
                <w:vertAlign w:val="superscript"/>
              </w:rPr>
              <w:t>9</w:t>
            </w:r>
            <w:r w:rsidRPr="00240E21">
              <w:rPr>
                <w:i/>
                <w:sz w:val="18"/>
                <w:szCs w:val="18"/>
              </w:rPr>
              <w:t xml:space="preserve"> m</w:t>
            </w:r>
            <w:r w:rsidRPr="00240E21">
              <w:rPr>
                <w:i/>
                <w:sz w:val="18"/>
                <w:szCs w:val="18"/>
                <w:vertAlign w:val="superscript"/>
              </w:rPr>
              <w:t>3</w:t>
            </w:r>
            <w:r w:rsidRPr="00240E2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6" w:type="pct"/>
          </w:tcPr>
          <w:p w14:paraId="678E40E3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75C28CB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595D5E8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603BD6C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72AC9F82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63703609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62D5E231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253535C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11B1B6EF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</w:tr>
      <w:tr w:rsidR="00704ECA" w:rsidRPr="00240E21" w14:paraId="75710C1A" w14:textId="77777777" w:rsidTr="00704ECA">
        <w:trPr>
          <w:trHeight w:val="355"/>
        </w:trPr>
        <w:tc>
          <w:tcPr>
            <w:tcW w:w="1335" w:type="pct"/>
          </w:tcPr>
          <w:p w14:paraId="10C61AB1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Natural Gas Liquids (GL)</w:t>
            </w:r>
          </w:p>
        </w:tc>
        <w:tc>
          <w:tcPr>
            <w:tcW w:w="406" w:type="pct"/>
          </w:tcPr>
          <w:p w14:paraId="1AFAB299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EA25733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4F7FB2B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86B90F0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61A42BB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722EE8B8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CA2CCB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C9525BB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60D5642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</w:tr>
      <w:tr w:rsidR="00704ECA" w:rsidRPr="00240E21" w14:paraId="2DA55772" w14:textId="77777777" w:rsidTr="00704ECA">
        <w:trPr>
          <w:trHeight w:val="356"/>
        </w:trPr>
        <w:tc>
          <w:tcPr>
            <w:tcW w:w="1335" w:type="pct"/>
          </w:tcPr>
          <w:p w14:paraId="0CEA4805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Condensate (GL)</w:t>
            </w:r>
          </w:p>
        </w:tc>
        <w:tc>
          <w:tcPr>
            <w:tcW w:w="406" w:type="pct"/>
          </w:tcPr>
          <w:p w14:paraId="12D9A3FD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4274CEEB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632D515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7253396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2938DABC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052C1E97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089E347E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8506AA4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0017D725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</w:tr>
      <w:tr w:rsidR="00704ECA" w:rsidRPr="00240E21" w14:paraId="3588365F" w14:textId="77777777" w:rsidTr="00704ECA">
        <w:trPr>
          <w:trHeight w:val="356"/>
        </w:trPr>
        <w:tc>
          <w:tcPr>
            <w:tcW w:w="1335" w:type="pct"/>
          </w:tcPr>
          <w:p w14:paraId="3B188250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  <w:r w:rsidRPr="00240E21">
              <w:rPr>
                <w:i/>
                <w:sz w:val="18"/>
                <w:szCs w:val="18"/>
              </w:rPr>
              <w:t>Oil (GL)</w:t>
            </w:r>
          </w:p>
        </w:tc>
        <w:tc>
          <w:tcPr>
            <w:tcW w:w="406" w:type="pct"/>
          </w:tcPr>
          <w:p w14:paraId="364C0CA2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1E8D66F7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31B3C97A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59452C8E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4DCB1841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9" w:type="pct"/>
          </w:tcPr>
          <w:p w14:paraId="036E5932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7" w:type="pct"/>
          </w:tcPr>
          <w:p w14:paraId="3B609600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8" w:type="pct"/>
          </w:tcPr>
          <w:p w14:paraId="036758BE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</w:tcPr>
          <w:p w14:paraId="2EC4233A" w14:textId="77777777" w:rsidR="00704ECA" w:rsidRPr="00240E21" w:rsidRDefault="00704ECA" w:rsidP="00704ECA">
            <w:pPr>
              <w:rPr>
                <w:i/>
                <w:sz w:val="18"/>
                <w:szCs w:val="18"/>
              </w:rPr>
            </w:pPr>
          </w:p>
        </w:tc>
      </w:tr>
    </w:tbl>
    <w:p w14:paraId="459AAD3C" w14:textId="77777777" w:rsidR="00704ECA" w:rsidRDefault="00704ECA" w:rsidP="00704ECA">
      <w:pPr>
        <w:spacing w:after="0" w:line="240" w:lineRule="auto"/>
        <w:ind w:left="1559"/>
        <w:rPr>
          <w:i/>
          <w:sz w:val="18"/>
          <w:szCs w:val="18"/>
        </w:rPr>
      </w:pPr>
      <w:r w:rsidRPr="00240E21">
        <w:rPr>
          <w:i/>
          <w:sz w:val="18"/>
          <w:szCs w:val="18"/>
        </w:rPr>
        <w:t>Note – Probabilistic (P</w:t>
      </w:r>
      <w:r w:rsidRPr="00240E21">
        <w:rPr>
          <w:i/>
          <w:sz w:val="18"/>
          <w:szCs w:val="18"/>
          <w:vertAlign w:val="subscript"/>
        </w:rPr>
        <w:t>90</w:t>
      </w:r>
      <w:r w:rsidRPr="00240E21">
        <w:rPr>
          <w:i/>
          <w:sz w:val="18"/>
          <w:szCs w:val="18"/>
        </w:rPr>
        <w:t>, P</w:t>
      </w:r>
      <w:r w:rsidRPr="00240E21">
        <w:rPr>
          <w:i/>
          <w:sz w:val="18"/>
          <w:szCs w:val="18"/>
          <w:vertAlign w:val="subscript"/>
        </w:rPr>
        <w:t>50</w:t>
      </w:r>
      <w:r w:rsidRPr="00240E21">
        <w:rPr>
          <w:i/>
          <w:sz w:val="18"/>
          <w:szCs w:val="18"/>
        </w:rPr>
        <w:t xml:space="preserve"> and P</w:t>
      </w:r>
      <w:r w:rsidRPr="00240E21">
        <w:rPr>
          <w:i/>
          <w:sz w:val="18"/>
          <w:szCs w:val="18"/>
          <w:vertAlign w:val="subscript"/>
        </w:rPr>
        <w:t>10</w:t>
      </w:r>
      <w:r w:rsidRPr="00240E21">
        <w:rPr>
          <w:i/>
          <w:sz w:val="18"/>
          <w:szCs w:val="18"/>
        </w:rPr>
        <w:t xml:space="preserve">) or deterministic (low, best and high) </w:t>
      </w:r>
      <w:r w:rsidRPr="006064F3">
        <w:rPr>
          <w:i/>
          <w:sz w:val="18"/>
          <w:szCs w:val="18"/>
        </w:rPr>
        <w:t>or deterministic (Proved, Proved plus Probable, or Proved plus Probable plus Possible)</w:t>
      </w:r>
      <w:r>
        <w:rPr>
          <w:i/>
          <w:sz w:val="18"/>
          <w:szCs w:val="18"/>
        </w:rPr>
        <w:t xml:space="preserve"> </w:t>
      </w:r>
      <w:r w:rsidRPr="00240E21">
        <w:rPr>
          <w:i/>
          <w:sz w:val="18"/>
          <w:szCs w:val="18"/>
        </w:rPr>
        <w:t>values for 1P, 2P or 3P and 1C, 2C and 3C estimates are acceptable under SPE PRMS Guidelines (2011).  Volumes reported at Standard Conditions, 60</w:t>
      </w:r>
      <m:oMath>
        <m:r>
          <w:rPr>
            <w:rFonts w:ascii="Cambria Math" w:hAnsi="Cambria Math"/>
            <w:sz w:val="18"/>
            <w:szCs w:val="18"/>
          </w:rPr>
          <m:t>° F (15.56</m:t>
        </m:r>
      </m:oMath>
      <w:r w:rsidRPr="00240E21">
        <w:rPr>
          <w:i/>
          <w:sz w:val="18"/>
          <w:szCs w:val="18"/>
        </w:rPr>
        <w:t>° C) and 1 atm (101.325 kPa); 1 cf = 0.02831685 m</w:t>
      </w:r>
      <w:r w:rsidRPr="00240E21">
        <w:rPr>
          <w:i/>
          <w:sz w:val="18"/>
          <w:szCs w:val="18"/>
          <w:vertAlign w:val="superscript"/>
        </w:rPr>
        <w:t>3</w:t>
      </w:r>
      <w:r w:rsidRPr="00240E21">
        <w:rPr>
          <w:i/>
          <w:sz w:val="18"/>
          <w:szCs w:val="18"/>
        </w:rPr>
        <w:t xml:space="preserve">; </w:t>
      </w:r>
      <w:r>
        <w:rPr>
          <w:i/>
          <w:sz w:val="18"/>
          <w:szCs w:val="18"/>
        </w:rPr>
        <w:t xml:space="preserve">                        </w:t>
      </w:r>
      <w:r w:rsidRPr="00240E21">
        <w:rPr>
          <w:i/>
          <w:sz w:val="18"/>
          <w:szCs w:val="18"/>
        </w:rPr>
        <w:t>1 MMBbl = 0.1589873 GL</w:t>
      </w:r>
    </w:p>
    <w:p w14:paraId="5116B404" w14:textId="46AE3EF3" w:rsidR="00704ECA" w:rsidRPr="000471A8" w:rsidRDefault="00704ECA" w:rsidP="000471A8">
      <w:pPr>
        <w:spacing w:after="0" w:line="240" w:lineRule="auto"/>
        <w:ind w:left="1559"/>
        <w:rPr>
          <w:i/>
          <w:sz w:val="18"/>
          <w:szCs w:val="18"/>
        </w:rPr>
      </w:pPr>
      <w:r w:rsidRPr="00240E21">
        <w:rPr>
          <w:i/>
          <w:sz w:val="18"/>
          <w:szCs w:val="18"/>
        </w:rPr>
        <w:t>* e.g. Sales gas, ex onshore gas plant, LNG f.o.b; stabilised condensate; ideal split C4-, C5+</w:t>
      </w:r>
      <w:r>
        <w:rPr>
          <w:i/>
          <w:sz w:val="18"/>
          <w:szCs w:val="18"/>
        </w:rPr>
        <w:t xml:space="preserve">. </w:t>
      </w:r>
      <w:r w:rsidRPr="00D52BE9">
        <w:rPr>
          <w:i/>
          <w:sz w:val="18"/>
          <w:szCs w:val="18"/>
        </w:rPr>
        <w:t>Natural Gas Liquids are only reported if extracted</w:t>
      </w:r>
      <w:r>
        <w:rPr>
          <w:i/>
          <w:sz w:val="18"/>
          <w:szCs w:val="18"/>
        </w:rPr>
        <w:t>.</w:t>
      </w:r>
    </w:p>
    <w:p w14:paraId="13155DEA" w14:textId="77777777" w:rsidR="00B313E0" w:rsidRDefault="00B313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175F3D6" w14:textId="3D341BA5" w:rsidR="009F007B" w:rsidRPr="000471A8" w:rsidRDefault="009F007B" w:rsidP="000471A8">
      <w:pPr>
        <w:pStyle w:val="Heading2"/>
      </w:pPr>
      <w:r w:rsidRPr="000471A8">
        <w:lastRenderedPageBreak/>
        <w:t>Production during the period</w:t>
      </w:r>
    </w:p>
    <w:p w14:paraId="35183CC6" w14:textId="77777777" w:rsidR="009F007B" w:rsidRDefault="009F007B" w:rsidP="009F007B">
      <w:pPr>
        <w:spacing w:after="0"/>
        <w:ind w:left="-113"/>
        <w:rPr>
          <w:sz w:val="20"/>
          <w:szCs w:val="20"/>
        </w:rPr>
      </w:pPr>
    </w:p>
    <w:p w14:paraId="7DE03E35" w14:textId="433BFDE8" w:rsidR="009F007B" w:rsidRPr="008307FE" w:rsidRDefault="009F007B" w:rsidP="009F007B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Tables should be provided for each pool where appropriate. Please provide production figures for the previous 12 months 1 January to 31 December.</w:t>
      </w:r>
      <w:r w:rsidR="007B6699">
        <w:rPr>
          <w:sz w:val="20"/>
          <w:szCs w:val="20"/>
        </w:rPr>
        <w:t xml:space="preserve"> </w:t>
      </w:r>
      <w:r w:rsidR="00F23BF0">
        <w:rPr>
          <w:sz w:val="20"/>
          <w:szCs w:val="20"/>
        </w:rPr>
        <w:t xml:space="preserve"> </w:t>
      </w:r>
    </w:p>
    <w:tbl>
      <w:tblPr>
        <w:tblStyle w:val="TableGrid"/>
        <w:tblW w:w="4400" w:type="pct"/>
        <w:tblInd w:w="1559" w:type="dxa"/>
        <w:tblLook w:val="04A0" w:firstRow="1" w:lastRow="0" w:firstColumn="1" w:lastColumn="0" w:noHBand="0" w:noVBand="1"/>
        <w:tblCaption w:val="Production during the period"/>
      </w:tblPr>
      <w:tblGrid>
        <w:gridCol w:w="4222"/>
        <w:gridCol w:w="1620"/>
        <w:gridCol w:w="1620"/>
        <w:gridCol w:w="1620"/>
        <w:gridCol w:w="1625"/>
        <w:gridCol w:w="276"/>
        <w:gridCol w:w="1343"/>
        <w:gridCol w:w="1622"/>
        <w:gridCol w:w="14"/>
      </w:tblGrid>
      <w:tr w:rsidR="009F007B" w14:paraId="34843C2A" w14:textId="77777777" w:rsidTr="009F007B">
        <w:trPr>
          <w:gridAfter w:val="1"/>
          <w:wAfter w:w="5" w:type="pct"/>
        </w:trPr>
        <w:tc>
          <w:tcPr>
            <w:tcW w:w="4995" w:type="pct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1EBF85FF" w14:textId="77777777" w:rsidR="009F007B" w:rsidRPr="00034C23" w:rsidRDefault="009F007B" w:rsidP="000471A8">
            <w:pPr>
              <w:pStyle w:val="Heading3"/>
              <w:ind w:left="0"/>
              <w:rPr>
                <w:noProof/>
              </w:rPr>
            </w:pPr>
            <w:r w:rsidRPr="00034C23">
              <w:rPr>
                <w:noProof/>
              </w:rPr>
              <w:t>Pool Annual Production Table</w:t>
            </w:r>
          </w:p>
        </w:tc>
      </w:tr>
      <w:tr w:rsidR="009F007B" w14:paraId="177DA39F" w14:textId="77777777" w:rsidTr="009F007B">
        <w:trPr>
          <w:gridAfter w:val="1"/>
          <w:wAfter w:w="5" w:type="pct"/>
        </w:trPr>
        <w:tc>
          <w:tcPr>
            <w:tcW w:w="1512" w:type="pct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5004D765" w14:textId="77777777" w:rsidR="009F007B" w:rsidRPr="00034C23" w:rsidRDefault="009F007B" w:rsidP="00704ECA">
            <w:pPr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</w:pPr>
            <w:r w:rsidRPr="00034C23"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  <w:t>Reference Date:</w:t>
            </w:r>
          </w:p>
        </w:tc>
        <w:tc>
          <w:tcPr>
            <w:tcW w:w="1160" w:type="pct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C82A1C" w14:textId="77777777" w:rsidR="009F007B" w:rsidRPr="00034C23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62" w:type="pct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046E01" w14:textId="77777777" w:rsidR="009F007B" w:rsidRPr="00034C23" w:rsidRDefault="009F007B" w:rsidP="00704ECA">
            <w:pPr>
              <w:pStyle w:val="Paragraph"/>
              <w:spacing w:after="120"/>
              <w:ind w:left="0" w:firstLine="0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034C23">
              <w:rPr>
                <w:rFonts w:asciiTheme="minorHAnsi" w:hAnsiTheme="minorHAnsi"/>
                <w:b/>
                <w:noProof/>
                <w:sz w:val="18"/>
                <w:szCs w:val="18"/>
              </w:rPr>
              <w:t>Field Name:</w:t>
            </w:r>
          </w:p>
        </w:tc>
        <w:tc>
          <w:tcPr>
            <w:tcW w:w="1161" w:type="pct"/>
            <w:gridSpan w:val="3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3AFD038A" w14:textId="77777777" w:rsidR="009F007B" w:rsidRPr="00034C23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</w:p>
        </w:tc>
      </w:tr>
      <w:tr w:rsidR="009F007B" w14:paraId="04DF59F5" w14:textId="77777777" w:rsidTr="009F007B">
        <w:trPr>
          <w:gridAfter w:val="1"/>
          <w:wAfter w:w="5" w:type="pct"/>
        </w:trPr>
        <w:tc>
          <w:tcPr>
            <w:tcW w:w="1512" w:type="pct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56325116" w14:textId="7A6DA480" w:rsidR="009F007B" w:rsidRDefault="009F007B" w:rsidP="00704ECA">
            <w:pPr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</w:pPr>
            <w:r w:rsidRPr="00034C23"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  <w:t>Reference Point</w:t>
            </w:r>
            <w:r w:rsidR="00A679D6"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  <w:t>*</w:t>
            </w:r>
            <w:r w:rsidRPr="00034C23"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  <w:t>:</w:t>
            </w:r>
          </w:p>
          <w:p w14:paraId="635DAC88" w14:textId="77777777" w:rsidR="007321EF" w:rsidRDefault="007321EF" w:rsidP="00704ECA">
            <w:pPr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</w:pPr>
          </w:p>
          <w:p w14:paraId="54B9E406" w14:textId="77777777" w:rsidR="007321EF" w:rsidRDefault="007321EF" w:rsidP="007321EF">
            <w:pPr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  <w:t>Project Name:</w:t>
            </w:r>
          </w:p>
          <w:p w14:paraId="5B4CB909" w14:textId="77777777" w:rsidR="007321EF" w:rsidRDefault="007321EF" w:rsidP="007321EF">
            <w:pPr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</w:pPr>
          </w:p>
          <w:p w14:paraId="49FAC01C" w14:textId="343E12BE" w:rsidR="007321EF" w:rsidRPr="00034C23" w:rsidRDefault="007321EF" w:rsidP="007321EF">
            <w:pPr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</w:pPr>
            <w:r>
              <w:rPr>
                <w:rFonts w:eastAsia="Times New Roman" w:cs="Times New Roman"/>
                <w:b/>
                <w:noProof/>
                <w:sz w:val="18"/>
                <w:szCs w:val="18"/>
                <w:lang w:eastAsia="en-AU"/>
              </w:rPr>
              <w:t>Brief description of development associated with production:</w:t>
            </w:r>
          </w:p>
        </w:tc>
        <w:tc>
          <w:tcPr>
            <w:tcW w:w="1160" w:type="pct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3A8D89A" w14:textId="77777777" w:rsidR="009F007B" w:rsidRPr="00034C23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61" w:type="pct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F8A4B08" w14:textId="7D9F439A" w:rsidR="009F007B" w:rsidRDefault="009F007B" w:rsidP="00704ECA">
            <w:pPr>
              <w:pStyle w:val="Paragraph"/>
              <w:spacing w:after="120"/>
              <w:ind w:left="0" w:firstLine="0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034C23">
              <w:rPr>
                <w:rFonts w:asciiTheme="minorHAnsi" w:hAnsiTheme="minorHAnsi"/>
                <w:b/>
                <w:noProof/>
                <w:sz w:val="18"/>
                <w:szCs w:val="18"/>
              </w:rPr>
              <w:t>Pool</w:t>
            </w:r>
            <w:r w:rsidR="007B6699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Name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>:</w:t>
            </w:r>
          </w:p>
          <w:p w14:paraId="276D6FDD" w14:textId="61F1757C" w:rsidR="009F007B" w:rsidRDefault="009F007B" w:rsidP="00704ECA">
            <w:pPr>
              <w:pStyle w:val="Paragraph"/>
              <w:spacing w:after="120"/>
              <w:ind w:left="0" w:firstLine="0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034C23">
              <w:rPr>
                <w:rFonts w:asciiTheme="minorHAnsi" w:hAnsiTheme="minorHAnsi"/>
                <w:b/>
                <w:noProof/>
                <w:sz w:val="18"/>
                <w:szCs w:val="18"/>
              </w:rPr>
              <w:t>Reservoir</w:t>
            </w:r>
            <w:r w:rsidR="007B6699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Name (if different to pool name)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>:</w:t>
            </w:r>
          </w:p>
          <w:p w14:paraId="2C6931CD" w14:textId="1331F13A" w:rsidR="009F007B" w:rsidRPr="00034C23" w:rsidRDefault="009F007B" w:rsidP="00704ECA">
            <w:pPr>
              <w:pStyle w:val="Paragraph"/>
              <w:spacing w:after="120"/>
              <w:ind w:left="0" w:firstLine="0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AA84802" w14:textId="77777777" w:rsidR="009F007B" w:rsidRPr="00034C23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</w:p>
        </w:tc>
      </w:tr>
      <w:tr w:rsidR="009F007B" w14:paraId="120FE706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078ACEB2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160" w:type="pct"/>
            <w:gridSpan w:val="2"/>
          </w:tcPr>
          <w:p w14:paraId="73282919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Produced to Date</w:t>
            </w:r>
          </w:p>
        </w:tc>
        <w:tc>
          <w:tcPr>
            <w:tcW w:w="1162" w:type="pct"/>
            <w:gridSpan w:val="2"/>
          </w:tcPr>
          <w:p w14:paraId="66BDAB40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Injected to Date</w:t>
            </w:r>
          </w:p>
        </w:tc>
        <w:tc>
          <w:tcPr>
            <w:tcW w:w="1161" w:type="pct"/>
            <w:gridSpan w:val="3"/>
          </w:tcPr>
          <w:p w14:paraId="155FAA2B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Flared or Vented to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Date</w:t>
            </w:r>
          </w:p>
        </w:tc>
      </w:tr>
      <w:tr w:rsidR="009F007B" w14:paraId="7B5C4D59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071E9BE3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3C4F0A9D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 xml:space="preserve">Annual </w:t>
            </w:r>
          </w:p>
        </w:tc>
        <w:tc>
          <w:tcPr>
            <w:tcW w:w="580" w:type="pct"/>
          </w:tcPr>
          <w:p w14:paraId="3F56F6E3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 xml:space="preserve">Cumulative </w:t>
            </w:r>
          </w:p>
        </w:tc>
        <w:tc>
          <w:tcPr>
            <w:tcW w:w="580" w:type="pct"/>
          </w:tcPr>
          <w:p w14:paraId="064A31BE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 xml:space="preserve">Annual </w:t>
            </w:r>
          </w:p>
        </w:tc>
        <w:tc>
          <w:tcPr>
            <w:tcW w:w="582" w:type="pct"/>
          </w:tcPr>
          <w:p w14:paraId="6763003E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 xml:space="preserve">Cumulative </w:t>
            </w:r>
          </w:p>
        </w:tc>
        <w:tc>
          <w:tcPr>
            <w:tcW w:w="580" w:type="pct"/>
            <w:gridSpan w:val="2"/>
          </w:tcPr>
          <w:p w14:paraId="5C0D2988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 xml:space="preserve">Annual </w:t>
            </w:r>
          </w:p>
        </w:tc>
        <w:tc>
          <w:tcPr>
            <w:tcW w:w="581" w:type="pct"/>
          </w:tcPr>
          <w:p w14:paraId="7FFF2C88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 xml:space="preserve">Cumulative </w:t>
            </w:r>
          </w:p>
        </w:tc>
      </w:tr>
      <w:tr w:rsidR="009F007B" w14:paraId="4C3035E6" w14:textId="77777777" w:rsidTr="009F007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1F10378F" w14:textId="77777777" w:rsidR="009F007B" w:rsidRPr="001873CA" w:rsidRDefault="009F007B" w:rsidP="00704ECA">
            <w:pPr>
              <w:pStyle w:val="Paragraph"/>
              <w:spacing w:after="12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Field Unit Input</w:t>
            </w:r>
          </w:p>
        </w:tc>
      </w:tr>
      <w:tr w:rsidR="009F007B" w14:paraId="2F95EA83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7090A74C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Natural Gas (Bcf)</w:t>
            </w:r>
          </w:p>
        </w:tc>
        <w:tc>
          <w:tcPr>
            <w:tcW w:w="580" w:type="pct"/>
          </w:tcPr>
          <w:p w14:paraId="786EFA47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548476BE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78CC4816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4FF677DE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3D614D80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58E6F6C6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  <w:tr w:rsidR="009F007B" w14:paraId="6035BF37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2552829A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Natural Gas Liquids (MMBbl)</w:t>
            </w:r>
          </w:p>
        </w:tc>
        <w:tc>
          <w:tcPr>
            <w:tcW w:w="580" w:type="pct"/>
          </w:tcPr>
          <w:p w14:paraId="69690DB5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7E3FC8B1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70033CBD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473E040A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312DC455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43D1BC68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  <w:tr w:rsidR="009F007B" w14:paraId="52D601B7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08F58E3B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Condensate (MMBbl)</w:t>
            </w:r>
          </w:p>
        </w:tc>
        <w:tc>
          <w:tcPr>
            <w:tcW w:w="580" w:type="pct"/>
          </w:tcPr>
          <w:p w14:paraId="4F5E1A77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682A2770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3437D638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5D21F6B6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7B02922F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2CAF0EC2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  <w:tr w:rsidR="009F007B" w14:paraId="3B3EA5E4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770CB021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Oil (MMBbl)</w:t>
            </w:r>
          </w:p>
        </w:tc>
        <w:tc>
          <w:tcPr>
            <w:tcW w:w="580" w:type="pct"/>
          </w:tcPr>
          <w:p w14:paraId="3CCDDC59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408B0DA3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3196EEBF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0651E8A3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0F566120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7FD8CD08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  <w:tr w:rsidR="009F007B" w14:paraId="7616A6A0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6D6EEA93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Other (MMBbl, e.g. water,)</w:t>
            </w:r>
          </w:p>
        </w:tc>
        <w:tc>
          <w:tcPr>
            <w:tcW w:w="580" w:type="pct"/>
          </w:tcPr>
          <w:p w14:paraId="532A05EF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0E327778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411E01AC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3732FD79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3A32EA91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4E5D8DD3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  <w:tr w:rsidR="009F007B" w14:paraId="3BCFF4BC" w14:textId="77777777" w:rsidTr="009F007B">
        <w:trPr>
          <w:trHeight w:val="287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5E033332" w14:textId="77777777" w:rsidR="009F007B" w:rsidRPr="001873CA" w:rsidRDefault="009F007B" w:rsidP="00704ECA">
            <w:pPr>
              <w:pStyle w:val="Paragraph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 xml:space="preserve">SI Unit </w:t>
            </w:r>
          </w:p>
        </w:tc>
      </w:tr>
      <w:tr w:rsidR="009F007B" w14:paraId="32D07DB4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33EC9588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Natural Gas (</w:t>
            </w:r>
            <w:r w:rsidRPr="007F6A6F">
              <w:rPr>
                <w:rFonts w:asciiTheme="minorHAnsi" w:hAnsiTheme="minorHAnsi"/>
                <w:noProof/>
                <w:sz w:val="18"/>
                <w:szCs w:val="18"/>
              </w:rPr>
              <w:t>10</w:t>
            </w:r>
            <w:r w:rsidRPr="007F6A6F">
              <w:rPr>
                <w:rFonts w:asciiTheme="minorHAnsi" w:hAnsiTheme="minorHAnsi"/>
                <w:noProof/>
                <w:sz w:val="18"/>
                <w:szCs w:val="18"/>
                <w:vertAlign w:val="superscript"/>
              </w:rPr>
              <w:t>9</w:t>
            </w:r>
            <w:r w:rsidRPr="007F6A6F">
              <w:rPr>
                <w:rFonts w:asciiTheme="minorHAnsi" w:hAnsiTheme="minorHAnsi"/>
                <w:noProof/>
                <w:sz w:val="18"/>
                <w:szCs w:val="18"/>
              </w:rPr>
              <w:t xml:space="preserve"> m</w:t>
            </w:r>
            <w:r w:rsidRPr="007F6A6F">
              <w:rPr>
                <w:rFonts w:asciiTheme="minorHAnsi" w:hAnsiTheme="minorHAnsi"/>
                <w:noProof/>
                <w:sz w:val="18"/>
                <w:szCs w:val="18"/>
                <w:vertAlign w:val="superscript"/>
              </w:rPr>
              <w:t>3</w:t>
            </w: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580" w:type="pct"/>
          </w:tcPr>
          <w:p w14:paraId="163155F4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7DBB396B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1296BE87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3C17EFE0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7D5A2C01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07571515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  <w:tr w:rsidR="009F007B" w14:paraId="13FF4D93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03732947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Natural Gas Liquids (GL)</w:t>
            </w:r>
          </w:p>
        </w:tc>
        <w:tc>
          <w:tcPr>
            <w:tcW w:w="580" w:type="pct"/>
          </w:tcPr>
          <w:p w14:paraId="740335D2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3A34BFDC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14B13D75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6E8F5F82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0D4FEC4D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4E28F301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  <w:tr w:rsidR="009F007B" w14:paraId="099C78B0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444FBC92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Condensate (GL)</w:t>
            </w:r>
          </w:p>
        </w:tc>
        <w:tc>
          <w:tcPr>
            <w:tcW w:w="580" w:type="pct"/>
          </w:tcPr>
          <w:p w14:paraId="42020169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61FCE0D9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3D4ADE84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7C474730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55830974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1F0E7B4A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  <w:tr w:rsidR="009F007B" w14:paraId="002F0341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52CEB142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Oil (GL)</w:t>
            </w:r>
          </w:p>
        </w:tc>
        <w:tc>
          <w:tcPr>
            <w:tcW w:w="580" w:type="pct"/>
          </w:tcPr>
          <w:p w14:paraId="5E730917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7E30A892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2BBFD47D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7947852A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47CCA095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10394594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  <w:tr w:rsidR="009F007B" w14:paraId="07065BFF" w14:textId="77777777" w:rsidTr="009F007B">
        <w:trPr>
          <w:gridAfter w:val="1"/>
          <w:wAfter w:w="5" w:type="pct"/>
        </w:trPr>
        <w:tc>
          <w:tcPr>
            <w:tcW w:w="1512" w:type="pct"/>
          </w:tcPr>
          <w:p w14:paraId="269C88D7" w14:textId="77777777" w:rsidR="009F007B" w:rsidRPr="001873CA" w:rsidRDefault="009F007B" w:rsidP="00704ECA">
            <w:pPr>
              <w:pStyle w:val="Paragraph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1873CA">
              <w:rPr>
                <w:rFonts w:asciiTheme="minorHAnsi" w:hAnsiTheme="minorHAnsi"/>
                <w:noProof/>
                <w:sz w:val="18"/>
                <w:szCs w:val="18"/>
              </w:rPr>
              <w:t>Other (GL, e.g. water)</w:t>
            </w:r>
          </w:p>
        </w:tc>
        <w:tc>
          <w:tcPr>
            <w:tcW w:w="580" w:type="pct"/>
          </w:tcPr>
          <w:p w14:paraId="5E3A6ABC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021D933B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</w:tcPr>
          <w:p w14:paraId="43A5E53F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</w:tcPr>
          <w:p w14:paraId="4E587F2D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0" w:type="pct"/>
            <w:gridSpan w:val="2"/>
          </w:tcPr>
          <w:p w14:paraId="3413B14C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581" w:type="pct"/>
          </w:tcPr>
          <w:p w14:paraId="7285832D" w14:textId="77777777" w:rsidR="009F007B" w:rsidRPr="001873CA" w:rsidRDefault="009F007B" w:rsidP="00704ECA">
            <w:pPr>
              <w:rPr>
                <w:rFonts w:eastAsia="Times New Roman" w:cs="Times New Roman"/>
                <w:noProof/>
                <w:sz w:val="18"/>
                <w:szCs w:val="18"/>
                <w:lang w:eastAsia="en-AU"/>
              </w:rPr>
            </w:pPr>
          </w:p>
        </w:tc>
      </w:tr>
    </w:tbl>
    <w:p w14:paraId="1A0408DA" w14:textId="77777777" w:rsidR="009F007B" w:rsidRPr="007F6A6F" w:rsidRDefault="009F007B" w:rsidP="009F007B">
      <w:pPr>
        <w:spacing w:after="0"/>
        <w:ind w:left="1560"/>
        <w:rPr>
          <w:sz w:val="18"/>
          <w:szCs w:val="18"/>
        </w:rPr>
      </w:pPr>
      <w:r w:rsidRPr="007F6A6F">
        <w:rPr>
          <w:i/>
          <w:sz w:val="18"/>
          <w:szCs w:val="18"/>
        </w:rPr>
        <w:t xml:space="preserve">Note – </w:t>
      </w:r>
      <w:r w:rsidRPr="007F6A6F">
        <w:rPr>
          <w:sz w:val="18"/>
          <w:szCs w:val="18"/>
        </w:rPr>
        <w:t xml:space="preserve">Volumes reported at Standard </w:t>
      </w:r>
      <w:r w:rsidRPr="002E3DA0">
        <w:rPr>
          <w:sz w:val="18"/>
          <w:szCs w:val="18"/>
        </w:rPr>
        <w:t>Conditions, 60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° F (15.56</m:t>
        </m:r>
      </m:oMath>
      <w:r w:rsidRPr="002E3DA0">
        <w:rPr>
          <w:sz w:val="18"/>
          <w:szCs w:val="18"/>
        </w:rPr>
        <w:t>° C) and</w:t>
      </w:r>
      <w:r w:rsidRPr="007F6A6F">
        <w:rPr>
          <w:sz w:val="18"/>
          <w:szCs w:val="18"/>
        </w:rPr>
        <w:t xml:space="preserve"> 1 atm (101.325 kPa); 1 cf = 0.02831685 m</w:t>
      </w:r>
      <w:r w:rsidRPr="007F6A6F">
        <w:rPr>
          <w:sz w:val="18"/>
          <w:szCs w:val="18"/>
          <w:vertAlign w:val="superscript"/>
        </w:rPr>
        <w:t>3</w:t>
      </w:r>
      <w:r w:rsidRPr="007F6A6F">
        <w:rPr>
          <w:sz w:val="18"/>
          <w:szCs w:val="18"/>
        </w:rPr>
        <w:t xml:space="preserve">; </w:t>
      </w:r>
    </w:p>
    <w:p w14:paraId="27D4440D" w14:textId="77777777" w:rsidR="009F007B" w:rsidRPr="007F6A6F" w:rsidRDefault="009F007B" w:rsidP="009F007B">
      <w:pPr>
        <w:spacing w:after="0"/>
        <w:ind w:left="1560"/>
        <w:rPr>
          <w:sz w:val="18"/>
          <w:szCs w:val="18"/>
        </w:rPr>
      </w:pPr>
      <w:r w:rsidRPr="007F6A6F">
        <w:rPr>
          <w:sz w:val="18"/>
          <w:szCs w:val="18"/>
        </w:rPr>
        <w:t>1 MMBbl = 0.1589873 GL</w:t>
      </w:r>
    </w:p>
    <w:p w14:paraId="15436AB0" w14:textId="0FB99F54" w:rsidR="009F007B" w:rsidRPr="00BD35D5" w:rsidRDefault="009F007B" w:rsidP="009F007B">
      <w:pPr>
        <w:spacing w:after="0"/>
        <w:ind w:left="1560"/>
        <w:rPr>
          <w:i/>
          <w:sz w:val="18"/>
          <w:szCs w:val="18"/>
        </w:rPr>
      </w:pPr>
      <w:r w:rsidRPr="00BD35D5">
        <w:rPr>
          <w:i/>
          <w:sz w:val="18"/>
          <w:szCs w:val="18"/>
        </w:rPr>
        <w:t xml:space="preserve">* </w:t>
      </w:r>
      <w:r w:rsidRPr="00BD35D5">
        <w:rPr>
          <w:sz w:val="18"/>
          <w:szCs w:val="18"/>
        </w:rPr>
        <w:t>e.g. Sales gas, ex onshore gas plant, LNG f.o.b; stabilised condensate; ideal split C4-, C5+</w:t>
      </w:r>
      <w:r w:rsidR="00A679D6">
        <w:rPr>
          <w:sz w:val="18"/>
          <w:szCs w:val="18"/>
        </w:rPr>
        <w:t xml:space="preserve">. </w:t>
      </w:r>
      <w:r w:rsidR="00A679D6" w:rsidRPr="00D52BE9">
        <w:rPr>
          <w:i/>
          <w:sz w:val="18"/>
          <w:szCs w:val="18"/>
        </w:rPr>
        <w:t>Natural Gas Liquids are only reported if extracted</w:t>
      </w:r>
      <w:r w:rsidR="00A679D6">
        <w:rPr>
          <w:i/>
          <w:sz w:val="18"/>
          <w:szCs w:val="18"/>
        </w:rPr>
        <w:t>.</w:t>
      </w:r>
    </w:p>
    <w:p w14:paraId="56608BBF" w14:textId="77777777" w:rsidR="009F007B" w:rsidRDefault="009F007B" w:rsidP="009F007B">
      <w:pPr>
        <w:spacing w:after="0"/>
        <w:ind w:left="-113"/>
        <w:rPr>
          <w:sz w:val="20"/>
          <w:szCs w:val="20"/>
        </w:rPr>
      </w:pPr>
    </w:p>
    <w:p w14:paraId="77313D34" w14:textId="77777777" w:rsidR="00F23BF0" w:rsidRDefault="00F23BF0" w:rsidP="009F007B">
      <w:pPr>
        <w:spacing w:after="0"/>
        <w:ind w:left="-113"/>
        <w:rPr>
          <w:sz w:val="20"/>
          <w:szCs w:val="20"/>
        </w:rPr>
      </w:pPr>
    </w:p>
    <w:p w14:paraId="3705E7F5" w14:textId="77777777" w:rsidR="00F23BF0" w:rsidRDefault="00F23BF0" w:rsidP="009F007B">
      <w:pPr>
        <w:spacing w:after="0"/>
        <w:ind w:left="-113"/>
        <w:rPr>
          <w:sz w:val="20"/>
          <w:szCs w:val="20"/>
        </w:rPr>
      </w:pPr>
    </w:p>
    <w:p w14:paraId="2955A937" w14:textId="77777777" w:rsidR="007B6699" w:rsidRDefault="007B6699" w:rsidP="009F007B">
      <w:pPr>
        <w:spacing w:after="0"/>
        <w:rPr>
          <w:b/>
        </w:rPr>
      </w:pPr>
    </w:p>
    <w:p w14:paraId="56497BD8" w14:textId="77777777" w:rsidR="007B6699" w:rsidRDefault="007B6699" w:rsidP="009F007B">
      <w:pPr>
        <w:spacing w:after="0"/>
        <w:rPr>
          <w:b/>
        </w:rPr>
      </w:pPr>
    </w:p>
    <w:p w14:paraId="5C20F7A4" w14:textId="77777777" w:rsidR="007B6699" w:rsidRDefault="007B6699" w:rsidP="009F007B">
      <w:pPr>
        <w:spacing w:after="0"/>
        <w:rPr>
          <w:b/>
        </w:rPr>
      </w:pPr>
    </w:p>
    <w:p w14:paraId="3F074927" w14:textId="25B1DB80" w:rsidR="009F007B" w:rsidRPr="00E72878" w:rsidRDefault="009F007B" w:rsidP="000471A8">
      <w:pPr>
        <w:pStyle w:val="Heading2"/>
      </w:pPr>
      <w:r w:rsidRPr="00E72878">
        <w:lastRenderedPageBreak/>
        <w:t>Future Production Forecast (for the life of field)</w:t>
      </w:r>
    </w:p>
    <w:p w14:paraId="2ED8557D" w14:textId="77777777" w:rsidR="00864E6A" w:rsidRDefault="009F007B" w:rsidP="00864E6A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Tables should be provided for each pool where appropriate.</w:t>
      </w:r>
      <w:r w:rsidR="00300769">
        <w:rPr>
          <w:sz w:val="20"/>
          <w:szCs w:val="20"/>
        </w:rPr>
        <w:t xml:space="preserve"> </w:t>
      </w:r>
      <w:r w:rsidR="00300769" w:rsidRPr="007B6699">
        <w:rPr>
          <w:sz w:val="20"/>
          <w:szCs w:val="20"/>
        </w:rPr>
        <w:t>An excel spreadsheet which converts field to SI units is available at www.nopta.gov.au and can accompany the submitted ATAR.</w:t>
      </w:r>
      <w:r w:rsidR="00864E6A">
        <w:rPr>
          <w:sz w:val="20"/>
          <w:szCs w:val="20"/>
        </w:rPr>
        <w:t xml:space="preserve"> Production forecast should cover the expected life of the field.</w:t>
      </w:r>
    </w:p>
    <w:p w14:paraId="6F08B66E" w14:textId="77777777" w:rsidR="009A6218" w:rsidRDefault="009A6218" w:rsidP="00B53614">
      <w:pPr>
        <w:spacing w:after="0"/>
        <w:ind w:left="1560"/>
        <w:rPr>
          <w:sz w:val="20"/>
          <w:szCs w:val="20"/>
        </w:rPr>
      </w:pPr>
    </w:p>
    <w:p w14:paraId="2ADFD7A1" w14:textId="48B0ACC1" w:rsidR="009A6218" w:rsidRDefault="009A6218" w:rsidP="00B53614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Project Name:</w:t>
      </w:r>
    </w:p>
    <w:p w14:paraId="3C4B8868" w14:textId="3CE056DC" w:rsidR="009A6218" w:rsidRDefault="009A6218" w:rsidP="00B53614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Field Name:</w:t>
      </w:r>
    </w:p>
    <w:p w14:paraId="48A92E7D" w14:textId="0570FB3C" w:rsidR="009A6218" w:rsidRDefault="009A6218" w:rsidP="00B53614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Pool Name:</w:t>
      </w:r>
    </w:p>
    <w:p w14:paraId="33FBB8DC" w14:textId="3450FD8B" w:rsidR="001901A5" w:rsidRDefault="001901A5" w:rsidP="00B53614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Reservoir Name (if different to pool name):</w:t>
      </w:r>
    </w:p>
    <w:p w14:paraId="49DF0363" w14:textId="0B91D259" w:rsidR="009A6218" w:rsidRDefault="009A6218" w:rsidP="00B53614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Reference Date:</w:t>
      </w:r>
    </w:p>
    <w:p w14:paraId="318E31A0" w14:textId="5E6E6FA7" w:rsidR="00300769" w:rsidRDefault="00300769" w:rsidP="00B53614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Reference Point*:</w:t>
      </w:r>
    </w:p>
    <w:p w14:paraId="73054EF0" w14:textId="77777777" w:rsidR="009A6218" w:rsidRDefault="009A6218" w:rsidP="00B53614">
      <w:pPr>
        <w:spacing w:after="0"/>
        <w:ind w:left="1560"/>
        <w:rPr>
          <w:sz w:val="20"/>
          <w:szCs w:val="20"/>
        </w:rPr>
      </w:pPr>
    </w:p>
    <w:p w14:paraId="5A62E0F2" w14:textId="2161C57E" w:rsidR="009A6218" w:rsidRPr="008307FE" w:rsidRDefault="009A6218" w:rsidP="00B53614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Production Forecast in Field Units</w:t>
      </w:r>
    </w:p>
    <w:tbl>
      <w:tblPr>
        <w:tblStyle w:val="TableGrid"/>
        <w:tblW w:w="4400" w:type="pct"/>
        <w:tblInd w:w="1559" w:type="dxa"/>
        <w:tblLook w:val="04A0" w:firstRow="1" w:lastRow="0" w:firstColumn="1" w:lastColumn="0" w:noHBand="0" w:noVBand="1"/>
        <w:tblCaption w:val="Production Forecast in Field Units"/>
      </w:tblPr>
      <w:tblGrid>
        <w:gridCol w:w="2791"/>
        <w:gridCol w:w="1017"/>
        <w:gridCol w:w="1016"/>
        <w:gridCol w:w="1014"/>
        <w:gridCol w:w="1016"/>
        <w:gridCol w:w="1016"/>
        <w:gridCol w:w="1014"/>
        <w:gridCol w:w="1016"/>
        <w:gridCol w:w="1016"/>
        <w:gridCol w:w="1014"/>
        <w:gridCol w:w="1016"/>
        <w:gridCol w:w="1016"/>
      </w:tblGrid>
      <w:tr w:rsidR="009F007B" w:rsidRPr="00766C3F" w14:paraId="3496AB9C" w14:textId="77777777" w:rsidTr="009F007B">
        <w:trPr>
          <w:trHeight w:val="397"/>
        </w:trPr>
        <w:tc>
          <w:tcPr>
            <w:tcW w:w="999" w:type="pct"/>
          </w:tcPr>
          <w:p w14:paraId="0BA79BFD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817F1A2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099D9A96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3" w:type="pct"/>
          </w:tcPr>
          <w:p w14:paraId="7E4031F2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7FC91FB9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61D30480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3" w:type="pct"/>
          </w:tcPr>
          <w:p w14:paraId="77608BEC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4DE4CC61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5D817197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3" w:type="pct"/>
          </w:tcPr>
          <w:p w14:paraId="49EF8B37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05BCA343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30CFF27E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</w:tr>
      <w:tr w:rsidR="009F007B" w:rsidRPr="00766C3F" w14:paraId="6BD21836" w14:textId="77777777" w:rsidTr="009F007B">
        <w:trPr>
          <w:trHeight w:val="397"/>
        </w:trPr>
        <w:tc>
          <w:tcPr>
            <w:tcW w:w="999" w:type="pct"/>
          </w:tcPr>
          <w:p w14:paraId="13423F5D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 xml:space="preserve">Natural Gas (Bcf) </w:t>
            </w:r>
          </w:p>
        </w:tc>
        <w:tc>
          <w:tcPr>
            <w:tcW w:w="364" w:type="pct"/>
          </w:tcPr>
          <w:p w14:paraId="6F859565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2C12FE3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7856FC64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C1D7BF1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228B0E1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7E1689E4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41B4EE15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51E7804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0CEF09DF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495A7060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2D95EDD7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F007B" w:rsidRPr="00766C3F" w14:paraId="7A3319EF" w14:textId="77777777" w:rsidTr="009F007B">
        <w:trPr>
          <w:trHeight w:val="397"/>
        </w:trPr>
        <w:tc>
          <w:tcPr>
            <w:tcW w:w="999" w:type="pct"/>
          </w:tcPr>
          <w:p w14:paraId="75F7B7EA" w14:textId="08A2FD98" w:rsidR="009F007B" w:rsidRPr="00480A9E" w:rsidRDefault="00300769" w:rsidP="009A6218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 xml:space="preserve"> Natural Gas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Liquids</w:t>
            </w: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MMBbl)</w:t>
            </w:r>
          </w:p>
        </w:tc>
        <w:tc>
          <w:tcPr>
            <w:tcW w:w="364" w:type="pct"/>
          </w:tcPr>
          <w:p w14:paraId="3B578637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27C4CFB6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446149E4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635C8253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6F008377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01C059DB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4B43D025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0394EE05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037BE061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425BA34F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094DEC5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F007B" w:rsidRPr="00766C3F" w14:paraId="68012BE3" w14:textId="77777777" w:rsidTr="009F007B">
        <w:trPr>
          <w:trHeight w:val="397"/>
        </w:trPr>
        <w:tc>
          <w:tcPr>
            <w:tcW w:w="999" w:type="pct"/>
          </w:tcPr>
          <w:p w14:paraId="1576D505" w14:textId="6FE777B3" w:rsidR="009F007B" w:rsidRPr="00480A9E" w:rsidRDefault="009A6218" w:rsidP="00704ECA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Condensate (MMBbl)</w:t>
            </w:r>
          </w:p>
        </w:tc>
        <w:tc>
          <w:tcPr>
            <w:tcW w:w="364" w:type="pct"/>
          </w:tcPr>
          <w:p w14:paraId="0AD6E993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1CB6E30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244F13B6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08B3F2BB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A739997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3FD835C2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64932FB6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D9A49F5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23142AFA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7C16CBF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275B082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F007B" w:rsidRPr="00766C3F" w14:paraId="0CF6A8EB" w14:textId="77777777" w:rsidTr="009F007B">
        <w:trPr>
          <w:trHeight w:val="397"/>
        </w:trPr>
        <w:tc>
          <w:tcPr>
            <w:tcW w:w="999" w:type="pct"/>
          </w:tcPr>
          <w:p w14:paraId="0FFD9A4E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Oil (MMBbl)</w:t>
            </w:r>
          </w:p>
        </w:tc>
        <w:tc>
          <w:tcPr>
            <w:tcW w:w="364" w:type="pct"/>
          </w:tcPr>
          <w:p w14:paraId="0F1558F6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410298CE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1BACDC99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197912E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EA96302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034820A4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0118F00D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4BDC63E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6F6B06BD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7EE85FE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14975723" w14:textId="77777777" w:rsidR="009F007B" w:rsidRPr="00480A9E" w:rsidRDefault="009F007B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6DBAF29F" w14:textId="77777777" w:rsidR="009F007B" w:rsidRDefault="009F007B" w:rsidP="009F007B">
      <w:pPr>
        <w:spacing w:after="0"/>
        <w:rPr>
          <w:b/>
        </w:rPr>
      </w:pPr>
    </w:p>
    <w:p w14:paraId="0544BB86" w14:textId="380C1DAB" w:rsidR="009A6218" w:rsidRPr="008307FE" w:rsidRDefault="009A6218" w:rsidP="009A6218">
      <w:pPr>
        <w:spacing w:after="0"/>
        <w:ind w:left="1560"/>
        <w:rPr>
          <w:sz w:val="20"/>
          <w:szCs w:val="20"/>
        </w:rPr>
      </w:pPr>
      <w:r>
        <w:rPr>
          <w:sz w:val="20"/>
          <w:szCs w:val="20"/>
        </w:rPr>
        <w:t>Production Forecast in SI Units</w:t>
      </w:r>
    </w:p>
    <w:tbl>
      <w:tblPr>
        <w:tblStyle w:val="TableGrid"/>
        <w:tblW w:w="4400" w:type="pct"/>
        <w:tblInd w:w="1559" w:type="dxa"/>
        <w:tblLook w:val="04A0" w:firstRow="1" w:lastRow="0" w:firstColumn="1" w:lastColumn="0" w:noHBand="0" w:noVBand="1"/>
        <w:tblCaption w:val="Production Forecast in SI Units"/>
      </w:tblPr>
      <w:tblGrid>
        <w:gridCol w:w="2785"/>
        <w:gridCol w:w="1017"/>
        <w:gridCol w:w="1017"/>
        <w:gridCol w:w="1015"/>
        <w:gridCol w:w="1017"/>
        <w:gridCol w:w="1017"/>
        <w:gridCol w:w="1015"/>
        <w:gridCol w:w="1017"/>
        <w:gridCol w:w="1016"/>
        <w:gridCol w:w="1014"/>
        <w:gridCol w:w="1016"/>
        <w:gridCol w:w="1016"/>
      </w:tblGrid>
      <w:tr w:rsidR="009A6218" w:rsidRPr="00766C3F" w14:paraId="4CA9CB7B" w14:textId="77777777" w:rsidTr="00300769">
        <w:trPr>
          <w:trHeight w:val="397"/>
        </w:trPr>
        <w:tc>
          <w:tcPr>
            <w:tcW w:w="997" w:type="pct"/>
          </w:tcPr>
          <w:p w14:paraId="38DAB0F0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8C2B5F0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20CA8E5B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3" w:type="pct"/>
          </w:tcPr>
          <w:p w14:paraId="15C40E8E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1D6F1ABB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4A6133CD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3" w:type="pct"/>
          </w:tcPr>
          <w:p w14:paraId="0E0D1E56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28517B12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58EB335C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3" w:type="pct"/>
          </w:tcPr>
          <w:p w14:paraId="521E37BF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6C4D86BB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  <w:tc>
          <w:tcPr>
            <w:tcW w:w="364" w:type="pct"/>
          </w:tcPr>
          <w:p w14:paraId="7536A6CC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Year</w:t>
            </w:r>
          </w:p>
        </w:tc>
      </w:tr>
      <w:tr w:rsidR="009A6218" w:rsidRPr="00766C3F" w14:paraId="445EA007" w14:textId="77777777" w:rsidTr="00300769">
        <w:trPr>
          <w:trHeight w:val="397"/>
        </w:trPr>
        <w:tc>
          <w:tcPr>
            <w:tcW w:w="997" w:type="pct"/>
          </w:tcPr>
          <w:p w14:paraId="28F012C3" w14:textId="2552CABF" w:rsidR="009A6218" w:rsidRPr="00480A9E" w:rsidRDefault="00300769" w:rsidP="00704ECA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Natural Gas (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10</w:t>
            </w:r>
            <w:r w:rsidRPr="006B41DA">
              <w:rPr>
                <w:rFonts w:asciiTheme="minorHAnsi" w:hAnsiTheme="minorHAnsi"/>
                <w:noProof/>
                <w:sz w:val="18"/>
                <w:szCs w:val="18"/>
                <w:vertAlign w:val="superscript"/>
              </w:rPr>
              <w:t>9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m</w:t>
            </w:r>
            <w:r w:rsidRPr="00480A9E">
              <w:rPr>
                <w:rFonts w:asciiTheme="minorHAnsi" w:hAnsiTheme="minorHAnsi"/>
                <w:noProof/>
                <w:sz w:val="18"/>
                <w:szCs w:val="18"/>
                <w:vertAlign w:val="superscript"/>
              </w:rPr>
              <w:t>3</w:t>
            </w: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)</w:t>
            </w:r>
          </w:p>
        </w:tc>
        <w:tc>
          <w:tcPr>
            <w:tcW w:w="364" w:type="pct"/>
          </w:tcPr>
          <w:p w14:paraId="1D0C9DF5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08146EB0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12E70FA3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454F8E72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18188807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00273B81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C2277DC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15D355F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7FD56EE0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A0B80C2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66577634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A6218" w:rsidRPr="00766C3F" w14:paraId="33A512D2" w14:textId="77777777" w:rsidTr="00300769">
        <w:trPr>
          <w:trHeight w:val="397"/>
        </w:trPr>
        <w:tc>
          <w:tcPr>
            <w:tcW w:w="997" w:type="pct"/>
          </w:tcPr>
          <w:p w14:paraId="7D2DFF09" w14:textId="59B3EF0E" w:rsidR="009A6218" w:rsidRPr="00480A9E" w:rsidRDefault="00300769" w:rsidP="00300769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Natural Gas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Liquids</w:t>
            </w: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GL)</w:t>
            </w:r>
          </w:p>
        </w:tc>
        <w:tc>
          <w:tcPr>
            <w:tcW w:w="364" w:type="pct"/>
          </w:tcPr>
          <w:p w14:paraId="689DFBF2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0FD7608A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549F37A4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B26808A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0F1E38E7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1579B8AF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9AEBEFA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FE17FDF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48F35C03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B1DBC4D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ECDAE4F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A6218" w:rsidRPr="00766C3F" w14:paraId="2FFEAE9B" w14:textId="77777777" w:rsidTr="00300769">
        <w:trPr>
          <w:trHeight w:val="397"/>
        </w:trPr>
        <w:tc>
          <w:tcPr>
            <w:tcW w:w="997" w:type="pct"/>
          </w:tcPr>
          <w:p w14:paraId="5ECFE185" w14:textId="3F6BF973" w:rsidR="009A6218" w:rsidRPr="00480A9E" w:rsidRDefault="00300769" w:rsidP="00300769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Condensate (GL)</w:t>
            </w:r>
          </w:p>
        </w:tc>
        <w:tc>
          <w:tcPr>
            <w:tcW w:w="364" w:type="pct"/>
          </w:tcPr>
          <w:p w14:paraId="680BA659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21F987EA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7CDFDED7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3374DF35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25A3CCE5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17F84276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2A1A7778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465FED3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67EDC263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274732B9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171A61E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  <w:tr w:rsidR="009A6218" w:rsidRPr="00766C3F" w14:paraId="5D41FE40" w14:textId="77777777" w:rsidTr="00300769">
        <w:trPr>
          <w:trHeight w:val="397"/>
        </w:trPr>
        <w:tc>
          <w:tcPr>
            <w:tcW w:w="997" w:type="pct"/>
          </w:tcPr>
          <w:p w14:paraId="587D44C0" w14:textId="77842016" w:rsidR="009A6218" w:rsidRPr="00480A9E" w:rsidRDefault="00300769" w:rsidP="00704ECA">
            <w:pPr>
              <w:pStyle w:val="Paragraph"/>
              <w:spacing w:before="0"/>
              <w:ind w:left="0" w:firstLine="0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480A9E">
              <w:rPr>
                <w:rFonts w:asciiTheme="minorHAnsi" w:hAnsiTheme="minorHAnsi"/>
                <w:noProof/>
                <w:sz w:val="18"/>
                <w:szCs w:val="18"/>
              </w:rPr>
              <w:t>Oil (GL)</w:t>
            </w:r>
          </w:p>
        </w:tc>
        <w:tc>
          <w:tcPr>
            <w:tcW w:w="364" w:type="pct"/>
          </w:tcPr>
          <w:p w14:paraId="58C36EC9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C7E0A95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6A68CFBE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1F68F27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7ADEB0EB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4C361AD6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2B05A22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27EB4C0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3" w:type="pct"/>
          </w:tcPr>
          <w:p w14:paraId="61E900E4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42D40E2F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364" w:type="pct"/>
          </w:tcPr>
          <w:p w14:paraId="5C30F55E" w14:textId="77777777" w:rsidR="009A6218" w:rsidRPr="00480A9E" w:rsidRDefault="009A6218" w:rsidP="00704ECA">
            <w:pPr>
              <w:pStyle w:val="Paragraph"/>
              <w:spacing w:before="0"/>
              <w:ind w:left="0" w:firstLine="0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146F2156" w14:textId="77777777" w:rsidR="00300769" w:rsidRPr="007F6A6F" w:rsidRDefault="00300769" w:rsidP="00300769">
      <w:pPr>
        <w:spacing w:after="0"/>
        <w:ind w:left="1560"/>
        <w:rPr>
          <w:sz w:val="18"/>
          <w:szCs w:val="18"/>
        </w:rPr>
      </w:pPr>
      <w:r w:rsidRPr="007F6A6F">
        <w:rPr>
          <w:i/>
          <w:sz w:val="18"/>
          <w:szCs w:val="18"/>
        </w:rPr>
        <w:t xml:space="preserve">Note – </w:t>
      </w:r>
      <w:r w:rsidRPr="007F6A6F">
        <w:rPr>
          <w:sz w:val="18"/>
          <w:szCs w:val="18"/>
        </w:rPr>
        <w:t xml:space="preserve">Volumes reported at Standard </w:t>
      </w:r>
      <w:r w:rsidRPr="002E3DA0">
        <w:rPr>
          <w:sz w:val="18"/>
          <w:szCs w:val="18"/>
        </w:rPr>
        <w:t>Conditions, 60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° F (15.56</m:t>
        </m:r>
      </m:oMath>
      <w:r w:rsidRPr="002E3DA0">
        <w:rPr>
          <w:sz w:val="18"/>
          <w:szCs w:val="18"/>
        </w:rPr>
        <w:t>° C) and</w:t>
      </w:r>
      <w:r w:rsidRPr="007F6A6F">
        <w:rPr>
          <w:sz w:val="18"/>
          <w:szCs w:val="18"/>
        </w:rPr>
        <w:t xml:space="preserve"> 1 atm (101.325 kPa); 1 cf = 0.02831685 m</w:t>
      </w:r>
      <w:r w:rsidRPr="007F6A6F">
        <w:rPr>
          <w:sz w:val="18"/>
          <w:szCs w:val="18"/>
          <w:vertAlign w:val="superscript"/>
        </w:rPr>
        <w:t>3</w:t>
      </w:r>
      <w:r w:rsidRPr="007F6A6F">
        <w:rPr>
          <w:sz w:val="18"/>
          <w:szCs w:val="18"/>
        </w:rPr>
        <w:t xml:space="preserve">; </w:t>
      </w:r>
    </w:p>
    <w:p w14:paraId="065EA2DB" w14:textId="77777777" w:rsidR="00300769" w:rsidRPr="007F6A6F" w:rsidRDefault="00300769" w:rsidP="00300769">
      <w:pPr>
        <w:spacing w:after="0"/>
        <w:ind w:left="1560"/>
        <w:rPr>
          <w:sz w:val="18"/>
          <w:szCs w:val="18"/>
        </w:rPr>
      </w:pPr>
      <w:r w:rsidRPr="007F6A6F">
        <w:rPr>
          <w:sz w:val="18"/>
          <w:szCs w:val="18"/>
        </w:rPr>
        <w:t>1 MMBbl = 0.1589873 GL</w:t>
      </w:r>
    </w:p>
    <w:p w14:paraId="779A7164" w14:textId="77777777" w:rsidR="00300769" w:rsidRPr="00BD35D5" w:rsidRDefault="00300769" w:rsidP="00300769">
      <w:pPr>
        <w:spacing w:after="0"/>
        <w:ind w:left="1560"/>
        <w:rPr>
          <w:i/>
          <w:sz w:val="18"/>
          <w:szCs w:val="18"/>
        </w:rPr>
      </w:pPr>
      <w:r w:rsidRPr="00BD35D5">
        <w:rPr>
          <w:i/>
          <w:sz w:val="18"/>
          <w:szCs w:val="18"/>
        </w:rPr>
        <w:t xml:space="preserve">* </w:t>
      </w:r>
      <w:r w:rsidRPr="00BD35D5">
        <w:rPr>
          <w:sz w:val="18"/>
          <w:szCs w:val="18"/>
        </w:rPr>
        <w:t>e.g. Sales gas, ex onshore gas plant, LNG f.o.b; stabilised condensate; ideal split C4-, C5+</w:t>
      </w:r>
      <w:r>
        <w:rPr>
          <w:sz w:val="18"/>
          <w:szCs w:val="18"/>
        </w:rPr>
        <w:t xml:space="preserve">. </w:t>
      </w:r>
      <w:r w:rsidRPr="00D52BE9">
        <w:rPr>
          <w:i/>
          <w:sz w:val="18"/>
          <w:szCs w:val="18"/>
        </w:rPr>
        <w:t>Natural Gas Liquids are only reported if extracted</w:t>
      </w:r>
      <w:r>
        <w:rPr>
          <w:i/>
          <w:sz w:val="18"/>
          <w:szCs w:val="18"/>
        </w:rPr>
        <w:t>.</w:t>
      </w:r>
    </w:p>
    <w:p w14:paraId="47C3B4B1" w14:textId="77777777" w:rsidR="009A6218" w:rsidRDefault="009A6218" w:rsidP="009A6218">
      <w:pPr>
        <w:spacing w:after="0"/>
        <w:rPr>
          <w:b/>
        </w:rPr>
      </w:pPr>
    </w:p>
    <w:p w14:paraId="38BCCDBB" w14:textId="71A316C2" w:rsidR="009A6218" w:rsidRDefault="009A6218" w:rsidP="009A6218">
      <w:pPr>
        <w:spacing w:after="0"/>
        <w:rPr>
          <w:b/>
        </w:rPr>
      </w:pPr>
    </w:p>
    <w:p w14:paraId="3E2D5181" w14:textId="77777777" w:rsidR="009A6218" w:rsidRDefault="009A6218" w:rsidP="009F007B">
      <w:pPr>
        <w:spacing w:after="0"/>
        <w:rPr>
          <w:b/>
        </w:rPr>
      </w:pPr>
    </w:p>
    <w:p w14:paraId="2C566146" w14:textId="134F90CD" w:rsidR="00B53614" w:rsidRPr="000471A8" w:rsidRDefault="009F007B" w:rsidP="000471A8">
      <w:pPr>
        <w:pStyle w:val="Heading2"/>
      </w:pPr>
      <w:r w:rsidRPr="00A614C2">
        <w:lastRenderedPageBreak/>
        <w:t>Details of leads and prospects</w:t>
      </w:r>
    </w:p>
    <w:tbl>
      <w:tblPr>
        <w:tblStyle w:val="TableGrid"/>
        <w:tblW w:w="4551" w:type="pct"/>
        <w:tblInd w:w="1559" w:type="dxa"/>
        <w:tblLook w:val="04A0" w:firstRow="1" w:lastRow="0" w:firstColumn="1" w:lastColumn="0" w:noHBand="0" w:noVBand="1"/>
        <w:tblCaption w:val="Details of leads and prospects"/>
      </w:tblPr>
      <w:tblGrid>
        <w:gridCol w:w="1585"/>
        <w:gridCol w:w="1779"/>
        <w:gridCol w:w="1595"/>
        <w:gridCol w:w="1595"/>
        <w:gridCol w:w="1591"/>
        <w:gridCol w:w="1593"/>
        <w:gridCol w:w="4703"/>
      </w:tblGrid>
      <w:tr w:rsidR="00300769" w14:paraId="7DA7BB73" w14:textId="77777777" w:rsidTr="00F23BF0">
        <w:trPr>
          <w:trHeight w:val="318"/>
        </w:trPr>
        <w:tc>
          <w:tcPr>
            <w:tcW w:w="1585" w:type="dxa"/>
          </w:tcPr>
          <w:p w14:paraId="08DE8403" w14:textId="77777777" w:rsidR="00300769" w:rsidRPr="003B6C0A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Name of Prospect / Lead</w:t>
            </w:r>
          </w:p>
        </w:tc>
        <w:tc>
          <w:tcPr>
            <w:tcW w:w="1779" w:type="dxa"/>
          </w:tcPr>
          <w:p w14:paraId="4DBE5201" w14:textId="77777777" w:rsidR="00300769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Petroleum System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B7B28CD" w14:textId="3DD62BC0" w:rsidR="00300769" w:rsidRPr="003B6C0A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B6101">
              <w:rPr>
                <w:b/>
                <w:sz w:val="20"/>
                <w:szCs w:val="20"/>
              </w:rPr>
              <w:t xml:space="preserve">Target </w:t>
            </w:r>
            <w:r>
              <w:rPr>
                <w:b/>
                <w:sz w:val="20"/>
                <w:szCs w:val="20"/>
              </w:rPr>
              <w:t>Reservoir/Source</w:t>
            </w:r>
            <w:r w:rsidR="009B6101">
              <w:rPr>
                <w:b/>
                <w:sz w:val="20"/>
                <w:szCs w:val="20"/>
              </w:rPr>
              <w:t xml:space="preserve"> Rock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5" w:type="dxa"/>
          </w:tcPr>
          <w:p w14:paraId="5487A2F7" w14:textId="77777777" w:rsidR="00300769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Target Petroleum Type</w:t>
            </w:r>
          </w:p>
          <w:p w14:paraId="300230E6" w14:textId="43260233" w:rsidR="00300769" w:rsidRPr="003B6C0A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(Oil/Gas)</w:t>
            </w:r>
          </w:p>
        </w:tc>
        <w:tc>
          <w:tcPr>
            <w:tcW w:w="1595" w:type="dxa"/>
          </w:tcPr>
          <w:p w14:paraId="1ED925C7" w14:textId="555B70C6" w:rsidR="00300769" w:rsidRPr="003B6C0A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Trapping Mechanism</w:t>
            </w:r>
          </w:p>
        </w:tc>
        <w:tc>
          <w:tcPr>
            <w:tcW w:w="1591" w:type="dxa"/>
          </w:tcPr>
          <w:p w14:paraId="0B8B0CF3" w14:textId="77777777" w:rsidR="00300769" w:rsidRPr="003B6C0A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New (identified during the year) or Existing</w:t>
            </w:r>
          </w:p>
        </w:tc>
        <w:tc>
          <w:tcPr>
            <w:tcW w:w="1593" w:type="dxa"/>
          </w:tcPr>
          <w:p w14:paraId="707C8EF5" w14:textId="77777777" w:rsidR="00300769" w:rsidRPr="003B6C0A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Progressed During the Year (Y/N)</w:t>
            </w:r>
          </w:p>
        </w:tc>
        <w:tc>
          <w:tcPr>
            <w:tcW w:w="4703" w:type="dxa"/>
          </w:tcPr>
          <w:p w14:paraId="1149B18B" w14:textId="77777777" w:rsidR="00300769" w:rsidRPr="003B6C0A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Summary of progress in characterisation or understanding of lead/ prospect </w:t>
            </w:r>
          </w:p>
          <w:p w14:paraId="532CEDB3" w14:textId="77777777" w:rsidR="00300769" w:rsidRPr="003B6C0A" w:rsidRDefault="00300769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(e.g., new seismic, revised mapping, charge modelling, change to resource estimate, plans for drilling)</w:t>
            </w:r>
          </w:p>
        </w:tc>
      </w:tr>
      <w:tr w:rsidR="00300769" w14:paraId="7D980DE7" w14:textId="77777777" w:rsidTr="00F23BF0">
        <w:tc>
          <w:tcPr>
            <w:tcW w:w="1585" w:type="dxa"/>
          </w:tcPr>
          <w:p w14:paraId="26CF194C" w14:textId="7283BE3C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720A4F73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205D52A9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1096DCA0" w14:textId="5F1AC0A5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069AA4B2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5ACE779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793EE9B0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</w:tr>
      <w:tr w:rsidR="00300769" w14:paraId="755676C4" w14:textId="77777777" w:rsidTr="00F23BF0">
        <w:tc>
          <w:tcPr>
            <w:tcW w:w="1585" w:type="dxa"/>
          </w:tcPr>
          <w:p w14:paraId="4D5A589E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1E068F6D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1A0DC88C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7CB8FCE5" w14:textId="3738D345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5FCAD526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3600BAB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6BD56A28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</w:tr>
      <w:tr w:rsidR="00300769" w14:paraId="245D118D" w14:textId="77777777" w:rsidTr="00F23BF0">
        <w:tc>
          <w:tcPr>
            <w:tcW w:w="1585" w:type="dxa"/>
          </w:tcPr>
          <w:p w14:paraId="11172F52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14:paraId="417F28D7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52CE8E71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464EA7F5" w14:textId="1DD36B78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528E3267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34306F70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  <w:tc>
          <w:tcPr>
            <w:tcW w:w="4703" w:type="dxa"/>
          </w:tcPr>
          <w:p w14:paraId="652DAD45" w14:textId="77777777" w:rsidR="00300769" w:rsidRDefault="00300769" w:rsidP="00704ECA">
            <w:pPr>
              <w:rPr>
                <w:sz w:val="20"/>
                <w:szCs w:val="20"/>
              </w:rPr>
            </w:pPr>
          </w:p>
        </w:tc>
      </w:tr>
    </w:tbl>
    <w:p w14:paraId="5BDD9999" w14:textId="77777777" w:rsidR="00B51624" w:rsidRDefault="00B51624" w:rsidP="000471A8">
      <w:pPr>
        <w:spacing w:after="0"/>
        <w:rPr>
          <w:b/>
          <w:i/>
        </w:rPr>
      </w:pPr>
    </w:p>
    <w:p w14:paraId="41C23A17" w14:textId="6E72D413" w:rsidR="00B53614" w:rsidRPr="000471A8" w:rsidRDefault="00B53614" w:rsidP="000471A8">
      <w:pPr>
        <w:pStyle w:val="Heading3"/>
      </w:pPr>
      <w:r w:rsidRPr="000471A8">
        <w:t xml:space="preserve">Resources associated with key prospects </w:t>
      </w:r>
    </w:p>
    <w:tbl>
      <w:tblPr>
        <w:tblStyle w:val="TableGrid"/>
        <w:tblW w:w="4555" w:type="pct"/>
        <w:tblInd w:w="1559" w:type="dxa"/>
        <w:tblLayout w:type="fixed"/>
        <w:tblLook w:val="04A0" w:firstRow="1" w:lastRow="0" w:firstColumn="1" w:lastColumn="0" w:noHBand="0" w:noVBand="1"/>
        <w:tblCaption w:val="Resources associated with key prospects "/>
      </w:tblPr>
      <w:tblGrid>
        <w:gridCol w:w="1562"/>
        <w:gridCol w:w="1561"/>
        <w:gridCol w:w="1561"/>
        <w:gridCol w:w="1628"/>
        <w:gridCol w:w="1630"/>
        <w:gridCol w:w="1630"/>
        <w:gridCol w:w="1630"/>
        <w:gridCol w:w="1630"/>
        <w:gridCol w:w="1622"/>
      </w:tblGrid>
      <w:tr w:rsidR="00704ECA" w:rsidRPr="003B6C0A" w14:paraId="4AE76169" w14:textId="77777777" w:rsidTr="00B313E0">
        <w:trPr>
          <w:trHeight w:val="318"/>
        </w:trPr>
        <w:tc>
          <w:tcPr>
            <w:tcW w:w="540" w:type="pct"/>
            <w:vMerge w:val="restart"/>
          </w:tcPr>
          <w:p w14:paraId="533B5AE6" w14:textId="77777777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 xml:space="preserve">Name of Prospect </w:t>
            </w:r>
          </w:p>
        </w:tc>
        <w:tc>
          <w:tcPr>
            <w:tcW w:w="540" w:type="pct"/>
            <w:vMerge w:val="restart"/>
          </w:tcPr>
          <w:p w14:paraId="271AFB87" w14:textId="77777777" w:rsidR="00704EC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Probability</w:t>
            </w:r>
          </w:p>
          <w:p w14:paraId="513038F1" w14:textId="77777777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 Success</w:t>
            </w:r>
          </w:p>
        </w:tc>
        <w:tc>
          <w:tcPr>
            <w:tcW w:w="540" w:type="pct"/>
            <w:vMerge w:val="restart"/>
          </w:tcPr>
          <w:p w14:paraId="4779E21A" w14:textId="70690177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 Date</w:t>
            </w:r>
          </w:p>
        </w:tc>
        <w:tc>
          <w:tcPr>
            <w:tcW w:w="1690" w:type="pct"/>
            <w:gridSpan w:val="3"/>
          </w:tcPr>
          <w:p w14:paraId="420559A8" w14:textId="501818BD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 xml:space="preserve">Prospective </w:t>
            </w:r>
            <w:r>
              <w:rPr>
                <w:b/>
                <w:sz w:val="20"/>
                <w:szCs w:val="20"/>
              </w:rPr>
              <w:t xml:space="preserve">Oil/Condensate </w:t>
            </w:r>
            <w:r w:rsidRPr="003B6C0A">
              <w:rPr>
                <w:b/>
                <w:sz w:val="20"/>
                <w:szCs w:val="20"/>
              </w:rPr>
              <w:t xml:space="preserve">Resources in </w:t>
            </w:r>
            <w:r>
              <w:rPr>
                <w:b/>
                <w:sz w:val="20"/>
                <w:szCs w:val="20"/>
              </w:rPr>
              <w:t>MMbbl (GL in brackets)</w:t>
            </w:r>
          </w:p>
        </w:tc>
        <w:tc>
          <w:tcPr>
            <w:tcW w:w="1691" w:type="pct"/>
            <w:gridSpan w:val="3"/>
          </w:tcPr>
          <w:p w14:paraId="624D4F48" w14:textId="6CA05A6E" w:rsidR="00704ECA" w:rsidRPr="003B6C0A" w:rsidRDefault="00704ECA" w:rsidP="009B6101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 xml:space="preserve">Prospective </w:t>
            </w:r>
            <w:r>
              <w:rPr>
                <w:b/>
                <w:sz w:val="20"/>
                <w:szCs w:val="20"/>
              </w:rPr>
              <w:t xml:space="preserve">Gas </w:t>
            </w:r>
            <w:r w:rsidRPr="003B6C0A">
              <w:rPr>
                <w:b/>
                <w:sz w:val="20"/>
                <w:szCs w:val="20"/>
              </w:rPr>
              <w:t xml:space="preserve">Resources in </w:t>
            </w:r>
            <w:r>
              <w:rPr>
                <w:b/>
                <w:sz w:val="20"/>
                <w:szCs w:val="20"/>
              </w:rPr>
              <w:t>Bcf (10</w:t>
            </w:r>
            <w:r w:rsidRPr="00BD18B2">
              <w:rPr>
                <w:b/>
                <w:sz w:val="20"/>
                <w:szCs w:val="20"/>
                <w:vertAlign w:val="superscript"/>
              </w:rPr>
              <w:t>9</w:t>
            </w:r>
            <w:r>
              <w:rPr>
                <w:b/>
                <w:sz w:val="20"/>
                <w:szCs w:val="20"/>
              </w:rPr>
              <w:t xml:space="preserve"> m</w:t>
            </w:r>
            <w:r w:rsidRPr="00BD18B2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 xml:space="preserve"> in brackets)</w:t>
            </w:r>
          </w:p>
        </w:tc>
      </w:tr>
      <w:tr w:rsidR="00704ECA" w:rsidRPr="003B6C0A" w14:paraId="6589EC01" w14:textId="77777777" w:rsidTr="00704ECA">
        <w:trPr>
          <w:trHeight w:val="318"/>
        </w:trPr>
        <w:tc>
          <w:tcPr>
            <w:tcW w:w="540" w:type="pct"/>
            <w:vMerge/>
          </w:tcPr>
          <w:p w14:paraId="2990D455" w14:textId="77777777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342E9CE4" w14:textId="77777777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24EE38E0" w14:textId="77777777" w:rsidR="00704ECA" w:rsidRDefault="00704ECA" w:rsidP="00704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</w:tcPr>
          <w:p w14:paraId="7B45B2C3" w14:textId="29E3D850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564" w:type="pct"/>
          </w:tcPr>
          <w:p w14:paraId="3BE7DE2C" w14:textId="290E8E10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</w:t>
            </w:r>
          </w:p>
        </w:tc>
        <w:tc>
          <w:tcPr>
            <w:tcW w:w="564" w:type="pct"/>
          </w:tcPr>
          <w:p w14:paraId="49431739" w14:textId="77777777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564" w:type="pct"/>
          </w:tcPr>
          <w:p w14:paraId="2DDECC5C" w14:textId="77777777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564" w:type="pct"/>
          </w:tcPr>
          <w:p w14:paraId="5752B96A" w14:textId="2E6CC8C4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</w:t>
            </w:r>
          </w:p>
        </w:tc>
        <w:tc>
          <w:tcPr>
            <w:tcW w:w="564" w:type="pct"/>
          </w:tcPr>
          <w:p w14:paraId="1BA0091A" w14:textId="77777777" w:rsidR="00704ECA" w:rsidRPr="003B6C0A" w:rsidRDefault="00704ECA" w:rsidP="00704ECA">
            <w:pPr>
              <w:jc w:val="center"/>
              <w:rPr>
                <w:b/>
                <w:sz w:val="20"/>
                <w:szCs w:val="20"/>
              </w:rPr>
            </w:pPr>
            <w:r w:rsidRPr="003B6C0A">
              <w:rPr>
                <w:b/>
                <w:sz w:val="20"/>
                <w:szCs w:val="20"/>
              </w:rPr>
              <w:t>High</w:t>
            </w:r>
          </w:p>
        </w:tc>
      </w:tr>
      <w:tr w:rsidR="00704ECA" w14:paraId="4AE6ABE0" w14:textId="77777777" w:rsidTr="00704ECA">
        <w:tc>
          <w:tcPr>
            <w:tcW w:w="540" w:type="pct"/>
          </w:tcPr>
          <w:p w14:paraId="772FE017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02B4CA9F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01AC6F65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6CCDD767" w14:textId="6208AB9C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2FCD799D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78BF5BDE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603439B3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4E967127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7C7FB8EF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</w:tr>
      <w:tr w:rsidR="00704ECA" w14:paraId="37A5451C" w14:textId="77777777" w:rsidTr="00B313E0">
        <w:tc>
          <w:tcPr>
            <w:tcW w:w="540" w:type="pct"/>
          </w:tcPr>
          <w:p w14:paraId="0E5C7E61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0D690617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044A53CF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111B5256" w14:textId="4F3A227F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603266A3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08985A4D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57CD02B4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6EED9F36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2D01C312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</w:tr>
      <w:tr w:rsidR="00704ECA" w14:paraId="5CEDC2F9" w14:textId="77777777" w:rsidTr="00B313E0">
        <w:tc>
          <w:tcPr>
            <w:tcW w:w="540" w:type="pct"/>
          </w:tcPr>
          <w:p w14:paraId="5A590628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244E1535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14:paraId="22D537B1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14:paraId="62906293" w14:textId="327DE55F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582296D0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42009B9B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2C5E4E52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38EF5E6E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</w:tcPr>
          <w:p w14:paraId="5206761B" w14:textId="77777777" w:rsidR="00704ECA" w:rsidRDefault="00704ECA" w:rsidP="00704ECA">
            <w:pPr>
              <w:rPr>
                <w:sz w:val="20"/>
                <w:szCs w:val="20"/>
              </w:rPr>
            </w:pPr>
          </w:p>
        </w:tc>
      </w:tr>
    </w:tbl>
    <w:p w14:paraId="3DC91C65" w14:textId="77777777" w:rsidR="00A6304D" w:rsidRPr="00B04D88" w:rsidRDefault="00A6304D" w:rsidP="00A6304D">
      <w:pPr>
        <w:ind w:left="1560"/>
        <w:rPr>
          <w:sz w:val="18"/>
          <w:szCs w:val="18"/>
        </w:rPr>
      </w:pPr>
      <w:r w:rsidRPr="00B04D88">
        <w:rPr>
          <w:i/>
          <w:sz w:val="18"/>
          <w:szCs w:val="18"/>
        </w:rPr>
        <w:t xml:space="preserve">Note – </w:t>
      </w:r>
      <w:r w:rsidRPr="00B04D88">
        <w:rPr>
          <w:sz w:val="18"/>
          <w:szCs w:val="18"/>
        </w:rPr>
        <w:t>Volumes reported at Standard Conditions (60</w:t>
      </w:r>
      <m:oMath>
        <m:r>
          <m:rPr>
            <m:sty m:val="p"/>
          </m:rPr>
          <w:rPr>
            <w:rFonts w:ascii="Cambria Math" w:hAnsi="Cambria Math"/>
            <w:sz w:val="18"/>
            <w:szCs w:val="18"/>
          </w:rPr>
          <m:t>° F (15.56</m:t>
        </m:r>
      </m:oMath>
      <w:r w:rsidRPr="00B04D88">
        <w:rPr>
          <w:sz w:val="18"/>
          <w:szCs w:val="18"/>
        </w:rPr>
        <w:t>° C) and 1 atm (101.325 kPa); 1 cf = 0.02831685 m</w:t>
      </w:r>
      <w:r w:rsidRPr="00B04D88">
        <w:rPr>
          <w:sz w:val="18"/>
          <w:szCs w:val="18"/>
          <w:vertAlign w:val="superscript"/>
        </w:rPr>
        <w:t>3</w:t>
      </w:r>
      <w:r w:rsidRPr="00B04D88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 w:rsidRPr="00B04D88">
        <w:rPr>
          <w:sz w:val="18"/>
          <w:szCs w:val="18"/>
        </w:rPr>
        <w:t>1 MMBbl = 0.1589873 GL</w:t>
      </w:r>
    </w:p>
    <w:p w14:paraId="20C4F07D" w14:textId="77777777" w:rsidR="00B53614" w:rsidRDefault="00B53614" w:rsidP="00B53614">
      <w:pPr>
        <w:sectPr w:rsidR="00B53614" w:rsidSect="00551E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678" w:bottom="566" w:left="284" w:header="454" w:footer="0" w:gutter="0"/>
          <w:cols w:space="708"/>
          <w:docGrid w:linePitch="360"/>
        </w:sectPr>
      </w:pPr>
    </w:p>
    <w:p w14:paraId="5D923683" w14:textId="708AB675" w:rsidR="00B53614" w:rsidRPr="000471A8" w:rsidRDefault="00B53614" w:rsidP="000471A8">
      <w:pPr>
        <w:pStyle w:val="Heading2"/>
      </w:pPr>
      <w:r w:rsidRPr="004641D7">
        <w:lastRenderedPageBreak/>
        <w:t>List of reports submitted to the Titles Administrator during the reporting period</w:t>
      </w:r>
    </w:p>
    <w:tbl>
      <w:tblPr>
        <w:tblStyle w:val="TableGrid"/>
        <w:tblW w:w="4550" w:type="pct"/>
        <w:tblInd w:w="1559" w:type="dxa"/>
        <w:tblLook w:val="04A0" w:firstRow="1" w:lastRow="0" w:firstColumn="1" w:lastColumn="0" w:noHBand="0" w:noVBand="1"/>
        <w:tblCaption w:val="List of reports submitted to the Titles Administrator during the reporting period"/>
      </w:tblPr>
      <w:tblGrid>
        <w:gridCol w:w="4855"/>
        <w:gridCol w:w="4856"/>
        <w:gridCol w:w="4856"/>
      </w:tblGrid>
      <w:tr w:rsidR="00B53614" w:rsidRPr="004641D7" w14:paraId="2C32AAE6" w14:textId="77777777" w:rsidTr="00B53614">
        <w:trPr>
          <w:trHeight w:val="425"/>
        </w:trPr>
        <w:tc>
          <w:tcPr>
            <w:tcW w:w="4649" w:type="dxa"/>
            <w:shd w:val="clear" w:color="auto" w:fill="D0CECE" w:themeFill="background2" w:themeFillShade="E6"/>
          </w:tcPr>
          <w:p w14:paraId="4D42311B" w14:textId="77777777" w:rsidR="00B53614" w:rsidRPr="004641D7" w:rsidRDefault="00B53614" w:rsidP="00704ECA">
            <w:pPr>
              <w:rPr>
                <w:b/>
                <w:sz w:val="18"/>
                <w:szCs w:val="18"/>
              </w:rPr>
            </w:pPr>
            <w:r w:rsidRPr="004641D7">
              <w:rPr>
                <w:b/>
                <w:sz w:val="18"/>
                <w:szCs w:val="18"/>
              </w:rPr>
              <w:t>Date Submitted</w:t>
            </w:r>
          </w:p>
        </w:tc>
        <w:tc>
          <w:tcPr>
            <w:tcW w:w="4650" w:type="dxa"/>
            <w:shd w:val="clear" w:color="auto" w:fill="D0CECE" w:themeFill="background2" w:themeFillShade="E6"/>
          </w:tcPr>
          <w:p w14:paraId="7F62B9C3" w14:textId="77777777" w:rsidR="00B53614" w:rsidRPr="004641D7" w:rsidRDefault="00B53614" w:rsidP="00704ECA">
            <w:pPr>
              <w:rPr>
                <w:b/>
                <w:sz w:val="18"/>
                <w:szCs w:val="18"/>
              </w:rPr>
            </w:pPr>
            <w:r w:rsidRPr="004641D7">
              <w:rPr>
                <w:b/>
                <w:sz w:val="18"/>
                <w:szCs w:val="18"/>
              </w:rPr>
              <w:t>Document/Item N</w:t>
            </w:r>
            <w:bookmarkStart w:id="0" w:name="_GoBack"/>
            <w:bookmarkEnd w:id="0"/>
            <w:r w:rsidRPr="004641D7">
              <w:rPr>
                <w:b/>
                <w:sz w:val="18"/>
                <w:szCs w:val="18"/>
              </w:rPr>
              <w:t>ame/Version</w:t>
            </w:r>
          </w:p>
        </w:tc>
        <w:tc>
          <w:tcPr>
            <w:tcW w:w="4650" w:type="dxa"/>
            <w:shd w:val="clear" w:color="auto" w:fill="D0CECE" w:themeFill="background2" w:themeFillShade="E6"/>
          </w:tcPr>
          <w:p w14:paraId="097D6FB2" w14:textId="77777777" w:rsidR="00B53614" w:rsidRPr="004641D7" w:rsidRDefault="00B53614" w:rsidP="00704ECA">
            <w:pPr>
              <w:rPr>
                <w:b/>
                <w:sz w:val="18"/>
                <w:szCs w:val="18"/>
              </w:rPr>
            </w:pPr>
            <w:r w:rsidRPr="004641D7">
              <w:rPr>
                <w:b/>
                <w:sz w:val="18"/>
                <w:szCs w:val="18"/>
              </w:rPr>
              <w:t>Related work program activity [include activity name]</w:t>
            </w:r>
          </w:p>
        </w:tc>
      </w:tr>
      <w:tr w:rsidR="00B53614" w14:paraId="192F80A7" w14:textId="77777777" w:rsidTr="00B53614">
        <w:trPr>
          <w:trHeight w:val="425"/>
        </w:trPr>
        <w:tc>
          <w:tcPr>
            <w:tcW w:w="4649" w:type="dxa"/>
          </w:tcPr>
          <w:p w14:paraId="2ED30BFA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17F482A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3B006500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39EEBF0B" w14:textId="77777777" w:rsidTr="00B53614">
        <w:trPr>
          <w:trHeight w:val="425"/>
        </w:trPr>
        <w:tc>
          <w:tcPr>
            <w:tcW w:w="4649" w:type="dxa"/>
          </w:tcPr>
          <w:p w14:paraId="4E673D5D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9AA098D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3B3D4E39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3E7B6923" w14:textId="77777777" w:rsidTr="00B53614">
        <w:trPr>
          <w:trHeight w:val="425"/>
        </w:trPr>
        <w:tc>
          <w:tcPr>
            <w:tcW w:w="4649" w:type="dxa"/>
          </w:tcPr>
          <w:p w14:paraId="1723D6C6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4F3323C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0DB0C81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4F061257" w14:textId="77777777" w:rsidTr="00B53614">
        <w:trPr>
          <w:trHeight w:val="425"/>
        </w:trPr>
        <w:tc>
          <w:tcPr>
            <w:tcW w:w="4649" w:type="dxa"/>
          </w:tcPr>
          <w:p w14:paraId="1F7D2701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F4E0930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FC33648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58C6BA33" w14:textId="77777777" w:rsidTr="00B53614">
        <w:trPr>
          <w:trHeight w:val="425"/>
        </w:trPr>
        <w:tc>
          <w:tcPr>
            <w:tcW w:w="4649" w:type="dxa"/>
          </w:tcPr>
          <w:p w14:paraId="36FA7790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1C98EA1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C717C9E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37D1D694" w14:textId="77777777" w:rsidTr="00B53614">
        <w:trPr>
          <w:trHeight w:val="425"/>
        </w:trPr>
        <w:tc>
          <w:tcPr>
            <w:tcW w:w="4649" w:type="dxa"/>
          </w:tcPr>
          <w:p w14:paraId="5AE219A8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EFF27C9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DA61720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2A204995" w14:textId="77777777" w:rsidTr="00B53614">
        <w:trPr>
          <w:trHeight w:val="425"/>
        </w:trPr>
        <w:tc>
          <w:tcPr>
            <w:tcW w:w="4649" w:type="dxa"/>
          </w:tcPr>
          <w:p w14:paraId="0821CF33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4168C6E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40161494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1906AE48" w14:textId="77777777" w:rsidTr="00B53614">
        <w:trPr>
          <w:trHeight w:val="425"/>
        </w:trPr>
        <w:tc>
          <w:tcPr>
            <w:tcW w:w="4649" w:type="dxa"/>
          </w:tcPr>
          <w:p w14:paraId="33B3AE79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F392D87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F945828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283BDC5D" w14:textId="77777777" w:rsidTr="00B53614">
        <w:trPr>
          <w:trHeight w:val="425"/>
        </w:trPr>
        <w:tc>
          <w:tcPr>
            <w:tcW w:w="4649" w:type="dxa"/>
          </w:tcPr>
          <w:p w14:paraId="3058B907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6BF1636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BC3F932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100E8A29" w14:textId="77777777" w:rsidTr="00B53614">
        <w:trPr>
          <w:trHeight w:val="425"/>
        </w:trPr>
        <w:tc>
          <w:tcPr>
            <w:tcW w:w="4649" w:type="dxa"/>
          </w:tcPr>
          <w:p w14:paraId="1B81B687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A440B3E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F703E2F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175C8E9C" w14:textId="77777777" w:rsidTr="00B53614">
        <w:trPr>
          <w:trHeight w:val="425"/>
        </w:trPr>
        <w:tc>
          <w:tcPr>
            <w:tcW w:w="4649" w:type="dxa"/>
          </w:tcPr>
          <w:p w14:paraId="18D70EC1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D5DBD03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028C6B9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61FDC35B" w14:textId="77777777" w:rsidTr="00B53614">
        <w:trPr>
          <w:trHeight w:val="425"/>
        </w:trPr>
        <w:tc>
          <w:tcPr>
            <w:tcW w:w="4649" w:type="dxa"/>
          </w:tcPr>
          <w:p w14:paraId="54D7C39F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4789981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1A5D589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3D955DBF" w14:textId="77777777" w:rsidTr="00B53614">
        <w:trPr>
          <w:trHeight w:val="425"/>
        </w:trPr>
        <w:tc>
          <w:tcPr>
            <w:tcW w:w="4649" w:type="dxa"/>
          </w:tcPr>
          <w:p w14:paraId="5F3C6B0D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BE3A844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7BB0AAC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2AB2C283" w14:textId="77777777" w:rsidTr="00B53614">
        <w:trPr>
          <w:trHeight w:val="425"/>
        </w:trPr>
        <w:tc>
          <w:tcPr>
            <w:tcW w:w="4649" w:type="dxa"/>
          </w:tcPr>
          <w:p w14:paraId="263A4C7E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5954B07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6B6C096E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0CD75CD6" w14:textId="77777777" w:rsidTr="00B53614">
        <w:trPr>
          <w:trHeight w:val="425"/>
        </w:trPr>
        <w:tc>
          <w:tcPr>
            <w:tcW w:w="4649" w:type="dxa"/>
          </w:tcPr>
          <w:p w14:paraId="26DCF7AE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06168AC2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9D5DEF6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5AA3851F" w14:textId="77777777" w:rsidTr="00B53614">
        <w:trPr>
          <w:trHeight w:val="425"/>
        </w:trPr>
        <w:tc>
          <w:tcPr>
            <w:tcW w:w="4649" w:type="dxa"/>
          </w:tcPr>
          <w:p w14:paraId="3D112C93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56E7CB08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1564E4A0" w14:textId="77777777" w:rsidR="00B53614" w:rsidRDefault="00B53614" w:rsidP="00704ECA">
            <w:pPr>
              <w:rPr>
                <w:b/>
                <w:i/>
              </w:rPr>
            </w:pPr>
          </w:p>
        </w:tc>
      </w:tr>
      <w:tr w:rsidR="00B53614" w14:paraId="10BD9DC5" w14:textId="77777777" w:rsidTr="00B53614">
        <w:trPr>
          <w:trHeight w:val="425"/>
        </w:trPr>
        <w:tc>
          <w:tcPr>
            <w:tcW w:w="4649" w:type="dxa"/>
          </w:tcPr>
          <w:p w14:paraId="4E36DC8A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29B771A7" w14:textId="77777777" w:rsidR="00B53614" w:rsidRDefault="00B53614" w:rsidP="00704ECA">
            <w:pPr>
              <w:rPr>
                <w:b/>
                <w:i/>
              </w:rPr>
            </w:pPr>
          </w:p>
        </w:tc>
        <w:tc>
          <w:tcPr>
            <w:tcW w:w="4650" w:type="dxa"/>
          </w:tcPr>
          <w:p w14:paraId="7D8FCD22" w14:textId="77777777" w:rsidR="00B53614" w:rsidRDefault="00B53614" w:rsidP="00704ECA">
            <w:pPr>
              <w:rPr>
                <w:b/>
                <w:i/>
              </w:rPr>
            </w:pPr>
          </w:p>
        </w:tc>
      </w:tr>
    </w:tbl>
    <w:p w14:paraId="555A5154" w14:textId="77777777" w:rsidR="00B53614" w:rsidRPr="00B53614" w:rsidRDefault="00B53614" w:rsidP="00B53614">
      <w:pPr>
        <w:ind w:left="-108"/>
        <w:rPr>
          <w:sz w:val="20"/>
          <w:szCs w:val="20"/>
        </w:rPr>
      </w:pPr>
    </w:p>
    <w:sectPr w:rsidR="00B53614" w:rsidRPr="00B53614" w:rsidSect="00551EEA">
      <w:pgSz w:w="16838" w:h="11906" w:orient="landscape"/>
      <w:pgMar w:top="1135" w:right="536" w:bottom="566" w:left="28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157FE" w14:textId="77777777" w:rsidR="00704ECA" w:rsidRDefault="00704ECA" w:rsidP="00551EEA">
      <w:pPr>
        <w:spacing w:after="0" w:line="240" w:lineRule="auto"/>
      </w:pPr>
      <w:r>
        <w:separator/>
      </w:r>
    </w:p>
  </w:endnote>
  <w:endnote w:type="continuationSeparator" w:id="0">
    <w:p w14:paraId="1BCD4617" w14:textId="77777777" w:rsidR="00704ECA" w:rsidRDefault="00704ECA" w:rsidP="0055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30E7F" w14:textId="77777777" w:rsidR="0074268B" w:rsidRDefault="007426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D0C42" w14:textId="77777777" w:rsidR="00704ECA" w:rsidRDefault="00704ECA">
    <w:pPr>
      <w:pStyle w:val="Footer"/>
      <w:jc w:val="right"/>
    </w:pPr>
  </w:p>
  <w:p w14:paraId="598C334A" w14:textId="78095C70" w:rsidR="00704ECA" w:rsidRPr="00551EEA" w:rsidRDefault="00704ECA" w:rsidP="00551EEA">
    <w:pPr>
      <w:pStyle w:val="Footer"/>
      <w:rPr>
        <w:b/>
      </w:rPr>
    </w:pPr>
    <w:r>
      <w:rPr>
        <w:b/>
      </w:rPr>
      <w:t xml:space="preserve">Tables extracted from the </w:t>
    </w:r>
    <w:r w:rsidRPr="00551EEA">
      <w:rPr>
        <w:b/>
      </w:rPr>
      <w:t>Production Licence Annual Title Assessment Report (ATAR) Template</w:t>
    </w:r>
  </w:p>
  <w:p w14:paraId="6E5E5EDF" w14:textId="6B45098E" w:rsidR="00704ECA" w:rsidRDefault="00704ECA" w:rsidP="003E14A8">
    <w:pPr>
      <w:pStyle w:val="Footer"/>
      <w:tabs>
        <w:tab w:val="left" w:pos="774"/>
        <w:tab w:val="right" w:pos="15876"/>
      </w:tabs>
    </w:pPr>
    <w:r>
      <w:tab/>
    </w:r>
    <w:r>
      <w:tab/>
    </w:r>
    <w:r>
      <w:tab/>
    </w:r>
    <w:r>
      <w:tab/>
    </w:r>
    <w:sdt>
      <w:sdtPr>
        <w:id w:val="-19429040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A1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FD76B55" w14:textId="77777777" w:rsidR="00704ECA" w:rsidRDefault="00704E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19C4" w14:textId="77777777" w:rsidR="0074268B" w:rsidRDefault="00742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E7247" w14:textId="77777777" w:rsidR="00704ECA" w:rsidRDefault="00704ECA" w:rsidP="00551EEA">
      <w:pPr>
        <w:spacing w:after="0" w:line="240" w:lineRule="auto"/>
      </w:pPr>
      <w:r>
        <w:separator/>
      </w:r>
    </w:p>
  </w:footnote>
  <w:footnote w:type="continuationSeparator" w:id="0">
    <w:p w14:paraId="5014720F" w14:textId="77777777" w:rsidR="00704ECA" w:rsidRDefault="00704ECA" w:rsidP="0055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38CC" w14:textId="77777777" w:rsidR="0074268B" w:rsidRDefault="007426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8B178" w14:textId="77777777" w:rsidR="0074268B" w:rsidRDefault="007426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1F7D" w14:textId="77777777" w:rsidR="0074268B" w:rsidRDefault="00742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1E2D"/>
    <w:multiLevelType w:val="hybridMultilevel"/>
    <w:tmpl w:val="DB165A12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8442DCB"/>
    <w:multiLevelType w:val="hybridMultilevel"/>
    <w:tmpl w:val="9A4A7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A09BD"/>
    <w:multiLevelType w:val="hybridMultilevel"/>
    <w:tmpl w:val="9E209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D7BB9"/>
    <w:multiLevelType w:val="hybridMultilevel"/>
    <w:tmpl w:val="695C79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81F28"/>
    <w:multiLevelType w:val="hybridMultilevel"/>
    <w:tmpl w:val="D122AE1C"/>
    <w:lvl w:ilvl="0" w:tplc="12EEB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CD"/>
    <w:rsid w:val="000471A8"/>
    <w:rsid w:val="00112D64"/>
    <w:rsid w:val="001901A5"/>
    <w:rsid w:val="00300769"/>
    <w:rsid w:val="003714CD"/>
    <w:rsid w:val="00382274"/>
    <w:rsid w:val="003C50BB"/>
    <w:rsid w:val="003C72A7"/>
    <w:rsid w:val="003E14A8"/>
    <w:rsid w:val="00425583"/>
    <w:rsid w:val="004E1BCA"/>
    <w:rsid w:val="00551EEA"/>
    <w:rsid w:val="00596B1B"/>
    <w:rsid w:val="00680DE5"/>
    <w:rsid w:val="00704ECA"/>
    <w:rsid w:val="007321EF"/>
    <w:rsid w:val="007347D1"/>
    <w:rsid w:val="00735B6A"/>
    <w:rsid w:val="0074268B"/>
    <w:rsid w:val="00757B1B"/>
    <w:rsid w:val="007B6699"/>
    <w:rsid w:val="00864E6A"/>
    <w:rsid w:val="00984CE3"/>
    <w:rsid w:val="009A6218"/>
    <w:rsid w:val="009B6101"/>
    <w:rsid w:val="009F007B"/>
    <w:rsid w:val="00A6304D"/>
    <w:rsid w:val="00A679D6"/>
    <w:rsid w:val="00A73A17"/>
    <w:rsid w:val="00B313E0"/>
    <w:rsid w:val="00B51624"/>
    <w:rsid w:val="00B53614"/>
    <w:rsid w:val="00BD2C03"/>
    <w:rsid w:val="00C671EE"/>
    <w:rsid w:val="00D261BE"/>
    <w:rsid w:val="00D54732"/>
    <w:rsid w:val="00DA1258"/>
    <w:rsid w:val="00DB0C1E"/>
    <w:rsid w:val="00DD4BF8"/>
    <w:rsid w:val="00DE254E"/>
    <w:rsid w:val="00E567E1"/>
    <w:rsid w:val="00E852E1"/>
    <w:rsid w:val="00F1488A"/>
    <w:rsid w:val="00F23BF0"/>
    <w:rsid w:val="00F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7E26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4CD"/>
  </w:style>
  <w:style w:type="paragraph" w:styleId="Heading1">
    <w:name w:val="heading 1"/>
    <w:basedOn w:val="Normal"/>
    <w:next w:val="Normal"/>
    <w:link w:val="Heading1Char"/>
    <w:uiPriority w:val="9"/>
    <w:qFormat/>
    <w:rsid w:val="000471A8"/>
    <w:pPr>
      <w:keepNext/>
      <w:keepLines/>
      <w:spacing w:before="240"/>
      <w:ind w:left="15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1A8"/>
    <w:pPr>
      <w:tabs>
        <w:tab w:val="left" w:pos="1560"/>
      </w:tabs>
      <w:spacing w:before="60" w:after="0"/>
      <w:ind w:left="15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1A8"/>
    <w:pPr>
      <w:spacing w:after="0"/>
      <w:ind w:left="156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714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37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aliases w:val="a,paragraph"/>
    <w:basedOn w:val="Normal"/>
    <w:rsid w:val="003714CD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5361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B5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EEA"/>
  </w:style>
  <w:style w:type="paragraph" w:styleId="Footer">
    <w:name w:val="footer"/>
    <w:basedOn w:val="Normal"/>
    <w:link w:val="FooterChar"/>
    <w:uiPriority w:val="99"/>
    <w:unhideWhenUsed/>
    <w:rsid w:val="00551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EEA"/>
  </w:style>
  <w:style w:type="character" w:styleId="Hyperlink">
    <w:name w:val="Hyperlink"/>
    <w:basedOn w:val="DefaultParagraphFont"/>
    <w:uiPriority w:val="99"/>
    <w:unhideWhenUsed/>
    <w:rsid w:val="00112D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71A8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71A8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71A8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Licence ATAR tables</dc:title>
  <dc:subject/>
  <dc:creator/>
  <cp:keywords>production licence; atar; atar template; reporting;</cp:keywords>
  <dc:description/>
  <cp:lastModifiedBy/>
  <cp:revision>1</cp:revision>
  <dcterms:created xsi:type="dcterms:W3CDTF">2015-12-14T00:12:00Z</dcterms:created>
  <dcterms:modified xsi:type="dcterms:W3CDTF">2015-12-14T00:12:00Z</dcterms:modified>
</cp:coreProperties>
</file>