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6DB5A4" w14:textId="1E8CA09A" w:rsidR="00CB1869" w:rsidRDefault="00262C1B" w:rsidP="00060815">
      <w:pPr>
        <w:spacing w:after="240"/>
        <w:ind w:left="360"/>
      </w:pPr>
      <w:bookmarkStart w:id="0" w:name="_Toc19289801"/>
      <w:r w:rsidRPr="00837F65">
        <w:rPr>
          <w:noProof/>
        </w:rPr>
        <w:drawing>
          <wp:anchor distT="0" distB="0" distL="114300" distR="114300" simplePos="0" relativeHeight="251658240" behindDoc="0" locked="0" layoutInCell="1" allowOverlap="1" wp14:anchorId="34A7F6A6" wp14:editId="7919284F">
            <wp:simplePos x="0" y="0"/>
            <wp:positionH relativeFrom="column">
              <wp:posOffset>-99695</wp:posOffset>
            </wp:positionH>
            <wp:positionV relativeFrom="paragraph">
              <wp:posOffset>94615</wp:posOffset>
            </wp:positionV>
            <wp:extent cx="2232660" cy="579120"/>
            <wp:effectExtent l="0" t="0" r="0" b="0"/>
            <wp:wrapSquare wrapText="bothSides"/>
            <wp:docPr id="2073990877" name="Picture 2073990877" descr="Australian Government National Offshore Petroleum Administrator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90877" name="Picture 2073990877" descr="Australian Government National Offshore Petroleum Administrator logo&#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2660" cy="579120"/>
                    </a:xfrm>
                    <a:prstGeom prst="rect">
                      <a:avLst/>
                    </a:prstGeom>
                  </pic:spPr>
                </pic:pic>
              </a:graphicData>
            </a:graphic>
            <wp14:sizeRelH relativeFrom="page">
              <wp14:pctWidth>0</wp14:pctWidth>
            </wp14:sizeRelH>
            <wp14:sizeRelV relativeFrom="page">
              <wp14:pctHeight>0</wp14:pctHeight>
            </wp14:sizeRelV>
          </wp:anchor>
        </w:drawing>
      </w:r>
      <w:r w:rsidR="004D46BB">
        <w:rPr>
          <w:noProof/>
        </w:rPr>
        <w:drawing>
          <wp:inline distT="0" distB="0" distL="0" distR="0" wp14:anchorId="61D53B5D" wp14:editId="3654B8F8">
            <wp:extent cx="2775184" cy="554726"/>
            <wp:effectExtent l="0" t="0" r="6350" b="0"/>
            <wp:docPr id="870311932" name="Picture 1" descr="Australian Government Offshore Infrastructure Regist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11932" name="Picture 1" descr="Australian Government Offshore Infrastructure Registra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75184" cy="554726"/>
                    </a:xfrm>
                    <a:prstGeom prst="rect">
                      <a:avLst/>
                    </a:prstGeom>
                    <a:noFill/>
                    <a:ln>
                      <a:noFill/>
                    </a:ln>
                  </pic:spPr>
                </pic:pic>
              </a:graphicData>
            </a:graphic>
          </wp:inline>
        </w:drawing>
      </w:r>
    </w:p>
    <w:p w14:paraId="5FDE36F5" w14:textId="77777777" w:rsidR="009F5F5A" w:rsidRDefault="009F5F5A" w:rsidP="004A7856">
      <w:pPr>
        <w:spacing w:after="240"/>
      </w:pPr>
    </w:p>
    <w:p w14:paraId="6AEF41CC" w14:textId="77777777" w:rsidR="00262C1B" w:rsidRDefault="00262C1B" w:rsidP="004A7856">
      <w:pPr>
        <w:spacing w:after="240"/>
      </w:pPr>
    </w:p>
    <w:p w14:paraId="7E6FC1E4" w14:textId="77777777" w:rsidR="00183737" w:rsidRDefault="00183737" w:rsidP="004A7856">
      <w:pPr>
        <w:spacing w:after="240"/>
      </w:pPr>
    </w:p>
    <w:p w14:paraId="2DB72287" w14:textId="77777777" w:rsidR="00E35DD9" w:rsidRDefault="00E35DD9" w:rsidP="004A7856">
      <w:pPr>
        <w:spacing w:after="240"/>
      </w:pPr>
    </w:p>
    <w:p w14:paraId="1B5D646A" w14:textId="77777777" w:rsidR="00E35DD9" w:rsidRDefault="00E35DD9" w:rsidP="004A7856">
      <w:pPr>
        <w:spacing w:after="240"/>
      </w:pPr>
    </w:p>
    <w:p w14:paraId="5E57CBC6" w14:textId="77777777" w:rsidR="00E35DD9" w:rsidRDefault="00E35DD9" w:rsidP="004A7856">
      <w:pPr>
        <w:spacing w:after="240"/>
      </w:pPr>
    </w:p>
    <w:p w14:paraId="3A1E2233" w14:textId="74A41DD0" w:rsidR="007251BA" w:rsidRDefault="00E12AB6" w:rsidP="007251BA">
      <w:pPr>
        <w:pStyle w:val="Heading1"/>
      </w:pPr>
      <w:bookmarkStart w:id="1" w:name="_Toc221546083"/>
      <w:bookmarkStart w:id="2" w:name="_Toc221627075"/>
      <w:bookmarkStart w:id="3" w:name="_Toc222500435"/>
      <w:r>
        <w:rPr>
          <w:szCs w:val="48"/>
        </w:rPr>
        <w:t>Annual report of activities 2024-25</w:t>
      </w:r>
      <w:bookmarkEnd w:id="1"/>
      <w:bookmarkEnd w:id="2"/>
      <w:bookmarkEnd w:id="3"/>
    </w:p>
    <w:bookmarkEnd w:id="0"/>
    <w:p w14:paraId="3D61B276" w14:textId="77777777" w:rsidR="00CE679E" w:rsidRDefault="00CE679E" w:rsidP="00E43773">
      <w:pPr>
        <w:rPr>
          <w:rFonts w:asciiTheme="majorHAnsi" w:eastAsiaTheme="majorEastAsia" w:hAnsiTheme="majorHAnsi" w:cstheme="majorBidi"/>
          <w:color w:val="001B35" w:themeColor="accent1"/>
          <w:sz w:val="52"/>
          <w:szCs w:val="48"/>
        </w:rPr>
      </w:pPr>
    </w:p>
    <w:p w14:paraId="27C04ADD" w14:textId="77777777" w:rsidR="00956B75" w:rsidRDefault="00956B75" w:rsidP="00956B75">
      <w:pPr>
        <w:ind w:firstLine="720"/>
        <w:rPr>
          <w:rFonts w:asciiTheme="majorHAnsi" w:eastAsiaTheme="majorEastAsia" w:hAnsiTheme="majorHAnsi" w:cstheme="majorBidi"/>
          <w:color w:val="001B35" w:themeColor="accent1"/>
          <w:sz w:val="52"/>
          <w:szCs w:val="48"/>
        </w:rPr>
      </w:pPr>
    </w:p>
    <w:p w14:paraId="29D5217F" w14:textId="77777777" w:rsidR="00956B75" w:rsidRPr="00956B75" w:rsidRDefault="00956B75" w:rsidP="00956B75">
      <w:pPr>
        <w:sectPr w:rsidR="00956B75" w:rsidRPr="00956B75" w:rsidSect="00E55368">
          <w:headerReference w:type="even" r:id="rId10"/>
          <w:headerReference w:type="default" r:id="rId11"/>
          <w:footerReference w:type="even" r:id="rId12"/>
          <w:footerReference w:type="default" r:id="rId13"/>
          <w:headerReference w:type="first" r:id="rId14"/>
          <w:footerReference w:type="first" r:id="rId15"/>
          <w:pgSz w:w="11906" w:h="16838" w:code="9"/>
          <w:pgMar w:top="1276" w:right="1440" w:bottom="1440" w:left="1440" w:header="851" w:footer="708" w:gutter="0"/>
          <w:cols w:space="708"/>
          <w:titlePg/>
          <w:docGrid w:linePitch="360"/>
        </w:sectPr>
      </w:pPr>
    </w:p>
    <w:bookmarkStart w:id="4" w:name="_Toc221627076" w:displacedByCustomXml="next"/>
    <w:bookmarkStart w:id="5" w:name="_Toc155191316" w:displacedByCustomXml="next"/>
    <w:bookmarkStart w:id="6" w:name="_Toc221544005" w:displacedByCustomXml="next"/>
    <w:bookmarkStart w:id="7" w:name="_Toc221546084" w:displacedByCustomXml="next"/>
    <w:bookmarkStart w:id="8" w:name="_Toc144911608" w:displacedByCustomXml="next"/>
    <w:bookmarkStart w:id="9" w:name="_Toc155176736" w:displacedByCustomXml="next"/>
    <w:bookmarkStart w:id="10" w:name="_Toc19023741" w:displacedByCustomXml="next"/>
    <w:bookmarkStart w:id="11" w:name="_Hlk155189889" w:displacedByCustomXml="next"/>
    <w:bookmarkStart w:id="12" w:name="_Toc155191329" w:displacedByCustomXml="next"/>
    <w:sdt>
      <w:sdtPr>
        <w:rPr>
          <w:rFonts w:asciiTheme="minorHAnsi" w:eastAsiaTheme="minorEastAsia" w:hAnsiTheme="minorHAnsi" w:cstheme="minorBidi"/>
          <w:color w:val="auto"/>
          <w:sz w:val="22"/>
          <w:szCs w:val="22"/>
          <w:lang w:val="en-AU"/>
        </w:rPr>
        <w:id w:val="-1763823771"/>
        <w:docPartObj>
          <w:docPartGallery w:val="Table of Contents"/>
          <w:docPartUnique/>
        </w:docPartObj>
      </w:sdtPr>
      <w:sdtContent>
        <w:p w14:paraId="38FB4A58" w14:textId="4F09F102" w:rsidR="00523ACF" w:rsidRDefault="00523ACF">
          <w:pPr>
            <w:pStyle w:val="TOCHeading"/>
          </w:pPr>
          <w:r>
            <w:t>Contents</w:t>
          </w:r>
        </w:p>
        <w:p w14:paraId="48B043D4" w14:textId="7E1B7FA9" w:rsidR="00C91423" w:rsidRDefault="00523ACF">
          <w:pPr>
            <w:pStyle w:val="TOC1"/>
            <w:rPr>
              <w:rFonts w:eastAsiaTheme="minorEastAsia"/>
              <w:noProof/>
              <w:kern w:val="2"/>
              <w:sz w:val="24"/>
              <w:szCs w:val="24"/>
              <w:lang w:eastAsia="en-AU"/>
              <w14:ligatures w14:val="standardContextual"/>
            </w:rPr>
          </w:pPr>
          <w:r>
            <w:fldChar w:fldCharType="begin"/>
          </w:r>
          <w:r>
            <w:instrText xml:space="preserve"> TOC \o "1-3" \h \z \u </w:instrText>
          </w:r>
          <w:r>
            <w:fldChar w:fldCharType="separate"/>
          </w:r>
          <w:hyperlink w:anchor="_Toc222500435" w:history="1">
            <w:r w:rsidR="00C91423" w:rsidRPr="00391F1D">
              <w:rPr>
                <w:rStyle w:val="Hyperlink"/>
                <w:noProof/>
              </w:rPr>
              <w:t>Annual report of activities 2024-25</w:t>
            </w:r>
            <w:r w:rsidR="00C91423">
              <w:rPr>
                <w:noProof/>
                <w:webHidden/>
              </w:rPr>
              <w:tab/>
            </w:r>
            <w:r w:rsidR="00C91423">
              <w:rPr>
                <w:noProof/>
                <w:webHidden/>
              </w:rPr>
              <w:fldChar w:fldCharType="begin"/>
            </w:r>
            <w:r w:rsidR="00C91423">
              <w:rPr>
                <w:noProof/>
                <w:webHidden/>
              </w:rPr>
              <w:instrText xml:space="preserve"> PAGEREF _Toc222500435 \h </w:instrText>
            </w:r>
            <w:r w:rsidR="00C91423">
              <w:rPr>
                <w:noProof/>
                <w:webHidden/>
              </w:rPr>
            </w:r>
            <w:r w:rsidR="00C91423">
              <w:rPr>
                <w:noProof/>
                <w:webHidden/>
              </w:rPr>
              <w:fldChar w:fldCharType="separate"/>
            </w:r>
            <w:r w:rsidR="00C91423">
              <w:rPr>
                <w:noProof/>
                <w:webHidden/>
              </w:rPr>
              <w:t>1</w:t>
            </w:r>
            <w:r w:rsidR="00C91423">
              <w:rPr>
                <w:noProof/>
                <w:webHidden/>
              </w:rPr>
              <w:fldChar w:fldCharType="end"/>
            </w:r>
          </w:hyperlink>
        </w:p>
        <w:p w14:paraId="2D26F315" w14:textId="3751990F" w:rsidR="00C91423" w:rsidRDefault="00C91423">
          <w:pPr>
            <w:pStyle w:val="TOC2"/>
            <w:tabs>
              <w:tab w:val="right" w:leader="dot" w:pos="9016"/>
            </w:tabs>
            <w:rPr>
              <w:rFonts w:eastAsiaTheme="minorEastAsia"/>
              <w:noProof/>
              <w:kern w:val="2"/>
              <w:sz w:val="24"/>
              <w:szCs w:val="24"/>
              <w:lang w:eastAsia="en-AU"/>
              <w14:ligatures w14:val="standardContextual"/>
            </w:rPr>
          </w:pPr>
          <w:hyperlink w:anchor="_Toc222500436" w:history="1">
            <w:r w:rsidRPr="00391F1D">
              <w:rPr>
                <w:rStyle w:val="Hyperlink"/>
                <w:noProof/>
              </w:rPr>
              <w:t>Welcome</w:t>
            </w:r>
            <w:r>
              <w:rPr>
                <w:noProof/>
                <w:webHidden/>
              </w:rPr>
              <w:tab/>
            </w:r>
            <w:r>
              <w:rPr>
                <w:noProof/>
                <w:webHidden/>
              </w:rPr>
              <w:fldChar w:fldCharType="begin"/>
            </w:r>
            <w:r>
              <w:rPr>
                <w:noProof/>
                <w:webHidden/>
              </w:rPr>
              <w:instrText xml:space="preserve"> PAGEREF _Toc222500436 \h </w:instrText>
            </w:r>
            <w:r>
              <w:rPr>
                <w:noProof/>
                <w:webHidden/>
              </w:rPr>
            </w:r>
            <w:r>
              <w:rPr>
                <w:noProof/>
                <w:webHidden/>
              </w:rPr>
              <w:fldChar w:fldCharType="separate"/>
            </w:r>
            <w:r>
              <w:rPr>
                <w:noProof/>
                <w:webHidden/>
              </w:rPr>
              <w:t>4</w:t>
            </w:r>
            <w:r>
              <w:rPr>
                <w:noProof/>
                <w:webHidden/>
              </w:rPr>
              <w:fldChar w:fldCharType="end"/>
            </w:r>
          </w:hyperlink>
        </w:p>
        <w:p w14:paraId="4A484904" w14:textId="01CE98DE" w:rsidR="00C91423" w:rsidRDefault="00C91423">
          <w:pPr>
            <w:pStyle w:val="TOC2"/>
            <w:tabs>
              <w:tab w:val="right" w:leader="dot" w:pos="9016"/>
            </w:tabs>
            <w:rPr>
              <w:rFonts w:eastAsiaTheme="minorEastAsia"/>
              <w:noProof/>
              <w:kern w:val="2"/>
              <w:sz w:val="24"/>
              <w:szCs w:val="24"/>
              <w:lang w:eastAsia="en-AU"/>
              <w14:ligatures w14:val="standardContextual"/>
            </w:rPr>
          </w:pPr>
          <w:hyperlink w:anchor="_Toc222500437" w:history="1">
            <w:r w:rsidRPr="00391F1D">
              <w:rPr>
                <w:rStyle w:val="Hyperlink"/>
                <w:noProof/>
              </w:rPr>
              <w:t>About us</w:t>
            </w:r>
            <w:r>
              <w:rPr>
                <w:noProof/>
                <w:webHidden/>
              </w:rPr>
              <w:tab/>
            </w:r>
            <w:r>
              <w:rPr>
                <w:noProof/>
                <w:webHidden/>
              </w:rPr>
              <w:fldChar w:fldCharType="begin"/>
            </w:r>
            <w:r>
              <w:rPr>
                <w:noProof/>
                <w:webHidden/>
              </w:rPr>
              <w:instrText xml:space="preserve"> PAGEREF _Toc222500437 \h </w:instrText>
            </w:r>
            <w:r>
              <w:rPr>
                <w:noProof/>
                <w:webHidden/>
              </w:rPr>
            </w:r>
            <w:r>
              <w:rPr>
                <w:noProof/>
                <w:webHidden/>
              </w:rPr>
              <w:fldChar w:fldCharType="separate"/>
            </w:r>
            <w:r>
              <w:rPr>
                <w:noProof/>
                <w:webHidden/>
              </w:rPr>
              <w:t>5</w:t>
            </w:r>
            <w:r>
              <w:rPr>
                <w:noProof/>
                <w:webHidden/>
              </w:rPr>
              <w:fldChar w:fldCharType="end"/>
            </w:r>
          </w:hyperlink>
        </w:p>
        <w:p w14:paraId="5225F6DE" w14:textId="28833BF9"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38" w:history="1">
            <w:r w:rsidRPr="00391F1D">
              <w:rPr>
                <w:rStyle w:val="Hyperlink"/>
                <w:noProof/>
              </w:rPr>
              <w:t>Established</w:t>
            </w:r>
            <w:r>
              <w:rPr>
                <w:noProof/>
                <w:webHidden/>
              </w:rPr>
              <w:tab/>
            </w:r>
            <w:r>
              <w:rPr>
                <w:noProof/>
                <w:webHidden/>
              </w:rPr>
              <w:fldChar w:fldCharType="begin"/>
            </w:r>
            <w:r>
              <w:rPr>
                <w:noProof/>
                <w:webHidden/>
              </w:rPr>
              <w:instrText xml:space="preserve"> PAGEREF _Toc222500438 \h </w:instrText>
            </w:r>
            <w:r>
              <w:rPr>
                <w:noProof/>
                <w:webHidden/>
              </w:rPr>
            </w:r>
            <w:r>
              <w:rPr>
                <w:noProof/>
                <w:webHidden/>
              </w:rPr>
              <w:fldChar w:fldCharType="separate"/>
            </w:r>
            <w:r>
              <w:rPr>
                <w:noProof/>
                <w:webHidden/>
              </w:rPr>
              <w:t>5</w:t>
            </w:r>
            <w:r>
              <w:rPr>
                <w:noProof/>
                <w:webHidden/>
              </w:rPr>
              <w:fldChar w:fldCharType="end"/>
            </w:r>
          </w:hyperlink>
        </w:p>
        <w:p w14:paraId="157C8961" w14:textId="20857F91"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39" w:history="1">
            <w:r w:rsidRPr="00391F1D">
              <w:rPr>
                <w:rStyle w:val="Hyperlink"/>
                <w:noProof/>
              </w:rPr>
              <w:t>Industries administered</w:t>
            </w:r>
            <w:r>
              <w:rPr>
                <w:noProof/>
                <w:webHidden/>
              </w:rPr>
              <w:tab/>
            </w:r>
            <w:r>
              <w:rPr>
                <w:noProof/>
                <w:webHidden/>
              </w:rPr>
              <w:fldChar w:fldCharType="begin"/>
            </w:r>
            <w:r>
              <w:rPr>
                <w:noProof/>
                <w:webHidden/>
              </w:rPr>
              <w:instrText xml:space="preserve"> PAGEREF _Toc222500439 \h </w:instrText>
            </w:r>
            <w:r>
              <w:rPr>
                <w:noProof/>
                <w:webHidden/>
              </w:rPr>
            </w:r>
            <w:r>
              <w:rPr>
                <w:noProof/>
                <w:webHidden/>
              </w:rPr>
              <w:fldChar w:fldCharType="separate"/>
            </w:r>
            <w:r>
              <w:rPr>
                <w:noProof/>
                <w:webHidden/>
              </w:rPr>
              <w:t>5</w:t>
            </w:r>
            <w:r>
              <w:rPr>
                <w:noProof/>
                <w:webHidden/>
              </w:rPr>
              <w:fldChar w:fldCharType="end"/>
            </w:r>
          </w:hyperlink>
        </w:p>
        <w:p w14:paraId="65AF02D6" w14:textId="6CE6868B"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40" w:history="1">
            <w:r w:rsidRPr="00391F1D">
              <w:rPr>
                <w:rStyle w:val="Hyperlink"/>
                <w:noProof/>
              </w:rPr>
              <w:t>Values</w:t>
            </w:r>
            <w:r>
              <w:rPr>
                <w:noProof/>
                <w:webHidden/>
              </w:rPr>
              <w:tab/>
            </w:r>
            <w:r>
              <w:rPr>
                <w:noProof/>
                <w:webHidden/>
              </w:rPr>
              <w:fldChar w:fldCharType="begin"/>
            </w:r>
            <w:r>
              <w:rPr>
                <w:noProof/>
                <w:webHidden/>
              </w:rPr>
              <w:instrText xml:space="preserve"> PAGEREF _Toc222500440 \h </w:instrText>
            </w:r>
            <w:r>
              <w:rPr>
                <w:noProof/>
                <w:webHidden/>
              </w:rPr>
            </w:r>
            <w:r>
              <w:rPr>
                <w:noProof/>
                <w:webHidden/>
              </w:rPr>
              <w:fldChar w:fldCharType="separate"/>
            </w:r>
            <w:r>
              <w:rPr>
                <w:noProof/>
                <w:webHidden/>
              </w:rPr>
              <w:t>5</w:t>
            </w:r>
            <w:r>
              <w:rPr>
                <w:noProof/>
                <w:webHidden/>
              </w:rPr>
              <w:fldChar w:fldCharType="end"/>
            </w:r>
          </w:hyperlink>
        </w:p>
        <w:p w14:paraId="060CB937" w14:textId="24B202FD"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41" w:history="1">
            <w:r w:rsidRPr="00391F1D">
              <w:rPr>
                <w:rStyle w:val="Hyperlink"/>
                <w:noProof/>
              </w:rPr>
              <w:t>Purpose</w:t>
            </w:r>
            <w:r>
              <w:rPr>
                <w:noProof/>
                <w:webHidden/>
              </w:rPr>
              <w:tab/>
            </w:r>
            <w:r>
              <w:rPr>
                <w:noProof/>
                <w:webHidden/>
              </w:rPr>
              <w:fldChar w:fldCharType="begin"/>
            </w:r>
            <w:r>
              <w:rPr>
                <w:noProof/>
                <w:webHidden/>
              </w:rPr>
              <w:instrText xml:space="preserve"> PAGEREF _Toc222500441 \h </w:instrText>
            </w:r>
            <w:r>
              <w:rPr>
                <w:noProof/>
                <w:webHidden/>
              </w:rPr>
            </w:r>
            <w:r>
              <w:rPr>
                <w:noProof/>
                <w:webHidden/>
              </w:rPr>
              <w:fldChar w:fldCharType="separate"/>
            </w:r>
            <w:r>
              <w:rPr>
                <w:noProof/>
                <w:webHidden/>
              </w:rPr>
              <w:t>5</w:t>
            </w:r>
            <w:r>
              <w:rPr>
                <w:noProof/>
                <w:webHidden/>
              </w:rPr>
              <w:fldChar w:fldCharType="end"/>
            </w:r>
          </w:hyperlink>
        </w:p>
        <w:p w14:paraId="312A34EB" w14:textId="3A775237"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42" w:history="1">
            <w:r w:rsidRPr="00391F1D">
              <w:rPr>
                <w:rStyle w:val="Hyperlink"/>
                <w:noProof/>
              </w:rPr>
              <w:t>Functions</w:t>
            </w:r>
            <w:r>
              <w:rPr>
                <w:noProof/>
                <w:webHidden/>
              </w:rPr>
              <w:tab/>
            </w:r>
            <w:r>
              <w:rPr>
                <w:noProof/>
                <w:webHidden/>
              </w:rPr>
              <w:fldChar w:fldCharType="begin"/>
            </w:r>
            <w:r>
              <w:rPr>
                <w:noProof/>
                <w:webHidden/>
              </w:rPr>
              <w:instrText xml:space="preserve"> PAGEREF _Toc222500442 \h </w:instrText>
            </w:r>
            <w:r>
              <w:rPr>
                <w:noProof/>
                <w:webHidden/>
              </w:rPr>
            </w:r>
            <w:r>
              <w:rPr>
                <w:noProof/>
                <w:webHidden/>
              </w:rPr>
              <w:fldChar w:fldCharType="separate"/>
            </w:r>
            <w:r>
              <w:rPr>
                <w:noProof/>
                <w:webHidden/>
              </w:rPr>
              <w:t>6</w:t>
            </w:r>
            <w:r>
              <w:rPr>
                <w:noProof/>
                <w:webHidden/>
              </w:rPr>
              <w:fldChar w:fldCharType="end"/>
            </w:r>
          </w:hyperlink>
        </w:p>
        <w:p w14:paraId="3B3CEF37" w14:textId="3CB61249"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43" w:history="1">
            <w:r w:rsidRPr="00391F1D">
              <w:rPr>
                <w:rStyle w:val="Hyperlink"/>
                <w:noProof/>
              </w:rPr>
              <w:t>Principles of regulator best practice</w:t>
            </w:r>
            <w:r>
              <w:rPr>
                <w:noProof/>
                <w:webHidden/>
              </w:rPr>
              <w:tab/>
            </w:r>
            <w:r>
              <w:rPr>
                <w:noProof/>
                <w:webHidden/>
              </w:rPr>
              <w:fldChar w:fldCharType="begin"/>
            </w:r>
            <w:r>
              <w:rPr>
                <w:noProof/>
                <w:webHidden/>
              </w:rPr>
              <w:instrText xml:space="preserve"> PAGEREF _Toc222500443 \h </w:instrText>
            </w:r>
            <w:r>
              <w:rPr>
                <w:noProof/>
                <w:webHidden/>
              </w:rPr>
            </w:r>
            <w:r>
              <w:rPr>
                <w:noProof/>
                <w:webHidden/>
              </w:rPr>
              <w:fldChar w:fldCharType="separate"/>
            </w:r>
            <w:r>
              <w:rPr>
                <w:noProof/>
                <w:webHidden/>
              </w:rPr>
              <w:t>6</w:t>
            </w:r>
            <w:r>
              <w:rPr>
                <w:noProof/>
                <w:webHidden/>
              </w:rPr>
              <w:fldChar w:fldCharType="end"/>
            </w:r>
          </w:hyperlink>
        </w:p>
        <w:p w14:paraId="2BB1F4A3" w14:textId="7ED3C0C5"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44" w:history="1">
            <w:r w:rsidRPr="00391F1D">
              <w:rPr>
                <w:rStyle w:val="Hyperlink"/>
                <w:noProof/>
              </w:rPr>
              <w:t>Organisational structure</w:t>
            </w:r>
            <w:r>
              <w:rPr>
                <w:noProof/>
                <w:webHidden/>
              </w:rPr>
              <w:tab/>
            </w:r>
            <w:r>
              <w:rPr>
                <w:noProof/>
                <w:webHidden/>
              </w:rPr>
              <w:fldChar w:fldCharType="begin"/>
            </w:r>
            <w:r>
              <w:rPr>
                <w:noProof/>
                <w:webHidden/>
              </w:rPr>
              <w:instrText xml:space="preserve"> PAGEREF _Toc222500444 \h </w:instrText>
            </w:r>
            <w:r>
              <w:rPr>
                <w:noProof/>
                <w:webHidden/>
              </w:rPr>
            </w:r>
            <w:r>
              <w:rPr>
                <w:noProof/>
                <w:webHidden/>
              </w:rPr>
              <w:fldChar w:fldCharType="separate"/>
            </w:r>
            <w:r>
              <w:rPr>
                <w:noProof/>
                <w:webHidden/>
              </w:rPr>
              <w:t>7</w:t>
            </w:r>
            <w:r>
              <w:rPr>
                <w:noProof/>
                <w:webHidden/>
              </w:rPr>
              <w:fldChar w:fldCharType="end"/>
            </w:r>
          </w:hyperlink>
        </w:p>
        <w:p w14:paraId="6502DB04" w14:textId="7492AEC2"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45" w:history="1">
            <w:r w:rsidRPr="00391F1D">
              <w:rPr>
                <w:rStyle w:val="Hyperlink"/>
                <w:noProof/>
              </w:rPr>
              <w:t>Our people</w:t>
            </w:r>
            <w:r>
              <w:rPr>
                <w:noProof/>
                <w:webHidden/>
              </w:rPr>
              <w:tab/>
            </w:r>
            <w:r>
              <w:rPr>
                <w:noProof/>
                <w:webHidden/>
              </w:rPr>
              <w:fldChar w:fldCharType="begin"/>
            </w:r>
            <w:r>
              <w:rPr>
                <w:noProof/>
                <w:webHidden/>
              </w:rPr>
              <w:instrText xml:space="preserve"> PAGEREF _Toc222500445 \h </w:instrText>
            </w:r>
            <w:r>
              <w:rPr>
                <w:noProof/>
                <w:webHidden/>
              </w:rPr>
            </w:r>
            <w:r>
              <w:rPr>
                <w:noProof/>
                <w:webHidden/>
              </w:rPr>
              <w:fldChar w:fldCharType="separate"/>
            </w:r>
            <w:r>
              <w:rPr>
                <w:noProof/>
                <w:webHidden/>
              </w:rPr>
              <w:t>11</w:t>
            </w:r>
            <w:r>
              <w:rPr>
                <w:noProof/>
                <w:webHidden/>
              </w:rPr>
              <w:fldChar w:fldCharType="end"/>
            </w:r>
          </w:hyperlink>
        </w:p>
        <w:p w14:paraId="3999256F" w14:textId="5ABC388B"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46" w:history="1">
            <w:r w:rsidRPr="00391F1D">
              <w:rPr>
                <w:rStyle w:val="Hyperlink"/>
                <w:noProof/>
              </w:rPr>
              <w:t>Performance highlights</w:t>
            </w:r>
            <w:r>
              <w:rPr>
                <w:noProof/>
                <w:webHidden/>
              </w:rPr>
              <w:tab/>
            </w:r>
            <w:r>
              <w:rPr>
                <w:noProof/>
                <w:webHidden/>
              </w:rPr>
              <w:fldChar w:fldCharType="begin"/>
            </w:r>
            <w:r>
              <w:rPr>
                <w:noProof/>
                <w:webHidden/>
              </w:rPr>
              <w:instrText xml:space="preserve"> PAGEREF _Toc222500446 \h </w:instrText>
            </w:r>
            <w:r>
              <w:rPr>
                <w:noProof/>
                <w:webHidden/>
              </w:rPr>
            </w:r>
            <w:r>
              <w:rPr>
                <w:noProof/>
                <w:webHidden/>
              </w:rPr>
              <w:fldChar w:fldCharType="separate"/>
            </w:r>
            <w:r>
              <w:rPr>
                <w:noProof/>
                <w:webHidden/>
              </w:rPr>
              <w:t>11</w:t>
            </w:r>
            <w:r>
              <w:rPr>
                <w:noProof/>
                <w:webHidden/>
              </w:rPr>
              <w:fldChar w:fldCharType="end"/>
            </w:r>
          </w:hyperlink>
        </w:p>
        <w:p w14:paraId="433DEC44" w14:textId="70C888BB"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47" w:history="1">
            <w:r w:rsidRPr="00391F1D">
              <w:rPr>
                <w:rStyle w:val="Hyperlink"/>
                <w:noProof/>
              </w:rPr>
              <w:t>Activity highlights</w:t>
            </w:r>
            <w:r>
              <w:rPr>
                <w:noProof/>
                <w:webHidden/>
              </w:rPr>
              <w:tab/>
            </w:r>
            <w:r>
              <w:rPr>
                <w:noProof/>
                <w:webHidden/>
              </w:rPr>
              <w:fldChar w:fldCharType="begin"/>
            </w:r>
            <w:r>
              <w:rPr>
                <w:noProof/>
                <w:webHidden/>
              </w:rPr>
              <w:instrText xml:space="preserve"> PAGEREF _Toc222500447 \h </w:instrText>
            </w:r>
            <w:r>
              <w:rPr>
                <w:noProof/>
                <w:webHidden/>
              </w:rPr>
            </w:r>
            <w:r>
              <w:rPr>
                <w:noProof/>
                <w:webHidden/>
              </w:rPr>
              <w:fldChar w:fldCharType="separate"/>
            </w:r>
            <w:r>
              <w:rPr>
                <w:noProof/>
                <w:webHidden/>
              </w:rPr>
              <w:t>11</w:t>
            </w:r>
            <w:r>
              <w:rPr>
                <w:noProof/>
                <w:webHidden/>
              </w:rPr>
              <w:fldChar w:fldCharType="end"/>
            </w:r>
          </w:hyperlink>
        </w:p>
        <w:p w14:paraId="399DB77B" w14:textId="20B2893C"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48" w:history="1">
            <w:r w:rsidRPr="00391F1D">
              <w:rPr>
                <w:rStyle w:val="Hyperlink"/>
                <w:noProof/>
              </w:rPr>
              <w:t>2024-25 Industry activity overview</w:t>
            </w:r>
            <w:r>
              <w:rPr>
                <w:noProof/>
                <w:webHidden/>
              </w:rPr>
              <w:tab/>
            </w:r>
            <w:r>
              <w:rPr>
                <w:noProof/>
                <w:webHidden/>
              </w:rPr>
              <w:fldChar w:fldCharType="begin"/>
            </w:r>
            <w:r>
              <w:rPr>
                <w:noProof/>
                <w:webHidden/>
              </w:rPr>
              <w:instrText xml:space="preserve"> PAGEREF _Toc222500448 \h </w:instrText>
            </w:r>
            <w:r>
              <w:rPr>
                <w:noProof/>
                <w:webHidden/>
              </w:rPr>
            </w:r>
            <w:r>
              <w:rPr>
                <w:noProof/>
                <w:webHidden/>
              </w:rPr>
              <w:fldChar w:fldCharType="separate"/>
            </w:r>
            <w:r>
              <w:rPr>
                <w:noProof/>
                <w:webHidden/>
              </w:rPr>
              <w:t>12</w:t>
            </w:r>
            <w:r>
              <w:rPr>
                <w:noProof/>
                <w:webHidden/>
              </w:rPr>
              <w:fldChar w:fldCharType="end"/>
            </w:r>
          </w:hyperlink>
        </w:p>
        <w:p w14:paraId="7294CE29" w14:textId="60A49E28" w:rsidR="00C91423" w:rsidRDefault="00C91423">
          <w:pPr>
            <w:pStyle w:val="TOC2"/>
            <w:tabs>
              <w:tab w:val="right" w:leader="dot" w:pos="9016"/>
            </w:tabs>
            <w:rPr>
              <w:rFonts w:eastAsiaTheme="minorEastAsia"/>
              <w:noProof/>
              <w:kern w:val="2"/>
              <w:sz w:val="24"/>
              <w:szCs w:val="24"/>
              <w:lang w:eastAsia="en-AU"/>
              <w14:ligatures w14:val="standardContextual"/>
            </w:rPr>
          </w:pPr>
          <w:hyperlink w:anchor="_Toc222500449" w:history="1">
            <w:r w:rsidRPr="00391F1D">
              <w:rPr>
                <w:rStyle w:val="Hyperlink"/>
                <w:noProof/>
              </w:rPr>
              <w:t>Activity and insights</w:t>
            </w:r>
            <w:r>
              <w:rPr>
                <w:noProof/>
                <w:webHidden/>
              </w:rPr>
              <w:tab/>
            </w:r>
            <w:r>
              <w:rPr>
                <w:noProof/>
                <w:webHidden/>
              </w:rPr>
              <w:fldChar w:fldCharType="begin"/>
            </w:r>
            <w:r>
              <w:rPr>
                <w:noProof/>
                <w:webHidden/>
              </w:rPr>
              <w:instrText xml:space="preserve"> PAGEREF _Toc222500449 \h </w:instrText>
            </w:r>
            <w:r>
              <w:rPr>
                <w:noProof/>
                <w:webHidden/>
              </w:rPr>
            </w:r>
            <w:r>
              <w:rPr>
                <w:noProof/>
                <w:webHidden/>
              </w:rPr>
              <w:fldChar w:fldCharType="separate"/>
            </w:r>
            <w:r>
              <w:rPr>
                <w:noProof/>
                <w:webHidden/>
              </w:rPr>
              <w:t>13</w:t>
            </w:r>
            <w:r>
              <w:rPr>
                <w:noProof/>
                <w:webHidden/>
              </w:rPr>
              <w:fldChar w:fldCharType="end"/>
            </w:r>
          </w:hyperlink>
        </w:p>
        <w:p w14:paraId="51B5EAFD" w14:textId="08E3D472"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50" w:history="1">
            <w:r w:rsidRPr="00391F1D">
              <w:rPr>
                <w:rStyle w:val="Hyperlink"/>
                <w:noProof/>
              </w:rPr>
              <w:t>OEI Iicence activity insights</w:t>
            </w:r>
            <w:r>
              <w:rPr>
                <w:noProof/>
                <w:webHidden/>
              </w:rPr>
              <w:tab/>
            </w:r>
            <w:r>
              <w:rPr>
                <w:noProof/>
                <w:webHidden/>
              </w:rPr>
              <w:fldChar w:fldCharType="begin"/>
            </w:r>
            <w:r>
              <w:rPr>
                <w:noProof/>
                <w:webHidden/>
              </w:rPr>
              <w:instrText xml:space="preserve"> PAGEREF _Toc222500450 \h </w:instrText>
            </w:r>
            <w:r>
              <w:rPr>
                <w:noProof/>
                <w:webHidden/>
              </w:rPr>
            </w:r>
            <w:r>
              <w:rPr>
                <w:noProof/>
                <w:webHidden/>
              </w:rPr>
              <w:fldChar w:fldCharType="separate"/>
            </w:r>
            <w:r>
              <w:rPr>
                <w:noProof/>
                <w:webHidden/>
              </w:rPr>
              <w:t>13</w:t>
            </w:r>
            <w:r>
              <w:rPr>
                <w:noProof/>
                <w:webHidden/>
              </w:rPr>
              <w:fldChar w:fldCharType="end"/>
            </w:r>
          </w:hyperlink>
        </w:p>
        <w:p w14:paraId="4B04BB8F" w14:textId="3C410B0D"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51" w:history="1">
            <w:r w:rsidRPr="00391F1D">
              <w:rPr>
                <w:rStyle w:val="Hyperlink"/>
                <w:noProof/>
              </w:rPr>
              <w:t>Gippsland declared area update</w:t>
            </w:r>
            <w:r>
              <w:rPr>
                <w:noProof/>
                <w:webHidden/>
              </w:rPr>
              <w:tab/>
            </w:r>
            <w:r>
              <w:rPr>
                <w:noProof/>
                <w:webHidden/>
              </w:rPr>
              <w:fldChar w:fldCharType="begin"/>
            </w:r>
            <w:r>
              <w:rPr>
                <w:noProof/>
                <w:webHidden/>
              </w:rPr>
              <w:instrText xml:space="preserve"> PAGEREF _Toc222500451 \h </w:instrText>
            </w:r>
            <w:r>
              <w:rPr>
                <w:noProof/>
                <w:webHidden/>
              </w:rPr>
            </w:r>
            <w:r>
              <w:rPr>
                <w:noProof/>
                <w:webHidden/>
              </w:rPr>
              <w:fldChar w:fldCharType="separate"/>
            </w:r>
            <w:r>
              <w:rPr>
                <w:noProof/>
                <w:webHidden/>
              </w:rPr>
              <w:t>14</w:t>
            </w:r>
            <w:r>
              <w:rPr>
                <w:noProof/>
                <w:webHidden/>
              </w:rPr>
              <w:fldChar w:fldCharType="end"/>
            </w:r>
          </w:hyperlink>
        </w:p>
        <w:p w14:paraId="0F9C3A03" w14:textId="29ECF125"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52" w:history="1">
            <w:r w:rsidRPr="00391F1D">
              <w:rPr>
                <w:rStyle w:val="Hyperlink"/>
                <w:noProof/>
              </w:rPr>
              <w:t>OEI milestones</w:t>
            </w:r>
            <w:r>
              <w:rPr>
                <w:noProof/>
                <w:webHidden/>
              </w:rPr>
              <w:tab/>
            </w:r>
            <w:r>
              <w:rPr>
                <w:noProof/>
                <w:webHidden/>
              </w:rPr>
              <w:fldChar w:fldCharType="begin"/>
            </w:r>
            <w:r>
              <w:rPr>
                <w:noProof/>
                <w:webHidden/>
              </w:rPr>
              <w:instrText xml:space="preserve"> PAGEREF _Toc222500452 \h </w:instrText>
            </w:r>
            <w:r>
              <w:rPr>
                <w:noProof/>
                <w:webHidden/>
              </w:rPr>
            </w:r>
            <w:r>
              <w:rPr>
                <w:noProof/>
                <w:webHidden/>
              </w:rPr>
              <w:fldChar w:fldCharType="separate"/>
            </w:r>
            <w:r>
              <w:rPr>
                <w:noProof/>
                <w:webHidden/>
              </w:rPr>
              <w:t>16</w:t>
            </w:r>
            <w:r>
              <w:rPr>
                <w:noProof/>
                <w:webHidden/>
              </w:rPr>
              <w:fldChar w:fldCharType="end"/>
            </w:r>
          </w:hyperlink>
        </w:p>
        <w:p w14:paraId="776A4F7E" w14:textId="4E79425A"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53" w:history="1">
            <w:r w:rsidRPr="00391F1D">
              <w:rPr>
                <w:rStyle w:val="Hyperlink"/>
                <w:noProof/>
              </w:rPr>
              <w:t>Petroleum titles activity insights</w:t>
            </w:r>
            <w:r>
              <w:rPr>
                <w:noProof/>
                <w:webHidden/>
              </w:rPr>
              <w:tab/>
            </w:r>
            <w:r>
              <w:rPr>
                <w:noProof/>
                <w:webHidden/>
              </w:rPr>
              <w:fldChar w:fldCharType="begin"/>
            </w:r>
            <w:r>
              <w:rPr>
                <w:noProof/>
                <w:webHidden/>
              </w:rPr>
              <w:instrText xml:space="preserve"> PAGEREF _Toc222500453 \h </w:instrText>
            </w:r>
            <w:r>
              <w:rPr>
                <w:noProof/>
                <w:webHidden/>
              </w:rPr>
            </w:r>
            <w:r>
              <w:rPr>
                <w:noProof/>
                <w:webHidden/>
              </w:rPr>
              <w:fldChar w:fldCharType="separate"/>
            </w:r>
            <w:r>
              <w:rPr>
                <w:noProof/>
                <w:webHidden/>
              </w:rPr>
              <w:t>17</w:t>
            </w:r>
            <w:r>
              <w:rPr>
                <w:noProof/>
                <w:webHidden/>
              </w:rPr>
              <w:fldChar w:fldCharType="end"/>
            </w:r>
          </w:hyperlink>
        </w:p>
        <w:p w14:paraId="44787CC6" w14:textId="3EE6AF1D"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54" w:history="1">
            <w:r w:rsidRPr="00391F1D">
              <w:rPr>
                <w:rStyle w:val="Hyperlink"/>
                <w:noProof/>
              </w:rPr>
              <w:t>Applications submitted</w:t>
            </w:r>
            <w:r>
              <w:rPr>
                <w:noProof/>
                <w:webHidden/>
              </w:rPr>
              <w:tab/>
            </w:r>
            <w:r>
              <w:rPr>
                <w:noProof/>
                <w:webHidden/>
              </w:rPr>
              <w:fldChar w:fldCharType="begin"/>
            </w:r>
            <w:r>
              <w:rPr>
                <w:noProof/>
                <w:webHidden/>
              </w:rPr>
              <w:instrText xml:space="preserve"> PAGEREF _Toc222500454 \h </w:instrText>
            </w:r>
            <w:r>
              <w:rPr>
                <w:noProof/>
                <w:webHidden/>
              </w:rPr>
            </w:r>
            <w:r>
              <w:rPr>
                <w:noProof/>
                <w:webHidden/>
              </w:rPr>
              <w:fldChar w:fldCharType="separate"/>
            </w:r>
            <w:r>
              <w:rPr>
                <w:noProof/>
                <w:webHidden/>
              </w:rPr>
              <w:t>19</w:t>
            </w:r>
            <w:r>
              <w:rPr>
                <w:noProof/>
                <w:webHidden/>
              </w:rPr>
              <w:fldChar w:fldCharType="end"/>
            </w:r>
          </w:hyperlink>
        </w:p>
        <w:p w14:paraId="5D579643" w14:textId="4326CDE1"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55" w:history="1">
            <w:r w:rsidRPr="00391F1D">
              <w:rPr>
                <w:rStyle w:val="Hyperlink"/>
                <w:noProof/>
              </w:rPr>
              <w:t>Petroleum development – committed to and in progress</w:t>
            </w:r>
            <w:r>
              <w:rPr>
                <w:noProof/>
                <w:webHidden/>
              </w:rPr>
              <w:tab/>
            </w:r>
            <w:r>
              <w:rPr>
                <w:noProof/>
                <w:webHidden/>
              </w:rPr>
              <w:fldChar w:fldCharType="begin"/>
            </w:r>
            <w:r>
              <w:rPr>
                <w:noProof/>
                <w:webHidden/>
              </w:rPr>
              <w:instrText xml:space="preserve"> PAGEREF _Toc222500455 \h </w:instrText>
            </w:r>
            <w:r>
              <w:rPr>
                <w:noProof/>
                <w:webHidden/>
              </w:rPr>
            </w:r>
            <w:r>
              <w:rPr>
                <w:noProof/>
                <w:webHidden/>
              </w:rPr>
              <w:fldChar w:fldCharType="separate"/>
            </w:r>
            <w:r>
              <w:rPr>
                <w:noProof/>
                <w:webHidden/>
              </w:rPr>
              <w:t>23</w:t>
            </w:r>
            <w:r>
              <w:rPr>
                <w:noProof/>
                <w:webHidden/>
              </w:rPr>
              <w:fldChar w:fldCharType="end"/>
            </w:r>
          </w:hyperlink>
        </w:p>
        <w:p w14:paraId="042C7C7C" w14:textId="38496B95"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56" w:history="1">
            <w:r w:rsidRPr="00391F1D">
              <w:rPr>
                <w:rStyle w:val="Hyperlink"/>
                <w:noProof/>
              </w:rPr>
              <w:t>Petroleum exploration</w:t>
            </w:r>
            <w:r>
              <w:rPr>
                <w:noProof/>
                <w:webHidden/>
              </w:rPr>
              <w:tab/>
            </w:r>
            <w:r>
              <w:rPr>
                <w:noProof/>
                <w:webHidden/>
              </w:rPr>
              <w:fldChar w:fldCharType="begin"/>
            </w:r>
            <w:r>
              <w:rPr>
                <w:noProof/>
                <w:webHidden/>
              </w:rPr>
              <w:instrText xml:space="preserve"> PAGEREF _Toc222500456 \h </w:instrText>
            </w:r>
            <w:r>
              <w:rPr>
                <w:noProof/>
                <w:webHidden/>
              </w:rPr>
            </w:r>
            <w:r>
              <w:rPr>
                <w:noProof/>
                <w:webHidden/>
              </w:rPr>
              <w:fldChar w:fldCharType="separate"/>
            </w:r>
            <w:r>
              <w:rPr>
                <w:noProof/>
                <w:webHidden/>
              </w:rPr>
              <w:t>25</w:t>
            </w:r>
            <w:r>
              <w:rPr>
                <w:noProof/>
                <w:webHidden/>
              </w:rPr>
              <w:fldChar w:fldCharType="end"/>
            </w:r>
          </w:hyperlink>
        </w:p>
        <w:p w14:paraId="39B042FD" w14:textId="695702C2"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57" w:history="1">
            <w:r w:rsidRPr="00391F1D">
              <w:rPr>
                <w:rStyle w:val="Hyperlink"/>
                <w:noProof/>
              </w:rPr>
              <w:t>Petroleum development milestones</w:t>
            </w:r>
            <w:r>
              <w:rPr>
                <w:noProof/>
                <w:webHidden/>
              </w:rPr>
              <w:tab/>
            </w:r>
            <w:r>
              <w:rPr>
                <w:noProof/>
                <w:webHidden/>
              </w:rPr>
              <w:fldChar w:fldCharType="begin"/>
            </w:r>
            <w:r>
              <w:rPr>
                <w:noProof/>
                <w:webHidden/>
              </w:rPr>
              <w:instrText xml:space="preserve"> PAGEREF _Toc222500457 \h </w:instrText>
            </w:r>
            <w:r>
              <w:rPr>
                <w:noProof/>
                <w:webHidden/>
              </w:rPr>
            </w:r>
            <w:r>
              <w:rPr>
                <w:noProof/>
                <w:webHidden/>
              </w:rPr>
              <w:fldChar w:fldCharType="separate"/>
            </w:r>
            <w:r>
              <w:rPr>
                <w:noProof/>
                <w:webHidden/>
              </w:rPr>
              <w:t>26</w:t>
            </w:r>
            <w:r>
              <w:rPr>
                <w:noProof/>
                <w:webHidden/>
              </w:rPr>
              <w:fldChar w:fldCharType="end"/>
            </w:r>
          </w:hyperlink>
        </w:p>
        <w:p w14:paraId="3A06C89D" w14:textId="22D87B15"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58" w:history="1">
            <w:r w:rsidRPr="00391F1D">
              <w:rPr>
                <w:rStyle w:val="Hyperlink"/>
                <w:noProof/>
              </w:rPr>
              <w:t>Production – offshore basins</w:t>
            </w:r>
            <w:r>
              <w:rPr>
                <w:noProof/>
                <w:webHidden/>
              </w:rPr>
              <w:tab/>
            </w:r>
            <w:r>
              <w:rPr>
                <w:noProof/>
                <w:webHidden/>
              </w:rPr>
              <w:fldChar w:fldCharType="begin"/>
            </w:r>
            <w:r>
              <w:rPr>
                <w:noProof/>
                <w:webHidden/>
              </w:rPr>
              <w:instrText xml:space="preserve"> PAGEREF _Toc222500458 \h </w:instrText>
            </w:r>
            <w:r>
              <w:rPr>
                <w:noProof/>
                <w:webHidden/>
              </w:rPr>
            </w:r>
            <w:r>
              <w:rPr>
                <w:noProof/>
                <w:webHidden/>
              </w:rPr>
              <w:fldChar w:fldCharType="separate"/>
            </w:r>
            <w:r>
              <w:rPr>
                <w:noProof/>
                <w:webHidden/>
              </w:rPr>
              <w:t>27</w:t>
            </w:r>
            <w:r>
              <w:rPr>
                <w:noProof/>
                <w:webHidden/>
              </w:rPr>
              <w:fldChar w:fldCharType="end"/>
            </w:r>
          </w:hyperlink>
        </w:p>
        <w:p w14:paraId="314B0DAC" w14:textId="3FB32FC1"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59" w:history="1">
            <w:r w:rsidRPr="00391F1D">
              <w:rPr>
                <w:rStyle w:val="Hyperlink"/>
                <w:rFonts w:eastAsia="Aptos"/>
                <w:noProof/>
              </w:rPr>
              <w:t>GHG storage activity</w:t>
            </w:r>
            <w:r>
              <w:rPr>
                <w:noProof/>
                <w:webHidden/>
              </w:rPr>
              <w:tab/>
            </w:r>
            <w:r>
              <w:rPr>
                <w:noProof/>
                <w:webHidden/>
              </w:rPr>
              <w:fldChar w:fldCharType="begin"/>
            </w:r>
            <w:r>
              <w:rPr>
                <w:noProof/>
                <w:webHidden/>
              </w:rPr>
              <w:instrText xml:space="preserve"> PAGEREF _Toc222500459 \h </w:instrText>
            </w:r>
            <w:r>
              <w:rPr>
                <w:noProof/>
                <w:webHidden/>
              </w:rPr>
            </w:r>
            <w:r>
              <w:rPr>
                <w:noProof/>
                <w:webHidden/>
              </w:rPr>
              <w:fldChar w:fldCharType="separate"/>
            </w:r>
            <w:r>
              <w:rPr>
                <w:noProof/>
                <w:webHidden/>
              </w:rPr>
              <w:t>30</w:t>
            </w:r>
            <w:r>
              <w:rPr>
                <w:noProof/>
                <w:webHidden/>
              </w:rPr>
              <w:fldChar w:fldCharType="end"/>
            </w:r>
          </w:hyperlink>
        </w:p>
        <w:p w14:paraId="275842C6" w14:textId="0AA89E32"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60" w:history="1">
            <w:r w:rsidRPr="00391F1D">
              <w:rPr>
                <w:rStyle w:val="Hyperlink"/>
                <w:rFonts w:eastAsia="Calibri"/>
                <w:noProof/>
              </w:rPr>
              <w:t>GHG storage activity insights</w:t>
            </w:r>
            <w:r>
              <w:rPr>
                <w:noProof/>
                <w:webHidden/>
              </w:rPr>
              <w:tab/>
            </w:r>
            <w:r>
              <w:rPr>
                <w:noProof/>
                <w:webHidden/>
              </w:rPr>
              <w:fldChar w:fldCharType="begin"/>
            </w:r>
            <w:r>
              <w:rPr>
                <w:noProof/>
                <w:webHidden/>
              </w:rPr>
              <w:instrText xml:space="preserve"> PAGEREF _Toc222500460 \h </w:instrText>
            </w:r>
            <w:r>
              <w:rPr>
                <w:noProof/>
                <w:webHidden/>
              </w:rPr>
            </w:r>
            <w:r>
              <w:rPr>
                <w:noProof/>
                <w:webHidden/>
              </w:rPr>
              <w:fldChar w:fldCharType="separate"/>
            </w:r>
            <w:r>
              <w:rPr>
                <w:noProof/>
                <w:webHidden/>
              </w:rPr>
              <w:t>31</w:t>
            </w:r>
            <w:r>
              <w:rPr>
                <w:noProof/>
                <w:webHidden/>
              </w:rPr>
              <w:fldChar w:fldCharType="end"/>
            </w:r>
          </w:hyperlink>
        </w:p>
        <w:p w14:paraId="00065DC1" w14:textId="2F01B249"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61" w:history="1">
            <w:r w:rsidRPr="00391F1D">
              <w:rPr>
                <w:rStyle w:val="Hyperlink"/>
                <w:noProof/>
              </w:rPr>
              <w:t>Declaration of an identified storage formation</w:t>
            </w:r>
            <w:r>
              <w:rPr>
                <w:noProof/>
                <w:webHidden/>
              </w:rPr>
              <w:tab/>
            </w:r>
            <w:r>
              <w:rPr>
                <w:noProof/>
                <w:webHidden/>
              </w:rPr>
              <w:fldChar w:fldCharType="begin"/>
            </w:r>
            <w:r>
              <w:rPr>
                <w:noProof/>
                <w:webHidden/>
              </w:rPr>
              <w:instrText xml:space="preserve"> PAGEREF _Toc222500461 \h </w:instrText>
            </w:r>
            <w:r>
              <w:rPr>
                <w:noProof/>
                <w:webHidden/>
              </w:rPr>
            </w:r>
            <w:r>
              <w:rPr>
                <w:noProof/>
                <w:webHidden/>
              </w:rPr>
              <w:fldChar w:fldCharType="separate"/>
            </w:r>
            <w:r>
              <w:rPr>
                <w:noProof/>
                <w:webHidden/>
              </w:rPr>
              <w:t>32</w:t>
            </w:r>
            <w:r>
              <w:rPr>
                <w:noProof/>
                <w:webHidden/>
              </w:rPr>
              <w:fldChar w:fldCharType="end"/>
            </w:r>
          </w:hyperlink>
        </w:p>
        <w:p w14:paraId="0F4774F5" w14:textId="6DF33EB4" w:rsidR="00C91423" w:rsidRDefault="00C91423">
          <w:pPr>
            <w:pStyle w:val="TOC2"/>
            <w:tabs>
              <w:tab w:val="right" w:leader="dot" w:pos="9016"/>
            </w:tabs>
            <w:rPr>
              <w:rFonts w:eastAsiaTheme="minorEastAsia"/>
              <w:noProof/>
              <w:kern w:val="2"/>
              <w:sz w:val="24"/>
              <w:szCs w:val="24"/>
              <w:lang w:eastAsia="en-AU"/>
              <w14:ligatures w14:val="standardContextual"/>
            </w:rPr>
          </w:pPr>
          <w:hyperlink w:anchor="_Toc222500462" w:history="1">
            <w:r w:rsidRPr="00391F1D">
              <w:rPr>
                <w:rStyle w:val="Hyperlink"/>
                <w:noProof/>
              </w:rPr>
              <w:t>Governance and strategy</w:t>
            </w:r>
            <w:r>
              <w:rPr>
                <w:noProof/>
                <w:webHidden/>
              </w:rPr>
              <w:tab/>
            </w:r>
            <w:r>
              <w:rPr>
                <w:noProof/>
                <w:webHidden/>
              </w:rPr>
              <w:fldChar w:fldCharType="begin"/>
            </w:r>
            <w:r>
              <w:rPr>
                <w:noProof/>
                <w:webHidden/>
              </w:rPr>
              <w:instrText xml:space="preserve"> PAGEREF _Toc222500462 \h </w:instrText>
            </w:r>
            <w:r>
              <w:rPr>
                <w:noProof/>
                <w:webHidden/>
              </w:rPr>
            </w:r>
            <w:r>
              <w:rPr>
                <w:noProof/>
                <w:webHidden/>
              </w:rPr>
              <w:fldChar w:fldCharType="separate"/>
            </w:r>
            <w:r>
              <w:rPr>
                <w:noProof/>
                <w:webHidden/>
              </w:rPr>
              <w:t>33</w:t>
            </w:r>
            <w:r>
              <w:rPr>
                <w:noProof/>
                <w:webHidden/>
              </w:rPr>
              <w:fldChar w:fldCharType="end"/>
            </w:r>
          </w:hyperlink>
        </w:p>
        <w:p w14:paraId="435E8531" w14:textId="0F69DE1C"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63" w:history="1">
            <w:r w:rsidRPr="00391F1D">
              <w:rPr>
                <w:rStyle w:val="Hyperlink"/>
                <w:rFonts w:eastAsia="Calibri"/>
                <w:noProof/>
              </w:rPr>
              <w:t>Governance</w:t>
            </w:r>
            <w:r>
              <w:rPr>
                <w:noProof/>
                <w:webHidden/>
              </w:rPr>
              <w:tab/>
            </w:r>
            <w:r>
              <w:rPr>
                <w:noProof/>
                <w:webHidden/>
              </w:rPr>
              <w:fldChar w:fldCharType="begin"/>
            </w:r>
            <w:r>
              <w:rPr>
                <w:noProof/>
                <w:webHidden/>
              </w:rPr>
              <w:instrText xml:space="preserve"> PAGEREF _Toc222500463 \h </w:instrText>
            </w:r>
            <w:r>
              <w:rPr>
                <w:noProof/>
                <w:webHidden/>
              </w:rPr>
            </w:r>
            <w:r>
              <w:rPr>
                <w:noProof/>
                <w:webHidden/>
              </w:rPr>
              <w:fldChar w:fldCharType="separate"/>
            </w:r>
            <w:r>
              <w:rPr>
                <w:noProof/>
                <w:webHidden/>
              </w:rPr>
              <w:t>33</w:t>
            </w:r>
            <w:r>
              <w:rPr>
                <w:noProof/>
                <w:webHidden/>
              </w:rPr>
              <w:fldChar w:fldCharType="end"/>
            </w:r>
          </w:hyperlink>
        </w:p>
        <w:p w14:paraId="1C28740D" w14:textId="5A572DEE"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64" w:history="1">
            <w:r w:rsidRPr="00391F1D">
              <w:rPr>
                <w:rStyle w:val="Hyperlink"/>
                <w:noProof/>
              </w:rPr>
              <w:t>Pillar 1: Resource stewardship</w:t>
            </w:r>
            <w:r>
              <w:rPr>
                <w:noProof/>
                <w:webHidden/>
              </w:rPr>
              <w:tab/>
            </w:r>
            <w:r>
              <w:rPr>
                <w:noProof/>
                <w:webHidden/>
              </w:rPr>
              <w:fldChar w:fldCharType="begin"/>
            </w:r>
            <w:r>
              <w:rPr>
                <w:noProof/>
                <w:webHidden/>
              </w:rPr>
              <w:instrText xml:space="preserve"> PAGEREF _Toc222500464 \h </w:instrText>
            </w:r>
            <w:r>
              <w:rPr>
                <w:noProof/>
                <w:webHidden/>
              </w:rPr>
            </w:r>
            <w:r>
              <w:rPr>
                <w:noProof/>
                <w:webHidden/>
              </w:rPr>
              <w:fldChar w:fldCharType="separate"/>
            </w:r>
            <w:r>
              <w:rPr>
                <w:noProof/>
                <w:webHidden/>
              </w:rPr>
              <w:t>34</w:t>
            </w:r>
            <w:r>
              <w:rPr>
                <w:noProof/>
                <w:webHidden/>
              </w:rPr>
              <w:fldChar w:fldCharType="end"/>
            </w:r>
          </w:hyperlink>
        </w:p>
        <w:p w14:paraId="56F8D06B" w14:textId="0C496CAB"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65" w:history="1">
            <w:r w:rsidRPr="00391F1D">
              <w:rPr>
                <w:rStyle w:val="Hyperlink"/>
                <w:noProof/>
              </w:rPr>
              <w:t>Pillar 2: Leveraging information and technology</w:t>
            </w:r>
            <w:r>
              <w:rPr>
                <w:noProof/>
                <w:webHidden/>
              </w:rPr>
              <w:tab/>
            </w:r>
            <w:r>
              <w:rPr>
                <w:noProof/>
                <w:webHidden/>
              </w:rPr>
              <w:fldChar w:fldCharType="begin"/>
            </w:r>
            <w:r>
              <w:rPr>
                <w:noProof/>
                <w:webHidden/>
              </w:rPr>
              <w:instrText xml:space="preserve"> PAGEREF _Toc222500465 \h </w:instrText>
            </w:r>
            <w:r>
              <w:rPr>
                <w:noProof/>
                <w:webHidden/>
              </w:rPr>
            </w:r>
            <w:r>
              <w:rPr>
                <w:noProof/>
                <w:webHidden/>
              </w:rPr>
              <w:fldChar w:fldCharType="separate"/>
            </w:r>
            <w:r>
              <w:rPr>
                <w:noProof/>
                <w:webHidden/>
              </w:rPr>
              <w:t>38</w:t>
            </w:r>
            <w:r>
              <w:rPr>
                <w:noProof/>
                <w:webHidden/>
              </w:rPr>
              <w:fldChar w:fldCharType="end"/>
            </w:r>
          </w:hyperlink>
        </w:p>
        <w:p w14:paraId="22606D78" w14:textId="14BE4989"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66" w:history="1">
            <w:r w:rsidRPr="00391F1D">
              <w:rPr>
                <w:rStyle w:val="Hyperlink"/>
                <w:noProof/>
              </w:rPr>
              <w:t>Pillar 3: Engagement</w:t>
            </w:r>
            <w:r>
              <w:rPr>
                <w:noProof/>
                <w:webHidden/>
              </w:rPr>
              <w:tab/>
            </w:r>
            <w:r>
              <w:rPr>
                <w:noProof/>
                <w:webHidden/>
              </w:rPr>
              <w:fldChar w:fldCharType="begin"/>
            </w:r>
            <w:r>
              <w:rPr>
                <w:noProof/>
                <w:webHidden/>
              </w:rPr>
              <w:instrText xml:space="preserve"> PAGEREF _Toc222500466 \h </w:instrText>
            </w:r>
            <w:r>
              <w:rPr>
                <w:noProof/>
                <w:webHidden/>
              </w:rPr>
            </w:r>
            <w:r>
              <w:rPr>
                <w:noProof/>
                <w:webHidden/>
              </w:rPr>
              <w:fldChar w:fldCharType="separate"/>
            </w:r>
            <w:r>
              <w:rPr>
                <w:noProof/>
                <w:webHidden/>
              </w:rPr>
              <w:t>39</w:t>
            </w:r>
            <w:r>
              <w:rPr>
                <w:noProof/>
                <w:webHidden/>
              </w:rPr>
              <w:fldChar w:fldCharType="end"/>
            </w:r>
          </w:hyperlink>
        </w:p>
        <w:p w14:paraId="68544AD7" w14:textId="2319ECD5" w:rsidR="00C91423" w:rsidRDefault="00C91423">
          <w:pPr>
            <w:pStyle w:val="TOC2"/>
            <w:tabs>
              <w:tab w:val="right" w:leader="dot" w:pos="9016"/>
            </w:tabs>
            <w:rPr>
              <w:rFonts w:eastAsiaTheme="minorEastAsia"/>
              <w:noProof/>
              <w:kern w:val="2"/>
              <w:sz w:val="24"/>
              <w:szCs w:val="24"/>
              <w:lang w:eastAsia="en-AU"/>
              <w14:ligatures w14:val="standardContextual"/>
            </w:rPr>
          </w:pPr>
          <w:hyperlink w:anchor="_Toc222500467" w:history="1">
            <w:r w:rsidRPr="00391F1D">
              <w:rPr>
                <w:rStyle w:val="Hyperlink"/>
                <w:iCs/>
                <w:noProof/>
              </w:rPr>
              <w:t>2025 Stakeholder engagement – preparing for our next survey</w:t>
            </w:r>
            <w:r>
              <w:rPr>
                <w:noProof/>
                <w:webHidden/>
              </w:rPr>
              <w:tab/>
            </w:r>
            <w:r>
              <w:rPr>
                <w:noProof/>
                <w:webHidden/>
              </w:rPr>
              <w:fldChar w:fldCharType="begin"/>
            </w:r>
            <w:r>
              <w:rPr>
                <w:noProof/>
                <w:webHidden/>
              </w:rPr>
              <w:instrText xml:space="preserve"> PAGEREF _Toc222500467 \h </w:instrText>
            </w:r>
            <w:r>
              <w:rPr>
                <w:noProof/>
                <w:webHidden/>
              </w:rPr>
            </w:r>
            <w:r>
              <w:rPr>
                <w:noProof/>
                <w:webHidden/>
              </w:rPr>
              <w:fldChar w:fldCharType="separate"/>
            </w:r>
            <w:r>
              <w:rPr>
                <w:noProof/>
                <w:webHidden/>
              </w:rPr>
              <w:t>40</w:t>
            </w:r>
            <w:r>
              <w:rPr>
                <w:noProof/>
                <w:webHidden/>
              </w:rPr>
              <w:fldChar w:fldCharType="end"/>
            </w:r>
          </w:hyperlink>
        </w:p>
        <w:p w14:paraId="04C8076E" w14:textId="65D6D6E5"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68" w:history="1">
            <w:r w:rsidRPr="00391F1D">
              <w:rPr>
                <w:rStyle w:val="Hyperlink"/>
                <w:noProof/>
              </w:rPr>
              <w:t>Pillar 4: Regulatory excellence</w:t>
            </w:r>
            <w:r>
              <w:rPr>
                <w:noProof/>
                <w:webHidden/>
              </w:rPr>
              <w:tab/>
            </w:r>
            <w:r>
              <w:rPr>
                <w:noProof/>
                <w:webHidden/>
              </w:rPr>
              <w:fldChar w:fldCharType="begin"/>
            </w:r>
            <w:r>
              <w:rPr>
                <w:noProof/>
                <w:webHidden/>
              </w:rPr>
              <w:instrText xml:space="preserve"> PAGEREF _Toc222500468 \h </w:instrText>
            </w:r>
            <w:r>
              <w:rPr>
                <w:noProof/>
                <w:webHidden/>
              </w:rPr>
            </w:r>
            <w:r>
              <w:rPr>
                <w:noProof/>
                <w:webHidden/>
              </w:rPr>
              <w:fldChar w:fldCharType="separate"/>
            </w:r>
            <w:r>
              <w:rPr>
                <w:noProof/>
                <w:webHidden/>
              </w:rPr>
              <w:t>41</w:t>
            </w:r>
            <w:r>
              <w:rPr>
                <w:noProof/>
                <w:webHidden/>
              </w:rPr>
              <w:fldChar w:fldCharType="end"/>
            </w:r>
          </w:hyperlink>
        </w:p>
        <w:p w14:paraId="08D1BAF7" w14:textId="38751B9D" w:rsidR="00C91423" w:rsidRDefault="00C91423">
          <w:pPr>
            <w:pStyle w:val="TOC2"/>
            <w:tabs>
              <w:tab w:val="right" w:leader="dot" w:pos="9016"/>
            </w:tabs>
            <w:rPr>
              <w:rFonts w:eastAsiaTheme="minorEastAsia"/>
              <w:noProof/>
              <w:kern w:val="2"/>
              <w:sz w:val="24"/>
              <w:szCs w:val="24"/>
              <w:lang w:eastAsia="en-AU"/>
              <w14:ligatures w14:val="standardContextual"/>
            </w:rPr>
          </w:pPr>
          <w:hyperlink w:anchor="_Toc222500469" w:history="1">
            <w:r w:rsidRPr="00391F1D">
              <w:rPr>
                <w:rStyle w:val="Hyperlink"/>
                <w:noProof/>
              </w:rPr>
              <w:t>Performance outcomes</w:t>
            </w:r>
            <w:r>
              <w:rPr>
                <w:noProof/>
                <w:webHidden/>
              </w:rPr>
              <w:tab/>
            </w:r>
            <w:r>
              <w:rPr>
                <w:noProof/>
                <w:webHidden/>
              </w:rPr>
              <w:fldChar w:fldCharType="begin"/>
            </w:r>
            <w:r>
              <w:rPr>
                <w:noProof/>
                <w:webHidden/>
              </w:rPr>
              <w:instrText xml:space="preserve"> PAGEREF _Toc222500469 \h </w:instrText>
            </w:r>
            <w:r>
              <w:rPr>
                <w:noProof/>
                <w:webHidden/>
              </w:rPr>
            </w:r>
            <w:r>
              <w:rPr>
                <w:noProof/>
                <w:webHidden/>
              </w:rPr>
              <w:fldChar w:fldCharType="separate"/>
            </w:r>
            <w:r>
              <w:rPr>
                <w:noProof/>
                <w:webHidden/>
              </w:rPr>
              <w:t>44</w:t>
            </w:r>
            <w:r>
              <w:rPr>
                <w:noProof/>
                <w:webHidden/>
              </w:rPr>
              <w:fldChar w:fldCharType="end"/>
            </w:r>
          </w:hyperlink>
        </w:p>
        <w:p w14:paraId="70FE4B74" w14:textId="48059E65"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70" w:history="1">
            <w:r w:rsidRPr="00391F1D">
              <w:rPr>
                <w:rStyle w:val="Hyperlink"/>
                <w:noProof/>
              </w:rPr>
              <w:t>Who does what in government?</w:t>
            </w:r>
            <w:r>
              <w:rPr>
                <w:noProof/>
                <w:webHidden/>
              </w:rPr>
              <w:tab/>
            </w:r>
            <w:r>
              <w:rPr>
                <w:noProof/>
                <w:webHidden/>
              </w:rPr>
              <w:fldChar w:fldCharType="begin"/>
            </w:r>
            <w:r>
              <w:rPr>
                <w:noProof/>
                <w:webHidden/>
              </w:rPr>
              <w:instrText xml:space="preserve"> PAGEREF _Toc222500470 \h </w:instrText>
            </w:r>
            <w:r>
              <w:rPr>
                <w:noProof/>
                <w:webHidden/>
              </w:rPr>
            </w:r>
            <w:r>
              <w:rPr>
                <w:noProof/>
                <w:webHidden/>
              </w:rPr>
              <w:fldChar w:fldCharType="separate"/>
            </w:r>
            <w:r>
              <w:rPr>
                <w:noProof/>
                <w:webHidden/>
              </w:rPr>
              <w:t>51</w:t>
            </w:r>
            <w:r>
              <w:rPr>
                <w:noProof/>
                <w:webHidden/>
              </w:rPr>
              <w:fldChar w:fldCharType="end"/>
            </w:r>
          </w:hyperlink>
        </w:p>
        <w:p w14:paraId="66A1840B" w14:textId="32AE2B74" w:rsidR="00C91423" w:rsidRDefault="00C91423">
          <w:pPr>
            <w:pStyle w:val="TOC2"/>
            <w:tabs>
              <w:tab w:val="right" w:leader="dot" w:pos="9016"/>
            </w:tabs>
            <w:rPr>
              <w:rFonts w:eastAsiaTheme="minorEastAsia"/>
              <w:noProof/>
              <w:kern w:val="2"/>
              <w:sz w:val="24"/>
              <w:szCs w:val="24"/>
              <w:lang w:eastAsia="en-AU"/>
              <w14:ligatures w14:val="standardContextual"/>
            </w:rPr>
          </w:pPr>
          <w:hyperlink w:anchor="_Toc222500471" w:history="1">
            <w:r w:rsidRPr="00391F1D">
              <w:rPr>
                <w:rStyle w:val="Hyperlink"/>
                <w:noProof/>
              </w:rPr>
              <w:t>Financials</w:t>
            </w:r>
            <w:r>
              <w:rPr>
                <w:noProof/>
                <w:webHidden/>
              </w:rPr>
              <w:tab/>
            </w:r>
            <w:r>
              <w:rPr>
                <w:noProof/>
                <w:webHidden/>
              </w:rPr>
              <w:fldChar w:fldCharType="begin"/>
            </w:r>
            <w:r>
              <w:rPr>
                <w:noProof/>
                <w:webHidden/>
              </w:rPr>
              <w:instrText xml:space="preserve"> PAGEREF _Toc222500471 \h </w:instrText>
            </w:r>
            <w:r>
              <w:rPr>
                <w:noProof/>
                <w:webHidden/>
              </w:rPr>
            </w:r>
            <w:r>
              <w:rPr>
                <w:noProof/>
                <w:webHidden/>
              </w:rPr>
              <w:fldChar w:fldCharType="separate"/>
            </w:r>
            <w:r>
              <w:rPr>
                <w:noProof/>
                <w:webHidden/>
              </w:rPr>
              <w:t>54</w:t>
            </w:r>
            <w:r>
              <w:rPr>
                <w:noProof/>
                <w:webHidden/>
              </w:rPr>
              <w:fldChar w:fldCharType="end"/>
            </w:r>
          </w:hyperlink>
        </w:p>
        <w:p w14:paraId="5D539135" w14:textId="67C4DCF9"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72" w:history="1">
            <w:r w:rsidRPr="00391F1D">
              <w:rPr>
                <w:rStyle w:val="Hyperlink"/>
                <w:noProof/>
              </w:rPr>
              <w:t>OPGGS Act – Cost recovery overview</w:t>
            </w:r>
            <w:r>
              <w:rPr>
                <w:noProof/>
                <w:webHidden/>
              </w:rPr>
              <w:tab/>
            </w:r>
            <w:r>
              <w:rPr>
                <w:noProof/>
                <w:webHidden/>
              </w:rPr>
              <w:fldChar w:fldCharType="begin"/>
            </w:r>
            <w:r>
              <w:rPr>
                <w:noProof/>
                <w:webHidden/>
              </w:rPr>
              <w:instrText xml:space="preserve"> PAGEREF _Toc222500472 \h </w:instrText>
            </w:r>
            <w:r>
              <w:rPr>
                <w:noProof/>
                <w:webHidden/>
              </w:rPr>
            </w:r>
            <w:r>
              <w:rPr>
                <w:noProof/>
                <w:webHidden/>
              </w:rPr>
              <w:fldChar w:fldCharType="separate"/>
            </w:r>
            <w:r>
              <w:rPr>
                <w:noProof/>
                <w:webHidden/>
              </w:rPr>
              <w:t>54</w:t>
            </w:r>
            <w:r>
              <w:rPr>
                <w:noProof/>
                <w:webHidden/>
              </w:rPr>
              <w:fldChar w:fldCharType="end"/>
            </w:r>
          </w:hyperlink>
        </w:p>
        <w:p w14:paraId="69F677B7" w14:textId="66F10095"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73" w:history="1">
            <w:r w:rsidRPr="00391F1D">
              <w:rPr>
                <w:rStyle w:val="Hyperlink"/>
                <w:noProof/>
              </w:rPr>
              <w:t>Fees</w:t>
            </w:r>
            <w:r>
              <w:rPr>
                <w:noProof/>
                <w:webHidden/>
              </w:rPr>
              <w:tab/>
            </w:r>
            <w:r>
              <w:rPr>
                <w:noProof/>
                <w:webHidden/>
              </w:rPr>
              <w:fldChar w:fldCharType="begin"/>
            </w:r>
            <w:r>
              <w:rPr>
                <w:noProof/>
                <w:webHidden/>
              </w:rPr>
              <w:instrText xml:space="preserve"> PAGEREF _Toc222500473 \h </w:instrText>
            </w:r>
            <w:r>
              <w:rPr>
                <w:noProof/>
                <w:webHidden/>
              </w:rPr>
            </w:r>
            <w:r>
              <w:rPr>
                <w:noProof/>
                <w:webHidden/>
              </w:rPr>
              <w:fldChar w:fldCharType="separate"/>
            </w:r>
            <w:r>
              <w:rPr>
                <w:noProof/>
                <w:webHidden/>
              </w:rPr>
              <w:t>55</w:t>
            </w:r>
            <w:r>
              <w:rPr>
                <w:noProof/>
                <w:webHidden/>
              </w:rPr>
              <w:fldChar w:fldCharType="end"/>
            </w:r>
          </w:hyperlink>
        </w:p>
        <w:p w14:paraId="2F5BA30A" w14:textId="74EDDA91"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74" w:history="1">
            <w:r w:rsidRPr="00391F1D">
              <w:rPr>
                <w:rStyle w:val="Hyperlink"/>
                <w:noProof/>
              </w:rPr>
              <w:t>OPGGS Act - cost effectiveness and financial results</w:t>
            </w:r>
            <w:r>
              <w:rPr>
                <w:noProof/>
                <w:webHidden/>
              </w:rPr>
              <w:tab/>
            </w:r>
            <w:r>
              <w:rPr>
                <w:noProof/>
                <w:webHidden/>
              </w:rPr>
              <w:fldChar w:fldCharType="begin"/>
            </w:r>
            <w:r>
              <w:rPr>
                <w:noProof/>
                <w:webHidden/>
              </w:rPr>
              <w:instrText xml:space="preserve"> PAGEREF _Toc222500474 \h </w:instrText>
            </w:r>
            <w:r>
              <w:rPr>
                <w:noProof/>
                <w:webHidden/>
              </w:rPr>
            </w:r>
            <w:r>
              <w:rPr>
                <w:noProof/>
                <w:webHidden/>
              </w:rPr>
              <w:fldChar w:fldCharType="separate"/>
            </w:r>
            <w:r>
              <w:rPr>
                <w:noProof/>
                <w:webHidden/>
              </w:rPr>
              <w:t>56</w:t>
            </w:r>
            <w:r>
              <w:rPr>
                <w:noProof/>
                <w:webHidden/>
              </w:rPr>
              <w:fldChar w:fldCharType="end"/>
            </w:r>
          </w:hyperlink>
        </w:p>
        <w:p w14:paraId="698A7E43" w14:textId="2B14DCC4"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75" w:history="1">
            <w:r w:rsidRPr="00391F1D">
              <w:rPr>
                <w:rStyle w:val="Hyperlink"/>
                <w:rFonts w:eastAsia="Aptos"/>
                <w:noProof/>
              </w:rPr>
              <w:t>OEI Act – cost recovery overview</w:t>
            </w:r>
            <w:r>
              <w:rPr>
                <w:noProof/>
                <w:webHidden/>
              </w:rPr>
              <w:tab/>
            </w:r>
            <w:r>
              <w:rPr>
                <w:noProof/>
                <w:webHidden/>
              </w:rPr>
              <w:fldChar w:fldCharType="begin"/>
            </w:r>
            <w:r>
              <w:rPr>
                <w:noProof/>
                <w:webHidden/>
              </w:rPr>
              <w:instrText xml:space="preserve"> PAGEREF _Toc222500475 \h </w:instrText>
            </w:r>
            <w:r>
              <w:rPr>
                <w:noProof/>
                <w:webHidden/>
              </w:rPr>
            </w:r>
            <w:r>
              <w:rPr>
                <w:noProof/>
                <w:webHidden/>
              </w:rPr>
              <w:fldChar w:fldCharType="separate"/>
            </w:r>
            <w:r>
              <w:rPr>
                <w:noProof/>
                <w:webHidden/>
              </w:rPr>
              <w:t>57</w:t>
            </w:r>
            <w:r>
              <w:rPr>
                <w:noProof/>
                <w:webHidden/>
              </w:rPr>
              <w:fldChar w:fldCharType="end"/>
            </w:r>
          </w:hyperlink>
        </w:p>
        <w:p w14:paraId="011AC30F" w14:textId="18D0A964" w:rsidR="00C91423" w:rsidRDefault="00C91423">
          <w:pPr>
            <w:pStyle w:val="TOC3"/>
            <w:tabs>
              <w:tab w:val="right" w:leader="dot" w:pos="9016"/>
            </w:tabs>
            <w:rPr>
              <w:rFonts w:eastAsiaTheme="minorEastAsia"/>
              <w:noProof/>
              <w:kern w:val="2"/>
              <w:sz w:val="24"/>
              <w:szCs w:val="24"/>
              <w:lang w:eastAsia="en-AU"/>
              <w14:ligatures w14:val="standardContextual"/>
            </w:rPr>
          </w:pPr>
          <w:hyperlink w:anchor="_Toc222500476" w:history="1">
            <w:r w:rsidRPr="00391F1D">
              <w:rPr>
                <w:rStyle w:val="Hyperlink"/>
                <w:rFonts w:eastAsia="Aptos"/>
                <w:noProof/>
              </w:rPr>
              <w:t>OEI Act - cost effectiveness and financial results</w:t>
            </w:r>
            <w:r>
              <w:rPr>
                <w:noProof/>
                <w:webHidden/>
              </w:rPr>
              <w:tab/>
            </w:r>
            <w:r>
              <w:rPr>
                <w:noProof/>
                <w:webHidden/>
              </w:rPr>
              <w:fldChar w:fldCharType="begin"/>
            </w:r>
            <w:r>
              <w:rPr>
                <w:noProof/>
                <w:webHidden/>
              </w:rPr>
              <w:instrText xml:space="preserve"> PAGEREF _Toc222500476 \h </w:instrText>
            </w:r>
            <w:r>
              <w:rPr>
                <w:noProof/>
                <w:webHidden/>
              </w:rPr>
            </w:r>
            <w:r>
              <w:rPr>
                <w:noProof/>
                <w:webHidden/>
              </w:rPr>
              <w:fldChar w:fldCharType="separate"/>
            </w:r>
            <w:r>
              <w:rPr>
                <w:noProof/>
                <w:webHidden/>
              </w:rPr>
              <w:t>58</w:t>
            </w:r>
            <w:r>
              <w:rPr>
                <w:noProof/>
                <w:webHidden/>
              </w:rPr>
              <w:fldChar w:fldCharType="end"/>
            </w:r>
          </w:hyperlink>
        </w:p>
        <w:p w14:paraId="1B5FE883" w14:textId="7AB9CD71" w:rsidR="00523ACF" w:rsidRDefault="00523ACF" w:rsidP="00F82D71">
          <w:pPr>
            <w:pStyle w:val="TOC3"/>
            <w:tabs>
              <w:tab w:val="right" w:leader="dot" w:pos="9016"/>
            </w:tabs>
          </w:pPr>
          <w:r>
            <w:rPr>
              <w:bCs/>
              <w:noProof/>
            </w:rPr>
            <w:fldChar w:fldCharType="end"/>
          </w:r>
        </w:p>
      </w:sdtContent>
    </w:sdt>
    <w:p w14:paraId="049C677F" w14:textId="5B236EFC" w:rsidR="00D8142E" w:rsidRDefault="00D8142E">
      <w:pPr>
        <w:spacing w:before="0" w:after="160" w:line="259" w:lineRule="auto"/>
        <w:rPr>
          <w:rFonts w:asciiTheme="majorHAnsi" w:eastAsiaTheme="majorEastAsia" w:hAnsiTheme="majorHAnsi" w:cstheme="majorBidi"/>
          <w:color w:val="15659B" w:themeColor="accent4"/>
          <w:sz w:val="40"/>
          <w:szCs w:val="48"/>
        </w:rPr>
      </w:pPr>
      <w:r>
        <w:br w:type="page"/>
      </w:r>
    </w:p>
    <w:p w14:paraId="16E529FE" w14:textId="6DF5AA8A" w:rsidR="00661806" w:rsidRDefault="005B2E5A" w:rsidP="005B2E5A">
      <w:pPr>
        <w:pStyle w:val="Heading2"/>
      </w:pPr>
      <w:bookmarkStart w:id="13" w:name="_Toc222500436"/>
      <w:r w:rsidDel="000A67A7">
        <w:lastRenderedPageBreak/>
        <w:t>W</w:t>
      </w:r>
      <w:r>
        <w:t>elcome</w:t>
      </w:r>
      <w:bookmarkEnd w:id="13"/>
      <w:r>
        <w:t xml:space="preserve"> </w:t>
      </w:r>
      <w:bookmarkEnd w:id="7"/>
      <w:bookmarkEnd w:id="6"/>
      <w:bookmarkEnd w:id="5"/>
      <w:bookmarkEnd w:id="4"/>
    </w:p>
    <w:p w14:paraId="1C3723D4" w14:textId="15CA45CC" w:rsidR="005B2E5A" w:rsidRDefault="00AC0B0D" w:rsidP="009C775B">
      <w:r w:rsidRPr="00021E93">
        <w:t xml:space="preserve">This is the </w:t>
      </w:r>
      <w:r w:rsidR="0074600B" w:rsidRPr="00021E93">
        <w:t>2</w:t>
      </w:r>
      <w:r w:rsidR="006769A0">
        <w:t>02</w:t>
      </w:r>
      <w:r w:rsidR="0074600B" w:rsidRPr="00021E93">
        <w:t xml:space="preserve">4-25 Annual </w:t>
      </w:r>
      <w:r w:rsidR="008D3DF0">
        <w:t>r</w:t>
      </w:r>
      <w:r w:rsidR="0074600B" w:rsidRPr="00021E93">
        <w:t xml:space="preserve">eport of </w:t>
      </w:r>
      <w:r w:rsidR="008D3DF0">
        <w:t>a</w:t>
      </w:r>
      <w:r w:rsidR="0074600B" w:rsidRPr="00021E93">
        <w:t xml:space="preserve">ctivities for the financial year ending 30 June </w:t>
      </w:r>
      <w:r w:rsidR="00DC4ECC" w:rsidRPr="00021E93">
        <w:t xml:space="preserve">2025. This report outlines the achievements and performance </w:t>
      </w:r>
      <w:r w:rsidR="00B37A4E">
        <w:t xml:space="preserve">of the National Offshore Petroleum Titles Administrator </w:t>
      </w:r>
      <w:r w:rsidR="00857483">
        <w:t xml:space="preserve">(NOPTA or Titles </w:t>
      </w:r>
      <w:r w:rsidR="00F11B7B">
        <w:t>Administrator) and the Offshore Infrastructure Registrar (the Registrar)</w:t>
      </w:r>
      <w:r w:rsidR="0082108B">
        <w:t>. These dual statutory roles are administered by</w:t>
      </w:r>
      <w:r w:rsidR="00863A90">
        <w:t xml:space="preserve"> the NOPTA </w:t>
      </w:r>
      <w:r w:rsidR="00AD240B">
        <w:t>b</w:t>
      </w:r>
      <w:r w:rsidR="00863A90">
        <w:t>ranch within the Department of Industry, Science and Resource</w:t>
      </w:r>
      <w:r w:rsidR="005E2A3B">
        <w:t xml:space="preserve">s, and are </w:t>
      </w:r>
      <w:r w:rsidR="00F71849">
        <w:t xml:space="preserve">integral to supporting a strong offshore resources sector. </w:t>
      </w:r>
    </w:p>
    <w:p w14:paraId="7897B8AE" w14:textId="78BDE3ED" w:rsidR="00DC2F3E" w:rsidRDefault="009013AA" w:rsidP="009C775B">
      <w:r>
        <w:t>This report provides a detailed account of our activities and financials, and reaffirms our commitment to</w:t>
      </w:r>
      <w:r w:rsidR="00C25038">
        <w:t xml:space="preserve"> sound governance, continuous improvement, and the stewardship of Australia’s </w:t>
      </w:r>
      <w:r w:rsidR="004B07C0">
        <w:t xml:space="preserve">offshore energy resources. </w:t>
      </w:r>
    </w:p>
    <w:p w14:paraId="05FFB85B" w14:textId="2046AD6C" w:rsidR="004B07C0" w:rsidRDefault="004B07C0" w:rsidP="009C775B">
      <w:r>
        <w:t>Australia’s offshore energy landscape continues to evolve. In 2024-25, we saw a conti</w:t>
      </w:r>
      <w:r w:rsidR="005924A8">
        <w:t xml:space="preserve">nued progress in the emerging offshore electricity and </w:t>
      </w:r>
      <w:r w:rsidR="000F3C48">
        <w:t xml:space="preserve">greenhouse gas </w:t>
      </w:r>
      <w:r w:rsidR="003102F8">
        <w:t xml:space="preserve">(GHG) </w:t>
      </w:r>
      <w:r w:rsidR="000F3C48">
        <w:t xml:space="preserve">sectors. </w:t>
      </w:r>
      <w:r w:rsidR="004B7ACE">
        <w:t xml:space="preserve">Thirteen feasibility licences have been granted across four </w:t>
      </w:r>
      <w:r w:rsidR="00100FB1">
        <w:t xml:space="preserve">declared zones, with ten currently active </w:t>
      </w:r>
      <w:r w:rsidR="00112D03">
        <w:t xml:space="preserve">near major demand centres. These licences represent a combined potential generation </w:t>
      </w:r>
      <w:r w:rsidR="007B79F8">
        <w:t xml:space="preserve">capacity of 25 gigawatts. </w:t>
      </w:r>
    </w:p>
    <w:p w14:paraId="584DA7CC" w14:textId="4F7D5BE7" w:rsidR="007B79F8" w:rsidRDefault="007B79F8" w:rsidP="009C775B">
      <w:r>
        <w:t xml:space="preserve">Ten </w:t>
      </w:r>
      <w:r w:rsidR="00675744">
        <w:t xml:space="preserve">greenhouse gas </w:t>
      </w:r>
      <w:r w:rsidR="003102F8">
        <w:t xml:space="preserve">assessment permits </w:t>
      </w:r>
      <w:r w:rsidR="002F6B03">
        <w:t>were issued to support exploration of geological formations suitable for</w:t>
      </w:r>
      <w:r w:rsidR="00AA7235">
        <w:t xml:space="preserve"> carbon se</w:t>
      </w:r>
      <w:r w:rsidR="009F6FCC">
        <w:t>questration, contributing to national efforts to reduce</w:t>
      </w:r>
      <w:r w:rsidR="00694F2A">
        <w:t xml:space="preserve"> emissions at scale. </w:t>
      </w:r>
    </w:p>
    <w:p w14:paraId="127FD591" w14:textId="2AFDA53A" w:rsidR="00694F2A" w:rsidRDefault="002F5E01" w:rsidP="009C775B">
      <w:r>
        <w:t xml:space="preserve">The offshore petroleum sector </w:t>
      </w:r>
      <w:r w:rsidR="00DA4FE1">
        <w:t xml:space="preserve">has also continued to consolidate, with titleholders rationalising </w:t>
      </w:r>
      <w:r w:rsidR="00D957D5">
        <w:t xml:space="preserve">portfolios, securing </w:t>
      </w:r>
      <w:r w:rsidR="00DA26BE">
        <w:t xml:space="preserve">long-term access to </w:t>
      </w:r>
      <w:r w:rsidR="0029130D">
        <w:t>infrastructure</w:t>
      </w:r>
      <w:r w:rsidR="005E6FC7">
        <w:t xml:space="preserve">, and exploring opportunities to extend asset life. Two petroleum </w:t>
      </w:r>
      <w:r w:rsidR="000D34A9">
        <w:t xml:space="preserve">production licences </w:t>
      </w:r>
      <w:r w:rsidR="00931E16">
        <w:t xml:space="preserve">were granted in the Otway basin, supporting domestic gas supply </w:t>
      </w:r>
      <w:r w:rsidR="00C97CFE">
        <w:t xml:space="preserve">for the East coast market. </w:t>
      </w:r>
    </w:p>
    <w:p w14:paraId="420972BE" w14:textId="7F7B8F0D" w:rsidR="00C97CFE" w:rsidRDefault="003B02D1" w:rsidP="009C775B">
      <w:r>
        <w:t>Despite the challenges of recent years</w:t>
      </w:r>
      <w:r w:rsidR="004A49B0">
        <w:t>, the branch has consistently delivered against its performance targe</w:t>
      </w:r>
      <w:r w:rsidR="00F91E0D">
        <w:t>ts. In 2024-25, we met our published timeframe</w:t>
      </w:r>
      <w:r w:rsidR="006A7971">
        <w:t>s 99</w:t>
      </w:r>
      <w:r w:rsidR="00724799">
        <w:t>%</w:t>
      </w:r>
      <w:r w:rsidR="006A7971">
        <w:t xml:space="preserve"> of the time – our highest achievement to date. </w:t>
      </w:r>
    </w:p>
    <w:p w14:paraId="6C7E9044" w14:textId="190134F3" w:rsidR="00F71849" w:rsidRDefault="00D26461" w:rsidP="009C775B">
      <w:r>
        <w:t xml:space="preserve">The branch is committed to ensuring offshore energy </w:t>
      </w:r>
      <w:r w:rsidR="001D5F78">
        <w:t xml:space="preserve">resources are managed responsibly and work for the benefit of all Australians. </w:t>
      </w:r>
      <w:r w:rsidR="002E6BDA">
        <w:t xml:space="preserve">We thank our stakeholders for their continued support, engagement and collaboration. </w:t>
      </w:r>
    </w:p>
    <w:p w14:paraId="71DE67DF" w14:textId="5277C53A" w:rsidR="008E47BB" w:rsidRDefault="008E47BB">
      <w:pPr>
        <w:spacing w:before="0" w:after="160" w:line="259" w:lineRule="auto"/>
        <w:rPr>
          <w:sz w:val="24"/>
          <w:szCs w:val="24"/>
        </w:rPr>
      </w:pPr>
      <w:r>
        <w:rPr>
          <w:sz w:val="24"/>
          <w:szCs w:val="24"/>
        </w:rPr>
        <w:br w:type="page"/>
      </w:r>
    </w:p>
    <w:p w14:paraId="79765B04" w14:textId="4BAC1FC1" w:rsidR="0097048D" w:rsidRDefault="000E42E9" w:rsidP="000E42E9">
      <w:pPr>
        <w:pStyle w:val="Heading2"/>
      </w:pPr>
      <w:bookmarkStart w:id="14" w:name="_Toc221544006"/>
      <w:bookmarkStart w:id="15" w:name="_Toc221546085"/>
      <w:bookmarkStart w:id="16" w:name="_Toc221627077"/>
      <w:bookmarkStart w:id="17" w:name="_Toc222500437"/>
      <w:r>
        <w:lastRenderedPageBreak/>
        <w:t>About us</w:t>
      </w:r>
      <w:bookmarkEnd w:id="14"/>
      <w:bookmarkEnd w:id="15"/>
      <w:bookmarkEnd w:id="16"/>
      <w:bookmarkEnd w:id="17"/>
    </w:p>
    <w:p w14:paraId="1E7E7FF4" w14:textId="77777777" w:rsidR="001C08DD" w:rsidRDefault="00243BA3" w:rsidP="00B57EF2">
      <w:pPr>
        <w:pStyle w:val="Heading3"/>
      </w:pPr>
      <w:bookmarkStart w:id="18" w:name="_Toc221544007"/>
      <w:bookmarkStart w:id="19" w:name="_Toc221546086"/>
      <w:bookmarkStart w:id="20" w:name="_Toc221627078"/>
      <w:bookmarkStart w:id="21" w:name="_Toc222500438"/>
      <w:r w:rsidRPr="00FF302D">
        <w:t>Established</w:t>
      </w:r>
      <w:bookmarkEnd w:id="18"/>
      <w:bookmarkEnd w:id="19"/>
      <w:bookmarkEnd w:id="20"/>
      <w:bookmarkEnd w:id="21"/>
    </w:p>
    <w:p w14:paraId="043AA274" w14:textId="7E7D3234" w:rsidR="00243BA3" w:rsidRPr="00FF302D" w:rsidRDefault="00243BA3" w:rsidP="009C775B">
      <w:r w:rsidRPr="00FF302D">
        <w:t xml:space="preserve">On 1 January 2012, the General Manager of the branch was appointed the Titles Administrator under the </w:t>
      </w:r>
      <w:r w:rsidRPr="00FF302D">
        <w:rPr>
          <w:i/>
          <w:iCs/>
        </w:rPr>
        <w:t>Offshore Petroleum and Greenhouse Gas Storage Act 2006</w:t>
      </w:r>
      <w:r w:rsidRPr="00FF302D">
        <w:t xml:space="preserve"> (OPGGS Act) by the Secretary of the Department of Industry, Science, and Resources (DISR). The Titles Administrator is assisted by staff within the NOPTA branch. </w:t>
      </w:r>
    </w:p>
    <w:p w14:paraId="5876E6A0" w14:textId="77777777" w:rsidR="00243BA3" w:rsidRPr="00FF302D" w:rsidRDefault="00243BA3" w:rsidP="009C775B">
      <w:r w:rsidRPr="00FF302D">
        <w:t xml:space="preserve">On 16 December 2022, the General Manager of the NOPTA branch was appointed as the Registrar under the </w:t>
      </w:r>
      <w:r w:rsidRPr="00FF302D">
        <w:rPr>
          <w:i/>
          <w:iCs/>
        </w:rPr>
        <w:t>Offshore Electricity Infrastructure Act 2021</w:t>
      </w:r>
      <w:r w:rsidRPr="00FF302D">
        <w:t xml:space="preserve"> (OEI Act) by the Secretary of the Department of Climate Change, Energy, the Environment and Water (DCCEEW). The Registrar is assisted by staff within the NOPTA branch.  </w:t>
      </w:r>
    </w:p>
    <w:p w14:paraId="647A6196" w14:textId="68E518BA" w:rsidR="00243BA3" w:rsidRPr="00FF302D" w:rsidRDefault="00243BA3" w:rsidP="005B65DE">
      <w:pPr>
        <w:pStyle w:val="Heading3"/>
      </w:pPr>
      <w:bookmarkStart w:id="22" w:name="_Toc221544008"/>
      <w:bookmarkStart w:id="23" w:name="_Toc221546087"/>
      <w:bookmarkStart w:id="24" w:name="_Toc221627079"/>
      <w:bookmarkStart w:id="25" w:name="_Toc222500439"/>
      <w:r w:rsidRPr="00FF302D">
        <w:t xml:space="preserve">Industries </w:t>
      </w:r>
      <w:r w:rsidR="001C08DD">
        <w:t>a</w:t>
      </w:r>
      <w:r w:rsidRPr="00FF302D">
        <w:t>dministered</w:t>
      </w:r>
      <w:bookmarkEnd w:id="22"/>
      <w:bookmarkEnd w:id="23"/>
      <w:bookmarkEnd w:id="24"/>
      <w:bookmarkEnd w:id="25"/>
    </w:p>
    <w:p w14:paraId="45FEB30D" w14:textId="77777777" w:rsidR="00243BA3" w:rsidRPr="00AC718B" w:rsidRDefault="00243BA3" w:rsidP="007953CA">
      <w:pPr>
        <w:pStyle w:val="ListParagraph"/>
      </w:pPr>
      <w:r w:rsidRPr="00AC718B">
        <w:t>Petroleum</w:t>
      </w:r>
    </w:p>
    <w:p w14:paraId="5727C15A" w14:textId="7A6CA68C" w:rsidR="00243BA3" w:rsidRPr="00AC718B" w:rsidRDefault="00243BA3" w:rsidP="00D153C4">
      <w:pPr>
        <w:pStyle w:val="ListParagraph"/>
        <w:numPr>
          <w:ilvl w:val="0"/>
          <w:numId w:val="41"/>
        </w:numPr>
      </w:pPr>
      <w:r w:rsidRPr="00AC718B">
        <w:t xml:space="preserve">Greenhouse </w:t>
      </w:r>
      <w:r w:rsidR="001C08DD" w:rsidRPr="00AC718B">
        <w:t>g</w:t>
      </w:r>
      <w:r w:rsidRPr="00AC718B">
        <w:t xml:space="preserve">as </w:t>
      </w:r>
      <w:r w:rsidR="001C08DD" w:rsidRPr="00AC718B">
        <w:t>s</w:t>
      </w:r>
      <w:r w:rsidRPr="00AC718B">
        <w:t>torage</w:t>
      </w:r>
    </w:p>
    <w:p w14:paraId="2B318C6A" w14:textId="4EC32FD3" w:rsidR="00243BA3" w:rsidRPr="00AC718B" w:rsidRDefault="00243BA3" w:rsidP="00D153C4">
      <w:pPr>
        <w:pStyle w:val="ListParagraph"/>
        <w:numPr>
          <w:ilvl w:val="0"/>
          <w:numId w:val="41"/>
        </w:numPr>
      </w:pPr>
      <w:r w:rsidRPr="00AC718B">
        <w:t xml:space="preserve">Offshore </w:t>
      </w:r>
      <w:r w:rsidR="001C08DD" w:rsidRPr="00AC718B">
        <w:t>e</w:t>
      </w:r>
      <w:r w:rsidRPr="00AC718B">
        <w:t>lectricity.</w:t>
      </w:r>
    </w:p>
    <w:p w14:paraId="26E47582" w14:textId="318644B9" w:rsidR="00243BA3" w:rsidRPr="00FF302D" w:rsidRDefault="00243BA3" w:rsidP="005B65DE">
      <w:pPr>
        <w:pStyle w:val="Heading3"/>
        <w:rPr>
          <w:rStyle w:val="cf01"/>
          <w:rFonts w:asciiTheme="minorHAnsi" w:hAnsiTheme="minorHAnsi"/>
          <w:b/>
          <w:bCs/>
          <w:sz w:val="24"/>
          <w:szCs w:val="24"/>
        </w:rPr>
      </w:pPr>
      <w:bookmarkStart w:id="26" w:name="_Toc221544009"/>
      <w:bookmarkStart w:id="27" w:name="_Toc221546088"/>
      <w:bookmarkStart w:id="28" w:name="_Toc221627080"/>
      <w:bookmarkStart w:id="29" w:name="_Toc222500440"/>
      <w:r w:rsidRPr="005B65DE">
        <w:rPr>
          <w:rStyle w:val="cf01"/>
          <w:rFonts w:asciiTheme="majorHAnsi" w:hAnsiTheme="majorHAnsi" w:cstheme="majorBidi"/>
          <w:sz w:val="36"/>
          <w:szCs w:val="40"/>
        </w:rPr>
        <w:t>Values</w:t>
      </w:r>
      <w:bookmarkEnd w:id="26"/>
      <w:bookmarkEnd w:id="27"/>
      <w:bookmarkEnd w:id="28"/>
      <w:bookmarkEnd w:id="29"/>
    </w:p>
    <w:p w14:paraId="257CBC24" w14:textId="77777777" w:rsidR="00243BA3" w:rsidRPr="00FF302D" w:rsidRDefault="00243BA3" w:rsidP="00000EE8">
      <w:pPr>
        <w:pStyle w:val="ListParagraph"/>
        <w:rPr>
          <w:rStyle w:val="cf01"/>
          <w:rFonts w:asciiTheme="minorHAnsi" w:eastAsiaTheme="majorEastAsia" w:hAnsiTheme="minorHAnsi" w:cs="Arial"/>
          <w:sz w:val="24"/>
          <w:szCs w:val="24"/>
        </w:rPr>
      </w:pPr>
      <w:r w:rsidRPr="00FF302D">
        <w:rPr>
          <w:rStyle w:val="cf11"/>
          <w:rFonts w:asciiTheme="minorHAnsi" w:eastAsiaTheme="majorEastAsia" w:hAnsiTheme="minorHAnsi"/>
          <w:sz w:val="24"/>
          <w:szCs w:val="24"/>
        </w:rPr>
        <w:t xml:space="preserve">We are: </w:t>
      </w:r>
      <w:r w:rsidRPr="00FF302D">
        <w:rPr>
          <w:rStyle w:val="cf01"/>
          <w:rFonts w:asciiTheme="minorHAnsi" w:eastAsiaTheme="majorEastAsia" w:hAnsiTheme="minorHAnsi"/>
          <w:sz w:val="24"/>
          <w:szCs w:val="24"/>
        </w:rPr>
        <w:t xml:space="preserve">innovative, enthusiastic and endeavour to improve the way we work and are flexible, responsive and embrace change. </w:t>
      </w:r>
    </w:p>
    <w:p w14:paraId="3D4A8898" w14:textId="77777777" w:rsidR="00243BA3" w:rsidRPr="00FF302D" w:rsidRDefault="00243BA3" w:rsidP="00000EE8">
      <w:pPr>
        <w:pStyle w:val="ListParagraph"/>
        <w:rPr>
          <w:rStyle w:val="cf01"/>
          <w:rFonts w:asciiTheme="minorHAnsi" w:eastAsiaTheme="majorEastAsia" w:hAnsiTheme="minorHAnsi" w:cs="Arial"/>
          <w:sz w:val="24"/>
          <w:szCs w:val="24"/>
        </w:rPr>
      </w:pPr>
      <w:r w:rsidRPr="00FF302D">
        <w:rPr>
          <w:rStyle w:val="cf11"/>
          <w:rFonts w:asciiTheme="minorHAnsi" w:eastAsiaTheme="majorEastAsia" w:hAnsiTheme="minorHAnsi"/>
          <w:sz w:val="24"/>
          <w:szCs w:val="24"/>
        </w:rPr>
        <w:t xml:space="preserve">Our people: </w:t>
      </w:r>
      <w:r w:rsidRPr="00FF302D">
        <w:rPr>
          <w:rStyle w:val="cf01"/>
          <w:rFonts w:asciiTheme="minorHAnsi" w:eastAsiaTheme="majorEastAsia" w:hAnsiTheme="minorHAnsi"/>
          <w:sz w:val="24"/>
          <w:szCs w:val="24"/>
        </w:rPr>
        <w:t xml:space="preserve">act with honesty and integrity and are inclusive and respect the views of others. </w:t>
      </w:r>
    </w:p>
    <w:p w14:paraId="6F670F0D" w14:textId="47ACB348" w:rsidR="00243BA3" w:rsidRPr="00FF302D" w:rsidRDefault="00590474" w:rsidP="00000EE8">
      <w:pPr>
        <w:pStyle w:val="ListParagraph"/>
        <w:rPr>
          <w:rFonts w:cs="Arial"/>
        </w:rPr>
      </w:pPr>
      <w:r w:rsidRPr="00FF302D">
        <w:rPr>
          <w:rStyle w:val="cf11"/>
          <w:rFonts w:asciiTheme="minorHAnsi" w:eastAsiaTheme="majorEastAsia" w:hAnsiTheme="minorHAnsi"/>
          <w:sz w:val="24"/>
          <w:szCs w:val="24"/>
        </w:rPr>
        <w:t>APS values are:</w:t>
      </w:r>
      <w:r w:rsidRPr="00FF302D">
        <w:rPr>
          <w:rStyle w:val="cf01"/>
          <w:rFonts w:asciiTheme="minorHAnsi" w:eastAsiaTheme="majorEastAsia" w:hAnsiTheme="minorHAnsi" w:cs="Arial"/>
          <w:sz w:val="24"/>
          <w:szCs w:val="24"/>
        </w:rPr>
        <w:t xml:space="preserve"> I</w:t>
      </w:r>
      <w:r w:rsidR="00243BA3" w:rsidRPr="00FF302D">
        <w:rPr>
          <w:rStyle w:val="cf01"/>
          <w:rFonts w:asciiTheme="minorHAnsi" w:eastAsiaTheme="majorEastAsia" w:hAnsiTheme="minorHAnsi"/>
          <w:sz w:val="24"/>
          <w:szCs w:val="24"/>
        </w:rPr>
        <w:t xml:space="preserve">mpartial, </w:t>
      </w:r>
      <w:r w:rsidR="005401D4" w:rsidRPr="00FF302D">
        <w:rPr>
          <w:rStyle w:val="cf01"/>
          <w:rFonts w:asciiTheme="minorHAnsi" w:eastAsiaTheme="majorEastAsia" w:hAnsiTheme="minorHAnsi"/>
          <w:sz w:val="24"/>
          <w:szCs w:val="24"/>
        </w:rPr>
        <w:t xml:space="preserve">committed to service, accountable, respectful, </w:t>
      </w:r>
      <w:r w:rsidR="00CE4FD8" w:rsidRPr="00FF302D">
        <w:rPr>
          <w:rStyle w:val="cf01"/>
          <w:rFonts w:asciiTheme="minorHAnsi" w:eastAsiaTheme="majorEastAsia" w:hAnsiTheme="minorHAnsi"/>
          <w:sz w:val="24"/>
          <w:szCs w:val="24"/>
        </w:rPr>
        <w:t>ethical and s</w:t>
      </w:r>
      <w:r w:rsidR="00243BA3" w:rsidRPr="00FF302D">
        <w:rPr>
          <w:rStyle w:val="cf01"/>
          <w:rFonts w:asciiTheme="minorHAnsi" w:eastAsiaTheme="majorEastAsia" w:hAnsiTheme="minorHAnsi"/>
          <w:sz w:val="24"/>
          <w:szCs w:val="24"/>
        </w:rPr>
        <w:t>t</w:t>
      </w:r>
      <w:r w:rsidR="00CE4FD8" w:rsidRPr="00FF302D">
        <w:rPr>
          <w:rStyle w:val="cf01"/>
          <w:rFonts w:asciiTheme="minorHAnsi" w:eastAsiaTheme="majorEastAsia" w:hAnsiTheme="minorHAnsi"/>
          <w:sz w:val="24"/>
          <w:szCs w:val="24"/>
        </w:rPr>
        <w:t>ewardship</w:t>
      </w:r>
      <w:r w:rsidR="00FF302D" w:rsidRPr="00FF302D">
        <w:rPr>
          <w:rStyle w:val="cf01"/>
          <w:rFonts w:asciiTheme="minorHAnsi" w:eastAsiaTheme="majorEastAsia" w:hAnsiTheme="minorHAnsi"/>
          <w:sz w:val="24"/>
          <w:szCs w:val="24"/>
        </w:rPr>
        <w:t xml:space="preserve">. </w:t>
      </w:r>
    </w:p>
    <w:p w14:paraId="4CF132D5" w14:textId="77777777" w:rsidR="001C08DD" w:rsidRDefault="00243BA3" w:rsidP="005B65DE">
      <w:pPr>
        <w:pStyle w:val="Heading3"/>
      </w:pPr>
      <w:bookmarkStart w:id="30" w:name="_Toc221544010"/>
      <w:bookmarkStart w:id="31" w:name="_Toc221546089"/>
      <w:bookmarkStart w:id="32" w:name="_Toc221627081"/>
      <w:bookmarkStart w:id="33" w:name="_Toc222500441"/>
      <w:r w:rsidRPr="00DE3602">
        <w:t>Purpose</w:t>
      </w:r>
      <w:bookmarkEnd w:id="30"/>
      <w:bookmarkEnd w:id="31"/>
      <w:bookmarkEnd w:id="32"/>
      <w:bookmarkEnd w:id="33"/>
    </w:p>
    <w:p w14:paraId="5FB94BC6" w14:textId="58489CCA" w:rsidR="00243BA3" w:rsidRPr="00DE3602" w:rsidRDefault="00243BA3" w:rsidP="00AC718B">
      <w:r w:rsidRPr="00DE3602">
        <w:t>To advise government and decision makers on the grant and administration of titles and licences, monitor compliance with title and licence conditions, data management and resource stewardship.</w:t>
      </w:r>
    </w:p>
    <w:p w14:paraId="1536E9AB" w14:textId="6F216754" w:rsidR="001C08DD" w:rsidRDefault="001C08DD">
      <w:pPr>
        <w:spacing w:before="0" w:after="160" w:line="259" w:lineRule="auto"/>
        <w:rPr>
          <w:b/>
          <w:bCs/>
          <w:sz w:val="24"/>
          <w:szCs w:val="24"/>
        </w:rPr>
      </w:pPr>
      <w:r>
        <w:rPr>
          <w:b/>
          <w:bCs/>
          <w:sz w:val="24"/>
          <w:szCs w:val="24"/>
        </w:rPr>
        <w:br w:type="page"/>
      </w:r>
    </w:p>
    <w:p w14:paraId="4A418EB6" w14:textId="5B867829" w:rsidR="000E42E9" w:rsidRPr="00DE3602" w:rsidRDefault="00FE263A" w:rsidP="005B65DE">
      <w:pPr>
        <w:pStyle w:val="Heading3"/>
      </w:pPr>
      <w:bookmarkStart w:id="34" w:name="_Toc221544011"/>
      <w:bookmarkStart w:id="35" w:name="_Toc221546090"/>
      <w:bookmarkStart w:id="36" w:name="_Toc221627082"/>
      <w:bookmarkStart w:id="37" w:name="_Toc222500442"/>
      <w:r w:rsidRPr="00DE3602">
        <w:lastRenderedPageBreak/>
        <w:t>Functions</w:t>
      </w:r>
      <w:bookmarkEnd w:id="34"/>
      <w:bookmarkEnd w:id="35"/>
      <w:bookmarkEnd w:id="36"/>
      <w:bookmarkEnd w:id="37"/>
    </w:p>
    <w:p w14:paraId="74B344DE" w14:textId="3B24F21B" w:rsidR="00FE263A" w:rsidRPr="00AC718B" w:rsidRDefault="00FE263A" w:rsidP="00000EE8">
      <w:pPr>
        <w:pStyle w:val="ListParagraph"/>
      </w:pPr>
      <w:r w:rsidRPr="00AC718B">
        <w:t>Provide information, assessments, analysis, reports, advice and recommendations to the relevant decision makers under the OPGGS</w:t>
      </w:r>
      <w:r w:rsidRPr="00AC718B">
        <w:rPr>
          <w:rFonts w:ascii="Arial" w:hAnsi="Arial" w:cs="Arial"/>
        </w:rPr>
        <w:t> </w:t>
      </w:r>
      <w:r w:rsidRPr="00AC718B">
        <w:t>Act and OEI Act  </w:t>
      </w:r>
    </w:p>
    <w:p w14:paraId="1C65F1BC" w14:textId="1368C2EA" w:rsidR="00FE263A" w:rsidRPr="00AC718B" w:rsidRDefault="00FE263A" w:rsidP="00000EE8">
      <w:pPr>
        <w:pStyle w:val="ListParagraph"/>
      </w:pPr>
      <w:r w:rsidRPr="00AC718B">
        <w:t>Facilitate life of title</w:t>
      </w:r>
      <w:r w:rsidR="001B0AC5" w:rsidRPr="00AC718B">
        <w:t xml:space="preserve"> </w:t>
      </w:r>
      <w:r w:rsidRPr="00AC718B">
        <w:t>/</w:t>
      </w:r>
      <w:r w:rsidR="001B0AC5" w:rsidRPr="00AC718B">
        <w:t xml:space="preserve"> </w:t>
      </w:r>
      <w:r w:rsidRPr="00AC718B">
        <w:t>licence administration, including compliance monitoring </w:t>
      </w:r>
    </w:p>
    <w:p w14:paraId="0DF78128" w14:textId="350A51F7" w:rsidR="00FE263A" w:rsidRPr="00AC718B" w:rsidRDefault="00FE263A" w:rsidP="00000EE8">
      <w:pPr>
        <w:pStyle w:val="ListParagraph"/>
      </w:pPr>
      <w:r w:rsidRPr="00AC718B">
        <w:t>Engage with titleholders</w:t>
      </w:r>
      <w:r w:rsidR="001B0AC5" w:rsidRPr="00AC718B">
        <w:t xml:space="preserve"> </w:t>
      </w:r>
      <w:r w:rsidRPr="00AC718B">
        <w:t>/</w:t>
      </w:r>
      <w:r w:rsidR="001B0AC5" w:rsidRPr="00AC718B">
        <w:t xml:space="preserve"> </w:t>
      </w:r>
      <w:r w:rsidRPr="00AC718B">
        <w:t>licence holders on their performance in meeting regulatory obligations and expectations</w:t>
      </w:r>
    </w:p>
    <w:p w14:paraId="6B22966C" w14:textId="67F74B18" w:rsidR="00FE263A" w:rsidRPr="00AC718B" w:rsidRDefault="00FE263A" w:rsidP="00000EE8">
      <w:pPr>
        <w:pStyle w:val="ListParagraph"/>
      </w:pPr>
      <w:r w:rsidRPr="00AC718B">
        <w:t>Manage the submission and release of data  </w:t>
      </w:r>
    </w:p>
    <w:p w14:paraId="28F1A499" w14:textId="1508B3CF" w:rsidR="00FE263A" w:rsidRPr="00AC718B" w:rsidRDefault="00FE263A" w:rsidP="00000EE8">
      <w:pPr>
        <w:pStyle w:val="ListParagraph"/>
      </w:pPr>
      <w:r w:rsidRPr="00AC718B">
        <w:t>Act as decision maker for the approval and registration of a change in control of a company  </w:t>
      </w:r>
    </w:p>
    <w:p w14:paraId="594442B2" w14:textId="09E6C8BF" w:rsidR="00FE263A" w:rsidRPr="00AC718B" w:rsidRDefault="00FE263A" w:rsidP="00000EE8">
      <w:pPr>
        <w:pStyle w:val="ListParagraph"/>
      </w:pPr>
      <w:r w:rsidRPr="00AC718B">
        <w:t xml:space="preserve">Act as decision maker for transfers and dealings, and for granting of short-term petroleum titles and </w:t>
      </w:r>
      <w:r w:rsidR="00477785" w:rsidRPr="00AC718B">
        <w:t>greenhouse gas</w:t>
      </w:r>
      <w:r w:rsidRPr="00AC718B">
        <w:t xml:space="preserve"> titles</w:t>
      </w:r>
    </w:p>
    <w:p w14:paraId="2ABF7A96" w14:textId="75AFF1DE" w:rsidR="00FE263A" w:rsidRPr="00AC718B" w:rsidRDefault="00FE263A" w:rsidP="00000EE8">
      <w:pPr>
        <w:pStyle w:val="ListParagraph"/>
      </w:pPr>
      <w:r w:rsidRPr="00AC718B">
        <w:t xml:space="preserve">Maintain the public registers of offshore petroleum titles, </w:t>
      </w:r>
      <w:r w:rsidR="00477785" w:rsidRPr="00AC718B">
        <w:t xml:space="preserve">greenhouse gas </w:t>
      </w:r>
      <w:r w:rsidRPr="00AC718B">
        <w:t>titles and offshore electricity licences  </w:t>
      </w:r>
    </w:p>
    <w:p w14:paraId="0ECE90C1" w14:textId="58A1F461" w:rsidR="00FE263A" w:rsidRPr="00AC718B" w:rsidRDefault="00FE263A" w:rsidP="00000EE8">
      <w:pPr>
        <w:pStyle w:val="ListParagraph"/>
      </w:pPr>
      <w:r w:rsidRPr="00AC718B">
        <w:t>Cooperate with the National Offshore Petroleum Safety and Environmental Management Authority (NOPSEMA) and the Offshore Infrastructure Regulator (OIR) on matters relating to the administration and enforcement of the OPGGS Act, OEI Act and associated regulations</w:t>
      </w:r>
      <w:r w:rsidR="00B44C2F" w:rsidRPr="00AC718B">
        <w:t>.</w:t>
      </w:r>
      <w:r w:rsidRPr="00AC718B">
        <w:t>  </w:t>
      </w:r>
    </w:p>
    <w:p w14:paraId="024B6AA8" w14:textId="5C8608CA" w:rsidR="003A0296" w:rsidRPr="00DE3602" w:rsidRDefault="00A511BC" w:rsidP="005B65DE">
      <w:pPr>
        <w:pStyle w:val="Heading3"/>
      </w:pPr>
      <w:bookmarkStart w:id="38" w:name="_Toc221544012"/>
      <w:bookmarkStart w:id="39" w:name="_Toc221546091"/>
      <w:bookmarkStart w:id="40" w:name="_Toc221627083"/>
      <w:bookmarkStart w:id="41" w:name="_Toc222500443"/>
      <w:r w:rsidRPr="00A511BC">
        <w:t xml:space="preserve">Principles of </w:t>
      </w:r>
      <w:r w:rsidR="00B44C2F">
        <w:t>r</w:t>
      </w:r>
      <w:r w:rsidRPr="00A511BC">
        <w:t xml:space="preserve">egulator </w:t>
      </w:r>
      <w:r w:rsidR="00B44C2F">
        <w:t>b</w:t>
      </w:r>
      <w:r w:rsidRPr="00A511BC">
        <w:t xml:space="preserve">est </w:t>
      </w:r>
      <w:r w:rsidR="00B44C2F">
        <w:t>p</w:t>
      </w:r>
      <w:r w:rsidRPr="00A511BC">
        <w:t>ractice</w:t>
      </w:r>
      <w:bookmarkEnd w:id="38"/>
      <w:bookmarkEnd w:id="39"/>
      <w:bookmarkEnd w:id="40"/>
      <w:bookmarkEnd w:id="41"/>
      <w:r w:rsidR="003A0296" w:rsidRPr="00DE3602">
        <w:t xml:space="preserve"> </w:t>
      </w:r>
    </w:p>
    <w:p w14:paraId="0C177D13" w14:textId="77777777" w:rsidR="003A0296" w:rsidRPr="00000EE8" w:rsidRDefault="00A511BC" w:rsidP="00000EE8">
      <w:pPr>
        <w:pStyle w:val="ListParagraph"/>
      </w:pPr>
      <w:r w:rsidRPr="00000EE8">
        <w:t>Continuous improvement and building trust</w:t>
      </w:r>
    </w:p>
    <w:p w14:paraId="7FA74464" w14:textId="77777777" w:rsidR="00887520" w:rsidRPr="00000EE8" w:rsidRDefault="00A511BC" w:rsidP="00000EE8">
      <w:pPr>
        <w:pStyle w:val="ListParagraph"/>
      </w:pPr>
      <w:r w:rsidRPr="00000EE8">
        <w:t>Risk based and data driven</w:t>
      </w:r>
    </w:p>
    <w:p w14:paraId="2309559B" w14:textId="0C57997D" w:rsidR="00477785" w:rsidRPr="00000EE8" w:rsidRDefault="00A511BC" w:rsidP="00000EE8">
      <w:pPr>
        <w:pStyle w:val="ListParagraph"/>
      </w:pPr>
      <w:r w:rsidRPr="00000EE8">
        <w:t>Collaboration and engagement.</w:t>
      </w:r>
    </w:p>
    <w:p w14:paraId="6FFDEE02" w14:textId="2DA54E92" w:rsidR="001F2CF5" w:rsidRDefault="00477785">
      <w:pPr>
        <w:spacing w:before="0" w:after="160" w:line="259" w:lineRule="auto"/>
      </w:pPr>
      <w:r>
        <w:rPr>
          <w:sz w:val="24"/>
          <w:szCs w:val="24"/>
        </w:rPr>
        <w:br w:type="page"/>
      </w:r>
    </w:p>
    <w:p w14:paraId="1FEEF0D6" w14:textId="77777777" w:rsidR="000E7A46" w:rsidRDefault="000E7A46" w:rsidP="00456B3F">
      <w:pPr>
        <w:pStyle w:val="Heading3"/>
        <w:sectPr w:rsidR="000E7A46" w:rsidSect="00C81C87">
          <w:headerReference w:type="default" r:id="rId16"/>
          <w:headerReference w:type="first" r:id="rId17"/>
          <w:pgSz w:w="11906" w:h="16838" w:code="9"/>
          <w:pgMar w:top="1276" w:right="1440" w:bottom="1440" w:left="1440" w:header="567" w:footer="708" w:gutter="0"/>
          <w:cols w:space="708"/>
          <w:titlePg/>
          <w:docGrid w:linePitch="360"/>
        </w:sectPr>
      </w:pPr>
      <w:bookmarkStart w:id="42" w:name="_Toc221544013"/>
      <w:bookmarkStart w:id="43" w:name="_Toc221546092"/>
      <w:bookmarkStart w:id="44" w:name="_Toc221627084"/>
    </w:p>
    <w:p w14:paraId="1B46525F" w14:textId="6BFF0BF4" w:rsidR="00456B3F" w:rsidRDefault="00456B3F" w:rsidP="00456B3F">
      <w:pPr>
        <w:pStyle w:val="Heading3"/>
      </w:pPr>
      <w:bookmarkStart w:id="45" w:name="_Toc222500444"/>
      <w:r>
        <w:lastRenderedPageBreak/>
        <w:t>Organisational structure</w:t>
      </w:r>
      <w:bookmarkEnd w:id="42"/>
      <w:bookmarkEnd w:id="43"/>
      <w:bookmarkEnd w:id="44"/>
      <w:bookmarkEnd w:id="45"/>
      <w:r>
        <w:t xml:space="preserve"> </w:t>
      </w:r>
    </w:p>
    <w:p w14:paraId="78CF79BA" w14:textId="1FCB3DE8" w:rsidR="006421B9" w:rsidRPr="006421B9" w:rsidRDefault="006421B9" w:rsidP="006421B9">
      <w:pPr>
        <w:keepNext/>
        <w:rPr>
          <w:noProof/>
        </w:rPr>
      </w:pPr>
      <w:r w:rsidRPr="006421B9">
        <w:rPr>
          <w:noProof/>
        </w:rPr>
        <w:drawing>
          <wp:inline distT="0" distB="0" distL="0" distR="0" wp14:anchorId="342133DD" wp14:editId="21F36C68">
            <wp:extent cx="7307885" cy="4428614"/>
            <wp:effectExtent l="0" t="0" r="7620" b="0"/>
            <wp:docPr id="10625004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38797" cy="4447347"/>
                    </a:xfrm>
                    <a:prstGeom prst="rect">
                      <a:avLst/>
                    </a:prstGeom>
                    <a:noFill/>
                    <a:ln>
                      <a:noFill/>
                    </a:ln>
                  </pic:spPr>
                </pic:pic>
              </a:graphicData>
            </a:graphic>
          </wp:inline>
        </w:drawing>
      </w:r>
    </w:p>
    <w:p w14:paraId="550FAC12" w14:textId="46CB319B" w:rsidR="001D2209" w:rsidRDefault="001D2209" w:rsidP="00F77A29">
      <w:pPr>
        <w:keepNext/>
      </w:pPr>
    </w:p>
    <w:p w14:paraId="55490647" w14:textId="06FCAE7B" w:rsidR="001D2209" w:rsidRDefault="001D2209" w:rsidP="001D2209">
      <w:pPr>
        <w:pStyle w:val="Caption"/>
      </w:pPr>
      <w:r>
        <w:t xml:space="preserve">Figure </w:t>
      </w:r>
      <w:r>
        <w:fldChar w:fldCharType="begin"/>
      </w:r>
      <w:r>
        <w:instrText xml:space="preserve"> SEQ Figure \* ARABIC </w:instrText>
      </w:r>
      <w:r>
        <w:fldChar w:fldCharType="separate"/>
      </w:r>
      <w:r w:rsidR="00CF02F5">
        <w:rPr>
          <w:noProof/>
        </w:rPr>
        <w:t>1</w:t>
      </w:r>
      <w:r>
        <w:fldChar w:fldCharType="end"/>
      </w:r>
      <w:r>
        <w:t>: Organisational structure for NOPTA and the Registrar</w:t>
      </w:r>
    </w:p>
    <w:p w14:paraId="721875E8" w14:textId="77777777" w:rsidR="000E7A46" w:rsidRDefault="000E7A46" w:rsidP="00441909">
      <w:pPr>
        <w:pStyle w:val="Heading4"/>
        <w:sectPr w:rsidR="000E7A46" w:rsidSect="00062015">
          <w:pgSz w:w="16838" w:h="11906" w:orient="landscape" w:code="9"/>
          <w:pgMar w:top="1440" w:right="1276" w:bottom="1440" w:left="1440" w:header="567" w:footer="708" w:gutter="0"/>
          <w:cols w:space="708"/>
          <w:titlePg/>
          <w:docGrid w:linePitch="360"/>
        </w:sectPr>
      </w:pPr>
    </w:p>
    <w:p w14:paraId="71D04BD2" w14:textId="08202066" w:rsidR="000E7A46" w:rsidRPr="00062015" w:rsidRDefault="0090084C" w:rsidP="00441909">
      <w:pPr>
        <w:pStyle w:val="Heading4"/>
        <w:rPr>
          <w:rStyle w:val="Strong"/>
          <w:color w:val="auto"/>
        </w:rPr>
      </w:pPr>
      <w:r w:rsidRPr="00062015">
        <w:rPr>
          <w:rStyle w:val="Strong"/>
          <w:color w:val="auto"/>
        </w:rPr>
        <w:lastRenderedPageBreak/>
        <w:t xml:space="preserve">Organisation </w:t>
      </w:r>
      <w:r w:rsidR="00CE16A0">
        <w:rPr>
          <w:rStyle w:val="Strong"/>
          <w:color w:val="auto"/>
        </w:rPr>
        <w:t>structure</w:t>
      </w:r>
      <w:r w:rsidRPr="00062015">
        <w:rPr>
          <w:rStyle w:val="Strong"/>
          <w:color w:val="auto"/>
        </w:rPr>
        <w:t>, a</w:t>
      </w:r>
      <w:r w:rsidR="000E7A46" w:rsidRPr="00062015">
        <w:rPr>
          <w:rStyle w:val="Strong"/>
          <w:color w:val="auto"/>
        </w:rPr>
        <w:t>lternative text</w:t>
      </w:r>
      <w:r>
        <w:rPr>
          <w:rStyle w:val="Strong"/>
          <w:color w:val="auto"/>
        </w:rPr>
        <w:t>:</w:t>
      </w:r>
    </w:p>
    <w:p w14:paraId="4A0D993E" w14:textId="5D6E76CC" w:rsidR="00691E5A" w:rsidRDefault="00A47015" w:rsidP="00441909">
      <w:pPr>
        <w:pStyle w:val="Heading4"/>
      </w:pPr>
      <w:r>
        <w:t xml:space="preserve">Level 1: General Manager </w:t>
      </w:r>
    </w:p>
    <w:p w14:paraId="5C6B67E0" w14:textId="16763653" w:rsidR="00A47015" w:rsidRDefault="00916F71" w:rsidP="00A47015">
      <w:r>
        <w:t>Graeme Waters</w:t>
      </w:r>
      <w:r w:rsidR="002920BD">
        <w:t xml:space="preserve">, </w:t>
      </w:r>
      <w:r w:rsidR="000732A6">
        <w:t>Titles A</w:t>
      </w:r>
      <w:r w:rsidR="002920BD">
        <w:t xml:space="preserve">dministrator and </w:t>
      </w:r>
      <w:r w:rsidR="000732A6">
        <w:t>O</w:t>
      </w:r>
      <w:r w:rsidR="00B60D07">
        <w:t xml:space="preserve">ffshore </w:t>
      </w:r>
      <w:r w:rsidR="000732A6">
        <w:t>I</w:t>
      </w:r>
      <w:r w:rsidR="00B60D07">
        <w:t xml:space="preserve">nfrastructure </w:t>
      </w:r>
      <w:r w:rsidR="000732A6">
        <w:t>R</w:t>
      </w:r>
      <w:r w:rsidR="00B60D07">
        <w:t xml:space="preserve">egistrar </w:t>
      </w:r>
      <w:r>
        <w:t xml:space="preserve"> </w:t>
      </w:r>
    </w:p>
    <w:p w14:paraId="34DCDF90" w14:textId="5199B93F" w:rsidR="006D06CB" w:rsidRDefault="001B26A7" w:rsidP="00441909">
      <w:pPr>
        <w:pStyle w:val="Heading5"/>
      </w:pPr>
      <w:r>
        <w:t>Level 2</w:t>
      </w:r>
      <w:r w:rsidR="000B4C5F">
        <w:t xml:space="preserve">: </w:t>
      </w:r>
      <w:r w:rsidR="005C08FF">
        <w:t xml:space="preserve">Business unit managers </w:t>
      </w:r>
    </w:p>
    <w:p w14:paraId="2465CA2B" w14:textId="06FEC797" w:rsidR="00CB45DE" w:rsidRDefault="00CB45DE" w:rsidP="00CB45DE">
      <w:pPr>
        <w:pStyle w:val="Caption"/>
        <w:keepNext/>
      </w:pPr>
      <w:r>
        <w:t xml:space="preserve">Table </w:t>
      </w:r>
      <w:r w:rsidR="00476F8E">
        <w:fldChar w:fldCharType="begin"/>
      </w:r>
      <w:r w:rsidR="00476F8E">
        <w:instrText xml:space="preserve"> SEQ Table \* ARABIC </w:instrText>
      </w:r>
      <w:r w:rsidR="00476F8E">
        <w:fldChar w:fldCharType="separate"/>
      </w:r>
      <w:r w:rsidR="005F01FA">
        <w:rPr>
          <w:noProof/>
        </w:rPr>
        <w:t>1</w:t>
      </w:r>
      <w:r w:rsidR="00476F8E">
        <w:fldChar w:fldCharType="end"/>
      </w:r>
      <w:r>
        <w:t>: List of business units reporting to the General Manager</w:t>
      </w:r>
    </w:p>
    <w:tbl>
      <w:tblPr>
        <w:tblStyle w:val="ListTable3-Accent4"/>
        <w:tblW w:w="0" w:type="auto"/>
        <w:tblLook w:val="04A0" w:firstRow="1" w:lastRow="0" w:firstColumn="1" w:lastColumn="0" w:noHBand="0" w:noVBand="1"/>
      </w:tblPr>
      <w:tblGrid>
        <w:gridCol w:w="4508"/>
        <w:gridCol w:w="4508"/>
      </w:tblGrid>
      <w:tr w:rsidR="00404C9B" w14:paraId="54486187" w14:textId="77777777" w:rsidTr="00062015">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4508" w:type="dxa"/>
          </w:tcPr>
          <w:p w14:paraId="344D7609" w14:textId="1D434F46" w:rsidR="00404C9B" w:rsidRPr="00404C9B" w:rsidRDefault="00404C9B" w:rsidP="00691E5A">
            <w:r w:rsidRPr="00404C9B">
              <w:t xml:space="preserve">Business unit </w:t>
            </w:r>
          </w:p>
        </w:tc>
        <w:tc>
          <w:tcPr>
            <w:tcW w:w="4508" w:type="dxa"/>
          </w:tcPr>
          <w:p w14:paraId="1AB60772" w14:textId="0C68F2EB" w:rsidR="00404C9B" w:rsidRPr="00404C9B" w:rsidRDefault="00404C9B" w:rsidP="00A15E64">
            <w:pPr>
              <w:cnfStyle w:val="100000000000" w:firstRow="1" w:lastRow="0" w:firstColumn="0" w:lastColumn="0" w:oddVBand="0" w:evenVBand="0" w:oddHBand="0" w:evenHBand="0" w:firstRowFirstColumn="0" w:firstRowLastColumn="0" w:lastRowFirstColumn="0" w:lastRowLastColumn="0"/>
            </w:pPr>
            <w:r w:rsidRPr="00404C9B">
              <w:t xml:space="preserve">Functions </w:t>
            </w:r>
          </w:p>
        </w:tc>
      </w:tr>
      <w:tr w:rsidR="00BE356A" w14:paraId="58715A92" w14:textId="77777777" w:rsidTr="00062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8D0BA94" w14:textId="61019456" w:rsidR="00BE356A" w:rsidRPr="00404C9B" w:rsidRDefault="006D06CB" w:rsidP="00691E5A">
            <w:r w:rsidRPr="00404C9B">
              <w:t>Compliance</w:t>
            </w:r>
            <w:r w:rsidR="003C6E77">
              <w:t>,</w:t>
            </w:r>
            <w:r w:rsidRPr="00404C9B">
              <w:t xml:space="preserve"> </w:t>
            </w:r>
            <w:r w:rsidR="003C6E77">
              <w:t>a</w:t>
            </w:r>
            <w:r w:rsidR="00E81EF7" w:rsidRPr="00404C9B">
              <w:t xml:space="preserve">ssurance and </w:t>
            </w:r>
            <w:r w:rsidR="003C6E77">
              <w:t>p</w:t>
            </w:r>
            <w:r w:rsidR="00E81EF7" w:rsidRPr="00404C9B">
              <w:t>erformance team</w:t>
            </w:r>
          </w:p>
        </w:tc>
        <w:tc>
          <w:tcPr>
            <w:tcW w:w="4508" w:type="dxa"/>
          </w:tcPr>
          <w:p w14:paraId="2A92AFDC" w14:textId="04CA911E" w:rsidR="00E81EF7" w:rsidRPr="00404C9B" w:rsidRDefault="000F33D5" w:rsidP="00A15E64">
            <w:pPr>
              <w:cnfStyle w:val="000000100000" w:firstRow="0" w:lastRow="0" w:firstColumn="0" w:lastColumn="0" w:oddVBand="0" w:evenVBand="0" w:oddHBand="1" w:evenHBand="0" w:firstRowFirstColumn="0" w:firstRowLastColumn="0" w:lastRowFirstColumn="0" w:lastRowLastColumn="0"/>
            </w:pPr>
            <w:r w:rsidRPr="00404C9B">
              <w:t>Policy</w:t>
            </w:r>
            <w:r w:rsidR="00CA134F" w:rsidRPr="00404C9B">
              <w:t>, internal assurance, quality assurance committee</w:t>
            </w:r>
            <w:r w:rsidR="00FB31A1" w:rsidRPr="00404C9B">
              <w:t xml:space="preserve">, risk, business continuity, compliance, international upstream </w:t>
            </w:r>
            <w:r w:rsidR="00747F52" w:rsidRPr="00404C9B">
              <w:t>forum, performance reporting, strategic plan, engagement strategy</w:t>
            </w:r>
            <w:r w:rsidR="00A15E64" w:rsidRPr="00404C9B">
              <w:t>, senate estimates coordination</w:t>
            </w:r>
          </w:p>
        </w:tc>
      </w:tr>
      <w:tr w:rsidR="00BE356A" w14:paraId="174AEFD6" w14:textId="77777777" w:rsidTr="00062015">
        <w:tc>
          <w:tcPr>
            <w:cnfStyle w:val="001000000000" w:firstRow="0" w:lastRow="0" w:firstColumn="1" w:lastColumn="0" w:oddVBand="0" w:evenVBand="0" w:oddHBand="0" w:evenHBand="0" w:firstRowFirstColumn="0" w:firstRowLastColumn="0" w:lastRowFirstColumn="0" w:lastRowLastColumn="0"/>
            <w:tcW w:w="4508" w:type="dxa"/>
          </w:tcPr>
          <w:p w14:paraId="0FAC701A" w14:textId="0AD29C6F" w:rsidR="00BE356A" w:rsidRDefault="00F72DA2" w:rsidP="00691E5A">
            <w:r>
              <w:t xml:space="preserve">Data </w:t>
            </w:r>
            <w:r w:rsidR="003C6E77">
              <w:t>m</w:t>
            </w:r>
            <w:r>
              <w:t xml:space="preserve">anagement team </w:t>
            </w:r>
          </w:p>
        </w:tc>
        <w:tc>
          <w:tcPr>
            <w:tcW w:w="4508" w:type="dxa"/>
          </w:tcPr>
          <w:p w14:paraId="65555FD9" w14:textId="1C0D5D2D" w:rsidR="001A1536" w:rsidRDefault="00A15E64" w:rsidP="00691E5A">
            <w:pPr>
              <w:cnfStyle w:val="000000000000" w:firstRow="0" w:lastRow="0" w:firstColumn="0" w:lastColumn="0" w:oddVBand="0" w:evenVBand="0" w:oddHBand="0" w:evenHBand="0" w:firstRowFirstColumn="0" w:firstRowLastColumn="0" w:lastRowFirstColumn="0" w:lastRowLastColumn="0"/>
            </w:pPr>
            <w:r>
              <w:t>Data submission, quality assurance, NOP</w:t>
            </w:r>
            <w:r w:rsidR="009A2746">
              <w:t xml:space="preserve">DCR, data release, confidentiality </w:t>
            </w:r>
            <w:r w:rsidR="00866506">
              <w:t>management, NOPIMS liaison, G</w:t>
            </w:r>
            <w:r w:rsidR="00B906D5">
              <w:t xml:space="preserve">eoscience </w:t>
            </w:r>
            <w:r w:rsidR="00866506">
              <w:t>A</w:t>
            </w:r>
            <w:r w:rsidR="00B906D5">
              <w:t>ustralia</w:t>
            </w:r>
            <w:r w:rsidR="00866506">
              <w:t xml:space="preserve"> &amp; G</w:t>
            </w:r>
            <w:r w:rsidR="004C47F4">
              <w:t xml:space="preserve">eological </w:t>
            </w:r>
            <w:r w:rsidR="00866506">
              <w:t>S</w:t>
            </w:r>
            <w:r w:rsidR="004C47F4">
              <w:t>ur</w:t>
            </w:r>
            <w:r w:rsidR="002D36B7">
              <w:t xml:space="preserve">vey of </w:t>
            </w:r>
            <w:r w:rsidR="00866506">
              <w:t>W</w:t>
            </w:r>
            <w:r w:rsidR="002D36B7">
              <w:t xml:space="preserve">estern </w:t>
            </w:r>
            <w:r w:rsidR="00866506">
              <w:t>A</w:t>
            </w:r>
            <w:r w:rsidR="002D36B7">
              <w:t>ustralia</w:t>
            </w:r>
            <w:r w:rsidR="00866506">
              <w:t xml:space="preserve"> relationship management </w:t>
            </w:r>
          </w:p>
        </w:tc>
      </w:tr>
      <w:tr w:rsidR="00BE356A" w14:paraId="4B0D3A48" w14:textId="77777777" w:rsidTr="00062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0DF9CB7" w14:textId="3352809B" w:rsidR="00BE356A" w:rsidRDefault="00F72DA2" w:rsidP="00691E5A">
            <w:r>
              <w:t xml:space="preserve">Business </w:t>
            </w:r>
            <w:r w:rsidR="003C6E77">
              <w:t>s</w:t>
            </w:r>
            <w:r>
              <w:t xml:space="preserve">upport team </w:t>
            </w:r>
          </w:p>
        </w:tc>
        <w:tc>
          <w:tcPr>
            <w:tcW w:w="4508" w:type="dxa"/>
          </w:tcPr>
          <w:p w14:paraId="0D8BE642" w14:textId="56C00869" w:rsidR="00BE356A" w:rsidRDefault="00866506" w:rsidP="00691E5A">
            <w:pPr>
              <w:cnfStyle w:val="000000100000" w:firstRow="0" w:lastRow="0" w:firstColumn="0" w:lastColumn="0" w:oddVBand="0" w:evenVBand="0" w:oddHBand="1" w:evenHBand="0" w:firstRowFirstColumn="0" w:firstRowLastColumn="0" w:lastRowFirstColumn="0" w:lastRowLastColumn="0"/>
            </w:pPr>
            <w:r>
              <w:t>Finance</w:t>
            </w:r>
            <w:r w:rsidR="00326BBA">
              <w:t xml:space="preserve">, budget, property, human resources, procurement, </w:t>
            </w:r>
            <w:r w:rsidR="006E303A">
              <w:t xml:space="preserve">travel, administrative support </w:t>
            </w:r>
          </w:p>
        </w:tc>
      </w:tr>
      <w:tr w:rsidR="00BE356A" w14:paraId="762CAF3B" w14:textId="77777777" w:rsidTr="00062015">
        <w:tc>
          <w:tcPr>
            <w:cnfStyle w:val="001000000000" w:firstRow="0" w:lastRow="0" w:firstColumn="1" w:lastColumn="0" w:oddVBand="0" w:evenVBand="0" w:oddHBand="0" w:evenHBand="0" w:firstRowFirstColumn="0" w:firstRowLastColumn="0" w:lastRowFirstColumn="0" w:lastRowLastColumn="0"/>
            <w:tcW w:w="4508" w:type="dxa"/>
          </w:tcPr>
          <w:p w14:paraId="5581C0DC" w14:textId="5855A6F7" w:rsidR="00BE356A" w:rsidRDefault="00D73DBE" w:rsidP="00691E5A">
            <w:r>
              <w:t xml:space="preserve">Security, </w:t>
            </w:r>
            <w:r w:rsidR="003C6E77">
              <w:t>i</w:t>
            </w:r>
            <w:r>
              <w:t xml:space="preserve">nformation </w:t>
            </w:r>
            <w:r w:rsidR="006116CF">
              <w:t>m</w:t>
            </w:r>
            <w:r>
              <w:t>a</w:t>
            </w:r>
            <w:r w:rsidR="00651828">
              <w:t xml:space="preserve">nagement and </w:t>
            </w:r>
            <w:r w:rsidR="006116CF">
              <w:t>b</w:t>
            </w:r>
            <w:r w:rsidR="00651828">
              <w:t xml:space="preserve">usiness </w:t>
            </w:r>
            <w:r w:rsidR="006116CF">
              <w:t>a</w:t>
            </w:r>
            <w:r w:rsidR="00651828">
              <w:t xml:space="preserve">pplication team </w:t>
            </w:r>
          </w:p>
        </w:tc>
        <w:tc>
          <w:tcPr>
            <w:tcW w:w="4508" w:type="dxa"/>
          </w:tcPr>
          <w:p w14:paraId="6DD0968E" w14:textId="0662FFD3" w:rsidR="00BE356A" w:rsidRDefault="001A6823" w:rsidP="00691E5A">
            <w:pPr>
              <w:cnfStyle w:val="000000000000" w:firstRow="0" w:lastRow="0" w:firstColumn="0" w:lastColumn="0" w:oddVBand="0" w:evenVBand="0" w:oddHBand="0" w:evenHBand="0" w:firstRowFirstColumn="0" w:firstRowLastColumn="0" w:lastRowFirstColumn="0" w:lastRowLastColumn="0"/>
            </w:pPr>
            <w:r>
              <w:t xml:space="preserve">The </w:t>
            </w:r>
            <w:r w:rsidR="006E303A">
              <w:t>N</w:t>
            </w:r>
            <w:r w:rsidR="00A77728">
              <w:t xml:space="preserve">ational </w:t>
            </w:r>
            <w:r w:rsidR="006E303A">
              <w:t>E</w:t>
            </w:r>
            <w:r w:rsidR="00A77728">
              <w:t xml:space="preserve">lectronic Approvals </w:t>
            </w:r>
            <w:r w:rsidR="006E303A">
              <w:t>T</w:t>
            </w:r>
            <w:r w:rsidR="00A77728">
              <w:t xml:space="preserve">racking </w:t>
            </w:r>
            <w:r w:rsidR="006E303A">
              <w:t>S</w:t>
            </w:r>
            <w:r w:rsidR="004F530B">
              <w:t>ystem</w:t>
            </w:r>
            <w:r w:rsidR="001E458E">
              <w:t>’s</w:t>
            </w:r>
            <w:r w:rsidR="004F530B">
              <w:t xml:space="preserve"> (NEATS)</w:t>
            </w:r>
            <w:r w:rsidR="006E303A">
              <w:t xml:space="preserve"> and N</w:t>
            </w:r>
            <w:r w:rsidR="005C46EF">
              <w:t xml:space="preserve">ational </w:t>
            </w:r>
            <w:r w:rsidR="006E303A">
              <w:t>O</w:t>
            </w:r>
            <w:r w:rsidR="005C46EF">
              <w:t xml:space="preserve">ffshore </w:t>
            </w:r>
            <w:r w:rsidR="006E303A">
              <w:t>P</w:t>
            </w:r>
            <w:r w:rsidR="005C46EF">
              <w:t xml:space="preserve">etroleum </w:t>
            </w:r>
            <w:r w:rsidR="006E303A">
              <w:t>I</w:t>
            </w:r>
            <w:r w:rsidR="00384FBA">
              <w:t xml:space="preserve">nformation </w:t>
            </w:r>
            <w:r w:rsidR="006E303A">
              <w:t>M</w:t>
            </w:r>
            <w:r w:rsidR="00384FBA">
              <w:t xml:space="preserve">anagement </w:t>
            </w:r>
            <w:r w:rsidR="006E303A">
              <w:t>S</w:t>
            </w:r>
            <w:r w:rsidR="00384FBA">
              <w:t>ystem</w:t>
            </w:r>
            <w:r w:rsidR="001E458E">
              <w:t>’s</w:t>
            </w:r>
            <w:r w:rsidR="006E303A">
              <w:t xml:space="preserve"> </w:t>
            </w:r>
            <w:r w:rsidR="009B5F9A">
              <w:t>development and technical support, information management</w:t>
            </w:r>
            <w:r w:rsidR="005C746B">
              <w:t xml:space="preserve">, ICT operations, support and </w:t>
            </w:r>
            <w:r w:rsidR="00903EB0">
              <w:t xml:space="preserve">licensing, security monitoring </w:t>
            </w:r>
            <w:r w:rsidR="00C06A83">
              <w:t>and compliance</w:t>
            </w:r>
            <w:r w:rsidR="00E52C26">
              <w:t xml:space="preserve">, systems and database </w:t>
            </w:r>
            <w:r w:rsidR="00855BBD">
              <w:t xml:space="preserve">development </w:t>
            </w:r>
            <w:r w:rsidR="002E2C05">
              <w:t xml:space="preserve">and maintenance </w:t>
            </w:r>
          </w:p>
        </w:tc>
      </w:tr>
      <w:tr w:rsidR="00BE356A" w14:paraId="18E64F2B" w14:textId="77777777" w:rsidTr="00062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B4B6F22" w14:textId="78C54367" w:rsidR="00BE356A" w:rsidRDefault="00E61547" w:rsidP="00691E5A">
            <w:r>
              <w:t xml:space="preserve">Geospatial </w:t>
            </w:r>
            <w:r w:rsidR="001A1536">
              <w:t xml:space="preserve">and </w:t>
            </w:r>
            <w:r w:rsidR="006116CF">
              <w:t>w</w:t>
            </w:r>
            <w:r w:rsidR="001A1536">
              <w:t xml:space="preserve">eb </w:t>
            </w:r>
            <w:r w:rsidR="006116CF">
              <w:t>s</w:t>
            </w:r>
            <w:r w:rsidR="001A1536">
              <w:t xml:space="preserve">ervices team </w:t>
            </w:r>
          </w:p>
        </w:tc>
        <w:tc>
          <w:tcPr>
            <w:tcW w:w="4508" w:type="dxa"/>
          </w:tcPr>
          <w:p w14:paraId="07F33935" w14:textId="1FF50CB2" w:rsidR="00BE356A" w:rsidRDefault="002E2C05" w:rsidP="00691E5A">
            <w:pPr>
              <w:cnfStyle w:val="000000100000" w:firstRow="0" w:lastRow="0" w:firstColumn="0" w:lastColumn="0" w:oddVBand="0" w:evenVBand="0" w:oddHBand="1" w:evenHBand="0" w:firstRowFirstColumn="0" w:firstRowLastColumn="0" w:lastRowFirstColumn="0" w:lastRowLastColumn="0"/>
            </w:pPr>
            <w:r>
              <w:t xml:space="preserve">Map production, web mapping and spatial </w:t>
            </w:r>
            <w:r w:rsidR="007E2898">
              <w:t xml:space="preserve">web services, </w:t>
            </w:r>
            <w:r w:rsidR="00755A5A">
              <w:t xml:space="preserve">geospatial </w:t>
            </w:r>
            <w:r w:rsidR="001B7049">
              <w:t xml:space="preserve">data, </w:t>
            </w:r>
            <w:r w:rsidR="00304306">
              <w:t xml:space="preserve">geographic </w:t>
            </w:r>
            <w:r w:rsidR="00EE0356">
              <w:t xml:space="preserve">information science support, NOPTA and the </w:t>
            </w:r>
            <w:r w:rsidR="00502A94">
              <w:t>R</w:t>
            </w:r>
            <w:r w:rsidR="00EE0356">
              <w:t>egistrar public website</w:t>
            </w:r>
            <w:r w:rsidR="001065C2">
              <w:t xml:space="preserve">s </w:t>
            </w:r>
          </w:p>
        </w:tc>
      </w:tr>
    </w:tbl>
    <w:p w14:paraId="3F88A4F9" w14:textId="77777777" w:rsidR="0090084C" w:rsidRDefault="0090084C" w:rsidP="00304AF2">
      <w:pPr>
        <w:pStyle w:val="Heading4"/>
      </w:pPr>
    </w:p>
    <w:p w14:paraId="0FD2E54D" w14:textId="77777777" w:rsidR="0090084C" w:rsidRDefault="0090084C">
      <w:pPr>
        <w:spacing w:before="0" w:after="160" w:line="259" w:lineRule="auto"/>
        <w:rPr>
          <w:rFonts w:asciiTheme="majorHAnsi" w:eastAsiaTheme="majorEastAsia" w:hAnsiTheme="majorHAnsi" w:cstheme="majorBidi"/>
          <w:iCs/>
          <w:color w:val="15659B" w:themeColor="accent4"/>
          <w:sz w:val="28"/>
          <w:szCs w:val="28"/>
        </w:rPr>
      </w:pPr>
      <w:r>
        <w:br w:type="page"/>
      </w:r>
    </w:p>
    <w:p w14:paraId="1547736D" w14:textId="782DCB08" w:rsidR="00B60D07" w:rsidRDefault="00B60D07" w:rsidP="00304AF2">
      <w:pPr>
        <w:pStyle w:val="Heading4"/>
      </w:pPr>
      <w:r>
        <w:lastRenderedPageBreak/>
        <w:t xml:space="preserve">Level </w:t>
      </w:r>
      <w:r w:rsidR="006E57C7">
        <w:t>2</w:t>
      </w:r>
      <w:r>
        <w:t xml:space="preserve">: </w:t>
      </w:r>
      <w:r w:rsidR="002F618C">
        <w:t>Director</w:t>
      </w:r>
    </w:p>
    <w:p w14:paraId="76A73394" w14:textId="79CE65DB" w:rsidR="00EE005A" w:rsidRDefault="00D732AC" w:rsidP="00EE005A">
      <w:r>
        <w:t xml:space="preserve">Jo Bell, </w:t>
      </w:r>
      <w:r w:rsidR="009F2453">
        <w:t>P</w:t>
      </w:r>
      <w:r w:rsidR="005C352F">
        <w:t>etroleum</w:t>
      </w:r>
      <w:r w:rsidR="00E213BF">
        <w:t xml:space="preserve"> </w:t>
      </w:r>
      <w:r w:rsidR="002261EE">
        <w:t xml:space="preserve">exploration, </w:t>
      </w:r>
      <w:r w:rsidR="00D03151">
        <w:t xml:space="preserve">greenhouse </w:t>
      </w:r>
      <w:r w:rsidR="00F8518A">
        <w:t xml:space="preserve">gas </w:t>
      </w:r>
      <w:r w:rsidR="002261EE">
        <w:t xml:space="preserve">storage </w:t>
      </w:r>
      <w:r w:rsidR="002D148F">
        <w:t xml:space="preserve">and acreage release </w:t>
      </w:r>
      <w:r w:rsidR="005C352F">
        <w:t xml:space="preserve"> </w:t>
      </w:r>
    </w:p>
    <w:p w14:paraId="2261D948" w14:textId="3F811C6B" w:rsidR="00CB45DE" w:rsidRDefault="00CB45DE" w:rsidP="00CB45DE">
      <w:pPr>
        <w:pStyle w:val="Caption"/>
        <w:keepNext/>
      </w:pPr>
      <w:r>
        <w:t xml:space="preserve">Table </w:t>
      </w:r>
      <w:r w:rsidR="00476F8E">
        <w:fldChar w:fldCharType="begin"/>
      </w:r>
      <w:r w:rsidR="00476F8E">
        <w:instrText xml:space="preserve"> SEQ Table \* ARABIC </w:instrText>
      </w:r>
      <w:r w:rsidR="00476F8E">
        <w:fldChar w:fldCharType="separate"/>
      </w:r>
      <w:r w:rsidR="005F01FA">
        <w:rPr>
          <w:noProof/>
        </w:rPr>
        <w:t>2</w:t>
      </w:r>
      <w:r w:rsidR="00476F8E">
        <w:fldChar w:fldCharType="end"/>
      </w:r>
      <w:r w:rsidRPr="00246F75">
        <w:t>: List of business units reporting to Director</w:t>
      </w:r>
      <w:r w:rsidR="004A5452">
        <w:t xml:space="preserve"> Jo Bell</w:t>
      </w:r>
    </w:p>
    <w:tbl>
      <w:tblPr>
        <w:tblStyle w:val="ListTable3-Accent4"/>
        <w:tblW w:w="0" w:type="auto"/>
        <w:tblLook w:val="04A0" w:firstRow="1" w:lastRow="0" w:firstColumn="1" w:lastColumn="0" w:noHBand="0" w:noVBand="1"/>
      </w:tblPr>
      <w:tblGrid>
        <w:gridCol w:w="4508"/>
        <w:gridCol w:w="4508"/>
      </w:tblGrid>
      <w:tr w:rsidR="00305C7C" w14:paraId="47BFE6B6" w14:textId="77777777" w:rsidTr="000620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251FBCCD" w14:textId="69A820E8" w:rsidR="00305C7C" w:rsidRPr="00305C7C" w:rsidRDefault="00305C7C" w:rsidP="00691E5A">
            <w:r w:rsidRPr="00305C7C">
              <w:t xml:space="preserve">Business unit </w:t>
            </w:r>
          </w:p>
        </w:tc>
        <w:tc>
          <w:tcPr>
            <w:tcW w:w="4508" w:type="dxa"/>
          </w:tcPr>
          <w:p w14:paraId="4D9AD3E5" w14:textId="6CE0D121" w:rsidR="00305C7C" w:rsidRPr="00305C7C" w:rsidRDefault="00305C7C" w:rsidP="00691E5A">
            <w:pPr>
              <w:cnfStyle w:val="100000000000" w:firstRow="1" w:lastRow="0" w:firstColumn="0" w:lastColumn="0" w:oddVBand="0" w:evenVBand="0" w:oddHBand="0" w:evenHBand="0" w:firstRowFirstColumn="0" w:firstRowLastColumn="0" w:lastRowFirstColumn="0" w:lastRowLastColumn="0"/>
            </w:pPr>
            <w:r w:rsidRPr="00305C7C">
              <w:t>Function</w:t>
            </w:r>
            <w:r w:rsidR="00D06416">
              <w:t>s</w:t>
            </w:r>
            <w:r w:rsidRPr="00305C7C">
              <w:t xml:space="preserve"> </w:t>
            </w:r>
          </w:p>
        </w:tc>
      </w:tr>
      <w:tr w:rsidR="00A82F6B" w14:paraId="13CEDA6E" w14:textId="77777777" w:rsidTr="00062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A489A1B" w14:textId="3989AD33" w:rsidR="00A82F6B" w:rsidRPr="00305C7C" w:rsidRDefault="00E12246" w:rsidP="00691E5A">
            <w:r w:rsidRPr="00305C7C">
              <w:t xml:space="preserve">Regulatory </w:t>
            </w:r>
            <w:r w:rsidR="00255A96" w:rsidRPr="00305C7C">
              <w:t>s</w:t>
            </w:r>
            <w:r w:rsidRPr="00305C7C">
              <w:t xml:space="preserve">upport </w:t>
            </w:r>
            <w:r w:rsidR="00C34735" w:rsidRPr="00305C7C">
              <w:t xml:space="preserve">team </w:t>
            </w:r>
          </w:p>
        </w:tc>
        <w:tc>
          <w:tcPr>
            <w:tcW w:w="4508" w:type="dxa"/>
          </w:tcPr>
          <w:p w14:paraId="6E4CCFDA" w14:textId="04F1FE0B" w:rsidR="00A82F6B" w:rsidRPr="00305C7C" w:rsidRDefault="007E70B0" w:rsidP="00691E5A">
            <w:pPr>
              <w:cnfStyle w:val="000000100000" w:firstRow="0" w:lastRow="0" w:firstColumn="0" w:lastColumn="0" w:oddVBand="0" w:evenVBand="0" w:oddHBand="1" w:evenHBand="0" w:firstRowFirstColumn="0" w:firstRowLastColumn="0" w:lastRowFirstColumn="0" w:lastRowLastColumn="0"/>
            </w:pPr>
            <w:r w:rsidRPr="00305C7C">
              <w:t>P</w:t>
            </w:r>
            <w:r w:rsidR="00D82BA4" w:rsidRPr="00305C7C">
              <w:t xml:space="preserve">olicy input coordination, </w:t>
            </w:r>
            <w:r w:rsidR="009D2903" w:rsidRPr="00305C7C">
              <w:t xml:space="preserve">external guidance materials, inter-agency liaison </w:t>
            </w:r>
            <w:r w:rsidRPr="00305C7C">
              <w:t xml:space="preserve">and international engagement </w:t>
            </w:r>
          </w:p>
        </w:tc>
      </w:tr>
      <w:tr w:rsidR="00A82F6B" w14:paraId="1AC97CA1" w14:textId="77777777" w:rsidTr="00062015">
        <w:tc>
          <w:tcPr>
            <w:cnfStyle w:val="001000000000" w:firstRow="0" w:lastRow="0" w:firstColumn="1" w:lastColumn="0" w:oddVBand="0" w:evenVBand="0" w:oddHBand="0" w:evenHBand="0" w:firstRowFirstColumn="0" w:firstRowLastColumn="0" w:lastRowFirstColumn="0" w:lastRowLastColumn="0"/>
            <w:tcW w:w="4508" w:type="dxa"/>
          </w:tcPr>
          <w:p w14:paraId="019E67BC" w14:textId="686F095D" w:rsidR="00A82F6B" w:rsidRDefault="00341F68" w:rsidP="00691E5A">
            <w:r>
              <w:t xml:space="preserve">Legislative </w:t>
            </w:r>
            <w:r w:rsidR="00255A96">
              <w:t>s</w:t>
            </w:r>
            <w:r>
              <w:t xml:space="preserve">upport team </w:t>
            </w:r>
          </w:p>
        </w:tc>
        <w:tc>
          <w:tcPr>
            <w:tcW w:w="4508" w:type="dxa"/>
          </w:tcPr>
          <w:p w14:paraId="34FE4C7F" w14:textId="57B96F7B" w:rsidR="00A82F6B" w:rsidRDefault="006659A5" w:rsidP="00691E5A">
            <w:pPr>
              <w:cnfStyle w:val="000000000000" w:firstRow="0" w:lastRow="0" w:firstColumn="0" w:lastColumn="0" w:oddVBand="0" w:evenVBand="0" w:oddHBand="0" w:evenHBand="0" w:firstRowFirstColumn="0" w:firstRowLastColumn="0" w:lastRowFirstColumn="0" w:lastRowLastColumn="0"/>
            </w:pPr>
            <w:r>
              <w:t>Develop and manage legal requests relating to OEI Act and OP</w:t>
            </w:r>
            <w:r w:rsidR="00F426F7">
              <w:t>GGS Act with DISR and DCCEEW legal teams</w:t>
            </w:r>
            <w:r w:rsidR="00257F19">
              <w:t xml:space="preserve">, FOI coordination, legislative guidance </w:t>
            </w:r>
          </w:p>
        </w:tc>
      </w:tr>
      <w:tr w:rsidR="00A82F6B" w14:paraId="3770DC17" w14:textId="77777777" w:rsidTr="00062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EBEFF52" w14:textId="3B31DD2F" w:rsidR="00A82F6B" w:rsidRDefault="00255A96" w:rsidP="00691E5A">
            <w:r>
              <w:t>Technical (exploration) team</w:t>
            </w:r>
          </w:p>
        </w:tc>
        <w:tc>
          <w:tcPr>
            <w:tcW w:w="4508" w:type="dxa"/>
          </w:tcPr>
          <w:p w14:paraId="4055D248" w14:textId="13F1ADA4" w:rsidR="00A82F6B" w:rsidRDefault="00257F19" w:rsidP="00691E5A">
            <w:pPr>
              <w:cnfStyle w:val="000000100000" w:firstRow="0" w:lastRow="0" w:firstColumn="0" w:lastColumn="0" w:oddVBand="0" w:evenVBand="0" w:oddHBand="1" w:evenHBand="0" w:firstRowFirstColumn="0" w:firstRowLastColumn="0" w:lastRowFirstColumn="0" w:lastRowLastColumn="0"/>
            </w:pPr>
            <w:r>
              <w:t>Geoscience and</w:t>
            </w:r>
            <w:r w:rsidR="00CF2805">
              <w:t xml:space="preserve"> geophysical, technical petroleum </w:t>
            </w:r>
            <w:r w:rsidR="00707429">
              <w:t>related exploration</w:t>
            </w:r>
            <w:r w:rsidR="006B7687">
              <w:t xml:space="preserve"> assessments and analysis</w:t>
            </w:r>
            <w:r w:rsidR="002B37DC">
              <w:t>,</w:t>
            </w:r>
            <w:r w:rsidR="006B7687">
              <w:t xml:space="preserve"> A</w:t>
            </w:r>
            <w:r w:rsidR="002B37DC">
              <w:t xml:space="preserve">TAR analysis </w:t>
            </w:r>
          </w:p>
        </w:tc>
      </w:tr>
      <w:tr w:rsidR="00A82F6B" w14:paraId="2E3F3945" w14:textId="77777777" w:rsidTr="00062015">
        <w:tc>
          <w:tcPr>
            <w:cnfStyle w:val="001000000000" w:firstRow="0" w:lastRow="0" w:firstColumn="1" w:lastColumn="0" w:oddVBand="0" w:evenVBand="0" w:oddHBand="0" w:evenHBand="0" w:firstRowFirstColumn="0" w:firstRowLastColumn="0" w:lastRowFirstColumn="0" w:lastRowLastColumn="0"/>
            <w:tcW w:w="4508" w:type="dxa"/>
          </w:tcPr>
          <w:p w14:paraId="7FB82037" w14:textId="3C8B4A63" w:rsidR="00A82F6B" w:rsidRDefault="00591CBE" w:rsidP="00691E5A">
            <w:r>
              <w:t>Technical (GHG) team</w:t>
            </w:r>
          </w:p>
        </w:tc>
        <w:tc>
          <w:tcPr>
            <w:tcW w:w="4508" w:type="dxa"/>
          </w:tcPr>
          <w:p w14:paraId="55B8D138" w14:textId="725CDDFB" w:rsidR="00A82F6B" w:rsidRDefault="002B37DC" w:rsidP="00691E5A">
            <w:pPr>
              <w:cnfStyle w:val="000000000000" w:firstRow="0" w:lastRow="0" w:firstColumn="0" w:lastColumn="0" w:oddVBand="0" w:evenVBand="0" w:oddHBand="0" w:evenHBand="0" w:firstRowFirstColumn="0" w:firstRowLastColumn="0" w:lastRowFirstColumn="0" w:lastRowLastColumn="0"/>
            </w:pPr>
            <w:r>
              <w:t xml:space="preserve">Geoscience, geophysical and </w:t>
            </w:r>
            <w:r w:rsidR="00280B73">
              <w:t>engineering, GHG related technical assessments</w:t>
            </w:r>
            <w:r w:rsidR="00F97778">
              <w:t>, analysis</w:t>
            </w:r>
            <w:r w:rsidR="00B73830">
              <w:t xml:space="preserve">, risk and monitoring </w:t>
            </w:r>
            <w:r w:rsidR="00F97778">
              <w:t xml:space="preserve"> </w:t>
            </w:r>
          </w:p>
        </w:tc>
      </w:tr>
      <w:tr w:rsidR="00A82F6B" w14:paraId="4EEDB1A3" w14:textId="77777777" w:rsidTr="00062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A84E36F" w14:textId="5D6150DE" w:rsidR="00A82F6B" w:rsidRDefault="00591CBE" w:rsidP="00691E5A">
            <w:r>
              <w:t xml:space="preserve">Titles </w:t>
            </w:r>
            <w:r w:rsidR="00BB7693">
              <w:t>(exploration) team</w:t>
            </w:r>
          </w:p>
        </w:tc>
        <w:tc>
          <w:tcPr>
            <w:tcW w:w="4508" w:type="dxa"/>
          </w:tcPr>
          <w:p w14:paraId="6715EB38" w14:textId="6C39A0F6" w:rsidR="00A82F6B" w:rsidRDefault="00B73830" w:rsidP="00691E5A">
            <w:pPr>
              <w:cnfStyle w:val="000000100000" w:firstRow="0" w:lastRow="0" w:firstColumn="0" w:lastColumn="0" w:oddVBand="0" w:evenVBand="0" w:oddHBand="1" w:evenHBand="0" w:firstRowFirstColumn="0" w:firstRowLastColumn="0" w:lastRowFirstColumn="0" w:lastRowLastColumn="0"/>
            </w:pPr>
            <w:r>
              <w:t>Relevant decision maker</w:t>
            </w:r>
            <w:r w:rsidR="004C7BBA">
              <w:t xml:space="preserve"> advice, maintain the register of titles, industry guidance </w:t>
            </w:r>
          </w:p>
        </w:tc>
      </w:tr>
      <w:tr w:rsidR="00A82F6B" w14:paraId="49BC8CE0" w14:textId="77777777" w:rsidTr="00062015">
        <w:tc>
          <w:tcPr>
            <w:cnfStyle w:val="001000000000" w:firstRow="0" w:lastRow="0" w:firstColumn="1" w:lastColumn="0" w:oddVBand="0" w:evenVBand="0" w:oddHBand="0" w:evenHBand="0" w:firstRowFirstColumn="0" w:firstRowLastColumn="0" w:lastRowFirstColumn="0" w:lastRowLastColumn="0"/>
            <w:tcW w:w="4508" w:type="dxa"/>
          </w:tcPr>
          <w:p w14:paraId="0FC4A272" w14:textId="7B907935" w:rsidR="00A82F6B" w:rsidRDefault="00BB7693" w:rsidP="00691E5A">
            <w:r>
              <w:t>Titles (GHG) team</w:t>
            </w:r>
          </w:p>
        </w:tc>
        <w:tc>
          <w:tcPr>
            <w:tcW w:w="4508" w:type="dxa"/>
          </w:tcPr>
          <w:p w14:paraId="059895EE" w14:textId="60FE8473" w:rsidR="00A82F6B" w:rsidRDefault="004C7BBA" w:rsidP="00691E5A">
            <w:pPr>
              <w:cnfStyle w:val="000000000000" w:firstRow="0" w:lastRow="0" w:firstColumn="0" w:lastColumn="0" w:oddVBand="0" w:evenVBand="0" w:oddHBand="0" w:evenHBand="0" w:firstRowFirstColumn="0" w:firstRowLastColumn="0" w:lastRowFirstColumn="0" w:lastRowLastColumn="0"/>
            </w:pPr>
            <w:r>
              <w:t>Relevant decision maker advice,</w:t>
            </w:r>
            <w:r w:rsidR="007F134B">
              <w:t xml:space="preserve"> maintain </w:t>
            </w:r>
            <w:r w:rsidR="000313DE">
              <w:t xml:space="preserve">the register </w:t>
            </w:r>
            <w:r w:rsidR="00C25DB5">
              <w:t>of titles</w:t>
            </w:r>
            <w:r w:rsidR="00F41A65">
              <w:t xml:space="preserve">, industry guidance </w:t>
            </w:r>
            <w:r w:rsidR="00C25DB5">
              <w:t xml:space="preserve"> </w:t>
            </w:r>
          </w:p>
        </w:tc>
      </w:tr>
    </w:tbl>
    <w:p w14:paraId="6AE73526" w14:textId="77777777" w:rsidR="00D153C4" w:rsidRDefault="00D153C4" w:rsidP="00304AF2">
      <w:pPr>
        <w:pStyle w:val="Heading4"/>
      </w:pPr>
    </w:p>
    <w:p w14:paraId="6149E3CA" w14:textId="77777777" w:rsidR="00D153C4" w:rsidRDefault="00D153C4">
      <w:pPr>
        <w:spacing w:before="0" w:after="160" w:line="259" w:lineRule="auto"/>
        <w:rPr>
          <w:rFonts w:asciiTheme="majorHAnsi" w:eastAsiaTheme="majorEastAsia" w:hAnsiTheme="majorHAnsi" w:cstheme="majorBidi"/>
          <w:iCs/>
          <w:color w:val="15659B" w:themeColor="accent4"/>
          <w:sz w:val="28"/>
          <w:szCs w:val="28"/>
        </w:rPr>
      </w:pPr>
      <w:r>
        <w:br w:type="page"/>
      </w:r>
    </w:p>
    <w:p w14:paraId="68CA8056" w14:textId="42EEE166" w:rsidR="001065C2" w:rsidRDefault="001065C2" w:rsidP="00304AF2">
      <w:pPr>
        <w:pStyle w:val="Heading4"/>
      </w:pPr>
      <w:r>
        <w:lastRenderedPageBreak/>
        <w:t xml:space="preserve">Level </w:t>
      </w:r>
      <w:r w:rsidR="006E57C7">
        <w:t>2</w:t>
      </w:r>
      <w:r>
        <w:t>: Director</w:t>
      </w:r>
    </w:p>
    <w:p w14:paraId="140231AC" w14:textId="019D369A" w:rsidR="001C762C" w:rsidRDefault="00D9402F" w:rsidP="00691E5A">
      <w:r>
        <w:t xml:space="preserve">Steve Taylor, </w:t>
      </w:r>
      <w:r w:rsidR="002E59B6">
        <w:t>P</w:t>
      </w:r>
      <w:r>
        <w:t xml:space="preserve">etroleum development and </w:t>
      </w:r>
      <w:r w:rsidR="00676B9B">
        <w:t>o</w:t>
      </w:r>
      <w:r>
        <w:t>ffshore e</w:t>
      </w:r>
      <w:r w:rsidR="00676B9B">
        <w:t>lectricity infrastructure</w:t>
      </w:r>
    </w:p>
    <w:p w14:paraId="6505BAD2" w14:textId="4431F0CD" w:rsidR="00CB45DE" w:rsidRDefault="00CB45DE" w:rsidP="00CB45DE">
      <w:pPr>
        <w:pStyle w:val="Caption"/>
        <w:keepNext/>
      </w:pPr>
      <w:r>
        <w:t xml:space="preserve">Table </w:t>
      </w:r>
      <w:r w:rsidR="00476F8E">
        <w:fldChar w:fldCharType="begin"/>
      </w:r>
      <w:r w:rsidR="00476F8E">
        <w:instrText xml:space="preserve"> SEQ Table \* ARABIC </w:instrText>
      </w:r>
      <w:r w:rsidR="00476F8E">
        <w:fldChar w:fldCharType="separate"/>
      </w:r>
      <w:r w:rsidR="005F01FA">
        <w:rPr>
          <w:noProof/>
        </w:rPr>
        <w:t>3</w:t>
      </w:r>
      <w:r w:rsidR="00476F8E">
        <w:fldChar w:fldCharType="end"/>
      </w:r>
      <w:r w:rsidRPr="005F1D44">
        <w:t>: List of business units reporting to the Director</w:t>
      </w:r>
      <w:r w:rsidR="004A5452">
        <w:t xml:space="preserve"> </w:t>
      </w:r>
      <w:r w:rsidR="004A5452" w:rsidRPr="000B37D7">
        <w:t>Steve Taylor</w:t>
      </w:r>
    </w:p>
    <w:tbl>
      <w:tblPr>
        <w:tblStyle w:val="ListTable3-Accent4"/>
        <w:tblW w:w="0" w:type="auto"/>
        <w:tblLook w:val="04A0" w:firstRow="1" w:lastRow="0" w:firstColumn="1" w:lastColumn="0" w:noHBand="0" w:noVBand="1"/>
      </w:tblPr>
      <w:tblGrid>
        <w:gridCol w:w="4508"/>
        <w:gridCol w:w="4508"/>
      </w:tblGrid>
      <w:tr w:rsidR="00667BCC" w14:paraId="3ACB95E4" w14:textId="77777777" w:rsidTr="00062015">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4508" w:type="dxa"/>
          </w:tcPr>
          <w:p w14:paraId="45FA70DE" w14:textId="19D3C1F8" w:rsidR="00667BCC" w:rsidRPr="00667BCC" w:rsidRDefault="00667BCC" w:rsidP="00D847E7">
            <w:r w:rsidRPr="00667BCC">
              <w:t xml:space="preserve">Business unit </w:t>
            </w:r>
          </w:p>
        </w:tc>
        <w:tc>
          <w:tcPr>
            <w:tcW w:w="4508" w:type="dxa"/>
          </w:tcPr>
          <w:p w14:paraId="33C8D622" w14:textId="33BDA3F7" w:rsidR="00667BCC" w:rsidRPr="00667BCC" w:rsidRDefault="00667BCC" w:rsidP="00D847E7">
            <w:pPr>
              <w:cnfStyle w:val="100000000000" w:firstRow="1" w:lastRow="0" w:firstColumn="0" w:lastColumn="0" w:oddVBand="0" w:evenVBand="0" w:oddHBand="0" w:evenHBand="0" w:firstRowFirstColumn="0" w:firstRowLastColumn="0" w:lastRowFirstColumn="0" w:lastRowLastColumn="0"/>
            </w:pPr>
            <w:r w:rsidRPr="00667BCC">
              <w:t xml:space="preserve">Functions </w:t>
            </w:r>
          </w:p>
        </w:tc>
      </w:tr>
      <w:tr w:rsidR="00E30DB1" w14:paraId="193AC473" w14:textId="77777777" w:rsidTr="00062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E8872A9" w14:textId="7239A6C9" w:rsidR="00E30DB1" w:rsidRPr="00667BCC" w:rsidRDefault="00762537" w:rsidP="00D847E7">
            <w:r w:rsidRPr="00667BCC">
              <w:t xml:space="preserve">Titles </w:t>
            </w:r>
            <w:r w:rsidR="00B660C4" w:rsidRPr="00667BCC">
              <w:t>(</w:t>
            </w:r>
            <w:r w:rsidR="008A6A79" w:rsidRPr="00667BCC">
              <w:t>d</w:t>
            </w:r>
            <w:r w:rsidR="00B660C4" w:rsidRPr="00667BCC">
              <w:t>evelopment) team</w:t>
            </w:r>
          </w:p>
        </w:tc>
        <w:tc>
          <w:tcPr>
            <w:tcW w:w="4508" w:type="dxa"/>
          </w:tcPr>
          <w:p w14:paraId="63A3AD43" w14:textId="471BF960" w:rsidR="00E30DB1" w:rsidRPr="00667BCC" w:rsidRDefault="002E6EEB" w:rsidP="00D847E7">
            <w:pPr>
              <w:cnfStyle w:val="000000100000" w:firstRow="0" w:lastRow="0" w:firstColumn="0" w:lastColumn="0" w:oddVBand="0" w:evenVBand="0" w:oddHBand="1" w:evenHBand="0" w:firstRowFirstColumn="0" w:firstRowLastColumn="0" w:lastRowFirstColumn="0" w:lastRowLastColumn="0"/>
            </w:pPr>
            <w:r w:rsidRPr="00667BCC">
              <w:t xml:space="preserve">Relevant decision maker advice, maintain the register of titles, industry guidance  </w:t>
            </w:r>
          </w:p>
        </w:tc>
      </w:tr>
      <w:tr w:rsidR="00E30DB1" w14:paraId="0CF34152" w14:textId="77777777" w:rsidTr="00062015">
        <w:tc>
          <w:tcPr>
            <w:cnfStyle w:val="001000000000" w:firstRow="0" w:lastRow="0" w:firstColumn="1" w:lastColumn="0" w:oddVBand="0" w:evenVBand="0" w:oddHBand="0" w:evenHBand="0" w:firstRowFirstColumn="0" w:firstRowLastColumn="0" w:lastRowFirstColumn="0" w:lastRowLastColumn="0"/>
            <w:tcW w:w="4508" w:type="dxa"/>
          </w:tcPr>
          <w:p w14:paraId="7E8F32D6" w14:textId="690E6600" w:rsidR="00E30DB1" w:rsidRDefault="00B660C4" w:rsidP="00D847E7">
            <w:r>
              <w:t xml:space="preserve">Commercial </w:t>
            </w:r>
            <w:r w:rsidR="002C5370">
              <w:t>(</w:t>
            </w:r>
            <w:r w:rsidR="008A6A79">
              <w:t>e</w:t>
            </w:r>
            <w:r w:rsidR="002C5370">
              <w:t xml:space="preserve">conomic </w:t>
            </w:r>
            <w:r w:rsidR="008A6A79">
              <w:t>a</w:t>
            </w:r>
            <w:r w:rsidR="002C5370">
              <w:t xml:space="preserve">nalysis) team </w:t>
            </w:r>
          </w:p>
        </w:tc>
        <w:tc>
          <w:tcPr>
            <w:tcW w:w="4508" w:type="dxa"/>
          </w:tcPr>
          <w:p w14:paraId="569E2B62" w14:textId="41D984E1" w:rsidR="00E30DB1" w:rsidRDefault="002E6EEB" w:rsidP="00D847E7">
            <w:pPr>
              <w:cnfStyle w:val="000000000000" w:firstRow="0" w:lastRow="0" w:firstColumn="0" w:lastColumn="0" w:oddVBand="0" w:evenVBand="0" w:oddHBand="0" w:evenHBand="0" w:firstRowFirstColumn="0" w:firstRowLastColumn="0" w:lastRowFirstColumn="0" w:lastRowLastColumn="0"/>
            </w:pPr>
            <w:r>
              <w:t xml:space="preserve">Economic </w:t>
            </w:r>
            <w:r w:rsidR="00A33D2F">
              <w:t>assessment</w:t>
            </w:r>
            <w:r w:rsidR="001B1375">
              <w:t xml:space="preserve">, project analysis </w:t>
            </w:r>
            <w:r w:rsidR="001C26C3">
              <w:t xml:space="preserve">and commerciality reviews </w:t>
            </w:r>
          </w:p>
        </w:tc>
      </w:tr>
      <w:tr w:rsidR="00E30DB1" w14:paraId="76A05133" w14:textId="77777777" w:rsidTr="00062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B1D9DC9" w14:textId="349E5DE0" w:rsidR="00E30DB1" w:rsidRDefault="008A6A79" w:rsidP="00D847E7">
            <w:r>
              <w:t xml:space="preserve">Commercial (suitability </w:t>
            </w:r>
            <w:r w:rsidR="001142C4">
              <w:t xml:space="preserve">assessment) team </w:t>
            </w:r>
          </w:p>
        </w:tc>
        <w:tc>
          <w:tcPr>
            <w:tcW w:w="4508" w:type="dxa"/>
          </w:tcPr>
          <w:p w14:paraId="6A3B0E4B" w14:textId="0CE48B33" w:rsidR="00E30DB1" w:rsidRDefault="001C26C3" w:rsidP="00D847E7">
            <w:pPr>
              <w:cnfStyle w:val="000000100000" w:firstRow="0" w:lastRow="0" w:firstColumn="0" w:lastColumn="0" w:oddVBand="0" w:evenVBand="0" w:oddHBand="1" w:evenHBand="0" w:firstRowFirstColumn="0" w:firstRowLastColumn="0" w:lastRowFirstColumn="0" w:lastRowLastColumn="0"/>
            </w:pPr>
            <w:r>
              <w:t>Governance</w:t>
            </w:r>
            <w:r w:rsidR="008E6A98">
              <w:t xml:space="preserve"> </w:t>
            </w:r>
            <w:r>
              <w:t>/ experience assessment</w:t>
            </w:r>
            <w:r w:rsidR="00070961">
              <w:t>s and financial resources analys</w:t>
            </w:r>
            <w:r w:rsidR="006D1346">
              <w:t xml:space="preserve">is </w:t>
            </w:r>
          </w:p>
        </w:tc>
      </w:tr>
      <w:tr w:rsidR="00E30DB1" w14:paraId="31584ED7" w14:textId="77777777" w:rsidTr="00062015">
        <w:tc>
          <w:tcPr>
            <w:cnfStyle w:val="001000000000" w:firstRow="0" w:lastRow="0" w:firstColumn="1" w:lastColumn="0" w:oddVBand="0" w:evenVBand="0" w:oddHBand="0" w:evenHBand="0" w:firstRowFirstColumn="0" w:firstRowLastColumn="0" w:lastRowFirstColumn="0" w:lastRowLastColumn="0"/>
            <w:tcW w:w="4508" w:type="dxa"/>
          </w:tcPr>
          <w:p w14:paraId="7F57F853" w14:textId="3738330B" w:rsidR="0070289B" w:rsidRDefault="001142C4" w:rsidP="00D847E7">
            <w:r>
              <w:t xml:space="preserve">Technical (development) </w:t>
            </w:r>
            <w:r w:rsidR="0070289B">
              <w:t xml:space="preserve">team </w:t>
            </w:r>
          </w:p>
        </w:tc>
        <w:tc>
          <w:tcPr>
            <w:tcW w:w="4508" w:type="dxa"/>
          </w:tcPr>
          <w:p w14:paraId="6CDE9072" w14:textId="42B86E08" w:rsidR="00E30DB1" w:rsidRDefault="006D1346" w:rsidP="00D847E7">
            <w:pPr>
              <w:cnfStyle w:val="000000000000" w:firstRow="0" w:lastRow="0" w:firstColumn="0" w:lastColumn="0" w:oddVBand="0" w:evenVBand="0" w:oddHBand="0" w:evenHBand="0" w:firstRowFirstColumn="0" w:firstRowLastColumn="0" w:lastRowFirstColumn="0" w:lastRowLastColumn="0"/>
            </w:pPr>
            <w:r>
              <w:t>Geoscience</w:t>
            </w:r>
            <w:r w:rsidR="008E6A98">
              <w:t xml:space="preserve"> </w:t>
            </w:r>
            <w:r>
              <w:t>/</w:t>
            </w:r>
            <w:r w:rsidR="008E6A98">
              <w:t xml:space="preserve"> </w:t>
            </w:r>
            <w:r>
              <w:t xml:space="preserve">engineering technical </w:t>
            </w:r>
            <w:r w:rsidR="00F44150">
              <w:t>assessments and</w:t>
            </w:r>
            <w:r w:rsidR="00D26C74">
              <w:t xml:space="preserve"> </w:t>
            </w:r>
            <w:r w:rsidR="00252175">
              <w:t xml:space="preserve">analysis, field performance monitoring </w:t>
            </w:r>
          </w:p>
        </w:tc>
      </w:tr>
      <w:tr w:rsidR="00E30DB1" w14:paraId="092BD3F0" w14:textId="77777777" w:rsidTr="00062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3D55776" w14:textId="1EA5C441" w:rsidR="00E30DB1" w:rsidRDefault="0070289B" w:rsidP="00D847E7">
            <w:r>
              <w:t xml:space="preserve">Offshore electricity infrastructure </w:t>
            </w:r>
            <w:r w:rsidR="004500B9">
              <w:t xml:space="preserve">operations and licensing team </w:t>
            </w:r>
          </w:p>
        </w:tc>
        <w:tc>
          <w:tcPr>
            <w:tcW w:w="4508" w:type="dxa"/>
          </w:tcPr>
          <w:p w14:paraId="4A891D0A" w14:textId="72D0A8C5" w:rsidR="00E30DB1" w:rsidRPr="00063993" w:rsidRDefault="00063993" w:rsidP="00D847E7">
            <w:pPr>
              <w:cnfStyle w:val="000000100000" w:firstRow="0" w:lastRow="0" w:firstColumn="0" w:lastColumn="0" w:oddVBand="0" w:evenVBand="0" w:oddHBand="1" w:evenHBand="0" w:firstRowFirstColumn="0" w:firstRowLastColumn="0" w:lastRowFirstColumn="0" w:lastRowLastColumn="0"/>
            </w:pPr>
            <w:r w:rsidRPr="00063993">
              <w:t xml:space="preserve">Relevant decision maker advice, maintain the register of </w:t>
            </w:r>
            <w:r w:rsidR="00696612">
              <w:t>licences</w:t>
            </w:r>
            <w:r w:rsidRPr="00063993">
              <w:t xml:space="preserve">, industry guidance  </w:t>
            </w:r>
          </w:p>
        </w:tc>
      </w:tr>
      <w:tr w:rsidR="006765D7" w14:paraId="0BB4FCBD" w14:textId="77777777" w:rsidTr="00062015">
        <w:tc>
          <w:tcPr>
            <w:cnfStyle w:val="001000000000" w:firstRow="0" w:lastRow="0" w:firstColumn="1" w:lastColumn="0" w:oddVBand="0" w:evenVBand="0" w:oddHBand="0" w:evenHBand="0" w:firstRowFirstColumn="0" w:firstRowLastColumn="0" w:lastRowFirstColumn="0" w:lastRowLastColumn="0"/>
            <w:tcW w:w="4508" w:type="dxa"/>
          </w:tcPr>
          <w:p w14:paraId="2343601E" w14:textId="6B07D54B" w:rsidR="006765D7" w:rsidRDefault="006765D7" w:rsidP="00D847E7">
            <w:r>
              <w:t xml:space="preserve">Offshore electricity infrastructure assessment team </w:t>
            </w:r>
          </w:p>
        </w:tc>
        <w:tc>
          <w:tcPr>
            <w:tcW w:w="4508" w:type="dxa"/>
          </w:tcPr>
          <w:p w14:paraId="6ACB136C" w14:textId="49589ADB" w:rsidR="006765D7" w:rsidRPr="00063993" w:rsidRDefault="00133844" w:rsidP="00D847E7">
            <w:pPr>
              <w:cnfStyle w:val="000000000000" w:firstRow="0" w:lastRow="0" w:firstColumn="0" w:lastColumn="0" w:oddVBand="0" w:evenVBand="0" w:oddHBand="0" w:evenHBand="0" w:firstRowFirstColumn="0" w:firstRowLastColumn="0" w:lastRowFirstColumn="0" w:lastRowLastColumn="0"/>
            </w:pPr>
            <w:r>
              <w:t>Merit criteria assessment and advice, technical</w:t>
            </w:r>
            <w:r w:rsidR="008E6A98">
              <w:t xml:space="preserve"> </w:t>
            </w:r>
            <w:r w:rsidR="00DE58C8">
              <w:t>/ engineering input and analysis</w:t>
            </w:r>
            <w:r w:rsidR="00345326">
              <w:t xml:space="preserve">, OEI compliance monitoring </w:t>
            </w:r>
          </w:p>
        </w:tc>
      </w:tr>
      <w:tr w:rsidR="00E30DB1" w14:paraId="22DD68B4" w14:textId="77777777" w:rsidTr="00062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16E66B7" w14:textId="494DC7A5" w:rsidR="00E30DB1" w:rsidRDefault="004500B9" w:rsidP="00D847E7">
            <w:r>
              <w:t xml:space="preserve">Offshore electricity policy and engagement team </w:t>
            </w:r>
          </w:p>
        </w:tc>
        <w:tc>
          <w:tcPr>
            <w:tcW w:w="4508" w:type="dxa"/>
          </w:tcPr>
          <w:p w14:paraId="33677417" w14:textId="6153ED4A" w:rsidR="00E30DB1" w:rsidRDefault="00345326" w:rsidP="00D847E7">
            <w:pPr>
              <w:cnfStyle w:val="000000100000" w:firstRow="0" w:lastRow="0" w:firstColumn="0" w:lastColumn="0" w:oddVBand="0" w:evenVBand="0" w:oddHBand="1" w:evenHBand="0" w:firstRowFirstColumn="0" w:firstRowLastColumn="0" w:lastRowFirstColumn="0" w:lastRowLastColumn="0"/>
            </w:pPr>
            <w:r>
              <w:t xml:space="preserve">Input </w:t>
            </w:r>
            <w:r w:rsidR="00125924">
              <w:t xml:space="preserve">to OEI policy development / legislative </w:t>
            </w:r>
            <w:r w:rsidR="005663B4">
              <w:t>change, licensing scheme implementation</w:t>
            </w:r>
            <w:r w:rsidR="00F475A0">
              <w:t xml:space="preserve">, external engagement and reporting </w:t>
            </w:r>
          </w:p>
        </w:tc>
      </w:tr>
    </w:tbl>
    <w:p w14:paraId="5F8D6CA6" w14:textId="77777777" w:rsidR="009B15E3" w:rsidRPr="00A47015" w:rsidRDefault="009B15E3" w:rsidP="00D847E7"/>
    <w:p w14:paraId="3A2E0550" w14:textId="583B910B" w:rsidR="00900C48" w:rsidRDefault="00900C48">
      <w:pPr>
        <w:spacing w:before="0" w:after="160" w:line="259" w:lineRule="auto"/>
      </w:pPr>
      <w:r>
        <w:br w:type="page"/>
      </w:r>
    </w:p>
    <w:p w14:paraId="386A4D75" w14:textId="242D6EAD" w:rsidR="00E16E98" w:rsidRDefault="005B0431" w:rsidP="005B0431">
      <w:pPr>
        <w:pStyle w:val="Heading3"/>
      </w:pPr>
      <w:bookmarkStart w:id="46" w:name="_Toc221544014"/>
      <w:bookmarkStart w:id="47" w:name="_Toc221546093"/>
      <w:bookmarkStart w:id="48" w:name="_Toc221627085"/>
      <w:bookmarkStart w:id="49" w:name="_Toc222500445"/>
      <w:r>
        <w:lastRenderedPageBreak/>
        <w:t>Our people</w:t>
      </w:r>
      <w:bookmarkEnd w:id="46"/>
      <w:bookmarkEnd w:id="47"/>
      <w:bookmarkEnd w:id="48"/>
      <w:bookmarkEnd w:id="49"/>
    </w:p>
    <w:p w14:paraId="57DDA45D" w14:textId="7390EB29" w:rsidR="006B66CE" w:rsidRPr="00193052" w:rsidRDefault="00D93BD3" w:rsidP="00EA42D0">
      <w:r w:rsidRPr="00193052">
        <w:t xml:space="preserve">As of 30 June 2025, the branch had 136 </w:t>
      </w:r>
      <w:r w:rsidR="00D76774" w:rsidRPr="00193052">
        <w:t xml:space="preserve">total staff and contractors. Our workforce is based across our Perth </w:t>
      </w:r>
      <w:r w:rsidR="00ED7D54" w:rsidRPr="00193052">
        <w:t>and Melbourne offices, with remote workers in Queensland, New South Wales</w:t>
      </w:r>
      <w:r w:rsidR="00DA3806" w:rsidRPr="00193052">
        <w:t>, the A</w:t>
      </w:r>
      <w:r w:rsidR="00B10FE7">
        <w:t xml:space="preserve">ustralian </w:t>
      </w:r>
      <w:r w:rsidR="00DA3806" w:rsidRPr="00193052">
        <w:t>C</w:t>
      </w:r>
      <w:r w:rsidR="00B10FE7">
        <w:t xml:space="preserve">apital </w:t>
      </w:r>
      <w:r w:rsidR="00DA3806" w:rsidRPr="00193052">
        <w:t>T</w:t>
      </w:r>
      <w:r w:rsidR="00B10FE7">
        <w:t>erritory</w:t>
      </w:r>
      <w:r w:rsidR="00DA3806" w:rsidRPr="00193052">
        <w:t xml:space="preserve">, Victoria and South Australia. </w:t>
      </w:r>
    </w:p>
    <w:p w14:paraId="2D5DD7BD" w14:textId="263C9C97" w:rsidR="00DA3806" w:rsidRPr="00193052" w:rsidRDefault="00DA3806" w:rsidP="00EA42D0">
      <w:r w:rsidRPr="00193052">
        <w:t xml:space="preserve">During 2024-25, the </w:t>
      </w:r>
      <w:r w:rsidR="004F1E56" w:rsidRPr="00193052">
        <w:t>branch recruited personnel for our Offshore Elect</w:t>
      </w:r>
      <w:r w:rsidR="00987CA5" w:rsidRPr="00193052">
        <w:t>ricity Infrastructure team to bolster our skills, capab</w:t>
      </w:r>
      <w:r w:rsidR="008471AE" w:rsidRPr="00193052">
        <w:t xml:space="preserve">ility and capacity, along with additional staff </w:t>
      </w:r>
      <w:r w:rsidR="00A25AF9" w:rsidRPr="00193052">
        <w:t>in the geoscience, engineering and legislative and regulatory s</w:t>
      </w:r>
      <w:r w:rsidR="00193052" w:rsidRPr="00193052">
        <w:t xml:space="preserve">upport areas. </w:t>
      </w:r>
    </w:p>
    <w:p w14:paraId="636B6BA7" w14:textId="2F698A54" w:rsidR="00CC25BE" w:rsidRPr="00AE4ACA" w:rsidRDefault="00CC25BE" w:rsidP="00EA42D0">
      <w:r w:rsidRPr="005B65DE">
        <w:t>As at 30 June 2025</w:t>
      </w:r>
      <w:r w:rsidR="0059455B" w:rsidRPr="005B65DE">
        <w:t xml:space="preserve"> – the branch has: </w:t>
      </w:r>
    </w:p>
    <w:p w14:paraId="2B0DDA09" w14:textId="099F3D86" w:rsidR="00CC25BE" w:rsidRPr="0093334C" w:rsidRDefault="0059455B" w:rsidP="00000EE8">
      <w:pPr>
        <w:pStyle w:val="ListParagraph"/>
      </w:pPr>
      <w:r w:rsidRPr="0093334C">
        <w:t xml:space="preserve">More than </w:t>
      </w:r>
      <w:r w:rsidR="009F44BE" w:rsidRPr="0093334C">
        <w:t xml:space="preserve">1000 total combined </w:t>
      </w:r>
      <w:r w:rsidR="00CC25BE" w:rsidRPr="0093334C">
        <w:t>years in the A</w:t>
      </w:r>
      <w:r w:rsidR="006E7E6F" w:rsidRPr="0093334C">
        <w:t xml:space="preserve">ustralian </w:t>
      </w:r>
      <w:r w:rsidR="00CC25BE" w:rsidRPr="0093334C">
        <w:t>P</w:t>
      </w:r>
      <w:r w:rsidR="006E7E6F" w:rsidRPr="0093334C">
        <w:t xml:space="preserve">ublic </w:t>
      </w:r>
      <w:r w:rsidR="00CC25BE" w:rsidRPr="0093334C">
        <w:t>S</w:t>
      </w:r>
      <w:r w:rsidR="006E7E6F" w:rsidRPr="0093334C">
        <w:t>ervice</w:t>
      </w:r>
    </w:p>
    <w:p w14:paraId="4D72421E" w14:textId="7A2CC976" w:rsidR="00CC25BE" w:rsidRPr="0093334C" w:rsidRDefault="006E7E6F" w:rsidP="00000EE8">
      <w:pPr>
        <w:pStyle w:val="ListParagraph"/>
      </w:pPr>
      <w:r w:rsidRPr="0093334C">
        <w:t xml:space="preserve">554 </w:t>
      </w:r>
      <w:r w:rsidR="00A37A71" w:rsidRPr="0093334C">
        <w:t xml:space="preserve">total combined </w:t>
      </w:r>
      <w:r w:rsidR="00CC25BE" w:rsidRPr="0093334C">
        <w:t xml:space="preserve">years </w:t>
      </w:r>
      <w:r w:rsidR="00A37A71" w:rsidRPr="0093334C">
        <w:t xml:space="preserve">at </w:t>
      </w:r>
      <w:r w:rsidR="00CC25BE" w:rsidRPr="0093334C">
        <w:t>NOPTA</w:t>
      </w:r>
    </w:p>
    <w:p w14:paraId="335F513D" w14:textId="5E4C9E5B" w:rsidR="00CC25BE" w:rsidRPr="0093334C" w:rsidRDefault="000E20B3" w:rsidP="00000EE8">
      <w:pPr>
        <w:pStyle w:val="ListParagraph"/>
      </w:pPr>
      <w:r w:rsidRPr="0093334C">
        <w:t>136 t</w:t>
      </w:r>
      <w:r w:rsidR="00CC25BE" w:rsidRPr="0093334C">
        <w:t xml:space="preserve">otal staff and contractor headcount </w:t>
      </w:r>
    </w:p>
    <w:p w14:paraId="61D8D9A3" w14:textId="73E1AA32" w:rsidR="00A002D5" w:rsidRPr="0093334C" w:rsidRDefault="00A002D5" w:rsidP="00000EE8">
      <w:pPr>
        <w:pStyle w:val="ListParagraph"/>
      </w:pPr>
      <w:r w:rsidRPr="0093334C">
        <w:t>300+</w:t>
      </w:r>
      <w:r w:rsidR="00441007" w:rsidRPr="0093334C">
        <w:t xml:space="preserve"> total combined industry years’ experience </w:t>
      </w:r>
    </w:p>
    <w:p w14:paraId="6ABC70EB" w14:textId="1F59B953" w:rsidR="00CC25BE" w:rsidRPr="0093334C" w:rsidRDefault="000247D0" w:rsidP="00000EE8">
      <w:pPr>
        <w:pStyle w:val="ListParagraph"/>
      </w:pPr>
      <w:r w:rsidRPr="0093334C">
        <w:t>86% s</w:t>
      </w:r>
      <w:r w:rsidR="00CC25BE" w:rsidRPr="0093334C">
        <w:t xml:space="preserve">taff </w:t>
      </w:r>
      <w:r w:rsidR="00201EC1" w:rsidRPr="0093334C">
        <w:t xml:space="preserve">and 14% contractors </w:t>
      </w:r>
    </w:p>
    <w:p w14:paraId="1B7E3D3D" w14:textId="38F19EC0" w:rsidR="00CC25BE" w:rsidRPr="0093334C" w:rsidRDefault="00201EC1" w:rsidP="00000EE8">
      <w:pPr>
        <w:pStyle w:val="ListParagraph"/>
      </w:pPr>
      <w:r w:rsidRPr="0093334C">
        <w:t>87% f</w:t>
      </w:r>
      <w:r w:rsidR="00CC25BE" w:rsidRPr="0093334C">
        <w:t xml:space="preserve">ull-time </w:t>
      </w:r>
      <w:r w:rsidRPr="0093334C">
        <w:t xml:space="preserve">staff </w:t>
      </w:r>
      <w:r w:rsidR="008D1E3C" w:rsidRPr="0093334C">
        <w:t>and 13%</w:t>
      </w:r>
      <w:r w:rsidR="00CC25BE" w:rsidRPr="0093334C">
        <w:t xml:space="preserve"> part-time staff </w:t>
      </w:r>
    </w:p>
    <w:p w14:paraId="5500129E" w14:textId="20F47F57" w:rsidR="00CC25BE" w:rsidRPr="0093334C" w:rsidRDefault="00631CD5" w:rsidP="00000EE8">
      <w:pPr>
        <w:pStyle w:val="ListParagraph"/>
      </w:pPr>
      <w:r w:rsidRPr="0093334C">
        <w:t>60% f</w:t>
      </w:r>
      <w:r w:rsidR="00CC25BE" w:rsidRPr="0093334C">
        <w:t xml:space="preserve">emales to </w:t>
      </w:r>
      <w:r w:rsidRPr="0093334C">
        <w:t>40% m</w:t>
      </w:r>
      <w:r w:rsidR="00CC25BE" w:rsidRPr="0093334C">
        <w:t xml:space="preserve">ales </w:t>
      </w:r>
      <w:r w:rsidR="003800A3" w:rsidRPr="0093334C">
        <w:t xml:space="preserve">workforce gender balance </w:t>
      </w:r>
      <w:r w:rsidR="001104DB" w:rsidRPr="0093334C">
        <w:t>(including contractors)</w:t>
      </w:r>
      <w:r w:rsidR="00FD2FBD" w:rsidRPr="0093334C">
        <w:t>.</w:t>
      </w:r>
    </w:p>
    <w:p w14:paraId="6D45AB48" w14:textId="1311985B" w:rsidR="006B66CE" w:rsidRDefault="00E87F9D" w:rsidP="00EC7C1D">
      <w:pPr>
        <w:pStyle w:val="Heading3"/>
      </w:pPr>
      <w:bookmarkStart w:id="50" w:name="_Toc221544015"/>
      <w:bookmarkStart w:id="51" w:name="_Toc221546094"/>
      <w:bookmarkStart w:id="52" w:name="_Toc221627086"/>
      <w:bookmarkStart w:id="53" w:name="_Toc222500446"/>
      <w:r>
        <w:t>Performance highlights</w:t>
      </w:r>
      <w:bookmarkEnd w:id="50"/>
      <w:bookmarkEnd w:id="51"/>
      <w:bookmarkEnd w:id="52"/>
      <w:bookmarkEnd w:id="53"/>
      <w:r>
        <w:t xml:space="preserve"> </w:t>
      </w:r>
    </w:p>
    <w:p w14:paraId="07ED9E28" w14:textId="43D36603" w:rsidR="00411376" w:rsidRPr="00CC61C7" w:rsidRDefault="00702AA3" w:rsidP="00EA42D0">
      <w:r w:rsidRPr="00CC61C7">
        <w:t xml:space="preserve">During the 2024-25 year, the branch: </w:t>
      </w:r>
    </w:p>
    <w:p w14:paraId="57E6537E" w14:textId="0F1F236B" w:rsidR="00702AA3" w:rsidRPr="00CC61C7" w:rsidRDefault="00BC43E6" w:rsidP="00000EE8">
      <w:pPr>
        <w:pStyle w:val="ListParagraph"/>
      </w:pPr>
      <w:r w:rsidRPr="00CC61C7">
        <w:t xml:space="preserve">99% met target application assessment timeframes </w:t>
      </w:r>
      <w:r w:rsidR="00FB62F7" w:rsidRPr="00CC61C7">
        <w:t>(petroleum and GHG applications)</w:t>
      </w:r>
    </w:p>
    <w:p w14:paraId="30AADB4B" w14:textId="5905FDC8" w:rsidR="00FB62F7" w:rsidRPr="00CC61C7" w:rsidRDefault="003C6E5B" w:rsidP="00000EE8">
      <w:pPr>
        <w:pStyle w:val="ListParagraph"/>
      </w:pPr>
      <w:r w:rsidRPr="00CC61C7">
        <w:t>270 petroleum applications submitted</w:t>
      </w:r>
    </w:p>
    <w:p w14:paraId="542B2598" w14:textId="55E5BDD1" w:rsidR="00DB1303" w:rsidRPr="00CC61C7" w:rsidRDefault="00DB1303" w:rsidP="00000EE8">
      <w:pPr>
        <w:pStyle w:val="ListParagraph"/>
      </w:pPr>
      <w:r w:rsidRPr="00CC61C7">
        <w:t xml:space="preserve">21 GHG applications submitted </w:t>
      </w:r>
    </w:p>
    <w:p w14:paraId="622C5DC5" w14:textId="69AFE4CC" w:rsidR="00DB1303" w:rsidRPr="00CC61C7" w:rsidRDefault="00DB1303" w:rsidP="00000EE8">
      <w:pPr>
        <w:pStyle w:val="ListParagraph"/>
      </w:pPr>
      <w:r w:rsidRPr="00CC61C7">
        <w:t xml:space="preserve">12 OEI </w:t>
      </w:r>
      <w:r w:rsidR="002F1D22" w:rsidRPr="00CC61C7">
        <w:t>feasibility licence applications submitted</w:t>
      </w:r>
    </w:p>
    <w:p w14:paraId="620FD35D" w14:textId="11BFC2D9" w:rsidR="002E5836" w:rsidRPr="00CC61C7" w:rsidRDefault="00C742EF" w:rsidP="00000EE8">
      <w:pPr>
        <w:pStyle w:val="ListParagraph"/>
      </w:pPr>
      <w:r w:rsidRPr="00CC61C7">
        <w:t xml:space="preserve">624TB of data authorised for public release </w:t>
      </w:r>
    </w:p>
    <w:p w14:paraId="732EB4E2" w14:textId="3A0DBB36" w:rsidR="00C742EF" w:rsidRPr="00CC61C7" w:rsidRDefault="009D117D" w:rsidP="00000EE8">
      <w:pPr>
        <w:pStyle w:val="ListParagraph"/>
      </w:pPr>
      <w:r w:rsidRPr="00CC61C7">
        <w:t>900+ meetings held with stakeholders</w:t>
      </w:r>
      <w:r w:rsidR="0005480C" w:rsidRPr="00CC61C7">
        <w:t>, across petroleum, GHG and OEI sectors</w:t>
      </w:r>
      <w:r w:rsidR="00CC61C7">
        <w:t>.</w:t>
      </w:r>
      <w:r w:rsidR="0005480C" w:rsidRPr="00CC61C7">
        <w:t xml:space="preserve"> </w:t>
      </w:r>
    </w:p>
    <w:p w14:paraId="26BC7C05" w14:textId="40C39238" w:rsidR="00702AA3" w:rsidRDefault="00C3016C" w:rsidP="00C3016C">
      <w:pPr>
        <w:pStyle w:val="Heading3"/>
      </w:pPr>
      <w:bookmarkStart w:id="54" w:name="_Toc221544016"/>
      <w:bookmarkStart w:id="55" w:name="_Toc221546095"/>
      <w:bookmarkStart w:id="56" w:name="_Toc221627087"/>
      <w:bookmarkStart w:id="57" w:name="_Toc222500447"/>
      <w:r>
        <w:t>Activity highlights</w:t>
      </w:r>
      <w:bookmarkEnd w:id="54"/>
      <w:bookmarkEnd w:id="55"/>
      <w:bookmarkEnd w:id="56"/>
      <w:bookmarkEnd w:id="57"/>
      <w:r>
        <w:t xml:space="preserve"> </w:t>
      </w:r>
    </w:p>
    <w:p w14:paraId="42966D69" w14:textId="0C7A9206" w:rsidR="00C3016C" w:rsidRPr="00D06416" w:rsidRDefault="00C3016C" w:rsidP="00F7504C">
      <w:pPr>
        <w:pStyle w:val="Heading6"/>
        <w:rPr>
          <w:rStyle w:val="Strong"/>
        </w:rPr>
      </w:pPr>
      <w:r w:rsidRPr="00D06416">
        <w:rPr>
          <w:rStyle w:val="Strong"/>
        </w:rPr>
        <w:t>In offshore petroleum:</w:t>
      </w:r>
    </w:p>
    <w:p w14:paraId="29C80D3E" w14:textId="486E382A" w:rsidR="00C3016C" w:rsidRDefault="005D4116" w:rsidP="00000EE8">
      <w:pPr>
        <w:pStyle w:val="ListParagraph"/>
        <w:numPr>
          <w:ilvl w:val="0"/>
          <w:numId w:val="3"/>
        </w:numPr>
      </w:pPr>
      <w:r>
        <w:t xml:space="preserve">5 petroleum exploration permits </w:t>
      </w:r>
      <w:r w:rsidR="00771449">
        <w:t xml:space="preserve">were </w:t>
      </w:r>
      <w:r>
        <w:t xml:space="preserve">renewed </w:t>
      </w:r>
    </w:p>
    <w:p w14:paraId="0431129A" w14:textId="1B6B66EE" w:rsidR="005D4116" w:rsidRDefault="005D4116" w:rsidP="00000EE8">
      <w:pPr>
        <w:pStyle w:val="ListParagraph"/>
        <w:numPr>
          <w:ilvl w:val="0"/>
          <w:numId w:val="3"/>
        </w:numPr>
      </w:pPr>
      <w:r>
        <w:t xml:space="preserve">4 production licences under assessment </w:t>
      </w:r>
    </w:p>
    <w:p w14:paraId="1808E725" w14:textId="7F0BA7BC" w:rsidR="005D4116" w:rsidRDefault="00F2797F" w:rsidP="00000EE8">
      <w:pPr>
        <w:pStyle w:val="ListParagraph"/>
        <w:numPr>
          <w:ilvl w:val="0"/>
          <w:numId w:val="3"/>
        </w:numPr>
      </w:pPr>
      <w:r>
        <w:t>2 production licences</w:t>
      </w:r>
      <w:r w:rsidR="00771449">
        <w:t xml:space="preserve"> were</w:t>
      </w:r>
      <w:r>
        <w:t xml:space="preserve"> granted</w:t>
      </w:r>
      <w:r w:rsidR="008C2A7C">
        <w:t>.</w:t>
      </w:r>
    </w:p>
    <w:p w14:paraId="62F64743" w14:textId="35E17F5D" w:rsidR="008C2A7C" w:rsidRPr="00C751EC" w:rsidRDefault="009D4ECD" w:rsidP="00F7504C">
      <w:pPr>
        <w:pStyle w:val="Heading6"/>
        <w:rPr>
          <w:rStyle w:val="Strong"/>
        </w:rPr>
      </w:pPr>
      <w:r w:rsidRPr="00C751EC">
        <w:rPr>
          <w:rStyle w:val="Strong"/>
        </w:rPr>
        <w:t xml:space="preserve">In offshore GHG: </w:t>
      </w:r>
    </w:p>
    <w:p w14:paraId="026AB442" w14:textId="22652F81" w:rsidR="009D4ECD" w:rsidRDefault="009D4ECD" w:rsidP="00000EE8">
      <w:pPr>
        <w:pStyle w:val="ListParagraph"/>
        <w:numPr>
          <w:ilvl w:val="0"/>
          <w:numId w:val="4"/>
        </w:numPr>
      </w:pPr>
      <w:r>
        <w:t xml:space="preserve">10 new GHG assessment permits </w:t>
      </w:r>
      <w:r w:rsidR="00771449">
        <w:t xml:space="preserve">were </w:t>
      </w:r>
      <w:r w:rsidR="00B6353A">
        <w:t>granted</w:t>
      </w:r>
    </w:p>
    <w:p w14:paraId="5F620A3C" w14:textId="1EDC23A9" w:rsidR="00B6353A" w:rsidRDefault="00B6353A" w:rsidP="00000EE8">
      <w:pPr>
        <w:pStyle w:val="ListParagraph"/>
        <w:numPr>
          <w:ilvl w:val="0"/>
          <w:numId w:val="4"/>
        </w:numPr>
      </w:pPr>
      <w:r>
        <w:t xml:space="preserve">2 Declaration of Identified Storage Formation </w:t>
      </w:r>
      <w:r w:rsidR="00847BF8">
        <w:t>are currently under assessment</w:t>
      </w:r>
      <w:r w:rsidR="00771449">
        <w:t>.</w:t>
      </w:r>
    </w:p>
    <w:p w14:paraId="62203A43" w14:textId="027E6433" w:rsidR="00771449" w:rsidRPr="00C751EC" w:rsidRDefault="00771449" w:rsidP="00F7504C">
      <w:pPr>
        <w:pStyle w:val="Heading6"/>
        <w:rPr>
          <w:rStyle w:val="Strong"/>
        </w:rPr>
      </w:pPr>
      <w:r w:rsidRPr="00C751EC">
        <w:rPr>
          <w:rStyle w:val="Strong"/>
        </w:rPr>
        <w:t xml:space="preserve">In offshore </w:t>
      </w:r>
      <w:r w:rsidR="00711A8B" w:rsidRPr="00C751EC">
        <w:rPr>
          <w:rStyle w:val="Strong"/>
        </w:rPr>
        <w:t xml:space="preserve">electricity: </w:t>
      </w:r>
    </w:p>
    <w:p w14:paraId="5757F69F" w14:textId="7C908610" w:rsidR="00711A8B" w:rsidRDefault="00711A8B" w:rsidP="00000EE8">
      <w:pPr>
        <w:pStyle w:val="ListParagraph"/>
        <w:numPr>
          <w:ilvl w:val="0"/>
          <w:numId w:val="5"/>
        </w:numPr>
      </w:pPr>
      <w:r>
        <w:t xml:space="preserve">6 feasibility licences were granted in the </w:t>
      </w:r>
      <w:r w:rsidR="007133A1">
        <w:t>Gippsland declared area</w:t>
      </w:r>
    </w:p>
    <w:p w14:paraId="00F7EBAC" w14:textId="473D42B2" w:rsidR="007C501C" w:rsidRDefault="007133A1" w:rsidP="00000EE8">
      <w:pPr>
        <w:pStyle w:val="ListParagraph"/>
        <w:numPr>
          <w:ilvl w:val="0"/>
          <w:numId w:val="5"/>
        </w:numPr>
      </w:pPr>
      <w:r>
        <w:t>1 feasibility licences w</w:t>
      </w:r>
      <w:r w:rsidR="007C501C">
        <w:t>as</w:t>
      </w:r>
      <w:r>
        <w:t xml:space="preserve"> granted </w:t>
      </w:r>
      <w:r w:rsidR="007C501C">
        <w:t xml:space="preserve">for the Southern Ocean declared area. </w:t>
      </w:r>
    </w:p>
    <w:p w14:paraId="286D6C1D" w14:textId="2FEB6311" w:rsidR="0099696A" w:rsidRDefault="00233402" w:rsidP="00233402">
      <w:pPr>
        <w:pStyle w:val="Heading3"/>
      </w:pPr>
      <w:bookmarkStart w:id="58" w:name="_Toc221544017"/>
      <w:bookmarkStart w:id="59" w:name="_Toc221546096"/>
      <w:bookmarkStart w:id="60" w:name="_Toc221627088"/>
      <w:bookmarkStart w:id="61" w:name="_Toc222500448"/>
      <w:r>
        <w:lastRenderedPageBreak/>
        <w:t xml:space="preserve">2024-25 Industry </w:t>
      </w:r>
      <w:r w:rsidR="009351BF">
        <w:t>a</w:t>
      </w:r>
      <w:r w:rsidR="007D78E8">
        <w:t xml:space="preserve">ctivity </w:t>
      </w:r>
      <w:r w:rsidR="009351BF">
        <w:t>o</w:t>
      </w:r>
      <w:r w:rsidR="007D78E8">
        <w:t>verview</w:t>
      </w:r>
      <w:bookmarkEnd w:id="58"/>
      <w:bookmarkEnd w:id="59"/>
      <w:bookmarkEnd w:id="60"/>
      <w:bookmarkEnd w:id="61"/>
      <w:r w:rsidR="007D78E8">
        <w:t xml:space="preserve"> </w:t>
      </w:r>
    </w:p>
    <w:p w14:paraId="370162B5" w14:textId="77777777" w:rsidR="008D4725" w:rsidRDefault="0073484B" w:rsidP="008D4725">
      <w:pPr>
        <w:pStyle w:val="Caption"/>
        <w:keepNext/>
      </w:pPr>
      <w:r w:rsidRPr="0073484B">
        <w:rPr>
          <w:noProof/>
        </w:rPr>
        <w:drawing>
          <wp:inline distT="0" distB="0" distL="0" distR="0" wp14:anchorId="140CDD24" wp14:editId="32E27FFC">
            <wp:extent cx="5583115" cy="3948882"/>
            <wp:effectExtent l="0" t="0" r="0" b="0"/>
            <wp:docPr id="325932209" name="Picture 2" descr="A national map showing offshore energy projects and activities to 30 June 2025. The map has 4 regional activity hubs presented as inset panels. Access the alternative text description under Figure 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32209" name="Picture 2" descr="A national map showing offshore energy projects and activities to 30 June 2025. The map has 4 regional activity hubs presented as inset panels. Access the alternative text description under Figure 1.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7815" cy="3952206"/>
                    </a:xfrm>
                    <a:prstGeom prst="rect">
                      <a:avLst/>
                    </a:prstGeom>
                    <a:noFill/>
                    <a:ln>
                      <a:noFill/>
                    </a:ln>
                  </pic:spPr>
                </pic:pic>
              </a:graphicData>
            </a:graphic>
          </wp:inline>
        </w:drawing>
      </w:r>
    </w:p>
    <w:p w14:paraId="4E4F9AFD" w14:textId="5C6C5B3D" w:rsidR="007834E5" w:rsidRDefault="008D4725" w:rsidP="008D4725">
      <w:pPr>
        <w:pStyle w:val="Caption"/>
      </w:pPr>
      <w:bookmarkStart w:id="62" w:name="_Toc221884183"/>
      <w:bookmarkStart w:id="63" w:name="_Toc222316216"/>
      <w:r>
        <w:t xml:space="preserve">Figure </w:t>
      </w:r>
      <w:r>
        <w:fldChar w:fldCharType="begin"/>
      </w:r>
      <w:r>
        <w:instrText xml:space="preserve"> SEQ Figure \* ARABIC </w:instrText>
      </w:r>
      <w:r>
        <w:fldChar w:fldCharType="separate"/>
      </w:r>
      <w:r w:rsidR="00CF02F5">
        <w:rPr>
          <w:noProof/>
        </w:rPr>
        <w:t>2</w:t>
      </w:r>
      <w:r>
        <w:fldChar w:fldCharType="end"/>
      </w:r>
      <w:r w:rsidRPr="008632BA">
        <w:t>: A national map showing offshore energy activity and licensing highlights in Commonwealth waters for the 2024-25 financial year.</w:t>
      </w:r>
      <w:bookmarkEnd w:id="62"/>
      <w:bookmarkEnd w:id="63"/>
    </w:p>
    <w:p w14:paraId="1BCB4045" w14:textId="25661029" w:rsidR="00CA4C80" w:rsidRPr="00F53FE5" w:rsidRDefault="00120ABB" w:rsidP="000515E6">
      <w:pPr>
        <w:ind w:left="720"/>
        <w:rPr>
          <w:sz w:val="20"/>
          <w:szCs w:val="20"/>
        </w:rPr>
      </w:pPr>
      <w:r w:rsidRPr="004721CD">
        <w:rPr>
          <w:b/>
          <w:bCs/>
          <w:sz w:val="20"/>
          <w:szCs w:val="20"/>
        </w:rPr>
        <w:t>Alternative text description</w:t>
      </w:r>
      <w:r w:rsidR="002B5D4E" w:rsidRPr="004721CD">
        <w:rPr>
          <w:b/>
          <w:bCs/>
          <w:sz w:val="20"/>
          <w:szCs w:val="20"/>
        </w:rPr>
        <w:t xml:space="preserve">: </w:t>
      </w:r>
      <w:r w:rsidR="00CA4C80" w:rsidRPr="00F7177E">
        <w:rPr>
          <w:sz w:val="20"/>
          <w:szCs w:val="20"/>
        </w:rPr>
        <w:t xml:space="preserve">A national map showing offshore energy activity and licensing highlights in Commonwealth waters for the 2024–25 financial year. The map includes </w:t>
      </w:r>
      <w:r w:rsidR="0081528D">
        <w:rPr>
          <w:sz w:val="20"/>
          <w:szCs w:val="20"/>
        </w:rPr>
        <w:t>4</w:t>
      </w:r>
      <w:r w:rsidR="0081528D" w:rsidRPr="00F7177E">
        <w:rPr>
          <w:sz w:val="20"/>
          <w:szCs w:val="20"/>
        </w:rPr>
        <w:t xml:space="preserve"> </w:t>
      </w:r>
      <w:r w:rsidR="00CA4C80" w:rsidRPr="00F7177E">
        <w:rPr>
          <w:sz w:val="20"/>
          <w:szCs w:val="20"/>
        </w:rPr>
        <w:t>circular inset maps focusing on regional activity hubs in</w:t>
      </w:r>
      <w:r w:rsidR="004C384E">
        <w:rPr>
          <w:sz w:val="20"/>
          <w:szCs w:val="20"/>
        </w:rPr>
        <w:t xml:space="preserve"> offshore </w:t>
      </w:r>
      <w:r w:rsidR="00023D3D">
        <w:rPr>
          <w:sz w:val="20"/>
          <w:szCs w:val="20"/>
        </w:rPr>
        <w:t>Western Australia</w:t>
      </w:r>
      <w:r w:rsidR="001E2A82">
        <w:rPr>
          <w:sz w:val="20"/>
          <w:szCs w:val="20"/>
        </w:rPr>
        <w:t xml:space="preserve">, </w:t>
      </w:r>
      <w:r w:rsidR="007A76C1">
        <w:rPr>
          <w:sz w:val="20"/>
          <w:szCs w:val="20"/>
        </w:rPr>
        <w:t xml:space="preserve">the Northern </w:t>
      </w:r>
      <w:r w:rsidR="00F44150">
        <w:rPr>
          <w:sz w:val="20"/>
          <w:szCs w:val="20"/>
        </w:rPr>
        <w:t>Territory,</w:t>
      </w:r>
      <w:r w:rsidR="00745C0D">
        <w:rPr>
          <w:sz w:val="20"/>
          <w:szCs w:val="20"/>
        </w:rPr>
        <w:t xml:space="preserve"> New South</w:t>
      </w:r>
      <w:r w:rsidR="005324F6">
        <w:rPr>
          <w:sz w:val="20"/>
          <w:szCs w:val="20"/>
        </w:rPr>
        <w:t xml:space="preserve"> Wales</w:t>
      </w:r>
      <w:r w:rsidR="0081528D">
        <w:rPr>
          <w:sz w:val="20"/>
          <w:szCs w:val="20"/>
        </w:rPr>
        <w:t xml:space="preserve"> and </w:t>
      </w:r>
      <w:r w:rsidR="00CA4C80" w:rsidRPr="00F7177E">
        <w:rPr>
          <w:rFonts w:eastAsia="Calibri" w:cs="Calibri"/>
          <w:color w:val="000000" w:themeColor="text1"/>
          <w:sz w:val="20"/>
          <w:szCs w:val="20"/>
        </w:rPr>
        <w:t>Victoria.</w:t>
      </w:r>
      <w:r w:rsidR="00CA4C80" w:rsidRPr="00F7177E">
        <w:rPr>
          <w:sz w:val="20"/>
          <w:szCs w:val="20"/>
        </w:rPr>
        <w:t xml:space="preserve"> </w:t>
      </w:r>
    </w:p>
    <w:p w14:paraId="5F6D59D3" w14:textId="069B920F" w:rsidR="00CA4C80" w:rsidRPr="00F53FE5" w:rsidRDefault="00CA4C80" w:rsidP="000515E6">
      <w:pPr>
        <w:ind w:left="720"/>
        <w:rPr>
          <w:sz w:val="20"/>
          <w:szCs w:val="20"/>
        </w:rPr>
      </w:pPr>
      <w:r w:rsidRPr="00F53FE5">
        <w:rPr>
          <w:sz w:val="20"/>
          <w:szCs w:val="20"/>
        </w:rPr>
        <w:t xml:space="preserve">These insets magnify project footprints and </w:t>
      </w:r>
      <w:r w:rsidR="00991AF7" w:rsidRPr="00F53FE5">
        <w:rPr>
          <w:sz w:val="20"/>
          <w:szCs w:val="20"/>
        </w:rPr>
        <w:t xml:space="preserve">show </w:t>
      </w:r>
      <w:r w:rsidRPr="00F53FE5">
        <w:rPr>
          <w:sz w:val="20"/>
          <w:szCs w:val="20"/>
        </w:rPr>
        <w:t xml:space="preserve">areas where multiple energy activities </w:t>
      </w:r>
      <w:r w:rsidR="00415B0A" w:rsidRPr="00F53FE5">
        <w:rPr>
          <w:sz w:val="20"/>
          <w:szCs w:val="20"/>
        </w:rPr>
        <w:t>occur</w:t>
      </w:r>
      <w:r w:rsidRPr="00F53FE5">
        <w:rPr>
          <w:sz w:val="20"/>
          <w:szCs w:val="20"/>
        </w:rPr>
        <w:t xml:space="preserve">. In the </w:t>
      </w:r>
      <w:r w:rsidR="00415B0A" w:rsidRPr="00F53FE5">
        <w:rPr>
          <w:sz w:val="20"/>
          <w:szCs w:val="20"/>
        </w:rPr>
        <w:t>N</w:t>
      </w:r>
      <w:r w:rsidRPr="00F53FE5">
        <w:rPr>
          <w:sz w:val="20"/>
          <w:szCs w:val="20"/>
        </w:rPr>
        <w:t>orth</w:t>
      </w:r>
      <w:r w:rsidR="00415B0A" w:rsidRPr="00F53FE5">
        <w:rPr>
          <w:sz w:val="20"/>
          <w:szCs w:val="20"/>
        </w:rPr>
        <w:t>-</w:t>
      </w:r>
      <w:r w:rsidRPr="00F53FE5">
        <w:rPr>
          <w:sz w:val="20"/>
          <w:szCs w:val="20"/>
        </w:rPr>
        <w:t xml:space="preserve">west, petroleum and greenhouse gas projects overlap, while in the </w:t>
      </w:r>
      <w:r w:rsidR="0016711F" w:rsidRPr="00F53FE5">
        <w:rPr>
          <w:sz w:val="20"/>
          <w:szCs w:val="20"/>
        </w:rPr>
        <w:t>S</w:t>
      </w:r>
      <w:r w:rsidRPr="00F53FE5">
        <w:rPr>
          <w:sz w:val="20"/>
          <w:szCs w:val="20"/>
        </w:rPr>
        <w:t>outh</w:t>
      </w:r>
      <w:r w:rsidR="0016711F" w:rsidRPr="00F53FE5">
        <w:rPr>
          <w:sz w:val="20"/>
          <w:szCs w:val="20"/>
        </w:rPr>
        <w:t>-</w:t>
      </w:r>
      <w:r w:rsidRPr="00F53FE5">
        <w:rPr>
          <w:sz w:val="20"/>
          <w:szCs w:val="20"/>
        </w:rPr>
        <w:t xml:space="preserve">east, petroleum, greenhouse gas, and offshore electricity activities coexist. </w:t>
      </w:r>
    </w:p>
    <w:p w14:paraId="7DBAEFA3" w14:textId="0F1991B2" w:rsidR="009926B0" w:rsidRDefault="003E79AD" w:rsidP="009926B0">
      <w:pPr>
        <w:ind w:left="720"/>
        <w:rPr>
          <w:rFonts w:eastAsia="Calibri" w:cs="Calibri"/>
          <w:color w:val="000000" w:themeColor="text1"/>
          <w:sz w:val="20"/>
          <w:szCs w:val="20"/>
        </w:rPr>
      </w:pPr>
      <w:r w:rsidRPr="004F728E">
        <w:rPr>
          <w:sz w:val="20"/>
          <w:szCs w:val="20"/>
        </w:rPr>
        <w:t>A legend outlines the symbols and colour coding used to distinguish the well types and licensing categories.</w:t>
      </w:r>
      <w:r w:rsidR="009926B0" w:rsidRPr="009926B0">
        <w:rPr>
          <w:rFonts w:eastAsia="Calibri" w:cs="Calibri"/>
          <w:color w:val="000000" w:themeColor="text1"/>
          <w:sz w:val="20"/>
          <w:szCs w:val="20"/>
        </w:rPr>
        <w:t xml:space="preserve"> </w:t>
      </w:r>
      <w:r w:rsidR="009926B0" w:rsidRPr="00F53FE5">
        <w:rPr>
          <w:rFonts w:eastAsia="Calibri" w:cs="Calibri"/>
          <w:color w:val="000000" w:themeColor="text1"/>
          <w:sz w:val="20"/>
          <w:szCs w:val="20"/>
        </w:rPr>
        <w:t>The main information on the map includes:</w:t>
      </w:r>
    </w:p>
    <w:p w14:paraId="42027A4C" w14:textId="77777777" w:rsidR="00102AAB" w:rsidRPr="004F4784" w:rsidRDefault="00102AAB" w:rsidP="004F4784">
      <w:pPr>
        <w:pStyle w:val="Alttextbullets"/>
      </w:pPr>
      <w:r w:rsidRPr="004F4784">
        <w:t>declared OEI areas</w:t>
      </w:r>
    </w:p>
    <w:p w14:paraId="5B76EB8F" w14:textId="139350D8" w:rsidR="00645758" w:rsidRPr="00D153C4" w:rsidRDefault="003C67CA" w:rsidP="00B67621">
      <w:pPr>
        <w:pStyle w:val="Alttextbullets"/>
      </w:pPr>
      <w:r w:rsidRPr="00D153C4">
        <w:t>e</w:t>
      </w:r>
      <w:r w:rsidR="00CA4C80" w:rsidRPr="00D153C4">
        <w:t xml:space="preserve">xploration </w:t>
      </w:r>
      <w:r w:rsidR="0016711F" w:rsidRPr="00D153C4">
        <w:t>d</w:t>
      </w:r>
      <w:r w:rsidR="00CA4C80" w:rsidRPr="00D153C4">
        <w:t>rilling locations</w:t>
      </w:r>
    </w:p>
    <w:p w14:paraId="4B9D38F9" w14:textId="78699DE1" w:rsidR="00645758" w:rsidRPr="00D153C4" w:rsidRDefault="003C67CA" w:rsidP="00B67621">
      <w:pPr>
        <w:pStyle w:val="Alttextbullets"/>
      </w:pPr>
      <w:r w:rsidRPr="00D153C4">
        <w:t>n</w:t>
      </w:r>
      <w:r w:rsidR="00CA4C80" w:rsidRPr="00D153C4">
        <w:t xml:space="preserve">ew </w:t>
      </w:r>
      <w:r w:rsidR="0016711F" w:rsidRPr="00D153C4">
        <w:t>f</w:t>
      </w:r>
      <w:r w:rsidR="00CA4C80" w:rsidRPr="00D153C4">
        <w:t xml:space="preserve">ield </w:t>
      </w:r>
      <w:r w:rsidR="0016711F" w:rsidRPr="00D153C4">
        <w:t>d</w:t>
      </w:r>
      <w:r w:rsidR="00CA4C80" w:rsidRPr="00D153C4">
        <w:t xml:space="preserve">evelopment </w:t>
      </w:r>
      <w:r w:rsidR="0016711F" w:rsidRPr="00D153C4">
        <w:t>d</w:t>
      </w:r>
      <w:r w:rsidR="00CA4C80" w:rsidRPr="00D153C4">
        <w:t>rilling locations</w:t>
      </w:r>
    </w:p>
    <w:p w14:paraId="618B2200" w14:textId="0E123E54" w:rsidR="00645758" w:rsidRPr="00D153C4" w:rsidRDefault="003C67CA" w:rsidP="00B67621">
      <w:pPr>
        <w:pStyle w:val="Alttextbullets"/>
      </w:pPr>
      <w:r w:rsidRPr="00D153C4">
        <w:t>f</w:t>
      </w:r>
      <w:r w:rsidR="00CA4C80" w:rsidRPr="00D153C4">
        <w:t xml:space="preserve">ield </w:t>
      </w:r>
      <w:r w:rsidR="0016711F" w:rsidRPr="00D153C4">
        <w:t>i</w:t>
      </w:r>
      <w:r w:rsidR="00CA4C80" w:rsidRPr="00D153C4">
        <w:t xml:space="preserve">nfill </w:t>
      </w:r>
      <w:r w:rsidR="0016711F" w:rsidRPr="00D153C4">
        <w:t>d</w:t>
      </w:r>
      <w:r w:rsidR="00CA4C80" w:rsidRPr="00D153C4">
        <w:t>rilling locations</w:t>
      </w:r>
    </w:p>
    <w:p w14:paraId="493A06D5" w14:textId="7D33D3B5" w:rsidR="00645758" w:rsidRPr="00D153C4" w:rsidRDefault="003C67CA" w:rsidP="00B67621">
      <w:pPr>
        <w:pStyle w:val="Alttextbullets"/>
      </w:pPr>
      <w:r w:rsidRPr="00D153C4">
        <w:t>a</w:t>
      </w:r>
      <w:r w:rsidR="00CA4C80" w:rsidRPr="00D153C4">
        <w:t xml:space="preserve">ppraisal </w:t>
      </w:r>
      <w:r w:rsidR="0016711F" w:rsidRPr="00D153C4">
        <w:t>w</w:t>
      </w:r>
      <w:r w:rsidR="00CA4C80" w:rsidRPr="00D153C4">
        <w:t>ell locations</w:t>
      </w:r>
    </w:p>
    <w:p w14:paraId="0268CD9B" w14:textId="674A1F9E" w:rsidR="00645758" w:rsidRPr="00D153C4" w:rsidRDefault="003C67CA" w:rsidP="00B67621">
      <w:pPr>
        <w:pStyle w:val="Alttextbullets"/>
      </w:pPr>
      <w:r w:rsidRPr="00D153C4">
        <w:t>d</w:t>
      </w:r>
      <w:r w:rsidR="00CA4C80" w:rsidRPr="00D153C4">
        <w:t xml:space="preserve">eclaration of </w:t>
      </w:r>
      <w:r w:rsidR="00872EAB" w:rsidRPr="00D153C4">
        <w:t>s</w:t>
      </w:r>
      <w:r w:rsidR="00CA4C80" w:rsidRPr="00D153C4">
        <w:t xml:space="preserve">torage </w:t>
      </w:r>
      <w:r w:rsidR="00872EAB" w:rsidRPr="00D153C4">
        <w:t>f</w:t>
      </w:r>
      <w:r w:rsidR="00CA4C80" w:rsidRPr="00D153C4">
        <w:t>ormat</w:t>
      </w:r>
      <w:r w:rsidR="00872EAB" w:rsidRPr="00D153C4">
        <w:t>ion</w:t>
      </w:r>
      <w:r w:rsidR="00CA4C80" w:rsidRPr="00D153C4">
        <w:t xml:space="preserve"> (</w:t>
      </w:r>
      <w:proofErr w:type="spellStart"/>
      <w:r w:rsidR="00CA4C80" w:rsidRPr="00D153C4">
        <w:t>DoSF</w:t>
      </w:r>
      <w:proofErr w:type="spellEnd"/>
      <w:r w:rsidR="00CA4C80" w:rsidRPr="00D153C4">
        <w:t xml:space="preserve">) </w:t>
      </w:r>
      <w:r w:rsidR="00872EAB" w:rsidRPr="00D153C4">
        <w:t>a</w:t>
      </w:r>
      <w:r w:rsidR="00CA4C80" w:rsidRPr="00D153C4">
        <w:t>reas</w:t>
      </w:r>
    </w:p>
    <w:p w14:paraId="3339C9B2" w14:textId="641161B7" w:rsidR="00645758" w:rsidRPr="00D153C4" w:rsidRDefault="00BC7400" w:rsidP="00B67621">
      <w:pPr>
        <w:pStyle w:val="Alttextbullets"/>
      </w:pPr>
      <w:r w:rsidRPr="00D153C4">
        <w:t>g</w:t>
      </w:r>
      <w:r w:rsidR="00CA4C80" w:rsidRPr="00D153C4">
        <w:t xml:space="preserve">reenhouse </w:t>
      </w:r>
      <w:r w:rsidR="00872EAB" w:rsidRPr="00D153C4">
        <w:t>g</w:t>
      </w:r>
      <w:r w:rsidR="00CA4C80" w:rsidRPr="00D153C4">
        <w:t xml:space="preserve">as </w:t>
      </w:r>
      <w:r w:rsidR="00872EAB" w:rsidRPr="00D153C4">
        <w:t>a</w:t>
      </w:r>
      <w:r w:rsidR="00CA4C80" w:rsidRPr="00D153C4">
        <w:t xml:space="preserve">ssessment </w:t>
      </w:r>
      <w:r w:rsidR="00872EAB" w:rsidRPr="00D153C4">
        <w:t>p</w:t>
      </w:r>
      <w:r w:rsidR="00CA4C80" w:rsidRPr="00D153C4">
        <w:t>ermits granted 2024-25</w:t>
      </w:r>
      <w:r w:rsidR="002E41BB">
        <w:t>.</w:t>
      </w:r>
    </w:p>
    <w:p w14:paraId="2EF99874" w14:textId="3E257F18" w:rsidR="0093334C" w:rsidRPr="00C87A48" w:rsidRDefault="00FC62EB" w:rsidP="00C87A48">
      <w:pPr>
        <w:ind w:left="720"/>
        <w:rPr>
          <w:sz w:val="20"/>
          <w:szCs w:val="20"/>
        </w:rPr>
      </w:pPr>
      <w:r w:rsidRPr="00C87A48">
        <w:rPr>
          <w:sz w:val="20"/>
          <w:szCs w:val="20"/>
        </w:rPr>
        <w:t>B</w:t>
      </w:r>
      <w:r w:rsidR="00CA4C80" w:rsidRPr="00C87A48">
        <w:rPr>
          <w:sz w:val="20"/>
          <w:szCs w:val="20"/>
        </w:rPr>
        <w:t>ackground information shown on the map:</w:t>
      </w:r>
    </w:p>
    <w:p w14:paraId="0BF71AB7" w14:textId="6953CB9C" w:rsidR="0093334C" w:rsidRPr="008E29FA" w:rsidRDefault="00BC7400" w:rsidP="00C87A48">
      <w:pPr>
        <w:pStyle w:val="Alttextbullets"/>
      </w:pPr>
      <w:r w:rsidRPr="008E29FA">
        <w:t>g</w:t>
      </w:r>
      <w:r w:rsidR="00CA4C80" w:rsidRPr="008E29FA">
        <w:t xml:space="preserve">reenhouse </w:t>
      </w:r>
      <w:r w:rsidR="00762051" w:rsidRPr="008E29FA">
        <w:t>g</w:t>
      </w:r>
      <w:r w:rsidR="00CA4C80" w:rsidRPr="008E29FA">
        <w:t xml:space="preserve">as </w:t>
      </w:r>
      <w:r w:rsidR="00762051" w:rsidRPr="008E29FA">
        <w:t>a</w:t>
      </w:r>
      <w:r w:rsidR="00CA4C80" w:rsidRPr="008E29FA">
        <w:t xml:space="preserve">ssessment </w:t>
      </w:r>
      <w:r w:rsidR="00762051" w:rsidRPr="008E29FA">
        <w:t>p</w:t>
      </w:r>
      <w:r w:rsidR="00CA4C80" w:rsidRPr="008E29FA">
        <w:t>ermits previously granted</w:t>
      </w:r>
    </w:p>
    <w:p w14:paraId="011BEDCA" w14:textId="71026E97" w:rsidR="00CA4C80" w:rsidRPr="008E29FA" w:rsidRDefault="00762051" w:rsidP="00C87A48">
      <w:pPr>
        <w:pStyle w:val="Alttextbullets"/>
      </w:pPr>
      <w:r w:rsidRPr="008E29FA">
        <w:t>p</w:t>
      </w:r>
      <w:r w:rsidR="00CA4C80" w:rsidRPr="008E29FA">
        <w:t xml:space="preserve">etroleum </w:t>
      </w:r>
      <w:r w:rsidRPr="008E29FA">
        <w:t>t</w:t>
      </w:r>
      <w:r w:rsidR="00CA4C80" w:rsidRPr="008E29FA">
        <w:t>itles</w:t>
      </w:r>
      <w:r w:rsidR="002E41BB">
        <w:t>.</w:t>
      </w:r>
    </w:p>
    <w:p w14:paraId="159473DE" w14:textId="7191A34A" w:rsidR="00FF52CF" w:rsidRDefault="00707A1D" w:rsidP="00C21352">
      <w:pPr>
        <w:pStyle w:val="Heading2"/>
      </w:pPr>
      <w:bookmarkStart w:id="64" w:name="_Toc221544018"/>
      <w:bookmarkStart w:id="65" w:name="_Toc221546097"/>
      <w:bookmarkStart w:id="66" w:name="_Toc221627089"/>
      <w:bookmarkStart w:id="67" w:name="_Toc222500449"/>
      <w:r w:rsidRPr="00C21352">
        <w:lastRenderedPageBreak/>
        <w:t>Activity</w:t>
      </w:r>
      <w:r>
        <w:t xml:space="preserve"> </w:t>
      </w:r>
      <w:r w:rsidR="00535CF8">
        <w:t>an</w:t>
      </w:r>
      <w:r w:rsidR="00FF28BF">
        <w:t>d</w:t>
      </w:r>
      <w:r w:rsidR="00535CF8">
        <w:t xml:space="preserve"> i</w:t>
      </w:r>
      <w:r>
        <w:t>nsights</w:t>
      </w:r>
      <w:bookmarkEnd w:id="64"/>
      <w:bookmarkEnd w:id="65"/>
      <w:bookmarkEnd w:id="66"/>
      <w:bookmarkEnd w:id="67"/>
      <w:r>
        <w:t xml:space="preserve"> </w:t>
      </w:r>
    </w:p>
    <w:p w14:paraId="61D8634C" w14:textId="6683A848" w:rsidR="00707A1D" w:rsidRDefault="004772EE" w:rsidP="00C21352">
      <w:pPr>
        <w:pStyle w:val="Heading3"/>
      </w:pPr>
      <w:bookmarkStart w:id="68" w:name="_Toc221544019"/>
      <w:bookmarkStart w:id="69" w:name="_Toc221546098"/>
      <w:bookmarkStart w:id="70" w:name="_Toc221627090"/>
      <w:bookmarkStart w:id="71" w:name="_Toc222500450"/>
      <w:r>
        <w:t xml:space="preserve">OEI </w:t>
      </w:r>
      <w:proofErr w:type="spellStart"/>
      <w:r>
        <w:t>Iicence</w:t>
      </w:r>
      <w:proofErr w:type="spellEnd"/>
      <w:r>
        <w:t xml:space="preserve"> </w:t>
      </w:r>
      <w:r w:rsidRPr="00C21352">
        <w:t>activity</w:t>
      </w:r>
      <w:r>
        <w:t xml:space="preserve"> insights</w:t>
      </w:r>
      <w:bookmarkEnd w:id="68"/>
      <w:bookmarkEnd w:id="69"/>
      <w:bookmarkEnd w:id="70"/>
      <w:bookmarkEnd w:id="71"/>
      <w:r>
        <w:t xml:space="preserve"> </w:t>
      </w:r>
    </w:p>
    <w:p w14:paraId="08084BFA" w14:textId="77777777" w:rsidR="008D4725" w:rsidRDefault="00302DCE" w:rsidP="008D4725">
      <w:pPr>
        <w:keepNext/>
      </w:pPr>
      <w:r w:rsidRPr="00302DCE">
        <w:rPr>
          <w:noProof/>
        </w:rPr>
        <w:drawing>
          <wp:inline distT="0" distB="0" distL="0" distR="0" wp14:anchorId="331F5526" wp14:editId="47E72388">
            <wp:extent cx="5731510" cy="3703955"/>
            <wp:effectExtent l="0" t="0" r="2540" b="0"/>
            <wp:docPr id="319328410" name="Picture 4" descr="A national map showing offshore electricity declared areas and feasibility licences in Commonwealth waters. Access full alt text description under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28410" name="Picture 4" descr="A national map showing offshore electricity declared areas and feasibility licences in Commonwealth waters. Access full alt text description under Fig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703955"/>
                    </a:xfrm>
                    <a:prstGeom prst="rect">
                      <a:avLst/>
                    </a:prstGeom>
                    <a:noFill/>
                    <a:ln>
                      <a:noFill/>
                    </a:ln>
                  </pic:spPr>
                </pic:pic>
              </a:graphicData>
            </a:graphic>
          </wp:inline>
        </w:drawing>
      </w:r>
    </w:p>
    <w:p w14:paraId="6849A8F8" w14:textId="25671902" w:rsidR="008D4725" w:rsidRDefault="008D4725" w:rsidP="0090495F">
      <w:pPr>
        <w:pStyle w:val="Caption"/>
      </w:pPr>
      <w:bookmarkStart w:id="72" w:name="_Toc221884184"/>
      <w:bookmarkStart w:id="73" w:name="_Toc222316217"/>
      <w:r>
        <w:t xml:space="preserve">Figure </w:t>
      </w:r>
      <w:r>
        <w:fldChar w:fldCharType="begin"/>
      </w:r>
      <w:r>
        <w:instrText xml:space="preserve"> SEQ Figure \* ARABIC </w:instrText>
      </w:r>
      <w:r>
        <w:fldChar w:fldCharType="separate"/>
      </w:r>
      <w:r w:rsidR="00CF02F5">
        <w:rPr>
          <w:noProof/>
        </w:rPr>
        <w:t>3</w:t>
      </w:r>
      <w:r>
        <w:fldChar w:fldCharType="end"/>
      </w:r>
      <w:r>
        <w:t>:</w:t>
      </w:r>
      <w:r w:rsidRPr="000674E9">
        <w:t xml:space="preserve"> Map of offshore electricity declared areas and feasibility licences in Commonwealth waters</w:t>
      </w:r>
      <w:bookmarkEnd w:id="72"/>
      <w:bookmarkEnd w:id="73"/>
    </w:p>
    <w:p w14:paraId="0832C040" w14:textId="49FD3347" w:rsidR="008F7242" w:rsidRPr="004E3A6A" w:rsidRDefault="00DF3D90" w:rsidP="00502F55">
      <w:pPr>
        <w:ind w:left="720"/>
        <w:rPr>
          <w:sz w:val="20"/>
          <w:szCs w:val="20"/>
        </w:rPr>
      </w:pPr>
      <w:r w:rsidRPr="004E3A6A">
        <w:rPr>
          <w:b/>
          <w:bCs/>
          <w:sz w:val="20"/>
          <w:szCs w:val="20"/>
        </w:rPr>
        <w:t>Alternative text description</w:t>
      </w:r>
      <w:r w:rsidR="008115AB" w:rsidRPr="00502F55">
        <w:rPr>
          <w:b/>
          <w:bCs/>
          <w:sz w:val="20"/>
          <w:szCs w:val="20"/>
        </w:rPr>
        <w:t>:</w:t>
      </w:r>
      <w:r w:rsidR="008F7242" w:rsidRPr="004E3A6A">
        <w:rPr>
          <w:b/>
          <w:bCs/>
          <w:sz w:val="20"/>
          <w:szCs w:val="20"/>
        </w:rPr>
        <w:t xml:space="preserve"> </w:t>
      </w:r>
      <w:r w:rsidR="008F7242" w:rsidRPr="004E3A6A">
        <w:rPr>
          <w:sz w:val="20"/>
          <w:szCs w:val="20"/>
        </w:rPr>
        <w:t xml:space="preserve">A national map showing offshore electricity declared areas and feasibility licences in Commonwealth jurisdiction. Declared areas are outlined and labelled, indicating zones suitable for electricity infrastructure development. Within these areas, feasibility licences are marked, showing locations where applications have been granted. </w:t>
      </w:r>
    </w:p>
    <w:p w14:paraId="41C3CE48" w14:textId="77777777" w:rsidR="00B27AB9" w:rsidRPr="004E3A6A" w:rsidRDefault="008F7242" w:rsidP="00502F55">
      <w:pPr>
        <w:ind w:left="720"/>
        <w:rPr>
          <w:rFonts w:eastAsia="Calibri" w:cs="Calibri"/>
          <w:color w:val="000000" w:themeColor="text1"/>
          <w:sz w:val="20"/>
          <w:szCs w:val="20"/>
        </w:rPr>
      </w:pPr>
      <w:r w:rsidRPr="004E3A6A">
        <w:rPr>
          <w:rFonts w:eastAsia="Calibri" w:cs="Calibri"/>
          <w:color w:val="000000" w:themeColor="text1"/>
          <w:sz w:val="20"/>
          <w:szCs w:val="20"/>
        </w:rPr>
        <w:t xml:space="preserve">There are </w:t>
      </w:r>
      <w:r w:rsidR="00B7741B" w:rsidRPr="004E3A6A">
        <w:rPr>
          <w:rFonts w:eastAsia="Calibri" w:cs="Calibri"/>
          <w:color w:val="000000" w:themeColor="text1"/>
          <w:sz w:val="20"/>
          <w:szCs w:val="20"/>
        </w:rPr>
        <w:t>5</w:t>
      </w:r>
      <w:r w:rsidRPr="004E3A6A">
        <w:rPr>
          <w:rFonts w:eastAsia="Calibri" w:cs="Calibri"/>
          <w:color w:val="000000" w:themeColor="text1"/>
          <w:sz w:val="20"/>
          <w:szCs w:val="20"/>
        </w:rPr>
        <w:t xml:space="preserve"> inset maps showing these declared areas and feasibility licences:</w:t>
      </w:r>
    </w:p>
    <w:p w14:paraId="01D82C68" w14:textId="7F5B99B2" w:rsidR="00A44760" w:rsidRPr="004F4784" w:rsidRDefault="008F7242" w:rsidP="00000EE8">
      <w:pPr>
        <w:pStyle w:val="ListParagraph"/>
        <w:numPr>
          <w:ilvl w:val="0"/>
          <w:numId w:val="27"/>
        </w:numPr>
        <w:rPr>
          <w:sz w:val="20"/>
          <w:szCs w:val="20"/>
        </w:rPr>
      </w:pPr>
      <w:r w:rsidRPr="004F4784">
        <w:rPr>
          <w:sz w:val="20"/>
          <w:szCs w:val="20"/>
        </w:rPr>
        <w:t xml:space="preserve">Bunbury </w:t>
      </w:r>
      <w:r w:rsidR="00B7638B" w:rsidRPr="004F4784">
        <w:rPr>
          <w:sz w:val="20"/>
          <w:szCs w:val="20"/>
        </w:rPr>
        <w:t>d</w:t>
      </w:r>
      <w:r w:rsidRPr="004F4784">
        <w:rPr>
          <w:sz w:val="20"/>
          <w:szCs w:val="20"/>
        </w:rPr>
        <w:t xml:space="preserve">eclared </w:t>
      </w:r>
      <w:r w:rsidR="00B7638B" w:rsidRPr="004F4784">
        <w:rPr>
          <w:sz w:val="20"/>
          <w:szCs w:val="20"/>
        </w:rPr>
        <w:t>a</w:t>
      </w:r>
      <w:r w:rsidRPr="004F4784">
        <w:rPr>
          <w:sz w:val="20"/>
          <w:szCs w:val="20"/>
        </w:rPr>
        <w:t>rea, in Western Australian waters, with no feasibility licences.</w:t>
      </w:r>
    </w:p>
    <w:p w14:paraId="0C7D0E66" w14:textId="1CCDC867" w:rsidR="005E6BEA" w:rsidRPr="004F4784" w:rsidRDefault="008F7242" w:rsidP="00000EE8">
      <w:pPr>
        <w:pStyle w:val="ListParagraph"/>
        <w:numPr>
          <w:ilvl w:val="0"/>
          <w:numId w:val="27"/>
        </w:numPr>
        <w:rPr>
          <w:rFonts w:eastAsia="Calibri" w:cs="Calibri"/>
          <w:color w:val="000000" w:themeColor="text1"/>
          <w:sz w:val="20"/>
          <w:szCs w:val="20"/>
        </w:rPr>
      </w:pPr>
      <w:r w:rsidRPr="004F4784">
        <w:rPr>
          <w:sz w:val="20"/>
          <w:szCs w:val="20"/>
        </w:rPr>
        <w:t xml:space="preserve">Southern </w:t>
      </w:r>
      <w:r w:rsidR="00B7638B" w:rsidRPr="004F4784">
        <w:rPr>
          <w:sz w:val="20"/>
          <w:szCs w:val="20"/>
        </w:rPr>
        <w:t>o</w:t>
      </w:r>
      <w:r w:rsidRPr="004F4784">
        <w:rPr>
          <w:sz w:val="20"/>
          <w:szCs w:val="20"/>
        </w:rPr>
        <w:t xml:space="preserve">cean </w:t>
      </w:r>
      <w:r w:rsidR="00B7638B" w:rsidRPr="004F4784">
        <w:rPr>
          <w:sz w:val="20"/>
          <w:szCs w:val="20"/>
        </w:rPr>
        <w:t>d</w:t>
      </w:r>
      <w:r w:rsidRPr="004F4784">
        <w:rPr>
          <w:sz w:val="20"/>
          <w:szCs w:val="20"/>
        </w:rPr>
        <w:t xml:space="preserve">eclared </w:t>
      </w:r>
      <w:r w:rsidR="00B7638B" w:rsidRPr="004F4784">
        <w:rPr>
          <w:sz w:val="20"/>
          <w:szCs w:val="20"/>
        </w:rPr>
        <w:t>a</w:t>
      </w:r>
      <w:r w:rsidRPr="004F4784">
        <w:rPr>
          <w:sz w:val="20"/>
          <w:szCs w:val="20"/>
        </w:rPr>
        <w:t>rea, in Victorian waters, with one feasibility licence granted.</w:t>
      </w:r>
    </w:p>
    <w:p w14:paraId="616AC22D" w14:textId="03F2964F" w:rsidR="0010443C" w:rsidRPr="004F4784" w:rsidRDefault="008F7242" w:rsidP="00000EE8">
      <w:pPr>
        <w:pStyle w:val="ListParagraph"/>
        <w:numPr>
          <w:ilvl w:val="0"/>
          <w:numId w:val="27"/>
        </w:numPr>
        <w:rPr>
          <w:sz w:val="20"/>
          <w:szCs w:val="20"/>
        </w:rPr>
      </w:pPr>
      <w:r w:rsidRPr="004F4784">
        <w:rPr>
          <w:sz w:val="20"/>
          <w:szCs w:val="20"/>
        </w:rPr>
        <w:t>Gippsland</w:t>
      </w:r>
      <w:r w:rsidR="00836A03" w:rsidRPr="004F4784">
        <w:rPr>
          <w:sz w:val="20"/>
          <w:szCs w:val="20"/>
        </w:rPr>
        <w:t xml:space="preserve"> </w:t>
      </w:r>
      <w:r w:rsidR="00B7741B" w:rsidRPr="004F4784">
        <w:rPr>
          <w:sz w:val="20"/>
          <w:szCs w:val="20"/>
        </w:rPr>
        <w:t>d</w:t>
      </w:r>
      <w:r w:rsidRPr="004F4784">
        <w:rPr>
          <w:sz w:val="20"/>
          <w:szCs w:val="20"/>
        </w:rPr>
        <w:t xml:space="preserve">eclared </w:t>
      </w:r>
      <w:r w:rsidR="00B7741B" w:rsidRPr="004F4784">
        <w:rPr>
          <w:sz w:val="20"/>
          <w:szCs w:val="20"/>
        </w:rPr>
        <w:t>a</w:t>
      </w:r>
      <w:r w:rsidRPr="004F4784">
        <w:rPr>
          <w:sz w:val="20"/>
          <w:szCs w:val="20"/>
        </w:rPr>
        <w:t xml:space="preserve">rea, in Victorian waters, with </w:t>
      </w:r>
      <w:r w:rsidR="00B7741B" w:rsidRPr="004F4784">
        <w:rPr>
          <w:sz w:val="20"/>
          <w:szCs w:val="20"/>
        </w:rPr>
        <w:t>12</w:t>
      </w:r>
      <w:r w:rsidRPr="004F4784">
        <w:rPr>
          <w:sz w:val="20"/>
          <w:szCs w:val="20"/>
        </w:rPr>
        <w:t xml:space="preserve"> feasibility licences granted, and Bass </w:t>
      </w:r>
      <w:r w:rsidR="00B7741B" w:rsidRPr="004F4784">
        <w:rPr>
          <w:sz w:val="20"/>
          <w:szCs w:val="20"/>
        </w:rPr>
        <w:t>d</w:t>
      </w:r>
      <w:r w:rsidRPr="004F4784">
        <w:rPr>
          <w:sz w:val="20"/>
          <w:szCs w:val="20"/>
        </w:rPr>
        <w:t xml:space="preserve">eclared </w:t>
      </w:r>
      <w:r w:rsidR="00B7741B" w:rsidRPr="004F4784">
        <w:rPr>
          <w:sz w:val="20"/>
          <w:szCs w:val="20"/>
        </w:rPr>
        <w:t>a</w:t>
      </w:r>
      <w:r w:rsidRPr="004F4784">
        <w:rPr>
          <w:sz w:val="20"/>
          <w:szCs w:val="20"/>
        </w:rPr>
        <w:t>rea, in Tasmanian waters, with no feasibility licences.</w:t>
      </w:r>
    </w:p>
    <w:p w14:paraId="6860788B" w14:textId="0A382544" w:rsidR="008F7242" w:rsidRPr="004F4784" w:rsidRDefault="008F7242" w:rsidP="00000EE8">
      <w:pPr>
        <w:pStyle w:val="ListParagraph"/>
        <w:numPr>
          <w:ilvl w:val="0"/>
          <w:numId w:val="27"/>
        </w:numPr>
        <w:rPr>
          <w:sz w:val="20"/>
          <w:szCs w:val="20"/>
        </w:rPr>
      </w:pPr>
      <w:r w:rsidRPr="004F4784">
        <w:rPr>
          <w:sz w:val="20"/>
          <w:szCs w:val="20"/>
        </w:rPr>
        <w:t xml:space="preserve">Hunter </w:t>
      </w:r>
      <w:r w:rsidR="00B7741B" w:rsidRPr="004F4784">
        <w:rPr>
          <w:sz w:val="20"/>
          <w:szCs w:val="20"/>
        </w:rPr>
        <w:t>d</w:t>
      </w:r>
      <w:r w:rsidRPr="004F4784">
        <w:rPr>
          <w:sz w:val="20"/>
          <w:szCs w:val="20"/>
        </w:rPr>
        <w:t xml:space="preserve">eclared </w:t>
      </w:r>
      <w:r w:rsidR="00B7741B" w:rsidRPr="004F4784">
        <w:rPr>
          <w:sz w:val="20"/>
          <w:szCs w:val="20"/>
        </w:rPr>
        <w:t>a</w:t>
      </w:r>
      <w:r w:rsidRPr="004F4784">
        <w:rPr>
          <w:sz w:val="20"/>
          <w:szCs w:val="20"/>
        </w:rPr>
        <w:t>rea, in New South Wales waters, with one feasibility licence offered.</w:t>
      </w:r>
    </w:p>
    <w:p w14:paraId="57FD5565" w14:textId="3EF2C9B0" w:rsidR="008F7242" w:rsidRPr="004F4784" w:rsidRDefault="008F7242" w:rsidP="00000EE8">
      <w:pPr>
        <w:pStyle w:val="ListParagraph"/>
        <w:numPr>
          <w:ilvl w:val="0"/>
          <w:numId w:val="27"/>
        </w:numPr>
        <w:rPr>
          <w:sz w:val="20"/>
          <w:szCs w:val="20"/>
        </w:rPr>
      </w:pPr>
      <w:r w:rsidRPr="004F4784">
        <w:rPr>
          <w:sz w:val="20"/>
          <w:szCs w:val="20"/>
        </w:rPr>
        <w:t xml:space="preserve">Illawarra </w:t>
      </w:r>
      <w:r w:rsidR="00B7741B" w:rsidRPr="004F4784">
        <w:rPr>
          <w:sz w:val="20"/>
          <w:szCs w:val="20"/>
        </w:rPr>
        <w:t>d</w:t>
      </w:r>
      <w:r w:rsidRPr="004F4784">
        <w:rPr>
          <w:sz w:val="20"/>
          <w:szCs w:val="20"/>
        </w:rPr>
        <w:t xml:space="preserve">eclared </w:t>
      </w:r>
      <w:r w:rsidR="00B7741B" w:rsidRPr="004F4784">
        <w:rPr>
          <w:sz w:val="20"/>
          <w:szCs w:val="20"/>
        </w:rPr>
        <w:t>a</w:t>
      </w:r>
      <w:r w:rsidRPr="004F4784">
        <w:rPr>
          <w:sz w:val="20"/>
          <w:szCs w:val="20"/>
        </w:rPr>
        <w:t>rea, in New South Wales waters, with no feasibility licences.</w:t>
      </w:r>
    </w:p>
    <w:p w14:paraId="38AAAA93" w14:textId="40B0D99A" w:rsidR="00806200" w:rsidRPr="004E3A6A" w:rsidRDefault="008F7242" w:rsidP="00E24C89">
      <w:pPr>
        <w:ind w:left="720"/>
        <w:rPr>
          <w:rFonts w:eastAsia="Calibri" w:cs="Calibri"/>
          <w:b/>
          <w:iCs/>
          <w:color w:val="000000" w:themeColor="text1"/>
          <w:sz w:val="20"/>
          <w:szCs w:val="20"/>
        </w:rPr>
      </w:pPr>
      <w:r w:rsidRPr="004E3A6A">
        <w:rPr>
          <w:rFonts w:eastAsia="Calibri" w:cs="Calibri"/>
          <w:color w:val="000000" w:themeColor="text1"/>
          <w:sz w:val="20"/>
          <w:szCs w:val="20"/>
        </w:rPr>
        <w:t>Text on the map</w:t>
      </w:r>
      <w:r w:rsidR="00B7741B" w:rsidRPr="004E3A6A">
        <w:rPr>
          <w:rFonts w:eastAsia="Calibri" w:cs="Calibri"/>
          <w:color w:val="000000" w:themeColor="text1"/>
          <w:sz w:val="20"/>
          <w:szCs w:val="20"/>
        </w:rPr>
        <w:t xml:space="preserve"> states</w:t>
      </w:r>
      <w:r w:rsidR="00A37B21">
        <w:rPr>
          <w:rFonts w:eastAsia="Calibri" w:cs="Calibri"/>
          <w:color w:val="000000" w:themeColor="text1"/>
          <w:sz w:val="20"/>
          <w:szCs w:val="20"/>
        </w:rPr>
        <w:t xml:space="preserve"> </w:t>
      </w:r>
      <w:r w:rsidR="00806200" w:rsidRPr="004E3A6A">
        <w:rPr>
          <w:rFonts w:eastAsia="Calibri" w:cs="Calibri"/>
          <w:color w:val="000000" w:themeColor="text1"/>
          <w:sz w:val="20"/>
          <w:szCs w:val="20"/>
        </w:rPr>
        <w:t>‘</w:t>
      </w:r>
      <w:r w:rsidRPr="004E3A6A">
        <w:rPr>
          <w:rFonts w:eastAsia="Calibri" w:cs="Calibri"/>
          <w:color w:val="000000" w:themeColor="text1"/>
          <w:sz w:val="20"/>
          <w:szCs w:val="20"/>
        </w:rPr>
        <w:t>In 2024-25:</w:t>
      </w:r>
    </w:p>
    <w:p w14:paraId="1B3099CA" w14:textId="6CEEF9D7" w:rsidR="00806200" w:rsidRPr="00493FBB" w:rsidRDefault="00B068A1" w:rsidP="004F4784">
      <w:pPr>
        <w:pStyle w:val="Alttextbullets"/>
      </w:pPr>
      <w:r w:rsidRPr="00493FBB">
        <w:t>t</w:t>
      </w:r>
      <w:r w:rsidR="008F7242" w:rsidRPr="00493FBB">
        <w:t xml:space="preserve">he Southern </w:t>
      </w:r>
      <w:r w:rsidR="007B3D02" w:rsidRPr="00493FBB">
        <w:t>o</w:t>
      </w:r>
      <w:r w:rsidR="008F7242" w:rsidRPr="00493FBB">
        <w:t>cean, Illawarra, Bunbury and Bass feasibility licensing rounds closed</w:t>
      </w:r>
    </w:p>
    <w:p w14:paraId="37E3E1BD" w14:textId="77777777" w:rsidR="00806200" w:rsidRPr="00493FBB" w:rsidRDefault="008F7242" w:rsidP="004F4784">
      <w:pPr>
        <w:pStyle w:val="Alttextbullets"/>
      </w:pPr>
      <w:r w:rsidRPr="00493FBB">
        <w:t>7 feasibility licence applications received</w:t>
      </w:r>
    </w:p>
    <w:p w14:paraId="01554D2D" w14:textId="693BF042" w:rsidR="003C561F" w:rsidRPr="00493FBB" w:rsidRDefault="00B068A1" w:rsidP="004F4784">
      <w:pPr>
        <w:pStyle w:val="Alttextbullets"/>
      </w:pPr>
      <w:r w:rsidRPr="00493FBB">
        <w:t>t</w:t>
      </w:r>
      <w:r w:rsidR="008F7242" w:rsidRPr="00493FBB">
        <w:t xml:space="preserve">he Gippsland and Southern </w:t>
      </w:r>
      <w:r w:rsidR="007B3D02" w:rsidRPr="00493FBB">
        <w:t>o</w:t>
      </w:r>
      <w:r w:rsidR="008F7242" w:rsidRPr="00493FBB">
        <w:t>cean feasibility licensing rounds were finalised</w:t>
      </w:r>
    </w:p>
    <w:p w14:paraId="0BCFBFD5" w14:textId="77777777" w:rsidR="003C561F" w:rsidRPr="008E29FA" w:rsidRDefault="008F7242" w:rsidP="004F4784">
      <w:pPr>
        <w:pStyle w:val="Alttextbullets"/>
      </w:pPr>
      <w:r w:rsidRPr="008E29FA">
        <w:t xml:space="preserve">7 feasibility licences granted (6 in Gippsland and 1 in Southern </w:t>
      </w:r>
      <w:r w:rsidR="00EE1AE3" w:rsidRPr="008E29FA">
        <w:t>o</w:t>
      </w:r>
      <w:r w:rsidRPr="008E29FA">
        <w:t>cean)</w:t>
      </w:r>
      <w:r w:rsidR="003C561F" w:rsidRPr="008E29FA">
        <w:t>.</w:t>
      </w:r>
    </w:p>
    <w:p w14:paraId="2CC1E8EC" w14:textId="23192E63" w:rsidR="008F7242" w:rsidRPr="004E3A6A" w:rsidRDefault="008F7242" w:rsidP="004F4784">
      <w:pPr>
        <w:ind w:left="720"/>
        <w:rPr>
          <w:sz w:val="20"/>
          <w:szCs w:val="20"/>
        </w:rPr>
      </w:pPr>
      <w:r w:rsidRPr="004E3A6A">
        <w:rPr>
          <w:sz w:val="20"/>
          <w:szCs w:val="20"/>
        </w:rPr>
        <w:t xml:space="preserve">As at </w:t>
      </w:r>
      <w:r w:rsidR="00EE1AE3" w:rsidRPr="004E3A6A">
        <w:rPr>
          <w:sz w:val="20"/>
          <w:szCs w:val="20"/>
        </w:rPr>
        <w:t xml:space="preserve">the </w:t>
      </w:r>
      <w:r w:rsidRPr="004E3A6A">
        <w:rPr>
          <w:sz w:val="20"/>
          <w:szCs w:val="20"/>
        </w:rPr>
        <w:t xml:space="preserve">end </w:t>
      </w:r>
      <w:r w:rsidR="00EE1AE3" w:rsidRPr="004E3A6A">
        <w:rPr>
          <w:sz w:val="20"/>
          <w:szCs w:val="20"/>
        </w:rPr>
        <w:t xml:space="preserve">of </w:t>
      </w:r>
      <w:r w:rsidRPr="004E3A6A">
        <w:rPr>
          <w:sz w:val="20"/>
          <w:szCs w:val="20"/>
        </w:rPr>
        <w:t xml:space="preserve">June 2025, 6 feasibility licence applications </w:t>
      </w:r>
      <w:r w:rsidR="00EE1AE3" w:rsidRPr="004E3A6A">
        <w:rPr>
          <w:sz w:val="20"/>
          <w:szCs w:val="20"/>
        </w:rPr>
        <w:t xml:space="preserve">were </w:t>
      </w:r>
      <w:r w:rsidRPr="004E3A6A">
        <w:rPr>
          <w:sz w:val="20"/>
          <w:szCs w:val="20"/>
        </w:rPr>
        <w:t>under consideration</w:t>
      </w:r>
      <w:r w:rsidR="00EE1AE3" w:rsidRPr="004E3A6A">
        <w:rPr>
          <w:sz w:val="20"/>
          <w:szCs w:val="20"/>
        </w:rPr>
        <w:t xml:space="preserve">. </w:t>
      </w:r>
    </w:p>
    <w:p w14:paraId="659C0D0A" w14:textId="1FE7755D" w:rsidR="00920DDF" w:rsidRPr="004E3A6A" w:rsidRDefault="008F7242" w:rsidP="00947500">
      <w:pPr>
        <w:ind w:left="720"/>
        <w:rPr>
          <w:rFonts w:eastAsia="Calibri" w:cs="Calibri"/>
          <w:color w:val="000000" w:themeColor="text1"/>
          <w:sz w:val="20"/>
          <w:szCs w:val="20"/>
        </w:rPr>
      </w:pPr>
      <w:r w:rsidRPr="004E3A6A">
        <w:rPr>
          <w:sz w:val="20"/>
          <w:szCs w:val="20"/>
        </w:rPr>
        <w:lastRenderedPageBreak/>
        <w:t xml:space="preserve">The map </w:t>
      </w:r>
      <w:r w:rsidR="005F05FB" w:rsidRPr="004E3A6A">
        <w:rPr>
          <w:sz w:val="20"/>
          <w:szCs w:val="20"/>
        </w:rPr>
        <w:t>has</w:t>
      </w:r>
      <w:r w:rsidRPr="004E3A6A">
        <w:rPr>
          <w:sz w:val="20"/>
          <w:szCs w:val="20"/>
        </w:rPr>
        <w:t xml:space="preserve"> a legend explaining symbols and colour coding</w:t>
      </w:r>
      <w:r w:rsidRPr="004E3A6A">
        <w:rPr>
          <w:rFonts w:eastAsia="Calibri" w:cs="Calibri"/>
          <w:color w:val="000000" w:themeColor="text1"/>
          <w:sz w:val="20"/>
          <w:szCs w:val="20"/>
        </w:rPr>
        <w:t xml:space="preserve">, with a note that reads: </w:t>
      </w:r>
      <w:r w:rsidR="008935AA" w:rsidRPr="004E3A6A">
        <w:rPr>
          <w:rFonts w:eastAsia="Calibri" w:cs="Calibri"/>
          <w:color w:val="000000" w:themeColor="text1"/>
          <w:sz w:val="20"/>
          <w:szCs w:val="20"/>
        </w:rPr>
        <w:t>‘</w:t>
      </w:r>
      <w:r w:rsidR="004C625A" w:rsidRPr="004E3A6A">
        <w:rPr>
          <w:rFonts w:eastAsia="Calibri" w:cs="Calibri"/>
          <w:color w:val="000000" w:themeColor="text1"/>
          <w:sz w:val="20"/>
          <w:szCs w:val="20"/>
        </w:rPr>
        <w:t>a</w:t>
      </w:r>
      <w:r w:rsidRPr="004E3A6A">
        <w:rPr>
          <w:rFonts w:eastAsia="Calibri" w:cs="Calibri"/>
          <w:color w:val="000000" w:themeColor="text1"/>
          <w:sz w:val="20"/>
          <w:szCs w:val="20"/>
        </w:rPr>
        <w:t xml:space="preserve"> declared area </w:t>
      </w:r>
      <w:r w:rsidR="00AC0A46" w:rsidRPr="004E3A6A">
        <w:rPr>
          <w:rFonts w:eastAsia="Calibri" w:cs="Calibri"/>
          <w:color w:val="000000" w:themeColor="text1"/>
          <w:sz w:val="20"/>
          <w:szCs w:val="20"/>
        </w:rPr>
        <w:t>is an area that has been de</w:t>
      </w:r>
      <w:r w:rsidR="001813F5" w:rsidRPr="004E3A6A">
        <w:rPr>
          <w:rFonts w:eastAsia="Calibri" w:cs="Calibri"/>
          <w:color w:val="000000" w:themeColor="text1"/>
          <w:sz w:val="20"/>
          <w:szCs w:val="20"/>
        </w:rPr>
        <w:t xml:space="preserve">clared </w:t>
      </w:r>
      <w:r w:rsidR="00885A95" w:rsidRPr="004E3A6A">
        <w:rPr>
          <w:rFonts w:eastAsia="Calibri" w:cs="Calibri"/>
          <w:color w:val="000000" w:themeColor="text1"/>
          <w:sz w:val="20"/>
          <w:szCs w:val="20"/>
        </w:rPr>
        <w:t xml:space="preserve">as suitable for offshore renewable energy </w:t>
      </w:r>
      <w:r w:rsidR="00EC2F22" w:rsidRPr="004E3A6A">
        <w:rPr>
          <w:rFonts w:eastAsia="Calibri" w:cs="Calibri"/>
          <w:color w:val="000000" w:themeColor="text1"/>
          <w:sz w:val="20"/>
          <w:szCs w:val="20"/>
        </w:rPr>
        <w:t xml:space="preserve">projects by the Minister for </w:t>
      </w:r>
      <w:r w:rsidR="00920DDF" w:rsidRPr="004E3A6A">
        <w:rPr>
          <w:rFonts w:eastAsia="Calibri" w:cs="Calibri"/>
          <w:color w:val="000000" w:themeColor="text1"/>
          <w:sz w:val="20"/>
          <w:szCs w:val="20"/>
        </w:rPr>
        <w:t xml:space="preserve">Climate Change </w:t>
      </w:r>
      <w:r w:rsidR="00A15EFD" w:rsidRPr="004E3A6A">
        <w:rPr>
          <w:rFonts w:eastAsia="Calibri" w:cs="Calibri"/>
          <w:color w:val="000000" w:themeColor="text1"/>
          <w:sz w:val="20"/>
          <w:szCs w:val="20"/>
        </w:rPr>
        <w:t>and Energy under section 17 of the OEI Act</w:t>
      </w:r>
      <w:r w:rsidR="00DB28CB" w:rsidRPr="004E3A6A">
        <w:rPr>
          <w:rFonts w:eastAsia="Calibri" w:cs="Calibri"/>
          <w:color w:val="000000" w:themeColor="text1"/>
          <w:sz w:val="20"/>
          <w:szCs w:val="20"/>
        </w:rPr>
        <w:t>.’</w:t>
      </w:r>
      <w:r w:rsidR="00A15EFD" w:rsidRPr="004E3A6A">
        <w:rPr>
          <w:rFonts w:eastAsia="Calibri" w:cs="Calibri"/>
          <w:color w:val="000000" w:themeColor="text1"/>
          <w:sz w:val="20"/>
          <w:szCs w:val="20"/>
        </w:rPr>
        <w:t xml:space="preserve"> </w:t>
      </w:r>
    </w:p>
    <w:p w14:paraId="473F261D" w14:textId="02C680E1" w:rsidR="007B503C" w:rsidRDefault="00F33C15" w:rsidP="00883E95">
      <w:pPr>
        <w:pStyle w:val="Heading3"/>
      </w:pPr>
      <w:bookmarkStart w:id="74" w:name="_Toc221544020"/>
      <w:bookmarkStart w:id="75" w:name="_Toc221546099"/>
      <w:bookmarkStart w:id="76" w:name="_Toc221627091"/>
      <w:bookmarkStart w:id="77" w:name="_Toc222500451"/>
      <w:r>
        <w:t>Gippsland declared area update</w:t>
      </w:r>
      <w:bookmarkEnd w:id="74"/>
      <w:bookmarkEnd w:id="75"/>
      <w:bookmarkEnd w:id="76"/>
      <w:bookmarkEnd w:id="77"/>
      <w:r>
        <w:t xml:space="preserve"> </w:t>
      </w:r>
    </w:p>
    <w:p w14:paraId="662F4E7C" w14:textId="43F12D10" w:rsidR="00F33C15" w:rsidRPr="00222F0D" w:rsidRDefault="00FF44C6" w:rsidP="00F33C15">
      <w:r w:rsidRPr="00222F0D">
        <w:t xml:space="preserve">The Minister for Climate Change and Energy granted 12 feasibility licences by the end of </w:t>
      </w:r>
      <w:r w:rsidR="003C2E9D" w:rsidRPr="00222F0D">
        <w:t>June 2025, after a high</w:t>
      </w:r>
      <w:r w:rsidR="008C1BEF">
        <w:t>ly</w:t>
      </w:r>
      <w:r w:rsidR="003C2E9D" w:rsidRPr="00222F0D">
        <w:t xml:space="preserve"> competitive first feasibility</w:t>
      </w:r>
      <w:r w:rsidR="002F3B05" w:rsidRPr="00222F0D">
        <w:t xml:space="preserve"> licensing round in Gippsland, Victoria. </w:t>
      </w:r>
    </w:p>
    <w:p w14:paraId="17E8F6F1" w14:textId="6A760C84" w:rsidR="002F3B05" w:rsidRPr="00222F0D" w:rsidRDefault="00262B53" w:rsidP="00F33C15">
      <w:r w:rsidRPr="00222F0D">
        <w:t>The offshore wind projects proposed under these licences</w:t>
      </w:r>
      <w:r w:rsidR="00974C72" w:rsidRPr="00222F0D">
        <w:t xml:space="preserve"> have a potential energy generation of up to 25 </w:t>
      </w:r>
      <w:r w:rsidR="00A609F5" w:rsidRPr="00222F0D">
        <w:t xml:space="preserve">gigawatts. </w:t>
      </w:r>
    </w:p>
    <w:p w14:paraId="581181D0" w14:textId="4CC95289" w:rsidR="001B735E" w:rsidRDefault="001B735E" w:rsidP="00F33C15">
      <w:r w:rsidRPr="00222F0D">
        <w:t xml:space="preserve">This is more than the current total installed generation capacity </w:t>
      </w:r>
      <w:r w:rsidR="000060F7" w:rsidRPr="00222F0D">
        <w:t xml:space="preserve">in Victoria via conventional generation and renewables, highlighting the future potential of offshore wind in Australia. </w:t>
      </w:r>
    </w:p>
    <w:p w14:paraId="1AE14DD9" w14:textId="77777777" w:rsidR="00EE121F" w:rsidRDefault="00B9425B" w:rsidP="00D41314">
      <w:pPr>
        <w:keepNext/>
        <w:tabs>
          <w:tab w:val="left" w:pos="4395"/>
        </w:tabs>
      </w:pPr>
      <w:r w:rsidRPr="00B9425B">
        <w:rPr>
          <w:noProof/>
        </w:rPr>
        <w:drawing>
          <wp:inline distT="0" distB="0" distL="0" distR="0" wp14:anchorId="682BE9A6" wp14:editId="2B04F3BA">
            <wp:extent cx="5731510" cy="4039870"/>
            <wp:effectExtent l="0" t="0" r="2540" b="0"/>
            <wp:docPr id="1446036544" name="Picture 6" descr="A regional map showing offshore electricity feasibility licences of the Gippsland Basin, Victoria. Access the full alternative text description under Figure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036544" name="Picture 6" descr="A regional map showing offshore electricity feasibility licences of the Gippsland Basin, Victoria. Access the full alternative text description under Figure 3.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039870"/>
                    </a:xfrm>
                    <a:prstGeom prst="rect">
                      <a:avLst/>
                    </a:prstGeom>
                    <a:noFill/>
                    <a:ln>
                      <a:noFill/>
                    </a:ln>
                  </pic:spPr>
                </pic:pic>
              </a:graphicData>
            </a:graphic>
          </wp:inline>
        </w:drawing>
      </w:r>
    </w:p>
    <w:p w14:paraId="2B4A0043" w14:textId="42790C70" w:rsidR="00992D4E" w:rsidRDefault="00EE121F" w:rsidP="00EE121F">
      <w:pPr>
        <w:pStyle w:val="Caption"/>
      </w:pPr>
      <w:bookmarkStart w:id="78" w:name="_Toc221884185"/>
      <w:bookmarkStart w:id="79" w:name="_Toc222316218"/>
      <w:r>
        <w:t xml:space="preserve">Figure </w:t>
      </w:r>
      <w:r>
        <w:fldChar w:fldCharType="begin"/>
      </w:r>
      <w:r>
        <w:instrText xml:space="preserve"> SEQ Figure \* ARABIC </w:instrText>
      </w:r>
      <w:r>
        <w:fldChar w:fldCharType="separate"/>
      </w:r>
      <w:r w:rsidR="00CF02F5">
        <w:rPr>
          <w:noProof/>
        </w:rPr>
        <w:t>4</w:t>
      </w:r>
      <w:r>
        <w:fldChar w:fldCharType="end"/>
      </w:r>
      <w:r>
        <w:t xml:space="preserve">: </w:t>
      </w:r>
      <w:r w:rsidRPr="0004097C">
        <w:t>A regional map showing offshore electricity feasibility licences of the Gippsland basin</w:t>
      </w:r>
      <w:bookmarkEnd w:id="78"/>
      <w:bookmarkEnd w:id="79"/>
    </w:p>
    <w:p w14:paraId="0A67C0A8" w14:textId="55C6D1E8" w:rsidR="00FB1902" w:rsidRPr="00052E96" w:rsidRDefault="00A762B0" w:rsidP="00344F6D">
      <w:pPr>
        <w:ind w:left="720"/>
        <w:rPr>
          <w:sz w:val="20"/>
          <w:szCs w:val="20"/>
        </w:rPr>
      </w:pPr>
      <w:r w:rsidRPr="00052E96">
        <w:rPr>
          <w:b/>
          <w:bCs/>
          <w:sz w:val="20"/>
          <w:szCs w:val="20"/>
        </w:rPr>
        <w:t xml:space="preserve">Alternative text description: </w:t>
      </w:r>
      <w:r w:rsidR="00FB1902" w:rsidRPr="00052E96">
        <w:rPr>
          <w:sz w:val="20"/>
          <w:szCs w:val="20"/>
        </w:rPr>
        <w:t xml:space="preserve">A regional map showing declared areas in the Gippsland basin in Victoria, under the </w:t>
      </w:r>
      <w:r w:rsidR="00FB1902" w:rsidRPr="00052E96">
        <w:rPr>
          <w:i/>
          <w:iCs/>
          <w:sz w:val="20"/>
          <w:szCs w:val="20"/>
        </w:rPr>
        <w:t>Offshore Electricity Infrastructure Act 2021</w:t>
      </w:r>
      <w:r w:rsidR="00FB1902" w:rsidRPr="00052E96">
        <w:rPr>
          <w:sz w:val="20"/>
          <w:szCs w:val="20"/>
        </w:rPr>
        <w:t>. Dotted-line polygons outline declared areas. Within these, teal shading indicates feasibility licences granted during the 2024–25 financial year, while purple shading shows licences granted in previous years. A legend explains the colour coding and spatial boundaries of declared areas and licences.</w:t>
      </w:r>
    </w:p>
    <w:p w14:paraId="37B7D687" w14:textId="77777777" w:rsidR="00542318" w:rsidRDefault="00FB1902" w:rsidP="00344F6D">
      <w:pPr>
        <w:ind w:left="720"/>
        <w:rPr>
          <w:rFonts w:eastAsia="Calibri" w:cs="Calibri"/>
          <w:color w:val="000000" w:themeColor="text1"/>
          <w:sz w:val="20"/>
          <w:szCs w:val="20"/>
        </w:rPr>
      </w:pPr>
      <w:r w:rsidRPr="00052E96">
        <w:rPr>
          <w:rFonts w:eastAsia="Calibri" w:cs="Calibri"/>
          <w:color w:val="000000" w:themeColor="text1"/>
          <w:sz w:val="20"/>
          <w:szCs w:val="20"/>
        </w:rPr>
        <w:t xml:space="preserve">There are </w:t>
      </w:r>
      <w:r w:rsidR="00025BD4" w:rsidRPr="00052E96">
        <w:rPr>
          <w:rFonts w:eastAsia="Calibri" w:cs="Calibri"/>
          <w:color w:val="000000" w:themeColor="text1"/>
          <w:sz w:val="20"/>
          <w:szCs w:val="20"/>
        </w:rPr>
        <w:t>6</w:t>
      </w:r>
      <w:r w:rsidRPr="00052E96">
        <w:rPr>
          <w:rFonts w:eastAsia="Calibri" w:cs="Calibri"/>
          <w:color w:val="000000" w:themeColor="text1"/>
          <w:sz w:val="20"/>
          <w:szCs w:val="20"/>
        </w:rPr>
        <w:t xml:space="preserve"> feasibility licences that have been granted </w:t>
      </w:r>
      <w:r w:rsidR="00BA17EA" w:rsidRPr="00052E96">
        <w:rPr>
          <w:rFonts w:eastAsia="Calibri" w:cs="Calibri"/>
          <w:color w:val="000000" w:themeColor="text1"/>
          <w:sz w:val="20"/>
          <w:szCs w:val="20"/>
        </w:rPr>
        <w:t>in</w:t>
      </w:r>
      <w:r w:rsidRPr="00052E96">
        <w:rPr>
          <w:rFonts w:eastAsia="Calibri" w:cs="Calibri"/>
          <w:color w:val="000000" w:themeColor="text1"/>
          <w:sz w:val="20"/>
          <w:szCs w:val="20"/>
        </w:rPr>
        <w:t xml:space="preserve"> the 2024-25 reporting period:</w:t>
      </w:r>
    </w:p>
    <w:p w14:paraId="58AC55A8" w14:textId="77777777" w:rsidR="00542318" w:rsidRPr="006A4940" w:rsidRDefault="00FB1902" w:rsidP="009415EA">
      <w:pPr>
        <w:pStyle w:val="Alttextbullets"/>
      </w:pPr>
      <w:r w:rsidRPr="006A4940">
        <w:t>FL-007 Gippsland Dawn OWP Project Pty Ltd</w:t>
      </w:r>
    </w:p>
    <w:p w14:paraId="56609B00" w14:textId="77777777" w:rsidR="00542318" w:rsidRPr="006A4940" w:rsidRDefault="00FB1902" w:rsidP="009415EA">
      <w:pPr>
        <w:pStyle w:val="Alttextbullets"/>
      </w:pPr>
      <w:r w:rsidRPr="006A4940">
        <w:t>FL-008 Kent Offshore Wind Pty Ltd</w:t>
      </w:r>
    </w:p>
    <w:p w14:paraId="5937252D" w14:textId="77777777" w:rsidR="00542318" w:rsidRPr="006A4940" w:rsidRDefault="00FB1902" w:rsidP="009415EA">
      <w:pPr>
        <w:pStyle w:val="Alttextbullets"/>
      </w:pPr>
      <w:r w:rsidRPr="006A4940">
        <w:t>FL-009 Orsted Offshore Australia 1 Pty Ltd</w:t>
      </w:r>
    </w:p>
    <w:p w14:paraId="6AC899EE" w14:textId="77777777" w:rsidR="00542318" w:rsidRPr="00C15F58" w:rsidRDefault="00FB1902" w:rsidP="009415EA">
      <w:pPr>
        <w:pStyle w:val="Alttextbullets"/>
      </w:pPr>
      <w:r w:rsidRPr="00C15F58">
        <w:t>FL-010 Great Eastern Offshore Wind Farm Project Co Pty Ltd</w:t>
      </w:r>
    </w:p>
    <w:p w14:paraId="6E40B1C3" w14:textId="77777777" w:rsidR="00542318" w:rsidRPr="00C15F58" w:rsidRDefault="00FB1902" w:rsidP="009415EA">
      <w:pPr>
        <w:pStyle w:val="Alttextbullets"/>
      </w:pPr>
      <w:r w:rsidRPr="00C15F58">
        <w:t>FL-011 Navigator North Project Pty Ltd</w:t>
      </w:r>
    </w:p>
    <w:p w14:paraId="6BEA77F2" w14:textId="5315F81D" w:rsidR="00025BD4" w:rsidRPr="00C15F58" w:rsidRDefault="00FB1902" w:rsidP="009415EA">
      <w:pPr>
        <w:pStyle w:val="Alttextbullets"/>
      </w:pPr>
      <w:r w:rsidRPr="00C15F58">
        <w:lastRenderedPageBreak/>
        <w:t>FL-012 Iberdrola Australia OW2 Pty Limited</w:t>
      </w:r>
      <w:r w:rsidR="009C3A74" w:rsidRPr="00C15F58">
        <w:t>.</w:t>
      </w:r>
    </w:p>
    <w:p w14:paraId="56554F91" w14:textId="37DDC214" w:rsidR="00D65D96" w:rsidRPr="00052E96" w:rsidRDefault="00FB1902" w:rsidP="004C2923">
      <w:pPr>
        <w:pStyle w:val="Alttextbullets"/>
        <w:numPr>
          <w:ilvl w:val="0"/>
          <w:numId w:val="0"/>
        </w:numPr>
        <w:ind w:left="1434" w:hanging="357"/>
        <w:rPr>
          <w:b/>
          <w:iCs/>
        </w:rPr>
      </w:pPr>
      <w:r w:rsidRPr="00052E96">
        <w:t xml:space="preserve">There are </w:t>
      </w:r>
      <w:r w:rsidR="00025BD4" w:rsidRPr="00052E96">
        <w:t>6</w:t>
      </w:r>
      <w:r w:rsidRPr="00052E96">
        <w:t xml:space="preserve"> feasibility licences granted in previous reporting periods:</w:t>
      </w:r>
    </w:p>
    <w:p w14:paraId="5F7626B3" w14:textId="77777777" w:rsidR="00D65D96" w:rsidRPr="00F41CBD" w:rsidRDefault="00FB1902" w:rsidP="009415EA">
      <w:pPr>
        <w:pStyle w:val="Alttextbullets"/>
        <w:rPr>
          <w:b/>
        </w:rPr>
      </w:pPr>
      <w:r w:rsidRPr="00F41CBD">
        <w:t>FL-001 Blue Mackerel North Pty Ltd</w:t>
      </w:r>
    </w:p>
    <w:p w14:paraId="5A102DC3" w14:textId="77777777" w:rsidR="00D65D96" w:rsidRPr="00F41CBD" w:rsidRDefault="00FB1902" w:rsidP="009415EA">
      <w:pPr>
        <w:pStyle w:val="Alttextbullets"/>
        <w:rPr>
          <w:b/>
        </w:rPr>
      </w:pPr>
      <w:r w:rsidRPr="00F41CBD">
        <w:t>FL-002 High Sea Wind Pty Ltd</w:t>
      </w:r>
    </w:p>
    <w:p w14:paraId="199EF2DE" w14:textId="77777777" w:rsidR="00D65D96" w:rsidRPr="00F41CBD" w:rsidRDefault="00FB1902" w:rsidP="009415EA">
      <w:pPr>
        <w:pStyle w:val="Alttextbullets"/>
        <w:rPr>
          <w:b/>
        </w:rPr>
      </w:pPr>
      <w:r w:rsidRPr="00F41CBD">
        <w:t>FL-003 Gippsland Skies Pty Ltd</w:t>
      </w:r>
    </w:p>
    <w:p w14:paraId="174ECB9C" w14:textId="77777777" w:rsidR="00D65D96" w:rsidRPr="00F41CBD" w:rsidRDefault="00FB1902" w:rsidP="009415EA">
      <w:pPr>
        <w:pStyle w:val="Alttextbullets"/>
        <w:rPr>
          <w:b/>
        </w:rPr>
      </w:pPr>
      <w:r w:rsidRPr="00F41CBD">
        <w:t>FL-004 Orsted Offshore Australia 1 Pty Ltd</w:t>
      </w:r>
    </w:p>
    <w:p w14:paraId="2FBC4F5E" w14:textId="77777777" w:rsidR="00D65D96" w:rsidRPr="00F41CBD" w:rsidRDefault="00FB1902" w:rsidP="009415EA">
      <w:pPr>
        <w:pStyle w:val="Alttextbullets"/>
        <w:rPr>
          <w:b/>
        </w:rPr>
      </w:pPr>
      <w:r w:rsidRPr="00F41CBD">
        <w:t xml:space="preserve">FL-005 Kut-Wut </w:t>
      </w:r>
      <w:proofErr w:type="spellStart"/>
      <w:r w:rsidRPr="00F41CBD">
        <w:t>Brataualung</w:t>
      </w:r>
      <w:proofErr w:type="spellEnd"/>
      <w:r w:rsidRPr="00F41CBD">
        <w:t xml:space="preserve"> Pty Ltd</w:t>
      </w:r>
    </w:p>
    <w:p w14:paraId="49569DCF" w14:textId="67E4D2B4" w:rsidR="00FB1902" w:rsidRPr="00F41CBD" w:rsidRDefault="00FB1902" w:rsidP="009415EA">
      <w:pPr>
        <w:pStyle w:val="Alttextbullets"/>
        <w:rPr>
          <w:b/>
        </w:rPr>
      </w:pPr>
      <w:r w:rsidRPr="00F41CBD">
        <w:t>FL-006 Star of the South Wind Farm Pty Ltd</w:t>
      </w:r>
      <w:r w:rsidR="004F0CBF" w:rsidRPr="00F41CBD">
        <w:t>.</w:t>
      </w:r>
    </w:p>
    <w:p w14:paraId="3AF2D24F" w14:textId="5A647921" w:rsidR="004F0CBF" w:rsidRPr="00A762B0" w:rsidRDefault="004F0CBF" w:rsidP="00A762B0">
      <w:pPr>
        <w:rPr>
          <w:rFonts w:eastAsia="Calibri" w:cs="Calibri"/>
          <w:color w:val="000000" w:themeColor="text1"/>
        </w:rPr>
      </w:pPr>
      <w:r w:rsidRPr="00A762B0">
        <w:rPr>
          <w:rFonts w:eastAsia="Calibri" w:cs="Calibri"/>
          <w:color w:val="000000" w:themeColor="text1"/>
        </w:rPr>
        <w:br w:type="page"/>
      </w:r>
    </w:p>
    <w:p w14:paraId="7CCCE5EC" w14:textId="367AF1B1" w:rsidR="00F33C15" w:rsidRDefault="000C1BBC" w:rsidP="000C1BBC">
      <w:pPr>
        <w:pStyle w:val="Heading3"/>
      </w:pPr>
      <w:bookmarkStart w:id="80" w:name="_Toc221544021"/>
      <w:bookmarkStart w:id="81" w:name="_Toc221546100"/>
      <w:bookmarkStart w:id="82" w:name="_Toc221627092"/>
      <w:bookmarkStart w:id="83" w:name="_Toc222500452"/>
      <w:r>
        <w:lastRenderedPageBreak/>
        <w:t>OEI milestones</w:t>
      </w:r>
      <w:bookmarkEnd w:id="80"/>
      <w:bookmarkEnd w:id="81"/>
      <w:bookmarkEnd w:id="82"/>
      <w:bookmarkEnd w:id="83"/>
      <w:r>
        <w:t xml:space="preserve"> </w:t>
      </w:r>
    </w:p>
    <w:p w14:paraId="29E66CD3" w14:textId="12222953" w:rsidR="001327AE" w:rsidRPr="009505A0" w:rsidRDefault="002D2E49" w:rsidP="002D2E49">
      <w:pPr>
        <w:rPr>
          <w:rStyle w:val="Strong"/>
        </w:rPr>
      </w:pPr>
      <w:r w:rsidRPr="009505A0">
        <w:rPr>
          <w:rStyle w:val="Strong"/>
        </w:rPr>
        <w:t>J</w:t>
      </w:r>
      <w:r w:rsidR="006648B6" w:rsidRPr="009505A0">
        <w:rPr>
          <w:rStyle w:val="Strong"/>
        </w:rPr>
        <w:t>une</w:t>
      </w:r>
      <w:r w:rsidRPr="009505A0">
        <w:rPr>
          <w:rStyle w:val="Strong"/>
        </w:rPr>
        <w:t>/J</w:t>
      </w:r>
      <w:r w:rsidR="006648B6" w:rsidRPr="009505A0">
        <w:rPr>
          <w:rStyle w:val="Strong"/>
        </w:rPr>
        <w:t>uly</w:t>
      </w:r>
      <w:r w:rsidRPr="009505A0">
        <w:rPr>
          <w:rStyle w:val="Strong"/>
        </w:rPr>
        <w:t xml:space="preserve"> 2</w:t>
      </w:r>
      <w:r w:rsidR="000D3EDC" w:rsidRPr="009505A0">
        <w:rPr>
          <w:rStyle w:val="Strong"/>
        </w:rPr>
        <w:t>02</w:t>
      </w:r>
      <w:r w:rsidRPr="009505A0">
        <w:rPr>
          <w:rStyle w:val="Strong"/>
        </w:rPr>
        <w:t>4</w:t>
      </w:r>
      <w:r w:rsidR="001327AE" w:rsidRPr="009505A0">
        <w:rPr>
          <w:rStyle w:val="Strong"/>
        </w:rPr>
        <w:t>:</w:t>
      </w:r>
    </w:p>
    <w:p w14:paraId="26BC84AD" w14:textId="0496D521" w:rsidR="002D2E49" w:rsidRPr="001327AE" w:rsidRDefault="002D2E49" w:rsidP="006A6EF5">
      <w:pPr>
        <w:pStyle w:val="ListParagraph"/>
        <w:rPr>
          <w:b/>
          <w:bCs/>
        </w:rPr>
      </w:pPr>
      <w:r w:rsidRPr="001327AE">
        <w:t>Registrar published forms relating to C</w:t>
      </w:r>
      <w:r w:rsidR="001A172C">
        <w:t>hange-</w:t>
      </w:r>
      <w:r w:rsidRPr="001327AE">
        <w:t>I</w:t>
      </w:r>
      <w:r w:rsidR="000E0F63">
        <w:t>n-</w:t>
      </w:r>
      <w:r w:rsidRPr="001327AE">
        <w:t>C</w:t>
      </w:r>
      <w:r w:rsidR="000E0F63">
        <w:t>ontrol (</w:t>
      </w:r>
      <w:r w:rsidRPr="001327AE">
        <w:t>CIC</w:t>
      </w:r>
      <w:r w:rsidR="000E0F63">
        <w:t>)</w:t>
      </w:r>
      <w:r w:rsidRPr="001327AE">
        <w:t xml:space="preserve"> and transfer of licences</w:t>
      </w:r>
      <w:r w:rsidR="00023483">
        <w:t>.</w:t>
      </w:r>
    </w:p>
    <w:p w14:paraId="293AA855" w14:textId="4780C8BE" w:rsidR="002D2E49" w:rsidRPr="00184420" w:rsidRDefault="002D2E49" w:rsidP="006A6EF5">
      <w:pPr>
        <w:pStyle w:val="ListParagraph"/>
      </w:pPr>
      <w:r w:rsidRPr="00184420">
        <w:t xml:space="preserve">Registrar received and initiated assessment of 1 application (Southern </w:t>
      </w:r>
      <w:r w:rsidR="00AF2E5D">
        <w:t>o</w:t>
      </w:r>
      <w:r w:rsidRPr="00184420">
        <w:t>cean)</w:t>
      </w:r>
      <w:r w:rsidR="00023483">
        <w:t>.</w:t>
      </w:r>
    </w:p>
    <w:p w14:paraId="4A58834B" w14:textId="1CABDC45" w:rsidR="002D2E49" w:rsidRDefault="002D2E49" w:rsidP="006A6EF5">
      <w:pPr>
        <w:pStyle w:val="ListParagraph"/>
      </w:pPr>
      <w:r w:rsidRPr="00184420">
        <w:t xml:space="preserve">7 </w:t>
      </w:r>
      <w:r w:rsidR="00BA38D2">
        <w:t xml:space="preserve">feasibility </w:t>
      </w:r>
      <w:r w:rsidR="007F4048">
        <w:t>licences</w:t>
      </w:r>
      <w:r w:rsidRPr="00184420">
        <w:t xml:space="preserve"> granted (Gippsland)</w:t>
      </w:r>
      <w:r w:rsidR="00023483">
        <w:t>.</w:t>
      </w:r>
    </w:p>
    <w:p w14:paraId="40B1B9D9" w14:textId="6A9A61B6" w:rsidR="002D2E49" w:rsidRDefault="002D2E49" w:rsidP="006A6EF5">
      <w:pPr>
        <w:pStyle w:val="ListParagraph"/>
      </w:pPr>
      <w:r w:rsidRPr="007F4048">
        <w:t xml:space="preserve">Attended first Gippsland </w:t>
      </w:r>
      <w:r w:rsidR="00272D74">
        <w:t>l</w:t>
      </w:r>
      <w:r w:rsidRPr="007F4048">
        <w:t xml:space="preserve">icence </w:t>
      </w:r>
      <w:r w:rsidR="00272D74">
        <w:t>h</w:t>
      </w:r>
      <w:r w:rsidRPr="007F4048">
        <w:t xml:space="preserve">olders </w:t>
      </w:r>
      <w:r w:rsidR="00272D74">
        <w:t>a</w:t>
      </w:r>
      <w:r w:rsidRPr="007F4048">
        <w:t xml:space="preserve">dvisory </w:t>
      </w:r>
      <w:r w:rsidR="00272D74">
        <w:t>c</w:t>
      </w:r>
      <w:r w:rsidRPr="007F4048">
        <w:t>ommittee (GLAC) meeting</w:t>
      </w:r>
      <w:r w:rsidR="00023483">
        <w:t>.</w:t>
      </w:r>
    </w:p>
    <w:p w14:paraId="7D339F5B" w14:textId="20227D73" w:rsidR="002D2E49" w:rsidRPr="0054107C" w:rsidRDefault="002D2E49" w:rsidP="006A6EF5">
      <w:pPr>
        <w:pStyle w:val="ListParagraph"/>
      </w:pPr>
      <w:r w:rsidRPr="0054107C">
        <w:t xml:space="preserve">First joint conference booth with DCCEEW and </w:t>
      </w:r>
      <w:r w:rsidR="00664157">
        <w:t>r</w:t>
      </w:r>
      <w:r w:rsidRPr="0054107C">
        <w:t>egulator (AuWE)</w:t>
      </w:r>
      <w:r w:rsidR="00F07B93">
        <w:t>.</w:t>
      </w:r>
    </w:p>
    <w:p w14:paraId="40E4053D" w14:textId="3EFD426E" w:rsidR="00664157" w:rsidRPr="009505A0" w:rsidRDefault="002D2E49" w:rsidP="002D2E49">
      <w:pPr>
        <w:rPr>
          <w:rStyle w:val="Strong"/>
        </w:rPr>
      </w:pPr>
      <w:r w:rsidRPr="009505A0">
        <w:rPr>
          <w:rStyle w:val="Strong"/>
        </w:rPr>
        <w:t>A</w:t>
      </w:r>
      <w:r w:rsidR="006648B6" w:rsidRPr="009505A0">
        <w:rPr>
          <w:rStyle w:val="Strong"/>
        </w:rPr>
        <w:t>ugust</w:t>
      </w:r>
      <w:r w:rsidRPr="009505A0">
        <w:rPr>
          <w:rStyle w:val="Strong"/>
        </w:rPr>
        <w:t xml:space="preserve"> </w:t>
      </w:r>
      <w:r w:rsidR="00EA423D" w:rsidRPr="009505A0">
        <w:rPr>
          <w:rStyle w:val="Strong"/>
        </w:rPr>
        <w:t>20</w:t>
      </w:r>
      <w:r w:rsidRPr="009505A0">
        <w:rPr>
          <w:rStyle w:val="Strong"/>
        </w:rPr>
        <w:t>24</w:t>
      </w:r>
      <w:r w:rsidR="00664157" w:rsidRPr="009505A0">
        <w:rPr>
          <w:rStyle w:val="Strong"/>
        </w:rPr>
        <w:t>:</w:t>
      </w:r>
    </w:p>
    <w:p w14:paraId="4328E261" w14:textId="6F2E140D" w:rsidR="00005DA0" w:rsidRPr="00005DA0" w:rsidRDefault="002D2E49" w:rsidP="006A6EF5">
      <w:pPr>
        <w:pStyle w:val="ListParagraph"/>
        <w:rPr>
          <w:b/>
          <w:bCs/>
        </w:rPr>
      </w:pPr>
      <w:r w:rsidRPr="00664157">
        <w:t xml:space="preserve">Registrar received and initiated assessment of 1 </w:t>
      </w:r>
      <w:r w:rsidR="0053512D">
        <w:t>feasibili</w:t>
      </w:r>
      <w:r w:rsidR="00083E06">
        <w:t>t</w:t>
      </w:r>
      <w:r w:rsidR="0053512D">
        <w:t>y</w:t>
      </w:r>
      <w:r w:rsidR="00083E06">
        <w:t xml:space="preserve"> licence </w:t>
      </w:r>
      <w:r w:rsidRPr="00664157">
        <w:t>application (Illawarra)</w:t>
      </w:r>
      <w:r w:rsidR="00023483">
        <w:t>.</w:t>
      </w:r>
    </w:p>
    <w:p w14:paraId="73960203" w14:textId="3A6A8B7D" w:rsidR="002D2E49" w:rsidRPr="00005DA0" w:rsidRDefault="002D2E49" w:rsidP="006A6EF5">
      <w:pPr>
        <w:pStyle w:val="ListParagraph"/>
        <w:rPr>
          <w:b/>
          <w:bCs/>
        </w:rPr>
      </w:pPr>
      <w:r w:rsidRPr="00005DA0">
        <w:t>ACCC final determination for overlapping group process</w:t>
      </w:r>
      <w:r w:rsidR="00023483">
        <w:t>.</w:t>
      </w:r>
    </w:p>
    <w:p w14:paraId="7A082195" w14:textId="12877353" w:rsidR="00A628B9" w:rsidRPr="009505A0" w:rsidRDefault="002D2E49" w:rsidP="002D2E49">
      <w:pPr>
        <w:rPr>
          <w:rStyle w:val="Strong"/>
        </w:rPr>
      </w:pPr>
      <w:r w:rsidRPr="009505A0">
        <w:rPr>
          <w:rStyle w:val="Strong"/>
        </w:rPr>
        <w:t>N</w:t>
      </w:r>
      <w:r w:rsidR="00E11061" w:rsidRPr="009505A0">
        <w:rPr>
          <w:rStyle w:val="Strong"/>
        </w:rPr>
        <w:t>ovember</w:t>
      </w:r>
      <w:r w:rsidRPr="009505A0">
        <w:rPr>
          <w:rStyle w:val="Strong"/>
        </w:rPr>
        <w:t>/D</w:t>
      </w:r>
      <w:r w:rsidR="00E11061" w:rsidRPr="009505A0">
        <w:rPr>
          <w:rStyle w:val="Strong"/>
        </w:rPr>
        <w:t xml:space="preserve">ecember </w:t>
      </w:r>
      <w:r w:rsidR="007625BD" w:rsidRPr="009505A0">
        <w:rPr>
          <w:rStyle w:val="Strong"/>
        </w:rPr>
        <w:t>20</w:t>
      </w:r>
      <w:r w:rsidRPr="009505A0">
        <w:rPr>
          <w:rStyle w:val="Strong"/>
        </w:rPr>
        <w:t>2</w:t>
      </w:r>
      <w:r w:rsidR="00A628B9" w:rsidRPr="009505A0">
        <w:rPr>
          <w:rStyle w:val="Strong"/>
        </w:rPr>
        <w:t>4:</w:t>
      </w:r>
    </w:p>
    <w:p w14:paraId="69EA239D" w14:textId="30C6C9B0" w:rsidR="002D2E49" w:rsidRPr="00DB555A" w:rsidRDefault="002D2E49" w:rsidP="006A6EF5">
      <w:pPr>
        <w:pStyle w:val="ListParagraph"/>
      </w:pPr>
      <w:r w:rsidRPr="00DB555A">
        <w:t xml:space="preserve">Overlapping </w:t>
      </w:r>
      <w:r w:rsidR="00DB555A" w:rsidRPr="00DB555A">
        <w:t>a</w:t>
      </w:r>
      <w:r w:rsidRPr="00DB555A">
        <w:t xml:space="preserve">pplications </w:t>
      </w:r>
      <w:r w:rsidR="00DB555A" w:rsidRPr="00DB555A">
        <w:t>r</w:t>
      </w:r>
      <w:r w:rsidRPr="00DB555A">
        <w:t xml:space="preserve">egulations </w:t>
      </w:r>
      <w:r w:rsidR="00DB555A" w:rsidRPr="00DB555A">
        <w:t>p</w:t>
      </w:r>
      <w:r w:rsidRPr="00DB555A">
        <w:t>assed</w:t>
      </w:r>
      <w:r w:rsidR="00023483">
        <w:t>.</w:t>
      </w:r>
    </w:p>
    <w:p w14:paraId="25CD61B1" w14:textId="3DC63446" w:rsidR="00DB555A" w:rsidRPr="009505A0" w:rsidRDefault="002D2E49" w:rsidP="002D2E49">
      <w:pPr>
        <w:rPr>
          <w:rStyle w:val="Strong"/>
        </w:rPr>
      </w:pPr>
      <w:r w:rsidRPr="009505A0">
        <w:rPr>
          <w:rStyle w:val="Strong"/>
        </w:rPr>
        <w:t>J</w:t>
      </w:r>
      <w:r w:rsidR="00A1646B" w:rsidRPr="009505A0">
        <w:rPr>
          <w:rStyle w:val="Strong"/>
        </w:rPr>
        <w:t>anuary</w:t>
      </w:r>
      <w:r w:rsidRPr="009505A0">
        <w:rPr>
          <w:rStyle w:val="Strong"/>
        </w:rPr>
        <w:t xml:space="preserve"> 2025</w:t>
      </w:r>
      <w:r w:rsidR="00DB555A" w:rsidRPr="009505A0">
        <w:rPr>
          <w:rStyle w:val="Strong"/>
        </w:rPr>
        <w:t>:</w:t>
      </w:r>
    </w:p>
    <w:p w14:paraId="566520CA" w14:textId="0FCFC9F7" w:rsidR="002D2E49" w:rsidRPr="00DB555A" w:rsidRDefault="002D2E49" w:rsidP="006A6EF5">
      <w:pPr>
        <w:pStyle w:val="ListParagraph"/>
        <w:rPr>
          <w:b/>
          <w:bCs/>
        </w:rPr>
      </w:pPr>
      <w:r w:rsidRPr="00DB555A">
        <w:t xml:space="preserve">Registrar received </w:t>
      </w:r>
      <w:r w:rsidR="007625BD">
        <w:t>and</w:t>
      </w:r>
      <w:r w:rsidRPr="00DB555A">
        <w:t xml:space="preserve"> initiated assessment of 4 </w:t>
      </w:r>
      <w:r w:rsidR="000D53C6">
        <w:t>feasibility licences</w:t>
      </w:r>
      <w:r w:rsidRPr="00DB555A">
        <w:t xml:space="preserve"> applications (Bunbury)</w:t>
      </w:r>
      <w:r w:rsidR="00023483">
        <w:t>.</w:t>
      </w:r>
    </w:p>
    <w:p w14:paraId="1EEBE074" w14:textId="25FA8D60" w:rsidR="008473B0" w:rsidRPr="009505A0" w:rsidRDefault="002D2E49" w:rsidP="002D2E49">
      <w:pPr>
        <w:rPr>
          <w:rStyle w:val="Strong"/>
        </w:rPr>
      </w:pPr>
      <w:r w:rsidRPr="009505A0">
        <w:rPr>
          <w:rStyle w:val="Strong"/>
        </w:rPr>
        <w:t>F</w:t>
      </w:r>
      <w:r w:rsidR="00E62500" w:rsidRPr="009505A0">
        <w:rPr>
          <w:rStyle w:val="Strong"/>
        </w:rPr>
        <w:t xml:space="preserve">ebruary </w:t>
      </w:r>
      <w:r w:rsidR="007625BD" w:rsidRPr="009505A0">
        <w:rPr>
          <w:rStyle w:val="Strong"/>
        </w:rPr>
        <w:t>20</w:t>
      </w:r>
      <w:r w:rsidRPr="009505A0">
        <w:rPr>
          <w:rStyle w:val="Strong"/>
        </w:rPr>
        <w:t xml:space="preserve">25: </w:t>
      </w:r>
    </w:p>
    <w:p w14:paraId="00A7CEA9" w14:textId="5FE1D8E6" w:rsidR="002D2E49" w:rsidRPr="008473B0" w:rsidRDefault="002D2E49" w:rsidP="006A6EF5">
      <w:pPr>
        <w:pStyle w:val="ListParagraph"/>
        <w:rPr>
          <w:b/>
          <w:bCs/>
        </w:rPr>
      </w:pPr>
      <w:r w:rsidRPr="008473B0">
        <w:t>TIL guidance published</w:t>
      </w:r>
      <w:r w:rsidR="00023483">
        <w:t>.</w:t>
      </w:r>
    </w:p>
    <w:p w14:paraId="36E6FB1B" w14:textId="72ACD0F4" w:rsidR="002D2E49" w:rsidRPr="008473B0" w:rsidRDefault="002D2E49" w:rsidP="006A6EF5">
      <w:pPr>
        <w:pStyle w:val="ListParagraph"/>
      </w:pPr>
      <w:r w:rsidRPr="008473B0">
        <w:t xml:space="preserve">Electricity </w:t>
      </w:r>
      <w:r w:rsidR="00BF2837">
        <w:t>i</w:t>
      </w:r>
      <w:r w:rsidRPr="008473B0">
        <w:t xml:space="preserve">nfrastructure </w:t>
      </w:r>
      <w:r w:rsidR="00BF2837">
        <w:t>l</w:t>
      </w:r>
      <w:r w:rsidRPr="008473B0">
        <w:t xml:space="preserve">egislation </w:t>
      </w:r>
      <w:r w:rsidR="00BF2837">
        <w:t>a</w:t>
      </w:r>
      <w:r w:rsidRPr="008473B0">
        <w:t>mendment Bill 2025 passed</w:t>
      </w:r>
      <w:r w:rsidR="00023483">
        <w:t>.</w:t>
      </w:r>
    </w:p>
    <w:p w14:paraId="538C3024" w14:textId="23CE52AC" w:rsidR="00DC608D" w:rsidRPr="009505A0" w:rsidRDefault="002D2E49" w:rsidP="002D2E49">
      <w:pPr>
        <w:rPr>
          <w:rStyle w:val="Strong"/>
        </w:rPr>
      </w:pPr>
      <w:r w:rsidRPr="009505A0">
        <w:rPr>
          <w:rStyle w:val="Strong"/>
        </w:rPr>
        <w:t>M</w:t>
      </w:r>
      <w:r w:rsidR="00E62500" w:rsidRPr="009505A0">
        <w:rPr>
          <w:rStyle w:val="Strong"/>
        </w:rPr>
        <w:t>arch</w:t>
      </w:r>
      <w:r w:rsidRPr="009505A0">
        <w:rPr>
          <w:rStyle w:val="Strong"/>
        </w:rPr>
        <w:t>/A</w:t>
      </w:r>
      <w:r w:rsidR="00E62500" w:rsidRPr="009505A0">
        <w:rPr>
          <w:rStyle w:val="Strong"/>
        </w:rPr>
        <w:t xml:space="preserve">pril </w:t>
      </w:r>
      <w:r w:rsidRPr="009505A0">
        <w:rPr>
          <w:rStyle w:val="Strong"/>
        </w:rPr>
        <w:t>2</w:t>
      </w:r>
      <w:r w:rsidR="00BF2837" w:rsidRPr="009505A0">
        <w:rPr>
          <w:rStyle w:val="Strong"/>
        </w:rPr>
        <w:t>02</w:t>
      </w:r>
      <w:r w:rsidRPr="009505A0">
        <w:rPr>
          <w:rStyle w:val="Strong"/>
        </w:rPr>
        <w:t>5</w:t>
      </w:r>
      <w:r w:rsidR="00DC608D" w:rsidRPr="009505A0">
        <w:rPr>
          <w:rStyle w:val="Strong"/>
        </w:rPr>
        <w:t>:</w:t>
      </w:r>
    </w:p>
    <w:p w14:paraId="563C14F2" w14:textId="2BFC6605" w:rsidR="002D2E49" w:rsidRPr="00F06877" w:rsidRDefault="00EA198D" w:rsidP="006A6EF5">
      <w:pPr>
        <w:pStyle w:val="ListParagraph"/>
        <w:rPr>
          <w:b/>
          <w:bCs/>
        </w:rPr>
      </w:pPr>
      <w:r>
        <w:t>f</w:t>
      </w:r>
      <w:r w:rsidR="00F62BD5">
        <w:t>easibility licence</w:t>
      </w:r>
      <w:r w:rsidR="00F62BD5" w:rsidRPr="00184420">
        <w:t xml:space="preserve"> </w:t>
      </w:r>
      <w:r w:rsidR="00F62BD5">
        <w:t>gr</w:t>
      </w:r>
      <w:r w:rsidR="002D2E49" w:rsidRPr="00F62BD5">
        <w:t xml:space="preserve">anted (Southern </w:t>
      </w:r>
      <w:r w:rsidR="00BF2837">
        <w:t>o</w:t>
      </w:r>
      <w:r w:rsidR="002D2E49" w:rsidRPr="00F62BD5">
        <w:t>cean)</w:t>
      </w:r>
      <w:r w:rsidR="00023483">
        <w:t>.</w:t>
      </w:r>
    </w:p>
    <w:p w14:paraId="59FC7575" w14:textId="1497B379" w:rsidR="002D2E49" w:rsidRDefault="005045DC" w:rsidP="006A6EF5">
      <w:pPr>
        <w:pStyle w:val="ListParagraph"/>
      </w:pPr>
      <w:r>
        <w:t>a</w:t>
      </w:r>
      <w:r w:rsidR="002D2E49" w:rsidRPr="00F06877">
        <w:t xml:space="preserve">nnual </w:t>
      </w:r>
      <w:r w:rsidR="00F06877">
        <w:t xml:space="preserve">licence </w:t>
      </w:r>
      <w:r w:rsidR="002D2E49" w:rsidRPr="00F06877">
        <w:t>report guidance published</w:t>
      </w:r>
      <w:r w:rsidR="00023483">
        <w:t>.</w:t>
      </w:r>
    </w:p>
    <w:p w14:paraId="4B28F250" w14:textId="3C85096B" w:rsidR="004B04D4" w:rsidRDefault="002D2E49" w:rsidP="006A6EF5">
      <w:pPr>
        <w:pStyle w:val="ListParagraph"/>
      </w:pPr>
      <w:r w:rsidRPr="00C8050C">
        <w:t xml:space="preserve">Registrar received and initiated assessment of 1 </w:t>
      </w:r>
      <w:r w:rsidR="00C8050C">
        <w:t xml:space="preserve">feasibility licence </w:t>
      </w:r>
      <w:r w:rsidRPr="00C8050C">
        <w:t>application (Bass)</w:t>
      </w:r>
      <w:r w:rsidR="00023483">
        <w:t>.</w:t>
      </w:r>
    </w:p>
    <w:p w14:paraId="68AF36DA" w14:textId="67F28528" w:rsidR="004B04D4" w:rsidRPr="009505A0" w:rsidRDefault="002D2E49" w:rsidP="004B04D4">
      <w:pPr>
        <w:rPr>
          <w:rStyle w:val="Strong"/>
        </w:rPr>
      </w:pPr>
      <w:r w:rsidRPr="009505A0">
        <w:rPr>
          <w:rStyle w:val="Strong"/>
        </w:rPr>
        <w:t>M</w:t>
      </w:r>
      <w:r w:rsidR="00E62500" w:rsidRPr="009505A0">
        <w:rPr>
          <w:rStyle w:val="Strong"/>
        </w:rPr>
        <w:t>ay</w:t>
      </w:r>
      <w:r w:rsidRPr="009505A0">
        <w:rPr>
          <w:rStyle w:val="Strong"/>
        </w:rPr>
        <w:t>/J</w:t>
      </w:r>
      <w:r w:rsidR="00E62500" w:rsidRPr="009505A0">
        <w:rPr>
          <w:rStyle w:val="Strong"/>
        </w:rPr>
        <w:t xml:space="preserve">une </w:t>
      </w:r>
      <w:r w:rsidRPr="009505A0">
        <w:rPr>
          <w:rStyle w:val="Strong"/>
        </w:rPr>
        <w:t>2</w:t>
      </w:r>
      <w:r w:rsidR="00BF2837" w:rsidRPr="009505A0">
        <w:rPr>
          <w:rStyle w:val="Strong"/>
        </w:rPr>
        <w:t>02</w:t>
      </w:r>
      <w:r w:rsidRPr="009505A0">
        <w:rPr>
          <w:rStyle w:val="Strong"/>
        </w:rPr>
        <w:t>5</w:t>
      </w:r>
      <w:r w:rsidR="004B04D4" w:rsidRPr="009505A0">
        <w:rPr>
          <w:rStyle w:val="Strong"/>
        </w:rPr>
        <w:t>:</w:t>
      </w:r>
    </w:p>
    <w:p w14:paraId="4532F8C6" w14:textId="699AF1BE" w:rsidR="002D2E49" w:rsidRDefault="002D2E49" w:rsidP="00D901A4">
      <w:pPr>
        <w:pStyle w:val="ListParagraph"/>
      </w:pPr>
      <w:r w:rsidRPr="0017280F">
        <w:t>First CIC application received and approved</w:t>
      </w:r>
      <w:r w:rsidR="00023483">
        <w:t>.</w:t>
      </w:r>
    </w:p>
    <w:p w14:paraId="4F7E93A7" w14:textId="4DA4B5AA" w:rsidR="002D2E49" w:rsidRDefault="002D2E49" w:rsidP="00D901A4">
      <w:pPr>
        <w:pStyle w:val="ListParagraph"/>
      </w:pPr>
      <w:r w:rsidRPr="0017280F">
        <w:t xml:space="preserve">Registrar starts review of first 5 </w:t>
      </w:r>
      <w:r w:rsidR="007A121B">
        <w:t>feasibility licence</w:t>
      </w:r>
      <w:r w:rsidRPr="0017280F">
        <w:t xml:space="preserve"> </w:t>
      </w:r>
      <w:r w:rsidR="00244523">
        <w:t>a</w:t>
      </w:r>
      <w:r w:rsidRPr="0017280F">
        <w:t xml:space="preserve">nnual </w:t>
      </w:r>
      <w:r w:rsidR="00244523">
        <w:t>r</w:t>
      </w:r>
      <w:r w:rsidRPr="0017280F">
        <w:t>eports</w:t>
      </w:r>
      <w:r w:rsidR="00023483">
        <w:t>.</w:t>
      </w:r>
    </w:p>
    <w:p w14:paraId="24DECBD9" w14:textId="3C7DC94D" w:rsidR="000F62AE" w:rsidRPr="000F62AE" w:rsidRDefault="000F62AE" w:rsidP="00D901A4">
      <w:pPr>
        <w:pStyle w:val="ListParagraph"/>
      </w:pPr>
      <w:r w:rsidRPr="000F62AE">
        <w:t>overlapping application group process (Bunbury)</w:t>
      </w:r>
      <w:r w:rsidR="00023483">
        <w:t>.</w:t>
      </w:r>
    </w:p>
    <w:p w14:paraId="45F351B2" w14:textId="2505CDAC" w:rsidR="006A2046" w:rsidRDefault="006A2046">
      <w:pPr>
        <w:spacing w:before="0" w:after="160" w:line="259" w:lineRule="auto"/>
      </w:pPr>
      <w:r>
        <w:br w:type="page"/>
      </w:r>
    </w:p>
    <w:p w14:paraId="7FDF6C30" w14:textId="2287866C" w:rsidR="00476FAA" w:rsidRPr="00D70FB2" w:rsidRDefault="00476FAA" w:rsidP="00476FAA">
      <w:pPr>
        <w:pStyle w:val="Heading3"/>
      </w:pPr>
      <w:bookmarkStart w:id="84" w:name="_Toc221544022"/>
      <w:bookmarkStart w:id="85" w:name="_Toc221546101"/>
      <w:bookmarkStart w:id="86" w:name="_Toc221627093"/>
      <w:bookmarkStart w:id="87" w:name="_Toc222500453"/>
      <w:r>
        <w:lastRenderedPageBreak/>
        <w:t>Petroleum titles activity insight</w:t>
      </w:r>
      <w:r w:rsidRPr="008201B6">
        <w:t>s</w:t>
      </w:r>
      <w:bookmarkEnd w:id="84"/>
      <w:bookmarkEnd w:id="85"/>
      <w:bookmarkEnd w:id="86"/>
      <w:bookmarkEnd w:id="87"/>
      <w:r>
        <w:t xml:space="preserve"> </w:t>
      </w:r>
    </w:p>
    <w:p w14:paraId="63AAAA29" w14:textId="2109E89B" w:rsidR="0037024B" w:rsidRDefault="00101131" w:rsidP="00101131">
      <w:r w:rsidRPr="00580DA0">
        <w:t>In 2024-25, there were 328 active petroleum titles in offshore Commonwealth waters</w:t>
      </w:r>
      <w:r w:rsidR="004604D9">
        <w:t xml:space="preserve"> </w:t>
      </w:r>
      <w:r w:rsidRPr="00580DA0">
        <w:t xml:space="preserve">(Figure </w:t>
      </w:r>
      <w:r w:rsidR="0037024B">
        <w:t>2</w:t>
      </w:r>
      <w:r w:rsidRPr="00580DA0">
        <w:t xml:space="preserve">). </w:t>
      </w:r>
    </w:p>
    <w:p w14:paraId="4719D056" w14:textId="7A322B99" w:rsidR="0006679A" w:rsidRDefault="00101131" w:rsidP="00101131">
      <w:r w:rsidRPr="00580DA0">
        <w:t>During this period, 8 new titles were granted</w:t>
      </w:r>
      <w:r w:rsidR="0037024B">
        <w:t xml:space="preserve">, including </w:t>
      </w:r>
      <w:r w:rsidRPr="00580DA0">
        <w:t>5 exploration permits</w:t>
      </w:r>
      <w:r w:rsidR="00790A46">
        <w:t xml:space="preserve">, </w:t>
      </w:r>
      <w:r w:rsidRPr="00580DA0">
        <w:t xml:space="preserve">one </w:t>
      </w:r>
      <w:r w:rsidR="00790A46">
        <w:t>r</w:t>
      </w:r>
      <w:r w:rsidRPr="00580DA0">
        <w:t xml:space="preserve">etention </w:t>
      </w:r>
      <w:r w:rsidR="00790A46">
        <w:t>l</w:t>
      </w:r>
      <w:r w:rsidRPr="00580DA0">
        <w:t>ease</w:t>
      </w:r>
      <w:r w:rsidR="00407BD0">
        <w:t>,</w:t>
      </w:r>
      <w:r w:rsidRPr="00580DA0">
        <w:t xml:space="preserve"> and 2 production licences</w:t>
      </w:r>
      <w:r w:rsidR="0006679A">
        <w:t xml:space="preserve">. </w:t>
      </w:r>
    </w:p>
    <w:p w14:paraId="6E6CB116" w14:textId="4C377A67" w:rsidR="00101131" w:rsidRDefault="00101131" w:rsidP="00101131">
      <w:r w:rsidRPr="00580DA0">
        <w:t xml:space="preserve">One </w:t>
      </w:r>
      <w:r w:rsidR="0006679A">
        <w:t>location was d</w:t>
      </w:r>
      <w:r w:rsidRPr="00580DA0">
        <w:t>eclar</w:t>
      </w:r>
      <w:r w:rsidR="006B30D1">
        <w:t xml:space="preserve">ed </w:t>
      </w:r>
      <w:r w:rsidRPr="00580DA0">
        <w:t xml:space="preserve">over </w:t>
      </w:r>
      <w:r w:rsidR="006B30D1">
        <w:t xml:space="preserve">the </w:t>
      </w:r>
      <w:r w:rsidRPr="00580DA0">
        <w:t>Bratwurst Flank-Libra</w:t>
      </w:r>
      <w:r w:rsidR="00F80B26">
        <w:t xml:space="preserve"> fields</w:t>
      </w:r>
      <w:r w:rsidRPr="00580DA0">
        <w:t xml:space="preserve"> in the offshore area of Ashmore and Cartier </w:t>
      </w:r>
      <w:r w:rsidR="007F50FE">
        <w:t>i</w:t>
      </w:r>
      <w:r w:rsidRPr="00580DA0">
        <w:t xml:space="preserve">slands. </w:t>
      </w:r>
    </w:p>
    <w:p w14:paraId="469A37C5" w14:textId="77777777" w:rsidR="006D0FA4" w:rsidRDefault="00827E60" w:rsidP="00F42291">
      <w:r w:rsidRPr="00827E60">
        <w:rPr>
          <w:noProof/>
        </w:rPr>
        <w:drawing>
          <wp:inline distT="0" distB="0" distL="0" distR="0" wp14:anchorId="7E59B6B0" wp14:editId="2F829BCA">
            <wp:extent cx="5731510" cy="4037965"/>
            <wp:effectExtent l="0" t="0" r="2540" b="635"/>
            <wp:docPr id="1316856939" name="Picture 8" descr="A national map showing active petroleum titles by offshore areas, as at the 30 June 2025. Access the full alt text description under figure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56939" name="Picture 8" descr="A national map showing active petroleum titles by offshore areas, as at the 30 June 2025. Access the full alt text description under figure 4.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4037965"/>
                    </a:xfrm>
                    <a:prstGeom prst="rect">
                      <a:avLst/>
                    </a:prstGeom>
                    <a:noFill/>
                    <a:ln>
                      <a:noFill/>
                    </a:ln>
                  </pic:spPr>
                </pic:pic>
              </a:graphicData>
            </a:graphic>
          </wp:inline>
        </w:drawing>
      </w:r>
    </w:p>
    <w:p w14:paraId="135A86C9" w14:textId="6CCEC630" w:rsidR="00630EBF" w:rsidRDefault="006D0FA4" w:rsidP="00EC51E3">
      <w:pPr>
        <w:pStyle w:val="Caption"/>
      </w:pPr>
      <w:bookmarkStart w:id="88" w:name="_Toc221884186"/>
      <w:bookmarkStart w:id="89" w:name="_Toc222316219"/>
      <w:r>
        <w:t xml:space="preserve">Figure </w:t>
      </w:r>
      <w:r>
        <w:fldChar w:fldCharType="begin"/>
      </w:r>
      <w:r>
        <w:instrText xml:space="preserve"> SEQ Figure \* ARABIC </w:instrText>
      </w:r>
      <w:r>
        <w:fldChar w:fldCharType="separate"/>
      </w:r>
      <w:r w:rsidR="00CF02F5">
        <w:rPr>
          <w:noProof/>
        </w:rPr>
        <w:t>5</w:t>
      </w:r>
      <w:r>
        <w:fldChar w:fldCharType="end"/>
      </w:r>
      <w:r>
        <w:t xml:space="preserve">: </w:t>
      </w:r>
      <w:r w:rsidRPr="004D5ABD">
        <w:t>Total number of offshore petroleum titles by offshore areas, at the 30 June 2025</w:t>
      </w:r>
      <w:bookmarkEnd w:id="88"/>
      <w:bookmarkEnd w:id="89"/>
    </w:p>
    <w:p w14:paraId="195419AF" w14:textId="77777777" w:rsidR="00B4204D" w:rsidRPr="009505A0" w:rsidRDefault="00630EBF" w:rsidP="00FA72B9">
      <w:pPr>
        <w:spacing w:before="0" w:after="60"/>
        <w:ind w:left="720"/>
        <w:rPr>
          <w:sz w:val="20"/>
          <w:szCs w:val="20"/>
        </w:rPr>
      </w:pPr>
      <w:r w:rsidRPr="009505A0">
        <w:rPr>
          <w:b/>
          <w:bCs/>
          <w:sz w:val="20"/>
          <w:szCs w:val="20"/>
        </w:rPr>
        <w:t>Alternative text description:</w:t>
      </w:r>
      <w:r w:rsidR="00A20C8F" w:rsidRPr="009505A0">
        <w:rPr>
          <w:b/>
          <w:bCs/>
          <w:sz w:val="20"/>
          <w:szCs w:val="20"/>
        </w:rPr>
        <w:t xml:space="preserve"> </w:t>
      </w:r>
      <w:r w:rsidR="00B4204D" w:rsidRPr="009505A0">
        <w:rPr>
          <w:sz w:val="20"/>
          <w:szCs w:val="20"/>
        </w:rPr>
        <w:t xml:space="preserve">A national map, including external maritime territories, showing active petroleum titles by offshore area. </w:t>
      </w:r>
    </w:p>
    <w:p w14:paraId="21B075DB" w14:textId="77777777" w:rsidR="00B4204D" w:rsidRPr="009505A0" w:rsidRDefault="00B4204D" w:rsidP="00FA72B9">
      <w:pPr>
        <w:spacing w:before="0" w:after="60"/>
        <w:ind w:left="720"/>
        <w:rPr>
          <w:sz w:val="20"/>
          <w:szCs w:val="20"/>
        </w:rPr>
      </w:pPr>
      <w:r w:rsidRPr="009505A0">
        <w:rPr>
          <w:sz w:val="20"/>
          <w:szCs w:val="20"/>
        </w:rPr>
        <w:t>Eight doughnut-shaped pie charts, one for each of the 8 offshore areas, display the breakdown of title types, using consistent colours. The pie charts are sized by the total number of titles for the offshore area they represent and the total is also displayed in the centre of the chart.</w:t>
      </w:r>
    </w:p>
    <w:p w14:paraId="1512C195" w14:textId="004D90F3" w:rsidR="009C1D56" w:rsidRPr="00900147" w:rsidRDefault="00B4204D" w:rsidP="00FA72B9">
      <w:pPr>
        <w:spacing w:before="0" w:after="60"/>
        <w:ind w:left="720"/>
        <w:rPr>
          <w:rFonts w:eastAsia="Calibri" w:cs="Calibri"/>
          <w:color w:val="000000" w:themeColor="text1"/>
          <w:sz w:val="20"/>
          <w:szCs w:val="20"/>
        </w:rPr>
      </w:pPr>
      <w:r w:rsidRPr="009505A0">
        <w:rPr>
          <w:rFonts w:eastAsia="Calibri" w:cs="Calibri"/>
          <w:color w:val="000000" w:themeColor="text1"/>
          <w:sz w:val="20"/>
          <w:szCs w:val="20"/>
        </w:rPr>
        <w:t>Each pie chart links to a table showing the numbers of titles by offshore area in the columns and by title type in the rows. The offshore areas and their total number of titles shown are:</w:t>
      </w:r>
    </w:p>
    <w:p w14:paraId="5242CEAB" w14:textId="77777777" w:rsidR="009C1D56" w:rsidRPr="00393ADA" w:rsidRDefault="00B4204D" w:rsidP="00FA72B9">
      <w:pPr>
        <w:pStyle w:val="Alttextbullets"/>
        <w:spacing w:after="40"/>
      </w:pPr>
      <w:r w:rsidRPr="00393ADA">
        <w:t>Western Australia (192)</w:t>
      </w:r>
    </w:p>
    <w:p w14:paraId="0A0FE09B" w14:textId="77777777" w:rsidR="009C1D56" w:rsidRPr="00393ADA" w:rsidRDefault="00B4204D" w:rsidP="00FA72B9">
      <w:pPr>
        <w:pStyle w:val="Alttextbullets"/>
        <w:spacing w:after="40"/>
      </w:pPr>
      <w:r w:rsidRPr="00393ADA">
        <w:t>Territory of Ashmore and Cartier Islands (16)</w:t>
      </w:r>
    </w:p>
    <w:p w14:paraId="509913C7" w14:textId="77777777" w:rsidR="009C1D56" w:rsidRPr="00393ADA" w:rsidRDefault="00B4204D" w:rsidP="00FA72B9">
      <w:pPr>
        <w:pStyle w:val="Alttextbullets"/>
        <w:spacing w:after="40"/>
      </w:pPr>
      <w:r w:rsidRPr="00393ADA">
        <w:t>Bayu-</w:t>
      </w:r>
      <w:proofErr w:type="spellStart"/>
      <w:r w:rsidRPr="00393ADA">
        <w:t>Undan</w:t>
      </w:r>
      <w:proofErr w:type="spellEnd"/>
      <w:r w:rsidRPr="00393ADA">
        <w:t xml:space="preserve"> pipeline international offshore area (1)</w:t>
      </w:r>
    </w:p>
    <w:p w14:paraId="310D0D4E" w14:textId="77777777" w:rsidR="009C1D56" w:rsidRPr="00393ADA" w:rsidRDefault="00B4204D" w:rsidP="00FA72B9">
      <w:pPr>
        <w:pStyle w:val="Alttextbullets"/>
        <w:spacing w:after="40"/>
      </w:pPr>
      <w:r w:rsidRPr="00393ADA">
        <w:t>Northern Territory (16)</w:t>
      </w:r>
    </w:p>
    <w:p w14:paraId="0F376F08" w14:textId="77777777" w:rsidR="009C1D56" w:rsidRPr="00393ADA" w:rsidRDefault="00B4204D" w:rsidP="00FA72B9">
      <w:pPr>
        <w:pStyle w:val="Alttextbullets"/>
        <w:spacing w:after="40"/>
      </w:pPr>
      <w:r w:rsidRPr="00393ADA">
        <w:t>Queensland (1)</w:t>
      </w:r>
    </w:p>
    <w:p w14:paraId="33F995A0" w14:textId="77777777" w:rsidR="009C1D56" w:rsidRPr="00393ADA" w:rsidRDefault="00B4204D" w:rsidP="00FA72B9">
      <w:pPr>
        <w:pStyle w:val="Alttextbullets"/>
        <w:spacing w:after="40"/>
      </w:pPr>
      <w:r w:rsidRPr="00393ADA">
        <w:t>New South Wales (1)</w:t>
      </w:r>
    </w:p>
    <w:p w14:paraId="02ABA788" w14:textId="24EF2ED5" w:rsidR="000549CE" w:rsidRPr="00393ADA" w:rsidRDefault="00B4204D" w:rsidP="00FA72B9">
      <w:pPr>
        <w:pStyle w:val="Alttextbullets"/>
        <w:spacing w:after="40"/>
      </w:pPr>
      <w:r w:rsidRPr="00393ADA">
        <w:t>Victoria (88)</w:t>
      </w:r>
    </w:p>
    <w:p w14:paraId="36C1497D" w14:textId="52FD0D02" w:rsidR="00B4204D" w:rsidRPr="00393ADA" w:rsidRDefault="00B4204D" w:rsidP="00FA72B9">
      <w:pPr>
        <w:pStyle w:val="Alttextbullets"/>
        <w:spacing w:after="40"/>
      </w:pPr>
      <w:r w:rsidRPr="00393ADA">
        <w:t>Tasmania (13)</w:t>
      </w:r>
    </w:p>
    <w:p w14:paraId="302D0306" w14:textId="77777777" w:rsidR="00B4204D" w:rsidRPr="00393ADA" w:rsidRDefault="00B4204D" w:rsidP="001A0300">
      <w:pPr>
        <w:ind w:left="720"/>
        <w:rPr>
          <w:sz w:val="20"/>
          <w:szCs w:val="20"/>
        </w:rPr>
      </w:pPr>
      <w:r w:rsidRPr="00393ADA">
        <w:rPr>
          <w:sz w:val="20"/>
          <w:szCs w:val="20"/>
        </w:rPr>
        <w:t>for a combined total of 328 titles.</w:t>
      </w:r>
    </w:p>
    <w:p w14:paraId="49D9C303" w14:textId="61E0B6E6" w:rsidR="00B4204D" w:rsidRPr="00393ADA" w:rsidRDefault="00B4204D" w:rsidP="001A0300">
      <w:pPr>
        <w:ind w:left="720"/>
        <w:rPr>
          <w:sz w:val="20"/>
          <w:szCs w:val="20"/>
        </w:rPr>
      </w:pPr>
      <w:r w:rsidRPr="00393ADA">
        <w:rPr>
          <w:sz w:val="20"/>
          <w:szCs w:val="20"/>
        </w:rPr>
        <w:lastRenderedPageBreak/>
        <w:t>Row title type totals are not included but can be calculated</w:t>
      </w:r>
      <w:r w:rsidR="008A26E0" w:rsidRPr="00393ADA">
        <w:rPr>
          <w:sz w:val="20"/>
          <w:szCs w:val="20"/>
        </w:rPr>
        <w:t>. These are</w:t>
      </w:r>
      <w:r w:rsidRPr="00393ADA">
        <w:rPr>
          <w:sz w:val="20"/>
          <w:szCs w:val="20"/>
        </w:rPr>
        <w:t>:</w:t>
      </w:r>
    </w:p>
    <w:p w14:paraId="2163919D" w14:textId="77777777" w:rsidR="00245226" w:rsidRPr="00393ADA" w:rsidRDefault="00B4204D" w:rsidP="00393ADA">
      <w:pPr>
        <w:pStyle w:val="Alttextbullets"/>
      </w:pPr>
      <w:r w:rsidRPr="00393ADA">
        <w:t>Access Authorities (3)</w:t>
      </w:r>
    </w:p>
    <w:p w14:paraId="2DC1C965" w14:textId="77777777" w:rsidR="00245226" w:rsidRPr="00393ADA" w:rsidRDefault="00B4204D" w:rsidP="00393ADA">
      <w:pPr>
        <w:pStyle w:val="Alttextbullets"/>
      </w:pPr>
      <w:r w:rsidRPr="00393ADA">
        <w:t>Exploration Permits (61)</w:t>
      </w:r>
    </w:p>
    <w:p w14:paraId="0E7342D5" w14:textId="77777777" w:rsidR="00245226" w:rsidRPr="00393ADA" w:rsidRDefault="00B4204D" w:rsidP="00393ADA">
      <w:pPr>
        <w:pStyle w:val="Alttextbullets"/>
      </w:pPr>
      <w:r w:rsidRPr="00393ADA">
        <w:t>Infrastructure Licences (3)</w:t>
      </w:r>
    </w:p>
    <w:p w14:paraId="2BD7BE5D" w14:textId="77777777" w:rsidR="00245226" w:rsidRPr="00393ADA" w:rsidRDefault="00B4204D" w:rsidP="00393ADA">
      <w:pPr>
        <w:pStyle w:val="Alttextbullets"/>
      </w:pPr>
      <w:r w:rsidRPr="00393ADA">
        <w:t>Pipeline Licences (87)</w:t>
      </w:r>
    </w:p>
    <w:p w14:paraId="7A54D43E" w14:textId="77777777" w:rsidR="00245226" w:rsidRPr="00393ADA" w:rsidRDefault="00B4204D" w:rsidP="00393ADA">
      <w:pPr>
        <w:pStyle w:val="Alttextbullets"/>
      </w:pPr>
      <w:r w:rsidRPr="00393ADA">
        <w:t>Production Licences (98)</w:t>
      </w:r>
    </w:p>
    <w:p w14:paraId="33C1AE7F" w14:textId="3824E43D" w:rsidR="00B4204D" w:rsidRPr="00393ADA" w:rsidRDefault="00B4204D" w:rsidP="00393ADA">
      <w:pPr>
        <w:pStyle w:val="Alttextbullets"/>
      </w:pPr>
      <w:r w:rsidRPr="00393ADA">
        <w:t>Retention Leases (76)</w:t>
      </w:r>
    </w:p>
    <w:p w14:paraId="2850185A" w14:textId="77777777" w:rsidR="00B4204D" w:rsidRPr="007F05B5" w:rsidRDefault="00B4204D" w:rsidP="001A0300">
      <w:pPr>
        <w:ind w:left="720"/>
        <w:rPr>
          <w:sz w:val="20"/>
          <w:szCs w:val="20"/>
        </w:rPr>
      </w:pPr>
      <w:r w:rsidRPr="00393ADA">
        <w:rPr>
          <w:sz w:val="20"/>
          <w:szCs w:val="20"/>
        </w:rPr>
        <w:t>for a combined total of 328 titles.</w:t>
      </w:r>
    </w:p>
    <w:p w14:paraId="730FECAD" w14:textId="77777777" w:rsidR="00F10C94" w:rsidRDefault="00F10C94">
      <w:pPr>
        <w:spacing w:before="0" w:after="160" w:line="259" w:lineRule="auto"/>
        <w:rPr>
          <w:i/>
          <w:iCs/>
        </w:rPr>
      </w:pPr>
      <w:r>
        <w:rPr>
          <w:i/>
          <w:iCs/>
        </w:rPr>
        <w:br w:type="page"/>
      </w:r>
    </w:p>
    <w:p w14:paraId="5FA8CBB1" w14:textId="77777777" w:rsidR="000F490F" w:rsidRDefault="002A400A" w:rsidP="002A400A">
      <w:pPr>
        <w:pStyle w:val="Heading3"/>
      </w:pPr>
      <w:bookmarkStart w:id="90" w:name="_Toc221544023"/>
      <w:bookmarkStart w:id="91" w:name="_Toc221546102"/>
      <w:bookmarkStart w:id="92" w:name="_Toc221627094"/>
      <w:bookmarkStart w:id="93" w:name="_Toc222500454"/>
      <w:r>
        <w:lastRenderedPageBreak/>
        <w:t>A</w:t>
      </w:r>
      <w:r w:rsidR="00E06465">
        <w:t>pplications submitted</w:t>
      </w:r>
      <w:bookmarkEnd w:id="90"/>
      <w:bookmarkEnd w:id="91"/>
      <w:bookmarkEnd w:id="92"/>
      <w:bookmarkEnd w:id="93"/>
      <w:r w:rsidR="00E06465">
        <w:t xml:space="preserve"> </w:t>
      </w:r>
    </w:p>
    <w:p w14:paraId="1D0F39F8" w14:textId="467DCCE6" w:rsidR="003248EF" w:rsidRDefault="003248EF" w:rsidP="003248EF">
      <w:r w:rsidRPr="00580DA0">
        <w:t>During the 2024-25 period, 270 applications were submitted</w:t>
      </w:r>
      <w:r w:rsidR="001A3F3E">
        <w:t>.</w:t>
      </w:r>
      <w:r w:rsidRPr="00580DA0">
        <w:t xml:space="preserve"> </w:t>
      </w:r>
    </w:p>
    <w:p w14:paraId="4F9F83BE" w14:textId="7BB47971" w:rsidR="00561895" w:rsidRDefault="00561895" w:rsidP="00561895">
      <w:pPr>
        <w:pStyle w:val="Caption"/>
        <w:keepNext/>
      </w:pPr>
      <w:r>
        <w:t xml:space="preserve">Table </w:t>
      </w:r>
      <w:r>
        <w:fldChar w:fldCharType="begin"/>
      </w:r>
      <w:r>
        <w:instrText xml:space="preserve"> SEQ Table \* ARABIC </w:instrText>
      </w:r>
      <w:r>
        <w:fldChar w:fldCharType="separate"/>
      </w:r>
      <w:r w:rsidR="003D6C08">
        <w:rPr>
          <w:noProof/>
        </w:rPr>
        <w:t>4</w:t>
      </w:r>
      <w:r>
        <w:fldChar w:fldCharType="end"/>
      </w:r>
      <w:r>
        <w:t xml:space="preserve">: </w:t>
      </w:r>
      <w:r w:rsidR="00900147">
        <w:t>A</w:t>
      </w:r>
      <w:r>
        <w:t>pplications submitted in 2024-25</w:t>
      </w:r>
    </w:p>
    <w:tbl>
      <w:tblPr>
        <w:tblStyle w:val="ListTable3-Accent4"/>
        <w:tblW w:w="0" w:type="auto"/>
        <w:tblLook w:val="04A0" w:firstRow="1" w:lastRow="0" w:firstColumn="1" w:lastColumn="0" w:noHBand="0" w:noVBand="1"/>
      </w:tblPr>
      <w:tblGrid>
        <w:gridCol w:w="1603"/>
        <w:gridCol w:w="703"/>
        <w:gridCol w:w="582"/>
        <w:gridCol w:w="583"/>
        <w:gridCol w:w="630"/>
        <w:gridCol w:w="650"/>
        <w:gridCol w:w="714"/>
        <w:gridCol w:w="744"/>
        <w:gridCol w:w="647"/>
        <w:gridCol w:w="1383"/>
        <w:gridCol w:w="777"/>
      </w:tblGrid>
      <w:tr w:rsidR="00C91423" w14:paraId="6A9AFE6E" w14:textId="77777777" w:rsidTr="00797D0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03" w:type="dxa"/>
          </w:tcPr>
          <w:p w14:paraId="1D70D233" w14:textId="6E07927E" w:rsidR="00792F31" w:rsidRDefault="00792F31" w:rsidP="003248EF">
            <w:r>
              <w:t>Decision maker</w:t>
            </w:r>
          </w:p>
        </w:tc>
        <w:tc>
          <w:tcPr>
            <w:tcW w:w="703" w:type="dxa"/>
          </w:tcPr>
          <w:p w14:paraId="0C3CA228" w14:textId="6ED9E2FE" w:rsidR="00792F31" w:rsidRDefault="00792F31" w:rsidP="003248EF">
            <w:pPr>
              <w:cnfStyle w:val="100000000000" w:firstRow="1" w:lastRow="0" w:firstColumn="0" w:lastColumn="0" w:oddVBand="0" w:evenVBand="0" w:oddHBand="0" w:evenHBand="0" w:firstRowFirstColumn="0" w:firstRowLastColumn="0" w:lastRowFirstColumn="0" w:lastRowLastColumn="0"/>
            </w:pPr>
            <w:r>
              <w:t xml:space="preserve">WA </w:t>
            </w:r>
          </w:p>
        </w:tc>
        <w:tc>
          <w:tcPr>
            <w:tcW w:w="582" w:type="dxa"/>
          </w:tcPr>
          <w:p w14:paraId="7DE3BED3" w14:textId="6A78A0A7" w:rsidR="00792F31" w:rsidRDefault="00792F31" w:rsidP="003248EF">
            <w:pPr>
              <w:cnfStyle w:val="100000000000" w:firstRow="1" w:lastRow="0" w:firstColumn="0" w:lastColumn="0" w:oddVBand="0" w:evenVBand="0" w:oddHBand="0" w:evenHBand="0" w:firstRowFirstColumn="0" w:firstRowLastColumn="0" w:lastRowFirstColumn="0" w:lastRowLastColumn="0"/>
            </w:pPr>
            <w:r>
              <w:t>SA</w:t>
            </w:r>
          </w:p>
        </w:tc>
        <w:tc>
          <w:tcPr>
            <w:tcW w:w="583" w:type="dxa"/>
          </w:tcPr>
          <w:p w14:paraId="48BAB5B0" w14:textId="22117DB2" w:rsidR="00792F31" w:rsidRDefault="00792F31" w:rsidP="003248EF">
            <w:pPr>
              <w:cnfStyle w:val="100000000000" w:firstRow="1" w:lastRow="0" w:firstColumn="0" w:lastColumn="0" w:oddVBand="0" w:evenVBand="0" w:oddHBand="0" w:evenHBand="0" w:firstRowFirstColumn="0" w:firstRowLastColumn="0" w:lastRowFirstColumn="0" w:lastRowLastColumn="0"/>
            </w:pPr>
            <w:r>
              <w:t>NT</w:t>
            </w:r>
          </w:p>
        </w:tc>
        <w:tc>
          <w:tcPr>
            <w:tcW w:w="630" w:type="dxa"/>
          </w:tcPr>
          <w:p w14:paraId="0D7DBF4B" w14:textId="3A8A5AE9" w:rsidR="00792F31" w:rsidRDefault="00792F31" w:rsidP="003248EF">
            <w:pPr>
              <w:cnfStyle w:val="100000000000" w:firstRow="1" w:lastRow="0" w:firstColumn="0" w:lastColumn="0" w:oddVBand="0" w:evenVBand="0" w:oddHBand="0" w:evenHBand="0" w:firstRowFirstColumn="0" w:firstRowLastColumn="0" w:lastRowFirstColumn="0" w:lastRowLastColumn="0"/>
            </w:pPr>
            <w:r>
              <w:t xml:space="preserve">VIC </w:t>
            </w:r>
          </w:p>
        </w:tc>
        <w:tc>
          <w:tcPr>
            <w:tcW w:w="650" w:type="dxa"/>
          </w:tcPr>
          <w:p w14:paraId="456B7C51" w14:textId="75CBFDE3" w:rsidR="00792F31" w:rsidRDefault="00792F31" w:rsidP="003248EF">
            <w:pPr>
              <w:cnfStyle w:val="100000000000" w:firstRow="1" w:lastRow="0" w:firstColumn="0" w:lastColumn="0" w:oddVBand="0" w:evenVBand="0" w:oddHBand="0" w:evenHBand="0" w:firstRowFirstColumn="0" w:firstRowLastColumn="0" w:lastRowFirstColumn="0" w:lastRowLastColumn="0"/>
            </w:pPr>
            <w:r>
              <w:t>AC*</w:t>
            </w:r>
          </w:p>
        </w:tc>
        <w:tc>
          <w:tcPr>
            <w:tcW w:w="714" w:type="dxa"/>
          </w:tcPr>
          <w:p w14:paraId="55BAC640" w14:textId="04A68D83" w:rsidR="00792F31" w:rsidRDefault="00792F31" w:rsidP="003248EF">
            <w:pPr>
              <w:cnfStyle w:val="100000000000" w:firstRow="1" w:lastRow="0" w:firstColumn="0" w:lastColumn="0" w:oddVBand="0" w:evenVBand="0" w:oddHBand="0" w:evenHBand="0" w:firstRowFirstColumn="0" w:firstRowLastColumn="0" w:lastRowFirstColumn="0" w:lastRowLastColumn="0"/>
            </w:pPr>
            <w:r>
              <w:t>NSW</w:t>
            </w:r>
          </w:p>
        </w:tc>
        <w:tc>
          <w:tcPr>
            <w:tcW w:w="744" w:type="dxa"/>
          </w:tcPr>
          <w:p w14:paraId="0D2591C8" w14:textId="11C70CDB" w:rsidR="00792F31" w:rsidRDefault="00792F31" w:rsidP="003248EF">
            <w:pPr>
              <w:cnfStyle w:val="100000000000" w:firstRow="1" w:lastRow="0" w:firstColumn="0" w:lastColumn="0" w:oddVBand="0" w:evenVBand="0" w:oddHBand="0" w:evenHBand="0" w:firstRowFirstColumn="0" w:firstRowLastColumn="0" w:lastRowFirstColumn="0" w:lastRowLastColumn="0"/>
            </w:pPr>
            <w:r>
              <w:t>QLD</w:t>
            </w:r>
          </w:p>
        </w:tc>
        <w:tc>
          <w:tcPr>
            <w:tcW w:w="647" w:type="dxa"/>
          </w:tcPr>
          <w:p w14:paraId="75565070" w14:textId="7B75CED9" w:rsidR="00792F31" w:rsidRDefault="00792F31" w:rsidP="003248EF">
            <w:pPr>
              <w:cnfStyle w:val="100000000000" w:firstRow="1" w:lastRow="0" w:firstColumn="0" w:lastColumn="0" w:oddVBand="0" w:evenVBand="0" w:oddHBand="0" w:evenHBand="0" w:firstRowFirstColumn="0" w:firstRowLastColumn="0" w:lastRowFirstColumn="0" w:lastRowLastColumn="0"/>
            </w:pPr>
            <w:r>
              <w:t xml:space="preserve">TAS </w:t>
            </w:r>
          </w:p>
        </w:tc>
        <w:tc>
          <w:tcPr>
            <w:tcW w:w="1383" w:type="dxa"/>
          </w:tcPr>
          <w:p w14:paraId="0B58CE07" w14:textId="03D24569" w:rsidR="00792F31" w:rsidRDefault="00792F31" w:rsidP="003248EF">
            <w:pPr>
              <w:cnfStyle w:val="100000000000" w:firstRow="1" w:lastRow="0" w:firstColumn="0" w:lastColumn="0" w:oddVBand="0" w:evenVBand="0" w:oddHBand="0" w:evenHBand="0" w:firstRowFirstColumn="0" w:firstRowLastColumn="0" w:lastRowFirstColumn="0" w:lastRowLastColumn="0"/>
            </w:pPr>
            <w:r>
              <w:t>BU**</w:t>
            </w:r>
          </w:p>
        </w:tc>
        <w:tc>
          <w:tcPr>
            <w:tcW w:w="777" w:type="dxa"/>
          </w:tcPr>
          <w:p w14:paraId="26F6F17D" w14:textId="2167EFF1" w:rsidR="00792F31" w:rsidRDefault="0057505F" w:rsidP="003248EF">
            <w:pPr>
              <w:cnfStyle w:val="100000000000" w:firstRow="1" w:lastRow="0" w:firstColumn="0" w:lastColumn="0" w:oddVBand="0" w:evenVBand="0" w:oddHBand="0" w:evenHBand="0" w:firstRowFirstColumn="0" w:firstRowLastColumn="0" w:lastRowFirstColumn="0" w:lastRowLastColumn="0"/>
            </w:pPr>
            <w:r>
              <w:t>Total</w:t>
            </w:r>
          </w:p>
        </w:tc>
      </w:tr>
      <w:tr w:rsidR="00C91423" w14:paraId="168DEA0E" w14:textId="77777777" w:rsidTr="00797D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571FC0BD" w14:textId="1F564E78" w:rsidR="00792F31" w:rsidRDefault="0057505F" w:rsidP="003248EF">
            <w:r>
              <w:t>Joint Authority</w:t>
            </w:r>
          </w:p>
        </w:tc>
        <w:tc>
          <w:tcPr>
            <w:tcW w:w="703" w:type="dxa"/>
          </w:tcPr>
          <w:p w14:paraId="7831F962" w14:textId="40614AE4" w:rsidR="00792F31" w:rsidRPr="00C17358" w:rsidRDefault="000F4C62" w:rsidP="006F05B5">
            <w:pPr>
              <w:jc w:val="right"/>
              <w:cnfStyle w:val="000000100000" w:firstRow="0" w:lastRow="0" w:firstColumn="0" w:lastColumn="0" w:oddVBand="0" w:evenVBand="0" w:oddHBand="1" w:evenHBand="0" w:firstRowFirstColumn="0" w:firstRowLastColumn="0" w:lastRowFirstColumn="0" w:lastRowLastColumn="0"/>
            </w:pPr>
            <w:r w:rsidRPr="00C17358">
              <w:t>31</w:t>
            </w:r>
          </w:p>
        </w:tc>
        <w:tc>
          <w:tcPr>
            <w:tcW w:w="582" w:type="dxa"/>
          </w:tcPr>
          <w:p w14:paraId="5BE66BFF" w14:textId="3AB8C388" w:rsidR="00792F31" w:rsidRPr="00C17358" w:rsidRDefault="005D24CF" w:rsidP="006F05B5">
            <w:pPr>
              <w:jc w:val="right"/>
              <w:cnfStyle w:val="000000100000" w:firstRow="0" w:lastRow="0" w:firstColumn="0" w:lastColumn="0" w:oddVBand="0" w:evenVBand="0" w:oddHBand="1" w:evenHBand="0" w:firstRowFirstColumn="0" w:firstRowLastColumn="0" w:lastRowFirstColumn="0" w:lastRowLastColumn="0"/>
            </w:pPr>
            <w:r w:rsidRPr="00C17358">
              <w:t>0</w:t>
            </w:r>
          </w:p>
        </w:tc>
        <w:tc>
          <w:tcPr>
            <w:tcW w:w="583" w:type="dxa"/>
          </w:tcPr>
          <w:p w14:paraId="67F9A738" w14:textId="2C66799F" w:rsidR="00792F31" w:rsidRPr="00C17358" w:rsidRDefault="000F4C62" w:rsidP="006F05B5">
            <w:pPr>
              <w:jc w:val="right"/>
              <w:cnfStyle w:val="000000100000" w:firstRow="0" w:lastRow="0" w:firstColumn="0" w:lastColumn="0" w:oddVBand="0" w:evenVBand="0" w:oddHBand="1" w:evenHBand="0" w:firstRowFirstColumn="0" w:firstRowLastColumn="0" w:lastRowFirstColumn="0" w:lastRowLastColumn="0"/>
            </w:pPr>
            <w:r w:rsidRPr="00C17358">
              <w:t>8</w:t>
            </w:r>
          </w:p>
        </w:tc>
        <w:tc>
          <w:tcPr>
            <w:tcW w:w="630" w:type="dxa"/>
          </w:tcPr>
          <w:p w14:paraId="42AD8851" w14:textId="3461BA72" w:rsidR="00792F31" w:rsidRPr="00C17358" w:rsidRDefault="000F4C62" w:rsidP="006F05B5">
            <w:pPr>
              <w:jc w:val="right"/>
              <w:cnfStyle w:val="000000100000" w:firstRow="0" w:lastRow="0" w:firstColumn="0" w:lastColumn="0" w:oddVBand="0" w:evenVBand="0" w:oddHBand="1" w:evenHBand="0" w:firstRowFirstColumn="0" w:firstRowLastColumn="0" w:lastRowFirstColumn="0" w:lastRowLastColumn="0"/>
            </w:pPr>
            <w:r w:rsidRPr="00C17358">
              <w:t>18</w:t>
            </w:r>
          </w:p>
        </w:tc>
        <w:tc>
          <w:tcPr>
            <w:tcW w:w="650" w:type="dxa"/>
          </w:tcPr>
          <w:p w14:paraId="6209FCEA" w14:textId="243A7591" w:rsidR="00792F31" w:rsidRPr="00C17358" w:rsidRDefault="000F4C62" w:rsidP="006F05B5">
            <w:pPr>
              <w:jc w:val="right"/>
              <w:cnfStyle w:val="000000100000" w:firstRow="0" w:lastRow="0" w:firstColumn="0" w:lastColumn="0" w:oddVBand="0" w:evenVBand="0" w:oddHBand="1" w:evenHBand="0" w:firstRowFirstColumn="0" w:firstRowLastColumn="0" w:lastRowFirstColumn="0" w:lastRowLastColumn="0"/>
            </w:pPr>
            <w:r w:rsidRPr="00C17358">
              <w:t>7</w:t>
            </w:r>
          </w:p>
        </w:tc>
        <w:tc>
          <w:tcPr>
            <w:tcW w:w="714" w:type="dxa"/>
          </w:tcPr>
          <w:p w14:paraId="0B0DC62B" w14:textId="71BD0075" w:rsidR="00792F31" w:rsidRPr="00C17358" w:rsidRDefault="000F4C62" w:rsidP="006F05B5">
            <w:pPr>
              <w:jc w:val="right"/>
              <w:cnfStyle w:val="000000100000" w:firstRow="0" w:lastRow="0" w:firstColumn="0" w:lastColumn="0" w:oddVBand="0" w:evenVBand="0" w:oddHBand="1" w:evenHBand="0" w:firstRowFirstColumn="0" w:firstRowLastColumn="0" w:lastRowFirstColumn="0" w:lastRowLastColumn="0"/>
            </w:pPr>
            <w:r w:rsidRPr="00C17358">
              <w:t>1</w:t>
            </w:r>
          </w:p>
        </w:tc>
        <w:tc>
          <w:tcPr>
            <w:tcW w:w="744" w:type="dxa"/>
          </w:tcPr>
          <w:p w14:paraId="303925EE" w14:textId="56424FA7" w:rsidR="00792F31" w:rsidRPr="00C17358" w:rsidRDefault="005D24CF" w:rsidP="006F05B5">
            <w:pPr>
              <w:jc w:val="right"/>
              <w:cnfStyle w:val="000000100000" w:firstRow="0" w:lastRow="0" w:firstColumn="0" w:lastColumn="0" w:oddVBand="0" w:evenVBand="0" w:oddHBand="1" w:evenHBand="0" w:firstRowFirstColumn="0" w:firstRowLastColumn="0" w:lastRowFirstColumn="0" w:lastRowLastColumn="0"/>
            </w:pPr>
            <w:r w:rsidRPr="00C17358">
              <w:t>0</w:t>
            </w:r>
          </w:p>
        </w:tc>
        <w:tc>
          <w:tcPr>
            <w:tcW w:w="647" w:type="dxa"/>
          </w:tcPr>
          <w:p w14:paraId="1B70E2B8" w14:textId="5D320B0D" w:rsidR="00792F31" w:rsidRPr="00C17358" w:rsidRDefault="005D24CF" w:rsidP="006F05B5">
            <w:pPr>
              <w:jc w:val="right"/>
              <w:cnfStyle w:val="000000100000" w:firstRow="0" w:lastRow="0" w:firstColumn="0" w:lastColumn="0" w:oddVBand="0" w:evenVBand="0" w:oddHBand="1" w:evenHBand="0" w:firstRowFirstColumn="0" w:firstRowLastColumn="0" w:lastRowFirstColumn="0" w:lastRowLastColumn="0"/>
            </w:pPr>
            <w:r w:rsidRPr="00C17358">
              <w:t>2</w:t>
            </w:r>
          </w:p>
        </w:tc>
        <w:tc>
          <w:tcPr>
            <w:tcW w:w="1383" w:type="dxa"/>
          </w:tcPr>
          <w:p w14:paraId="54B67CB7" w14:textId="63DED8F9" w:rsidR="00792F31" w:rsidRPr="00C17358" w:rsidRDefault="005D24CF" w:rsidP="006F05B5">
            <w:pPr>
              <w:jc w:val="right"/>
              <w:cnfStyle w:val="000000100000" w:firstRow="0" w:lastRow="0" w:firstColumn="0" w:lastColumn="0" w:oddVBand="0" w:evenVBand="0" w:oddHBand="1" w:evenHBand="0" w:firstRowFirstColumn="0" w:firstRowLastColumn="0" w:lastRowFirstColumn="0" w:lastRowLastColumn="0"/>
            </w:pPr>
            <w:r w:rsidRPr="00C17358">
              <w:t>0</w:t>
            </w:r>
          </w:p>
        </w:tc>
        <w:tc>
          <w:tcPr>
            <w:tcW w:w="777" w:type="dxa"/>
          </w:tcPr>
          <w:p w14:paraId="378F7BD2" w14:textId="07B7BB5E" w:rsidR="00792F31" w:rsidRPr="00C17358" w:rsidRDefault="005D24CF" w:rsidP="006F05B5">
            <w:pPr>
              <w:jc w:val="right"/>
              <w:cnfStyle w:val="000000100000" w:firstRow="0" w:lastRow="0" w:firstColumn="0" w:lastColumn="0" w:oddVBand="0" w:evenVBand="0" w:oddHBand="1" w:evenHBand="0" w:firstRowFirstColumn="0" w:firstRowLastColumn="0" w:lastRowFirstColumn="0" w:lastRowLastColumn="0"/>
            </w:pPr>
            <w:r w:rsidRPr="00C17358">
              <w:t>67</w:t>
            </w:r>
          </w:p>
        </w:tc>
      </w:tr>
      <w:tr w:rsidR="00C91423" w14:paraId="5E8EAC3A" w14:textId="77777777" w:rsidTr="00797D0C">
        <w:tc>
          <w:tcPr>
            <w:cnfStyle w:val="001000000000" w:firstRow="0" w:lastRow="0" w:firstColumn="1" w:lastColumn="0" w:oddVBand="0" w:evenVBand="0" w:oddHBand="0" w:evenHBand="0" w:firstRowFirstColumn="0" w:firstRowLastColumn="0" w:lastRowFirstColumn="0" w:lastRowLastColumn="0"/>
            <w:tcW w:w="1603" w:type="dxa"/>
          </w:tcPr>
          <w:p w14:paraId="5D58C87E" w14:textId="646BCB64" w:rsidR="00792F31" w:rsidRDefault="0057505F" w:rsidP="003248EF">
            <w:r>
              <w:t>Titles Administrator</w:t>
            </w:r>
          </w:p>
        </w:tc>
        <w:tc>
          <w:tcPr>
            <w:tcW w:w="703" w:type="dxa"/>
          </w:tcPr>
          <w:p w14:paraId="32106676" w14:textId="7B7CF191" w:rsidR="00792F31" w:rsidRPr="00C17358" w:rsidRDefault="005D24CF" w:rsidP="006F05B5">
            <w:pPr>
              <w:jc w:val="right"/>
              <w:cnfStyle w:val="000000000000" w:firstRow="0" w:lastRow="0" w:firstColumn="0" w:lastColumn="0" w:oddVBand="0" w:evenVBand="0" w:oddHBand="0" w:evenHBand="0" w:firstRowFirstColumn="0" w:firstRowLastColumn="0" w:lastRowFirstColumn="0" w:lastRowLastColumn="0"/>
            </w:pPr>
            <w:r w:rsidRPr="00C17358">
              <w:t>139</w:t>
            </w:r>
          </w:p>
        </w:tc>
        <w:tc>
          <w:tcPr>
            <w:tcW w:w="582" w:type="dxa"/>
          </w:tcPr>
          <w:p w14:paraId="5120E25D" w14:textId="034C44F6" w:rsidR="00792F31" w:rsidRPr="00C17358" w:rsidRDefault="005D24CF" w:rsidP="006F05B5">
            <w:pPr>
              <w:jc w:val="right"/>
              <w:cnfStyle w:val="000000000000" w:firstRow="0" w:lastRow="0" w:firstColumn="0" w:lastColumn="0" w:oddVBand="0" w:evenVBand="0" w:oddHBand="0" w:evenHBand="0" w:firstRowFirstColumn="0" w:firstRowLastColumn="0" w:lastRowFirstColumn="0" w:lastRowLastColumn="0"/>
            </w:pPr>
            <w:r w:rsidRPr="00C17358">
              <w:t>0</w:t>
            </w:r>
          </w:p>
        </w:tc>
        <w:tc>
          <w:tcPr>
            <w:tcW w:w="583" w:type="dxa"/>
          </w:tcPr>
          <w:p w14:paraId="1749E099" w14:textId="6E6E9B88" w:rsidR="00792F31" w:rsidRPr="00C17358" w:rsidRDefault="002A3170" w:rsidP="006F05B5">
            <w:pPr>
              <w:jc w:val="right"/>
              <w:cnfStyle w:val="000000000000" w:firstRow="0" w:lastRow="0" w:firstColumn="0" w:lastColumn="0" w:oddVBand="0" w:evenVBand="0" w:oddHBand="0" w:evenHBand="0" w:firstRowFirstColumn="0" w:firstRowLastColumn="0" w:lastRowFirstColumn="0" w:lastRowLastColumn="0"/>
            </w:pPr>
            <w:r w:rsidRPr="00C17358">
              <w:t>11</w:t>
            </w:r>
          </w:p>
        </w:tc>
        <w:tc>
          <w:tcPr>
            <w:tcW w:w="630" w:type="dxa"/>
          </w:tcPr>
          <w:p w14:paraId="652ABB2E" w14:textId="68A15414" w:rsidR="00792F31" w:rsidRPr="00C17358" w:rsidRDefault="002A3170" w:rsidP="006F05B5">
            <w:pPr>
              <w:jc w:val="right"/>
              <w:cnfStyle w:val="000000000000" w:firstRow="0" w:lastRow="0" w:firstColumn="0" w:lastColumn="0" w:oddVBand="0" w:evenVBand="0" w:oddHBand="0" w:evenHBand="0" w:firstRowFirstColumn="0" w:firstRowLastColumn="0" w:lastRowFirstColumn="0" w:lastRowLastColumn="0"/>
            </w:pPr>
            <w:r w:rsidRPr="00C17358">
              <w:t>41</w:t>
            </w:r>
          </w:p>
        </w:tc>
        <w:tc>
          <w:tcPr>
            <w:tcW w:w="650" w:type="dxa"/>
          </w:tcPr>
          <w:p w14:paraId="2CC5F722" w14:textId="10236D38" w:rsidR="00792F31" w:rsidRPr="00C17358" w:rsidRDefault="002A3170" w:rsidP="006F05B5">
            <w:pPr>
              <w:jc w:val="right"/>
              <w:cnfStyle w:val="000000000000" w:firstRow="0" w:lastRow="0" w:firstColumn="0" w:lastColumn="0" w:oddVBand="0" w:evenVBand="0" w:oddHBand="0" w:evenHBand="0" w:firstRowFirstColumn="0" w:firstRowLastColumn="0" w:lastRowFirstColumn="0" w:lastRowLastColumn="0"/>
            </w:pPr>
            <w:r w:rsidRPr="00C17358">
              <w:t>5</w:t>
            </w:r>
          </w:p>
        </w:tc>
        <w:tc>
          <w:tcPr>
            <w:tcW w:w="714" w:type="dxa"/>
          </w:tcPr>
          <w:p w14:paraId="7EAF1486" w14:textId="3A21AAAD" w:rsidR="00792F31" w:rsidRPr="00C17358" w:rsidRDefault="002A3170" w:rsidP="006F05B5">
            <w:pPr>
              <w:jc w:val="right"/>
              <w:cnfStyle w:val="000000000000" w:firstRow="0" w:lastRow="0" w:firstColumn="0" w:lastColumn="0" w:oddVBand="0" w:evenVBand="0" w:oddHBand="0" w:evenHBand="0" w:firstRowFirstColumn="0" w:firstRowLastColumn="0" w:lastRowFirstColumn="0" w:lastRowLastColumn="0"/>
            </w:pPr>
            <w:r w:rsidRPr="00C17358">
              <w:t>0</w:t>
            </w:r>
          </w:p>
        </w:tc>
        <w:tc>
          <w:tcPr>
            <w:tcW w:w="744" w:type="dxa"/>
          </w:tcPr>
          <w:p w14:paraId="3A378ACB" w14:textId="389D8491" w:rsidR="00792F31" w:rsidRPr="00C17358" w:rsidRDefault="002A3170" w:rsidP="006F05B5">
            <w:pPr>
              <w:jc w:val="right"/>
              <w:cnfStyle w:val="000000000000" w:firstRow="0" w:lastRow="0" w:firstColumn="0" w:lastColumn="0" w:oddVBand="0" w:evenVBand="0" w:oddHBand="0" w:evenHBand="0" w:firstRowFirstColumn="0" w:firstRowLastColumn="0" w:lastRowFirstColumn="0" w:lastRowLastColumn="0"/>
            </w:pPr>
            <w:r w:rsidRPr="00C17358">
              <w:t>0</w:t>
            </w:r>
          </w:p>
        </w:tc>
        <w:tc>
          <w:tcPr>
            <w:tcW w:w="647" w:type="dxa"/>
          </w:tcPr>
          <w:p w14:paraId="7FD463FC" w14:textId="0DF380BA" w:rsidR="00792F31" w:rsidRPr="00C17358" w:rsidRDefault="002A3170" w:rsidP="006F05B5">
            <w:pPr>
              <w:jc w:val="right"/>
              <w:cnfStyle w:val="000000000000" w:firstRow="0" w:lastRow="0" w:firstColumn="0" w:lastColumn="0" w:oddVBand="0" w:evenVBand="0" w:oddHBand="0" w:evenHBand="0" w:firstRowFirstColumn="0" w:firstRowLastColumn="0" w:lastRowFirstColumn="0" w:lastRowLastColumn="0"/>
            </w:pPr>
            <w:r w:rsidRPr="00C17358">
              <w:t>7</w:t>
            </w:r>
          </w:p>
        </w:tc>
        <w:tc>
          <w:tcPr>
            <w:tcW w:w="1383" w:type="dxa"/>
          </w:tcPr>
          <w:p w14:paraId="120CBD60" w14:textId="519E0F13" w:rsidR="00792F31" w:rsidRPr="00C17358" w:rsidRDefault="002A3170" w:rsidP="006F05B5">
            <w:pPr>
              <w:jc w:val="right"/>
              <w:cnfStyle w:val="000000000000" w:firstRow="0" w:lastRow="0" w:firstColumn="0" w:lastColumn="0" w:oddVBand="0" w:evenVBand="0" w:oddHBand="0" w:evenHBand="0" w:firstRowFirstColumn="0" w:firstRowLastColumn="0" w:lastRowFirstColumn="0" w:lastRowLastColumn="0"/>
            </w:pPr>
            <w:r w:rsidRPr="00C17358">
              <w:t>0</w:t>
            </w:r>
          </w:p>
        </w:tc>
        <w:tc>
          <w:tcPr>
            <w:tcW w:w="777" w:type="dxa"/>
          </w:tcPr>
          <w:p w14:paraId="1099278B" w14:textId="66130870" w:rsidR="00792F31" w:rsidRPr="00C17358" w:rsidRDefault="00550E6E" w:rsidP="006F05B5">
            <w:pPr>
              <w:jc w:val="right"/>
              <w:cnfStyle w:val="000000000000" w:firstRow="0" w:lastRow="0" w:firstColumn="0" w:lastColumn="0" w:oddVBand="0" w:evenVBand="0" w:oddHBand="0" w:evenHBand="0" w:firstRowFirstColumn="0" w:firstRowLastColumn="0" w:lastRowFirstColumn="0" w:lastRowLastColumn="0"/>
            </w:pPr>
            <w:r w:rsidRPr="00C17358">
              <w:t>203</w:t>
            </w:r>
          </w:p>
        </w:tc>
      </w:tr>
      <w:tr w:rsidR="00C91423" w14:paraId="1BB3A15F" w14:textId="77777777" w:rsidTr="00797D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227217C5" w14:textId="7D8B7319" w:rsidR="00792F31" w:rsidRDefault="000F4C62" w:rsidP="003248EF">
            <w:r>
              <w:t xml:space="preserve">Total </w:t>
            </w:r>
          </w:p>
        </w:tc>
        <w:tc>
          <w:tcPr>
            <w:tcW w:w="703" w:type="dxa"/>
          </w:tcPr>
          <w:p w14:paraId="0E06AD39" w14:textId="6A1F3705" w:rsidR="00792F31" w:rsidRPr="00C17358" w:rsidRDefault="00550E6E" w:rsidP="006F05B5">
            <w:pPr>
              <w:jc w:val="right"/>
              <w:cnfStyle w:val="000000100000" w:firstRow="0" w:lastRow="0" w:firstColumn="0" w:lastColumn="0" w:oddVBand="0" w:evenVBand="0" w:oddHBand="1" w:evenHBand="0" w:firstRowFirstColumn="0" w:firstRowLastColumn="0" w:lastRowFirstColumn="0" w:lastRowLastColumn="0"/>
              <w:rPr>
                <w:b/>
              </w:rPr>
            </w:pPr>
            <w:r w:rsidRPr="00C17358">
              <w:rPr>
                <w:b/>
              </w:rPr>
              <w:t>170</w:t>
            </w:r>
          </w:p>
        </w:tc>
        <w:tc>
          <w:tcPr>
            <w:tcW w:w="582" w:type="dxa"/>
          </w:tcPr>
          <w:p w14:paraId="050DB19A" w14:textId="4A8E9840" w:rsidR="00792F31" w:rsidRPr="00C17358" w:rsidRDefault="00550E6E" w:rsidP="006F05B5">
            <w:pPr>
              <w:jc w:val="right"/>
              <w:cnfStyle w:val="000000100000" w:firstRow="0" w:lastRow="0" w:firstColumn="0" w:lastColumn="0" w:oddVBand="0" w:evenVBand="0" w:oddHBand="1" w:evenHBand="0" w:firstRowFirstColumn="0" w:firstRowLastColumn="0" w:lastRowFirstColumn="0" w:lastRowLastColumn="0"/>
              <w:rPr>
                <w:b/>
              </w:rPr>
            </w:pPr>
            <w:r w:rsidRPr="00C17358">
              <w:rPr>
                <w:b/>
              </w:rPr>
              <w:t>0</w:t>
            </w:r>
          </w:p>
        </w:tc>
        <w:tc>
          <w:tcPr>
            <w:tcW w:w="583" w:type="dxa"/>
          </w:tcPr>
          <w:p w14:paraId="1D46BB67" w14:textId="6DFF4B43" w:rsidR="00792F31" w:rsidRPr="00C17358" w:rsidRDefault="005B3CA6" w:rsidP="006F05B5">
            <w:pPr>
              <w:jc w:val="right"/>
              <w:cnfStyle w:val="000000100000" w:firstRow="0" w:lastRow="0" w:firstColumn="0" w:lastColumn="0" w:oddVBand="0" w:evenVBand="0" w:oddHBand="1" w:evenHBand="0" w:firstRowFirstColumn="0" w:firstRowLastColumn="0" w:lastRowFirstColumn="0" w:lastRowLastColumn="0"/>
              <w:rPr>
                <w:b/>
              </w:rPr>
            </w:pPr>
            <w:r w:rsidRPr="00C17358">
              <w:rPr>
                <w:b/>
              </w:rPr>
              <w:t>19</w:t>
            </w:r>
          </w:p>
        </w:tc>
        <w:tc>
          <w:tcPr>
            <w:tcW w:w="630" w:type="dxa"/>
          </w:tcPr>
          <w:p w14:paraId="6A14FB43" w14:textId="2CA36C71" w:rsidR="00792F31" w:rsidRPr="00C17358" w:rsidRDefault="005B3CA6" w:rsidP="006F05B5">
            <w:pPr>
              <w:jc w:val="right"/>
              <w:cnfStyle w:val="000000100000" w:firstRow="0" w:lastRow="0" w:firstColumn="0" w:lastColumn="0" w:oddVBand="0" w:evenVBand="0" w:oddHBand="1" w:evenHBand="0" w:firstRowFirstColumn="0" w:firstRowLastColumn="0" w:lastRowFirstColumn="0" w:lastRowLastColumn="0"/>
              <w:rPr>
                <w:b/>
              </w:rPr>
            </w:pPr>
            <w:r w:rsidRPr="00C17358">
              <w:rPr>
                <w:b/>
              </w:rPr>
              <w:t>59</w:t>
            </w:r>
          </w:p>
        </w:tc>
        <w:tc>
          <w:tcPr>
            <w:tcW w:w="650" w:type="dxa"/>
          </w:tcPr>
          <w:p w14:paraId="05BDC91E" w14:textId="281E2C1B" w:rsidR="00792F31" w:rsidRPr="00C17358" w:rsidRDefault="005B3CA6" w:rsidP="006F05B5">
            <w:pPr>
              <w:jc w:val="right"/>
              <w:cnfStyle w:val="000000100000" w:firstRow="0" w:lastRow="0" w:firstColumn="0" w:lastColumn="0" w:oddVBand="0" w:evenVBand="0" w:oddHBand="1" w:evenHBand="0" w:firstRowFirstColumn="0" w:firstRowLastColumn="0" w:lastRowFirstColumn="0" w:lastRowLastColumn="0"/>
              <w:rPr>
                <w:b/>
              </w:rPr>
            </w:pPr>
            <w:r w:rsidRPr="00C17358">
              <w:rPr>
                <w:b/>
              </w:rPr>
              <w:t>12</w:t>
            </w:r>
          </w:p>
        </w:tc>
        <w:tc>
          <w:tcPr>
            <w:tcW w:w="714" w:type="dxa"/>
          </w:tcPr>
          <w:p w14:paraId="16B8F6BD" w14:textId="288EC82C" w:rsidR="00792F31" w:rsidRPr="00C17358" w:rsidRDefault="005B3CA6" w:rsidP="006F05B5">
            <w:pPr>
              <w:jc w:val="right"/>
              <w:cnfStyle w:val="000000100000" w:firstRow="0" w:lastRow="0" w:firstColumn="0" w:lastColumn="0" w:oddVBand="0" w:evenVBand="0" w:oddHBand="1" w:evenHBand="0" w:firstRowFirstColumn="0" w:firstRowLastColumn="0" w:lastRowFirstColumn="0" w:lastRowLastColumn="0"/>
              <w:rPr>
                <w:b/>
              </w:rPr>
            </w:pPr>
            <w:r w:rsidRPr="00C17358">
              <w:rPr>
                <w:b/>
              </w:rPr>
              <w:t>1</w:t>
            </w:r>
          </w:p>
        </w:tc>
        <w:tc>
          <w:tcPr>
            <w:tcW w:w="744" w:type="dxa"/>
          </w:tcPr>
          <w:p w14:paraId="31301037" w14:textId="08A21AF3" w:rsidR="00792F31" w:rsidRPr="00C17358" w:rsidRDefault="005B3CA6" w:rsidP="006F05B5">
            <w:pPr>
              <w:jc w:val="right"/>
              <w:cnfStyle w:val="000000100000" w:firstRow="0" w:lastRow="0" w:firstColumn="0" w:lastColumn="0" w:oddVBand="0" w:evenVBand="0" w:oddHBand="1" w:evenHBand="0" w:firstRowFirstColumn="0" w:firstRowLastColumn="0" w:lastRowFirstColumn="0" w:lastRowLastColumn="0"/>
              <w:rPr>
                <w:b/>
              </w:rPr>
            </w:pPr>
            <w:r w:rsidRPr="00C17358">
              <w:rPr>
                <w:b/>
              </w:rPr>
              <w:t>0</w:t>
            </w:r>
          </w:p>
        </w:tc>
        <w:tc>
          <w:tcPr>
            <w:tcW w:w="647" w:type="dxa"/>
          </w:tcPr>
          <w:p w14:paraId="1BEAE3C7" w14:textId="44CCBCF1" w:rsidR="00792F31" w:rsidRPr="00C17358" w:rsidRDefault="005B3CA6" w:rsidP="006F05B5">
            <w:pPr>
              <w:jc w:val="right"/>
              <w:cnfStyle w:val="000000100000" w:firstRow="0" w:lastRow="0" w:firstColumn="0" w:lastColumn="0" w:oddVBand="0" w:evenVBand="0" w:oddHBand="1" w:evenHBand="0" w:firstRowFirstColumn="0" w:firstRowLastColumn="0" w:lastRowFirstColumn="0" w:lastRowLastColumn="0"/>
              <w:rPr>
                <w:b/>
              </w:rPr>
            </w:pPr>
            <w:r w:rsidRPr="00C17358">
              <w:rPr>
                <w:b/>
              </w:rPr>
              <w:t>9</w:t>
            </w:r>
          </w:p>
        </w:tc>
        <w:tc>
          <w:tcPr>
            <w:tcW w:w="1383" w:type="dxa"/>
          </w:tcPr>
          <w:p w14:paraId="1D30FBF2" w14:textId="439D60A3" w:rsidR="00792F31" w:rsidRPr="00C17358" w:rsidRDefault="00464387" w:rsidP="006F05B5">
            <w:pPr>
              <w:jc w:val="right"/>
              <w:cnfStyle w:val="000000100000" w:firstRow="0" w:lastRow="0" w:firstColumn="0" w:lastColumn="0" w:oddVBand="0" w:evenVBand="0" w:oddHBand="1" w:evenHBand="0" w:firstRowFirstColumn="0" w:firstRowLastColumn="0" w:lastRowFirstColumn="0" w:lastRowLastColumn="0"/>
              <w:rPr>
                <w:b/>
              </w:rPr>
            </w:pPr>
            <w:r w:rsidRPr="00C17358">
              <w:rPr>
                <w:b/>
              </w:rPr>
              <w:t>0</w:t>
            </w:r>
          </w:p>
        </w:tc>
        <w:tc>
          <w:tcPr>
            <w:tcW w:w="777" w:type="dxa"/>
          </w:tcPr>
          <w:p w14:paraId="1EDCE7C1" w14:textId="29310718" w:rsidR="00792F31" w:rsidRPr="00C17358" w:rsidRDefault="00464387" w:rsidP="006F05B5">
            <w:pPr>
              <w:jc w:val="right"/>
              <w:cnfStyle w:val="000000100000" w:firstRow="0" w:lastRow="0" w:firstColumn="0" w:lastColumn="0" w:oddVBand="0" w:evenVBand="0" w:oddHBand="1" w:evenHBand="0" w:firstRowFirstColumn="0" w:firstRowLastColumn="0" w:lastRowFirstColumn="0" w:lastRowLastColumn="0"/>
              <w:rPr>
                <w:b/>
              </w:rPr>
            </w:pPr>
            <w:r w:rsidRPr="00C17358">
              <w:rPr>
                <w:b/>
              </w:rPr>
              <w:t>270</w:t>
            </w:r>
          </w:p>
        </w:tc>
      </w:tr>
    </w:tbl>
    <w:p w14:paraId="08EFA343" w14:textId="3D4D5338" w:rsidR="00092445" w:rsidRPr="00FC2EF0" w:rsidRDefault="00092445" w:rsidP="00092445">
      <w:pPr>
        <w:rPr>
          <w:sz w:val="18"/>
          <w:szCs w:val="18"/>
        </w:rPr>
      </w:pPr>
      <w:r w:rsidRPr="00FC2EF0">
        <w:rPr>
          <w:sz w:val="18"/>
          <w:szCs w:val="18"/>
        </w:rPr>
        <w:t>Two footnotes</w:t>
      </w:r>
      <w:r w:rsidR="006D7E0B" w:rsidRPr="00FC2EF0">
        <w:rPr>
          <w:sz w:val="18"/>
          <w:szCs w:val="18"/>
        </w:rPr>
        <w:t xml:space="preserve"> </w:t>
      </w:r>
      <w:r w:rsidR="004F7928" w:rsidRPr="00FC2EF0">
        <w:rPr>
          <w:sz w:val="18"/>
          <w:szCs w:val="18"/>
        </w:rPr>
        <w:t>used</w:t>
      </w:r>
      <w:r w:rsidRPr="00FC2EF0">
        <w:rPr>
          <w:sz w:val="18"/>
          <w:szCs w:val="18"/>
        </w:rPr>
        <w:t xml:space="preserve"> in the table:</w:t>
      </w:r>
    </w:p>
    <w:p w14:paraId="6C56E7DA" w14:textId="5D280339" w:rsidR="00092445" w:rsidRPr="00775D90" w:rsidRDefault="006D7E0B" w:rsidP="00000EE8">
      <w:pPr>
        <w:pStyle w:val="ListParagraph"/>
        <w:numPr>
          <w:ilvl w:val="0"/>
          <w:numId w:val="15"/>
        </w:numPr>
        <w:rPr>
          <w:sz w:val="18"/>
          <w:szCs w:val="18"/>
        </w:rPr>
      </w:pPr>
      <w:r w:rsidRPr="00775D90">
        <w:rPr>
          <w:sz w:val="18"/>
          <w:szCs w:val="18"/>
        </w:rPr>
        <w:t xml:space="preserve">the * </w:t>
      </w:r>
      <w:proofErr w:type="spellStart"/>
      <w:r w:rsidRPr="00775D90">
        <w:rPr>
          <w:sz w:val="18"/>
          <w:szCs w:val="18"/>
        </w:rPr>
        <w:t>asterix</w:t>
      </w:r>
      <w:proofErr w:type="spellEnd"/>
      <w:r w:rsidRPr="00775D90">
        <w:rPr>
          <w:sz w:val="18"/>
          <w:szCs w:val="18"/>
        </w:rPr>
        <w:t xml:space="preserve"> is </w:t>
      </w:r>
      <w:r w:rsidR="00092445" w:rsidRPr="00775D90">
        <w:rPr>
          <w:sz w:val="18"/>
          <w:szCs w:val="18"/>
        </w:rPr>
        <w:t>Ashmore and Cartier Islands (AC): A remote external territory of Australia in the Timor sea.</w:t>
      </w:r>
    </w:p>
    <w:p w14:paraId="5D097DF8" w14:textId="24944EA7" w:rsidR="00092445" w:rsidRPr="00775D90" w:rsidRDefault="007B32CA" w:rsidP="00000EE8">
      <w:pPr>
        <w:pStyle w:val="ListParagraph"/>
        <w:rPr>
          <w:sz w:val="18"/>
          <w:szCs w:val="18"/>
        </w:rPr>
      </w:pPr>
      <w:r w:rsidRPr="00775D90">
        <w:rPr>
          <w:sz w:val="18"/>
          <w:szCs w:val="18"/>
        </w:rPr>
        <w:t xml:space="preserve">the double ** </w:t>
      </w:r>
      <w:proofErr w:type="spellStart"/>
      <w:r w:rsidRPr="00775D90">
        <w:rPr>
          <w:sz w:val="18"/>
          <w:szCs w:val="18"/>
        </w:rPr>
        <w:t>asterix</w:t>
      </w:r>
      <w:proofErr w:type="spellEnd"/>
      <w:r w:rsidRPr="00775D90">
        <w:rPr>
          <w:sz w:val="18"/>
          <w:szCs w:val="18"/>
        </w:rPr>
        <w:t xml:space="preserve"> is </w:t>
      </w:r>
      <w:r w:rsidR="00092445" w:rsidRPr="00775D90">
        <w:rPr>
          <w:sz w:val="18"/>
          <w:szCs w:val="18"/>
        </w:rPr>
        <w:t>Bayu-</w:t>
      </w:r>
      <w:proofErr w:type="spellStart"/>
      <w:r w:rsidR="00092445" w:rsidRPr="00775D90">
        <w:rPr>
          <w:sz w:val="18"/>
          <w:szCs w:val="18"/>
        </w:rPr>
        <w:t>Undan</w:t>
      </w:r>
      <w:proofErr w:type="spellEnd"/>
      <w:r w:rsidR="00092445" w:rsidRPr="00775D90">
        <w:rPr>
          <w:sz w:val="18"/>
          <w:szCs w:val="18"/>
        </w:rPr>
        <w:t xml:space="preserve"> (BU): A former offshore gas field in the Timor sea, previously operated under a transitional treaty arrangement between Australia and Timor-Leste.</w:t>
      </w:r>
    </w:p>
    <w:p w14:paraId="45E94B8C" w14:textId="77777777" w:rsidR="00F109CF" w:rsidRDefault="00F109CF">
      <w:pPr>
        <w:spacing w:before="0" w:after="160" w:line="259" w:lineRule="auto"/>
      </w:pPr>
      <w:r>
        <w:br w:type="page"/>
      </w:r>
    </w:p>
    <w:p w14:paraId="0A7B48C9" w14:textId="7D734495" w:rsidR="004B1216" w:rsidRDefault="004B1216" w:rsidP="004B1216">
      <w:r w:rsidRPr="00777DD8">
        <w:lastRenderedPageBreak/>
        <w:t>The following charts (</w:t>
      </w:r>
      <w:r w:rsidR="00AF4B45" w:rsidRPr="001C1434">
        <w:t>f</w:t>
      </w:r>
      <w:r w:rsidRPr="001C1434">
        <w:t xml:space="preserve">igure </w:t>
      </w:r>
      <w:r w:rsidR="00C37A49">
        <w:t>6</w:t>
      </w:r>
      <w:r w:rsidRPr="001C1434">
        <w:t xml:space="preserve"> and </w:t>
      </w:r>
      <w:r w:rsidR="00AF4B45" w:rsidRPr="001C1434">
        <w:t>f</w:t>
      </w:r>
      <w:r w:rsidRPr="001C1434">
        <w:t xml:space="preserve">igure </w:t>
      </w:r>
      <w:r w:rsidR="00C37A49">
        <w:t>7</w:t>
      </w:r>
      <w:r w:rsidRPr="00777DD8">
        <w:t>) show a detailed breakdown by month of application types received</w:t>
      </w:r>
      <w:r w:rsidR="00AF4B45">
        <w:t xml:space="preserve">. </w:t>
      </w:r>
    </w:p>
    <w:p w14:paraId="25707EDA" w14:textId="77777777" w:rsidR="009633AA" w:rsidRDefault="005C3751" w:rsidP="009633AA">
      <w:pPr>
        <w:keepNext/>
      </w:pPr>
      <w:r w:rsidRPr="005C3751">
        <w:rPr>
          <w:noProof/>
        </w:rPr>
        <w:drawing>
          <wp:inline distT="0" distB="0" distL="0" distR="0" wp14:anchorId="53407B01" wp14:editId="317BB4C0">
            <wp:extent cx="5731510" cy="2829560"/>
            <wp:effectExtent l="0" t="0" r="2540" b="8890"/>
            <wp:docPr id="523416922" name="Picture 2" descr="Figure 6: Titles Administrator applications submitted in 2024-25' shows monthly trends in offshore petroleum applications submitted to the Titles Administrator over the reporting period. Access the full alt text description under figure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16922" name="Picture 2" descr="Figure 6: Titles Administrator applications submitted in 2024-25' shows monthly trends in offshore petroleum applications submitted to the Titles Administrator over the reporting period. Access the full alt text description under figure 5.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829560"/>
                    </a:xfrm>
                    <a:prstGeom prst="rect">
                      <a:avLst/>
                    </a:prstGeom>
                    <a:noFill/>
                    <a:ln>
                      <a:noFill/>
                    </a:ln>
                  </pic:spPr>
                </pic:pic>
              </a:graphicData>
            </a:graphic>
          </wp:inline>
        </w:drawing>
      </w:r>
    </w:p>
    <w:p w14:paraId="6BBBB831" w14:textId="2D639788" w:rsidR="005C3751" w:rsidRDefault="009633AA" w:rsidP="009633AA">
      <w:pPr>
        <w:pStyle w:val="Caption"/>
      </w:pPr>
      <w:bookmarkStart w:id="94" w:name="_Toc221884187"/>
      <w:bookmarkStart w:id="95" w:name="_Toc222316220"/>
      <w:r>
        <w:t xml:space="preserve">Figure </w:t>
      </w:r>
      <w:r>
        <w:fldChar w:fldCharType="begin"/>
      </w:r>
      <w:r>
        <w:instrText xml:space="preserve"> SEQ Figure \* ARABIC </w:instrText>
      </w:r>
      <w:r>
        <w:fldChar w:fldCharType="separate"/>
      </w:r>
      <w:r w:rsidR="00CF02F5">
        <w:rPr>
          <w:noProof/>
        </w:rPr>
        <w:t>6</w:t>
      </w:r>
      <w:r>
        <w:fldChar w:fldCharType="end"/>
      </w:r>
      <w:r w:rsidRPr="00ED0A81">
        <w:t>: Titles Administrator applications submitted in 2024-25</w:t>
      </w:r>
      <w:bookmarkEnd w:id="94"/>
      <w:bookmarkEnd w:id="95"/>
    </w:p>
    <w:p w14:paraId="3386E131" w14:textId="24E9B5C0" w:rsidR="0056230D" w:rsidRPr="001C1434" w:rsidRDefault="0056230D" w:rsidP="001C1434">
      <w:pPr>
        <w:ind w:left="720"/>
        <w:rPr>
          <w:sz w:val="20"/>
          <w:szCs w:val="20"/>
        </w:rPr>
      </w:pPr>
      <w:r w:rsidRPr="001C1434">
        <w:rPr>
          <w:b/>
          <w:bCs/>
          <w:sz w:val="20"/>
          <w:szCs w:val="20"/>
        </w:rPr>
        <w:t>Alternative text description:</w:t>
      </w:r>
      <w:r w:rsidRPr="001C1434">
        <w:rPr>
          <w:sz w:val="20"/>
          <w:szCs w:val="20"/>
        </w:rPr>
        <w:t xml:space="preserve"> ‘Figure </w:t>
      </w:r>
      <w:r w:rsidR="00C5403D">
        <w:rPr>
          <w:sz w:val="20"/>
          <w:szCs w:val="20"/>
        </w:rPr>
        <w:t>6</w:t>
      </w:r>
      <w:r w:rsidR="00C5403D" w:rsidRPr="001C1434">
        <w:rPr>
          <w:sz w:val="20"/>
          <w:szCs w:val="20"/>
        </w:rPr>
        <w:t xml:space="preserve"> </w:t>
      </w:r>
      <w:r w:rsidR="005B4433" w:rsidRPr="001C1434">
        <w:rPr>
          <w:sz w:val="20"/>
          <w:szCs w:val="20"/>
        </w:rPr>
        <w:t>bar chart</w:t>
      </w:r>
      <w:r w:rsidRPr="001C1434">
        <w:rPr>
          <w:sz w:val="20"/>
          <w:szCs w:val="20"/>
        </w:rPr>
        <w:t xml:space="preserve">: Titles Administrator applications submitted in 2024-25’ shows monthly trends in offshore petroleum applications submitted to the Titles Administrator over the reporting period. The x-axis spans months from July-June, while the y-axis represents the number of applications submitted. Each bar is stacked to show the breakdown by application type, using colour-coded segments. </w:t>
      </w:r>
    </w:p>
    <w:p w14:paraId="5879EE57" w14:textId="77777777" w:rsidR="0056230D" w:rsidRPr="001C1434" w:rsidRDefault="0056230D" w:rsidP="001C1434">
      <w:pPr>
        <w:ind w:left="720"/>
        <w:rPr>
          <w:sz w:val="20"/>
          <w:szCs w:val="20"/>
        </w:rPr>
      </w:pPr>
      <w:r w:rsidRPr="001C1434">
        <w:rPr>
          <w:sz w:val="20"/>
          <w:szCs w:val="20"/>
        </w:rPr>
        <w:t>The Titles Administrator application categories within the chart include:</w:t>
      </w:r>
    </w:p>
    <w:p w14:paraId="58B95BC4" w14:textId="629BB49A" w:rsidR="0056230D" w:rsidRPr="001C1434" w:rsidRDefault="009B0FCD" w:rsidP="003651D8">
      <w:pPr>
        <w:numPr>
          <w:ilvl w:val="0"/>
          <w:numId w:val="11"/>
        </w:numPr>
        <w:tabs>
          <w:tab w:val="clear" w:pos="720"/>
          <w:tab w:val="num" w:pos="1440"/>
        </w:tabs>
        <w:ind w:left="1440"/>
        <w:rPr>
          <w:sz w:val="20"/>
          <w:szCs w:val="20"/>
        </w:rPr>
      </w:pPr>
      <w:r w:rsidRPr="001C1434">
        <w:rPr>
          <w:sz w:val="20"/>
          <w:szCs w:val="20"/>
        </w:rPr>
        <w:t>t</w:t>
      </w:r>
      <w:r w:rsidR="0056230D" w:rsidRPr="001C1434">
        <w:rPr>
          <w:sz w:val="20"/>
          <w:szCs w:val="20"/>
        </w:rPr>
        <w:t>ransfers</w:t>
      </w:r>
    </w:p>
    <w:p w14:paraId="5A025813" w14:textId="7DEE1F9D" w:rsidR="0056230D" w:rsidRPr="001C1434" w:rsidRDefault="009B0FCD" w:rsidP="003651D8">
      <w:pPr>
        <w:numPr>
          <w:ilvl w:val="0"/>
          <w:numId w:val="11"/>
        </w:numPr>
        <w:tabs>
          <w:tab w:val="clear" w:pos="720"/>
          <w:tab w:val="num" w:pos="1440"/>
        </w:tabs>
        <w:ind w:left="1440"/>
        <w:rPr>
          <w:sz w:val="20"/>
          <w:szCs w:val="20"/>
        </w:rPr>
      </w:pPr>
      <w:r w:rsidRPr="001C1434">
        <w:rPr>
          <w:sz w:val="20"/>
          <w:szCs w:val="20"/>
        </w:rPr>
        <w:t>d</w:t>
      </w:r>
      <w:r w:rsidR="0056230D" w:rsidRPr="001C1434">
        <w:rPr>
          <w:sz w:val="20"/>
          <w:szCs w:val="20"/>
        </w:rPr>
        <w:t>ealings</w:t>
      </w:r>
    </w:p>
    <w:p w14:paraId="26F9C3FE" w14:textId="5D552511" w:rsidR="0056230D" w:rsidRPr="001C1434" w:rsidRDefault="009B0FCD" w:rsidP="003651D8">
      <w:pPr>
        <w:numPr>
          <w:ilvl w:val="0"/>
          <w:numId w:val="11"/>
        </w:numPr>
        <w:tabs>
          <w:tab w:val="clear" w:pos="720"/>
          <w:tab w:val="num" w:pos="1440"/>
        </w:tabs>
        <w:ind w:left="1440"/>
        <w:rPr>
          <w:sz w:val="20"/>
          <w:szCs w:val="20"/>
        </w:rPr>
      </w:pPr>
      <w:r w:rsidRPr="001C1434">
        <w:rPr>
          <w:sz w:val="20"/>
          <w:szCs w:val="20"/>
        </w:rPr>
        <w:t>c</w:t>
      </w:r>
      <w:r w:rsidR="0056230D" w:rsidRPr="001C1434">
        <w:rPr>
          <w:sz w:val="20"/>
          <w:szCs w:val="20"/>
        </w:rPr>
        <w:t xml:space="preserve">hange in </w:t>
      </w:r>
      <w:r w:rsidRPr="001C1434">
        <w:rPr>
          <w:sz w:val="20"/>
          <w:szCs w:val="20"/>
        </w:rPr>
        <w:t>c</w:t>
      </w:r>
      <w:r w:rsidR="0056230D" w:rsidRPr="001C1434">
        <w:rPr>
          <w:sz w:val="20"/>
          <w:szCs w:val="20"/>
        </w:rPr>
        <w:t>ontrol</w:t>
      </w:r>
    </w:p>
    <w:p w14:paraId="56E0C11D" w14:textId="36EF943B" w:rsidR="0056230D" w:rsidRPr="001C1434" w:rsidRDefault="009B0FCD" w:rsidP="003651D8">
      <w:pPr>
        <w:numPr>
          <w:ilvl w:val="0"/>
          <w:numId w:val="11"/>
        </w:numPr>
        <w:tabs>
          <w:tab w:val="clear" w:pos="720"/>
          <w:tab w:val="num" w:pos="1440"/>
        </w:tabs>
        <w:ind w:left="1440"/>
        <w:rPr>
          <w:sz w:val="20"/>
          <w:szCs w:val="20"/>
        </w:rPr>
      </w:pPr>
      <w:r w:rsidRPr="001C1434">
        <w:rPr>
          <w:sz w:val="20"/>
          <w:szCs w:val="20"/>
        </w:rPr>
        <w:t>c</w:t>
      </w:r>
      <w:r w:rsidR="0056230D" w:rsidRPr="001C1434">
        <w:rPr>
          <w:sz w:val="20"/>
          <w:szCs w:val="20"/>
        </w:rPr>
        <w:t xml:space="preserve">hange of </w:t>
      </w:r>
      <w:r w:rsidRPr="001C1434">
        <w:rPr>
          <w:sz w:val="20"/>
          <w:szCs w:val="20"/>
        </w:rPr>
        <w:t>c</w:t>
      </w:r>
      <w:r w:rsidR="0056230D" w:rsidRPr="001C1434">
        <w:rPr>
          <w:sz w:val="20"/>
          <w:szCs w:val="20"/>
        </w:rPr>
        <w:t xml:space="preserve">ompany </w:t>
      </w:r>
      <w:r w:rsidR="008F0BD9" w:rsidRPr="001C1434">
        <w:rPr>
          <w:sz w:val="20"/>
          <w:szCs w:val="20"/>
        </w:rPr>
        <w:t>n</w:t>
      </w:r>
      <w:r w:rsidR="0056230D" w:rsidRPr="001C1434">
        <w:rPr>
          <w:sz w:val="20"/>
          <w:szCs w:val="20"/>
        </w:rPr>
        <w:t>ame</w:t>
      </w:r>
    </w:p>
    <w:p w14:paraId="075D4736" w14:textId="19DA01E1" w:rsidR="0056230D" w:rsidRPr="001C1434" w:rsidRDefault="008F0BD9" w:rsidP="003651D8">
      <w:pPr>
        <w:numPr>
          <w:ilvl w:val="0"/>
          <w:numId w:val="11"/>
        </w:numPr>
        <w:tabs>
          <w:tab w:val="clear" w:pos="720"/>
          <w:tab w:val="num" w:pos="1440"/>
        </w:tabs>
        <w:ind w:left="1440"/>
        <w:rPr>
          <w:sz w:val="20"/>
          <w:szCs w:val="20"/>
        </w:rPr>
      </w:pPr>
      <w:r w:rsidRPr="001C1434">
        <w:rPr>
          <w:sz w:val="20"/>
          <w:szCs w:val="20"/>
        </w:rPr>
        <w:t>o</w:t>
      </w:r>
      <w:r w:rsidR="0056230D" w:rsidRPr="001C1434">
        <w:rPr>
          <w:sz w:val="20"/>
          <w:szCs w:val="20"/>
        </w:rPr>
        <w:t>ther</w:t>
      </w:r>
    </w:p>
    <w:p w14:paraId="208195A5" w14:textId="27CAAE85" w:rsidR="0056230D" w:rsidRPr="001C1434" w:rsidRDefault="008F0BD9" w:rsidP="003651D8">
      <w:pPr>
        <w:numPr>
          <w:ilvl w:val="0"/>
          <w:numId w:val="11"/>
        </w:numPr>
        <w:tabs>
          <w:tab w:val="clear" w:pos="720"/>
          <w:tab w:val="num" w:pos="1440"/>
        </w:tabs>
        <w:ind w:left="1440"/>
        <w:rPr>
          <w:sz w:val="20"/>
          <w:szCs w:val="20"/>
        </w:rPr>
      </w:pPr>
      <w:r w:rsidRPr="001C1434">
        <w:rPr>
          <w:sz w:val="20"/>
          <w:szCs w:val="20"/>
        </w:rPr>
        <w:t>a</w:t>
      </w:r>
      <w:r w:rsidR="0056230D" w:rsidRPr="001C1434">
        <w:rPr>
          <w:sz w:val="20"/>
          <w:szCs w:val="20"/>
        </w:rPr>
        <w:t xml:space="preserve">ccess </w:t>
      </w:r>
      <w:r w:rsidRPr="001C1434">
        <w:rPr>
          <w:sz w:val="20"/>
          <w:szCs w:val="20"/>
        </w:rPr>
        <w:t>a</w:t>
      </w:r>
      <w:r w:rsidR="0056230D" w:rsidRPr="001C1434">
        <w:rPr>
          <w:sz w:val="20"/>
          <w:szCs w:val="20"/>
        </w:rPr>
        <w:t>uthorities</w:t>
      </w:r>
    </w:p>
    <w:p w14:paraId="2656A92B" w14:textId="2BAB0427" w:rsidR="0056230D" w:rsidRPr="001C1434" w:rsidRDefault="008F0BD9" w:rsidP="003651D8">
      <w:pPr>
        <w:numPr>
          <w:ilvl w:val="0"/>
          <w:numId w:val="11"/>
        </w:numPr>
        <w:tabs>
          <w:tab w:val="clear" w:pos="720"/>
          <w:tab w:val="num" w:pos="1440"/>
        </w:tabs>
        <w:ind w:left="1440"/>
        <w:rPr>
          <w:sz w:val="20"/>
          <w:szCs w:val="20"/>
        </w:rPr>
      </w:pPr>
      <w:r w:rsidRPr="001C1434">
        <w:rPr>
          <w:sz w:val="20"/>
          <w:szCs w:val="20"/>
        </w:rPr>
        <w:t>l</w:t>
      </w:r>
      <w:r w:rsidR="0056230D" w:rsidRPr="001C1434">
        <w:rPr>
          <w:sz w:val="20"/>
          <w:szCs w:val="20"/>
        </w:rPr>
        <w:t xml:space="preserve">ocation </w:t>
      </w:r>
      <w:r w:rsidRPr="001C1434">
        <w:rPr>
          <w:sz w:val="20"/>
          <w:szCs w:val="20"/>
        </w:rPr>
        <w:t>e</w:t>
      </w:r>
      <w:r w:rsidR="0056230D" w:rsidRPr="001C1434">
        <w:rPr>
          <w:sz w:val="20"/>
          <w:szCs w:val="20"/>
        </w:rPr>
        <w:t>xtension</w:t>
      </w:r>
    </w:p>
    <w:p w14:paraId="73487EBA" w14:textId="02F684B6" w:rsidR="00A51210" w:rsidRPr="001C1434" w:rsidRDefault="0037276E" w:rsidP="00A95114">
      <w:pPr>
        <w:ind w:left="720"/>
        <w:rPr>
          <w:sz w:val="20"/>
          <w:szCs w:val="20"/>
        </w:rPr>
      </w:pPr>
      <w:r w:rsidRPr="00DC5FA7">
        <w:rPr>
          <w:sz w:val="20"/>
          <w:szCs w:val="20"/>
        </w:rPr>
        <w:t xml:space="preserve">* </w:t>
      </w:r>
      <w:r w:rsidR="00552BBA">
        <w:rPr>
          <w:sz w:val="20"/>
          <w:szCs w:val="20"/>
        </w:rPr>
        <w:t>a</w:t>
      </w:r>
      <w:r w:rsidR="0056230D" w:rsidRPr="001C1434">
        <w:rPr>
          <w:sz w:val="20"/>
          <w:szCs w:val="20"/>
        </w:rPr>
        <w:t xml:space="preserve"> single</w:t>
      </w:r>
      <w:r w:rsidRPr="00DC5FA7">
        <w:rPr>
          <w:sz w:val="20"/>
          <w:szCs w:val="20"/>
        </w:rPr>
        <w:t xml:space="preserve"> </w:t>
      </w:r>
      <w:proofErr w:type="spellStart"/>
      <w:r w:rsidRPr="00DC5FA7">
        <w:rPr>
          <w:sz w:val="20"/>
          <w:szCs w:val="20"/>
        </w:rPr>
        <w:t>asterix</w:t>
      </w:r>
      <w:proofErr w:type="spellEnd"/>
      <w:r w:rsidRPr="00DC5FA7">
        <w:rPr>
          <w:sz w:val="20"/>
          <w:szCs w:val="20"/>
        </w:rPr>
        <w:t xml:space="preserve"> </w:t>
      </w:r>
      <w:r w:rsidR="0056230D" w:rsidRPr="001C1434">
        <w:rPr>
          <w:sz w:val="20"/>
          <w:szCs w:val="20"/>
        </w:rPr>
        <w:t xml:space="preserve">footnote </w:t>
      </w:r>
      <w:r w:rsidR="00F05AD7">
        <w:rPr>
          <w:sz w:val="20"/>
          <w:szCs w:val="20"/>
        </w:rPr>
        <w:t>on</w:t>
      </w:r>
      <w:r w:rsidR="0056230D" w:rsidRPr="001C1434">
        <w:rPr>
          <w:sz w:val="20"/>
          <w:szCs w:val="20"/>
        </w:rPr>
        <w:t xml:space="preserve"> the </w:t>
      </w:r>
      <w:r w:rsidR="00F41D2C" w:rsidRPr="001C1434">
        <w:rPr>
          <w:sz w:val="20"/>
          <w:szCs w:val="20"/>
        </w:rPr>
        <w:t>‘</w:t>
      </w:r>
      <w:r w:rsidR="0056230D" w:rsidRPr="001C1434">
        <w:rPr>
          <w:sz w:val="20"/>
          <w:szCs w:val="20"/>
        </w:rPr>
        <w:t>Other</w:t>
      </w:r>
      <w:r w:rsidR="00F41D2C" w:rsidRPr="001C1434">
        <w:rPr>
          <w:sz w:val="20"/>
          <w:szCs w:val="20"/>
        </w:rPr>
        <w:t>’</w:t>
      </w:r>
      <w:r w:rsidR="0056230D" w:rsidRPr="001C1434">
        <w:rPr>
          <w:sz w:val="20"/>
          <w:szCs w:val="20"/>
        </w:rPr>
        <w:t xml:space="preserve"> category is an aggregated segment for less frequent application submissions, including Credit and Extension of time to Lodge Renewal. </w:t>
      </w:r>
    </w:p>
    <w:p w14:paraId="30AD9D19" w14:textId="10BB876F" w:rsidR="00553F07" w:rsidRPr="00CE383F" w:rsidRDefault="00553F07" w:rsidP="00080382">
      <w:r w:rsidRPr="00CE383F">
        <w:t xml:space="preserve">March 2025 shows the highest volume of application submissions, driven by a surge of </w:t>
      </w:r>
      <w:r w:rsidR="00EC7E4B" w:rsidRPr="00CE383F">
        <w:t>d</w:t>
      </w:r>
      <w:r w:rsidRPr="00CE383F">
        <w:t>ealing applications. July and January recorded the lowest activity respectively, with minimal submissions across all categories.</w:t>
      </w:r>
    </w:p>
    <w:p w14:paraId="70FA6ABB" w14:textId="77777777" w:rsidR="007D5348" w:rsidRDefault="00DD21F0" w:rsidP="007D5348">
      <w:pPr>
        <w:keepNext/>
      </w:pPr>
      <w:r w:rsidRPr="00DD21F0">
        <w:rPr>
          <w:noProof/>
        </w:rPr>
        <w:lastRenderedPageBreak/>
        <w:drawing>
          <wp:inline distT="0" distB="0" distL="0" distR="0" wp14:anchorId="5A169A21" wp14:editId="0BD662F7">
            <wp:extent cx="5731510" cy="2917190"/>
            <wp:effectExtent l="0" t="0" r="2540" b="0"/>
            <wp:docPr id="1196864333" name="Picture 4" descr="This bar chart, titled 'Figure 7: Joint Authority applications submitted in 2024-25', shows monthly trends in offshore petroleum applications submitted to the Joint Authority over the reporting period. Access the full alt text description under figure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64333" name="Picture 4" descr="This bar chart, titled 'Figure 7: Joint Authority applications submitted in 2024-25', shows monthly trends in offshore petroleum applications submitted to the Joint Authority over the reporting period. Access the full alt text description under figure 6.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917190"/>
                    </a:xfrm>
                    <a:prstGeom prst="rect">
                      <a:avLst/>
                    </a:prstGeom>
                    <a:noFill/>
                    <a:ln>
                      <a:noFill/>
                    </a:ln>
                  </pic:spPr>
                </pic:pic>
              </a:graphicData>
            </a:graphic>
          </wp:inline>
        </w:drawing>
      </w:r>
    </w:p>
    <w:p w14:paraId="625DC22E" w14:textId="026C9AA2" w:rsidR="00AD222B" w:rsidRDefault="007D5348" w:rsidP="007D5348">
      <w:pPr>
        <w:pStyle w:val="Caption"/>
      </w:pPr>
      <w:bookmarkStart w:id="96" w:name="_Toc221884188"/>
      <w:bookmarkStart w:id="97" w:name="_Toc222316221"/>
      <w:r>
        <w:t xml:space="preserve">Figure </w:t>
      </w:r>
      <w:r>
        <w:fldChar w:fldCharType="begin"/>
      </w:r>
      <w:r>
        <w:instrText xml:space="preserve"> SEQ Figure \* ARABIC </w:instrText>
      </w:r>
      <w:r>
        <w:fldChar w:fldCharType="separate"/>
      </w:r>
      <w:r w:rsidR="00CF02F5">
        <w:rPr>
          <w:noProof/>
        </w:rPr>
        <w:t>7</w:t>
      </w:r>
      <w:r>
        <w:fldChar w:fldCharType="end"/>
      </w:r>
      <w:r>
        <w:t>:</w:t>
      </w:r>
      <w:r w:rsidR="00B13413">
        <w:t xml:space="preserve"> </w:t>
      </w:r>
      <w:r w:rsidRPr="0020574E">
        <w:t>Joint Authority applications submitted in 2024-25</w:t>
      </w:r>
      <w:bookmarkEnd w:id="96"/>
      <w:bookmarkEnd w:id="97"/>
    </w:p>
    <w:p w14:paraId="0B50EC4E" w14:textId="77777777" w:rsidR="00740F5A" w:rsidRPr="00FC2EF0" w:rsidRDefault="00740F5A" w:rsidP="00740F5A">
      <w:pPr>
        <w:spacing w:after="0"/>
        <w:rPr>
          <w:sz w:val="18"/>
          <w:szCs w:val="18"/>
        </w:rPr>
      </w:pPr>
      <w:r w:rsidRPr="00FC2EF0">
        <w:rPr>
          <w:sz w:val="18"/>
          <w:szCs w:val="18"/>
        </w:rPr>
        <w:t>* includes Suspensions, Extensions, Variations and Exemptions</w:t>
      </w:r>
    </w:p>
    <w:p w14:paraId="3A862A01" w14:textId="77777777" w:rsidR="00740F5A" w:rsidRPr="00FC2EF0" w:rsidRDefault="00740F5A" w:rsidP="00740F5A">
      <w:pPr>
        <w:spacing w:after="0"/>
        <w:rPr>
          <w:sz w:val="18"/>
          <w:szCs w:val="18"/>
        </w:rPr>
      </w:pPr>
      <w:r w:rsidRPr="00FC2EF0">
        <w:rPr>
          <w:sz w:val="18"/>
          <w:szCs w:val="18"/>
        </w:rPr>
        <w:t>** includes Cancellation, Cease to Operate - Temporary, Equipment &amp; Procedures, Field Development Plan, Rate of Recovery</w:t>
      </w:r>
    </w:p>
    <w:p w14:paraId="48062EA5" w14:textId="631EEE28" w:rsidR="00740F5A" w:rsidRPr="00FC2EF0" w:rsidRDefault="00740F5A" w:rsidP="00740F5A">
      <w:pPr>
        <w:spacing w:after="0"/>
        <w:rPr>
          <w:sz w:val="18"/>
          <w:szCs w:val="18"/>
        </w:rPr>
      </w:pPr>
      <w:r w:rsidRPr="00FC2EF0">
        <w:rPr>
          <w:sz w:val="18"/>
          <w:szCs w:val="18"/>
        </w:rPr>
        <w:t>*** includes Declaration of Location and Location Revocation</w:t>
      </w:r>
      <w:r w:rsidR="006C737A">
        <w:rPr>
          <w:sz w:val="18"/>
          <w:szCs w:val="18"/>
        </w:rPr>
        <w:t>.</w:t>
      </w:r>
    </w:p>
    <w:p w14:paraId="5F3E0333" w14:textId="5AE6F906" w:rsidR="00097B47" w:rsidRPr="007D5348" w:rsidRDefault="00097B47" w:rsidP="008D6895">
      <w:pPr>
        <w:ind w:left="720"/>
        <w:rPr>
          <w:sz w:val="20"/>
          <w:szCs w:val="20"/>
        </w:rPr>
      </w:pPr>
      <w:r w:rsidRPr="007D5348">
        <w:rPr>
          <w:b/>
          <w:bCs/>
          <w:sz w:val="20"/>
          <w:szCs w:val="20"/>
        </w:rPr>
        <w:t xml:space="preserve">Alternative text description: </w:t>
      </w:r>
      <w:r w:rsidR="00175CD1" w:rsidRPr="007D5348">
        <w:rPr>
          <w:sz w:val="20"/>
          <w:szCs w:val="20"/>
        </w:rPr>
        <w:t>‘</w:t>
      </w:r>
      <w:r w:rsidR="0013399C">
        <w:rPr>
          <w:sz w:val="20"/>
          <w:szCs w:val="20"/>
        </w:rPr>
        <w:t>Vertical bar chart</w:t>
      </w:r>
      <w:r w:rsidRPr="007D5348">
        <w:rPr>
          <w:sz w:val="20"/>
          <w:szCs w:val="20"/>
        </w:rPr>
        <w:t xml:space="preserve"> </w:t>
      </w:r>
      <w:r w:rsidR="00CE4362" w:rsidRPr="007D5348">
        <w:rPr>
          <w:sz w:val="20"/>
          <w:szCs w:val="20"/>
        </w:rPr>
        <w:t>shows</w:t>
      </w:r>
      <w:r w:rsidR="0013399C">
        <w:rPr>
          <w:sz w:val="20"/>
          <w:szCs w:val="20"/>
        </w:rPr>
        <w:t>:</w:t>
      </w:r>
      <w:r w:rsidRPr="007D5348">
        <w:rPr>
          <w:sz w:val="20"/>
          <w:szCs w:val="20"/>
        </w:rPr>
        <w:t xml:space="preserve"> monthly trends in offshore petroleum applications submitted to the Joint Authority over the reporting period. The x-axis spans months from July-June, while the y-axis represents the number of applications submitted. Each bar is stacked to show the breakdown by application type, using colour-coded segments. </w:t>
      </w:r>
    </w:p>
    <w:p w14:paraId="690DB00A" w14:textId="77777777" w:rsidR="00097B47" w:rsidRPr="007D5348" w:rsidRDefault="00097B47" w:rsidP="008D6895">
      <w:pPr>
        <w:ind w:left="720"/>
        <w:rPr>
          <w:sz w:val="20"/>
          <w:szCs w:val="20"/>
        </w:rPr>
      </w:pPr>
      <w:r w:rsidRPr="007D5348">
        <w:rPr>
          <w:sz w:val="20"/>
          <w:szCs w:val="20"/>
        </w:rPr>
        <w:t>The Joint Authority application categories within the chart include:</w:t>
      </w:r>
    </w:p>
    <w:p w14:paraId="4D275AC8" w14:textId="77777777" w:rsidR="00097B47" w:rsidRPr="007D5348" w:rsidRDefault="00097B47" w:rsidP="003651D8">
      <w:pPr>
        <w:numPr>
          <w:ilvl w:val="0"/>
          <w:numId w:val="12"/>
        </w:numPr>
        <w:tabs>
          <w:tab w:val="clear" w:pos="720"/>
          <w:tab w:val="num" w:pos="1440"/>
        </w:tabs>
        <w:ind w:left="1440"/>
        <w:rPr>
          <w:sz w:val="20"/>
          <w:szCs w:val="20"/>
        </w:rPr>
      </w:pPr>
      <w:r w:rsidRPr="007D5348">
        <w:rPr>
          <w:sz w:val="20"/>
          <w:szCs w:val="20"/>
        </w:rPr>
        <w:t>SEVE</w:t>
      </w:r>
    </w:p>
    <w:p w14:paraId="79D27AC0" w14:textId="77777777" w:rsidR="00097B47" w:rsidRPr="007D5348" w:rsidRDefault="00097B47" w:rsidP="003651D8">
      <w:pPr>
        <w:numPr>
          <w:ilvl w:val="0"/>
          <w:numId w:val="12"/>
        </w:numPr>
        <w:tabs>
          <w:tab w:val="clear" w:pos="720"/>
          <w:tab w:val="num" w:pos="1440"/>
        </w:tabs>
        <w:ind w:left="1440"/>
        <w:rPr>
          <w:sz w:val="20"/>
          <w:szCs w:val="20"/>
        </w:rPr>
      </w:pPr>
      <w:r w:rsidRPr="007D5348">
        <w:rPr>
          <w:sz w:val="20"/>
          <w:szCs w:val="20"/>
        </w:rPr>
        <w:t>Other</w:t>
      </w:r>
    </w:p>
    <w:p w14:paraId="1ABC1EA0" w14:textId="77777777" w:rsidR="00097B47" w:rsidRPr="007D5348" w:rsidRDefault="00097B47" w:rsidP="003651D8">
      <w:pPr>
        <w:numPr>
          <w:ilvl w:val="0"/>
          <w:numId w:val="12"/>
        </w:numPr>
        <w:tabs>
          <w:tab w:val="clear" w:pos="720"/>
          <w:tab w:val="num" w:pos="1440"/>
        </w:tabs>
        <w:ind w:left="1440"/>
        <w:rPr>
          <w:sz w:val="20"/>
          <w:szCs w:val="20"/>
        </w:rPr>
      </w:pPr>
      <w:r w:rsidRPr="007D5348">
        <w:rPr>
          <w:sz w:val="20"/>
          <w:szCs w:val="20"/>
        </w:rPr>
        <w:t>Grant/Renewal</w:t>
      </w:r>
    </w:p>
    <w:p w14:paraId="3DEF91CE" w14:textId="77777777" w:rsidR="00097B47" w:rsidRPr="007D5348" w:rsidRDefault="00097B47" w:rsidP="003651D8">
      <w:pPr>
        <w:numPr>
          <w:ilvl w:val="0"/>
          <w:numId w:val="12"/>
        </w:numPr>
        <w:tabs>
          <w:tab w:val="clear" w:pos="720"/>
          <w:tab w:val="num" w:pos="1440"/>
        </w:tabs>
        <w:ind w:left="1440"/>
        <w:rPr>
          <w:sz w:val="20"/>
          <w:szCs w:val="20"/>
        </w:rPr>
      </w:pPr>
      <w:r w:rsidRPr="007D5348">
        <w:rPr>
          <w:sz w:val="20"/>
          <w:szCs w:val="20"/>
        </w:rPr>
        <w:t>Surrender</w:t>
      </w:r>
    </w:p>
    <w:p w14:paraId="2AB94FB9" w14:textId="77777777" w:rsidR="00097B47" w:rsidRPr="007D5348" w:rsidRDefault="00097B47" w:rsidP="003651D8">
      <w:pPr>
        <w:numPr>
          <w:ilvl w:val="0"/>
          <w:numId w:val="12"/>
        </w:numPr>
        <w:tabs>
          <w:tab w:val="clear" w:pos="720"/>
          <w:tab w:val="num" w:pos="1440"/>
        </w:tabs>
        <w:ind w:left="1440"/>
        <w:rPr>
          <w:sz w:val="20"/>
          <w:szCs w:val="20"/>
        </w:rPr>
      </w:pPr>
      <w:r w:rsidRPr="007D5348">
        <w:rPr>
          <w:sz w:val="20"/>
          <w:szCs w:val="20"/>
        </w:rPr>
        <w:t>Location</w:t>
      </w:r>
    </w:p>
    <w:p w14:paraId="7F8F2275" w14:textId="34A35929" w:rsidR="00697C34" w:rsidRPr="007D5348" w:rsidRDefault="00396A22" w:rsidP="003651D8">
      <w:pPr>
        <w:numPr>
          <w:ilvl w:val="0"/>
          <w:numId w:val="12"/>
        </w:numPr>
        <w:tabs>
          <w:tab w:val="clear" w:pos="720"/>
          <w:tab w:val="num" w:pos="1440"/>
        </w:tabs>
        <w:ind w:left="1440"/>
        <w:rPr>
          <w:sz w:val="20"/>
          <w:szCs w:val="20"/>
        </w:rPr>
      </w:pPr>
      <w:r>
        <w:rPr>
          <w:sz w:val="20"/>
          <w:szCs w:val="20"/>
        </w:rPr>
        <w:t>Pipeline Licence Variation</w:t>
      </w:r>
      <w:r w:rsidR="006C737A">
        <w:rPr>
          <w:sz w:val="20"/>
          <w:szCs w:val="20"/>
        </w:rPr>
        <w:t>.</w:t>
      </w:r>
      <w:r>
        <w:rPr>
          <w:sz w:val="20"/>
          <w:szCs w:val="20"/>
        </w:rPr>
        <w:t xml:space="preserve"> </w:t>
      </w:r>
    </w:p>
    <w:p w14:paraId="2234356A" w14:textId="77777777" w:rsidR="00097B47" w:rsidRPr="007D5348" w:rsidRDefault="00097B47" w:rsidP="008D6895">
      <w:pPr>
        <w:ind w:left="720"/>
        <w:rPr>
          <w:sz w:val="20"/>
          <w:szCs w:val="20"/>
        </w:rPr>
      </w:pPr>
      <w:r w:rsidRPr="007D5348">
        <w:rPr>
          <w:sz w:val="20"/>
          <w:szCs w:val="20"/>
        </w:rPr>
        <w:t>Three footnotes clarify aggregated application types:</w:t>
      </w:r>
    </w:p>
    <w:p w14:paraId="47F1E8BE" w14:textId="787DEE80" w:rsidR="00097B47" w:rsidRPr="000545BD" w:rsidRDefault="00853307" w:rsidP="000545BD">
      <w:pPr>
        <w:pStyle w:val="Alttextbullets"/>
      </w:pPr>
      <w:r w:rsidRPr="00D153C4">
        <w:t>‘</w:t>
      </w:r>
      <w:r w:rsidR="00097B47" w:rsidRPr="000545BD">
        <w:t>SEVE</w:t>
      </w:r>
      <w:r w:rsidRPr="000545BD">
        <w:t>’</w:t>
      </w:r>
      <w:r w:rsidR="008776DE">
        <w:t xml:space="preserve">, denoted by an </w:t>
      </w:r>
      <w:proofErr w:type="spellStart"/>
      <w:r w:rsidR="000E6729">
        <w:t>asterix</w:t>
      </w:r>
      <w:proofErr w:type="spellEnd"/>
      <w:r w:rsidR="000E6729">
        <w:t xml:space="preserve"> *</w:t>
      </w:r>
      <w:r w:rsidR="00381F31" w:rsidRPr="000545BD">
        <w:t>stands for</w:t>
      </w:r>
      <w:r w:rsidR="00097B47" w:rsidRPr="000545BD">
        <w:t xml:space="preserve"> </w:t>
      </w:r>
      <w:r w:rsidR="00116F32" w:rsidRPr="000545BD">
        <w:t>s</w:t>
      </w:r>
      <w:r w:rsidR="00097B47" w:rsidRPr="000545BD">
        <w:t xml:space="preserve">uspensions, </w:t>
      </w:r>
      <w:r w:rsidR="00116F32" w:rsidRPr="000545BD">
        <w:t>e</w:t>
      </w:r>
      <w:r w:rsidR="00097B47" w:rsidRPr="000545BD">
        <w:t xml:space="preserve">xtensions, </w:t>
      </w:r>
      <w:r w:rsidR="00116F32" w:rsidRPr="000545BD">
        <w:t>v</w:t>
      </w:r>
      <w:r w:rsidR="00097B47" w:rsidRPr="000545BD">
        <w:t xml:space="preserve">ariations and </w:t>
      </w:r>
      <w:r w:rsidR="00116F32" w:rsidRPr="000545BD">
        <w:t>e</w:t>
      </w:r>
      <w:r w:rsidR="00097B47" w:rsidRPr="000545BD">
        <w:t>xemptions</w:t>
      </w:r>
    </w:p>
    <w:p w14:paraId="267A9492" w14:textId="5786C118" w:rsidR="00097B47" w:rsidRPr="000545BD" w:rsidRDefault="00381F31" w:rsidP="000545BD">
      <w:pPr>
        <w:pStyle w:val="Alttextbullets"/>
      </w:pPr>
      <w:r w:rsidRPr="000545BD">
        <w:t>‘</w:t>
      </w:r>
      <w:r w:rsidR="00097B47" w:rsidRPr="000545BD">
        <w:t>Other</w:t>
      </w:r>
      <w:r w:rsidRPr="000545BD">
        <w:t>’</w:t>
      </w:r>
      <w:r w:rsidR="00F44150">
        <w:t xml:space="preserve"> </w:t>
      </w:r>
      <w:r w:rsidR="00580904">
        <w:t>denoted by a double **</w:t>
      </w:r>
      <w:r w:rsidR="00097B47" w:rsidRPr="000545BD">
        <w:t xml:space="preserve"> includes </w:t>
      </w:r>
      <w:r w:rsidR="00FF3607" w:rsidRPr="000545BD">
        <w:t>c</w:t>
      </w:r>
      <w:r w:rsidR="00097B47" w:rsidRPr="000545BD">
        <w:t xml:space="preserve">ancellation, </w:t>
      </w:r>
      <w:r w:rsidR="00FF3607" w:rsidRPr="000545BD">
        <w:t>c</w:t>
      </w:r>
      <w:r w:rsidR="00097B47" w:rsidRPr="000545BD">
        <w:t xml:space="preserve">ease to </w:t>
      </w:r>
      <w:r w:rsidR="00FF3607" w:rsidRPr="000545BD">
        <w:t>o</w:t>
      </w:r>
      <w:r w:rsidR="00097B47" w:rsidRPr="000545BD">
        <w:t xml:space="preserve">perate - </w:t>
      </w:r>
      <w:r w:rsidR="00FF3607" w:rsidRPr="000545BD">
        <w:t>t</w:t>
      </w:r>
      <w:r w:rsidR="00097B47" w:rsidRPr="000545BD">
        <w:t xml:space="preserve">emporary, </w:t>
      </w:r>
      <w:r w:rsidR="00FF3607" w:rsidRPr="000545BD">
        <w:t>e</w:t>
      </w:r>
      <w:r w:rsidR="00097B47" w:rsidRPr="000545BD">
        <w:t xml:space="preserve">quipment &amp; </w:t>
      </w:r>
      <w:r w:rsidR="00FF3607" w:rsidRPr="000545BD">
        <w:t>p</w:t>
      </w:r>
      <w:r w:rsidR="00097B47" w:rsidRPr="000545BD">
        <w:t xml:space="preserve">rocedures, </w:t>
      </w:r>
      <w:r w:rsidR="00222BFF" w:rsidRPr="000545BD">
        <w:t>f</w:t>
      </w:r>
      <w:r w:rsidR="00097B47" w:rsidRPr="000545BD">
        <w:t xml:space="preserve">ield </w:t>
      </w:r>
      <w:r w:rsidR="00222BFF" w:rsidRPr="000545BD">
        <w:t>d</w:t>
      </w:r>
      <w:r w:rsidR="00097B47" w:rsidRPr="000545BD">
        <w:t xml:space="preserve">evelopment </w:t>
      </w:r>
      <w:r w:rsidR="00222BFF" w:rsidRPr="000545BD">
        <w:t>p</w:t>
      </w:r>
      <w:r w:rsidR="00097B47" w:rsidRPr="000545BD">
        <w:t xml:space="preserve">lan and </w:t>
      </w:r>
      <w:r w:rsidR="00222BFF" w:rsidRPr="000545BD">
        <w:t>r</w:t>
      </w:r>
      <w:r w:rsidR="00097B47" w:rsidRPr="000545BD">
        <w:t xml:space="preserve">ate of </w:t>
      </w:r>
      <w:r w:rsidR="00222BFF" w:rsidRPr="000545BD">
        <w:t>r</w:t>
      </w:r>
      <w:r w:rsidR="00097B47" w:rsidRPr="000545BD">
        <w:t>ecovery</w:t>
      </w:r>
    </w:p>
    <w:p w14:paraId="47A26CD2" w14:textId="3432BB80" w:rsidR="00097B47" w:rsidRPr="00D153C4" w:rsidRDefault="00381F31" w:rsidP="000545BD">
      <w:pPr>
        <w:pStyle w:val="Alttextbullets"/>
      </w:pPr>
      <w:r w:rsidRPr="000545BD">
        <w:t>‘</w:t>
      </w:r>
      <w:r w:rsidR="00097B47" w:rsidRPr="000545BD">
        <w:t>Location</w:t>
      </w:r>
      <w:r w:rsidRPr="000545BD">
        <w:t>’</w:t>
      </w:r>
      <w:r w:rsidR="00097B47" w:rsidRPr="00D153C4">
        <w:t xml:space="preserve"> </w:t>
      </w:r>
      <w:r w:rsidR="006E31CB">
        <w:t>denoted by 3 ***</w:t>
      </w:r>
      <w:r w:rsidR="00097B47" w:rsidRPr="00D153C4">
        <w:t xml:space="preserve"> includes </w:t>
      </w:r>
      <w:r w:rsidR="00222BFF" w:rsidRPr="00D153C4">
        <w:t>d</w:t>
      </w:r>
      <w:r w:rsidR="00097B47" w:rsidRPr="00D153C4">
        <w:t xml:space="preserve">eclaration of </w:t>
      </w:r>
      <w:r w:rsidR="00222BFF" w:rsidRPr="00D153C4">
        <w:t>l</w:t>
      </w:r>
      <w:r w:rsidR="00097B47" w:rsidRPr="00D153C4">
        <w:t xml:space="preserve">ocation and </w:t>
      </w:r>
      <w:r w:rsidR="004857DD" w:rsidRPr="00D153C4">
        <w:t>l</w:t>
      </w:r>
      <w:r w:rsidR="00097B47" w:rsidRPr="00D153C4">
        <w:t xml:space="preserve">ocation </w:t>
      </w:r>
      <w:r w:rsidR="004857DD" w:rsidRPr="00D153C4">
        <w:t>r</w:t>
      </w:r>
      <w:r w:rsidR="00097B47" w:rsidRPr="00D153C4">
        <w:t>evocation.</w:t>
      </w:r>
    </w:p>
    <w:p w14:paraId="12D231F7" w14:textId="6323F218" w:rsidR="008D6895" w:rsidRPr="00580DA0" w:rsidRDefault="008D6895" w:rsidP="008D6895">
      <w:r w:rsidRPr="00580DA0">
        <w:t>Joint Authority application submissions remained consistent across the reporting period</w:t>
      </w:r>
      <w:r w:rsidR="00DC6440">
        <w:t>,</w:t>
      </w:r>
      <w:r w:rsidRPr="00580DA0">
        <w:t xml:space="preserve"> and comprised mostly of </w:t>
      </w:r>
      <w:r w:rsidR="00DC6440">
        <w:t>s</w:t>
      </w:r>
      <w:r w:rsidRPr="00580DA0">
        <w:t xml:space="preserve">uspension, </w:t>
      </w:r>
      <w:r w:rsidR="00DC6440">
        <w:t>e</w:t>
      </w:r>
      <w:r w:rsidRPr="00580DA0">
        <w:t xml:space="preserve">xtension, </w:t>
      </w:r>
      <w:r w:rsidR="00DC6440">
        <w:t>v</w:t>
      </w:r>
      <w:r w:rsidRPr="00580DA0">
        <w:t xml:space="preserve">ariation and </w:t>
      </w:r>
      <w:r w:rsidR="00DC6440">
        <w:t>e</w:t>
      </w:r>
      <w:r w:rsidRPr="00580DA0">
        <w:t>xemption (</w:t>
      </w:r>
      <w:r w:rsidRPr="00314D6B">
        <w:t>SEVE)</w:t>
      </w:r>
      <w:r w:rsidRPr="00580DA0">
        <w:t xml:space="preserve">, and </w:t>
      </w:r>
      <w:r w:rsidR="004B26A7">
        <w:t>i</w:t>
      </w:r>
      <w:r w:rsidRPr="00580DA0">
        <w:t xml:space="preserve">nitial </w:t>
      </w:r>
      <w:r w:rsidR="004B26A7">
        <w:t>g</w:t>
      </w:r>
      <w:r w:rsidRPr="00580DA0">
        <w:t>rant/</w:t>
      </w:r>
      <w:r w:rsidR="004B26A7">
        <w:t>r</w:t>
      </w:r>
      <w:r w:rsidRPr="00580DA0">
        <w:t xml:space="preserve">enewal applications. Of these </w:t>
      </w:r>
      <w:r w:rsidR="00B45219">
        <w:t>i</w:t>
      </w:r>
      <w:r w:rsidRPr="00580DA0">
        <w:t xml:space="preserve">nitial </w:t>
      </w:r>
      <w:r w:rsidR="00B45219">
        <w:t>g</w:t>
      </w:r>
      <w:r w:rsidRPr="00580DA0">
        <w:t>rant/</w:t>
      </w:r>
      <w:r w:rsidR="00B45219">
        <w:t>r</w:t>
      </w:r>
      <w:r w:rsidRPr="00580DA0">
        <w:t xml:space="preserve">enewal applications, 70% of these involved </w:t>
      </w:r>
      <w:r w:rsidR="00B45219">
        <w:t>r</w:t>
      </w:r>
      <w:r w:rsidRPr="00580DA0">
        <w:t xml:space="preserve">etention </w:t>
      </w:r>
      <w:r w:rsidR="00B45219">
        <w:t>l</w:t>
      </w:r>
      <w:r w:rsidRPr="00580DA0">
        <w:t>eases</w:t>
      </w:r>
      <w:r>
        <w:t>.</w:t>
      </w:r>
    </w:p>
    <w:p w14:paraId="750B74FB" w14:textId="77777777" w:rsidR="00DF2D23" w:rsidRDefault="00DF2D23">
      <w:pPr>
        <w:spacing w:before="0" w:after="160" w:line="259" w:lineRule="auto"/>
      </w:pPr>
      <w:r>
        <w:br w:type="page"/>
      </w:r>
    </w:p>
    <w:p w14:paraId="76AB064A" w14:textId="6B6DD977" w:rsidR="008D6895" w:rsidRPr="00580DA0" w:rsidRDefault="008D6895" w:rsidP="008D6895">
      <w:r w:rsidRPr="00580DA0">
        <w:lastRenderedPageBreak/>
        <w:t xml:space="preserve">Figure </w:t>
      </w:r>
      <w:r w:rsidR="00F57644">
        <w:t>8</w:t>
      </w:r>
      <w:r w:rsidRPr="00580DA0">
        <w:t xml:space="preserve"> below shows total application submissions annually over the last 5 reporting periods.</w:t>
      </w:r>
    </w:p>
    <w:p w14:paraId="69297F51" w14:textId="77777777" w:rsidR="00B13413" w:rsidRDefault="00C025B9" w:rsidP="00B13413">
      <w:pPr>
        <w:keepNext/>
      </w:pPr>
      <w:r w:rsidRPr="00C025B9">
        <w:rPr>
          <w:noProof/>
        </w:rPr>
        <w:drawing>
          <wp:inline distT="0" distB="0" distL="0" distR="0" wp14:anchorId="3E16BBD0" wp14:editId="6A3558AA">
            <wp:extent cx="5731510" cy="3528060"/>
            <wp:effectExtent l="0" t="0" r="2540" b="0"/>
            <wp:docPr id="1108928189" name="Picture 6" descr="This vertical bar chart, titled 'figure 8: total petroleum applications submitted from 2020-21 to 2024-25'. Access the full alt text description under figure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28189" name="Picture 6" descr="This vertical bar chart, titled 'figure 8: total petroleum applications submitted from 2020-21 to 2024-25'. Access the full alt text description under figure 7.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528060"/>
                    </a:xfrm>
                    <a:prstGeom prst="rect">
                      <a:avLst/>
                    </a:prstGeom>
                    <a:noFill/>
                    <a:ln>
                      <a:noFill/>
                    </a:ln>
                  </pic:spPr>
                </pic:pic>
              </a:graphicData>
            </a:graphic>
          </wp:inline>
        </w:drawing>
      </w:r>
    </w:p>
    <w:p w14:paraId="0A3AED01" w14:textId="154C1466" w:rsidR="004B694C" w:rsidRDefault="00B13413" w:rsidP="00CE5626">
      <w:pPr>
        <w:pStyle w:val="Caption"/>
      </w:pPr>
      <w:bookmarkStart w:id="98" w:name="_Toc221884189"/>
      <w:bookmarkStart w:id="99" w:name="_Toc222316222"/>
      <w:r>
        <w:t xml:space="preserve">Figure </w:t>
      </w:r>
      <w:r>
        <w:fldChar w:fldCharType="begin"/>
      </w:r>
      <w:r>
        <w:instrText xml:space="preserve"> SEQ Figure \* ARABIC </w:instrText>
      </w:r>
      <w:r>
        <w:fldChar w:fldCharType="separate"/>
      </w:r>
      <w:r w:rsidR="00CF02F5">
        <w:rPr>
          <w:noProof/>
        </w:rPr>
        <w:t>8</w:t>
      </w:r>
      <w:r>
        <w:fldChar w:fldCharType="end"/>
      </w:r>
      <w:r>
        <w:t xml:space="preserve">: </w:t>
      </w:r>
      <w:r w:rsidRPr="00A91B1A">
        <w:t>Total petroleum applications submitted from 2020-21 to 2024-25</w:t>
      </w:r>
      <w:bookmarkEnd w:id="98"/>
      <w:bookmarkEnd w:id="99"/>
    </w:p>
    <w:p w14:paraId="6DB77B42" w14:textId="1523DD3B" w:rsidR="000E4D3A" w:rsidRDefault="00F84775" w:rsidP="003D796B">
      <w:pPr>
        <w:ind w:left="720"/>
        <w:rPr>
          <w:sz w:val="20"/>
          <w:szCs w:val="20"/>
        </w:rPr>
      </w:pPr>
      <w:r w:rsidRPr="00B13413">
        <w:rPr>
          <w:b/>
          <w:bCs/>
          <w:sz w:val="20"/>
          <w:szCs w:val="20"/>
        </w:rPr>
        <w:t>Alternative</w:t>
      </w:r>
      <w:r w:rsidR="00C65DD2" w:rsidRPr="00B13413">
        <w:rPr>
          <w:b/>
          <w:bCs/>
          <w:sz w:val="20"/>
          <w:szCs w:val="20"/>
        </w:rPr>
        <w:t xml:space="preserve"> text description:</w:t>
      </w:r>
      <w:r w:rsidR="00C65DD2" w:rsidRPr="00B13413">
        <w:rPr>
          <w:sz w:val="20"/>
          <w:szCs w:val="20"/>
        </w:rPr>
        <w:t xml:space="preserve"> </w:t>
      </w:r>
      <w:r w:rsidR="0013399C">
        <w:rPr>
          <w:sz w:val="20"/>
          <w:szCs w:val="20"/>
        </w:rPr>
        <w:t>Vertical b</w:t>
      </w:r>
      <w:r w:rsidR="000D3247">
        <w:rPr>
          <w:sz w:val="20"/>
          <w:szCs w:val="20"/>
        </w:rPr>
        <w:t>ar chart shows</w:t>
      </w:r>
      <w:r w:rsidR="00C65DD2" w:rsidRPr="00B13413">
        <w:rPr>
          <w:sz w:val="20"/>
          <w:szCs w:val="20"/>
        </w:rPr>
        <w:t>: Total applications submitted from 2020-21 to 2024-25</w:t>
      </w:r>
      <w:r w:rsidR="00B534E6" w:rsidRPr="00B13413">
        <w:rPr>
          <w:sz w:val="20"/>
          <w:szCs w:val="20"/>
        </w:rPr>
        <w:t>’</w:t>
      </w:r>
      <w:r w:rsidR="00C65DD2" w:rsidRPr="00B13413">
        <w:rPr>
          <w:sz w:val="20"/>
          <w:szCs w:val="20"/>
        </w:rPr>
        <w:t>, compares the total number of applications submitted across the five reporting periods. Each bar represents one year and reflects the aggregate volume of petroleum applications received.</w:t>
      </w:r>
      <w:r w:rsidR="00BC1F47" w:rsidRPr="00B13413">
        <w:rPr>
          <w:sz w:val="20"/>
          <w:szCs w:val="20"/>
        </w:rPr>
        <w:t xml:space="preserve"> </w:t>
      </w:r>
    </w:p>
    <w:p w14:paraId="4F574050" w14:textId="3A221BB3" w:rsidR="000E4D3A" w:rsidRPr="000E4D3A" w:rsidRDefault="000E4D3A" w:rsidP="0076602F">
      <w:pPr>
        <w:ind w:left="720"/>
        <w:rPr>
          <w:sz w:val="20"/>
          <w:szCs w:val="20"/>
        </w:rPr>
      </w:pPr>
      <w:r w:rsidRPr="000E4D3A">
        <w:rPr>
          <w:sz w:val="20"/>
          <w:szCs w:val="20"/>
        </w:rPr>
        <w:t>The x-axis represents financial years, and the y-axis shows the number of applications</w:t>
      </w:r>
      <w:r w:rsidR="005A2369">
        <w:rPr>
          <w:sz w:val="20"/>
          <w:szCs w:val="20"/>
        </w:rPr>
        <w:t xml:space="preserve"> </w:t>
      </w:r>
      <w:r w:rsidRPr="000E4D3A">
        <w:rPr>
          <w:sz w:val="20"/>
          <w:szCs w:val="20"/>
        </w:rPr>
        <w:t>submitted. Each bar represents a single financial year, allowing for easy comparison of annual submission volumes over a five-year trend / period.</w:t>
      </w:r>
    </w:p>
    <w:p w14:paraId="614B2E34" w14:textId="77777777" w:rsidR="000E4D3A" w:rsidRPr="000E4D3A" w:rsidRDefault="000E4D3A" w:rsidP="000E4D3A">
      <w:pPr>
        <w:ind w:left="720"/>
        <w:rPr>
          <w:sz w:val="20"/>
          <w:szCs w:val="20"/>
        </w:rPr>
      </w:pPr>
      <w:r w:rsidRPr="000E4D3A">
        <w:rPr>
          <w:sz w:val="20"/>
          <w:szCs w:val="20"/>
        </w:rPr>
        <w:t>The trend begins with 325 applications in 2020–21, followed by a sharp increase to 455 in 2021–22, the highest over the period. After 2021–22, submissions decline steadily: 340 in 2022–23, 269 in 2023–24, and a slight recovery to 295 in 2024–25. Overall, the chart reflects a peak in 2021–22, followed by a three-year downward trend, ending with a modest uptick in the most recent year.</w:t>
      </w:r>
    </w:p>
    <w:p w14:paraId="037C4CE9" w14:textId="0FDBD1CD" w:rsidR="003D796B" w:rsidRDefault="003D796B">
      <w:pPr>
        <w:spacing w:before="0" w:after="160" w:line="259" w:lineRule="auto"/>
      </w:pPr>
      <w:r>
        <w:br w:type="page"/>
      </w:r>
    </w:p>
    <w:p w14:paraId="7F0C5F8A" w14:textId="5EA317F3" w:rsidR="00120D58" w:rsidRDefault="008419B1" w:rsidP="0022223D">
      <w:pPr>
        <w:pStyle w:val="Heading3"/>
      </w:pPr>
      <w:bookmarkStart w:id="100" w:name="_Toc222500455"/>
      <w:r>
        <w:lastRenderedPageBreak/>
        <w:t xml:space="preserve">Petroleum development – committed to and </w:t>
      </w:r>
      <w:r w:rsidR="0022223D">
        <w:t>in progress</w:t>
      </w:r>
      <w:bookmarkEnd w:id="100"/>
    </w:p>
    <w:p w14:paraId="0CCC5B19" w14:textId="55B7ADE5" w:rsidR="004D3F3B" w:rsidRDefault="00CA3FF7" w:rsidP="004D3F3B">
      <w:pPr>
        <w:keepNext/>
      </w:pPr>
      <w:r w:rsidRPr="00CA3FF7">
        <w:rPr>
          <w:noProof/>
        </w:rPr>
        <w:drawing>
          <wp:inline distT="0" distB="0" distL="0" distR="0" wp14:anchorId="218F3334" wp14:editId="020DF8E0">
            <wp:extent cx="5731510" cy="3703320"/>
            <wp:effectExtent l="0" t="0" r="2540" b="0"/>
            <wp:docPr id="1024931963" name="Picture 8" descr="A national map titled 'Petroleum development - committed to and in progress' shows offshore petroleum project development maturity across five stages. Access the full alt text description under figure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31963" name="Picture 8" descr="A national map titled 'Petroleum development - committed to and in progress' shows offshore petroleum project development maturity across five stages. Access the full alt text description under figure 9.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703320"/>
                    </a:xfrm>
                    <a:prstGeom prst="rect">
                      <a:avLst/>
                    </a:prstGeom>
                    <a:noFill/>
                    <a:ln>
                      <a:noFill/>
                    </a:ln>
                  </pic:spPr>
                </pic:pic>
              </a:graphicData>
            </a:graphic>
          </wp:inline>
        </w:drawing>
      </w:r>
    </w:p>
    <w:p w14:paraId="16CF74AC" w14:textId="4410EE3E" w:rsidR="004D3F3B" w:rsidRDefault="004D3F3B" w:rsidP="004D3F3B">
      <w:pPr>
        <w:pStyle w:val="Caption"/>
      </w:pPr>
      <w:bookmarkStart w:id="101" w:name="_Toc221884190"/>
      <w:bookmarkStart w:id="102" w:name="_Toc222316223"/>
      <w:r>
        <w:t xml:space="preserve">Figure </w:t>
      </w:r>
      <w:r>
        <w:fldChar w:fldCharType="begin"/>
      </w:r>
      <w:r>
        <w:instrText xml:space="preserve"> SEQ Figure \* ARABIC </w:instrText>
      </w:r>
      <w:r>
        <w:fldChar w:fldCharType="separate"/>
      </w:r>
      <w:r w:rsidR="00CF02F5">
        <w:rPr>
          <w:noProof/>
        </w:rPr>
        <w:t>9</w:t>
      </w:r>
      <w:r>
        <w:fldChar w:fldCharType="end"/>
      </w:r>
      <w:r>
        <w:t xml:space="preserve">: </w:t>
      </w:r>
      <w:r w:rsidRPr="00334727">
        <w:t xml:space="preserve">A national map showing offshore petroleum project development maturity </w:t>
      </w:r>
      <w:r w:rsidR="00FF3930">
        <w:t>across</w:t>
      </w:r>
      <w:r w:rsidRPr="00334727">
        <w:t xml:space="preserve"> five </w:t>
      </w:r>
      <w:bookmarkEnd w:id="101"/>
      <w:r w:rsidRPr="00334727">
        <w:t>stage</w:t>
      </w:r>
      <w:r w:rsidR="00FF3930">
        <w:t>s</w:t>
      </w:r>
      <w:r w:rsidRPr="00334727">
        <w:t xml:space="preserve"> </w:t>
      </w:r>
      <w:bookmarkEnd w:id="102"/>
    </w:p>
    <w:p w14:paraId="74063021" w14:textId="07035468" w:rsidR="001F152D" w:rsidRPr="006A5DB3" w:rsidRDefault="001F152D" w:rsidP="006A5DB3">
      <w:pPr>
        <w:keepNext/>
        <w:ind w:left="720"/>
        <w:rPr>
          <w:sz w:val="20"/>
          <w:szCs w:val="20"/>
        </w:rPr>
      </w:pPr>
      <w:r w:rsidRPr="006A5DB3">
        <w:rPr>
          <w:b/>
          <w:sz w:val="20"/>
          <w:szCs w:val="20"/>
        </w:rPr>
        <w:t>Alternative text description:</w:t>
      </w:r>
      <w:r w:rsidRPr="006A5DB3">
        <w:rPr>
          <w:sz w:val="20"/>
          <w:szCs w:val="20"/>
        </w:rPr>
        <w:t xml:space="preserve"> A national map showing offshore petroleum project development maturity across Commonwealth waters, based on a five-stage</w:t>
      </w:r>
      <w:r w:rsidR="000D6ECB" w:rsidRPr="006A5DB3">
        <w:rPr>
          <w:sz w:val="20"/>
          <w:szCs w:val="20"/>
        </w:rPr>
        <w:t>,</w:t>
      </w:r>
      <w:r w:rsidRPr="006A5DB3">
        <w:rPr>
          <w:sz w:val="20"/>
          <w:szCs w:val="20"/>
        </w:rPr>
        <w:t xml:space="preserve"> start-up cycle. Each project location is labelled with its corresponding development stage, indicating progress from early planning to production readiness. Visual elements such as colour coding or symbols differentiate the stages, supported by a legend for interpretation. During 2024–25, the petroleum industry focused development efforts within producing basins, aiming to optimise existing infrastructure and accelerate project maturation.</w:t>
      </w:r>
    </w:p>
    <w:p w14:paraId="66F9A0D2" w14:textId="77777777" w:rsidR="001F152D" w:rsidRPr="006A5DB3" w:rsidRDefault="001F152D" w:rsidP="0059605A">
      <w:pPr>
        <w:ind w:firstLine="720"/>
        <w:rPr>
          <w:rFonts w:ascii="Aptos" w:eastAsia="Aptos" w:hAnsi="Aptos" w:cs="Aptos"/>
          <w:b/>
          <w:color w:val="000000" w:themeColor="text1"/>
          <w:sz w:val="20"/>
          <w:szCs w:val="20"/>
        </w:rPr>
      </w:pPr>
      <w:r w:rsidRPr="006A5DB3">
        <w:rPr>
          <w:rFonts w:ascii="Aptos" w:eastAsia="Aptos" w:hAnsi="Aptos" w:cs="Aptos"/>
          <w:color w:val="000000" w:themeColor="text1"/>
          <w:sz w:val="20"/>
          <w:szCs w:val="20"/>
        </w:rPr>
        <w:t xml:space="preserve">Colours represent project maturation stages for each project: </w:t>
      </w:r>
    </w:p>
    <w:p w14:paraId="28401698" w14:textId="74BE123B" w:rsidR="00543394" w:rsidRPr="00D24741" w:rsidRDefault="001F152D" w:rsidP="001D52B1">
      <w:pPr>
        <w:pStyle w:val="Alttextbullets"/>
      </w:pPr>
      <w:r w:rsidRPr="00D24741">
        <w:t xml:space="preserve">Stage 1 </w:t>
      </w:r>
      <w:r w:rsidR="00BB560B" w:rsidRPr="00D24741">
        <w:t>a</w:t>
      </w:r>
      <w:r w:rsidRPr="00D24741">
        <w:t>ssess</w:t>
      </w:r>
    </w:p>
    <w:p w14:paraId="29FE23CF" w14:textId="1B6A719E" w:rsidR="00543394" w:rsidRPr="00D24741" w:rsidRDefault="001F152D" w:rsidP="001D52B1">
      <w:pPr>
        <w:pStyle w:val="Alttextbullets"/>
      </w:pPr>
      <w:r w:rsidRPr="00D24741">
        <w:t xml:space="preserve">Stage 2 </w:t>
      </w:r>
      <w:r w:rsidR="00BB560B" w:rsidRPr="00D24741">
        <w:t>s</w:t>
      </w:r>
      <w:r w:rsidRPr="00D24741">
        <w:t>elect</w:t>
      </w:r>
    </w:p>
    <w:p w14:paraId="0769AF63" w14:textId="4BF4F5E5" w:rsidR="00543394" w:rsidRPr="00D24741" w:rsidRDefault="001F152D" w:rsidP="001D52B1">
      <w:pPr>
        <w:pStyle w:val="Alttextbullets"/>
      </w:pPr>
      <w:r w:rsidRPr="00D24741">
        <w:t xml:space="preserve">Stage 3 </w:t>
      </w:r>
      <w:r w:rsidR="00BB560B" w:rsidRPr="00D24741">
        <w:t>d</w:t>
      </w:r>
      <w:r w:rsidRPr="00D24741">
        <w:t>evelop</w:t>
      </w:r>
    </w:p>
    <w:p w14:paraId="0D32B8C8" w14:textId="397A46C8" w:rsidR="00543394" w:rsidRPr="00D24741" w:rsidRDefault="001F152D" w:rsidP="001D52B1">
      <w:pPr>
        <w:pStyle w:val="Alttextbullets"/>
      </w:pPr>
      <w:r w:rsidRPr="00D24741">
        <w:t xml:space="preserve">Stage 4 </w:t>
      </w:r>
      <w:r w:rsidR="00BB560B" w:rsidRPr="00D24741">
        <w:t>e</w:t>
      </w:r>
      <w:r w:rsidRPr="00D24741">
        <w:t>xecute</w:t>
      </w:r>
    </w:p>
    <w:p w14:paraId="2C7165CA" w14:textId="6E9E0713" w:rsidR="001F152D" w:rsidRPr="00D24741" w:rsidRDefault="001F152D" w:rsidP="001D52B1">
      <w:pPr>
        <w:pStyle w:val="Alttextbullets"/>
      </w:pPr>
      <w:r w:rsidRPr="00D24741">
        <w:t xml:space="preserve">Stage 5 </w:t>
      </w:r>
      <w:r w:rsidR="00AB0E1F" w:rsidRPr="00D24741">
        <w:t>o</w:t>
      </w:r>
      <w:r w:rsidRPr="00D24741">
        <w:t>perate</w:t>
      </w:r>
      <w:r w:rsidR="00427A6B" w:rsidRPr="00D24741">
        <w:t>.</w:t>
      </w:r>
    </w:p>
    <w:p w14:paraId="155ABD58" w14:textId="77777777" w:rsidR="001F152D" w:rsidRPr="006A5DB3" w:rsidRDefault="001F152D" w:rsidP="00520AFC">
      <w:pPr>
        <w:ind w:left="720"/>
        <w:rPr>
          <w:rFonts w:ascii="Aptos" w:eastAsia="Aptos" w:hAnsi="Aptos" w:cs="Aptos"/>
          <w:color w:val="000000" w:themeColor="text1"/>
          <w:sz w:val="20"/>
          <w:szCs w:val="20"/>
        </w:rPr>
      </w:pPr>
      <w:r w:rsidRPr="006A5DB3">
        <w:rPr>
          <w:rFonts w:ascii="Aptos" w:eastAsia="Aptos" w:hAnsi="Aptos" w:cs="Aptos"/>
          <w:color w:val="000000" w:themeColor="text1"/>
          <w:sz w:val="20"/>
          <w:szCs w:val="20"/>
        </w:rPr>
        <w:t>Arrows denote transition between project maturation stages in the reporting period.</w:t>
      </w:r>
    </w:p>
    <w:p w14:paraId="2369D108" w14:textId="77777777" w:rsidR="00C76FC8" w:rsidRPr="006A5DB3" w:rsidRDefault="001F152D" w:rsidP="00520AFC">
      <w:pPr>
        <w:ind w:left="720"/>
        <w:rPr>
          <w:rFonts w:ascii="Aptos" w:eastAsia="Aptos" w:hAnsi="Aptos" w:cs="Aptos"/>
          <w:b/>
          <w:color w:val="000000" w:themeColor="text1"/>
          <w:sz w:val="20"/>
          <w:szCs w:val="20"/>
        </w:rPr>
      </w:pPr>
      <w:r w:rsidRPr="006A5DB3">
        <w:rPr>
          <w:rFonts w:ascii="Aptos" w:eastAsia="Aptos" w:hAnsi="Aptos" w:cs="Aptos"/>
          <w:color w:val="000000" w:themeColor="text1"/>
          <w:sz w:val="20"/>
          <w:szCs w:val="20"/>
        </w:rPr>
        <w:t>Symbols represent project activities for each project:</w:t>
      </w:r>
    </w:p>
    <w:p w14:paraId="41A451CE" w14:textId="1F3B58D4" w:rsidR="00C76FC8" w:rsidRPr="00D24741" w:rsidRDefault="004F767E" w:rsidP="002A5666">
      <w:pPr>
        <w:pStyle w:val="Alttextbullets"/>
      </w:pPr>
      <w:r w:rsidRPr="00D24741">
        <w:t>n</w:t>
      </w:r>
      <w:r w:rsidR="001F152D" w:rsidRPr="00D24741">
        <w:t>ew production</w:t>
      </w:r>
    </w:p>
    <w:p w14:paraId="5934E1C6" w14:textId="15255B3A" w:rsidR="00C76FC8" w:rsidRPr="00D24741" w:rsidRDefault="004F767E" w:rsidP="002A5666">
      <w:pPr>
        <w:pStyle w:val="Alttextbullets"/>
      </w:pPr>
      <w:r w:rsidRPr="00D24741">
        <w:t>i</w:t>
      </w:r>
      <w:r w:rsidR="001F152D" w:rsidRPr="00D24741">
        <w:t>nfill drilling</w:t>
      </w:r>
    </w:p>
    <w:p w14:paraId="1FE68CC9" w14:textId="6ECD6C8F" w:rsidR="001F152D" w:rsidRPr="008E60AC" w:rsidRDefault="004F767E" w:rsidP="002A5666">
      <w:pPr>
        <w:pStyle w:val="Alttextbullets"/>
      </w:pPr>
      <w:r w:rsidRPr="00D24741">
        <w:t>n</w:t>
      </w:r>
      <w:r w:rsidR="001F152D" w:rsidRPr="00D24741">
        <w:t>ew developments: drilling and infrastructure installation</w:t>
      </w:r>
      <w:r w:rsidR="00543394" w:rsidRPr="00D24741">
        <w:t>.</w:t>
      </w:r>
    </w:p>
    <w:p w14:paraId="7DE85219" w14:textId="523D976A" w:rsidR="00AA6BA8" w:rsidRPr="006A5DB3" w:rsidRDefault="001F152D" w:rsidP="00520AFC">
      <w:pPr>
        <w:ind w:left="720"/>
        <w:rPr>
          <w:rFonts w:ascii="Aptos" w:eastAsia="Aptos" w:hAnsi="Aptos" w:cs="Aptos"/>
          <w:b/>
          <w:color w:val="000000" w:themeColor="text1"/>
          <w:sz w:val="20"/>
          <w:szCs w:val="20"/>
        </w:rPr>
      </w:pPr>
      <w:r w:rsidRPr="006A5DB3">
        <w:rPr>
          <w:rFonts w:ascii="Aptos" w:eastAsia="Aptos" w:hAnsi="Aptos" w:cs="Aptos"/>
          <w:color w:val="000000" w:themeColor="text1"/>
          <w:sz w:val="20"/>
          <w:szCs w:val="20"/>
        </w:rPr>
        <w:t>Projects, stages, and activities in Western Australian waters:</w:t>
      </w:r>
    </w:p>
    <w:p w14:paraId="737BBDEB" w14:textId="77777777" w:rsidR="00AA6BA8" w:rsidRPr="002A5666" w:rsidRDefault="001F152D" w:rsidP="00000EE8">
      <w:pPr>
        <w:pStyle w:val="ListParagraph"/>
        <w:numPr>
          <w:ilvl w:val="1"/>
          <w:numId w:val="34"/>
        </w:numPr>
        <w:rPr>
          <w:sz w:val="20"/>
          <w:szCs w:val="20"/>
        </w:rPr>
      </w:pPr>
      <w:r w:rsidRPr="002A5666">
        <w:rPr>
          <w:sz w:val="20"/>
          <w:szCs w:val="20"/>
        </w:rPr>
        <w:t>Barossa, stage 4, new developments: drilling and infrastructure installation activities (preparations for 'first' LNG in 2025)</w:t>
      </w:r>
    </w:p>
    <w:p w14:paraId="5CD16F98" w14:textId="77777777" w:rsidR="00AA6BA8" w:rsidRPr="002A5666" w:rsidRDefault="001F152D" w:rsidP="00000EE8">
      <w:pPr>
        <w:pStyle w:val="ListParagraph"/>
        <w:numPr>
          <w:ilvl w:val="1"/>
          <w:numId w:val="34"/>
        </w:numPr>
        <w:rPr>
          <w:sz w:val="20"/>
          <w:szCs w:val="20"/>
        </w:rPr>
      </w:pPr>
      <w:r w:rsidRPr="002A5666">
        <w:rPr>
          <w:sz w:val="20"/>
          <w:szCs w:val="20"/>
        </w:rPr>
        <w:t>Blacktip, transitioned from stage 4 to stage 5, infill drilling activities</w:t>
      </w:r>
    </w:p>
    <w:p w14:paraId="4382BDBD" w14:textId="08DDFA78" w:rsidR="00D415C4" w:rsidRPr="002A5666" w:rsidRDefault="001F152D" w:rsidP="00000EE8">
      <w:pPr>
        <w:pStyle w:val="ListParagraph"/>
        <w:numPr>
          <w:ilvl w:val="1"/>
          <w:numId w:val="35"/>
        </w:numPr>
        <w:rPr>
          <w:sz w:val="20"/>
          <w:szCs w:val="20"/>
        </w:rPr>
      </w:pPr>
      <w:r w:rsidRPr="002A5666">
        <w:rPr>
          <w:sz w:val="20"/>
          <w:szCs w:val="20"/>
        </w:rPr>
        <w:lastRenderedPageBreak/>
        <w:t xml:space="preserve">Burrup Hub (Browse), stage </w:t>
      </w:r>
      <w:r w:rsidR="001F2FDF" w:rsidRPr="002A5666">
        <w:rPr>
          <w:sz w:val="20"/>
          <w:szCs w:val="20"/>
        </w:rPr>
        <w:t>2</w:t>
      </w:r>
      <w:r w:rsidRPr="002A5666">
        <w:rPr>
          <w:sz w:val="20"/>
          <w:szCs w:val="20"/>
        </w:rPr>
        <w:t xml:space="preserve">, no </w:t>
      </w:r>
      <w:r w:rsidR="00A90CEC">
        <w:rPr>
          <w:sz w:val="20"/>
          <w:szCs w:val="20"/>
        </w:rPr>
        <w:t>change</w:t>
      </w:r>
      <w:r w:rsidR="00756370">
        <w:rPr>
          <w:sz w:val="20"/>
          <w:szCs w:val="20"/>
        </w:rPr>
        <w:t xml:space="preserve"> to </w:t>
      </w:r>
      <w:r w:rsidRPr="002A5666">
        <w:rPr>
          <w:sz w:val="20"/>
          <w:szCs w:val="20"/>
        </w:rPr>
        <w:t>project activities</w:t>
      </w:r>
    </w:p>
    <w:p w14:paraId="7037ED2F" w14:textId="77777777" w:rsidR="00B43ED3" w:rsidRPr="002A5666" w:rsidRDefault="001F152D" w:rsidP="00000EE8">
      <w:pPr>
        <w:pStyle w:val="ListParagraph"/>
        <w:numPr>
          <w:ilvl w:val="1"/>
          <w:numId w:val="35"/>
        </w:numPr>
        <w:rPr>
          <w:sz w:val="20"/>
          <w:szCs w:val="20"/>
        </w:rPr>
      </w:pPr>
      <w:r w:rsidRPr="002A5666">
        <w:rPr>
          <w:sz w:val="20"/>
          <w:szCs w:val="20"/>
        </w:rPr>
        <w:t>Burrup Hub (Scarborough), stage 4, new developments: drilling and infrastructure installation activities</w:t>
      </w:r>
    </w:p>
    <w:p w14:paraId="11610675" w14:textId="77777777" w:rsidR="00B43ED3" w:rsidRPr="002A5666" w:rsidRDefault="001F152D" w:rsidP="00000EE8">
      <w:pPr>
        <w:pStyle w:val="ListParagraph"/>
        <w:numPr>
          <w:ilvl w:val="1"/>
          <w:numId w:val="35"/>
        </w:numPr>
        <w:rPr>
          <w:sz w:val="20"/>
          <w:szCs w:val="20"/>
        </w:rPr>
      </w:pPr>
      <w:r w:rsidRPr="002A5666">
        <w:rPr>
          <w:sz w:val="20"/>
          <w:szCs w:val="20"/>
        </w:rPr>
        <w:t>Crux, stage 4, new developments: drilling and infrastructure installation activities</w:t>
      </w:r>
    </w:p>
    <w:p w14:paraId="727E51E3" w14:textId="4223A6F2" w:rsidR="00B43ED3" w:rsidRPr="002A5666" w:rsidRDefault="001F152D" w:rsidP="00000EE8">
      <w:pPr>
        <w:pStyle w:val="ListParagraph"/>
        <w:numPr>
          <w:ilvl w:val="1"/>
          <w:numId w:val="35"/>
        </w:numPr>
        <w:rPr>
          <w:sz w:val="20"/>
          <w:szCs w:val="20"/>
        </w:rPr>
      </w:pPr>
      <w:r w:rsidRPr="002A5666">
        <w:rPr>
          <w:sz w:val="20"/>
          <w:szCs w:val="20"/>
        </w:rPr>
        <w:t xml:space="preserve">Dorado, transitioned from stage 3 to stage 2, </w:t>
      </w:r>
      <w:r w:rsidR="00CC0263">
        <w:rPr>
          <w:sz w:val="20"/>
          <w:szCs w:val="20"/>
        </w:rPr>
        <w:t>re</w:t>
      </w:r>
      <w:r w:rsidR="0057566C">
        <w:rPr>
          <w:sz w:val="20"/>
          <w:szCs w:val="20"/>
        </w:rPr>
        <w:t>view</w:t>
      </w:r>
      <w:r w:rsidR="007F5191">
        <w:rPr>
          <w:sz w:val="20"/>
          <w:szCs w:val="20"/>
        </w:rPr>
        <w:t>ing</w:t>
      </w:r>
      <w:r w:rsidRPr="002A5666">
        <w:rPr>
          <w:sz w:val="20"/>
          <w:szCs w:val="20"/>
        </w:rPr>
        <w:t xml:space="preserve"> project activities</w:t>
      </w:r>
    </w:p>
    <w:p w14:paraId="1E2262EC" w14:textId="77777777" w:rsidR="001D68F3" w:rsidRPr="002A5666" w:rsidRDefault="001F152D" w:rsidP="00000EE8">
      <w:pPr>
        <w:pStyle w:val="ListParagraph"/>
        <w:numPr>
          <w:ilvl w:val="1"/>
          <w:numId w:val="35"/>
        </w:numPr>
        <w:rPr>
          <w:sz w:val="20"/>
          <w:szCs w:val="20"/>
        </w:rPr>
      </w:pPr>
      <w:r w:rsidRPr="002A5666">
        <w:rPr>
          <w:sz w:val="20"/>
          <w:szCs w:val="20"/>
        </w:rPr>
        <w:t>Gorgon stage 2, stage 5, new production activities</w:t>
      </w:r>
    </w:p>
    <w:p w14:paraId="0BE099F8" w14:textId="77777777" w:rsidR="004D077C" w:rsidRPr="002A5666" w:rsidRDefault="001F152D" w:rsidP="00000EE8">
      <w:pPr>
        <w:pStyle w:val="ListParagraph"/>
        <w:numPr>
          <w:ilvl w:val="1"/>
          <w:numId w:val="35"/>
        </w:numPr>
        <w:rPr>
          <w:sz w:val="20"/>
          <w:szCs w:val="20"/>
        </w:rPr>
      </w:pPr>
      <w:r w:rsidRPr="002A5666">
        <w:rPr>
          <w:sz w:val="20"/>
          <w:szCs w:val="20"/>
        </w:rPr>
        <w:t>Halyard, transitioned from stage 4 to stage 5, infill drilling activities</w:t>
      </w:r>
    </w:p>
    <w:p w14:paraId="51190097" w14:textId="77777777" w:rsidR="0064079C" w:rsidRPr="002A5666" w:rsidRDefault="001F152D" w:rsidP="00000EE8">
      <w:pPr>
        <w:pStyle w:val="ListParagraph"/>
        <w:numPr>
          <w:ilvl w:val="1"/>
          <w:numId w:val="35"/>
        </w:numPr>
        <w:rPr>
          <w:sz w:val="20"/>
          <w:szCs w:val="20"/>
        </w:rPr>
      </w:pPr>
      <w:r w:rsidRPr="002A5666">
        <w:rPr>
          <w:sz w:val="20"/>
          <w:szCs w:val="20"/>
        </w:rPr>
        <w:t>Ichthys phase 2a, stage 4, infill drilling and new production activities</w:t>
      </w:r>
    </w:p>
    <w:p w14:paraId="2092EB1E" w14:textId="77777777" w:rsidR="0064079C" w:rsidRPr="002A5666" w:rsidRDefault="001F152D" w:rsidP="00000EE8">
      <w:pPr>
        <w:pStyle w:val="ListParagraph"/>
        <w:numPr>
          <w:ilvl w:val="1"/>
          <w:numId w:val="35"/>
        </w:numPr>
        <w:rPr>
          <w:sz w:val="20"/>
          <w:szCs w:val="20"/>
        </w:rPr>
      </w:pPr>
      <w:r w:rsidRPr="002A5666">
        <w:rPr>
          <w:sz w:val="20"/>
          <w:szCs w:val="20"/>
        </w:rPr>
        <w:t>Julimar phase 3, stage 4, infill drilling</w:t>
      </w:r>
    </w:p>
    <w:p w14:paraId="612C6658" w14:textId="77777777" w:rsidR="00757FA1" w:rsidRPr="002A5666" w:rsidRDefault="001F152D" w:rsidP="00000EE8">
      <w:pPr>
        <w:pStyle w:val="ListParagraph"/>
        <w:numPr>
          <w:ilvl w:val="1"/>
          <w:numId w:val="35"/>
        </w:numPr>
        <w:rPr>
          <w:sz w:val="20"/>
          <w:szCs w:val="20"/>
        </w:rPr>
      </w:pPr>
      <w:r w:rsidRPr="002A5666">
        <w:rPr>
          <w:sz w:val="20"/>
          <w:szCs w:val="20"/>
        </w:rPr>
        <w:t>Lambert West, transitioned from stage 3 to stage 4, infill drilling activities</w:t>
      </w:r>
    </w:p>
    <w:p w14:paraId="092122C6" w14:textId="77777777" w:rsidR="00306586" w:rsidRPr="002A5666" w:rsidRDefault="001F152D" w:rsidP="00000EE8">
      <w:pPr>
        <w:pStyle w:val="ListParagraph"/>
        <w:numPr>
          <w:ilvl w:val="1"/>
          <w:numId w:val="35"/>
        </w:numPr>
        <w:rPr>
          <w:sz w:val="20"/>
          <w:szCs w:val="20"/>
        </w:rPr>
      </w:pPr>
      <w:r w:rsidRPr="002A5666">
        <w:rPr>
          <w:sz w:val="20"/>
          <w:szCs w:val="20"/>
        </w:rPr>
        <w:t>Montara, transitioned from stage 3 to stage 4, infill drilling activities</w:t>
      </w:r>
    </w:p>
    <w:p w14:paraId="5DA4B74F" w14:textId="3EFD37F6" w:rsidR="00FF3897" w:rsidRPr="002A5666" w:rsidRDefault="001F152D" w:rsidP="00000EE8">
      <w:pPr>
        <w:pStyle w:val="ListParagraph"/>
        <w:numPr>
          <w:ilvl w:val="1"/>
          <w:numId w:val="35"/>
        </w:numPr>
        <w:rPr>
          <w:sz w:val="20"/>
          <w:szCs w:val="20"/>
        </w:rPr>
      </w:pPr>
      <w:r w:rsidRPr="002A5666">
        <w:rPr>
          <w:sz w:val="20"/>
          <w:szCs w:val="20"/>
        </w:rPr>
        <w:t xml:space="preserve">North West Shelf (Greater Western Flank - 4), stage 3, </w:t>
      </w:r>
      <w:r w:rsidR="00951F60">
        <w:rPr>
          <w:sz w:val="20"/>
          <w:szCs w:val="20"/>
        </w:rPr>
        <w:t>development</w:t>
      </w:r>
      <w:r w:rsidRPr="002A5666">
        <w:rPr>
          <w:sz w:val="20"/>
          <w:szCs w:val="20"/>
        </w:rPr>
        <w:t xml:space="preserve"> activities</w:t>
      </w:r>
      <w:r w:rsidR="00EC6EC8">
        <w:rPr>
          <w:sz w:val="20"/>
          <w:szCs w:val="20"/>
        </w:rPr>
        <w:t xml:space="preserve"> only</w:t>
      </w:r>
    </w:p>
    <w:p w14:paraId="1012E22F" w14:textId="0B7511E4" w:rsidR="001F152D" w:rsidRPr="002A5666" w:rsidRDefault="001F152D" w:rsidP="00000EE8">
      <w:pPr>
        <w:pStyle w:val="ListParagraph"/>
        <w:numPr>
          <w:ilvl w:val="1"/>
          <w:numId w:val="35"/>
        </w:numPr>
        <w:rPr>
          <w:sz w:val="20"/>
          <w:szCs w:val="20"/>
        </w:rPr>
      </w:pPr>
      <w:r w:rsidRPr="002A5666">
        <w:rPr>
          <w:sz w:val="20"/>
          <w:szCs w:val="20"/>
        </w:rPr>
        <w:t xml:space="preserve">Pluto, transitioned from stage 4 to stage 5, infill drilling and new production activities. </w:t>
      </w:r>
    </w:p>
    <w:p w14:paraId="09C17593" w14:textId="77777777" w:rsidR="00FF3897" w:rsidRPr="002A5666" w:rsidRDefault="001F152D" w:rsidP="006E51F9">
      <w:pPr>
        <w:ind w:left="720"/>
        <w:rPr>
          <w:rFonts w:ascii="Aptos" w:eastAsia="Aptos" w:hAnsi="Aptos" w:cs="Aptos"/>
          <w:b/>
          <w:color w:val="000000" w:themeColor="text1"/>
          <w:sz w:val="20"/>
          <w:szCs w:val="20"/>
        </w:rPr>
      </w:pPr>
      <w:r w:rsidRPr="002A5666">
        <w:rPr>
          <w:rFonts w:ascii="Aptos" w:eastAsia="Aptos" w:hAnsi="Aptos" w:cs="Aptos"/>
          <w:color w:val="000000" w:themeColor="text1"/>
          <w:sz w:val="20"/>
          <w:szCs w:val="20"/>
        </w:rPr>
        <w:t>Projects, stages, and activities in Victorian waters:</w:t>
      </w:r>
    </w:p>
    <w:p w14:paraId="3F7BE19E" w14:textId="21317AAC" w:rsidR="001F152D" w:rsidRPr="002A5666" w:rsidRDefault="001F152D" w:rsidP="00000EE8">
      <w:pPr>
        <w:pStyle w:val="ListParagraph"/>
        <w:numPr>
          <w:ilvl w:val="1"/>
          <w:numId w:val="36"/>
        </w:numPr>
        <w:rPr>
          <w:sz w:val="20"/>
          <w:szCs w:val="20"/>
        </w:rPr>
      </w:pPr>
      <w:r w:rsidRPr="002A5666">
        <w:rPr>
          <w:sz w:val="20"/>
          <w:szCs w:val="20"/>
        </w:rPr>
        <w:t xml:space="preserve">Kipper, transitioned from stage 3 to stage 4, </w:t>
      </w:r>
      <w:r w:rsidR="0009078C">
        <w:rPr>
          <w:sz w:val="20"/>
          <w:szCs w:val="20"/>
        </w:rPr>
        <w:t>executing</w:t>
      </w:r>
      <w:r w:rsidRPr="002A5666">
        <w:rPr>
          <w:sz w:val="20"/>
          <w:szCs w:val="20"/>
        </w:rPr>
        <w:t xml:space="preserve"> project activities.</w:t>
      </w:r>
    </w:p>
    <w:p w14:paraId="4E95C461" w14:textId="61BFC264" w:rsidR="00D21299" w:rsidRPr="002A5666" w:rsidRDefault="001F152D" w:rsidP="006E51F9">
      <w:pPr>
        <w:ind w:left="720"/>
        <w:rPr>
          <w:sz w:val="20"/>
          <w:szCs w:val="20"/>
        </w:rPr>
      </w:pPr>
      <w:r w:rsidRPr="002A5666">
        <w:rPr>
          <w:sz w:val="20"/>
          <w:szCs w:val="20"/>
        </w:rPr>
        <w:t>Text on the map</w:t>
      </w:r>
      <w:r w:rsidR="00B13CE1" w:rsidRPr="002A5666">
        <w:rPr>
          <w:sz w:val="20"/>
          <w:szCs w:val="20"/>
        </w:rPr>
        <w:t xml:space="preserve"> states</w:t>
      </w:r>
      <w:r w:rsidR="00DB25D6" w:rsidRPr="002A5666">
        <w:rPr>
          <w:sz w:val="20"/>
          <w:szCs w:val="20"/>
        </w:rPr>
        <w:t xml:space="preserve">, </w:t>
      </w:r>
      <w:r w:rsidRPr="002A5666">
        <w:rPr>
          <w:sz w:val="20"/>
          <w:szCs w:val="20"/>
        </w:rPr>
        <w:t>‘In 2024-25:</w:t>
      </w:r>
    </w:p>
    <w:p w14:paraId="5DAEEDAD" w14:textId="07395281" w:rsidR="00D21299" w:rsidRPr="002A5666" w:rsidRDefault="001F152D" w:rsidP="00000EE8">
      <w:pPr>
        <w:pStyle w:val="ListParagraph"/>
        <w:numPr>
          <w:ilvl w:val="1"/>
          <w:numId w:val="37"/>
        </w:numPr>
        <w:rPr>
          <w:sz w:val="20"/>
          <w:szCs w:val="20"/>
        </w:rPr>
      </w:pPr>
      <w:r w:rsidRPr="002A5666">
        <w:rPr>
          <w:sz w:val="20"/>
          <w:szCs w:val="20"/>
        </w:rPr>
        <w:t xml:space="preserve"> </w:t>
      </w:r>
      <w:r w:rsidR="00E625FA" w:rsidRPr="002A5666">
        <w:rPr>
          <w:sz w:val="20"/>
          <w:szCs w:val="20"/>
        </w:rPr>
        <w:t>s</w:t>
      </w:r>
      <w:r w:rsidRPr="002A5666">
        <w:rPr>
          <w:sz w:val="20"/>
          <w:szCs w:val="20"/>
        </w:rPr>
        <w:t>table development of offshore resources, primarily within existing projects</w:t>
      </w:r>
    </w:p>
    <w:p w14:paraId="1B3D322C" w14:textId="3C13C665" w:rsidR="00D21299" w:rsidRPr="002A5666" w:rsidRDefault="00E625FA" w:rsidP="00000EE8">
      <w:pPr>
        <w:pStyle w:val="ListParagraph"/>
        <w:numPr>
          <w:ilvl w:val="1"/>
          <w:numId w:val="37"/>
        </w:numPr>
        <w:rPr>
          <w:sz w:val="20"/>
          <w:szCs w:val="20"/>
        </w:rPr>
      </w:pPr>
      <w:r w:rsidRPr="002A5666">
        <w:rPr>
          <w:sz w:val="20"/>
          <w:szCs w:val="20"/>
        </w:rPr>
        <w:t>b</w:t>
      </w:r>
      <w:r w:rsidR="001F152D" w:rsidRPr="002A5666">
        <w:rPr>
          <w:sz w:val="20"/>
          <w:szCs w:val="20"/>
        </w:rPr>
        <w:t>ackfill opportunities progressed into existing facilities across the Carnarvon, Browse and Bonaparte basins</w:t>
      </w:r>
    </w:p>
    <w:p w14:paraId="43CD0EAE" w14:textId="32F13843" w:rsidR="00F007A6" w:rsidRPr="002A5666" w:rsidRDefault="003D0879" w:rsidP="00000EE8">
      <w:pPr>
        <w:pStyle w:val="ListParagraph"/>
        <w:numPr>
          <w:ilvl w:val="1"/>
          <w:numId w:val="37"/>
        </w:numPr>
        <w:rPr>
          <w:sz w:val="20"/>
          <w:szCs w:val="20"/>
        </w:rPr>
      </w:pPr>
      <w:r w:rsidRPr="002A5666">
        <w:rPr>
          <w:sz w:val="20"/>
          <w:szCs w:val="20"/>
        </w:rPr>
        <w:t>d</w:t>
      </w:r>
      <w:r w:rsidR="001F152D" w:rsidRPr="002A5666">
        <w:rPr>
          <w:sz w:val="20"/>
          <w:szCs w:val="20"/>
        </w:rPr>
        <w:t>rilling, installation of infrastructure and pipelines completed to support both new and existing gas production.</w:t>
      </w:r>
      <w:r w:rsidR="001D59D8" w:rsidRPr="002A5666">
        <w:rPr>
          <w:sz w:val="20"/>
          <w:szCs w:val="20"/>
        </w:rPr>
        <w:t>’</w:t>
      </w:r>
    </w:p>
    <w:p w14:paraId="6B0C5DA3" w14:textId="77777777" w:rsidR="00F007A6" w:rsidRPr="006A5DB3" w:rsidRDefault="00F007A6">
      <w:pPr>
        <w:spacing w:before="0" w:after="160" w:line="259" w:lineRule="auto"/>
        <w:rPr>
          <w:sz w:val="20"/>
          <w:szCs w:val="20"/>
        </w:rPr>
      </w:pPr>
      <w:r w:rsidRPr="006A5DB3">
        <w:rPr>
          <w:sz w:val="20"/>
          <w:szCs w:val="20"/>
        </w:rPr>
        <w:br w:type="page"/>
      </w:r>
    </w:p>
    <w:p w14:paraId="74DCC01A" w14:textId="7246F961" w:rsidR="00120D58" w:rsidRDefault="005C214C" w:rsidP="00BA3A4F">
      <w:pPr>
        <w:pStyle w:val="Heading3"/>
      </w:pPr>
      <w:bookmarkStart w:id="103" w:name="_Toc221544024"/>
      <w:bookmarkStart w:id="104" w:name="_Toc221546103"/>
      <w:bookmarkStart w:id="105" w:name="_Toc221627095"/>
      <w:bookmarkStart w:id="106" w:name="_Toc222500456"/>
      <w:r>
        <w:lastRenderedPageBreak/>
        <w:t>Petroleum exploration</w:t>
      </w:r>
      <w:bookmarkEnd w:id="103"/>
      <w:bookmarkEnd w:id="104"/>
      <w:bookmarkEnd w:id="105"/>
      <w:bookmarkEnd w:id="106"/>
      <w:r>
        <w:t xml:space="preserve"> </w:t>
      </w:r>
    </w:p>
    <w:p w14:paraId="28E1C1C8" w14:textId="79D1D947" w:rsidR="009A7F17" w:rsidRPr="00580DA0" w:rsidRDefault="009A7F17" w:rsidP="004B47FD">
      <w:r w:rsidRPr="00580DA0">
        <w:t xml:space="preserve">The OPGGS Act </w:t>
      </w:r>
      <w:r w:rsidR="00403D82">
        <w:t>establishes</w:t>
      </w:r>
      <w:r w:rsidRPr="00580DA0">
        <w:t xml:space="preserve"> Australia’s </w:t>
      </w:r>
      <w:r w:rsidR="001B5224">
        <w:t>legislative fr</w:t>
      </w:r>
      <w:r w:rsidRPr="00580DA0">
        <w:t xml:space="preserve">amework </w:t>
      </w:r>
      <w:r w:rsidR="00906CDE">
        <w:t>for offshore petroleum activities</w:t>
      </w:r>
      <w:r w:rsidR="008011A3">
        <w:t>, defining the rights</w:t>
      </w:r>
      <w:r w:rsidR="00541014">
        <w:t xml:space="preserve">, responsibilities </w:t>
      </w:r>
      <w:r w:rsidRPr="00580DA0">
        <w:t xml:space="preserve">and entitlements of governments and industry. The framework </w:t>
      </w:r>
      <w:r w:rsidR="00035171">
        <w:t xml:space="preserve">governs </w:t>
      </w:r>
      <w:r w:rsidR="00193EBC">
        <w:t>the full lifecycle of operations</w:t>
      </w:r>
      <w:r w:rsidR="00304516">
        <w:t xml:space="preserve">, </w:t>
      </w:r>
      <w:r w:rsidRPr="00580DA0">
        <w:t>from exploration through to production and decommissioning.</w:t>
      </w:r>
    </w:p>
    <w:p w14:paraId="77D3E11B" w14:textId="77777777" w:rsidR="009A7F17" w:rsidRPr="00580DA0" w:rsidRDefault="009A7F17" w:rsidP="009A7F17">
      <w:r w:rsidRPr="00580DA0">
        <w:t xml:space="preserve">In 2024-25: </w:t>
      </w:r>
    </w:p>
    <w:p w14:paraId="6E8DC7A7" w14:textId="63FE2E96" w:rsidR="00D23BE2" w:rsidRDefault="00597357" w:rsidP="00000EE8">
      <w:pPr>
        <w:pStyle w:val="ListParagraph"/>
      </w:pPr>
      <w:r>
        <w:t xml:space="preserve">5 new petroleum exploration permits </w:t>
      </w:r>
      <w:r w:rsidR="00F5360D">
        <w:t xml:space="preserve">renewed </w:t>
      </w:r>
      <w:r w:rsidR="009A7F17" w:rsidRPr="00580DA0">
        <w:t xml:space="preserve"> </w:t>
      </w:r>
    </w:p>
    <w:p w14:paraId="497305AC" w14:textId="74614FBD" w:rsidR="00A52A91" w:rsidRDefault="009A7F17" w:rsidP="00000EE8">
      <w:pPr>
        <w:pStyle w:val="ListParagraph"/>
      </w:pPr>
      <w:r w:rsidRPr="00580DA0">
        <w:t xml:space="preserve">1 exploration well was drilled in a production licence in the Northern Carnarvon </w:t>
      </w:r>
      <w:r w:rsidR="00FF2C02">
        <w:t>b</w:t>
      </w:r>
      <w:r w:rsidRPr="00580DA0">
        <w:t>asin</w:t>
      </w:r>
    </w:p>
    <w:p w14:paraId="0E5D082C" w14:textId="77777777" w:rsidR="00BA274B" w:rsidRDefault="009A7F17" w:rsidP="00000EE8">
      <w:pPr>
        <w:pStyle w:val="ListParagraph"/>
      </w:pPr>
      <w:r w:rsidRPr="00580DA0">
        <w:t>1 location was declared over the Bratwurst Flank-Libra gas fields following drilling of the Bratwurst-1 well in 2019</w:t>
      </w:r>
    </w:p>
    <w:p w14:paraId="56429F8B" w14:textId="1293089A" w:rsidR="001C1F5B" w:rsidRDefault="009A7F17" w:rsidP="00000EE8">
      <w:pPr>
        <w:pStyle w:val="ListParagraph"/>
      </w:pPr>
      <w:r w:rsidRPr="00580DA0">
        <w:t xml:space="preserve">4 geophysical/geotechnical surveys were conducted to assess rig location sites. Three were in the Otway </w:t>
      </w:r>
      <w:r w:rsidR="00936944">
        <w:t>b</w:t>
      </w:r>
      <w:r w:rsidRPr="00580DA0">
        <w:t xml:space="preserve">asin, and </w:t>
      </w:r>
      <w:r w:rsidR="00936944">
        <w:t>one</w:t>
      </w:r>
      <w:r w:rsidRPr="00580DA0">
        <w:t xml:space="preserve"> in the Petrel </w:t>
      </w:r>
      <w:r w:rsidR="00936944">
        <w:t>s</w:t>
      </w:r>
      <w:r w:rsidRPr="00580DA0">
        <w:t xml:space="preserve">ub </w:t>
      </w:r>
      <w:r w:rsidR="00936944">
        <w:t>b</w:t>
      </w:r>
      <w:r w:rsidRPr="00580DA0">
        <w:t xml:space="preserve">asin. </w:t>
      </w:r>
      <w:r w:rsidR="00AD3FBD">
        <w:t xml:space="preserve">The Titles Administrator </w:t>
      </w:r>
      <w:r w:rsidRPr="00580DA0">
        <w:t xml:space="preserve">granted 7 petroleum access authorities related to these activities. </w:t>
      </w:r>
    </w:p>
    <w:p w14:paraId="1EA0965A" w14:textId="77777777" w:rsidR="00095430" w:rsidRDefault="001C1F5B" w:rsidP="00095430">
      <w:pPr>
        <w:keepNext/>
      </w:pPr>
      <w:r w:rsidRPr="001C1F5B">
        <w:rPr>
          <w:noProof/>
        </w:rPr>
        <w:drawing>
          <wp:inline distT="0" distB="0" distL="0" distR="0" wp14:anchorId="12954308" wp14:editId="6438EEB0">
            <wp:extent cx="5731510" cy="4037965"/>
            <wp:effectExtent l="0" t="0" r="2540" b="635"/>
            <wp:docPr id="373187893" name="Picture 11" descr="A regional map of Western Australia showing the location of offshore petroleum fields and associated exploration and development drilling across several offshore sedimentary basins. Access the full alt text description under figur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87893" name="Picture 11" descr="A regional map of Western Australia showing the location of offshore petroleum fields and associated exploration and development drilling across several offshore sedimentary basins. Access the full alt text description under figure 10.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4037965"/>
                    </a:xfrm>
                    <a:prstGeom prst="rect">
                      <a:avLst/>
                    </a:prstGeom>
                    <a:noFill/>
                    <a:ln>
                      <a:noFill/>
                    </a:ln>
                  </pic:spPr>
                </pic:pic>
              </a:graphicData>
            </a:graphic>
          </wp:inline>
        </w:drawing>
      </w:r>
    </w:p>
    <w:p w14:paraId="709C8690" w14:textId="61C12C3A" w:rsidR="00D8327F" w:rsidRDefault="00095430" w:rsidP="00095430">
      <w:pPr>
        <w:pStyle w:val="Caption"/>
      </w:pPr>
      <w:bookmarkStart w:id="107" w:name="_Toc221884191"/>
      <w:bookmarkStart w:id="108" w:name="_Toc222316224"/>
      <w:r>
        <w:t xml:space="preserve">Figure </w:t>
      </w:r>
      <w:r>
        <w:fldChar w:fldCharType="begin"/>
      </w:r>
      <w:r>
        <w:instrText xml:space="preserve"> SEQ Figure \* ARABIC </w:instrText>
      </w:r>
      <w:r>
        <w:fldChar w:fldCharType="separate"/>
      </w:r>
      <w:r w:rsidR="00CF02F5">
        <w:rPr>
          <w:noProof/>
        </w:rPr>
        <w:t>10</w:t>
      </w:r>
      <w:r>
        <w:fldChar w:fldCharType="end"/>
      </w:r>
      <w:r>
        <w:t>:</w:t>
      </w:r>
      <w:r w:rsidR="00983856">
        <w:t xml:space="preserve"> </w:t>
      </w:r>
      <w:r w:rsidRPr="00B15C14">
        <w:t>Petroleum drilling activity 2024-25 insights</w:t>
      </w:r>
      <w:bookmarkEnd w:id="107"/>
      <w:bookmarkEnd w:id="108"/>
    </w:p>
    <w:p w14:paraId="03605A18" w14:textId="19826263" w:rsidR="00257D1B" w:rsidRPr="001E78F3" w:rsidRDefault="00BA7DB6" w:rsidP="00257D1B">
      <w:pPr>
        <w:ind w:left="720"/>
        <w:rPr>
          <w:sz w:val="20"/>
          <w:szCs w:val="20"/>
        </w:rPr>
      </w:pPr>
      <w:r w:rsidRPr="001E78F3">
        <w:rPr>
          <w:b/>
          <w:sz w:val="20"/>
          <w:szCs w:val="20"/>
        </w:rPr>
        <w:t xml:space="preserve">Alternative text description: </w:t>
      </w:r>
      <w:r w:rsidR="00257D1B" w:rsidRPr="001E78F3">
        <w:rPr>
          <w:sz w:val="20"/>
          <w:szCs w:val="20"/>
        </w:rPr>
        <w:t>A regional map of Australia</w:t>
      </w:r>
      <w:r w:rsidR="00D25DD4" w:rsidRPr="001E78F3">
        <w:rPr>
          <w:sz w:val="20"/>
          <w:szCs w:val="20"/>
        </w:rPr>
        <w:t>’s</w:t>
      </w:r>
      <w:r w:rsidR="00257D1B" w:rsidRPr="001E78F3">
        <w:rPr>
          <w:sz w:val="20"/>
          <w:szCs w:val="20"/>
        </w:rPr>
        <w:t xml:space="preserve"> </w:t>
      </w:r>
      <w:r w:rsidR="00EC1FEC" w:rsidRPr="001E78F3">
        <w:rPr>
          <w:sz w:val="20"/>
          <w:szCs w:val="20"/>
        </w:rPr>
        <w:t xml:space="preserve">North West </w:t>
      </w:r>
      <w:r w:rsidR="00257D1B" w:rsidRPr="001E78F3">
        <w:rPr>
          <w:sz w:val="20"/>
          <w:szCs w:val="20"/>
        </w:rPr>
        <w:t xml:space="preserve">showing offshore petroleum titles and drilling activities during the </w:t>
      </w:r>
      <w:r w:rsidR="001B5111" w:rsidRPr="001E78F3">
        <w:rPr>
          <w:sz w:val="20"/>
          <w:szCs w:val="20"/>
        </w:rPr>
        <w:t>r</w:t>
      </w:r>
      <w:r w:rsidR="00257D1B" w:rsidRPr="001E78F3">
        <w:rPr>
          <w:sz w:val="20"/>
          <w:szCs w:val="20"/>
        </w:rPr>
        <w:t xml:space="preserve">eporting period. During 2024–25, the petroleum industry focused its exploration and development efforts on optimising existing discoveries and infrastructure within </w:t>
      </w:r>
      <w:r w:rsidR="00F44150" w:rsidRPr="001E78F3">
        <w:rPr>
          <w:sz w:val="20"/>
          <w:szCs w:val="20"/>
        </w:rPr>
        <w:t>producing basins</w:t>
      </w:r>
      <w:r w:rsidR="00257D1B" w:rsidRPr="001E78F3">
        <w:rPr>
          <w:sz w:val="20"/>
          <w:szCs w:val="20"/>
        </w:rPr>
        <w:t>.</w:t>
      </w:r>
    </w:p>
    <w:p w14:paraId="226D05FD" w14:textId="2C4DC8E4" w:rsidR="00257D1B" w:rsidRPr="001E78F3" w:rsidRDefault="00257D1B" w:rsidP="00257D1B">
      <w:pPr>
        <w:ind w:left="720"/>
        <w:rPr>
          <w:sz w:val="20"/>
          <w:szCs w:val="20"/>
        </w:rPr>
      </w:pPr>
      <w:r w:rsidRPr="001E78F3">
        <w:rPr>
          <w:sz w:val="20"/>
          <w:szCs w:val="20"/>
        </w:rPr>
        <w:t xml:space="preserve">There are </w:t>
      </w:r>
      <w:r w:rsidR="00843D3C" w:rsidRPr="001E78F3">
        <w:rPr>
          <w:sz w:val="20"/>
          <w:szCs w:val="20"/>
        </w:rPr>
        <w:t xml:space="preserve">6 </w:t>
      </w:r>
      <w:r w:rsidRPr="001E78F3">
        <w:rPr>
          <w:sz w:val="20"/>
          <w:szCs w:val="20"/>
        </w:rPr>
        <w:t>locations of infill drilling</w:t>
      </w:r>
      <w:r w:rsidR="00837232" w:rsidRPr="001E78F3">
        <w:rPr>
          <w:sz w:val="20"/>
          <w:szCs w:val="20"/>
        </w:rPr>
        <w:t>. These are</w:t>
      </w:r>
      <w:r w:rsidR="00736821" w:rsidRPr="001E78F3">
        <w:rPr>
          <w:sz w:val="20"/>
          <w:szCs w:val="20"/>
        </w:rPr>
        <w:t>:</w:t>
      </w:r>
      <w:r w:rsidRPr="001E78F3">
        <w:rPr>
          <w:sz w:val="20"/>
          <w:szCs w:val="20"/>
        </w:rPr>
        <w:t xml:space="preserve"> Blacktip, Ichthys, Skua, Lambert Deep, Pluto, Halyard. </w:t>
      </w:r>
    </w:p>
    <w:p w14:paraId="4B8B8863" w14:textId="52E99EBB" w:rsidR="00257D1B" w:rsidRPr="001E78F3" w:rsidRDefault="00257D1B" w:rsidP="00257D1B">
      <w:pPr>
        <w:ind w:left="720"/>
        <w:rPr>
          <w:sz w:val="20"/>
          <w:szCs w:val="20"/>
        </w:rPr>
      </w:pPr>
      <w:r w:rsidRPr="001E78F3">
        <w:rPr>
          <w:sz w:val="20"/>
          <w:szCs w:val="20"/>
        </w:rPr>
        <w:t xml:space="preserve">There are </w:t>
      </w:r>
      <w:r w:rsidR="007C3539" w:rsidRPr="001E78F3">
        <w:rPr>
          <w:sz w:val="20"/>
          <w:szCs w:val="20"/>
        </w:rPr>
        <w:t xml:space="preserve">3 </w:t>
      </w:r>
      <w:r w:rsidRPr="001E78F3">
        <w:rPr>
          <w:sz w:val="20"/>
          <w:szCs w:val="20"/>
        </w:rPr>
        <w:t>locations of new development drilling</w:t>
      </w:r>
      <w:r w:rsidR="00C32AD6">
        <w:rPr>
          <w:sz w:val="20"/>
          <w:szCs w:val="20"/>
        </w:rPr>
        <w:t>:</w:t>
      </w:r>
      <w:r w:rsidRPr="001E78F3">
        <w:rPr>
          <w:sz w:val="20"/>
          <w:szCs w:val="20"/>
        </w:rPr>
        <w:t xml:space="preserve"> Barossa</w:t>
      </w:r>
      <w:r w:rsidR="00CD55A5" w:rsidRPr="001E78F3">
        <w:rPr>
          <w:sz w:val="20"/>
          <w:szCs w:val="20"/>
        </w:rPr>
        <w:t>, Crux</w:t>
      </w:r>
      <w:r w:rsidRPr="001E78F3">
        <w:rPr>
          <w:sz w:val="20"/>
          <w:szCs w:val="20"/>
        </w:rPr>
        <w:t xml:space="preserve"> and Scarborough. </w:t>
      </w:r>
    </w:p>
    <w:p w14:paraId="42FC10C3" w14:textId="17394423" w:rsidR="00257D1B" w:rsidRPr="001E78F3" w:rsidRDefault="00257D1B" w:rsidP="00257D1B">
      <w:pPr>
        <w:ind w:left="720"/>
        <w:rPr>
          <w:sz w:val="20"/>
          <w:szCs w:val="20"/>
        </w:rPr>
      </w:pPr>
      <w:r w:rsidRPr="001E78F3">
        <w:rPr>
          <w:sz w:val="20"/>
          <w:szCs w:val="20"/>
        </w:rPr>
        <w:t>There is one location of exploration drilling</w:t>
      </w:r>
      <w:r w:rsidR="00C32AD6">
        <w:rPr>
          <w:sz w:val="20"/>
          <w:szCs w:val="20"/>
        </w:rPr>
        <w:t>:</w:t>
      </w:r>
      <w:r w:rsidRPr="001E78F3">
        <w:rPr>
          <w:sz w:val="20"/>
          <w:szCs w:val="20"/>
        </w:rPr>
        <w:t xml:space="preserve"> Wheatstone Deep.</w:t>
      </w:r>
    </w:p>
    <w:p w14:paraId="0A401705" w14:textId="78DBD669" w:rsidR="001C1F5B" w:rsidRDefault="00126E13" w:rsidP="00126E13">
      <w:pPr>
        <w:pStyle w:val="Heading3"/>
      </w:pPr>
      <w:bookmarkStart w:id="109" w:name="_Toc221544025"/>
      <w:bookmarkStart w:id="110" w:name="_Toc221546104"/>
      <w:bookmarkStart w:id="111" w:name="_Toc221627096"/>
      <w:bookmarkStart w:id="112" w:name="_Toc222500457"/>
      <w:r>
        <w:lastRenderedPageBreak/>
        <w:t>Petroleum development milestones</w:t>
      </w:r>
      <w:bookmarkEnd w:id="109"/>
      <w:bookmarkEnd w:id="110"/>
      <w:bookmarkEnd w:id="111"/>
      <w:bookmarkEnd w:id="112"/>
      <w:r>
        <w:t xml:space="preserve"> </w:t>
      </w:r>
    </w:p>
    <w:p w14:paraId="52D3253C" w14:textId="4C578FF5" w:rsidR="00F879EA" w:rsidRPr="00DF37B3" w:rsidRDefault="0064168B" w:rsidP="00D25DD4">
      <w:pPr>
        <w:pStyle w:val="Heading4"/>
      </w:pPr>
      <w:r w:rsidRPr="00DF37B3">
        <w:t xml:space="preserve">September </w:t>
      </w:r>
      <w:r w:rsidR="007308AB" w:rsidRPr="00DF37B3">
        <w:t>2024</w:t>
      </w:r>
    </w:p>
    <w:p w14:paraId="2CB3CBF6" w14:textId="6FCBA184" w:rsidR="00477061" w:rsidRPr="00580DA0" w:rsidRDefault="00D32EF0" w:rsidP="00000EE8">
      <w:pPr>
        <w:pStyle w:val="ListParagraph"/>
      </w:pPr>
      <w:r>
        <w:t xml:space="preserve">Approval for </w:t>
      </w:r>
      <w:r w:rsidR="00477061">
        <w:t>2</w:t>
      </w:r>
      <w:r w:rsidR="00477061" w:rsidRPr="00580DA0">
        <w:t xml:space="preserve"> production licences were granted over Artisan (VIC/L35) and La Bella (VIC/L36)</w:t>
      </w:r>
    </w:p>
    <w:p w14:paraId="78BE379C" w14:textId="77777777" w:rsidR="00472796" w:rsidRDefault="00A53B04" w:rsidP="00000EE8">
      <w:pPr>
        <w:pStyle w:val="ListParagraph"/>
      </w:pPr>
      <w:r>
        <w:t>T</w:t>
      </w:r>
      <w:r w:rsidRPr="00580DA0">
        <w:t xml:space="preserve">he Lambert West </w:t>
      </w:r>
      <w:r w:rsidR="00472796">
        <w:t>f</w:t>
      </w:r>
      <w:r w:rsidRPr="00580DA0">
        <w:t xml:space="preserve">ield </w:t>
      </w:r>
      <w:r w:rsidR="00472796">
        <w:t>d</w:t>
      </w:r>
      <w:r w:rsidRPr="00580DA0">
        <w:t xml:space="preserve">evelopment </w:t>
      </w:r>
      <w:r w:rsidR="00472796">
        <w:t>p</w:t>
      </w:r>
      <w:r w:rsidRPr="00580DA0">
        <w:t>lan was a</w:t>
      </w:r>
      <w:r w:rsidR="00472796">
        <w:t xml:space="preserve">ccepted </w:t>
      </w:r>
    </w:p>
    <w:p w14:paraId="1359421A" w14:textId="28625608" w:rsidR="00126E13" w:rsidRDefault="00472796" w:rsidP="00D25DD4">
      <w:pPr>
        <w:pStyle w:val="Heading4"/>
      </w:pPr>
      <w:r>
        <w:t>Jan</w:t>
      </w:r>
      <w:r w:rsidR="00536BF2">
        <w:t xml:space="preserve">uary 2025 </w:t>
      </w:r>
    </w:p>
    <w:p w14:paraId="20A70C49" w14:textId="5F060D14" w:rsidR="00B34486" w:rsidRDefault="00B34486" w:rsidP="00000EE8">
      <w:pPr>
        <w:pStyle w:val="ListParagraph"/>
      </w:pPr>
      <w:r w:rsidRPr="00580DA0">
        <w:t xml:space="preserve">New guidance on the extended meaning of ‘explore’ </w:t>
      </w:r>
      <w:r>
        <w:t xml:space="preserve">was </w:t>
      </w:r>
      <w:r w:rsidRPr="00580DA0">
        <w:t xml:space="preserve">published on </w:t>
      </w:r>
      <w:r w:rsidR="00005895">
        <w:t xml:space="preserve">the </w:t>
      </w:r>
      <w:r w:rsidRPr="00580DA0">
        <w:t>website</w:t>
      </w:r>
    </w:p>
    <w:p w14:paraId="0393D8E2" w14:textId="036B61CD" w:rsidR="00AE3B5C" w:rsidRPr="00580DA0" w:rsidRDefault="00AE3B5C" w:rsidP="00D25DD4">
      <w:pPr>
        <w:pStyle w:val="Heading4"/>
      </w:pPr>
      <w:r>
        <w:t>March 2025</w:t>
      </w:r>
    </w:p>
    <w:p w14:paraId="6CB6A899" w14:textId="57A0292A" w:rsidR="00B34486" w:rsidRDefault="00EE1365" w:rsidP="00000EE8">
      <w:pPr>
        <w:pStyle w:val="ListParagraph"/>
      </w:pPr>
      <w:r>
        <w:t xml:space="preserve">A </w:t>
      </w:r>
      <w:r w:rsidRPr="00580DA0">
        <w:t>production licence application was received (currently under assessment</w:t>
      </w:r>
      <w:r w:rsidR="0010065C">
        <w:t>)</w:t>
      </w:r>
    </w:p>
    <w:p w14:paraId="2656D82A" w14:textId="77777777" w:rsidR="00A6662C" w:rsidRDefault="004E16F7" w:rsidP="00D25DD4">
      <w:pPr>
        <w:pStyle w:val="Heading4"/>
      </w:pPr>
      <w:r>
        <w:t>June 2025</w:t>
      </w:r>
    </w:p>
    <w:p w14:paraId="4E7F2005" w14:textId="77777777" w:rsidR="003B0AB5" w:rsidRPr="00580DA0" w:rsidRDefault="003B0AB5" w:rsidP="003E6E30">
      <w:pPr>
        <w:pStyle w:val="ListParagraph"/>
      </w:pPr>
      <w:r w:rsidRPr="00580DA0">
        <w:t xml:space="preserve">2 production licence applications were received (currently under assessment) </w:t>
      </w:r>
      <w:r>
        <w:t>a</w:t>
      </w:r>
      <w:r w:rsidRPr="00580DA0">
        <w:t>s at 30 June 2025</w:t>
      </w:r>
      <w:r w:rsidR="00B131C0">
        <w:t>. These include</w:t>
      </w:r>
      <w:r w:rsidRPr="00580DA0">
        <w:t xml:space="preserve">: </w:t>
      </w:r>
    </w:p>
    <w:p w14:paraId="5118C3F5" w14:textId="457677EB" w:rsidR="003B0AB5" w:rsidRPr="00580DA0" w:rsidRDefault="003B0AB5" w:rsidP="00000EE8">
      <w:pPr>
        <w:pStyle w:val="ListParagraph"/>
        <w:numPr>
          <w:ilvl w:val="1"/>
          <w:numId w:val="28"/>
        </w:numPr>
      </w:pPr>
      <w:r w:rsidRPr="00580DA0">
        <w:t>4 production licence applications pending Joint Authority decisions</w:t>
      </w:r>
    </w:p>
    <w:p w14:paraId="3E226692" w14:textId="3EF686A1" w:rsidR="003B0AB5" w:rsidRPr="00580DA0" w:rsidRDefault="003B0AB5" w:rsidP="00000EE8">
      <w:pPr>
        <w:pStyle w:val="ListParagraph"/>
        <w:numPr>
          <w:ilvl w:val="1"/>
          <w:numId w:val="28"/>
        </w:numPr>
      </w:pPr>
      <w:r w:rsidRPr="00580DA0">
        <w:t>a field development plan is under assessment</w:t>
      </w:r>
      <w:r w:rsidR="007F45B4">
        <w:t>.</w:t>
      </w:r>
    </w:p>
    <w:p w14:paraId="22F4C3B9" w14:textId="48C5BD57" w:rsidR="004E16F7" w:rsidRDefault="004E16F7" w:rsidP="00D25DD4">
      <w:pPr>
        <w:ind w:hanging="360"/>
      </w:pPr>
    </w:p>
    <w:p w14:paraId="4A123473" w14:textId="56E1F604" w:rsidR="00BA7DB6" w:rsidRPr="000516E7" w:rsidRDefault="005D35E9" w:rsidP="00D43B69">
      <w:pPr>
        <w:pStyle w:val="Calloutbox"/>
        <w:rPr>
          <w:b/>
          <w:bCs/>
        </w:rPr>
      </w:pPr>
      <w:r w:rsidRPr="000516E7">
        <w:rPr>
          <w:b/>
          <w:bCs/>
        </w:rPr>
        <w:t xml:space="preserve">September 2024 </w:t>
      </w:r>
    </w:p>
    <w:p w14:paraId="03C9E844" w14:textId="56DB6C26" w:rsidR="005D35E9" w:rsidRPr="005D35E9" w:rsidRDefault="005D35E9" w:rsidP="00D43B69">
      <w:pPr>
        <w:pStyle w:val="Calloutbox"/>
      </w:pPr>
      <w:r>
        <w:t xml:space="preserve">Two production licences </w:t>
      </w:r>
      <w:r w:rsidR="00371BF5">
        <w:t xml:space="preserve">have been granted over the Artisan </w:t>
      </w:r>
      <w:r w:rsidR="00CA20D6">
        <w:t xml:space="preserve">(VIC/L35) and La Bella (VIC/L36) </w:t>
      </w:r>
      <w:r w:rsidR="002177E4">
        <w:t xml:space="preserve">fields in offshore Victoria. The 2 licences </w:t>
      </w:r>
      <w:r w:rsidR="007D3496">
        <w:t>will deliver gas to supply Australia’s East coast</w:t>
      </w:r>
      <w:r w:rsidR="000516E7">
        <w:t xml:space="preserve">. </w:t>
      </w:r>
      <w:r w:rsidR="007D3496">
        <w:t xml:space="preserve"> </w:t>
      </w:r>
    </w:p>
    <w:p w14:paraId="53EFB0C3" w14:textId="77777777" w:rsidR="00BA7DB6" w:rsidRDefault="00BA7DB6" w:rsidP="00383248"/>
    <w:p w14:paraId="680B130A" w14:textId="62BBE353" w:rsidR="00445FAE" w:rsidRDefault="00445FAE">
      <w:pPr>
        <w:spacing w:before="0" w:after="160" w:line="259" w:lineRule="auto"/>
        <w:rPr>
          <w:b/>
          <w:bCs/>
        </w:rPr>
      </w:pPr>
      <w:r>
        <w:rPr>
          <w:b/>
          <w:bCs/>
        </w:rPr>
        <w:br w:type="page"/>
      </w:r>
    </w:p>
    <w:p w14:paraId="5D0CD359" w14:textId="6DF667D2" w:rsidR="00BA7DB6" w:rsidRPr="000372BF" w:rsidRDefault="00445FAE" w:rsidP="000372BF">
      <w:pPr>
        <w:pStyle w:val="Heading3"/>
      </w:pPr>
      <w:bookmarkStart w:id="113" w:name="_Toc221544026"/>
      <w:bookmarkStart w:id="114" w:name="_Toc221546105"/>
      <w:bookmarkStart w:id="115" w:name="_Toc221627097"/>
      <w:bookmarkStart w:id="116" w:name="_Toc222500458"/>
      <w:r w:rsidRPr="000372BF">
        <w:lastRenderedPageBreak/>
        <w:t xml:space="preserve">Production </w:t>
      </w:r>
      <w:r w:rsidR="000372BF" w:rsidRPr="000372BF">
        <w:t>– offshore basins</w:t>
      </w:r>
      <w:bookmarkEnd w:id="113"/>
      <w:bookmarkEnd w:id="114"/>
      <w:bookmarkEnd w:id="115"/>
      <w:bookmarkEnd w:id="116"/>
      <w:r w:rsidR="000372BF" w:rsidRPr="000372BF">
        <w:t xml:space="preserve"> </w:t>
      </w:r>
    </w:p>
    <w:p w14:paraId="6FA183D2" w14:textId="3B35A91C" w:rsidR="0012119A" w:rsidRDefault="001D55EE" w:rsidP="001D55EE">
      <w:r w:rsidRPr="001E03AB">
        <w:t>Australia’s total annual offshore production during the 2024-25 financial year remained stable (</w:t>
      </w:r>
      <w:r w:rsidRPr="002D7AFB">
        <w:t xml:space="preserve">Figure </w:t>
      </w:r>
      <w:r w:rsidR="002D7AFB" w:rsidRPr="002D7AFB">
        <w:t>9</w:t>
      </w:r>
      <w:r w:rsidRPr="001E03AB">
        <w:t xml:space="preserve">). </w:t>
      </w:r>
      <w:r w:rsidR="003F08C1">
        <w:t>O</w:t>
      </w:r>
      <w:r w:rsidRPr="001E03AB">
        <w:t xml:space="preserve">ver the </w:t>
      </w:r>
      <w:r w:rsidR="00281AAD">
        <w:t>p</w:t>
      </w:r>
      <w:r w:rsidRPr="001E03AB">
        <w:t xml:space="preserve">ast </w:t>
      </w:r>
      <w:r w:rsidR="00D5649A">
        <w:t>5</w:t>
      </w:r>
      <w:r w:rsidR="00D5649A" w:rsidRPr="001E03AB">
        <w:t xml:space="preserve"> </w:t>
      </w:r>
      <w:r w:rsidRPr="001E03AB">
        <w:t>years</w:t>
      </w:r>
      <w:r w:rsidR="00281AAD">
        <w:t>, production has</w:t>
      </w:r>
      <w:r w:rsidR="00AE2649">
        <w:t xml:space="preserve"> held at </w:t>
      </w:r>
      <w:r w:rsidRPr="001E03AB">
        <w:t xml:space="preserve">near-record levels, </w:t>
      </w:r>
      <w:r w:rsidR="00BD1A6F">
        <w:t>supported by steady raw gas</w:t>
      </w:r>
      <w:r w:rsidR="00EC6C64">
        <w:t xml:space="preserve"> output linked to </w:t>
      </w:r>
      <w:r w:rsidR="00CB5CA1">
        <w:t xml:space="preserve">liquified natural gas </w:t>
      </w:r>
      <w:r w:rsidR="00DC5818">
        <w:t xml:space="preserve">(LNG) </w:t>
      </w:r>
      <w:r w:rsidR="006E4A21">
        <w:t>projects across</w:t>
      </w:r>
      <w:r w:rsidR="006E4A21" w:rsidRPr="001E03AB">
        <w:t xml:space="preserve"> Australia’s North</w:t>
      </w:r>
      <w:r w:rsidR="000D6645">
        <w:t>-W</w:t>
      </w:r>
      <w:r w:rsidR="006E4A21" w:rsidRPr="001E03AB">
        <w:t>estern basins. The focus on slowing production decline via ongoing development activity continues, including by infill drilling (especially for mature domestic gas projects) and tying back larger gas fields into existing LNG</w:t>
      </w:r>
      <w:r w:rsidR="00773BD4">
        <w:t xml:space="preserve"> fa</w:t>
      </w:r>
      <w:r w:rsidR="00BA0683">
        <w:t xml:space="preserve">cilities. </w:t>
      </w:r>
    </w:p>
    <w:p w14:paraId="3C2BD1F3" w14:textId="77777777" w:rsidR="001D55EE" w:rsidRPr="001E03AB" w:rsidRDefault="001D55EE" w:rsidP="001D55EE">
      <w:r w:rsidRPr="001E03AB">
        <w:t>The overall near-record levels continue to be underpinned by raw gas production and directly contrasts the oil production trends, where reported amounts reached a new record low during 2024. Despite efforts in mature projects to undertake infill drilling, this overall trend is unlikely to be reversed unless significant new investment occurs within emerging basins, such as the Roebuck sub-basin, or existing projects receive an economic boost via favourable international oil prices.</w:t>
      </w:r>
    </w:p>
    <w:p w14:paraId="2BB36074" w14:textId="77777777" w:rsidR="000372BF" w:rsidRPr="000372BF" w:rsidRDefault="000372BF" w:rsidP="000372BF"/>
    <w:p w14:paraId="04AACF73" w14:textId="0997CDD9" w:rsidR="00472DA1" w:rsidRDefault="00B3507E" w:rsidP="00347A47">
      <w:pPr>
        <w:keepNext/>
      </w:pPr>
      <w:r>
        <w:rPr>
          <w:noProof/>
        </w:rPr>
        <w:drawing>
          <wp:inline distT="0" distB="0" distL="0" distR="0" wp14:anchorId="64B87315" wp14:editId="170DDB03">
            <wp:extent cx="5731510" cy="3946525"/>
            <wp:effectExtent l="0" t="0" r="2540" b="0"/>
            <wp:docPr id="1962658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58769" name=""/>
                    <pic:cNvPicPr/>
                  </pic:nvPicPr>
                  <pic:blipFill>
                    <a:blip r:embed="rId28"/>
                    <a:stretch>
                      <a:fillRect/>
                    </a:stretch>
                  </pic:blipFill>
                  <pic:spPr>
                    <a:xfrm>
                      <a:off x="0" y="0"/>
                      <a:ext cx="5731510" cy="3946525"/>
                    </a:xfrm>
                    <a:prstGeom prst="rect">
                      <a:avLst/>
                    </a:prstGeom>
                  </pic:spPr>
                </pic:pic>
              </a:graphicData>
            </a:graphic>
          </wp:inline>
        </w:drawing>
      </w:r>
    </w:p>
    <w:p w14:paraId="27E52434" w14:textId="5CE4A96A" w:rsidR="00F702A9" w:rsidRDefault="00472DA1" w:rsidP="00F702A9">
      <w:pPr>
        <w:pStyle w:val="Caption"/>
      </w:pPr>
      <w:r>
        <w:t xml:space="preserve">Figure </w:t>
      </w:r>
      <w:r>
        <w:fldChar w:fldCharType="begin"/>
      </w:r>
      <w:r>
        <w:instrText xml:space="preserve"> SEQ Figure \* ARABIC </w:instrText>
      </w:r>
      <w:r>
        <w:fldChar w:fldCharType="separate"/>
      </w:r>
      <w:r w:rsidR="00CF02F5">
        <w:rPr>
          <w:noProof/>
        </w:rPr>
        <w:t>11</w:t>
      </w:r>
      <w:r>
        <w:fldChar w:fldCharType="end"/>
      </w:r>
      <w:r w:rsidR="00F702A9">
        <w:t xml:space="preserve">: </w:t>
      </w:r>
      <w:r w:rsidR="00F702A9" w:rsidRPr="00A15A6E">
        <w:t>Australian offshore production trends for different resources, as reported to the Titles Administrator over the last 5 years</w:t>
      </w:r>
    </w:p>
    <w:p w14:paraId="25703F11" w14:textId="5C071BA3" w:rsidR="00776980" w:rsidRPr="00570FA7" w:rsidRDefault="00776980" w:rsidP="00570FA7">
      <w:pPr>
        <w:ind w:left="720"/>
        <w:rPr>
          <w:sz w:val="18"/>
          <w:szCs w:val="18"/>
        </w:rPr>
      </w:pPr>
      <w:r w:rsidRPr="00570FA7">
        <w:rPr>
          <w:sz w:val="18"/>
          <w:szCs w:val="18"/>
        </w:rPr>
        <w:t xml:space="preserve"># Raw gas is gas produced offshore from the full </w:t>
      </w:r>
      <w:proofErr w:type="spellStart"/>
      <w:r w:rsidRPr="00570FA7">
        <w:rPr>
          <w:sz w:val="18"/>
          <w:szCs w:val="18"/>
        </w:rPr>
        <w:t>wellstream</w:t>
      </w:r>
      <w:proofErr w:type="spellEnd"/>
      <w:r w:rsidRPr="00570FA7">
        <w:rPr>
          <w:sz w:val="18"/>
          <w:szCs w:val="18"/>
        </w:rPr>
        <w:t xml:space="preserve"> minus water content and condensate recovered from offshore facilities.</w:t>
      </w:r>
    </w:p>
    <w:p w14:paraId="4D5C6846" w14:textId="18C08508" w:rsidR="00E203EF" w:rsidRPr="00570FA7" w:rsidRDefault="00E203EF" w:rsidP="00570FA7">
      <w:pPr>
        <w:ind w:left="720"/>
        <w:rPr>
          <w:sz w:val="18"/>
          <w:szCs w:val="18"/>
        </w:rPr>
      </w:pPr>
      <w:r w:rsidRPr="00570FA7">
        <w:rPr>
          <w:sz w:val="18"/>
          <w:szCs w:val="18"/>
        </w:rPr>
        <w:t xml:space="preserve">*Liquids includes </w:t>
      </w:r>
      <w:r w:rsidR="004C3F1C" w:rsidRPr="00570FA7">
        <w:rPr>
          <w:sz w:val="18"/>
          <w:szCs w:val="18"/>
        </w:rPr>
        <w:t>c</w:t>
      </w:r>
      <w:r w:rsidRPr="00570FA7">
        <w:rPr>
          <w:sz w:val="18"/>
          <w:szCs w:val="18"/>
        </w:rPr>
        <w:t xml:space="preserve">ondensate, </w:t>
      </w:r>
      <w:r w:rsidR="004C3F1C" w:rsidRPr="00570FA7">
        <w:rPr>
          <w:sz w:val="18"/>
          <w:szCs w:val="18"/>
        </w:rPr>
        <w:t>n</w:t>
      </w:r>
      <w:r w:rsidRPr="00570FA7">
        <w:rPr>
          <w:sz w:val="18"/>
          <w:szCs w:val="18"/>
        </w:rPr>
        <w:t xml:space="preserve">atural </w:t>
      </w:r>
      <w:r w:rsidR="004C3F1C" w:rsidRPr="00570FA7">
        <w:rPr>
          <w:sz w:val="18"/>
          <w:szCs w:val="18"/>
        </w:rPr>
        <w:t>g</w:t>
      </w:r>
      <w:r w:rsidRPr="00570FA7">
        <w:rPr>
          <w:sz w:val="18"/>
          <w:szCs w:val="18"/>
        </w:rPr>
        <w:t xml:space="preserve">as </w:t>
      </w:r>
      <w:r w:rsidR="004C3F1C" w:rsidRPr="00570FA7">
        <w:rPr>
          <w:sz w:val="18"/>
          <w:szCs w:val="18"/>
        </w:rPr>
        <w:t>l</w:t>
      </w:r>
      <w:r w:rsidRPr="00570FA7">
        <w:rPr>
          <w:sz w:val="18"/>
          <w:szCs w:val="18"/>
        </w:rPr>
        <w:t xml:space="preserve">iquids and </w:t>
      </w:r>
      <w:r w:rsidR="004C3F1C" w:rsidRPr="00570FA7">
        <w:rPr>
          <w:sz w:val="18"/>
          <w:szCs w:val="18"/>
        </w:rPr>
        <w:t>c</w:t>
      </w:r>
      <w:r w:rsidRPr="00570FA7">
        <w:rPr>
          <w:sz w:val="18"/>
          <w:szCs w:val="18"/>
        </w:rPr>
        <w:t xml:space="preserve">rude </w:t>
      </w:r>
      <w:r w:rsidR="004C3F1C" w:rsidRPr="00570FA7">
        <w:rPr>
          <w:sz w:val="18"/>
          <w:szCs w:val="18"/>
        </w:rPr>
        <w:t>o</w:t>
      </w:r>
      <w:r w:rsidRPr="00570FA7">
        <w:rPr>
          <w:sz w:val="18"/>
          <w:szCs w:val="18"/>
        </w:rPr>
        <w:t>il.</w:t>
      </w:r>
    </w:p>
    <w:p w14:paraId="58BBAA0B" w14:textId="5D2A205E" w:rsidR="004965A7" w:rsidRPr="00D25DD4" w:rsidRDefault="00C056DE" w:rsidP="00D25DD4">
      <w:pPr>
        <w:ind w:left="720"/>
        <w:rPr>
          <w:sz w:val="20"/>
          <w:szCs w:val="20"/>
        </w:rPr>
      </w:pPr>
      <w:r w:rsidRPr="00D25DD4">
        <w:rPr>
          <w:b/>
          <w:bCs/>
          <w:sz w:val="20"/>
          <w:szCs w:val="20"/>
        </w:rPr>
        <w:t>Alternative text description</w:t>
      </w:r>
      <w:r>
        <w:rPr>
          <w:b/>
          <w:bCs/>
          <w:sz w:val="20"/>
          <w:szCs w:val="20"/>
        </w:rPr>
        <w:t>:</w:t>
      </w:r>
      <w:r w:rsidRPr="00D25DD4">
        <w:rPr>
          <w:b/>
          <w:bCs/>
          <w:sz w:val="20"/>
          <w:szCs w:val="20"/>
        </w:rPr>
        <w:t xml:space="preserve"> </w:t>
      </w:r>
      <w:r w:rsidR="00225570">
        <w:rPr>
          <w:sz w:val="20"/>
          <w:szCs w:val="20"/>
        </w:rPr>
        <w:t>Image</w:t>
      </w:r>
      <w:r w:rsidR="004965A7" w:rsidRPr="00D25DD4">
        <w:rPr>
          <w:sz w:val="20"/>
          <w:szCs w:val="20"/>
        </w:rPr>
        <w:t xml:space="preserve"> comprises </w:t>
      </w:r>
      <w:r w:rsidR="00472DA1">
        <w:rPr>
          <w:sz w:val="20"/>
          <w:szCs w:val="20"/>
        </w:rPr>
        <w:t xml:space="preserve">of </w:t>
      </w:r>
      <w:r w:rsidR="002115E9" w:rsidRPr="00D25DD4">
        <w:rPr>
          <w:sz w:val="20"/>
          <w:szCs w:val="20"/>
        </w:rPr>
        <w:t xml:space="preserve">the following </w:t>
      </w:r>
      <w:r w:rsidR="004965A7" w:rsidRPr="00D25DD4">
        <w:rPr>
          <w:sz w:val="20"/>
          <w:szCs w:val="20"/>
        </w:rPr>
        <w:t>4 bar</w:t>
      </w:r>
      <w:r w:rsidR="002859BF" w:rsidRPr="00D25DD4">
        <w:rPr>
          <w:sz w:val="20"/>
          <w:szCs w:val="20"/>
        </w:rPr>
        <w:t xml:space="preserve"> graph</w:t>
      </w:r>
      <w:r w:rsidR="004965A7" w:rsidRPr="00D25DD4">
        <w:rPr>
          <w:sz w:val="20"/>
          <w:szCs w:val="20"/>
        </w:rPr>
        <w:t xml:space="preserve"> charts</w:t>
      </w:r>
      <w:r w:rsidR="005E4204">
        <w:rPr>
          <w:sz w:val="20"/>
          <w:szCs w:val="20"/>
        </w:rPr>
        <w:t>, positioned</w:t>
      </w:r>
      <w:r w:rsidR="004701EE" w:rsidRPr="00D25DD4">
        <w:rPr>
          <w:sz w:val="20"/>
          <w:szCs w:val="20"/>
        </w:rPr>
        <w:t xml:space="preserve"> clockwise from top left:</w:t>
      </w:r>
    </w:p>
    <w:p w14:paraId="0E037B94" w14:textId="74382561" w:rsidR="004978E6" w:rsidRPr="00267D05" w:rsidRDefault="00923E3E" w:rsidP="00383248">
      <w:pPr>
        <w:ind w:left="720"/>
        <w:rPr>
          <w:sz w:val="20"/>
          <w:szCs w:val="20"/>
        </w:rPr>
      </w:pPr>
      <w:r w:rsidRPr="00267D05">
        <w:rPr>
          <w:b/>
          <w:sz w:val="20"/>
          <w:szCs w:val="20"/>
        </w:rPr>
        <w:t xml:space="preserve">Chart </w:t>
      </w:r>
      <w:r w:rsidR="00506013" w:rsidRPr="00267D05">
        <w:rPr>
          <w:b/>
          <w:sz w:val="20"/>
          <w:szCs w:val="20"/>
        </w:rPr>
        <w:t>1</w:t>
      </w:r>
      <w:r w:rsidR="00BA7DB6" w:rsidRPr="00267D05">
        <w:rPr>
          <w:b/>
          <w:sz w:val="20"/>
          <w:szCs w:val="20"/>
        </w:rPr>
        <w:t>:</w:t>
      </w:r>
      <w:r w:rsidR="002A045D" w:rsidRPr="00267D05">
        <w:rPr>
          <w:b/>
          <w:sz w:val="20"/>
          <w:szCs w:val="20"/>
        </w:rPr>
        <w:t xml:space="preserve"> Total </w:t>
      </w:r>
      <w:r w:rsidR="002B1F8D" w:rsidRPr="00267D05">
        <w:rPr>
          <w:b/>
          <w:sz w:val="20"/>
          <w:szCs w:val="20"/>
        </w:rPr>
        <w:t>o</w:t>
      </w:r>
      <w:r w:rsidR="002A045D" w:rsidRPr="00267D05">
        <w:rPr>
          <w:b/>
          <w:sz w:val="20"/>
          <w:szCs w:val="20"/>
        </w:rPr>
        <w:t xml:space="preserve">ffshore </w:t>
      </w:r>
      <w:r w:rsidR="002B1F8D" w:rsidRPr="00267D05">
        <w:rPr>
          <w:b/>
          <w:sz w:val="20"/>
          <w:szCs w:val="20"/>
        </w:rPr>
        <w:t>p</w:t>
      </w:r>
      <w:r w:rsidR="002A045D" w:rsidRPr="00267D05">
        <w:rPr>
          <w:b/>
          <w:sz w:val="20"/>
          <w:szCs w:val="20"/>
        </w:rPr>
        <w:t>roduction</w:t>
      </w:r>
      <w:r w:rsidR="002A045D" w:rsidRPr="00267D05">
        <w:rPr>
          <w:sz w:val="20"/>
          <w:szCs w:val="20"/>
        </w:rPr>
        <w:t xml:space="preserve"> </w:t>
      </w:r>
      <w:r w:rsidR="004978E6" w:rsidRPr="00267D05">
        <w:rPr>
          <w:sz w:val="20"/>
          <w:szCs w:val="20"/>
        </w:rPr>
        <w:t xml:space="preserve">vertical </w:t>
      </w:r>
      <w:r w:rsidR="00F450A3" w:rsidRPr="00267D05">
        <w:rPr>
          <w:sz w:val="20"/>
          <w:szCs w:val="20"/>
        </w:rPr>
        <w:t>ba</w:t>
      </w:r>
      <w:r w:rsidR="00533E48" w:rsidRPr="00267D05">
        <w:rPr>
          <w:sz w:val="20"/>
          <w:szCs w:val="20"/>
        </w:rPr>
        <w:t xml:space="preserve">r </w:t>
      </w:r>
      <w:r w:rsidR="00FC06FC" w:rsidRPr="00267D05">
        <w:rPr>
          <w:sz w:val="20"/>
          <w:szCs w:val="20"/>
        </w:rPr>
        <w:t xml:space="preserve">chart </w:t>
      </w:r>
      <w:r w:rsidR="00533E48" w:rsidRPr="00267D05">
        <w:rPr>
          <w:sz w:val="20"/>
          <w:szCs w:val="20"/>
        </w:rPr>
        <w:t xml:space="preserve">shows </w:t>
      </w:r>
      <w:r w:rsidR="00EB7A02" w:rsidRPr="00267D05">
        <w:rPr>
          <w:sz w:val="20"/>
          <w:szCs w:val="20"/>
        </w:rPr>
        <w:t xml:space="preserve">the total offshore production, measured in million barrels of oil equivalent (MMboe), for </w:t>
      </w:r>
      <w:r w:rsidR="009E1B70">
        <w:rPr>
          <w:sz w:val="20"/>
          <w:szCs w:val="20"/>
        </w:rPr>
        <w:t>the five years from</w:t>
      </w:r>
      <w:r w:rsidR="00892A73">
        <w:rPr>
          <w:sz w:val="20"/>
          <w:szCs w:val="20"/>
        </w:rPr>
        <w:t xml:space="preserve"> </w:t>
      </w:r>
      <w:r w:rsidR="00EB7A02" w:rsidRPr="00267D05">
        <w:rPr>
          <w:sz w:val="20"/>
          <w:szCs w:val="20"/>
        </w:rPr>
        <w:t>2020</w:t>
      </w:r>
      <w:r w:rsidR="00892A73">
        <w:rPr>
          <w:sz w:val="20"/>
          <w:szCs w:val="20"/>
        </w:rPr>
        <w:t xml:space="preserve"> </w:t>
      </w:r>
      <w:r w:rsidR="009E1B70">
        <w:rPr>
          <w:sz w:val="20"/>
          <w:szCs w:val="20"/>
        </w:rPr>
        <w:t xml:space="preserve">to </w:t>
      </w:r>
      <w:r w:rsidR="00EB7A02" w:rsidRPr="00267D05">
        <w:rPr>
          <w:sz w:val="20"/>
          <w:szCs w:val="20"/>
        </w:rPr>
        <w:t>2024.</w:t>
      </w:r>
    </w:p>
    <w:p w14:paraId="681CFA73" w14:textId="435FEAA6" w:rsidR="00BA7DB6" w:rsidRPr="00267D05" w:rsidRDefault="00963C59" w:rsidP="00383248">
      <w:pPr>
        <w:ind w:left="720"/>
        <w:rPr>
          <w:sz w:val="20"/>
          <w:szCs w:val="20"/>
        </w:rPr>
      </w:pPr>
      <w:r w:rsidRPr="00267D05">
        <w:rPr>
          <w:sz w:val="20"/>
          <w:szCs w:val="20"/>
        </w:rPr>
        <w:t xml:space="preserve">The </w:t>
      </w:r>
      <w:r w:rsidR="00EB7A02" w:rsidRPr="00267D05">
        <w:rPr>
          <w:sz w:val="20"/>
          <w:szCs w:val="20"/>
        </w:rPr>
        <w:t xml:space="preserve">chart </w:t>
      </w:r>
      <w:r w:rsidRPr="00267D05">
        <w:rPr>
          <w:sz w:val="20"/>
          <w:szCs w:val="20"/>
        </w:rPr>
        <w:t xml:space="preserve">shows that </w:t>
      </w:r>
      <w:r w:rsidR="00385F17">
        <w:rPr>
          <w:sz w:val="20"/>
          <w:szCs w:val="20"/>
        </w:rPr>
        <w:t>total</w:t>
      </w:r>
      <w:r w:rsidRPr="00267D05">
        <w:rPr>
          <w:sz w:val="20"/>
          <w:szCs w:val="20"/>
        </w:rPr>
        <w:t xml:space="preserve"> production </w:t>
      </w:r>
      <w:r w:rsidR="00943899" w:rsidRPr="00267D05">
        <w:rPr>
          <w:sz w:val="20"/>
          <w:szCs w:val="20"/>
        </w:rPr>
        <w:t>sat r</w:t>
      </w:r>
      <w:r w:rsidR="00936D91" w:rsidRPr="00267D05">
        <w:rPr>
          <w:sz w:val="20"/>
          <w:szCs w:val="20"/>
        </w:rPr>
        <w:t>oughly between</w:t>
      </w:r>
      <w:r w:rsidR="00752569" w:rsidRPr="00267D05">
        <w:rPr>
          <w:sz w:val="20"/>
          <w:szCs w:val="20"/>
        </w:rPr>
        <w:t xml:space="preserve"> 850</w:t>
      </w:r>
      <w:r w:rsidR="00943899" w:rsidRPr="00267D05">
        <w:rPr>
          <w:sz w:val="20"/>
          <w:szCs w:val="20"/>
        </w:rPr>
        <w:t xml:space="preserve"> and 900 for all </w:t>
      </w:r>
      <w:r w:rsidR="008A463F" w:rsidRPr="00267D05">
        <w:rPr>
          <w:sz w:val="20"/>
          <w:szCs w:val="20"/>
        </w:rPr>
        <w:t xml:space="preserve">5 </w:t>
      </w:r>
      <w:r w:rsidR="00943899" w:rsidRPr="00267D05">
        <w:rPr>
          <w:sz w:val="20"/>
          <w:szCs w:val="20"/>
        </w:rPr>
        <w:t>years, with the highest year of produ</w:t>
      </w:r>
      <w:r w:rsidR="0080600A" w:rsidRPr="00267D05">
        <w:rPr>
          <w:sz w:val="20"/>
          <w:szCs w:val="20"/>
        </w:rPr>
        <w:t xml:space="preserve">ction at 900 million in 2022. </w:t>
      </w:r>
    </w:p>
    <w:p w14:paraId="13038CBA" w14:textId="44E8AD7A" w:rsidR="009B207E" w:rsidRPr="00267D05" w:rsidRDefault="002859BF" w:rsidP="00383248">
      <w:pPr>
        <w:ind w:left="720"/>
        <w:rPr>
          <w:sz w:val="20"/>
          <w:szCs w:val="20"/>
        </w:rPr>
      </w:pPr>
      <w:r w:rsidRPr="00267D05">
        <w:rPr>
          <w:b/>
          <w:sz w:val="20"/>
          <w:szCs w:val="20"/>
        </w:rPr>
        <w:lastRenderedPageBreak/>
        <w:t xml:space="preserve">Chart </w:t>
      </w:r>
      <w:r w:rsidR="00506013" w:rsidRPr="00267D05">
        <w:rPr>
          <w:b/>
          <w:sz w:val="20"/>
          <w:szCs w:val="20"/>
        </w:rPr>
        <w:t>2:</w:t>
      </w:r>
      <w:r w:rsidR="002B1F8D" w:rsidRPr="00267D05">
        <w:rPr>
          <w:b/>
          <w:sz w:val="20"/>
          <w:szCs w:val="20"/>
        </w:rPr>
        <w:t xml:space="preserve"> Total oil production </w:t>
      </w:r>
      <w:r w:rsidR="00026B82" w:rsidRPr="00267D05">
        <w:rPr>
          <w:sz w:val="20"/>
          <w:szCs w:val="20"/>
        </w:rPr>
        <w:t xml:space="preserve">shows the total oil production </w:t>
      </w:r>
      <w:r w:rsidR="000D0ACA" w:rsidRPr="00267D05">
        <w:rPr>
          <w:sz w:val="20"/>
          <w:szCs w:val="20"/>
        </w:rPr>
        <w:t xml:space="preserve">in million cubic metres </w:t>
      </w:r>
      <w:r w:rsidR="00C030AA" w:rsidRPr="00267D05">
        <w:rPr>
          <w:sz w:val="20"/>
          <w:szCs w:val="20"/>
        </w:rPr>
        <w:t xml:space="preserve">for the </w:t>
      </w:r>
      <w:r w:rsidR="008A463F" w:rsidRPr="00267D05">
        <w:rPr>
          <w:sz w:val="20"/>
          <w:szCs w:val="20"/>
        </w:rPr>
        <w:t xml:space="preserve">5 </w:t>
      </w:r>
      <w:r w:rsidR="00C030AA" w:rsidRPr="00267D05">
        <w:rPr>
          <w:sz w:val="20"/>
          <w:szCs w:val="20"/>
        </w:rPr>
        <w:t xml:space="preserve">years from 2020 to 2024. </w:t>
      </w:r>
      <w:r w:rsidR="00530185" w:rsidRPr="00267D05">
        <w:rPr>
          <w:sz w:val="20"/>
          <w:szCs w:val="20"/>
        </w:rPr>
        <w:t xml:space="preserve">The graph shows </w:t>
      </w:r>
      <w:r w:rsidR="00FA66A2" w:rsidRPr="00267D05">
        <w:rPr>
          <w:sz w:val="20"/>
          <w:szCs w:val="20"/>
        </w:rPr>
        <w:t>production declining steadily in the 5 years, with</w:t>
      </w:r>
      <w:r w:rsidR="00530185" w:rsidRPr="00267D05">
        <w:rPr>
          <w:sz w:val="20"/>
          <w:szCs w:val="20"/>
        </w:rPr>
        <w:t xml:space="preserve"> </w:t>
      </w:r>
      <w:r w:rsidR="008C357B" w:rsidRPr="00267D05">
        <w:rPr>
          <w:sz w:val="20"/>
          <w:szCs w:val="20"/>
        </w:rPr>
        <w:t xml:space="preserve">6 million cubic metres produced in 2020, </w:t>
      </w:r>
      <w:r w:rsidR="00F31257" w:rsidRPr="00267D05">
        <w:rPr>
          <w:sz w:val="20"/>
          <w:szCs w:val="20"/>
        </w:rPr>
        <w:t>5 for 2021 and 2022</w:t>
      </w:r>
      <w:r w:rsidR="004A0965" w:rsidRPr="00267D05">
        <w:rPr>
          <w:sz w:val="20"/>
          <w:szCs w:val="20"/>
        </w:rPr>
        <w:t xml:space="preserve">, </w:t>
      </w:r>
      <w:r w:rsidR="009B207E" w:rsidRPr="00267D05">
        <w:rPr>
          <w:sz w:val="20"/>
          <w:szCs w:val="20"/>
        </w:rPr>
        <w:t xml:space="preserve">4 for 2023 and 3 for 2024. </w:t>
      </w:r>
    </w:p>
    <w:p w14:paraId="494769D1" w14:textId="0E06F5D7" w:rsidR="00502121" w:rsidRPr="00267D05" w:rsidRDefault="002859BF" w:rsidP="00383248">
      <w:pPr>
        <w:ind w:left="720"/>
        <w:rPr>
          <w:sz w:val="20"/>
          <w:szCs w:val="20"/>
        </w:rPr>
      </w:pPr>
      <w:r w:rsidRPr="00267D05">
        <w:rPr>
          <w:b/>
          <w:sz w:val="20"/>
          <w:szCs w:val="20"/>
        </w:rPr>
        <w:t xml:space="preserve">Chart </w:t>
      </w:r>
      <w:r w:rsidR="00502121" w:rsidRPr="00267D05">
        <w:rPr>
          <w:b/>
          <w:sz w:val="20"/>
          <w:szCs w:val="20"/>
        </w:rPr>
        <w:t>3:</w:t>
      </w:r>
      <w:r w:rsidR="002B1F8D" w:rsidRPr="00267D05">
        <w:rPr>
          <w:b/>
          <w:sz w:val="20"/>
          <w:szCs w:val="20"/>
        </w:rPr>
        <w:t xml:space="preserve"> Total raw gas production </w:t>
      </w:r>
      <w:r w:rsidR="00C50D79" w:rsidRPr="00267D05">
        <w:rPr>
          <w:sz w:val="20"/>
          <w:szCs w:val="20"/>
        </w:rPr>
        <w:t xml:space="preserve">vertical </w:t>
      </w:r>
      <w:r w:rsidR="002B23DA" w:rsidRPr="00267D05">
        <w:rPr>
          <w:sz w:val="20"/>
          <w:szCs w:val="20"/>
        </w:rPr>
        <w:t xml:space="preserve">bar </w:t>
      </w:r>
      <w:r w:rsidR="00C50D79" w:rsidRPr="00267D05">
        <w:rPr>
          <w:sz w:val="20"/>
          <w:szCs w:val="20"/>
        </w:rPr>
        <w:t>chart</w:t>
      </w:r>
      <w:r w:rsidR="00C50D79" w:rsidRPr="00267D05">
        <w:rPr>
          <w:b/>
          <w:sz w:val="20"/>
          <w:szCs w:val="20"/>
        </w:rPr>
        <w:t xml:space="preserve"> </w:t>
      </w:r>
      <w:r w:rsidR="00FA0812" w:rsidRPr="00267D05">
        <w:rPr>
          <w:sz w:val="20"/>
          <w:szCs w:val="20"/>
        </w:rPr>
        <w:t xml:space="preserve">shows </w:t>
      </w:r>
      <w:r w:rsidR="003E1F18" w:rsidRPr="00267D05">
        <w:rPr>
          <w:sz w:val="20"/>
          <w:szCs w:val="20"/>
        </w:rPr>
        <w:t xml:space="preserve">the production levels in millions </w:t>
      </w:r>
      <w:r w:rsidR="00CC5170" w:rsidRPr="00267D05">
        <w:rPr>
          <w:sz w:val="20"/>
          <w:szCs w:val="20"/>
        </w:rPr>
        <w:t xml:space="preserve">cubic metres </w:t>
      </w:r>
      <w:r w:rsidR="00A822BE">
        <w:rPr>
          <w:sz w:val="20"/>
          <w:szCs w:val="20"/>
        </w:rPr>
        <w:t>for the five years</w:t>
      </w:r>
      <w:r w:rsidR="00CC5170" w:rsidRPr="00267D05">
        <w:rPr>
          <w:sz w:val="20"/>
          <w:szCs w:val="20"/>
        </w:rPr>
        <w:t xml:space="preserve"> between 2020 </w:t>
      </w:r>
      <w:r w:rsidR="00951ECA" w:rsidRPr="00267D05">
        <w:rPr>
          <w:sz w:val="20"/>
          <w:szCs w:val="20"/>
        </w:rPr>
        <w:t>to 2024.</w:t>
      </w:r>
      <w:r w:rsidR="006423EA" w:rsidRPr="00267D05">
        <w:rPr>
          <w:sz w:val="20"/>
          <w:szCs w:val="20"/>
        </w:rPr>
        <w:t xml:space="preserve"> Raw gas production has remained stable between 110 and 120</w:t>
      </w:r>
      <w:r w:rsidR="006423EA" w:rsidRPr="00267D05">
        <w:rPr>
          <w:rFonts w:ascii="Arial" w:hAnsi="Arial" w:cs="Arial"/>
          <w:sz w:val="20"/>
          <w:szCs w:val="20"/>
        </w:rPr>
        <w:t> </w:t>
      </w:r>
      <w:r w:rsidR="006423EA" w:rsidRPr="00267D05">
        <w:rPr>
          <w:sz w:val="20"/>
          <w:szCs w:val="20"/>
        </w:rPr>
        <w:t>million</w:t>
      </w:r>
      <w:r w:rsidR="006423EA" w:rsidRPr="00267D05">
        <w:rPr>
          <w:rFonts w:ascii="Arial" w:hAnsi="Arial" w:cs="Arial"/>
          <w:sz w:val="20"/>
          <w:szCs w:val="20"/>
        </w:rPr>
        <w:t> </w:t>
      </w:r>
      <w:r w:rsidR="006423EA" w:rsidRPr="00267D05">
        <w:rPr>
          <w:sz w:val="20"/>
          <w:szCs w:val="20"/>
        </w:rPr>
        <w:t>cubic metres, peaking in 2022.</w:t>
      </w:r>
    </w:p>
    <w:p w14:paraId="2DB17ECE" w14:textId="7EEF362C" w:rsidR="00502121" w:rsidRPr="00267D05" w:rsidRDefault="002859BF" w:rsidP="00383248">
      <w:pPr>
        <w:ind w:left="720"/>
        <w:rPr>
          <w:sz w:val="20"/>
          <w:szCs w:val="20"/>
        </w:rPr>
      </w:pPr>
      <w:r w:rsidRPr="00267D05">
        <w:rPr>
          <w:b/>
          <w:sz w:val="20"/>
          <w:szCs w:val="20"/>
        </w:rPr>
        <w:t xml:space="preserve">Chart </w:t>
      </w:r>
      <w:r w:rsidR="00502121" w:rsidRPr="00267D05">
        <w:rPr>
          <w:b/>
          <w:sz w:val="20"/>
          <w:szCs w:val="20"/>
        </w:rPr>
        <w:t>4:</w:t>
      </w:r>
      <w:r w:rsidR="002B1F8D" w:rsidRPr="00267D05">
        <w:rPr>
          <w:b/>
          <w:sz w:val="20"/>
          <w:szCs w:val="20"/>
        </w:rPr>
        <w:t xml:space="preserve"> Total liquids* production</w:t>
      </w:r>
      <w:r w:rsidR="00E3696C" w:rsidRPr="00267D05">
        <w:rPr>
          <w:b/>
          <w:sz w:val="20"/>
          <w:szCs w:val="20"/>
        </w:rPr>
        <w:t xml:space="preserve"> </w:t>
      </w:r>
      <w:r w:rsidR="00E3696C" w:rsidRPr="00267D05">
        <w:rPr>
          <w:sz w:val="20"/>
          <w:szCs w:val="20"/>
        </w:rPr>
        <w:t xml:space="preserve">vertical bar chart shows the total liquids production </w:t>
      </w:r>
      <w:r w:rsidR="00023BE5">
        <w:rPr>
          <w:sz w:val="20"/>
          <w:szCs w:val="20"/>
        </w:rPr>
        <w:t>for the five years</w:t>
      </w:r>
      <w:r w:rsidR="00E3696C" w:rsidRPr="00267D05">
        <w:rPr>
          <w:sz w:val="20"/>
          <w:szCs w:val="20"/>
        </w:rPr>
        <w:t xml:space="preserve"> from 2020 to 2024, measured in million cubic metres. Liquids include condensate, natural gas liquids and crude oil.</w:t>
      </w:r>
      <w:r w:rsidR="002B1F8D" w:rsidRPr="00267D05">
        <w:rPr>
          <w:sz w:val="20"/>
          <w:szCs w:val="20"/>
        </w:rPr>
        <w:t xml:space="preserve"> </w:t>
      </w:r>
      <w:r w:rsidR="00EB47D4" w:rsidRPr="00267D05">
        <w:rPr>
          <w:sz w:val="20"/>
          <w:szCs w:val="20"/>
        </w:rPr>
        <w:t xml:space="preserve">This </w:t>
      </w:r>
      <w:r w:rsidR="002A7077" w:rsidRPr="00267D05">
        <w:rPr>
          <w:sz w:val="20"/>
          <w:szCs w:val="20"/>
        </w:rPr>
        <w:t xml:space="preserve">chart </w:t>
      </w:r>
      <w:r w:rsidR="00EB47D4" w:rsidRPr="00267D05">
        <w:rPr>
          <w:sz w:val="20"/>
          <w:szCs w:val="20"/>
        </w:rPr>
        <w:t xml:space="preserve">shows a gradual decline in production, with </w:t>
      </w:r>
      <w:r w:rsidR="00F35832" w:rsidRPr="00267D05">
        <w:rPr>
          <w:sz w:val="20"/>
          <w:szCs w:val="20"/>
        </w:rPr>
        <w:t xml:space="preserve">the year 2020 showing 19 cubic metres, </w:t>
      </w:r>
      <w:r w:rsidR="00454FE3" w:rsidRPr="00267D05">
        <w:rPr>
          <w:sz w:val="20"/>
          <w:szCs w:val="20"/>
        </w:rPr>
        <w:t xml:space="preserve">2021 with 18, 2022 with 17, </w:t>
      </w:r>
      <w:r w:rsidR="00655775" w:rsidRPr="00267D05">
        <w:rPr>
          <w:sz w:val="20"/>
          <w:szCs w:val="20"/>
        </w:rPr>
        <w:t xml:space="preserve">2023 with 15, and 2024 with </w:t>
      </w:r>
      <w:r w:rsidR="000C5AEC" w:rsidRPr="00267D05">
        <w:rPr>
          <w:sz w:val="20"/>
          <w:szCs w:val="20"/>
        </w:rPr>
        <w:t xml:space="preserve">the lowest production of 14 </w:t>
      </w:r>
      <w:r w:rsidR="00772A39" w:rsidRPr="00267D05">
        <w:rPr>
          <w:sz w:val="20"/>
          <w:szCs w:val="20"/>
        </w:rPr>
        <w:t>million cubic metres of production.</w:t>
      </w:r>
      <w:r w:rsidR="00AA73E4" w:rsidRPr="00267D05">
        <w:rPr>
          <w:sz w:val="20"/>
          <w:szCs w:val="20"/>
        </w:rPr>
        <w:t xml:space="preserve"> </w:t>
      </w:r>
    </w:p>
    <w:p w14:paraId="61D93CE3" w14:textId="07678FBB" w:rsidR="0083777C" w:rsidRDefault="0083777C">
      <w:pPr>
        <w:spacing w:before="0" w:after="160" w:line="259" w:lineRule="auto"/>
        <w:rPr>
          <w:b/>
          <w:bCs/>
        </w:rPr>
      </w:pPr>
      <w:r>
        <w:rPr>
          <w:b/>
          <w:bCs/>
        </w:rPr>
        <w:br w:type="page"/>
      </w:r>
    </w:p>
    <w:p w14:paraId="77DEA53B" w14:textId="3B3DBAF6" w:rsidR="0083777C" w:rsidRPr="001E03AB" w:rsidRDefault="0083777C" w:rsidP="0083777C">
      <w:r w:rsidRPr="001E03AB">
        <w:lastRenderedPageBreak/>
        <w:t xml:space="preserve">In 2024, the Northern Carnarvon </w:t>
      </w:r>
      <w:r w:rsidR="00724714">
        <w:t>b</w:t>
      </w:r>
      <w:r w:rsidRPr="001E03AB">
        <w:t xml:space="preserve">asin continued to be the largest source of raw gas and </w:t>
      </w:r>
      <w:r w:rsidR="001B5905">
        <w:t xml:space="preserve">liquids </w:t>
      </w:r>
      <w:r w:rsidRPr="001E03AB">
        <w:t>(crude oil, condensate and natural gas liquids) production, accounting for 75% and 57% (respectively) of the total across offshore Australia (</w:t>
      </w:r>
      <w:r w:rsidRPr="00690B65">
        <w:t xml:space="preserve">Figure </w:t>
      </w:r>
      <w:r w:rsidR="00690B65" w:rsidRPr="00690B65">
        <w:t>1</w:t>
      </w:r>
      <w:r w:rsidR="00050A43">
        <w:t>2</w:t>
      </w:r>
      <w:r w:rsidRPr="001E03AB">
        <w:t xml:space="preserve">). </w:t>
      </w:r>
    </w:p>
    <w:p w14:paraId="3375BF7F" w14:textId="28598A83" w:rsidR="0083777C" w:rsidRDefault="0083777C" w:rsidP="0083777C">
      <w:r w:rsidRPr="001E03AB">
        <w:t xml:space="preserve">The Browse </w:t>
      </w:r>
      <w:r w:rsidR="00690B65">
        <w:t>b</w:t>
      </w:r>
      <w:r w:rsidRPr="001E03AB">
        <w:t>asin remained the second largest contributor, representing 18% of total raw gas production, increasing slightly to account for 30% of total liquids production. The relative share from remaining offshore basins continued to decline, contributing approximately 7% of total raw gas and 13% of total liquids production.</w:t>
      </w:r>
    </w:p>
    <w:p w14:paraId="0CD3B043" w14:textId="77777777" w:rsidR="00063125" w:rsidRDefault="00A90C37" w:rsidP="00063125">
      <w:pPr>
        <w:keepNext/>
      </w:pPr>
      <w:r w:rsidRPr="00A90C37">
        <w:rPr>
          <w:noProof/>
        </w:rPr>
        <w:drawing>
          <wp:inline distT="0" distB="0" distL="0" distR="0" wp14:anchorId="3D945EB1" wp14:editId="1AE3D053">
            <wp:extent cx="5731510" cy="4039870"/>
            <wp:effectExtent l="0" t="0" r="2540" b="0"/>
            <wp:docPr id="1613258603" name="Picture 2" descr="A national map showing aggregated petroleum production volumes by offshore sedimentary basin during the 2024–25 calendar year. Find alternative description under figure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58603" name="Picture 2" descr="A national map showing aggregated petroleum production volumes by offshore sedimentary basin during the 2024–25 calendar year. Find alternative description under figure 12.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4039870"/>
                    </a:xfrm>
                    <a:prstGeom prst="rect">
                      <a:avLst/>
                    </a:prstGeom>
                    <a:noFill/>
                    <a:ln>
                      <a:noFill/>
                    </a:ln>
                  </pic:spPr>
                </pic:pic>
              </a:graphicData>
            </a:graphic>
          </wp:inline>
        </w:drawing>
      </w:r>
    </w:p>
    <w:p w14:paraId="4ABC211C" w14:textId="1C805137" w:rsidR="003331FF" w:rsidRDefault="00063125" w:rsidP="00C7424A">
      <w:pPr>
        <w:pStyle w:val="Caption"/>
      </w:pPr>
      <w:r>
        <w:t xml:space="preserve">Figure </w:t>
      </w:r>
      <w:r>
        <w:fldChar w:fldCharType="begin"/>
      </w:r>
      <w:r>
        <w:instrText xml:space="preserve"> SEQ Figure \* ARABIC </w:instrText>
      </w:r>
      <w:r>
        <w:fldChar w:fldCharType="separate"/>
      </w:r>
      <w:r w:rsidR="00E11938">
        <w:rPr>
          <w:noProof/>
        </w:rPr>
        <w:t>12</w:t>
      </w:r>
      <w:r>
        <w:fldChar w:fldCharType="end"/>
      </w:r>
      <w:r>
        <w:t>:</w:t>
      </w:r>
      <w:r w:rsidR="00876947">
        <w:t xml:space="preserve"> </w:t>
      </w:r>
      <w:r w:rsidRPr="00327650">
        <w:t>Australia's producing offshore basins and their relative contribution to total production in 2024</w:t>
      </w:r>
    </w:p>
    <w:p w14:paraId="38DCB4FB" w14:textId="360EBCF2" w:rsidR="00E32B6A" w:rsidRPr="00F45F31" w:rsidRDefault="00E31B1D" w:rsidP="00F45F31">
      <w:pPr>
        <w:ind w:left="720"/>
        <w:rPr>
          <w:sz w:val="20"/>
          <w:szCs w:val="20"/>
        </w:rPr>
      </w:pPr>
      <w:r w:rsidRPr="00F45F31">
        <w:rPr>
          <w:b/>
          <w:bCs/>
          <w:sz w:val="20"/>
          <w:szCs w:val="20"/>
        </w:rPr>
        <w:t>Alternative text description:</w:t>
      </w:r>
      <w:r w:rsidR="00E32B6A" w:rsidRPr="00F45F31">
        <w:rPr>
          <w:b/>
          <w:bCs/>
          <w:sz w:val="20"/>
          <w:szCs w:val="20"/>
        </w:rPr>
        <w:t xml:space="preserve"> </w:t>
      </w:r>
      <w:r w:rsidR="00E32B6A" w:rsidRPr="00F45F31">
        <w:rPr>
          <w:sz w:val="20"/>
          <w:szCs w:val="20"/>
        </w:rPr>
        <w:t xml:space="preserve">A national map showing annual offshore petroleum production volumes by sedimentary basin during the 2024–25 </w:t>
      </w:r>
      <w:r w:rsidR="00EA5A15">
        <w:rPr>
          <w:sz w:val="20"/>
          <w:szCs w:val="20"/>
        </w:rPr>
        <w:t>calendar</w:t>
      </w:r>
      <w:r w:rsidR="00E32B6A" w:rsidRPr="00F45F31">
        <w:rPr>
          <w:sz w:val="20"/>
          <w:szCs w:val="20"/>
        </w:rPr>
        <w:t xml:space="preserve"> year. The map includes two pie charts representing the contribution of each basin to Australia's overall production of raw gas and liquids. Colours used in the pie charts correspond to individual sedimentary basins. The pie charts are equal in size for illustrative purposes and are not to scale. Colour coding supports interpretation of each basin’s contribution to </w:t>
      </w:r>
      <w:r w:rsidR="00870B31">
        <w:rPr>
          <w:sz w:val="20"/>
          <w:szCs w:val="20"/>
        </w:rPr>
        <w:t>total</w:t>
      </w:r>
      <w:r w:rsidR="00E32B6A" w:rsidRPr="00F45F31">
        <w:rPr>
          <w:sz w:val="20"/>
          <w:szCs w:val="20"/>
        </w:rPr>
        <w:t xml:space="preserve"> annual production.</w:t>
      </w:r>
    </w:p>
    <w:p w14:paraId="0617C885" w14:textId="02C7EA09" w:rsidR="00E32B6A" w:rsidRPr="00F45F31" w:rsidRDefault="00E32B6A" w:rsidP="00F45F31">
      <w:pPr>
        <w:ind w:left="720"/>
        <w:rPr>
          <w:sz w:val="20"/>
          <w:szCs w:val="20"/>
        </w:rPr>
      </w:pPr>
      <w:r w:rsidRPr="00F45F31">
        <w:rPr>
          <w:rFonts w:ascii="Aptos" w:eastAsia="Aptos" w:hAnsi="Aptos" w:cs="Aptos"/>
          <w:color w:val="000000" w:themeColor="text1"/>
          <w:sz w:val="20"/>
          <w:szCs w:val="20"/>
        </w:rPr>
        <w:t xml:space="preserve">Basins along the coast of Western Australia and Northern Territory include Bonaparte, Browse, Northern Carnarvon and Perth. Basins along the coast of Victoria </w:t>
      </w:r>
      <w:r w:rsidR="00856A6D">
        <w:rPr>
          <w:rFonts w:ascii="Aptos" w:eastAsia="Aptos" w:hAnsi="Aptos" w:cs="Aptos"/>
          <w:color w:val="000000" w:themeColor="text1"/>
          <w:sz w:val="20"/>
          <w:szCs w:val="20"/>
        </w:rPr>
        <w:t>and South Australia</w:t>
      </w:r>
      <w:r w:rsidRPr="00F45F31">
        <w:rPr>
          <w:rFonts w:ascii="Aptos" w:eastAsia="Aptos" w:hAnsi="Aptos" w:cs="Aptos"/>
          <w:color w:val="000000" w:themeColor="text1"/>
          <w:sz w:val="20"/>
          <w:szCs w:val="20"/>
        </w:rPr>
        <w:t xml:space="preserve"> include Otway, Bass and Gippsland.</w:t>
      </w:r>
    </w:p>
    <w:p w14:paraId="597446CB" w14:textId="779A9F65" w:rsidR="00E32B6A" w:rsidRPr="00DD136C" w:rsidRDefault="00E32B6A" w:rsidP="00F45F31">
      <w:pPr>
        <w:ind w:left="720"/>
        <w:rPr>
          <w:sz w:val="20"/>
          <w:szCs w:val="20"/>
        </w:rPr>
      </w:pPr>
      <w:r w:rsidRPr="00F45F31">
        <w:rPr>
          <w:sz w:val="20"/>
          <w:szCs w:val="20"/>
        </w:rPr>
        <w:t xml:space="preserve">Australia’s total raw gas production for the 2024–25 </w:t>
      </w:r>
      <w:r w:rsidR="00DD3CD5">
        <w:rPr>
          <w:sz w:val="20"/>
          <w:szCs w:val="20"/>
        </w:rPr>
        <w:t>calendar</w:t>
      </w:r>
      <w:r w:rsidRPr="00F45F31">
        <w:rPr>
          <w:sz w:val="20"/>
          <w:szCs w:val="20"/>
        </w:rPr>
        <w:t xml:space="preserve"> year </w:t>
      </w:r>
      <w:r w:rsidRPr="00DD136C">
        <w:rPr>
          <w:sz w:val="20"/>
          <w:szCs w:val="20"/>
        </w:rPr>
        <w:t xml:space="preserve">was approximately 114 billion standard cubic metres, while total liquids production was approximately 14 million standard cubic metres. The Northern Carnarvon </w:t>
      </w:r>
      <w:r w:rsidR="008B6373" w:rsidRPr="00DD136C">
        <w:rPr>
          <w:sz w:val="20"/>
          <w:szCs w:val="20"/>
        </w:rPr>
        <w:t>b</w:t>
      </w:r>
      <w:r w:rsidRPr="00DD136C">
        <w:rPr>
          <w:sz w:val="20"/>
          <w:szCs w:val="20"/>
        </w:rPr>
        <w:t>asin contributed 75% of the nation’s raw gas output and more than half of its total liquids production.</w:t>
      </w:r>
    </w:p>
    <w:p w14:paraId="4298693C" w14:textId="062B6779" w:rsidR="00E31B1D" w:rsidRPr="00DD3CD5" w:rsidRDefault="00E32B6A" w:rsidP="00F45F31">
      <w:pPr>
        <w:ind w:left="720"/>
        <w:rPr>
          <w:rFonts w:ascii="Aptos" w:eastAsia="Aptos" w:hAnsi="Aptos" w:cs="Aptos"/>
          <w:color w:val="000000" w:themeColor="text1"/>
          <w:sz w:val="20"/>
          <w:szCs w:val="20"/>
        </w:rPr>
      </w:pPr>
      <w:r w:rsidRPr="00DD136C">
        <w:rPr>
          <w:sz w:val="20"/>
          <w:szCs w:val="20"/>
        </w:rPr>
        <w:t xml:space="preserve">Note on the map: </w:t>
      </w:r>
      <w:r w:rsidRPr="00DD136C">
        <w:rPr>
          <w:rFonts w:ascii="Aptos" w:eastAsia="Aptos" w:hAnsi="Aptos" w:cs="Aptos"/>
          <w:color w:val="000000" w:themeColor="text1"/>
          <w:sz w:val="20"/>
          <w:szCs w:val="20"/>
        </w:rPr>
        <w:t xml:space="preserve">the colours used in the pie charts correspond to each basin's contribution to overall Australian production of raw gas and liquids respectively. The </w:t>
      </w:r>
      <w:r w:rsidR="002406C8">
        <w:rPr>
          <w:rFonts w:ascii="Aptos" w:eastAsia="Aptos" w:hAnsi="Aptos" w:cs="Aptos"/>
          <w:color w:val="000000" w:themeColor="text1"/>
          <w:sz w:val="20"/>
          <w:szCs w:val="20"/>
        </w:rPr>
        <w:t>2</w:t>
      </w:r>
      <w:r w:rsidR="002406C8" w:rsidRPr="00DD3CD5">
        <w:rPr>
          <w:rFonts w:ascii="Aptos" w:eastAsia="Aptos" w:hAnsi="Aptos" w:cs="Aptos"/>
          <w:color w:val="000000" w:themeColor="text1"/>
          <w:sz w:val="20"/>
          <w:szCs w:val="20"/>
        </w:rPr>
        <w:t xml:space="preserve"> </w:t>
      </w:r>
      <w:r w:rsidRPr="00DD3CD5">
        <w:rPr>
          <w:rFonts w:ascii="Aptos" w:eastAsia="Aptos" w:hAnsi="Aptos" w:cs="Aptos"/>
          <w:color w:val="000000" w:themeColor="text1"/>
          <w:sz w:val="20"/>
          <w:szCs w:val="20"/>
        </w:rPr>
        <w:t>pie charts are the same size for illustrative purposes only and direct comparison of their size is not intended.</w:t>
      </w:r>
    </w:p>
    <w:p w14:paraId="5275C592" w14:textId="57416836" w:rsidR="003D5DE9" w:rsidRDefault="003A7893" w:rsidP="003A7893">
      <w:pPr>
        <w:pStyle w:val="Heading3"/>
        <w:rPr>
          <w:b/>
          <w:bCs/>
        </w:rPr>
      </w:pPr>
      <w:bookmarkStart w:id="117" w:name="_Toc221544027"/>
      <w:bookmarkStart w:id="118" w:name="_Toc221546106"/>
      <w:bookmarkStart w:id="119" w:name="_Toc221627098"/>
      <w:bookmarkStart w:id="120" w:name="_Toc222500459"/>
      <w:r>
        <w:rPr>
          <w:rFonts w:eastAsia="Aptos"/>
        </w:rPr>
        <w:lastRenderedPageBreak/>
        <w:t>GHG storage activity</w:t>
      </w:r>
      <w:bookmarkEnd w:id="117"/>
      <w:bookmarkEnd w:id="118"/>
      <w:bookmarkEnd w:id="119"/>
      <w:bookmarkEnd w:id="120"/>
      <w:r>
        <w:rPr>
          <w:rFonts w:eastAsia="Aptos"/>
        </w:rPr>
        <w:t xml:space="preserve"> </w:t>
      </w:r>
    </w:p>
    <w:p w14:paraId="7081F3EA" w14:textId="7925A343" w:rsidR="00B85C53" w:rsidRDefault="00B779A9" w:rsidP="00891C1D">
      <w:pPr>
        <w:keepNext/>
      </w:pPr>
      <w:r w:rsidRPr="00B779A9">
        <w:rPr>
          <w:noProof/>
        </w:rPr>
        <w:drawing>
          <wp:anchor distT="0" distB="0" distL="114300" distR="114300" simplePos="0" relativeHeight="251659264" behindDoc="0" locked="0" layoutInCell="1" allowOverlap="1" wp14:anchorId="7C192CE1" wp14:editId="6DFC0A57">
            <wp:simplePos x="914400" y="1180800"/>
            <wp:positionH relativeFrom="column">
              <wp:align>left</wp:align>
            </wp:positionH>
            <wp:positionV relativeFrom="paragraph">
              <wp:align>top</wp:align>
            </wp:positionV>
            <wp:extent cx="5731510" cy="3703320"/>
            <wp:effectExtent l="0" t="0" r="2540" b="0"/>
            <wp:wrapSquare wrapText="bothSides"/>
            <wp:docPr id="758762855" name="Picture 6" descr="A national map titled 'GHG storage activity' showing offshore greenhouse gas permits and declared storage formations in Commonwealth waters. See the full alt text under figure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62855" name="Picture 6" descr="A national map titled 'GHG storage activity' showing offshore greenhouse gas permits and declared storage formations in Commonwealth waters. See the full alt text under figure 13.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703320"/>
                    </a:xfrm>
                    <a:prstGeom prst="rect">
                      <a:avLst/>
                    </a:prstGeom>
                    <a:noFill/>
                    <a:ln>
                      <a:noFill/>
                    </a:ln>
                  </pic:spPr>
                </pic:pic>
              </a:graphicData>
            </a:graphic>
          </wp:anchor>
        </w:drawing>
      </w:r>
      <w:r w:rsidR="009C7D39">
        <w:br w:type="textWrapping" w:clear="all"/>
      </w:r>
    </w:p>
    <w:p w14:paraId="44774361" w14:textId="4BDC625F" w:rsidR="00B85C53" w:rsidRDefault="00B85C53" w:rsidP="00B85C53">
      <w:pPr>
        <w:pStyle w:val="Caption"/>
      </w:pPr>
      <w:r>
        <w:t xml:space="preserve">Figure </w:t>
      </w:r>
      <w:r>
        <w:fldChar w:fldCharType="begin"/>
      </w:r>
      <w:r>
        <w:instrText xml:space="preserve"> SEQ Figure \* ARABIC </w:instrText>
      </w:r>
      <w:r>
        <w:fldChar w:fldCharType="separate"/>
      </w:r>
      <w:r w:rsidR="00CF02F5">
        <w:rPr>
          <w:noProof/>
        </w:rPr>
        <w:t>13</w:t>
      </w:r>
      <w:r>
        <w:fldChar w:fldCharType="end"/>
      </w:r>
      <w:r>
        <w:t xml:space="preserve">: </w:t>
      </w:r>
      <w:r w:rsidRPr="00E03039">
        <w:t>a national map showing offshore greenhouse gas permits and declared storage formations in Commonwealth waters</w:t>
      </w:r>
    </w:p>
    <w:p w14:paraId="61E91489" w14:textId="201E9C1D" w:rsidR="001B55A7" w:rsidRPr="00E70B95" w:rsidRDefault="0063052F" w:rsidP="005848BF">
      <w:pPr>
        <w:keepNext/>
        <w:ind w:left="720"/>
        <w:contextualSpacing/>
        <w:rPr>
          <w:sz w:val="20"/>
          <w:szCs w:val="20"/>
        </w:rPr>
      </w:pPr>
      <w:r w:rsidRPr="00E70B95">
        <w:rPr>
          <w:b/>
          <w:bCs/>
          <w:sz w:val="20"/>
          <w:szCs w:val="20"/>
        </w:rPr>
        <w:t>Alternative text description:</w:t>
      </w:r>
      <w:r w:rsidR="001B55A7" w:rsidRPr="00E70B95">
        <w:rPr>
          <w:b/>
          <w:bCs/>
          <w:sz w:val="20"/>
          <w:szCs w:val="20"/>
        </w:rPr>
        <w:t xml:space="preserve"> </w:t>
      </w:r>
      <w:r w:rsidR="001B55A7" w:rsidRPr="00E70B95">
        <w:rPr>
          <w:sz w:val="20"/>
          <w:szCs w:val="20"/>
        </w:rPr>
        <w:t xml:space="preserve">A national map showing offshore greenhouse gas permits and declared storage formations in Commonwealth waters. The map includes visual overlays of appraisal wells and greenhouse gas permit areas, represented using distinct </w:t>
      </w:r>
      <w:r w:rsidR="007D468F">
        <w:rPr>
          <w:sz w:val="20"/>
          <w:szCs w:val="20"/>
        </w:rPr>
        <w:t xml:space="preserve">coloured </w:t>
      </w:r>
      <w:r w:rsidR="001B55A7" w:rsidRPr="00E70B95">
        <w:rPr>
          <w:sz w:val="20"/>
          <w:szCs w:val="20"/>
        </w:rPr>
        <w:t>shape</w:t>
      </w:r>
      <w:r w:rsidR="00D22B25">
        <w:rPr>
          <w:sz w:val="20"/>
          <w:szCs w:val="20"/>
        </w:rPr>
        <w:t>s</w:t>
      </w:r>
      <w:r w:rsidR="001B55A7" w:rsidRPr="00E70B95">
        <w:rPr>
          <w:sz w:val="20"/>
          <w:szCs w:val="20"/>
        </w:rPr>
        <w:t>. Several greenhouse gas map features coexist with existing petroleum titles, illustrating spatial overlap between greenhouse gas and petroleum activities during the 2024–25 financial year. Colour coding supports interpretation of permit boundaries and activity types.</w:t>
      </w:r>
    </w:p>
    <w:p w14:paraId="6493829A" w14:textId="77777777" w:rsidR="0059291A" w:rsidRDefault="0059291A" w:rsidP="005848BF">
      <w:pPr>
        <w:keepNext/>
        <w:ind w:left="720"/>
        <w:contextualSpacing/>
        <w:rPr>
          <w:sz w:val="20"/>
          <w:szCs w:val="20"/>
        </w:rPr>
      </w:pPr>
    </w:p>
    <w:p w14:paraId="45C5A469" w14:textId="6DC48CCC" w:rsidR="001B55A7" w:rsidRPr="00E70B95" w:rsidRDefault="001B55A7" w:rsidP="00E70B95">
      <w:pPr>
        <w:ind w:left="720"/>
        <w:rPr>
          <w:rFonts w:eastAsia="Calibri" w:cs="Calibri"/>
          <w:color w:val="000000" w:themeColor="text1"/>
          <w:sz w:val="20"/>
          <w:szCs w:val="20"/>
        </w:rPr>
      </w:pPr>
      <w:r w:rsidRPr="00E70B95">
        <w:rPr>
          <w:rFonts w:eastAsia="Calibri" w:cs="Calibri"/>
          <w:color w:val="000000" w:themeColor="text1"/>
          <w:sz w:val="20"/>
          <w:szCs w:val="20"/>
        </w:rPr>
        <w:t xml:space="preserve">In Western Australian </w:t>
      </w:r>
      <w:r w:rsidR="00C93FEE" w:rsidRPr="00E70B95">
        <w:rPr>
          <w:rFonts w:eastAsia="Calibri" w:cs="Calibri"/>
          <w:color w:val="000000" w:themeColor="text1"/>
          <w:sz w:val="20"/>
          <w:szCs w:val="20"/>
        </w:rPr>
        <w:t>w</w:t>
      </w:r>
      <w:r w:rsidRPr="00E70B95">
        <w:rPr>
          <w:rFonts w:eastAsia="Calibri" w:cs="Calibri"/>
          <w:color w:val="000000" w:themeColor="text1"/>
          <w:sz w:val="20"/>
          <w:szCs w:val="20"/>
        </w:rPr>
        <w:t xml:space="preserve">aters there </w:t>
      </w:r>
      <w:r w:rsidR="00C93FEE" w:rsidRPr="00E70B95">
        <w:rPr>
          <w:rFonts w:eastAsia="Calibri" w:cs="Calibri"/>
          <w:color w:val="000000" w:themeColor="text1"/>
          <w:sz w:val="20"/>
          <w:szCs w:val="20"/>
        </w:rPr>
        <w:t>wer</w:t>
      </w:r>
      <w:r w:rsidRPr="00E70B95">
        <w:rPr>
          <w:rFonts w:eastAsia="Calibri" w:cs="Calibri"/>
          <w:color w:val="000000" w:themeColor="text1"/>
          <w:sz w:val="20"/>
          <w:szCs w:val="20"/>
        </w:rPr>
        <w:t xml:space="preserve">e </w:t>
      </w:r>
      <w:r w:rsidR="003E3012">
        <w:rPr>
          <w:rFonts w:eastAsia="Calibri" w:cs="Calibri"/>
          <w:color w:val="000000" w:themeColor="text1"/>
          <w:sz w:val="20"/>
          <w:szCs w:val="20"/>
        </w:rPr>
        <w:t>6</w:t>
      </w:r>
      <w:r w:rsidRPr="00E70B95">
        <w:rPr>
          <w:rFonts w:eastAsia="Calibri" w:cs="Calibri"/>
          <w:color w:val="000000" w:themeColor="text1"/>
          <w:sz w:val="20"/>
          <w:szCs w:val="20"/>
        </w:rPr>
        <w:t xml:space="preserve"> Greenhouse Gas Assessment permits granted 2024-25, including G-12-AP, G-13-AP, G-14-AP, G-15-AP, G-18-AP and G-20-AP. There are also two Declaration of Storage Formations (</w:t>
      </w:r>
      <w:proofErr w:type="spellStart"/>
      <w:r w:rsidRPr="00E70B95">
        <w:rPr>
          <w:rFonts w:eastAsia="Calibri" w:cs="Calibri"/>
          <w:color w:val="000000" w:themeColor="text1"/>
          <w:sz w:val="20"/>
          <w:szCs w:val="20"/>
        </w:rPr>
        <w:t>DoSF</w:t>
      </w:r>
      <w:proofErr w:type="spellEnd"/>
      <w:r w:rsidRPr="00E70B95">
        <w:rPr>
          <w:rFonts w:eastAsia="Calibri" w:cs="Calibri"/>
          <w:color w:val="000000" w:themeColor="text1"/>
          <w:sz w:val="20"/>
          <w:szCs w:val="20"/>
        </w:rPr>
        <w:t xml:space="preserve">) in West Australian waters. </w:t>
      </w:r>
      <w:proofErr w:type="spellStart"/>
      <w:r w:rsidRPr="00E70B95">
        <w:rPr>
          <w:rFonts w:eastAsia="Calibri" w:cs="Calibri"/>
          <w:color w:val="000000" w:themeColor="text1"/>
          <w:sz w:val="20"/>
          <w:szCs w:val="20"/>
        </w:rPr>
        <w:t>Calliance</w:t>
      </w:r>
      <w:proofErr w:type="spellEnd"/>
      <w:r w:rsidRPr="00E70B95">
        <w:rPr>
          <w:rFonts w:eastAsia="Calibri" w:cs="Calibri"/>
          <w:color w:val="000000" w:themeColor="text1"/>
          <w:sz w:val="20"/>
          <w:szCs w:val="20"/>
        </w:rPr>
        <w:t xml:space="preserve"> </w:t>
      </w:r>
      <w:proofErr w:type="spellStart"/>
      <w:r w:rsidRPr="00E70B95">
        <w:rPr>
          <w:rFonts w:eastAsia="Calibri" w:cs="Calibri"/>
          <w:color w:val="000000" w:themeColor="text1"/>
          <w:sz w:val="20"/>
          <w:szCs w:val="20"/>
        </w:rPr>
        <w:t>DoSF</w:t>
      </w:r>
      <w:proofErr w:type="spellEnd"/>
      <w:r w:rsidRPr="00E70B95">
        <w:rPr>
          <w:rFonts w:eastAsia="Calibri" w:cs="Calibri"/>
          <w:color w:val="000000" w:themeColor="text1"/>
          <w:sz w:val="20"/>
          <w:szCs w:val="20"/>
        </w:rPr>
        <w:t xml:space="preserve"> is in the north and WA-31-L Cliff Head </w:t>
      </w:r>
      <w:proofErr w:type="spellStart"/>
      <w:r w:rsidRPr="00E70B95">
        <w:rPr>
          <w:rFonts w:eastAsia="Calibri" w:cs="Calibri"/>
          <w:color w:val="000000" w:themeColor="text1"/>
          <w:sz w:val="20"/>
          <w:szCs w:val="20"/>
        </w:rPr>
        <w:t>DoSF</w:t>
      </w:r>
      <w:proofErr w:type="spellEnd"/>
      <w:r w:rsidRPr="00E70B95">
        <w:rPr>
          <w:rFonts w:eastAsia="Calibri" w:cs="Calibri"/>
          <w:color w:val="000000" w:themeColor="text1"/>
          <w:sz w:val="20"/>
          <w:szCs w:val="20"/>
        </w:rPr>
        <w:t xml:space="preserve"> in the south. </w:t>
      </w:r>
    </w:p>
    <w:p w14:paraId="4A413C6A" w14:textId="77777777" w:rsidR="001B55A7" w:rsidRPr="00E70B95" w:rsidRDefault="001B55A7" w:rsidP="00E70B95">
      <w:pPr>
        <w:ind w:left="720"/>
        <w:rPr>
          <w:rFonts w:eastAsia="Calibri" w:cs="Calibri"/>
          <w:color w:val="000000" w:themeColor="text1"/>
          <w:sz w:val="20"/>
          <w:szCs w:val="20"/>
        </w:rPr>
      </w:pPr>
      <w:r w:rsidRPr="00E70B95">
        <w:rPr>
          <w:rFonts w:eastAsia="Calibri" w:cs="Calibri"/>
          <w:color w:val="000000" w:themeColor="text1"/>
          <w:sz w:val="20"/>
          <w:szCs w:val="20"/>
        </w:rPr>
        <w:t>In Northern Territory waters, there are two Appraisal Wells, West Peron 1 and West Peron 2.</w:t>
      </w:r>
    </w:p>
    <w:p w14:paraId="2AFEF68A" w14:textId="42A5C660" w:rsidR="0063052F" w:rsidRPr="00E70B95" w:rsidRDefault="001B55A7" w:rsidP="00E70B95">
      <w:pPr>
        <w:ind w:left="720"/>
        <w:rPr>
          <w:rFonts w:eastAsia="Calibri" w:cs="Calibri"/>
          <w:color w:val="000000" w:themeColor="text1"/>
          <w:sz w:val="20"/>
          <w:szCs w:val="20"/>
        </w:rPr>
      </w:pPr>
      <w:r w:rsidRPr="00E70B95">
        <w:rPr>
          <w:rFonts w:eastAsia="Calibri" w:cs="Calibri"/>
          <w:color w:val="000000" w:themeColor="text1"/>
          <w:sz w:val="20"/>
          <w:szCs w:val="20"/>
        </w:rPr>
        <w:t>In Victorian waters there are four Greenhouse Gas Assessment permits granted in 2024-25, including G-16-AP, G-17-AP, G-19-AP and G-21-AP, and one Appraisal Well, Gular 1.</w:t>
      </w:r>
    </w:p>
    <w:p w14:paraId="58D07BFA" w14:textId="41CE49DB" w:rsidR="00EA4DA3" w:rsidRPr="00E70B95" w:rsidRDefault="00EA4DA3" w:rsidP="00E70B95">
      <w:pPr>
        <w:ind w:left="720"/>
        <w:rPr>
          <w:rFonts w:eastAsia="Calibri" w:cs="Calibri"/>
          <w:color w:val="000000" w:themeColor="text1"/>
          <w:sz w:val="20"/>
          <w:szCs w:val="20"/>
        </w:rPr>
      </w:pPr>
      <w:r w:rsidRPr="00E70B95">
        <w:rPr>
          <w:rFonts w:eastAsia="Calibri" w:cs="Calibri"/>
          <w:color w:val="000000" w:themeColor="text1"/>
          <w:sz w:val="20"/>
          <w:szCs w:val="20"/>
        </w:rPr>
        <w:t xml:space="preserve">Text in the map states: </w:t>
      </w:r>
      <w:r w:rsidR="00FD032D" w:rsidRPr="00E70B95">
        <w:rPr>
          <w:rFonts w:eastAsia="Calibri" w:cs="Calibri"/>
          <w:color w:val="000000" w:themeColor="text1"/>
          <w:sz w:val="20"/>
          <w:szCs w:val="20"/>
        </w:rPr>
        <w:t xml:space="preserve">‘In 2024-25: </w:t>
      </w:r>
    </w:p>
    <w:p w14:paraId="31645A0B" w14:textId="78769A48" w:rsidR="00FD032D" w:rsidRPr="00E82936" w:rsidRDefault="00FD032D" w:rsidP="003E3012">
      <w:pPr>
        <w:pStyle w:val="Alttextbullets"/>
      </w:pPr>
      <w:r w:rsidRPr="00E82936">
        <w:t xml:space="preserve">10 new greenhouse gas </w:t>
      </w:r>
      <w:r w:rsidR="006C5F14" w:rsidRPr="00E82936">
        <w:t xml:space="preserve">assessment permits granted </w:t>
      </w:r>
    </w:p>
    <w:p w14:paraId="0477F397" w14:textId="3E9823F6" w:rsidR="006C5F14" w:rsidRPr="00E82936" w:rsidRDefault="006C5F14" w:rsidP="003E3012">
      <w:pPr>
        <w:pStyle w:val="Alttextbullets"/>
      </w:pPr>
      <w:r w:rsidRPr="00E82936">
        <w:t xml:space="preserve">2 appraisal wells drilled </w:t>
      </w:r>
      <w:r w:rsidR="00542E2C" w:rsidRPr="00E82936">
        <w:t>to evaluate a potential greenhouse gas storage formation</w:t>
      </w:r>
      <w:r w:rsidR="00253F37" w:rsidRPr="00E82936">
        <w:t>.</w:t>
      </w:r>
    </w:p>
    <w:p w14:paraId="71452648" w14:textId="2DD7BF14" w:rsidR="00BA24BC" w:rsidRPr="00E82936" w:rsidRDefault="00BA24BC">
      <w:pPr>
        <w:spacing w:before="0" w:after="160" w:line="259" w:lineRule="auto"/>
        <w:rPr>
          <w:rFonts w:eastAsia="Calibri" w:cs="Calibri"/>
          <w:color w:val="000000" w:themeColor="text1"/>
          <w:sz w:val="20"/>
          <w:szCs w:val="20"/>
        </w:rPr>
      </w:pPr>
      <w:r w:rsidRPr="00E82936">
        <w:rPr>
          <w:rFonts w:eastAsia="Calibri" w:cs="Calibri"/>
          <w:color w:val="000000" w:themeColor="text1"/>
          <w:sz w:val="20"/>
          <w:szCs w:val="20"/>
        </w:rPr>
        <w:br w:type="page"/>
      </w:r>
    </w:p>
    <w:p w14:paraId="48CA3D9A" w14:textId="66FDE74D" w:rsidR="00007AD4" w:rsidRDefault="002A07B2" w:rsidP="002A07B2">
      <w:pPr>
        <w:pStyle w:val="Heading3"/>
        <w:rPr>
          <w:rFonts w:eastAsia="Calibri"/>
        </w:rPr>
      </w:pPr>
      <w:bookmarkStart w:id="121" w:name="_Toc221544028"/>
      <w:bookmarkStart w:id="122" w:name="_Toc221546107"/>
      <w:bookmarkStart w:id="123" w:name="_Toc221627099"/>
      <w:bookmarkStart w:id="124" w:name="_Toc222500460"/>
      <w:r>
        <w:rPr>
          <w:rFonts w:eastAsia="Calibri"/>
        </w:rPr>
        <w:lastRenderedPageBreak/>
        <w:t>GHG storage activity insights</w:t>
      </w:r>
      <w:bookmarkEnd w:id="121"/>
      <w:bookmarkEnd w:id="122"/>
      <w:bookmarkEnd w:id="123"/>
      <w:bookmarkEnd w:id="124"/>
      <w:r>
        <w:rPr>
          <w:rFonts w:eastAsia="Calibri"/>
        </w:rPr>
        <w:t xml:space="preserve"> </w:t>
      </w:r>
    </w:p>
    <w:p w14:paraId="6257B5F4" w14:textId="4AEDB272" w:rsidR="000E5E71" w:rsidRDefault="00CF388D" w:rsidP="000E5E71">
      <w:r>
        <w:t xml:space="preserve">There were </w:t>
      </w:r>
      <w:r w:rsidR="001A74A7" w:rsidRPr="00580DA0">
        <w:t xml:space="preserve">17 GHG titles in Commonwealth </w:t>
      </w:r>
      <w:r w:rsidR="00795072">
        <w:t xml:space="preserve">waters, </w:t>
      </w:r>
      <w:r w:rsidR="00313614">
        <w:t xml:space="preserve">as at the 30 June 2025. </w:t>
      </w:r>
    </w:p>
    <w:p w14:paraId="047B4FCD" w14:textId="6085AD29" w:rsidR="00313614" w:rsidRDefault="00313614" w:rsidP="000E5E71">
      <w:r>
        <w:t>During the reporting period</w:t>
      </w:r>
      <w:r w:rsidR="007B51D9">
        <w:t xml:space="preserve">10 GHG assessment permits </w:t>
      </w:r>
      <w:r w:rsidR="004D6464">
        <w:t xml:space="preserve">were granted in the Commonwealth </w:t>
      </w:r>
      <w:r w:rsidR="00275C93">
        <w:t>o</w:t>
      </w:r>
      <w:r w:rsidR="004D6464">
        <w:t>ffshore a</w:t>
      </w:r>
      <w:r w:rsidR="00275C93">
        <w:t>rea. The permit areas include the Otway</w:t>
      </w:r>
      <w:r w:rsidR="004551DC">
        <w:t xml:space="preserve">, North </w:t>
      </w:r>
      <w:r w:rsidR="00C57162">
        <w:t>Carnarvon</w:t>
      </w:r>
      <w:r w:rsidR="004551DC">
        <w:t xml:space="preserve">, Gippsland, Bass, Browse, </w:t>
      </w:r>
      <w:r w:rsidR="00C16F06">
        <w:t xml:space="preserve">Bonaparte and Perth basins. </w:t>
      </w:r>
    </w:p>
    <w:p w14:paraId="22A0A529" w14:textId="50E63639" w:rsidR="00A82FA7" w:rsidRDefault="00A82FA7" w:rsidP="00A8195A">
      <w:pPr>
        <w:pStyle w:val="Heading4"/>
      </w:pPr>
      <w:r>
        <w:t>Applications submitted</w:t>
      </w:r>
    </w:p>
    <w:p w14:paraId="622CD43D" w14:textId="5A141C0D" w:rsidR="00A82FA7" w:rsidRDefault="0091655A" w:rsidP="00A82FA7">
      <w:r>
        <w:t xml:space="preserve">During 2024-2025, a total of 21 applications were submitted. </w:t>
      </w:r>
    </w:p>
    <w:p w14:paraId="57B4FD0E" w14:textId="5B323D0B" w:rsidR="00813DFE" w:rsidRDefault="00813DFE" w:rsidP="00A8195A">
      <w:pPr>
        <w:pStyle w:val="Heading4"/>
      </w:pPr>
      <w:r>
        <w:t xml:space="preserve">Activity in the sector </w:t>
      </w:r>
    </w:p>
    <w:p w14:paraId="4AF6C937" w14:textId="4952EE0B" w:rsidR="00813DFE" w:rsidRDefault="00813DFE" w:rsidP="00813DFE">
      <w:r>
        <w:t xml:space="preserve">In the last financial year, </w:t>
      </w:r>
      <w:r w:rsidR="004A1FA9">
        <w:t xml:space="preserve">in addition to the 10 new GHG </w:t>
      </w:r>
      <w:r w:rsidR="00E168F1">
        <w:t>a</w:t>
      </w:r>
      <w:r w:rsidR="004A1FA9">
        <w:t xml:space="preserve">ssessment </w:t>
      </w:r>
      <w:r w:rsidR="00E168F1">
        <w:t>p</w:t>
      </w:r>
      <w:r w:rsidR="004A1FA9">
        <w:t xml:space="preserve">ermits </w:t>
      </w:r>
      <w:r w:rsidR="00E168F1">
        <w:t xml:space="preserve">granted, </w:t>
      </w:r>
      <w:r w:rsidR="00615C6D">
        <w:t xml:space="preserve">there were 8 dealings approved. </w:t>
      </w:r>
      <w:r w:rsidR="003574A2">
        <w:t xml:space="preserve">There are several petroleum titleholders </w:t>
      </w:r>
      <w:r w:rsidR="00B9209E">
        <w:t xml:space="preserve">who are progressing towards gaining declarations </w:t>
      </w:r>
      <w:r w:rsidR="008D0C81">
        <w:t xml:space="preserve">of identified storage formations, which if declared would enable those </w:t>
      </w:r>
      <w:r w:rsidR="00ED4480">
        <w:t xml:space="preserve">projects to take the pathway to injection. </w:t>
      </w:r>
    </w:p>
    <w:p w14:paraId="3BF2A6F7" w14:textId="48763B8D" w:rsidR="00D83780" w:rsidRDefault="00CF39E4" w:rsidP="00D83780">
      <w:pPr>
        <w:pStyle w:val="Heading4"/>
      </w:pPr>
      <w:r>
        <w:t xml:space="preserve">GHG administrative milestones </w:t>
      </w:r>
      <w:r w:rsidR="00892B49">
        <w:t>2024-25</w:t>
      </w:r>
    </w:p>
    <w:p w14:paraId="60831C68" w14:textId="2302CD7D" w:rsidR="00AB4157" w:rsidRDefault="00AB4157" w:rsidP="00A8195A">
      <w:pPr>
        <w:pStyle w:val="Heading5"/>
      </w:pPr>
      <w:r>
        <w:t xml:space="preserve">Timeline </w:t>
      </w:r>
    </w:p>
    <w:p w14:paraId="5C81C16E" w14:textId="77777777" w:rsidR="00C9049E" w:rsidRDefault="00AB4157" w:rsidP="00AB4157">
      <w:pPr>
        <w:spacing w:after="0"/>
      </w:pPr>
      <w:r w:rsidRPr="009F4296">
        <w:rPr>
          <w:b/>
          <w:bCs/>
        </w:rPr>
        <w:t>July 2024</w:t>
      </w:r>
      <w:r w:rsidRPr="00580DA0">
        <w:t xml:space="preserve"> </w:t>
      </w:r>
    </w:p>
    <w:p w14:paraId="29C6C540" w14:textId="2A20B679" w:rsidR="00540D6D" w:rsidRPr="00580DA0" w:rsidRDefault="00AB4157" w:rsidP="00082266">
      <w:pPr>
        <w:pStyle w:val="ListParagraph"/>
      </w:pPr>
      <w:r w:rsidRPr="00580DA0">
        <w:t>1 GHG assessment permit granted</w:t>
      </w:r>
      <w:r w:rsidRPr="00C9049E">
        <w:rPr>
          <w:rFonts w:ascii="Segoe UI" w:hAnsi="Segoe UI" w:cs="Segoe UI"/>
          <w:sz w:val="18"/>
          <w:szCs w:val="18"/>
        </w:rPr>
        <w:t xml:space="preserve"> </w:t>
      </w:r>
      <w:r w:rsidRPr="008927C7">
        <w:t xml:space="preserve">(Perth </w:t>
      </w:r>
      <w:r w:rsidR="00E742E2">
        <w:t>b</w:t>
      </w:r>
      <w:r w:rsidRPr="008927C7">
        <w:t>asin)</w:t>
      </w:r>
      <w:r w:rsidR="00894C02">
        <w:t>.</w:t>
      </w:r>
    </w:p>
    <w:p w14:paraId="2E07A71C" w14:textId="77777777" w:rsidR="00C9049E" w:rsidRDefault="00AB4157" w:rsidP="00AB4157">
      <w:pPr>
        <w:spacing w:after="0"/>
      </w:pPr>
      <w:r w:rsidRPr="009F4296">
        <w:rPr>
          <w:b/>
          <w:bCs/>
        </w:rPr>
        <w:t>August 2024</w:t>
      </w:r>
      <w:r w:rsidRPr="00885A0E">
        <w:t xml:space="preserve"> </w:t>
      </w:r>
    </w:p>
    <w:p w14:paraId="40DA2394" w14:textId="7D5A6BD0" w:rsidR="009A02A5" w:rsidRPr="00580DA0" w:rsidRDefault="00AB4157" w:rsidP="00082266">
      <w:pPr>
        <w:pStyle w:val="ListParagraph"/>
      </w:pPr>
      <w:r w:rsidRPr="00885A0E">
        <w:t xml:space="preserve">7 GHG assessment permit </w:t>
      </w:r>
      <w:r>
        <w:t>granted</w:t>
      </w:r>
      <w:r w:rsidRPr="00540D6D">
        <w:rPr>
          <w:rFonts w:ascii="Segoe UI" w:hAnsi="Segoe UI" w:cs="Segoe UI"/>
          <w:sz w:val="18"/>
          <w:szCs w:val="18"/>
        </w:rPr>
        <w:t xml:space="preserve"> </w:t>
      </w:r>
      <w:r w:rsidRPr="008927C7">
        <w:t>(Bass, Bonaparte, Browse, Gippsland, North Carnarvon</w:t>
      </w:r>
      <w:r w:rsidR="003A3ABD">
        <w:t xml:space="preserve"> (</w:t>
      </w:r>
      <w:r w:rsidR="0089793C">
        <w:t>twice</w:t>
      </w:r>
      <w:r w:rsidR="003A3ABD">
        <w:t>)</w:t>
      </w:r>
      <w:r w:rsidRPr="008927C7">
        <w:t xml:space="preserve"> and Otway </w:t>
      </w:r>
      <w:r w:rsidR="00D93F06">
        <w:t>b</w:t>
      </w:r>
      <w:r w:rsidRPr="008927C7">
        <w:t>asins)</w:t>
      </w:r>
      <w:r w:rsidR="00894C02">
        <w:t>.</w:t>
      </w:r>
    </w:p>
    <w:p w14:paraId="255192F8" w14:textId="77777777" w:rsidR="00540D6D" w:rsidRDefault="00AB4157" w:rsidP="00AB4157">
      <w:pPr>
        <w:spacing w:after="0"/>
      </w:pPr>
      <w:r w:rsidRPr="0089793C">
        <w:rPr>
          <w:b/>
          <w:bCs/>
        </w:rPr>
        <w:t>December 2024</w:t>
      </w:r>
      <w:r w:rsidRPr="00580DA0">
        <w:t xml:space="preserve"> </w:t>
      </w:r>
    </w:p>
    <w:p w14:paraId="6E67D98B" w14:textId="30FC5988" w:rsidR="00AB4157" w:rsidRDefault="00AB4157" w:rsidP="00082266">
      <w:pPr>
        <w:pStyle w:val="ListParagraph"/>
      </w:pPr>
      <w:r w:rsidRPr="00580DA0">
        <w:t>2 GHG assessment permit granted</w:t>
      </w:r>
      <w:r w:rsidRPr="00540D6D">
        <w:rPr>
          <w:rFonts w:ascii="Segoe UI" w:hAnsi="Segoe UI" w:cs="Segoe UI"/>
          <w:sz w:val="18"/>
          <w:szCs w:val="18"/>
        </w:rPr>
        <w:t xml:space="preserve"> </w:t>
      </w:r>
      <w:r w:rsidRPr="008927C7">
        <w:t xml:space="preserve">(Northern Carnarvon and Otway </w:t>
      </w:r>
      <w:r w:rsidR="00D93F06">
        <w:t>b</w:t>
      </w:r>
      <w:r w:rsidRPr="008927C7">
        <w:t>asins)</w:t>
      </w:r>
      <w:r w:rsidR="00894C02">
        <w:t>.</w:t>
      </w:r>
    </w:p>
    <w:p w14:paraId="1FF15F94" w14:textId="77777777" w:rsidR="00082266" w:rsidRDefault="00AB4157" w:rsidP="00082266">
      <w:pPr>
        <w:spacing w:after="0"/>
      </w:pPr>
      <w:r w:rsidRPr="00C57AB2">
        <w:rPr>
          <w:b/>
          <w:bCs/>
        </w:rPr>
        <w:t>January 2025</w:t>
      </w:r>
      <w:r w:rsidRPr="00580DA0">
        <w:t xml:space="preserve"> </w:t>
      </w:r>
    </w:p>
    <w:p w14:paraId="2111A91A" w14:textId="04ED5563" w:rsidR="00326649" w:rsidRDefault="00AB4157" w:rsidP="00082266">
      <w:pPr>
        <w:pStyle w:val="ListParagraph"/>
      </w:pPr>
      <w:r w:rsidRPr="00580DA0">
        <w:t>4 new GHG factsheets on Injection Licence &amp; Site Plan, Significant Risk of Significant Adverse Impact (</w:t>
      </w:r>
      <w:proofErr w:type="spellStart"/>
      <w:r w:rsidRPr="00580DA0">
        <w:t>SRoSAI</w:t>
      </w:r>
      <w:proofErr w:type="spellEnd"/>
      <w:r w:rsidRPr="00580DA0">
        <w:t>), Risk Assessment &amp; Monitoring Plans published on</w:t>
      </w:r>
      <w:r w:rsidR="00040512">
        <w:t>line</w:t>
      </w:r>
      <w:r w:rsidRPr="00580DA0">
        <w:t xml:space="preserve">. </w:t>
      </w:r>
    </w:p>
    <w:p w14:paraId="6E0F957A" w14:textId="77777777" w:rsidR="00326649" w:rsidRDefault="00326649">
      <w:pPr>
        <w:spacing w:before="0" w:after="160" w:line="259" w:lineRule="auto"/>
      </w:pPr>
      <w:r>
        <w:br w:type="page"/>
      </w:r>
    </w:p>
    <w:p w14:paraId="39607D77" w14:textId="344511C5" w:rsidR="002C2CC6" w:rsidRPr="00580DA0" w:rsidRDefault="002C2CC6" w:rsidP="002C2CC6">
      <w:pPr>
        <w:pStyle w:val="Heading3"/>
      </w:pPr>
      <w:bookmarkStart w:id="125" w:name="_Toc221544029"/>
      <w:bookmarkStart w:id="126" w:name="_Toc221546108"/>
      <w:bookmarkStart w:id="127" w:name="_Toc221627100"/>
      <w:bookmarkStart w:id="128" w:name="_Toc222500461"/>
      <w:r w:rsidRPr="00580DA0">
        <w:lastRenderedPageBreak/>
        <w:t xml:space="preserve">Declaration of an </w:t>
      </w:r>
      <w:r w:rsidR="003D0A04">
        <w:t>i</w:t>
      </w:r>
      <w:r w:rsidRPr="00580DA0">
        <w:t xml:space="preserve">dentified </w:t>
      </w:r>
      <w:r w:rsidR="003D0A04">
        <w:t>s</w:t>
      </w:r>
      <w:r w:rsidRPr="00580DA0">
        <w:t xml:space="preserve">torage </w:t>
      </w:r>
      <w:r w:rsidR="003D0A04">
        <w:t>f</w:t>
      </w:r>
      <w:r w:rsidRPr="00580DA0">
        <w:t>ormation</w:t>
      </w:r>
      <w:bookmarkEnd w:id="125"/>
      <w:bookmarkEnd w:id="126"/>
      <w:bookmarkEnd w:id="127"/>
      <w:bookmarkEnd w:id="128"/>
      <w:r w:rsidRPr="00580DA0">
        <w:t xml:space="preserve"> </w:t>
      </w:r>
    </w:p>
    <w:p w14:paraId="3FFABB9D" w14:textId="77777777" w:rsidR="00F21D53" w:rsidRDefault="004F45E3" w:rsidP="004F45E3">
      <w:r w:rsidRPr="00580DA0">
        <w:t xml:space="preserve">The </w:t>
      </w:r>
      <w:r w:rsidR="006677DC">
        <w:t>D</w:t>
      </w:r>
      <w:r w:rsidRPr="00580DA0">
        <w:t xml:space="preserve">eclaration of a </w:t>
      </w:r>
      <w:r w:rsidR="00B66CB1">
        <w:t>S</w:t>
      </w:r>
      <w:r w:rsidRPr="00580DA0">
        <w:t xml:space="preserve">torage </w:t>
      </w:r>
      <w:r w:rsidR="00B66CB1">
        <w:t>F</w:t>
      </w:r>
      <w:r w:rsidRPr="00580DA0">
        <w:t xml:space="preserve">ormation </w:t>
      </w:r>
      <w:r w:rsidR="00B66CB1">
        <w:t>(</w:t>
      </w:r>
      <w:proofErr w:type="spellStart"/>
      <w:r w:rsidR="00B66CB1">
        <w:t>DoSF</w:t>
      </w:r>
      <w:proofErr w:type="spellEnd"/>
      <w:r w:rsidR="00B66CB1">
        <w:t xml:space="preserve">) </w:t>
      </w:r>
      <w:r w:rsidRPr="00580DA0">
        <w:t xml:space="preserve">as an ‘identified GHG storage formation’ by the Responsible Commonwealth Minister, is a critical step in assessing the viability of a potential storage site for GHG injection and storage operations. </w:t>
      </w:r>
    </w:p>
    <w:p w14:paraId="2EE16298" w14:textId="2E70FF31" w:rsidR="004F45E3" w:rsidRDefault="004F45E3" w:rsidP="004F45E3">
      <w:r w:rsidRPr="00580DA0">
        <w:t>To be declared as an identified GHG storage formation, it must be deemed capable of permanently storing a particular amount of an injected GHG substance, injected over a period at specific injection points, with or without engineering enhancements, and with a suitable sealing mechanism.</w:t>
      </w:r>
    </w:p>
    <w:p w14:paraId="0666832A" w14:textId="1F2C5954" w:rsidR="00BA2E0E" w:rsidRPr="00580DA0" w:rsidRDefault="004F1DA9" w:rsidP="004F45E3">
      <w:r>
        <w:t xml:space="preserve">Figure </w:t>
      </w:r>
      <w:r w:rsidR="00D03E43">
        <w:t>1</w:t>
      </w:r>
      <w:r w:rsidR="00A342E4">
        <w:t>4</w:t>
      </w:r>
      <w:r w:rsidR="00EB1534">
        <w:t xml:space="preserve"> </w:t>
      </w:r>
      <w:r w:rsidR="00EB1534" w:rsidRPr="00580DA0">
        <w:t xml:space="preserve">shows the possible pathways </w:t>
      </w:r>
      <w:r w:rsidR="005E7977">
        <w:t>for</w:t>
      </w:r>
      <w:r w:rsidR="00EB1534" w:rsidRPr="00580DA0">
        <w:t xml:space="preserve"> a </w:t>
      </w:r>
      <w:proofErr w:type="spellStart"/>
      <w:r w:rsidR="00EB1534">
        <w:t>DoSF</w:t>
      </w:r>
      <w:proofErr w:type="spellEnd"/>
      <w:r w:rsidR="00EB1534">
        <w:t xml:space="preserve"> </w:t>
      </w:r>
      <w:r w:rsidR="005E7977">
        <w:t xml:space="preserve">to be </w:t>
      </w:r>
      <w:r w:rsidR="00EB1534" w:rsidRPr="00580DA0">
        <w:t>declar</w:t>
      </w:r>
      <w:r w:rsidR="005E7977">
        <w:t>ed</w:t>
      </w:r>
      <w:r w:rsidR="00F566E7">
        <w:t xml:space="preserve">, and the </w:t>
      </w:r>
      <w:r w:rsidR="00EB1534" w:rsidRPr="00580DA0">
        <w:t xml:space="preserve">resulting titles. There are currently two </w:t>
      </w:r>
      <w:proofErr w:type="spellStart"/>
      <w:r w:rsidR="00EB1534" w:rsidRPr="00580DA0">
        <w:t>DoSF</w:t>
      </w:r>
      <w:r w:rsidR="002C4528">
        <w:t>s</w:t>
      </w:r>
      <w:proofErr w:type="spellEnd"/>
      <w:r w:rsidR="00EB1534" w:rsidRPr="00580DA0">
        <w:t xml:space="preserve">. A register of identified GHG storage formations can be found on the </w:t>
      </w:r>
      <w:r w:rsidR="00F7678B">
        <w:t xml:space="preserve">NEATS </w:t>
      </w:r>
      <w:r w:rsidR="00EB1534">
        <w:t>website</w:t>
      </w:r>
      <w:r w:rsidR="00F7678B">
        <w:t>.</w:t>
      </w:r>
    </w:p>
    <w:p w14:paraId="39A2905B" w14:textId="77777777" w:rsidR="005C5F9C" w:rsidRDefault="00A174EF" w:rsidP="005C5F9C">
      <w:pPr>
        <w:keepNext/>
      </w:pPr>
      <w:r w:rsidRPr="00A174EF">
        <w:rPr>
          <w:noProof/>
        </w:rPr>
        <w:drawing>
          <wp:inline distT="0" distB="0" distL="0" distR="0" wp14:anchorId="269819F7" wp14:editId="03EB8D76">
            <wp:extent cx="5731510" cy="1960880"/>
            <wp:effectExtent l="0" t="0" r="2540" b="1270"/>
            <wp:docPr id="1021508832" name="Picture 1" descr="Figure 14 shows the pathways to a Declaration of Storage Formation (DoSF). To find out more, read the full alt text below figure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508832" name="Picture 1" descr="Figure 14 shows the pathways to a Declaration of Storage Formation (DoSF). To find out more, read the full alt text below figure 13. "/>
                    <pic:cNvPicPr/>
                  </pic:nvPicPr>
                  <pic:blipFill>
                    <a:blip r:embed="rId31"/>
                    <a:stretch>
                      <a:fillRect/>
                    </a:stretch>
                  </pic:blipFill>
                  <pic:spPr>
                    <a:xfrm>
                      <a:off x="0" y="0"/>
                      <a:ext cx="5731510" cy="1960880"/>
                    </a:xfrm>
                    <a:prstGeom prst="rect">
                      <a:avLst/>
                    </a:prstGeom>
                  </pic:spPr>
                </pic:pic>
              </a:graphicData>
            </a:graphic>
          </wp:inline>
        </w:drawing>
      </w:r>
    </w:p>
    <w:p w14:paraId="2D5E20F4" w14:textId="40E56858" w:rsidR="00931191" w:rsidRDefault="005C5F9C" w:rsidP="005C5F9C">
      <w:pPr>
        <w:pStyle w:val="Caption"/>
      </w:pPr>
      <w:r>
        <w:t xml:space="preserve">Figure </w:t>
      </w:r>
      <w:r>
        <w:fldChar w:fldCharType="begin"/>
      </w:r>
      <w:r>
        <w:instrText xml:space="preserve"> SEQ Figure \* ARABIC </w:instrText>
      </w:r>
      <w:r>
        <w:fldChar w:fldCharType="separate"/>
      </w:r>
      <w:r w:rsidR="00E11938">
        <w:rPr>
          <w:noProof/>
        </w:rPr>
        <w:t>14</w:t>
      </w:r>
      <w:r>
        <w:fldChar w:fldCharType="end"/>
      </w:r>
      <w:r>
        <w:t xml:space="preserve">: </w:t>
      </w:r>
      <w:r w:rsidRPr="00345B37">
        <w:t>Pathways to a declaration of storage formation</w:t>
      </w:r>
    </w:p>
    <w:p w14:paraId="0939D68E" w14:textId="4057CC52" w:rsidR="002262A2" w:rsidRPr="00972D04" w:rsidRDefault="00913E5A" w:rsidP="00670386">
      <w:pPr>
        <w:ind w:left="720"/>
        <w:rPr>
          <w:sz w:val="20"/>
          <w:szCs w:val="20"/>
        </w:rPr>
      </w:pPr>
      <w:r w:rsidRPr="00670386">
        <w:rPr>
          <w:b/>
          <w:bCs/>
          <w:sz w:val="20"/>
          <w:szCs w:val="20"/>
        </w:rPr>
        <w:t xml:space="preserve">Alternative text description: </w:t>
      </w:r>
      <w:r w:rsidR="00082266">
        <w:rPr>
          <w:sz w:val="20"/>
          <w:szCs w:val="20"/>
        </w:rPr>
        <w:t>F</w:t>
      </w:r>
      <w:r w:rsidR="00AE49BB">
        <w:rPr>
          <w:sz w:val="20"/>
          <w:szCs w:val="20"/>
        </w:rPr>
        <w:t>low diagram</w:t>
      </w:r>
      <w:r w:rsidR="006B0C07" w:rsidRPr="00670386">
        <w:rPr>
          <w:sz w:val="20"/>
          <w:szCs w:val="20"/>
        </w:rPr>
        <w:t xml:space="preserve"> show</w:t>
      </w:r>
      <w:r w:rsidR="00956230">
        <w:rPr>
          <w:sz w:val="20"/>
          <w:szCs w:val="20"/>
        </w:rPr>
        <w:t>ing</w:t>
      </w:r>
      <w:r w:rsidR="006B0C07" w:rsidRPr="00670386">
        <w:rPr>
          <w:sz w:val="20"/>
          <w:szCs w:val="20"/>
        </w:rPr>
        <w:t xml:space="preserve"> how </w:t>
      </w:r>
      <w:r w:rsidR="004701EF" w:rsidRPr="00670386">
        <w:rPr>
          <w:sz w:val="20"/>
          <w:szCs w:val="20"/>
        </w:rPr>
        <w:t xml:space="preserve">it is possible to </w:t>
      </w:r>
      <w:r w:rsidR="007C485C" w:rsidRPr="00670386">
        <w:rPr>
          <w:sz w:val="20"/>
          <w:szCs w:val="20"/>
        </w:rPr>
        <w:t xml:space="preserve">take the pathway to injection </w:t>
      </w:r>
      <w:r w:rsidR="006B0C07" w:rsidRPr="00670386">
        <w:rPr>
          <w:sz w:val="20"/>
          <w:szCs w:val="20"/>
        </w:rPr>
        <w:t>from either</w:t>
      </w:r>
      <w:r w:rsidR="007E0426" w:rsidRPr="00670386">
        <w:rPr>
          <w:sz w:val="20"/>
          <w:szCs w:val="20"/>
        </w:rPr>
        <w:t xml:space="preserve"> a ‘GHG assessment permit’ or a ‘</w:t>
      </w:r>
      <w:r w:rsidR="004701EF" w:rsidRPr="00670386">
        <w:rPr>
          <w:sz w:val="20"/>
          <w:szCs w:val="20"/>
        </w:rPr>
        <w:t>p</w:t>
      </w:r>
      <w:r w:rsidR="007E0426" w:rsidRPr="00670386">
        <w:rPr>
          <w:sz w:val="20"/>
          <w:szCs w:val="20"/>
        </w:rPr>
        <w:t xml:space="preserve">etroleum </w:t>
      </w:r>
      <w:r w:rsidR="004701EF" w:rsidRPr="00670386">
        <w:rPr>
          <w:sz w:val="20"/>
          <w:szCs w:val="20"/>
        </w:rPr>
        <w:t>r</w:t>
      </w:r>
      <w:r w:rsidR="00EF4F88" w:rsidRPr="00670386">
        <w:rPr>
          <w:sz w:val="20"/>
          <w:szCs w:val="20"/>
        </w:rPr>
        <w:t>etention lease/</w:t>
      </w:r>
      <w:r w:rsidR="004701EF" w:rsidRPr="00670386">
        <w:rPr>
          <w:sz w:val="20"/>
          <w:szCs w:val="20"/>
        </w:rPr>
        <w:t xml:space="preserve"> </w:t>
      </w:r>
      <w:r w:rsidR="00EF4F88" w:rsidRPr="00670386">
        <w:rPr>
          <w:sz w:val="20"/>
          <w:szCs w:val="20"/>
        </w:rPr>
        <w:t xml:space="preserve">production </w:t>
      </w:r>
      <w:r w:rsidR="004701EF" w:rsidRPr="00670386">
        <w:rPr>
          <w:sz w:val="20"/>
          <w:szCs w:val="20"/>
        </w:rPr>
        <w:t xml:space="preserve">licence’ </w:t>
      </w:r>
      <w:r w:rsidR="00974101" w:rsidRPr="00670386">
        <w:rPr>
          <w:sz w:val="20"/>
          <w:szCs w:val="20"/>
        </w:rPr>
        <w:t xml:space="preserve">progressing to a </w:t>
      </w:r>
      <w:r w:rsidR="003E5E03" w:rsidRPr="00670386">
        <w:rPr>
          <w:sz w:val="20"/>
          <w:szCs w:val="20"/>
        </w:rPr>
        <w:t>‘</w:t>
      </w:r>
      <w:r w:rsidR="00974101" w:rsidRPr="00670386">
        <w:rPr>
          <w:sz w:val="20"/>
          <w:szCs w:val="20"/>
        </w:rPr>
        <w:t>Declaration of Storage Formation</w:t>
      </w:r>
      <w:r w:rsidR="003E5E03" w:rsidRPr="00670386">
        <w:rPr>
          <w:sz w:val="20"/>
          <w:szCs w:val="20"/>
        </w:rPr>
        <w:t xml:space="preserve">’ and </w:t>
      </w:r>
      <w:r w:rsidR="00972D04">
        <w:rPr>
          <w:sz w:val="20"/>
          <w:szCs w:val="20"/>
        </w:rPr>
        <w:t xml:space="preserve">going </w:t>
      </w:r>
      <w:r w:rsidR="00B57362">
        <w:rPr>
          <w:sz w:val="20"/>
          <w:szCs w:val="20"/>
        </w:rPr>
        <w:t xml:space="preserve">on </w:t>
      </w:r>
      <w:r w:rsidR="003E5E03" w:rsidRPr="00670386">
        <w:rPr>
          <w:sz w:val="20"/>
          <w:szCs w:val="20"/>
        </w:rPr>
        <w:t>to</w:t>
      </w:r>
      <w:r w:rsidR="001A7733" w:rsidRPr="00670386">
        <w:rPr>
          <w:sz w:val="20"/>
          <w:szCs w:val="20"/>
        </w:rPr>
        <w:t xml:space="preserve"> a ‘</w:t>
      </w:r>
      <w:r w:rsidR="003E5E03" w:rsidRPr="00670386">
        <w:rPr>
          <w:sz w:val="20"/>
          <w:szCs w:val="20"/>
        </w:rPr>
        <w:t>GHG holding lease</w:t>
      </w:r>
      <w:r w:rsidR="001A7733" w:rsidRPr="00670386">
        <w:rPr>
          <w:sz w:val="20"/>
          <w:szCs w:val="20"/>
        </w:rPr>
        <w:t>’</w:t>
      </w:r>
      <w:r w:rsidR="003E5E03" w:rsidRPr="00670386">
        <w:rPr>
          <w:sz w:val="20"/>
          <w:szCs w:val="20"/>
        </w:rPr>
        <w:t xml:space="preserve"> or </w:t>
      </w:r>
      <w:r w:rsidR="001A7733" w:rsidRPr="00670386">
        <w:rPr>
          <w:sz w:val="20"/>
          <w:szCs w:val="20"/>
        </w:rPr>
        <w:t xml:space="preserve">‘GHG injection licence’. </w:t>
      </w:r>
    </w:p>
    <w:p w14:paraId="4E83895B" w14:textId="77777777" w:rsidR="002262A2" w:rsidRDefault="002262A2">
      <w:pPr>
        <w:spacing w:before="0" w:after="160" w:line="259" w:lineRule="auto"/>
      </w:pPr>
      <w:r>
        <w:br w:type="page"/>
      </w:r>
    </w:p>
    <w:p w14:paraId="3F011C01" w14:textId="63906AD3" w:rsidR="00BF7306" w:rsidRPr="00580DA0" w:rsidRDefault="00BF7306" w:rsidP="00BF7306">
      <w:pPr>
        <w:pStyle w:val="Heading2"/>
      </w:pPr>
      <w:bookmarkStart w:id="129" w:name="_Toc221544030"/>
      <w:bookmarkStart w:id="130" w:name="_Toc221546109"/>
      <w:bookmarkStart w:id="131" w:name="_Toc221627101"/>
      <w:bookmarkStart w:id="132" w:name="_Toc222500462"/>
      <w:r>
        <w:lastRenderedPageBreak/>
        <w:t xml:space="preserve">Governance and </w:t>
      </w:r>
      <w:r w:rsidR="001D0B78">
        <w:t>strategy</w:t>
      </w:r>
      <w:bookmarkEnd w:id="129"/>
      <w:bookmarkEnd w:id="130"/>
      <w:bookmarkEnd w:id="131"/>
      <w:bookmarkEnd w:id="132"/>
    </w:p>
    <w:p w14:paraId="4D597E1B" w14:textId="34E313BA" w:rsidR="00007AD4" w:rsidRPr="00007AD4" w:rsidRDefault="00BA3C29" w:rsidP="00BC30EF">
      <w:pPr>
        <w:pStyle w:val="Heading3"/>
        <w:rPr>
          <w:rFonts w:eastAsia="Calibri"/>
        </w:rPr>
      </w:pPr>
      <w:bookmarkStart w:id="133" w:name="_Toc221544031"/>
      <w:bookmarkStart w:id="134" w:name="_Toc221546110"/>
      <w:bookmarkStart w:id="135" w:name="_Toc221627102"/>
      <w:bookmarkStart w:id="136" w:name="_Toc222500463"/>
      <w:r>
        <w:rPr>
          <w:rFonts w:eastAsia="Calibri"/>
        </w:rPr>
        <w:t>Governa</w:t>
      </w:r>
      <w:r w:rsidR="00BC30EF">
        <w:rPr>
          <w:rFonts w:eastAsia="Calibri"/>
        </w:rPr>
        <w:t>nce</w:t>
      </w:r>
      <w:bookmarkEnd w:id="133"/>
      <w:bookmarkEnd w:id="134"/>
      <w:bookmarkEnd w:id="135"/>
      <w:bookmarkEnd w:id="136"/>
      <w:r w:rsidR="00BC30EF">
        <w:rPr>
          <w:rFonts w:eastAsia="Calibri"/>
        </w:rPr>
        <w:t xml:space="preserve"> </w:t>
      </w:r>
    </w:p>
    <w:p w14:paraId="024EC3AB" w14:textId="429F2687" w:rsidR="000130DB" w:rsidRDefault="000130DB" w:rsidP="000130DB">
      <w:r w:rsidRPr="00580DA0">
        <w:t xml:space="preserve">The branch </w:t>
      </w:r>
      <w:r w:rsidR="00CD7336">
        <w:t>fulfils</w:t>
      </w:r>
      <w:r w:rsidRPr="00580DA0">
        <w:t xml:space="preserve"> its statutory roles as Titles Administrator and Registrar in line with the Australian </w:t>
      </w:r>
      <w:r w:rsidR="00BF3BAD">
        <w:t>g</w:t>
      </w:r>
      <w:r w:rsidRPr="00580DA0">
        <w:t xml:space="preserve">overnment’s expectations for effective regulatory practice. </w:t>
      </w:r>
    </w:p>
    <w:p w14:paraId="40E03141" w14:textId="77777777" w:rsidR="00117B0D" w:rsidRDefault="00AF6F5C" w:rsidP="006F6210">
      <w:r>
        <w:t xml:space="preserve">Guided by best practice principles outlined </w:t>
      </w:r>
      <w:r w:rsidR="006F6210" w:rsidRPr="00580DA0">
        <w:t>in</w:t>
      </w:r>
      <w:r w:rsidR="00C519B7">
        <w:t xml:space="preserve"> the</w:t>
      </w:r>
      <w:r w:rsidR="006F6210" w:rsidRPr="00580DA0">
        <w:t xml:space="preserve"> Resource Management Guide 128, the </w:t>
      </w:r>
      <w:r w:rsidR="00C519B7">
        <w:t>b</w:t>
      </w:r>
      <w:r w:rsidR="006F6210" w:rsidRPr="00580DA0">
        <w:t xml:space="preserve">ranch </w:t>
      </w:r>
      <w:r w:rsidR="00EF4ED3">
        <w:t>is committed to accountability</w:t>
      </w:r>
      <w:r w:rsidR="006F6210" w:rsidRPr="00580DA0">
        <w:t>, transparen</w:t>
      </w:r>
      <w:r w:rsidR="004B70BF">
        <w:t>cy</w:t>
      </w:r>
      <w:r w:rsidR="006F6210" w:rsidRPr="00580DA0">
        <w:t>, and proportiona</w:t>
      </w:r>
      <w:r w:rsidR="004B70BF">
        <w:t xml:space="preserve">lity </w:t>
      </w:r>
      <w:r w:rsidR="006F6210" w:rsidRPr="00580DA0">
        <w:t xml:space="preserve">in its decision-making. </w:t>
      </w:r>
    </w:p>
    <w:p w14:paraId="571A7864" w14:textId="54D64428" w:rsidR="006F6210" w:rsidRDefault="006F6210" w:rsidP="006F6210">
      <w:r w:rsidRPr="00580DA0">
        <w:t xml:space="preserve">These principles underpin our approach to stakeholder engagement, continuous improvement, and the delivery of timely, consistent, and risk-based regulatory </w:t>
      </w:r>
      <w:r w:rsidR="00EB6EF4">
        <w:t>advice</w:t>
      </w:r>
      <w:r w:rsidRPr="00580DA0">
        <w:t xml:space="preserve">, </w:t>
      </w:r>
      <w:r w:rsidR="00BF7CD8">
        <w:t xml:space="preserve">across </w:t>
      </w:r>
      <w:r w:rsidRPr="00580DA0">
        <w:t>Australia’s offshore energy sectors.</w:t>
      </w:r>
    </w:p>
    <w:p w14:paraId="05F757BF" w14:textId="61D73959" w:rsidR="00BF3BAD" w:rsidRDefault="00BF7CD8" w:rsidP="00BF7CD8">
      <w:pPr>
        <w:pStyle w:val="Heading4"/>
      </w:pPr>
      <w:r>
        <w:t xml:space="preserve">2024-2027 Strategic plan </w:t>
      </w:r>
    </w:p>
    <w:p w14:paraId="262DDCDC" w14:textId="4F5EF3B0" w:rsidR="006C65B3" w:rsidRDefault="0026539F" w:rsidP="0026539F">
      <w:r>
        <w:t>T</w:t>
      </w:r>
      <w:r w:rsidRPr="00580DA0">
        <w:t>he branch published its 2024-27 Strategic Plan</w:t>
      </w:r>
      <w:r>
        <w:t xml:space="preserve"> in</w:t>
      </w:r>
      <w:r w:rsidRPr="00580DA0">
        <w:t xml:space="preserve"> early 2024. The Strategic Plan operationalises the </w:t>
      </w:r>
      <w:r>
        <w:t xml:space="preserve">department’s </w:t>
      </w:r>
      <w:r w:rsidRPr="00580DA0">
        <w:t xml:space="preserve">corporate plan in relation to our functions across offshore petroleum, GHG and OEI sectors. </w:t>
      </w:r>
    </w:p>
    <w:p w14:paraId="431F0285" w14:textId="7D7FAD72" w:rsidR="0026539F" w:rsidRPr="00580DA0" w:rsidRDefault="0026539F" w:rsidP="0026539F">
      <w:r>
        <w:t>The strategic plan</w:t>
      </w:r>
      <w:r w:rsidRPr="00580DA0">
        <w:t xml:space="preserve"> is supported by a comprehensive internal implementation program. </w:t>
      </w:r>
    </w:p>
    <w:p w14:paraId="17319EDB" w14:textId="5EB20CED" w:rsidR="00BF7CD8" w:rsidRDefault="0026539F" w:rsidP="0026539F">
      <w:r w:rsidRPr="00580DA0">
        <w:t xml:space="preserve">The Strategic Plan focuses on </w:t>
      </w:r>
      <w:r w:rsidR="00B127D6">
        <w:t>4</w:t>
      </w:r>
      <w:r w:rsidR="00B127D6" w:rsidRPr="00580DA0">
        <w:t xml:space="preserve"> </w:t>
      </w:r>
      <w:r w:rsidRPr="00580DA0">
        <w:t>key pillars</w:t>
      </w:r>
      <w:r w:rsidR="00C83DD0">
        <w:t>:</w:t>
      </w:r>
      <w:r>
        <w:t xml:space="preserve"> </w:t>
      </w:r>
    </w:p>
    <w:p w14:paraId="08EF8BF1" w14:textId="14701974" w:rsidR="00CF6E67" w:rsidRPr="007332D6" w:rsidRDefault="009F4BB3" w:rsidP="00000EE8">
      <w:pPr>
        <w:pStyle w:val="ListParagraph"/>
        <w:numPr>
          <w:ilvl w:val="0"/>
          <w:numId w:val="29"/>
        </w:numPr>
      </w:pPr>
      <w:r w:rsidRPr="0068284C">
        <w:rPr>
          <w:rStyle w:val="Strong"/>
        </w:rPr>
        <w:t>Resource s</w:t>
      </w:r>
      <w:r w:rsidR="00CF6E67" w:rsidRPr="0068284C">
        <w:rPr>
          <w:rStyle w:val="Strong"/>
        </w:rPr>
        <w:t>tewardship</w:t>
      </w:r>
      <w:r w:rsidR="007332D6" w:rsidRPr="00FD4CA8">
        <w:t xml:space="preserve">: </w:t>
      </w:r>
      <w:r w:rsidR="00CF6E67" w:rsidRPr="007332D6">
        <w:t>Provide responsible administrative and regulatory oversight of Australia’s offshore petroleum, greenhouse gas, and renewable energy resource projects. </w:t>
      </w:r>
    </w:p>
    <w:p w14:paraId="589A3125" w14:textId="60FEF3FE" w:rsidR="00CF6E67" w:rsidRDefault="00CF6E67" w:rsidP="00000EE8">
      <w:pPr>
        <w:pStyle w:val="ListParagraph"/>
        <w:numPr>
          <w:ilvl w:val="0"/>
          <w:numId w:val="29"/>
        </w:numPr>
      </w:pPr>
      <w:r w:rsidRPr="007332D6">
        <w:rPr>
          <w:rStyle w:val="Strong"/>
        </w:rPr>
        <w:t>Leveraging information and technology</w:t>
      </w:r>
      <w:r w:rsidR="007332D6">
        <w:rPr>
          <w:rStyle w:val="Strong"/>
        </w:rPr>
        <w:t xml:space="preserve">: </w:t>
      </w:r>
      <w:r w:rsidRPr="00CA44F8">
        <w:t>Improve and integrate our systems to enhance security, information, accessibility, and evidence-based decision making. </w:t>
      </w:r>
    </w:p>
    <w:p w14:paraId="38FCA1A3" w14:textId="59002740" w:rsidR="00574EA3" w:rsidRDefault="00574EA3" w:rsidP="00000EE8">
      <w:pPr>
        <w:pStyle w:val="ListParagraph"/>
        <w:numPr>
          <w:ilvl w:val="0"/>
          <w:numId w:val="29"/>
        </w:numPr>
      </w:pPr>
      <w:r w:rsidRPr="00FD4CA8">
        <w:rPr>
          <w:rStyle w:val="Strong"/>
        </w:rPr>
        <w:t>Engagement</w:t>
      </w:r>
      <w:r w:rsidR="007332D6">
        <w:rPr>
          <w:rStyle w:val="Strong"/>
        </w:rPr>
        <w:t xml:space="preserve">: </w:t>
      </w:r>
      <w:r w:rsidRPr="00CA44F8">
        <w:t>Enhance stakeholder engagement strategies to promote efficient and effective working relationships</w:t>
      </w:r>
      <w:r w:rsidR="007332D6">
        <w:t xml:space="preserve">. </w:t>
      </w:r>
    </w:p>
    <w:p w14:paraId="12414EAD" w14:textId="39C7F519" w:rsidR="00574EA3" w:rsidRDefault="00574EA3" w:rsidP="00000EE8">
      <w:pPr>
        <w:pStyle w:val="ListParagraph"/>
        <w:numPr>
          <w:ilvl w:val="0"/>
          <w:numId w:val="29"/>
        </w:numPr>
      </w:pPr>
      <w:r w:rsidRPr="00FD4CA8">
        <w:rPr>
          <w:rStyle w:val="Strong"/>
        </w:rPr>
        <w:t xml:space="preserve">Regulatory </w:t>
      </w:r>
      <w:r w:rsidR="0068284C">
        <w:rPr>
          <w:rStyle w:val="Strong"/>
        </w:rPr>
        <w:t>e</w:t>
      </w:r>
      <w:r w:rsidRPr="00FD4CA8">
        <w:rPr>
          <w:rStyle w:val="Strong"/>
        </w:rPr>
        <w:t>xcellence</w:t>
      </w:r>
      <w:r w:rsidR="007332D6">
        <w:rPr>
          <w:rStyle w:val="Strong"/>
        </w:rPr>
        <w:t xml:space="preserve">: </w:t>
      </w:r>
      <w:r w:rsidRPr="00CA44F8">
        <w:t>Foster and support a cost-efficient, high performing workforce, focused on continuous improvement, best practice outcomes and a positive workplace culture. </w:t>
      </w:r>
    </w:p>
    <w:p w14:paraId="0138D80B" w14:textId="4517A331" w:rsidR="006C65B3" w:rsidRDefault="006C65B3" w:rsidP="0026539F"/>
    <w:p w14:paraId="36DC56E2" w14:textId="77777777" w:rsidR="006C65B3" w:rsidRDefault="006C65B3">
      <w:pPr>
        <w:spacing w:before="0" w:after="160" w:line="259" w:lineRule="auto"/>
      </w:pPr>
      <w:r>
        <w:br w:type="page"/>
      </w:r>
    </w:p>
    <w:p w14:paraId="43C1DB5A" w14:textId="3FBFF7A4" w:rsidR="00D8144F" w:rsidRPr="00580DA0" w:rsidRDefault="00D8144F" w:rsidP="00D8144F">
      <w:pPr>
        <w:pStyle w:val="Heading3"/>
      </w:pPr>
      <w:bookmarkStart w:id="137" w:name="_Toc221544032"/>
      <w:bookmarkStart w:id="138" w:name="_Toc221546111"/>
      <w:bookmarkStart w:id="139" w:name="_Toc221627103"/>
      <w:bookmarkStart w:id="140" w:name="_Toc222500464"/>
      <w:r w:rsidRPr="00580DA0">
        <w:lastRenderedPageBreak/>
        <w:t xml:space="preserve">Pillar 1: Resource </w:t>
      </w:r>
      <w:r w:rsidR="00D87200">
        <w:t>s</w:t>
      </w:r>
      <w:r w:rsidRPr="00580DA0">
        <w:t>tewardship</w:t>
      </w:r>
      <w:bookmarkEnd w:id="137"/>
      <w:bookmarkEnd w:id="138"/>
      <w:bookmarkEnd w:id="139"/>
      <w:bookmarkEnd w:id="140"/>
      <w:r w:rsidRPr="00580DA0">
        <w:t xml:space="preserve"> </w:t>
      </w:r>
    </w:p>
    <w:p w14:paraId="36E87440" w14:textId="1ADE599E" w:rsidR="00677FF7" w:rsidRDefault="006A45FC" w:rsidP="006A45FC">
      <w:r w:rsidRPr="00580DA0">
        <w:t xml:space="preserve">Resource stewardship </w:t>
      </w:r>
      <w:r w:rsidR="00290E24">
        <w:t>covers</w:t>
      </w:r>
      <w:r w:rsidRPr="00580DA0">
        <w:t xml:space="preserve"> the full life cycle of petroleum, </w:t>
      </w:r>
      <w:r w:rsidR="00F46C4A">
        <w:t>gre</w:t>
      </w:r>
      <w:r w:rsidR="00D87200">
        <w:t>enhouse gas (</w:t>
      </w:r>
      <w:r w:rsidRPr="00580DA0">
        <w:t>GHG</w:t>
      </w:r>
      <w:r w:rsidR="00D87200">
        <w:t>)</w:t>
      </w:r>
      <w:r w:rsidRPr="00580DA0">
        <w:t xml:space="preserve"> and OEI activities. The branch completes a range of </w:t>
      </w:r>
      <w:r w:rsidR="00905EC7">
        <w:t xml:space="preserve">functions </w:t>
      </w:r>
      <w:r w:rsidRPr="00580DA0">
        <w:t>to ensure t</w:t>
      </w:r>
      <w:r w:rsidR="004F32DA">
        <w:t>itleholders</w:t>
      </w:r>
      <w:r w:rsidR="001872DB">
        <w:t>’</w:t>
      </w:r>
      <w:r w:rsidR="00405A9A">
        <w:t xml:space="preserve"> action</w:t>
      </w:r>
      <w:r w:rsidRPr="00580DA0">
        <w:t xml:space="preserve">s </w:t>
      </w:r>
      <w:r w:rsidR="00405A9A">
        <w:t xml:space="preserve">align with </w:t>
      </w:r>
      <w:r w:rsidRPr="00580DA0">
        <w:t xml:space="preserve">Australian </w:t>
      </w:r>
      <w:r w:rsidR="00EA60AE">
        <w:t>g</w:t>
      </w:r>
      <w:r w:rsidRPr="00580DA0">
        <w:t xml:space="preserve">overnment policy objectives. </w:t>
      </w:r>
    </w:p>
    <w:p w14:paraId="36E95E06" w14:textId="535B1C5F" w:rsidR="006A45FC" w:rsidRPr="00580DA0" w:rsidRDefault="006A45FC" w:rsidP="006A45FC">
      <w:r w:rsidRPr="00580DA0">
        <w:t xml:space="preserve">This includes </w:t>
      </w:r>
      <w:r w:rsidR="00677FF7">
        <w:t>promoting</w:t>
      </w:r>
      <w:r w:rsidRPr="00580DA0">
        <w:t xml:space="preserve"> the efficient and timely resources</w:t>
      </w:r>
      <w:r w:rsidR="00FA6A6A">
        <w:t xml:space="preserve"> </w:t>
      </w:r>
      <w:r w:rsidR="00FA6A6A" w:rsidRPr="00580DA0">
        <w:t>development</w:t>
      </w:r>
      <w:r w:rsidRPr="00580DA0">
        <w:t>, monitoring t</w:t>
      </w:r>
      <w:r w:rsidR="00FA6A6A">
        <w:t xml:space="preserve">itleholder </w:t>
      </w:r>
      <w:r w:rsidR="00174FE0">
        <w:t xml:space="preserve">performance and addressing </w:t>
      </w:r>
      <w:r w:rsidRPr="00580DA0">
        <w:t>emerging issues, such as late</w:t>
      </w:r>
      <w:r w:rsidR="00D93C26">
        <w:t>-</w:t>
      </w:r>
      <w:r w:rsidRPr="00580DA0">
        <w:t xml:space="preserve">life title management and </w:t>
      </w:r>
      <w:r w:rsidR="00B53B7A">
        <w:t xml:space="preserve">project </w:t>
      </w:r>
      <w:r w:rsidRPr="00580DA0">
        <w:t xml:space="preserve">stewardship </w:t>
      </w:r>
      <w:r w:rsidR="00ED2EB2">
        <w:t>to</w:t>
      </w:r>
      <w:r w:rsidR="00DC7BE5">
        <w:t xml:space="preserve"> support</w:t>
      </w:r>
      <w:r w:rsidRPr="00580DA0">
        <w:t xml:space="preserve"> the energy transition. </w:t>
      </w:r>
    </w:p>
    <w:p w14:paraId="358A883D" w14:textId="14D3F4C1" w:rsidR="00301C04" w:rsidRDefault="00DC7BE5" w:rsidP="006A45FC">
      <w:r>
        <w:t xml:space="preserve">The </w:t>
      </w:r>
      <w:r w:rsidR="006A45FC" w:rsidRPr="00580DA0">
        <w:t>T</w:t>
      </w:r>
      <w:r>
        <w:t xml:space="preserve">itles </w:t>
      </w:r>
      <w:r w:rsidR="006A45FC" w:rsidRPr="00580DA0">
        <w:t>A</w:t>
      </w:r>
      <w:r>
        <w:t>dministrator</w:t>
      </w:r>
      <w:r w:rsidR="006A45FC" w:rsidRPr="00580DA0">
        <w:t xml:space="preserve"> monitors and analyses annual trends in offshore production as well as resources and reserves replacement.</w:t>
      </w:r>
    </w:p>
    <w:p w14:paraId="41ADBDE4" w14:textId="18FB12F8" w:rsidR="002D2A9A" w:rsidRPr="00580DA0" w:rsidRDefault="006A45FC" w:rsidP="006A45FC">
      <w:r w:rsidRPr="00580DA0">
        <w:t>Recent levels of total reserves replacement remain consistent with efforts to refine proved and probable volumes, with a slight relative improvement since 2022 (</w:t>
      </w:r>
      <w:r w:rsidRPr="004515AB">
        <w:t>Figure</w:t>
      </w:r>
      <w:r w:rsidR="00946770">
        <w:t>1</w:t>
      </w:r>
      <w:r w:rsidR="00855B06">
        <w:t>5</w:t>
      </w:r>
      <w:r w:rsidRPr="00580DA0">
        <w:t>), without necessarily adding significant new volumes</w:t>
      </w:r>
      <w:r w:rsidR="009F5473">
        <w:t xml:space="preserve">, such as </w:t>
      </w:r>
      <w:r w:rsidRPr="00580DA0">
        <w:t xml:space="preserve">from new fields, as was the case during the 2021 period. </w:t>
      </w:r>
    </w:p>
    <w:p w14:paraId="048EA33A" w14:textId="3DB4F345" w:rsidR="00A05EC4" w:rsidRDefault="002A2A07" w:rsidP="00A05EC4">
      <w:pPr>
        <w:keepNext/>
      </w:pPr>
      <w:r>
        <w:rPr>
          <w:noProof/>
        </w:rPr>
        <w:drawing>
          <wp:inline distT="0" distB="0" distL="0" distR="0" wp14:anchorId="2A2A69B1" wp14:editId="72DBE573">
            <wp:extent cx="2947386" cy="2068034"/>
            <wp:effectExtent l="0" t="0" r="5715" b="8890"/>
            <wp:docPr id="1608344778" name="Chart 1" descr="Figure 15 shows the reserves production ratio for the five years from 2019 to 2023. See more information in the Alt text description below figure 15. ">
              <a:extLst xmlns:a="http://schemas.openxmlformats.org/drawingml/2006/main">
                <a:ext uri="{FF2B5EF4-FFF2-40B4-BE49-F238E27FC236}">
                  <a16:creationId xmlns:a16="http://schemas.microsoft.com/office/drawing/2014/main" id="{6026D09C-9C4E-4074-AFC3-C75827788D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EDADAC3" w14:textId="04B84DC9" w:rsidR="008D6830" w:rsidRDefault="00A05EC4" w:rsidP="00A05EC4">
      <w:pPr>
        <w:pStyle w:val="Caption"/>
      </w:pPr>
      <w:bookmarkStart w:id="141" w:name="_Toc221884196"/>
      <w:bookmarkStart w:id="142" w:name="_Toc222316229"/>
      <w:r>
        <w:t xml:space="preserve">Figure </w:t>
      </w:r>
      <w:r>
        <w:fldChar w:fldCharType="begin"/>
      </w:r>
      <w:r>
        <w:instrText xml:space="preserve"> SEQ Figure \* ARABIC </w:instrText>
      </w:r>
      <w:r>
        <w:fldChar w:fldCharType="separate"/>
      </w:r>
      <w:r w:rsidR="00CF02F5">
        <w:rPr>
          <w:noProof/>
        </w:rPr>
        <w:t>15</w:t>
      </w:r>
      <w:r>
        <w:fldChar w:fldCharType="end"/>
      </w:r>
      <w:r>
        <w:t xml:space="preserve">: </w:t>
      </w:r>
      <w:r w:rsidRPr="00E02527">
        <w:t>Reserves/production ratio by years, from 2019 to 2023</w:t>
      </w:r>
      <w:bookmarkEnd w:id="141"/>
      <w:bookmarkEnd w:id="142"/>
    </w:p>
    <w:p w14:paraId="1490076A" w14:textId="6D86A2BE" w:rsidR="00262F45" w:rsidRPr="00262F45" w:rsidRDefault="00064F82" w:rsidP="00262F45">
      <w:pPr>
        <w:ind w:left="720"/>
        <w:rPr>
          <w:sz w:val="20"/>
          <w:szCs w:val="20"/>
        </w:rPr>
      </w:pPr>
      <w:r w:rsidRPr="008E2F34">
        <w:rPr>
          <w:b/>
          <w:bCs/>
          <w:sz w:val="20"/>
          <w:szCs w:val="20"/>
        </w:rPr>
        <w:t xml:space="preserve">Alternative text description (reserves/production ratio): </w:t>
      </w:r>
      <w:r w:rsidRPr="008E2F34">
        <w:rPr>
          <w:sz w:val="20"/>
          <w:szCs w:val="20"/>
        </w:rPr>
        <w:t>Th</w:t>
      </w:r>
      <w:r w:rsidR="00703E1D" w:rsidRPr="008E2F34">
        <w:rPr>
          <w:sz w:val="20"/>
          <w:szCs w:val="20"/>
        </w:rPr>
        <w:t>is</w:t>
      </w:r>
      <w:r w:rsidR="00F120C9">
        <w:rPr>
          <w:sz w:val="20"/>
          <w:szCs w:val="20"/>
        </w:rPr>
        <w:t xml:space="preserve"> vertical</w:t>
      </w:r>
      <w:r w:rsidR="00703E1D" w:rsidRPr="008E2F34">
        <w:rPr>
          <w:sz w:val="20"/>
          <w:szCs w:val="20"/>
        </w:rPr>
        <w:t xml:space="preserve"> bar</w:t>
      </w:r>
      <w:r w:rsidRPr="008E2F34">
        <w:rPr>
          <w:sz w:val="20"/>
          <w:szCs w:val="20"/>
        </w:rPr>
        <w:t xml:space="preserve"> graph shows the</w:t>
      </w:r>
      <w:r w:rsidR="0021015F" w:rsidRPr="008E2F34">
        <w:rPr>
          <w:sz w:val="20"/>
          <w:szCs w:val="20"/>
        </w:rPr>
        <w:t xml:space="preserve"> reserves</w:t>
      </w:r>
      <w:r w:rsidR="008A4BDB">
        <w:rPr>
          <w:sz w:val="20"/>
          <w:szCs w:val="20"/>
        </w:rPr>
        <w:t>-to-</w:t>
      </w:r>
      <w:r w:rsidR="00B33579" w:rsidRPr="008E2F34">
        <w:rPr>
          <w:sz w:val="20"/>
          <w:szCs w:val="20"/>
        </w:rPr>
        <w:t>production ra</w:t>
      </w:r>
      <w:r w:rsidRPr="008E2F34">
        <w:rPr>
          <w:sz w:val="20"/>
          <w:szCs w:val="20"/>
        </w:rPr>
        <w:t xml:space="preserve">tio </w:t>
      </w:r>
      <w:r w:rsidR="00B33579" w:rsidRPr="008E2F34">
        <w:rPr>
          <w:sz w:val="20"/>
          <w:szCs w:val="20"/>
        </w:rPr>
        <w:t xml:space="preserve">in </w:t>
      </w:r>
      <w:r w:rsidRPr="008E2F34">
        <w:rPr>
          <w:sz w:val="20"/>
          <w:szCs w:val="20"/>
        </w:rPr>
        <w:t>the five years</w:t>
      </w:r>
      <w:r w:rsidR="008554D2" w:rsidRPr="008E2F34">
        <w:rPr>
          <w:sz w:val="20"/>
          <w:szCs w:val="20"/>
        </w:rPr>
        <w:t>,</w:t>
      </w:r>
      <w:r w:rsidRPr="008E2F34">
        <w:rPr>
          <w:sz w:val="20"/>
          <w:szCs w:val="20"/>
        </w:rPr>
        <w:t xml:space="preserve"> from 2019 to 2023.</w:t>
      </w:r>
      <w:r w:rsidRPr="008E2F34">
        <w:rPr>
          <w:b/>
          <w:bCs/>
          <w:sz w:val="20"/>
          <w:szCs w:val="20"/>
        </w:rPr>
        <w:t xml:space="preserve"> </w:t>
      </w:r>
      <w:r w:rsidR="00703E1D" w:rsidRPr="008E2F34">
        <w:rPr>
          <w:sz w:val="20"/>
          <w:szCs w:val="20"/>
        </w:rPr>
        <w:t xml:space="preserve">This </w:t>
      </w:r>
      <w:r w:rsidR="00262F45" w:rsidRPr="00262F45">
        <w:rPr>
          <w:sz w:val="20"/>
          <w:szCs w:val="20"/>
        </w:rPr>
        <w:t xml:space="preserve">ratio indicates how many years proved reserves would last at that year’s production rate. The ratio has held steadily, at approximately 15 years, over the </w:t>
      </w:r>
      <w:r w:rsidR="00262F45">
        <w:rPr>
          <w:sz w:val="20"/>
          <w:szCs w:val="20"/>
        </w:rPr>
        <w:t xml:space="preserve">5 year </w:t>
      </w:r>
      <w:r w:rsidR="00262F45" w:rsidRPr="00262F45">
        <w:rPr>
          <w:sz w:val="20"/>
          <w:szCs w:val="20"/>
        </w:rPr>
        <w:t>period.</w:t>
      </w:r>
    </w:p>
    <w:p w14:paraId="1DAFB249" w14:textId="025E6963" w:rsidR="00A05EC4" w:rsidRDefault="00A05EC4" w:rsidP="00A05EC4">
      <w:pPr>
        <w:keepNext/>
      </w:pPr>
    </w:p>
    <w:p w14:paraId="44B59A22" w14:textId="0BB08064" w:rsidR="006C7F58" w:rsidRDefault="006C7F58" w:rsidP="00A05EC4">
      <w:pPr>
        <w:keepNext/>
      </w:pPr>
      <w:r w:rsidRPr="006C7F58">
        <w:rPr>
          <w:noProof/>
        </w:rPr>
        <w:drawing>
          <wp:inline distT="0" distB="0" distL="0" distR="0" wp14:anchorId="0D3A23D2" wp14:editId="27BC6D06">
            <wp:extent cx="3190461" cy="2388236"/>
            <wp:effectExtent l="0" t="0" r="0" b="0"/>
            <wp:docPr id="1779447073" name="Picture 1" descr="Figure 16 shows the reserves replacement ratio percentage by year from 2019 to 2023. See the full Reserves Replacement Ratio Text Alternative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47073" name="Picture 1" descr="Figure 16 shows the reserves replacement ratio percentage by year from 2019 to 2023. See the full Reserves Replacement Ratio Text Alternative below. "/>
                    <pic:cNvPicPr/>
                  </pic:nvPicPr>
                  <pic:blipFill>
                    <a:blip r:embed="rId33"/>
                    <a:stretch>
                      <a:fillRect/>
                    </a:stretch>
                  </pic:blipFill>
                  <pic:spPr>
                    <a:xfrm>
                      <a:off x="0" y="0"/>
                      <a:ext cx="3201161" cy="2396245"/>
                    </a:xfrm>
                    <a:prstGeom prst="rect">
                      <a:avLst/>
                    </a:prstGeom>
                  </pic:spPr>
                </pic:pic>
              </a:graphicData>
            </a:graphic>
          </wp:inline>
        </w:drawing>
      </w:r>
    </w:p>
    <w:p w14:paraId="4065F055" w14:textId="636FADAF" w:rsidR="00556D83" w:rsidRDefault="00556D83" w:rsidP="00A05EC4">
      <w:pPr>
        <w:keepNext/>
      </w:pPr>
    </w:p>
    <w:p w14:paraId="2A795DA2" w14:textId="6A9B86AA" w:rsidR="009C3491" w:rsidRDefault="00A05EC4" w:rsidP="00A05EC4">
      <w:pPr>
        <w:pStyle w:val="Caption"/>
      </w:pPr>
      <w:bookmarkStart w:id="143" w:name="_Toc221884197"/>
      <w:bookmarkStart w:id="144" w:name="_Toc222316230"/>
      <w:r>
        <w:t xml:space="preserve">Figure </w:t>
      </w:r>
      <w:r>
        <w:fldChar w:fldCharType="begin"/>
      </w:r>
      <w:r>
        <w:instrText xml:space="preserve"> SEQ Figure \* ARABIC </w:instrText>
      </w:r>
      <w:r>
        <w:fldChar w:fldCharType="separate"/>
      </w:r>
      <w:r w:rsidR="00CF02F5">
        <w:rPr>
          <w:noProof/>
        </w:rPr>
        <w:t>16</w:t>
      </w:r>
      <w:r>
        <w:fldChar w:fldCharType="end"/>
      </w:r>
      <w:r>
        <w:t xml:space="preserve">: </w:t>
      </w:r>
      <w:r w:rsidR="00D419E5">
        <w:t>A</w:t>
      </w:r>
      <w:r w:rsidRPr="004031D7">
        <w:t>nnual trends in reserves replacement ratio, from 2019 to 2023</w:t>
      </w:r>
      <w:bookmarkEnd w:id="143"/>
      <w:bookmarkEnd w:id="144"/>
    </w:p>
    <w:p w14:paraId="2CA51F6F" w14:textId="037433A7" w:rsidR="005115EA" w:rsidRPr="005115EA" w:rsidRDefault="005115EA" w:rsidP="005E3C52">
      <w:pPr>
        <w:pStyle w:val="Heading4"/>
      </w:pPr>
      <w:r w:rsidRPr="005115EA">
        <w:t>Reserves Replacement Ratio Text Alternative</w:t>
      </w:r>
    </w:p>
    <w:p w14:paraId="532FFFE7" w14:textId="54B36509" w:rsidR="00413D76" w:rsidRPr="00413D76" w:rsidRDefault="00595CAF" w:rsidP="00413D76">
      <w:pPr>
        <w:ind w:left="720"/>
        <w:rPr>
          <w:sz w:val="20"/>
          <w:szCs w:val="20"/>
        </w:rPr>
      </w:pPr>
      <w:r w:rsidRPr="008E2F34">
        <w:rPr>
          <w:sz w:val="20"/>
          <w:szCs w:val="20"/>
        </w:rPr>
        <w:t>Th</w:t>
      </w:r>
      <w:r w:rsidR="00A87B73">
        <w:rPr>
          <w:sz w:val="20"/>
          <w:szCs w:val="20"/>
        </w:rPr>
        <w:t>is vertical bar</w:t>
      </w:r>
      <w:r w:rsidRPr="008E2F34">
        <w:rPr>
          <w:sz w:val="20"/>
          <w:szCs w:val="20"/>
        </w:rPr>
        <w:t xml:space="preserve"> </w:t>
      </w:r>
      <w:r w:rsidR="00FC6179" w:rsidRPr="008E2F34">
        <w:rPr>
          <w:sz w:val="20"/>
          <w:szCs w:val="20"/>
        </w:rPr>
        <w:t xml:space="preserve">graph shows the </w:t>
      </w:r>
      <w:r w:rsidRPr="008E2F34">
        <w:rPr>
          <w:sz w:val="20"/>
          <w:szCs w:val="20"/>
        </w:rPr>
        <w:t>reserves replacement ratio</w:t>
      </w:r>
      <w:r w:rsidR="00673C22">
        <w:rPr>
          <w:sz w:val="20"/>
          <w:szCs w:val="20"/>
        </w:rPr>
        <w:t>, as a</w:t>
      </w:r>
      <w:r w:rsidR="00D9250F">
        <w:rPr>
          <w:sz w:val="20"/>
          <w:szCs w:val="20"/>
        </w:rPr>
        <w:t xml:space="preserve"> </w:t>
      </w:r>
      <w:r w:rsidRPr="008E2F34">
        <w:rPr>
          <w:sz w:val="20"/>
          <w:szCs w:val="20"/>
        </w:rPr>
        <w:t>percentage</w:t>
      </w:r>
      <w:r w:rsidR="00673C22">
        <w:rPr>
          <w:sz w:val="20"/>
          <w:szCs w:val="20"/>
        </w:rPr>
        <w:t>,</w:t>
      </w:r>
      <w:r w:rsidRPr="008E2F34">
        <w:rPr>
          <w:sz w:val="20"/>
          <w:szCs w:val="20"/>
        </w:rPr>
        <w:t xml:space="preserve"> from 2019 to 2023. </w:t>
      </w:r>
      <w:r w:rsidR="00413D76" w:rsidRPr="00413D76">
        <w:rPr>
          <w:sz w:val="20"/>
          <w:szCs w:val="20"/>
        </w:rPr>
        <w:t xml:space="preserve">All </w:t>
      </w:r>
      <w:proofErr w:type="spellStart"/>
      <w:r w:rsidR="00413D76" w:rsidRPr="00413D76">
        <w:rPr>
          <w:sz w:val="20"/>
          <w:szCs w:val="20"/>
        </w:rPr>
        <w:t>years</w:t>
      </w:r>
      <w:proofErr w:type="spellEnd"/>
      <w:r w:rsidR="00413D76" w:rsidRPr="00413D76">
        <w:rPr>
          <w:sz w:val="20"/>
          <w:szCs w:val="20"/>
        </w:rPr>
        <w:t xml:space="preserve"> record ratios below –50%, except 2022 at –100% and 2021 at +100%. A reserves replacement ratio shows whether annual additions </w:t>
      </w:r>
      <w:proofErr w:type="spellStart"/>
      <w:r w:rsidR="00413D76" w:rsidRPr="00413D76">
        <w:rPr>
          <w:sz w:val="20"/>
          <w:szCs w:val="20"/>
        </w:rPr>
        <w:t>to proved</w:t>
      </w:r>
      <w:proofErr w:type="spellEnd"/>
      <w:r w:rsidR="00413D76" w:rsidRPr="00413D76">
        <w:rPr>
          <w:sz w:val="20"/>
          <w:szCs w:val="20"/>
        </w:rPr>
        <w:t xml:space="preserve"> reserves keep pace with, exceed, or fall short of </w:t>
      </w:r>
      <w:r w:rsidR="00717EDB">
        <w:rPr>
          <w:sz w:val="20"/>
          <w:szCs w:val="20"/>
        </w:rPr>
        <w:t>that same</w:t>
      </w:r>
      <w:r w:rsidR="00717EDB" w:rsidRPr="00413D76">
        <w:rPr>
          <w:sz w:val="20"/>
          <w:szCs w:val="20"/>
        </w:rPr>
        <w:t xml:space="preserve"> </w:t>
      </w:r>
      <w:r w:rsidR="00413D76" w:rsidRPr="00413D76">
        <w:rPr>
          <w:sz w:val="20"/>
          <w:szCs w:val="20"/>
        </w:rPr>
        <w:t xml:space="preserve">year’s </w:t>
      </w:r>
      <w:r w:rsidR="00717EDB">
        <w:rPr>
          <w:sz w:val="20"/>
          <w:szCs w:val="20"/>
        </w:rPr>
        <w:t xml:space="preserve">reserves </w:t>
      </w:r>
      <w:r w:rsidR="00357BC3">
        <w:rPr>
          <w:sz w:val="20"/>
          <w:szCs w:val="20"/>
        </w:rPr>
        <w:t>consumption</w:t>
      </w:r>
      <w:r w:rsidR="00413D76" w:rsidRPr="00413D76">
        <w:rPr>
          <w:sz w:val="20"/>
          <w:szCs w:val="20"/>
        </w:rPr>
        <w:t>.</w:t>
      </w:r>
    </w:p>
    <w:p w14:paraId="14A0BE9E" w14:textId="3C1557D4" w:rsidR="0063052F" w:rsidRDefault="0057069E" w:rsidP="00D16A50">
      <w:pPr>
        <w:pStyle w:val="Heading4"/>
      </w:pPr>
      <w:r w:rsidRPr="00580DA0">
        <w:t xml:space="preserve">Annual </w:t>
      </w:r>
      <w:r w:rsidR="008164F6">
        <w:t>p</w:t>
      </w:r>
      <w:r w:rsidRPr="00580DA0">
        <w:t xml:space="preserve">erformance </w:t>
      </w:r>
      <w:r w:rsidR="008164F6">
        <w:t>r</w:t>
      </w:r>
      <w:r w:rsidRPr="00580DA0">
        <w:t xml:space="preserve">eviews and </w:t>
      </w:r>
      <w:r w:rsidR="008164F6">
        <w:t>b</w:t>
      </w:r>
      <w:r w:rsidRPr="00580DA0">
        <w:t>enchmarking</w:t>
      </w:r>
    </w:p>
    <w:p w14:paraId="5FF7A98E" w14:textId="77777777" w:rsidR="00F8627A" w:rsidRDefault="005015D5" w:rsidP="005015D5">
      <w:r w:rsidRPr="00580DA0">
        <w:t xml:space="preserve">Annual performance meetings were held with all titleholders responsible for offshore production projects in 2024-25, both in face-to-face and online technical workshops and discussions formats. </w:t>
      </w:r>
    </w:p>
    <w:p w14:paraId="5DF73050" w14:textId="50354089" w:rsidR="005015D5" w:rsidRPr="00580DA0" w:rsidRDefault="005015D5" w:rsidP="005015D5">
      <w:r w:rsidRPr="00580DA0">
        <w:t>These meetings tackled questions raised by</w:t>
      </w:r>
      <w:r w:rsidR="00F8627A">
        <w:t xml:space="preserve"> the </w:t>
      </w:r>
      <w:r w:rsidRPr="00580DA0">
        <w:t>T</w:t>
      </w:r>
      <w:r w:rsidR="00F8627A">
        <w:t xml:space="preserve">itles </w:t>
      </w:r>
      <w:r w:rsidRPr="00580DA0">
        <w:t>A</w:t>
      </w:r>
      <w:r w:rsidR="00F8627A">
        <w:t>dministrator</w:t>
      </w:r>
      <w:r w:rsidRPr="00580DA0">
        <w:t xml:space="preserve"> through compliance monitoring, and provided valuable insights into well, field and project performance. This information complements data gained via annual reporting, and is used to assess various aspects of reservoir, field and facilities performance, with the process supporting the strategic advice to government regarding optimum recovery across Australia’s offshore basins.</w:t>
      </w:r>
    </w:p>
    <w:p w14:paraId="363C3E2B" w14:textId="6E82D634" w:rsidR="00C02758" w:rsidRDefault="005015D5" w:rsidP="005015D5">
      <w:r w:rsidRPr="00580DA0">
        <w:t xml:space="preserve">The recent growth in </w:t>
      </w:r>
      <w:r w:rsidR="00241774">
        <w:t>greenhouse gas</w:t>
      </w:r>
      <w:r w:rsidRPr="00580DA0">
        <w:t xml:space="preserve"> titles, and the </w:t>
      </w:r>
      <w:r>
        <w:t>growing</w:t>
      </w:r>
      <w:r w:rsidRPr="00580DA0">
        <w:t xml:space="preserve"> increase in related data submitted to the Titles Administrator, </w:t>
      </w:r>
      <w:r>
        <w:t xml:space="preserve">shows </w:t>
      </w:r>
      <w:r w:rsidRPr="00580DA0">
        <w:t>there is an opportunity to build on this work and facilitate the ongoing stewardship of offshore energy resources.</w:t>
      </w:r>
    </w:p>
    <w:p w14:paraId="6F0546D3" w14:textId="3016CA42" w:rsidR="005015D5" w:rsidRDefault="005015D5" w:rsidP="005015D5">
      <w:r w:rsidRPr="00580DA0">
        <w:t>This will be particularly important as Australian basins host a growing diversity of offshore energy projects.</w:t>
      </w:r>
    </w:p>
    <w:p w14:paraId="74011A52" w14:textId="3CE67C00" w:rsidR="0063052F" w:rsidRDefault="008164F6" w:rsidP="008164F6">
      <w:pPr>
        <w:pStyle w:val="Heading4"/>
      </w:pPr>
      <w:r>
        <w:t xml:space="preserve">Late life </w:t>
      </w:r>
      <w:r w:rsidR="009262DC">
        <w:t xml:space="preserve">resources </w:t>
      </w:r>
    </w:p>
    <w:p w14:paraId="3CE2DA88" w14:textId="4743EC63" w:rsidR="00477977" w:rsidRDefault="007F0728" w:rsidP="007F0728">
      <w:r w:rsidRPr="00580DA0">
        <w:t xml:space="preserve">As production matures across projects, the branch has maintained engagement with titleholders responsible for late-life projects, </w:t>
      </w:r>
      <w:r>
        <w:t>working</w:t>
      </w:r>
      <w:r w:rsidRPr="00580DA0">
        <w:t xml:space="preserve"> </w:t>
      </w:r>
      <w:r>
        <w:t>t</w:t>
      </w:r>
      <w:r w:rsidRPr="00580DA0">
        <w:t xml:space="preserve">o understand the current operational, commercial, financial and economic conditions. </w:t>
      </w:r>
    </w:p>
    <w:p w14:paraId="333F05C4" w14:textId="2A5C9592" w:rsidR="007F0728" w:rsidRPr="00580DA0" w:rsidRDefault="007F0728" w:rsidP="007F0728">
      <w:r w:rsidRPr="00580DA0">
        <w:t>A focus remains on ensuring that all opportunities to extend production are considered, as well as confirming anticipated cessation of production timing, and adequate and timely decommissioning planning for existing infrastructure.</w:t>
      </w:r>
    </w:p>
    <w:p w14:paraId="13CCEE52" w14:textId="77777777" w:rsidR="007F0728" w:rsidRPr="00580DA0" w:rsidRDefault="007F0728" w:rsidP="007F0728">
      <w:r w:rsidRPr="00580DA0">
        <w:lastRenderedPageBreak/>
        <w:t>During 2024-25, decommissioning planning and operational activity continued to occur, with various work scopes completed for projects in the Gippsland, Otway, Northern Carnarvon and Bonaparte basins.</w:t>
      </w:r>
    </w:p>
    <w:p w14:paraId="37DF8985" w14:textId="08118267" w:rsidR="00680E3F" w:rsidRDefault="007F0728" w:rsidP="007F0728">
      <w:r w:rsidRPr="00580DA0">
        <w:t xml:space="preserve">There has been increased focus on understanding cessation of production timing, </w:t>
      </w:r>
      <w:r w:rsidR="005B470A">
        <w:t>(</w:t>
      </w:r>
      <w:r w:rsidRPr="00580DA0">
        <w:t xml:space="preserve">actual) decommissioning costs and the methodology used to determine future cost estimates, which are part of titleholder engagements and reporting. The </w:t>
      </w:r>
      <w:r w:rsidR="00132F3C">
        <w:t>Titles Administrator</w:t>
      </w:r>
      <w:r w:rsidRPr="00580DA0">
        <w:t xml:space="preserve"> is working with titleholders to increase consistency of both cost estimation and reporting, which will </w:t>
      </w:r>
      <w:r>
        <w:t>bring</w:t>
      </w:r>
      <w:r w:rsidRPr="00580DA0">
        <w:t xml:space="preserve"> improved benchmarking efforts and more consistent advice to government.  </w:t>
      </w:r>
    </w:p>
    <w:p w14:paraId="22C451F5" w14:textId="77777777" w:rsidR="00680E3F" w:rsidRDefault="00680E3F">
      <w:pPr>
        <w:spacing w:before="0" w:after="160" w:line="259" w:lineRule="auto"/>
      </w:pPr>
      <w:r>
        <w:br w:type="page"/>
      </w:r>
    </w:p>
    <w:p w14:paraId="73D2CE7E" w14:textId="16234E40" w:rsidR="00435F4A" w:rsidRPr="00580DA0" w:rsidRDefault="00435F4A" w:rsidP="00435F4A">
      <w:pPr>
        <w:pStyle w:val="Heading4"/>
      </w:pPr>
      <w:r w:rsidRPr="00580DA0">
        <w:lastRenderedPageBreak/>
        <w:t xml:space="preserve">Suitability </w:t>
      </w:r>
      <w:r w:rsidR="00F1102D">
        <w:t>a</w:t>
      </w:r>
      <w:r w:rsidRPr="00580DA0">
        <w:t xml:space="preserve">ssessment </w:t>
      </w:r>
    </w:p>
    <w:p w14:paraId="59E234D5" w14:textId="3235FC4F" w:rsidR="00E15651" w:rsidRPr="00580DA0" w:rsidRDefault="00FB1E7A" w:rsidP="007F0728">
      <w:r w:rsidRPr="00580DA0">
        <w:t>Persons who wish to participate in Australia's offshore petroleum, greenhouse gas storage or energy infrastructure regimes as titleholders or licence holders must meet certain criteria, and this is tested upon entry into the regime and at major decision points thereafter.</w:t>
      </w:r>
      <w:r w:rsidR="008657F1">
        <w:t xml:space="preserve"> D</w:t>
      </w:r>
      <w:r w:rsidRPr="00580DA0">
        <w:t xml:space="preserve">ecision makers </w:t>
      </w:r>
      <w:r w:rsidR="00C63258">
        <w:t xml:space="preserve">need to </w:t>
      </w:r>
      <w:r w:rsidRPr="00580DA0">
        <w:t>consider many factors, including, but not limited to those shown in</w:t>
      </w:r>
      <w:r w:rsidR="00432737">
        <w:t xml:space="preserve"> the list below</w:t>
      </w:r>
      <w:r w:rsidRPr="00580DA0">
        <w:t xml:space="preserve">.  </w:t>
      </w:r>
    </w:p>
    <w:p w14:paraId="1DD359D2" w14:textId="2270DEF1" w:rsidR="00FD098F" w:rsidRPr="003C1BA3" w:rsidRDefault="00B03308" w:rsidP="00413D76">
      <w:pPr>
        <w:rPr>
          <w:rStyle w:val="Strong"/>
          <w:rFonts w:asciiTheme="minorHAnsi" w:hAnsiTheme="minorHAnsi"/>
          <w:b w:val="0"/>
        </w:rPr>
      </w:pPr>
      <w:r w:rsidRPr="003C1BA3">
        <w:rPr>
          <w:rStyle w:val="Strong"/>
          <w:rFonts w:asciiTheme="minorHAnsi" w:hAnsiTheme="minorHAnsi"/>
          <w:b w:val="0"/>
        </w:rPr>
        <w:t xml:space="preserve">Factors relevant to suitability </w:t>
      </w:r>
      <w:r w:rsidR="009E6A84" w:rsidRPr="003C1BA3">
        <w:rPr>
          <w:rStyle w:val="Strong"/>
          <w:rFonts w:asciiTheme="minorHAnsi" w:hAnsiTheme="minorHAnsi"/>
          <w:b w:val="0"/>
        </w:rPr>
        <w:t xml:space="preserve">assessments include: </w:t>
      </w:r>
    </w:p>
    <w:p w14:paraId="6434E5C0" w14:textId="08730492" w:rsidR="00FD098F" w:rsidRPr="00BE77DC" w:rsidRDefault="005422A8" w:rsidP="00000EE8">
      <w:pPr>
        <w:pStyle w:val="ListParagraph"/>
      </w:pPr>
      <w:r w:rsidRPr="00BE77DC">
        <w:t>r</w:t>
      </w:r>
      <w:r w:rsidR="009E6A84" w:rsidRPr="00BE77DC">
        <w:t>elevant experience</w:t>
      </w:r>
    </w:p>
    <w:p w14:paraId="0CFC99C8" w14:textId="3298DB16" w:rsidR="005422A8" w:rsidRPr="00BE77DC" w:rsidRDefault="005422A8" w:rsidP="00000EE8">
      <w:pPr>
        <w:pStyle w:val="ListParagraph"/>
      </w:pPr>
      <w:r w:rsidRPr="00BE77DC">
        <w:t>f</w:t>
      </w:r>
      <w:r w:rsidR="0040230D" w:rsidRPr="00BE77DC">
        <w:t>inancial resources</w:t>
      </w:r>
    </w:p>
    <w:p w14:paraId="46FAFF83" w14:textId="0FE357A0" w:rsidR="0040230D" w:rsidRPr="00BE77DC" w:rsidRDefault="006958D7" w:rsidP="00000EE8">
      <w:pPr>
        <w:pStyle w:val="ListParagraph"/>
      </w:pPr>
      <w:r w:rsidRPr="00BE77DC">
        <w:t>t</w:t>
      </w:r>
      <w:r w:rsidR="0040230D" w:rsidRPr="00BE77DC">
        <w:t xml:space="preserve">echnical advice </w:t>
      </w:r>
    </w:p>
    <w:p w14:paraId="4DF28B8C" w14:textId="23CAC304" w:rsidR="0040230D" w:rsidRPr="00BE77DC" w:rsidRDefault="006958D7" w:rsidP="00000EE8">
      <w:pPr>
        <w:pStyle w:val="ListParagraph"/>
      </w:pPr>
      <w:r w:rsidRPr="00BE77DC">
        <w:t xml:space="preserve">compliance </w:t>
      </w:r>
    </w:p>
    <w:p w14:paraId="492F2B26" w14:textId="327FA73C" w:rsidR="006958D7" w:rsidRPr="00BE77DC" w:rsidRDefault="006958D7" w:rsidP="00000EE8">
      <w:pPr>
        <w:pStyle w:val="ListParagraph"/>
      </w:pPr>
      <w:r w:rsidRPr="00BE77DC">
        <w:t>corporate governance</w:t>
      </w:r>
    </w:p>
    <w:p w14:paraId="4AE7F9A0" w14:textId="77777777" w:rsidR="006958D7" w:rsidRPr="00BE77DC" w:rsidRDefault="006958D7" w:rsidP="00000EE8">
      <w:pPr>
        <w:pStyle w:val="ListParagraph"/>
      </w:pPr>
      <w:r w:rsidRPr="00BE77DC">
        <w:t>other matters</w:t>
      </w:r>
    </w:p>
    <w:p w14:paraId="14B89B50" w14:textId="298DFA81" w:rsidR="009373D2" w:rsidRPr="00BE77DC" w:rsidRDefault="009373D2" w:rsidP="00000EE8">
      <w:pPr>
        <w:pStyle w:val="ListParagraph"/>
      </w:pPr>
      <w:r w:rsidRPr="00BE77DC">
        <w:t>pa</w:t>
      </w:r>
      <w:r w:rsidR="00FD3A1F" w:rsidRPr="00BE77DC">
        <w:t>st pe</w:t>
      </w:r>
      <w:r w:rsidRPr="00BE77DC">
        <w:t>rformance</w:t>
      </w:r>
    </w:p>
    <w:p w14:paraId="2603DCF0" w14:textId="537BF721" w:rsidR="009373D2" w:rsidRDefault="00874C8E" w:rsidP="00325739">
      <w:pPr>
        <w:pStyle w:val="Heading5"/>
      </w:pPr>
      <w:r>
        <w:t>Percentage</w:t>
      </w:r>
      <w:r w:rsidR="00727971">
        <w:t xml:space="preserve"> of total applications requiring suitability assessments in 2024-25</w:t>
      </w:r>
    </w:p>
    <w:p w14:paraId="79E34A30" w14:textId="77777777" w:rsidR="002357C6" w:rsidRDefault="00B82FDD" w:rsidP="00B82FDD">
      <w:pPr>
        <w:rPr>
          <w:rStyle w:val="Strong"/>
        </w:rPr>
      </w:pPr>
      <w:r w:rsidRPr="00325739">
        <w:rPr>
          <w:rStyle w:val="Strong"/>
        </w:rPr>
        <w:t>Petroleum</w:t>
      </w:r>
      <w:r>
        <w:rPr>
          <w:rStyle w:val="Strong"/>
        </w:rPr>
        <w:t>:</w:t>
      </w:r>
    </w:p>
    <w:p w14:paraId="0DDEF894" w14:textId="36D7F641" w:rsidR="009541C8" w:rsidRDefault="009541C8" w:rsidP="00325739">
      <w:r w:rsidRPr="001568EA">
        <w:t xml:space="preserve">A total 270 applications were submitted, of which: </w:t>
      </w:r>
    </w:p>
    <w:p w14:paraId="328D397B" w14:textId="77777777" w:rsidR="00884061" w:rsidRDefault="00884061" w:rsidP="00000EE8">
      <w:pPr>
        <w:pStyle w:val="ListParagraph"/>
      </w:pPr>
      <w:r w:rsidRPr="001568EA">
        <w:t>22% required both a financial resources and technical advice assessment; and</w:t>
      </w:r>
    </w:p>
    <w:p w14:paraId="3C6FCB94" w14:textId="77777777" w:rsidR="00884061" w:rsidRPr="001568EA" w:rsidRDefault="00884061" w:rsidP="00000EE8">
      <w:pPr>
        <w:pStyle w:val="ListParagraph"/>
      </w:pPr>
      <w:r w:rsidRPr="001568EA">
        <w:t>7% required a compliance history and corporate governance assessment.</w:t>
      </w:r>
    </w:p>
    <w:p w14:paraId="24B9FF14" w14:textId="77777777" w:rsidR="001E7F8F" w:rsidRDefault="00011F6B" w:rsidP="00DF0F04">
      <w:pPr>
        <w:rPr>
          <w:rStyle w:val="Strong"/>
        </w:rPr>
      </w:pPr>
      <w:r w:rsidRPr="001568EA">
        <w:rPr>
          <w:rStyle w:val="Strong"/>
        </w:rPr>
        <w:t>OEI</w:t>
      </w:r>
      <w:r w:rsidR="003B33C1">
        <w:rPr>
          <w:rStyle w:val="Strong"/>
        </w:rPr>
        <w:t>:</w:t>
      </w:r>
    </w:p>
    <w:p w14:paraId="31409BA3" w14:textId="1510131D" w:rsidR="002947DF" w:rsidRPr="00011F6B" w:rsidRDefault="00A11564" w:rsidP="00DF0F04">
      <w:r w:rsidRPr="00011F6B">
        <w:t>All 10</w:t>
      </w:r>
      <w:r w:rsidR="00011F6B">
        <w:t xml:space="preserve"> </w:t>
      </w:r>
      <w:r w:rsidR="002947DF" w:rsidRPr="00011F6B">
        <w:t xml:space="preserve">applications </w:t>
      </w:r>
      <w:r w:rsidRPr="00011F6B">
        <w:t>required both a financial resources and corporate governance assessment.</w:t>
      </w:r>
    </w:p>
    <w:p w14:paraId="59701C26" w14:textId="75903384" w:rsidR="00DF0F04" w:rsidRPr="001568EA" w:rsidRDefault="00DF0F04" w:rsidP="001568EA">
      <w:pPr>
        <w:rPr>
          <w:rStyle w:val="Strong"/>
        </w:rPr>
      </w:pPr>
      <w:r w:rsidRPr="001568EA">
        <w:rPr>
          <w:rStyle w:val="Strong"/>
        </w:rPr>
        <w:t>G</w:t>
      </w:r>
      <w:r w:rsidR="004417DA">
        <w:rPr>
          <w:rStyle w:val="Strong"/>
        </w:rPr>
        <w:t>reenhouse gas</w:t>
      </w:r>
      <w:r w:rsidR="003B33C1">
        <w:rPr>
          <w:rStyle w:val="Strong"/>
        </w:rPr>
        <w:t>:</w:t>
      </w:r>
    </w:p>
    <w:p w14:paraId="390B1387" w14:textId="6EA304D9" w:rsidR="00C576C7" w:rsidRPr="001568EA" w:rsidRDefault="00C576C7" w:rsidP="001568EA">
      <w:r w:rsidRPr="001568EA">
        <w:t>A total of</w:t>
      </w:r>
      <w:r w:rsidRPr="001568EA">
        <w:rPr>
          <w:b/>
        </w:rPr>
        <w:t xml:space="preserve"> </w:t>
      </w:r>
      <w:r w:rsidRPr="001568EA">
        <w:t xml:space="preserve">21 applications were submitted, of which: </w:t>
      </w:r>
    </w:p>
    <w:p w14:paraId="78F8F9A2" w14:textId="77777777" w:rsidR="00C576C7" w:rsidRPr="001568EA" w:rsidRDefault="00C576C7" w:rsidP="00000EE8">
      <w:pPr>
        <w:pStyle w:val="ListParagraph"/>
      </w:pPr>
      <w:r w:rsidRPr="001568EA">
        <w:t>33% required a financial resources and technical advice assessment; and</w:t>
      </w:r>
    </w:p>
    <w:p w14:paraId="028DA2A8" w14:textId="77777777" w:rsidR="00C576C7" w:rsidRPr="001568EA" w:rsidRDefault="00C576C7" w:rsidP="00000EE8">
      <w:pPr>
        <w:pStyle w:val="ListParagraph"/>
      </w:pPr>
      <w:r w:rsidRPr="001568EA">
        <w:t>19% required a history of compliance and corporate governance assessment.</w:t>
      </w:r>
    </w:p>
    <w:p w14:paraId="756A633B" w14:textId="77777777" w:rsidR="0065297A" w:rsidRPr="001568EA" w:rsidRDefault="0065297A">
      <w:pPr>
        <w:spacing w:before="0" w:after="160" w:line="259" w:lineRule="auto"/>
        <w:rPr>
          <w:rFonts w:asciiTheme="majorHAnsi" w:eastAsiaTheme="majorEastAsia" w:hAnsiTheme="majorHAnsi" w:cstheme="majorBidi"/>
          <w:color w:val="15659B" w:themeColor="accent4"/>
        </w:rPr>
      </w:pPr>
      <w:r>
        <w:br w:type="page"/>
      </w:r>
    </w:p>
    <w:p w14:paraId="63383F23" w14:textId="1778192C" w:rsidR="00407280" w:rsidRDefault="00407280" w:rsidP="00407280">
      <w:pPr>
        <w:pStyle w:val="Heading4"/>
      </w:pPr>
      <w:r w:rsidRPr="00371B0F">
        <w:lastRenderedPageBreak/>
        <w:t xml:space="preserve">Data </w:t>
      </w:r>
      <w:r w:rsidR="00F1102D" w:rsidRPr="00371B0F">
        <w:t>m</w:t>
      </w:r>
      <w:r w:rsidRPr="00371B0F">
        <w:t>anagement</w:t>
      </w:r>
      <w:r>
        <w:t xml:space="preserve"> </w:t>
      </w:r>
    </w:p>
    <w:p w14:paraId="31A02FAE" w14:textId="4CBD653C" w:rsidR="0011434D" w:rsidRPr="001D0432" w:rsidRDefault="0011434D" w:rsidP="0011434D">
      <w:r w:rsidRPr="001D0432">
        <w:t>The Titles Administrator has responsibility for the submission and release of documentary information and samples (petroleum and greenhouse gas data), in accordance with the Offshore Petroleum and Greenhouse Gas Storage (Resource Management and Administration) Regulations 2011 (RMA Regulations).</w:t>
      </w:r>
    </w:p>
    <w:p w14:paraId="6951F748" w14:textId="77777777" w:rsidR="0011434D" w:rsidRDefault="0011434D" w:rsidP="0011434D">
      <w:r w:rsidRPr="001D0432">
        <w:t xml:space="preserve">In 2024-25, the Titles Administrator: </w:t>
      </w:r>
    </w:p>
    <w:p w14:paraId="13B23DB9" w14:textId="014A5C11" w:rsidR="00F1102D" w:rsidRPr="001D0432" w:rsidRDefault="0011434D" w:rsidP="00000EE8">
      <w:pPr>
        <w:pStyle w:val="ListParagraph"/>
      </w:pPr>
      <w:r w:rsidRPr="001D0432">
        <w:t xml:space="preserve">received 5,950 activity reports* (Figure </w:t>
      </w:r>
      <w:r w:rsidR="00C63E93">
        <w:t>1</w:t>
      </w:r>
      <w:r w:rsidR="00802375">
        <w:t>7</w:t>
      </w:r>
      <w:r w:rsidRPr="001D0432">
        <w:t>)</w:t>
      </w:r>
    </w:p>
    <w:p w14:paraId="75C4CADF" w14:textId="4229D355" w:rsidR="0011434D" w:rsidRPr="001D0432" w:rsidRDefault="0011434D" w:rsidP="00000EE8">
      <w:pPr>
        <w:pStyle w:val="ListParagraph"/>
      </w:pPr>
      <w:r w:rsidRPr="001D0432">
        <w:t xml:space="preserve">received 453 regulatory submission items** and </w:t>
      </w:r>
    </w:p>
    <w:p w14:paraId="19A7BC22" w14:textId="07CBE80D" w:rsidR="0011434D" w:rsidRPr="001D0432" w:rsidRDefault="0011434D" w:rsidP="00000EE8">
      <w:pPr>
        <w:pStyle w:val="ListParagraph"/>
      </w:pPr>
      <w:r w:rsidRPr="001D0432">
        <w:t>authorised the public release of data from 87 activities, equal to 624TB of data</w:t>
      </w:r>
      <w:r>
        <w:t xml:space="preserve">. </w:t>
      </w:r>
      <w:r w:rsidRPr="001D0432">
        <w:t xml:space="preserve"> </w:t>
      </w:r>
    </w:p>
    <w:p w14:paraId="52E92636" w14:textId="77777777" w:rsidR="0011434D" w:rsidRPr="001D0432" w:rsidRDefault="0011434D" w:rsidP="0011434D">
      <w:r w:rsidRPr="001D0432">
        <w:t>The amount of data released has increased significantly, as compared to last financial year, from 14TB to 624TB. This is primarily due to the release of several large area surveys during the period.</w:t>
      </w:r>
    </w:p>
    <w:p w14:paraId="13ADBA58" w14:textId="5E4123C7" w:rsidR="00A83927" w:rsidRDefault="00F4175E" w:rsidP="00A83927">
      <w:pPr>
        <w:keepNext/>
      </w:pPr>
      <w:r>
        <w:rPr>
          <w:noProof/>
        </w:rPr>
        <w:drawing>
          <wp:inline distT="0" distB="0" distL="0" distR="0" wp14:anchorId="77F0AAD4" wp14:editId="4F635C13">
            <wp:extent cx="4643021" cy="2725445"/>
            <wp:effectExtent l="0" t="0" r="5715" b="17780"/>
            <wp:docPr id="1371810579" name="Chart 1" descr="Figure 17 bar graph shows the number of activity reports by financial year, from 2020-21 to 2024-25. See more information   in the alt text description below the graph. ">
              <a:extLst xmlns:a="http://schemas.openxmlformats.org/drawingml/2006/main">
                <a:ext uri="{FF2B5EF4-FFF2-40B4-BE49-F238E27FC236}">
                  <a16:creationId xmlns:a16="http://schemas.microsoft.com/office/drawing/2014/main" id="{5822A041-7EAC-4CEB-BAFF-C88B653D62F7}"/>
                </a:ext>
                <a:ext uri="{147F2762-F138-4A5C-976F-8EAC2B608ADB}">
                  <a16:predDERef xmlns:a16="http://schemas.microsoft.com/office/drawing/2014/main" pred="{FA00D481-9F2D-411A-B102-2A0E7A2D62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41415FD" w14:textId="70446606" w:rsidR="00B77794" w:rsidRDefault="00A83927" w:rsidP="00A83927">
      <w:pPr>
        <w:pStyle w:val="Caption"/>
      </w:pPr>
      <w:bookmarkStart w:id="145" w:name="_Toc221884198"/>
      <w:bookmarkStart w:id="146" w:name="_Toc222316231"/>
      <w:r>
        <w:t xml:space="preserve">Figure </w:t>
      </w:r>
      <w:r>
        <w:fldChar w:fldCharType="begin"/>
      </w:r>
      <w:r>
        <w:instrText xml:space="preserve"> SEQ Figure \* ARABIC </w:instrText>
      </w:r>
      <w:r>
        <w:fldChar w:fldCharType="separate"/>
      </w:r>
      <w:r w:rsidR="00CF02F5">
        <w:rPr>
          <w:noProof/>
        </w:rPr>
        <w:t>17</w:t>
      </w:r>
      <w:r>
        <w:fldChar w:fldCharType="end"/>
      </w:r>
      <w:r>
        <w:t>:</w:t>
      </w:r>
      <w:r w:rsidR="009748D7">
        <w:t xml:space="preserve"> </w:t>
      </w:r>
      <w:r w:rsidR="00802375">
        <w:t>N</w:t>
      </w:r>
      <w:r w:rsidRPr="009B2625">
        <w:t>umber of activity reports received in 2020-21 to 2024-25</w:t>
      </w:r>
      <w:bookmarkEnd w:id="145"/>
      <w:bookmarkEnd w:id="146"/>
    </w:p>
    <w:p w14:paraId="162EDDC1" w14:textId="65D47040" w:rsidR="00264464" w:rsidRPr="00274CBA" w:rsidRDefault="0063052F" w:rsidP="00274CBA">
      <w:pPr>
        <w:ind w:left="714"/>
        <w:rPr>
          <w:b/>
          <w:bCs/>
          <w:sz w:val="20"/>
          <w:szCs w:val="20"/>
        </w:rPr>
      </w:pPr>
      <w:r w:rsidRPr="00A55697">
        <w:rPr>
          <w:b/>
          <w:bCs/>
          <w:sz w:val="20"/>
          <w:szCs w:val="20"/>
        </w:rPr>
        <w:t>Alternative text description:</w:t>
      </w:r>
      <w:r w:rsidR="000A0841" w:rsidRPr="00A55697">
        <w:rPr>
          <w:b/>
          <w:bCs/>
          <w:sz w:val="20"/>
          <w:szCs w:val="20"/>
        </w:rPr>
        <w:t xml:space="preserve"> </w:t>
      </w:r>
      <w:r w:rsidR="00264464" w:rsidRPr="00274CBA">
        <w:rPr>
          <w:sz w:val="20"/>
          <w:szCs w:val="20"/>
        </w:rPr>
        <w:t xml:space="preserve">A stacked </w:t>
      </w:r>
      <w:r w:rsidR="00376F87">
        <w:rPr>
          <w:sz w:val="20"/>
          <w:szCs w:val="20"/>
        </w:rPr>
        <w:t xml:space="preserve">vertical </w:t>
      </w:r>
      <w:r w:rsidR="00264464" w:rsidRPr="00274CBA">
        <w:rPr>
          <w:sz w:val="20"/>
          <w:szCs w:val="20"/>
        </w:rPr>
        <w:t>bar chart showing the number of well and survey activity reports (per thousand) from 2020–21 to 2024–25. Daily drilling reports (</w:t>
      </w:r>
      <w:r w:rsidR="0054399B">
        <w:rPr>
          <w:sz w:val="20"/>
          <w:szCs w:val="20"/>
        </w:rPr>
        <w:t>green</w:t>
      </w:r>
      <w:r w:rsidR="00264464" w:rsidRPr="00274CBA">
        <w:rPr>
          <w:sz w:val="20"/>
          <w:szCs w:val="20"/>
        </w:rPr>
        <w:t>) and monthly production reports (blue) both increase over the period.</w:t>
      </w:r>
    </w:p>
    <w:p w14:paraId="0BCBB1A6" w14:textId="277C19DD" w:rsidR="0063052F" w:rsidRPr="005C35D7" w:rsidRDefault="002C406E" w:rsidP="00B5134E">
      <w:pPr>
        <w:ind w:left="714"/>
        <w:rPr>
          <w:sz w:val="18"/>
          <w:szCs w:val="18"/>
        </w:rPr>
      </w:pPr>
      <w:r w:rsidRPr="005C35D7">
        <w:rPr>
          <w:sz w:val="18"/>
          <w:szCs w:val="18"/>
        </w:rPr>
        <w:t>*Includes: 1,146</w:t>
      </w:r>
      <w:r w:rsidR="0039229D" w:rsidRPr="005C35D7">
        <w:rPr>
          <w:sz w:val="18"/>
          <w:szCs w:val="18"/>
        </w:rPr>
        <w:t xml:space="preserve"> production reports, 4,776 drilling reports, 28 survey reports</w:t>
      </w:r>
      <w:r w:rsidR="00897E94" w:rsidRPr="005C35D7">
        <w:rPr>
          <w:sz w:val="18"/>
          <w:szCs w:val="18"/>
        </w:rPr>
        <w:t>.</w:t>
      </w:r>
      <w:r w:rsidR="0039229D" w:rsidRPr="005C35D7">
        <w:rPr>
          <w:sz w:val="18"/>
          <w:szCs w:val="18"/>
        </w:rPr>
        <w:t xml:space="preserve"> </w:t>
      </w:r>
    </w:p>
    <w:p w14:paraId="57583846" w14:textId="4BB525CD" w:rsidR="0039229D" w:rsidRPr="005C35D7" w:rsidRDefault="0039229D" w:rsidP="00B5134E">
      <w:pPr>
        <w:ind w:left="714"/>
        <w:rPr>
          <w:sz w:val="18"/>
          <w:szCs w:val="18"/>
        </w:rPr>
      </w:pPr>
      <w:r w:rsidRPr="005C35D7">
        <w:rPr>
          <w:sz w:val="18"/>
          <w:szCs w:val="18"/>
        </w:rPr>
        <w:t>**</w:t>
      </w:r>
      <w:r w:rsidR="00A43B81" w:rsidRPr="005C35D7">
        <w:rPr>
          <w:sz w:val="18"/>
          <w:szCs w:val="18"/>
        </w:rPr>
        <w:t xml:space="preserve">Includes: </w:t>
      </w:r>
      <w:r w:rsidR="007A5C6B" w:rsidRPr="005C35D7">
        <w:rPr>
          <w:sz w:val="18"/>
          <w:szCs w:val="18"/>
        </w:rPr>
        <w:t>313 wells and 140 survey data items</w:t>
      </w:r>
      <w:r w:rsidR="00897E94" w:rsidRPr="005C35D7">
        <w:rPr>
          <w:sz w:val="18"/>
          <w:szCs w:val="18"/>
        </w:rPr>
        <w:t>.</w:t>
      </w:r>
      <w:r w:rsidR="007A5C6B" w:rsidRPr="005C35D7">
        <w:rPr>
          <w:sz w:val="18"/>
          <w:szCs w:val="18"/>
        </w:rPr>
        <w:t xml:space="preserve"> </w:t>
      </w:r>
      <w:r w:rsidRPr="005C35D7">
        <w:rPr>
          <w:sz w:val="18"/>
          <w:szCs w:val="18"/>
        </w:rPr>
        <w:t xml:space="preserve"> </w:t>
      </w:r>
    </w:p>
    <w:p w14:paraId="31028485" w14:textId="77777777" w:rsidR="0062375E" w:rsidRDefault="00BC3D67" w:rsidP="0062375E">
      <w:pPr>
        <w:keepNext/>
      </w:pPr>
      <w:r w:rsidRPr="00BC3D67">
        <w:rPr>
          <w:noProof/>
        </w:rPr>
        <w:drawing>
          <wp:inline distT="0" distB="0" distL="0" distR="0" wp14:anchorId="5747C937" wp14:editId="43B95E7A">
            <wp:extent cx="5731510" cy="1831975"/>
            <wp:effectExtent l="0" t="0" r="2540" b="0"/>
            <wp:docPr id="1925692295" name="Picture 1" descr="Figure 18 has a line graph showing the amount of open-file data release authorisations by financial year for the five years from 2020-21 to 2024-25. More information is available in the caption and alternative text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92295" name="Picture 1" descr="Figure 18 has a line graph showing the amount of open-file data release authorisations by financial year for the five years from 2020-21 to 2024-25. More information is available in the caption and alternative text description. "/>
                    <pic:cNvPicPr/>
                  </pic:nvPicPr>
                  <pic:blipFill>
                    <a:blip r:embed="rId35"/>
                    <a:stretch>
                      <a:fillRect/>
                    </a:stretch>
                  </pic:blipFill>
                  <pic:spPr>
                    <a:xfrm>
                      <a:off x="0" y="0"/>
                      <a:ext cx="5731510" cy="1831975"/>
                    </a:xfrm>
                    <a:prstGeom prst="rect">
                      <a:avLst/>
                    </a:prstGeom>
                  </pic:spPr>
                </pic:pic>
              </a:graphicData>
            </a:graphic>
          </wp:inline>
        </w:drawing>
      </w:r>
    </w:p>
    <w:p w14:paraId="3E9287AE" w14:textId="11A06A54" w:rsidR="00BC3D67" w:rsidRDefault="0062375E" w:rsidP="0062375E">
      <w:pPr>
        <w:pStyle w:val="Caption"/>
      </w:pPr>
      <w:bookmarkStart w:id="147" w:name="_Toc221884199"/>
      <w:bookmarkStart w:id="148" w:name="_Toc222316232"/>
      <w:r>
        <w:t xml:space="preserve">Figure </w:t>
      </w:r>
      <w:r>
        <w:fldChar w:fldCharType="begin"/>
      </w:r>
      <w:r>
        <w:instrText xml:space="preserve"> SEQ Figure \* ARABIC </w:instrText>
      </w:r>
      <w:r>
        <w:fldChar w:fldCharType="separate"/>
      </w:r>
      <w:r w:rsidR="00CF02F5">
        <w:rPr>
          <w:noProof/>
        </w:rPr>
        <w:t>18</w:t>
      </w:r>
      <w:r>
        <w:fldChar w:fldCharType="end"/>
      </w:r>
      <w:r>
        <w:t xml:space="preserve">: </w:t>
      </w:r>
      <w:r w:rsidRPr="00140A72">
        <w:t>Open-file data release authorisations by financial year</w:t>
      </w:r>
      <w:bookmarkEnd w:id="147"/>
      <w:bookmarkEnd w:id="148"/>
    </w:p>
    <w:p w14:paraId="1AE4108F" w14:textId="6119DEC3" w:rsidR="00246CE3" w:rsidRPr="00FF0824" w:rsidRDefault="0063052F" w:rsidP="0062375E">
      <w:pPr>
        <w:ind w:left="720"/>
        <w:rPr>
          <w:sz w:val="20"/>
          <w:szCs w:val="20"/>
        </w:rPr>
      </w:pPr>
      <w:r w:rsidRPr="00FF0824">
        <w:rPr>
          <w:b/>
          <w:sz w:val="20"/>
          <w:szCs w:val="20"/>
        </w:rPr>
        <w:lastRenderedPageBreak/>
        <w:t>Alternative text description:</w:t>
      </w:r>
      <w:r w:rsidR="00095E4B" w:rsidRPr="00FF0824">
        <w:rPr>
          <w:sz w:val="20"/>
          <w:szCs w:val="20"/>
        </w:rPr>
        <w:t xml:space="preserve"> </w:t>
      </w:r>
      <w:r w:rsidR="000B60F4" w:rsidRPr="00FF0824">
        <w:rPr>
          <w:sz w:val="20"/>
          <w:szCs w:val="20"/>
        </w:rPr>
        <w:t>Shaded line</w:t>
      </w:r>
      <w:r w:rsidR="00095E4B" w:rsidRPr="00FF0824">
        <w:rPr>
          <w:sz w:val="20"/>
          <w:szCs w:val="20"/>
        </w:rPr>
        <w:t xml:space="preserve"> graph shows the amount of open-file data release authorisations in tera</w:t>
      </w:r>
      <w:r w:rsidR="00F32CFC" w:rsidRPr="00FF0824">
        <w:rPr>
          <w:sz w:val="20"/>
          <w:szCs w:val="20"/>
        </w:rPr>
        <w:t xml:space="preserve">bytes (TB) </w:t>
      </w:r>
      <w:r w:rsidR="00095E4B" w:rsidRPr="00FF0824">
        <w:rPr>
          <w:sz w:val="20"/>
          <w:szCs w:val="20"/>
        </w:rPr>
        <w:t>by financial year for the years 2020-21 to 2024-25</w:t>
      </w:r>
      <w:r w:rsidR="00F32CFC" w:rsidRPr="00FF0824">
        <w:rPr>
          <w:sz w:val="20"/>
          <w:szCs w:val="20"/>
        </w:rPr>
        <w:t xml:space="preserve">. The </w:t>
      </w:r>
      <w:r w:rsidR="001450E0" w:rsidRPr="00FF0824">
        <w:rPr>
          <w:sz w:val="20"/>
          <w:szCs w:val="20"/>
        </w:rPr>
        <w:t>a</w:t>
      </w:r>
      <w:r w:rsidR="00F57B30" w:rsidRPr="00FF0824">
        <w:rPr>
          <w:sz w:val="20"/>
          <w:szCs w:val="20"/>
        </w:rPr>
        <w:t>nnual release</w:t>
      </w:r>
      <w:r w:rsidR="006A7DB4" w:rsidRPr="00FF0824">
        <w:rPr>
          <w:sz w:val="20"/>
          <w:szCs w:val="20"/>
        </w:rPr>
        <w:t xml:space="preserve"> of data was</w:t>
      </w:r>
      <w:r w:rsidR="00246CE3" w:rsidRPr="00FF0824">
        <w:rPr>
          <w:sz w:val="20"/>
          <w:szCs w:val="20"/>
        </w:rPr>
        <w:t xml:space="preserve">: </w:t>
      </w:r>
    </w:p>
    <w:p w14:paraId="6DF87008" w14:textId="14B6D61A" w:rsidR="00DB671E" w:rsidRPr="002621FB" w:rsidRDefault="00060E4B" w:rsidP="00000EE8">
      <w:pPr>
        <w:pStyle w:val="ListParagraph"/>
        <w:numPr>
          <w:ilvl w:val="1"/>
          <w:numId w:val="38"/>
        </w:numPr>
        <w:rPr>
          <w:b/>
          <w:sz w:val="20"/>
          <w:szCs w:val="20"/>
        </w:rPr>
      </w:pPr>
      <w:r w:rsidRPr="002621FB">
        <w:rPr>
          <w:sz w:val="20"/>
          <w:szCs w:val="20"/>
        </w:rPr>
        <w:t xml:space="preserve">2020-21 </w:t>
      </w:r>
      <w:r w:rsidR="00246CE3" w:rsidRPr="002621FB">
        <w:rPr>
          <w:sz w:val="20"/>
          <w:szCs w:val="20"/>
        </w:rPr>
        <w:t xml:space="preserve">– 6.8TB </w:t>
      </w:r>
    </w:p>
    <w:p w14:paraId="0A2BB545" w14:textId="4CAEB358" w:rsidR="000A4187" w:rsidRPr="002621FB" w:rsidRDefault="00246CE3" w:rsidP="00000EE8">
      <w:pPr>
        <w:pStyle w:val="ListParagraph"/>
        <w:numPr>
          <w:ilvl w:val="1"/>
          <w:numId w:val="38"/>
        </w:numPr>
        <w:rPr>
          <w:b/>
          <w:sz w:val="20"/>
          <w:szCs w:val="20"/>
        </w:rPr>
      </w:pPr>
      <w:r w:rsidRPr="002621FB">
        <w:rPr>
          <w:sz w:val="20"/>
          <w:szCs w:val="20"/>
        </w:rPr>
        <w:t xml:space="preserve">2021-22 </w:t>
      </w:r>
      <w:r w:rsidR="007E3DE6" w:rsidRPr="002621FB">
        <w:rPr>
          <w:sz w:val="20"/>
          <w:szCs w:val="20"/>
        </w:rPr>
        <w:t>–</w:t>
      </w:r>
      <w:r w:rsidRPr="002621FB">
        <w:rPr>
          <w:sz w:val="20"/>
          <w:szCs w:val="20"/>
        </w:rPr>
        <w:t xml:space="preserve"> </w:t>
      </w:r>
      <w:r w:rsidR="007E3DE6" w:rsidRPr="002621FB">
        <w:rPr>
          <w:sz w:val="20"/>
          <w:szCs w:val="20"/>
        </w:rPr>
        <w:t xml:space="preserve">10.2TB </w:t>
      </w:r>
    </w:p>
    <w:p w14:paraId="27A3FF8D" w14:textId="77777777" w:rsidR="000A4187" w:rsidRPr="002621FB" w:rsidRDefault="007E3DE6" w:rsidP="00000EE8">
      <w:pPr>
        <w:pStyle w:val="ListParagraph"/>
        <w:numPr>
          <w:ilvl w:val="1"/>
          <w:numId w:val="38"/>
        </w:numPr>
        <w:rPr>
          <w:b/>
          <w:sz w:val="20"/>
          <w:szCs w:val="20"/>
        </w:rPr>
      </w:pPr>
      <w:r w:rsidRPr="002621FB">
        <w:rPr>
          <w:sz w:val="20"/>
          <w:szCs w:val="20"/>
        </w:rPr>
        <w:t>2022-23 – 5.6TB</w:t>
      </w:r>
    </w:p>
    <w:p w14:paraId="306EB462" w14:textId="7F7E902B" w:rsidR="00561DEE" w:rsidRPr="002621FB" w:rsidRDefault="000A4187" w:rsidP="00000EE8">
      <w:pPr>
        <w:pStyle w:val="ListParagraph"/>
        <w:numPr>
          <w:ilvl w:val="1"/>
          <w:numId w:val="38"/>
        </w:numPr>
        <w:rPr>
          <w:b/>
          <w:sz w:val="20"/>
          <w:szCs w:val="20"/>
        </w:rPr>
      </w:pPr>
      <w:r w:rsidRPr="002621FB">
        <w:rPr>
          <w:sz w:val="20"/>
          <w:szCs w:val="20"/>
        </w:rPr>
        <w:t>2023-24 – 13.9</w:t>
      </w:r>
      <w:r w:rsidR="00561DEE" w:rsidRPr="002621FB">
        <w:rPr>
          <w:sz w:val="20"/>
          <w:szCs w:val="20"/>
        </w:rPr>
        <w:t xml:space="preserve">TB </w:t>
      </w:r>
    </w:p>
    <w:p w14:paraId="206AF3E4" w14:textId="6CE503EC" w:rsidR="00921442" w:rsidRPr="002621FB" w:rsidRDefault="00561DEE" w:rsidP="00000EE8">
      <w:pPr>
        <w:pStyle w:val="ListParagraph"/>
        <w:numPr>
          <w:ilvl w:val="1"/>
          <w:numId w:val="38"/>
        </w:numPr>
        <w:rPr>
          <w:sz w:val="20"/>
          <w:szCs w:val="20"/>
        </w:rPr>
      </w:pPr>
      <w:r w:rsidRPr="002621FB">
        <w:rPr>
          <w:sz w:val="20"/>
          <w:szCs w:val="20"/>
        </w:rPr>
        <w:t>2024-25 – 624.6TB</w:t>
      </w:r>
      <w:r w:rsidR="00604453" w:rsidRPr="002621FB">
        <w:rPr>
          <w:sz w:val="20"/>
          <w:szCs w:val="20"/>
        </w:rPr>
        <w:t xml:space="preserve">. </w:t>
      </w:r>
      <w:r w:rsidR="007E3DE6" w:rsidRPr="002621FB">
        <w:rPr>
          <w:sz w:val="20"/>
          <w:szCs w:val="20"/>
        </w:rPr>
        <w:t xml:space="preserve"> </w:t>
      </w:r>
      <w:r w:rsidR="00246CE3" w:rsidRPr="002621FB">
        <w:rPr>
          <w:sz w:val="20"/>
          <w:szCs w:val="20"/>
        </w:rPr>
        <w:t xml:space="preserve"> </w:t>
      </w:r>
    </w:p>
    <w:p w14:paraId="1831B0CB" w14:textId="0B4F4EB2" w:rsidR="00842680" w:rsidRDefault="006C2120" w:rsidP="006C2120">
      <w:pPr>
        <w:pStyle w:val="Heading3"/>
      </w:pPr>
      <w:bookmarkStart w:id="149" w:name="_Toc221544033"/>
      <w:bookmarkStart w:id="150" w:name="_Toc221546112"/>
      <w:bookmarkStart w:id="151" w:name="_Toc221627104"/>
      <w:bookmarkStart w:id="152" w:name="_Toc222500465"/>
      <w:r w:rsidRPr="00580DA0">
        <w:t xml:space="preserve">Pillar 2: Leveraging </w:t>
      </w:r>
      <w:r>
        <w:t>i</w:t>
      </w:r>
      <w:r w:rsidRPr="00580DA0">
        <w:t>nformation and</w:t>
      </w:r>
      <w:r>
        <w:t xml:space="preserve"> technology</w:t>
      </w:r>
      <w:bookmarkEnd w:id="149"/>
      <w:bookmarkEnd w:id="150"/>
      <w:bookmarkEnd w:id="151"/>
      <w:bookmarkEnd w:id="152"/>
      <w:r>
        <w:t xml:space="preserve"> </w:t>
      </w:r>
    </w:p>
    <w:p w14:paraId="10143DA2" w14:textId="56D73B58" w:rsidR="00806AA5" w:rsidRPr="005427C3" w:rsidRDefault="00806AA5" w:rsidP="00806AA5">
      <w:pPr>
        <w:rPr>
          <w:rFonts w:ascii="Aptos" w:eastAsia="Aptos" w:hAnsi="Aptos" w:cs="Aptos"/>
          <w:color w:val="000000" w:themeColor="text1"/>
        </w:rPr>
      </w:pPr>
      <w:r w:rsidRPr="005427C3">
        <w:rPr>
          <w:rFonts w:ascii="Aptos" w:eastAsia="Aptos" w:hAnsi="Aptos" w:cs="Aptos"/>
          <w:color w:val="000000" w:themeColor="text1"/>
        </w:rPr>
        <w:t>NOPTA is enhancing its digital capabilities to strengthen security, improve data quality, and support evidence-based decision making. These efforts help</w:t>
      </w:r>
      <w:r w:rsidR="003C2E64">
        <w:rPr>
          <w:rFonts w:ascii="Aptos" w:eastAsia="Aptos" w:hAnsi="Aptos" w:cs="Aptos"/>
          <w:color w:val="000000" w:themeColor="text1"/>
        </w:rPr>
        <w:t xml:space="preserve"> to</w:t>
      </w:r>
      <w:r w:rsidRPr="005427C3">
        <w:rPr>
          <w:rFonts w:ascii="Aptos" w:eastAsia="Aptos" w:hAnsi="Aptos" w:cs="Aptos"/>
          <w:color w:val="000000" w:themeColor="text1"/>
        </w:rPr>
        <w:t xml:space="preserve"> deliver a more seamless and user-friendly experience for stakeholders.</w:t>
      </w:r>
    </w:p>
    <w:p w14:paraId="738D2054" w14:textId="16A5768B" w:rsidR="00806AA5" w:rsidRPr="005427C3" w:rsidRDefault="00806AA5" w:rsidP="00806AA5">
      <w:pPr>
        <w:rPr>
          <w:rFonts w:ascii="Aptos" w:eastAsia="Aptos" w:hAnsi="Aptos" w:cs="Aptos"/>
          <w:color w:val="000000" w:themeColor="text1"/>
        </w:rPr>
      </w:pPr>
      <w:r w:rsidRPr="005427C3">
        <w:rPr>
          <w:rFonts w:ascii="Aptos" w:eastAsia="Aptos" w:hAnsi="Aptos" w:cs="Aptos"/>
          <w:color w:val="000000" w:themeColor="text1"/>
        </w:rPr>
        <w:t>Our approach is built on</w:t>
      </w:r>
      <w:r w:rsidRPr="005427C3" w:rsidDel="00F65D33">
        <w:rPr>
          <w:rFonts w:ascii="Aptos" w:eastAsia="Aptos" w:hAnsi="Aptos" w:cs="Aptos"/>
          <w:color w:val="000000" w:themeColor="text1"/>
        </w:rPr>
        <w:t>:</w:t>
      </w:r>
    </w:p>
    <w:p w14:paraId="2B2FF378" w14:textId="2F0C35EE" w:rsidR="00D335D2" w:rsidRPr="0065297A" w:rsidRDefault="00806AA5" w:rsidP="00806AA5">
      <w:pPr>
        <w:rPr>
          <w:rStyle w:val="Strong"/>
        </w:rPr>
      </w:pPr>
      <w:r w:rsidRPr="0065297A">
        <w:rPr>
          <w:rStyle w:val="Strong"/>
        </w:rPr>
        <w:t xml:space="preserve">Integrated systems </w:t>
      </w:r>
    </w:p>
    <w:p w14:paraId="081E245D" w14:textId="229E3A51" w:rsidR="00806AA5" w:rsidRPr="005409D3" w:rsidRDefault="00806AA5" w:rsidP="00806AA5">
      <w:pPr>
        <w:rPr>
          <w:rFonts w:ascii="Aptos" w:eastAsia="Aptos" w:hAnsi="Aptos" w:cs="Aptos"/>
          <w:color w:val="000000" w:themeColor="text1"/>
        </w:rPr>
      </w:pPr>
      <w:r w:rsidRPr="005409D3">
        <w:rPr>
          <w:rFonts w:ascii="Aptos" w:eastAsia="Aptos" w:hAnsi="Aptos" w:cs="Aptos"/>
          <w:color w:val="000000" w:themeColor="text1"/>
        </w:rPr>
        <w:t xml:space="preserve">Connecting our technology platforms to enable better data integration and analysis. This integration </w:t>
      </w:r>
      <w:r w:rsidR="00BC7B30">
        <w:rPr>
          <w:rFonts w:ascii="Aptos" w:eastAsia="Aptos" w:hAnsi="Aptos" w:cs="Aptos"/>
          <w:color w:val="000000" w:themeColor="text1"/>
        </w:rPr>
        <w:t xml:space="preserve">will provide </w:t>
      </w:r>
      <w:r w:rsidR="00FD260B">
        <w:rPr>
          <w:rFonts w:ascii="Aptos" w:eastAsia="Aptos" w:hAnsi="Aptos" w:cs="Aptos"/>
          <w:color w:val="000000" w:themeColor="text1"/>
        </w:rPr>
        <w:t xml:space="preserve">for more </w:t>
      </w:r>
      <w:r w:rsidRPr="005409D3">
        <w:rPr>
          <w:rFonts w:ascii="Aptos" w:eastAsia="Aptos" w:hAnsi="Aptos" w:cs="Aptos"/>
          <w:color w:val="000000" w:themeColor="text1"/>
        </w:rPr>
        <w:t>informed decisions and a smoother experience for users.</w:t>
      </w:r>
    </w:p>
    <w:p w14:paraId="7DDCFF7B" w14:textId="77777777" w:rsidR="00D335D2" w:rsidRPr="0065297A" w:rsidRDefault="00806AA5" w:rsidP="00806AA5">
      <w:pPr>
        <w:rPr>
          <w:rStyle w:val="Strong"/>
        </w:rPr>
      </w:pPr>
      <w:r w:rsidRPr="0065297A">
        <w:rPr>
          <w:rStyle w:val="Strong"/>
        </w:rPr>
        <w:t>Strategic planning for the future</w:t>
      </w:r>
    </w:p>
    <w:p w14:paraId="0765C25B" w14:textId="45B5207B" w:rsidR="00806AA5" w:rsidRPr="00210922" w:rsidRDefault="00806AA5" w:rsidP="00806AA5">
      <w:pPr>
        <w:rPr>
          <w:rFonts w:ascii="Aptos" w:eastAsia="Aptos" w:hAnsi="Aptos" w:cs="Aptos"/>
          <w:color w:val="000000" w:themeColor="text1"/>
        </w:rPr>
      </w:pPr>
      <w:r w:rsidRPr="00210922">
        <w:rPr>
          <w:rFonts w:ascii="Aptos" w:eastAsia="Aptos" w:hAnsi="Aptos" w:cs="Aptos"/>
          <w:color w:val="000000" w:themeColor="text1"/>
        </w:rPr>
        <w:t xml:space="preserve">Our 2024–2026 ICT Strategy sets a clear direction for digital capability development and governance, ensuring we </w:t>
      </w:r>
      <w:r w:rsidR="006A4FB4">
        <w:rPr>
          <w:rFonts w:ascii="Aptos" w:eastAsia="Aptos" w:hAnsi="Aptos" w:cs="Aptos"/>
          <w:color w:val="000000" w:themeColor="text1"/>
        </w:rPr>
        <w:t xml:space="preserve">keep pace </w:t>
      </w:r>
      <w:r w:rsidRPr="00210922">
        <w:rPr>
          <w:rFonts w:ascii="Aptos" w:eastAsia="Aptos" w:hAnsi="Aptos" w:cs="Aptos"/>
          <w:color w:val="000000" w:themeColor="text1"/>
        </w:rPr>
        <w:t>in a rapidly evolving landscape.</w:t>
      </w:r>
    </w:p>
    <w:p w14:paraId="06689102" w14:textId="77777777" w:rsidR="00D335D2" w:rsidRPr="0065297A" w:rsidRDefault="00806AA5" w:rsidP="00806AA5">
      <w:pPr>
        <w:rPr>
          <w:rStyle w:val="Strong"/>
        </w:rPr>
      </w:pPr>
      <w:r w:rsidRPr="0065297A">
        <w:rPr>
          <w:rStyle w:val="Strong"/>
        </w:rPr>
        <w:t>Data quality and accessibility</w:t>
      </w:r>
    </w:p>
    <w:p w14:paraId="65DDC3DF" w14:textId="4165D7C7" w:rsidR="00806AA5" w:rsidRPr="00210922" w:rsidRDefault="00806AA5" w:rsidP="00806AA5">
      <w:pPr>
        <w:rPr>
          <w:rFonts w:ascii="Aptos" w:eastAsia="Aptos" w:hAnsi="Aptos" w:cs="Aptos"/>
          <w:color w:val="000000" w:themeColor="text1"/>
        </w:rPr>
      </w:pPr>
      <w:r w:rsidRPr="00210922">
        <w:rPr>
          <w:rFonts w:ascii="Aptos" w:eastAsia="Aptos" w:hAnsi="Aptos" w:cs="Aptos"/>
          <w:color w:val="000000" w:themeColor="text1"/>
        </w:rPr>
        <w:t xml:space="preserve">Ongoing improvements in data quality and accessibility are empowering users with reliable information and supporting greater transparency. </w:t>
      </w:r>
    </w:p>
    <w:p w14:paraId="07B01F4D" w14:textId="5B6766C1" w:rsidR="00806AA5" w:rsidRDefault="00806AA5" w:rsidP="00806AA5">
      <w:pPr>
        <w:rPr>
          <w:rFonts w:ascii="Aptos" w:eastAsia="Aptos" w:hAnsi="Aptos" w:cs="Aptos"/>
          <w:color w:val="000000" w:themeColor="text1"/>
        </w:rPr>
      </w:pPr>
      <w:r w:rsidRPr="00210922">
        <w:rPr>
          <w:rFonts w:ascii="Aptos" w:eastAsia="Aptos" w:hAnsi="Aptos" w:cs="Aptos"/>
          <w:color w:val="000000" w:themeColor="text1"/>
        </w:rPr>
        <w:t>Updates to the NEAT</w:t>
      </w:r>
      <w:r w:rsidR="00B636D5">
        <w:rPr>
          <w:rFonts w:ascii="Aptos" w:eastAsia="Aptos" w:hAnsi="Aptos" w:cs="Aptos"/>
          <w:color w:val="000000" w:themeColor="text1"/>
        </w:rPr>
        <w:t>S</w:t>
      </w:r>
      <w:r w:rsidRPr="00210922">
        <w:rPr>
          <w:rFonts w:ascii="Aptos" w:eastAsia="Aptos" w:hAnsi="Aptos" w:cs="Aptos"/>
          <w:color w:val="000000" w:themeColor="text1"/>
        </w:rPr>
        <w:t xml:space="preserve">, NOPIMS, and the Title Administrator and Registrar websites are helping </w:t>
      </w:r>
      <w:r w:rsidR="0000349E">
        <w:rPr>
          <w:rFonts w:ascii="Aptos" w:eastAsia="Aptos" w:hAnsi="Aptos" w:cs="Aptos"/>
          <w:color w:val="000000" w:themeColor="text1"/>
        </w:rPr>
        <w:t xml:space="preserve">to </w:t>
      </w:r>
      <w:r w:rsidRPr="00210922">
        <w:rPr>
          <w:rFonts w:ascii="Aptos" w:eastAsia="Aptos" w:hAnsi="Aptos" w:cs="Aptos"/>
          <w:color w:val="000000" w:themeColor="text1"/>
        </w:rPr>
        <w:t>collaborat</w:t>
      </w:r>
      <w:r w:rsidR="0000349E">
        <w:rPr>
          <w:rFonts w:ascii="Aptos" w:eastAsia="Aptos" w:hAnsi="Aptos" w:cs="Aptos"/>
          <w:color w:val="000000" w:themeColor="text1"/>
        </w:rPr>
        <w:t>e</w:t>
      </w:r>
      <w:r w:rsidRPr="00210922">
        <w:rPr>
          <w:rFonts w:ascii="Aptos" w:eastAsia="Aptos" w:hAnsi="Aptos" w:cs="Aptos"/>
          <w:color w:val="000000" w:themeColor="text1"/>
        </w:rPr>
        <w:t xml:space="preserve"> and introduce new ways to engage with stakeholders</w:t>
      </w:r>
      <w:r w:rsidR="00E62316">
        <w:rPr>
          <w:rFonts w:ascii="Aptos" w:eastAsia="Aptos" w:hAnsi="Aptos" w:cs="Aptos"/>
          <w:color w:val="000000" w:themeColor="text1"/>
        </w:rPr>
        <w:t xml:space="preserve">. </w:t>
      </w:r>
    </w:p>
    <w:p w14:paraId="62EAB45C" w14:textId="37ACD24F" w:rsidR="00560C58" w:rsidRDefault="00E62316">
      <w:pPr>
        <w:spacing w:before="0" w:after="160" w:line="259" w:lineRule="auto"/>
        <w:rPr>
          <w:rFonts w:ascii="Aptos" w:eastAsia="Aptos" w:hAnsi="Aptos" w:cs="Aptos"/>
          <w:color w:val="000000" w:themeColor="text1"/>
        </w:rPr>
      </w:pPr>
      <w:r>
        <w:rPr>
          <w:rFonts w:ascii="Aptos" w:eastAsia="Aptos" w:hAnsi="Aptos" w:cs="Aptos"/>
          <w:color w:val="000000" w:themeColor="text1"/>
        </w:rPr>
        <w:br w:type="page"/>
      </w:r>
    </w:p>
    <w:p w14:paraId="287FC037" w14:textId="695F67EC" w:rsidR="00E62316" w:rsidRDefault="006B68C6" w:rsidP="006B68C6">
      <w:pPr>
        <w:pStyle w:val="Heading3"/>
      </w:pPr>
      <w:bookmarkStart w:id="153" w:name="_Toc221544034"/>
      <w:bookmarkStart w:id="154" w:name="_Toc221546113"/>
      <w:bookmarkStart w:id="155" w:name="_Toc221627105"/>
      <w:bookmarkStart w:id="156" w:name="_Toc222500466"/>
      <w:r w:rsidRPr="00580DA0">
        <w:lastRenderedPageBreak/>
        <w:t>Pillar 3:</w:t>
      </w:r>
      <w:r>
        <w:t xml:space="preserve"> Engagement</w:t>
      </w:r>
      <w:bookmarkEnd w:id="153"/>
      <w:bookmarkEnd w:id="154"/>
      <w:bookmarkEnd w:id="155"/>
      <w:bookmarkEnd w:id="156"/>
      <w:r>
        <w:t xml:space="preserve"> </w:t>
      </w:r>
    </w:p>
    <w:p w14:paraId="0E7AC0FE" w14:textId="6ADFBD0A" w:rsidR="00CA0110" w:rsidRDefault="00CA0110" w:rsidP="00CA0110">
      <w:pPr>
        <w:rPr>
          <w:rFonts w:eastAsia="Aptos Narrow" w:cs="Aptos Narrow"/>
          <w:color w:val="242424"/>
        </w:rPr>
      </w:pPr>
      <w:r w:rsidRPr="007C758E">
        <w:rPr>
          <w:rFonts w:eastAsia="Aptos Narrow" w:cs="Aptos Narrow"/>
          <w:color w:val="242424"/>
        </w:rPr>
        <w:t xml:space="preserve">The Titles Administrator and Registrar have a diverse stakeholder footprint which cuts across industry, government, non-government and international agencies. </w:t>
      </w:r>
      <w:r w:rsidR="00D15198">
        <w:rPr>
          <w:rFonts w:eastAsia="Aptos Narrow" w:cs="Aptos Narrow"/>
          <w:color w:val="242424"/>
        </w:rPr>
        <w:t xml:space="preserve">We engage stakeholders through a variety of channels, including face-to-face </w:t>
      </w:r>
      <w:r w:rsidR="00677786">
        <w:rPr>
          <w:rFonts w:eastAsia="Aptos Narrow" w:cs="Aptos Narrow"/>
          <w:color w:val="242424"/>
        </w:rPr>
        <w:t>contact, digital platforms, direct communications, and collaborative forums</w:t>
      </w:r>
      <w:r w:rsidR="00022B32">
        <w:rPr>
          <w:rFonts w:eastAsia="Aptos Narrow" w:cs="Aptos Narrow"/>
          <w:color w:val="242424"/>
        </w:rPr>
        <w:t xml:space="preserve">, to provide </w:t>
      </w:r>
      <w:r w:rsidR="003900DC">
        <w:rPr>
          <w:rFonts w:eastAsia="Aptos Narrow" w:cs="Aptos Narrow"/>
          <w:color w:val="242424"/>
        </w:rPr>
        <w:t xml:space="preserve">transparent </w:t>
      </w:r>
      <w:r w:rsidR="00D553B6">
        <w:rPr>
          <w:rFonts w:eastAsia="Aptos Narrow" w:cs="Aptos Narrow"/>
          <w:color w:val="242424"/>
        </w:rPr>
        <w:t xml:space="preserve">and timely information sharing. </w:t>
      </w:r>
      <w:r w:rsidR="008068DA">
        <w:rPr>
          <w:rFonts w:eastAsia="Aptos Narrow" w:cs="Aptos Narrow"/>
          <w:color w:val="242424"/>
        </w:rPr>
        <w:t xml:space="preserve">Biennial </w:t>
      </w:r>
      <w:r w:rsidRPr="007C758E">
        <w:rPr>
          <w:rFonts w:eastAsia="Aptos Narrow" w:cs="Aptos Narrow"/>
          <w:color w:val="242424"/>
        </w:rPr>
        <w:t>surveys are held to measure stakeholder satisfaction across key areas of our functions.</w:t>
      </w:r>
    </w:p>
    <w:p w14:paraId="331AA19C" w14:textId="09E71037" w:rsidR="003931F1" w:rsidRPr="00580DA0" w:rsidRDefault="003931F1" w:rsidP="00C63EF9">
      <w:pPr>
        <w:pStyle w:val="Heading4"/>
      </w:pPr>
      <w:r w:rsidRPr="00580DA0">
        <w:t xml:space="preserve">Measuring </w:t>
      </w:r>
      <w:r w:rsidR="001D31FA">
        <w:t>e</w:t>
      </w:r>
      <w:r w:rsidRPr="00580DA0">
        <w:t xml:space="preserve">ngagement  </w:t>
      </w:r>
    </w:p>
    <w:p w14:paraId="260BBD66" w14:textId="27558FC9" w:rsidR="006A7F64" w:rsidRPr="00580DA0" w:rsidRDefault="006A7F64" w:rsidP="006A7F64">
      <w:pPr>
        <w:spacing w:line="276" w:lineRule="auto"/>
        <w:rPr>
          <w:rFonts w:ascii="Aptos" w:eastAsia="Aptos" w:hAnsi="Aptos" w:cs="Aptos"/>
        </w:rPr>
      </w:pPr>
      <w:r>
        <w:t xml:space="preserve">We value </w:t>
      </w:r>
      <w:r w:rsidRPr="00580DA0">
        <w:rPr>
          <w:rFonts w:ascii="Aptos" w:eastAsia="Aptos" w:hAnsi="Aptos" w:cs="Aptos"/>
        </w:rPr>
        <w:t>engagement with our stakeholders and track our interactions across the financial year.</w:t>
      </w:r>
    </w:p>
    <w:p w14:paraId="2B6DA8FB" w14:textId="450B4BB5" w:rsidR="006A7F64" w:rsidRDefault="006A7F64" w:rsidP="006A7F64">
      <w:pPr>
        <w:spacing w:line="276" w:lineRule="auto"/>
        <w:rPr>
          <w:rFonts w:ascii="Aptos" w:eastAsia="Aptos" w:hAnsi="Aptos" w:cs="Aptos"/>
        </w:rPr>
      </w:pPr>
      <w:r w:rsidRPr="00580DA0">
        <w:rPr>
          <w:rFonts w:ascii="Aptos" w:eastAsia="Aptos" w:hAnsi="Aptos" w:cs="Aptos"/>
        </w:rPr>
        <w:t xml:space="preserve">In 2024–25, </w:t>
      </w:r>
      <w:r>
        <w:rPr>
          <w:rFonts w:ascii="Aptos" w:eastAsia="Aptos" w:hAnsi="Aptos" w:cs="Aptos"/>
        </w:rPr>
        <w:t xml:space="preserve">the </w:t>
      </w:r>
      <w:r w:rsidRPr="00580DA0">
        <w:rPr>
          <w:rFonts w:ascii="Aptos" w:eastAsia="Aptos" w:hAnsi="Aptos" w:cs="Aptos"/>
        </w:rPr>
        <w:t>T</w:t>
      </w:r>
      <w:r>
        <w:rPr>
          <w:rFonts w:ascii="Aptos" w:eastAsia="Aptos" w:hAnsi="Aptos" w:cs="Aptos"/>
        </w:rPr>
        <w:t xml:space="preserve">itles </w:t>
      </w:r>
      <w:r w:rsidRPr="00580DA0">
        <w:rPr>
          <w:rFonts w:ascii="Aptos" w:eastAsia="Aptos" w:hAnsi="Aptos" w:cs="Aptos"/>
        </w:rPr>
        <w:t>A</w:t>
      </w:r>
      <w:r>
        <w:rPr>
          <w:rFonts w:ascii="Aptos" w:eastAsia="Aptos" w:hAnsi="Aptos" w:cs="Aptos"/>
        </w:rPr>
        <w:t>dministrator</w:t>
      </w:r>
      <w:r w:rsidRPr="00580DA0">
        <w:rPr>
          <w:rFonts w:ascii="Aptos" w:eastAsia="Aptos" w:hAnsi="Aptos" w:cs="Aptos"/>
        </w:rPr>
        <w:t xml:space="preserve"> </w:t>
      </w:r>
      <w:r>
        <w:rPr>
          <w:rFonts w:ascii="Aptos" w:eastAsia="Aptos" w:hAnsi="Aptos" w:cs="Aptos"/>
        </w:rPr>
        <w:t>had</w:t>
      </w:r>
      <w:r w:rsidRPr="00580DA0">
        <w:rPr>
          <w:rFonts w:ascii="Aptos" w:eastAsia="Aptos" w:hAnsi="Aptos" w:cs="Aptos"/>
        </w:rPr>
        <w:t xml:space="preserve"> </w:t>
      </w:r>
      <w:r w:rsidR="009F2EC6">
        <w:rPr>
          <w:rFonts w:ascii="Aptos" w:eastAsia="Aptos" w:hAnsi="Aptos" w:cs="Aptos"/>
        </w:rPr>
        <w:t>more than</w:t>
      </w:r>
      <w:r w:rsidRPr="00580DA0">
        <w:rPr>
          <w:rFonts w:ascii="Aptos" w:eastAsia="Aptos" w:hAnsi="Aptos" w:cs="Aptos"/>
        </w:rPr>
        <w:t xml:space="preserve"> 900 interactions across the offshore petroleum, greenhouse gas, and offshore electricity infrastructure industries on administrative, operational, and regulatory matters. This number reflects an updated methodology for capturing stakeholder engagement.</w:t>
      </w:r>
    </w:p>
    <w:p w14:paraId="69326015" w14:textId="24B5C15D" w:rsidR="00E274C2" w:rsidRDefault="00084702" w:rsidP="006A7F64">
      <w:pPr>
        <w:spacing w:line="276" w:lineRule="auto"/>
        <w:rPr>
          <w:rFonts w:ascii="Aptos" w:eastAsia="Aptos" w:hAnsi="Aptos" w:cs="Aptos"/>
        </w:rPr>
      </w:pPr>
      <w:r>
        <w:rPr>
          <w:rFonts w:ascii="Aptos" w:eastAsia="Aptos" w:hAnsi="Aptos" w:cs="Aptos"/>
        </w:rPr>
        <w:t>Our stakeholder interactions are broken down by function below (</w:t>
      </w:r>
      <w:r w:rsidR="004E7DD0">
        <w:rPr>
          <w:rFonts w:ascii="Aptos" w:eastAsia="Aptos" w:hAnsi="Aptos" w:cs="Aptos"/>
        </w:rPr>
        <w:t>F</w:t>
      </w:r>
      <w:r>
        <w:rPr>
          <w:rFonts w:ascii="Aptos" w:eastAsia="Aptos" w:hAnsi="Aptos" w:cs="Aptos"/>
        </w:rPr>
        <w:t>igure 1</w:t>
      </w:r>
      <w:r w:rsidR="005702C6">
        <w:rPr>
          <w:rFonts w:ascii="Aptos" w:eastAsia="Aptos" w:hAnsi="Aptos" w:cs="Aptos"/>
        </w:rPr>
        <w:t>9</w:t>
      </w:r>
      <w:r>
        <w:rPr>
          <w:rFonts w:ascii="Aptos" w:eastAsia="Aptos" w:hAnsi="Aptos" w:cs="Aptos"/>
        </w:rPr>
        <w:t>)</w:t>
      </w:r>
      <w:r w:rsidR="00E34F10">
        <w:rPr>
          <w:rFonts w:ascii="Aptos" w:eastAsia="Aptos" w:hAnsi="Aptos" w:cs="Aptos"/>
        </w:rPr>
        <w:t xml:space="preserve">. </w:t>
      </w:r>
    </w:p>
    <w:p w14:paraId="5BAFE55A" w14:textId="77777777" w:rsidR="00D1305E" w:rsidRDefault="00E274C2" w:rsidP="00D1305E">
      <w:pPr>
        <w:keepNext/>
        <w:spacing w:line="276" w:lineRule="auto"/>
      </w:pPr>
      <w:r>
        <w:rPr>
          <w:noProof/>
        </w:rPr>
        <w:drawing>
          <wp:inline distT="0" distB="0" distL="0" distR="0" wp14:anchorId="76BA08F9" wp14:editId="1D389607">
            <wp:extent cx="3479800" cy="2734310"/>
            <wp:effectExtent l="0" t="0" r="6350" b="8890"/>
            <wp:docPr id="1811441814" name="Picture 1" descr="Figure 19 is a pie chart showing the Titles Administrator's interactions against functional breakdown in 2024-25. See more in the caption and alternative text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41814" name="Picture 1" descr="Figure 19 is a pie chart showing the Titles Administrator's interactions against functional breakdown in 2024-25. See more in the caption and alternative text description. "/>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3479800" cy="2734310"/>
                    </a:xfrm>
                    <a:prstGeom prst="rect">
                      <a:avLst/>
                    </a:prstGeom>
                    <a:noFill/>
                    <a:ln>
                      <a:noFill/>
                    </a:ln>
                  </pic:spPr>
                </pic:pic>
              </a:graphicData>
            </a:graphic>
          </wp:inline>
        </w:drawing>
      </w:r>
    </w:p>
    <w:p w14:paraId="05EE5719" w14:textId="079094EE" w:rsidR="00DD1E46" w:rsidRDefault="00D1305E" w:rsidP="00D1305E">
      <w:pPr>
        <w:pStyle w:val="Caption"/>
      </w:pPr>
      <w:bookmarkStart w:id="157" w:name="_Toc221884200"/>
      <w:bookmarkStart w:id="158" w:name="_Toc222316233"/>
      <w:r>
        <w:t xml:space="preserve">Figure </w:t>
      </w:r>
      <w:r>
        <w:fldChar w:fldCharType="begin"/>
      </w:r>
      <w:r>
        <w:instrText xml:space="preserve"> SEQ Figure \* ARABIC </w:instrText>
      </w:r>
      <w:r>
        <w:fldChar w:fldCharType="separate"/>
      </w:r>
      <w:r w:rsidR="00CF02F5">
        <w:rPr>
          <w:noProof/>
        </w:rPr>
        <w:t>19</w:t>
      </w:r>
      <w:r>
        <w:fldChar w:fldCharType="end"/>
      </w:r>
      <w:r>
        <w:t xml:space="preserve">: </w:t>
      </w:r>
      <w:r w:rsidRPr="00FF46A1">
        <w:t>Interactions against functional breakdown in 2024-25</w:t>
      </w:r>
      <w:bookmarkEnd w:id="157"/>
      <w:bookmarkEnd w:id="158"/>
    </w:p>
    <w:p w14:paraId="23926901" w14:textId="36C65EEA" w:rsidR="00DD1E46" w:rsidRPr="008C770E" w:rsidRDefault="00DD1E46" w:rsidP="00383248">
      <w:pPr>
        <w:ind w:left="720"/>
        <w:rPr>
          <w:sz w:val="20"/>
          <w:szCs w:val="20"/>
        </w:rPr>
      </w:pPr>
      <w:r w:rsidRPr="008C770E">
        <w:rPr>
          <w:b/>
          <w:sz w:val="20"/>
          <w:szCs w:val="20"/>
        </w:rPr>
        <w:t>Alternative text description:</w:t>
      </w:r>
      <w:r w:rsidR="00D2716A" w:rsidRPr="008C770E">
        <w:rPr>
          <w:b/>
          <w:sz w:val="20"/>
          <w:szCs w:val="20"/>
        </w:rPr>
        <w:t xml:space="preserve"> </w:t>
      </w:r>
      <w:r w:rsidR="00802375" w:rsidRPr="00802375">
        <w:rPr>
          <w:bCs/>
          <w:sz w:val="20"/>
          <w:szCs w:val="20"/>
        </w:rPr>
        <w:t>P</w:t>
      </w:r>
      <w:r w:rsidR="00D2716A" w:rsidRPr="008C770E">
        <w:rPr>
          <w:sz w:val="20"/>
          <w:szCs w:val="20"/>
        </w:rPr>
        <w:t xml:space="preserve">ie chart shows the </w:t>
      </w:r>
      <w:r w:rsidR="00A264E4" w:rsidRPr="008C770E">
        <w:rPr>
          <w:sz w:val="20"/>
          <w:szCs w:val="20"/>
        </w:rPr>
        <w:t>interactions</w:t>
      </w:r>
      <w:r w:rsidR="00605A3E" w:rsidRPr="008C770E">
        <w:rPr>
          <w:sz w:val="20"/>
          <w:szCs w:val="20"/>
        </w:rPr>
        <w:t xml:space="preserve"> against functional breakdown in 2024-25</w:t>
      </w:r>
      <w:r w:rsidR="00674A3B" w:rsidRPr="008C770E">
        <w:rPr>
          <w:sz w:val="20"/>
          <w:szCs w:val="20"/>
        </w:rPr>
        <w:t xml:space="preserve">. The pie chart shows </w:t>
      </w:r>
      <w:r w:rsidR="00CB7B38">
        <w:rPr>
          <w:sz w:val="20"/>
          <w:szCs w:val="20"/>
        </w:rPr>
        <w:t>3</w:t>
      </w:r>
      <w:r w:rsidR="00674A3B" w:rsidRPr="008C770E">
        <w:rPr>
          <w:sz w:val="20"/>
          <w:szCs w:val="20"/>
        </w:rPr>
        <w:t xml:space="preserve"> part</w:t>
      </w:r>
      <w:r w:rsidR="005B5922" w:rsidRPr="008C770E">
        <w:rPr>
          <w:sz w:val="20"/>
          <w:szCs w:val="20"/>
        </w:rPr>
        <w:t>s,</w:t>
      </w:r>
      <w:r w:rsidR="00674A3B" w:rsidRPr="008C770E">
        <w:rPr>
          <w:sz w:val="20"/>
          <w:szCs w:val="20"/>
        </w:rPr>
        <w:t xml:space="preserve"> with </w:t>
      </w:r>
      <w:r w:rsidR="00336D6D" w:rsidRPr="008C770E">
        <w:rPr>
          <w:sz w:val="20"/>
          <w:szCs w:val="20"/>
        </w:rPr>
        <w:t xml:space="preserve">half of the interactions </w:t>
      </w:r>
      <w:r w:rsidR="005A3638" w:rsidRPr="008C770E">
        <w:rPr>
          <w:sz w:val="20"/>
          <w:szCs w:val="20"/>
        </w:rPr>
        <w:t xml:space="preserve">with </w:t>
      </w:r>
      <w:r w:rsidR="005B5922" w:rsidRPr="008C770E">
        <w:rPr>
          <w:sz w:val="20"/>
          <w:szCs w:val="20"/>
        </w:rPr>
        <w:t xml:space="preserve">the </w:t>
      </w:r>
      <w:r w:rsidR="00674A3B" w:rsidRPr="008C770E">
        <w:rPr>
          <w:sz w:val="20"/>
          <w:szCs w:val="20"/>
        </w:rPr>
        <w:t xml:space="preserve">petroleum </w:t>
      </w:r>
      <w:r w:rsidR="000E0628" w:rsidRPr="008C770E">
        <w:rPr>
          <w:sz w:val="20"/>
          <w:szCs w:val="20"/>
        </w:rPr>
        <w:t xml:space="preserve">sector </w:t>
      </w:r>
      <w:r w:rsidR="00674A3B" w:rsidRPr="008C770E">
        <w:rPr>
          <w:sz w:val="20"/>
          <w:szCs w:val="20"/>
        </w:rPr>
        <w:t>at 50%</w:t>
      </w:r>
      <w:r w:rsidR="00031B41" w:rsidRPr="008C770E">
        <w:rPr>
          <w:sz w:val="20"/>
          <w:szCs w:val="20"/>
        </w:rPr>
        <w:t>,</w:t>
      </w:r>
      <w:r w:rsidR="005A3638" w:rsidRPr="008C770E">
        <w:rPr>
          <w:sz w:val="20"/>
          <w:szCs w:val="20"/>
        </w:rPr>
        <w:t xml:space="preserve"> followed by the </w:t>
      </w:r>
      <w:r w:rsidR="00031B41" w:rsidRPr="008C770E">
        <w:rPr>
          <w:sz w:val="20"/>
          <w:szCs w:val="20"/>
        </w:rPr>
        <w:t xml:space="preserve">OEI </w:t>
      </w:r>
      <w:r w:rsidR="000E0628" w:rsidRPr="008C770E">
        <w:rPr>
          <w:sz w:val="20"/>
          <w:szCs w:val="20"/>
        </w:rPr>
        <w:t xml:space="preserve">sector </w:t>
      </w:r>
      <w:r w:rsidR="00031B41" w:rsidRPr="008C770E">
        <w:rPr>
          <w:sz w:val="20"/>
          <w:szCs w:val="20"/>
        </w:rPr>
        <w:t>at 30% and GHG</w:t>
      </w:r>
      <w:r w:rsidR="000E0628" w:rsidRPr="008C770E">
        <w:rPr>
          <w:sz w:val="20"/>
          <w:szCs w:val="20"/>
        </w:rPr>
        <w:t xml:space="preserve"> sector</w:t>
      </w:r>
      <w:r w:rsidR="00031B41" w:rsidRPr="008C770E">
        <w:rPr>
          <w:sz w:val="20"/>
          <w:szCs w:val="20"/>
        </w:rPr>
        <w:t xml:space="preserve"> at 20%. </w:t>
      </w:r>
    </w:p>
    <w:p w14:paraId="3ADCB08C" w14:textId="3F6DC2FA" w:rsidR="00031B41" w:rsidRDefault="00031B41">
      <w:pPr>
        <w:spacing w:before="0" w:after="160" w:line="259" w:lineRule="auto"/>
      </w:pPr>
      <w:r>
        <w:br w:type="page"/>
      </w:r>
    </w:p>
    <w:p w14:paraId="70DDBBAC" w14:textId="3E1B8E05" w:rsidR="00031B41" w:rsidRPr="00D2716A" w:rsidRDefault="005A1238" w:rsidP="005A1238">
      <w:pPr>
        <w:pStyle w:val="Heading4"/>
      </w:pPr>
      <w:r w:rsidRPr="005774B3">
        <w:lastRenderedPageBreak/>
        <w:t>International</w:t>
      </w:r>
      <w:r>
        <w:t xml:space="preserve"> engagement </w:t>
      </w:r>
    </w:p>
    <w:p w14:paraId="454B1DC4" w14:textId="2D061A3F" w:rsidR="00B52DDA" w:rsidRDefault="00B52DDA" w:rsidP="00B52DDA">
      <w:r>
        <w:t xml:space="preserve">During the 2024-25, we continued to interact </w:t>
      </w:r>
      <w:r w:rsidR="00F77190">
        <w:t>with our o</w:t>
      </w:r>
      <w:r>
        <w:t xml:space="preserve">verseas </w:t>
      </w:r>
      <w:r w:rsidR="00F77190">
        <w:t xml:space="preserve">equivalent </w:t>
      </w:r>
      <w:r>
        <w:t xml:space="preserve">regulators and participated in relevant international forums. </w:t>
      </w:r>
    </w:p>
    <w:p w14:paraId="6DC1B527" w14:textId="77777777" w:rsidR="00B52DDA" w:rsidRDefault="00B52DDA" w:rsidP="00B52DDA">
      <w:r>
        <w:t xml:space="preserve">Senior leaders attended:  </w:t>
      </w:r>
    </w:p>
    <w:p w14:paraId="19CD31F6" w14:textId="0F62D183" w:rsidR="00321048" w:rsidRPr="00A81457" w:rsidRDefault="0099580F" w:rsidP="00000EE8">
      <w:pPr>
        <w:pStyle w:val="ListParagraph"/>
      </w:pPr>
      <w:r w:rsidRPr="00A81457">
        <w:t>the international upstream forum was held in St John</w:t>
      </w:r>
      <w:r w:rsidR="00F45342" w:rsidRPr="00A81457">
        <w:t>’s, Canada in September 2024</w:t>
      </w:r>
    </w:p>
    <w:p w14:paraId="463B9E23" w14:textId="77777777" w:rsidR="00F45342" w:rsidRPr="00A81457" w:rsidRDefault="00B52DDA" w:rsidP="00000EE8">
      <w:pPr>
        <w:pStyle w:val="ListParagraph"/>
      </w:pPr>
      <w:r w:rsidRPr="00A81457">
        <w:t>the Global Offshore Wind Regulators Forum (GOWRF) in Hamburg, Germany in October 2024</w:t>
      </w:r>
    </w:p>
    <w:p w14:paraId="3B4F87EA" w14:textId="32536029" w:rsidR="00B52DDA" w:rsidRPr="00A81457" w:rsidRDefault="00115C7F" w:rsidP="00000EE8">
      <w:pPr>
        <w:pStyle w:val="ListParagraph"/>
      </w:pPr>
      <w:r w:rsidRPr="00A81457">
        <w:t xml:space="preserve">the </w:t>
      </w:r>
      <w:r w:rsidR="004B374C" w:rsidRPr="00A81457">
        <w:t>a</w:t>
      </w:r>
      <w:r w:rsidRPr="00A81457">
        <w:t xml:space="preserve">nnual </w:t>
      </w:r>
      <w:r w:rsidR="004B374C" w:rsidRPr="00A81457">
        <w:t>g</w:t>
      </w:r>
      <w:r w:rsidRPr="00A81457">
        <w:t xml:space="preserve">eneral </w:t>
      </w:r>
      <w:r w:rsidR="004B374C" w:rsidRPr="00A81457">
        <w:t>m</w:t>
      </w:r>
      <w:r w:rsidRPr="00A81457">
        <w:t xml:space="preserve">eeting for the </w:t>
      </w:r>
      <w:r w:rsidR="004B374C" w:rsidRPr="00A81457">
        <w:t xml:space="preserve">International Regulators Forum </w:t>
      </w:r>
      <w:r w:rsidR="007E7F64" w:rsidRPr="00A81457">
        <w:t xml:space="preserve">and International Offshore Petroleum </w:t>
      </w:r>
      <w:r w:rsidR="008B0E92" w:rsidRPr="00A81457">
        <w:t>Environmental Regulators in Ireland, in October 2024</w:t>
      </w:r>
    </w:p>
    <w:p w14:paraId="751DE177" w14:textId="44067068" w:rsidR="00B52DDA" w:rsidRPr="00A81457" w:rsidRDefault="00B52DDA" w:rsidP="00000EE8">
      <w:pPr>
        <w:pStyle w:val="ListParagraph"/>
      </w:pPr>
      <w:r w:rsidRPr="00A81457">
        <w:t xml:space="preserve">the Marine Resource Initiative Australia-Vietnam </w:t>
      </w:r>
      <w:r w:rsidR="002E500C" w:rsidRPr="00A81457">
        <w:t>o</w:t>
      </w:r>
      <w:r w:rsidRPr="00A81457">
        <w:t xml:space="preserve">ffshore </w:t>
      </w:r>
      <w:r w:rsidR="002E500C" w:rsidRPr="00A81457">
        <w:t>w</w:t>
      </w:r>
      <w:r w:rsidRPr="00A81457">
        <w:t xml:space="preserve">ind </w:t>
      </w:r>
      <w:r w:rsidR="00BA53A9" w:rsidRPr="00A81457">
        <w:t xml:space="preserve">symposium </w:t>
      </w:r>
      <w:r w:rsidRPr="00A81457">
        <w:t xml:space="preserve">in Bac Lieu in December 2024. The </w:t>
      </w:r>
      <w:r w:rsidR="002E500C" w:rsidRPr="00A81457">
        <w:t>sy</w:t>
      </w:r>
      <w:r w:rsidR="00B221B6" w:rsidRPr="00A81457">
        <w:t xml:space="preserve">mposium </w:t>
      </w:r>
      <w:r w:rsidRPr="00A81457">
        <w:t>strengthened Australia’s engagement with Vietnam to advance offshore wind developments in the region and share lessons learned</w:t>
      </w:r>
    </w:p>
    <w:p w14:paraId="165F7AAF" w14:textId="6C733DA2" w:rsidR="00B52DDA" w:rsidRDefault="00B52DDA" w:rsidP="00000EE8">
      <w:pPr>
        <w:pStyle w:val="ListParagraph"/>
      </w:pPr>
      <w:r w:rsidRPr="00A81457">
        <w:t xml:space="preserve">the Norwegian Offshore Directorate in Stavanger, Norway, and the North Sea Transition Authority in Aberdeen, Scotland in March/April 2025. </w:t>
      </w:r>
      <w:r w:rsidR="00404134" w:rsidRPr="00A81457">
        <w:t xml:space="preserve">The visit included </w:t>
      </w:r>
      <w:r w:rsidRPr="00A81457">
        <w:t xml:space="preserve">a tour of the Northern Lights project near Bergen. The </w:t>
      </w:r>
      <w:r w:rsidR="002F3621" w:rsidRPr="00A81457">
        <w:t>p</w:t>
      </w:r>
      <w:r w:rsidRPr="00A81457">
        <w:t xml:space="preserve">roject </w:t>
      </w:r>
      <w:r w:rsidR="002739F1" w:rsidRPr="00A81457">
        <w:t xml:space="preserve">is the world’s first </w:t>
      </w:r>
      <w:r w:rsidRPr="00A81457">
        <w:t>cross-border carbon dioxide transport</w:t>
      </w:r>
      <w:r w:rsidRPr="000F6DA1">
        <w:t xml:space="preserve"> and storage facility.</w:t>
      </w:r>
    </w:p>
    <w:p w14:paraId="2C4B432B" w14:textId="1AB2615B" w:rsidR="0060488E" w:rsidRPr="0060488E" w:rsidRDefault="0060488E" w:rsidP="0060488E">
      <w:pPr>
        <w:pStyle w:val="Heading4"/>
      </w:pPr>
      <w:bookmarkStart w:id="159" w:name="_Toc221544035"/>
      <w:bookmarkStart w:id="160" w:name="_Toc221546114"/>
      <w:bookmarkStart w:id="161" w:name="_Toc221627106"/>
      <w:bookmarkStart w:id="162" w:name="_Toc222500467"/>
      <w:r w:rsidRPr="00A830FE">
        <w:rPr>
          <w:rStyle w:val="Heading2Char"/>
          <w:sz w:val="28"/>
          <w:szCs w:val="28"/>
        </w:rPr>
        <w:t xml:space="preserve">2025 Stakeholder engagement </w:t>
      </w:r>
      <w:r w:rsidR="00326281" w:rsidRPr="00A830FE">
        <w:rPr>
          <w:rStyle w:val="Heading2Char"/>
          <w:sz w:val="28"/>
          <w:szCs w:val="28"/>
        </w:rPr>
        <w:t>– preparing for our next survey</w:t>
      </w:r>
      <w:bookmarkEnd w:id="159"/>
      <w:bookmarkEnd w:id="160"/>
      <w:bookmarkEnd w:id="161"/>
      <w:bookmarkEnd w:id="162"/>
    </w:p>
    <w:p w14:paraId="51C71817" w14:textId="72F978D3" w:rsidR="00454C64" w:rsidRDefault="00383CA3" w:rsidP="006A7F64">
      <w:pPr>
        <w:spacing w:line="276" w:lineRule="auto"/>
        <w:rPr>
          <w:rFonts w:ascii="Aptos" w:eastAsia="Aptos" w:hAnsi="Aptos" w:cs="Aptos"/>
        </w:rPr>
      </w:pPr>
      <w:r>
        <w:rPr>
          <w:rFonts w:ascii="Aptos" w:eastAsia="Aptos" w:hAnsi="Aptos" w:cs="Aptos"/>
        </w:rPr>
        <w:t>As part of our commitment to continuous improvement</w:t>
      </w:r>
      <w:r w:rsidR="009F115A">
        <w:rPr>
          <w:rFonts w:ascii="Aptos" w:eastAsia="Aptos" w:hAnsi="Aptos" w:cs="Aptos"/>
        </w:rPr>
        <w:t xml:space="preserve"> and meaningful engagement, we started planning </w:t>
      </w:r>
      <w:r w:rsidR="00B47F0E">
        <w:rPr>
          <w:rFonts w:ascii="Aptos" w:eastAsia="Aptos" w:hAnsi="Aptos" w:cs="Aptos"/>
        </w:rPr>
        <w:t>our seventh Stakeholder Survey during the reporting period.</w:t>
      </w:r>
      <w:r w:rsidR="0027064E">
        <w:rPr>
          <w:rFonts w:ascii="Aptos" w:eastAsia="Aptos" w:hAnsi="Aptos" w:cs="Aptos"/>
        </w:rPr>
        <w:t xml:space="preserve"> The survey was completed in the second quarter of </w:t>
      </w:r>
      <w:r w:rsidR="005A134B">
        <w:rPr>
          <w:rFonts w:ascii="Aptos" w:eastAsia="Aptos" w:hAnsi="Aptos" w:cs="Aptos"/>
        </w:rPr>
        <w:t xml:space="preserve">2025-26. </w:t>
      </w:r>
    </w:p>
    <w:p w14:paraId="131ADAA8" w14:textId="61DDEA06" w:rsidR="005A134B" w:rsidRDefault="005A134B" w:rsidP="006A7F64">
      <w:pPr>
        <w:spacing w:line="276" w:lineRule="auto"/>
        <w:rPr>
          <w:rFonts w:ascii="Aptos" w:eastAsia="Aptos" w:hAnsi="Aptos" w:cs="Aptos"/>
        </w:rPr>
      </w:pPr>
      <w:r>
        <w:rPr>
          <w:rFonts w:ascii="Aptos" w:eastAsia="Aptos" w:hAnsi="Aptos" w:cs="Aptos"/>
        </w:rPr>
        <w:t xml:space="preserve">This survey’s focus was on the implementation of our Strategic Plan 2024-27 and aimed to </w:t>
      </w:r>
      <w:r w:rsidR="00FD160B">
        <w:rPr>
          <w:rFonts w:ascii="Aptos" w:eastAsia="Aptos" w:hAnsi="Aptos" w:cs="Aptos"/>
        </w:rPr>
        <w:t>capture insights from the diverse stakeholder networks</w:t>
      </w:r>
      <w:r w:rsidR="00C310E7">
        <w:rPr>
          <w:rFonts w:ascii="Aptos" w:eastAsia="Aptos" w:hAnsi="Aptos" w:cs="Aptos"/>
        </w:rPr>
        <w:t xml:space="preserve"> of the Titles Administrator and Registrar. </w:t>
      </w:r>
    </w:p>
    <w:p w14:paraId="4145350B" w14:textId="3F3A030C" w:rsidR="00C310E7" w:rsidRDefault="00C310E7" w:rsidP="006A7F64">
      <w:pPr>
        <w:spacing w:line="276" w:lineRule="auto"/>
        <w:rPr>
          <w:rFonts w:ascii="Aptos" w:eastAsia="Aptos" w:hAnsi="Aptos" w:cs="Aptos"/>
        </w:rPr>
      </w:pPr>
      <w:r>
        <w:rPr>
          <w:rFonts w:ascii="Aptos" w:eastAsia="Aptos" w:hAnsi="Aptos" w:cs="Aptos"/>
        </w:rPr>
        <w:t>The feedback gathered wi</w:t>
      </w:r>
      <w:r w:rsidR="00017F90">
        <w:rPr>
          <w:rFonts w:ascii="Aptos" w:eastAsia="Aptos" w:hAnsi="Aptos" w:cs="Aptos"/>
        </w:rPr>
        <w:t xml:space="preserve">ll help us refine our approach and ensure our strategic plan </w:t>
      </w:r>
      <w:r w:rsidR="007D3A5C">
        <w:rPr>
          <w:rFonts w:ascii="Aptos" w:eastAsia="Aptos" w:hAnsi="Aptos" w:cs="Aptos"/>
        </w:rPr>
        <w:t>aligns with our stakeholder needs and delivers meaningful outcomes t</w:t>
      </w:r>
      <w:r w:rsidR="0049355B">
        <w:rPr>
          <w:rFonts w:ascii="Aptos" w:eastAsia="Aptos" w:hAnsi="Aptos" w:cs="Aptos"/>
        </w:rPr>
        <w:t xml:space="preserve">hrough to 2027. </w:t>
      </w:r>
    </w:p>
    <w:p w14:paraId="53DC2788" w14:textId="10946323" w:rsidR="0049355B" w:rsidRDefault="0049355B" w:rsidP="006A7F64">
      <w:pPr>
        <w:spacing w:line="276" w:lineRule="auto"/>
        <w:rPr>
          <w:rFonts w:ascii="Aptos" w:eastAsia="Aptos" w:hAnsi="Aptos" w:cs="Aptos"/>
        </w:rPr>
      </w:pPr>
      <w:r>
        <w:rPr>
          <w:rFonts w:ascii="Aptos" w:eastAsia="Aptos" w:hAnsi="Aptos" w:cs="Aptos"/>
        </w:rPr>
        <w:t xml:space="preserve">Outcomes from the 2025 Stakeholder Survey are on the website and will be </w:t>
      </w:r>
      <w:r w:rsidR="009A413E">
        <w:rPr>
          <w:rFonts w:ascii="Aptos" w:eastAsia="Aptos" w:hAnsi="Aptos" w:cs="Aptos"/>
        </w:rPr>
        <w:t>in next year’s annual report.</w:t>
      </w:r>
    </w:p>
    <w:p w14:paraId="099F28A8" w14:textId="39E76E6D" w:rsidR="009A413E" w:rsidRDefault="009A413E">
      <w:pPr>
        <w:spacing w:before="0" w:after="160" w:line="259" w:lineRule="auto"/>
        <w:rPr>
          <w:rFonts w:ascii="Aptos" w:eastAsia="Aptos" w:hAnsi="Aptos" w:cs="Aptos"/>
        </w:rPr>
      </w:pPr>
      <w:r>
        <w:rPr>
          <w:rFonts w:ascii="Aptos" w:eastAsia="Aptos" w:hAnsi="Aptos" w:cs="Aptos"/>
        </w:rPr>
        <w:br w:type="page"/>
      </w:r>
    </w:p>
    <w:p w14:paraId="5F9E1E5F" w14:textId="46C23296" w:rsidR="00AF73EF" w:rsidRPr="00AF73EF" w:rsidRDefault="00AF73EF" w:rsidP="008B7C1D">
      <w:pPr>
        <w:pStyle w:val="Heading3"/>
      </w:pPr>
      <w:bookmarkStart w:id="163" w:name="_Toc221544036"/>
      <w:bookmarkStart w:id="164" w:name="_Toc221546115"/>
      <w:bookmarkStart w:id="165" w:name="_Toc221627107"/>
      <w:bookmarkStart w:id="166" w:name="_Toc222500468"/>
      <w:r w:rsidRPr="00AF73EF">
        <w:rPr>
          <w:rStyle w:val="Heading1Char"/>
          <w:color w:val="15659B" w:themeColor="accent4"/>
          <w:sz w:val="36"/>
          <w:szCs w:val="40"/>
        </w:rPr>
        <w:lastRenderedPageBreak/>
        <w:t xml:space="preserve">Pillar 4: </w:t>
      </w:r>
      <w:r w:rsidRPr="008B7C1D">
        <w:rPr>
          <w:rStyle w:val="Heading1Char"/>
          <w:color w:val="15659B" w:themeColor="accent4"/>
          <w:sz w:val="36"/>
          <w:szCs w:val="40"/>
        </w:rPr>
        <w:t>Regulatory</w:t>
      </w:r>
      <w:r w:rsidRPr="00AF73EF">
        <w:rPr>
          <w:rStyle w:val="Heading1Char"/>
          <w:color w:val="15659B" w:themeColor="accent4"/>
          <w:sz w:val="36"/>
          <w:szCs w:val="40"/>
        </w:rPr>
        <w:t xml:space="preserve"> </w:t>
      </w:r>
      <w:r w:rsidR="00AF0543">
        <w:rPr>
          <w:rStyle w:val="Heading1Char"/>
          <w:color w:val="15659B" w:themeColor="accent4"/>
          <w:sz w:val="36"/>
          <w:szCs w:val="40"/>
        </w:rPr>
        <w:t>e</w:t>
      </w:r>
      <w:r w:rsidRPr="00AF73EF">
        <w:rPr>
          <w:rStyle w:val="Heading1Char"/>
          <w:color w:val="15659B" w:themeColor="accent4"/>
          <w:sz w:val="36"/>
          <w:szCs w:val="40"/>
        </w:rPr>
        <w:t>xcellence</w:t>
      </w:r>
      <w:bookmarkEnd w:id="163"/>
      <w:bookmarkEnd w:id="164"/>
      <w:bookmarkEnd w:id="165"/>
      <w:bookmarkEnd w:id="166"/>
      <w:r w:rsidRPr="00AF73EF">
        <w:t xml:space="preserve"> </w:t>
      </w:r>
    </w:p>
    <w:p w14:paraId="54878525" w14:textId="77777777" w:rsidR="00B21D1F" w:rsidRPr="004604BA" w:rsidRDefault="00B21D1F" w:rsidP="00B21D1F">
      <w:r w:rsidRPr="00697A9F">
        <w:t xml:space="preserve">In 2024-25 </w:t>
      </w:r>
      <w:r w:rsidRPr="004604BA">
        <w:t>the Titles Administrator:</w:t>
      </w:r>
    </w:p>
    <w:p w14:paraId="6E0BB946" w14:textId="77777777" w:rsidR="00B21D1F" w:rsidRPr="004604BA" w:rsidRDefault="00B21D1F" w:rsidP="00000EE8">
      <w:pPr>
        <w:pStyle w:val="ListParagraph"/>
      </w:pPr>
      <w:r w:rsidRPr="004604BA">
        <w:t>processed more than 453 regulatory data submission items and authorised the release of 89 data packages on wells and surveys</w:t>
      </w:r>
    </w:p>
    <w:p w14:paraId="52CFB4A7" w14:textId="77777777" w:rsidR="00B21D1F" w:rsidRPr="004604BA" w:rsidRDefault="00B21D1F" w:rsidP="00000EE8">
      <w:pPr>
        <w:pStyle w:val="ListParagraph"/>
      </w:pPr>
      <w:r w:rsidRPr="004604BA">
        <w:t>held 14 annual field performance review meetings with titleholders for offshore petroleum production  </w:t>
      </w:r>
    </w:p>
    <w:p w14:paraId="05525F2F" w14:textId="77777777" w:rsidR="00B21D1F" w:rsidRPr="004604BA" w:rsidRDefault="00B21D1F" w:rsidP="00000EE8">
      <w:pPr>
        <w:pStyle w:val="ListParagraph"/>
      </w:pPr>
      <w:r w:rsidRPr="004604BA">
        <w:t>supported and collaborated with the department on reviews and amendments to the OPGGS Act and regulations </w:t>
      </w:r>
    </w:p>
    <w:p w14:paraId="441A52DC" w14:textId="37F836E2" w:rsidR="00B21D1F" w:rsidRPr="004604BA" w:rsidRDefault="00B21D1F" w:rsidP="00000EE8">
      <w:pPr>
        <w:pStyle w:val="ListParagraph"/>
      </w:pPr>
      <w:r w:rsidRPr="004604BA">
        <w:t>assisted the department to consult on the regulatory framework for venting and flaring, and review</w:t>
      </w:r>
      <w:r>
        <w:t>ed</w:t>
      </w:r>
      <w:r w:rsidRPr="004604BA">
        <w:t xml:space="preserve"> and update</w:t>
      </w:r>
      <w:r>
        <w:t>d</w:t>
      </w:r>
      <w:r w:rsidRPr="004604BA">
        <w:t xml:space="preserve"> guidelines to support the implementation of the Future Gas Strategy </w:t>
      </w:r>
    </w:p>
    <w:p w14:paraId="40E99205" w14:textId="53B0CE15" w:rsidR="00B21D1F" w:rsidRPr="004604BA" w:rsidRDefault="00B21D1F" w:rsidP="00000EE8">
      <w:pPr>
        <w:pStyle w:val="ListParagraph"/>
      </w:pPr>
      <w:r w:rsidRPr="004604BA">
        <w:t>collaborated with the department to publish guidelines and factsheets for offshore greenhouse gas injection licences </w:t>
      </w:r>
    </w:p>
    <w:p w14:paraId="5B93AA53" w14:textId="017850F6" w:rsidR="00B21D1F" w:rsidRPr="004604BA" w:rsidRDefault="00B21D1F" w:rsidP="00000EE8">
      <w:pPr>
        <w:pStyle w:val="ListParagraph"/>
      </w:pPr>
      <w:r w:rsidRPr="004604BA">
        <w:t xml:space="preserve">provided expert advice to the </w:t>
      </w:r>
      <w:r w:rsidR="00BC36FA">
        <w:t>d</w:t>
      </w:r>
      <w:r w:rsidRPr="004604BA">
        <w:t>epartment on the policy reviews of offshore carbon capture and sequestration and offshore decommissioning. </w:t>
      </w:r>
    </w:p>
    <w:p w14:paraId="7565E40C" w14:textId="77777777" w:rsidR="00B21D1F" w:rsidRPr="004604BA" w:rsidRDefault="00B21D1F" w:rsidP="00B21D1F">
      <w:r w:rsidRPr="004604BA">
        <w:t>In 2024-25 the Registrar:</w:t>
      </w:r>
    </w:p>
    <w:p w14:paraId="33A8DF52" w14:textId="20C29611" w:rsidR="009541D9" w:rsidRPr="004604BA" w:rsidRDefault="009541D9" w:rsidP="00000EE8">
      <w:pPr>
        <w:pStyle w:val="ListParagraph"/>
      </w:pPr>
      <w:r w:rsidRPr="004604BA">
        <w:t>collaborated with the D</w:t>
      </w:r>
      <w:r w:rsidR="00001041">
        <w:t xml:space="preserve">epartment of </w:t>
      </w:r>
      <w:r w:rsidRPr="004604BA">
        <w:t>C</w:t>
      </w:r>
      <w:r w:rsidR="00001041">
        <w:t>limate Change</w:t>
      </w:r>
      <w:r w:rsidR="00B654CB">
        <w:t>, Energy</w:t>
      </w:r>
      <w:r w:rsidR="00B20194">
        <w:t xml:space="preserve">, the Environment and Water (DCCEEW) </w:t>
      </w:r>
      <w:r w:rsidRPr="004604BA">
        <w:t>on the implementation of the licensing framework resulting in updates to relevant legislation and regulations  </w:t>
      </w:r>
    </w:p>
    <w:p w14:paraId="708C14F1" w14:textId="77777777" w:rsidR="009541D9" w:rsidRPr="004604BA" w:rsidRDefault="009541D9" w:rsidP="00000EE8">
      <w:pPr>
        <w:pStyle w:val="ListParagraph"/>
      </w:pPr>
      <w:r w:rsidRPr="004604BA">
        <w:t>developed regulatory guidance material to foster compliance with the OEI Act </w:t>
      </w:r>
    </w:p>
    <w:p w14:paraId="490C5EAE" w14:textId="77777777" w:rsidR="009541D9" w:rsidRDefault="009541D9" w:rsidP="00000EE8">
      <w:pPr>
        <w:pStyle w:val="ListParagraph"/>
      </w:pPr>
      <w:r w:rsidRPr="004604BA">
        <w:t>assisted DCCEEW to update the Transmission and Infrastructure Licence Guideline Chapter</w:t>
      </w:r>
    </w:p>
    <w:p w14:paraId="7A99203C" w14:textId="77777777" w:rsidR="009541D9" w:rsidRPr="004604BA" w:rsidRDefault="009541D9" w:rsidP="00000EE8">
      <w:pPr>
        <w:pStyle w:val="ListParagraph"/>
      </w:pPr>
      <w:r w:rsidRPr="004604BA">
        <w:t>supported procedural fairness processes to unsuccessful feasibility licence applicants </w:t>
      </w:r>
    </w:p>
    <w:p w14:paraId="6330E7FC" w14:textId="485E4F0C" w:rsidR="009541D9" w:rsidRDefault="009541D9" w:rsidP="00000EE8">
      <w:pPr>
        <w:pStyle w:val="ListParagraph"/>
      </w:pPr>
      <w:r w:rsidRPr="004604BA">
        <w:t>collaborated with the DCCEEW</w:t>
      </w:r>
      <w:r>
        <w:t xml:space="preserve"> on the development of regulatory guidance material for the introduction of research and demonstration licences</w:t>
      </w:r>
    </w:p>
    <w:p w14:paraId="6640A648" w14:textId="77777777" w:rsidR="009541D9" w:rsidRDefault="009541D9" w:rsidP="00000EE8">
      <w:pPr>
        <w:pStyle w:val="ListParagraph"/>
      </w:pPr>
      <w:r>
        <w:t xml:space="preserve">consulted with licence holders and published annual licence report guidance </w:t>
      </w:r>
    </w:p>
    <w:p w14:paraId="5937FC09" w14:textId="073B9FEE" w:rsidR="009541D9" w:rsidRDefault="009541D9" w:rsidP="00000EE8">
      <w:pPr>
        <w:pStyle w:val="ListParagraph"/>
      </w:pPr>
      <w:r>
        <w:t>provided advice to licence holders on reporting and compliance across the framework</w:t>
      </w:r>
      <w:r w:rsidR="0052185B">
        <w:t>.</w:t>
      </w:r>
    </w:p>
    <w:p w14:paraId="7C842BB3" w14:textId="758D7FB7" w:rsidR="0052185B" w:rsidRDefault="0052185B">
      <w:pPr>
        <w:spacing w:before="0" w:after="160" w:line="259" w:lineRule="auto"/>
      </w:pPr>
      <w:r>
        <w:br w:type="page"/>
      </w:r>
    </w:p>
    <w:p w14:paraId="4B0405C9" w14:textId="6CBD4DC1" w:rsidR="00220FAD" w:rsidRPr="00580DA0" w:rsidRDefault="00220FAD" w:rsidP="00220FAD">
      <w:pPr>
        <w:pStyle w:val="Heading4"/>
      </w:pPr>
      <w:r w:rsidRPr="00580DA0">
        <w:lastRenderedPageBreak/>
        <w:t xml:space="preserve">External </w:t>
      </w:r>
      <w:r w:rsidR="00AF0543">
        <w:t>c</w:t>
      </w:r>
      <w:r w:rsidRPr="00580DA0">
        <w:t xml:space="preserve">ompliance </w:t>
      </w:r>
      <w:r w:rsidR="00AF0543">
        <w:t>m</w:t>
      </w:r>
      <w:r w:rsidRPr="00580DA0">
        <w:t xml:space="preserve">onitoring </w:t>
      </w:r>
    </w:p>
    <w:p w14:paraId="152A5A3A" w14:textId="77777777" w:rsidR="009160E3" w:rsidRDefault="009160E3" w:rsidP="009160E3">
      <w:r w:rsidRPr="00580DA0">
        <w:t>The Titles Administrator and the Registrar support compliance through guidelines, tailored assistance, and education, with a</w:t>
      </w:r>
      <w:r>
        <w:t>n</w:t>
      </w:r>
      <w:r w:rsidRPr="00580DA0">
        <w:t xml:space="preserve"> emphasis on voluntary compliance and early engagement to </w:t>
      </w:r>
      <w:r>
        <w:t>manage</w:t>
      </w:r>
      <w:r w:rsidRPr="00580DA0">
        <w:t xml:space="preserve"> potential issues. Accountability for implementing and upholding the branch’s compliance and enforcement policy </w:t>
      </w:r>
      <w:r>
        <w:t>sits</w:t>
      </w:r>
      <w:r w:rsidRPr="00580DA0">
        <w:t xml:space="preserve"> with every team. </w:t>
      </w:r>
    </w:p>
    <w:p w14:paraId="50697BE7" w14:textId="1678B154" w:rsidR="0052185B" w:rsidRDefault="009160E3" w:rsidP="009160E3">
      <w:pPr>
        <w:spacing w:before="0" w:after="160" w:line="278" w:lineRule="auto"/>
      </w:pPr>
      <w:r w:rsidRPr="00580DA0">
        <w:t xml:space="preserve">In 2024-25, titleholders continued to </w:t>
      </w:r>
      <w:r>
        <w:t>show</w:t>
      </w:r>
      <w:r w:rsidRPr="00580DA0">
        <w:t xml:space="preserve"> very high levels of voluntary compliance with the OPPGS Act,</w:t>
      </w:r>
      <w:r w:rsidR="009901BB">
        <w:t xml:space="preserve"> </w:t>
      </w:r>
      <w:r w:rsidRPr="00580DA0">
        <w:t xml:space="preserve">OEI Act and associated regulations. </w:t>
      </w:r>
      <w:r>
        <w:t>More than 96% of compliance requirements were met with only</w:t>
      </w:r>
      <w:r w:rsidRPr="00580DA0">
        <w:t xml:space="preserve"> 3.74% recorded </w:t>
      </w:r>
      <w:r>
        <w:t xml:space="preserve">with </w:t>
      </w:r>
      <w:r w:rsidRPr="00580DA0">
        <w:t>non-compliance</w:t>
      </w:r>
      <w:r>
        <w:t xml:space="preserve"> issues. This includes</w:t>
      </w:r>
      <w:r w:rsidRPr="00580DA0">
        <w:t xml:space="preserve"> the late submission of Annual Titles Assessment Reports (ATARs) and the non-provision of documentation under Regulation 5.28 of the RMA </w:t>
      </w:r>
      <w:r w:rsidR="007022C8">
        <w:t>r</w:t>
      </w:r>
      <w:r w:rsidRPr="00580DA0">
        <w:t>egulations</w:t>
      </w:r>
      <w:r>
        <w:t xml:space="preserve">, which </w:t>
      </w:r>
      <w:r w:rsidRPr="00580DA0">
        <w:t>remain key areas of focus (see</w:t>
      </w:r>
      <w:r w:rsidR="007022C8">
        <w:t xml:space="preserve"> </w:t>
      </w:r>
      <w:r w:rsidR="00D014AF">
        <w:t xml:space="preserve">figure </w:t>
      </w:r>
      <w:r w:rsidR="00EA1C7C">
        <w:t>20</w:t>
      </w:r>
      <w:r w:rsidR="00D014AF">
        <w:t xml:space="preserve">). </w:t>
      </w:r>
    </w:p>
    <w:p w14:paraId="4D537152" w14:textId="77777777" w:rsidR="00F1615E" w:rsidRDefault="00D014AF" w:rsidP="00A556F7">
      <w:pPr>
        <w:spacing w:before="0" w:after="160" w:line="259" w:lineRule="auto"/>
      </w:pPr>
      <w:r>
        <w:t>Com</w:t>
      </w:r>
      <w:r w:rsidR="00B071EE">
        <w:t xml:space="preserve">pliance rates are: </w:t>
      </w:r>
    </w:p>
    <w:p w14:paraId="02A270C4" w14:textId="1EE8355A" w:rsidR="004C70A6" w:rsidRPr="00A81457" w:rsidRDefault="00B071EE" w:rsidP="00000EE8">
      <w:pPr>
        <w:pStyle w:val="ListParagraph"/>
      </w:pPr>
      <w:r w:rsidRPr="00A81457">
        <w:t>96% c</w:t>
      </w:r>
      <w:r w:rsidR="003200C5" w:rsidRPr="00A81457">
        <w:t xml:space="preserve">ompliance </w:t>
      </w:r>
    </w:p>
    <w:p w14:paraId="4198223F" w14:textId="505440B7" w:rsidR="00C94449" w:rsidRPr="00A81457" w:rsidRDefault="003200C5" w:rsidP="00000EE8">
      <w:pPr>
        <w:pStyle w:val="ListParagraph"/>
      </w:pPr>
      <w:r w:rsidRPr="00A81457">
        <w:t>4% non-compliance</w:t>
      </w:r>
      <w:r w:rsidR="00577A70">
        <w:t>.</w:t>
      </w:r>
      <w:r w:rsidRPr="00A81457">
        <w:t xml:space="preserve"> </w:t>
      </w:r>
    </w:p>
    <w:p w14:paraId="58916F25" w14:textId="77777777" w:rsidR="00E466B4" w:rsidRDefault="000E1EB4" w:rsidP="00E466B4">
      <w:pPr>
        <w:keepNext/>
        <w:spacing w:after="160" w:line="259" w:lineRule="auto"/>
      </w:pPr>
      <w:r w:rsidRPr="000E1EB4">
        <w:rPr>
          <w:noProof/>
        </w:rPr>
        <w:drawing>
          <wp:inline distT="0" distB="0" distL="0" distR="0" wp14:anchorId="726D518B" wp14:editId="480B70EE">
            <wp:extent cx="5731510" cy="2125345"/>
            <wp:effectExtent l="0" t="0" r="2540" b="8255"/>
            <wp:docPr id="83302834" name="Picture 1" descr="A graph showing the number of incidents of administrative non-compliance by category for the financial years of 2022-23, 2023-24, 2024-25. More information is available in the caption and alt-text below th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2834" name="Picture 1" descr="A graph showing the number of incidents of administrative non-compliance by category for the financial years of 2022-23, 2023-24, 2024-25. More information is available in the caption and alt-text below the graph. "/>
                    <pic:cNvPicPr/>
                  </pic:nvPicPr>
                  <pic:blipFill>
                    <a:blip r:embed="rId38"/>
                    <a:stretch>
                      <a:fillRect/>
                    </a:stretch>
                  </pic:blipFill>
                  <pic:spPr>
                    <a:xfrm>
                      <a:off x="0" y="0"/>
                      <a:ext cx="5731510" cy="2125345"/>
                    </a:xfrm>
                    <a:prstGeom prst="rect">
                      <a:avLst/>
                    </a:prstGeom>
                  </pic:spPr>
                </pic:pic>
              </a:graphicData>
            </a:graphic>
          </wp:inline>
        </w:drawing>
      </w:r>
    </w:p>
    <w:p w14:paraId="581FCFDB" w14:textId="71B79D06" w:rsidR="00780AA3" w:rsidRDefault="00E466B4" w:rsidP="00E466B4">
      <w:pPr>
        <w:pStyle w:val="Caption"/>
      </w:pPr>
      <w:bookmarkStart w:id="167" w:name="_Toc221884201"/>
      <w:bookmarkStart w:id="168" w:name="_Toc222316234"/>
      <w:r>
        <w:t xml:space="preserve">Figure </w:t>
      </w:r>
      <w:r>
        <w:fldChar w:fldCharType="begin"/>
      </w:r>
      <w:r>
        <w:instrText xml:space="preserve"> SEQ Figure \* ARABIC </w:instrText>
      </w:r>
      <w:r>
        <w:fldChar w:fldCharType="separate"/>
      </w:r>
      <w:r w:rsidR="00CF02F5">
        <w:rPr>
          <w:noProof/>
        </w:rPr>
        <w:t>20</w:t>
      </w:r>
      <w:r>
        <w:fldChar w:fldCharType="end"/>
      </w:r>
      <w:r>
        <w:t xml:space="preserve">: </w:t>
      </w:r>
      <w:r w:rsidRPr="00B378FB">
        <w:t>shows numbers of administrative non-compliance categories by year</w:t>
      </w:r>
      <w:r w:rsidR="00F44150" w:rsidRPr="00B378FB">
        <w:t>- comparison</w:t>
      </w:r>
      <w:r w:rsidRPr="00B378FB">
        <w:t xml:space="preserve"> 2022-2025</w:t>
      </w:r>
      <w:bookmarkEnd w:id="167"/>
      <w:bookmarkEnd w:id="168"/>
    </w:p>
    <w:p w14:paraId="4EE8D693" w14:textId="200EC009" w:rsidR="00207E0D" w:rsidRPr="00207E0D" w:rsidRDefault="00C14786" w:rsidP="00207E0D">
      <w:pPr>
        <w:pStyle w:val="Caption"/>
        <w:keepNext/>
        <w:ind w:left="720"/>
        <w:rPr>
          <w:sz w:val="20"/>
          <w:szCs w:val="20"/>
        </w:rPr>
      </w:pPr>
      <w:r w:rsidRPr="00780AA3">
        <w:rPr>
          <w:bCs/>
          <w:sz w:val="20"/>
          <w:szCs w:val="20"/>
        </w:rPr>
        <w:t>Alternative text description:</w:t>
      </w:r>
      <w:r w:rsidR="00E76186" w:rsidRPr="00780AA3">
        <w:rPr>
          <w:bCs/>
          <w:sz w:val="20"/>
          <w:szCs w:val="20"/>
        </w:rPr>
        <w:t xml:space="preserve"> </w:t>
      </w:r>
      <w:r w:rsidR="00CB7B38">
        <w:rPr>
          <w:b w:val="0"/>
          <w:sz w:val="20"/>
          <w:szCs w:val="20"/>
        </w:rPr>
        <w:t>Vertical bar chart</w:t>
      </w:r>
      <w:r w:rsidR="00E76186" w:rsidRPr="00780AA3">
        <w:rPr>
          <w:b w:val="0"/>
          <w:sz w:val="20"/>
          <w:szCs w:val="20"/>
        </w:rPr>
        <w:t xml:space="preserve"> shows the number of inciden</w:t>
      </w:r>
      <w:r w:rsidR="00E24182" w:rsidRPr="00780AA3">
        <w:rPr>
          <w:b w:val="0"/>
          <w:sz w:val="20"/>
          <w:szCs w:val="20"/>
        </w:rPr>
        <w:t xml:space="preserve">ts of administrative non-compliance, by category </w:t>
      </w:r>
      <w:r w:rsidR="00853D7C" w:rsidRPr="00780AA3">
        <w:rPr>
          <w:b w:val="0"/>
          <w:sz w:val="20"/>
          <w:szCs w:val="20"/>
        </w:rPr>
        <w:t>in the financial years of 2022/23, 2023</w:t>
      </w:r>
      <w:r w:rsidR="00B667D9" w:rsidRPr="00780AA3">
        <w:rPr>
          <w:b w:val="0"/>
          <w:sz w:val="20"/>
          <w:szCs w:val="20"/>
        </w:rPr>
        <w:t xml:space="preserve">/24 and 2024/25. </w:t>
      </w:r>
      <w:r w:rsidR="00207E0D" w:rsidRPr="00E41AF6">
        <w:rPr>
          <w:b w:val="0"/>
          <w:bCs/>
          <w:sz w:val="20"/>
          <w:szCs w:val="20"/>
        </w:rPr>
        <w:t>Most categories record fewer than five incidents each year, except annual title assessment reports or ATAR, which remain</w:t>
      </w:r>
      <w:r w:rsidR="00E41AF6" w:rsidRPr="00E41AF6">
        <w:rPr>
          <w:b w:val="0"/>
          <w:bCs/>
          <w:sz w:val="20"/>
          <w:szCs w:val="20"/>
        </w:rPr>
        <w:t>ed</w:t>
      </w:r>
      <w:r w:rsidR="00207E0D" w:rsidRPr="00E41AF6">
        <w:rPr>
          <w:b w:val="0"/>
          <w:bCs/>
          <w:sz w:val="20"/>
          <w:szCs w:val="20"/>
        </w:rPr>
        <w:t xml:space="preserve"> between 11 and 13. NOPSEMA documentation, is the highest incidence with 15 in 2022/23 and 21 in 2024/25.</w:t>
      </w:r>
    </w:p>
    <w:p w14:paraId="59D7F60E" w14:textId="2441FC99" w:rsidR="00AD3A0B" w:rsidRDefault="00AD3A0B">
      <w:pPr>
        <w:spacing w:before="0" w:after="160" w:line="259" w:lineRule="auto"/>
      </w:pPr>
      <w:r>
        <w:br w:type="page"/>
      </w:r>
    </w:p>
    <w:p w14:paraId="2AC385FA" w14:textId="2E2DB4C4" w:rsidR="00BF2218" w:rsidRDefault="00BF2218" w:rsidP="00BF2218">
      <w:pPr>
        <w:pStyle w:val="Caption"/>
        <w:keepNext/>
        <w:rPr>
          <w:noProof/>
        </w:rPr>
      </w:pPr>
      <w:r>
        <w:lastRenderedPageBreak/>
        <w:t xml:space="preserve">Table </w:t>
      </w:r>
      <w:r>
        <w:fldChar w:fldCharType="begin"/>
      </w:r>
      <w:r>
        <w:instrText xml:space="preserve"> SEQ Table \* ARABIC </w:instrText>
      </w:r>
      <w:r>
        <w:fldChar w:fldCharType="separate"/>
      </w:r>
      <w:r w:rsidR="003D6C08">
        <w:rPr>
          <w:noProof/>
        </w:rPr>
        <w:t>5</w:t>
      </w:r>
      <w:r>
        <w:fldChar w:fldCharType="end"/>
      </w:r>
      <w:r>
        <w:t xml:space="preserve">: </w:t>
      </w:r>
      <w:r w:rsidRPr="0057224B">
        <w:t>incidents of administrative non-compliance</w:t>
      </w:r>
      <w:r>
        <w:rPr>
          <w:noProof/>
        </w:rPr>
        <w:t xml:space="preserve"> from 2022/23 to 2024/25</w:t>
      </w:r>
    </w:p>
    <w:tbl>
      <w:tblPr>
        <w:tblStyle w:val="ListTable3-Accent4"/>
        <w:tblW w:w="0" w:type="auto"/>
        <w:tblLook w:val="04A0" w:firstRow="1" w:lastRow="0" w:firstColumn="1" w:lastColumn="0" w:noHBand="0" w:noVBand="1"/>
      </w:tblPr>
      <w:tblGrid>
        <w:gridCol w:w="2627"/>
        <w:gridCol w:w="2254"/>
        <w:gridCol w:w="1583"/>
        <w:gridCol w:w="1842"/>
      </w:tblGrid>
      <w:tr w:rsidR="00D01A97" w14:paraId="7C710F57" w14:textId="77777777" w:rsidTr="00AC35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27" w:type="dxa"/>
          </w:tcPr>
          <w:p w14:paraId="603A8C94" w14:textId="683CAE5C" w:rsidR="00CE670F" w:rsidRDefault="00CE670F" w:rsidP="00CE670F">
            <w:r w:rsidRPr="00821015">
              <w:rPr>
                <w:rFonts w:ascii="Aptos Narrow" w:hAnsi="Aptos Narrow"/>
                <w:sz w:val="24"/>
              </w:rPr>
              <w:t>Category</w:t>
            </w:r>
          </w:p>
        </w:tc>
        <w:tc>
          <w:tcPr>
            <w:tcW w:w="2254" w:type="dxa"/>
          </w:tcPr>
          <w:p w14:paraId="412FE148" w14:textId="602AF202" w:rsidR="00CE670F" w:rsidRDefault="00CE670F" w:rsidP="004D5480">
            <w:pPr>
              <w:jc w:val="right"/>
              <w:cnfStyle w:val="100000000000" w:firstRow="1" w:lastRow="0" w:firstColumn="0" w:lastColumn="0" w:oddVBand="0" w:evenVBand="0" w:oddHBand="0" w:evenHBand="0" w:firstRowFirstColumn="0" w:firstRowLastColumn="0" w:lastRowFirstColumn="0" w:lastRowLastColumn="0"/>
            </w:pPr>
            <w:r w:rsidRPr="00AD3A0B">
              <w:rPr>
                <w:rFonts w:ascii="Aptos Narrow" w:eastAsia="Times New Roman" w:hAnsi="Aptos Narrow" w:cs="Times New Roman"/>
                <w:lang w:eastAsia="en-AU"/>
              </w:rPr>
              <w:t xml:space="preserve">2022/23 </w:t>
            </w:r>
            <w:r w:rsidR="00777FA2">
              <w:rPr>
                <w:rFonts w:ascii="Aptos Narrow" w:eastAsia="Times New Roman" w:hAnsi="Aptos Narrow" w:cs="Times New Roman"/>
                <w:lang w:eastAsia="en-AU"/>
              </w:rPr>
              <w:br/>
            </w:r>
            <w:r w:rsidRPr="00AD3A0B">
              <w:rPr>
                <w:rFonts w:ascii="Aptos Narrow" w:eastAsia="Times New Roman" w:hAnsi="Aptos Narrow" w:cs="Times New Roman"/>
                <w:lang w:eastAsia="en-AU"/>
              </w:rPr>
              <w:t>number of</w:t>
            </w:r>
            <w:r w:rsidR="00D97604">
              <w:rPr>
                <w:rFonts w:ascii="Aptos Narrow" w:eastAsia="Times New Roman" w:hAnsi="Aptos Narrow" w:cs="Times New Roman"/>
                <w:lang w:eastAsia="en-AU"/>
              </w:rPr>
              <w:br/>
            </w:r>
            <w:r w:rsidRPr="00AD3A0B">
              <w:rPr>
                <w:rFonts w:ascii="Aptos Narrow" w:eastAsia="Times New Roman" w:hAnsi="Aptos Narrow" w:cs="Times New Roman"/>
                <w:lang w:eastAsia="en-AU"/>
              </w:rPr>
              <w:t>incidents</w:t>
            </w:r>
          </w:p>
        </w:tc>
        <w:tc>
          <w:tcPr>
            <w:tcW w:w="1583" w:type="dxa"/>
          </w:tcPr>
          <w:p w14:paraId="64E266FD" w14:textId="31583CC8" w:rsidR="00CE670F" w:rsidRDefault="00CE670F" w:rsidP="004D5480">
            <w:pPr>
              <w:jc w:val="right"/>
              <w:cnfStyle w:val="100000000000" w:firstRow="1" w:lastRow="0" w:firstColumn="0" w:lastColumn="0" w:oddVBand="0" w:evenVBand="0" w:oddHBand="0" w:evenHBand="0" w:firstRowFirstColumn="0" w:firstRowLastColumn="0" w:lastRowFirstColumn="0" w:lastRowLastColumn="0"/>
            </w:pPr>
            <w:r w:rsidRPr="00AD3A0B">
              <w:rPr>
                <w:rFonts w:ascii="Aptos Narrow" w:eastAsia="Times New Roman" w:hAnsi="Aptos Narrow" w:cs="Times New Roman"/>
                <w:lang w:eastAsia="en-AU"/>
              </w:rPr>
              <w:t xml:space="preserve">2023/24 </w:t>
            </w:r>
            <w:r w:rsidR="00777FA2">
              <w:rPr>
                <w:rFonts w:ascii="Aptos Narrow" w:eastAsia="Times New Roman" w:hAnsi="Aptos Narrow" w:cs="Times New Roman"/>
                <w:lang w:eastAsia="en-AU"/>
              </w:rPr>
              <w:br/>
            </w:r>
            <w:r w:rsidRPr="00AD3A0B">
              <w:rPr>
                <w:rFonts w:ascii="Aptos Narrow" w:eastAsia="Times New Roman" w:hAnsi="Aptos Narrow" w:cs="Times New Roman"/>
                <w:lang w:eastAsia="en-AU"/>
              </w:rPr>
              <w:t>number of incidents</w:t>
            </w:r>
          </w:p>
        </w:tc>
        <w:tc>
          <w:tcPr>
            <w:tcW w:w="1842" w:type="dxa"/>
          </w:tcPr>
          <w:p w14:paraId="5C95DDF6" w14:textId="14A54504" w:rsidR="00CE670F" w:rsidRDefault="00CE670F" w:rsidP="004D5480">
            <w:pPr>
              <w:jc w:val="right"/>
              <w:cnfStyle w:val="100000000000" w:firstRow="1" w:lastRow="0" w:firstColumn="0" w:lastColumn="0" w:oddVBand="0" w:evenVBand="0" w:oddHBand="0" w:evenHBand="0" w:firstRowFirstColumn="0" w:firstRowLastColumn="0" w:lastRowFirstColumn="0" w:lastRowLastColumn="0"/>
            </w:pPr>
            <w:r w:rsidRPr="00AD3A0B">
              <w:rPr>
                <w:rFonts w:ascii="Aptos Narrow" w:eastAsia="Times New Roman" w:hAnsi="Aptos Narrow" w:cs="Times New Roman"/>
                <w:lang w:eastAsia="en-AU"/>
              </w:rPr>
              <w:t xml:space="preserve">2024/25 </w:t>
            </w:r>
            <w:r w:rsidR="00777FA2">
              <w:rPr>
                <w:rFonts w:ascii="Aptos Narrow" w:eastAsia="Times New Roman" w:hAnsi="Aptos Narrow" w:cs="Times New Roman"/>
                <w:lang w:eastAsia="en-AU"/>
              </w:rPr>
              <w:br/>
            </w:r>
            <w:r w:rsidRPr="00AD3A0B">
              <w:rPr>
                <w:rFonts w:ascii="Aptos Narrow" w:eastAsia="Times New Roman" w:hAnsi="Aptos Narrow" w:cs="Times New Roman"/>
                <w:lang w:eastAsia="en-AU"/>
              </w:rPr>
              <w:t>number of incidents</w:t>
            </w:r>
          </w:p>
        </w:tc>
      </w:tr>
      <w:tr w:rsidR="00C91423" w14:paraId="52D0BF18" w14:textId="77777777" w:rsidTr="00AC3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tcPr>
          <w:p w14:paraId="528E8479" w14:textId="2A1BCC83" w:rsidR="00CE670F" w:rsidRPr="00821015" w:rsidRDefault="00CE670F" w:rsidP="00CE670F">
            <w:pPr>
              <w:rPr>
                <w:rFonts w:ascii="Aptos Narrow" w:hAnsi="Aptos Narrow"/>
                <w:sz w:val="24"/>
              </w:rPr>
            </w:pPr>
            <w:r w:rsidRPr="00D67722">
              <w:rPr>
                <w:rFonts w:ascii="Aptos Narrow" w:eastAsia="Times New Roman" w:hAnsi="Aptos Narrow" w:cs="Times New Roman"/>
                <w:b w:val="0"/>
                <w:bCs w:val="0"/>
                <w:color w:val="000000"/>
                <w:lang w:eastAsia="en-AU"/>
              </w:rPr>
              <w:t xml:space="preserve">Annual </w:t>
            </w:r>
            <w:r>
              <w:rPr>
                <w:rFonts w:ascii="Aptos Narrow" w:eastAsia="Times New Roman" w:hAnsi="Aptos Narrow" w:cs="Times New Roman"/>
                <w:b w:val="0"/>
                <w:bCs w:val="0"/>
                <w:color w:val="000000"/>
                <w:lang w:eastAsia="en-AU"/>
              </w:rPr>
              <w:t>l</w:t>
            </w:r>
            <w:r w:rsidRPr="00D67722">
              <w:rPr>
                <w:rFonts w:ascii="Aptos Narrow" w:eastAsia="Times New Roman" w:hAnsi="Aptos Narrow" w:cs="Times New Roman"/>
                <w:b w:val="0"/>
                <w:bCs w:val="0"/>
                <w:color w:val="000000"/>
                <w:lang w:eastAsia="en-AU"/>
              </w:rPr>
              <w:t>evy</w:t>
            </w:r>
          </w:p>
        </w:tc>
        <w:tc>
          <w:tcPr>
            <w:tcW w:w="2254" w:type="dxa"/>
          </w:tcPr>
          <w:p w14:paraId="407CE6C4" w14:textId="5D1CC947" w:rsidR="00CE670F" w:rsidRPr="00AD3A0B" w:rsidRDefault="00FC63D9" w:rsidP="004D5480">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lang w:eastAsia="en-AU"/>
              </w:rPr>
            </w:pPr>
            <w:r>
              <w:rPr>
                <w:rFonts w:ascii="Aptos Narrow" w:eastAsia="Times New Roman" w:hAnsi="Aptos Narrow" w:cs="Times New Roman"/>
                <w:lang w:eastAsia="en-AU"/>
              </w:rPr>
              <w:t>2</w:t>
            </w:r>
          </w:p>
        </w:tc>
        <w:tc>
          <w:tcPr>
            <w:tcW w:w="1583" w:type="dxa"/>
          </w:tcPr>
          <w:p w14:paraId="12ADD668" w14:textId="02452AF9" w:rsidR="00CE670F" w:rsidRPr="00AD3A0B" w:rsidRDefault="004D5480" w:rsidP="004D5480">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lang w:eastAsia="en-AU"/>
              </w:rPr>
            </w:pPr>
            <w:r>
              <w:rPr>
                <w:rFonts w:ascii="Aptos Narrow" w:eastAsia="Times New Roman" w:hAnsi="Aptos Narrow" w:cs="Times New Roman"/>
                <w:lang w:eastAsia="en-AU"/>
              </w:rPr>
              <w:t>0</w:t>
            </w:r>
          </w:p>
        </w:tc>
        <w:tc>
          <w:tcPr>
            <w:tcW w:w="1842" w:type="dxa"/>
          </w:tcPr>
          <w:p w14:paraId="32070828" w14:textId="7A0FFDF5" w:rsidR="00CE670F" w:rsidRPr="00AD3A0B" w:rsidRDefault="004D5480" w:rsidP="004D5480">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lang w:eastAsia="en-AU"/>
              </w:rPr>
            </w:pPr>
            <w:r>
              <w:rPr>
                <w:rFonts w:ascii="Aptos Narrow" w:eastAsia="Times New Roman" w:hAnsi="Aptos Narrow" w:cs="Times New Roman"/>
                <w:lang w:eastAsia="en-AU"/>
              </w:rPr>
              <w:t>1</w:t>
            </w:r>
          </w:p>
        </w:tc>
      </w:tr>
      <w:tr w:rsidR="00C91423" w14:paraId="644D6742" w14:textId="77777777" w:rsidTr="00AC35F7">
        <w:tc>
          <w:tcPr>
            <w:cnfStyle w:val="001000000000" w:firstRow="0" w:lastRow="0" w:firstColumn="1" w:lastColumn="0" w:oddVBand="0" w:evenVBand="0" w:oddHBand="0" w:evenHBand="0" w:firstRowFirstColumn="0" w:firstRowLastColumn="0" w:lastRowFirstColumn="0" w:lastRowLastColumn="0"/>
            <w:tcW w:w="2627" w:type="dxa"/>
          </w:tcPr>
          <w:p w14:paraId="66AB5F8B" w14:textId="730D6F04" w:rsidR="00CE670F" w:rsidRPr="00821015" w:rsidRDefault="00CE670F" w:rsidP="00CE670F">
            <w:pPr>
              <w:rPr>
                <w:rFonts w:ascii="Aptos Narrow" w:hAnsi="Aptos Narrow"/>
                <w:sz w:val="24"/>
              </w:rPr>
            </w:pPr>
            <w:r w:rsidRPr="00D67722">
              <w:rPr>
                <w:rFonts w:ascii="Aptos Narrow" w:eastAsia="Times New Roman" w:hAnsi="Aptos Narrow" w:cs="Times New Roman"/>
                <w:b w:val="0"/>
                <w:bCs w:val="0"/>
                <w:color w:val="000000"/>
                <w:lang w:eastAsia="en-AU"/>
              </w:rPr>
              <w:t>ATAR</w:t>
            </w:r>
          </w:p>
        </w:tc>
        <w:tc>
          <w:tcPr>
            <w:tcW w:w="2254" w:type="dxa"/>
          </w:tcPr>
          <w:p w14:paraId="577D3EF9" w14:textId="4605E6D0" w:rsidR="00CE670F" w:rsidRPr="00AD3A0B" w:rsidRDefault="00FC63D9" w:rsidP="004D5480">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lang w:eastAsia="en-AU"/>
              </w:rPr>
            </w:pPr>
            <w:r>
              <w:rPr>
                <w:rFonts w:ascii="Aptos Narrow" w:eastAsia="Times New Roman" w:hAnsi="Aptos Narrow" w:cs="Times New Roman"/>
                <w:lang w:eastAsia="en-AU"/>
              </w:rPr>
              <w:t>11</w:t>
            </w:r>
          </w:p>
        </w:tc>
        <w:tc>
          <w:tcPr>
            <w:tcW w:w="1583" w:type="dxa"/>
          </w:tcPr>
          <w:p w14:paraId="7AE5AA60" w14:textId="053F0CCB" w:rsidR="00CE670F" w:rsidRPr="00AD3A0B" w:rsidRDefault="004D5480" w:rsidP="004D5480">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lang w:eastAsia="en-AU"/>
              </w:rPr>
            </w:pPr>
            <w:r>
              <w:rPr>
                <w:rFonts w:ascii="Aptos Narrow" w:eastAsia="Times New Roman" w:hAnsi="Aptos Narrow" w:cs="Times New Roman"/>
                <w:lang w:eastAsia="en-AU"/>
              </w:rPr>
              <w:t>13</w:t>
            </w:r>
          </w:p>
        </w:tc>
        <w:tc>
          <w:tcPr>
            <w:tcW w:w="1842" w:type="dxa"/>
          </w:tcPr>
          <w:p w14:paraId="57C60F7F" w14:textId="4129CB18" w:rsidR="00CE670F" w:rsidRPr="00AD3A0B" w:rsidRDefault="004D5480" w:rsidP="004D5480">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lang w:eastAsia="en-AU"/>
              </w:rPr>
            </w:pPr>
            <w:r>
              <w:rPr>
                <w:rFonts w:ascii="Aptos Narrow" w:eastAsia="Times New Roman" w:hAnsi="Aptos Narrow" w:cs="Times New Roman"/>
                <w:lang w:eastAsia="en-AU"/>
              </w:rPr>
              <w:t>13</w:t>
            </w:r>
          </w:p>
        </w:tc>
      </w:tr>
      <w:tr w:rsidR="00C91423" w14:paraId="52B086E4" w14:textId="77777777" w:rsidTr="00AC3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tcPr>
          <w:p w14:paraId="40BEFD9F" w14:textId="72F17B7F" w:rsidR="00CE670F" w:rsidRPr="00821015" w:rsidRDefault="00CE670F" w:rsidP="00CE670F">
            <w:pPr>
              <w:rPr>
                <w:rFonts w:ascii="Aptos Narrow" w:hAnsi="Aptos Narrow"/>
                <w:sz w:val="24"/>
              </w:rPr>
            </w:pPr>
            <w:r w:rsidRPr="00D67722">
              <w:rPr>
                <w:rFonts w:ascii="Aptos Narrow" w:eastAsia="Times New Roman" w:hAnsi="Aptos Narrow" w:cs="Times New Roman"/>
                <w:b w:val="0"/>
                <w:bCs w:val="0"/>
                <w:color w:val="000000"/>
                <w:lang w:eastAsia="en-AU"/>
              </w:rPr>
              <w:t xml:space="preserve">Data </w:t>
            </w:r>
            <w:r>
              <w:rPr>
                <w:rFonts w:ascii="Aptos Narrow" w:eastAsia="Times New Roman" w:hAnsi="Aptos Narrow" w:cs="Times New Roman"/>
                <w:b w:val="0"/>
                <w:bCs w:val="0"/>
                <w:color w:val="000000"/>
                <w:lang w:eastAsia="en-AU"/>
              </w:rPr>
              <w:t>s</w:t>
            </w:r>
            <w:r w:rsidRPr="00D67722">
              <w:rPr>
                <w:rFonts w:ascii="Aptos Narrow" w:eastAsia="Times New Roman" w:hAnsi="Aptos Narrow" w:cs="Times New Roman"/>
                <w:b w:val="0"/>
                <w:bCs w:val="0"/>
                <w:color w:val="000000"/>
                <w:lang w:eastAsia="en-AU"/>
              </w:rPr>
              <w:t>ubmission</w:t>
            </w:r>
          </w:p>
        </w:tc>
        <w:tc>
          <w:tcPr>
            <w:tcW w:w="2254" w:type="dxa"/>
          </w:tcPr>
          <w:p w14:paraId="7A149A7E" w14:textId="6B74871C" w:rsidR="00CE670F" w:rsidRPr="00AD3A0B" w:rsidRDefault="00FC63D9" w:rsidP="004D5480">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lang w:eastAsia="en-AU"/>
              </w:rPr>
            </w:pPr>
            <w:r>
              <w:rPr>
                <w:rFonts w:ascii="Aptos Narrow" w:eastAsia="Times New Roman" w:hAnsi="Aptos Narrow" w:cs="Times New Roman"/>
                <w:lang w:eastAsia="en-AU"/>
              </w:rPr>
              <w:t>2</w:t>
            </w:r>
          </w:p>
        </w:tc>
        <w:tc>
          <w:tcPr>
            <w:tcW w:w="1583" w:type="dxa"/>
          </w:tcPr>
          <w:p w14:paraId="0377DCE5" w14:textId="5EDA8C01" w:rsidR="00CE670F" w:rsidRPr="00AD3A0B" w:rsidRDefault="004D5480" w:rsidP="004D5480">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lang w:eastAsia="en-AU"/>
              </w:rPr>
            </w:pPr>
            <w:r>
              <w:rPr>
                <w:rFonts w:ascii="Aptos Narrow" w:eastAsia="Times New Roman" w:hAnsi="Aptos Narrow" w:cs="Times New Roman"/>
                <w:lang w:eastAsia="en-AU"/>
              </w:rPr>
              <w:t>0</w:t>
            </w:r>
          </w:p>
        </w:tc>
        <w:tc>
          <w:tcPr>
            <w:tcW w:w="1842" w:type="dxa"/>
          </w:tcPr>
          <w:p w14:paraId="28620041" w14:textId="7B611D40" w:rsidR="00CE670F" w:rsidRPr="00AD3A0B" w:rsidRDefault="004D5480" w:rsidP="004D5480">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lang w:eastAsia="en-AU"/>
              </w:rPr>
            </w:pPr>
            <w:r>
              <w:rPr>
                <w:rFonts w:ascii="Aptos Narrow" w:eastAsia="Times New Roman" w:hAnsi="Aptos Narrow" w:cs="Times New Roman"/>
                <w:lang w:eastAsia="en-AU"/>
              </w:rPr>
              <w:t>2</w:t>
            </w:r>
          </w:p>
        </w:tc>
      </w:tr>
      <w:tr w:rsidR="00C91423" w14:paraId="52145D58" w14:textId="77777777" w:rsidTr="00AC35F7">
        <w:tc>
          <w:tcPr>
            <w:cnfStyle w:val="001000000000" w:firstRow="0" w:lastRow="0" w:firstColumn="1" w:lastColumn="0" w:oddVBand="0" w:evenVBand="0" w:oddHBand="0" w:evenHBand="0" w:firstRowFirstColumn="0" w:firstRowLastColumn="0" w:lastRowFirstColumn="0" w:lastRowLastColumn="0"/>
            <w:tcW w:w="2627" w:type="dxa"/>
          </w:tcPr>
          <w:p w14:paraId="7EA19912" w14:textId="0B91D47F" w:rsidR="00CE670F" w:rsidRPr="00821015" w:rsidRDefault="00CE670F" w:rsidP="00CE670F">
            <w:pPr>
              <w:rPr>
                <w:rFonts w:ascii="Aptos Narrow" w:hAnsi="Aptos Narrow"/>
                <w:sz w:val="24"/>
              </w:rPr>
            </w:pPr>
            <w:r w:rsidRPr="00D67722">
              <w:rPr>
                <w:rFonts w:ascii="Aptos Narrow" w:eastAsia="Times New Roman" w:hAnsi="Aptos Narrow" w:cs="Times New Roman"/>
                <w:b w:val="0"/>
                <w:bCs w:val="0"/>
                <w:color w:val="000000"/>
                <w:lang w:eastAsia="en-AU"/>
              </w:rPr>
              <w:t xml:space="preserve">JA </w:t>
            </w:r>
            <w:r>
              <w:rPr>
                <w:rFonts w:ascii="Aptos Narrow" w:eastAsia="Times New Roman" w:hAnsi="Aptos Narrow" w:cs="Times New Roman"/>
                <w:b w:val="0"/>
                <w:bCs w:val="0"/>
                <w:color w:val="000000"/>
                <w:lang w:eastAsia="en-AU"/>
              </w:rPr>
              <w:t>e</w:t>
            </w:r>
            <w:r w:rsidRPr="00D67722">
              <w:rPr>
                <w:rFonts w:ascii="Aptos Narrow" w:eastAsia="Times New Roman" w:hAnsi="Aptos Narrow" w:cs="Times New Roman"/>
                <w:b w:val="0"/>
                <w:bCs w:val="0"/>
                <w:color w:val="000000"/>
                <w:lang w:eastAsia="en-AU"/>
              </w:rPr>
              <w:t>xpectation</w:t>
            </w:r>
          </w:p>
        </w:tc>
        <w:tc>
          <w:tcPr>
            <w:tcW w:w="2254" w:type="dxa"/>
          </w:tcPr>
          <w:p w14:paraId="187A3084" w14:textId="3AE8096E" w:rsidR="00CE670F" w:rsidRPr="00AD3A0B" w:rsidRDefault="004D5480" w:rsidP="004D5480">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lang w:eastAsia="en-AU"/>
              </w:rPr>
            </w:pPr>
            <w:r>
              <w:rPr>
                <w:rFonts w:ascii="Aptos Narrow" w:eastAsia="Times New Roman" w:hAnsi="Aptos Narrow" w:cs="Times New Roman"/>
                <w:lang w:eastAsia="en-AU"/>
              </w:rPr>
              <w:t>1</w:t>
            </w:r>
          </w:p>
        </w:tc>
        <w:tc>
          <w:tcPr>
            <w:tcW w:w="1583" w:type="dxa"/>
          </w:tcPr>
          <w:p w14:paraId="22A3FDDD" w14:textId="0139EE6A" w:rsidR="00CE670F" w:rsidRPr="00AD3A0B" w:rsidRDefault="004D5480" w:rsidP="004D5480">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lang w:eastAsia="en-AU"/>
              </w:rPr>
            </w:pPr>
            <w:r>
              <w:rPr>
                <w:rFonts w:ascii="Aptos Narrow" w:eastAsia="Times New Roman" w:hAnsi="Aptos Narrow" w:cs="Times New Roman"/>
                <w:lang w:eastAsia="en-AU"/>
              </w:rPr>
              <w:t>1</w:t>
            </w:r>
          </w:p>
        </w:tc>
        <w:tc>
          <w:tcPr>
            <w:tcW w:w="1842" w:type="dxa"/>
          </w:tcPr>
          <w:p w14:paraId="084ECCD3" w14:textId="57AC0FAB" w:rsidR="00CE670F" w:rsidRPr="00AD3A0B" w:rsidRDefault="004D5480" w:rsidP="004D5480">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lang w:eastAsia="en-AU"/>
              </w:rPr>
            </w:pPr>
            <w:r>
              <w:rPr>
                <w:rFonts w:ascii="Aptos Narrow" w:eastAsia="Times New Roman" w:hAnsi="Aptos Narrow" w:cs="Times New Roman"/>
                <w:lang w:eastAsia="en-AU"/>
              </w:rPr>
              <w:t>1</w:t>
            </w:r>
          </w:p>
        </w:tc>
      </w:tr>
      <w:tr w:rsidR="00C91423" w14:paraId="2EB4D8A8" w14:textId="77777777" w:rsidTr="00AC3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tcPr>
          <w:p w14:paraId="2B600468" w14:textId="155EFEB4" w:rsidR="00CE670F" w:rsidRPr="00821015" w:rsidRDefault="00CE670F" w:rsidP="00CE670F">
            <w:pPr>
              <w:rPr>
                <w:rFonts w:ascii="Aptos Narrow" w:hAnsi="Aptos Narrow"/>
                <w:sz w:val="24"/>
              </w:rPr>
            </w:pPr>
            <w:r w:rsidRPr="00D67722">
              <w:rPr>
                <w:rFonts w:ascii="Aptos Narrow" w:eastAsia="Times New Roman" w:hAnsi="Aptos Narrow" w:cs="Times New Roman"/>
                <w:b w:val="0"/>
                <w:bCs w:val="0"/>
                <w:color w:val="000000"/>
                <w:lang w:eastAsia="en-AU"/>
              </w:rPr>
              <w:t xml:space="preserve">NOPSEMA </w:t>
            </w:r>
            <w:r>
              <w:rPr>
                <w:rFonts w:ascii="Aptos Narrow" w:eastAsia="Times New Roman" w:hAnsi="Aptos Narrow" w:cs="Times New Roman"/>
                <w:b w:val="0"/>
                <w:bCs w:val="0"/>
                <w:color w:val="000000"/>
                <w:lang w:eastAsia="en-AU"/>
              </w:rPr>
              <w:t>d</w:t>
            </w:r>
            <w:r w:rsidRPr="00D67722">
              <w:rPr>
                <w:rFonts w:ascii="Aptos Narrow" w:eastAsia="Times New Roman" w:hAnsi="Aptos Narrow" w:cs="Times New Roman"/>
                <w:b w:val="0"/>
                <w:bCs w:val="0"/>
                <w:color w:val="000000"/>
                <w:lang w:eastAsia="en-AU"/>
              </w:rPr>
              <w:t>ocumentation</w:t>
            </w:r>
          </w:p>
        </w:tc>
        <w:tc>
          <w:tcPr>
            <w:tcW w:w="2254" w:type="dxa"/>
          </w:tcPr>
          <w:p w14:paraId="1D95C726" w14:textId="16876DAA" w:rsidR="00CE670F" w:rsidRPr="00AD3A0B" w:rsidRDefault="004D5480" w:rsidP="004D5480">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lang w:eastAsia="en-AU"/>
              </w:rPr>
            </w:pPr>
            <w:r>
              <w:rPr>
                <w:rFonts w:ascii="Aptos Narrow" w:eastAsia="Times New Roman" w:hAnsi="Aptos Narrow" w:cs="Times New Roman"/>
                <w:lang w:eastAsia="en-AU"/>
              </w:rPr>
              <w:t>15</w:t>
            </w:r>
          </w:p>
        </w:tc>
        <w:tc>
          <w:tcPr>
            <w:tcW w:w="1583" w:type="dxa"/>
          </w:tcPr>
          <w:p w14:paraId="1605CD95" w14:textId="267C0923" w:rsidR="00CE670F" w:rsidRPr="00AD3A0B" w:rsidRDefault="004D5480" w:rsidP="004D5480">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lang w:eastAsia="en-AU"/>
              </w:rPr>
            </w:pPr>
            <w:r>
              <w:rPr>
                <w:rFonts w:ascii="Aptos Narrow" w:eastAsia="Times New Roman" w:hAnsi="Aptos Narrow" w:cs="Times New Roman"/>
                <w:lang w:eastAsia="en-AU"/>
              </w:rPr>
              <w:t>8</w:t>
            </w:r>
          </w:p>
        </w:tc>
        <w:tc>
          <w:tcPr>
            <w:tcW w:w="1842" w:type="dxa"/>
          </w:tcPr>
          <w:p w14:paraId="77AC7942" w14:textId="3CE1E451" w:rsidR="00CE670F" w:rsidRPr="00AD3A0B" w:rsidRDefault="004D5480" w:rsidP="004D5480">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lang w:eastAsia="en-AU"/>
              </w:rPr>
            </w:pPr>
            <w:r>
              <w:rPr>
                <w:rFonts w:ascii="Aptos Narrow" w:eastAsia="Times New Roman" w:hAnsi="Aptos Narrow" w:cs="Times New Roman"/>
                <w:lang w:eastAsia="en-AU"/>
              </w:rPr>
              <w:t>21</w:t>
            </w:r>
          </w:p>
        </w:tc>
      </w:tr>
      <w:tr w:rsidR="00C91423" w14:paraId="1666DC1A" w14:textId="77777777" w:rsidTr="00AC35F7">
        <w:tc>
          <w:tcPr>
            <w:cnfStyle w:val="001000000000" w:firstRow="0" w:lastRow="0" w:firstColumn="1" w:lastColumn="0" w:oddVBand="0" w:evenVBand="0" w:oddHBand="0" w:evenHBand="0" w:firstRowFirstColumn="0" w:firstRowLastColumn="0" w:lastRowFirstColumn="0" w:lastRowLastColumn="0"/>
            <w:tcW w:w="2627" w:type="dxa"/>
          </w:tcPr>
          <w:p w14:paraId="174EABE6" w14:textId="036184CF" w:rsidR="00CE670F" w:rsidRPr="00821015" w:rsidRDefault="00FC63D9" w:rsidP="00CE670F">
            <w:pPr>
              <w:rPr>
                <w:rFonts w:ascii="Aptos Narrow" w:hAnsi="Aptos Narrow"/>
                <w:sz w:val="24"/>
              </w:rPr>
            </w:pPr>
            <w:r w:rsidRPr="00D67722">
              <w:rPr>
                <w:rFonts w:ascii="Aptos Narrow" w:eastAsia="Times New Roman" w:hAnsi="Aptos Narrow" w:cs="Times New Roman"/>
                <w:b w:val="0"/>
                <w:bCs w:val="0"/>
                <w:color w:val="000000"/>
                <w:lang w:eastAsia="en-AU"/>
              </w:rPr>
              <w:t xml:space="preserve">Pipeline </w:t>
            </w:r>
            <w:r>
              <w:rPr>
                <w:rFonts w:ascii="Aptos Narrow" w:eastAsia="Times New Roman" w:hAnsi="Aptos Narrow" w:cs="Times New Roman"/>
                <w:b w:val="0"/>
                <w:bCs w:val="0"/>
                <w:color w:val="000000"/>
                <w:lang w:eastAsia="en-AU"/>
              </w:rPr>
              <w:t>c</w:t>
            </w:r>
            <w:r w:rsidRPr="00D67722">
              <w:rPr>
                <w:rFonts w:ascii="Aptos Narrow" w:eastAsia="Times New Roman" w:hAnsi="Aptos Narrow" w:cs="Times New Roman"/>
                <w:b w:val="0"/>
                <w:bCs w:val="0"/>
                <w:color w:val="000000"/>
                <w:lang w:eastAsia="en-AU"/>
              </w:rPr>
              <w:t>oordinates</w:t>
            </w:r>
          </w:p>
        </w:tc>
        <w:tc>
          <w:tcPr>
            <w:tcW w:w="2254" w:type="dxa"/>
          </w:tcPr>
          <w:p w14:paraId="402566F4" w14:textId="6486C4BC" w:rsidR="00CE670F" w:rsidRPr="00AD3A0B" w:rsidRDefault="004D5480" w:rsidP="004D5480">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lang w:eastAsia="en-AU"/>
              </w:rPr>
            </w:pPr>
            <w:r>
              <w:rPr>
                <w:rFonts w:ascii="Aptos Narrow" w:eastAsia="Times New Roman" w:hAnsi="Aptos Narrow" w:cs="Times New Roman"/>
                <w:lang w:eastAsia="en-AU"/>
              </w:rPr>
              <w:t>0</w:t>
            </w:r>
          </w:p>
        </w:tc>
        <w:tc>
          <w:tcPr>
            <w:tcW w:w="1583" w:type="dxa"/>
          </w:tcPr>
          <w:p w14:paraId="75EB74A8" w14:textId="7F775921" w:rsidR="00CE670F" w:rsidRPr="00AD3A0B" w:rsidRDefault="004D5480" w:rsidP="004D5480">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lang w:eastAsia="en-AU"/>
              </w:rPr>
            </w:pPr>
            <w:r>
              <w:rPr>
                <w:rFonts w:ascii="Aptos Narrow" w:eastAsia="Times New Roman" w:hAnsi="Aptos Narrow" w:cs="Times New Roman"/>
                <w:lang w:eastAsia="en-AU"/>
              </w:rPr>
              <w:t>1</w:t>
            </w:r>
          </w:p>
        </w:tc>
        <w:tc>
          <w:tcPr>
            <w:tcW w:w="1842" w:type="dxa"/>
          </w:tcPr>
          <w:p w14:paraId="64E73EF3" w14:textId="4100BA7D" w:rsidR="00CE670F" w:rsidRPr="00AD3A0B" w:rsidRDefault="004D5480" w:rsidP="004D5480">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lang w:eastAsia="en-AU"/>
              </w:rPr>
            </w:pPr>
            <w:r>
              <w:rPr>
                <w:rFonts w:ascii="Aptos Narrow" w:eastAsia="Times New Roman" w:hAnsi="Aptos Narrow" w:cs="Times New Roman"/>
                <w:lang w:eastAsia="en-AU"/>
              </w:rPr>
              <w:t>0</w:t>
            </w:r>
          </w:p>
        </w:tc>
      </w:tr>
      <w:tr w:rsidR="00C91423" w14:paraId="0ACFA393" w14:textId="77777777" w:rsidTr="00AC3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tcPr>
          <w:p w14:paraId="78A84C9E" w14:textId="0AD1AE18" w:rsidR="00CE670F" w:rsidRPr="00821015" w:rsidRDefault="00FC63D9" w:rsidP="00CE670F">
            <w:pPr>
              <w:rPr>
                <w:rFonts w:ascii="Aptos Narrow" w:hAnsi="Aptos Narrow"/>
                <w:sz w:val="24"/>
              </w:rPr>
            </w:pPr>
            <w:r>
              <w:rPr>
                <w:rFonts w:ascii="Aptos Narrow" w:eastAsia="Times New Roman" w:hAnsi="Aptos Narrow" w:cs="Times New Roman"/>
                <w:b w:val="0"/>
                <w:bCs w:val="0"/>
                <w:color w:val="000000"/>
                <w:lang w:eastAsia="en-AU"/>
              </w:rPr>
              <w:t>S</w:t>
            </w:r>
            <w:r w:rsidRPr="00D67722">
              <w:rPr>
                <w:rFonts w:ascii="Aptos Narrow" w:eastAsia="Times New Roman" w:hAnsi="Aptos Narrow" w:cs="Times New Roman"/>
                <w:b w:val="0"/>
                <w:bCs w:val="0"/>
                <w:color w:val="000000"/>
                <w:lang w:eastAsia="en-AU"/>
              </w:rPr>
              <w:t xml:space="preserve">pecial </w:t>
            </w:r>
            <w:r>
              <w:rPr>
                <w:rFonts w:ascii="Aptos Narrow" w:eastAsia="Times New Roman" w:hAnsi="Aptos Narrow" w:cs="Times New Roman"/>
                <w:b w:val="0"/>
                <w:bCs w:val="0"/>
                <w:color w:val="000000"/>
                <w:lang w:eastAsia="en-AU"/>
              </w:rPr>
              <w:t>c</w:t>
            </w:r>
            <w:r w:rsidRPr="00D67722">
              <w:rPr>
                <w:rFonts w:ascii="Aptos Narrow" w:eastAsia="Times New Roman" w:hAnsi="Aptos Narrow" w:cs="Times New Roman"/>
                <w:b w:val="0"/>
                <w:bCs w:val="0"/>
                <w:color w:val="000000"/>
                <w:lang w:eastAsia="en-AU"/>
              </w:rPr>
              <w:t>ondition</w:t>
            </w:r>
          </w:p>
        </w:tc>
        <w:tc>
          <w:tcPr>
            <w:tcW w:w="2254" w:type="dxa"/>
          </w:tcPr>
          <w:p w14:paraId="6B9046AD" w14:textId="2136400F" w:rsidR="00CE670F" w:rsidRPr="00AD3A0B" w:rsidRDefault="004D5480" w:rsidP="004D5480">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lang w:eastAsia="en-AU"/>
              </w:rPr>
            </w:pPr>
            <w:r>
              <w:rPr>
                <w:rFonts w:ascii="Aptos Narrow" w:eastAsia="Times New Roman" w:hAnsi="Aptos Narrow" w:cs="Times New Roman"/>
                <w:lang w:eastAsia="en-AU"/>
              </w:rPr>
              <w:t>0</w:t>
            </w:r>
          </w:p>
        </w:tc>
        <w:tc>
          <w:tcPr>
            <w:tcW w:w="1583" w:type="dxa"/>
          </w:tcPr>
          <w:p w14:paraId="18F44FAA" w14:textId="20A35564" w:rsidR="00CE670F" w:rsidRPr="00AD3A0B" w:rsidRDefault="004D5480" w:rsidP="004D5480">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lang w:eastAsia="en-AU"/>
              </w:rPr>
            </w:pPr>
            <w:r>
              <w:rPr>
                <w:rFonts w:ascii="Aptos Narrow" w:eastAsia="Times New Roman" w:hAnsi="Aptos Narrow" w:cs="Times New Roman"/>
                <w:lang w:eastAsia="en-AU"/>
              </w:rPr>
              <w:t>0</w:t>
            </w:r>
          </w:p>
        </w:tc>
        <w:tc>
          <w:tcPr>
            <w:tcW w:w="1842" w:type="dxa"/>
          </w:tcPr>
          <w:p w14:paraId="6FA0E720" w14:textId="7F1B3449" w:rsidR="00CE670F" w:rsidRPr="00AD3A0B" w:rsidRDefault="004D5480" w:rsidP="004D5480">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lang w:eastAsia="en-AU"/>
              </w:rPr>
            </w:pPr>
            <w:r>
              <w:rPr>
                <w:rFonts w:ascii="Aptos Narrow" w:eastAsia="Times New Roman" w:hAnsi="Aptos Narrow" w:cs="Times New Roman"/>
                <w:lang w:eastAsia="en-AU"/>
              </w:rPr>
              <w:t>1</w:t>
            </w:r>
          </w:p>
        </w:tc>
      </w:tr>
      <w:tr w:rsidR="00C91423" w14:paraId="2C64E1CA" w14:textId="77777777" w:rsidTr="00AC35F7">
        <w:tc>
          <w:tcPr>
            <w:cnfStyle w:val="001000000000" w:firstRow="0" w:lastRow="0" w:firstColumn="1" w:lastColumn="0" w:oddVBand="0" w:evenVBand="0" w:oddHBand="0" w:evenHBand="0" w:firstRowFirstColumn="0" w:firstRowLastColumn="0" w:lastRowFirstColumn="0" w:lastRowLastColumn="0"/>
            <w:tcW w:w="2627" w:type="dxa"/>
          </w:tcPr>
          <w:p w14:paraId="609C6B0D" w14:textId="3F6D2DC3" w:rsidR="00CE670F" w:rsidRPr="00821015" w:rsidRDefault="00FC63D9" w:rsidP="00CE670F">
            <w:pPr>
              <w:rPr>
                <w:rFonts w:ascii="Aptos Narrow" w:hAnsi="Aptos Narrow"/>
                <w:sz w:val="24"/>
              </w:rPr>
            </w:pPr>
            <w:r w:rsidRPr="00D67722">
              <w:rPr>
                <w:rFonts w:ascii="Aptos Narrow" w:eastAsia="Times New Roman" w:hAnsi="Aptos Narrow" w:cs="Times New Roman"/>
                <w:b w:val="0"/>
                <w:bCs w:val="0"/>
                <w:color w:val="000000"/>
                <w:lang w:eastAsia="en-AU"/>
              </w:rPr>
              <w:t xml:space="preserve">Work </w:t>
            </w:r>
            <w:r>
              <w:rPr>
                <w:rFonts w:ascii="Aptos Narrow" w:eastAsia="Times New Roman" w:hAnsi="Aptos Narrow" w:cs="Times New Roman"/>
                <w:b w:val="0"/>
                <w:bCs w:val="0"/>
                <w:color w:val="000000"/>
                <w:lang w:eastAsia="en-AU"/>
              </w:rPr>
              <w:t>p</w:t>
            </w:r>
            <w:r w:rsidRPr="00D67722">
              <w:rPr>
                <w:rFonts w:ascii="Aptos Narrow" w:eastAsia="Times New Roman" w:hAnsi="Aptos Narrow" w:cs="Times New Roman"/>
                <w:b w:val="0"/>
                <w:bCs w:val="0"/>
                <w:color w:val="000000"/>
                <w:lang w:eastAsia="en-AU"/>
              </w:rPr>
              <w:t>rogram</w:t>
            </w:r>
          </w:p>
        </w:tc>
        <w:tc>
          <w:tcPr>
            <w:tcW w:w="2254" w:type="dxa"/>
          </w:tcPr>
          <w:p w14:paraId="6BC3CC91" w14:textId="3944382C" w:rsidR="00CE670F" w:rsidRPr="00AD3A0B" w:rsidRDefault="004D5480" w:rsidP="004D5480">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lang w:eastAsia="en-AU"/>
              </w:rPr>
            </w:pPr>
            <w:r>
              <w:rPr>
                <w:rFonts w:ascii="Aptos Narrow" w:eastAsia="Times New Roman" w:hAnsi="Aptos Narrow" w:cs="Times New Roman"/>
                <w:lang w:eastAsia="en-AU"/>
              </w:rPr>
              <w:t>2</w:t>
            </w:r>
          </w:p>
        </w:tc>
        <w:tc>
          <w:tcPr>
            <w:tcW w:w="1583" w:type="dxa"/>
          </w:tcPr>
          <w:p w14:paraId="518BBBFA" w14:textId="350FAC14" w:rsidR="00CE670F" w:rsidRPr="00AD3A0B" w:rsidRDefault="004D5480" w:rsidP="004D5480">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lang w:eastAsia="en-AU"/>
              </w:rPr>
            </w:pPr>
            <w:r>
              <w:rPr>
                <w:rFonts w:ascii="Aptos Narrow" w:eastAsia="Times New Roman" w:hAnsi="Aptos Narrow" w:cs="Times New Roman"/>
                <w:lang w:eastAsia="en-AU"/>
              </w:rPr>
              <w:t>1</w:t>
            </w:r>
          </w:p>
        </w:tc>
        <w:tc>
          <w:tcPr>
            <w:tcW w:w="1842" w:type="dxa"/>
          </w:tcPr>
          <w:p w14:paraId="78B755D6" w14:textId="51B1C30A" w:rsidR="00CE670F" w:rsidRPr="00AD3A0B" w:rsidRDefault="004D5480" w:rsidP="004D5480">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lang w:eastAsia="en-AU"/>
              </w:rPr>
            </w:pPr>
            <w:r>
              <w:rPr>
                <w:rFonts w:ascii="Aptos Narrow" w:eastAsia="Times New Roman" w:hAnsi="Aptos Narrow" w:cs="Times New Roman"/>
                <w:lang w:eastAsia="en-AU"/>
              </w:rPr>
              <w:t>0</w:t>
            </w:r>
          </w:p>
        </w:tc>
      </w:tr>
      <w:tr w:rsidR="00083230" w14:paraId="4D375B59" w14:textId="77777777" w:rsidTr="00AC3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shd w:val="clear" w:color="auto" w:fill="004F88"/>
          </w:tcPr>
          <w:p w14:paraId="757E6C34" w14:textId="229F8778" w:rsidR="00CE670F" w:rsidRPr="004D5480" w:rsidRDefault="00FC63D9" w:rsidP="00CE670F">
            <w:pPr>
              <w:rPr>
                <w:rFonts w:ascii="Aptos Narrow" w:hAnsi="Aptos Narrow"/>
                <w:color w:val="FFFFFF" w:themeColor="background1"/>
                <w:sz w:val="24"/>
              </w:rPr>
            </w:pPr>
            <w:r w:rsidRPr="004D5480">
              <w:rPr>
                <w:rFonts w:ascii="Aptos Narrow" w:eastAsia="Times New Roman" w:hAnsi="Aptos Narrow" w:cs="Times New Roman"/>
                <w:color w:val="FFFFFF" w:themeColor="background1"/>
                <w:lang w:eastAsia="en-AU"/>
              </w:rPr>
              <w:t>Financial year totals</w:t>
            </w:r>
          </w:p>
        </w:tc>
        <w:tc>
          <w:tcPr>
            <w:tcW w:w="2254" w:type="dxa"/>
            <w:shd w:val="clear" w:color="auto" w:fill="004F88"/>
          </w:tcPr>
          <w:p w14:paraId="0E0A0453" w14:textId="6D0D764D" w:rsidR="00CE670F" w:rsidRPr="004D5480" w:rsidRDefault="004D5480" w:rsidP="004D5480">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FFFFFF" w:themeColor="background1"/>
                <w:lang w:eastAsia="en-AU"/>
              </w:rPr>
            </w:pPr>
            <w:r w:rsidRPr="004D5480">
              <w:rPr>
                <w:rFonts w:ascii="Aptos Narrow" w:eastAsia="Times New Roman" w:hAnsi="Aptos Narrow" w:cs="Times New Roman"/>
                <w:color w:val="FFFFFF" w:themeColor="background1"/>
                <w:lang w:eastAsia="en-AU"/>
              </w:rPr>
              <w:t>33</w:t>
            </w:r>
          </w:p>
        </w:tc>
        <w:tc>
          <w:tcPr>
            <w:tcW w:w="1583" w:type="dxa"/>
            <w:shd w:val="clear" w:color="auto" w:fill="004F88"/>
          </w:tcPr>
          <w:p w14:paraId="31549A54" w14:textId="58C5E4D1" w:rsidR="00CE670F" w:rsidRPr="004D5480" w:rsidRDefault="004D5480" w:rsidP="004D5480">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FFFFFF" w:themeColor="background1"/>
                <w:lang w:eastAsia="en-AU"/>
              </w:rPr>
            </w:pPr>
            <w:r w:rsidRPr="004D5480">
              <w:rPr>
                <w:rFonts w:ascii="Aptos Narrow" w:eastAsia="Times New Roman" w:hAnsi="Aptos Narrow" w:cs="Times New Roman"/>
                <w:color w:val="FFFFFF" w:themeColor="background1"/>
                <w:lang w:eastAsia="en-AU"/>
              </w:rPr>
              <w:t>24</w:t>
            </w:r>
          </w:p>
        </w:tc>
        <w:tc>
          <w:tcPr>
            <w:tcW w:w="1842" w:type="dxa"/>
            <w:shd w:val="clear" w:color="auto" w:fill="004F88"/>
          </w:tcPr>
          <w:p w14:paraId="15B14882" w14:textId="6EA168CD" w:rsidR="00CE670F" w:rsidRPr="004D5480" w:rsidRDefault="004D5480" w:rsidP="004D5480">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FFFFFF" w:themeColor="background1"/>
                <w:lang w:eastAsia="en-AU"/>
              </w:rPr>
            </w:pPr>
            <w:r w:rsidRPr="004D5480">
              <w:rPr>
                <w:rFonts w:ascii="Aptos Narrow" w:eastAsia="Times New Roman" w:hAnsi="Aptos Narrow" w:cs="Times New Roman"/>
                <w:color w:val="FFFFFF" w:themeColor="background1"/>
                <w:lang w:eastAsia="en-AU"/>
              </w:rPr>
              <w:t>39</w:t>
            </w:r>
          </w:p>
        </w:tc>
      </w:tr>
    </w:tbl>
    <w:p w14:paraId="67B37FA9" w14:textId="2405A2A9" w:rsidR="00D3048C" w:rsidRDefault="00D3048C" w:rsidP="00D3048C">
      <w:pPr>
        <w:pStyle w:val="Heading4"/>
      </w:pPr>
      <w:r>
        <w:t xml:space="preserve">Internal assurance reviews </w:t>
      </w:r>
    </w:p>
    <w:p w14:paraId="31FF18C0" w14:textId="1ADEABD5" w:rsidR="00D3048C" w:rsidRDefault="001E181B" w:rsidP="00D3048C">
      <w:r>
        <w:t xml:space="preserve">Our internal assurance review program </w:t>
      </w:r>
      <w:r w:rsidR="00F01157">
        <w:t xml:space="preserve">strengthens accountability by ensuring </w:t>
      </w:r>
      <w:r w:rsidR="00ED24C8">
        <w:t>compliance with policies, procedures and guidance</w:t>
      </w:r>
      <w:r w:rsidR="002B2239">
        <w:t xml:space="preserve"> while driving effic</w:t>
      </w:r>
      <w:r w:rsidR="00083CDA">
        <w:t xml:space="preserve">iency across workflows. These quality measures provide assurance of </w:t>
      </w:r>
      <w:r w:rsidR="00502541">
        <w:t>reliability, accuracy and consistency</w:t>
      </w:r>
      <w:r w:rsidR="007B6D41">
        <w:t>,</w:t>
      </w:r>
      <w:r w:rsidR="00157870">
        <w:t xml:space="preserve"> supporting continuous improvement and risk oversight. </w:t>
      </w:r>
    </w:p>
    <w:p w14:paraId="64594469" w14:textId="1B975156" w:rsidR="00B54FE3" w:rsidRDefault="00B54FE3" w:rsidP="00D3048C">
      <w:r>
        <w:t xml:space="preserve">In 2024-25 reviews were completed in the areas of: </w:t>
      </w:r>
    </w:p>
    <w:p w14:paraId="11FF9CBD" w14:textId="5D46F605" w:rsidR="00B54FE3" w:rsidRPr="009D17D7" w:rsidRDefault="00C96607" w:rsidP="00000EE8">
      <w:pPr>
        <w:pStyle w:val="ListParagraph"/>
      </w:pPr>
      <w:r w:rsidRPr="009D17D7">
        <w:t xml:space="preserve">Change in control </w:t>
      </w:r>
    </w:p>
    <w:p w14:paraId="217A532B" w14:textId="47526EDF" w:rsidR="00C96607" w:rsidRPr="009D17D7" w:rsidRDefault="002F049D" w:rsidP="00000EE8">
      <w:pPr>
        <w:pStyle w:val="ListParagraph"/>
      </w:pPr>
      <w:r w:rsidRPr="009D17D7">
        <w:t xml:space="preserve">Register of licences </w:t>
      </w:r>
    </w:p>
    <w:p w14:paraId="4367ACDF" w14:textId="37582444" w:rsidR="002F049D" w:rsidRPr="009D17D7" w:rsidRDefault="002F049D" w:rsidP="00000EE8">
      <w:pPr>
        <w:pStyle w:val="ListParagraph"/>
      </w:pPr>
      <w:r w:rsidRPr="009D17D7">
        <w:t xml:space="preserve">ATARs </w:t>
      </w:r>
    </w:p>
    <w:p w14:paraId="3E96E542" w14:textId="294017DC" w:rsidR="002F049D" w:rsidRPr="009D17D7" w:rsidRDefault="002F049D" w:rsidP="00000EE8">
      <w:pPr>
        <w:pStyle w:val="ListParagraph"/>
      </w:pPr>
      <w:r w:rsidRPr="009D17D7">
        <w:t xml:space="preserve">90% performance measure </w:t>
      </w:r>
    </w:p>
    <w:p w14:paraId="23AF3732" w14:textId="240694C1" w:rsidR="002F049D" w:rsidRPr="009D17D7" w:rsidRDefault="002F049D" w:rsidP="00000EE8">
      <w:pPr>
        <w:pStyle w:val="ListParagraph"/>
      </w:pPr>
      <w:r w:rsidRPr="009D17D7">
        <w:t xml:space="preserve">Communication </w:t>
      </w:r>
      <w:r w:rsidR="00B34DCD" w:rsidRPr="009D17D7">
        <w:t>s</w:t>
      </w:r>
      <w:r w:rsidRPr="009D17D7">
        <w:t xml:space="preserve">trategy and </w:t>
      </w:r>
      <w:r w:rsidR="00B34DCD" w:rsidRPr="009D17D7">
        <w:t>f</w:t>
      </w:r>
      <w:r w:rsidRPr="009D17D7">
        <w:t xml:space="preserve">ramework </w:t>
      </w:r>
    </w:p>
    <w:p w14:paraId="4F5F887F" w14:textId="55EF5F97" w:rsidR="002F049D" w:rsidRPr="009D17D7" w:rsidRDefault="00FA13E9" w:rsidP="00000EE8">
      <w:pPr>
        <w:pStyle w:val="ListParagraph"/>
      </w:pPr>
      <w:r w:rsidRPr="009D17D7">
        <w:t xml:space="preserve">New NOPIMS website </w:t>
      </w:r>
    </w:p>
    <w:p w14:paraId="4E1EA8A1" w14:textId="41EACA0D" w:rsidR="00FA13E9" w:rsidRPr="009D17D7" w:rsidRDefault="00FA13E9" w:rsidP="00000EE8">
      <w:pPr>
        <w:pStyle w:val="ListParagraph"/>
      </w:pPr>
      <w:r w:rsidRPr="009D17D7">
        <w:t xml:space="preserve">Expiries and surrenders. </w:t>
      </w:r>
    </w:p>
    <w:p w14:paraId="67563959" w14:textId="77777777" w:rsidR="00FA13E9" w:rsidRDefault="00FA13E9">
      <w:pPr>
        <w:spacing w:before="0" w:after="160" w:line="259" w:lineRule="auto"/>
      </w:pPr>
      <w:r>
        <w:br w:type="page"/>
      </w:r>
    </w:p>
    <w:p w14:paraId="2CAE9DDC" w14:textId="2F03A630" w:rsidR="00FA13E9" w:rsidRDefault="005228D0" w:rsidP="005228D0">
      <w:pPr>
        <w:pStyle w:val="Heading2"/>
      </w:pPr>
      <w:bookmarkStart w:id="169" w:name="_Toc221544037"/>
      <w:bookmarkStart w:id="170" w:name="_Toc221546116"/>
      <w:bookmarkStart w:id="171" w:name="_Toc221627108"/>
      <w:bookmarkStart w:id="172" w:name="_Toc222500469"/>
      <w:r>
        <w:lastRenderedPageBreak/>
        <w:t>Performance outcomes</w:t>
      </w:r>
      <w:bookmarkEnd w:id="169"/>
      <w:bookmarkEnd w:id="170"/>
      <w:bookmarkEnd w:id="171"/>
      <w:bookmarkEnd w:id="172"/>
      <w:r>
        <w:t xml:space="preserve"> </w:t>
      </w:r>
    </w:p>
    <w:p w14:paraId="74284061" w14:textId="6268C5DC" w:rsidR="00B87514" w:rsidRDefault="009A44C7" w:rsidP="00950A33">
      <w:r w:rsidRPr="00580DA0">
        <w:t xml:space="preserve">The Titles Administrator </w:t>
      </w:r>
      <w:r w:rsidR="00255BD8">
        <w:t xml:space="preserve">reports on its performance against </w:t>
      </w:r>
      <w:r w:rsidR="00B87514">
        <w:t xml:space="preserve">a defined measure </w:t>
      </w:r>
      <w:r w:rsidR="00DD69D7">
        <w:t xml:space="preserve">in the department’s </w:t>
      </w:r>
      <w:r w:rsidR="00912B34">
        <w:t>c</w:t>
      </w:r>
      <w:r w:rsidR="00DD69D7">
        <w:t xml:space="preserve">orporate plan and </w:t>
      </w:r>
      <w:r w:rsidR="00912B34">
        <w:t xml:space="preserve">annual report. </w:t>
      </w:r>
    </w:p>
    <w:p w14:paraId="1AD7A3F8" w14:textId="4D308235" w:rsidR="009A44C7" w:rsidRPr="00580DA0" w:rsidRDefault="009A44C7" w:rsidP="00950A33">
      <w:r w:rsidRPr="00580DA0">
        <w:t>In 2024-25,</w:t>
      </w:r>
      <w:r w:rsidR="009B5C98">
        <w:t xml:space="preserve"> it </w:t>
      </w:r>
      <w:r w:rsidRPr="00580DA0">
        <w:t>met the indicative target timeframes</w:t>
      </w:r>
      <w:r w:rsidR="009B5C98">
        <w:t xml:space="preserve"> for assessing </w:t>
      </w:r>
      <w:r w:rsidR="00E90503">
        <w:t xml:space="preserve">applications </w:t>
      </w:r>
      <w:r w:rsidR="008960DA">
        <w:t>to the Joint Authority</w:t>
      </w:r>
      <w:r w:rsidRPr="00580DA0">
        <w:t>, Titles Administrator and Responsible Commonwealth Minister 99% of the time</w:t>
      </w:r>
      <w:r w:rsidR="007E1772">
        <w:t xml:space="preserve">, </w:t>
      </w:r>
      <w:r w:rsidR="009B2ECB">
        <w:t>in line with the department’s 90% target</w:t>
      </w:r>
      <w:r w:rsidRPr="00580DA0">
        <w:t xml:space="preserve">. </w:t>
      </w:r>
    </w:p>
    <w:p w14:paraId="65DCFB7E" w14:textId="77777777" w:rsidR="00335780" w:rsidRDefault="009A44C7" w:rsidP="00950A33">
      <w:pPr>
        <w:jc w:val="both"/>
      </w:pPr>
      <w:r w:rsidRPr="00580DA0">
        <w:t xml:space="preserve">This result is not only </w:t>
      </w:r>
      <w:r w:rsidR="00EF1796">
        <w:t xml:space="preserve">the </w:t>
      </w:r>
      <w:r w:rsidRPr="00580DA0">
        <w:t>T</w:t>
      </w:r>
      <w:r w:rsidR="00EF1796">
        <w:t xml:space="preserve">itles </w:t>
      </w:r>
      <w:r w:rsidRPr="00580DA0">
        <w:t>A</w:t>
      </w:r>
      <w:r w:rsidR="00EF1796">
        <w:t>dministrator</w:t>
      </w:r>
      <w:r w:rsidRPr="00580DA0">
        <w:t>’s highest result to date but also makes it five years of achieving 90% or over, since the 2020-21 reporting period.</w:t>
      </w:r>
    </w:p>
    <w:p w14:paraId="464E50DD" w14:textId="2282753B" w:rsidR="00950A33" w:rsidRDefault="00335780" w:rsidP="00950A33">
      <w:r>
        <w:t xml:space="preserve">Figure </w:t>
      </w:r>
      <w:r w:rsidR="00B95DD2">
        <w:t>2</w:t>
      </w:r>
      <w:r w:rsidR="002B09CC">
        <w:t>1</w:t>
      </w:r>
      <w:r>
        <w:t xml:space="preserve"> shows the trended p</w:t>
      </w:r>
      <w:r w:rsidR="00A922EC">
        <w:t xml:space="preserve">erformance. These results </w:t>
      </w:r>
      <w:r w:rsidR="00F44150">
        <w:t>d</w:t>
      </w:r>
      <w:r w:rsidR="00F44150" w:rsidRPr="00580DA0">
        <w:t>emonstrate</w:t>
      </w:r>
      <w:r w:rsidR="009A44C7" w:rsidRPr="00580DA0">
        <w:t xml:space="preserve"> our ongoing commitment to improve</w:t>
      </w:r>
      <w:r w:rsidR="00BF3A05">
        <w:t xml:space="preserve"> efficiency</w:t>
      </w:r>
      <w:r w:rsidR="009A44C7" w:rsidRPr="00580DA0">
        <w:t>.</w:t>
      </w:r>
    </w:p>
    <w:p w14:paraId="6B4843D2" w14:textId="77777777" w:rsidR="00414FC8" w:rsidRDefault="00255BD8" w:rsidP="00414FC8">
      <w:pPr>
        <w:keepNext/>
      </w:pPr>
      <w:r w:rsidRPr="00580DA0">
        <w:rPr>
          <w:noProof/>
        </w:rPr>
        <w:drawing>
          <wp:inline distT="0" distB="0" distL="0" distR="0" wp14:anchorId="7C32915B" wp14:editId="738BFBEC">
            <wp:extent cx="5438692" cy="2997641"/>
            <wp:effectExtent l="0" t="0" r="10160" b="12700"/>
            <wp:docPr id="1563489925" name="Chart 1" descr="This bar chart, titled ‘Figure 21: percentage of applications that met the target assessment timeframes per financial year’, tracks the performance of the Titles Administrator in assessing applications over six reporting periods from 2019-20 to 2024-25. See more information in the caption and alt text description.  &#10;">
              <a:extLst xmlns:a="http://schemas.openxmlformats.org/drawingml/2006/main">
                <a:ext uri="{FF2B5EF4-FFF2-40B4-BE49-F238E27FC236}">
                  <a16:creationId xmlns:a16="http://schemas.microsoft.com/office/drawing/2014/main" id="{547B58F0-4961-420A-83DD-E0EEC63D96FE}"/>
                </a:ext>
                <a:ext uri="{147F2762-F138-4A5C-976F-8EAC2B608ADB}">
                  <a16:predDERef xmlns:a16="http://schemas.microsoft.com/office/drawing/2014/main" pred="{A478F800-A617-4AAC-A359-F6F5A721DF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CE4776D" w14:textId="0441C7D0" w:rsidR="002D4C1A" w:rsidRDefault="00414FC8" w:rsidP="00414FC8">
      <w:pPr>
        <w:pStyle w:val="Caption"/>
      </w:pPr>
      <w:bookmarkStart w:id="173" w:name="_Toc221884202"/>
      <w:bookmarkStart w:id="174" w:name="_Toc222316235"/>
      <w:r>
        <w:t xml:space="preserve">Figure </w:t>
      </w:r>
      <w:r>
        <w:fldChar w:fldCharType="begin"/>
      </w:r>
      <w:r>
        <w:instrText xml:space="preserve"> SEQ Figure \* ARABIC </w:instrText>
      </w:r>
      <w:r>
        <w:fldChar w:fldCharType="separate"/>
      </w:r>
      <w:r w:rsidR="00CF02F5">
        <w:rPr>
          <w:noProof/>
        </w:rPr>
        <w:t>21</w:t>
      </w:r>
      <w:r>
        <w:fldChar w:fldCharType="end"/>
      </w:r>
      <w:r>
        <w:t xml:space="preserve">: </w:t>
      </w:r>
      <w:r w:rsidRPr="00626DF0">
        <w:t>Percentage of applications that met the target assessment timeframes per financial year</w:t>
      </w:r>
      <w:bookmarkEnd w:id="173"/>
      <w:bookmarkEnd w:id="174"/>
    </w:p>
    <w:p w14:paraId="6FA98560" w14:textId="703FBE63" w:rsidR="00E15EBC" w:rsidRPr="005A2059" w:rsidRDefault="00E15EBC" w:rsidP="005A2059">
      <w:pPr>
        <w:ind w:left="360"/>
        <w:rPr>
          <w:sz w:val="20"/>
          <w:szCs w:val="20"/>
        </w:rPr>
      </w:pPr>
      <w:r w:rsidRPr="005A2059">
        <w:rPr>
          <w:b/>
          <w:sz w:val="20"/>
          <w:szCs w:val="20"/>
        </w:rPr>
        <w:t xml:space="preserve">Alternative text description: </w:t>
      </w:r>
      <w:r w:rsidR="006D1C31">
        <w:rPr>
          <w:sz w:val="20"/>
          <w:szCs w:val="20"/>
        </w:rPr>
        <w:t>Vertical</w:t>
      </w:r>
      <w:r>
        <w:rPr>
          <w:sz w:val="20"/>
          <w:szCs w:val="20"/>
        </w:rPr>
        <w:t xml:space="preserve"> bar chart</w:t>
      </w:r>
      <w:r w:rsidR="00414FC8">
        <w:rPr>
          <w:sz w:val="20"/>
          <w:szCs w:val="20"/>
        </w:rPr>
        <w:t xml:space="preserve"> showing the</w:t>
      </w:r>
      <w:r w:rsidRPr="005A2059">
        <w:rPr>
          <w:sz w:val="20"/>
          <w:szCs w:val="20"/>
        </w:rPr>
        <w:t xml:space="preserve"> </w:t>
      </w:r>
      <w:r w:rsidR="005D01AA" w:rsidRPr="005A2059">
        <w:rPr>
          <w:sz w:val="20"/>
          <w:szCs w:val="20"/>
        </w:rPr>
        <w:t>p</w:t>
      </w:r>
      <w:r w:rsidRPr="005A2059">
        <w:rPr>
          <w:sz w:val="20"/>
          <w:szCs w:val="20"/>
        </w:rPr>
        <w:t>ercentage of applications that met the target assessment timeframes per financial year</w:t>
      </w:r>
      <w:r w:rsidR="00477035">
        <w:rPr>
          <w:sz w:val="20"/>
          <w:szCs w:val="20"/>
        </w:rPr>
        <w:t>. It</w:t>
      </w:r>
      <w:r w:rsidRPr="005A2059">
        <w:rPr>
          <w:sz w:val="20"/>
          <w:szCs w:val="20"/>
        </w:rPr>
        <w:t xml:space="preserve"> tracks the performance of the Titles Administrator in assessing applications under the</w:t>
      </w:r>
      <w:r w:rsidRPr="005A2059">
        <w:rPr>
          <w:i/>
          <w:sz w:val="20"/>
          <w:szCs w:val="20"/>
        </w:rPr>
        <w:t xml:space="preserve"> Offshore Petroleum and Greenhouse Gas Storage Act (2006)</w:t>
      </w:r>
      <w:r w:rsidRPr="005A2059">
        <w:rPr>
          <w:sz w:val="20"/>
          <w:szCs w:val="20"/>
        </w:rPr>
        <w:t xml:space="preserve"> over </w:t>
      </w:r>
      <w:r w:rsidR="002D1470">
        <w:rPr>
          <w:sz w:val="20"/>
          <w:szCs w:val="20"/>
        </w:rPr>
        <w:t>6</w:t>
      </w:r>
      <w:r w:rsidRPr="005A2059">
        <w:rPr>
          <w:sz w:val="20"/>
          <w:szCs w:val="20"/>
        </w:rPr>
        <w:t xml:space="preserve"> reporting periods from 2019-20 through </w:t>
      </w:r>
      <w:r w:rsidR="00EE55AD" w:rsidRPr="005A2059">
        <w:rPr>
          <w:sz w:val="20"/>
          <w:szCs w:val="20"/>
        </w:rPr>
        <w:t xml:space="preserve">to </w:t>
      </w:r>
      <w:r w:rsidRPr="005A2059">
        <w:rPr>
          <w:sz w:val="20"/>
          <w:szCs w:val="20"/>
        </w:rPr>
        <w:t>2024-25. Each bar in the chart represents one financial year.</w:t>
      </w:r>
    </w:p>
    <w:p w14:paraId="556EA2B1" w14:textId="6125E692" w:rsidR="00E15EBC" w:rsidRPr="005A2059" w:rsidRDefault="00E15EBC" w:rsidP="00E72731">
      <w:pPr>
        <w:ind w:left="360"/>
        <w:rPr>
          <w:sz w:val="20"/>
          <w:szCs w:val="20"/>
        </w:rPr>
      </w:pPr>
      <w:r w:rsidRPr="005A2059">
        <w:rPr>
          <w:sz w:val="20"/>
          <w:szCs w:val="20"/>
        </w:rPr>
        <w:t xml:space="preserve">The chart </w:t>
      </w:r>
      <w:r w:rsidR="006B46CD" w:rsidRPr="005A2059">
        <w:rPr>
          <w:sz w:val="20"/>
          <w:szCs w:val="20"/>
        </w:rPr>
        <w:t xml:space="preserve">shows </w:t>
      </w:r>
      <w:r w:rsidRPr="005A2059">
        <w:rPr>
          <w:sz w:val="20"/>
          <w:szCs w:val="20"/>
        </w:rPr>
        <w:t>a consistent upward trend in performance, with the Titles Administrator improving</w:t>
      </w:r>
      <w:r w:rsidR="00BB2E68">
        <w:rPr>
          <w:sz w:val="20"/>
          <w:szCs w:val="20"/>
        </w:rPr>
        <w:t xml:space="preserve"> </w:t>
      </w:r>
      <w:r w:rsidRPr="005A2059">
        <w:rPr>
          <w:sz w:val="20"/>
          <w:szCs w:val="20"/>
        </w:rPr>
        <w:t>year</w:t>
      </w:r>
      <w:r w:rsidR="000237DF" w:rsidRPr="005A2059">
        <w:rPr>
          <w:sz w:val="20"/>
          <w:szCs w:val="20"/>
        </w:rPr>
        <w:t>-</w:t>
      </w:r>
      <w:r w:rsidRPr="005A2059">
        <w:rPr>
          <w:sz w:val="20"/>
          <w:szCs w:val="20"/>
        </w:rPr>
        <w:t>on-year and maintaining a high level of efficiency in recent years, with the 99% result for the 2024-25</w:t>
      </w:r>
      <w:r w:rsidR="009964E6" w:rsidRPr="005A2059">
        <w:rPr>
          <w:sz w:val="20"/>
          <w:szCs w:val="20"/>
        </w:rPr>
        <w:t xml:space="preserve"> </w:t>
      </w:r>
      <w:r w:rsidRPr="005A2059">
        <w:rPr>
          <w:sz w:val="20"/>
          <w:szCs w:val="20"/>
        </w:rPr>
        <w:t xml:space="preserve">reporting period </w:t>
      </w:r>
      <w:r w:rsidR="00686A89" w:rsidRPr="005A2059">
        <w:rPr>
          <w:sz w:val="20"/>
          <w:szCs w:val="20"/>
        </w:rPr>
        <w:t>it</w:t>
      </w:r>
      <w:r w:rsidRPr="005A2059">
        <w:rPr>
          <w:sz w:val="20"/>
          <w:szCs w:val="20"/>
        </w:rPr>
        <w:t>s highest result in its history.</w:t>
      </w:r>
    </w:p>
    <w:p w14:paraId="04DEEA48" w14:textId="20D37E3D" w:rsidR="00150229" w:rsidRDefault="0096274B" w:rsidP="00117DCD">
      <w:pPr>
        <w:spacing w:before="0" w:after="160" w:line="259" w:lineRule="auto"/>
        <w:rPr>
          <w:b/>
          <w:bCs/>
        </w:rPr>
      </w:pPr>
      <w:r>
        <w:br w:type="page"/>
      </w:r>
    </w:p>
    <w:p w14:paraId="3FEAE553" w14:textId="2301A916" w:rsidR="00150229" w:rsidRDefault="007277C0" w:rsidP="00E72731">
      <w:pPr>
        <w:rPr>
          <w:b/>
          <w:bCs/>
        </w:rPr>
      </w:pPr>
      <w:r w:rsidRPr="00580DA0">
        <w:lastRenderedPageBreak/>
        <w:t xml:space="preserve">Figure </w:t>
      </w:r>
      <w:r w:rsidR="000237DF" w:rsidRPr="00E72731">
        <w:t>2</w:t>
      </w:r>
      <w:r w:rsidR="00E74AB8">
        <w:t>2</w:t>
      </w:r>
      <w:r w:rsidRPr="00580DA0">
        <w:t xml:space="preserve"> below shows the average number of days spent at each application stage for Joint Authority related applications in 2024-25</w:t>
      </w:r>
      <w:r>
        <w:t xml:space="preserve">. </w:t>
      </w:r>
    </w:p>
    <w:p w14:paraId="6FC076E0" w14:textId="77777777" w:rsidR="00B53C7B" w:rsidRDefault="00243C39" w:rsidP="00B53C7B">
      <w:pPr>
        <w:keepNext/>
      </w:pPr>
      <w:r w:rsidRPr="00243C39">
        <w:rPr>
          <w:b/>
          <w:bCs/>
          <w:noProof/>
        </w:rPr>
        <w:drawing>
          <wp:inline distT="0" distB="0" distL="0" distR="0" wp14:anchorId="53C9FA69" wp14:editId="5DF452FF">
            <wp:extent cx="5731510" cy="3371215"/>
            <wp:effectExtent l="0" t="0" r="2540" b="635"/>
            <wp:docPr id="769194238" name="Picture 4" descr="This vertical bar chart shows the average number of days spent at each application stage for Joint Authority related applications in 2024-25. See the caption and alt-text description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94238" name="Picture 4" descr="This vertical bar chart shows the average number of days spent at each application stage for Joint Authority related applications in 2024-25. See the caption and alt-text description for more information.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371215"/>
                    </a:xfrm>
                    <a:prstGeom prst="rect">
                      <a:avLst/>
                    </a:prstGeom>
                    <a:noFill/>
                    <a:ln>
                      <a:noFill/>
                    </a:ln>
                  </pic:spPr>
                </pic:pic>
              </a:graphicData>
            </a:graphic>
          </wp:inline>
        </w:drawing>
      </w:r>
    </w:p>
    <w:p w14:paraId="2964A0D0" w14:textId="6B4A48B5" w:rsidR="0079604B" w:rsidRDefault="00B53C7B" w:rsidP="00B53C7B">
      <w:pPr>
        <w:pStyle w:val="Caption"/>
      </w:pPr>
      <w:bookmarkStart w:id="175" w:name="_Toc221884203"/>
      <w:bookmarkStart w:id="176" w:name="_Toc222316236"/>
      <w:r>
        <w:t xml:space="preserve">Figure </w:t>
      </w:r>
      <w:r>
        <w:fldChar w:fldCharType="begin"/>
      </w:r>
      <w:r>
        <w:instrText xml:space="preserve"> SEQ Figure \* ARABIC </w:instrText>
      </w:r>
      <w:r>
        <w:fldChar w:fldCharType="separate"/>
      </w:r>
      <w:r w:rsidR="00CF02F5">
        <w:rPr>
          <w:noProof/>
        </w:rPr>
        <w:t>22</w:t>
      </w:r>
      <w:r>
        <w:fldChar w:fldCharType="end"/>
      </w:r>
      <w:r>
        <w:t xml:space="preserve">: </w:t>
      </w:r>
      <w:r w:rsidRPr="00E92664">
        <w:t>Completed Joint Authority applications (2024-25) average days spent at each major stage of application processing</w:t>
      </w:r>
      <w:bookmarkEnd w:id="175"/>
      <w:bookmarkEnd w:id="176"/>
    </w:p>
    <w:p w14:paraId="50F7725B" w14:textId="5867505A" w:rsidR="00150229" w:rsidRPr="00D529E1" w:rsidRDefault="00F13603" w:rsidP="00383248">
      <w:pPr>
        <w:rPr>
          <w:sz w:val="18"/>
          <w:szCs w:val="18"/>
        </w:rPr>
      </w:pPr>
      <w:r w:rsidRPr="00D529E1">
        <w:rPr>
          <w:sz w:val="18"/>
          <w:szCs w:val="18"/>
        </w:rPr>
        <w:t>*</w:t>
      </w:r>
      <w:r w:rsidR="003F6090" w:rsidRPr="00D529E1">
        <w:rPr>
          <w:sz w:val="18"/>
          <w:szCs w:val="18"/>
        </w:rPr>
        <w:t xml:space="preserve">includes overall time spent at both respective state and Commonwealth </w:t>
      </w:r>
      <w:r w:rsidR="00C67FA4" w:rsidRPr="00D529E1">
        <w:rPr>
          <w:sz w:val="18"/>
          <w:szCs w:val="18"/>
        </w:rPr>
        <w:t>decision makers</w:t>
      </w:r>
      <w:r w:rsidR="00DA21BF" w:rsidRPr="00D529E1">
        <w:rPr>
          <w:sz w:val="18"/>
          <w:szCs w:val="18"/>
        </w:rPr>
        <w:t>.</w:t>
      </w:r>
      <w:r w:rsidR="00C67FA4" w:rsidRPr="00D529E1">
        <w:rPr>
          <w:sz w:val="18"/>
          <w:szCs w:val="18"/>
        </w:rPr>
        <w:t xml:space="preserve"> </w:t>
      </w:r>
    </w:p>
    <w:p w14:paraId="5A332930" w14:textId="0A9880A5" w:rsidR="005C57F5" w:rsidRPr="00F42162" w:rsidRDefault="00150229" w:rsidP="00F42162">
      <w:pPr>
        <w:ind w:left="720"/>
        <w:rPr>
          <w:sz w:val="20"/>
          <w:szCs w:val="20"/>
        </w:rPr>
      </w:pPr>
      <w:r w:rsidRPr="00F42162">
        <w:rPr>
          <w:b/>
          <w:sz w:val="20"/>
          <w:szCs w:val="20"/>
        </w:rPr>
        <w:t>Alternative text description:</w:t>
      </w:r>
      <w:r w:rsidR="005C57F5" w:rsidRPr="00F42162">
        <w:rPr>
          <w:b/>
          <w:sz w:val="20"/>
          <w:szCs w:val="20"/>
        </w:rPr>
        <w:t xml:space="preserve"> </w:t>
      </w:r>
      <w:r w:rsidR="005C57F5" w:rsidRPr="00F42162">
        <w:rPr>
          <w:sz w:val="20"/>
          <w:szCs w:val="20"/>
        </w:rPr>
        <w:t xml:space="preserve">This vertical bar chart </w:t>
      </w:r>
      <w:r w:rsidR="00F42162">
        <w:rPr>
          <w:sz w:val="20"/>
          <w:szCs w:val="20"/>
        </w:rPr>
        <w:t xml:space="preserve">shows the </w:t>
      </w:r>
      <w:r w:rsidR="005C57F5" w:rsidRPr="00F42162">
        <w:rPr>
          <w:sz w:val="20"/>
          <w:szCs w:val="20"/>
        </w:rPr>
        <w:t xml:space="preserve">average days spent at each major stage of application processing for </w:t>
      </w:r>
      <w:r w:rsidR="00165157" w:rsidRPr="00F42162">
        <w:rPr>
          <w:sz w:val="20"/>
          <w:szCs w:val="20"/>
        </w:rPr>
        <w:t>J</w:t>
      </w:r>
      <w:r w:rsidR="005C57F5" w:rsidRPr="00F42162">
        <w:rPr>
          <w:sz w:val="20"/>
          <w:szCs w:val="20"/>
        </w:rPr>
        <w:t>oint</w:t>
      </w:r>
      <w:r w:rsidR="00165157" w:rsidRPr="00F42162">
        <w:rPr>
          <w:sz w:val="20"/>
          <w:szCs w:val="20"/>
        </w:rPr>
        <w:t xml:space="preserve"> A</w:t>
      </w:r>
      <w:r w:rsidR="005C57F5" w:rsidRPr="00F42162">
        <w:rPr>
          <w:sz w:val="20"/>
          <w:szCs w:val="20"/>
        </w:rPr>
        <w:t xml:space="preserve">uthority related applications </w:t>
      </w:r>
      <w:r w:rsidR="00217352" w:rsidRPr="00F42162">
        <w:rPr>
          <w:sz w:val="20"/>
          <w:szCs w:val="20"/>
        </w:rPr>
        <w:t xml:space="preserve">in </w:t>
      </w:r>
      <w:r w:rsidR="005C57F5" w:rsidRPr="00F42162">
        <w:rPr>
          <w:sz w:val="20"/>
          <w:szCs w:val="20"/>
        </w:rPr>
        <w:t>the 2024-25 reporting period.</w:t>
      </w:r>
    </w:p>
    <w:p w14:paraId="77BFF392" w14:textId="77777777" w:rsidR="005C57F5" w:rsidRPr="00F42162" w:rsidRDefault="005C57F5" w:rsidP="00F42162">
      <w:pPr>
        <w:ind w:left="720"/>
        <w:rPr>
          <w:sz w:val="20"/>
          <w:szCs w:val="20"/>
        </w:rPr>
      </w:pPr>
      <w:r w:rsidRPr="00F42162">
        <w:rPr>
          <w:sz w:val="20"/>
          <w:szCs w:val="20"/>
        </w:rPr>
        <w:t>The x-axis lists the five key stages for application processing:</w:t>
      </w:r>
    </w:p>
    <w:p w14:paraId="19F01FC7" w14:textId="5595400A" w:rsidR="005C57F5" w:rsidRPr="00ED1AFC" w:rsidRDefault="00217352" w:rsidP="00000EE8">
      <w:pPr>
        <w:pStyle w:val="ListParagraph"/>
        <w:numPr>
          <w:ilvl w:val="0"/>
          <w:numId w:val="16"/>
        </w:numPr>
        <w:rPr>
          <w:sz w:val="20"/>
          <w:szCs w:val="20"/>
        </w:rPr>
      </w:pPr>
      <w:r w:rsidRPr="00ED1AFC">
        <w:rPr>
          <w:sz w:val="20"/>
          <w:szCs w:val="20"/>
        </w:rPr>
        <w:t>s</w:t>
      </w:r>
      <w:r w:rsidR="005C57F5" w:rsidRPr="00ED1AFC">
        <w:rPr>
          <w:sz w:val="20"/>
          <w:szCs w:val="20"/>
        </w:rPr>
        <w:t>creening</w:t>
      </w:r>
    </w:p>
    <w:p w14:paraId="2BFFD2F6" w14:textId="755F321C" w:rsidR="005C57F5" w:rsidRPr="00ED1AFC" w:rsidRDefault="00BD12E0" w:rsidP="00000EE8">
      <w:pPr>
        <w:pStyle w:val="ListParagraph"/>
        <w:numPr>
          <w:ilvl w:val="0"/>
          <w:numId w:val="16"/>
        </w:numPr>
        <w:rPr>
          <w:sz w:val="20"/>
          <w:szCs w:val="20"/>
        </w:rPr>
      </w:pPr>
      <w:r w:rsidRPr="00ED1AFC">
        <w:rPr>
          <w:sz w:val="20"/>
          <w:szCs w:val="20"/>
        </w:rPr>
        <w:t>request for further information (</w:t>
      </w:r>
      <w:r w:rsidR="005C57F5" w:rsidRPr="00ED1AFC">
        <w:rPr>
          <w:sz w:val="20"/>
          <w:szCs w:val="20"/>
        </w:rPr>
        <w:t>RFI</w:t>
      </w:r>
      <w:r w:rsidRPr="00ED1AFC">
        <w:rPr>
          <w:sz w:val="20"/>
          <w:szCs w:val="20"/>
        </w:rPr>
        <w:t>)</w:t>
      </w:r>
    </w:p>
    <w:p w14:paraId="104CEDA7" w14:textId="77777777" w:rsidR="005C57F5" w:rsidRPr="00ED1AFC" w:rsidRDefault="005C57F5" w:rsidP="00000EE8">
      <w:pPr>
        <w:pStyle w:val="ListParagraph"/>
        <w:numPr>
          <w:ilvl w:val="0"/>
          <w:numId w:val="16"/>
        </w:numPr>
        <w:rPr>
          <w:sz w:val="20"/>
          <w:szCs w:val="20"/>
        </w:rPr>
      </w:pPr>
      <w:r w:rsidRPr="00ED1AFC">
        <w:rPr>
          <w:sz w:val="20"/>
          <w:szCs w:val="20"/>
        </w:rPr>
        <w:t>RFI received</w:t>
      </w:r>
    </w:p>
    <w:p w14:paraId="7245E1AD" w14:textId="1E123275" w:rsidR="005C57F5" w:rsidRPr="00ED1AFC" w:rsidRDefault="00464479" w:rsidP="00000EE8">
      <w:pPr>
        <w:pStyle w:val="ListParagraph"/>
        <w:numPr>
          <w:ilvl w:val="0"/>
          <w:numId w:val="16"/>
        </w:numPr>
        <w:rPr>
          <w:sz w:val="20"/>
          <w:szCs w:val="20"/>
        </w:rPr>
      </w:pPr>
      <w:r w:rsidRPr="00ED1AFC">
        <w:rPr>
          <w:sz w:val="20"/>
          <w:szCs w:val="20"/>
        </w:rPr>
        <w:t>u</w:t>
      </w:r>
      <w:r w:rsidR="005C57F5" w:rsidRPr="00ED1AFC">
        <w:rPr>
          <w:sz w:val="20"/>
          <w:szCs w:val="20"/>
        </w:rPr>
        <w:t xml:space="preserve">nder </w:t>
      </w:r>
      <w:r w:rsidRPr="00ED1AFC">
        <w:rPr>
          <w:sz w:val="20"/>
          <w:szCs w:val="20"/>
        </w:rPr>
        <w:t>a</w:t>
      </w:r>
      <w:r w:rsidR="005C57F5" w:rsidRPr="00ED1AFC">
        <w:rPr>
          <w:sz w:val="20"/>
          <w:szCs w:val="20"/>
        </w:rPr>
        <w:t>ssessment (total)</w:t>
      </w:r>
    </w:p>
    <w:p w14:paraId="7DEFAB05" w14:textId="68794208" w:rsidR="005C57F5" w:rsidRPr="00ED1AFC" w:rsidRDefault="005C57F5" w:rsidP="00000EE8">
      <w:pPr>
        <w:pStyle w:val="ListParagraph"/>
        <w:numPr>
          <w:ilvl w:val="0"/>
          <w:numId w:val="16"/>
        </w:numPr>
        <w:rPr>
          <w:sz w:val="20"/>
          <w:szCs w:val="20"/>
        </w:rPr>
      </w:pPr>
      <w:r w:rsidRPr="00ED1AFC">
        <w:rPr>
          <w:sz w:val="20"/>
          <w:szCs w:val="20"/>
        </w:rPr>
        <w:t>Joint Authority</w:t>
      </w:r>
      <w:r w:rsidR="009E1E1D" w:rsidRPr="00ED1AFC">
        <w:rPr>
          <w:sz w:val="20"/>
          <w:szCs w:val="20"/>
        </w:rPr>
        <w:t xml:space="preserve"> decision</w:t>
      </w:r>
      <w:r w:rsidR="005A4099" w:rsidRPr="00ED1AFC">
        <w:rPr>
          <w:sz w:val="20"/>
          <w:szCs w:val="20"/>
        </w:rPr>
        <w:t>.</w:t>
      </w:r>
    </w:p>
    <w:p w14:paraId="6E80E4B6" w14:textId="77777777" w:rsidR="005C57F5" w:rsidRPr="00F42162" w:rsidRDefault="005C57F5" w:rsidP="00BD12E0">
      <w:pPr>
        <w:ind w:left="720"/>
        <w:rPr>
          <w:sz w:val="20"/>
          <w:szCs w:val="20"/>
        </w:rPr>
      </w:pPr>
      <w:r w:rsidRPr="00F42162">
        <w:rPr>
          <w:sz w:val="20"/>
          <w:szCs w:val="20"/>
        </w:rPr>
        <w:t>The y-axis represents average duration in days, ranging from 0 to 300.</w:t>
      </w:r>
    </w:p>
    <w:p w14:paraId="61D30ABC" w14:textId="0DE965FD" w:rsidR="005C57F5" w:rsidRPr="00BD12E0" w:rsidRDefault="005C57F5" w:rsidP="00BD12E0">
      <w:pPr>
        <w:ind w:left="720"/>
        <w:rPr>
          <w:sz w:val="20"/>
          <w:szCs w:val="20"/>
        </w:rPr>
      </w:pPr>
      <w:r w:rsidRPr="00F42162">
        <w:rPr>
          <w:sz w:val="20"/>
          <w:szCs w:val="20"/>
        </w:rPr>
        <w:t xml:space="preserve">The chart shows the longest average processing time is with the </w:t>
      </w:r>
      <w:r w:rsidR="00C955DC" w:rsidRPr="00F42162">
        <w:rPr>
          <w:sz w:val="20"/>
          <w:szCs w:val="20"/>
        </w:rPr>
        <w:t>J</w:t>
      </w:r>
      <w:r w:rsidRPr="00F42162">
        <w:rPr>
          <w:sz w:val="20"/>
          <w:szCs w:val="20"/>
        </w:rPr>
        <w:t xml:space="preserve">oint </w:t>
      </w:r>
      <w:r w:rsidR="00DF3F8E">
        <w:rPr>
          <w:sz w:val="20"/>
          <w:szCs w:val="20"/>
        </w:rPr>
        <w:t>A</w:t>
      </w:r>
      <w:r w:rsidRPr="00F42162">
        <w:rPr>
          <w:sz w:val="20"/>
          <w:szCs w:val="20"/>
        </w:rPr>
        <w:t xml:space="preserve">uthority, whilst </w:t>
      </w:r>
      <w:r w:rsidR="004B524F" w:rsidRPr="00F42162">
        <w:rPr>
          <w:sz w:val="20"/>
          <w:szCs w:val="20"/>
        </w:rPr>
        <w:t>s</w:t>
      </w:r>
      <w:r w:rsidRPr="00F42162">
        <w:rPr>
          <w:sz w:val="20"/>
          <w:szCs w:val="20"/>
        </w:rPr>
        <w:t xml:space="preserve">creening and RFI received statuses </w:t>
      </w:r>
      <w:r w:rsidR="000164F0" w:rsidRPr="00F42162">
        <w:rPr>
          <w:sz w:val="20"/>
          <w:szCs w:val="20"/>
        </w:rPr>
        <w:t xml:space="preserve">were </w:t>
      </w:r>
      <w:r w:rsidRPr="00F42162">
        <w:rPr>
          <w:sz w:val="20"/>
          <w:szCs w:val="20"/>
        </w:rPr>
        <w:t>the smallest average timeframes.</w:t>
      </w:r>
    </w:p>
    <w:p w14:paraId="268FAFB9" w14:textId="45AAA6AE" w:rsidR="00F51528" w:rsidRDefault="00F51528">
      <w:pPr>
        <w:spacing w:before="0" w:after="160" w:line="259" w:lineRule="auto"/>
        <w:rPr>
          <w:b/>
          <w:bCs/>
        </w:rPr>
      </w:pPr>
      <w:r>
        <w:rPr>
          <w:b/>
          <w:bCs/>
        </w:rPr>
        <w:br w:type="page"/>
      </w:r>
    </w:p>
    <w:p w14:paraId="41DEC148" w14:textId="327E28E4" w:rsidR="0064397C" w:rsidRDefault="0064397C" w:rsidP="0064397C">
      <w:r w:rsidRPr="00580DA0">
        <w:lastRenderedPageBreak/>
        <w:t xml:space="preserve">Figure </w:t>
      </w:r>
      <w:r>
        <w:t>2</w:t>
      </w:r>
      <w:r w:rsidR="004E1722">
        <w:t>3</w:t>
      </w:r>
      <w:r w:rsidRPr="00580DA0">
        <w:t xml:space="preserve"> below shows the average number of days at each </w:t>
      </w:r>
      <w:r>
        <w:t xml:space="preserve">major stage of </w:t>
      </w:r>
      <w:r w:rsidRPr="00580DA0">
        <w:t>application</w:t>
      </w:r>
      <w:r w:rsidRPr="008C6ED3">
        <w:t xml:space="preserve"> </w:t>
      </w:r>
      <w:r>
        <w:t xml:space="preserve">processing per </w:t>
      </w:r>
      <w:r w:rsidRPr="00580DA0">
        <w:t>Joint Authority application</w:t>
      </w:r>
      <w:r>
        <w:t xml:space="preserve"> type during </w:t>
      </w:r>
      <w:r w:rsidRPr="00580DA0">
        <w:t>2024-25</w:t>
      </w:r>
      <w:r>
        <w:t>.</w:t>
      </w:r>
    </w:p>
    <w:p w14:paraId="0DE56EBF" w14:textId="77777777" w:rsidR="00DB5BD4" w:rsidRDefault="00BC0C39" w:rsidP="00DB5BD4">
      <w:pPr>
        <w:keepNext/>
      </w:pPr>
      <w:r w:rsidRPr="00580DA0">
        <w:rPr>
          <w:noProof/>
          <w:lang w:eastAsia="en-AU"/>
        </w:rPr>
        <w:drawing>
          <wp:inline distT="0" distB="0" distL="0" distR="0" wp14:anchorId="26A34590" wp14:editId="56324D21">
            <wp:extent cx="5320800" cy="2883600"/>
            <wp:effectExtent l="0" t="0" r="0" b="0"/>
            <wp:docPr id="6" name="Picture 2" descr="Figure 22 shows the horizontal stacked bar chart titled 'Completed Joint Authority applications for 2024-25 - with the average days spent at each stage of application processing by application type. View more information in the caption and alt-text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Figure 22 shows the horizontal stacked bar chart titled 'Completed Joint Authority applications for 2024-25 - with the average days spent at each stage of application processing by application type. View more information in the caption and alt-text description.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20800" cy="2883600"/>
                    </a:xfrm>
                    <a:prstGeom prst="rect">
                      <a:avLst/>
                    </a:prstGeom>
                    <a:noFill/>
                    <a:ln>
                      <a:noFill/>
                    </a:ln>
                  </pic:spPr>
                </pic:pic>
              </a:graphicData>
            </a:graphic>
          </wp:inline>
        </w:drawing>
      </w:r>
    </w:p>
    <w:p w14:paraId="06434F8F" w14:textId="098BE01E" w:rsidR="00CF02F5" w:rsidRDefault="00DB5BD4" w:rsidP="00DB5BD4">
      <w:pPr>
        <w:pStyle w:val="Caption"/>
      </w:pPr>
      <w:r>
        <w:t xml:space="preserve">Figure </w:t>
      </w:r>
      <w:r>
        <w:fldChar w:fldCharType="begin"/>
      </w:r>
      <w:r>
        <w:instrText xml:space="preserve"> SEQ Figure \* ARABIC </w:instrText>
      </w:r>
      <w:r>
        <w:fldChar w:fldCharType="separate"/>
      </w:r>
      <w:r w:rsidR="00E11938">
        <w:rPr>
          <w:noProof/>
        </w:rPr>
        <w:t>23</w:t>
      </w:r>
      <w:r>
        <w:fldChar w:fldCharType="end"/>
      </w:r>
      <w:r>
        <w:t>: Completed Joint Authority applications (2024-25) - average days spent at each major stage of application processing by application type</w:t>
      </w:r>
    </w:p>
    <w:p w14:paraId="256BDFDB" w14:textId="02502C65" w:rsidR="002618E5" w:rsidRPr="002618E5" w:rsidRDefault="00150229" w:rsidP="002618E5">
      <w:pPr>
        <w:ind w:left="360"/>
        <w:rPr>
          <w:sz w:val="20"/>
          <w:szCs w:val="20"/>
        </w:rPr>
      </w:pPr>
      <w:r w:rsidRPr="00E42D93">
        <w:rPr>
          <w:b/>
          <w:sz w:val="20"/>
          <w:szCs w:val="20"/>
        </w:rPr>
        <w:t>Alternative text description:</w:t>
      </w:r>
      <w:r w:rsidR="008237A9" w:rsidRPr="00E42D93">
        <w:rPr>
          <w:b/>
          <w:sz w:val="20"/>
          <w:szCs w:val="20"/>
        </w:rPr>
        <w:t xml:space="preserve"> </w:t>
      </w:r>
      <w:r w:rsidR="009D4EA0" w:rsidRPr="00E42D93">
        <w:rPr>
          <w:sz w:val="20"/>
          <w:szCs w:val="20"/>
        </w:rPr>
        <w:t>H</w:t>
      </w:r>
      <w:r w:rsidR="00F20EC5" w:rsidRPr="00E42D93">
        <w:rPr>
          <w:sz w:val="20"/>
          <w:szCs w:val="20"/>
        </w:rPr>
        <w:t xml:space="preserve">orizontal stacked bar chart, </w:t>
      </w:r>
      <w:r w:rsidR="007706B9">
        <w:rPr>
          <w:sz w:val="20"/>
          <w:szCs w:val="20"/>
        </w:rPr>
        <w:t>shows</w:t>
      </w:r>
      <w:r w:rsidR="00F20EC5" w:rsidRPr="00E42D93">
        <w:rPr>
          <w:sz w:val="20"/>
          <w:szCs w:val="20"/>
        </w:rPr>
        <w:t xml:space="preserve"> average days at each major stage of application processing’, compares the number of days across different types of Joint Authority applications in the 2024-25 reporting period.</w:t>
      </w:r>
      <w:r w:rsidR="00F20EC5">
        <w:rPr>
          <w:sz w:val="20"/>
          <w:szCs w:val="20"/>
        </w:rPr>
        <w:t xml:space="preserve"> </w:t>
      </w:r>
      <w:r w:rsidR="002618E5" w:rsidRPr="002618E5">
        <w:rPr>
          <w:sz w:val="20"/>
          <w:szCs w:val="20"/>
        </w:rPr>
        <w:t xml:space="preserve">Each </w:t>
      </w:r>
      <w:r w:rsidR="00771BD4">
        <w:rPr>
          <w:sz w:val="20"/>
          <w:szCs w:val="20"/>
        </w:rPr>
        <w:t>application type is listed below. The d</w:t>
      </w:r>
      <w:r w:rsidR="002618E5" w:rsidRPr="002618E5">
        <w:rPr>
          <w:sz w:val="20"/>
          <w:szCs w:val="20"/>
        </w:rPr>
        <w:t>uration range</w:t>
      </w:r>
      <w:r w:rsidR="00D52798">
        <w:rPr>
          <w:sz w:val="20"/>
          <w:szCs w:val="20"/>
        </w:rPr>
        <w:t>s</w:t>
      </w:r>
      <w:r w:rsidR="002618E5" w:rsidRPr="002618E5">
        <w:rPr>
          <w:sz w:val="20"/>
          <w:szCs w:val="20"/>
        </w:rPr>
        <w:t xml:space="preserve"> up to around 700 days.</w:t>
      </w:r>
    </w:p>
    <w:p w14:paraId="4B410D49" w14:textId="3CFB774B" w:rsidR="00F20EC5" w:rsidRPr="00E42D93" w:rsidRDefault="00F20EC5" w:rsidP="00E42D93">
      <w:pPr>
        <w:ind w:left="360"/>
        <w:rPr>
          <w:sz w:val="20"/>
          <w:szCs w:val="20"/>
        </w:rPr>
      </w:pPr>
      <w:r w:rsidRPr="00E42D93">
        <w:rPr>
          <w:sz w:val="20"/>
          <w:szCs w:val="20"/>
        </w:rPr>
        <w:t xml:space="preserve">These </w:t>
      </w:r>
      <w:r w:rsidR="00D52798">
        <w:rPr>
          <w:sz w:val="20"/>
          <w:szCs w:val="20"/>
        </w:rPr>
        <w:t xml:space="preserve">application types </w:t>
      </w:r>
      <w:r w:rsidRPr="00E42D93">
        <w:rPr>
          <w:sz w:val="20"/>
          <w:szCs w:val="20"/>
        </w:rPr>
        <w:t>include:</w:t>
      </w:r>
    </w:p>
    <w:p w14:paraId="19A797BE" w14:textId="77777777" w:rsidR="00F20EC5" w:rsidRPr="00EC3A78" w:rsidRDefault="00F20EC5" w:rsidP="007706B9">
      <w:pPr>
        <w:pStyle w:val="Alttextbullets"/>
        <w:spacing w:after="40"/>
      </w:pPr>
      <w:r w:rsidRPr="00EC3A78">
        <w:t>SEVE (s264/265/265A)</w:t>
      </w:r>
    </w:p>
    <w:p w14:paraId="4D750EEB" w14:textId="6EFD540F" w:rsidR="00F20EC5" w:rsidRPr="00EC3A78" w:rsidRDefault="00F20EC5" w:rsidP="007706B9">
      <w:pPr>
        <w:pStyle w:val="Alttextbullets"/>
        <w:spacing w:after="40"/>
      </w:pPr>
      <w:r w:rsidRPr="00EC3A78">
        <w:t xml:space="preserve">Initial </w:t>
      </w:r>
      <w:r w:rsidR="00ED4F16" w:rsidRPr="00EC3A78">
        <w:t>a</w:t>
      </w:r>
      <w:r w:rsidRPr="00EC3A78">
        <w:t xml:space="preserve">pplication - </w:t>
      </w:r>
      <w:r w:rsidR="00ED4F16" w:rsidRPr="00EC3A78">
        <w:t>p</w:t>
      </w:r>
      <w:r w:rsidRPr="00EC3A78">
        <w:t xml:space="preserve">roduction </w:t>
      </w:r>
      <w:r w:rsidR="00ED4F16" w:rsidRPr="00EC3A78">
        <w:t>l</w:t>
      </w:r>
      <w:r w:rsidRPr="00EC3A78">
        <w:t>icence</w:t>
      </w:r>
    </w:p>
    <w:p w14:paraId="1ECA1E5F" w14:textId="31807E14" w:rsidR="00F20EC5" w:rsidRPr="00EC3A78" w:rsidRDefault="00F20EC5" w:rsidP="007706B9">
      <w:pPr>
        <w:pStyle w:val="Alttextbullets"/>
        <w:spacing w:after="40"/>
      </w:pPr>
      <w:r w:rsidRPr="00EC3A78">
        <w:t xml:space="preserve">Initial </w:t>
      </w:r>
      <w:r w:rsidR="00ED4F16" w:rsidRPr="00EC3A78">
        <w:t>a</w:t>
      </w:r>
      <w:r w:rsidRPr="00EC3A78">
        <w:t>pplication (</w:t>
      </w:r>
      <w:r w:rsidR="00AF6A9E" w:rsidRPr="00EC3A78">
        <w:t>e</w:t>
      </w:r>
      <w:r w:rsidRPr="00EC3A78">
        <w:t xml:space="preserve">xploration </w:t>
      </w:r>
      <w:r w:rsidR="00273EF6" w:rsidRPr="00EC3A78">
        <w:t>p</w:t>
      </w:r>
      <w:r w:rsidRPr="00EC3A78">
        <w:t xml:space="preserve">ermit </w:t>
      </w:r>
      <w:r w:rsidR="00273EF6" w:rsidRPr="00EC3A78">
        <w:t>w</w:t>
      </w:r>
      <w:r w:rsidRPr="00EC3A78">
        <w:t xml:space="preserve">ork </w:t>
      </w:r>
      <w:r w:rsidR="00273EF6" w:rsidRPr="00EC3A78">
        <w:t>b</w:t>
      </w:r>
      <w:r w:rsidRPr="00EC3A78">
        <w:t>id)</w:t>
      </w:r>
    </w:p>
    <w:p w14:paraId="4AFBE38D" w14:textId="06EEC09D" w:rsidR="00F20EC5" w:rsidRPr="00EC3A78" w:rsidRDefault="00F20EC5" w:rsidP="007706B9">
      <w:pPr>
        <w:pStyle w:val="Alttextbullets"/>
        <w:spacing w:after="40"/>
      </w:pPr>
      <w:r w:rsidRPr="00EC3A78">
        <w:t xml:space="preserve">Declaration of </w:t>
      </w:r>
      <w:r w:rsidR="00273EF6" w:rsidRPr="00EC3A78">
        <w:t>l</w:t>
      </w:r>
      <w:r w:rsidRPr="00EC3A78">
        <w:t>ocation</w:t>
      </w:r>
    </w:p>
    <w:p w14:paraId="3C55652D" w14:textId="6CC38196" w:rsidR="00F20EC5" w:rsidRPr="00EC3A78" w:rsidRDefault="00ED4F16" w:rsidP="007706B9">
      <w:pPr>
        <w:pStyle w:val="Alttextbullets"/>
        <w:spacing w:after="40"/>
      </w:pPr>
      <w:r w:rsidRPr="00EC3A78">
        <w:t>L</w:t>
      </w:r>
      <w:r w:rsidR="00F20EC5" w:rsidRPr="00EC3A78">
        <w:t xml:space="preserve">ocation </w:t>
      </w:r>
      <w:r w:rsidRPr="00EC3A78">
        <w:t>r</w:t>
      </w:r>
      <w:r w:rsidR="00F20EC5" w:rsidRPr="00EC3A78">
        <w:t>evocation</w:t>
      </w:r>
    </w:p>
    <w:p w14:paraId="331737BB" w14:textId="6357D218" w:rsidR="00F20EC5" w:rsidRPr="00EC3A78" w:rsidRDefault="00F20EC5" w:rsidP="007706B9">
      <w:pPr>
        <w:pStyle w:val="Alttextbullets"/>
        <w:spacing w:after="40"/>
      </w:pPr>
      <w:r w:rsidRPr="00EC3A78">
        <w:t xml:space="preserve">Field </w:t>
      </w:r>
      <w:r w:rsidR="00273EF6" w:rsidRPr="00EC3A78">
        <w:t>d</w:t>
      </w:r>
      <w:r w:rsidRPr="00EC3A78">
        <w:t xml:space="preserve">evelopment </w:t>
      </w:r>
      <w:r w:rsidR="00273EF6" w:rsidRPr="00EC3A78">
        <w:t>p</w:t>
      </w:r>
      <w:r w:rsidRPr="00EC3A78">
        <w:t>lan</w:t>
      </w:r>
    </w:p>
    <w:p w14:paraId="1CC1C63F" w14:textId="65CBE2B2" w:rsidR="00F20EC5" w:rsidRPr="00EC3A78" w:rsidRDefault="00F20EC5" w:rsidP="007706B9">
      <w:pPr>
        <w:pStyle w:val="Alttextbullets"/>
        <w:spacing w:after="40"/>
      </w:pPr>
      <w:r w:rsidRPr="00EC3A78">
        <w:t xml:space="preserve">Rate of </w:t>
      </w:r>
      <w:r w:rsidR="00273EF6" w:rsidRPr="00EC3A78">
        <w:t>r</w:t>
      </w:r>
      <w:r w:rsidRPr="00EC3A78">
        <w:t>ecovery</w:t>
      </w:r>
    </w:p>
    <w:p w14:paraId="50DF1309" w14:textId="57AC91EF" w:rsidR="00F20EC5" w:rsidRPr="00EC3A78" w:rsidRDefault="00F20EC5" w:rsidP="007706B9">
      <w:pPr>
        <w:pStyle w:val="Alttextbullets"/>
        <w:spacing w:after="40"/>
      </w:pPr>
      <w:r w:rsidRPr="00EC3A78">
        <w:t xml:space="preserve">Renewal - </w:t>
      </w:r>
      <w:r w:rsidR="00273EF6" w:rsidRPr="00EC3A78">
        <w:t>e</w:t>
      </w:r>
      <w:r w:rsidRPr="00EC3A78">
        <w:t xml:space="preserve">xploration </w:t>
      </w:r>
      <w:r w:rsidR="00273EF6" w:rsidRPr="00EC3A78">
        <w:t>p</w:t>
      </w:r>
      <w:r w:rsidRPr="00EC3A78">
        <w:t>ermit</w:t>
      </w:r>
    </w:p>
    <w:p w14:paraId="18EA2A4C" w14:textId="2E50AB04" w:rsidR="00F20EC5" w:rsidRPr="00EC3A78" w:rsidRDefault="00F20EC5" w:rsidP="007706B9">
      <w:pPr>
        <w:pStyle w:val="Alttextbullets"/>
        <w:spacing w:after="40"/>
      </w:pPr>
      <w:r w:rsidRPr="00EC3A78">
        <w:t xml:space="preserve">Renewal - </w:t>
      </w:r>
      <w:r w:rsidR="008A73ED" w:rsidRPr="00EC3A78">
        <w:t>r</w:t>
      </w:r>
      <w:r w:rsidRPr="00EC3A78">
        <w:t xml:space="preserve">etention </w:t>
      </w:r>
      <w:r w:rsidR="008A73ED" w:rsidRPr="00EC3A78">
        <w:t>l</w:t>
      </w:r>
      <w:r w:rsidRPr="00EC3A78">
        <w:t>ease</w:t>
      </w:r>
    </w:p>
    <w:p w14:paraId="6A6559E8" w14:textId="13A07011" w:rsidR="00F20EC5" w:rsidRPr="00EC3A78" w:rsidRDefault="00F20EC5" w:rsidP="007706B9">
      <w:pPr>
        <w:pStyle w:val="Alttextbullets"/>
        <w:spacing w:after="40"/>
      </w:pPr>
      <w:r w:rsidRPr="00EC3A78">
        <w:t xml:space="preserve">Initial </w:t>
      </w:r>
      <w:r w:rsidR="00D529C5" w:rsidRPr="00EC3A78">
        <w:t>a</w:t>
      </w:r>
      <w:r w:rsidRPr="00EC3A78">
        <w:t xml:space="preserve">pplication - </w:t>
      </w:r>
      <w:r w:rsidR="00D529C5" w:rsidRPr="00EC3A78">
        <w:t>r</w:t>
      </w:r>
      <w:r w:rsidRPr="00EC3A78">
        <w:t xml:space="preserve">etention </w:t>
      </w:r>
      <w:r w:rsidR="00D529C5" w:rsidRPr="00EC3A78">
        <w:t>l</w:t>
      </w:r>
      <w:r w:rsidRPr="00EC3A78">
        <w:t>ease</w:t>
      </w:r>
    </w:p>
    <w:p w14:paraId="4D37113E" w14:textId="5F7694F0" w:rsidR="00F20EC5" w:rsidRPr="00EC3A78" w:rsidRDefault="00F20EC5" w:rsidP="007706B9">
      <w:pPr>
        <w:pStyle w:val="Alttextbullets"/>
        <w:spacing w:after="40"/>
      </w:pPr>
      <w:r w:rsidRPr="00EC3A78">
        <w:t xml:space="preserve">Variation - </w:t>
      </w:r>
      <w:r w:rsidR="00D529C5" w:rsidRPr="00EC3A78">
        <w:t>p</w:t>
      </w:r>
      <w:r w:rsidRPr="00EC3A78">
        <w:t xml:space="preserve">ipeline </w:t>
      </w:r>
      <w:r w:rsidR="00D529C5" w:rsidRPr="00EC3A78">
        <w:t>l</w:t>
      </w:r>
      <w:r w:rsidRPr="00EC3A78">
        <w:t>icence (s226)</w:t>
      </w:r>
    </w:p>
    <w:p w14:paraId="549D49F2" w14:textId="7439F1AA" w:rsidR="00F20EC5" w:rsidRPr="00EC3A78" w:rsidRDefault="00F20EC5" w:rsidP="007706B9">
      <w:pPr>
        <w:pStyle w:val="Alttextbullets"/>
        <w:spacing w:after="40"/>
      </w:pPr>
      <w:r w:rsidRPr="00EC3A78">
        <w:t>Surrender</w:t>
      </w:r>
      <w:r w:rsidR="009A6D1A" w:rsidRPr="00EC3A78">
        <w:t>.</w:t>
      </w:r>
    </w:p>
    <w:p w14:paraId="312A9B43" w14:textId="09029B8A" w:rsidR="00F20EC5" w:rsidRPr="00E42D93" w:rsidRDefault="00F20EC5" w:rsidP="00E42D93">
      <w:pPr>
        <w:ind w:left="360"/>
        <w:rPr>
          <w:sz w:val="20"/>
          <w:szCs w:val="20"/>
        </w:rPr>
      </w:pPr>
      <w:r w:rsidRPr="00E42D93">
        <w:rPr>
          <w:sz w:val="20"/>
          <w:szCs w:val="20"/>
        </w:rPr>
        <w:t xml:space="preserve">Each application type is represented by a set of coloured bars corresponding to different stages of  the application process: </w:t>
      </w:r>
    </w:p>
    <w:p w14:paraId="4A9324B8" w14:textId="77777777" w:rsidR="00F20EC5" w:rsidRPr="00EC4FA3" w:rsidRDefault="00F20EC5" w:rsidP="00EC3A78">
      <w:pPr>
        <w:pStyle w:val="Alttextbullets"/>
      </w:pPr>
      <w:r w:rsidRPr="00EC4FA3">
        <w:t>Screening</w:t>
      </w:r>
    </w:p>
    <w:p w14:paraId="09F47659" w14:textId="77777777" w:rsidR="00F20EC5" w:rsidRPr="00EC4FA3" w:rsidRDefault="00F20EC5" w:rsidP="00EC3A78">
      <w:pPr>
        <w:pStyle w:val="Alttextbullets"/>
      </w:pPr>
      <w:r w:rsidRPr="00EC4FA3">
        <w:t>RFI</w:t>
      </w:r>
    </w:p>
    <w:p w14:paraId="026CDD19" w14:textId="77777777" w:rsidR="00F20EC5" w:rsidRPr="00EC4FA3" w:rsidRDefault="00F20EC5" w:rsidP="00EC3A78">
      <w:pPr>
        <w:pStyle w:val="Alttextbullets"/>
      </w:pPr>
      <w:r w:rsidRPr="00EC4FA3">
        <w:t>RFI received</w:t>
      </w:r>
    </w:p>
    <w:p w14:paraId="256AB45E" w14:textId="2A80AD6D" w:rsidR="00F20EC5" w:rsidRPr="00EC4FA3" w:rsidRDefault="00F20EC5" w:rsidP="00EC3A78">
      <w:pPr>
        <w:pStyle w:val="Alttextbullets"/>
      </w:pPr>
      <w:r w:rsidRPr="00EC4FA3">
        <w:t xml:space="preserve">Under </w:t>
      </w:r>
      <w:r w:rsidR="00D529C5" w:rsidRPr="00EC4FA3">
        <w:t>a</w:t>
      </w:r>
      <w:r w:rsidRPr="00EC4FA3">
        <w:t>ssessment (total)</w:t>
      </w:r>
    </w:p>
    <w:p w14:paraId="09963B0B" w14:textId="39533ACD" w:rsidR="00F20EC5" w:rsidRPr="00EC4FA3" w:rsidRDefault="00F20EC5" w:rsidP="00EC3A78">
      <w:pPr>
        <w:pStyle w:val="Alttextbullets"/>
      </w:pPr>
      <w:r w:rsidRPr="00EC4FA3">
        <w:t xml:space="preserve">Joint Authority </w:t>
      </w:r>
      <w:r w:rsidR="00D529C5" w:rsidRPr="00EC4FA3">
        <w:t>d</w:t>
      </w:r>
      <w:r w:rsidRPr="00EC4FA3">
        <w:t>elegate</w:t>
      </w:r>
    </w:p>
    <w:p w14:paraId="74B55718" w14:textId="72D82D19" w:rsidR="00BD1CDC" w:rsidRPr="00EC4FA3" w:rsidRDefault="00F20EC5" w:rsidP="00EC3A78">
      <w:pPr>
        <w:pStyle w:val="Alttextbullets"/>
      </w:pPr>
      <w:r w:rsidRPr="00EC4FA3">
        <w:t xml:space="preserve">Joint Authority </w:t>
      </w:r>
      <w:r w:rsidR="00FC29D2" w:rsidRPr="00EC4FA3">
        <w:t>Minister</w:t>
      </w:r>
      <w:r w:rsidR="00F165B7" w:rsidRPr="00EC4FA3">
        <w:t>.</w:t>
      </w:r>
    </w:p>
    <w:p w14:paraId="057C023A" w14:textId="7C7BA7F2" w:rsidR="00F20EC5" w:rsidRPr="00E05986" w:rsidRDefault="00F20EC5" w:rsidP="00E05986">
      <w:pPr>
        <w:ind w:left="360"/>
        <w:rPr>
          <w:sz w:val="20"/>
          <w:szCs w:val="20"/>
        </w:rPr>
      </w:pPr>
      <w:r w:rsidRPr="00E42D93">
        <w:rPr>
          <w:sz w:val="20"/>
          <w:szCs w:val="20"/>
        </w:rPr>
        <w:t>The x-axis shows average duration in days, up to 800</w:t>
      </w:r>
      <w:r w:rsidRPr="00E05986">
        <w:rPr>
          <w:sz w:val="20"/>
          <w:szCs w:val="20"/>
        </w:rPr>
        <w:t>.</w:t>
      </w:r>
    </w:p>
    <w:p w14:paraId="3C4AD151" w14:textId="2930F4DC" w:rsidR="00554679" w:rsidRPr="00580DA0" w:rsidRDefault="00554679" w:rsidP="00554679">
      <w:r w:rsidRPr="00580DA0">
        <w:lastRenderedPageBreak/>
        <w:t xml:space="preserve">Figure </w:t>
      </w:r>
      <w:r w:rsidR="002A53BB">
        <w:t>2</w:t>
      </w:r>
      <w:r w:rsidR="00774BE6">
        <w:t>4</w:t>
      </w:r>
      <w:r w:rsidRPr="00580DA0">
        <w:t xml:space="preserve"> below shows the average number of days spent at each application stage for Titles Administrator related applications in 2024-25.</w:t>
      </w:r>
    </w:p>
    <w:p w14:paraId="7F9B5B4C" w14:textId="16525C70" w:rsidR="00D61FB2" w:rsidRDefault="008F1690" w:rsidP="00D61FB2">
      <w:pPr>
        <w:keepNext/>
      </w:pPr>
      <w:r w:rsidRPr="008F1690">
        <w:rPr>
          <w:noProof/>
        </w:rPr>
        <w:drawing>
          <wp:inline distT="0" distB="0" distL="0" distR="0" wp14:anchorId="590DFF09" wp14:editId="0507D9F2">
            <wp:extent cx="5731510" cy="3218180"/>
            <wp:effectExtent l="0" t="0" r="2540" b="1270"/>
            <wp:docPr id="607746850" name="Picture 8" descr="This vertical bar chart, shows the average number of days spent at each major stage of application processing’ in the 2024-25 reporting period. See more information in the caption and alt text descrip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746850" name="Picture 8" descr="This vertical bar chart, shows the average number of days spent at each major stage of application processing’ in the 2024-25 reporting period. See more information in the caption and alt text description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218180"/>
                    </a:xfrm>
                    <a:prstGeom prst="rect">
                      <a:avLst/>
                    </a:prstGeom>
                    <a:noFill/>
                    <a:ln>
                      <a:noFill/>
                    </a:ln>
                  </pic:spPr>
                </pic:pic>
              </a:graphicData>
            </a:graphic>
          </wp:inline>
        </w:drawing>
      </w:r>
    </w:p>
    <w:p w14:paraId="6FC25E5A" w14:textId="34B80C29" w:rsidR="007C1442" w:rsidRDefault="00D61FB2" w:rsidP="00D61FB2">
      <w:pPr>
        <w:pStyle w:val="Caption"/>
      </w:pPr>
      <w:r>
        <w:t xml:space="preserve">Figure </w:t>
      </w:r>
      <w:r>
        <w:fldChar w:fldCharType="begin"/>
      </w:r>
      <w:r>
        <w:instrText xml:space="preserve"> SEQ Figure \* ARABIC </w:instrText>
      </w:r>
      <w:r>
        <w:fldChar w:fldCharType="separate"/>
      </w:r>
      <w:r w:rsidR="00E11938">
        <w:rPr>
          <w:noProof/>
        </w:rPr>
        <w:t>24</w:t>
      </w:r>
      <w:r>
        <w:fldChar w:fldCharType="end"/>
      </w:r>
      <w:r>
        <w:t xml:space="preserve">: </w:t>
      </w:r>
      <w:r w:rsidRPr="004145FA">
        <w:t>Completed Title Administrator applications (2024-25) - average number of days spent at each major stage of application processing</w:t>
      </w:r>
    </w:p>
    <w:p w14:paraId="131797CE" w14:textId="7DC5975D" w:rsidR="00EC78D1" w:rsidRPr="00C32956" w:rsidRDefault="0024230E" w:rsidP="00C32956">
      <w:pPr>
        <w:ind w:left="720"/>
        <w:rPr>
          <w:sz w:val="20"/>
          <w:szCs w:val="20"/>
        </w:rPr>
      </w:pPr>
      <w:r w:rsidRPr="00C32956">
        <w:rPr>
          <w:b/>
          <w:sz w:val="20"/>
          <w:szCs w:val="20"/>
        </w:rPr>
        <w:t>Alternative text description:</w:t>
      </w:r>
      <w:r w:rsidR="00EC78D1" w:rsidRPr="00C32956">
        <w:rPr>
          <w:b/>
          <w:sz w:val="20"/>
          <w:szCs w:val="20"/>
        </w:rPr>
        <w:t xml:space="preserve"> </w:t>
      </w:r>
      <w:r w:rsidR="00ED6C9B" w:rsidRPr="00C32956">
        <w:rPr>
          <w:sz w:val="20"/>
          <w:szCs w:val="20"/>
        </w:rPr>
        <w:t>V</w:t>
      </w:r>
      <w:r w:rsidR="00EC78D1" w:rsidRPr="00C32956">
        <w:rPr>
          <w:sz w:val="20"/>
          <w:szCs w:val="20"/>
        </w:rPr>
        <w:t xml:space="preserve">ertical bar chart, </w:t>
      </w:r>
      <w:r w:rsidR="003B4499">
        <w:rPr>
          <w:sz w:val="20"/>
          <w:szCs w:val="20"/>
        </w:rPr>
        <w:t xml:space="preserve">shows the </w:t>
      </w:r>
      <w:r w:rsidR="00051719" w:rsidRPr="00C32956">
        <w:rPr>
          <w:sz w:val="20"/>
          <w:szCs w:val="20"/>
        </w:rPr>
        <w:t xml:space="preserve">average number of days </w:t>
      </w:r>
      <w:r w:rsidR="00EC78D1" w:rsidRPr="00C32956">
        <w:rPr>
          <w:sz w:val="20"/>
          <w:szCs w:val="20"/>
        </w:rPr>
        <w:t>spent at each major stage of application processing’, shows the average time taken at each stage of th</w:t>
      </w:r>
      <w:r w:rsidR="005D3073" w:rsidRPr="00C32956">
        <w:rPr>
          <w:sz w:val="20"/>
          <w:szCs w:val="20"/>
        </w:rPr>
        <w:t>e</w:t>
      </w:r>
      <w:r w:rsidR="00EC78D1" w:rsidRPr="00C32956">
        <w:rPr>
          <w:sz w:val="20"/>
          <w:szCs w:val="20"/>
        </w:rPr>
        <w:t xml:space="preserve"> application process </w:t>
      </w:r>
      <w:r w:rsidR="005D3073" w:rsidRPr="00C32956">
        <w:rPr>
          <w:sz w:val="20"/>
          <w:szCs w:val="20"/>
        </w:rPr>
        <w:t xml:space="preserve">in </w:t>
      </w:r>
      <w:r w:rsidR="00EC78D1" w:rsidRPr="00C32956">
        <w:rPr>
          <w:sz w:val="20"/>
          <w:szCs w:val="20"/>
        </w:rPr>
        <w:t xml:space="preserve">the 2024-25 reporting period. </w:t>
      </w:r>
    </w:p>
    <w:p w14:paraId="0B2766CC" w14:textId="57C5F6D6" w:rsidR="00EC78D1" w:rsidRPr="00C32956" w:rsidRDefault="00EC78D1" w:rsidP="00C32956">
      <w:pPr>
        <w:ind w:left="720"/>
        <w:rPr>
          <w:sz w:val="20"/>
          <w:szCs w:val="20"/>
        </w:rPr>
      </w:pPr>
      <w:r w:rsidRPr="00C32956">
        <w:rPr>
          <w:sz w:val="20"/>
          <w:szCs w:val="20"/>
        </w:rPr>
        <w:t xml:space="preserve">The x-axis lists the </w:t>
      </w:r>
      <w:r w:rsidR="004C3A36">
        <w:rPr>
          <w:sz w:val="20"/>
          <w:szCs w:val="20"/>
        </w:rPr>
        <w:t>5</w:t>
      </w:r>
      <w:r w:rsidRPr="00C32956">
        <w:rPr>
          <w:sz w:val="20"/>
          <w:szCs w:val="20"/>
        </w:rPr>
        <w:t xml:space="preserve"> key stages for Titles Administrator application processing:</w:t>
      </w:r>
    </w:p>
    <w:p w14:paraId="019F52FD" w14:textId="77777777" w:rsidR="00EC78D1" w:rsidRPr="00041005" w:rsidRDefault="00EC78D1" w:rsidP="00FB633A">
      <w:pPr>
        <w:pStyle w:val="Alttextbullets"/>
      </w:pPr>
      <w:r w:rsidRPr="00041005">
        <w:t>Screening</w:t>
      </w:r>
    </w:p>
    <w:p w14:paraId="583F7433" w14:textId="77777777" w:rsidR="00EC78D1" w:rsidRPr="00041005" w:rsidRDefault="00EC78D1" w:rsidP="00FB633A">
      <w:pPr>
        <w:pStyle w:val="Alttextbullets"/>
      </w:pPr>
      <w:r w:rsidRPr="00041005">
        <w:t>RFI</w:t>
      </w:r>
    </w:p>
    <w:p w14:paraId="15599C87" w14:textId="77777777" w:rsidR="00EC78D1" w:rsidRPr="00041005" w:rsidRDefault="00EC78D1" w:rsidP="00FB633A">
      <w:pPr>
        <w:pStyle w:val="Alttextbullets"/>
      </w:pPr>
      <w:r w:rsidRPr="00041005">
        <w:t>RFI received</w:t>
      </w:r>
    </w:p>
    <w:p w14:paraId="29D69760" w14:textId="24E107F9" w:rsidR="00EC78D1" w:rsidRPr="00041005" w:rsidRDefault="00EC78D1" w:rsidP="00FB633A">
      <w:pPr>
        <w:pStyle w:val="Alttextbullets"/>
      </w:pPr>
      <w:r w:rsidRPr="00041005">
        <w:t xml:space="preserve">Under </w:t>
      </w:r>
      <w:r w:rsidR="005D3073" w:rsidRPr="00041005">
        <w:t>a</w:t>
      </w:r>
      <w:r w:rsidRPr="00041005">
        <w:t>ssessment (total)</w:t>
      </w:r>
    </w:p>
    <w:p w14:paraId="2879F76C" w14:textId="7D682171" w:rsidR="00EC78D1" w:rsidRPr="00041005" w:rsidRDefault="00EC78D1" w:rsidP="00FB633A">
      <w:pPr>
        <w:pStyle w:val="Alttextbullets"/>
      </w:pPr>
      <w:r w:rsidRPr="00041005">
        <w:t xml:space="preserve">Titles Administrator </w:t>
      </w:r>
      <w:r w:rsidR="005D3073" w:rsidRPr="00041005">
        <w:t>d</w:t>
      </w:r>
      <w:r w:rsidRPr="00041005">
        <w:t>ecision</w:t>
      </w:r>
      <w:r w:rsidR="00AB7F78" w:rsidRPr="00041005">
        <w:t>.</w:t>
      </w:r>
    </w:p>
    <w:p w14:paraId="5D2FFFAE" w14:textId="06C87CCD" w:rsidR="00E7283D" w:rsidRPr="00C32956" w:rsidRDefault="00EC78D1" w:rsidP="00C32956">
      <w:pPr>
        <w:ind w:left="720"/>
        <w:rPr>
          <w:sz w:val="20"/>
          <w:szCs w:val="20"/>
        </w:rPr>
      </w:pPr>
      <w:r w:rsidRPr="00C32956">
        <w:rPr>
          <w:sz w:val="20"/>
          <w:szCs w:val="20"/>
        </w:rPr>
        <w:t>The y-axis represents average duration in days, ranging from 0 to 30.</w:t>
      </w:r>
      <w:r w:rsidR="00184BF4" w:rsidRPr="00C32956">
        <w:rPr>
          <w:sz w:val="20"/>
          <w:szCs w:val="20"/>
        </w:rPr>
        <w:t xml:space="preserve"> </w:t>
      </w:r>
      <w:r w:rsidR="005016BB" w:rsidRPr="00C32956">
        <w:rPr>
          <w:sz w:val="20"/>
          <w:szCs w:val="20"/>
        </w:rPr>
        <w:t>T</w:t>
      </w:r>
      <w:r w:rsidRPr="00C32956">
        <w:rPr>
          <w:sz w:val="20"/>
          <w:szCs w:val="20"/>
        </w:rPr>
        <w:t>he chart shows the longest average processing time is with the RFI, whil</w:t>
      </w:r>
      <w:r w:rsidR="00184BF4" w:rsidRPr="00C32956">
        <w:rPr>
          <w:sz w:val="20"/>
          <w:szCs w:val="20"/>
        </w:rPr>
        <w:t>e</w:t>
      </w:r>
      <w:r w:rsidRPr="00C32956">
        <w:rPr>
          <w:sz w:val="20"/>
          <w:szCs w:val="20"/>
        </w:rPr>
        <w:t xml:space="preserve"> the Titles Administrator </w:t>
      </w:r>
      <w:r w:rsidR="00E7283D" w:rsidRPr="00C32956">
        <w:rPr>
          <w:sz w:val="20"/>
          <w:szCs w:val="20"/>
        </w:rPr>
        <w:t>d</w:t>
      </w:r>
      <w:r w:rsidRPr="00C32956">
        <w:rPr>
          <w:sz w:val="20"/>
          <w:szCs w:val="20"/>
        </w:rPr>
        <w:t xml:space="preserve">ecision </w:t>
      </w:r>
      <w:r w:rsidR="00746A6C" w:rsidRPr="00C32956">
        <w:rPr>
          <w:sz w:val="20"/>
          <w:szCs w:val="20"/>
        </w:rPr>
        <w:t xml:space="preserve">has </w:t>
      </w:r>
      <w:r w:rsidRPr="00C32956">
        <w:rPr>
          <w:sz w:val="20"/>
          <w:szCs w:val="20"/>
        </w:rPr>
        <w:t>the smallest average timeframe.</w:t>
      </w:r>
    </w:p>
    <w:p w14:paraId="712DA962" w14:textId="77777777" w:rsidR="00E7283D" w:rsidRDefault="00E7283D">
      <w:pPr>
        <w:spacing w:before="0" w:after="160" w:line="259" w:lineRule="auto"/>
      </w:pPr>
      <w:r>
        <w:br w:type="page"/>
      </w:r>
    </w:p>
    <w:p w14:paraId="6189FEFA" w14:textId="33447081" w:rsidR="00EC78D1" w:rsidRDefault="00AE5B46" w:rsidP="005016BB">
      <w:r>
        <w:lastRenderedPageBreak/>
        <w:t>Figure 2</w:t>
      </w:r>
      <w:r w:rsidR="004E2839">
        <w:t>5</w:t>
      </w:r>
      <w:r>
        <w:t xml:space="preserve"> </w:t>
      </w:r>
      <w:r w:rsidR="00342542" w:rsidRPr="00580DA0">
        <w:t>below shows the average days at each major stage of application processing per Titles Administrator application type during 2024-25.</w:t>
      </w:r>
    </w:p>
    <w:p w14:paraId="6BB89F98" w14:textId="77777777" w:rsidR="004E2839" w:rsidRDefault="00397F8C" w:rsidP="004E2839">
      <w:pPr>
        <w:keepNext/>
      </w:pPr>
      <w:r w:rsidRPr="00397F8C">
        <w:rPr>
          <w:noProof/>
        </w:rPr>
        <w:drawing>
          <wp:inline distT="0" distB="0" distL="0" distR="0" wp14:anchorId="2ADC70FD" wp14:editId="558D2346">
            <wp:extent cx="5731510" cy="2676525"/>
            <wp:effectExtent l="0" t="0" r="2540" b="9525"/>
            <wp:docPr id="841569325" name="Picture 2" descr="This horizontal bar chart, 'Figure 25 : Completed Titles Administrator Applications (2024-25) - days at status at each major stage of application processing by application type' compares the number of days across different types of applications in the 2024-25 reporting period. See more information in the caption and alt-text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69325" name="Picture 2" descr="This horizontal bar chart, 'Figure 25 : Completed Titles Administrator Applications (2024-25) - days at status at each major stage of application processing by application type' compares the number of days across different types of applications in the 2024-25 reporting period. See more information in the caption and alt-text description.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2676525"/>
                    </a:xfrm>
                    <a:prstGeom prst="rect">
                      <a:avLst/>
                    </a:prstGeom>
                    <a:noFill/>
                    <a:ln>
                      <a:noFill/>
                    </a:ln>
                  </pic:spPr>
                </pic:pic>
              </a:graphicData>
            </a:graphic>
          </wp:inline>
        </w:drawing>
      </w:r>
    </w:p>
    <w:p w14:paraId="2B427FD3" w14:textId="3F1BB583" w:rsidR="00E3270E" w:rsidRDefault="004E2839" w:rsidP="004E2839">
      <w:pPr>
        <w:pStyle w:val="Caption"/>
      </w:pPr>
      <w:r>
        <w:t xml:space="preserve">Figure </w:t>
      </w:r>
      <w:r>
        <w:fldChar w:fldCharType="begin"/>
      </w:r>
      <w:r>
        <w:instrText xml:space="preserve"> SEQ Figure \* ARABIC </w:instrText>
      </w:r>
      <w:r>
        <w:fldChar w:fldCharType="separate"/>
      </w:r>
      <w:r w:rsidR="00E11938">
        <w:rPr>
          <w:noProof/>
        </w:rPr>
        <w:t>25</w:t>
      </w:r>
      <w:r>
        <w:fldChar w:fldCharType="end"/>
      </w:r>
      <w:r>
        <w:t xml:space="preserve">: </w:t>
      </w:r>
      <w:r w:rsidRPr="00046D6F">
        <w:t>Completed Titles Administrator Applications (2024-25) - days at status at each major stage of application processing by application type</w:t>
      </w:r>
    </w:p>
    <w:p w14:paraId="2EAEC870" w14:textId="0759F018" w:rsidR="005D33EE" w:rsidRPr="003004FA" w:rsidRDefault="0024230E" w:rsidP="003004FA">
      <w:pPr>
        <w:ind w:left="720"/>
        <w:rPr>
          <w:sz w:val="20"/>
          <w:szCs w:val="20"/>
        </w:rPr>
      </w:pPr>
      <w:r w:rsidRPr="003004FA">
        <w:rPr>
          <w:b/>
          <w:sz w:val="20"/>
          <w:szCs w:val="20"/>
        </w:rPr>
        <w:t>Alternative text description:</w:t>
      </w:r>
      <w:r w:rsidR="009F6DEE" w:rsidRPr="003004FA">
        <w:rPr>
          <w:b/>
          <w:sz w:val="20"/>
          <w:szCs w:val="20"/>
        </w:rPr>
        <w:t xml:space="preserve"> </w:t>
      </w:r>
      <w:r w:rsidR="00E21474">
        <w:rPr>
          <w:sz w:val="20"/>
          <w:szCs w:val="20"/>
        </w:rPr>
        <w:t>H</w:t>
      </w:r>
      <w:r w:rsidR="009F6DEE" w:rsidRPr="003004FA">
        <w:rPr>
          <w:sz w:val="20"/>
          <w:szCs w:val="20"/>
        </w:rPr>
        <w:t xml:space="preserve">orizontal stacked bar chart, </w:t>
      </w:r>
      <w:r w:rsidR="00E21474">
        <w:rPr>
          <w:sz w:val="20"/>
          <w:szCs w:val="20"/>
        </w:rPr>
        <w:t>shows the</w:t>
      </w:r>
      <w:r w:rsidR="009F6DEE">
        <w:rPr>
          <w:sz w:val="20"/>
          <w:szCs w:val="20"/>
        </w:rPr>
        <w:t xml:space="preserve"> </w:t>
      </w:r>
      <w:r w:rsidR="009F6DEE" w:rsidRPr="003004FA">
        <w:rPr>
          <w:sz w:val="20"/>
          <w:szCs w:val="20"/>
        </w:rPr>
        <w:t xml:space="preserve">days at </w:t>
      </w:r>
      <w:r w:rsidR="00D70FF8" w:rsidRPr="003004FA">
        <w:rPr>
          <w:sz w:val="20"/>
          <w:szCs w:val="20"/>
        </w:rPr>
        <w:t xml:space="preserve">status at </w:t>
      </w:r>
      <w:r w:rsidR="009F6DEE" w:rsidRPr="003004FA">
        <w:rPr>
          <w:sz w:val="20"/>
          <w:szCs w:val="20"/>
        </w:rPr>
        <w:t>each major stage of application processing</w:t>
      </w:r>
      <w:r w:rsidR="00205AB1" w:rsidRPr="003004FA">
        <w:rPr>
          <w:sz w:val="20"/>
          <w:szCs w:val="20"/>
        </w:rPr>
        <w:t xml:space="preserve"> by application type</w:t>
      </w:r>
      <w:r w:rsidR="009F6DEE" w:rsidRPr="003004FA">
        <w:rPr>
          <w:sz w:val="20"/>
          <w:szCs w:val="20"/>
        </w:rPr>
        <w:t xml:space="preserve">’, </w:t>
      </w:r>
      <w:r w:rsidR="00F44150" w:rsidRPr="003004FA">
        <w:rPr>
          <w:sz w:val="20"/>
          <w:szCs w:val="20"/>
        </w:rPr>
        <w:t>compar</w:t>
      </w:r>
      <w:r w:rsidR="00F44150">
        <w:rPr>
          <w:sz w:val="20"/>
          <w:szCs w:val="20"/>
        </w:rPr>
        <w:t xml:space="preserve">ing </w:t>
      </w:r>
      <w:r w:rsidR="00F44150" w:rsidRPr="003004FA">
        <w:rPr>
          <w:sz w:val="20"/>
          <w:szCs w:val="20"/>
        </w:rPr>
        <w:t>the</w:t>
      </w:r>
      <w:r w:rsidR="009F6DEE" w:rsidRPr="003004FA">
        <w:rPr>
          <w:sz w:val="20"/>
          <w:szCs w:val="20"/>
        </w:rPr>
        <w:t xml:space="preserve"> number of days across different types of Titles Administrator applications in the 2024-25 reporting period. </w:t>
      </w:r>
    </w:p>
    <w:p w14:paraId="1485317D" w14:textId="2821AB21" w:rsidR="009F6DEE" w:rsidRPr="003004FA" w:rsidRDefault="009F6DEE" w:rsidP="003004FA">
      <w:pPr>
        <w:ind w:left="720"/>
        <w:rPr>
          <w:sz w:val="20"/>
          <w:szCs w:val="20"/>
        </w:rPr>
      </w:pPr>
      <w:r w:rsidRPr="003004FA">
        <w:rPr>
          <w:sz w:val="20"/>
          <w:szCs w:val="20"/>
        </w:rPr>
        <w:t>These include:</w:t>
      </w:r>
    </w:p>
    <w:p w14:paraId="54C85104" w14:textId="51493177" w:rsidR="009F6DEE" w:rsidRPr="00041005" w:rsidRDefault="009F6DEE" w:rsidP="00FB633A">
      <w:pPr>
        <w:pStyle w:val="Alttextbullets"/>
      </w:pPr>
      <w:r w:rsidRPr="00041005">
        <w:t xml:space="preserve">Change in </w:t>
      </w:r>
      <w:r w:rsidR="001C3604" w:rsidRPr="00041005">
        <w:t>c</w:t>
      </w:r>
      <w:r w:rsidRPr="00041005">
        <w:t>ontrol</w:t>
      </w:r>
    </w:p>
    <w:p w14:paraId="23D8E0AB" w14:textId="2EF4F37E" w:rsidR="009F6DEE" w:rsidRPr="00041005" w:rsidRDefault="009F6DEE" w:rsidP="00FB633A">
      <w:pPr>
        <w:pStyle w:val="Alttextbullets"/>
      </w:pPr>
      <w:r w:rsidRPr="00041005">
        <w:t xml:space="preserve">Change of </w:t>
      </w:r>
      <w:r w:rsidR="001C3604" w:rsidRPr="00041005">
        <w:t>c</w:t>
      </w:r>
      <w:r w:rsidRPr="00041005">
        <w:t xml:space="preserve">ompany </w:t>
      </w:r>
      <w:r w:rsidR="001C3604" w:rsidRPr="00041005">
        <w:t>n</w:t>
      </w:r>
      <w:r w:rsidRPr="00041005">
        <w:t>ame</w:t>
      </w:r>
    </w:p>
    <w:p w14:paraId="522FCE45" w14:textId="2DFBF4A6" w:rsidR="009F6DEE" w:rsidRPr="00041005" w:rsidRDefault="009F6DEE" w:rsidP="00FB633A">
      <w:pPr>
        <w:pStyle w:val="Alttextbullets"/>
      </w:pPr>
      <w:r w:rsidRPr="00041005">
        <w:t xml:space="preserve">Credit </w:t>
      </w:r>
      <w:r w:rsidR="001C3604" w:rsidRPr="00041005">
        <w:t>a</w:t>
      </w:r>
      <w:r w:rsidRPr="00041005">
        <w:t>pplication</w:t>
      </w:r>
    </w:p>
    <w:p w14:paraId="0F091838" w14:textId="77777777" w:rsidR="009F6DEE" w:rsidRPr="00041005" w:rsidRDefault="009F6DEE" w:rsidP="00FB633A">
      <w:pPr>
        <w:pStyle w:val="Alttextbullets"/>
      </w:pPr>
      <w:r w:rsidRPr="00041005">
        <w:t>Dealing</w:t>
      </w:r>
    </w:p>
    <w:p w14:paraId="6AF2C614" w14:textId="77777777" w:rsidR="009F6DEE" w:rsidRPr="00041005" w:rsidRDefault="009F6DEE" w:rsidP="00FB633A">
      <w:pPr>
        <w:pStyle w:val="Alttextbullets"/>
      </w:pPr>
      <w:r w:rsidRPr="00041005">
        <w:t>Transfer</w:t>
      </w:r>
    </w:p>
    <w:p w14:paraId="7EA5CDC5" w14:textId="1C19B571" w:rsidR="009F6DEE" w:rsidRPr="00041005" w:rsidRDefault="009F6DEE" w:rsidP="00FB633A">
      <w:pPr>
        <w:pStyle w:val="Alttextbullets"/>
      </w:pPr>
      <w:r w:rsidRPr="00041005">
        <w:t xml:space="preserve">Extension of </w:t>
      </w:r>
      <w:r w:rsidR="001C3604" w:rsidRPr="00041005">
        <w:t>t</w:t>
      </w:r>
      <w:r w:rsidRPr="00041005">
        <w:t xml:space="preserve">ime to </w:t>
      </w:r>
      <w:r w:rsidR="001C3604" w:rsidRPr="00041005">
        <w:t>l</w:t>
      </w:r>
      <w:r w:rsidRPr="00041005">
        <w:t xml:space="preserve">odge </w:t>
      </w:r>
      <w:r w:rsidR="001C3604" w:rsidRPr="00041005">
        <w:t>r</w:t>
      </w:r>
      <w:r w:rsidRPr="00041005">
        <w:t>enewal</w:t>
      </w:r>
    </w:p>
    <w:p w14:paraId="39D3FCF9" w14:textId="5C57876E" w:rsidR="009F6DEE" w:rsidRPr="00041005" w:rsidRDefault="009F6DEE" w:rsidP="00FB633A">
      <w:pPr>
        <w:pStyle w:val="Alttextbullets"/>
      </w:pPr>
      <w:r w:rsidRPr="00041005">
        <w:t xml:space="preserve">Location </w:t>
      </w:r>
      <w:r w:rsidR="001C3604" w:rsidRPr="00041005">
        <w:t>e</w:t>
      </w:r>
      <w:r w:rsidRPr="00041005">
        <w:t>xtension</w:t>
      </w:r>
    </w:p>
    <w:p w14:paraId="149CA06C" w14:textId="04CDF253" w:rsidR="009F6DEE" w:rsidRPr="00041005" w:rsidRDefault="009F6DEE" w:rsidP="00FB633A">
      <w:pPr>
        <w:pStyle w:val="Alttextbullets"/>
      </w:pPr>
      <w:r w:rsidRPr="00041005">
        <w:t xml:space="preserve">Initial </w:t>
      </w:r>
      <w:r w:rsidR="001C3604" w:rsidRPr="00041005">
        <w:t>a</w:t>
      </w:r>
      <w:r w:rsidRPr="00041005">
        <w:t xml:space="preserve">pplication - </w:t>
      </w:r>
      <w:r w:rsidR="00B268B5" w:rsidRPr="00041005">
        <w:t>a</w:t>
      </w:r>
      <w:r w:rsidRPr="00041005">
        <w:t xml:space="preserve">ccess </w:t>
      </w:r>
      <w:r w:rsidR="00B268B5" w:rsidRPr="00041005">
        <w:t>a</w:t>
      </w:r>
      <w:r w:rsidRPr="00041005">
        <w:t>uthority</w:t>
      </w:r>
    </w:p>
    <w:p w14:paraId="57C2F90B" w14:textId="2E5A4EF7" w:rsidR="009F6DEE" w:rsidRPr="00041005" w:rsidRDefault="009F6DEE" w:rsidP="00FB633A">
      <w:pPr>
        <w:pStyle w:val="Alttextbullets"/>
      </w:pPr>
      <w:r w:rsidRPr="00041005">
        <w:t>Expiration</w:t>
      </w:r>
      <w:r w:rsidR="00AB7F78" w:rsidRPr="00041005">
        <w:t>.</w:t>
      </w:r>
    </w:p>
    <w:p w14:paraId="6DD90278" w14:textId="1A4B25F9" w:rsidR="009F6DEE" w:rsidRPr="003004FA" w:rsidRDefault="009F6DEE" w:rsidP="0007228E">
      <w:pPr>
        <w:ind w:left="720"/>
        <w:rPr>
          <w:sz w:val="20"/>
          <w:szCs w:val="20"/>
        </w:rPr>
      </w:pPr>
      <w:r w:rsidRPr="003004FA">
        <w:rPr>
          <w:sz w:val="20"/>
          <w:szCs w:val="20"/>
        </w:rPr>
        <w:t xml:space="preserve">Each application type is represented by a set of coloured bars </w:t>
      </w:r>
      <w:r w:rsidR="00184C3F" w:rsidRPr="003004FA">
        <w:rPr>
          <w:sz w:val="20"/>
          <w:szCs w:val="20"/>
        </w:rPr>
        <w:t>corresponding</w:t>
      </w:r>
      <w:r w:rsidRPr="003004FA">
        <w:rPr>
          <w:sz w:val="20"/>
          <w:szCs w:val="20"/>
        </w:rPr>
        <w:t xml:space="preserve"> to different stages of the application process: </w:t>
      </w:r>
    </w:p>
    <w:p w14:paraId="3940AFE1" w14:textId="77777777" w:rsidR="009F6DEE" w:rsidRPr="00041005" w:rsidRDefault="009F6DEE" w:rsidP="00FB633A">
      <w:pPr>
        <w:pStyle w:val="Alttextbullets"/>
      </w:pPr>
      <w:r w:rsidRPr="00041005">
        <w:t>Screening</w:t>
      </w:r>
    </w:p>
    <w:p w14:paraId="01A80F01" w14:textId="77777777" w:rsidR="009F6DEE" w:rsidRPr="00041005" w:rsidRDefault="009F6DEE" w:rsidP="00FB633A">
      <w:pPr>
        <w:pStyle w:val="Alttextbullets"/>
      </w:pPr>
      <w:r w:rsidRPr="00041005">
        <w:t>RFI</w:t>
      </w:r>
    </w:p>
    <w:p w14:paraId="275438AF" w14:textId="77777777" w:rsidR="009F6DEE" w:rsidRPr="00041005" w:rsidRDefault="009F6DEE" w:rsidP="00FB633A">
      <w:pPr>
        <w:pStyle w:val="Alttextbullets"/>
      </w:pPr>
      <w:r w:rsidRPr="00041005">
        <w:t>RFI received</w:t>
      </w:r>
    </w:p>
    <w:p w14:paraId="650F6891" w14:textId="0D46409E" w:rsidR="009F6DEE" w:rsidRPr="00041005" w:rsidRDefault="009F6DEE" w:rsidP="00FB633A">
      <w:pPr>
        <w:pStyle w:val="Alttextbullets"/>
      </w:pPr>
      <w:r w:rsidRPr="00041005">
        <w:t xml:space="preserve">Under </w:t>
      </w:r>
      <w:r w:rsidR="00F758CB" w:rsidRPr="00041005">
        <w:t>a</w:t>
      </w:r>
      <w:r w:rsidRPr="00041005">
        <w:t>ssessment (total)</w:t>
      </w:r>
    </w:p>
    <w:p w14:paraId="1B2B6399" w14:textId="3E9BDDAC" w:rsidR="009F6DEE" w:rsidRPr="00041005" w:rsidRDefault="009F6DEE" w:rsidP="00FB633A">
      <w:pPr>
        <w:pStyle w:val="Alttextbullets"/>
      </w:pPr>
      <w:r w:rsidRPr="00041005">
        <w:t xml:space="preserve">Titles Administrator </w:t>
      </w:r>
      <w:r w:rsidR="00F758CB" w:rsidRPr="00041005">
        <w:t>d</w:t>
      </w:r>
      <w:r w:rsidRPr="00041005">
        <w:t>ecision</w:t>
      </w:r>
      <w:r w:rsidR="00AB7F78" w:rsidRPr="00041005">
        <w:t>.</w:t>
      </w:r>
    </w:p>
    <w:p w14:paraId="1E2EA12C" w14:textId="333C92D7" w:rsidR="00203FBB" w:rsidRDefault="009F6DEE" w:rsidP="0007228E">
      <w:pPr>
        <w:ind w:left="720"/>
        <w:rPr>
          <w:sz w:val="20"/>
          <w:szCs w:val="20"/>
        </w:rPr>
      </w:pPr>
      <w:r w:rsidRPr="0007228E">
        <w:rPr>
          <w:sz w:val="20"/>
          <w:szCs w:val="20"/>
        </w:rPr>
        <w:t xml:space="preserve">The x-axis shows </w:t>
      </w:r>
      <w:r w:rsidR="0007228E">
        <w:rPr>
          <w:sz w:val="20"/>
          <w:szCs w:val="20"/>
        </w:rPr>
        <w:t xml:space="preserve">‘Days at Status’ </w:t>
      </w:r>
      <w:r w:rsidRPr="0007228E">
        <w:rPr>
          <w:sz w:val="20"/>
          <w:szCs w:val="20"/>
        </w:rPr>
        <w:t>average duration in days, up to 120.</w:t>
      </w:r>
      <w:r w:rsidR="00F758CB" w:rsidRPr="0007228E">
        <w:rPr>
          <w:sz w:val="20"/>
          <w:szCs w:val="20"/>
        </w:rPr>
        <w:t xml:space="preserve"> </w:t>
      </w:r>
      <w:r w:rsidR="00203FBB" w:rsidRPr="00203FBB">
        <w:rPr>
          <w:sz w:val="20"/>
          <w:szCs w:val="20"/>
        </w:rPr>
        <w:t>Average durations by type vary based on complexity and range up to around 110 days. ‘Change of company name’ applications are the shortest (~5 days) and ‘transfer’ the longest (~105 days).</w:t>
      </w:r>
    </w:p>
    <w:p w14:paraId="0D59B830" w14:textId="609B4B3A" w:rsidR="004C3A36" w:rsidRDefault="004C3A36">
      <w:pPr>
        <w:spacing w:before="0" w:after="160" w:line="259" w:lineRule="auto"/>
        <w:rPr>
          <w:sz w:val="20"/>
          <w:szCs w:val="20"/>
        </w:rPr>
      </w:pPr>
      <w:r>
        <w:rPr>
          <w:sz w:val="20"/>
          <w:szCs w:val="20"/>
        </w:rPr>
        <w:br w:type="page"/>
      </w:r>
    </w:p>
    <w:p w14:paraId="2CEE494F" w14:textId="2CC3F2A7" w:rsidR="00DB3E24" w:rsidRDefault="00DB3E24" w:rsidP="00DB3E24">
      <w:r w:rsidRPr="00164578">
        <w:lastRenderedPageBreak/>
        <w:t>F</w:t>
      </w:r>
      <w:r w:rsidRPr="00580DA0">
        <w:t>igure 2</w:t>
      </w:r>
      <w:r w:rsidR="007B44B7">
        <w:t>6</w:t>
      </w:r>
      <w:r w:rsidRPr="00580DA0">
        <w:t xml:space="preserve"> shows the average days spent at each application stage for Responsible Commonwealth Minister GHG related applications in 2024-25.</w:t>
      </w:r>
    </w:p>
    <w:p w14:paraId="0E15E0A2" w14:textId="77777777" w:rsidR="007B44B7" w:rsidRDefault="00093905" w:rsidP="007B44B7">
      <w:pPr>
        <w:keepNext/>
      </w:pPr>
      <w:r w:rsidRPr="00093905">
        <w:rPr>
          <w:noProof/>
        </w:rPr>
        <w:drawing>
          <wp:inline distT="0" distB="0" distL="0" distR="0" wp14:anchorId="6170F614" wp14:editId="7835AB42">
            <wp:extent cx="5731510" cy="2916555"/>
            <wp:effectExtent l="0" t="0" r="2540" b="0"/>
            <wp:docPr id="1766275259" name="Picture 1" descr="Vertical bar chart, titled ‘Figure 26: Completed Responsible Commonwealth Minister Applications (2024-25) - average days spent at each major stage of application processing’, shows the average time taken at each stage of the Responsible Commonwealth Minister application process in the 2024-25 reporting period. View more information in the caption and alt text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75259" name="Picture 1" descr="Vertical bar chart, titled ‘Figure 26: Completed Responsible Commonwealth Minister Applications (2024-25) - average days spent at each major stage of application processing’, shows the average time taken at each stage of the Responsible Commonwealth Minister application process in the 2024-25 reporting period. View more information in the caption and alt text description. "/>
                    <pic:cNvPicPr/>
                  </pic:nvPicPr>
                  <pic:blipFill>
                    <a:blip r:embed="rId44"/>
                    <a:stretch>
                      <a:fillRect/>
                    </a:stretch>
                  </pic:blipFill>
                  <pic:spPr>
                    <a:xfrm>
                      <a:off x="0" y="0"/>
                      <a:ext cx="5731510" cy="2916555"/>
                    </a:xfrm>
                    <a:prstGeom prst="rect">
                      <a:avLst/>
                    </a:prstGeom>
                  </pic:spPr>
                </pic:pic>
              </a:graphicData>
            </a:graphic>
          </wp:inline>
        </w:drawing>
      </w:r>
    </w:p>
    <w:p w14:paraId="561CCAF8" w14:textId="68012928" w:rsidR="000371ED" w:rsidRDefault="007B44B7" w:rsidP="007B44B7">
      <w:pPr>
        <w:pStyle w:val="Caption"/>
      </w:pPr>
      <w:r>
        <w:t xml:space="preserve">Figure </w:t>
      </w:r>
      <w:r>
        <w:fldChar w:fldCharType="begin"/>
      </w:r>
      <w:r>
        <w:instrText xml:space="preserve"> SEQ Figure \* ARABIC </w:instrText>
      </w:r>
      <w:r>
        <w:fldChar w:fldCharType="separate"/>
      </w:r>
      <w:r w:rsidR="00E11938">
        <w:rPr>
          <w:noProof/>
        </w:rPr>
        <w:t>26</w:t>
      </w:r>
      <w:r>
        <w:fldChar w:fldCharType="end"/>
      </w:r>
      <w:r>
        <w:t xml:space="preserve">: </w:t>
      </w:r>
      <w:r w:rsidRPr="00663AD9">
        <w:t>Completed Responsible Commonwealth Minister Applications (2024-25) – average days spent at each major stage of application processing</w:t>
      </w:r>
    </w:p>
    <w:p w14:paraId="378F9777" w14:textId="68BB1732" w:rsidR="00A01E7B" w:rsidRPr="00360EB7" w:rsidRDefault="00A01E7B" w:rsidP="00383248">
      <w:pPr>
        <w:ind w:left="720"/>
        <w:rPr>
          <w:b/>
          <w:sz w:val="20"/>
          <w:szCs w:val="20"/>
        </w:rPr>
      </w:pPr>
      <w:r w:rsidRPr="00360EB7">
        <w:rPr>
          <w:b/>
          <w:sz w:val="20"/>
          <w:szCs w:val="20"/>
        </w:rPr>
        <w:t xml:space="preserve">Alternative text description: </w:t>
      </w:r>
      <w:r w:rsidRPr="00360EB7">
        <w:rPr>
          <w:sz w:val="20"/>
          <w:szCs w:val="20"/>
        </w:rPr>
        <w:t xml:space="preserve">This vertical bar chart </w:t>
      </w:r>
      <w:r w:rsidR="00F350F9" w:rsidRPr="00360EB7">
        <w:rPr>
          <w:sz w:val="20"/>
          <w:szCs w:val="20"/>
        </w:rPr>
        <w:t xml:space="preserve">shows the </w:t>
      </w:r>
      <w:r w:rsidRPr="00360EB7">
        <w:rPr>
          <w:sz w:val="20"/>
          <w:szCs w:val="20"/>
        </w:rPr>
        <w:t>average days spent at each major stage of application processing</w:t>
      </w:r>
      <w:r w:rsidR="00A47332" w:rsidRPr="00360EB7">
        <w:rPr>
          <w:sz w:val="20"/>
          <w:szCs w:val="20"/>
        </w:rPr>
        <w:t xml:space="preserve"> for</w:t>
      </w:r>
      <w:r w:rsidRPr="00360EB7">
        <w:rPr>
          <w:sz w:val="20"/>
          <w:szCs w:val="20"/>
        </w:rPr>
        <w:t xml:space="preserve"> the Responsible Commonwealth Minister application process during the 2024-25 reporting period. </w:t>
      </w:r>
    </w:p>
    <w:p w14:paraId="1AB282F4" w14:textId="77777777" w:rsidR="00A01E7B" w:rsidRPr="00203FBB" w:rsidRDefault="00A01E7B" w:rsidP="00F350F9">
      <w:pPr>
        <w:ind w:left="720"/>
        <w:rPr>
          <w:sz w:val="20"/>
          <w:szCs w:val="20"/>
        </w:rPr>
      </w:pPr>
      <w:r w:rsidRPr="00203FBB">
        <w:rPr>
          <w:sz w:val="20"/>
          <w:szCs w:val="20"/>
        </w:rPr>
        <w:t>The x-axis lists the five key stages for Titles Administrator application processing:</w:t>
      </w:r>
    </w:p>
    <w:p w14:paraId="4D56927F" w14:textId="77777777" w:rsidR="00A01E7B" w:rsidRPr="00203FBB" w:rsidRDefault="00A01E7B" w:rsidP="003D5F7F">
      <w:pPr>
        <w:pStyle w:val="Alttextbullets"/>
      </w:pPr>
      <w:r w:rsidRPr="00203FBB">
        <w:t>Screening</w:t>
      </w:r>
    </w:p>
    <w:p w14:paraId="0D3EF366" w14:textId="77777777" w:rsidR="00A01E7B" w:rsidRPr="00203FBB" w:rsidRDefault="00A01E7B" w:rsidP="003D5F7F">
      <w:pPr>
        <w:pStyle w:val="Alttextbullets"/>
      </w:pPr>
      <w:r w:rsidRPr="00203FBB">
        <w:t>RFI</w:t>
      </w:r>
    </w:p>
    <w:p w14:paraId="430C3AB0" w14:textId="77777777" w:rsidR="00A01E7B" w:rsidRPr="00203FBB" w:rsidRDefault="00A01E7B" w:rsidP="003D5F7F">
      <w:pPr>
        <w:pStyle w:val="Alttextbullets"/>
      </w:pPr>
      <w:r w:rsidRPr="00203FBB">
        <w:t>RFI received</w:t>
      </w:r>
    </w:p>
    <w:p w14:paraId="47345957" w14:textId="098BCA20" w:rsidR="00A01E7B" w:rsidRPr="00203FBB" w:rsidRDefault="00A01E7B" w:rsidP="003D5F7F">
      <w:pPr>
        <w:pStyle w:val="Alttextbullets"/>
      </w:pPr>
      <w:r w:rsidRPr="00203FBB">
        <w:t xml:space="preserve">Under </w:t>
      </w:r>
      <w:r w:rsidR="00C25977" w:rsidRPr="00203FBB">
        <w:t>a</w:t>
      </w:r>
      <w:r w:rsidRPr="00203FBB">
        <w:t>ssessment (total)</w:t>
      </w:r>
    </w:p>
    <w:p w14:paraId="3E542B8F" w14:textId="13B02AA4" w:rsidR="00A01E7B" w:rsidRPr="00A47332" w:rsidRDefault="00A01E7B" w:rsidP="003D5F7F">
      <w:pPr>
        <w:pStyle w:val="Alttextbullets"/>
      </w:pPr>
      <w:r w:rsidRPr="00203FBB">
        <w:t xml:space="preserve">Responsible Commonwealth Minister </w:t>
      </w:r>
      <w:r w:rsidR="00C25977" w:rsidRPr="00203FBB">
        <w:t>d</w:t>
      </w:r>
      <w:r w:rsidRPr="00203FBB">
        <w:t>ecision</w:t>
      </w:r>
      <w:r w:rsidR="005746FF">
        <w:t>.</w:t>
      </w:r>
    </w:p>
    <w:p w14:paraId="3E17D555" w14:textId="77777777" w:rsidR="00A01E7B" w:rsidRPr="00A47332" w:rsidRDefault="00A01E7B" w:rsidP="00A47332">
      <w:pPr>
        <w:ind w:left="720"/>
        <w:rPr>
          <w:sz w:val="20"/>
          <w:szCs w:val="20"/>
        </w:rPr>
      </w:pPr>
      <w:r w:rsidRPr="00A47332">
        <w:rPr>
          <w:sz w:val="20"/>
          <w:szCs w:val="20"/>
        </w:rPr>
        <w:t>The y-axis represents average duration in days, ranging from 0 to 140.</w:t>
      </w:r>
    </w:p>
    <w:p w14:paraId="335FE330" w14:textId="33D966BE" w:rsidR="00A01E7B" w:rsidRPr="00A47332" w:rsidRDefault="00A01E7B" w:rsidP="00A47332">
      <w:pPr>
        <w:ind w:left="720"/>
        <w:rPr>
          <w:sz w:val="20"/>
          <w:szCs w:val="20"/>
        </w:rPr>
      </w:pPr>
      <w:r w:rsidRPr="00A47332">
        <w:rPr>
          <w:sz w:val="20"/>
          <w:szCs w:val="20"/>
        </w:rPr>
        <w:t>The chart shows the longest average processing time is with the Responsible Commonwealth Minister, whilst the Screening and RFI received statuses show the smallest average timeframes.</w:t>
      </w:r>
    </w:p>
    <w:p w14:paraId="2837058C" w14:textId="392CC3A6" w:rsidR="00B05BB0" w:rsidRDefault="00B05BB0">
      <w:pPr>
        <w:spacing w:before="0" w:after="160" w:line="259" w:lineRule="auto"/>
      </w:pPr>
      <w:r>
        <w:br w:type="page"/>
      </w:r>
    </w:p>
    <w:p w14:paraId="055A7F17" w14:textId="1C05F403" w:rsidR="00BD7188" w:rsidRDefault="008C1052" w:rsidP="008C1052">
      <w:pPr>
        <w:pStyle w:val="Heading4"/>
      </w:pPr>
      <w:r>
        <w:lastRenderedPageBreak/>
        <w:t xml:space="preserve">Application process overview </w:t>
      </w:r>
    </w:p>
    <w:p w14:paraId="5504A6D9" w14:textId="38416222" w:rsidR="008C1052" w:rsidRPr="008C1052" w:rsidRDefault="007A6F23" w:rsidP="00BF1083">
      <w:r>
        <w:t>The</w:t>
      </w:r>
      <w:r w:rsidDel="00E438A9">
        <w:t xml:space="preserve"> </w:t>
      </w:r>
      <w:r w:rsidR="00E438A9">
        <w:t xml:space="preserve">diagram </w:t>
      </w:r>
      <w:r>
        <w:t xml:space="preserve">below </w:t>
      </w:r>
      <w:r w:rsidR="00D74D8E" w:rsidRPr="00D74D8E">
        <w:t>outlines the Australian Government’s process for offshore petroleum, GHG and OEI</w:t>
      </w:r>
      <w:r>
        <w:t xml:space="preserve"> </w:t>
      </w:r>
      <w:r w:rsidR="00D74D8E" w:rsidRPr="00D74D8E">
        <w:t>decisions under the OPGGS Act and OEI Act.</w:t>
      </w:r>
    </w:p>
    <w:p w14:paraId="31FCBF78" w14:textId="77777777" w:rsidR="006B7B8E" w:rsidRDefault="00EC5356" w:rsidP="006B7B8E">
      <w:pPr>
        <w:keepNext/>
      </w:pPr>
      <w:r w:rsidRPr="00EC5356">
        <w:rPr>
          <w:noProof/>
        </w:rPr>
        <w:drawing>
          <wp:inline distT="0" distB="0" distL="0" distR="0" wp14:anchorId="03074BE3" wp14:editId="5F7FA3B7">
            <wp:extent cx="3588100" cy="3754989"/>
            <wp:effectExtent l="19050" t="19050" r="12700" b="17145"/>
            <wp:docPr id="442022817" name="Picture 1" descr="A flow chart of the application process, and the stages an application goes through for offshore petroleum, GHG and OEI decisions under the OPGGS Act and OEI Act. See the alt text description below the image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22817" name="Picture 1" descr="A flow chart of the application process, and the stages an application goes through for offshore petroleum, GHG and OEI decisions under the OPGGS Act and OEI Act. See the alt text description below the image for more information. "/>
                    <pic:cNvPicPr/>
                  </pic:nvPicPr>
                  <pic:blipFill>
                    <a:blip r:embed="rId45"/>
                    <a:stretch>
                      <a:fillRect/>
                    </a:stretch>
                  </pic:blipFill>
                  <pic:spPr>
                    <a:xfrm>
                      <a:off x="0" y="0"/>
                      <a:ext cx="3594926" cy="3762132"/>
                    </a:xfrm>
                    <a:prstGeom prst="rect">
                      <a:avLst/>
                    </a:prstGeom>
                    <a:ln>
                      <a:solidFill>
                        <a:schemeClr val="accent1"/>
                      </a:solidFill>
                    </a:ln>
                  </pic:spPr>
                </pic:pic>
              </a:graphicData>
            </a:graphic>
          </wp:inline>
        </w:drawing>
      </w:r>
    </w:p>
    <w:p w14:paraId="33558D0E" w14:textId="357D6A96" w:rsidR="00BA5D27" w:rsidRDefault="006B7B8E" w:rsidP="006B7B8E">
      <w:pPr>
        <w:pStyle w:val="Caption"/>
      </w:pPr>
      <w:r>
        <w:t xml:space="preserve">Figure </w:t>
      </w:r>
      <w:r>
        <w:fldChar w:fldCharType="begin"/>
      </w:r>
      <w:r>
        <w:instrText xml:space="preserve"> SEQ Figure \* ARABIC </w:instrText>
      </w:r>
      <w:r>
        <w:fldChar w:fldCharType="separate"/>
      </w:r>
      <w:r w:rsidR="00E11938">
        <w:rPr>
          <w:noProof/>
        </w:rPr>
        <w:t>27</w:t>
      </w:r>
      <w:r>
        <w:fldChar w:fldCharType="end"/>
      </w:r>
      <w:r>
        <w:t xml:space="preserve">: </w:t>
      </w:r>
      <w:r w:rsidRPr="00DD4153">
        <w:t>Application process model under the OPGGS Act and OEI Act</w:t>
      </w:r>
    </w:p>
    <w:p w14:paraId="31124F56" w14:textId="545FE3A8" w:rsidR="00C435E6" w:rsidRPr="006063AF" w:rsidRDefault="00EB74DF" w:rsidP="00383248">
      <w:pPr>
        <w:ind w:left="720"/>
        <w:rPr>
          <w:b/>
          <w:sz w:val="20"/>
          <w:szCs w:val="20"/>
        </w:rPr>
      </w:pPr>
      <w:r w:rsidRPr="006063AF">
        <w:rPr>
          <w:b/>
          <w:sz w:val="20"/>
          <w:szCs w:val="20"/>
        </w:rPr>
        <w:t xml:space="preserve">Alternative text description: </w:t>
      </w:r>
      <w:r w:rsidR="00D80F0E" w:rsidRPr="006063AF">
        <w:rPr>
          <w:sz w:val="20"/>
          <w:szCs w:val="20"/>
        </w:rPr>
        <w:t>D</w:t>
      </w:r>
      <w:r w:rsidR="007B050D" w:rsidRPr="006063AF">
        <w:rPr>
          <w:sz w:val="20"/>
          <w:szCs w:val="20"/>
        </w:rPr>
        <w:t>iagram of the</w:t>
      </w:r>
      <w:r w:rsidR="00FD1005" w:rsidRPr="006063AF">
        <w:rPr>
          <w:sz w:val="20"/>
          <w:szCs w:val="20"/>
        </w:rPr>
        <w:t xml:space="preserve"> application process flowchart</w:t>
      </w:r>
      <w:r w:rsidR="007B050D" w:rsidRPr="006063AF">
        <w:rPr>
          <w:sz w:val="20"/>
          <w:szCs w:val="20"/>
        </w:rPr>
        <w:t xml:space="preserve">. </w:t>
      </w:r>
      <w:r w:rsidR="00C435E6" w:rsidRPr="006063AF">
        <w:rPr>
          <w:sz w:val="20"/>
          <w:szCs w:val="20"/>
        </w:rPr>
        <w:t>The broad process is below</w:t>
      </w:r>
      <w:r w:rsidR="00C00E3F" w:rsidRPr="006063AF">
        <w:rPr>
          <w:sz w:val="20"/>
          <w:szCs w:val="20"/>
        </w:rPr>
        <w:t>.</w:t>
      </w:r>
      <w:r w:rsidR="008653B3" w:rsidRPr="006063AF">
        <w:rPr>
          <w:sz w:val="20"/>
          <w:szCs w:val="20"/>
        </w:rPr>
        <w:t xml:space="preserve"> Throughout the application process exceptions might occur and numerous interactions may happen at each stage</w:t>
      </w:r>
      <w:r w:rsidR="00954A32" w:rsidRPr="006063AF">
        <w:rPr>
          <w:sz w:val="20"/>
          <w:szCs w:val="20"/>
        </w:rPr>
        <w:t>.</w:t>
      </w:r>
    </w:p>
    <w:p w14:paraId="4F20E6E5" w14:textId="60EFB109" w:rsidR="0039364C" w:rsidRPr="000C1E0C" w:rsidRDefault="00195E71" w:rsidP="00087F9A">
      <w:pPr>
        <w:ind w:left="720"/>
        <w:rPr>
          <w:sz w:val="20"/>
          <w:szCs w:val="20"/>
        </w:rPr>
      </w:pPr>
      <w:r w:rsidRPr="00087F9A">
        <w:rPr>
          <w:sz w:val="20"/>
          <w:szCs w:val="20"/>
        </w:rPr>
        <w:t>The</w:t>
      </w:r>
      <w:r w:rsidR="006B5A14" w:rsidRPr="00087F9A" w:rsidDel="00927F5A">
        <w:rPr>
          <w:sz w:val="20"/>
          <w:szCs w:val="20"/>
        </w:rPr>
        <w:t xml:space="preserve"> </w:t>
      </w:r>
      <w:r w:rsidR="00927F5A" w:rsidRPr="00087F9A">
        <w:rPr>
          <w:sz w:val="20"/>
          <w:szCs w:val="20"/>
        </w:rPr>
        <w:t xml:space="preserve">applicant </w:t>
      </w:r>
      <w:r w:rsidR="006B5A14" w:rsidRPr="00977C0C">
        <w:rPr>
          <w:sz w:val="20"/>
          <w:szCs w:val="20"/>
        </w:rPr>
        <w:t xml:space="preserve">submits a valid application </w:t>
      </w:r>
      <w:r w:rsidR="001909A3" w:rsidRPr="00977C0C">
        <w:rPr>
          <w:sz w:val="20"/>
          <w:szCs w:val="20"/>
        </w:rPr>
        <w:t>to the Titles Administrator and Registrar</w:t>
      </w:r>
      <w:r w:rsidR="00074974" w:rsidRPr="00977C0C">
        <w:rPr>
          <w:sz w:val="20"/>
          <w:szCs w:val="20"/>
        </w:rPr>
        <w:t xml:space="preserve">. </w:t>
      </w:r>
      <w:r w:rsidR="007452E3" w:rsidRPr="00977C0C">
        <w:rPr>
          <w:sz w:val="20"/>
          <w:szCs w:val="20"/>
        </w:rPr>
        <w:t xml:space="preserve">After this </w:t>
      </w:r>
      <w:r w:rsidR="0039364C" w:rsidRPr="00977C0C">
        <w:rPr>
          <w:sz w:val="20"/>
          <w:szCs w:val="20"/>
        </w:rPr>
        <w:t xml:space="preserve">the Titles Administrator and Registrar </w:t>
      </w:r>
      <w:r w:rsidR="00357BF8" w:rsidRPr="000C1E0C">
        <w:rPr>
          <w:sz w:val="20"/>
          <w:szCs w:val="20"/>
        </w:rPr>
        <w:t>reviews</w:t>
      </w:r>
      <w:r w:rsidR="0039364C" w:rsidRPr="000C1E0C">
        <w:rPr>
          <w:sz w:val="20"/>
          <w:szCs w:val="20"/>
        </w:rPr>
        <w:t xml:space="preserve">: </w:t>
      </w:r>
    </w:p>
    <w:p w14:paraId="251AB999" w14:textId="77777777" w:rsidR="002E5CDE" w:rsidRDefault="0039364C" w:rsidP="003E5B37">
      <w:pPr>
        <w:pStyle w:val="Alttextbullets"/>
      </w:pPr>
      <w:r w:rsidRPr="007B49E6">
        <w:t>Assessment of validity of application</w:t>
      </w:r>
    </w:p>
    <w:p w14:paraId="2847BA1C" w14:textId="77777777" w:rsidR="0039364C" w:rsidRDefault="0058752D" w:rsidP="003E5B37">
      <w:pPr>
        <w:pStyle w:val="Alttextbullets"/>
      </w:pPr>
      <w:r w:rsidRPr="002E5CDE">
        <w:t>Checking of compliance related matters</w:t>
      </w:r>
    </w:p>
    <w:p w14:paraId="53D1C3A8" w14:textId="13F696E5" w:rsidR="0058752D" w:rsidRPr="002E5CDE" w:rsidRDefault="0058752D" w:rsidP="003E5B37">
      <w:pPr>
        <w:pStyle w:val="Alttextbullets"/>
      </w:pPr>
      <w:r w:rsidRPr="002E5CDE">
        <w:t>Re</w:t>
      </w:r>
      <w:r w:rsidR="000E39CE" w:rsidRPr="002E5CDE">
        <w:t>quests for further information (if necessary)</w:t>
      </w:r>
      <w:r w:rsidR="00B860B3" w:rsidRPr="002E5CDE">
        <w:t>.</w:t>
      </w:r>
      <w:r w:rsidR="000E39CE" w:rsidRPr="002E5CDE">
        <w:t xml:space="preserve"> </w:t>
      </w:r>
    </w:p>
    <w:p w14:paraId="67D18061" w14:textId="63BD84EF" w:rsidR="00122B30" w:rsidRPr="00977C0C" w:rsidRDefault="000D32C0" w:rsidP="00977C0C">
      <w:pPr>
        <w:ind w:left="720"/>
        <w:rPr>
          <w:sz w:val="20"/>
          <w:szCs w:val="20"/>
        </w:rPr>
      </w:pPr>
      <w:r w:rsidRPr="00977C0C">
        <w:rPr>
          <w:sz w:val="20"/>
          <w:szCs w:val="20"/>
        </w:rPr>
        <w:t>If</w:t>
      </w:r>
      <w:r w:rsidR="000F2535" w:rsidRPr="00977C0C">
        <w:rPr>
          <w:sz w:val="20"/>
          <w:szCs w:val="20"/>
        </w:rPr>
        <w:t xml:space="preserve"> this is deemed suitable </w:t>
      </w:r>
      <w:r w:rsidR="004139AE" w:rsidRPr="00977C0C">
        <w:rPr>
          <w:sz w:val="20"/>
          <w:szCs w:val="20"/>
        </w:rPr>
        <w:t xml:space="preserve">– </w:t>
      </w:r>
      <w:r w:rsidR="00BA2BE4" w:rsidRPr="00977C0C">
        <w:rPr>
          <w:sz w:val="20"/>
          <w:szCs w:val="20"/>
        </w:rPr>
        <w:t>the follow</w:t>
      </w:r>
      <w:r w:rsidR="007B7748" w:rsidRPr="00977C0C">
        <w:rPr>
          <w:sz w:val="20"/>
          <w:szCs w:val="20"/>
        </w:rPr>
        <w:t>ing</w:t>
      </w:r>
      <w:r w:rsidR="00911F6D" w:rsidRPr="00977C0C">
        <w:rPr>
          <w:sz w:val="20"/>
          <w:szCs w:val="20"/>
        </w:rPr>
        <w:t xml:space="preserve"> </w:t>
      </w:r>
      <w:r w:rsidR="00AC74A0" w:rsidRPr="00977C0C">
        <w:rPr>
          <w:sz w:val="20"/>
          <w:szCs w:val="20"/>
        </w:rPr>
        <w:t>occurs</w:t>
      </w:r>
      <w:r w:rsidR="00911F6D" w:rsidRPr="00977C0C">
        <w:rPr>
          <w:sz w:val="20"/>
          <w:szCs w:val="20"/>
        </w:rPr>
        <w:t xml:space="preserve">: </w:t>
      </w:r>
    </w:p>
    <w:p w14:paraId="3F470A13" w14:textId="24C585BC" w:rsidR="00911F6D" w:rsidRPr="006063AF" w:rsidRDefault="003F1FBC" w:rsidP="003E5B37">
      <w:pPr>
        <w:pStyle w:val="Alttextbullets"/>
      </w:pPr>
      <w:r w:rsidRPr="006063AF">
        <w:t xml:space="preserve">An assessment of application and preparation of advice will be </w:t>
      </w:r>
      <w:r w:rsidR="00730225" w:rsidRPr="006063AF">
        <w:t>prepared</w:t>
      </w:r>
      <w:r w:rsidR="00570419" w:rsidRPr="006063AF">
        <w:t>.</w:t>
      </w:r>
      <w:r w:rsidR="00730225" w:rsidRPr="006063AF">
        <w:t xml:space="preserve"> </w:t>
      </w:r>
    </w:p>
    <w:p w14:paraId="5885008C" w14:textId="114D15ED" w:rsidR="00730225" w:rsidRPr="006063AF" w:rsidRDefault="006910D9" w:rsidP="00D946F1">
      <w:pPr>
        <w:pStyle w:val="Alttextbullets"/>
      </w:pPr>
      <w:r w:rsidRPr="006063AF">
        <w:t xml:space="preserve">Some will be </w:t>
      </w:r>
      <w:r w:rsidR="00B63760" w:rsidRPr="006063AF">
        <w:t>referred</w:t>
      </w:r>
      <w:r w:rsidRPr="006063AF">
        <w:t xml:space="preserve"> to the </w:t>
      </w:r>
      <w:r w:rsidR="0032555B" w:rsidRPr="006063AF">
        <w:t xml:space="preserve">decision </w:t>
      </w:r>
      <w:r w:rsidR="00730225" w:rsidRPr="006063AF">
        <w:t>maker</w:t>
      </w:r>
      <w:r w:rsidR="00B63760" w:rsidRPr="006063AF">
        <w:t>,</w:t>
      </w:r>
      <w:r w:rsidR="00730225" w:rsidRPr="006063AF">
        <w:t xml:space="preserve"> </w:t>
      </w:r>
      <w:r w:rsidR="00A97F4C" w:rsidRPr="006063AF">
        <w:t>w</w:t>
      </w:r>
      <w:r w:rsidR="0044316F" w:rsidRPr="006063AF">
        <w:t>ho w</w:t>
      </w:r>
      <w:r w:rsidR="00A97F4C" w:rsidRPr="006063AF">
        <w:t xml:space="preserve">ill look at </w:t>
      </w:r>
      <w:r w:rsidR="00B623A2" w:rsidRPr="006063AF">
        <w:t>these</w:t>
      </w:r>
      <w:r w:rsidR="00A97F4C" w:rsidRPr="006063AF">
        <w:t xml:space="preserve"> </w:t>
      </w:r>
      <w:r w:rsidR="00430854" w:rsidRPr="006063AF">
        <w:t>applications</w:t>
      </w:r>
      <w:r w:rsidR="00570419" w:rsidRPr="006063AF">
        <w:t>.</w:t>
      </w:r>
      <w:r w:rsidR="00430854" w:rsidRPr="006063AF">
        <w:t xml:space="preserve"> </w:t>
      </w:r>
    </w:p>
    <w:p w14:paraId="48E9B5A5" w14:textId="31D169C3" w:rsidR="004633FA" w:rsidRPr="000C1E0C" w:rsidRDefault="004633FA" w:rsidP="000C1E0C">
      <w:pPr>
        <w:ind w:left="720"/>
        <w:rPr>
          <w:sz w:val="20"/>
          <w:szCs w:val="20"/>
        </w:rPr>
      </w:pPr>
      <w:r w:rsidRPr="000C1E0C">
        <w:rPr>
          <w:sz w:val="20"/>
          <w:szCs w:val="20"/>
        </w:rPr>
        <w:t xml:space="preserve">After this </w:t>
      </w:r>
      <w:r w:rsidR="00670AB9" w:rsidRPr="000C1E0C">
        <w:rPr>
          <w:sz w:val="20"/>
          <w:szCs w:val="20"/>
        </w:rPr>
        <w:t xml:space="preserve">the Titles Administrator/Registrar </w:t>
      </w:r>
      <w:r w:rsidR="00231A07" w:rsidRPr="000C1E0C">
        <w:rPr>
          <w:sz w:val="20"/>
          <w:szCs w:val="20"/>
        </w:rPr>
        <w:t xml:space="preserve">will </w:t>
      </w:r>
      <w:r w:rsidR="009F257F" w:rsidRPr="000C1E0C">
        <w:rPr>
          <w:sz w:val="20"/>
          <w:szCs w:val="20"/>
        </w:rPr>
        <w:t>receive</w:t>
      </w:r>
      <w:r w:rsidR="00231A07" w:rsidRPr="000C1E0C">
        <w:rPr>
          <w:sz w:val="20"/>
          <w:szCs w:val="20"/>
        </w:rPr>
        <w:t xml:space="preserve"> advice </w:t>
      </w:r>
      <w:r w:rsidR="009F257F" w:rsidRPr="000C1E0C">
        <w:rPr>
          <w:sz w:val="20"/>
          <w:szCs w:val="20"/>
        </w:rPr>
        <w:t xml:space="preserve">from </w:t>
      </w:r>
      <w:r w:rsidR="00231A07" w:rsidRPr="000C1E0C">
        <w:rPr>
          <w:sz w:val="20"/>
          <w:szCs w:val="20"/>
        </w:rPr>
        <w:t xml:space="preserve">the decision maker who may: </w:t>
      </w:r>
    </w:p>
    <w:p w14:paraId="53D3B39D" w14:textId="20D4D4B2" w:rsidR="006354C3" w:rsidRPr="006063AF" w:rsidRDefault="006354C3" w:rsidP="003E5B37">
      <w:pPr>
        <w:pStyle w:val="Alttextbullets"/>
      </w:pPr>
      <w:r w:rsidRPr="006063AF">
        <w:t xml:space="preserve">request further information from the </w:t>
      </w:r>
      <w:r w:rsidR="00715C0E" w:rsidRPr="006063AF">
        <w:t xml:space="preserve">applicant (via TA/Registrar) </w:t>
      </w:r>
    </w:p>
    <w:p w14:paraId="47A177F3" w14:textId="77777777" w:rsidR="0044150C" w:rsidRDefault="00F0705A" w:rsidP="00B11FAF">
      <w:pPr>
        <w:pStyle w:val="Alttextbullets"/>
      </w:pPr>
      <w:r>
        <w:t xml:space="preserve">They </w:t>
      </w:r>
      <w:r w:rsidR="00715C0E" w:rsidRPr="006063AF">
        <w:t>may make a decision</w:t>
      </w:r>
      <w:r w:rsidR="00B82302" w:rsidRPr="006063AF">
        <w:t xml:space="preserve">, whereby the TA/ Registrar </w:t>
      </w:r>
      <w:r w:rsidR="001C3040" w:rsidRPr="006063AF">
        <w:t>will implement th</w:t>
      </w:r>
      <w:r w:rsidR="00C31D46" w:rsidRPr="006063AF">
        <w:t xml:space="preserve">is </w:t>
      </w:r>
      <w:r w:rsidR="001C3040" w:rsidRPr="006063AF">
        <w:t>decision</w:t>
      </w:r>
      <w:r w:rsidR="00C31D46" w:rsidRPr="006063AF">
        <w:t>,</w:t>
      </w:r>
      <w:r w:rsidR="001C3040" w:rsidRPr="006063AF">
        <w:t xml:space="preserve"> and decision docu</w:t>
      </w:r>
      <w:r w:rsidR="00E03E91" w:rsidRPr="006063AF">
        <w:t xml:space="preserve">mentation will be </w:t>
      </w:r>
      <w:r w:rsidR="00B14592" w:rsidRPr="006063AF">
        <w:t>communicated.</w:t>
      </w:r>
      <w:r w:rsidR="00E03E91" w:rsidRPr="006063AF">
        <w:t xml:space="preserve"> </w:t>
      </w:r>
      <w:r w:rsidR="00003DEA" w:rsidRPr="000C1E0C">
        <w:t xml:space="preserve">Or </w:t>
      </w:r>
      <w:r w:rsidR="00CA6467" w:rsidRPr="000C1E0C">
        <w:t xml:space="preserve">the decision maker </w:t>
      </w:r>
      <w:r w:rsidR="00B962A8" w:rsidRPr="000C1E0C">
        <w:t>may</w:t>
      </w:r>
      <w:r w:rsidR="00CA6467" w:rsidRPr="000C1E0C">
        <w:t xml:space="preserve"> refuse or partially approve an application</w:t>
      </w:r>
      <w:r w:rsidR="00F25801" w:rsidRPr="000C1E0C">
        <w:t xml:space="preserve">. </w:t>
      </w:r>
    </w:p>
    <w:p w14:paraId="14EF0496" w14:textId="203FB8CE" w:rsidR="007C476C" w:rsidRDefault="00F25801" w:rsidP="0044150C">
      <w:pPr>
        <w:pStyle w:val="Alttextbullets"/>
        <w:numPr>
          <w:ilvl w:val="0"/>
          <w:numId w:val="0"/>
        </w:numPr>
        <w:ind w:left="1434" w:hanging="357"/>
      </w:pPr>
      <w:r w:rsidRPr="000C1E0C">
        <w:t>T</w:t>
      </w:r>
      <w:r w:rsidR="007C476C">
        <w:t>he</w:t>
      </w:r>
      <w:r w:rsidR="0064194D" w:rsidRPr="000C45FF">
        <w:t xml:space="preserve"> TA will </w:t>
      </w:r>
      <w:r w:rsidR="007C476C">
        <w:t>then:</w:t>
      </w:r>
    </w:p>
    <w:p w14:paraId="0DEBE620" w14:textId="77777777" w:rsidR="007C476C" w:rsidRDefault="0064194D" w:rsidP="0044150C">
      <w:pPr>
        <w:pStyle w:val="Alttextbullets"/>
      </w:pPr>
      <w:r w:rsidRPr="006063AF">
        <w:t>manage procedural fairness process for adverse decisions (if applicable)</w:t>
      </w:r>
    </w:p>
    <w:p w14:paraId="26E730F6" w14:textId="0BE724B6" w:rsidR="00E03E91" w:rsidRDefault="00DD35B4" w:rsidP="003A396E">
      <w:pPr>
        <w:pStyle w:val="Alttextbullets"/>
      </w:pPr>
      <w:r w:rsidRPr="006063AF">
        <w:t>give</w:t>
      </w:r>
      <w:r w:rsidR="00B94924" w:rsidRPr="006063AF">
        <w:t xml:space="preserve"> </w:t>
      </w:r>
      <w:r w:rsidR="001E4FC4" w:rsidRPr="006063AF">
        <w:t xml:space="preserve">a procedural </w:t>
      </w:r>
      <w:r w:rsidR="00E81D19" w:rsidRPr="006063AF">
        <w:t>fairness assessment to the decision maker</w:t>
      </w:r>
      <w:r w:rsidR="002A7087" w:rsidRPr="006063AF">
        <w:t>.</w:t>
      </w:r>
      <w:r w:rsidR="00E81D19" w:rsidRPr="000C45FF">
        <w:t xml:space="preserve"> </w:t>
      </w:r>
    </w:p>
    <w:p w14:paraId="284A9E0B" w14:textId="77777777" w:rsidR="00E24524" w:rsidRDefault="00E24524" w:rsidP="00F82AAB">
      <w:pPr>
        <w:pStyle w:val="Alttextbullets"/>
        <w:numPr>
          <w:ilvl w:val="0"/>
          <w:numId w:val="0"/>
        </w:numPr>
        <w:ind w:left="1434" w:hanging="357"/>
        <w:sectPr w:rsidR="00E24524" w:rsidSect="000E7A46">
          <w:pgSz w:w="11906" w:h="16838" w:code="9"/>
          <w:pgMar w:top="1276" w:right="1440" w:bottom="1440" w:left="1440" w:header="567" w:footer="708" w:gutter="0"/>
          <w:cols w:space="708"/>
          <w:titlePg/>
          <w:docGrid w:linePitch="360"/>
        </w:sectPr>
      </w:pPr>
    </w:p>
    <w:p w14:paraId="14F78A89" w14:textId="77777777" w:rsidR="009222F3" w:rsidRDefault="00F47664" w:rsidP="00F47664">
      <w:pPr>
        <w:pStyle w:val="Heading3"/>
      </w:pPr>
      <w:bookmarkStart w:id="177" w:name="_Toc221544038"/>
      <w:bookmarkStart w:id="178" w:name="_Toc221546117"/>
      <w:bookmarkStart w:id="179" w:name="_Toc221627109"/>
      <w:bookmarkStart w:id="180" w:name="_Toc222500470"/>
      <w:r>
        <w:lastRenderedPageBreak/>
        <w:t>Who does what in</w:t>
      </w:r>
      <w:r w:rsidR="009222F3">
        <w:t xml:space="preserve"> government?</w:t>
      </w:r>
      <w:bookmarkEnd w:id="177"/>
      <w:bookmarkEnd w:id="178"/>
      <w:bookmarkEnd w:id="179"/>
      <w:bookmarkEnd w:id="180"/>
    </w:p>
    <w:p w14:paraId="35E4C409" w14:textId="77777777" w:rsidR="00E11938" w:rsidRDefault="00ED4F9B" w:rsidP="00E11938">
      <w:pPr>
        <w:keepNext/>
      </w:pPr>
      <w:r w:rsidRPr="00ED4F9B">
        <w:rPr>
          <w:noProof/>
        </w:rPr>
        <w:t xml:space="preserve"> </w:t>
      </w:r>
      <w:r w:rsidR="00784C07" w:rsidRPr="00784C07">
        <w:rPr>
          <w:noProof/>
        </w:rPr>
        <w:t xml:space="preserve"> </w:t>
      </w:r>
      <w:r w:rsidR="00CE14EC" w:rsidRPr="00CE14EC">
        <w:rPr>
          <w:noProof/>
        </w:rPr>
        <w:t xml:space="preserve"> </w:t>
      </w:r>
      <w:r w:rsidR="00CE14EC" w:rsidRPr="00CE14EC">
        <w:rPr>
          <w:noProof/>
        </w:rPr>
        <w:drawing>
          <wp:inline distT="0" distB="0" distL="0" distR="0" wp14:anchorId="00227D0E" wp14:editId="2448E751">
            <wp:extent cx="6958950" cy="3984568"/>
            <wp:effectExtent l="0" t="0" r="0" b="0"/>
            <wp:docPr id="1091179907" name="Picture 1" descr="Figure 28 is titled 'Who does what in government?' It outlines the role and responsibilities of the key entitles in the 3 sectors of petroleum, GHG/CCS and Offshore Infrastructure/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79907" name="Picture 1" descr="Figure 28 is titled 'Who does what in government?' It outlines the role and responsibilities of the key entitles in the 3 sectors of petroleum, GHG/CCS and Offshore Infrastructure/wind."/>
                    <pic:cNvPicPr/>
                  </pic:nvPicPr>
                  <pic:blipFill>
                    <a:blip r:embed="rId46"/>
                    <a:stretch>
                      <a:fillRect/>
                    </a:stretch>
                  </pic:blipFill>
                  <pic:spPr>
                    <a:xfrm>
                      <a:off x="0" y="0"/>
                      <a:ext cx="6971720" cy="3991880"/>
                    </a:xfrm>
                    <a:prstGeom prst="rect">
                      <a:avLst/>
                    </a:prstGeom>
                  </pic:spPr>
                </pic:pic>
              </a:graphicData>
            </a:graphic>
          </wp:inline>
        </w:drawing>
      </w:r>
    </w:p>
    <w:p w14:paraId="34E2B0B1" w14:textId="72A6FD5C" w:rsidR="00977546" w:rsidRDefault="00E11938" w:rsidP="00E11938">
      <w:pPr>
        <w:pStyle w:val="Caption"/>
      </w:pPr>
      <w:r>
        <w:t xml:space="preserve">Figure </w:t>
      </w:r>
      <w:r>
        <w:fldChar w:fldCharType="begin"/>
      </w:r>
      <w:r>
        <w:instrText xml:space="preserve"> SEQ Figure \* ARABIC </w:instrText>
      </w:r>
      <w:r>
        <w:fldChar w:fldCharType="separate"/>
      </w:r>
      <w:r>
        <w:rPr>
          <w:noProof/>
        </w:rPr>
        <w:t>28</w:t>
      </w:r>
      <w:r>
        <w:fldChar w:fldCharType="end"/>
      </w:r>
      <w:r>
        <w:t xml:space="preserve">: </w:t>
      </w:r>
      <w:r w:rsidRPr="000B0AD9">
        <w:t>A whole-of-government table outlining the roles of key entities in 3 sectors</w:t>
      </w:r>
    </w:p>
    <w:p w14:paraId="22561A18" w14:textId="77777777" w:rsidR="00083230" w:rsidRPr="00083230" w:rsidRDefault="00083230" w:rsidP="00083230"/>
    <w:p w14:paraId="5486D916" w14:textId="77777777" w:rsidR="00A9328D" w:rsidRDefault="00A9328D" w:rsidP="00A9328D">
      <w:pPr>
        <w:sectPr w:rsidR="00A9328D" w:rsidSect="00A9328D">
          <w:pgSz w:w="16838" w:h="11906" w:orient="landscape" w:code="9"/>
          <w:pgMar w:top="1440" w:right="1276" w:bottom="1440" w:left="1440" w:header="567" w:footer="708" w:gutter="0"/>
          <w:cols w:space="708"/>
          <w:titlePg/>
          <w:docGrid w:linePitch="360"/>
        </w:sectPr>
      </w:pPr>
    </w:p>
    <w:p w14:paraId="28E193BE" w14:textId="70112A49" w:rsidR="00DE2A69" w:rsidRDefault="00A9328D" w:rsidP="00654FC9">
      <w:pPr>
        <w:ind w:left="720"/>
        <w:rPr>
          <w:sz w:val="20"/>
          <w:szCs w:val="20"/>
        </w:rPr>
      </w:pPr>
      <w:r>
        <w:rPr>
          <w:b/>
          <w:bCs/>
          <w:sz w:val="20"/>
          <w:szCs w:val="20"/>
        </w:rPr>
        <w:lastRenderedPageBreak/>
        <w:t>Figure 2</w:t>
      </w:r>
      <w:r w:rsidR="005727EA">
        <w:rPr>
          <w:b/>
          <w:bCs/>
          <w:sz w:val="20"/>
          <w:szCs w:val="20"/>
        </w:rPr>
        <w:t>8</w:t>
      </w:r>
      <w:r>
        <w:rPr>
          <w:b/>
          <w:bCs/>
          <w:sz w:val="20"/>
          <w:szCs w:val="20"/>
        </w:rPr>
        <w:t xml:space="preserve">, </w:t>
      </w:r>
      <w:r w:rsidR="00A73655">
        <w:rPr>
          <w:b/>
          <w:bCs/>
          <w:sz w:val="20"/>
          <w:szCs w:val="20"/>
        </w:rPr>
        <w:t>a</w:t>
      </w:r>
      <w:r w:rsidR="00F767E4" w:rsidRPr="00654FC9">
        <w:rPr>
          <w:b/>
          <w:bCs/>
          <w:sz w:val="20"/>
          <w:szCs w:val="20"/>
        </w:rPr>
        <w:t xml:space="preserve">lternative text description: </w:t>
      </w:r>
      <w:r w:rsidR="006F6776" w:rsidRPr="00654FC9">
        <w:rPr>
          <w:sz w:val="20"/>
          <w:szCs w:val="20"/>
        </w:rPr>
        <w:t xml:space="preserve">The </w:t>
      </w:r>
      <w:r w:rsidR="002F29D0">
        <w:rPr>
          <w:sz w:val="20"/>
          <w:szCs w:val="20"/>
        </w:rPr>
        <w:t>w</w:t>
      </w:r>
      <w:r w:rsidR="002F29D0" w:rsidRPr="002F29D0">
        <w:rPr>
          <w:sz w:val="20"/>
          <w:szCs w:val="20"/>
        </w:rPr>
        <w:t>hole</w:t>
      </w:r>
      <w:r w:rsidR="277A1121" w:rsidRPr="1CDB3AD2">
        <w:rPr>
          <w:sz w:val="20"/>
          <w:szCs w:val="20"/>
        </w:rPr>
        <w:t>-</w:t>
      </w:r>
      <w:r w:rsidR="002F29D0" w:rsidRPr="002F29D0">
        <w:rPr>
          <w:sz w:val="20"/>
          <w:szCs w:val="20"/>
        </w:rPr>
        <w:t>of</w:t>
      </w:r>
      <w:r w:rsidR="51A07073" w:rsidRPr="1CDB3AD2">
        <w:rPr>
          <w:sz w:val="20"/>
          <w:szCs w:val="20"/>
        </w:rPr>
        <w:t>-</w:t>
      </w:r>
      <w:r w:rsidR="002F29D0" w:rsidRPr="002F29D0">
        <w:rPr>
          <w:sz w:val="20"/>
          <w:szCs w:val="20"/>
        </w:rPr>
        <w:t>government</w:t>
      </w:r>
      <w:r w:rsidR="002F29D0">
        <w:rPr>
          <w:sz w:val="20"/>
          <w:szCs w:val="20"/>
        </w:rPr>
        <w:t xml:space="preserve"> </w:t>
      </w:r>
      <w:r w:rsidR="006F6776" w:rsidRPr="00654FC9">
        <w:rPr>
          <w:sz w:val="20"/>
          <w:szCs w:val="20"/>
        </w:rPr>
        <w:t>table</w:t>
      </w:r>
      <w:r w:rsidR="00933AB4" w:rsidRPr="00654FC9">
        <w:rPr>
          <w:sz w:val="20"/>
          <w:szCs w:val="20"/>
        </w:rPr>
        <w:t xml:space="preserve"> </w:t>
      </w:r>
      <w:r w:rsidR="006F6776" w:rsidRPr="00654FC9">
        <w:rPr>
          <w:sz w:val="20"/>
          <w:szCs w:val="20"/>
        </w:rPr>
        <w:t>outlin</w:t>
      </w:r>
      <w:r w:rsidR="00812610">
        <w:rPr>
          <w:sz w:val="20"/>
          <w:szCs w:val="20"/>
        </w:rPr>
        <w:t>es</w:t>
      </w:r>
      <w:r w:rsidR="00E60CF0" w:rsidRPr="00654FC9">
        <w:rPr>
          <w:sz w:val="20"/>
          <w:szCs w:val="20"/>
        </w:rPr>
        <w:t xml:space="preserve"> the roles of key entities across petroleum, greenhouse gas and offshore renewable</w:t>
      </w:r>
      <w:r w:rsidR="005727EA">
        <w:rPr>
          <w:sz w:val="20"/>
          <w:szCs w:val="20"/>
        </w:rPr>
        <w:t xml:space="preserve"> </w:t>
      </w:r>
      <w:r w:rsidR="007878E6" w:rsidRPr="00654FC9">
        <w:rPr>
          <w:sz w:val="20"/>
          <w:szCs w:val="20"/>
        </w:rPr>
        <w:t>infrastructure</w:t>
      </w:r>
      <w:r w:rsidR="007878E6" w:rsidRPr="00C02AC5">
        <w:rPr>
          <w:sz w:val="20"/>
          <w:szCs w:val="20"/>
        </w:rPr>
        <w:t>.</w:t>
      </w:r>
      <w:r w:rsidR="006F6776" w:rsidRPr="002F29D0">
        <w:rPr>
          <w:color w:val="FF0000"/>
          <w:sz w:val="20"/>
          <w:szCs w:val="20"/>
        </w:rPr>
        <w:t xml:space="preserve"> </w:t>
      </w:r>
    </w:p>
    <w:p w14:paraId="7A4D64A1" w14:textId="3439CFB1" w:rsidR="0030276C" w:rsidRPr="00064359" w:rsidRDefault="0030276C" w:rsidP="00654FC9">
      <w:pPr>
        <w:ind w:left="720"/>
        <w:rPr>
          <w:rStyle w:val="Strong"/>
          <w:sz w:val="24"/>
          <w:szCs w:val="24"/>
        </w:rPr>
      </w:pPr>
      <w:r w:rsidRPr="00064359">
        <w:rPr>
          <w:rStyle w:val="Strong"/>
          <w:sz w:val="24"/>
          <w:szCs w:val="24"/>
        </w:rPr>
        <w:t>Petroleum</w:t>
      </w:r>
    </w:p>
    <w:p w14:paraId="061A5CF1" w14:textId="7803BABC" w:rsidR="0030276C" w:rsidRPr="002F29D0" w:rsidRDefault="0030276C" w:rsidP="00654FC9">
      <w:pPr>
        <w:ind w:left="720"/>
        <w:rPr>
          <w:rStyle w:val="Strong"/>
          <w:sz w:val="20"/>
          <w:szCs w:val="20"/>
        </w:rPr>
      </w:pPr>
      <w:r w:rsidRPr="002F29D0">
        <w:rPr>
          <w:rStyle w:val="Strong"/>
          <w:sz w:val="20"/>
          <w:szCs w:val="20"/>
        </w:rPr>
        <w:t>T</w:t>
      </w:r>
      <w:r w:rsidR="00C2785D" w:rsidRPr="002F29D0">
        <w:rPr>
          <w:rStyle w:val="Strong"/>
          <w:sz w:val="20"/>
          <w:szCs w:val="20"/>
        </w:rPr>
        <w:t xml:space="preserve">itles </w:t>
      </w:r>
      <w:r w:rsidRPr="002F29D0">
        <w:rPr>
          <w:rStyle w:val="Strong"/>
          <w:sz w:val="20"/>
          <w:szCs w:val="20"/>
        </w:rPr>
        <w:t>A</w:t>
      </w:r>
      <w:r w:rsidR="00C2785D" w:rsidRPr="002F29D0">
        <w:rPr>
          <w:rStyle w:val="Strong"/>
          <w:sz w:val="20"/>
          <w:szCs w:val="20"/>
        </w:rPr>
        <w:t>dministrator</w:t>
      </w:r>
      <w:r w:rsidRPr="002F29D0">
        <w:rPr>
          <w:rStyle w:val="Strong"/>
          <w:sz w:val="20"/>
          <w:szCs w:val="20"/>
        </w:rPr>
        <w:t xml:space="preserve"> functions:</w:t>
      </w:r>
    </w:p>
    <w:p w14:paraId="3C6C451F" w14:textId="3F3020A5" w:rsidR="0030276C" w:rsidRPr="00C51CAF" w:rsidRDefault="0030276C" w:rsidP="003651D8">
      <w:pPr>
        <w:numPr>
          <w:ilvl w:val="0"/>
          <w:numId w:val="23"/>
        </w:numPr>
        <w:ind w:left="1800"/>
        <w:rPr>
          <w:sz w:val="20"/>
          <w:szCs w:val="20"/>
        </w:rPr>
      </w:pPr>
      <w:r w:rsidRPr="00C51CAF">
        <w:rPr>
          <w:sz w:val="20"/>
          <w:szCs w:val="20"/>
        </w:rPr>
        <w:t>Decision maker for the approval and registration of change in control of a registered titleholder, transfers and dealings, and for granting of short-term titles.</w:t>
      </w:r>
      <w:r w:rsidR="00D949DF" w:rsidRPr="00C51CAF">
        <w:rPr>
          <w:sz w:val="20"/>
          <w:szCs w:val="20"/>
        </w:rPr>
        <w:t xml:space="preserve"> </w:t>
      </w:r>
    </w:p>
    <w:p w14:paraId="20A47940" w14:textId="22A1D0E5" w:rsidR="0030276C" w:rsidRPr="00C51CAF" w:rsidRDefault="0030276C" w:rsidP="003651D8">
      <w:pPr>
        <w:numPr>
          <w:ilvl w:val="0"/>
          <w:numId w:val="23"/>
        </w:numPr>
        <w:ind w:left="1800"/>
        <w:rPr>
          <w:sz w:val="20"/>
          <w:szCs w:val="20"/>
        </w:rPr>
      </w:pPr>
      <w:r w:rsidRPr="00C51CAF">
        <w:rPr>
          <w:sz w:val="20"/>
          <w:szCs w:val="20"/>
        </w:rPr>
        <w:t>Provides advice and recommendations to the relevant decision makers under the OPGGS Act and associated regulations.</w:t>
      </w:r>
    </w:p>
    <w:p w14:paraId="60CC4E8F" w14:textId="4A38D546" w:rsidR="0030276C" w:rsidRPr="00C51CAF" w:rsidRDefault="0030276C" w:rsidP="003651D8">
      <w:pPr>
        <w:numPr>
          <w:ilvl w:val="0"/>
          <w:numId w:val="23"/>
        </w:numPr>
        <w:ind w:left="1800"/>
        <w:rPr>
          <w:sz w:val="20"/>
          <w:szCs w:val="20"/>
        </w:rPr>
      </w:pPr>
      <w:r w:rsidRPr="00C51CAF">
        <w:rPr>
          <w:sz w:val="20"/>
          <w:szCs w:val="20"/>
        </w:rPr>
        <w:t>Facilitates life of title administration, including compliance monitoring. </w:t>
      </w:r>
    </w:p>
    <w:p w14:paraId="18EEBAA3" w14:textId="0A765F00" w:rsidR="0030276C" w:rsidRPr="00C51CAF" w:rsidRDefault="0030276C" w:rsidP="003651D8">
      <w:pPr>
        <w:numPr>
          <w:ilvl w:val="0"/>
          <w:numId w:val="23"/>
        </w:numPr>
        <w:ind w:left="1800"/>
        <w:rPr>
          <w:sz w:val="20"/>
          <w:szCs w:val="20"/>
        </w:rPr>
      </w:pPr>
      <w:r w:rsidRPr="00C51CAF">
        <w:rPr>
          <w:sz w:val="20"/>
          <w:szCs w:val="20"/>
        </w:rPr>
        <w:t>Manage the submission and release of data.</w:t>
      </w:r>
    </w:p>
    <w:p w14:paraId="197ACE44" w14:textId="1869B1EA" w:rsidR="0030276C" w:rsidRPr="00C51CAF" w:rsidRDefault="0030276C" w:rsidP="003651D8">
      <w:pPr>
        <w:numPr>
          <w:ilvl w:val="0"/>
          <w:numId w:val="23"/>
        </w:numPr>
        <w:ind w:left="1800"/>
        <w:rPr>
          <w:sz w:val="20"/>
          <w:szCs w:val="20"/>
        </w:rPr>
      </w:pPr>
      <w:r w:rsidRPr="00C51CAF">
        <w:rPr>
          <w:sz w:val="20"/>
          <w:szCs w:val="20"/>
        </w:rPr>
        <w:t>Maintain the public registers of offshore petroleum and GHG titles. </w:t>
      </w:r>
    </w:p>
    <w:p w14:paraId="1747D262" w14:textId="3B298450" w:rsidR="0030276C" w:rsidRPr="00C51CAF" w:rsidRDefault="0030276C" w:rsidP="00C51CAF">
      <w:pPr>
        <w:ind w:left="720"/>
        <w:rPr>
          <w:sz w:val="20"/>
          <w:szCs w:val="20"/>
        </w:rPr>
      </w:pPr>
      <w:r w:rsidRPr="00C51CAF">
        <w:rPr>
          <w:rStyle w:val="Strong"/>
          <w:sz w:val="20"/>
          <w:szCs w:val="20"/>
        </w:rPr>
        <w:t xml:space="preserve">Joint </w:t>
      </w:r>
      <w:r w:rsidR="00A468B9" w:rsidRPr="00C51CAF">
        <w:rPr>
          <w:rStyle w:val="Strong"/>
          <w:sz w:val="20"/>
          <w:szCs w:val="20"/>
        </w:rPr>
        <w:t>A</w:t>
      </w:r>
      <w:r w:rsidRPr="00C51CAF">
        <w:rPr>
          <w:rStyle w:val="Strong"/>
          <w:sz w:val="20"/>
          <w:szCs w:val="20"/>
        </w:rPr>
        <w:t>uthority</w:t>
      </w:r>
      <w:r w:rsidR="00E9423A" w:rsidRPr="00C51CAF">
        <w:rPr>
          <w:sz w:val="20"/>
          <w:szCs w:val="20"/>
        </w:rPr>
        <w:t>:</w:t>
      </w:r>
    </w:p>
    <w:p w14:paraId="237FEBD9" w14:textId="77777777" w:rsidR="00EE06B2" w:rsidRPr="00C51CAF" w:rsidRDefault="0030276C" w:rsidP="003651D8">
      <w:pPr>
        <w:numPr>
          <w:ilvl w:val="0"/>
          <w:numId w:val="24"/>
        </w:numPr>
        <w:ind w:left="1800"/>
        <w:rPr>
          <w:sz w:val="20"/>
          <w:szCs w:val="20"/>
        </w:rPr>
      </w:pPr>
      <w:r w:rsidRPr="00C51CAF">
        <w:rPr>
          <w:sz w:val="20"/>
          <w:szCs w:val="20"/>
          <w:lang w:val="en-US"/>
        </w:rPr>
        <w:t>Decision maker for the grant, renewal, variation, surrender and cancellation/termination (as applicable) of offshore petroleum exploration permits, retention leases and production licences.</w:t>
      </w:r>
    </w:p>
    <w:p w14:paraId="02C34BAE" w14:textId="14257224" w:rsidR="0030276C" w:rsidRPr="00C51CAF" w:rsidRDefault="0030276C" w:rsidP="003651D8">
      <w:pPr>
        <w:numPr>
          <w:ilvl w:val="0"/>
          <w:numId w:val="24"/>
        </w:numPr>
        <w:ind w:left="1800"/>
        <w:rPr>
          <w:sz w:val="20"/>
          <w:szCs w:val="20"/>
        </w:rPr>
      </w:pPr>
      <w:r w:rsidRPr="00C51CAF">
        <w:rPr>
          <w:sz w:val="20"/>
          <w:szCs w:val="20"/>
          <w:lang w:val="en-US"/>
        </w:rPr>
        <w:t>Decision maker for petroleum and GHG pipeline and infrastructure licences.</w:t>
      </w:r>
    </w:p>
    <w:p w14:paraId="193AFFFF" w14:textId="39623579" w:rsidR="0030276C" w:rsidRPr="00C51CAF" w:rsidRDefault="0030276C" w:rsidP="003651D8">
      <w:pPr>
        <w:numPr>
          <w:ilvl w:val="0"/>
          <w:numId w:val="24"/>
        </w:numPr>
        <w:ind w:left="1800"/>
        <w:rPr>
          <w:sz w:val="20"/>
          <w:szCs w:val="20"/>
        </w:rPr>
      </w:pPr>
      <w:r w:rsidRPr="00C51CAF">
        <w:rPr>
          <w:sz w:val="20"/>
          <w:szCs w:val="20"/>
          <w:lang w:val="en-US"/>
        </w:rPr>
        <w:t xml:space="preserve">Comprises of the relevant State/NT and /or the </w:t>
      </w:r>
      <w:r w:rsidR="00942899" w:rsidRPr="00C51CAF">
        <w:rPr>
          <w:sz w:val="20"/>
          <w:szCs w:val="20"/>
          <w:lang w:val="en-US"/>
        </w:rPr>
        <w:t>R</w:t>
      </w:r>
      <w:r w:rsidRPr="00C51CAF">
        <w:rPr>
          <w:sz w:val="20"/>
          <w:szCs w:val="20"/>
          <w:lang w:val="en-US"/>
        </w:rPr>
        <w:t>esponsible Commonwealth Minister.</w:t>
      </w:r>
    </w:p>
    <w:p w14:paraId="077B8C72" w14:textId="476D41DE" w:rsidR="0030276C" w:rsidRPr="001B4976" w:rsidRDefault="0030276C" w:rsidP="001B4976">
      <w:pPr>
        <w:ind w:left="720"/>
        <w:rPr>
          <w:sz w:val="20"/>
          <w:szCs w:val="20"/>
        </w:rPr>
      </w:pPr>
      <w:r w:rsidRPr="001B4976">
        <w:rPr>
          <w:rStyle w:val="Strong"/>
          <w:sz w:val="20"/>
          <w:szCs w:val="20"/>
        </w:rPr>
        <w:t>Cross-boundary authority</w:t>
      </w:r>
      <w:r w:rsidRPr="001B4976">
        <w:rPr>
          <w:sz w:val="20"/>
          <w:szCs w:val="20"/>
        </w:rPr>
        <w:t>: not applicable</w:t>
      </w:r>
      <w:r w:rsidR="002C7DC1">
        <w:rPr>
          <w:sz w:val="20"/>
          <w:szCs w:val="20"/>
        </w:rPr>
        <w:t>.</w:t>
      </w:r>
    </w:p>
    <w:p w14:paraId="29C79B60" w14:textId="21491E73" w:rsidR="0030276C" w:rsidRPr="001B4976" w:rsidRDefault="0030276C" w:rsidP="001B4976">
      <w:pPr>
        <w:ind w:left="720"/>
        <w:rPr>
          <w:sz w:val="20"/>
          <w:szCs w:val="20"/>
        </w:rPr>
      </w:pPr>
      <w:r w:rsidRPr="001B4976">
        <w:rPr>
          <w:b/>
          <w:sz w:val="20"/>
          <w:szCs w:val="20"/>
        </w:rPr>
        <w:t>Respon</w:t>
      </w:r>
      <w:r w:rsidR="001E23D6" w:rsidRPr="001B4976">
        <w:rPr>
          <w:b/>
          <w:sz w:val="20"/>
          <w:szCs w:val="20"/>
        </w:rPr>
        <w:t>s</w:t>
      </w:r>
      <w:r w:rsidRPr="001B4976">
        <w:rPr>
          <w:b/>
          <w:sz w:val="20"/>
          <w:szCs w:val="20"/>
        </w:rPr>
        <w:t>ib</w:t>
      </w:r>
      <w:r w:rsidR="001E23D6" w:rsidRPr="001B4976">
        <w:rPr>
          <w:b/>
          <w:sz w:val="20"/>
          <w:szCs w:val="20"/>
        </w:rPr>
        <w:t>l</w:t>
      </w:r>
      <w:r w:rsidRPr="001B4976">
        <w:rPr>
          <w:b/>
          <w:sz w:val="20"/>
          <w:szCs w:val="20"/>
        </w:rPr>
        <w:t xml:space="preserve">e </w:t>
      </w:r>
      <w:r w:rsidR="00A56654" w:rsidRPr="001B4976">
        <w:rPr>
          <w:b/>
          <w:sz w:val="20"/>
          <w:szCs w:val="20"/>
        </w:rPr>
        <w:t>Commonwealth Minister</w:t>
      </w:r>
      <w:r w:rsidRPr="001B4976">
        <w:rPr>
          <w:sz w:val="20"/>
          <w:szCs w:val="20"/>
        </w:rPr>
        <w:t>: not applicable</w:t>
      </w:r>
      <w:r w:rsidR="002C7DC1">
        <w:rPr>
          <w:sz w:val="20"/>
          <w:szCs w:val="20"/>
        </w:rPr>
        <w:t>.</w:t>
      </w:r>
    </w:p>
    <w:p w14:paraId="4D7ECFC6" w14:textId="7E19DC2A" w:rsidR="0030276C" w:rsidRPr="001B4976" w:rsidRDefault="0030276C" w:rsidP="001B4976">
      <w:pPr>
        <w:ind w:left="720"/>
        <w:rPr>
          <w:sz w:val="20"/>
          <w:szCs w:val="20"/>
          <w:lang w:val="en-US"/>
        </w:rPr>
      </w:pPr>
      <w:r w:rsidRPr="001B4976">
        <w:rPr>
          <w:b/>
          <w:sz w:val="20"/>
          <w:szCs w:val="20"/>
        </w:rPr>
        <w:t>NOPSEMA</w:t>
      </w:r>
      <w:r w:rsidR="008469A4" w:rsidRPr="001B4976">
        <w:rPr>
          <w:b/>
          <w:sz w:val="20"/>
          <w:szCs w:val="20"/>
        </w:rPr>
        <w:t xml:space="preserve">: </w:t>
      </w:r>
      <w:r w:rsidRPr="001B4976">
        <w:rPr>
          <w:sz w:val="20"/>
          <w:szCs w:val="20"/>
          <w:lang w:val="en-US"/>
        </w:rPr>
        <w:t>Regulator for health, safety, infrastructure and well integrity, and environmental management for offshore petroleum and GHG storage in Commonwealth waters, and in coastal waters where regulatory powers and functions have been conferred.</w:t>
      </w:r>
    </w:p>
    <w:p w14:paraId="10328755" w14:textId="22BD0D04" w:rsidR="007C5B23" w:rsidRPr="001B4976" w:rsidRDefault="007C5B23" w:rsidP="001B4976">
      <w:pPr>
        <w:ind w:left="720"/>
        <w:rPr>
          <w:sz w:val="20"/>
          <w:szCs w:val="20"/>
          <w:lang w:val="en-US"/>
        </w:rPr>
      </w:pPr>
      <w:r w:rsidRPr="001B4976">
        <w:rPr>
          <w:b/>
          <w:sz w:val="20"/>
          <w:szCs w:val="20"/>
          <w:lang w:val="en-US"/>
        </w:rPr>
        <w:t xml:space="preserve">Department of Industry, Science and Research: </w:t>
      </w:r>
      <w:r w:rsidR="003F3EBD" w:rsidRPr="001B4976">
        <w:rPr>
          <w:sz w:val="20"/>
          <w:szCs w:val="20"/>
          <w:lang w:val="en-US"/>
        </w:rPr>
        <w:t xml:space="preserve">is responsible for policy relating to OPGGS Act. </w:t>
      </w:r>
    </w:p>
    <w:p w14:paraId="14F5CA4E" w14:textId="77777777" w:rsidR="0030276C" w:rsidRPr="001A7F17" w:rsidRDefault="0030276C" w:rsidP="001B4976">
      <w:pPr>
        <w:ind w:left="720"/>
        <w:rPr>
          <w:rFonts w:ascii="Aptos" w:hAnsi="Aptos"/>
          <w:b/>
          <w:sz w:val="24"/>
          <w:szCs w:val="24"/>
          <w:lang w:val="en-US"/>
        </w:rPr>
      </w:pPr>
      <w:r w:rsidRPr="001A7F17">
        <w:rPr>
          <w:rFonts w:ascii="Aptos" w:hAnsi="Aptos"/>
          <w:b/>
          <w:sz w:val="24"/>
          <w:szCs w:val="24"/>
          <w:lang w:val="en-US"/>
        </w:rPr>
        <w:t>Greenhouse gas</w:t>
      </w:r>
    </w:p>
    <w:p w14:paraId="139AAA4C" w14:textId="5314497B" w:rsidR="00405890" w:rsidRPr="001B4976" w:rsidRDefault="00405890" w:rsidP="001B4976">
      <w:pPr>
        <w:ind w:left="720"/>
        <w:rPr>
          <w:b/>
          <w:sz w:val="20"/>
          <w:szCs w:val="20"/>
          <w:lang w:val="en-US"/>
        </w:rPr>
      </w:pPr>
      <w:r w:rsidRPr="001B4976">
        <w:rPr>
          <w:b/>
          <w:sz w:val="20"/>
          <w:szCs w:val="20"/>
          <w:lang w:val="en-US"/>
        </w:rPr>
        <w:t>GHG</w:t>
      </w:r>
      <w:r w:rsidR="00D53603" w:rsidRPr="001B4976">
        <w:rPr>
          <w:b/>
          <w:sz w:val="20"/>
          <w:szCs w:val="20"/>
          <w:lang w:val="en-US"/>
        </w:rPr>
        <w:t>/CCS function</w:t>
      </w:r>
      <w:r w:rsidRPr="001B4976">
        <w:rPr>
          <w:b/>
          <w:sz w:val="20"/>
          <w:szCs w:val="20"/>
          <w:lang w:val="en-US"/>
        </w:rPr>
        <w:t xml:space="preserve"> </w:t>
      </w:r>
    </w:p>
    <w:p w14:paraId="345ED0FA" w14:textId="4CA290D2" w:rsidR="0030276C" w:rsidRPr="001B4976" w:rsidRDefault="0030276C" w:rsidP="001B4976">
      <w:pPr>
        <w:ind w:left="720"/>
        <w:rPr>
          <w:b/>
          <w:sz w:val="20"/>
          <w:szCs w:val="20"/>
          <w:lang w:val="en-US"/>
        </w:rPr>
      </w:pPr>
      <w:r w:rsidRPr="001B4976">
        <w:rPr>
          <w:b/>
          <w:sz w:val="20"/>
          <w:szCs w:val="20"/>
          <w:lang w:val="en-US"/>
        </w:rPr>
        <w:t>TA functions:</w:t>
      </w:r>
    </w:p>
    <w:p w14:paraId="3483DAF7" w14:textId="4EB368B7" w:rsidR="0030276C" w:rsidRPr="001B4976" w:rsidRDefault="0030276C" w:rsidP="003651D8">
      <w:pPr>
        <w:numPr>
          <w:ilvl w:val="0"/>
          <w:numId w:val="23"/>
        </w:numPr>
        <w:ind w:left="1440"/>
        <w:rPr>
          <w:sz w:val="20"/>
          <w:szCs w:val="20"/>
        </w:rPr>
      </w:pPr>
      <w:r w:rsidRPr="001B4976">
        <w:rPr>
          <w:sz w:val="20"/>
          <w:szCs w:val="20"/>
        </w:rPr>
        <w:t>Decision maker for the approval and registration of change in control of a registered titleholder, transfers and dealings, and for granting of short-term titles.</w:t>
      </w:r>
    </w:p>
    <w:p w14:paraId="41740EE5" w14:textId="70368CAA" w:rsidR="0030276C" w:rsidRPr="001B4976" w:rsidRDefault="0030276C" w:rsidP="003651D8">
      <w:pPr>
        <w:numPr>
          <w:ilvl w:val="0"/>
          <w:numId w:val="23"/>
        </w:numPr>
        <w:ind w:left="1440"/>
        <w:rPr>
          <w:sz w:val="20"/>
          <w:szCs w:val="20"/>
        </w:rPr>
      </w:pPr>
      <w:r w:rsidRPr="001B4976">
        <w:rPr>
          <w:sz w:val="20"/>
          <w:szCs w:val="20"/>
        </w:rPr>
        <w:t>Provides advice and recommendations to the relevant decision makers under the OPGGS Act and associated regulations.</w:t>
      </w:r>
    </w:p>
    <w:p w14:paraId="1C6C46E1" w14:textId="1CC1246C" w:rsidR="0030276C" w:rsidRPr="001B4976" w:rsidRDefault="0030276C" w:rsidP="003651D8">
      <w:pPr>
        <w:numPr>
          <w:ilvl w:val="0"/>
          <w:numId w:val="23"/>
        </w:numPr>
        <w:ind w:left="1440"/>
        <w:rPr>
          <w:sz w:val="20"/>
          <w:szCs w:val="20"/>
        </w:rPr>
      </w:pPr>
      <w:r w:rsidRPr="001B4976">
        <w:rPr>
          <w:sz w:val="20"/>
          <w:szCs w:val="20"/>
        </w:rPr>
        <w:t>Facilitates life of title administration, including compliance monitoring.</w:t>
      </w:r>
    </w:p>
    <w:p w14:paraId="00E7D77F" w14:textId="0D808468" w:rsidR="0030276C" w:rsidRPr="001B4976" w:rsidRDefault="0030276C" w:rsidP="003651D8">
      <w:pPr>
        <w:numPr>
          <w:ilvl w:val="0"/>
          <w:numId w:val="23"/>
        </w:numPr>
        <w:ind w:left="1440"/>
        <w:rPr>
          <w:sz w:val="20"/>
          <w:szCs w:val="20"/>
        </w:rPr>
      </w:pPr>
      <w:r w:rsidRPr="001B4976">
        <w:rPr>
          <w:sz w:val="20"/>
          <w:szCs w:val="20"/>
        </w:rPr>
        <w:t>Manage the submission and release of data.</w:t>
      </w:r>
    </w:p>
    <w:p w14:paraId="5942C7A0" w14:textId="182F1AC1" w:rsidR="0030276C" w:rsidRPr="001B4976" w:rsidRDefault="0030276C" w:rsidP="003651D8">
      <w:pPr>
        <w:numPr>
          <w:ilvl w:val="0"/>
          <w:numId w:val="23"/>
        </w:numPr>
        <w:ind w:left="1440"/>
        <w:rPr>
          <w:sz w:val="20"/>
          <w:szCs w:val="20"/>
        </w:rPr>
      </w:pPr>
      <w:r w:rsidRPr="001B4976">
        <w:rPr>
          <w:sz w:val="20"/>
          <w:szCs w:val="20"/>
        </w:rPr>
        <w:t>Maintain the public registers of offshore petroleum and GHG titles.</w:t>
      </w:r>
    </w:p>
    <w:p w14:paraId="71F13092" w14:textId="2D97592F" w:rsidR="0030276C" w:rsidRPr="00DC4B4D" w:rsidRDefault="0030276C" w:rsidP="001B4976">
      <w:pPr>
        <w:ind w:left="720"/>
        <w:rPr>
          <w:b/>
          <w:sz w:val="20"/>
          <w:szCs w:val="20"/>
          <w:lang w:val="en-US"/>
        </w:rPr>
      </w:pPr>
      <w:r w:rsidRPr="001B4976">
        <w:rPr>
          <w:b/>
          <w:sz w:val="20"/>
          <w:szCs w:val="20"/>
          <w:lang w:val="en-US"/>
        </w:rPr>
        <w:t xml:space="preserve">Joint </w:t>
      </w:r>
      <w:r w:rsidR="003A61FD">
        <w:rPr>
          <w:b/>
          <w:bCs/>
          <w:sz w:val="20"/>
          <w:szCs w:val="20"/>
          <w:lang w:val="en-US"/>
        </w:rPr>
        <w:t>A</w:t>
      </w:r>
      <w:r w:rsidRPr="00DC4B4D">
        <w:rPr>
          <w:b/>
          <w:bCs/>
          <w:sz w:val="20"/>
          <w:szCs w:val="20"/>
          <w:lang w:val="en-US"/>
        </w:rPr>
        <w:t>uth</w:t>
      </w:r>
      <w:r w:rsidR="000A079F" w:rsidRPr="00DC4B4D">
        <w:rPr>
          <w:b/>
          <w:bCs/>
          <w:sz w:val="20"/>
          <w:szCs w:val="20"/>
          <w:lang w:val="en-US"/>
        </w:rPr>
        <w:t>ority</w:t>
      </w:r>
      <w:r w:rsidR="000A079F" w:rsidRPr="00DC4B4D">
        <w:rPr>
          <w:b/>
          <w:sz w:val="20"/>
          <w:szCs w:val="20"/>
          <w:lang w:val="en-US"/>
        </w:rPr>
        <w:t xml:space="preserve"> </w:t>
      </w:r>
    </w:p>
    <w:p w14:paraId="16D26E05" w14:textId="1C858060" w:rsidR="0030276C" w:rsidRPr="00DC4B4D" w:rsidRDefault="0030276C" w:rsidP="003651D8">
      <w:pPr>
        <w:numPr>
          <w:ilvl w:val="0"/>
          <w:numId w:val="25"/>
        </w:numPr>
        <w:ind w:left="1440"/>
        <w:rPr>
          <w:sz w:val="20"/>
          <w:szCs w:val="20"/>
        </w:rPr>
      </w:pPr>
      <w:r w:rsidRPr="00DC4B4D">
        <w:rPr>
          <w:sz w:val="20"/>
          <w:szCs w:val="20"/>
          <w:lang w:val="en-US"/>
        </w:rPr>
        <w:t>Decision maker for petroleum and GHG pipeline and infrastructure </w:t>
      </w:r>
      <w:r w:rsidRPr="00DC4B4D">
        <w:rPr>
          <w:sz w:val="20"/>
          <w:szCs w:val="20"/>
        </w:rPr>
        <w:t>licences</w:t>
      </w:r>
      <w:r w:rsidR="00EF059C">
        <w:rPr>
          <w:sz w:val="20"/>
          <w:szCs w:val="20"/>
        </w:rPr>
        <w:t>.</w:t>
      </w:r>
      <w:r w:rsidRPr="00DC4B4D">
        <w:rPr>
          <w:sz w:val="20"/>
          <w:szCs w:val="20"/>
        </w:rPr>
        <w:t> </w:t>
      </w:r>
    </w:p>
    <w:p w14:paraId="5B67D176" w14:textId="57839350" w:rsidR="00A866C8" w:rsidRPr="00DC4B4D" w:rsidRDefault="00D0207A" w:rsidP="00DC4B4D">
      <w:pPr>
        <w:ind w:left="720"/>
        <w:rPr>
          <w:sz w:val="20"/>
          <w:szCs w:val="20"/>
        </w:rPr>
      </w:pPr>
      <w:r w:rsidRPr="00DC4B4D">
        <w:rPr>
          <w:b/>
          <w:sz w:val="20"/>
          <w:szCs w:val="20"/>
        </w:rPr>
        <w:t xml:space="preserve">Cross-boundary </w:t>
      </w:r>
      <w:r w:rsidR="00DC4B4D">
        <w:rPr>
          <w:b/>
          <w:bCs/>
          <w:sz w:val="20"/>
          <w:szCs w:val="20"/>
        </w:rPr>
        <w:t>A</w:t>
      </w:r>
      <w:r w:rsidRPr="00DC4B4D">
        <w:rPr>
          <w:b/>
          <w:sz w:val="20"/>
          <w:szCs w:val="20"/>
        </w:rPr>
        <w:t>uthority</w:t>
      </w:r>
    </w:p>
    <w:p w14:paraId="3CB30005" w14:textId="57865463" w:rsidR="00D0207A" w:rsidRPr="00D92CAD" w:rsidRDefault="00D52B86" w:rsidP="00064359">
      <w:pPr>
        <w:pStyle w:val="Alttextbullets"/>
      </w:pPr>
      <w:r w:rsidRPr="00D92CAD">
        <w:t xml:space="preserve">Decision maker for cross boundary assessment </w:t>
      </w:r>
      <w:r w:rsidR="00BE6933" w:rsidRPr="00D92CAD">
        <w:t xml:space="preserve">permits, holding leases and injection licences. </w:t>
      </w:r>
    </w:p>
    <w:p w14:paraId="5C475017" w14:textId="77777777" w:rsidR="00924497" w:rsidRPr="007361F9" w:rsidRDefault="00D0207A" w:rsidP="00DC4B4D">
      <w:pPr>
        <w:ind w:left="720"/>
        <w:rPr>
          <w:sz w:val="20"/>
          <w:szCs w:val="20"/>
        </w:rPr>
      </w:pPr>
      <w:r w:rsidRPr="007361F9">
        <w:rPr>
          <w:b/>
          <w:sz w:val="20"/>
          <w:szCs w:val="20"/>
        </w:rPr>
        <w:lastRenderedPageBreak/>
        <w:t>Responsible Commonwealth Minister</w:t>
      </w:r>
    </w:p>
    <w:p w14:paraId="4A749ECD" w14:textId="77777777" w:rsidR="00121AEA" w:rsidRDefault="00924497" w:rsidP="00D805D8">
      <w:pPr>
        <w:pStyle w:val="Alttextbullets"/>
      </w:pPr>
      <w:r w:rsidRPr="007361F9">
        <w:t xml:space="preserve">Decision maker for GHG grants, renewal, </w:t>
      </w:r>
      <w:r w:rsidR="00D11C99" w:rsidRPr="007361F9">
        <w:t xml:space="preserve">variation, surrender and cancellation/termination </w:t>
      </w:r>
      <w:r w:rsidR="00AF4970" w:rsidRPr="007361F9">
        <w:t>(as applic</w:t>
      </w:r>
      <w:r w:rsidR="00D0207A" w:rsidRPr="007361F9">
        <w:t>able</w:t>
      </w:r>
      <w:r w:rsidR="00AF4970" w:rsidRPr="007361F9">
        <w:t xml:space="preserve">) of assessment permit, holding </w:t>
      </w:r>
      <w:r w:rsidR="00A74600" w:rsidRPr="007361F9">
        <w:t xml:space="preserve">lease, injection licence and short term titles. </w:t>
      </w:r>
    </w:p>
    <w:p w14:paraId="3A14A2F2" w14:textId="3C37F9BD" w:rsidR="00D0207A" w:rsidRPr="007361F9" w:rsidRDefault="001F1288" w:rsidP="00064359">
      <w:pPr>
        <w:pStyle w:val="Alttextbullets"/>
      </w:pPr>
      <w:r w:rsidRPr="007361F9">
        <w:t>Currently, Minister for Resources</w:t>
      </w:r>
      <w:r w:rsidR="00634311" w:rsidRPr="007361F9">
        <w:t xml:space="preserve">, the Honourable Madeleine King MP. </w:t>
      </w:r>
    </w:p>
    <w:p w14:paraId="388B4A9E" w14:textId="249B99BB" w:rsidR="000D54A2" w:rsidRPr="007361F9" w:rsidRDefault="00084D87" w:rsidP="009579F8">
      <w:pPr>
        <w:ind w:left="720"/>
        <w:rPr>
          <w:sz w:val="20"/>
          <w:szCs w:val="20"/>
          <w:lang w:val="en-US"/>
        </w:rPr>
      </w:pPr>
      <w:r w:rsidRPr="007361F9">
        <w:rPr>
          <w:b/>
          <w:sz w:val="20"/>
          <w:szCs w:val="20"/>
        </w:rPr>
        <w:t>NOPSEMA</w:t>
      </w:r>
    </w:p>
    <w:p w14:paraId="37DFCDF9" w14:textId="26E4F4AD" w:rsidR="00084D87" w:rsidRPr="00691FBB" w:rsidRDefault="00084D87" w:rsidP="00064359">
      <w:pPr>
        <w:pStyle w:val="Alttextbullets"/>
        <w:rPr>
          <w:lang w:val="en-US"/>
        </w:rPr>
      </w:pPr>
      <w:r w:rsidRPr="00691FBB">
        <w:rPr>
          <w:lang w:val="en-US"/>
        </w:rPr>
        <w:t>Regulator for health, safety, infrastructure and well integrity, and environmental management for offshore petroleum and GHG storage in Commonwealth waters, and in coastal waters where regulatory powers and functions have been conferred.</w:t>
      </w:r>
    </w:p>
    <w:p w14:paraId="69EE878D" w14:textId="77777777" w:rsidR="00437568" w:rsidRPr="007361F9" w:rsidRDefault="00437568" w:rsidP="00DC4B4D">
      <w:pPr>
        <w:ind w:left="720"/>
        <w:rPr>
          <w:sz w:val="20"/>
          <w:szCs w:val="20"/>
          <w:lang w:val="en-US"/>
        </w:rPr>
      </w:pPr>
      <w:r w:rsidRPr="007361F9">
        <w:rPr>
          <w:b/>
          <w:sz w:val="20"/>
          <w:szCs w:val="20"/>
          <w:lang w:val="en-US"/>
        </w:rPr>
        <w:t xml:space="preserve">Department of Industry, Science and Research </w:t>
      </w:r>
      <w:r w:rsidRPr="007361F9">
        <w:rPr>
          <w:sz w:val="20"/>
          <w:szCs w:val="20"/>
          <w:lang w:val="en-US"/>
        </w:rPr>
        <w:t xml:space="preserve">is responsible for all policy relating to the OPGGS Act. </w:t>
      </w:r>
    </w:p>
    <w:p w14:paraId="4F498337" w14:textId="1A0490FD" w:rsidR="003111D2" w:rsidRPr="00064359" w:rsidRDefault="00653B33" w:rsidP="00DC4B4D">
      <w:pPr>
        <w:ind w:left="720"/>
        <w:rPr>
          <w:rStyle w:val="Strong"/>
          <w:sz w:val="24"/>
          <w:szCs w:val="24"/>
        </w:rPr>
      </w:pPr>
      <w:r w:rsidRPr="00064359">
        <w:rPr>
          <w:rStyle w:val="Strong"/>
          <w:sz w:val="24"/>
          <w:szCs w:val="24"/>
        </w:rPr>
        <w:t xml:space="preserve">Offshore Infrastructure/Wind </w:t>
      </w:r>
    </w:p>
    <w:p w14:paraId="11701CCA" w14:textId="34481C9A" w:rsidR="00692468" w:rsidRPr="007361F9" w:rsidRDefault="007F7734" w:rsidP="00DC4B4D">
      <w:pPr>
        <w:ind w:left="720"/>
        <w:rPr>
          <w:b/>
          <w:sz w:val="20"/>
          <w:szCs w:val="20"/>
        </w:rPr>
      </w:pPr>
      <w:r w:rsidRPr="007361F9">
        <w:rPr>
          <w:b/>
          <w:sz w:val="20"/>
          <w:szCs w:val="20"/>
        </w:rPr>
        <w:t xml:space="preserve">OEI </w:t>
      </w:r>
      <w:r w:rsidR="00692468" w:rsidRPr="007361F9">
        <w:rPr>
          <w:b/>
          <w:sz w:val="20"/>
          <w:szCs w:val="20"/>
        </w:rPr>
        <w:t>Registrar</w:t>
      </w:r>
    </w:p>
    <w:p w14:paraId="269EABA6" w14:textId="2FE03A51" w:rsidR="00AD3370" w:rsidRPr="007361F9" w:rsidRDefault="00AD3370" w:rsidP="00064359">
      <w:pPr>
        <w:pStyle w:val="Alttextbullets"/>
        <w:rPr>
          <w:rFonts w:ascii="Segoe UI" w:hAnsi="Segoe UI"/>
          <w:lang w:eastAsia="en-AU"/>
        </w:rPr>
      </w:pPr>
      <w:r w:rsidRPr="007361F9">
        <w:rPr>
          <w:lang w:val="en-US" w:eastAsia="en-AU"/>
        </w:rPr>
        <w:t>Decision maker for the approval and registration of change in control of a licence holder.</w:t>
      </w:r>
    </w:p>
    <w:p w14:paraId="302BCDE8" w14:textId="0C0746DD" w:rsidR="00AD3370" w:rsidRPr="007361F9" w:rsidRDefault="00AD3370" w:rsidP="00064359">
      <w:pPr>
        <w:pStyle w:val="Alttextbullets"/>
        <w:rPr>
          <w:rFonts w:ascii="Segoe UI" w:hAnsi="Segoe UI"/>
          <w:lang w:eastAsia="en-AU"/>
        </w:rPr>
      </w:pPr>
      <w:r w:rsidRPr="007361F9">
        <w:rPr>
          <w:lang w:val="en-US" w:eastAsia="en-AU"/>
        </w:rPr>
        <w:t>Provides advice and recommendations to the Minister for Climate Change and Energy under the OEI Act.</w:t>
      </w:r>
    </w:p>
    <w:p w14:paraId="1B870584" w14:textId="665D7F07" w:rsidR="00AD3370" w:rsidRPr="007361F9" w:rsidRDefault="00AD3370" w:rsidP="00064359">
      <w:pPr>
        <w:pStyle w:val="Alttextbullets"/>
        <w:rPr>
          <w:rFonts w:ascii="Segoe UI" w:hAnsi="Segoe UI"/>
          <w:lang w:eastAsia="en-AU"/>
        </w:rPr>
      </w:pPr>
      <w:r w:rsidRPr="007361F9">
        <w:rPr>
          <w:lang w:val="en-US" w:eastAsia="en-AU"/>
        </w:rPr>
        <w:t>Facilitates life of licence administration, including compliance monitoring.</w:t>
      </w:r>
    </w:p>
    <w:p w14:paraId="6F798493" w14:textId="320EF2A1" w:rsidR="00AD3370" w:rsidRPr="007361F9" w:rsidRDefault="00AD3370" w:rsidP="00064359">
      <w:pPr>
        <w:pStyle w:val="Alttextbullets"/>
      </w:pPr>
      <w:r w:rsidRPr="007361F9">
        <w:rPr>
          <w:lang w:val="en-US" w:eastAsia="en-AU"/>
        </w:rPr>
        <w:t>Maintain the public register of offshore electricity licences.</w:t>
      </w:r>
    </w:p>
    <w:p w14:paraId="44D9F25C" w14:textId="00A6D1D0" w:rsidR="0005684F" w:rsidRPr="00655F96" w:rsidRDefault="00803D65" w:rsidP="003F33F0">
      <w:pPr>
        <w:ind w:left="720"/>
        <w:rPr>
          <w:rStyle w:val="Strong"/>
          <w:sz w:val="20"/>
          <w:szCs w:val="20"/>
        </w:rPr>
      </w:pPr>
      <w:r w:rsidRPr="00655F96">
        <w:rPr>
          <w:rStyle w:val="Strong"/>
          <w:sz w:val="20"/>
          <w:szCs w:val="20"/>
        </w:rPr>
        <w:t xml:space="preserve">Minister for Climate Change and Energy </w:t>
      </w:r>
    </w:p>
    <w:p w14:paraId="4EB488EB" w14:textId="0305CB9E" w:rsidR="00B318D5" w:rsidRPr="007361F9" w:rsidRDefault="00B318D5" w:rsidP="00655F96">
      <w:pPr>
        <w:pStyle w:val="Alttextbullets"/>
        <w:rPr>
          <w:rFonts w:ascii="Segoe UI" w:hAnsi="Segoe UI"/>
          <w:lang w:eastAsia="en-AU"/>
        </w:rPr>
      </w:pPr>
      <w:r w:rsidRPr="007361F9">
        <w:rPr>
          <w:lang w:val="en-US" w:eastAsia="en-AU"/>
        </w:rPr>
        <w:t>Decision maker for all licensing decisions, including declaring areas suitable for offshore renewable energy infrastructure. Decision maker for transfer of licence.</w:t>
      </w:r>
    </w:p>
    <w:p w14:paraId="70DBE182" w14:textId="1599C770" w:rsidR="00B24844" w:rsidRPr="007361F9" w:rsidRDefault="00B318D5" w:rsidP="00655F96">
      <w:pPr>
        <w:pStyle w:val="Alttextbullets"/>
      </w:pPr>
      <w:r w:rsidRPr="007361F9">
        <w:rPr>
          <w:lang w:val="en-US" w:eastAsia="en-AU"/>
        </w:rPr>
        <w:t>Currently, Minister for Climate Change and Energy, the Hon Chris Bowen MP</w:t>
      </w:r>
      <w:r w:rsidR="00B74698" w:rsidRPr="007361F9">
        <w:rPr>
          <w:lang w:val="en-US" w:eastAsia="en-AU"/>
        </w:rPr>
        <w:t>.</w:t>
      </w:r>
    </w:p>
    <w:p w14:paraId="100A3D17" w14:textId="77777777" w:rsidR="00DC7E6A" w:rsidRPr="007361F9" w:rsidRDefault="00576BF7" w:rsidP="00C02AC5">
      <w:pPr>
        <w:ind w:left="720"/>
        <w:rPr>
          <w:b/>
          <w:sz w:val="20"/>
          <w:szCs w:val="20"/>
        </w:rPr>
      </w:pPr>
      <w:r w:rsidRPr="007361F9">
        <w:rPr>
          <w:b/>
          <w:sz w:val="20"/>
          <w:szCs w:val="20"/>
        </w:rPr>
        <w:t xml:space="preserve">Offshore Infrastructure Regulator </w:t>
      </w:r>
    </w:p>
    <w:p w14:paraId="2AF34A71" w14:textId="3DCB5C31" w:rsidR="00576BF7" w:rsidRPr="00AF5B06" w:rsidRDefault="00386E32" w:rsidP="00655F96">
      <w:pPr>
        <w:pStyle w:val="Alttextbullets"/>
        <w:rPr>
          <w:rFonts w:ascii="Arial" w:hAnsi="Arial" w:cs="Arial"/>
          <w:lang w:eastAsia="en-AU"/>
        </w:rPr>
      </w:pPr>
      <w:r w:rsidRPr="00AF5B06">
        <w:rPr>
          <w:lang w:val="en-US" w:eastAsia="en-AU"/>
        </w:rPr>
        <w:t>Regulator for overseeing work health and safety, infrastructure integrity, and environmental management for offshore renewable energy infrastructure and offshore electricity transmission infrastructure in the Commonwealth offshore area.</w:t>
      </w:r>
    </w:p>
    <w:p w14:paraId="16F07C47" w14:textId="01E0677A" w:rsidR="003F33F0" w:rsidRPr="007361F9" w:rsidRDefault="00B66EAE" w:rsidP="003F33F0">
      <w:pPr>
        <w:pStyle w:val="Alttextbullets"/>
      </w:pPr>
      <w:r w:rsidRPr="007361F9">
        <w:rPr>
          <w:b/>
        </w:rPr>
        <w:t>Department of C</w:t>
      </w:r>
      <w:r w:rsidR="00B44C64" w:rsidRPr="007361F9">
        <w:rPr>
          <w:b/>
        </w:rPr>
        <w:t xml:space="preserve">limate Change, Environment, Energy and </w:t>
      </w:r>
      <w:r w:rsidR="00EE4412" w:rsidRPr="007361F9">
        <w:rPr>
          <w:b/>
        </w:rPr>
        <w:t>Water</w:t>
      </w:r>
      <w:r w:rsidR="003F33F0">
        <w:rPr>
          <w:b/>
        </w:rPr>
        <w:t xml:space="preserve">: </w:t>
      </w:r>
      <w:r w:rsidR="003F33F0" w:rsidRPr="007361F9">
        <w:t xml:space="preserve">Policy relating to the OEI Act. </w:t>
      </w:r>
    </w:p>
    <w:p w14:paraId="004B5763" w14:textId="4442A276" w:rsidR="00984D42" w:rsidRDefault="00984D42">
      <w:pPr>
        <w:spacing w:before="0" w:after="160" w:line="259" w:lineRule="auto"/>
        <w:rPr>
          <w:b/>
          <w:sz w:val="20"/>
          <w:szCs w:val="20"/>
        </w:rPr>
      </w:pPr>
      <w:r>
        <w:rPr>
          <w:b/>
          <w:sz w:val="20"/>
          <w:szCs w:val="20"/>
        </w:rPr>
        <w:br w:type="page"/>
      </w:r>
    </w:p>
    <w:p w14:paraId="47EE29B3" w14:textId="195C737A" w:rsidR="008C4398" w:rsidRDefault="008C573B" w:rsidP="00437568">
      <w:pPr>
        <w:pStyle w:val="Heading2"/>
      </w:pPr>
      <w:bookmarkStart w:id="181" w:name="_Toc221544039"/>
      <w:bookmarkStart w:id="182" w:name="_Toc221546118"/>
      <w:bookmarkStart w:id="183" w:name="_Toc221627110"/>
      <w:bookmarkStart w:id="184" w:name="_Toc222500471"/>
      <w:r>
        <w:lastRenderedPageBreak/>
        <w:t>F</w:t>
      </w:r>
      <w:r w:rsidR="00437568">
        <w:t>in</w:t>
      </w:r>
      <w:r>
        <w:t>ancials</w:t>
      </w:r>
      <w:bookmarkEnd w:id="181"/>
      <w:bookmarkEnd w:id="182"/>
      <w:bookmarkEnd w:id="183"/>
      <w:bookmarkEnd w:id="184"/>
      <w:r>
        <w:t xml:space="preserve"> </w:t>
      </w:r>
    </w:p>
    <w:p w14:paraId="377E0515" w14:textId="5E70AB5B" w:rsidR="00986D4D" w:rsidRPr="00580DA0" w:rsidRDefault="00986D4D" w:rsidP="00986D4D">
      <w:pPr>
        <w:pStyle w:val="Heading3"/>
      </w:pPr>
      <w:bookmarkStart w:id="185" w:name="_Toc221544040"/>
      <w:bookmarkStart w:id="186" w:name="_Toc221546119"/>
      <w:bookmarkStart w:id="187" w:name="_Toc221627111"/>
      <w:bookmarkStart w:id="188" w:name="_Toc222500472"/>
      <w:r w:rsidRPr="00580DA0">
        <w:t xml:space="preserve">OPGGS Act – Cost </w:t>
      </w:r>
      <w:r w:rsidR="00125020">
        <w:t>r</w:t>
      </w:r>
      <w:r w:rsidRPr="00580DA0">
        <w:t xml:space="preserve">ecovery </w:t>
      </w:r>
      <w:r w:rsidR="00125020">
        <w:t>o</w:t>
      </w:r>
      <w:r w:rsidRPr="00580DA0">
        <w:t>verview</w:t>
      </w:r>
      <w:bookmarkEnd w:id="185"/>
      <w:bookmarkEnd w:id="186"/>
      <w:bookmarkEnd w:id="187"/>
      <w:bookmarkEnd w:id="188"/>
    </w:p>
    <w:p w14:paraId="6B811F62" w14:textId="77777777" w:rsidR="006834A9" w:rsidRDefault="003F5EE9" w:rsidP="003F5EE9">
      <w:r w:rsidRPr="00580DA0">
        <w:t>The Titles Administrator’s functions are fully funded by levies and fees charged for administering the offshore petroleum and GHG storage titles under the OPGGS Act.</w:t>
      </w:r>
    </w:p>
    <w:p w14:paraId="176DCAB1" w14:textId="539DD4D5" w:rsidR="003F5EE9" w:rsidRPr="00580DA0" w:rsidRDefault="003F5EE9" w:rsidP="003F5EE9">
      <w:r w:rsidRPr="00580DA0">
        <w:t>Its current cost recovery arrangements are detailed in the 2025 Cost Recovery Implementation Statement (CRIS). The funds are managed through an administered Special Account in line with the requirements of the Public Governance, Performance and Accountability Act 2013 (PGPA Act).</w:t>
      </w:r>
    </w:p>
    <w:p w14:paraId="6A05B82C" w14:textId="77777777" w:rsidR="003F5EE9" w:rsidRPr="00580DA0" w:rsidRDefault="003F5EE9" w:rsidP="00FB4465">
      <w:pPr>
        <w:pStyle w:val="Heading4"/>
      </w:pPr>
      <w:r w:rsidRPr="00580DA0">
        <w:t>Levies</w:t>
      </w:r>
    </w:p>
    <w:p w14:paraId="6DB129A0" w14:textId="580FF3EF" w:rsidR="002E5F91" w:rsidRDefault="003F5EE9" w:rsidP="003F5EE9">
      <w:r w:rsidRPr="00580DA0">
        <w:t xml:space="preserve">In 2024-25, $16.4 million was collected in levies, making up 85% of NOPTA’s revenue (see Table </w:t>
      </w:r>
      <w:r w:rsidR="00354D5B">
        <w:t>6</w:t>
      </w:r>
      <w:r w:rsidRPr="00580DA0">
        <w:t xml:space="preserve">). </w:t>
      </w:r>
    </w:p>
    <w:p w14:paraId="787761F2" w14:textId="72A637A2" w:rsidR="003F5EE9" w:rsidRDefault="003F5EE9" w:rsidP="003F5EE9">
      <w:r w:rsidRPr="00580DA0">
        <w:t>The levy, prescribed in the Offshore Petroleum and Greenhouse Gas Storage (Regulatory Levies) Regulations 2022, is payable upon the grant of a title and is due annually thereafter within 30 days of the anniversary date of the title.</w:t>
      </w:r>
    </w:p>
    <w:p w14:paraId="749EC024" w14:textId="7A95C684" w:rsidR="00CA4E0B" w:rsidRDefault="00CA4E0B" w:rsidP="00CA4E0B">
      <w:pPr>
        <w:pStyle w:val="Caption"/>
        <w:keepNext/>
      </w:pPr>
      <w:r>
        <w:t xml:space="preserve">Table </w:t>
      </w:r>
      <w:r>
        <w:fldChar w:fldCharType="begin"/>
      </w:r>
      <w:r>
        <w:instrText xml:space="preserve"> SEQ Table \* ARABIC </w:instrText>
      </w:r>
      <w:r>
        <w:fldChar w:fldCharType="separate"/>
      </w:r>
      <w:r w:rsidR="003D6C08">
        <w:rPr>
          <w:noProof/>
        </w:rPr>
        <w:t>6</w:t>
      </w:r>
      <w:r>
        <w:fldChar w:fldCharType="end"/>
      </w:r>
      <w:r>
        <w:t xml:space="preserve">: Annual </w:t>
      </w:r>
      <w:r w:rsidR="00F71A71">
        <w:t>t</w:t>
      </w:r>
      <w:r>
        <w:t xml:space="preserve">itles </w:t>
      </w:r>
      <w:r w:rsidR="00F71A71">
        <w:t>a</w:t>
      </w:r>
      <w:r>
        <w:t xml:space="preserve">dministration </w:t>
      </w:r>
      <w:r w:rsidR="00F71A71">
        <w:t>l</w:t>
      </w:r>
      <w:r>
        <w:t>evy 2024-25</w:t>
      </w:r>
    </w:p>
    <w:tbl>
      <w:tblPr>
        <w:tblStyle w:val="ListTable3-Accent4"/>
        <w:tblW w:w="8531" w:type="dxa"/>
        <w:tblLayout w:type="fixed"/>
        <w:tblLook w:val="04A0" w:firstRow="1" w:lastRow="0" w:firstColumn="1" w:lastColumn="0" w:noHBand="0" w:noVBand="1"/>
      </w:tblPr>
      <w:tblGrid>
        <w:gridCol w:w="4353"/>
        <w:gridCol w:w="766"/>
        <w:gridCol w:w="1024"/>
        <w:gridCol w:w="971"/>
        <w:gridCol w:w="1417"/>
      </w:tblGrid>
      <w:tr w:rsidR="00123480" w14:paraId="44B8D6D3" w14:textId="77777777" w:rsidTr="009F5898">
        <w:trPr>
          <w:cnfStyle w:val="100000000000" w:firstRow="1" w:lastRow="0" w:firstColumn="0" w:lastColumn="0" w:oddVBand="0" w:evenVBand="0" w:oddHBand="0" w:evenHBand="0" w:firstRowFirstColumn="0" w:firstRowLastColumn="0" w:lastRowFirstColumn="0" w:lastRowLastColumn="0"/>
          <w:trHeight w:val="441"/>
        </w:trPr>
        <w:tc>
          <w:tcPr>
            <w:cnfStyle w:val="001000000100" w:firstRow="0" w:lastRow="0" w:firstColumn="1" w:lastColumn="0" w:oddVBand="0" w:evenVBand="0" w:oddHBand="0" w:evenHBand="0" w:firstRowFirstColumn="1" w:firstRowLastColumn="0" w:lastRowFirstColumn="0" w:lastRowLastColumn="0"/>
            <w:tcW w:w="4353" w:type="dxa"/>
          </w:tcPr>
          <w:p w14:paraId="0F077683" w14:textId="6C889749" w:rsidR="00722D8D" w:rsidRDefault="000B42C1" w:rsidP="00354D5B">
            <w:r>
              <w:t>Title type</w:t>
            </w:r>
          </w:p>
        </w:tc>
        <w:tc>
          <w:tcPr>
            <w:tcW w:w="766" w:type="dxa"/>
          </w:tcPr>
          <w:p w14:paraId="2C5A37CA" w14:textId="16619E03" w:rsidR="00722D8D" w:rsidRDefault="000B42C1" w:rsidP="00ED59F0">
            <w:pPr>
              <w:jc w:val="right"/>
              <w:cnfStyle w:val="100000000000" w:firstRow="1" w:lastRow="0" w:firstColumn="0" w:lastColumn="0" w:oddVBand="0" w:evenVBand="0" w:oddHBand="0" w:evenHBand="0" w:firstRowFirstColumn="0" w:firstRowLastColumn="0" w:lastRowFirstColumn="0" w:lastRowLastColumn="0"/>
            </w:pPr>
            <w:r>
              <w:t xml:space="preserve">No. of </w:t>
            </w:r>
            <w:r w:rsidR="000D4DBB">
              <w:t xml:space="preserve">titles </w:t>
            </w:r>
          </w:p>
        </w:tc>
        <w:tc>
          <w:tcPr>
            <w:tcW w:w="1024" w:type="dxa"/>
          </w:tcPr>
          <w:p w14:paraId="1C1AFCB4" w14:textId="36AFC370" w:rsidR="00722D8D" w:rsidRDefault="000B42C1" w:rsidP="00ED59F0">
            <w:pPr>
              <w:jc w:val="right"/>
              <w:cnfStyle w:val="100000000000" w:firstRow="1" w:lastRow="0" w:firstColumn="0" w:lastColumn="0" w:oddVBand="0" w:evenVBand="0" w:oddHBand="0" w:evenHBand="0" w:firstRowFirstColumn="0" w:firstRowLastColumn="0" w:lastRowFirstColumn="0" w:lastRowLastColumn="0"/>
            </w:pPr>
            <w:r>
              <w:t xml:space="preserve">No. of blocks </w:t>
            </w:r>
          </w:p>
        </w:tc>
        <w:tc>
          <w:tcPr>
            <w:tcW w:w="971" w:type="dxa"/>
          </w:tcPr>
          <w:p w14:paraId="525D4155" w14:textId="11B4636A" w:rsidR="00722D8D" w:rsidRDefault="000B42C1" w:rsidP="00ED59F0">
            <w:pPr>
              <w:jc w:val="right"/>
              <w:cnfStyle w:val="100000000000" w:firstRow="1" w:lastRow="0" w:firstColumn="0" w:lastColumn="0" w:oddVBand="0" w:evenVBand="0" w:oddHBand="0" w:evenHBand="0" w:firstRowFirstColumn="0" w:firstRowLastColumn="0" w:lastRowFirstColumn="0" w:lastRowLastColumn="0"/>
            </w:pPr>
            <w:r>
              <w:t>Length</w:t>
            </w:r>
            <w:r w:rsidR="00A636BB">
              <w:t xml:space="preserve"> in km </w:t>
            </w:r>
          </w:p>
        </w:tc>
        <w:tc>
          <w:tcPr>
            <w:tcW w:w="1417" w:type="dxa"/>
          </w:tcPr>
          <w:p w14:paraId="5EA03FB4" w14:textId="65696204" w:rsidR="00722D8D" w:rsidRPr="006C235A" w:rsidRDefault="00A636BB" w:rsidP="00ED59F0">
            <w:pPr>
              <w:jc w:val="right"/>
              <w:cnfStyle w:val="100000000000" w:firstRow="1" w:lastRow="0" w:firstColumn="0" w:lastColumn="0" w:oddVBand="0" w:evenVBand="0" w:oddHBand="0" w:evenHBand="0" w:firstRowFirstColumn="0" w:firstRowLastColumn="0" w:lastRowFirstColumn="0" w:lastRowLastColumn="0"/>
              <w:rPr>
                <w:b w:val="0"/>
              </w:rPr>
            </w:pPr>
            <w:r>
              <w:t>Levy amount</w:t>
            </w:r>
            <w:r w:rsidR="006C235A">
              <w:rPr>
                <w:b w:val="0"/>
              </w:rPr>
              <w:t xml:space="preserve"> </w:t>
            </w:r>
            <w:r w:rsidR="00804685">
              <w:t>$’000</w:t>
            </w:r>
            <w:r>
              <w:t xml:space="preserve"> </w:t>
            </w:r>
          </w:p>
        </w:tc>
      </w:tr>
      <w:tr w:rsidR="00123480" w14:paraId="094743A2" w14:textId="77777777" w:rsidTr="009F589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4353" w:type="dxa"/>
          </w:tcPr>
          <w:p w14:paraId="02162EDA" w14:textId="43690500" w:rsidR="00DF17AA" w:rsidRPr="00476F8E" w:rsidRDefault="00DF17AA" w:rsidP="00354D5B">
            <w:pPr>
              <w:rPr>
                <w:b w:val="0"/>
                <w:bCs w:val="0"/>
              </w:rPr>
            </w:pPr>
            <w:r w:rsidRPr="00476F8E">
              <w:rPr>
                <w:b w:val="0"/>
                <w:bCs w:val="0"/>
              </w:rPr>
              <w:t xml:space="preserve">Exploration </w:t>
            </w:r>
            <w:r w:rsidR="001575FF" w:rsidRPr="00476F8E">
              <w:rPr>
                <w:b w:val="0"/>
                <w:bCs w:val="0"/>
              </w:rPr>
              <w:t>p</w:t>
            </w:r>
            <w:r w:rsidRPr="00476F8E">
              <w:rPr>
                <w:b w:val="0"/>
                <w:bCs w:val="0"/>
              </w:rPr>
              <w:t>ermits</w:t>
            </w:r>
          </w:p>
        </w:tc>
        <w:tc>
          <w:tcPr>
            <w:tcW w:w="766" w:type="dxa"/>
          </w:tcPr>
          <w:p w14:paraId="28101EA3" w14:textId="6FC70B39" w:rsidR="00DF17AA" w:rsidRPr="00476F8E" w:rsidRDefault="0029311C" w:rsidP="00ED554C">
            <w:pPr>
              <w:jc w:val="right"/>
              <w:cnfStyle w:val="000000100000" w:firstRow="0" w:lastRow="0" w:firstColumn="0" w:lastColumn="0" w:oddVBand="0" w:evenVBand="0" w:oddHBand="1" w:evenHBand="0" w:firstRowFirstColumn="0" w:firstRowLastColumn="0" w:lastRowFirstColumn="0" w:lastRowLastColumn="0"/>
              <w:rPr>
                <w:b/>
              </w:rPr>
            </w:pPr>
            <w:r w:rsidRPr="00476F8E">
              <w:t>68</w:t>
            </w:r>
          </w:p>
        </w:tc>
        <w:tc>
          <w:tcPr>
            <w:tcW w:w="1024" w:type="dxa"/>
          </w:tcPr>
          <w:p w14:paraId="0D742AF6" w14:textId="460D34A9" w:rsidR="00DF17AA" w:rsidRPr="00476F8E" w:rsidRDefault="0029311C" w:rsidP="00ED554C">
            <w:pPr>
              <w:jc w:val="right"/>
              <w:cnfStyle w:val="000000100000" w:firstRow="0" w:lastRow="0" w:firstColumn="0" w:lastColumn="0" w:oddVBand="0" w:evenVBand="0" w:oddHBand="1" w:evenHBand="0" w:firstRowFirstColumn="0" w:firstRowLastColumn="0" w:lastRowFirstColumn="0" w:lastRowLastColumn="0"/>
              <w:rPr>
                <w:b/>
              </w:rPr>
            </w:pPr>
            <w:r w:rsidRPr="00476F8E">
              <w:t>-</w:t>
            </w:r>
          </w:p>
        </w:tc>
        <w:tc>
          <w:tcPr>
            <w:tcW w:w="971" w:type="dxa"/>
          </w:tcPr>
          <w:p w14:paraId="3CA0DE62" w14:textId="1A487626" w:rsidR="00DF17AA" w:rsidRPr="00476F8E" w:rsidRDefault="00804685" w:rsidP="00ED554C">
            <w:pPr>
              <w:jc w:val="right"/>
              <w:cnfStyle w:val="000000100000" w:firstRow="0" w:lastRow="0" w:firstColumn="0" w:lastColumn="0" w:oddVBand="0" w:evenVBand="0" w:oddHBand="1" w:evenHBand="0" w:firstRowFirstColumn="0" w:firstRowLastColumn="0" w:lastRowFirstColumn="0" w:lastRowLastColumn="0"/>
              <w:rPr>
                <w:b/>
              </w:rPr>
            </w:pPr>
            <w:r w:rsidRPr="00476F8E">
              <w:t>-</w:t>
            </w:r>
          </w:p>
        </w:tc>
        <w:tc>
          <w:tcPr>
            <w:tcW w:w="1417" w:type="dxa"/>
          </w:tcPr>
          <w:p w14:paraId="0280263A" w14:textId="4714FB1A" w:rsidR="00DF17AA" w:rsidRPr="00476F8E" w:rsidRDefault="00804685" w:rsidP="00ED554C">
            <w:pPr>
              <w:jc w:val="right"/>
              <w:cnfStyle w:val="000000100000" w:firstRow="0" w:lastRow="0" w:firstColumn="0" w:lastColumn="0" w:oddVBand="0" w:evenVBand="0" w:oddHBand="1" w:evenHBand="0" w:firstRowFirstColumn="0" w:firstRowLastColumn="0" w:lastRowFirstColumn="0" w:lastRowLastColumn="0"/>
              <w:rPr>
                <w:b/>
              </w:rPr>
            </w:pPr>
            <w:r w:rsidRPr="00476F8E">
              <w:t>775</w:t>
            </w:r>
          </w:p>
        </w:tc>
      </w:tr>
      <w:tr w:rsidR="00123480" w14:paraId="09645B94" w14:textId="77777777" w:rsidTr="009F5898">
        <w:trPr>
          <w:trHeight w:val="429"/>
        </w:trPr>
        <w:tc>
          <w:tcPr>
            <w:cnfStyle w:val="001000000000" w:firstRow="0" w:lastRow="0" w:firstColumn="1" w:lastColumn="0" w:oddVBand="0" w:evenVBand="0" w:oddHBand="0" w:evenHBand="0" w:firstRowFirstColumn="0" w:firstRowLastColumn="0" w:lastRowFirstColumn="0" w:lastRowLastColumn="0"/>
            <w:tcW w:w="4353" w:type="dxa"/>
          </w:tcPr>
          <w:p w14:paraId="0DFA590D" w14:textId="6320D92C" w:rsidR="00DF17AA" w:rsidRPr="00476F8E" w:rsidRDefault="00DF17AA" w:rsidP="00354D5B">
            <w:pPr>
              <w:rPr>
                <w:b w:val="0"/>
                <w:bCs w:val="0"/>
              </w:rPr>
            </w:pPr>
            <w:r w:rsidRPr="00476F8E">
              <w:rPr>
                <w:b w:val="0"/>
                <w:bCs w:val="0"/>
              </w:rPr>
              <w:t xml:space="preserve">Exploration </w:t>
            </w:r>
            <w:r w:rsidR="001575FF" w:rsidRPr="00476F8E">
              <w:rPr>
                <w:b w:val="0"/>
                <w:bCs w:val="0"/>
              </w:rPr>
              <w:t>p</w:t>
            </w:r>
            <w:r w:rsidRPr="00476F8E">
              <w:rPr>
                <w:b w:val="0"/>
                <w:bCs w:val="0"/>
              </w:rPr>
              <w:t xml:space="preserve">ermits </w:t>
            </w:r>
            <w:r w:rsidR="001575FF" w:rsidRPr="00476F8E">
              <w:rPr>
                <w:b w:val="0"/>
                <w:bCs w:val="0"/>
              </w:rPr>
              <w:t>a</w:t>
            </w:r>
            <w:r w:rsidRPr="00476F8E">
              <w:rPr>
                <w:b w:val="0"/>
                <w:bCs w:val="0"/>
              </w:rPr>
              <w:t>djustment</w:t>
            </w:r>
          </w:p>
        </w:tc>
        <w:tc>
          <w:tcPr>
            <w:tcW w:w="766" w:type="dxa"/>
          </w:tcPr>
          <w:p w14:paraId="5836FEDC" w14:textId="0AF1E765" w:rsidR="00DF17AA" w:rsidRPr="00476F8E" w:rsidRDefault="00804685" w:rsidP="00ED554C">
            <w:pPr>
              <w:jc w:val="right"/>
              <w:cnfStyle w:val="000000000000" w:firstRow="0" w:lastRow="0" w:firstColumn="0" w:lastColumn="0" w:oddVBand="0" w:evenVBand="0" w:oddHBand="0" w:evenHBand="0" w:firstRowFirstColumn="0" w:firstRowLastColumn="0" w:lastRowFirstColumn="0" w:lastRowLastColumn="0"/>
              <w:rPr>
                <w:b/>
              </w:rPr>
            </w:pPr>
            <w:r w:rsidRPr="00476F8E">
              <w:t>5</w:t>
            </w:r>
          </w:p>
        </w:tc>
        <w:tc>
          <w:tcPr>
            <w:tcW w:w="1024" w:type="dxa"/>
          </w:tcPr>
          <w:p w14:paraId="50DC22E3" w14:textId="41D83C72" w:rsidR="00DF17AA" w:rsidRPr="00476F8E" w:rsidRDefault="00D01BEE" w:rsidP="00ED554C">
            <w:pPr>
              <w:jc w:val="right"/>
              <w:cnfStyle w:val="000000000000" w:firstRow="0" w:lastRow="0" w:firstColumn="0" w:lastColumn="0" w:oddVBand="0" w:evenVBand="0" w:oddHBand="0" w:evenHBand="0" w:firstRowFirstColumn="0" w:firstRowLastColumn="0" w:lastRowFirstColumn="0" w:lastRowLastColumn="0"/>
              <w:rPr>
                <w:b/>
              </w:rPr>
            </w:pPr>
            <w:r w:rsidRPr="00476F8E">
              <w:t>-</w:t>
            </w:r>
          </w:p>
        </w:tc>
        <w:tc>
          <w:tcPr>
            <w:tcW w:w="971" w:type="dxa"/>
          </w:tcPr>
          <w:p w14:paraId="28334245" w14:textId="1F93A7A0" w:rsidR="00DF17AA" w:rsidRPr="00476F8E" w:rsidRDefault="00D01BEE" w:rsidP="00ED554C">
            <w:pPr>
              <w:jc w:val="right"/>
              <w:cnfStyle w:val="000000000000" w:firstRow="0" w:lastRow="0" w:firstColumn="0" w:lastColumn="0" w:oddVBand="0" w:evenVBand="0" w:oddHBand="0" w:evenHBand="0" w:firstRowFirstColumn="0" w:firstRowLastColumn="0" w:lastRowFirstColumn="0" w:lastRowLastColumn="0"/>
              <w:rPr>
                <w:b/>
              </w:rPr>
            </w:pPr>
            <w:r w:rsidRPr="00476F8E">
              <w:t>-</w:t>
            </w:r>
          </w:p>
        </w:tc>
        <w:tc>
          <w:tcPr>
            <w:tcW w:w="1417" w:type="dxa"/>
          </w:tcPr>
          <w:p w14:paraId="518228CF" w14:textId="5080308E" w:rsidR="00DF17AA" w:rsidRPr="00476F8E" w:rsidRDefault="00D01BEE" w:rsidP="00ED554C">
            <w:pPr>
              <w:jc w:val="right"/>
              <w:cnfStyle w:val="000000000000" w:firstRow="0" w:lastRow="0" w:firstColumn="0" w:lastColumn="0" w:oddVBand="0" w:evenVBand="0" w:oddHBand="0" w:evenHBand="0" w:firstRowFirstColumn="0" w:firstRowLastColumn="0" w:lastRowFirstColumn="0" w:lastRowLastColumn="0"/>
              <w:rPr>
                <w:b/>
              </w:rPr>
            </w:pPr>
            <w:r w:rsidRPr="00476F8E">
              <w:t>26</w:t>
            </w:r>
          </w:p>
        </w:tc>
      </w:tr>
      <w:tr w:rsidR="00123480" w14:paraId="1D4C47C3" w14:textId="77777777" w:rsidTr="009F5898">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4353" w:type="dxa"/>
          </w:tcPr>
          <w:p w14:paraId="6A19F017" w14:textId="0A090EE5" w:rsidR="00DF17AA" w:rsidRPr="00476F8E" w:rsidRDefault="00DF17AA" w:rsidP="00354D5B">
            <w:pPr>
              <w:rPr>
                <w:b w:val="0"/>
                <w:bCs w:val="0"/>
              </w:rPr>
            </w:pPr>
            <w:r w:rsidRPr="00476F8E">
              <w:rPr>
                <w:b w:val="0"/>
                <w:bCs w:val="0"/>
              </w:rPr>
              <w:t xml:space="preserve">Refund of </w:t>
            </w:r>
            <w:r w:rsidR="001575FF" w:rsidRPr="00476F8E">
              <w:rPr>
                <w:b w:val="0"/>
                <w:bCs w:val="0"/>
              </w:rPr>
              <w:t>s</w:t>
            </w:r>
            <w:r w:rsidRPr="00476F8E">
              <w:rPr>
                <w:b w:val="0"/>
                <w:bCs w:val="0"/>
              </w:rPr>
              <w:t xml:space="preserve">urrendered </w:t>
            </w:r>
            <w:r w:rsidR="001575FF" w:rsidRPr="00476F8E">
              <w:rPr>
                <w:b w:val="0"/>
                <w:bCs w:val="0"/>
              </w:rPr>
              <w:t>e</w:t>
            </w:r>
            <w:r w:rsidRPr="00476F8E">
              <w:rPr>
                <w:b w:val="0"/>
                <w:bCs w:val="0"/>
              </w:rPr>
              <w:t xml:space="preserve">xploration </w:t>
            </w:r>
            <w:r w:rsidR="001575FF" w:rsidRPr="00476F8E">
              <w:rPr>
                <w:b w:val="0"/>
                <w:bCs w:val="0"/>
              </w:rPr>
              <w:t>p</w:t>
            </w:r>
            <w:r w:rsidRPr="00476F8E">
              <w:rPr>
                <w:b w:val="0"/>
                <w:bCs w:val="0"/>
              </w:rPr>
              <w:t>ermits</w:t>
            </w:r>
          </w:p>
        </w:tc>
        <w:tc>
          <w:tcPr>
            <w:tcW w:w="766" w:type="dxa"/>
          </w:tcPr>
          <w:p w14:paraId="001C8C75" w14:textId="60D396D1" w:rsidR="00DF17AA" w:rsidRPr="00476F8E" w:rsidRDefault="00D01BEE" w:rsidP="00ED554C">
            <w:pPr>
              <w:jc w:val="right"/>
              <w:cnfStyle w:val="000000100000" w:firstRow="0" w:lastRow="0" w:firstColumn="0" w:lastColumn="0" w:oddVBand="0" w:evenVBand="0" w:oddHBand="1" w:evenHBand="0" w:firstRowFirstColumn="0" w:firstRowLastColumn="0" w:lastRowFirstColumn="0" w:lastRowLastColumn="0"/>
              <w:rPr>
                <w:b/>
              </w:rPr>
            </w:pPr>
            <w:r w:rsidRPr="00476F8E">
              <w:t>6</w:t>
            </w:r>
          </w:p>
        </w:tc>
        <w:tc>
          <w:tcPr>
            <w:tcW w:w="1024" w:type="dxa"/>
          </w:tcPr>
          <w:p w14:paraId="62451FC5" w14:textId="304DCAF6" w:rsidR="00DF17AA" w:rsidRPr="00476F8E" w:rsidRDefault="00D01BEE" w:rsidP="00ED554C">
            <w:pPr>
              <w:jc w:val="right"/>
              <w:cnfStyle w:val="000000100000" w:firstRow="0" w:lastRow="0" w:firstColumn="0" w:lastColumn="0" w:oddVBand="0" w:evenVBand="0" w:oddHBand="1" w:evenHBand="0" w:firstRowFirstColumn="0" w:firstRowLastColumn="0" w:lastRowFirstColumn="0" w:lastRowLastColumn="0"/>
              <w:rPr>
                <w:b/>
              </w:rPr>
            </w:pPr>
            <w:r w:rsidRPr="00476F8E">
              <w:t>-</w:t>
            </w:r>
          </w:p>
        </w:tc>
        <w:tc>
          <w:tcPr>
            <w:tcW w:w="971" w:type="dxa"/>
          </w:tcPr>
          <w:p w14:paraId="10E0BC69" w14:textId="336FFC96" w:rsidR="00DF17AA" w:rsidRPr="00476F8E" w:rsidRDefault="00D01BEE" w:rsidP="00ED554C">
            <w:pPr>
              <w:jc w:val="right"/>
              <w:cnfStyle w:val="000000100000" w:firstRow="0" w:lastRow="0" w:firstColumn="0" w:lastColumn="0" w:oddVBand="0" w:evenVBand="0" w:oddHBand="1" w:evenHBand="0" w:firstRowFirstColumn="0" w:firstRowLastColumn="0" w:lastRowFirstColumn="0" w:lastRowLastColumn="0"/>
              <w:rPr>
                <w:b/>
              </w:rPr>
            </w:pPr>
            <w:r w:rsidRPr="00476F8E">
              <w:t>-</w:t>
            </w:r>
          </w:p>
        </w:tc>
        <w:tc>
          <w:tcPr>
            <w:tcW w:w="1417" w:type="dxa"/>
          </w:tcPr>
          <w:p w14:paraId="18A8C2F7" w14:textId="41DE742E" w:rsidR="00DF17AA" w:rsidRPr="00476F8E" w:rsidRDefault="00D01BEE" w:rsidP="00ED554C">
            <w:pPr>
              <w:jc w:val="right"/>
              <w:cnfStyle w:val="000000100000" w:firstRow="0" w:lastRow="0" w:firstColumn="0" w:lastColumn="0" w:oddVBand="0" w:evenVBand="0" w:oddHBand="1" w:evenHBand="0" w:firstRowFirstColumn="0" w:firstRowLastColumn="0" w:lastRowFirstColumn="0" w:lastRowLastColumn="0"/>
              <w:rPr>
                <w:b/>
              </w:rPr>
            </w:pPr>
            <w:r w:rsidRPr="00476F8E">
              <w:t>-66</w:t>
            </w:r>
          </w:p>
        </w:tc>
      </w:tr>
      <w:tr w:rsidR="00123480" w14:paraId="62743ECD" w14:textId="77777777" w:rsidTr="009F5898">
        <w:trPr>
          <w:trHeight w:val="529"/>
        </w:trPr>
        <w:tc>
          <w:tcPr>
            <w:cnfStyle w:val="001000000000" w:firstRow="0" w:lastRow="0" w:firstColumn="1" w:lastColumn="0" w:oddVBand="0" w:evenVBand="0" w:oddHBand="0" w:evenHBand="0" w:firstRowFirstColumn="0" w:firstRowLastColumn="0" w:lastRowFirstColumn="0" w:lastRowLastColumn="0"/>
            <w:tcW w:w="4353" w:type="dxa"/>
          </w:tcPr>
          <w:p w14:paraId="1269C900" w14:textId="6FDBE81E" w:rsidR="00DF17AA" w:rsidRPr="00476F8E" w:rsidRDefault="00DF17AA" w:rsidP="00354D5B">
            <w:pPr>
              <w:rPr>
                <w:b w:val="0"/>
                <w:bCs w:val="0"/>
              </w:rPr>
            </w:pPr>
            <w:r w:rsidRPr="00476F8E">
              <w:rPr>
                <w:b w:val="0"/>
                <w:bCs w:val="0"/>
              </w:rPr>
              <w:t xml:space="preserve">Refund of </w:t>
            </w:r>
            <w:r w:rsidR="0029311C" w:rsidRPr="00476F8E">
              <w:rPr>
                <w:b w:val="0"/>
                <w:bCs w:val="0"/>
              </w:rPr>
              <w:t>w</w:t>
            </w:r>
            <w:r w:rsidRPr="00476F8E">
              <w:rPr>
                <w:b w:val="0"/>
                <w:bCs w:val="0"/>
              </w:rPr>
              <w:t xml:space="preserve">ithdrawal </w:t>
            </w:r>
            <w:r w:rsidR="0029311C" w:rsidRPr="00476F8E">
              <w:rPr>
                <w:b w:val="0"/>
                <w:bCs w:val="0"/>
              </w:rPr>
              <w:t>e</w:t>
            </w:r>
            <w:r w:rsidRPr="00476F8E">
              <w:rPr>
                <w:b w:val="0"/>
                <w:bCs w:val="0"/>
              </w:rPr>
              <w:t xml:space="preserve">xploration </w:t>
            </w:r>
            <w:r w:rsidR="0029311C" w:rsidRPr="00476F8E">
              <w:rPr>
                <w:b w:val="0"/>
                <w:bCs w:val="0"/>
              </w:rPr>
              <w:t>p</w:t>
            </w:r>
            <w:r w:rsidRPr="00476F8E">
              <w:rPr>
                <w:b w:val="0"/>
                <w:bCs w:val="0"/>
              </w:rPr>
              <w:t>ermits</w:t>
            </w:r>
          </w:p>
        </w:tc>
        <w:tc>
          <w:tcPr>
            <w:tcW w:w="766" w:type="dxa"/>
          </w:tcPr>
          <w:p w14:paraId="7F50D193" w14:textId="3B3FF498" w:rsidR="00DF17AA" w:rsidRPr="00476F8E" w:rsidRDefault="007456FC" w:rsidP="00ED554C">
            <w:pPr>
              <w:jc w:val="right"/>
              <w:cnfStyle w:val="000000000000" w:firstRow="0" w:lastRow="0" w:firstColumn="0" w:lastColumn="0" w:oddVBand="0" w:evenVBand="0" w:oddHBand="0" w:evenHBand="0" w:firstRowFirstColumn="0" w:firstRowLastColumn="0" w:lastRowFirstColumn="0" w:lastRowLastColumn="0"/>
              <w:rPr>
                <w:b/>
              </w:rPr>
            </w:pPr>
            <w:r w:rsidRPr="00476F8E">
              <w:t>1</w:t>
            </w:r>
          </w:p>
        </w:tc>
        <w:tc>
          <w:tcPr>
            <w:tcW w:w="1024" w:type="dxa"/>
          </w:tcPr>
          <w:p w14:paraId="5A84E6AB" w14:textId="1F974DFA" w:rsidR="00DF17AA" w:rsidRPr="00476F8E" w:rsidRDefault="007456FC" w:rsidP="00ED554C">
            <w:pPr>
              <w:jc w:val="right"/>
              <w:cnfStyle w:val="000000000000" w:firstRow="0" w:lastRow="0" w:firstColumn="0" w:lastColumn="0" w:oddVBand="0" w:evenVBand="0" w:oddHBand="0" w:evenHBand="0" w:firstRowFirstColumn="0" w:firstRowLastColumn="0" w:lastRowFirstColumn="0" w:lastRowLastColumn="0"/>
              <w:rPr>
                <w:b/>
              </w:rPr>
            </w:pPr>
            <w:r w:rsidRPr="00476F8E">
              <w:t>-</w:t>
            </w:r>
          </w:p>
        </w:tc>
        <w:tc>
          <w:tcPr>
            <w:tcW w:w="971" w:type="dxa"/>
          </w:tcPr>
          <w:p w14:paraId="3792081C" w14:textId="0A9732BC" w:rsidR="00DF17AA" w:rsidRPr="00476F8E" w:rsidRDefault="007456FC" w:rsidP="00ED554C">
            <w:pPr>
              <w:jc w:val="right"/>
              <w:cnfStyle w:val="000000000000" w:firstRow="0" w:lastRow="0" w:firstColumn="0" w:lastColumn="0" w:oddVBand="0" w:evenVBand="0" w:oddHBand="0" w:evenHBand="0" w:firstRowFirstColumn="0" w:firstRowLastColumn="0" w:lastRowFirstColumn="0" w:lastRowLastColumn="0"/>
              <w:rPr>
                <w:b/>
              </w:rPr>
            </w:pPr>
            <w:r w:rsidRPr="00476F8E">
              <w:t>-</w:t>
            </w:r>
          </w:p>
        </w:tc>
        <w:tc>
          <w:tcPr>
            <w:tcW w:w="1417" w:type="dxa"/>
          </w:tcPr>
          <w:p w14:paraId="784DF9C7" w14:textId="6DC0D5DA" w:rsidR="00DF17AA" w:rsidRPr="00476F8E" w:rsidRDefault="007456FC" w:rsidP="00ED554C">
            <w:pPr>
              <w:jc w:val="right"/>
              <w:cnfStyle w:val="000000000000" w:firstRow="0" w:lastRow="0" w:firstColumn="0" w:lastColumn="0" w:oddVBand="0" w:evenVBand="0" w:oddHBand="0" w:evenHBand="0" w:firstRowFirstColumn="0" w:firstRowLastColumn="0" w:lastRowFirstColumn="0" w:lastRowLastColumn="0"/>
              <w:rPr>
                <w:b/>
              </w:rPr>
            </w:pPr>
            <w:r w:rsidRPr="00476F8E">
              <w:t>-11</w:t>
            </w:r>
          </w:p>
        </w:tc>
      </w:tr>
      <w:tr w:rsidR="00123480" w14:paraId="1F3F64A4" w14:textId="77777777" w:rsidTr="009F5898">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4353" w:type="dxa"/>
          </w:tcPr>
          <w:p w14:paraId="209A33E3" w14:textId="6D71328A" w:rsidR="00DF17AA" w:rsidRPr="00476F8E" w:rsidRDefault="00DF17AA" w:rsidP="00354D5B">
            <w:pPr>
              <w:rPr>
                <w:b w:val="0"/>
                <w:bCs w:val="0"/>
              </w:rPr>
            </w:pPr>
            <w:r w:rsidRPr="00476F8E">
              <w:rPr>
                <w:b w:val="0"/>
                <w:bCs w:val="0"/>
              </w:rPr>
              <w:t xml:space="preserve">Greenhouse </w:t>
            </w:r>
            <w:r w:rsidR="0029311C" w:rsidRPr="00476F8E">
              <w:rPr>
                <w:b w:val="0"/>
                <w:bCs w:val="0"/>
              </w:rPr>
              <w:t>g</w:t>
            </w:r>
            <w:r w:rsidRPr="00476F8E">
              <w:rPr>
                <w:b w:val="0"/>
                <w:bCs w:val="0"/>
              </w:rPr>
              <w:t>as</w:t>
            </w:r>
            <w:r w:rsidR="0029311C" w:rsidRPr="00476F8E">
              <w:rPr>
                <w:b w:val="0"/>
                <w:bCs w:val="0"/>
              </w:rPr>
              <w:t xml:space="preserve"> a</w:t>
            </w:r>
            <w:r w:rsidRPr="00476F8E">
              <w:rPr>
                <w:b w:val="0"/>
                <w:bCs w:val="0"/>
              </w:rPr>
              <w:t xml:space="preserve">ssessment </w:t>
            </w:r>
            <w:r w:rsidR="0029311C" w:rsidRPr="00476F8E">
              <w:rPr>
                <w:b w:val="0"/>
                <w:bCs w:val="0"/>
              </w:rPr>
              <w:t>p</w:t>
            </w:r>
            <w:r w:rsidRPr="00476F8E">
              <w:rPr>
                <w:b w:val="0"/>
                <w:bCs w:val="0"/>
              </w:rPr>
              <w:t>ermit</w:t>
            </w:r>
          </w:p>
        </w:tc>
        <w:tc>
          <w:tcPr>
            <w:tcW w:w="766" w:type="dxa"/>
          </w:tcPr>
          <w:p w14:paraId="56C55724" w14:textId="3525492B" w:rsidR="00DF17AA" w:rsidRPr="00476F8E" w:rsidRDefault="007456FC" w:rsidP="00ED554C">
            <w:pPr>
              <w:jc w:val="right"/>
              <w:cnfStyle w:val="000000100000" w:firstRow="0" w:lastRow="0" w:firstColumn="0" w:lastColumn="0" w:oddVBand="0" w:evenVBand="0" w:oddHBand="1" w:evenHBand="0" w:firstRowFirstColumn="0" w:firstRowLastColumn="0" w:lastRowFirstColumn="0" w:lastRowLastColumn="0"/>
              <w:rPr>
                <w:b/>
              </w:rPr>
            </w:pPr>
            <w:r w:rsidRPr="00476F8E">
              <w:t>17</w:t>
            </w:r>
          </w:p>
        </w:tc>
        <w:tc>
          <w:tcPr>
            <w:tcW w:w="1024" w:type="dxa"/>
          </w:tcPr>
          <w:p w14:paraId="6BACEB73" w14:textId="27DC81A0" w:rsidR="00DF17AA" w:rsidRPr="00476F8E" w:rsidRDefault="000D3A24" w:rsidP="00ED554C">
            <w:pPr>
              <w:jc w:val="right"/>
              <w:cnfStyle w:val="000000100000" w:firstRow="0" w:lastRow="0" w:firstColumn="0" w:lastColumn="0" w:oddVBand="0" w:evenVBand="0" w:oddHBand="1" w:evenHBand="0" w:firstRowFirstColumn="0" w:firstRowLastColumn="0" w:lastRowFirstColumn="0" w:lastRowLastColumn="0"/>
              <w:rPr>
                <w:b/>
              </w:rPr>
            </w:pPr>
            <w:r w:rsidRPr="00476F8E">
              <w:t>-</w:t>
            </w:r>
          </w:p>
        </w:tc>
        <w:tc>
          <w:tcPr>
            <w:tcW w:w="971" w:type="dxa"/>
          </w:tcPr>
          <w:p w14:paraId="63D17FC7" w14:textId="5165A6EC" w:rsidR="00DF17AA" w:rsidRPr="00476F8E" w:rsidRDefault="000D3A24" w:rsidP="00ED554C">
            <w:pPr>
              <w:jc w:val="right"/>
              <w:cnfStyle w:val="000000100000" w:firstRow="0" w:lastRow="0" w:firstColumn="0" w:lastColumn="0" w:oddVBand="0" w:evenVBand="0" w:oddHBand="1" w:evenHBand="0" w:firstRowFirstColumn="0" w:firstRowLastColumn="0" w:lastRowFirstColumn="0" w:lastRowLastColumn="0"/>
              <w:rPr>
                <w:b/>
              </w:rPr>
            </w:pPr>
            <w:r w:rsidRPr="00476F8E">
              <w:t>-</w:t>
            </w:r>
          </w:p>
        </w:tc>
        <w:tc>
          <w:tcPr>
            <w:tcW w:w="1417" w:type="dxa"/>
          </w:tcPr>
          <w:p w14:paraId="771FEFCC" w14:textId="150DAD42" w:rsidR="00DF17AA" w:rsidRPr="00476F8E" w:rsidRDefault="000D3A24" w:rsidP="00ED554C">
            <w:pPr>
              <w:jc w:val="right"/>
              <w:cnfStyle w:val="000000100000" w:firstRow="0" w:lastRow="0" w:firstColumn="0" w:lastColumn="0" w:oddVBand="0" w:evenVBand="0" w:oddHBand="1" w:evenHBand="0" w:firstRowFirstColumn="0" w:firstRowLastColumn="0" w:lastRowFirstColumn="0" w:lastRowLastColumn="0"/>
              <w:rPr>
                <w:b/>
              </w:rPr>
            </w:pPr>
            <w:r w:rsidRPr="00476F8E">
              <w:t>187</w:t>
            </w:r>
          </w:p>
        </w:tc>
      </w:tr>
      <w:tr w:rsidR="00123480" w14:paraId="0023B5D9" w14:textId="77777777" w:rsidTr="009F5898">
        <w:trPr>
          <w:trHeight w:val="431"/>
        </w:trPr>
        <w:tc>
          <w:tcPr>
            <w:cnfStyle w:val="001000000000" w:firstRow="0" w:lastRow="0" w:firstColumn="1" w:lastColumn="0" w:oddVBand="0" w:evenVBand="0" w:oddHBand="0" w:evenHBand="0" w:firstRowFirstColumn="0" w:firstRowLastColumn="0" w:lastRowFirstColumn="0" w:lastRowLastColumn="0"/>
            <w:tcW w:w="4353" w:type="dxa"/>
          </w:tcPr>
          <w:p w14:paraId="22308D3D" w14:textId="3F903F7B" w:rsidR="00DF17AA" w:rsidRPr="00476F8E" w:rsidRDefault="00DF17AA" w:rsidP="00354D5B">
            <w:pPr>
              <w:rPr>
                <w:b w:val="0"/>
                <w:bCs w:val="0"/>
              </w:rPr>
            </w:pPr>
            <w:r w:rsidRPr="00476F8E">
              <w:rPr>
                <w:b w:val="0"/>
                <w:bCs w:val="0"/>
              </w:rPr>
              <w:t xml:space="preserve">Infrastructure </w:t>
            </w:r>
            <w:r w:rsidR="0029311C" w:rsidRPr="00476F8E">
              <w:rPr>
                <w:b w:val="0"/>
                <w:bCs w:val="0"/>
              </w:rPr>
              <w:t>l</w:t>
            </w:r>
            <w:r w:rsidRPr="00476F8E">
              <w:rPr>
                <w:b w:val="0"/>
                <w:bCs w:val="0"/>
              </w:rPr>
              <w:t>icence</w:t>
            </w:r>
          </w:p>
        </w:tc>
        <w:tc>
          <w:tcPr>
            <w:tcW w:w="766" w:type="dxa"/>
          </w:tcPr>
          <w:p w14:paraId="3BA712E2" w14:textId="0BE9CFA8" w:rsidR="00DF17AA" w:rsidRPr="00476F8E" w:rsidRDefault="00351829" w:rsidP="00ED554C">
            <w:pPr>
              <w:jc w:val="right"/>
              <w:cnfStyle w:val="000000000000" w:firstRow="0" w:lastRow="0" w:firstColumn="0" w:lastColumn="0" w:oddVBand="0" w:evenVBand="0" w:oddHBand="0" w:evenHBand="0" w:firstRowFirstColumn="0" w:firstRowLastColumn="0" w:lastRowFirstColumn="0" w:lastRowLastColumn="0"/>
              <w:rPr>
                <w:b/>
              </w:rPr>
            </w:pPr>
            <w:r w:rsidRPr="00476F8E">
              <w:t>3</w:t>
            </w:r>
          </w:p>
        </w:tc>
        <w:tc>
          <w:tcPr>
            <w:tcW w:w="1024" w:type="dxa"/>
          </w:tcPr>
          <w:p w14:paraId="138C4B03" w14:textId="23D0069F" w:rsidR="00DF17AA" w:rsidRPr="00476F8E" w:rsidRDefault="00351829" w:rsidP="00ED554C">
            <w:pPr>
              <w:jc w:val="right"/>
              <w:cnfStyle w:val="000000000000" w:firstRow="0" w:lastRow="0" w:firstColumn="0" w:lastColumn="0" w:oddVBand="0" w:evenVBand="0" w:oddHBand="0" w:evenHBand="0" w:firstRowFirstColumn="0" w:firstRowLastColumn="0" w:lastRowFirstColumn="0" w:lastRowLastColumn="0"/>
              <w:rPr>
                <w:b/>
              </w:rPr>
            </w:pPr>
            <w:r w:rsidRPr="00476F8E">
              <w:t>-</w:t>
            </w:r>
          </w:p>
        </w:tc>
        <w:tc>
          <w:tcPr>
            <w:tcW w:w="971" w:type="dxa"/>
          </w:tcPr>
          <w:p w14:paraId="08265C94" w14:textId="7E9ACA24" w:rsidR="00DF17AA" w:rsidRPr="00476F8E" w:rsidRDefault="00351829" w:rsidP="00ED554C">
            <w:pPr>
              <w:jc w:val="right"/>
              <w:cnfStyle w:val="000000000000" w:firstRow="0" w:lastRow="0" w:firstColumn="0" w:lastColumn="0" w:oddVBand="0" w:evenVBand="0" w:oddHBand="0" w:evenHBand="0" w:firstRowFirstColumn="0" w:firstRowLastColumn="0" w:lastRowFirstColumn="0" w:lastRowLastColumn="0"/>
              <w:rPr>
                <w:b/>
              </w:rPr>
            </w:pPr>
            <w:r w:rsidRPr="00476F8E">
              <w:t>-</w:t>
            </w:r>
          </w:p>
        </w:tc>
        <w:tc>
          <w:tcPr>
            <w:tcW w:w="1417" w:type="dxa"/>
          </w:tcPr>
          <w:p w14:paraId="42BA4CDE" w14:textId="0D5B4A57" w:rsidR="00DF17AA" w:rsidRPr="00476F8E" w:rsidRDefault="00351829" w:rsidP="00ED554C">
            <w:pPr>
              <w:jc w:val="right"/>
              <w:cnfStyle w:val="000000000000" w:firstRow="0" w:lastRow="0" w:firstColumn="0" w:lastColumn="0" w:oddVBand="0" w:evenVBand="0" w:oddHBand="0" w:evenHBand="0" w:firstRowFirstColumn="0" w:firstRowLastColumn="0" w:lastRowFirstColumn="0" w:lastRowLastColumn="0"/>
              <w:rPr>
                <w:b/>
              </w:rPr>
            </w:pPr>
            <w:r w:rsidRPr="00476F8E">
              <w:t>85</w:t>
            </w:r>
          </w:p>
        </w:tc>
      </w:tr>
      <w:tr w:rsidR="00123480" w14:paraId="30E4A0D6" w14:textId="77777777" w:rsidTr="009F5898">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4353" w:type="dxa"/>
          </w:tcPr>
          <w:p w14:paraId="786189A4" w14:textId="01E42601" w:rsidR="00DF17AA" w:rsidRPr="00476F8E" w:rsidRDefault="00DF17AA" w:rsidP="00354D5B">
            <w:pPr>
              <w:rPr>
                <w:b w:val="0"/>
                <w:bCs w:val="0"/>
              </w:rPr>
            </w:pPr>
            <w:r w:rsidRPr="00476F8E">
              <w:rPr>
                <w:b w:val="0"/>
                <w:bCs w:val="0"/>
              </w:rPr>
              <w:t xml:space="preserve">Pipeline </w:t>
            </w:r>
            <w:r w:rsidR="0029311C" w:rsidRPr="00476F8E">
              <w:rPr>
                <w:b w:val="0"/>
                <w:bCs w:val="0"/>
              </w:rPr>
              <w:t>l</w:t>
            </w:r>
            <w:r w:rsidRPr="00476F8E">
              <w:rPr>
                <w:b w:val="0"/>
                <w:bCs w:val="0"/>
              </w:rPr>
              <w:t>icence</w:t>
            </w:r>
          </w:p>
        </w:tc>
        <w:tc>
          <w:tcPr>
            <w:tcW w:w="766" w:type="dxa"/>
          </w:tcPr>
          <w:p w14:paraId="50EA4E84" w14:textId="613EF256" w:rsidR="00DF17AA" w:rsidRPr="00476F8E" w:rsidRDefault="00351829" w:rsidP="00ED554C">
            <w:pPr>
              <w:jc w:val="right"/>
              <w:cnfStyle w:val="000000100000" w:firstRow="0" w:lastRow="0" w:firstColumn="0" w:lastColumn="0" w:oddVBand="0" w:evenVBand="0" w:oddHBand="1" w:evenHBand="0" w:firstRowFirstColumn="0" w:firstRowLastColumn="0" w:lastRowFirstColumn="0" w:lastRowLastColumn="0"/>
              <w:rPr>
                <w:b/>
              </w:rPr>
            </w:pPr>
            <w:r w:rsidRPr="00476F8E">
              <w:t>87</w:t>
            </w:r>
          </w:p>
        </w:tc>
        <w:tc>
          <w:tcPr>
            <w:tcW w:w="1024" w:type="dxa"/>
          </w:tcPr>
          <w:p w14:paraId="47D2F432" w14:textId="46E3C594" w:rsidR="00DF17AA" w:rsidRPr="00476F8E" w:rsidRDefault="00351829" w:rsidP="00ED554C">
            <w:pPr>
              <w:jc w:val="right"/>
              <w:cnfStyle w:val="000000100000" w:firstRow="0" w:lastRow="0" w:firstColumn="0" w:lastColumn="0" w:oddVBand="0" w:evenVBand="0" w:oddHBand="1" w:evenHBand="0" w:firstRowFirstColumn="0" w:firstRowLastColumn="0" w:lastRowFirstColumn="0" w:lastRowLastColumn="0"/>
              <w:rPr>
                <w:b/>
              </w:rPr>
            </w:pPr>
            <w:r w:rsidRPr="00476F8E">
              <w:t>-</w:t>
            </w:r>
          </w:p>
        </w:tc>
        <w:tc>
          <w:tcPr>
            <w:tcW w:w="971" w:type="dxa"/>
          </w:tcPr>
          <w:p w14:paraId="02EEFEA1" w14:textId="7BC3BF6B" w:rsidR="00DF17AA" w:rsidRPr="00476F8E" w:rsidRDefault="00351829" w:rsidP="00ED554C">
            <w:pPr>
              <w:jc w:val="right"/>
              <w:cnfStyle w:val="000000100000" w:firstRow="0" w:lastRow="0" w:firstColumn="0" w:lastColumn="0" w:oddVBand="0" w:evenVBand="0" w:oddHBand="1" w:evenHBand="0" w:firstRowFirstColumn="0" w:firstRowLastColumn="0" w:lastRowFirstColumn="0" w:lastRowLastColumn="0"/>
              <w:rPr>
                <w:b/>
              </w:rPr>
            </w:pPr>
            <w:r w:rsidRPr="00476F8E">
              <w:t>4822</w:t>
            </w:r>
          </w:p>
        </w:tc>
        <w:tc>
          <w:tcPr>
            <w:tcW w:w="1417" w:type="dxa"/>
          </w:tcPr>
          <w:p w14:paraId="25AB1F83" w14:textId="49191866" w:rsidR="00DF17AA" w:rsidRPr="00476F8E" w:rsidRDefault="00351829" w:rsidP="00ED554C">
            <w:pPr>
              <w:jc w:val="right"/>
              <w:cnfStyle w:val="000000100000" w:firstRow="0" w:lastRow="0" w:firstColumn="0" w:lastColumn="0" w:oddVBand="0" w:evenVBand="0" w:oddHBand="1" w:evenHBand="0" w:firstRowFirstColumn="0" w:firstRowLastColumn="0" w:lastRowFirstColumn="0" w:lastRowLastColumn="0"/>
              <w:rPr>
                <w:b/>
              </w:rPr>
            </w:pPr>
            <w:r w:rsidRPr="00476F8E">
              <w:t>563</w:t>
            </w:r>
          </w:p>
        </w:tc>
      </w:tr>
      <w:tr w:rsidR="00123480" w14:paraId="05623B32" w14:textId="77777777" w:rsidTr="009F5898">
        <w:trPr>
          <w:trHeight w:val="469"/>
        </w:trPr>
        <w:tc>
          <w:tcPr>
            <w:cnfStyle w:val="001000000000" w:firstRow="0" w:lastRow="0" w:firstColumn="1" w:lastColumn="0" w:oddVBand="0" w:evenVBand="0" w:oddHBand="0" w:evenHBand="0" w:firstRowFirstColumn="0" w:firstRowLastColumn="0" w:lastRowFirstColumn="0" w:lastRowLastColumn="0"/>
            <w:tcW w:w="4353" w:type="dxa"/>
          </w:tcPr>
          <w:p w14:paraId="112A5D3A" w14:textId="1A833435" w:rsidR="00DF17AA" w:rsidRPr="00476F8E" w:rsidRDefault="00DF17AA" w:rsidP="00354D5B">
            <w:pPr>
              <w:rPr>
                <w:b w:val="0"/>
                <w:bCs w:val="0"/>
              </w:rPr>
            </w:pPr>
            <w:r w:rsidRPr="00476F8E">
              <w:rPr>
                <w:b w:val="0"/>
                <w:bCs w:val="0"/>
              </w:rPr>
              <w:t xml:space="preserve">Production </w:t>
            </w:r>
            <w:r w:rsidR="0029311C" w:rsidRPr="00476F8E">
              <w:rPr>
                <w:b w:val="0"/>
                <w:bCs w:val="0"/>
              </w:rPr>
              <w:t>l</w:t>
            </w:r>
            <w:r w:rsidRPr="00476F8E">
              <w:rPr>
                <w:b w:val="0"/>
                <w:bCs w:val="0"/>
              </w:rPr>
              <w:t>icence</w:t>
            </w:r>
          </w:p>
        </w:tc>
        <w:tc>
          <w:tcPr>
            <w:tcW w:w="766" w:type="dxa"/>
          </w:tcPr>
          <w:p w14:paraId="214724DB" w14:textId="7266F150" w:rsidR="00DF17AA" w:rsidRPr="00476F8E" w:rsidRDefault="00351829" w:rsidP="00ED554C">
            <w:pPr>
              <w:jc w:val="right"/>
              <w:cnfStyle w:val="000000000000" w:firstRow="0" w:lastRow="0" w:firstColumn="0" w:lastColumn="0" w:oddVBand="0" w:evenVBand="0" w:oddHBand="0" w:evenHBand="0" w:firstRowFirstColumn="0" w:firstRowLastColumn="0" w:lastRowFirstColumn="0" w:lastRowLastColumn="0"/>
              <w:rPr>
                <w:b/>
              </w:rPr>
            </w:pPr>
            <w:r w:rsidRPr="00476F8E">
              <w:t>98</w:t>
            </w:r>
          </w:p>
        </w:tc>
        <w:tc>
          <w:tcPr>
            <w:tcW w:w="1024" w:type="dxa"/>
          </w:tcPr>
          <w:p w14:paraId="415DB489" w14:textId="50270242" w:rsidR="00DF17AA" w:rsidRPr="00476F8E" w:rsidRDefault="000A4013" w:rsidP="00ED554C">
            <w:pPr>
              <w:jc w:val="right"/>
              <w:cnfStyle w:val="000000000000" w:firstRow="0" w:lastRow="0" w:firstColumn="0" w:lastColumn="0" w:oddVBand="0" w:evenVBand="0" w:oddHBand="0" w:evenHBand="0" w:firstRowFirstColumn="0" w:firstRowLastColumn="0" w:lastRowFirstColumn="0" w:lastRowLastColumn="0"/>
              <w:rPr>
                <w:b/>
              </w:rPr>
            </w:pPr>
            <w:r w:rsidRPr="00476F8E">
              <w:t>325</w:t>
            </w:r>
          </w:p>
        </w:tc>
        <w:tc>
          <w:tcPr>
            <w:tcW w:w="971" w:type="dxa"/>
          </w:tcPr>
          <w:p w14:paraId="42E3B07B" w14:textId="038E854F" w:rsidR="00DF17AA" w:rsidRPr="00476F8E" w:rsidRDefault="000A4013" w:rsidP="00ED554C">
            <w:pPr>
              <w:jc w:val="right"/>
              <w:cnfStyle w:val="000000000000" w:firstRow="0" w:lastRow="0" w:firstColumn="0" w:lastColumn="0" w:oddVBand="0" w:evenVBand="0" w:oddHBand="0" w:evenHBand="0" w:firstRowFirstColumn="0" w:firstRowLastColumn="0" w:lastRowFirstColumn="0" w:lastRowLastColumn="0"/>
              <w:rPr>
                <w:b/>
              </w:rPr>
            </w:pPr>
            <w:r w:rsidRPr="00476F8E">
              <w:t>-</w:t>
            </w:r>
          </w:p>
        </w:tc>
        <w:tc>
          <w:tcPr>
            <w:tcW w:w="1417" w:type="dxa"/>
          </w:tcPr>
          <w:p w14:paraId="33F627D1" w14:textId="313368A7" w:rsidR="00DF17AA" w:rsidRPr="00476F8E" w:rsidRDefault="000A4013" w:rsidP="00ED554C">
            <w:pPr>
              <w:jc w:val="right"/>
              <w:cnfStyle w:val="000000000000" w:firstRow="0" w:lastRow="0" w:firstColumn="0" w:lastColumn="0" w:oddVBand="0" w:evenVBand="0" w:oddHBand="0" w:evenHBand="0" w:firstRowFirstColumn="0" w:firstRowLastColumn="0" w:lastRowFirstColumn="0" w:lastRowLastColumn="0"/>
              <w:rPr>
                <w:b/>
              </w:rPr>
            </w:pPr>
            <w:r w:rsidRPr="00476F8E">
              <w:t>7,385</w:t>
            </w:r>
          </w:p>
        </w:tc>
      </w:tr>
      <w:tr w:rsidR="00123480" w14:paraId="1B0C7D4A" w14:textId="77777777" w:rsidTr="009F5898">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4353" w:type="dxa"/>
          </w:tcPr>
          <w:p w14:paraId="033F33C9" w14:textId="06F7E709" w:rsidR="00DF17AA" w:rsidRPr="00476F8E" w:rsidRDefault="00DF17AA" w:rsidP="00354D5B">
            <w:pPr>
              <w:rPr>
                <w:b w:val="0"/>
                <w:bCs w:val="0"/>
              </w:rPr>
            </w:pPr>
            <w:r w:rsidRPr="00476F8E">
              <w:rPr>
                <w:b w:val="0"/>
                <w:bCs w:val="0"/>
              </w:rPr>
              <w:t xml:space="preserve">Production </w:t>
            </w:r>
            <w:r w:rsidR="0029311C" w:rsidRPr="00476F8E">
              <w:rPr>
                <w:b w:val="0"/>
                <w:bCs w:val="0"/>
              </w:rPr>
              <w:t>l</w:t>
            </w:r>
            <w:r w:rsidRPr="00476F8E">
              <w:rPr>
                <w:b w:val="0"/>
                <w:bCs w:val="0"/>
              </w:rPr>
              <w:t xml:space="preserve">icence </w:t>
            </w:r>
            <w:r w:rsidR="0029311C" w:rsidRPr="00476F8E">
              <w:rPr>
                <w:b w:val="0"/>
                <w:bCs w:val="0"/>
              </w:rPr>
              <w:t>s</w:t>
            </w:r>
            <w:r w:rsidRPr="00476F8E">
              <w:rPr>
                <w:b w:val="0"/>
                <w:bCs w:val="0"/>
              </w:rPr>
              <w:t>urrender</w:t>
            </w:r>
          </w:p>
        </w:tc>
        <w:tc>
          <w:tcPr>
            <w:tcW w:w="766" w:type="dxa"/>
          </w:tcPr>
          <w:p w14:paraId="2AB26017" w14:textId="1C42A79C" w:rsidR="00DF17AA" w:rsidRPr="00476F8E" w:rsidRDefault="000A4013" w:rsidP="00ED554C">
            <w:pPr>
              <w:jc w:val="right"/>
              <w:cnfStyle w:val="000000100000" w:firstRow="0" w:lastRow="0" w:firstColumn="0" w:lastColumn="0" w:oddVBand="0" w:evenVBand="0" w:oddHBand="1" w:evenHBand="0" w:firstRowFirstColumn="0" w:firstRowLastColumn="0" w:lastRowFirstColumn="0" w:lastRowLastColumn="0"/>
              <w:rPr>
                <w:b/>
              </w:rPr>
            </w:pPr>
            <w:r w:rsidRPr="00476F8E">
              <w:t>1</w:t>
            </w:r>
          </w:p>
        </w:tc>
        <w:tc>
          <w:tcPr>
            <w:tcW w:w="1024" w:type="dxa"/>
          </w:tcPr>
          <w:p w14:paraId="181D236F" w14:textId="12AC393B" w:rsidR="00DF17AA" w:rsidRPr="00476F8E" w:rsidRDefault="00855592" w:rsidP="00ED554C">
            <w:pPr>
              <w:jc w:val="right"/>
              <w:cnfStyle w:val="000000100000" w:firstRow="0" w:lastRow="0" w:firstColumn="0" w:lastColumn="0" w:oddVBand="0" w:evenVBand="0" w:oddHBand="1" w:evenHBand="0" w:firstRowFirstColumn="0" w:firstRowLastColumn="0" w:lastRowFirstColumn="0" w:lastRowLastColumn="0"/>
              <w:rPr>
                <w:b/>
              </w:rPr>
            </w:pPr>
            <w:r w:rsidRPr="00476F8E">
              <w:t>5</w:t>
            </w:r>
          </w:p>
        </w:tc>
        <w:tc>
          <w:tcPr>
            <w:tcW w:w="971" w:type="dxa"/>
          </w:tcPr>
          <w:p w14:paraId="30E511F9" w14:textId="741C3FD5" w:rsidR="00DF17AA" w:rsidRPr="00476F8E" w:rsidRDefault="00855592" w:rsidP="00ED554C">
            <w:pPr>
              <w:jc w:val="right"/>
              <w:cnfStyle w:val="000000100000" w:firstRow="0" w:lastRow="0" w:firstColumn="0" w:lastColumn="0" w:oddVBand="0" w:evenVBand="0" w:oddHBand="1" w:evenHBand="0" w:firstRowFirstColumn="0" w:firstRowLastColumn="0" w:lastRowFirstColumn="0" w:lastRowLastColumn="0"/>
              <w:rPr>
                <w:b/>
              </w:rPr>
            </w:pPr>
            <w:r w:rsidRPr="00476F8E">
              <w:t>-</w:t>
            </w:r>
          </w:p>
        </w:tc>
        <w:tc>
          <w:tcPr>
            <w:tcW w:w="1417" w:type="dxa"/>
          </w:tcPr>
          <w:p w14:paraId="5EEF3D38" w14:textId="7A63AD4F" w:rsidR="00DF17AA" w:rsidRPr="00476F8E" w:rsidRDefault="00855592" w:rsidP="00ED554C">
            <w:pPr>
              <w:jc w:val="right"/>
              <w:cnfStyle w:val="000000100000" w:firstRow="0" w:lastRow="0" w:firstColumn="0" w:lastColumn="0" w:oddVBand="0" w:evenVBand="0" w:oddHBand="1" w:evenHBand="0" w:firstRowFirstColumn="0" w:firstRowLastColumn="0" w:lastRowFirstColumn="0" w:lastRowLastColumn="0"/>
              <w:rPr>
                <w:b/>
              </w:rPr>
            </w:pPr>
            <w:r w:rsidRPr="00476F8E">
              <w:t>-110</w:t>
            </w:r>
          </w:p>
        </w:tc>
      </w:tr>
      <w:tr w:rsidR="00123480" w14:paraId="5E337436" w14:textId="77777777" w:rsidTr="009F5898">
        <w:trPr>
          <w:trHeight w:val="405"/>
        </w:trPr>
        <w:tc>
          <w:tcPr>
            <w:cnfStyle w:val="001000000000" w:firstRow="0" w:lastRow="0" w:firstColumn="1" w:lastColumn="0" w:oddVBand="0" w:evenVBand="0" w:oddHBand="0" w:evenHBand="0" w:firstRowFirstColumn="0" w:firstRowLastColumn="0" w:lastRowFirstColumn="0" w:lastRowLastColumn="0"/>
            <w:tcW w:w="4353" w:type="dxa"/>
          </w:tcPr>
          <w:p w14:paraId="035C6995" w14:textId="5F2C4A2C" w:rsidR="00DF17AA" w:rsidRPr="00476F8E" w:rsidRDefault="00DF17AA" w:rsidP="00354D5B">
            <w:pPr>
              <w:rPr>
                <w:b w:val="0"/>
                <w:bCs w:val="0"/>
              </w:rPr>
            </w:pPr>
            <w:r w:rsidRPr="00476F8E">
              <w:rPr>
                <w:b w:val="0"/>
                <w:bCs w:val="0"/>
              </w:rPr>
              <w:t xml:space="preserve">Retention </w:t>
            </w:r>
            <w:r w:rsidR="0029311C" w:rsidRPr="00476F8E">
              <w:rPr>
                <w:b w:val="0"/>
                <w:bCs w:val="0"/>
              </w:rPr>
              <w:t>l</w:t>
            </w:r>
            <w:r w:rsidRPr="00476F8E">
              <w:rPr>
                <w:b w:val="0"/>
                <w:bCs w:val="0"/>
              </w:rPr>
              <w:t>ease</w:t>
            </w:r>
          </w:p>
        </w:tc>
        <w:tc>
          <w:tcPr>
            <w:tcW w:w="766" w:type="dxa"/>
          </w:tcPr>
          <w:p w14:paraId="0B4B3659" w14:textId="6567FD7D" w:rsidR="00DF17AA" w:rsidRPr="00476F8E" w:rsidRDefault="00855592" w:rsidP="00ED554C">
            <w:pPr>
              <w:jc w:val="right"/>
              <w:cnfStyle w:val="000000000000" w:firstRow="0" w:lastRow="0" w:firstColumn="0" w:lastColumn="0" w:oddVBand="0" w:evenVBand="0" w:oddHBand="0" w:evenHBand="0" w:firstRowFirstColumn="0" w:firstRowLastColumn="0" w:lastRowFirstColumn="0" w:lastRowLastColumn="0"/>
              <w:rPr>
                <w:b/>
              </w:rPr>
            </w:pPr>
            <w:r w:rsidRPr="00476F8E">
              <w:t>71</w:t>
            </w:r>
          </w:p>
        </w:tc>
        <w:tc>
          <w:tcPr>
            <w:tcW w:w="1024" w:type="dxa"/>
          </w:tcPr>
          <w:p w14:paraId="5F70B72B" w14:textId="5A33D240" w:rsidR="00DF17AA" w:rsidRPr="00476F8E" w:rsidRDefault="00855592" w:rsidP="00ED554C">
            <w:pPr>
              <w:jc w:val="right"/>
              <w:cnfStyle w:val="000000000000" w:firstRow="0" w:lastRow="0" w:firstColumn="0" w:lastColumn="0" w:oddVBand="0" w:evenVBand="0" w:oddHBand="0" w:evenHBand="0" w:firstRowFirstColumn="0" w:firstRowLastColumn="0" w:lastRowFirstColumn="0" w:lastRowLastColumn="0"/>
              <w:rPr>
                <w:b/>
              </w:rPr>
            </w:pPr>
            <w:r w:rsidRPr="00476F8E">
              <w:t>313</w:t>
            </w:r>
          </w:p>
        </w:tc>
        <w:tc>
          <w:tcPr>
            <w:tcW w:w="971" w:type="dxa"/>
          </w:tcPr>
          <w:p w14:paraId="022FC75D" w14:textId="1115BD7D" w:rsidR="00DF17AA" w:rsidRPr="00476F8E" w:rsidRDefault="00855592" w:rsidP="00ED554C">
            <w:pPr>
              <w:jc w:val="right"/>
              <w:cnfStyle w:val="000000000000" w:firstRow="0" w:lastRow="0" w:firstColumn="0" w:lastColumn="0" w:oddVBand="0" w:evenVBand="0" w:oddHBand="0" w:evenHBand="0" w:firstRowFirstColumn="0" w:firstRowLastColumn="0" w:lastRowFirstColumn="0" w:lastRowLastColumn="0"/>
              <w:rPr>
                <w:b/>
              </w:rPr>
            </w:pPr>
            <w:r w:rsidRPr="00476F8E">
              <w:t>-</w:t>
            </w:r>
          </w:p>
        </w:tc>
        <w:tc>
          <w:tcPr>
            <w:tcW w:w="1417" w:type="dxa"/>
          </w:tcPr>
          <w:p w14:paraId="7DFFECFC" w14:textId="31496A4E" w:rsidR="00DF17AA" w:rsidRPr="00476F8E" w:rsidRDefault="00855592" w:rsidP="00ED554C">
            <w:pPr>
              <w:jc w:val="right"/>
              <w:cnfStyle w:val="000000000000" w:firstRow="0" w:lastRow="0" w:firstColumn="0" w:lastColumn="0" w:oddVBand="0" w:evenVBand="0" w:oddHBand="0" w:evenHBand="0" w:firstRowFirstColumn="0" w:firstRowLastColumn="0" w:lastRowFirstColumn="0" w:lastRowLastColumn="0"/>
              <w:rPr>
                <w:b/>
              </w:rPr>
            </w:pPr>
            <w:r w:rsidRPr="00476F8E">
              <w:t>7,321</w:t>
            </w:r>
          </w:p>
        </w:tc>
      </w:tr>
      <w:tr w:rsidR="00123480" w14:paraId="7B27560F" w14:textId="77777777" w:rsidTr="009F5898">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4353" w:type="dxa"/>
          </w:tcPr>
          <w:p w14:paraId="74D8D3EF" w14:textId="191A0E65" w:rsidR="00DF17AA" w:rsidRPr="00476F8E" w:rsidRDefault="00DF17AA" w:rsidP="00354D5B">
            <w:pPr>
              <w:rPr>
                <w:b w:val="0"/>
                <w:bCs w:val="0"/>
              </w:rPr>
            </w:pPr>
            <w:r w:rsidRPr="00476F8E">
              <w:rPr>
                <w:b w:val="0"/>
                <w:bCs w:val="0"/>
              </w:rPr>
              <w:t xml:space="preserve">Retention </w:t>
            </w:r>
            <w:r w:rsidR="0029311C" w:rsidRPr="00476F8E">
              <w:rPr>
                <w:b w:val="0"/>
                <w:bCs w:val="0"/>
              </w:rPr>
              <w:t>l</w:t>
            </w:r>
            <w:r w:rsidRPr="00476F8E">
              <w:rPr>
                <w:b w:val="0"/>
                <w:bCs w:val="0"/>
              </w:rPr>
              <w:t xml:space="preserve">ease </w:t>
            </w:r>
            <w:r w:rsidR="0029311C" w:rsidRPr="00476F8E">
              <w:rPr>
                <w:b w:val="0"/>
                <w:bCs w:val="0"/>
              </w:rPr>
              <w:t>a</w:t>
            </w:r>
            <w:r w:rsidRPr="00476F8E">
              <w:rPr>
                <w:b w:val="0"/>
                <w:bCs w:val="0"/>
              </w:rPr>
              <w:t>djustment</w:t>
            </w:r>
          </w:p>
        </w:tc>
        <w:tc>
          <w:tcPr>
            <w:tcW w:w="766" w:type="dxa"/>
          </w:tcPr>
          <w:p w14:paraId="3D4764EC" w14:textId="1F6B70D5" w:rsidR="00DF17AA" w:rsidRPr="00476F8E" w:rsidRDefault="00D90269" w:rsidP="00ED554C">
            <w:pPr>
              <w:jc w:val="right"/>
              <w:cnfStyle w:val="000000100000" w:firstRow="0" w:lastRow="0" w:firstColumn="0" w:lastColumn="0" w:oddVBand="0" w:evenVBand="0" w:oddHBand="1" w:evenHBand="0" w:firstRowFirstColumn="0" w:firstRowLastColumn="0" w:lastRowFirstColumn="0" w:lastRowLastColumn="0"/>
              <w:rPr>
                <w:b/>
              </w:rPr>
            </w:pPr>
            <w:r w:rsidRPr="00476F8E">
              <w:t>7</w:t>
            </w:r>
          </w:p>
        </w:tc>
        <w:tc>
          <w:tcPr>
            <w:tcW w:w="1024" w:type="dxa"/>
          </w:tcPr>
          <w:p w14:paraId="76F77731" w14:textId="2993F132" w:rsidR="00DF17AA" w:rsidRPr="00476F8E" w:rsidRDefault="00D90269" w:rsidP="00ED554C">
            <w:pPr>
              <w:jc w:val="right"/>
              <w:cnfStyle w:val="000000100000" w:firstRow="0" w:lastRow="0" w:firstColumn="0" w:lastColumn="0" w:oddVBand="0" w:evenVBand="0" w:oddHBand="1" w:evenHBand="0" w:firstRowFirstColumn="0" w:firstRowLastColumn="0" w:lastRowFirstColumn="0" w:lastRowLastColumn="0"/>
              <w:rPr>
                <w:b/>
              </w:rPr>
            </w:pPr>
            <w:r w:rsidRPr="00476F8E">
              <w:t>11</w:t>
            </w:r>
          </w:p>
        </w:tc>
        <w:tc>
          <w:tcPr>
            <w:tcW w:w="971" w:type="dxa"/>
          </w:tcPr>
          <w:p w14:paraId="0EA47B41" w14:textId="2B98E3F5" w:rsidR="00DF17AA" w:rsidRPr="00476F8E" w:rsidRDefault="00D90269" w:rsidP="00ED554C">
            <w:pPr>
              <w:jc w:val="right"/>
              <w:cnfStyle w:val="000000100000" w:firstRow="0" w:lastRow="0" w:firstColumn="0" w:lastColumn="0" w:oddVBand="0" w:evenVBand="0" w:oddHBand="1" w:evenHBand="0" w:firstRowFirstColumn="0" w:firstRowLastColumn="0" w:lastRowFirstColumn="0" w:lastRowLastColumn="0"/>
              <w:rPr>
                <w:b/>
              </w:rPr>
            </w:pPr>
            <w:r w:rsidRPr="00476F8E">
              <w:t>-</w:t>
            </w:r>
          </w:p>
        </w:tc>
        <w:tc>
          <w:tcPr>
            <w:tcW w:w="1417" w:type="dxa"/>
          </w:tcPr>
          <w:p w14:paraId="5719282E" w14:textId="40B919C8" w:rsidR="00DF17AA" w:rsidRPr="00476F8E" w:rsidRDefault="00D90269" w:rsidP="00ED554C">
            <w:pPr>
              <w:jc w:val="right"/>
              <w:cnfStyle w:val="000000100000" w:firstRow="0" w:lastRow="0" w:firstColumn="0" w:lastColumn="0" w:oddVBand="0" w:evenVBand="0" w:oddHBand="1" w:evenHBand="0" w:firstRowFirstColumn="0" w:firstRowLastColumn="0" w:lastRowFirstColumn="0" w:lastRowLastColumn="0"/>
              <w:rPr>
                <w:b/>
              </w:rPr>
            </w:pPr>
            <w:r w:rsidRPr="00476F8E">
              <w:t>239</w:t>
            </w:r>
          </w:p>
        </w:tc>
      </w:tr>
      <w:tr w:rsidR="00123480" w14:paraId="4EC40CDF" w14:textId="77777777" w:rsidTr="009F5898">
        <w:trPr>
          <w:trHeight w:val="419"/>
        </w:trPr>
        <w:tc>
          <w:tcPr>
            <w:cnfStyle w:val="001000000000" w:firstRow="0" w:lastRow="0" w:firstColumn="1" w:lastColumn="0" w:oddVBand="0" w:evenVBand="0" w:oddHBand="0" w:evenHBand="0" w:firstRowFirstColumn="0" w:firstRowLastColumn="0" w:lastRowFirstColumn="0" w:lastRowLastColumn="0"/>
            <w:tcW w:w="4353" w:type="dxa"/>
          </w:tcPr>
          <w:p w14:paraId="68818FF5" w14:textId="0D762C2B" w:rsidR="00DF17AA" w:rsidRPr="00476F8E" w:rsidRDefault="00DF17AA" w:rsidP="00354D5B">
            <w:pPr>
              <w:rPr>
                <w:b w:val="0"/>
                <w:bCs w:val="0"/>
              </w:rPr>
            </w:pPr>
            <w:r w:rsidRPr="00476F8E">
              <w:rPr>
                <w:b w:val="0"/>
                <w:bCs w:val="0"/>
              </w:rPr>
              <w:t xml:space="preserve">Refund of </w:t>
            </w:r>
            <w:r w:rsidR="0029311C" w:rsidRPr="00476F8E">
              <w:rPr>
                <w:b w:val="0"/>
                <w:bCs w:val="0"/>
              </w:rPr>
              <w:t>e</w:t>
            </w:r>
            <w:r w:rsidRPr="00476F8E">
              <w:rPr>
                <w:b w:val="0"/>
                <w:bCs w:val="0"/>
              </w:rPr>
              <w:t xml:space="preserve">xpired </w:t>
            </w:r>
            <w:r w:rsidR="0029311C" w:rsidRPr="00476F8E">
              <w:rPr>
                <w:b w:val="0"/>
                <w:bCs w:val="0"/>
              </w:rPr>
              <w:t>r</w:t>
            </w:r>
            <w:r w:rsidRPr="00476F8E">
              <w:rPr>
                <w:b w:val="0"/>
                <w:bCs w:val="0"/>
              </w:rPr>
              <w:t xml:space="preserve">etention </w:t>
            </w:r>
            <w:r w:rsidR="0029311C" w:rsidRPr="00476F8E">
              <w:rPr>
                <w:b w:val="0"/>
                <w:bCs w:val="0"/>
              </w:rPr>
              <w:t>l</w:t>
            </w:r>
            <w:r w:rsidRPr="00476F8E">
              <w:rPr>
                <w:b w:val="0"/>
                <w:bCs w:val="0"/>
              </w:rPr>
              <w:t>ease</w:t>
            </w:r>
          </w:p>
        </w:tc>
        <w:tc>
          <w:tcPr>
            <w:tcW w:w="766" w:type="dxa"/>
          </w:tcPr>
          <w:p w14:paraId="4D7CAB68" w14:textId="181EE45A" w:rsidR="00DF17AA" w:rsidRPr="00476F8E" w:rsidRDefault="00D90269" w:rsidP="00ED554C">
            <w:pPr>
              <w:jc w:val="right"/>
              <w:cnfStyle w:val="000000000000" w:firstRow="0" w:lastRow="0" w:firstColumn="0" w:lastColumn="0" w:oddVBand="0" w:evenVBand="0" w:oddHBand="0" w:evenHBand="0" w:firstRowFirstColumn="0" w:firstRowLastColumn="0" w:lastRowFirstColumn="0" w:lastRowLastColumn="0"/>
              <w:rPr>
                <w:b/>
              </w:rPr>
            </w:pPr>
            <w:r w:rsidRPr="00476F8E">
              <w:t>1</w:t>
            </w:r>
          </w:p>
        </w:tc>
        <w:tc>
          <w:tcPr>
            <w:tcW w:w="1024" w:type="dxa"/>
          </w:tcPr>
          <w:p w14:paraId="42C882DB" w14:textId="742B0A3D" w:rsidR="00DF17AA" w:rsidRPr="00476F8E" w:rsidRDefault="00D90269" w:rsidP="00ED554C">
            <w:pPr>
              <w:jc w:val="right"/>
              <w:cnfStyle w:val="000000000000" w:firstRow="0" w:lastRow="0" w:firstColumn="0" w:lastColumn="0" w:oddVBand="0" w:evenVBand="0" w:oddHBand="0" w:evenHBand="0" w:firstRowFirstColumn="0" w:firstRowLastColumn="0" w:lastRowFirstColumn="0" w:lastRowLastColumn="0"/>
              <w:rPr>
                <w:b/>
              </w:rPr>
            </w:pPr>
            <w:r w:rsidRPr="00476F8E">
              <w:t>-</w:t>
            </w:r>
          </w:p>
        </w:tc>
        <w:tc>
          <w:tcPr>
            <w:tcW w:w="971" w:type="dxa"/>
          </w:tcPr>
          <w:p w14:paraId="2150EFBD" w14:textId="3234B32F" w:rsidR="00DF17AA" w:rsidRPr="00476F8E" w:rsidRDefault="00D90269" w:rsidP="00ED554C">
            <w:pPr>
              <w:jc w:val="right"/>
              <w:cnfStyle w:val="000000000000" w:firstRow="0" w:lastRow="0" w:firstColumn="0" w:lastColumn="0" w:oddVBand="0" w:evenVBand="0" w:oddHBand="0" w:evenHBand="0" w:firstRowFirstColumn="0" w:firstRowLastColumn="0" w:lastRowFirstColumn="0" w:lastRowLastColumn="0"/>
              <w:rPr>
                <w:b/>
              </w:rPr>
            </w:pPr>
            <w:r w:rsidRPr="00476F8E">
              <w:t>-</w:t>
            </w:r>
          </w:p>
        </w:tc>
        <w:tc>
          <w:tcPr>
            <w:tcW w:w="1417" w:type="dxa"/>
          </w:tcPr>
          <w:p w14:paraId="3909F9E1" w14:textId="41B2F0C1" w:rsidR="00DF17AA" w:rsidRPr="00476F8E" w:rsidRDefault="00D90269" w:rsidP="00ED554C">
            <w:pPr>
              <w:jc w:val="right"/>
              <w:cnfStyle w:val="000000000000" w:firstRow="0" w:lastRow="0" w:firstColumn="0" w:lastColumn="0" w:oddVBand="0" w:evenVBand="0" w:oddHBand="0" w:evenHBand="0" w:firstRowFirstColumn="0" w:firstRowLastColumn="0" w:lastRowFirstColumn="0" w:lastRowLastColumn="0"/>
              <w:rPr>
                <w:b/>
              </w:rPr>
            </w:pPr>
            <w:r w:rsidRPr="00476F8E">
              <w:t>-8</w:t>
            </w:r>
          </w:p>
        </w:tc>
      </w:tr>
      <w:tr w:rsidR="00123480" w14:paraId="6A827331" w14:textId="77777777" w:rsidTr="00E92FFE">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4353" w:type="dxa"/>
            <w:shd w:val="clear" w:color="auto" w:fill="15659B" w:themeFill="accent4"/>
          </w:tcPr>
          <w:p w14:paraId="1E5F477C" w14:textId="06842F67" w:rsidR="00D90269" w:rsidRPr="00E92FFE" w:rsidRDefault="00D90269" w:rsidP="00354D5B">
            <w:pPr>
              <w:rPr>
                <w:color w:val="FFFFFF" w:themeColor="background1"/>
              </w:rPr>
            </w:pPr>
            <w:r w:rsidRPr="00E92FFE">
              <w:rPr>
                <w:color w:val="FFFFFF" w:themeColor="background1"/>
              </w:rPr>
              <w:t xml:space="preserve">Total </w:t>
            </w:r>
            <w:r w:rsidR="00476F8E" w:rsidRPr="00E92FFE">
              <w:rPr>
                <w:color w:val="FFFFFF" w:themeColor="background1"/>
              </w:rPr>
              <w:t>annual levy</w:t>
            </w:r>
          </w:p>
        </w:tc>
        <w:tc>
          <w:tcPr>
            <w:tcW w:w="766" w:type="dxa"/>
            <w:shd w:val="clear" w:color="auto" w:fill="15659B" w:themeFill="accent4"/>
          </w:tcPr>
          <w:p w14:paraId="48462462" w14:textId="77777777" w:rsidR="00D90269" w:rsidRPr="00E92FFE" w:rsidRDefault="00D90269" w:rsidP="00ED554C">
            <w:pPr>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p>
        </w:tc>
        <w:tc>
          <w:tcPr>
            <w:tcW w:w="1024" w:type="dxa"/>
            <w:shd w:val="clear" w:color="auto" w:fill="15659B" w:themeFill="accent4"/>
          </w:tcPr>
          <w:p w14:paraId="45EE9041" w14:textId="77777777" w:rsidR="00D90269" w:rsidRPr="00E92FFE" w:rsidRDefault="00D90269" w:rsidP="00ED554C">
            <w:pPr>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p>
        </w:tc>
        <w:tc>
          <w:tcPr>
            <w:tcW w:w="971" w:type="dxa"/>
            <w:shd w:val="clear" w:color="auto" w:fill="15659B" w:themeFill="accent4"/>
          </w:tcPr>
          <w:p w14:paraId="6C20E07B" w14:textId="77777777" w:rsidR="00D90269" w:rsidRPr="00E92FFE" w:rsidRDefault="00D90269" w:rsidP="00ED554C">
            <w:pPr>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p>
        </w:tc>
        <w:tc>
          <w:tcPr>
            <w:tcW w:w="1417" w:type="dxa"/>
            <w:shd w:val="clear" w:color="auto" w:fill="15659B" w:themeFill="accent4"/>
          </w:tcPr>
          <w:p w14:paraId="4450CAD7" w14:textId="614CDF43" w:rsidR="00D90269" w:rsidRPr="00E92FFE" w:rsidRDefault="00476F8E" w:rsidP="00ED554C">
            <w:pPr>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E92FFE">
              <w:rPr>
                <w:b/>
                <w:bCs/>
                <w:color w:val="FFFFFF" w:themeColor="background1"/>
              </w:rPr>
              <w:t>16,386</w:t>
            </w:r>
          </w:p>
        </w:tc>
      </w:tr>
    </w:tbl>
    <w:p w14:paraId="750F7825" w14:textId="0989E739" w:rsidR="00CA4E0B" w:rsidRDefault="00CA4E0B">
      <w:pPr>
        <w:spacing w:before="0" w:after="160" w:line="259" w:lineRule="auto"/>
        <w:rPr>
          <w:sz w:val="20"/>
          <w:szCs w:val="20"/>
        </w:rPr>
      </w:pPr>
      <w:bookmarkStart w:id="189" w:name="_Toc221627112"/>
    </w:p>
    <w:p w14:paraId="22B95BF3" w14:textId="39DD2CE1" w:rsidR="005D5B1D" w:rsidRDefault="00F65186" w:rsidP="00F65186">
      <w:pPr>
        <w:pStyle w:val="Heading3"/>
      </w:pPr>
      <w:bookmarkStart w:id="190" w:name="_Toc221544041"/>
      <w:bookmarkStart w:id="191" w:name="_Toc221546120"/>
      <w:bookmarkStart w:id="192" w:name="_Toc222500473"/>
      <w:r>
        <w:lastRenderedPageBreak/>
        <w:t>Fees</w:t>
      </w:r>
      <w:bookmarkEnd w:id="189"/>
      <w:bookmarkEnd w:id="190"/>
      <w:bookmarkEnd w:id="191"/>
      <w:bookmarkEnd w:id="192"/>
    </w:p>
    <w:p w14:paraId="1C08AF6C" w14:textId="25712654" w:rsidR="00AC0C21" w:rsidRDefault="00AC0C21" w:rsidP="00AC0C21">
      <w:r w:rsidRPr="0049004B">
        <w:t>Application fees, prescribed in the Offshore Petroleum and Greenhouse Gas Storage (Resource Management and Administration) Regulations 2011, are payable when submitting applications for approval to undertake certain regulated activities. In 202</w:t>
      </w:r>
      <w:r w:rsidR="00D7509F">
        <w:t>4</w:t>
      </w:r>
      <w:r w:rsidRPr="0049004B">
        <w:t>-2</w:t>
      </w:r>
      <w:r w:rsidR="00D7509F">
        <w:t>5</w:t>
      </w:r>
      <w:r w:rsidRPr="0049004B">
        <w:t xml:space="preserve">, application fee revenue was $2.9 million, making up 15% of total revenue (see Table </w:t>
      </w:r>
      <w:r w:rsidR="00611D75">
        <w:t>7</w:t>
      </w:r>
      <w:r w:rsidRPr="0049004B">
        <w:t>).</w:t>
      </w:r>
    </w:p>
    <w:p w14:paraId="648AC5E2" w14:textId="7D9D8FBC" w:rsidR="00654657" w:rsidRDefault="00654657" w:rsidP="00A941B1">
      <w:pPr>
        <w:pStyle w:val="Caption"/>
        <w:keepNext/>
      </w:pPr>
      <w:r>
        <w:t xml:space="preserve">Table </w:t>
      </w:r>
      <w:r>
        <w:fldChar w:fldCharType="begin"/>
      </w:r>
      <w:r>
        <w:instrText xml:space="preserve"> SEQ Table \* ARABIC </w:instrText>
      </w:r>
      <w:r>
        <w:fldChar w:fldCharType="separate"/>
      </w:r>
      <w:r w:rsidR="003D6C08">
        <w:rPr>
          <w:noProof/>
        </w:rPr>
        <w:t>7</w:t>
      </w:r>
      <w:r>
        <w:fldChar w:fldCharType="end"/>
      </w:r>
      <w:r>
        <w:t>:</w:t>
      </w:r>
      <w:r w:rsidRPr="00654657">
        <w:t xml:space="preserve"> </w:t>
      </w:r>
      <w:r>
        <w:t>Application fees for 2024-25</w:t>
      </w:r>
    </w:p>
    <w:tbl>
      <w:tblPr>
        <w:tblStyle w:val="ListTable3-Accent4"/>
        <w:tblW w:w="8217" w:type="dxa"/>
        <w:tblLook w:val="04A0" w:firstRow="1" w:lastRow="0" w:firstColumn="1" w:lastColumn="0" w:noHBand="0" w:noVBand="1"/>
      </w:tblPr>
      <w:tblGrid>
        <w:gridCol w:w="4531"/>
        <w:gridCol w:w="1843"/>
        <w:gridCol w:w="1843"/>
      </w:tblGrid>
      <w:tr w:rsidR="00B00A69" w:rsidRPr="0027318E" w14:paraId="701904ED" w14:textId="77777777" w:rsidTr="00A5118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531" w:type="dxa"/>
            <w:noWrap/>
            <w:hideMark/>
          </w:tcPr>
          <w:p w14:paraId="060D9883" w14:textId="0F426D48" w:rsidR="00B00A69" w:rsidRPr="00F81182" w:rsidRDefault="00B00A69" w:rsidP="00A5118B">
            <w:pPr>
              <w:rPr>
                <w:rStyle w:val="Strong"/>
                <w:b/>
              </w:rPr>
            </w:pPr>
            <w:r w:rsidRPr="00F81182">
              <w:rPr>
                <w:rStyle w:val="Strong"/>
                <w:b/>
              </w:rPr>
              <w:t xml:space="preserve">Application </w:t>
            </w:r>
            <w:r w:rsidR="00510B25" w:rsidRPr="00F81182">
              <w:rPr>
                <w:rStyle w:val="Strong"/>
                <w:b/>
              </w:rPr>
              <w:t>t</w:t>
            </w:r>
            <w:r w:rsidRPr="00F81182">
              <w:rPr>
                <w:rStyle w:val="Strong"/>
                <w:b/>
              </w:rPr>
              <w:t>ype</w:t>
            </w:r>
          </w:p>
        </w:tc>
        <w:tc>
          <w:tcPr>
            <w:tcW w:w="1843" w:type="dxa"/>
            <w:noWrap/>
            <w:hideMark/>
          </w:tcPr>
          <w:p w14:paraId="52A0936F" w14:textId="3E6428EA" w:rsidR="00B00A69" w:rsidRPr="00F81182" w:rsidRDefault="00B00A69" w:rsidP="00ED59F0">
            <w:pPr>
              <w:jc w:val="right"/>
              <w:cnfStyle w:val="100000000000" w:firstRow="1" w:lastRow="0" w:firstColumn="0" w:lastColumn="0" w:oddVBand="0" w:evenVBand="0" w:oddHBand="0" w:evenHBand="0" w:firstRowFirstColumn="0" w:firstRowLastColumn="0" w:lastRowFirstColumn="0" w:lastRowLastColumn="0"/>
              <w:rPr>
                <w:rStyle w:val="Strong"/>
                <w:b/>
              </w:rPr>
            </w:pPr>
            <w:r w:rsidRPr="00F81182">
              <w:rPr>
                <w:rStyle w:val="Strong"/>
                <w:b/>
              </w:rPr>
              <w:t>No. of Application</w:t>
            </w:r>
            <w:r w:rsidR="00AB1EBF" w:rsidRPr="00F81182">
              <w:rPr>
                <w:rStyle w:val="Strong"/>
                <w:b/>
              </w:rPr>
              <w:t>s</w:t>
            </w:r>
          </w:p>
        </w:tc>
        <w:tc>
          <w:tcPr>
            <w:tcW w:w="1843" w:type="dxa"/>
            <w:noWrap/>
            <w:hideMark/>
          </w:tcPr>
          <w:p w14:paraId="7544EBDA" w14:textId="7C52ABCA" w:rsidR="00B00A69" w:rsidRPr="00F81182" w:rsidRDefault="00B00A69" w:rsidP="00ED59F0">
            <w:pPr>
              <w:jc w:val="right"/>
              <w:cnfStyle w:val="100000000000" w:firstRow="1" w:lastRow="0" w:firstColumn="0" w:lastColumn="0" w:oddVBand="0" w:evenVBand="0" w:oddHBand="0" w:evenHBand="0" w:firstRowFirstColumn="0" w:firstRowLastColumn="0" w:lastRowFirstColumn="0" w:lastRowLastColumn="0"/>
              <w:rPr>
                <w:rStyle w:val="Strong"/>
                <w:b/>
              </w:rPr>
            </w:pPr>
            <w:r w:rsidRPr="00F81182">
              <w:rPr>
                <w:rStyle w:val="Strong"/>
                <w:b/>
              </w:rPr>
              <w:t xml:space="preserve">Fee </w:t>
            </w:r>
            <w:r w:rsidR="006A5A3D" w:rsidRPr="00F81182">
              <w:rPr>
                <w:rStyle w:val="Strong"/>
                <w:b/>
              </w:rPr>
              <w:t>a</w:t>
            </w:r>
            <w:r w:rsidRPr="00F81182">
              <w:rPr>
                <w:rStyle w:val="Strong"/>
                <w:b/>
              </w:rPr>
              <w:t>mount</w:t>
            </w:r>
            <w:r w:rsidR="000C7643" w:rsidRPr="00F81182">
              <w:rPr>
                <w:rStyle w:val="Strong"/>
                <w:b/>
              </w:rPr>
              <w:t xml:space="preserve"> $’000</w:t>
            </w:r>
          </w:p>
        </w:tc>
      </w:tr>
      <w:tr w:rsidR="00B00A69" w:rsidRPr="0027318E" w14:paraId="58B67654" w14:textId="77777777" w:rsidTr="00A5118B">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531" w:type="dxa"/>
            <w:noWrap/>
            <w:hideMark/>
          </w:tcPr>
          <w:p w14:paraId="0ADEE652" w14:textId="26AA0E6E" w:rsidR="00B00A69" w:rsidRPr="00F71A71" w:rsidRDefault="00B00A69" w:rsidP="00575919">
            <w:pPr>
              <w:spacing w:after="0"/>
              <w:rPr>
                <w:rFonts w:eastAsia="Times New Roman" w:cs="Calibri"/>
                <w:b w:val="0"/>
                <w:lang w:eastAsia="en-AU"/>
              </w:rPr>
            </w:pPr>
            <w:r w:rsidRPr="00F71A71">
              <w:rPr>
                <w:rFonts w:eastAsia="Times New Roman" w:cs="Calibri"/>
                <w:b w:val="0"/>
                <w:lang w:eastAsia="en-AU"/>
              </w:rPr>
              <w:t xml:space="preserve">Renewal </w:t>
            </w:r>
            <w:r w:rsidR="00D11E7F" w:rsidRPr="00F71A71">
              <w:rPr>
                <w:rFonts w:eastAsia="Times New Roman" w:cs="Calibri"/>
                <w:b w:val="0"/>
                <w:lang w:eastAsia="en-AU"/>
              </w:rPr>
              <w:t>e</w:t>
            </w:r>
            <w:r w:rsidRPr="00F71A71">
              <w:rPr>
                <w:rFonts w:eastAsia="Times New Roman" w:cs="Calibri"/>
                <w:b w:val="0"/>
                <w:lang w:eastAsia="en-AU"/>
              </w:rPr>
              <w:t xml:space="preserve">xploration </w:t>
            </w:r>
            <w:r w:rsidR="00D11E7F" w:rsidRPr="00F71A71">
              <w:rPr>
                <w:rFonts w:eastAsia="Times New Roman" w:cs="Calibri"/>
                <w:b w:val="0"/>
                <w:lang w:eastAsia="en-AU"/>
              </w:rPr>
              <w:t>p</w:t>
            </w:r>
            <w:r w:rsidRPr="00F71A71">
              <w:rPr>
                <w:rFonts w:eastAsia="Times New Roman" w:cs="Calibri"/>
                <w:b w:val="0"/>
                <w:lang w:eastAsia="en-AU"/>
              </w:rPr>
              <w:t>ermit</w:t>
            </w:r>
          </w:p>
        </w:tc>
        <w:tc>
          <w:tcPr>
            <w:tcW w:w="1843" w:type="dxa"/>
            <w:noWrap/>
            <w:hideMark/>
          </w:tcPr>
          <w:p w14:paraId="243692C2" w14:textId="77777777" w:rsidR="00B00A69" w:rsidRPr="00C967FA" w:rsidRDefault="00B00A69" w:rsidP="004B117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AU"/>
              </w:rPr>
            </w:pPr>
            <w:r w:rsidRPr="00C967FA">
              <w:rPr>
                <w:rFonts w:eastAsia="Times New Roman" w:cs="Calibri"/>
                <w:lang w:eastAsia="en-AU"/>
              </w:rPr>
              <w:t>3</w:t>
            </w:r>
          </w:p>
        </w:tc>
        <w:tc>
          <w:tcPr>
            <w:tcW w:w="1843" w:type="dxa"/>
            <w:noWrap/>
            <w:hideMark/>
          </w:tcPr>
          <w:p w14:paraId="5CA8F471" w14:textId="0A451B25" w:rsidR="00B00A69" w:rsidRPr="00C967FA" w:rsidRDefault="00B00A69" w:rsidP="004B117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AU"/>
              </w:rPr>
            </w:pPr>
            <w:r w:rsidRPr="00C967FA">
              <w:rPr>
                <w:rFonts w:eastAsia="Times New Roman" w:cs="Calibri"/>
                <w:lang w:eastAsia="en-AU"/>
              </w:rPr>
              <w:t>44</w:t>
            </w:r>
          </w:p>
        </w:tc>
      </w:tr>
      <w:tr w:rsidR="00B00A69" w:rsidRPr="0027318E" w14:paraId="24BFD134" w14:textId="77777777" w:rsidTr="00A5118B">
        <w:trPr>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6AE66834" w14:textId="1836E3C9" w:rsidR="00B00A69" w:rsidRPr="00F71A71" w:rsidRDefault="00B00A69" w:rsidP="00575919">
            <w:pPr>
              <w:spacing w:after="0"/>
              <w:rPr>
                <w:rFonts w:eastAsia="Times New Roman" w:cs="Calibri"/>
                <w:b w:val="0"/>
                <w:lang w:eastAsia="en-AU"/>
              </w:rPr>
            </w:pPr>
            <w:r w:rsidRPr="00F71A71">
              <w:rPr>
                <w:rFonts w:eastAsia="Times New Roman" w:cs="Calibri"/>
                <w:b w:val="0"/>
                <w:lang w:eastAsia="en-AU"/>
              </w:rPr>
              <w:t xml:space="preserve">Petroleum </w:t>
            </w:r>
            <w:r w:rsidR="00D11E7F" w:rsidRPr="00F71A71">
              <w:rPr>
                <w:rFonts w:eastAsia="Times New Roman" w:cs="Calibri"/>
                <w:b w:val="0"/>
                <w:lang w:eastAsia="en-AU"/>
              </w:rPr>
              <w:t>r</w:t>
            </w:r>
            <w:r w:rsidRPr="00F71A71">
              <w:rPr>
                <w:rFonts w:eastAsia="Times New Roman" w:cs="Calibri"/>
                <w:b w:val="0"/>
                <w:lang w:eastAsia="en-AU"/>
              </w:rPr>
              <w:t xml:space="preserve">etention </w:t>
            </w:r>
            <w:r w:rsidR="00D11E7F" w:rsidRPr="00F71A71">
              <w:rPr>
                <w:rFonts w:eastAsia="Times New Roman" w:cs="Calibri"/>
                <w:b w:val="0"/>
                <w:lang w:eastAsia="en-AU"/>
              </w:rPr>
              <w:t>l</w:t>
            </w:r>
            <w:r w:rsidRPr="00F71A71">
              <w:rPr>
                <w:rFonts w:eastAsia="Times New Roman" w:cs="Calibri"/>
                <w:b w:val="0"/>
                <w:lang w:eastAsia="en-AU"/>
              </w:rPr>
              <w:t>ease</w:t>
            </w:r>
          </w:p>
        </w:tc>
        <w:tc>
          <w:tcPr>
            <w:tcW w:w="1843" w:type="dxa"/>
            <w:noWrap/>
            <w:hideMark/>
          </w:tcPr>
          <w:p w14:paraId="24387E1D" w14:textId="77777777" w:rsidR="00B00A69" w:rsidRPr="00C967FA" w:rsidRDefault="00B00A69" w:rsidP="004B117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C967FA">
              <w:rPr>
                <w:rFonts w:eastAsia="Times New Roman" w:cs="Calibri"/>
                <w:lang w:eastAsia="en-AU"/>
              </w:rPr>
              <w:t>3</w:t>
            </w:r>
          </w:p>
        </w:tc>
        <w:tc>
          <w:tcPr>
            <w:tcW w:w="1843" w:type="dxa"/>
            <w:noWrap/>
            <w:hideMark/>
          </w:tcPr>
          <w:p w14:paraId="264AF5AE" w14:textId="5CCDE232" w:rsidR="00B00A69" w:rsidRPr="00C967FA" w:rsidRDefault="00B00A69" w:rsidP="004B117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C967FA">
              <w:rPr>
                <w:rFonts w:eastAsia="Times New Roman" w:cs="Calibri"/>
                <w:lang w:eastAsia="en-AU"/>
              </w:rPr>
              <w:t xml:space="preserve">59 </w:t>
            </w:r>
          </w:p>
        </w:tc>
      </w:tr>
      <w:tr w:rsidR="00B00A69" w:rsidRPr="0027318E" w14:paraId="6208FD3F" w14:textId="77777777" w:rsidTr="00A511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6DC98C2F" w14:textId="58C957CC" w:rsidR="00B00A69" w:rsidRPr="00F71A71" w:rsidRDefault="00B00A69" w:rsidP="00575919">
            <w:pPr>
              <w:spacing w:after="0"/>
              <w:rPr>
                <w:rFonts w:eastAsia="Times New Roman" w:cs="Calibri"/>
                <w:b w:val="0"/>
                <w:lang w:eastAsia="en-AU"/>
              </w:rPr>
            </w:pPr>
            <w:r w:rsidRPr="00F71A71">
              <w:rPr>
                <w:rFonts w:eastAsia="Times New Roman" w:cs="Calibri"/>
                <w:b w:val="0"/>
                <w:lang w:eastAsia="en-AU"/>
              </w:rPr>
              <w:t xml:space="preserve">Renewal </w:t>
            </w:r>
            <w:r w:rsidR="00D11E7F" w:rsidRPr="00F71A71">
              <w:rPr>
                <w:rFonts w:eastAsia="Times New Roman" w:cs="Calibri"/>
                <w:b w:val="0"/>
                <w:lang w:eastAsia="en-AU"/>
              </w:rPr>
              <w:t>r</w:t>
            </w:r>
            <w:r w:rsidRPr="00F71A71">
              <w:rPr>
                <w:rFonts w:eastAsia="Times New Roman" w:cs="Calibri"/>
                <w:b w:val="0"/>
                <w:lang w:eastAsia="en-AU"/>
              </w:rPr>
              <w:t xml:space="preserve">etention </w:t>
            </w:r>
            <w:r w:rsidR="00D11E7F" w:rsidRPr="00F71A71">
              <w:rPr>
                <w:rFonts w:eastAsia="Times New Roman" w:cs="Calibri"/>
                <w:b w:val="0"/>
                <w:lang w:eastAsia="en-AU"/>
              </w:rPr>
              <w:t>l</w:t>
            </w:r>
            <w:r w:rsidRPr="00F71A71">
              <w:rPr>
                <w:rFonts w:eastAsia="Times New Roman" w:cs="Calibri"/>
                <w:b w:val="0"/>
                <w:lang w:eastAsia="en-AU"/>
              </w:rPr>
              <w:t>ease</w:t>
            </w:r>
          </w:p>
        </w:tc>
        <w:tc>
          <w:tcPr>
            <w:tcW w:w="1843" w:type="dxa"/>
            <w:noWrap/>
            <w:hideMark/>
          </w:tcPr>
          <w:p w14:paraId="6813CE2C" w14:textId="77777777" w:rsidR="00B00A69" w:rsidRPr="00C967FA" w:rsidRDefault="00B00A69" w:rsidP="004B117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AU"/>
              </w:rPr>
            </w:pPr>
            <w:r w:rsidRPr="00C967FA">
              <w:rPr>
                <w:rFonts w:eastAsia="Times New Roman" w:cs="Calibri"/>
                <w:lang w:eastAsia="en-AU"/>
              </w:rPr>
              <w:t>8</w:t>
            </w:r>
          </w:p>
        </w:tc>
        <w:tc>
          <w:tcPr>
            <w:tcW w:w="1843" w:type="dxa"/>
            <w:noWrap/>
            <w:hideMark/>
          </w:tcPr>
          <w:p w14:paraId="5AD96BCA" w14:textId="2C822D8C" w:rsidR="00B00A69" w:rsidRPr="00C967FA" w:rsidRDefault="00B00A69" w:rsidP="004B117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AU"/>
              </w:rPr>
            </w:pPr>
            <w:r w:rsidRPr="00C967FA">
              <w:rPr>
                <w:rFonts w:eastAsia="Times New Roman" w:cs="Calibri"/>
                <w:lang w:eastAsia="en-AU"/>
              </w:rPr>
              <w:t>152</w:t>
            </w:r>
          </w:p>
        </w:tc>
      </w:tr>
      <w:tr w:rsidR="00B00A69" w:rsidRPr="0027318E" w14:paraId="2D69DA70" w14:textId="77777777" w:rsidTr="00A5118B">
        <w:trPr>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0DE84410" w14:textId="34903741" w:rsidR="00B00A69" w:rsidRPr="00F71A71" w:rsidRDefault="00B00A69" w:rsidP="00575919">
            <w:pPr>
              <w:spacing w:after="0"/>
              <w:rPr>
                <w:rFonts w:eastAsia="Times New Roman" w:cs="Calibri"/>
                <w:b w:val="0"/>
                <w:lang w:eastAsia="en-AU"/>
              </w:rPr>
            </w:pPr>
            <w:r w:rsidRPr="00F71A71">
              <w:rPr>
                <w:rFonts w:eastAsia="Times New Roman" w:cs="Calibri"/>
                <w:b w:val="0"/>
                <w:lang w:eastAsia="en-AU"/>
              </w:rPr>
              <w:t xml:space="preserve">Production </w:t>
            </w:r>
            <w:r w:rsidR="00D11E7F" w:rsidRPr="00F71A71">
              <w:rPr>
                <w:rFonts w:eastAsia="Times New Roman" w:cs="Calibri"/>
                <w:b w:val="0"/>
                <w:lang w:eastAsia="en-AU"/>
              </w:rPr>
              <w:t>l</w:t>
            </w:r>
            <w:r w:rsidRPr="00F71A71">
              <w:rPr>
                <w:rFonts w:eastAsia="Times New Roman" w:cs="Calibri"/>
                <w:b w:val="0"/>
                <w:lang w:eastAsia="en-AU"/>
              </w:rPr>
              <w:t>icence</w:t>
            </w:r>
          </w:p>
        </w:tc>
        <w:tc>
          <w:tcPr>
            <w:tcW w:w="1843" w:type="dxa"/>
            <w:noWrap/>
            <w:hideMark/>
          </w:tcPr>
          <w:p w14:paraId="2287DC0D" w14:textId="77777777" w:rsidR="00B00A69" w:rsidRPr="00C967FA" w:rsidRDefault="00B00A69" w:rsidP="004B117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C967FA">
              <w:rPr>
                <w:rFonts w:eastAsia="Times New Roman" w:cs="Calibri"/>
                <w:lang w:eastAsia="en-AU"/>
              </w:rPr>
              <w:t>3</w:t>
            </w:r>
          </w:p>
        </w:tc>
        <w:tc>
          <w:tcPr>
            <w:tcW w:w="1843" w:type="dxa"/>
            <w:noWrap/>
            <w:hideMark/>
          </w:tcPr>
          <w:p w14:paraId="5111A814" w14:textId="284B27E4" w:rsidR="00B00A69" w:rsidRPr="00C967FA" w:rsidRDefault="00B00A69" w:rsidP="004B117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C967FA">
              <w:rPr>
                <w:rFonts w:eastAsia="Times New Roman" w:cs="Calibri"/>
                <w:lang w:eastAsia="en-AU"/>
              </w:rPr>
              <w:t xml:space="preserve">76 </w:t>
            </w:r>
          </w:p>
        </w:tc>
      </w:tr>
      <w:tr w:rsidR="00B00A69" w:rsidRPr="0027318E" w14:paraId="384C12E7" w14:textId="77777777" w:rsidTr="00A511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50EDC5FD" w14:textId="4BEF4B4B" w:rsidR="00B00A69" w:rsidRPr="00F71A71" w:rsidRDefault="00B00A69" w:rsidP="00575919">
            <w:pPr>
              <w:spacing w:after="0"/>
              <w:rPr>
                <w:rFonts w:eastAsia="Times New Roman" w:cs="Calibri"/>
                <w:b w:val="0"/>
                <w:lang w:eastAsia="en-AU"/>
              </w:rPr>
            </w:pPr>
            <w:r w:rsidRPr="00F71A71">
              <w:rPr>
                <w:rFonts w:eastAsia="Times New Roman" w:cs="Calibri"/>
                <w:b w:val="0"/>
                <w:lang w:eastAsia="en-AU"/>
              </w:rPr>
              <w:t xml:space="preserve">Variation </w:t>
            </w:r>
            <w:r w:rsidR="00D11E7F" w:rsidRPr="00F71A71">
              <w:rPr>
                <w:rFonts w:eastAsia="Times New Roman" w:cs="Calibri"/>
                <w:b w:val="0"/>
                <w:lang w:eastAsia="en-AU"/>
              </w:rPr>
              <w:t>p</w:t>
            </w:r>
            <w:r w:rsidRPr="00F71A71">
              <w:rPr>
                <w:rFonts w:eastAsia="Times New Roman" w:cs="Calibri"/>
                <w:b w:val="0"/>
                <w:lang w:eastAsia="en-AU"/>
              </w:rPr>
              <w:t xml:space="preserve">ipeline </w:t>
            </w:r>
            <w:r w:rsidR="00D11E7F" w:rsidRPr="00F71A71">
              <w:rPr>
                <w:rFonts w:eastAsia="Times New Roman" w:cs="Calibri"/>
                <w:b w:val="0"/>
                <w:lang w:eastAsia="en-AU"/>
              </w:rPr>
              <w:t>l</w:t>
            </w:r>
            <w:r w:rsidRPr="00F71A71">
              <w:rPr>
                <w:rFonts w:eastAsia="Times New Roman" w:cs="Calibri"/>
                <w:b w:val="0"/>
                <w:lang w:eastAsia="en-AU"/>
              </w:rPr>
              <w:t>icence</w:t>
            </w:r>
          </w:p>
        </w:tc>
        <w:tc>
          <w:tcPr>
            <w:tcW w:w="1843" w:type="dxa"/>
            <w:noWrap/>
            <w:hideMark/>
          </w:tcPr>
          <w:p w14:paraId="4CD169CE" w14:textId="77777777" w:rsidR="00B00A69" w:rsidRPr="00C967FA" w:rsidRDefault="00B00A69" w:rsidP="004B117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AU"/>
              </w:rPr>
            </w:pPr>
            <w:r w:rsidRPr="00C967FA">
              <w:rPr>
                <w:rFonts w:eastAsia="Times New Roman" w:cs="Calibri"/>
                <w:lang w:eastAsia="en-AU"/>
              </w:rPr>
              <w:t>2</w:t>
            </w:r>
          </w:p>
        </w:tc>
        <w:tc>
          <w:tcPr>
            <w:tcW w:w="1843" w:type="dxa"/>
            <w:noWrap/>
            <w:hideMark/>
          </w:tcPr>
          <w:p w14:paraId="18D4D716" w14:textId="4971FAFF" w:rsidR="00B00A69" w:rsidRPr="00C967FA" w:rsidRDefault="00B00A69" w:rsidP="004B117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AU"/>
              </w:rPr>
            </w:pPr>
            <w:r w:rsidRPr="00C967FA">
              <w:rPr>
                <w:rFonts w:eastAsia="Times New Roman" w:cs="Calibri"/>
                <w:lang w:eastAsia="en-AU"/>
              </w:rPr>
              <w:t xml:space="preserve">26 </w:t>
            </w:r>
          </w:p>
        </w:tc>
      </w:tr>
      <w:tr w:rsidR="00B00A69" w:rsidRPr="0027318E" w14:paraId="62A73A65" w14:textId="77777777" w:rsidTr="00A5118B">
        <w:trPr>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597DEC54" w14:textId="77777777" w:rsidR="00B00A69" w:rsidRPr="00F71A71" w:rsidRDefault="00B00A69" w:rsidP="00575919">
            <w:pPr>
              <w:spacing w:after="0"/>
              <w:rPr>
                <w:rFonts w:eastAsia="Times New Roman" w:cs="Calibri"/>
                <w:b w:val="0"/>
                <w:lang w:eastAsia="en-AU"/>
              </w:rPr>
            </w:pPr>
            <w:r w:rsidRPr="00F71A71">
              <w:rPr>
                <w:rFonts w:eastAsia="Times New Roman" w:cs="Calibri"/>
                <w:b w:val="0"/>
                <w:lang w:eastAsia="en-AU"/>
              </w:rPr>
              <w:t>Transfer</w:t>
            </w:r>
          </w:p>
        </w:tc>
        <w:tc>
          <w:tcPr>
            <w:tcW w:w="1843" w:type="dxa"/>
            <w:noWrap/>
            <w:hideMark/>
          </w:tcPr>
          <w:p w14:paraId="4EE02623" w14:textId="77777777" w:rsidR="00B00A69" w:rsidRPr="00C967FA" w:rsidRDefault="00B00A69" w:rsidP="004B117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C967FA">
              <w:rPr>
                <w:rFonts w:eastAsia="Times New Roman" w:cs="Calibri"/>
                <w:lang w:eastAsia="en-AU"/>
              </w:rPr>
              <w:t>10</w:t>
            </w:r>
          </w:p>
        </w:tc>
        <w:tc>
          <w:tcPr>
            <w:tcW w:w="1843" w:type="dxa"/>
            <w:noWrap/>
            <w:hideMark/>
          </w:tcPr>
          <w:p w14:paraId="0823DB78" w14:textId="163779D2" w:rsidR="00B00A69" w:rsidRPr="00C967FA" w:rsidRDefault="00B00A69" w:rsidP="004B117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C967FA">
              <w:rPr>
                <w:rFonts w:eastAsia="Times New Roman" w:cs="Calibri"/>
                <w:lang w:eastAsia="en-AU"/>
              </w:rPr>
              <w:t xml:space="preserve">86 </w:t>
            </w:r>
          </w:p>
        </w:tc>
      </w:tr>
      <w:tr w:rsidR="00B00A69" w:rsidRPr="0027318E" w14:paraId="2B4E0050" w14:textId="77777777" w:rsidTr="00A511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4478308C" w14:textId="77777777" w:rsidR="00B00A69" w:rsidRPr="00F71A71" w:rsidRDefault="00B00A69" w:rsidP="00575919">
            <w:pPr>
              <w:spacing w:after="0"/>
              <w:rPr>
                <w:rFonts w:eastAsia="Times New Roman" w:cs="Calibri"/>
                <w:b w:val="0"/>
                <w:lang w:eastAsia="en-AU"/>
              </w:rPr>
            </w:pPr>
            <w:r w:rsidRPr="00F71A71">
              <w:rPr>
                <w:rFonts w:eastAsia="Times New Roman" w:cs="Calibri"/>
                <w:b w:val="0"/>
                <w:lang w:eastAsia="en-AU"/>
              </w:rPr>
              <w:t>Dealing</w:t>
            </w:r>
          </w:p>
        </w:tc>
        <w:tc>
          <w:tcPr>
            <w:tcW w:w="1843" w:type="dxa"/>
            <w:noWrap/>
            <w:hideMark/>
          </w:tcPr>
          <w:p w14:paraId="51EB4E5D" w14:textId="77777777" w:rsidR="00B00A69" w:rsidRPr="00C967FA" w:rsidRDefault="00B00A69" w:rsidP="004B117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AU"/>
              </w:rPr>
            </w:pPr>
            <w:r w:rsidRPr="00C967FA">
              <w:rPr>
                <w:rFonts w:eastAsia="Times New Roman" w:cs="Calibri"/>
                <w:lang w:eastAsia="en-AU"/>
              </w:rPr>
              <w:t>159</w:t>
            </w:r>
          </w:p>
        </w:tc>
        <w:tc>
          <w:tcPr>
            <w:tcW w:w="1843" w:type="dxa"/>
            <w:noWrap/>
            <w:hideMark/>
          </w:tcPr>
          <w:p w14:paraId="4B2A2804" w14:textId="200DC79A" w:rsidR="00B00A69" w:rsidRPr="00C967FA" w:rsidRDefault="00B00A69" w:rsidP="004B117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AU"/>
              </w:rPr>
            </w:pPr>
            <w:r w:rsidRPr="00C967FA">
              <w:rPr>
                <w:rFonts w:eastAsia="Times New Roman" w:cs="Calibri"/>
                <w:lang w:eastAsia="en-AU"/>
              </w:rPr>
              <w:t>1,52</w:t>
            </w:r>
            <w:r w:rsidR="006E4D52">
              <w:rPr>
                <w:rFonts w:eastAsia="Times New Roman" w:cs="Calibri"/>
                <w:lang w:eastAsia="en-AU"/>
              </w:rPr>
              <w:t>4</w:t>
            </w:r>
            <w:r w:rsidRPr="00C967FA">
              <w:rPr>
                <w:rFonts w:eastAsia="Times New Roman" w:cs="Calibri"/>
                <w:lang w:eastAsia="en-AU"/>
              </w:rPr>
              <w:t xml:space="preserve"> </w:t>
            </w:r>
          </w:p>
        </w:tc>
      </w:tr>
      <w:tr w:rsidR="00B00A69" w:rsidRPr="0027318E" w14:paraId="2E1201A7" w14:textId="77777777" w:rsidTr="00A5118B">
        <w:trPr>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6A6ED540" w14:textId="4D8C5C11" w:rsidR="00B00A69" w:rsidRPr="00F71A71" w:rsidRDefault="00B00A69" w:rsidP="00575919">
            <w:pPr>
              <w:spacing w:after="0"/>
              <w:rPr>
                <w:rFonts w:eastAsia="Times New Roman" w:cs="Calibri"/>
                <w:b w:val="0"/>
                <w:lang w:eastAsia="en-AU"/>
              </w:rPr>
            </w:pPr>
            <w:r w:rsidRPr="00F71A71">
              <w:rPr>
                <w:rFonts w:eastAsia="Times New Roman" w:cs="Calibri"/>
                <w:b w:val="0"/>
                <w:lang w:eastAsia="en-AU"/>
              </w:rPr>
              <w:t xml:space="preserve">Change in </w:t>
            </w:r>
            <w:r w:rsidR="00D54C4C" w:rsidRPr="00F71A71">
              <w:rPr>
                <w:rFonts w:eastAsia="Times New Roman" w:cs="Calibri"/>
                <w:b w:val="0"/>
                <w:lang w:eastAsia="en-AU"/>
              </w:rPr>
              <w:t>c</w:t>
            </w:r>
            <w:r w:rsidRPr="00F71A71">
              <w:rPr>
                <w:rFonts w:eastAsia="Times New Roman" w:cs="Calibri"/>
                <w:b w:val="0"/>
                <w:lang w:eastAsia="en-AU"/>
              </w:rPr>
              <w:t>ontrol</w:t>
            </w:r>
          </w:p>
        </w:tc>
        <w:tc>
          <w:tcPr>
            <w:tcW w:w="1843" w:type="dxa"/>
            <w:noWrap/>
            <w:hideMark/>
          </w:tcPr>
          <w:p w14:paraId="38F7F070" w14:textId="77777777" w:rsidR="00B00A69" w:rsidRPr="00C967FA" w:rsidRDefault="00B00A69" w:rsidP="004B117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C967FA">
              <w:rPr>
                <w:rFonts w:eastAsia="Times New Roman" w:cs="Calibri"/>
                <w:lang w:eastAsia="en-AU"/>
              </w:rPr>
              <w:t>8</w:t>
            </w:r>
          </w:p>
        </w:tc>
        <w:tc>
          <w:tcPr>
            <w:tcW w:w="1843" w:type="dxa"/>
            <w:noWrap/>
            <w:hideMark/>
          </w:tcPr>
          <w:p w14:paraId="1ACFB9A7" w14:textId="37378BCC" w:rsidR="00B00A69" w:rsidRPr="00C967FA" w:rsidRDefault="00B00A69" w:rsidP="004B117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C967FA">
              <w:rPr>
                <w:rFonts w:eastAsia="Times New Roman" w:cs="Calibri"/>
                <w:lang w:eastAsia="en-AU"/>
              </w:rPr>
              <w:t>69</w:t>
            </w:r>
          </w:p>
        </w:tc>
      </w:tr>
      <w:tr w:rsidR="00B00A69" w:rsidRPr="0027318E" w14:paraId="48803B0C" w14:textId="77777777" w:rsidTr="00A511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03D6302C" w14:textId="625F38CD" w:rsidR="00B00A69" w:rsidRPr="00F71A71" w:rsidRDefault="00B00A69" w:rsidP="00575919">
            <w:pPr>
              <w:spacing w:after="0"/>
              <w:rPr>
                <w:rFonts w:eastAsia="Times New Roman" w:cs="Calibri"/>
                <w:b w:val="0"/>
                <w:lang w:eastAsia="en-AU"/>
              </w:rPr>
            </w:pPr>
            <w:r w:rsidRPr="00F71A71">
              <w:rPr>
                <w:rFonts w:eastAsia="Times New Roman" w:cs="Calibri"/>
                <w:b w:val="0"/>
                <w:lang w:eastAsia="en-AU"/>
              </w:rPr>
              <w:t xml:space="preserve">Access </w:t>
            </w:r>
            <w:r w:rsidR="00D54C4C" w:rsidRPr="00F71A71">
              <w:rPr>
                <w:rFonts w:eastAsia="Times New Roman" w:cs="Calibri"/>
                <w:b w:val="0"/>
                <w:lang w:eastAsia="en-AU"/>
              </w:rPr>
              <w:t>a</w:t>
            </w:r>
            <w:r w:rsidRPr="00F71A71">
              <w:rPr>
                <w:rFonts w:eastAsia="Times New Roman" w:cs="Calibri"/>
                <w:b w:val="0"/>
                <w:lang w:eastAsia="en-AU"/>
              </w:rPr>
              <w:t>uthority</w:t>
            </w:r>
          </w:p>
        </w:tc>
        <w:tc>
          <w:tcPr>
            <w:tcW w:w="1843" w:type="dxa"/>
            <w:noWrap/>
            <w:hideMark/>
          </w:tcPr>
          <w:p w14:paraId="4B02CCEB" w14:textId="77777777" w:rsidR="00B00A69" w:rsidRPr="00C967FA" w:rsidRDefault="00B00A69" w:rsidP="004B117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AU"/>
              </w:rPr>
            </w:pPr>
            <w:r w:rsidRPr="00C967FA">
              <w:rPr>
                <w:rFonts w:eastAsia="Times New Roman" w:cs="Calibri"/>
                <w:lang w:eastAsia="en-AU"/>
              </w:rPr>
              <w:t>5</w:t>
            </w:r>
          </w:p>
        </w:tc>
        <w:tc>
          <w:tcPr>
            <w:tcW w:w="1843" w:type="dxa"/>
            <w:noWrap/>
            <w:hideMark/>
          </w:tcPr>
          <w:p w14:paraId="457C3168" w14:textId="6DB6A496" w:rsidR="00B00A69" w:rsidRPr="00C967FA" w:rsidRDefault="00F87AFF" w:rsidP="004B117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AU"/>
              </w:rPr>
            </w:pPr>
            <w:r>
              <w:rPr>
                <w:rFonts w:eastAsia="Times New Roman" w:cs="Calibri"/>
                <w:lang w:eastAsia="en-AU"/>
              </w:rPr>
              <w:t>38</w:t>
            </w:r>
            <w:r w:rsidR="00B00A69" w:rsidRPr="00C967FA">
              <w:rPr>
                <w:rFonts w:eastAsia="Times New Roman" w:cs="Calibri"/>
                <w:lang w:eastAsia="en-AU"/>
              </w:rPr>
              <w:t xml:space="preserve"> </w:t>
            </w:r>
          </w:p>
        </w:tc>
      </w:tr>
      <w:tr w:rsidR="00B00A69" w:rsidRPr="0027318E" w14:paraId="29981AC2" w14:textId="77777777" w:rsidTr="00A5118B">
        <w:trPr>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A661425" w14:textId="6149E22B" w:rsidR="00B00A69" w:rsidRPr="00F71A71" w:rsidRDefault="00B00A69" w:rsidP="00575919">
            <w:pPr>
              <w:spacing w:after="0"/>
              <w:rPr>
                <w:rFonts w:eastAsia="Times New Roman" w:cs="Calibri"/>
                <w:b w:val="0"/>
                <w:lang w:eastAsia="en-AU"/>
              </w:rPr>
            </w:pPr>
            <w:r w:rsidRPr="00F71A71">
              <w:rPr>
                <w:rFonts w:eastAsia="Times New Roman" w:cs="Calibri"/>
                <w:b w:val="0"/>
                <w:lang w:eastAsia="en-AU"/>
              </w:rPr>
              <w:t xml:space="preserve">Suspension, </w:t>
            </w:r>
            <w:r w:rsidR="00D54C4C" w:rsidRPr="00F71A71">
              <w:rPr>
                <w:rFonts w:eastAsia="Times New Roman" w:cs="Calibri"/>
                <w:b w:val="0"/>
                <w:lang w:eastAsia="en-AU"/>
              </w:rPr>
              <w:t>e</w:t>
            </w:r>
            <w:r w:rsidRPr="00F71A71">
              <w:rPr>
                <w:rFonts w:eastAsia="Times New Roman" w:cs="Calibri"/>
                <w:b w:val="0"/>
                <w:lang w:eastAsia="en-AU"/>
              </w:rPr>
              <w:t xml:space="preserve">xtension, </w:t>
            </w:r>
            <w:r w:rsidR="00D54C4C" w:rsidRPr="00F71A71">
              <w:rPr>
                <w:rFonts w:eastAsia="Times New Roman" w:cs="Calibri"/>
                <w:b w:val="0"/>
                <w:lang w:eastAsia="en-AU"/>
              </w:rPr>
              <w:t>v</w:t>
            </w:r>
            <w:r w:rsidRPr="00F71A71">
              <w:rPr>
                <w:rFonts w:eastAsia="Times New Roman" w:cs="Calibri"/>
                <w:b w:val="0"/>
                <w:lang w:eastAsia="en-AU"/>
              </w:rPr>
              <w:t xml:space="preserve">ariation, </w:t>
            </w:r>
            <w:r w:rsidR="00D54C4C" w:rsidRPr="00F71A71">
              <w:rPr>
                <w:rFonts w:eastAsia="Times New Roman" w:cs="Calibri"/>
                <w:b w:val="0"/>
                <w:lang w:eastAsia="en-AU"/>
              </w:rPr>
              <w:t>e</w:t>
            </w:r>
            <w:r w:rsidRPr="00F71A71">
              <w:rPr>
                <w:rFonts w:eastAsia="Times New Roman" w:cs="Calibri"/>
                <w:b w:val="0"/>
                <w:lang w:eastAsia="en-AU"/>
              </w:rPr>
              <w:t>xemption</w:t>
            </w:r>
          </w:p>
        </w:tc>
        <w:tc>
          <w:tcPr>
            <w:tcW w:w="1843" w:type="dxa"/>
            <w:noWrap/>
            <w:hideMark/>
          </w:tcPr>
          <w:p w14:paraId="391FD903" w14:textId="77777777" w:rsidR="00B00A69" w:rsidRPr="00C967FA" w:rsidRDefault="00B00A69" w:rsidP="004B117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C967FA">
              <w:rPr>
                <w:rFonts w:eastAsia="Times New Roman" w:cs="Calibri"/>
                <w:lang w:eastAsia="en-AU"/>
              </w:rPr>
              <w:t>20</w:t>
            </w:r>
          </w:p>
        </w:tc>
        <w:tc>
          <w:tcPr>
            <w:tcW w:w="1843" w:type="dxa"/>
            <w:noWrap/>
            <w:hideMark/>
          </w:tcPr>
          <w:p w14:paraId="15D50E73" w14:textId="620E74A6" w:rsidR="00B00A69" w:rsidRPr="00C967FA" w:rsidRDefault="00B00A69" w:rsidP="004B117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C967FA">
              <w:rPr>
                <w:rFonts w:eastAsia="Times New Roman" w:cs="Calibri"/>
                <w:lang w:eastAsia="en-AU"/>
              </w:rPr>
              <w:t>311</w:t>
            </w:r>
          </w:p>
        </w:tc>
      </w:tr>
      <w:tr w:rsidR="00B00A69" w:rsidRPr="0027318E" w14:paraId="0E7F32AB" w14:textId="77777777" w:rsidTr="00A511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4B475B2B" w14:textId="5FFBD98A" w:rsidR="00B00A69" w:rsidRPr="00F71A71" w:rsidRDefault="00B00A69" w:rsidP="00575919">
            <w:pPr>
              <w:spacing w:after="0"/>
              <w:rPr>
                <w:rFonts w:eastAsia="Times New Roman" w:cs="Calibri"/>
                <w:b w:val="0"/>
                <w:lang w:eastAsia="en-AU"/>
              </w:rPr>
            </w:pPr>
            <w:r w:rsidRPr="00F71A71">
              <w:rPr>
                <w:rFonts w:eastAsia="Times New Roman" w:cs="Calibri"/>
                <w:b w:val="0"/>
                <w:lang w:eastAsia="en-AU"/>
              </w:rPr>
              <w:t xml:space="preserve">Declaration of </w:t>
            </w:r>
            <w:r w:rsidR="00D54C4C" w:rsidRPr="00F71A71">
              <w:rPr>
                <w:rFonts w:eastAsia="Times New Roman" w:cs="Calibri"/>
                <w:b w:val="0"/>
                <w:lang w:eastAsia="en-AU"/>
              </w:rPr>
              <w:t>l</w:t>
            </w:r>
            <w:r w:rsidRPr="00F71A71">
              <w:rPr>
                <w:rFonts w:eastAsia="Times New Roman" w:cs="Calibri"/>
                <w:b w:val="0"/>
                <w:lang w:eastAsia="en-AU"/>
              </w:rPr>
              <w:t>ocation</w:t>
            </w:r>
          </w:p>
        </w:tc>
        <w:tc>
          <w:tcPr>
            <w:tcW w:w="1843" w:type="dxa"/>
            <w:noWrap/>
            <w:hideMark/>
          </w:tcPr>
          <w:p w14:paraId="0B816088" w14:textId="77777777" w:rsidR="00B00A69" w:rsidRPr="00C967FA" w:rsidRDefault="00B00A69" w:rsidP="004B117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AU"/>
              </w:rPr>
            </w:pPr>
            <w:r w:rsidRPr="00C967FA">
              <w:rPr>
                <w:rFonts w:eastAsia="Times New Roman" w:cs="Calibri"/>
                <w:lang w:eastAsia="en-AU"/>
              </w:rPr>
              <w:t>2</w:t>
            </w:r>
          </w:p>
        </w:tc>
        <w:tc>
          <w:tcPr>
            <w:tcW w:w="1843" w:type="dxa"/>
            <w:noWrap/>
            <w:hideMark/>
          </w:tcPr>
          <w:p w14:paraId="7D61080F" w14:textId="51D75CB3" w:rsidR="00B00A69" w:rsidRPr="00C967FA" w:rsidRDefault="00B00A69" w:rsidP="00291D6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AU"/>
              </w:rPr>
            </w:pPr>
            <w:r w:rsidRPr="00C967FA">
              <w:rPr>
                <w:rFonts w:eastAsia="Times New Roman" w:cs="Calibri"/>
                <w:lang w:eastAsia="en-AU"/>
              </w:rPr>
              <w:t>3</w:t>
            </w:r>
            <w:r w:rsidR="00291D65">
              <w:rPr>
                <w:rFonts w:eastAsia="Times New Roman" w:cs="Calibri"/>
                <w:lang w:eastAsia="en-AU"/>
              </w:rPr>
              <w:t>4</w:t>
            </w:r>
            <w:r w:rsidRPr="00C967FA">
              <w:rPr>
                <w:rFonts w:eastAsia="Times New Roman" w:cs="Calibri"/>
                <w:lang w:eastAsia="en-AU"/>
              </w:rPr>
              <w:t xml:space="preserve"> </w:t>
            </w:r>
          </w:p>
        </w:tc>
      </w:tr>
      <w:tr w:rsidR="00B00A69" w:rsidRPr="0027318E" w14:paraId="646C2AAF" w14:textId="77777777" w:rsidTr="00A5118B">
        <w:trPr>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40C7907B" w14:textId="77777777" w:rsidR="00B00A69" w:rsidRPr="00F71A71" w:rsidRDefault="00B00A69" w:rsidP="00575919">
            <w:pPr>
              <w:spacing w:after="0"/>
              <w:rPr>
                <w:rFonts w:eastAsia="Times New Roman" w:cs="Calibri"/>
                <w:b w:val="0"/>
                <w:lang w:eastAsia="en-AU"/>
              </w:rPr>
            </w:pPr>
            <w:r w:rsidRPr="00F71A71">
              <w:rPr>
                <w:rFonts w:eastAsia="Times New Roman" w:cs="Calibri"/>
                <w:b w:val="0"/>
                <w:lang w:eastAsia="en-AU"/>
              </w:rPr>
              <w:t>Surrender</w:t>
            </w:r>
          </w:p>
        </w:tc>
        <w:tc>
          <w:tcPr>
            <w:tcW w:w="1843" w:type="dxa"/>
            <w:noWrap/>
            <w:hideMark/>
          </w:tcPr>
          <w:p w14:paraId="42FE87AA" w14:textId="77777777" w:rsidR="00B00A69" w:rsidRPr="00C967FA" w:rsidRDefault="00B00A69" w:rsidP="004B117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C967FA">
              <w:rPr>
                <w:rFonts w:eastAsia="Times New Roman" w:cs="Calibri"/>
                <w:lang w:eastAsia="en-AU"/>
              </w:rPr>
              <w:t>14</w:t>
            </w:r>
          </w:p>
        </w:tc>
        <w:tc>
          <w:tcPr>
            <w:tcW w:w="1843" w:type="dxa"/>
            <w:noWrap/>
            <w:hideMark/>
          </w:tcPr>
          <w:p w14:paraId="39A75B73" w14:textId="30E76164" w:rsidR="00B00A69" w:rsidRPr="00C967FA" w:rsidRDefault="00B00A69" w:rsidP="004B117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C967FA">
              <w:rPr>
                <w:rFonts w:eastAsia="Times New Roman" w:cs="Calibri"/>
                <w:lang w:eastAsia="en-AU"/>
              </w:rPr>
              <w:t xml:space="preserve"> 164 </w:t>
            </w:r>
          </w:p>
        </w:tc>
      </w:tr>
      <w:tr w:rsidR="006F5428" w:rsidRPr="0027318E" w14:paraId="3C83E014" w14:textId="77777777" w:rsidTr="00A5118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4531" w:type="dxa"/>
            <w:noWrap/>
          </w:tcPr>
          <w:p w14:paraId="3A3B9D0C" w14:textId="27A64D8C" w:rsidR="006F5428" w:rsidRPr="00F71A71" w:rsidRDefault="00FA5EA5" w:rsidP="006F5428">
            <w:pPr>
              <w:spacing w:after="0"/>
              <w:rPr>
                <w:rFonts w:eastAsia="Times New Roman" w:cs="Calibri"/>
                <w:b w:val="0"/>
                <w:lang w:eastAsia="en-AU"/>
              </w:rPr>
            </w:pPr>
            <w:r w:rsidRPr="00F71A71">
              <w:rPr>
                <w:rFonts w:eastAsia="Times New Roman" w:cs="Calibri"/>
                <w:b w:val="0"/>
                <w:lang w:eastAsia="en-AU"/>
              </w:rPr>
              <w:t>Acceptance of FDP</w:t>
            </w:r>
          </w:p>
        </w:tc>
        <w:tc>
          <w:tcPr>
            <w:tcW w:w="1843" w:type="dxa"/>
            <w:noWrap/>
          </w:tcPr>
          <w:p w14:paraId="1C0499D9" w14:textId="3F39A976" w:rsidR="006F5428" w:rsidRPr="00C967FA" w:rsidRDefault="009666A4" w:rsidP="006F542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AU"/>
              </w:rPr>
            </w:pPr>
            <w:r>
              <w:rPr>
                <w:rFonts w:eastAsia="Times New Roman" w:cs="Calibri"/>
                <w:lang w:eastAsia="en-AU"/>
              </w:rPr>
              <w:t>1</w:t>
            </w:r>
          </w:p>
        </w:tc>
        <w:tc>
          <w:tcPr>
            <w:tcW w:w="1843" w:type="dxa"/>
            <w:noWrap/>
          </w:tcPr>
          <w:p w14:paraId="778ECE0E" w14:textId="5D5C5A96" w:rsidR="006F5428" w:rsidRPr="00C967FA" w:rsidRDefault="009666A4" w:rsidP="006F542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AU"/>
              </w:rPr>
            </w:pPr>
            <w:r w:rsidRPr="009666A4">
              <w:rPr>
                <w:rFonts w:eastAsia="Times New Roman" w:cs="Calibri"/>
                <w:bCs/>
                <w:lang w:eastAsia="en-AU"/>
              </w:rPr>
              <w:t>26</w:t>
            </w:r>
          </w:p>
        </w:tc>
      </w:tr>
      <w:tr w:rsidR="00B331A1" w:rsidRPr="0027318E" w14:paraId="594064B0" w14:textId="77777777" w:rsidTr="00A5118B">
        <w:trPr>
          <w:trHeight w:val="401"/>
        </w:trPr>
        <w:tc>
          <w:tcPr>
            <w:cnfStyle w:val="001000000000" w:firstRow="0" w:lastRow="0" w:firstColumn="1" w:lastColumn="0" w:oddVBand="0" w:evenVBand="0" w:oddHBand="0" w:evenHBand="0" w:firstRowFirstColumn="0" w:firstRowLastColumn="0" w:lastRowFirstColumn="0" w:lastRowLastColumn="0"/>
            <w:tcW w:w="4531" w:type="dxa"/>
            <w:noWrap/>
          </w:tcPr>
          <w:p w14:paraId="6AA75F3F" w14:textId="40169EB8" w:rsidR="00B331A1" w:rsidRPr="00F71A71" w:rsidRDefault="00B331A1" w:rsidP="006F5428">
            <w:pPr>
              <w:spacing w:after="0"/>
              <w:rPr>
                <w:rFonts w:eastAsia="Times New Roman" w:cs="Calibri"/>
                <w:b w:val="0"/>
                <w:lang w:eastAsia="en-AU"/>
              </w:rPr>
            </w:pPr>
            <w:r w:rsidRPr="00F71A71">
              <w:rPr>
                <w:rFonts w:eastAsia="Times New Roman" w:cs="Calibri"/>
                <w:b w:val="0"/>
                <w:lang w:eastAsia="en-AU"/>
              </w:rPr>
              <w:t xml:space="preserve">Rate of </w:t>
            </w:r>
            <w:r w:rsidR="00E16B64" w:rsidRPr="00F71A71">
              <w:rPr>
                <w:rFonts w:eastAsia="Times New Roman" w:cs="Calibri"/>
                <w:b w:val="0"/>
                <w:lang w:eastAsia="en-AU"/>
              </w:rPr>
              <w:t>r</w:t>
            </w:r>
            <w:r w:rsidRPr="00F71A71">
              <w:rPr>
                <w:rFonts w:eastAsia="Times New Roman" w:cs="Calibri"/>
                <w:b w:val="0"/>
                <w:lang w:eastAsia="en-AU"/>
              </w:rPr>
              <w:t>ecovery</w:t>
            </w:r>
          </w:p>
        </w:tc>
        <w:tc>
          <w:tcPr>
            <w:tcW w:w="1843" w:type="dxa"/>
            <w:noWrap/>
          </w:tcPr>
          <w:p w14:paraId="31FDE062" w14:textId="1EF4E644" w:rsidR="00B331A1" w:rsidRDefault="00933DB9" w:rsidP="006F542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Pr>
                <w:rFonts w:eastAsia="Times New Roman" w:cs="Calibri"/>
                <w:lang w:eastAsia="en-AU"/>
              </w:rPr>
              <w:t>5</w:t>
            </w:r>
          </w:p>
        </w:tc>
        <w:tc>
          <w:tcPr>
            <w:tcW w:w="1843" w:type="dxa"/>
            <w:noWrap/>
          </w:tcPr>
          <w:p w14:paraId="7395EA0A" w14:textId="10640897" w:rsidR="00B331A1" w:rsidRPr="009666A4" w:rsidRDefault="00933DB9" w:rsidP="006F542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Cs/>
                <w:lang w:eastAsia="en-AU"/>
              </w:rPr>
            </w:pPr>
            <w:r>
              <w:rPr>
                <w:rFonts w:eastAsia="Times New Roman" w:cs="Calibri"/>
                <w:bCs/>
                <w:lang w:eastAsia="en-AU"/>
              </w:rPr>
              <w:t>76</w:t>
            </w:r>
          </w:p>
        </w:tc>
      </w:tr>
      <w:tr w:rsidR="006F5428" w:rsidRPr="0027318E" w14:paraId="6AFDEA94" w14:textId="77777777" w:rsidTr="00A511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4AE6899" w14:textId="5E057BC5" w:rsidR="006F5428" w:rsidRPr="00F71A71" w:rsidRDefault="003302CB" w:rsidP="006F5428">
            <w:pPr>
              <w:spacing w:after="0"/>
              <w:rPr>
                <w:rFonts w:eastAsia="Times New Roman" w:cs="Calibri"/>
                <w:b w:val="0"/>
                <w:lang w:eastAsia="en-AU"/>
              </w:rPr>
            </w:pPr>
            <w:r w:rsidRPr="00F71A71">
              <w:rPr>
                <w:rFonts w:eastAsia="Times New Roman" w:cs="Calibri"/>
                <w:b w:val="0"/>
                <w:color w:val="000000"/>
                <w:lang w:eastAsia="en-AU"/>
              </w:rPr>
              <w:t>Declaration</w:t>
            </w:r>
            <w:r w:rsidR="00A8580E" w:rsidRPr="00F71A71">
              <w:rPr>
                <w:rFonts w:eastAsia="Times New Roman" w:cs="Calibri"/>
                <w:b w:val="0"/>
                <w:color w:val="000000"/>
                <w:lang w:eastAsia="en-AU"/>
              </w:rPr>
              <w:t xml:space="preserve"> of </w:t>
            </w:r>
            <w:r w:rsidR="00E16B64" w:rsidRPr="00F71A71">
              <w:rPr>
                <w:rFonts w:eastAsia="Times New Roman" w:cs="Calibri"/>
                <w:b w:val="0"/>
                <w:color w:val="000000"/>
                <w:lang w:eastAsia="en-AU"/>
              </w:rPr>
              <w:t>i</w:t>
            </w:r>
            <w:r w:rsidR="00A8580E" w:rsidRPr="00F71A71">
              <w:rPr>
                <w:rFonts w:eastAsia="Times New Roman" w:cs="Calibri"/>
                <w:b w:val="0"/>
                <w:color w:val="000000"/>
                <w:lang w:eastAsia="en-AU"/>
              </w:rPr>
              <w:t xml:space="preserve">dentified </w:t>
            </w:r>
            <w:r w:rsidR="00E16B64" w:rsidRPr="00F71A71">
              <w:rPr>
                <w:rFonts w:eastAsia="Times New Roman" w:cs="Calibri"/>
                <w:b w:val="0"/>
                <w:color w:val="000000"/>
                <w:lang w:eastAsia="en-AU"/>
              </w:rPr>
              <w:t>s</w:t>
            </w:r>
            <w:r w:rsidR="00A8580E" w:rsidRPr="00F71A71">
              <w:rPr>
                <w:rFonts w:eastAsia="Times New Roman" w:cs="Calibri"/>
                <w:b w:val="0"/>
                <w:color w:val="000000"/>
                <w:lang w:eastAsia="en-AU"/>
              </w:rPr>
              <w:t xml:space="preserve">torage </w:t>
            </w:r>
            <w:r w:rsidR="00E16B64" w:rsidRPr="00F71A71">
              <w:rPr>
                <w:rFonts w:eastAsia="Times New Roman" w:cs="Calibri"/>
                <w:b w:val="0"/>
                <w:color w:val="000000"/>
                <w:lang w:eastAsia="en-AU"/>
              </w:rPr>
              <w:t>f</w:t>
            </w:r>
            <w:r w:rsidR="00A8580E" w:rsidRPr="00F71A71">
              <w:rPr>
                <w:rFonts w:eastAsia="Times New Roman" w:cs="Calibri"/>
                <w:b w:val="0"/>
                <w:color w:val="000000"/>
                <w:lang w:eastAsia="en-AU"/>
              </w:rPr>
              <w:t>ormation</w:t>
            </w:r>
          </w:p>
        </w:tc>
        <w:tc>
          <w:tcPr>
            <w:tcW w:w="1843" w:type="dxa"/>
            <w:noWrap/>
            <w:hideMark/>
          </w:tcPr>
          <w:p w14:paraId="51EF7412" w14:textId="650D3788" w:rsidR="006F5428" w:rsidRPr="00C967FA" w:rsidRDefault="00A8580E" w:rsidP="006F542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AU"/>
              </w:rPr>
            </w:pPr>
            <w:r>
              <w:rPr>
                <w:rFonts w:eastAsia="Times New Roman" w:cs="Calibri"/>
                <w:color w:val="000000"/>
                <w:lang w:eastAsia="en-AU"/>
              </w:rPr>
              <w:t>2</w:t>
            </w:r>
          </w:p>
        </w:tc>
        <w:tc>
          <w:tcPr>
            <w:tcW w:w="1843" w:type="dxa"/>
            <w:noWrap/>
            <w:hideMark/>
          </w:tcPr>
          <w:p w14:paraId="6A44C31C" w14:textId="553F9B10" w:rsidR="006F5428" w:rsidRPr="00C967FA" w:rsidRDefault="00546C9B" w:rsidP="006F542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AU"/>
              </w:rPr>
            </w:pPr>
            <w:r>
              <w:rPr>
                <w:rFonts w:eastAsia="Times New Roman" w:cs="Calibri"/>
                <w:color w:val="000000"/>
                <w:lang w:eastAsia="en-AU"/>
              </w:rPr>
              <w:t>17</w:t>
            </w:r>
            <w:r w:rsidR="006F5428" w:rsidRPr="0027318E">
              <w:rPr>
                <w:rFonts w:eastAsia="Times New Roman" w:cs="Calibri"/>
                <w:color w:val="000000"/>
                <w:lang w:eastAsia="en-AU"/>
              </w:rPr>
              <w:t xml:space="preserve">                            </w:t>
            </w:r>
          </w:p>
        </w:tc>
      </w:tr>
      <w:tr w:rsidR="006F5428" w:rsidRPr="0027318E" w14:paraId="558C3B4E" w14:textId="77777777" w:rsidTr="00A5118B">
        <w:trPr>
          <w:trHeight w:val="447"/>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A1D0EB4" w14:textId="6090D871" w:rsidR="006F5428" w:rsidRPr="00F71A71" w:rsidRDefault="00546C9B" w:rsidP="006F5428">
            <w:pPr>
              <w:spacing w:after="0"/>
              <w:rPr>
                <w:rFonts w:eastAsia="Times New Roman" w:cs="Calibri"/>
                <w:b w:val="0"/>
                <w:lang w:eastAsia="en-AU"/>
              </w:rPr>
            </w:pPr>
            <w:r w:rsidRPr="00F71A71">
              <w:rPr>
                <w:rFonts w:eastAsia="Times New Roman" w:cs="Calibri"/>
                <w:b w:val="0"/>
                <w:color w:val="000000"/>
                <w:lang w:eastAsia="en-AU"/>
              </w:rPr>
              <w:t xml:space="preserve">GHG </w:t>
            </w:r>
            <w:r w:rsidR="00E16B64" w:rsidRPr="00F71A71">
              <w:rPr>
                <w:rFonts w:eastAsia="Times New Roman" w:cs="Calibri"/>
                <w:b w:val="0"/>
                <w:color w:val="000000"/>
                <w:lang w:eastAsia="en-AU"/>
              </w:rPr>
              <w:t>v</w:t>
            </w:r>
            <w:r w:rsidRPr="00F71A71">
              <w:rPr>
                <w:rFonts w:eastAsia="Times New Roman" w:cs="Calibri"/>
                <w:b w:val="0"/>
                <w:color w:val="000000"/>
                <w:lang w:eastAsia="en-AU"/>
              </w:rPr>
              <w:t xml:space="preserve">ariation, </w:t>
            </w:r>
            <w:r w:rsidR="00E16B64" w:rsidRPr="00F71A71">
              <w:rPr>
                <w:rFonts w:eastAsia="Times New Roman" w:cs="Calibri"/>
                <w:b w:val="0"/>
                <w:color w:val="000000"/>
                <w:lang w:eastAsia="en-AU"/>
              </w:rPr>
              <w:t>s</w:t>
            </w:r>
            <w:r w:rsidRPr="00F71A71">
              <w:rPr>
                <w:rFonts w:eastAsia="Times New Roman" w:cs="Calibri"/>
                <w:b w:val="0"/>
                <w:color w:val="000000"/>
                <w:lang w:eastAsia="en-AU"/>
              </w:rPr>
              <w:t xml:space="preserve">uspension, </w:t>
            </w:r>
            <w:r w:rsidR="00E16B64" w:rsidRPr="00F71A71">
              <w:rPr>
                <w:rFonts w:eastAsia="Times New Roman" w:cs="Calibri"/>
                <w:b w:val="0"/>
                <w:color w:val="000000"/>
                <w:lang w:eastAsia="en-AU"/>
              </w:rPr>
              <w:t>e</w:t>
            </w:r>
            <w:r w:rsidRPr="00F71A71">
              <w:rPr>
                <w:rFonts w:eastAsia="Times New Roman" w:cs="Calibri"/>
                <w:b w:val="0"/>
                <w:color w:val="000000"/>
                <w:lang w:eastAsia="en-AU"/>
              </w:rPr>
              <w:t>xe</w:t>
            </w:r>
            <w:r w:rsidR="00E96C6A" w:rsidRPr="00F71A71">
              <w:rPr>
                <w:rFonts w:eastAsia="Times New Roman" w:cs="Calibri"/>
                <w:b w:val="0"/>
                <w:color w:val="000000"/>
                <w:lang w:eastAsia="en-AU"/>
              </w:rPr>
              <w:t xml:space="preserve">mption </w:t>
            </w:r>
          </w:p>
        </w:tc>
        <w:tc>
          <w:tcPr>
            <w:tcW w:w="1843" w:type="dxa"/>
            <w:noWrap/>
            <w:hideMark/>
          </w:tcPr>
          <w:p w14:paraId="37C9C843" w14:textId="3AB661DA" w:rsidR="006F5428" w:rsidRPr="00C967FA" w:rsidRDefault="006F5428" w:rsidP="001969B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27318E">
              <w:rPr>
                <w:rFonts w:eastAsia="Times New Roman" w:cs="Calibri"/>
                <w:color w:val="000000"/>
                <w:lang w:eastAsia="en-AU"/>
              </w:rPr>
              <w:t>3</w:t>
            </w:r>
          </w:p>
        </w:tc>
        <w:tc>
          <w:tcPr>
            <w:tcW w:w="1843" w:type="dxa"/>
            <w:noWrap/>
            <w:hideMark/>
          </w:tcPr>
          <w:p w14:paraId="53148702" w14:textId="359607DF" w:rsidR="006F5428" w:rsidRPr="00C967FA" w:rsidRDefault="006F5428" w:rsidP="001969B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27318E">
              <w:rPr>
                <w:rFonts w:eastAsia="Times New Roman" w:cs="Calibri"/>
                <w:color w:val="000000"/>
                <w:lang w:eastAsia="en-AU"/>
              </w:rPr>
              <w:t>5</w:t>
            </w:r>
            <w:r w:rsidR="00D11E7F">
              <w:rPr>
                <w:rFonts w:eastAsia="Times New Roman" w:cs="Calibri"/>
                <w:color w:val="000000"/>
                <w:lang w:eastAsia="en-AU"/>
              </w:rPr>
              <w:t>4</w:t>
            </w:r>
          </w:p>
        </w:tc>
      </w:tr>
      <w:tr w:rsidR="006F5428" w:rsidRPr="0027318E" w14:paraId="500A5AEB" w14:textId="77777777" w:rsidTr="00A511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FCC0888" w14:textId="51455C00" w:rsidR="006F5428" w:rsidRPr="00F71A71" w:rsidRDefault="00CE2FBC" w:rsidP="006F5428">
            <w:pPr>
              <w:spacing w:after="0"/>
              <w:rPr>
                <w:rFonts w:eastAsia="Times New Roman" w:cs="Calibri"/>
                <w:b w:val="0"/>
                <w:lang w:eastAsia="en-AU"/>
              </w:rPr>
            </w:pPr>
            <w:r w:rsidRPr="00F71A71">
              <w:rPr>
                <w:rFonts w:eastAsia="Times New Roman" w:cs="Calibri"/>
                <w:b w:val="0"/>
                <w:color w:val="000000"/>
                <w:lang w:eastAsia="en-AU"/>
              </w:rPr>
              <w:t xml:space="preserve">GHG transfer </w:t>
            </w:r>
          </w:p>
        </w:tc>
        <w:tc>
          <w:tcPr>
            <w:tcW w:w="1843" w:type="dxa"/>
            <w:noWrap/>
            <w:hideMark/>
          </w:tcPr>
          <w:p w14:paraId="51704A82" w14:textId="0EE3E9A6" w:rsidR="006F5428" w:rsidRPr="00C967FA" w:rsidRDefault="00823BEC" w:rsidP="006F542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AU"/>
              </w:rPr>
            </w:pPr>
            <w:r>
              <w:rPr>
                <w:rFonts w:eastAsia="Times New Roman" w:cs="Calibri"/>
                <w:lang w:eastAsia="en-AU"/>
              </w:rPr>
              <w:t>4</w:t>
            </w:r>
          </w:p>
        </w:tc>
        <w:tc>
          <w:tcPr>
            <w:tcW w:w="1843" w:type="dxa"/>
            <w:noWrap/>
            <w:hideMark/>
          </w:tcPr>
          <w:p w14:paraId="5BE735DE" w14:textId="353C5A37" w:rsidR="006F5428" w:rsidRPr="00C967FA" w:rsidRDefault="00823BEC" w:rsidP="006F542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AU"/>
              </w:rPr>
            </w:pPr>
            <w:r>
              <w:rPr>
                <w:rFonts w:eastAsia="Times New Roman" w:cs="Calibri"/>
                <w:color w:val="000000"/>
                <w:lang w:eastAsia="en-AU"/>
              </w:rPr>
              <w:t>40</w:t>
            </w:r>
          </w:p>
        </w:tc>
      </w:tr>
      <w:tr w:rsidR="006F5428" w:rsidRPr="00EF28BA" w14:paraId="16A0F385" w14:textId="77777777" w:rsidTr="00A5118B">
        <w:trPr>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5F332DCE" w14:textId="00C3D965" w:rsidR="006F5428" w:rsidRPr="00F71A71" w:rsidRDefault="005506BF" w:rsidP="006F5428">
            <w:pPr>
              <w:spacing w:after="0"/>
              <w:rPr>
                <w:rFonts w:eastAsia="Times New Roman" w:cs="Calibri"/>
                <w:b w:val="0"/>
                <w:lang w:eastAsia="en-AU"/>
              </w:rPr>
            </w:pPr>
            <w:r w:rsidRPr="00F71A71">
              <w:rPr>
                <w:rFonts w:eastAsia="Times New Roman" w:cs="Calibri"/>
                <w:b w:val="0"/>
                <w:lang w:eastAsia="en-AU"/>
              </w:rPr>
              <w:t xml:space="preserve">GHG dealing </w:t>
            </w:r>
          </w:p>
        </w:tc>
        <w:tc>
          <w:tcPr>
            <w:tcW w:w="1843" w:type="dxa"/>
            <w:noWrap/>
            <w:hideMark/>
          </w:tcPr>
          <w:p w14:paraId="49710E61" w14:textId="13D231F0" w:rsidR="006F5428" w:rsidRPr="00C967FA" w:rsidRDefault="006F5428" w:rsidP="006F542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27318E">
              <w:rPr>
                <w:rFonts w:eastAsia="Times New Roman" w:cs="Calibri"/>
                <w:color w:val="000000"/>
                <w:lang w:eastAsia="en-AU"/>
              </w:rPr>
              <w:t>1</w:t>
            </w:r>
            <w:r w:rsidR="00823BEC">
              <w:rPr>
                <w:rFonts w:eastAsia="Times New Roman" w:cs="Calibri"/>
                <w:color w:val="000000"/>
                <w:lang w:eastAsia="en-AU"/>
              </w:rPr>
              <w:t>2</w:t>
            </w:r>
          </w:p>
        </w:tc>
        <w:tc>
          <w:tcPr>
            <w:tcW w:w="1843" w:type="dxa"/>
            <w:noWrap/>
            <w:hideMark/>
          </w:tcPr>
          <w:p w14:paraId="11417137" w14:textId="4324EBD3" w:rsidR="006F5428" w:rsidRPr="00C967FA" w:rsidRDefault="00823BEC" w:rsidP="006F542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Pr>
                <w:rFonts w:eastAsia="Times New Roman" w:cs="Calibri"/>
                <w:color w:val="000000"/>
                <w:lang w:eastAsia="en-AU"/>
              </w:rPr>
              <w:t>111</w:t>
            </w:r>
            <w:r w:rsidR="006F5428" w:rsidRPr="0027318E">
              <w:rPr>
                <w:rFonts w:eastAsia="Times New Roman" w:cs="Calibri"/>
                <w:color w:val="000000"/>
                <w:lang w:eastAsia="en-AU"/>
              </w:rPr>
              <w:t xml:space="preserve"> </w:t>
            </w:r>
          </w:p>
        </w:tc>
      </w:tr>
      <w:tr w:rsidR="00B6452C" w:rsidRPr="00B6452C" w14:paraId="0BEB522E" w14:textId="77777777" w:rsidTr="00B645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shd w:val="clear" w:color="auto" w:fill="15659B" w:themeFill="accent4"/>
            <w:noWrap/>
          </w:tcPr>
          <w:p w14:paraId="36324DB4" w14:textId="57ED306D" w:rsidR="006F5428" w:rsidRPr="00B6452C" w:rsidRDefault="00EB26DF" w:rsidP="006F5428">
            <w:pPr>
              <w:spacing w:after="0"/>
              <w:rPr>
                <w:rStyle w:val="Strong"/>
                <w:b/>
                <w:color w:val="FFFFFF" w:themeColor="background1"/>
              </w:rPr>
            </w:pPr>
            <w:r w:rsidRPr="00B6452C">
              <w:rPr>
                <w:rStyle w:val="Strong"/>
                <w:b/>
                <w:color w:val="FFFFFF" w:themeColor="background1"/>
              </w:rPr>
              <w:t>Total a</w:t>
            </w:r>
            <w:r w:rsidR="006F5428" w:rsidRPr="00B6452C">
              <w:rPr>
                <w:rStyle w:val="Strong"/>
                <w:b/>
                <w:color w:val="FFFFFF" w:themeColor="background1"/>
              </w:rPr>
              <w:t xml:space="preserve">pplication </w:t>
            </w:r>
            <w:r w:rsidR="00AA4375" w:rsidRPr="00B6452C">
              <w:rPr>
                <w:rStyle w:val="Strong"/>
                <w:b/>
                <w:bCs/>
                <w:color w:val="FFFFFF" w:themeColor="background1"/>
              </w:rPr>
              <w:t>f</w:t>
            </w:r>
            <w:r w:rsidR="006F5428" w:rsidRPr="00B6452C">
              <w:rPr>
                <w:rStyle w:val="Strong"/>
                <w:b/>
                <w:bCs/>
                <w:color w:val="FFFFFF" w:themeColor="background1"/>
              </w:rPr>
              <w:t>ees</w:t>
            </w:r>
          </w:p>
        </w:tc>
        <w:tc>
          <w:tcPr>
            <w:tcW w:w="1843" w:type="dxa"/>
            <w:shd w:val="clear" w:color="auto" w:fill="15659B" w:themeFill="accent4"/>
            <w:noWrap/>
          </w:tcPr>
          <w:p w14:paraId="42DBBD2B" w14:textId="2901F83D" w:rsidR="006F5428" w:rsidRPr="00B6452C" w:rsidRDefault="006F5428" w:rsidP="00E014F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FFFFFF" w:themeColor="background1"/>
                <w:lang w:eastAsia="en-AU"/>
              </w:rPr>
            </w:pPr>
            <w:r w:rsidRPr="00B6452C">
              <w:rPr>
                <w:rFonts w:eastAsia="Times New Roman" w:cs="Calibri"/>
                <w:b/>
                <w:color w:val="FFFFFF" w:themeColor="background1"/>
                <w:lang w:eastAsia="en-AU"/>
              </w:rPr>
              <w:t>264</w:t>
            </w:r>
          </w:p>
        </w:tc>
        <w:tc>
          <w:tcPr>
            <w:tcW w:w="1843" w:type="dxa"/>
            <w:shd w:val="clear" w:color="auto" w:fill="15659B" w:themeFill="accent4"/>
            <w:noWrap/>
          </w:tcPr>
          <w:p w14:paraId="02F4FF1B" w14:textId="731B5C53" w:rsidR="006F5428" w:rsidRPr="00B6452C" w:rsidRDefault="006F5428" w:rsidP="00010C9D">
            <w:pPr>
              <w:keepNext/>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FFFFFF" w:themeColor="background1"/>
                <w:lang w:eastAsia="en-AU"/>
              </w:rPr>
            </w:pPr>
            <w:r w:rsidRPr="00B6452C">
              <w:rPr>
                <w:rFonts w:eastAsia="Times New Roman" w:cs="Calibri"/>
                <w:b/>
                <w:color w:val="FFFFFF" w:themeColor="background1"/>
                <w:lang w:eastAsia="en-AU"/>
              </w:rPr>
              <w:t xml:space="preserve"> 2,9</w:t>
            </w:r>
            <w:r w:rsidR="005E7376" w:rsidRPr="00B6452C">
              <w:rPr>
                <w:rFonts w:eastAsia="Times New Roman" w:cs="Calibri"/>
                <w:b/>
                <w:color w:val="FFFFFF" w:themeColor="background1"/>
                <w:lang w:eastAsia="en-AU"/>
              </w:rPr>
              <w:t>07</w:t>
            </w:r>
          </w:p>
        </w:tc>
      </w:tr>
    </w:tbl>
    <w:p w14:paraId="60E5D465" w14:textId="6C1216C8" w:rsidR="0040690E" w:rsidRDefault="0040690E">
      <w:pPr>
        <w:spacing w:before="0" w:after="160" w:line="259" w:lineRule="auto"/>
      </w:pPr>
      <w:r>
        <w:br w:type="page"/>
      </w:r>
    </w:p>
    <w:p w14:paraId="77843941" w14:textId="2CA765AB" w:rsidR="0040690E" w:rsidRDefault="0040690E" w:rsidP="0040690E">
      <w:pPr>
        <w:pStyle w:val="Heading3"/>
      </w:pPr>
      <w:bookmarkStart w:id="193" w:name="_Toc221544042"/>
      <w:bookmarkStart w:id="194" w:name="_Toc221546121"/>
      <w:bookmarkStart w:id="195" w:name="_Toc221627113"/>
      <w:bookmarkStart w:id="196" w:name="_Toc222500474"/>
      <w:r w:rsidRPr="00B612F6">
        <w:lastRenderedPageBreak/>
        <w:t xml:space="preserve">OPGGS Act - </w:t>
      </w:r>
      <w:r w:rsidR="003B3FDC">
        <w:t>c</w:t>
      </w:r>
      <w:r w:rsidRPr="00B612F6">
        <w:t xml:space="preserve">ost </w:t>
      </w:r>
      <w:r w:rsidR="003B3FDC">
        <w:t>e</w:t>
      </w:r>
      <w:r w:rsidRPr="00B612F6">
        <w:t xml:space="preserve">ffectiveness and </w:t>
      </w:r>
      <w:r w:rsidR="003B3FDC">
        <w:t>f</w:t>
      </w:r>
      <w:r w:rsidRPr="00B612F6">
        <w:t xml:space="preserve">inancial </w:t>
      </w:r>
      <w:r w:rsidR="003B3FDC">
        <w:t>r</w:t>
      </w:r>
      <w:r w:rsidRPr="00B612F6">
        <w:t>esults</w:t>
      </w:r>
      <w:bookmarkEnd w:id="193"/>
      <w:bookmarkEnd w:id="194"/>
      <w:bookmarkEnd w:id="195"/>
      <w:bookmarkEnd w:id="196"/>
    </w:p>
    <w:p w14:paraId="0B29CE9A" w14:textId="32E717C9" w:rsidR="00BB1BBF" w:rsidRDefault="003B3FDC" w:rsidP="00D72A1A">
      <w:pPr>
        <w:spacing w:line="259" w:lineRule="auto"/>
        <w:rPr>
          <w:rFonts w:eastAsia="Aptos" w:cs="Times New Roman"/>
        </w:rPr>
      </w:pPr>
      <w:r>
        <w:t xml:space="preserve">Since the Titles Administrator is a </w:t>
      </w:r>
      <w:r w:rsidR="00D72A1A" w:rsidRPr="0049004B">
        <w:rPr>
          <w:rFonts w:eastAsia="Aptos" w:cs="Times New Roman"/>
        </w:rPr>
        <w:t>branch within DISR, its functions are legislated under the OPGGS Act. This provides a clear separation from DISR</w:t>
      </w:r>
      <w:r w:rsidR="004D37D7">
        <w:rPr>
          <w:rFonts w:eastAsia="Aptos" w:cs="Times New Roman"/>
        </w:rPr>
        <w:t xml:space="preserve">, </w:t>
      </w:r>
      <w:r w:rsidR="00595363">
        <w:rPr>
          <w:rFonts w:eastAsia="Aptos" w:cs="Times New Roman"/>
        </w:rPr>
        <w:t xml:space="preserve">and enables easy identification </w:t>
      </w:r>
      <w:r w:rsidR="00D45557">
        <w:rPr>
          <w:rFonts w:eastAsia="Aptos" w:cs="Times New Roman"/>
        </w:rPr>
        <w:t>of the costs recovered from industry</w:t>
      </w:r>
      <w:r w:rsidR="00456993">
        <w:rPr>
          <w:rFonts w:eastAsia="Aptos" w:cs="Times New Roman"/>
        </w:rPr>
        <w:t xml:space="preserve">. </w:t>
      </w:r>
    </w:p>
    <w:p w14:paraId="06864AD4" w14:textId="7E60A176" w:rsidR="00D72A1A" w:rsidRPr="0049004B" w:rsidRDefault="00D72A1A" w:rsidP="00D72A1A">
      <w:pPr>
        <w:spacing w:line="259" w:lineRule="auto"/>
        <w:rPr>
          <w:rFonts w:eastAsia="Aptos" w:cs="Times New Roman"/>
        </w:rPr>
      </w:pPr>
      <w:r w:rsidRPr="0049004B">
        <w:rPr>
          <w:rFonts w:eastAsia="Aptos" w:cs="Times New Roman"/>
        </w:rPr>
        <w:t xml:space="preserve">DISR provides the governance structure, access to corporate support and systems, and pays workers’ compensation and other insurances. It also charges directly attributable costs to </w:t>
      </w:r>
      <w:r w:rsidR="00386F93">
        <w:rPr>
          <w:rFonts w:eastAsia="Aptos" w:cs="Times New Roman"/>
        </w:rPr>
        <w:t>the Administrator</w:t>
      </w:r>
      <w:r w:rsidRPr="0049004B">
        <w:rPr>
          <w:rFonts w:eastAsia="Aptos" w:cs="Times New Roman"/>
        </w:rPr>
        <w:t>. In 2024-25, $1.1 million was recovered for Titles Administrator operations</w:t>
      </w:r>
      <w:r w:rsidR="005C1A4C">
        <w:rPr>
          <w:rFonts w:eastAsia="Aptos" w:cs="Times New Roman"/>
        </w:rPr>
        <w:t xml:space="preserve"> and </w:t>
      </w:r>
      <w:r w:rsidRPr="0049004B">
        <w:rPr>
          <w:rFonts w:eastAsia="Aptos" w:cs="Times New Roman"/>
        </w:rPr>
        <w:t xml:space="preserve">$0.2 million for Registrar functions. </w:t>
      </w:r>
    </w:p>
    <w:p w14:paraId="68F16461" w14:textId="67542FA1" w:rsidR="00D72A1A" w:rsidRDefault="00D72A1A" w:rsidP="00D72A1A">
      <w:pPr>
        <w:spacing w:line="259" w:lineRule="auto"/>
        <w:rPr>
          <w:rFonts w:eastAsia="Aptos" w:cs="Times New Roman"/>
        </w:rPr>
      </w:pPr>
      <w:r w:rsidRPr="0049004B">
        <w:rPr>
          <w:rFonts w:eastAsia="Aptos" w:cs="Times New Roman"/>
        </w:rPr>
        <w:t xml:space="preserve">During the 2024-25 financial year, ICT capital expenditure totalled $1.86 million. </w:t>
      </w:r>
      <w:r w:rsidR="00C86AC7">
        <w:rPr>
          <w:rFonts w:eastAsia="Aptos" w:cs="Times New Roman"/>
        </w:rPr>
        <w:t xml:space="preserve">The Titles Administrator’s </w:t>
      </w:r>
      <w:r w:rsidR="00C50D15">
        <w:rPr>
          <w:rFonts w:eastAsia="Aptos" w:cs="Times New Roman"/>
        </w:rPr>
        <w:t>S</w:t>
      </w:r>
      <w:r w:rsidR="004146D7">
        <w:rPr>
          <w:rFonts w:eastAsia="Aptos" w:cs="Times New Roman"/>
        </w:rPr>
        <w:t xml:space="preserve">pecial </w:t>
      </w:r>
      <w:r w:rsidRPr="0049004B">
        <w:rPr>
          <w:rFonts w:eastAsia="Aptos" w:cs="Times New Roman"/>
        </w:rPr>
        <w:t>Account balance was $5.8 million as of 30 June 2025.</w:t>
      </w:r>
    </w:p>
    <w:p w14:paraId="78084960" w14:textId="4C9BA0ED" w:rsidR="00AA0C31" w:rsidRDefault="00E84B32" w:rsidP="00AA0C31">
      <w:pPr>
        <w:pStyle w:val="Caption"/>
        <w:keepNext/>
      </w:pPr>
      <w:r>
        <w:t xml:space="preserve">Table </w:t>
      </w:r>
      <w:r>
        <w:fldChar w:fldCharType="begin"/>
      </w:r>
      <w:r>
        <w:instrText xml:space="preserve"> SEQ Table \* ARABIC </w:instrText>
      </w:r>
      <w:r>
        <w:fldChar w:fldCharType="separate"/>
      </w:r>
      <w:r w:rsidR="003D6C08">
        <w:rPr>
          <w:noProof/>
        </w:rPr>
        <w:t>8</w:t>
      </w:r>
      <w:r>
        <w:fldChar w:fldCharType="end"/>
      </w:r>
      <w:r w:rsidR="00AA0C31">
        <w:t>: Our 2024-25 financial result compared to 2023-24</w:t>
      </w:r>
    </w:p>
    <w:tbl>
      <w:tblPr>
        <w:tblStyle w:val="GridTable4-Accent4"/>
        <w:tblW w:w="0" w:type="auto"/>
        <w:tblLook w:val="0420" w:firstRow="1" w:lastRow="0" w:firstColumn="0" w:lastColumn="0" w:noHBand="0" w:noVBand="1"/>
      </w:tblPr>
      <w:tblGrid>
        <w:gridCol w:w="3681"/>
        <w:gridCol w:w="2415"/>
        <w:gridCol w:w="1701"/>
      </w:tblGrid>
      <w:tr w:rsidR="00183884" w14:paraId="751C937E" w14:textId="77777777" w:rsidTr="00480A3E">
        <w:trPr>
          <w:cnfStyle w:val="100000000000" w:firstRow="1" w:lastRow="0" w:firstColumn="0" w:lastColumn="0" w:oddVBand="0" w:evenVBand="0" w:oddHBand="0" w:evenHBand="0" w:firstRowFirstColumn="0" w:firstRowLastColumn="0" w:lastRowFirstColumn="0" w:lastRowLastColumn="0"/>
          <w:cantSplit/>
          <w:tblHeader/>
        </w:trPr>
        <w:tc>
          <w:tcPr>
            <w:tcW w:w="3681" w:type="dxa"/>
            <w:tcBorders>
              <w:top w:val="single" w:sz="4" w:space="0" w:color="auto"/>
              <w:left w:val="single" w:sz="4" w:space="0" w:color="auto"/>
              <w:bottom w:val="single" w:sz="4" w:space="0" w:color="auto"/>
              <w:right w:val="single" w:sz="4" w:space="0" w:color="auto"/>
            </w:tcBorders>
          </w:tcPr>
          <w:p w14:paraId="4A83092F" w14:textId="558E4748" w:rsidR="002630E3" w:rsidRDefault="002630E3" w:rsidP="00D72A1A">
            <w:pPr>
              <w:spacing w:line="259" w:lineRule="auto"/>
              <w:rPr>
                <w:rFonts w:eastAsia="Aptos" w:cs="Times New Roman"/>
              </w:rPr>
            </w:pPr>
            <w:r>
              <w:rPr>
                <w:rFonts w:eastAsia="Aptos" w:cs="Times New Roman"/>
              </w:rPr>
              <w:t xml:space="preserve">Income statement </w:t>
            </w:r>
          </w:p>
        </w:tc>
        <w:tc>
          <w:tcPr>
            <w:tcW w:w="2415" w:type="dxa"/>
            <w:tcBorders>
              <w:top w:val="single" w:sz="4" w:space="0" w:color="auto"/>
              <w:left w:val="single" w:sz="4" w:space="0" w:color="auto"/>
              <w:bottom w:val="single" w:sz="4" w:space="0" w:color="auto"/>
              <w:right w:val="single" w:sz="4" w:space="0" w:color="auto"/>
            </w:tcBorders>
          </w:tcPr>
          <w:p w14:paraId="20043395" w14:textId="746AF9F0" w:rsidR="002630E3" w:rsidRDefault="002630E3" w:rsidP="0068718D">
            <w:pPr>
              <w:spacing w:line="259" w:lineRule="auto"/>
              <w:jc w:val="right"/>
              <w:rPr>
                <w:rFonts w:eastAsia="Aptos" w:cs="Times New Roman"/>
              </w:rPr>
            </w:pPr>
            <w:r w:rsidRPr="000E48C7">
              <w:rPr>
                <w:rFonts w:eastAsia="Times New Roman" w:cs="Times New Roman"/>
                <w:lang w:eastAsia="en-AU"/>
              </w:rPr>
              <w:t>2024-25</w:t>
            </w:r>
            <w:r w:rsidRPr="000E48C7">
              <w:rPr>
                <w:rFonts w:eastAsia="Times New Roman" w:cs="Times New Roman"/>
                <w:lang w:eastAsia="en-AU"/>
              </w:rPr>
              <w:br/>
              <w:t>$'000</w:t>
            </w:r>
          </w:p>
        </w:tc>
        <w:tc>
          <w:tcPr>
            <w:tcW w:w="1701" w:type="dxa"/>
            <w:tcBorders>
              <w:top w:val="single" w:sz="4" w:space="0" w:color="auto"/>
              <w:left w:val="single" w:sz="4" w:space="0" w:color="auto"/>
              <w:bottom w:val="single" w:sz="4" w:space="0" w:color="auto"/>
              <w:right w:val="single" w:sz="4" w:space="0" w:color="auto"/>
            </w:tcBorders>
          </w:tcPr>
          <w:p w14:paraId="5C3B96FF" w14:textId="2AA7FC13" w:rsidR="002630E3" w:rsidRDefault="002630E3" w:rsidP="0068718D">
            <w:pPr>
              <w:spacing w:line="259" w:lineRule="auto"/>
              <w:jc w:val="right"/>
              <w:rPr>
                <w:rFonts w:eastAsia="Aptos" w:cs="Times New Roman"/>
              </w:rPr>
            </w:pPr>
            <w:r w:rsidRPr="000E48C7">
              <w:rPr>
                <w:rFonts w:eastAsia="Times New Roman" w:cs="Times New Roman"/>
                <w:lang w:eastAsia="en-AU"/>
              </w:rPr>
              <w:t>2023-24</w:t>
            </w:r>
            <w:r w:rsidRPr="000E48C7">
              <w:rPr>
                <w:rFonts w:eastAsia="Times New Roman" w:cs="Times New Roman"/>
                <w:lang w:eastAsia="en-AU"/>
              </w:rPr>
              <w:br/>
              <w:t>$'000</w:t>
            </w:r>
          </w:p>
        </w:tc>
      </w:tr>
      <w:tr w:rsidR="00201E03" w14:paraId="60967DE9" w14:textId="59A401AE" w:rsidTr="00480A3E">
        <w:trPr>
          <w:cnfStyle w:val="000000100000" w:firstRow="0" w:lastRow="0" w:firstColumn="0" w:lastColumn="0" w:oddVBand="0" w:evenVBand="0" w:oddHBand="1" w:evenHBand="0" w:firstRowFirstColumn="0" w:firstRowLastColumn="0" w:lastRowFirstColumn="0" w:lastRowLastColumn="0"/>
        </w:trPr>
        <w:tc>
          <w:tcPr>
            <w:tcW w:w="3681" w:type="dxa"/>
            <w:tcBorders>
              <w:top w:val="single" w:sz="4" w:space="0" w:color="auto"/>
            </w:tcBorders>
            <w:shd w:val="clear" w:color="auto" w:fill="FFFFFF" w:themeFill="background1"/>
          </w:tcPr>
          <w:p w14:paraId="64534753" w14:textId="461D77FB" w:rsidR="00413109" w:rsidRDefault="00413109" w:rsidP="00D72A1A">
            <w:pPr>
              <w:spacing w:line="259" w:lineRule="auto"/>
              <w:rPr>
                <w:rFonts w:eastAsia="Aptos" w:cs="Times New Roman"/>
              </w:rPr>
            </w:pPr>
            <w:r w:rsidRPr="000E48C7">
              <w:rPr>
                <w:rFonts w:eastAsia="Times New Roman" w:cs="Times New Roman"/>
                <w:b/>
                <w:bCs/>
                <w:lang w:eastAsia="en-AU"/>
              </w:rPr>
              <w:t xml:space="preserve">Revenue - Cost </w:t>
            </w:r>
            <w:r>
              <w:rPr>
                <w:rFonts w:eastAsia="Times New Roman" w:cs="Times New Roman"/>
                <w:b/>
                <w:bCs/>
                <w:lang w:eastAsia="en-AU"/>
              </w:rPr>
              <w:t>r</w:t>
            </w:r>
            <w:r w:rsidRPr="000E48C7">
              <w:rPr>
                <w:rFonts w:eastAsia="Times New Roman" w:cs="Times New Roman"/>
                <w:b/>
                <w:bCs/>
                <w:lang w:eastAsia="en-AU"/>
              </w:rPr>
              <w:t>ecovery</w:t>
            </w:r>
          </w:p>
        </w:tc>
        <w:tc>
          <w:tcPr>
            <w:tcW w:w="2415" w:type="dxa"/>
            <w:tcBorders>
              <w:top w:val="single" w:sz="4" w:space="0" w:color="auto"/>
              <w:right w:val="single" w:sz="4" w:space="0" w:color="auto"/>
            </w:tcBorders>
            <w:shd w:val="clear" w:color="auto" w:fill="FFFFFF" w:themeFill="background1"/>
          </w:tcPr>
          <w:p w14:paraId="72953170" w14:textId="332FD206" w:rsidR="00413109" w:rsidRDefault="00413109" w:rsidP="00FF6698">
            <w:pPr>
              <w:spacing w:line="259" w:lineRule="auto"/>
              <w:jc w:val="right"/>
              <w:rPr>
                <w:rFonts w:eastAsia="Aptos" w:cs="Times New Roman"/>
              </w:rPr>
            </w:pPr>
          </w:p>
        </w:tc>
        <w:tc>
          <w:tcPr>
            <w:tcW w:w="1701" w:type="dxa"/>
            <w:tcBorders>
              <w:top w:val="single" w:sz="4" w:space="0" w:color="auto"/>
              <w:left w:val="single" w:sz="4" w:space="0" w:color="auto"/>
            </w:tcBorders>
            <w:shd w:val="clear" w:color="auto" w:fill="FFFFFF" w:themeFill="background1"/>
          </w:tcPr>
          <w:p w14:paraId="0B17D635" w14:textId="77777777" w:rsidR="00A21F46" w:rsidRDefault="00A21F46" w:rsidP="00FF6698">
            <w:pPr>
              <w:spacing w:line="259" w:lineRule="auto"/>
              <w:jc w:val="right"/>
              <w:rPr>
                <w:rFonts w:eastAsia="Aptos" w:cs="Times New Roman"/>
              </w:rPr>
            </w:pPr>
          </w:p>
        </w:tc>
      </w:tr>
      <w:tr w:rsidR="0068718D" w14:paraId="55F24B7F" w14:textId="77777777" w:rsidTr="00A21F46">
        <w:tc>
          <w:tcPr>
            <w:tcW w:w="3681" w:type="dxa"/>
          </w:tcPr>
          <w:p w14:paraId="086946F6" w14:textId="795BE272" w:rsidR="0068718D" w:rsidRDefault="0068718D" w:rsidP="0068718D">
            <w:pPr>
              <w:spacing w:line="259" w:lineRule="auto"/>
              <w:rPr>
                <w:rFonts w:eastAsia="Aptos" w:cs="Times New Roman"/>
              </w:rPr>
            </w:pPr>
            <w:r w:rsidRPr="0027318E">
              <w:rPr>
                <w:rFonts w:eastAsia="Times New Roman" w:cs="Times New Roman"/>
                <w:lang w:eastAsia="en-AU"/>
              </w:rPr>
              <w:t>Levies</w:t>
            </w:r>
          </w:p>
        </w:tc>
        <w:tc>
          <w:tcPr>
            <w:tcW w:w="2415" w:type="dxa"/>
          </w:tcPr>
          <w:p w14:paraId="49D413BF" w14:textId="6EE4C911" w:rsidR="0068718D" w:rsidRDefault="0068718D" w:rsidP="0068718D">
            <w:pPr>
              <w:spacing w:line="259" w:lineRule="auto"/>
              <w:jc w:val="right"/>
              <w:rPr>
                <w:rFonts w:eastAsia="Aptos" w:cs="Times New Roman"/>
              </w:rPr>
            </w:pPr>
            <w:r w:rsidRPr="0027318E">
              <w:rPr>
                <w:rFonts w:eastAsia="Times New Roman" w:cs="Times New Roman"/>
                <w:lang w:eastAsia="en-AU"/>
              </w:rPr>
              <w:t>16,3</w:t>
            </w:r>
            <w:r>
              <w:rPr>
                <w:rFonts w:eastAsia="Times New Roman" w:cs="Times New Roman"/>
                <w:lang w:eastAsia="en-AU"/>
              </w:rPr>
              <w:t>86</w:t>
            </w:r>
          </w:p>
        </w:tc>
        <w:tc>
          <w:tcPr>
            <w:tcW w:w="1701" w:type="dxa"/>
          </w:tcPr>
          <w:p w14:paraId="6806720E" w14:textId="5A0281B8" w:rsidR="0068718D" w:rsidRDefault="0068718D" w:rsidP="0068718D">
            <w:pPr>
              <w:spacing w:line="259" w:lineRule="auto"/>
              <w:jc w:val="right"/>
              <w:rPr>
                <w:rFonts w:eastAsia="Aptos" w:cs="Times New Roman"/>
              </w:rPr>
            </w:pPr>
            <w:r w:rsidRPr="0027318E">
              <w:rPr>
                <w:rFonts w:eastAsia="Times New Roman" w:cs="Times New Roman"/>
                <w:lang w:eastAsia="en-AU"/>
              </w:rPr>
              <w:t>15,690</w:t>
            </w:r>
          </w:p>
        </w:tc>
      </w:tr>
      <w:tr w:rsidR="00B84FB5" w14:paraId="5012D3B0" w14:textId="77777777" w:rsidTr="00A21F46">
        <w:trPr>
          <w:cnfStyle w:val="000000100000" w:firstRow="0" w:lastRow="0" w:firstColumn="0" w:lastColumn="0" w:oddVBand="0" w:evenVBand="0" w:oddHBand="1" w:evenHBand="0" w:firstRowFirstColumn="0" w:firstRowLastColumn="0" w:lastRowFirstColumn="0" w:lastRowLastColumn="0"/>
        </w:trPr>
        <w:tc>
          <w:tcPr>
            <w:tcW w:w="3681" w:type="dxa"/>
            <w:shd w:val="clear" w:color="auto" w:fill="FFFFFF" w:themeFill="background1"/>
          </w:tcPr>
          <w:p w14:paraId="2A9D5E64" w14:textId="550B2294" w:rsidR="0068718D" w:rsidRDefault="0068718D" w:rsidP="0068718D">
            <w:pPr>
              <w:spacing w:line="259" w:lineRule="auto"/>
              <w:rPr>
                <w:rFonts w:eastAsia="Aptos" w:cs="Times New Roman"/>
              </w:rPr>
            </w:pPr>
            <w:r w:rsidRPr="0027318E">
              <w:rPr>
                <w:rFonts w:eastAsia="Times New Roman" w:cs="Times New Roman"/>
                <w:lang w:eastAsia="en-AU"/>
              </w:rPr>
              <w:t xml:space="preserve">Application </w:t>
            </w:r>
            <w:r>
              <w:rPr>
                <w:rFonts w:eastAsia="Times New Roman" w:cs="Times New Roman"/>
                <w:lang w:eastAsia="en-AU"/>
              </w:rPr>
              <w:t>f</w:t>
            </w:r>
            <w:r w:rsidRPr="0027318E">
              <w:rPr>
                <w:rFonts w:eastAsia="Times New Roman" w:cs="Times New Roman"/>
                <w:lang w:eastAsia="en-AU"/>
              </w:rPr>
              <w:t>ees</w:t>
            </w:r>
          </w:p>
        </w:tc>
        <w:tc>
          <w:tcPr>
            <w:tcW w:w="2415" w:type="dxa"/>
            <w:shd w:val="clear" w:color="auto" w:fill="FFFFFF" w:themeFill="background1"/>
          </w:tcPr>
          <w:p w14:paraId="723AFCFD" w14:textId="2D374317" w:rsidR="0068718D" w:rsidRDefault="0068718D" w:rsidP="0068718D">
            <w:pPr>
              <w:spacing w:line="259" w:lineRule="auto"/>
              <w:jc w:val="right"/>
              <w:rPr>
                <w:rFonts w:eastAsia="Aptos" w:cs="Times New Roman"/>
              </w:rPr>
            </w:pPr>
            <w:r w:rsidRPr="0027318E">
              <w:rPr>
                <w:rFonts w:eastAsia="Times New Roman" w:cs="Times New Roman"/>
                <w:lang w:eastAsia="en-AU"/>
              </w:rPr>
              <w:t>2,9</w:t>
            </w:r>
            <w:r>
              <w:rPr>
                <w:rFonts w:eastAsia="Times New Roman" w:cs="Times New Roman"/>
                <w:lang w:eastAsia="en-AU"/>
              </w:rPr>
              <w:t>07</w:t>
            </w:r>
          </w:p>
        </w:tc>
        <w:tc>
          <w:tcPr>
            <w:tcW w:w="1701" w:type="dxa"/>
            <w:shd w:val="clear" w:color="auto" w:fill="FFFFFF" w:themeFill="background1"/>
          </w:tcPr>
          <w:p w14:paraId="5C086DDE" w14:textId="3C159BA1" w:rsidR="0068718D" w:rsidRDefault="0068718D" w:rsidP="0068718D">
            <w:pPr>
              <w:spacing w:line="259" w:lineRule="auto"/>
              <w:jc w:val="right"/>
              <w:rPr>
                <w:rFonts w:eastAsia="Aptos" w:cs="Times New Roman"/>
              </w:rPr>
            </w:pPr>
            <w:r w:rsidRPr="0027318E">
              <w:rPr>
                <w:rFonts w:eastAsia="Times New Roman" w:cs="Times New Roman"/>
                <w:lang w:eastAsia="en-AU"/>
              </w:rPr>
              <w:t>1,964</w:t>
            </w:r>
          </w:p>
        </w:tc>
      </w:tr>
      <w:tr w:rsidR="0068718D" w14:paraId="5AFA0EE6" w14:textId="77777777" w:rsidTr="00A21F46">
        <w:tc>
          <w:tcPr>
            <w:tcW w:w="3681" w:type="dxa"/>
          </w:tcPr>
          <w:p w14:paraId="2358AEB1" w14:textId="461A82E4" w:rsidR="0068718D" w:rsidRPr="0027318E" w:rsidRDefault="0068718D" w:rsidP="0068718D">
            <w:pPr>
              <w:spacing w:line="259" w:lineRule="auto"/>
              <w:rPr>
                <w:rFonts w:eastAsia="Times New Roman" w:cs="Times New Roman"/>
                <w:lang w:eastAsia="en-AU"/>
              </w:rPr>
            </w:pPr>
            <w:r w:rsidRPr="0027318E">
              <w:rPr>
                <w:rFonts w:eastAsia="Times New Roman" w:cs="Times New Roman"/>
                <w:lang w:eastAsia="en-AU"/>
              </w:rPr>
              <w:t>Other</w:t>
            </w:r>
          </w:p>
        </w:tc>
        <w:tc>
          <w:tcPr>
            <w:tcW w:w="2415" w:type="dxa"/>
          </w:tcPr>
          <w:p w14:paraId="1C326FEE" w14:textId="240033E6" w:rsidR="0068718D" w:rsidRDefault="0068718D" w:rsidP="0068718D">
            <w:pPr>
              <w:spacing w:line="259" w:lineRule="auto"/>
              <w:jc w:val="right"/>
              <w:rPr>
                <w:rFonts w:eastAsia="Aptos" w:cs="Times New Roman"/>
              </w:rPr>
            </w:pPr>
            <w:r w:rsidRPr="0027318E">
              <w:rPr>
                <w:rFonts w:eastAsia="Times New Roman" w:cs="Times New Roman"/>
                <w:lang w:eastAsia="en-AU"/>
              </w:rPr>
              <w:t>3</w:t>
            </w:r>
            <w:r>
              <w:rPr>
                <w:rFonts w:eastAsia="Times New Roman" w:cs="Times New Roman"/>
                <w:lang w:eastAsia="en-AU"/>
              </w:rPr>
              <w:t>2</w:t>
            </w:r>
          </w:p>
        </w:tc>
        <w:tc>
          <w:tcPr>
            <w:tcW w:w="1701" w:type="dxa"/>
          </w:tcPr>
          <w:p w14:paraId="55FCB6B5" w14:textId="36D3D22D" w:rsidR="0068718D" w:rsidRDefault="0068718D" w:rsidP="0068718D">
            <w:pPr>
              <w:spacing w:line="259" w:lineRule="auto"/>
              <w:jc w:val="right"/>
              <w:rPr>
                <w:rFonts w:eastAsia="Aptos" w:cs="Times New Roman"/>
              </w:rPr>
            </w:pPr>
            <w:r w:rsidRPr="0027318E">
              <w:rPr>
                <w:rFonts w:eastAsia="Times New Roman" w:cs="Times New Roman"/>
                <w:lang w:eastAsia="en-AU"/>
              </w:rPr>
              <w:t>53</w:t>
            </w:r>
          </w:p>
        </w:tc>
      </w:tr>
      <w:tr w:rsidR="0068718D" w14:paraId="2F7FE8B8" w14:textId="77777777" w:rsidTr="00A21F46">
        <w:trPr>
          <w:cnfStyle w:val="000000100000" w:firstRow="0" w:lastRow="0" w:firstColumn="0" w:lastColumn="0" w:oddVBand="0" w:evenVBand="0" w:oddHBand="1" w:evenHBand="0" w:firstRowFirstColumn="0" w:firstRowLastColumn="0" w:lastRowFirstColumn="0" w:lastRowLastColumn="0"/>
        </w:trPr>
        <w:tc>
          <w:tcPr>
            <w:tcW w:w="3681" w:type="dxa"/>
          </w:tcPr>
          <w:p w14:paraId="13313295" w14:textId="774FE79B" w:rsidR="0068718D" w:rsidRPr="0027318E" w:rsidRDefault="0068718D" w:rsidP="0068718D">
            <w:pPr>
              <w:spacing w:line="259" w:lineRule="auto"/>
              <w:rPr>
                <w:rFonts w:eastAsia="Times New Roman" w:cs="Times New Roman"/>
                <w:lang w:eastAsia="en-AU"/>
              </w:rPr>
            </w:pPr>
            <w:r w:rsidRPr="0027318E">
              <w:rPr>
                <w:rFonts w:eastAsia="Times New Roman" w:cs="Times New Roman"/>
                <w:b/>
                <w:lang w:eastAsia="en-AU"/>
              </w:rPr>
              <w:t xml:space="preserve">Total </w:t>
            </w:r>
            <w:r w:rsidR="00F47C87">
              <w:rPr>
                <w:rFonts w:eastAsia="Times New Roman" w:cs="Times New Roman"/>
                <w:b/>
                <w:lang w:eastAsia="en-AU"/>
              </w:rPr>
              <w:t>r</w:t>
            </w:r>
            <w:r w:rsidRPr="0027318E">
              <w:rPr>
                <w:rFonts w:eastAsia="Times New Roman" w:cs="Times New Roman"/>
                <w:b/>
                <w:lang w:eastAsia="en-AU"/>
              </w:rPr>
              <w:t>evenue</w:t>
            </w:r>
          </w:p>
        </w:tc>
        <w:tc>
          <w:tcPr>
            <w:tcW w:w="2415" w:type="dxa"/>
          </w:tcPr>
          <w:p w14:paraId="616E3C78" w14:textId="7732D718" w:rsidR="0068718D" w:rsidRDefault="0068718D" w:rsidP="0068718D">
            <w:pPr>
              <w:spacing w:line="259" w:lineRule="auto"/>
              <w:jc w:val="right"/>
              <w:rPr>
                <w:rFonts w:eastAsia="Aptos" w:cs="Times New Roman"/>
              </w:rPr>
            </w:pPr>
            <w:r w:rsidRPr="0027318E">
              <w:rPr>
                <w:rFonts w:eastAsia="Times New Roman" w:cs="Times New Roman"/>
                <w:b/>
                <w:lang w:eastAsia="en-AU"/>
              </w:rPr>
              <w:t>19,325</w:t>
            </w:r>
          </w:p>
        </w:tc>
        <w:tc>
          <w:tcPr>
            <w:tcW w:w="1701" w:type="dxa"/>
          </w:tcPr>
          <w:p w14:paraId="5D12A63A" w14:textId="7472B03F" w:rsidR="0068718D" w:rsidRDefault="0068718D" w:rsidP="0068718D">
            <w:pPr>
              <w:spacing w:line="259" w:lineRule="auto"/>
              <w:jc w:val="right"/>
              <w:rPr>
                <w:rFonts w:eastAsia="Aptos" w:cs="Times New Roman"/>
              </w:rPr>
            </w:pPr>
            <w:r w:rsidRPr="0027318E">
              <w:rPr>
                <w:rFonts w:eastAsia="Times New Roman" w:cs="Times New Roman"/>
                <w:b/>
                <w:lang w:eastAsia="en-AU"/>
              </w:rPr>
              <w:t>17,706</w:t>
            </w:r>
          </w:p>
        </w:tc>
      </w:tr>
      <w:tr w:rsidR="0068718D" w14:paraId="61092E60" w14:textId="77777777" w:rsidTr="00A21F46">
        <w:tc>
          <w:tcPr>
            <w:tcW w:w="3681" w:type="dxa"/>
          </w:tcPr>
          <w:p w14:paraId="7DAA05F8" w14:textId="3844FEA1" w:rsidR="0068718D" w:rsidRPr="0027318E" w:rsidRDefault="0068718D" w:rsidP="0068718D">
            <w:pPr>
              <w:spacing w:line="259" w:lineRule="auto"/>
              <w:rPr>
                <w:rFonts w:eastAsia="Times New Roman" w:cs="Times New Roman"/>
                <w:b/>
                <w:lang w:eastAsia="en-AU"/>
              </w:rPr>
            </w:pPr>
            <w:r w:rsidRPr="007A7081">
              <w:rPr>
                <w:rFonts w:eastAsia="Times New Roman" w:cs="Times New Roman"/>
                <w:b/>
                <w:bCs/>
                <w:lang w:eastAsia="en-AU"/>
              </w:rPr>
              <w:t>Expenses</w:t>
            </w:r>
          </w:p>
        </w:tc>
        <w:tc>
          <w:tcPr>
            <w:tcW w:w="2415" w:type="dxa"/>
          </w:tcPr>
          <w:p w14:paraId="7EB3E796" w14:textId="73553F89" w:rsidR="0068718D" w:rsidRDefault="0068718D" w:rsidP="00AA0C31">
            <w:pPr>
              <w:spacing w:line="259" w:lineRule="auto"/>
              <w:jc w:val="right"/>
              <w:rPr>
                <w:rFonts w:eastAsia="Aptos" w:cs="Times New Roman"/>
              </w:rPr>
            </w:pPr>
          </w:p>
        </w:tc>
        <w:tc>
          <w:tcPr>
            <w:tcW w:w="1701" w:type="dxa"/>
          </w:tcPr>
          <w:p w14:paraId="56C8664B" w14:textId="30588859" w:rsidR="0068718D" w:rsidRDefault="0068718D" w:rsidP="00AA0C31">
            <w:pPr>
              <w:spacing w:line="259" w:lineRule="auto"/>
              <w:jc w:val="right"/>
              <w:rPr>
                <w:rFonts w:eastAsia="Aptos" w:cs="Times New Roman"/>
              </w:rPr>
            </w:pPr>
            <w:r w:rsidRPr="0027318E">
              <w:rPr>
                <w:rFonts w:eastAsia="Times New Roman" w:cs="Times New Roman" w:hint="eastAsia"/>
                <w:lang w:eastAsia="en-AU"/>
              </w:rPr>
              <w:t> </w:t>
            </w:r>
          </w:p>
        </w:tc>
      </w:tr>
      <w:tr w:rsidR="00B84FB5" w14:paraId="6447CA1F" w14:textId="77777777" w:rsidTr="00A21F46">
        <w:trPr>
          <w:cnfStyle w:val="000000100000" w:firstRow="0" w:lastRow="0" w:firstColumn="0" w:lastColumn="0" w:oddVBand="0" w:evenVBand="0" w:oddHBand="1" w:evenHBand="0" w:firstRowFirstColumn="0" w:firstRowLastColumn="0" w:lastRowFirstColumn="0" w:lastRowLastColumn="0"/>
        </w:trPr>
        <w:tc>
          <w:tcPr>
            <w:tcW w:w="3681" w:type="dxa"/>
            <w:shd w:val="clear" w:color="auto" w:fill="FFFFFF" w:themeFill="background1"/>
          </w:tcPr>
          <w:p w14:paraId="468BDAC5" w14:textId="3121EB84" w:rsidR="0068718D" w:rsidRPr="007A7081" w:rsidRDefault="0068718D" w:rsidP="0068718D">
            <w:pPr>
              <w:spacing w:line="259" w:lineRule="auto"/>
              <w:rPr>
                <w:rFonts w:eastAsia="Times New Roman" w:cs="Times New Roman"/>
                <w:b/>
                <w:bCs/>
                <w:lang w:eastAsia="en-AU"/>
              </w:rPr>
            </w:pPr>
            <w:r w:rsidRPr="0027318E">
              <w:rPr>
                <w:rFonts w:eastAsia="Times New Roman" w:cs="Times New Roman"/>
                <w:lang w:eastAsia="en-AU"/>
              </w:rPr>
              <w:t xml:space="preserve">Employee </w:t>
            </w:r>
            <w:r>
              <w:rPr>
                <w:rFonts w:eastAsia="Times New Roman" w:cs="Times New Roman"/>
                <w:lang w:eastAsia="en-AU"/>
              </w:rPr>
              <w:t>b</w:t>
            </w:r>
            <w:r w:rsidRPr="0027318E">
              <w:rPr>
                <w:rFonts w:eastAsia="Times New Roman" w:cs="Times New Roman"/>
                <w:lang w:eastAsia="en-AU"/>
              </w:rPr>
              <w:t>enefits</w:t>
            </w:r>
          </w:p>
        </w:tc>
        <w:tc>
          <w:tcPr>
            <w:tcW w:w="2415" w:type="dxa"/>
            <w:shd w:val="clear" w:color="auto" w:fill="FFFFFF" w:themeFill="background1"/>
          </w:tcPr>
          <w:p w14:paraId="7E549AB1" w14:textId="4F737900" w:rsidR="0068718D" w:rsidRDefault="0068718D" w:rsidP="00AA0C31">
            <w:pPr>
              <w:spacing w:line="259" w:lineRule="auto"/>
              <w:jc w:val="right"/>
              <w:rPr>
                <w:rFonts w:eastAsia="Aptos" w:cs="Times New Roman"/>
              </w:rPr>
            </w:pPr>
            <w:r w:rsidRPr="0027318E">
              <w:rPr>
                <w:rFonts w:eastAsia="Times New Roman" w:cs="Times New Roman"/>
                <w:lang w:eastAsia="en-AU"/>
              </w:rPr>
              <w:t>12,664</w:t>
            </w:r>
          </w:p>
        </w:tc>
        <w:tc>
          <w:tcPr>
            <w:tcW w:w="1701" w:type="dxa"/>
            <w:shd w:val="clear" w:color="auto" w:fill="FFFFFF" w:themeFill="background1"/>
          </w:tcPr>
          <w:p w14:paraId="0EBF846C" w14:textId="1BF5D775" w:rsidR="0068718D" w:rsidRDefault="0068718D" w:rsidP="00AA0C31">
            <w:pPr>
              <w:spacing w:line="259" w:lineRule="auto"/>
              <w:jc w:val="right"/>
              <w:rPr>
                <w:rFonts w:eastAsia="Aptos" w:cs="Times New Roman"/>
              </w:rPr>
            </w:pPr>
            <w:r w:rsidRPr="0027318E">
              <w:rPr>
                <w:rFonts w:eastAsia="Times New Roman" w:cs="Times New Roman"/>
                <w:lang w:eastAsia="en-AU"/>
              </w:rPr>
              <w:t>11,045</w:t>
            </w:r>
          </w:p>
        </w:tc>
      </w:tr>
      <w:tr w:rsidR="0068718D" w14:paraId="4EB18ED9" w14:textId="77777777" w:rsidTr="00A21F46">
        <w:tc>
          <w:tcPr>
            <w:tcW w:w="3681" w:type="dxa"/>
          </w:tcPr>
          <w:p w14:paraId="18237B38" w14:textId="0CC20BC1" w:rsidR="0068718D" w:rsidRPr="0027318E" w:rsidRDefault="0068718D" w:rsidP="0068718D">
            <w:pPr>
              <w:spacing w:line="259" w:lineRule="auto"/>
              <w:rPr>
                <w:rFonts w:eastAsia="Times New Roman" w:cs="Times New Roman"/>
                <w:lang w:eastAsia="en-AU"/>
              </w:rPr>
            </w:pPr>
            <w:r w:rsidRPr="0027318E">
              <w:rPr>
                <w:rFonts w:eastAsia="Times New Roman" w:cs="Times New Roman"/>
                <w:lang w:eastAsia="en-AU"/>
              </w:rPr>
              <w:t>Suppliers</w:t>
            </w:r>
          </w:p>
        </w:tc>
        <w:tc>
          <w:tcPr>
            <w:tcW w:w="2415" w:type="dxa"/>
          </w:tcPr>
          <w:p w14:paraId="243AC612" w14:textId="415770E8" w:rsidR="0068718D" w:rsidRDefault="0068718D" w:rsidP="00AA0C31">
            <w:pPr>
              <w:spacing w:line="259" w:lineRule="auto"/>
              <w:jc w:val="right"/>
              <w:rPr>
                <w:rFonts w:eastAsia="Aptos" w:cs="Times New Roman"/>
              </w:rPr>
            </w:pPr>
            <w:r w:rsidRPr="0027318E">
              <w:rPr>
                <w:rFonts w:eastAsia="Times New Roman" w:cs="Times New Roman"/>
                <w:lang w:eastAsia="en-AU"/>
              </w:rPr>
              <w:t>3,081</w:t>
            </w:r>
          </w:p>
        </w:tc>
        <w:tc>
          <w:tcPr>
            <w:tcW w:w="1701" w:type="dxa"/>
          </w:tcPr>
          <w:p w14:paraId="7DCD7940" w14:textId="5293401C" w:rsidR="0068718D" w:rsidRDefault="0068718D" w:rsidP="00AA0C31">
            <w:pPr>
              <w:spacing w:line="259" w:lineRule="auto"/>
              <w:jc w:val="right"/>
              <w:rPr>
                <w:rFonts w:eastAsia="Aptos" w:cs="Times New Roman"/>
              </w:rPr>
            </w:pPr>
            <w:r w:rsidRPr="0027318E">
              <w:rPr>
                <w:rFonts w:eastAsia="Times New Roman" w:cs="Times New Roman"/>
                <w:lang w:eastAsia="en-AU"/>
              </w:rPr>
              <w:t>3,740</w:t>
            </w:r>
          </w:p>
        </w:tc>
      </w:tr>
      <w:tr w:rsidR="00B84FB5" w14:paraId="71365FD4" w14:textId="77777777" w:rsidTr="00A21F46">
        <w:trPr>
          <w:cnfStyle w:val="000000100000" w:firstRow="0" w:lastRow="0" w:firstColumn="0" w:lastColumn="0" w:oddVBand="0" w:evenVBand="0" w:oddHBand="1" w:evenHBand="0" w:firstRowFirstColumn="0" w:firstRowLastColumn="0" w:lastRowFirstColumn="0" w:lastRowLastColumn="0"/>
        </w:trPr>
        <w:tc>
          <w:tcPr>
            <w:tcW w:w="3681" w:type="dxa"/>
            <w:shd w:val="clear" w:color="auto" w:fill="FFFFFF" w:themeFill="background1"/>
          </w:tcPr>
          <w:p w14:paraId="192160C6" w14:textId="4E073E54" w:rsidR="0068718D" w:rsidRPr="0027318E" w:rsidRDefault="0068718D" w:rsidP="0068718D">
            <w:pPr>
              <w:spacing w:line="259" w:lineRule="auto"/>
              <w:rPr>
                <w:rFonts w:eastAsia="Times New Roman" w:cs="Times New Roman"/>
                <w:lang w:eastAsia="en-AU"/>
              </w:rPr>
            </w:pPr>
            <w:r w:rsidRPr="0027318E">
              <w:rPr>
                <w:rFonts w:eastAsia="Times New Roman" w:cs="Times New Roman"/>
                <w:lang w:eastAsia="en-AU"/>
              </w:rPr>
              <w:t>NOPDCR</w:t>
            </w:r>
          </w:p>
        </w:tc>
        <w:tc>
          <w:tcPr>
            <w:tcW w:w="2415" w:type="dxa"/>
            <w:shd w:val="clear" w:color="auto" w:fill="FFFFFF" w:themeFill="background1"/>
          </w:tcPr>
          <w:p w14:paraId="308A476D" w14:textId="760F451D" w:rsidR="0068718D" w:rsidRDefault="0068718D" w:rsidP="00AA0C31">
            <w:pPr>
              <w:spacing w:line="259" w:lineRule="auto"/>
              <w:jc w:val="right"/>
              <w:rPr>
                <w:rFonts w:eastAsia="Aptos" w:cs="Times New Roman"/>
              </w:rPr>
            </w:pPr>
            <w:r w:rsidRPr="0027318E">
              <w:rPr>
                <w:rFonts w:eastAsia="Times New Roman" w:cs="Times New Roman"/>
                <w:lang w:eastAsia="en-AU"/>
              </w:rPr>
              <w:t>1,410</w:t>
            </w:r>
          </w:p>
        </w:tc>
        <w:tc>
          <w:tcPr>
            <w:tcW w:w="1701" w:type="dxa"/>
            <w:shd w:val="clear" w:color="auto" w:fill="FFFFFF" w:themeFill="background1"/>
          </w:tcPr>
          <w:p w14:paraId="43E2DC9E" w14:textId="42DB6CA9" w:rsidR="0068718D" w:rsidRDefault="0068718D" w:rsidP="00AA0C31">
            <w:pPr>
              <w:spacing w:line="259" w:lineRule="auto"/>
              <w:jc w:val="right"/>
              <w:rPr>
                <w:rFonts w:eastAsia="Aptos" w:cs="Times New Roman"/>
              </w:rPr>
            </w:pPr>
            <w:r w:rsidRPr="0027318E">
              <w:rPr>
                <w:rFonts w:eastAsia="Times New Roman" w:cs="Times New Roman"/>
                <w:lang w:eastAsia="en-AU"/>
              </w:rPr>
              <w:t>1,382</w:t>
            </w:r>
          </w:p>
        </w:tc>
      </w:tr>
      <w:tr w:rsidR="0068718D" w14:paraId="5AD1F874" w14:textId="77777777" w:rsidTr="00A21F46">
        <w:tc>
          <w:tcPr>
            <w:tcW w:w="3681" w:type="dxa"/>
          </w:tcPr>
          <w:p w14:paraId="3DB20FEA" w14:textId="44355EFF" w:rsidR="0068718D" w:rsidRPr="0027318E" w:rsidRDefault="0068718D" w:rsidP="0068718D">
            <w:pPr>
              <w:spacing w:line="259" w:lineRule="auto"/>
              <w:rPr>
                <w:rFonts w:eastAsia="Times New Roman" w:cs="Times New Roman"/>
                <w:lang w:eastAsia="en-AU"/>
              </w:rPr>
            </w:pPr>
            <w:r w:rsidRPr="0027318E">
              <w:rPr>
                <w:rFonts w:eastAsia="Times New Roman" w:cs="Times New Roman"/>
                <w:lang w:eastAsia="en-AU"/>
              </w:rPr>
              <w:t xml:space="preserve">ICT and </w:t>
            </w:r>
            <w:r>
              <w:rPr>
                <w:rFonts w:eastAsia="Times New Roman" w:cs="Times New Roman"/>
                <w:lang w:eastAsia="en-AU"/>
              </w:rPr>
              <w:t>t</w:t>
            </w:r>
            <w:r w:rsidRPr="0027318E">
              <w:rPr>
                <w:rFonts w:eastAsia="Times New Roman" w:cs="Times New Roman"/>
                <w:lang w:eastAsia="en-AU"/>
              </w:rPr>
              <w:t xml:space="preserve">elecommunications </w:t>
            </w:r>
            <w:r>
              <w:rPr>
                <w:rFonts w:eastAsia="Times New Roman" w:cs="Times New Roman"/>
                <w:lang w:eastAsia="en-AU"/>
              </w:rPr>
              <w:t>c</w:t>
            </w:r>
            <w:r w:rsidRPr="0027318E">
              <w:rPr>
                <w:rFonts w:eastAsia="Times New Roman" w:cs="Times New Roman"/>
                <w:lang w:eastAsia="en-AU"/>
              </w:rPr>
              <w:t>osts</w:t>
            </w:r>
          </w:p>
        </w:tc>
        <w:tc>
          <w:tcPr>
            <w:tcW w:w="2415" w:type="dxa"/>
          </w:tcPr>
          <w:p w14:paraId="73194890" w14:textId="76E4646F" w:rsidR="0068718D" w:rsidRDefault="0068718D" w:rsidP="00AA0C31">
            <w:pPr>
              <w:spacing w:line="259" w:lineRule="auto"/>
              <w:jc w:val="right"/>
              <w:rPr>
                <w:rFonts w:eastAsia="Aptos" w:cs="Times New Roman"/>
              </w:rPr>
            </w:pPr>
            <w:r w:rsidRPr="0027318E">
              <w:rPr>
                <w:rFonts w:eastAsia="Times New Roman" w:cs="Times New Roman"/>
                <w:lang w:eastAsia="en-AU"/>
              </w:rPr>
              <w:t>1,433</w:t>
            </w:r>
          </w:p>
        </w:tc>
        <w:tc>
          <w:tcPr>
            <w:tcW w:w="1701" w:type="dxa"/>
          </w:tcPr>
          <w:p w14:paraId="2C01C43C" w14:textId="32EDFCBF" w:rsidR="0068718D" w:rsidRDefault="0068718D" w:rsidP="00AA0C31">
            <w:pPr>
              <w:spacing w:line="259" w:lineRule="auto"/>
              <w:jc w:val="right"/>
              <w:rPr>
                <w:rFonts w:eastAsia="Aptos" w:cs="Times New Roman"/>
              </w:rPr>
            </w:pPr>
            <w:r w:rsidRPr="0027318E">
              <w:rPr>
                <w:rFonts w:eastAsia="Times New Roman" w:cs="Times New Roman"/>
                <w:lang w:eastAsia="en-AU"/>
              </w:rPr>
              <w:t>1,943</w:t>
            </w:r>
          </w:p>
        </w:tc>
      </w:tr>
      <w:tr w:rsidR="00B84FB5" w14:paraId="31BAD1B1" w14:textId="77777777" w:rsidTr="00A21F46">
        <w:trPr>
          <w:cnfStyle w:val="000000100000" w:firstRow="0" w:lastRow="0" w:firstColumn="0" w:lastColumn="0" w:oddVBand="0" w:evenVBand="0" w:oddHBand="1" w:evenHBand="0" w:firstRowFirstColumn="0" w:firstRowLastColumn="0" w:lastRowFirstColumn="0" w:lastRowLastColumn="0"/>
        </w:trPr>
        <w:tc>
          <w:tcPr>
            <w:tcW w:w="3681" w:type="dxa"/>
            <w:shd w:val="clear" w:color="auto" w:fill="FFFFFF" w:themeFill="background1"/>
          </w:tcPr>
          <w:p w14:paraId="17E386DC" w14:textId="6C5C2B72" w:rsidR="0068718D" w:rsidRPr="0027318E" w:rsidRDefault="0068718D" w:rsidP="0068718D">
            <w:pPr>
              <w:spacing w:line="259" w:lineRule="auto"/>
              <w:rPr>
                <w:rFonts w:eastAsia="Times New Roman" w:cs="Times New Roman"/>
                <w:lang w:eastAsia="en-AU"/>
              </w:rPr>
            </w:pPr>
            <w:r w:rsidRPr="0027318E">
              <w:rPr>
                <w:rFonts w:eastAsia="Times New Roman" w:cs="Times New Roman"/>
                <w:lang w:eastAsia="en-AU"/>
              </w:rPr>
              <w:t xml:space="preserve">Depreciation and </w:t>
            </w:r>
            <w:r>
              <w:rPr>
                <w:rFonts w:eastAsia="Times New Roman" w:cs="Times New Roman"/>
                <w:lang w:eastAsia="en-AU"/>
              </w:rPr>
              <w:t>a</w:t>
            </w:r>
            <w:r w:rsidRPr="0027318E">
              <w:rPr>
                <w:rFonts w:eastAsia="Times New Roman" w:cs="Times New Roman"/>
                <w:lang w:eastAsia="en-AU"/>
              </w:rPr>
              <w:t>mortisation</w:t>
            </w:r>
          </w:p>
        </w:tc>
        <w:tc>
          <w:tcPr>
            <w:tcW w:w="2415" w:type="dxa"/>
            <w:shd w:val="clear" w:color="auto" w:fill="FFFFFF" w:themeFill="background1"/>
          </w:tcPr>
          <w:p w14:paraId="0EB973A0" w14:textId="6F060021" w:rsidR="0068718D" w:rsidRDefault="0068718D" w:rsidP="00AA0C31">
            <w:pPr>
              <w:spacing w:line="259" w:lineRule="auto"/>
              <w:jc w:val="right"/>
              <w:rPr>
                <w:rFonts w:eastAsia="Aptos" w:cs="Times New Roman"/>
              </w:rPr>
            </w:pPr>
            <w:r w:rsidRPr="0027318E">
              <w:rPr>
                <w:rFonts w:eastAsia="Times New Roman" w:cs="Times New Roman"/>
                <w:lang w:eastAsia="en-AU"/>
              </w:rPr>
              <w:t>1,890</w:t>
            </w:r>
          </w:p>
        </w:tc>
        <w:tc>
          <w:tcPr>
            <w:tcW w:w="1701" w:type="dxa"/>
            <w:shd w:val="clear" w:color="auto" w:fill="FFFFFF" w:themeFill="background1"/>
          </w:tcPr>
          <w:p w14:paraId="7B958276" w14:textId="543FDC89" w:rsidR="0068718D" w:rsidRDefault="0068718D" w:rsidP="00AA0C31">
            <w:pPr>
              <w:spacing w:line="259" w:lineRule="auto"/>
              <w:jc w:val="right"/>
              <w:rPr>
                <w:rFonts w:eastAsia="Aptos" w:cs="Times New Roman"/>
              </w:rPr>
            </w:pPr>
            <w:r w:rsidRPr="0027318E">
              <w:rPr>
                <w:rFonts w:eastAsia="Times New Roman" w:cs="Times New Roman"/>
                <w:lang w:eastAsia="en-AU"/>
              </w:rPr>
              <w:t>1,22</w:t>
            </w:r>
            <w:r>
              <w:rPr>
                <w:rFonts w:eastAsia="Times New Roman" w:cs="Times New Roman"/>
                <w:lang w:eastAsia="en-AU"/>
              </w:rPr>
              <w:t>8</w:t>
            </w:r>
          </w:p>
        </w:tc>
      </w:tr>
      <w:tr w:rsidR="0068718D" w14:paraId="385DE47D" w14:textId="77777777" w:rsidTr="00A21F46">
        <w:tc>
          <w:tcPr>
            <w:tcW w:w="3681" w:type="dxa"/>
          </w:tcPr>
          <w:p w14:paraId="70CA3F3A" w14:textId="7CEAC1F4" w:rsidR="0068718D" w:rsidRPr="0027318E" w:rsidRDefault="0068718D" w:rsidP="0068718D">
            <w:pPr>
              <w:spacing w:line="259" w:lineRule="auto"/>
              <w:rPr>
                <w:rFonts w:eastAsia="Times New Roman" w:cs="Times New Roman"/>
                <w:lang w:eastAsia="en-AU"/>
              </w:rPr>
            </w:pPr>
            <w:r w:rsidRPr="0027318E">
              <w:rPr>
                <w:rFonts w:eastAsia="Times New Roman" w:cs="Times New Roman"/>
                <w:lang w:eastAsia="en-AU"/>
              </w:rPr>
              <w:t xml:space="preserve">Overhead </w:t>
            </w:r>
            <w:r w:rsidR="008D6C5F">
              <w:rPr>
                <w:rFonts w:eastAsia="Times New Roman" w:cs="Times New Roman"/>
                <w:lang w:eastAsia="en-AU"/>
              </w:rPr>
              <w:t>r</w:t>
            </w:r>
            <w:r w:rsidRPr="0027318E">
              <w:rPr>
                <w:rFonts w:eastAsia="Times New Roman" w:cs="Times New Roman"/>
                <w:lang w:eastAsia="en-AU"/>
              </w:rPr>
              <w:t xml:space="preserve">echarging </w:t>
            </w:r>
            <w:r w:rsidR="008D6C5F">
              <w:rPr>
                <w:rFonts w:eastAsia="Times New Roman" w:cs="Times New Roman"/>
                <w:lang w:eastAsia="en-AU"/>
              </w:rPr>
              <w:t>a</w:t>
            </w:r>
            <w:r w:rsidRPr="0027318E">
              <w:rPr>
                <w:rFonts w:eastAsia="Times New Roman" w:cs="Times New Roman"/>
                <w:lang w:eastAsia="en-AU"/>
              </w:rPr>
              <w:t>llocation</w:t>
            </w:r>
          </w:p>
        </w:tc>
        <w:tc>
          <w:tcPr>
            <w:tcW w:w="2415" w:type="dxa"/>
          </w:tcPr>
          <w:p w14:paraId="19E87DB9" w14:textId="30FC5900" w:rsidR="0068718D" w:rsidRDefault="0068718D" w:rsidP="00AA0C31">
            <w:pPr>
              <w:spacing w:line="259" w:lineRule="auto"/>
              <w:jc w:val="right"/>
              <w:rPr>
                <w:rFonts w:eastAsia="Aptos" w:cs="Times New Roman"/>
              </w:rPr>
            </w:pPr>
            <w:r w:rsidRPr="0027318E">
              <w:rPr>
                <w:rFonts w:eastAsia="Times New Roman" w:cs="Times New Roman"/>
                <w:lang w:eastAsia="en-AU"/>
              </w:rPr>
              <w:t>763</w:t>
            </w:r>
          </w:p>
        </w:tc>
        <w:tc>
          <w:tcPr>
            <w:tcW w:w="1701" w:type="dxa"/>
          </w:tcPr>
          <w:p w14:paraId="072BDA2F" w14:textId="5BEF17AF" w:rsidR="0068718D" w:rsidRDefault="0068718D" w:rsidP="00AA0C31">
            <w:pPr>
              <w:spacing w:line="259" w:lineRule="auto"/>
              <w:jc w:val="right"/>
              <w:rPr>
                <w:rFonts w:eastAsia="Aptos" w:cs="Times New Roman"/>
              </w:rPr>
            </w:pPr>
            <w:r w:rsidRPr="0027318E">
              <w:rPr>
                <w:rFonts w:eastAsia="Times New Roman" w:cs="Times New Roman"/>
                <w:lang w:eastAsia="en-AU"/>
              </w:rPr>
              <w:t>773</w:t>
            </w:r>
          </w:p>
        </w:tc>
      </w:tr>
      <w:tr w:rsidR="0068718D" w14:paraId="32AD4DB4" w14:textId="77777777" w:rsidTr="00A21F46">
        <w:trPr>
          <w:cnfStyle w:val="000000100000" w:firstRow="0" w:lastRow="0" w:firstColumn="0" w:lastColumn="0" w:oddVBand="0" w:evenVBand="0" w:oddHBand="1" w:evenHBand="0" w:firstRowFirstColumn="0" w:firstRowLastColumn="0" w:lastRowFirstColumn="0" w:lastRowLastColumn="0"/>
        </w:trPr>
        <w:tc>
          <w:tcPr>
            <w:tcW w:w="3681" w:type="dxa"/>
          </w:tcPr>
          <w:p w14:paraId="207D9C23" w14:textId="04267A84" w:rsidR="0068718D" w:rsidRPr="0027318E" w:rsidRDefault="0068718D" w:rsidP="0068718D">
            <w:pPr>
              <w:spacing w:line="259" w:lineRule="auto"/>
              <w:rPr>
                <w:rFonts w:eastAsia="Times New Roman" w:cs="Times New Roman"/>
                <w:lang w:eastAsia="en-AU"/>
              </w:rPr>
            </w:pPr>
            <w:r w:rsidRPr="0027318E">
              <w:rPr>
                <w:rFonts w:eastAsia="Times New Roman" w:cs="Times New Roman"/>
                <w:b/>
                <w:lang w:eastAsia="en-AU"/>
              </w:rPr>
              <w:t xml:space="preserve">Total </w:t>
            </w:r>
            <w:r>
              <w:rPr>
                <w:rFonts w:eastAsia="Times New Roman" w:cs="Times New Roman"/>
                <w:b/>
                <w:lang w:eastAsia="en-AU"/>
              </w:rPr>
              <w:t>e</w:t>
            </w:r>
            <w:r w:rsidRPr="0027318E">
              <w:rPr>
                <w:rFonts w:eastAsia="Times New Roman" w:cs="Times New Roman"/>
                <w:b/>
                <w:lang w:eastAsia="en-AU"/>
              </w:rPr>
              <w:t>xpenses</w:t>
            </w:r>
          </w:p>
        </w:tc>
        <w:tc>
          <w:tcPr>
            <w:tcW w:w="2415" w:type="dxa"/>
          </w:tcPr>
          <w:p w14:paraId="0DDBB1D3" w14:textId="7E6C87BC" w:rsidR="0068718D" w:rsidRDefault="0068718D" w:rsidP="00AA0C31">
            <w:pPr>
              <w:spacing w:line="259" w:lineRule="auto"/>
              <w:jc w:val="right"/>
              <w:rPr>
                <w:rFonts w:eastAsia="Aptos" w:cs="Times New Roman"/>
              </w:rPr>
            </w:pPr>
            <w:r w:rsidRPr="0027318E">
              <w:rPr>
                <w:rFonts w:eastAsia="Times New Roman" w:cs="Times New Roman"/>
                <w:b/>
                <w:lang w:eastAsia="en-AU"/>
              </w:rPr>
              <w:t>21,241</w:t>
            </w:r>
          </w:p>
        </w:tc>
        <w:tc>
          <w:tcPr>
            <w:tcW w:w="1701" w:type="dxa"/>
          </w:tcPr>
          <w:p w14:paraId="4041AD97" w14:textId="24A03E78" w:rsidR="0068718D" w:rsidRDefault="0068718D" w:rsidP="00AA0C31">
            <w:pPr>
              <w:spacing w:line="259" w:lineRule="auto"/>
              <w:jc w:val="right"/>
              <w:rPr>
                <w:rFonts w:eastAsia="Aptos" w:cs="Times New Roman"/>
              </w:rPr>
            </w:pPr>
            <w:r w:rsidRPr="0027318E">
              <w:rPr>
                <w:rFonts w:eastAsia="Times New Roman" w:cs="Times New Roman"/>
                <w:b/>
                <w:lang w:eastAsia="en-AU"/>
              </w:rPr>
              <w:t>20,111</w:t>
            </w:r>
          </w:p>
        </w:tc>
      </w:tr>
      <w:tr w:rsidR="00B84FB5" w14:paraId="4304470A" w14:textId="77777777" w:rsidTr="00A21F46">
        <w:tc>
          <w:tcPr>
            <w:tcW w:w="3681" w:type="dxa"/>
            <w:shd w:val="clear" w:color="auto" w:fill="E7E6E6" w:themeFill="background2"/>
          </w:tcPr>
          <w:p w14:paraId="2400F459" w14:textId="5336C928" w:rsidR="0068718D" w:rsidRPr="0027318E" w:rsidRDefault="0068718D" w:rsidP="0068718D">
            <w:pPr>
              <w:spacing w:line="259" w:lineRule="auto"/>
              <w:rPr>
                <w:rFonts w:eastAsia="Times New Roman" w:cs="Times New Roman"/>
                <w:lang w:eastAsia="en-AU"/>
              </w:rPr>
            </w:pPr>
            <w:r w:rsidRPr="0027318E">
              <w:rPr>
                <w:rFonts w:eastAsia="Times New Roman" w:cs="Times New Roman"/>
                <w:b/>
                <w:lang w:eastAsia="en-AU"/>
              </w:rPr>
              <w:t>Surplus / (deficit)</w:t>
            </w:r>
          </w:p>
        </w:tc>
        <w:tc>
          <w:tcPr>
            <w:tcW w:w="2415" w:type="dxa"/>
            <w:shd w:val="clear" w:color="auto" w:fill="E7E6E6" w:themeFill="background2"/>
          </w:tcPr>
          <w:p w14:paraId="53AAC3FC" w14:textId="32894F25" w:rsidR="0068718D" w:rsidRDefault="0068718D" w:rsidP="00AA0C31">
            <w:pPr>
              <w:spacing w:line="259" w:lineRule="auto"/>
              <w:jc w:val="right"/>
              <w:rPr>
                <w:rFonts w:eastAsia="Aptos" w:cs="Times New Roman"/>
              </w:rPr>
            </w:pPr>
            <w:r w:rsidRPr="0027318E">
              <w:rPr>
                <w:rFonts w:eastAsia="Times New Roman" w:cs="Times New Roman"/>
                <w:b/>
                <w:lang w:eastAsia="en-AU"/>
              </w:rPr>
              <w:t>(1,91</w:t>
            </w:r>
            <w:r>
              <w:rPr>
                <w:rFonts w:eastAsia="Times New Roman" w:cs="Times New Roman"/>
                <w:b/>
                <w:lang w:eastAsia="en-AU"/>
              </w:rPr>
              <w:t>6</w:t>
            </w:r>
            <w:r w:rsidRPr="0027318E">
              <w:rPr>
                <w:rFonts w:eastAsia="Times New Roman" w:cs="Times New Roman"/>
                <w:b/>
                <w:lang w:eastAsia="en-AU"/>
              </w:rPr>
              <w:t>)</w:t>
            </w:r>
          </w:p>
        </w:tc>
        <w:tc>
          <w:tcPr>
            <w:tcW w:w="1701" w:type="dxa"/>
            <w:shd w:val="clear" w:color="auto" w:fill="E7E6E6" w:themeFill="background2"/>
          </w:tcPr>
          <w:p w14:paraId="592D8997" w14:textId="29E373F6" w:rsidR="0068718D" w:rsidRDefault="0068718D" w:rsidP="00AA0C31">
            <w:pPr>
              <w:spacing w:line="259" w:lineRule="auto"/>
              <w:jc w:val="right"/>
              <w:rPr>
                <w:rFonts w:eastAsia="Aptos" w:cs="Times New Roman"/>
              </w:rPr>
            </w:pPr>
            <w:r w:rsidRPr="0027318E">
              <w:rPr>
                <w:rFonts w:eastAsia="Times New Roman" w:cs="Times New Roman"/>
                <w:b/>
                <w:lang w:eastAsia="en-AU"/>
              </w:rPr>
              <w:t>(2,405)</w:t>
            </w:r>
          </w:p>
        </w:tc>
      </w:tr>
    </w:tbl>
    <w:p w14:paraId="6586991E" w14:textId="77777777" w:rsidR="000B4CD2" w:rsidRDefault="000B4CD2" w:rsidP="00D72A1A">
      <w:pPr>
        <w:spacing w:line="259" w:lineRule="auto"/>
        <w:rPr>
          <w:rFonts w:eastAsia="Aptos" w:cs="Times New Roman"/>
        </w:rPr>
      </w:pPr>
    </w:p>
    <w:p w14:paraId="52C58841" w14:textId="21338FAE" w:rsidR="00C52668" w:rsidRDefault="00C52668">
      <w:pPr>
        <w:spacing w:before="0" w:after="160" w:line="259" w:lineRule="auto"/>
        <w:rPr>
          <w:b/>
          <w:iCs/>
          <w:noProof/>
          <w:szCs w:val="18"/>
        </w:rPr>
      </w:pPr>
      <w:r>
        <w:rPr>
          <w:noProof/>
        </w:rPr>
        <w:br w:type="page"/>
      </w:r>
    </w:p>
    <w:p w14:paraId="74E83F67" w14:textId="6851F4F8" w:rsidR="00A65FFB" w:rsidRDefault="00A65FFB" w:rsidP="00A65FFB">
      <w:pPr>
        <w:pStyle w:val="Heading3"/>
        <w:rPr>
          <w:rFonts w:eastAsia="Aptos"/>
        </w:rPr>
      </w:pPr>
      <w:bookmarkStart w:id="197" w:name="_Toc221544043"/>
      <w:bookmarkStart w:id="198" w:name="_Toc221546122"/>
      <w:bookmarkStart w:id="199" w:name="_Toc221627114"/>
      <w:bookmarkStart w:id="200" w:name="_Toc222500475"/>
      <w:r w:rsidRPr="00A65FFB">
        <w:rPr>
          <w:rFonts w:eastAsia="Aptos"/>
        </w:rPr>
        <w:lastRenderedPageBreak/>
        <w:t xml:space="preserve">OEI Act – </w:t>
      </w:r>
      <w:r>
        <w:rPr>
          <w:rFonts w:eastAsia="Aptos"/>
        </w:rPr>
        <w:t>c</w:t>
      </w:r>
      <w:r w:rsidRPr="00A65FFB">
        <w:rPr>
          <w:rFonts w:eastAsia="Aptos"/>
        </w:rPr>
        <w:t xml:space="preserve">ost </w:t>
      </w:r>
      <w:r>
        <w:rPr>
          <w:rFonts w:eastAsia="Aptos"/>
        </w:rPr>
        <w:t>r</w:t>
      </w:r>
      <w:r w:rsidRPr="00A65FFB">
        <w:rPr>
          <w:rFonts w:eastAsia="Aptos"/>
        </w:rPr>
        <w:t xml:space="preserve">ecovery </w:t>
      </w:r>
      <w:r>
        <w:rPr>
          <w:rFonts w:eastAsia="Aptos"/>
        </w:rPr>
        <w:t>o</w:t>
      </w:r>
      <w:r w:rsidRPr="00A65FFB">
        <w:rPr>
          <w:rFonts w:eastAsia="Aptos"/>
        </w:rPr>
        <w:t>verview</w:t>
      </w:r>
      <w:bookmarkEnd w:id="197"/>
      <w:bookmarkEnd w:id="198"/>
      <w:bookmarkEnd w:id="199"/>
      <w:bookmarkEnd w:id="200"/>
    </w:p>
    <w:p w14:paraId="27D81467" w14:textId="6D42CA93" w:rsidR="00D63FC1" w:rsidRPr="0049004B" w:rsidRDefault="00D63FC1" w:rsidP="00D63FC1">
      <w:pPr>
        <w:spacing w:line="259" w:lineRule="auto"/>
        <w:rPr>
          <w:rFonts w:eastAsia="Aptos" w:cs="Times New Roman"/>
        </w:rPr>
      </w:pPr>
      <w:r w:rsidRPr="0049004B">
        <w:rPr>
          <w:rFonts w:eastAsia="Aptos" w:cs="Times New Roman"/>
        </w:rPr>
        <w:t>The Registrar’s functions under the OEI Act is u</w:t>
      </w:r>
      <w:r w:rsidR="00713984">
        <w:rPr>
          <w:rFonts w:eastAsia="Aptos" w:cs="Times New Roman"/>
        </w:rPr>
        <w:t xml:space="preserve">pheld </w:t>
      </w:r>
      <w:r w:rsidRPr="0049004B">
        <w:rPr>
          <w:rFonts w:eastAsia="Aptos" w:cs="Times New Roman"/>
        </w:rPr>
        <w:t>by access to adequate resources</w:t>
      </w:r>
      <w:r w:rsidR="00A0057A">
        <w:rPr>
          <w:rFonts w:eastAsia="Aptos" w:cs="Times New Roman"/>
        </w:rPr>
        <w:t xml:space="preserve"> </w:t>
      </w:r>
      <w:r w:rsidRPr="0049004B">
        <w:rPr>
          <w:rFonts w:eastAsia="Aptos" w:cs="Times New Roman"/>
        </w:rPr>
        <w:t xml:space="preserve">and qualified personnel. The Registrar maintains a competent capacity to undertake its advisory and compliance roles within the OEI regime. Funding for the Registrar is provided through the cost recovery charges imposed under the OEI legislation, with funds managed through an administered Special Account. </w:t>
      </w:r>
    </w:p>
    <w:p w14:paraId="67F1A848" w14:textId="11790E7A" w:rsidR="00317703" w:rsidRDefault="00D63FC1" w:rsidP="00D63FC1">
      <w:pPr>
        <w:rPr>
          <w:rFonts w:eastAsia="Aptos" w:cs="Times New Roman"/>
        </w:rPr>
      </w:pPr>
      <w:r w:rsidRPr="0049004B">
        <w:rPr>
          <w:rFonts w:eastAsia="Aptos" w:cs="Times New Roman"/>
        </w:rPr>
        <w:t xml:space="preserve">Table </w:t>
      </w:r>
      <w:r w:rsidR="009E6FE0">
        <w:rPr>
          <w:rFonts w:eastAsia="Aptos" w:cs="Times New Roman"/>
        </w:rPr>
        <w:t>9</w:t>
      </w:r>
      <w:r w:rsidRPr="0049004B">
        <w:rPr>
          <w:rFonts w:eastAsia="Aptos" w:cs="Times New Roman"/>
        </w:rPr>
        <w:t xml:space="preserve"> presents the financial performance for 2024-25 compared to 2023-24. The Registrar’s cost recovery is achieved through application fees and annual licence levies. In 2024-25, the total annual licence levy collected was $2.1 million (</w:t>
      </w:r>
      <w:r w:rsidRPr="003E039E">
        <w:rPr>
          <w:rFonts w:eastAsia="Aptos" w:cs="Times New Roman"/>
        </w:rPr>
        <w:t>Table</w:t>
      </w:r>
      <w:r w:rsidR="003E039E" w:rsidRPr="003E039E">
        <w:rPr>
          <w:rFonts w:eastAsia="Aptos" w:cs="Times New Roman"/>
        </w:rPr>
        <w:t xml:space="preserve"> 9</w:t>
      </w:r>
      <w:r w:rsidRPr="0049004B">
        <w:rPr>
          <w:rFonts w:eastAsia="Aptos" w:cs="Times New Roman"/>
        </w:rPr>
        <w:t xml:space="preserve">). </w:t>
      </w:r>
    </w:p>
    <w:p w14:paraId="279374AF" w14:textId="720C965F" w:rsidR="00D63FC1" w:rsidRPr="0049004B" w:rsidRDefault="00D63FC1" w:rsidP="00D63FC1">
      <w:pPr>
        <w:rPr>
          <w:rFonts w:eastAsia="Aptos" w:cs="Times New Roman"/>
        </w:rPr>
      </w:pPr>
      <w:r w:rsidRPr="0049004B">
        <w:rPr>
          <w:rFonts w:eastAsia="Aptos" w:cs="Times New Roman"/>
        </w:rPr>
        <w:t xml:space="preserve">The annual licence levy is imposed on holders of OEI licences in accordance with the OEI Act, the Offshore Infrastructure (Regulatory Levies) Act 2021, and the Offshore Electricity Infrastructure (Regulatory Levies) Regulations 2022. The annual levy is payable 30 days after a licence is granted and annually thereafter within 30 days of each licence anniversary. </w:t>
      </w:r>
    </w:p>
    <w:p w14:paraId="5EF01911" w14:textId="06B39384" w:rsidR="00D63FC1" w:rsidRPr="0049004B" w:rsidRDefault="00D63FC1" w:rsidP="00D63FC1">
      <w:pPr>
        <w:spacing w:line="259" w:lineRule="auto"/>
        <w:rPr>
          <w:rFonts w:eastAsia="Aptos" w:cs="Times New Roman"/>
        </w:rPr>
      </w:pPr>
      <w:r w:rsidRPr="0049004B">
        <w:rPr>
          <w:rFonts w:eastAsia="Aptos" w:cs="Times New Roman"/>
        </w:rPr>
        <w:t xml:space="preserve">Application fees, as prescribed by the Offshore Electricity Infrastructure Regulations 2022, are payable at the time of application submission. In 2024-25, application fee revenue totalled $2.2 million (Table </w:t>
      </w:r>
      <w:r w:rsidR="003E039E">
        <w:rPr>
          <w:rFonts w:eastAsia="Aptos" w:cs="Times New Roman"/>
        </w:rPr>
        <w:t>9</w:t>
      </w:r>
      <w:r w:rsidRPr="0049004B">
        <w:rPr>
          <w:rFonts w:eastAsia="Aptos" w:cs="Times New Roman"/>
        </w:rPr>
        <w:t>).</w:t>
      </w:r>
    </w:p>
    <w:p w14:paraId="776A913E" w14:textId="69733320" w:rsidR="003D6C08" w:rsidRDefault="003D6C08" w:rsidP="00B10CBB">
      <w:pPr>
        <w:pStyle w:val="Caption"/>
        <w:keepNext/>
      </w:pPr>
      <w:r>
        <w:t xml:space="preserve">Table </w:t>
      </w:r>
      <w:r>
        <w:fldChar w:fldCharType="begin"/>
      </w:r>
      <w:r>
        <w:instrText xml:space="preserve"> SEQ Table \* ARABIC </w:instrText>
      </w:r>
      <w:r>
        <w:fldChar w:fldCharType="separate"/>
      </w:r>
      <w:r>
        <w:rPr>
          <w:noProof/>
        </w:rPr>
        <w:t>9</w:t>
      </w:r>
      <w:r>
        <w:fldChar w:fldCharType="end"/>
      </w:r>
      <w:r>
        <w:t xml:space="preserve">: </w:t>
      </w:r>
      <w:r w:rsidRPr="00356940">
        <w:t>Registrar's financial performance for 2024-25 compared to 2023-24</w:t>
      </w:r>
      <w:r w:rsidR="005244F5">
        <w:t xml:space="preserve"> </w:t>
      </w:r>
    </w:p>
    <w:tbl>
      <w:tblPr>
        <w:tblStyle w:val="TableGrid"/>
        <w:tblW w:w="0" w:type="auto"/>
        <w:tblLook w:val="04A0" w:firstRow="1" w:lastRow="0" w:firstColumn="1" w:lastColumn="0" w:noHBand="0" w:noVBand="1"/>
      </w:tblPr>
      <w:tblGrid>
        <w:gridCol w:w="3256"/>
        <w:gridCol w:w="2126"/>
        <w:gridCol w:w="2693"/>
      </w:tblGrid>
      <w:tr w:rsidR="002E5657" w14:paraId="3EBAB239" w14:textId="77777777" w:rsidTr="00924DA6">
        <w:trPr>
          <w:cnfStyle w:val="100000000000" w:firstRow="1" w:lastRow="0" w:firstColumn="0" w:lastColumn="0" w:oddVBand="0" w:evenVBand="0" w:oddHBand="0" w:evenHBand="0" w:firstRowFirstColumn="0" w:firstRowLastColumn="0" w:lastRowFirstColumn="0" w:lastRowLastColumn="0"/>
        </w:trPr>
        <w:tc>
          <w:tcPr>
            <w:tcW w:w="3256" w:type="dxa"/>
            <w:shd w:val="clear" w:color="auto" w:fill="15659B" w:themeFill="accent4"/>
          </w:tcPr>
          <w:p w14:paraId="76697816" w14:textId="001D93DE" w:rsidR="00615E34" w:rsidRPr="00E00494" w:rsidRDefault="00104896" w:rsidP="00615E34">
            <w:pPr>
              <w:rPr>
                <w:color w:val="FFFFFF" w:themeColor="background1"/>
              </w:rPr>
            </w:pPr>
            <w:r w:rsidRPr="00E00494">
              <w:rPr>
                <w:color w:val="FFFFFF" w:themeColor="background1"/>
              </w:rPr>
              <w:t xml:space="preserve">Income statement </w:t>
            </w:r>
          </w:p>
        </w:tc>
        <w:tc>
          <w:tcPr>
            <w:tcW w:w="2126" w:type="dxa"/>
            <w:shd w:val="clear" w:color="auto" w:fill="15659B" w:themeFill="accent4"/>
          </w:tcPr>
          <w:p w14:paraId="2DDE9770" w14:textId="77777777" w:rsidR="004010A3" w:rsidRPr="00E00494" w:rsidRDefault="00104896" w:rsidP="00DD1BCE">
            <w:pPr>
              <w:jc w:val="right"/>
              <w:rPr>
                <w:color w:val="FFFFFF" w:themeColor="background1"/>
              </w:rPr>
            </w:pPr>
            <w:r w:rsidRPr="00E00494">
              <w:rPr>
                <w:color w:val="FFFFFF" w:themeColor="background1"/>
              </w:rPr>
              <w:t>2024-25</w:t>
            </w:r>
          </w:p>
          <w:p w14:paraId="4730D223" w14:textId="00E76103" w:rsidR="00615E34" w:rsidRPr="00E00494" w:rsidRDefault="004010A3" w:rsidP="00A67393">
            <w:pPr>
              <w:jc w:val="right"/>
              <w:rPr>
                <w:color w:val="FFFFFF" w:themeColor="background1"/>
              </w:rPr>
            </w:pPr>
            <w:r w:rsidRPr="00E00494">
              <w:rPr>
                <w:color w:val="FFFFFF" w:themeColor="background1"/>
              </w:rPr>
              <w:t>$’000</w:t>
            </w:r>
            <w:r w:rsidR="00104896" w:rsidRPr="00E00494">
              <w:rPr>
                <w:color w:val="FFFFFF" w:themeColor="background1"/>
              </w:rPr>
              <w:t xml:space="preserve"> </w:t>
            </w:r>
          </w:p>
        </w:tc>
        <w:tc>
          <w:tcPr>
            <w:tcW w:w="2693" w:type="dxa"/>
            <w:shd w:val="clear" w:color="auto" w:fill="15659B" w:themeFill="accent4"/>
          </w:tcPr>
          <w:p w14:paraId="7E59A588" w14:textId="77777777" w:rsidR="00615E34" w:rsidRPr="00E00494" w:rsidRDefault="00DD1BCE" w:rsidP="004010A3">
            <w:pPr>
              <w:jc w:val="right"/>
              <w:rPr>
                <w:color w:val="FFFFFF" w:themeColor="background1"/>
              </w:rPr>
            </w:pPr>
            <w:r w:rsidRPr="00E00494">
              <w:rPr>
                <w:color w:val="FFFFFF" w:themeColor="background1"/>
              </w:rPr>
              <w:t>2023</w:t>
            </w:r>
            <w:r w:rsidR="004010A3" w:rsidRPr="00E00494">
              <w:rPr>
                <w:color w:val="FFFFFF" w:themeColor="background1"/>
              </w:rPr>
              <w:t>-24</w:t>
            </w:r>
          </w:p>
          <w:p w14:paraId="36FA6327" w14:textId="53C7C1AE" w:rsidR="00615E34" w:rsidRPr="00E00494" w:rsidRDefault="000A7BAE" w:rsidP="00A67393">
            <w:pPr>
              <w:jc w:val="right"/>
              <w:rPr>
                <w:color w:val="FFFFFF" w:themeColor="background1"/>
              </w:rPr>
            </w:pPr>
            <w:r w:rsidRPr="00E00494">
              <w:rPr>
                <w:color w:val="FFFFFF" w:themeColor="background1"/>
              </w:rPr>
              <w:t>$’000</w:t>
            </w:r>
          </w:p>
        </w:tc>
      </w:tr>
      <w:tr w:rsidR="00615E34" w14:paraId="713F91B7" w14:textId="77777777" w:rsidTr="000F1590">
        <w:trPr>
          <w:trHeight w:hRule="exact" w:val="425"/>
        </w:trPr>
        <w:tc>
          <w:tcPr>
            <w:tcW w:w="3256" w:type="dxa"/>
          </w:tcPr>
          <w:p w14:paraId="1B54137E" w14:textId="6AB4AB69" w:rsidR="00615E34" w:rsidRPr="00CF7930" w:rsidRDefault="00A67393" w:rsidP="00615E34">
            <w:pPr>
              <w:rPr>
                <w:b/>
              </w:rPr>
            </w:pPr>
            <w:r w:rsidRPr="00CF7930">
              <w:rPr>
                <w:rFonts w:ascii="Aptos" w:eastAsia="Times New Roman" w:hAnsi="Aptos" w:cs="Times New Roman"/>
                <w:b/>
                <w:bCs/>
                <w:lang w:eastAsia="en-AU"/>
              </w:rPr>
              <w:t>Revenue - cost recovery</w:t>
            </w:r>
          </w:p>
        </w:tc>
        <w:tc>
          <w:tcPr>
            <w:tcW w:w="2126" w:type="dxa"/>
          </w:tcPr>
          <w:p w14:paraId="037C9A00" w14:textId="63EB78E7" w:rsidR="00615E34" w:rsidRDefault="00615E34" w:rsidP="00615E34"/>
        </w:tc>
        <w:tc>
          <w:tcPr>
            <w:tcW w:w="2693" w:type="dxa"/>
          </w:tcPr>
          <w:p w14:paraId="5E2CA194" w14:textId="6C6EDFDA" w:rsidR="00615E34" w:rsidRDefault="00615E34" w:rsidP="00615E34"/>
        </w:tc>
      </w:tr>
      <w:tr w:rsidR="00615E34" w14:paraId="02A391B6" w14:textId="77777777" w:rsidTr="000F1590">
        <w:trPr>
          <w:trHeight w:hRule="exact" w:val="425"/>
        </w:trPr>
        <w:tc>
          <w:tcPr>
            <w:tcW w:w="3256" w:type="dxa"/>
          </w:tcPr>
          <w:p w14:paraId="2EC6095A" w14:textId="1671983A" w:rsidR="00615E34" w:rsidRDefault="00ED3FD9" w:rsidP="00615E34">
            <w:r w:rsidRPr="00942142">
              <w:t>Levies</w:t>
            </w:r>
          </w:p>
        </w:tc>
        <w:tc>
          <w:tcPr>
            <w:tcW w:w="2126" w:type="dxa"/>
          </w:tcPr>
          <w:p w14:paraId="7E617C83" w14:textId="5BC21808" w:rsidR="00615E34" w:rsidRDefault="00FF2DC0" w:rsidP="008630F9">
            <w:pPr>
              <w:jc w:val="right"/>
            </w:pPr>
            <w:r w:rsidRPr="00942142">
              <w:t>2,095</w:t>
            </w:r>
          </w:p>
        </w:tc>
        <w:tc>
          <w:tcPr>
            <w:tcW w:w="2693" w:type="dxa"/>
          </w:tcPr>
          <w:p w14:paraId="7CF29DFB" w14:textId="3D80CA26" w:rsidR="00615E34" w:rsidRDefault="00FF2DC0" w:rsidP="008630F9">
            <w:pPr>
              <w:jc w:val="right"/>
            </w:pPr>
            <w:r w:rsidRPr="00942142">
              <w:t>953</w:t>
            </w:r>
          </w:p>
        </w:tc>
      </w:tr>
      <w:tr w:rsidR="00615E34" w14:paraId="4717912E" w14:textId="77777777" w:rsidTr="000F1590">
        <w:trPr>
          <w:trHeight w:hRule="exact" w:val="425"/>
        </w:trPr>
        <w:tc>
          <w:tcPr>
            <w:tcW w:w="3256" w:type="dxa"/>
          </w:tcPr>
          <w:p w14:paraId="58199968" w14:textId="4F8686D1" w:rsidR="00615E34" w:rsidRDefault="00ED3FD9" w:rsidP="00615E34">
            <w:r w:rsidRPr="00942142">
              <w:t>Application fees</w:t>
            </w:r>
          </w:p>
        </w:tc>
        <w:tc>
          <w:tcPr>
            <w:tcW w:w="2126" w:type="dxa"/>
          </w:tcPr>
          <w:p w14:paraId="691EFDA7" w14:textId="2A2A460B" w:rsidR="00615E34" w:rsidRDefault="00FF2DC0" w:rsidP="008630F9">
            <w:pPr>
              <w:jc w:val="right"/>
            </w:pPr>
            <w:r w:rsidRPr="00942142">
              <w:t>2,207</w:t>
            </w:r>
          </w:p>
        </w:tc>
        <w:tc>
          <w:tcPr>
            <w:tcW w:w="2693" w:type="dxa"/>
          </w:tcPr>
          <w:p w14:paraId="64F5DC76" w14:textId="2BA269C8" w:rsidR="00615E34" w:rsidRDefault="00FF2DC0" w:rsidP="008630F9">
            <w:pPr>
              <w:jc w:val="right"/>
            </w:pPr>
            <w:r w:rsidRPr="00942142">
              <w:t>2,400</w:t>
            </w:r>
          </w:p>
        </w:tc>
      </w:tr>
      <w:tr w:rsidR="00615E34" w14:paraId="5A51F98E" w14:textId="77777777" w:rsidTr="000F1590">
        <w:trPr>
          <w:trHeight w:hRule="exact" w:val="425"/>
        </w:trPr>
        <w:tc>
          <w:tcPr>
            <w:tcW w:w="3256" w:type="dxa"/>
          </w:tcPr>
          <w:p w14:paraId="6E296448" w14:textId="2B9DA46E" w:rsidR="00615E34" w:rsidRDefault="00ED3FD9" w:rsidP="00615E34">
            <w:r w:rsidRPr="00942142">
              <w:t>Other</w:t>
            </w:r>
          </w:p>
        </w:tc>
        <w:tc>
          <w:tcPr>
            <w:tcW w:w="2126" w:type="dxa"/>
          </w:tcPr>
          <w:p w14:paraId="44F8FE70" w14:textId="0AD268A8" w:rsidR="00615E34" w:rsidRDefault="00FF2DC0" w:rsidP="008630F9">
            <w:pPr>
              <w:jc w:val="right"/>
            </w:pPr>
            <w:r w:rsidRPr="00942142">
              <w:t>1</w:t>
            </w:r>
          </w:p>
        </w:tc>
        <w:tc>
          <w:tcPr>
            <w:tcW w:w="2693" w:type="dxa"/>
          </w:tcPr>
          <w:p w14:paraId="1F45F844" w14:textId="57E0BB86" w:rsidR="00615E34" w:rsidRDefault="00FF2DC0" w:rsidP="008630F9">
            <w:pPr>
              <w:jc w:val="right"/>
            </w:pPr>
            <w:r w:rsidRPr="00942142">
              <w:t>-</w:t>
            </w:r>
          </w:p>
        </w:tc>
      </w:tr>
      <w:tr w:rsidR="00615E34" w14:paraId="5E7C4056" w14:textId="77777777" w:rsidTr="000F1590">
        <w:trPr>
          <w:trHeight w:hRule="exact" w:val="425"/>
        </w:trPr>
        <w:tc>
          <w:tcPr>
            <w:tcW w:w="3256" w:type="dxa"/>
          </w:tcPr>
          <w:p w14:paraId="15DFA6E9" w14:textId="6E011EE2" w:rsidR="00615E34" w:rsidRDefault="00ED3FD9" w:rsidP="00615E34">
            <w:r w:rsidRPr="00942142">
              <w:rPr>
                <w:lang w:eastAsia="en-AU"/>
              </w:rPr>
              <w:t>Revenue - other</w:t>
            </w:r>
          </w:p>
        </w:tc>
        <w:tc>
          <w:tcPr>
            <w:tcW w:w="2126" w:type="dxa"/>
          </w:tcPr>
          <w:p w14:paraId="401308D1" w14:textId="30C178FE" w:rsidR="00615E34" w:rsidRDefault="00615E34" w:rsidP="008630F9">
            <w:pPr>
              <w:jc w:val="right"/>
            </w:pPr>
          </w:p>
        </w:tc>
        <w:tc>
          <w:tcPr>
            <w:tcW w:w="2693" w:type="dxa"/>
          </w:tcPr>
          <w:p w14:paraId="35462167" w14:textId="77777777" w:rsidR="00615E34" w:rsidRDefault="00615E34" w:rsidP="008630F9">
            <w:pPr>
              <w:jc w:val="right"/>
            </w:pPr>
          </w:p>
        </w:tc>
      </w:tr>
      <w:tr w:rsidR="00D37086" w14:paraId="7EE399E3" w14:textId="77777777" w:rsidTr="000F1590">
        <w:trPr>
          <w:trHeight w:hRule="exact" w:val="425"/>
        </w:trPr>
        <w:tc>
          <w:tcPr>
            <w:tcW w:w="3256" w:type="dxa"/>
          </w:tcPr>
          <w:p w14:paraId="319D2A3D" w14:textId="0B2383DA" w:rsidR="00D37086" w:rsidRPr="00942142" w:rsidRDefault="00D37086" w:rsidP="00615E34">
            <w:pPr>
              <w:rPr>
                <w:lang w:eastAsia="en-AU"/>
              </w:rPr>
            </w:pPr>
            <w:r w:rsidRPr="00942142">
              <w:rPr>
                <w:lang w:eastAsia="en-AU"/>
              </w:rPr>
              <w:t>Fees collected on behalf of other agencies</w:t>
            </w:r>
          </w:p>
        </w:tc>
        <w:tc>
          <w:tcPr>
            <w:tcW w:w="2126" w:type="dxa"/>
          </w:tcPr>
          <w:p w14:paraId="756A2C37" w14:textId="15E965D2" w:rsidR="00D37086" w:rsidRPr="00942142" w:rsidRDefault="00920891" w:rsidP="008630F9">
            <w:pPr>
              <w:jc w:val="right"/>
            </w:pPr>
            <w:r w:rsidRPr="00920891">
              <w:t>6,673</w:t>
            </w:r>
          </w:p>
        </w:tc>
        <w:tc>
          <w:tcPr>
            <w:tcW w:w="2693" w:type="dxa"/>
          </w:tcPr>
          <w:p w14:paraId="052F33D1" w14:textId="4564E217" w:rsidR="00D37086" w:rsidRPr="00942142" w:rsidRDefault="008A2983" w:rsidP="008630F9">
            <w:pPr>
              <w:jc w:val="right"/>
            </w:pPr>
            <w:r>
              <w:t>3.080</w:t>
            </w:r>
          </w:p>
        </w:tc>
      </w:tr>
      <w:tr w:rsidR="0071655B" w14:paraId="3F501FFA" w14:textId="77777777" w:rsidTr="000F1590">
        <w:trPr>
          <w:trHeight w:hRule="exact" w:val="425"/>
        </w:trPr>
        <w:tc>
          <w:tcPr>
            <w:tcW w:w="3256" w:type="dxa"/>
            <w:shd w:val="clear" w:color="auto" w:fill="E7E6E6" w:themeFill="background2"/>
          </w:tcPr>
          <w:p w14:paraId="5928F2F5" w14:textId="3A123D34" w:rsidR="0071655B" w:rsidRPr="008630F9" w:rsidRDefault="00D37086" w:rsidP="00615E34">
            <w:pPr>
              <w:rPr>
                <w:b/>
                <w:bCs/>
                <w:lang w:eastAsia="en-AU"/>
              </w:rPr>
            </w:pPr>
            <w:r w:rsidRPr="008630F9">
              <w:rPr>
                <w:b/>
                <w:bCs/>
                <w:lang w:eastAsia="en-AU"/>
              </w:rPr>
              <w:t xml:space="preserve">Total revenue </w:t>
            </w:r>
          </w:p>
        </w:tc>
        <w:tc>
          <w:tcPr>
            <w:tcW w:w="2126" w:type="dxa"/>
            <w:shd w:val="clear" w:color="auto" w:fill="E7E6E6" w:themeFill="background2"/>
          </w:tcPr>
          <w:p w14:paraId="12FD8BA1" w14:textId="501A8DE9" w:rsidR="0071655B" w:rsidRPr="00942142" w:rsidRDefault="008A2983" w:rsidP="008630F9">
            <w:pPr>
              <w:jc w:val="right"/>
            </w:pPr>
            <w:r>
              <w:t>10,</w:t>
            </w:r>
            <w:r w:rsidR="007449F4">
              <w:t>976</w:t>
            </w:r>
          </w:p>
        </w:tc>
        <w:tc>
          <w:tcPr>
            <w:tcW w:w="2693" w:type="dxa"/>
            <w:shd w:val="clear" w:color="auto" w:fill="E7E6E6" w:themeFill="background2"/>
          </w:tcPr>
          <w:p w14:paraId="23E2652C" w14:textId="2AE947E7" w:rsidR="0071655B" w:rsidRPr="00942142" w:rsidRDefault="009A6ACC" w:rsidP="008630F9">
            <w:pPr>
              <w:jc w:val="right"/>
            </w:pPr>
            <w:r>
              <w:t>6,433</w:t>
            </w:r>
          </w:p>
        </w:tc>
      </w:tr>
      <w:tr w:rsidR="00CA5836" w14:paraId="6BFE7B2D" w14:textId="77777777" w:rsidTr="000F1590">
        <w:trPr>
          <w:trHeight w:hRule="exact" w:val="425"/>
        </w:trPr>
        <w:tc>
          <w:tcPr>
            <w:tcW w:w="3256" w:type="dxa"/>
          </w:tcPr>
          <w:p w14:paraId="21855E97" w14:textId="690F4310" w:rsidR="00CA5836" w:rsidRPr="008630F9" w:rsidRDefault="00CA5836" w:rsidP="00615E34">
            <w:pPr>
              <w:rPr>
                <w:b/>
                <w:bCs/>
                <w:lang w:eastAsia="en-AU"/>
              </w:rPr>
            </w:pPr>
            <w:r>
              <w:rPr>
                <w:b/>
                <w:bCs/>
                <w:lang w:eastAsia="en-AU"/>
              </w:rPr>
              <w:t xml:space="preserve">Expenses </w:t>
            </w:r>
          </w:p>
        </w:tc>
        <w:tc>
          <w:tcPr>
            <w:tcW w:w="2126" w:type="dxa"/>
          </w:tcPr>
          <w:p w14:paraId="148A7F6E" w14:textId="77777777" w:rsidR="00CA5836" w:rsidRDefault="00CA5836" w:rsidP="008630F9">
            <w:pPr>
              <w:jc w:val="right"/>
            </w:pPr>
          </w:p>
        </w:tc>
        <w:tc>
          <w:tcPr>
            <w:tcW w:w="2693" w:type="dxa"/>
          </w:tcPr>
          <w:p w14:paraId="204757C2" w14:textId="77777777" w:rsidR="00CA5836" w:rsidRDefault="00CA5836" w:rsidP="008630F9">
            <w:pPr>
              <w:jc w:val="right"/>
            </w:pPr>
          </w:p>
        </w:tc>
      </w:tr>
      <w:tr w:rsidR="002B5A45" w:rsidRPr="00E90669" w14:paraId="2A8E2EB5" w14:textId="77777777" w:rsidTr="000F1590">
        <w:trPr>
          <w:trHeight w:hRule="exact" w:val="425"/>
        </w:trPr>
        <w:tc>
          <w:tcPr>
            <w:tcW w:w="3256" w:type="dxa"/>
          </w:tcPr>
          <w:p w14:paraId="1B1FCB3A" w14:textId="77777777" w:rsidR="00E90669" w:rsidRPr="002B5A45" w:rsidRDefault="00BF67E8" w:rsidP="00BE418D">
            <w:pPr>
              <w:rPr>
                <w:b/>
              </w:rPr>
            </w:pPr>
            <w:r w:rsidRPr="00380319">
              <w:rPr>
                <w:rFonts w:ascii="Aptos" w:hAnsi="Aptos"/>
              </w:rPr>
              <w:t>Employee benefits</w:t>
            </w:r>
          </w:p>
        </w:tc>
        <w:tc>
          <w:tcPr>
            <w:tcW w:w="2126" w:type="dxa"/>
            <w:shd w:val="clear" w:color="auto" w:fill="FFFFFF" w:themeFill="background1"/>
          </w:tcPr>
          <w:p w14:paraId="2DC42AE4" w14:textId="77777777" w:rsidR="00E90669" w:rsidRPr="00BE418D" w:rsidRDefault="004A7596" w:rsidP="006B02C0">
            <w:pPr>
              <w:jc w:val="right"/>
            </w:pPr>
            <w:r>
              <w:t>3,748</w:t>
            </w:r>
          </w:p>
        </w:tc>
        <w:tc>
          <w:tcPr>
            <w:tcW w:w="2693" w:type="dxa"/>
            <w:shd w:val="clear" w:color="auto" w:fill="FFFFFF" w:themeFill="background1"/>
          </w:tcPr>
          <w:p w14:paraId="59AE36DB" w14:textId="77777777" w:rsidR="00E90669" w:rsidRPr="00BE418D" w:rsidRDefault="00EA01FA" w:rsidP="006B02C0">
            <w:pPr>
              <w:jc w:val="right"/>
            </w:pPr>
            <w:r>
              <w:t>1,780</w:t>
            </w:r>
          </w:p>
        </w:tc>
      </w:tr>
      <w:tr w:rsidR="002B5A45" w:rsidRPr="00E90669" w14:paraId="6B4B16E0" w14:textId="77777777" w:rsidTr="000F1590">
        <w:trPr>
          <w:trHeight w:hRule="exact" w:val="425"/>
        </w:trPr>
        <w:tc>
          <w:tcPr>
            <w:tcW w:w="3256" w:type="dxa"/>
          </w:tcPr>
          <w:p w14:paraId="16620135" w14:textId="77777777" w:rsidR="00E90669" w:rsidRPr="002B5A45" w:rsidRDefault="00BF67E8" w:rsidP="00BE418D">
            <w:pPr>
              <w:rPr>
                <w:b/>
              </w:rPr>
            </w:pPr>
            <w:r w:rsidRPr="00380319">
              <w:rPr>
                <w:rFonts w:ascii="Aptos" w:hAnsi="Aptos"/>
              </w:rPr>
              <w:t>Suppliers</w:t>
            </w:r>
          </w:p>
        </w:tc>
        <w:tc>
          <w:tcPr>
            <w:tcW w:w="2126" w:type="dxa"/>
            <w:shd w:val="clear" w:color="auto" w:fill="FFFFFF" w:themeFill="background1"/>
          </w:tcPr>
          <w:p w14:paraId="48D51A28" w14:textId="77777777" w:rsidR="00E90669" w:rsidRPr="00BE418D" w:rsidRDefault="00EA01FA" w:rsidP="006B02C0">
            <w:pPr>
              <w:jc w:val="right"/>
            </w:pPr>
            <w:r>
              <w:t>1,</w:t>
            </w:r>
            <w:r w:rsidR="0018310D">
              <w:t>941</w:t>
            </w:r>
          </w:p>
        </w:tc>
        <w:tc>
          <w:tcPr>
            <w:tcW w:w="2693" w:type="dxa"/>
            <w:shd w:val="clear" w:color="auto" w:fill="FFFFFF" w:themeFill="background1"/>
          </w:tcPr>
          <w:p w14:paraId="32594A72" w14:textId="77777777" w:rsidR="00E90669" w:rsidRPr="00BE418D" w:rsidRDefault="0018310D" w:rsidP="006B02C0">
            <w:pPr>
              <w:jc w:val="right"/>
            </w:pPr>
            <w:r>
              <w:t>1,790</w:t>
            </w:r>
          </w:p>
        </w:tc>
      </w:tr>
      <w:tr w:rsidR="002B5A45" w:rsidRPr="00E90669" w14:paraId="6E08A88B" w14:textId="77777777" w:rsidTr="000F1590">
        <w:trPr>
          <w:trHeight w:hRule="exact" w:val="425"/>
        </w:trPr>
        <w:tc>
          <w:tcPr>
            <w:tcW w:w="3256" w:type="dxa"/>
          </w:tcPr>
          <w:p w14:paraId="0FFF7E5C" w14:textId="77777777" w:rsidR="00E90669" w:rsidRPr="002B5A45" w:rsidRDefault="00BF67E8" w:rsidP="00BE418D">
            <w:pPr>
              <w:rPr>
                <w:b/>
              </w:rPr>
            </w:pPr>
            <w:r w:rsidRPr="003B61AA">
              <w:rPr>
                <w:rFonts w:ascii="Aptos" w:hAnsi="Aptos"/>
              </w:rPr>
              <w:t>Depreciation and amortisation</w:t>
            </w:r>
          </w:p>
        </w:tc>
        <w:tc>
          <w:tcPr>
            <w:tcW w:w="2126" w:type="dxa"/>
            <w:shd w:val="clear" w:color="auto" w:fill="FFFFFF" w:themeFill="background1"/>
          </w:tcPr>
          <w:p w14:paraId="579F37A8" w14:textId="77777777" w:rsidR="00E90669" w:rsidRPr="00BE418D" w:rsidRDefault="00C76879" w:rsidP="0065676E">
            <w:pPr>
              <w:jc w:val="right"/>
            </w:pPr>
            <w:r>
              <w:t>63</w:t>
            </w:r>
          </w:p>
        </w:tc>
        <w:tc>
          <w:tcPr>
            <w:tcW w:w="2693" w:type="dxa"/>
            <w:shd w:val="clear" w:color="auto" w:fill="FFFFFF" w:themeFill="background1"/>
          </w:tcPr>
          <w:p w14:paraId="122716A1" w14:textId="77777777" w:rsidR="00E90669" w:rsidRPr="00BE418D" w:rsidRDefault="00C76879" w:rsidP="0065676E">
            <w:pPr>
              <w:jc w:val="right"/>
            </w:pPr>
            <w:r>
              <w:t>21</w:t>
            </w:r>
          </w:p>
        </w:tc>
      </w:tr>
      <w:tr w:rsidR="002B5A45" w14:paraId="3A333D73" w14:textId="77777777" w:rsidTr="000F1590">
        <w:trPr>
          <w:trHeight w:hRule="exact" w:val="425"/>
        </w:trPr>
        <w:tc>
          <w:tcPr>
            <w:tcW w:w="3256" w:type="dxa"/>
          </w:tcPr>
          <w:p w14:paraId="3DDB5091" w14:textId="48EBD8DD" w:rsidR="00E93F6A" w:rsidRDefault="00E93F6A" w:rsidP="00E93F6A">
            <w:pPr>
              <w:rPr>
                <w:b/>
                <w:bCs/>
                <w:lang w:eastAsia="en-AU"/>
              </w:rPr>
            </w:pPr>
            <w:r w:rsidRPr="00A96360">
              <w:rPr>
                <w:rFonts w:ascii="Aptos" w:eastAsia="Times New Roman" w:hAnsi="Aptos" w:cs="Times New Roman"/>
                <w:lang w:eastAsia="en-AU"/>
              </w:rPr>
              <w:t>Overhead recharging allocation</w:t>
            </w:r>
          </w:p>
        </w:tc>
        <w:tc>
          <w:tcPr>
            <w:tcW w:w="2126" w:type="dxa"/>
            <w:shd w:val="clear" w:color="auto" w:fill="FFFFFF" w:themeFill="background1"/>
          </w:tcPr>
          <w:p w14:paraId="21AEA9B0" w14:textId="58137A55" w:rsidR="00E93F6A" w:rsidRDefault="00E93F6A" w:rsidP="00E93F6A">
            <w:pPr>
              <w:jc w:val="right"/>
            </w:pPr>
            <w:r w:rsidRPr="00BE418D">
              <w:rPr>
                <w:rFonts w:hint="eastAsia"/>
              </w:rPr>
              <w:t> </w:t>
            </w:r>
            <w:r>
              <w:t>1,432</w:t>
            </w:r>
          </w:p>
        </w:tc>
        <w:tc>
          <w:tcPr>
            <w:tcW w:w="2693" w:type="dxa"/>
            <w:shd w:val="clear" w:color="auto" w:fill="FFFFFF" w:themeFill="background1"/>
          </w:tcPr>
          <w:p w14:paraId="44B084B4" w14:textId="0B7704D4" w:rsidR="00E93F6A" w:rsidRDefault="00E93F6A" w:rsidP="00E93F6A">
            <w:pPr>
              <w:jc w:val="right"/>
            </w:pPr>
            <w:r w:rsidRPr="00BE418D">
              <w:rPr>
                <w:rFonts w:hint="eastAsia"/>
              </w:rPr>
              <w:t> </w:t>
            </w:r>
            <w:r>
              <w:t>121</w:t>
            </w:r>
          </w:p>
        </w:tc>
      </w:tr>
      <w:tr w:rsidR="00E93F6A" w14:paraId="773624CF" w14:textId="77777777" w:rsidTr="000F1590">
        <w:trPr>
          <w:trHeight w:hRule="exact" w:val="425"/>
        </w:trPr>
        <w:tc>
          <w:tcPr>
            <w:tcW w:w="3256" w:type="dxa"/>
            <w:shd w:val="clear" w:color="auto" w:fill="E7E6E6" w:themeFill="background2"/>
          </w:tcPr>
          <w:p w14:paraId="7BA17AEE" w14:textId="4A3F5EF8" w:rsidR="00E93F6A" w:rsidRPr="00CA5836" w:rsidRDefault="00E93F6A" w:rsidP="00E93F6A">
            <w:pPr>
              <w:rPr>
                <w:rFonts w:ascii="Aptos" w:eastAsia="Times New Roman" w:hAnsi="Aptos" w:cs="Times New Roman"/>
                <w:b/>
                <w:bCs/>
                <w:lang w:eastAsia="en-AU"/>
              </w:rPr>
            </w:pPr>
            <w:r w:rsidRPr="00CA5836">
              <w:rPr>
                <w:rFonts w:ascii="Aptos" w:eastAsia="Times New Roman" w:hAnsi="Aptos" w:cs="Times New Roman"/>
                <w:b/>
                <w:bCs/>
                <w:lang w:eastAsia="en-AU"/>
              </w:rPr>
              <w:t>Total expenses</w:t>
            </w:r>
          </w:p>
        </w:tc>
        <w:tc>
          <w:tcPr>
            <w:tcW w:w="2126" w:type="dxa"/>
            <w:shd w:val="clear" w:color="auto" w:fill="E7E6E6" w:themeFill="background2"/>
          </w:tcPr>
          <w:p w14:paraId="7CF5F58B" w14:textId="4DDE0EF9" w:rsidR="00E93F6A" w:rsidRDefault="00E93F6A" w:rsidP="00E93F6A">
            <w:pPr>
              <w:jc w:val="right"/>
            </w:pPr>
            <w:r w:rsidRPr="00E90669">
              <w:rPr>
                <w:rFonts w:ascii="Aptos" w:eastAsia="Times New Roman" w:hAnsi="Aptos" w:cs="Times New Roman"/>
                <w:b/>
                <w:lang w:eastAsia="en-AU"/>
              </w:rPr>
              <w:t>7,184</w:t>
            </w:r>
          </w:p>
        </w:tc>
        <w:tc>
          <w:tcPr>
            <w:tcW w:w="2693" w:type="dxa"/>
            <w:shd w:val="clear" w:color="auto" w:fill="E7E6E6" w:themeFill="background2"/>
          </w:tcPr>
          <w:p w14:paraId="02D9C3B8" w14:textId="6DBFB7FA" w:rsidR="00E93F6A" w:rsidRDefault="00E93F6A" w:rsidP="00E93F6A">
            <w:pPr>
              <w:jc w:val="right"/>
            </w:pPr>
            <w:r w:rsidRPr="00E90669">
              <w:rPr>
                <w:rFonts w:ascii="Aptos" w:eastAsia="Times New Roman" w:hAnsi="Aptos" w:cs="Times New Roman"/>
                <w:b/>
                <w:lang w:eastAsia="en-AU"/>
              </w:rPr>
              <w:t>3,712</w:t>
            </w:r>
          </w:p>
        </w:tc>
      </w:tr>
      <w:tr w:rsidR="00E93F6A" w14:paraId="51AFA0B8" w14:textId="77777777" w:rsidTr="000F1590">
        <w:trPr>
          <w:trHeight w:hRule="exact" w:val="425"/>
        </w:trPr>
        <w:tc>
          <w:tcPr>
            <w:tcW w:w="3256" w:type="dxa"/>
            <w:shd w:val="clear" w:color="auto" w:fill="E7E6E6" w:themeFill="background2"/>
          </w:tcPr>
          <w:p w14:paraId="6A85E4DB" w14:textId="43381499" w:rsidR="00E93F6A" w:rsidRPr="00CA5836" w:rsidRDefault="00E93F6A" w:rsidP="00E93F6A">
            <w:pPr>
              <w:rPr>
                <w:rFonts w:ascii="Aptos" w:eastAsia="Times New Roman" w:hAnsi="Aptos" w:cs="Times New Roman"/>
                <w:b/>
                <w:bCs/>
                <w:lang w:eastAsia="en-AU"/>
              </w:rPr>
            </w:pPr>
            <w:r w:rsidRPr="00E93F6A">
              <w:rPr>
                <w:rFonts w:ascii="Aptos" w:eastAsia="Times New Roman" w:hAnsi="Aptos" w:cs="Times New Roman"/>
                <w:b/>
                <w:bCs/>
                <w:lang w:eastAsia="en-AU"/>
              </w:rPr>
              <w:t>Surplus / (deficit)</w:t>
            </w:r>
          </w:p>
        </w:tc>
        <w:tc>
          <w:tcPr>
            <w:tcW w:w="2126" w:type="dxa"/>
            <w:shd w:val="clear" w:color="auto" w:fill="E7E6E6" w:themeFill="background2"/>
          </w:tcPr>
          <w:p w14:paraId="2DA9962D" w14:textId="746A7336" w:rsidR="00E93F6A" w:rsidRDefault="00E93F6A" w:rsidP="00E93F6A">
            <w:pPr>
              <w:jc w:val="right"/>
            </w:pPr>
            <w:r w:rsidRPr="00E90669">
              <w:rPr>
                <w:rFonts w:ascii="Aptos" w:eastAsia="Times New Roman" w:hAnsi="Aptos" w:cs="Times New Roman"/>
                <w:b/>
                <w:lang w:eastAsia="en-AU"/>
              </w:rPr>
              <w:t>3,79</w:t>
            </w:r>
            <w:r>
              <w:rPr>
                <w:rFonts w:ascii="Aptos" w:eastAsia="Times New Roman" w:hAnsi="Aptos" w:cs="Times New Roman"/>
                <w:b/>
                <w:lang w:eastAsia="en-AU"/>
              </w:rPr>
              <w:t>2</w:t>
            </w:r>
          </w:p>
        </w:tc>
        <w:tc>
          <w:tcPr>
            <w:tcW w:w="2693" w:type="dxa"/>
            <w:shd w:val="clear" w:color="auto" w:fill="E7E6E6" w:themeFill="background2"/>
          </w:tcPr>
          <w:p w14:paraId="5DF31669" w14:textId="59876D28" w:rsidR="00E93F6A" w:rsidRDefault="00E93F6A" w:rsidP="00E93F6A">
            <w:pPr>
              <w:jc w:val="right"/>
            </w:pPr>
            <w:r w:rsidRPr="00E90669">
              <w:rPr>
                <w:rFonts w:ascii="Aptos" w:eastAsia="Times New Roman" w:hAnsi="Aptos" w:cs="Times New Roman"/>
                <w:b/>
                <w:lang w:eastAsia="en-AU"/>
              </w:rPr>
              <w:t>2,72</w:t>
            </w:r>
            <w:r>
              <w:rPr>
                <w:rFonts w:ascii="Aptos" w:eastAsia="Times New Roman" w:hAnsi="Aptos" w:cs="Times New Roman"/>
                <w:b/>
                <w:lang w:eastAsia="en-AU"/>
              </w:rPr>
              <w:t>1</w:t>
            </w:r>
          </w:p>
        </w:tc>
      </w:tr>
    </w:tbl>
    <w:p w14:paraId="22FA341B" w14:textId="77777777" w:rsidR="00615E34" w:rsidRPr="00615E34" w:rsidRDefault="00615E34" w:rsidP="00615E34"/>
    <w:p w14:paraId="5866C6FC" w14:textId="4D73D9BA" w:rsidR="00526545" w:rsidRDefault="00526545" w:rsidP="00E44BFF">
      <w:pPr>
        <w:pStyle w:val="Heading3"/>
        <w:rPr>
          <w:rFonts w:eastAsia="Aptos"/>
        </w:rPr>
      </w:pPr>
      <w:bookmarkStart w:id="201" w:name="_Toc221544044"/>
      <w:bookmarkStart w:id="202" w:name="_Toc221546123"/>
      <w:bookmarkStart w:id="203" w:name="_Toc221627115"/>
      <w:bookmarkStart w:id="204" w:name="_Toc222500476"/>
      <w:r w:rsidRPr="00580DA0">
        <w:rPr>
          <w:rFonts w:eastAsia="Aptos"/>
        </w:rPr>
        <w:lastRenderedPageBreak/>
        <w:t xml:space="preserve">OEI Act - </w:t>
      </w:r>
      <w:r w:rsidR="00E44BFF">
        <w:rPr>
          <w:rFonts w:eastAsia="Aptos"/>
        </w:rPr>
        <w:t>c</w:t>
      </w:r>
      <w:r w:rsidRPr="00580DA0">
        <w:rPr>
          <w:rFonts w:eastAsia="Aptos"/>
        </w:rPr>
        <w:t xml:space="preserve">ost </w:t>
      </w:r>
      <w:r w:rsidR="00E44BFF">
        <w:rPr>
          <w:rFonts w:eastAsia="Aptos"/>
        </w:rPr>
        <w:t>e</w:t>
      </w:r>
      <w:r w:rsidRPr="00580DA0">
        <w:rPr>
          <w:rFonts w:eastAsia="Aptos"/>
        </w:rPr>
        <w:t xml:space="preserve">ffectiveness and </w:t>
      </w:r>
      <w:r w:rsidR="00E44BFF">
        <w:rPr>
          <w:rFonts w:eastAsia="Aptos"/>
        </w:rPr>
        <w:t>f</w:t>
      </w:r>
      <w:r w:rsidRPr="00580DA0">
        <w:rPr>
          <w:rFonts w:eastAsia="Aptos"/>
        </w:rPr>
        <w:t xml:space="preserve">inancial </w:t>
      </w:r>
      <w:r w:rsidR="00E44BFF">
        <w:rPr>
          <w:rFonts w:eastAsia="Aptos"/>
        </w:rPr>
        <w:t>r</w:t>
      </w:r>
      <w:r w:rsidRPr="00580DA0">
        <w:rPr>
          <w:rFonts w:eastAsia="Aptos"/>
        </w:rPr>
        <w:t>esults</w:t>
      </w:r>
      <w:bookmarkEnd w:id="201"/>
      <w:bookmarkEnd w:id="202"/>
      <w:bookmarkEnd w:id="203"/>
      <w:bookmarkEnd w:id="204"/>
    </w:p>
    <w:p w14:paraId="7CB7EAB1" w14:textId="27D85C6B" w:rsidR="00C76039" w:rsidRDefault="00601EB5" w:rsidP="00601EB5">
      <w:pPr>
        <w:spacing w:line="259" w:lineRule="auto"/>
        <w:rPr>
          <w:rFonts w:eastAsia="Aptos" w:cs="Times New Roman"/>
        </w:rPr>
      </w:pPr>
      <w:r w:rsidRPr="0049004B">
        <w:rPr>
          <w:rFonts w:eastAsia="Aptos" w:cs="Times New Roman"/>
        </w:rPr>
        <w:t>The Registrar uses a range of services provided by</w:t>
      </w:r>
      <w:r w:rsidR="00DB188A">
        <w:rPr>
          <w:rFonts w:eastAsia="Aptos" w:cs="Times New Roman"/>
        </w:rPr>
        <w:t xml:space="preserve"> the</w:t>
      </w:r>
      <w:r w:rsidR="009435FB">
        <w:rPr>
          <w:rFonts w:eastAsia="Aptos" w:cs="Times New Roman"/>
        </w:rPr>
        <w:t xml:space="preserve"> </w:t>
      </w:r>
      <w:r w:rsidR="00DB188A">
        <w:rPr>
          <w:rFonts w:eastAsia="Aptos" w:cs="Times New Roman"/>
        </w:rPr>
        <w:t xml:space="preserve">Titles </w:t>
      </w:r>
      <w:r w:rsidRPr="0049004B">
        <w:rPr>
          <w:rFonts w:eastAsia="Aptos" w:cs="Times New Roman"/>
        </w:rPr>
        <w:t>A</w:t>
      </w:r>
      <w:r w:rsidR="00DB188A">
        <w:rPr>
          <w:rFonts w:eastAsia="Aptos" w:cs="Times New Roman"/>
        </w:rPr>
        <w:t>dministrator</w:t>
      </w:r>
      <w:r w:rsidRPr="0049004B">
        <w:rPr>
          <w:rFonts w:eastAsia="Aptos" w:cs="Times New Roman"/>
        </w:rPr>
        <w:t xml:space="preserve"> to support its functions. The main costs comprise of the Registrar’s portion of office accommodation and utility costs, ICT network and desktop costs, operating costs and depreciation of office fit</w:t>
      </w:r>
      <w:r w:rsidR="00FB4263">
        <w:rPr>
          <w:rFonts w:eastAsia="Aptos" w:cs="Times New Roman"/>
        </w:rPr>
        <w:t>-</w:t>
      </w:r>
      <w:r w:rsidRPr="0049004B">
        <w:rPr>
          <w:rFonts w:eastAsia="Aptos" w:cs="Times New Roman"/>
        </w:rPr>
        <w:t xml:space="preserve">outs. </w:t>
      </w:r>
    </w:p>
    <w:p w14:paraId="749BEB9D" w14:textId="42CBC06C" w:rsidR="00601EB5" w:rsidRPr="0049004B" w:rsidRDefault="00601EB5" w:rsidP="00601EB5">
      <w:pPr>
        <w:spacing w:line="259" w:lineRule="auto"/>
        <w:rPr>
          <w:rFonts w:eastAsia="Aptos" w:cs="Times New Roman"/>
        </w:rPr>
      </w:pPr>
      <w:r w:rsidRPr="0049004B">
        <w:rPr>
          <w:rFonts w:eastAsia="Aptos" w:cs="Times New Roman"/>
        </w:rPr>
        <w:t xml:space="preserve">To make sure the Registrar remains fully cost recovered, the costs incurred by </w:t>
      </w:r>
      <w:r w:rsidR="00876483">
        <w:rPr>
          <w:rFonts w:eastAsia="Aptos" w:cs="Times New Roman"/>
        </w:rPr>
        <w:t xml:space="preserve">the </w:t>
      </w:r>
      <w:r w:rsidRPr="0049004B">
        <w:rPr>
          <w:rFonts w:eastAsia="Aptos" w:cs="Times New Roman"/>
        </w:rPr>
        <w:t>A</w:t>
      </w:r>
      <w:r w:rsidR="00876483">
        <w:rPr>
          <w:rFonts w:eastAsia="Aptos" w:cs="Times New Roman"/>
        </w:rPr>
        <w:t>dministrator</w:t>
      </w:r>
      <w:r w:rsidRPr="0049004B">
        <w:rPr>
          <w:rFonts w:eastAsia="Aptos" w:cs="Times New Roman"/>
        </w:rPr>
        <w:t xml:space="preserve"> are reimbursed. In 2024-25, the allocation of these costs totalled $1.2 million. DISR provides the governance structure, access to corporate support and systems, workers’ compensation and other insurances. </w:t>
      </w:r>
    </w:p>
    <w:p w14:paraId="1CAAE292" w14:textId="77777777" w:rsidR="00601EB5" w:rsidRPr="0049004B" w:rsidRDefault="00601EB5" w:rsidP="00601EB5">
      <w:r w:rsidRPr="0049004B">
        <w:rPr>
          <w:rFonts w:eastAsia="Aptos" w:cs="Times New Roman"/>
        </w:rPr>
        <w:t xml:space="preserve">On 30 June 2025, the balance of the Registrar’s Special Account was $13.39 million. The special account balance consists of financial securities held and levies collected on behalf of DCCEEW. </w:t>
      </w:r>
    </w:p>
    <w:bookmarkEnd w:id="12"/>
    <w:bookmarkEnd w:id="11"/>
    <w:bookmarkEnd w:id="10"/>
    <w:bookmarkEnd w:id="9"/>
    <w:bookmarkEnd w:id="8"/>
    <w:p w14:paraId="6F7D4564" w14:textId="2C73A37D" w:rsidR="00E44BFF" w:rsidRPr="00E44BFF" w:rsidRDefault="00E44BFF" w:rsidP="00E44BFF"/>
    <w:sectPr w:rsidR="00E44BFF" w:rsidRPr="00E44BFF" w:rsidSect="00A9328D">
      <w:pgSz w:w="11906" w:h="16838" w:code="9"/>
      <w:pgMar w:top="1276" w:right="1440" w:bottom="1440" w:left="144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EA79F" w14:textId="77777777" w:rsidR="00D675CA" w:rsidRDefault="00D675CA" w:rsidP="00B251DB">
      <w:pPr>
        <w:spacing w:after="0"/>
      </w:pPr>
      <w:r>
        <w:separator/>
      </w:r>
    </w:p>
  </w:endnote>
  <w:endnote w:type="continuationSeparator" w:id="0">
    <w:p w14:paraId="292C58DA" w14:textId="77777777" w:rsidR="00D675CA" w:rsidRDefault="00D675CA" w:rsidP="00B251DB">
      <w:pPr>
        <w:spacing w:after="0"/>
      </w:pPr>
      <w:r>
        <w:continuationSeparator/>
      </w:r>
    </w:p>
  </w:endnote>
  <w:endnote w:type="continuationNotice" w:id="1">
    <w:p w14:paraId="7072C9BD" w14:textId="77777777" w:rsidR="00D675CA" w:rsidRDefault="00D675C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6113E" w14:textId="3B2E96BA" w:rsidR="003764D1" w:rsidRDefault="003764D1">
    <w:pPr>
      <w:pStyle w:val="Footer"/>
    </w:pPr>
    <w:r>
      <w:rPr>
        <w:noProof/>
      </w:rPr>
      <mc:AlternateContent>
        <mc:Choice Requires="wps">
          <w:drawing>
            <wp:anchor distT="0" distB="0" distL="0" distR="0" simplePos="0" relativeHeight="251664384" behindDoc="0" locked="0" layoutInCell="1" allowOverlap="1" wp14:anchorId="055939BC" wp14:editId="726936E8">
              <wp:simplePos x="635" y="635"/>
              <wp:positionH relativeFrom="page">
                <wp:align>center</wp:align>
              </wp:positionH>
              <wp:positionV relativeFrom="page">
                <wp:align>bottom</wp:align>
              </wp:positionV>
              <wp:extent cx="622300" cy="452755"/>
              <wp:effectExtent l="0" t="0" r="6350" b="0"/>
              <wp:wrapNone/>
              <wp:docPr id="184201518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21FE0EF0" w14:textId="2A8FDEDC" w:rsidR="003764D1" w:rsidRPr="003764D1" w:rsidRDefault="003764D1" w:rsidP="003764D1">
                          <w:pPr>
                            <w:spacing w:after="0"/>
                            <w:rPr>
                              <w:rFonts w:ascii="Aptos" w:eastAsia="Aptos" w:hAnsi="Aptos" w:cs="Aptos"/>
                              <w:noProof/>
                              <w:color w:val="C00000"/>
                              <w:sz w:val="24"/>
                              <w:szCs w:val="24"/>
                            </w:rPr>
                          </w:pPr>
                          <w:r w:rsidRPr="003764D1">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5939BC" id="_x0000_t202" coordsize="21600,21600" o:spt="202" path="m,l,21600r21600,l21600,xe">
              <v:stroke joinstyle="miter"/>
              <v:path gradientshapeok="t" o:connecttype="rect"/>
            </v:shapetype>
            <v:shape id="Text Box 7" o:spid="_x0000_s1028" type="#_x0000_t202" alt="OFFICIAL" style="position:absolute;margin-left:0;margin-top:0;width:49pt;height:35.6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" filled="f" stroked="f">
              <v:textbox style="mso-fit-shape-to-text:t" inset="0,0,0,15pt">
                <w:txbxContent>
                  <w:p w14:paraId="21FE0EF0" w14:textId="2A8FDEDC" w:rsidR="003764D1" w:rsidRPr="003764D1" w:rsidRDefault="003764D1" w:rsidP="003764D1">
                    <w:pPr>
                      <w:spacing w:after="0"/>
                      <w:rPr>
                        <w:rFonts w:ascii="Aptos" w:eastAsia="Aptos" w:hAnsi="Aptos" w:cs="Aptos"/>
                        <w:noProof/>
                        <w:color w:val="C00000"/>
                        <w:sz w:val="24"/>
                        <w:szCs w:val="24"/>
                      </w:rPr>
                    </w:pPr>
                    <w:r w:rsidRPr="003764D1">
                      <w:rPr>
                        <w:rFonts w:ascii="Aptos" w:eastAsia="Aptos" w:hAnsi="Aptos" w:cs="Aptos"/>
                        <w:noProof/>
                        <w:color w:val="C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67A29" w14:textId="5D3C0A1B" w:rsidR="0035140F" w:rsidRDefault="003764D1" w:rsidP="0035140F">
    <w:pPr>
      <w:pStyle w:val="Footer"/>
    </w:pPr>
    <w:r>
      <w:rPr>
        <w:noProof/>
        <w:color w:val="001B35" w:themeColor="accent1"/>
      </w:rPr>
      <mc:AlternateContent>
        <mc:Choice Requires="wps">
          <w:drawing>
            <wp:anchor distT="0" distB="0" distL="0" distR="0" simplePos="0" relativeHeight="251665408" behindDoc="0" locked="0" layoutInCell="1" allowOverlap="1" wp14:anchorId="635C83F9" wp14:editId="0C1D5218">
              <wp:simplePos x="635" y="635"/>
              <wp:positionH relativeFrom="page">
                <wp:align>center</wp:align>
              </wp:positionH>
              <wp:positionV relativeFrom="page">
                <wp:align>bottom</wp:align>
              </wp:positionV>
              <wp:extent cx="622300" cy="452755"/>
              <wp:effectExtent l="0" t="0" r="6350" b="0"/>
              <wp:wrapNone/>
              <wp:docPr id="131638699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052C37E9" w14:textId="0C699E25" w:rsidR="003764D1" w:rsidRPr="003764D1" w:rsidRDefault="003764D1" w:rsidP="003764D1">
                          <w:pPr>
                            <w:spacing w:after="0"/>
                            <w:rPr>
                              <w:rFonts w:ascii="Aptos" w:eastAsia="Aptos" w:hAnsi="Aptos" w:cs="Aptos"/>
                              <w:noProof/>
                              <w:color w:val="C00000"/>
                              <w:sz w:val="24"/>
                              <w:szCs w:val="24"/>
                            </w:rPr>
                          </w:pPr>
                          <w:r w:rsidRPr="003764D1">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5C83F9" id="_x0000_t202" coordsize="21600,21600" o:spt="202" path="m,l,21600r21600,l21600,xe">
              <v:stroke joinstyle="miter"/>
              <v:path gradientshapeok="t" o:connecttype="rect"/>
            </v:shapetype>
            <v:shape id="Text Box 8" o:spid="_x0000_s1029" type="#_x0000_t202" alt="OFFICIAL" style="position:absolute;margin-left:0;margin-top:0;width:49pt;height:35.6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" filled="f" stroked="f">
              <v:textbox style="mso-fit-shape-to-text:t" inset="0,0,0,15pt">
                <w:txbxContent>
                  <w:p w14:paraId="052C37E9" w14:textId="0C699E25" w:rsidR="003764D1" w:rsidRPr="003764D1" w:rsidRDefault="003764D1" w:rsidP="003764D1">
                    <w:pPr>
                      <w:spacing w:after="0"/>
                      <w:rPr>
                        <w:rFonts w:ascii="Aptos" w:eastAsia="Aptos" w:hAnsi="Aptos" w:cs="Aptos"/>
                        <w:noProof/>
                        <w:color w:val="C00000"/>
                        <w:sz w:val="24"/>
                        <w:szCs w:val="24"/>
                      </w:rPr>
                    </w:pPr>
                    <w:r w:rsidRPr="003764D1">
                      <w:rPr>
                        <w:rFonts w:ascii="Aptos" w:eastAsia="Aptos" w:hAnsi="Aptos" w:cs="Aptos"/>
                        <w:noProof/>
                        <w:color w:val="C00000"/>
                        <w:sz w:val="24"/>
                        <w:szCs w:val="24"/>
                      </w:rPr>
                      <w:t>OFFICIAL</w:t>
                    </w:r>
                  </w:p>
                </w:txbxContent>
              </v:textbox>
              <w10:wrap anchorx="page" anchory="page"/>
            </v:shape>
          </w:pict>
        </mc:Fallback>
      </mc:AlternateContent>
    </w:r>
    <w:r w:rsidR="00FF7F22">
      <w:rPr>
        <w:color w:val="001B35" w:themeColor="accent1"/>
      </w:rPr>
      <w:t xml:space="preserve">Annual </w:t>
    </w:r>
    <w:r w:rsidR="009F34D5">
      <w:rPr>
        <w:color w:val="001B35" w:themeColor="accent1"/>
      </w:rPr>
      <w:t>r</w:t>
    </w:r>
    <w:r w:rsidR="00FF7F22">
      <w:rPr>
        <w:color w:val="001B35" w:themeColor="accent1"/>
      </w:rPr>
      <w:t xml:space="preserve">eport of </w:t>
    </w:r>
    <w:r w:rsidR="009F34D5">
      <w:rPr>
        <w:color w:val="001B35" w:themeColor="accent1"/>
      </w:rPr>
      <w:t>a</w:t>
    </w:r>
    <w:r w:rsidR="00FF7F22">
      <w:rPr>
        <w:color w:val="001B35" w:themeColor="accent1"/>
      </w:rPr>
      <w:t>ctivities 202</w:t>
    </w:r>
    <w:r w:rsidR="0004641B">
      <w:rPr>
        <w:color w:val="001B35" w:themeColor="accent1"/>
      </w:rPr>
      <w:t>4</w:t>
    </w:r>
    <w:r w:rsidR="00FF7F22">
      <w:rPr>
        <w:color w:val="001B35" w:themeColor="accent1"/>
      </w:rPr>
      <w:t>-2</w:t>
    </w:r>
    <w:r w:rsidR="0004641B">
      <w:rPr>
        <w:color w:val="001B35" w:themeColor="accent1"/>
      </w:rPr>
      <w:t>5</w:t>
    </w:r>
    <w:r w:rsidR="00BD0F8A">
      <w:tab/>
    </w:r>
  </w:p>
  <w:p w14:paraId="0E7959BA" w14:textId="355E0E86" w:rsidR="00D27B99" w:rsidRDefault="0035140F" w:rsidP="0035140F">
    <w:pPr>
      <w:pStyle w:val="Footer"/>
      <w:tabs>
        <w:tab w:val="clear" w:pos="4513"/>
      </w:tabs>
      <w:rPr>
        <w:noProof/>
      </w:rPr>
    </w:pPr>
    <w:r w:rsidRPr="00C65E4E">
      <w:rPr>
        <w:b/>
        <w:bCs/>
        <w:color w:val="15659B" w:themeColor="accent4"/>
      </w:rPr>
      <w:t>|</w:t>
    </w:r>
    <w:r w:rsidRPr="0035140F">
      <w:rPr>
        <w:b/>
        <w:bCs/>
        <w:color w:val="001B35" w:themeColor="accent1"/>
      </w:rPr>
      <w:t xml:space="preserve"> </w:t>
    </w:r>
    <w:r w:rsidR="00B70752">
      <w:rPr>
        <w:b/>
        <w:bCs/>
        <w:color w:val="001B35" w:themeColor="accent1"/>
      </w:rPr>
      <w:t>nopta</w:t>
    </w:r>
    <w:r w:rsidR="00BD0F8A" w:rsidRPr="0035140F">
      <w:rPr>
        <w:b/>
        <w:bCs/>
        <w:color w:val="001B35" w:themeColor="accent1"/>
      </w:rPr>
      <w:t>.</w:t>
    </w:r>
    <w:r w:rsidR="00BD0F8A" w:rsidRPr="0035140F">
      <w:rPr>
        <w:color w:val="001B35" w:themeColor="accent1"/>
      </w:rPr>
      <w:t>gov.au</w:t>
    </w:r>
    <w:r w:rsidR="00BD0F8A">
      <w:tab/>
    </w:r>
    <w:sdt>
      <w:sdtPr>
        <w:id w:val="-1044901746"/>
        <w:docPartObj>
          <w:docPartGallery w:val="Page Numbers (Bottom of Page)"/>
          <w:docPartUnique/>
        </w:docPartObj>
      </w:sdtPr>
      <w:sdtEndPr>
        <w:rPr>
          <w:noProof/>
        </w:rPr>
      </w:sdtEndPr>
      <w:sdtContent>
        <w:r w:rsidR="00BD0F8A">
          <w:fldChar w:fldCharType="begin"/>
        </w:r>
        <w:r w:rsidR="00BD0F8A">
          <w:instrText xml:space="preserve"> PAGE   \* MERGEFORMAT </w:instrText>
        </w:r>
        <w:r w:rsidR="00BD0F8A">
          <w:fldChar w:fldCharType="separate"/>
        </w:r>
        <w:r w:rsidR="004E5181">
          <w:rPr>
            <w:noProof/>
          </w:rPr>
          <w:t>7</w:t>
        </w:r>
        <w:r w:rsidR="00BD0F8A">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55F5D" w14:textId="2E5F1269" w:rsidR="004A7856" w:rsidRDefault="003764D1" w:rsidP="004A7856">
    <w:pPr>
      <w:pStyle w:val="Footer"/>
    </w:pPr>
    <w:r>
      <w:rPr>
        <w:noProof/>
        <w:color w:val="001B35" w:themeColor="accent1"/>
      </w:rPr>
      <mc:AlternateContent>
        <mc:Choice Requires="wps">
          <w:drawing>
            <wp:anchor distT="0" distB="0" distL="0" distR="0" simplePos="0" relativeHeight="251663360" behindDoc="0" locked="0" layoutInCell="1" allowOverlap="1" wp14:anchorId="10521A4B" wp14:editId="73F27702">
              <wp:simplePos x="914400" y="9429750"/>
              <wp:positionH relativeFrom="page">
                <wp:align>center</wp:align>
              </wp:positionH>
              <wp:positionV relativeFrom="page">
                <wp:align>bottom</wp:align>
              </wp:positionV>
              <wp:extent cx="622300" cy="452755"/>
              <wp:effectExtent l="0" t="0" r="6350" b="0"/>
              <wp:wrapNone/>
              <wp:docPr id="194888960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02D0EC1E" w14:textId="23FEDF64" w:rsidR="003764D1" w:rsidRPr="003764D1" w:rsidRDefault="003764D1" w:rsidP="003764D1">
                          <w:pPr>
                            <w:spacing w:after="0"/>
                            <w:rPr>
                              <w:rFonts w:ascii="Aptos" w:eastAsia="Aptos" w:hAnsi="Aptos" w:cs="Aptos"/>
                              <w:noProof/>
                              <w:color w:val="C00000"/>
                              <w:sz w:val="24"/>
                              <w:szCs w:val="24"/>
                            </w:rPr>
                          </w:pPr>
                          <w:r w:rsidRPr="003764D1">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521A4B" id="_x0000_t202" coordsize="21600,21600" o:spt="202" path="m,l,21600r21600,l21600,xe">
              <v:stroke joinstyle="miter"/>
              <v:path gradientshapeok="t" o:connecttype="rect"/>
            </v:shapetype>
            <v:shape id="Text Box 6" o:spid="_x0000_s1031" type="#_x0000_t202" alt="OFFICIAL" style="position:absolute;margin-left:0;margin-top:0;width:49pt;height:35.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" filled="f" stroked="f">
              <v:textbox style="mso-fit-shape-to-text:t" inset="0,0,0,15pt">
                <w:txbxContent>
                  <w:p w14:paraId="02D0EC1E" w14:textId="23FEDF64" w:rsidR="003764D1" w:rsidRPr="003764D1" w:rsidRDefault="003764D1" w:rsidP="003764D1">
                    <w:pPr>
                      <w:spacing w:after="0"/>
                      <w:rPr>
                        <w:rFonts w:ascii="Aptos" w:eastAsia="Aptos" w:hAnsi="Aptos" w:cs="Aptos"/>
                        <w:noProof/>
                        <w:color w:val="C00000"/>
                        <w:sz w:val="24"/>
                        <w:szCs w:val="24"/>
                      </w:rPr>
                    </w:pPr>
                    <w:r w:rsidRPr="003764D1">
                      <w:rPr>
                        <w:rFonts w:ascii="Aptos" w:eastAsia="Aptos" w:hAnsi="Aptos" w:cs="Aptos"/>
                        <w:noProof/>
                        <w:color w:val="C00000"/>
                        <w:sz w:val="24"/>
                        <w:szCs w:val="24"/>
                      </w:rPr>
                      <w:t>OFFICIAL</w:t>
                    </w:r>
                  </w:p>
                </w:txbxContent>
              </v:textbox>
              <w10:wrap anchorx="page" anchory="page"/>
            </v:shape>
          </w:pict>
        </mc:Fallback>
      </mc:AlternateContent>
    </w:r>
    <w:r w:rsidR="00FF7F22">
      <w:rPr>
        <w:color w:val="001B35" w:themeColor="accent1"/>
      </w:rPr>
      <w:t xml:space="preserve">Annual </w:t>
    </w:r>
    <w:r w:rsidR="00956B75">
      <w:rPr>
        <w:color w:val="001B35" w:themeColor="accent1"/>
      </w:rPr>
      <w:t>r</w:t>
    </w:r>
    <w:r w:rsidR="00FF7F22">
      <w:rPr>
        <w:color w:val="001B35" w:themeColor="accent1"/>
      </w:rPr>
      <w:t xml:space="preserve">eport of </w:t>
    </w:r>
    <w:r w:rsidR="00956B75">
      <w:rPr>
        <w:color w:val="001B35" w:themeColor="accent1"/>
      </w:rPr>
      <w:t>a</w:t>
    </w:r>
    <w:r w:rsidR="00FF7F22">
      <w:rPr>
        <w:color w:val="001B35" w:themeColor="accent1"/>
      </w:rPr>
      <w:t>ctivities 202</w:t>
    </w:r>
    <w:r w:rsidR="00D7767B">
      <w:rPr>
        <w:color w:val="001B35" w:themeColor="accent1"/>
      </w:rPr>
      <w:t>4</w:t>
    </w:r>
    <w:r w:rsidR="00FF7F22">
      <w:rPr>
        <w:color w:val="001B35" w:themeColor="accent1"/>
      </w:rPr>
      <w:t>-2</w:t>
    </w:r>
    <w:r w:rsidR="00D7767B">
      <w:rPr>
        <w:color w:val="001B35" w:themeColor="accent1"/>
      </w:rPr>
      <w:t>5</w:t>
    </w:r>
    <w:r w:rsidR="004A7856">
      <w:tab/>
    </w:r>
  </w:p>
  <w:p w14:paraId="4C58479B" w14:textId="6904F72E" w:rsidR="004A7856" w:rsidRDefault="004A7856" w:rsidP="004A7856">
    <w:pPr>
      <w:pStyle w:val="Footer"/>
      <w:tabs>
        <w:tab w:val="clear" w:pos="4513"/>
      </w:tabs>
      <w:rPr>
        <w:noProof/>
      </w:rPr>
    </w:pPr>
    <w:r w:rsidRPr="00C65E4E">
      <w:rPr>
        <w:b/>
        <w:bCs/>
        <w:color w:val="15659B" w:themeColor="accent4"/>
      </w:rPr>
      <w:t>|</w:t>
    </w:r>
    <w:r w:rsidRPr="0035140F">
      <w:rPr>
        <w:b/>
        <w:bCs/>
        <w:color w:val="001B35" w:themeColor="accent1"/>
      </w:rPr>
      <w:t xml:space="preserve"> </w:t>
    </w:r>
    <w:r w:rsidR="00C62878">
      <w:rPr>
        <w:b/>
        <w:bCs/>
        <w:color w:val="001B35" w:themeColor="accent1"/>
      </w:rPr>
      <w:t>nopta</w:t>
    </w:r>
    <w:r w:rsidRPr="0035140F">
      <w:rPr>
        <w:b/>
        <w:bCs/>
        <w:color w:val="001B35" w:themeColor="accent1"/>
      </w:rPr>
      <w:t>.</w:t>
    </w:r>
    <w:r w:rsidRPr="0035140F">
      <w:rPr>
        <w:color w:val="001B35" w:themeColor="accent1"/>
      </w:rPr>
      <w:t>gov.au/</w:t>
    </w:r>
    <w:r>
      <w:tab/>
    </w:r>
    <w:sdt>
      <w:sdtPr>
        <w:id w:val="165564769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p w14:paraId="71BFD075" w14:textId="77777777" w:rsidR="00194586" w:rsidRDefault="001945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A8670" w14:textId="77777777" w:rsidR="00D675CA" w:rsidRDefault="00D675CA" w:rsidP="00B251DB">
      <w:pPr>
        <w:spacing w:after="0"/>
      </w:pPr>
      <w:r>
        <w:separator/>
      </w:r>
    </w:p>
  </w:footnote>
  <w:footnote w:type="continuationSeparator" w:id="0">
    <w:p w14:paraId="40E76C61" w14:textId="77777777" w:rsidR="00D675CA" w:rsidRDefault="00D675CA" w:rsidP="00B251DB">
      <w:pPr>
        <w:spacing w:after="0"/>
      </w:pPr>
      <w:r>
        <w:continuationSeparator/>
      </w:r>
    </w:p>
  </w:footnote>
  <w:footnote w:type="continuationNotice" w:id="1">
    <w:p w14:paraId="6A104955" w14:textId="77777777" w:rsidR="00D675CA" w:rsidRDefault="00D675C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FB9BB" w14:textId="3813DDAC" w:rsidR="003764D1" w:rsidRDefault="003764D1">
    <w:pPr>
      <w:pStyle w:val="Header"/>
    </w:pPr>
    <w:r>
      <w:rPr>
        <w:noProof/>
      </w:rPr>
      <mc:AlternateContent>
        <mc:Choice Requires="wps">
          <w:drawing>
            <wp:anchor distT="0" distB="0" distL="0" distR="0" simplePos="0" relativeHeight="251659264" behindDoc="0" locked="0" layoutInCell="1" allowOverlap="1" wp14:anchorId="6D2BD457" wp14:editId="00F838C2">
              <wp:simplePos x="635" y="635"/>
              <wp:positionH relativeFrom="page">
                <wp:align>center</wp:align>
              </wp:positionH>
              <wp:positionV relativeFrom="page">
                <wp:align>top</wp:align>
              </wp:positionV>
              <wp:extent cx="622300" cy="452755"/>
              <wp:effectExtent l="0" t="0" r="6350" b="4445"/>
              <wp:wrapNone/>
              <wp:docPr id="27091983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5E48A930" w14:textId="248F74ED" w:rsidR="003764D1" w:rsidRPr="003764D1" w:rsidRDefault="003764D1" w:rsidP="003764D1">
                          <w:pPr>
                            <w:spacing w:after="0"/>
                            <w:rPr>
                              <w:rFonts w:ascii="Aptos" w:eastAsia="Aptos" w:hAnsi="Aptos" w:cs="Aptos"/>
                              <w:noProof/>
                              <w:color w:val="C00000"/>
                              <w:sz w:val="24"/>
                              <w:szCs w:val="24"/>
                            </w:rPr>
                          </w:pPr>
                          <w:r w:rsidRPr="003764D1">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2BD457" id="_x0000_t202" coordsize="21600,21600" o:spt="202" path="m,l,21600r21600,l21600,xe">
              <v:stroke joinstyle="miter"/>
              <v:path gradientshapeok="t" o:connecttype="rect"/>
            </v:shapetype>
            <v:shape id="Text Box 2" o:spid="_x0000_s1026" type="#_x0000_t202" alt="OFFICIAL" style="position:absolute;margin-left:0;margin-top:0;width:49pt;height:35.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" filled="f" stroked="f">
              <v:textbox style="mso-fit-shape-to-text:t" inset="0,15pt,0,0">
                <w:txbxContent>
                  <w:p w14:paraId="5E48A930" w14:textId="248F74ED" w:rsidR="003764D1" w:rsidRPr="003764D1" w:rsidRDefault="003764D1" w:rsidP="003764D1">
                    <w:pPr>
                      <w:spacing w:after="0"/>
                      <w:rPr>
                        <w:rFonts w:ascii="Aptos" w:eastAsia="Aptos" w:hAnsi="Aptos" w:cs="Aptos"/>
                        <w:noProof/>
                        <w:color w:val="C00000"/>
                        <w:sz w:val="24"/>
                        <w:szCs w:val="24"/>
                      </w:rPr>
                    </w:pPr>
                    <w:r w:rsidRPr="003764D1">
                      <w:rPr>
                        <w:rFonts w:ascii="Aptos" w:eastAsia="Aptos" w:hAnsi="Aptos" w:cs="Aptos"/>
                        <w:noProof/>
                        <w:color w:val="C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EA4320E" w14:paraId="68989D4A" w14:textId="77777777" w:rsidTr="0EA4320E">
      <w:trPr>
        <w:trHeight w:val="300"/>
      </w:trPr>
      <w:tc>
        <w:tcPr>
          <w:tcW w:w="3005" w:type="dxa"/>
        </w:tcPr>
        <w:p w14:paraId="10C7521A" w14:textId="7B2DD069" w:rsidR="0EA4320E" w:rsidRDefault="003764D1" w:rsidP="0EA4320E">
          <w:pPr>
            <w:pStyle w:val="Header"/>
            <w:ind w:left="-115"/>
          </w:pPr>
          <w:r>
            <w:rPr>
              <w:noProof/>
            </w:rPr>
            <mc:AlternateContent>
              <mc:Choice Requires="wps">
                <w:drawing>
                  <wp:anchor distT="0" distB="0" distL="0" distR="0" simplePos="0" relativeHeight="251660288" behindDoc="0" locked="0" layoutInCell="1" allowOverlap="1" wp14:anchorId="27A14A2D" wp14:editId="1A21F3F6">
                    <wp:simplePos x="635" y="635"/>
                    <wp:positionH relativeFrom="page">
                      <wp:align>center</wp:align>
                    </wp:positionH>
                    <wp:positionV relativeFrom="page">
                      <wp:align>top</wp:align>
                    </wp:positionV>
                    <wp:extent cx="622300" cy="452755"/>
                    <wp:effectExtent l="0" t="0" r="6350" b="4445"/>
                    <wp:wrapNone/>
                    <wp:docPr id="205614812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363BFF64" w14:textId="36C16CCE" w:rsidR="003764D1" w:rsidRPr="003764D1" w:rsidRDefault="003764D1" w:rsidP="003764D1">
                                <w:pPr>
                                  <w:spacing w:after="0"/>
                                  <w:rPr>
                                    <w:rFonts w:ascii="Aptos" w:eastAsia="Aptos" w:hAnsi="Aptos" w:cs="Aptos"/>
                                    <w:noProof/>
                                    <w:color w:val="C00000"/>
                                    <w:sz w:val="24"/>
                                    <w:szCs w:val="24"/>
                                  </w:rPr>
                                </w:pPr>
                                <w:r w:rsidRPr="003764D1">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A14A2D" id="_x0000_t202" coordsize="21600,21600" o:spt="202" path="m,l,21600r21600,l21600,xe">
                    <v:stroke joinstyle="miter"/>
                    <v:path gradientshapeok="t" o:connecttype="rect"/>
                  </v:shapetype>
                  <v:shape id="Text Box 3" o:spid="_x0000_s1027" type="#_x0000_t202" alt="OFFICIAL" style="position:absolute;left:0;text-align:left;margin-left:0;margin-top:0;width:49pt;height:35.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" filled="f" stroked="f">
                    <v:textbox style="mso-fit-shape-to-text:t" inset="0,15pt,0,0">
                      <w:txbxContent>
                        <w:p w14:paraId="363BFF64" w14:textId="36C16CCE" w:rsidR="003764D1" w:rsidRPr="003764D1" w:rsidRDefault="003764D1" w:rsidP="003764D1">
                          <w:pPr>
                            <w:spacing w:after="0"/>
                            <w:rPr>
                              <w:rFonts w:ascii="Aptos" w:eastAsia="Aptos" w:hAnsi="Aptos" w:cs="Aptos"/>
                              <w:noProof/>
                              <w:color w:val="C00000"/>
                              <w:sz w:val="24"/>
                              <w:szCs w:val="24"/>
                            </w:rPr>
                          </w:pPr>
                          <w:r w:rsidRPr="003764D1">
                            <w:rPr>
                              <w:rFonts w:ascii="Aptos" w:eastAsia="Aptos" w:hAnsi="Aptos" w:cs="Aptos"/>
                              <w:noProof/>
                              <w:color w:val="C00000"/>
                              <w:sz w:val="24"/>
                              <w:szCs w:val="24"/>
                            </w:rPr>
                            <w:t>OFFICIAL</w:t>
                          </w:r>
                        </w:p>
                      </w:txbxContent>
                    </v:textbox>
                    <w10:wrap anchorx="page" anchory="page"/>
                  </v:shape>
                </w:pict>
              </mc:Fallback>
            </mc:AlternateContent>
          </w:r>
        </w:p>
      </w:tc>
      <w:tc>
        <w:tcPr>
          <w:tcW w:w="3005" w:type="dxa"/>
        </w:tcPr>
        <w:p w14:paraId="4DFF93EB" w14:textId="6E50C6E1" w:rsidR="0EA4320E" w:rsidRDefault="0EA4320E" w:rsidP="0EA4320E">
          <w:pPr>
            <w:pStyle w:val="Header"/>
            <w:jc w:val="center"/>
          </w:pPr>
        </w:p>
      </w:tc>
      <w:tc>
        <w:tcPr>
          <w:tcW w:w="3005" w:type="dxa"/>
        </w:tcPr>
        <w:p w14:paraId="253A390A" w14:textId="7CC06CE4" w:rsidR="0EA4320E" w:rsidRDefault="0EA4320E" w:rsidP="0EA4320E">
          <w:pPr>
            <w:pStyle w:val="Header"/>
            <w:ind w:right="-115"/>
            <w:jc w:val="right"/>
          </w:pPr>
        </w:p>
      </w:tc>
    </w:tr>
  </w:tbl>
  <w:p w14:paraId="762F29AE" w14:textId="42117E24" w:rsidR="003651D8" w:rsidRDefault="003651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EA4320E" w14:paraId="4D1CE699" w14:textId="77777777" w:rsidTr="0EA4320E">
      <w:trPr>
        <w:trHeight w:val="300"/>
      </w:trPr>
      <w:tc>
        <w:tcPr>
          <w:tcW w:w="3005" w:type="dxa"/>
        </w:tcPr>
        <w:p w14:paraId="3EFF3BF5" w14:textId="1D3FF01B" w:rsidR="0EA4320E" w:rsidRDefault="0EA4320E" w:rsidP="0EA4320E">
          <w:pPr>
            <w:pStyle w:val="Header"/>
            <w:ind w:left="-115"/>
          </w:pPr>
        </w:p>
      </w:tc>
      <w:tc>
        <w:tcPr>
          <w:tcW w:w="3005" w:type="dxa"/>
        </w:tcPr>
        <w:p w14:paraId="7EC02885" w14:textId="38EAF1C2" w:rsidR="0EA4320E" w:rsidRDefault="00B369AE" w:rsidP="0EA4320E">
          <w:pPr>
            <w:pStyle w:val="Header"/>
            <w:jc w:val="center"/>
          </w:pPr>
          <w:r>
            <w:rPr>
              <w:noProof/>
            </w:rPr>
            <mc:AlternateContent>
              <mc:Choice Requires="wps">
                <w:drawing>
                  <wp:anchor distT="0" distB="0" distL="0" distR="0" simplePos="0" relativeHeight="251658240" behindDoc="0" locked="0" layoutInCell="1" allowOverlap="1" wp14:anchorId="64C44DBB" wp14:editId="3E0B7CE5">
                    <wp:simplePos x="0" y="0"/>
                    <wp:positionH relativeFrom="page">
                      <wp:posOffset>449387</wp:posOffset>
                    </wp:positionH>
                    <wp:positionV relativeFrom="page">
                      <wp:posOffset>31805</wp:posOffset>
                    </wp:positionV>
                    <wp:extent cx="622300" cy="452755"/>
                    <wp:effectExtent l="0" t="0" r="6350" b="4445"/>
                    <wp:wrapNone/>
                    <wp:docPr id="92625731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74E606A6" w14:textId="3799FB07" w:rsidR="003764D1" w:rsidRPr="003764D1" w:rsidRDefault="003764D1" w:rsidP="003764D1">
                                <w:pPr>
                                  <w:spacing w:after="0"/>
                                  <w:rPr>
                                    <w:rFonts w:ascii="Aptos" w:eastAsia="Aptos" w:hAnsi="Aptos" w:cs="Aptos"/>
                                    <w:noProof/>
                                    <w:color w:val="C00000"/>
                                    <w:sz w:val="24"/>
                                    <w:szCs w:val="24"/>
                                  </w:rPr>
                                </w:pPr>
                                <w:r w:rsidRPr="003764D1">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C44DBB" id="_x0000_t202" coordsize="21600,21600" o:spt="202" path="m,l,21600r21600,l21600,xe">
                    <v:stroke joinstyle="miter"/>
                    <v:path gradientshapeok="t" o:connecttype="rect"/>
                  </v:shapetype>
                  <v:shape id="Text Box 1" o:spid="_x0000_s1030" type="#_x0000_t202" alt="OFFICIAL" style="position:absolute;left:0;text-align:left;margin-left:35.4pt;margin-top:2.5pt;width:49pt;height:35.65pt;z-index:251658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" filled="f" stroked="f">
                    <v:textbox style="mso-fit-shape-to-text:t" inset="0,15pt,0,0">
                      <w:txbxContent>
                        <w:p w14:paraId="74E606A6" w14:textId="3799FB07" w:rsidR="003764D1" w:rsidRPr="003764D1" w:rsidRDefault="003764D1" w:rsidP="003764D1">
                          <w:pPr>
                            <w:spacing w:after="0"/>
                            <w:rPr>
                              <w:rFonts w:ascii="Aptos" w:eastAsia="Aptos" w:hAnsi="Aptos" w:cs="Aptos"/>
                              <w:noProof/>
                              <w:color w:val="C00000"/>
                              <w:sz w:val="24"/>
                              <w:szCs w:val="24"/>
                            </w:rPr>
                          </w:pPr>
                          <w:r w:rsidRPr="003764D1">
                            <w:rPr>
                              <w:rFonts w:ascii="Aptos" w:eastAsia="Aptos" w:hAnsi="Aptos" w:cs="Aptos"/>
                              <w:noProof/>
                              <w:color w:val="C00000"/>
                              <w:sz w:val="24"/>
                              <w:szCs w:val="24"/>
                            </w:rPr>
                            <w:t>OFFICIAL</w:t>
                          </w:r>
                        </w:p>
                      </w:txbxContent>
                    </v:textbox>
                    <w10:wrap anchorx="page" anchory="page"/>
                  </v:shape>
                </w:pict>
              </mc:Fallback>
            </mc:AlternateContent>
          </w:r>
        </w:p>
      </w:tc>
      <w:tc>
        <w:tcPr>
          <w:tcW w:w="3005" w:type="dxa"/>
        </w:tcPr>
        <w:p w14:paraId="644E7D69" w14:textId="0362816B" w:rsidR="0EA4320E" w:rsidRDefault="0EA4320E" w:rsidP="0EA4320E">
          <w:pPr>
            <w:pStyle w:val="Header"/>
            <w:ind w:right="-115"/>
            <w:jc w:val="right"/>
          </w:pPr>
        </w:p>
      </w:tc>
    </w:tr>
  </w:tbl>
  <w:p w14:paraId="39BF057D" w14:textId="3EA1B2E8" w:rsidR="003651D8" w:rsidRDefault="003651D8" w:rsidP="00B369AE">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EA4320E" w14:paraId="20AC8EF0" w14:textId="77777777" w:rsidTr="0EA4320E">
      <w:trPr>
        <w:trHeight w:val="300"/>
      </w:trPr>
      <w:tc>
        <w:tcPr>
          <w:tcW w:w="3005" w:type="dxa"/>
        </w:tcPr>
        <w:p w14:paraId="1FF083BA" w14:textId="0505AF38" w:rsidR="0EA4320E" w:rsidRDefault="003764D1" w:rsidP="0EA4320E">
          <w:pPr>
            <w:pStyle w:val="Header"/>
            <w:ind w:left="-115"/>
          </w:pPr>
          <w:r>
            <w:rPr>
              <w:noProof/>
            </w:rPr>
            <mc:AlternateContent>
              <mc:Choice Requires="wps">
                <w:drawing>
                  <wp:anchor distT="0" distB="0" distL="0" distR="0" simplePos="0" relativeHeight="251662336" behindDoc="0" locked="0" layoutInCell="1" allowOverlap="1" wp14:anchorId="461FAC18" wp14:editId="4BD5409F">
                    <wp:simplePos x="635" y="635"/>
                    <wp:positionH relativeFrom="page">
                      <wp:align>center</wp:align>
                    </wp:positionH>
                    <wp:positionV relativeFrom="page">
                      <wp:align>top</wp:align>
                    </wp:positionV>
                    <wp:extent cx="622300" cy="452755"/>
                    <wp:effectExtent l="0" t="0" r="6350" b="4445"/>
                    <wp:wrapNone/>
                    <wp:docPr id="98709755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4D66F526" w14:textId="01D78F6C" w:rsidR="003764D1" w:rsidRPr="003764D1" w:rsidRDefault="003764D1" w:rsidP="003764D1">
                                <w:pPr>
                                  <w:spacing w:after="0"/>
                                  <w:rPr>
                                    <w:rFonts w:ascii="Aptos" w:eastAsia="Aptos" w:hAnsi="Aptos" w:cs="Aptos"/>
                                    <w:noProof/>
                                    <w:color w:val="C00000"/>
                                    <w:sz w:val="24"/>
                                    <w:szCs w:val="24"/>
                                  </w:rPr>
                                </w:pPr>
                                <w:r w:rsidRPr="003764D1">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1FAC18" id="_x0000_t202" coordsize="21600,21600" o:spt="202" path="m,l,21600r21600,l21600,xe">
                    <v:stroke joinstyle="miter"/>
                    <v:path gradientshapeok="t" o:connecttype="rect"/>
                  </v:shapetype>
                  <v:shape id="Text Box 5" o:spid="_x0000_s1032" type="#_x0000_t202" alt="OFFICIAL" style="position:absolute;left:0;text-align:left;margin-left:0;margin-top:0;width:49pt;height:35.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" filled="f" stroked="f">
                    <v:textbox style="mso-fit-shape-to-text:t" inset="0,15pt,0,0">
                      <w:txbxContent>
                        <w:p w14:paraId="4D66F526" w14:textId="01D78F6C" w:rsidR="003764D1" w:rsidRPr="003764D1" w:rsidRDefault="003764D1" w:rsidP="003764D1">
                          <w:pPr>
                            <w:spacing w:after="0"/>
                            <w:rPr>
                              <w:rFonts w:ascii="Aptos" w:eastAsia="Aptos" w:hAnsi="Aptos" w:cs="Aptos"/>
                              <w:noProof/>
                              <w:color w:val="C00000"/>
                              <w:sz w:val="24"/>
                              <w:szCs w:val="24"/>
                            </w:rPr>
                          </w:pPr>
                          <w:r w:rsidRPr="003764D1">
                            <w:rPr>
                              <w:rFonts w:ascii="Aptos" w:eastAsia="Aptos" w:hAnsi="Aptos" w:cs="Aptos"/>
                              <w:noProof/>
                              <w:color w:val="C00000"/>
                              <w:sz w:val="24"/>
                              <w:szCs w:val="24"/>
                            </w:rPr>
                            <w:t>OFFICIAL</w:t>
                          </w:r>
                        </w:p>
                      </w:txbxContent>
                    </v:textbox>
                    <w10:wrap anchorx="page" anchory="page"/>
                  </v:shape>
                </w:pict>
              </mc:Fallback>
            </mc:AlternateContent>
          </w:r>
        </w:p>
      </w:tc>
      <w:tc>
        <w:tcPr>
          <w:tcW w:w="3005" w:type="dxa"/>
        </w:tcPr>
        <w:p w14:paraId="72FF98F1" w14:textId="4B831994" w:rsidR="0EA4320E" w:rsidRDefault="0EA4320E" w:rsidP="0EA4320E">
          <w:pPr>
            <w:pStyle w:val="Header"/>
            <w:jc w:val="center"/>
          </w:pPr>
        </w:p>
      </w:tc>
      <w:tc>
        <w:tcPr>
          <w:tcW w:w="3005" w:type="dxa"/>
        </w:tcPr>
        <w:p w14:paraId="22554295" w14:textId="0F2D7C3A" w:rsidR="0EA4320E" w:rsidRDefault="0EA4320E" w:rsidP="0EA4320E">
          <w:pPr>
            <w:pStyle w:val="Header"/>
            <w:ind w:right="-115"/>
            <w:jc w:val="right"/>
          </w:pPr>
        </w:p>
      </w:tc>
    </w:tr>
  </w:tbl>
  <w:p w14:paraId="3A567015" w14:textId="52612FA6" w:rsidR="003651D8" w:rsidRDefault="003651D8" w:rsidP="0031669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EA4320E" w14:paraId="3BC1BD8E" w14:textId="77777777" w:rsidTr="0EA4320E">
      <w:trPr>
        <w:trHeight w:val="300"/>
      </w:trPr>
      <w:tc>
        <w:tcPr>
          <w:tcW w:w="3005" w:type="dxa"/>
        </w:tcPr>
        <w:p w14:paraId="7F7363EE" w14:textId="3D0723D3" w:rsidR="0EA4320E" w:rsidRDefault="003764D1" w:rsidP="0EA4320E">
          <w:pPr>
            <w:pStyle w:val="Header"/>
            <w:ind w:left="-115"/>
          </w:pPr>
          <w:r>
            <w:rPr>
              <w:noProof/>
            </w:rPr>
            <mc:AlternateContent>
              <mc:Choice Requires="wps">
                <w:drawing>
                  <wp:anchor distT="0" distB="0" distL="0" distR="0" simplePos="0" relativeHeight="251661312" behindDoc="0" locked="0" layoutInCell="1" allowOverlap="1" wp14:anchorId="55F63C3A" wp14:editId="1A9A7A90">
                    <wp:simplePos x="983615" y="360680"/>
                    <wp:positionH relativeFrom="page">
                      <wp:align>center</wp:align>
                    </wp:positionH>
                    <wp:positionV relativeFrom="page">
                      <wp:align>top</wp:align>
                    </wp:positionV>
                    <wp:extent cx="622300" cy="452755"/>
                    <wp:effectExtent l="0" t="0" r="6350" b="4445"/>
                    <wp:wrapNone/>
                    <wp:docPr id="1937768538"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169DDB89" w14:textId="40FBCB4B" w:rsidR="003764D1" w:rsidRPr="003764D1" w:rsidRDefault="003764D1" w:rsidP="003764D1">
                                <w:pPr>
                                  <w:spacing w:after="0"/>
                                  <w:rPr>
                                    <w:rFonts w:ascii="Aptos" w:eastAsia="Aptos" w:hAnsi="Aptos" w:cs="Aptos"/>
                                    <w:noProof/>
                                    <w:color w:val="C00000"/>
                                    <w:sz w:val="24"/>
                                    <w:szCs w:val="24"/>
                                  </w:rPr>
                                </w:pPr>
                                <w:r w:rsidRPr="003764D1">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F63C3A" id="_x0000_t202" coordsize="21600,21600" o:spt="202" path="m,l,21600r21600,l21600,xe">
                    <v:stroke joinstyle="miter"/>
                    <v:path gradientshapeok="t" o:connecttype="rect"/>
                  </v:shapetype>
                  <v:shape id="Text Box 4" o:spid="_x0000_s1033" type="#_x0000_t202" alt="OFFICIAL" style="position:absolute;left:0;text-align:left;margin-left:0;margin-top:0;width:49pt;height:35.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" filled="f" stroked="f">
                    <v:textbox style="mso-fit-shape-to-text:t" inset="0,15pt,0,0">
                      <w:txbxContent>
                        <w:p w14:paraId="169DDB89" w14:textId="40FBCB4B" w:rsidR="003764D1" w:rsidRPr="003764D1" w:rsidRDefault="003764D1" w:rsidP="003764D1">
                          <w:pPr>
                            <w:spacing w:after="0"/>
                            <w:rPr>
                              <w:rFonts w:ascii="Aptos" w:eastAsia="Aptos" w:hAnsi="Aptos" w:cs="Aptos"/>
                              <w:noProof/>
                              <w:color w:val="C00000"/>
                              <w:sz w:val="24"/>
                              <w:szCs w:val="24"/>
                            </w:rPr>
                          </w:pPr>
                          <w:r w:rsidRPr="003764D1">
                            <w:rPr>
                              <w:rFonts w:ascii="Aptos" w:eastAsia="Aptos" w:hAnsi="Aptos" w:cs="Aptos"/>
                              <w:noProof/>
                              <w:color w:val="C00000"/>
                              <w:sz w:val="24"/>
                              <w:szCs w:val="24"/>
                            </w:rPr>
                            <w:t>OFFICIAL</w:t>
                          </w:r>
                        </w:p>
                      </w:txbxContent>
                    </v:textbox>
                    <w10:wrap anchorx="page" anchory="page"/>
                  </v:shape>
                </w:pict>
              </mc:Fallback>
            </mc:AlternateContent>
          </w:r>
        </w:p>
      </w:tc>
      <w:tc>
        <w:tcPr>
          <w:tcW w:w="3005" w:type="dxa"/>
        </w:tcPr>
        <w:p w14:paraId="24B18494" w14:textId="6293E608" w:rsidR="0EA4320E" w:rsidRDefault="0EA4320E" w:rsidP="0EA4320E">
          <w:pPr>
            <w:pStyle w:val="Header"/>
            <w:jc w:val="center"/>
          </w:pPr>
        </w:p>
      </w:tc>
      <w:tc>
        <w:tcPr>
          <w:tcW w:w="3005" w:type="dxa"/>
        </w:tcPr>
        <w:p w14:paraId="392A94F4" w14:textId="0E9212E3" w:rsidR="0EA4320E" w:rsidRDefault="0EA4320E" w:rsidP="0EA4320E">
          <w:pPr>
            <w:pStyle w:val="Header"/>
            <w:ind w:right="-115"/>
            <w:jc w:val="right"/>
          </w:pPr>
        </w:p>
      </w:tc>
    </w:tr>
  </w:tbl>
  <w:p w14:paraId="33EFC867" w14:textId="443DE4CC" w:rsidR="003651D8" w:rsidRDefault="003651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83E0FB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0CCF41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3E56B4"/>
    <w:multiLevelType w:val="multilevel"/>
    <w:tmpl w:val="09BCD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4D0965"/>
    <w:multiLevelType w:val="hybridMultilevel"/>
    <w:tmpl w:val="D76E4596"/>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77709DF"/>
    <w:multiLevelType w:val="hybridMultilevel"/>
    <w:tmpl w:val="A58203B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 w15:restartNumberingAfterBreak="0">
    <w:nsid w:val="08D212BF"/>
    <w:multiLevelType w:val="hybridMultilevel"/>
    <w:tmpl w:val="9910A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397039"/>
    <w:multiLevelType w:val="multilevel"/>
    <w:tmpl w:val="FA9CF87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0BFE3B60"/>
    <w:multiLevelType w:val="hybridMultilevel"/>
    <w:tmpl w:val="18B63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D92922"/>
    <w:multiLevelType w:val="hybridMultilevel"/>
    <w:tmpl w:val="8580E2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89E0B75"/>
    <w:multiLevelType w:val="multilevel"/>
    <w:tmpl w:val="A122206E"/>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0" w15:restartNumberingAfterBreak="0">
    <w:nsid w:val="231517A2"/>
    <w:multiLevelType w:val="hybridMultilevel"/>
    <w:tmpl w:val="BA7235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5DA4968"/>
    <w:multiLevelType w:val="hybridMultilevel"/>
    <w:tmpl w:val="B6F442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ACA2F5E"/>
    <w:multiLevelType w:val="hybridMultilevel"/>
    <w:tmpl w:val="ACE6A7F2"/>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3" w15:restartNumberingAfterBreak="0">
    <w:nsid w:val="2AD90A32"/>
    <w:multiLevelType w:val="hybridMultilevel"/>
    <w:tmpl w:val="9C8AF5CC"/>
    <w:lvl w:ilvl="0" w:tplc="0C090001">
      <w:start w:val="1"/>
      <w:numFmt w:val="bullet"/>
      <w:lvlText w:val=""/>
      <w:lvlJc w:val="left"/>
      <w:pPr>
        <w:ind w:left="902" w:hanging="360"/>
      </w:pPr>
      <w:rPr>
        <w:rFonts w:ascii="Symbol" w:hAnsi="Symbol" w:hint="default"/>
      </w:rPr>
    </w:lvl>
    <w:lvl w:ilvl="1" w:tplc="0C090003" w:tentative="1">
      <w:start w:val="1"/>
      <w:numFmt w:val="bullet"/>
      <w:lvlText w:val="o"/>
      <w:lvlJc w:val="left"/>
      <w:pPr>
        <w:ind w:left="1622" w:hanging="360"/>
      </w:pPr>
      <w:rPr>
        <w:rFonts w:ascii="Courier New" w:hAnsi="Courier New" w:cs="Courier New" w:hint="default"/>
      </w:rPr>
    </w:lvl>
    <w:lvl w:ilvl="2" w:tplc="0C090005" w:tentative="1">
      <w:start w:val="1"/>
      <w:numFmt w:val="bullet"/>
      <w:lvlText w:val=""/>
      <w:lvlJc w:val="left"/>
      <w:pPr>
        <w:ind w:left="2342" w:hanging="360"/>
      </w:pPr>
      <w:rPr>
        <w:rFonts w:ascii="Wingdings" w:hAnsi="Wingdings" w:hint="default"/>
      </w:rPr>
    </w:lvl>
    <w:lvl w:ilvl="3" w:tplc="0C090001" w:tentative="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14" w15:restartNumberingAfterBreak="0">
    <w:nsid w:val="2D5F504E"/>
    <w:multiLevelType w:val="hybridMultilevel"/>
    <w:tmpl w:val="68027ABC"/>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5" w15:restartNumberingAfterBreak="0">
    <w:nsid w:val="30BE2606"/>
    <w:multiLevelType w:val="hybridMultilevel"/>
    <w:tmpl w:val="C4DA8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02764C"/>
    <w:multiLevelType w:val="multilevel"/>
    <w:tmpl w:val="3648D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4B6FF1"/>
    <w:multiLevelType w:val="hybridMultilevel"/>
    <w:tmpl w:val="8D02F3F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C770CA"/>
    <w:multiLevelType w:val="hybridMultilevel"/>
    <w:tmpl w:val="0412719C"/>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F611E0F"/>
    <w:multiLevelType w:val="multilevel"/>
    <w:tmpl w:val="BB5C5F8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0" w15:restartNumberingAfterBreak="0">
    <w:nsid w:val="413D6FD8"/>
    <w:multiLevelType w:val="hybridMultilevel"/>
    <w:tmpl w:val="05F01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826D0F"/>
    <w:multiLevelType w:val="hybridMultilevel"/>
    <w:tmpl w:val="72800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287920"/>
    <w:multiLevelType w:val="hybridMultilevel"/>
    <w:tmpl w:val="14AA3E5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A67207B"/>
    <w:multiLevelType w:val="hybridMultilevel"/>
    <w:tmpl w:val="2478604C"/>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24" w15:restartNumberingAfterBreak="0">
    <w:nsid w:val="4E5845EA"/>
    <w:multiLevelType w:val="multilevel"/>
    <w:tmpl w:val="DE68EB2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5" w15:restartNumberingAfterBreak="0">
    <w:nsid w:val="527B7C41"/>
    <w:multiLevelType w:val="hybridMultilevel"/>
    <w:tmpl w:val="921CE1A6"/>
    <w:lvl w:ilvl="0" w:tplc="FFFFFFFF">
      <w:start w:val="1"/>
      <w:numFmt w:val="bullet"/>
      <w:lvlText w:val=""/>
      <w:lvlJc w:val="left"/>
      <w:pPr>
        <w:ind w:left="720" w:hanging="360"/>
      </w:pPr>
    </w:lvl>
    <w:lvl w:ilvl="1" w:tplc="0C090001">
      <w:start w:val="1"/>
      <w:numFmt w:val="bullet"/>
      <w:lvlText w:val=""/>
      <w:lvlJc w:val="left"/>
      <w:pPr>
        <w:ind w:left="768"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4FC7ECE"/>
    <w:multiLevelType w:val="hybridMultilevel"/>
    <w:tmpl w:val="B1EC5526"/>
    <w:lvl w:ilvl="0" w:tplc="FFFFFFFF">
      <w:start w:val="1"/>
      <w:numFmt w:val="bullet"/>
      <w:lvlText w:val=""/>
      <w:lvlJc w:val="left"/>
      <w:pPr>
        <w:ind w:left="927"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6AF342E"/>
    <w:multiLevelType w:val="hybridMultilevel"/>
    <w:tmpl w:val="F50C7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883514"/>
    <w:multiLevelType w:val="hybridMultilevel"/>
    <w:tmpl w:val="1298A64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5B994FC9"/>
    <w:multiLevelType w:val="hybridMultilevel"/>
    <w:tmpl w:val="55C24C9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CC06E55"/>
    <w:multiLevelType w:val="hybridMultilevel"/>
    <w:tmpl w:val="28AA6676"/>
    <w:lvl w:ilvl="0" w:tplc="621EAAE2">
      <w:start w:val="1"/>
      <w:numFmt w:val="bullet"/>
      <w:pStyle w:val="ListParagraph"/>
      <w:lvlText w:val=""/>
      <w:lvlJc w:val="left"/>
      <w:pPr>
        <w:ind w:left="720" w:hanging="360"/>
      </w:pPr>
      <w:rPr>
        <w:rFonts w:ascii="Symbol" w:hAnsi="Symbol" w:hint="default"/>
      </w:rPr>
    </w:lvl>
    <w:lvl w:ilvl="1" w:tplc="145EE0C0">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CC35BD0"/>
    <w:multiLevelType w:val="multilevel"/>
    <w:tmpl w:val="E848D43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2" w15:restartNumberingAfterBreak="0">
    <w:nsid w:val="5F6D2604"/>
    <w:multiLevelType w:val="hybridMultilevel"/>
    <w:tmpl w:val="96B422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05689F"/>
    <w:multiLevelType w:val="hybridMultilevel"/>
    <w:tmpl w:val="3A6E17A2"/>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098708F"/>
    <w:multiLevelType w:val="hybridMultilevel"/>
    <w:tmpl w:val="41386198"/>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37974C3"/>
    <w:multiLevelType w:val="hybridMultilevel"/>
    <w:tmpl w:val="586242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65E84C70"/>
    <w:multiLevelType w:val="hybridMultilevel"/>
    <w:tmpl w:val="9B4AE712"/>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77676C6"/>
    <w:multiLevelType w:val="hybridMultilevel"/>
    <w:tmpl w:val="2D988DB8"/>
    <w:lvl w:ilvl="0" w:tplc="0C090001">
      <w:start w:val="1"/>
      <w:numFmt w:val="bullet"/>
      <w:lvlText w:val=""/>
      <w:lvlJc w:val="left"/>
      <w:pPr>
        <w:ind w:left="1080" w:hanging="360"/>
      </w:pPr>
      <w:rPr>
        <w:rFonts w:ascii="Symbol" w:hAnsi="Symbol" w:hint="default"/>
      </w:rPr>
    </w:lvl>
    <w:lvl w:ilvl="1" w:tplc="4FA8392E">
      <w:start w:val="5"/>
      <w:numFmt w:val="bullet"/>
      <w:lvlText w:val="•"/>
      <w:lvlJc w:val="left"/>
      <w:pPr>
        <w:ind w:left="1800" w:hanging="360"/>
      </w:pPr>
      <w:rPr>
        <w:rFonts w:ascii="Aptos" w:eastAsiaTheme="minorHAnsi" w:hAnsi="Aptos" w:cstheme="minorBidi"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6AC25D3B"/>
    <w:multiLevelType w:val="multilevel"/>
    <w:tmpl w:val="F42007B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 w15:restartNumberingAfterBreak="0">
    <w:nsid w:val="6BEC181A"/>
    <w:multiLevelType w:val="multilevel"/>
    <w:tmpl w:val="1BCE33D6"/>
    <w:lvl w:ilvl="0">
      <w:start w:val="1"/>
      <w:numFmt w:val="decimal"/>
      <w:lvlText w:val="%1."/>
      <w:lvlJc w:val="left"/>
      <w:pPr>
        <w:tabs>
          <w:tab w:val="num" w:pos="720"/>
        </w:tabs>
        <w:ind w:left="720" w:hanging="360"/>
      </w:pPr>
      <w:rPr>
        <w:rFonts w:hint="default"/>
        <w:sz w:val="20"/>
      </w:rPr>
    </w:lvl>
    <w:lvl w:ilvl="1">
      <w:start w:val="2024"/>
      <w:numFmt w:val="bullet"/>
      <w:lvlText w:val="-"/>
      <w:lvlJc w:val="left"/>
      <w:pPr>
        <w:ind w:left="1440" w:hanging="360"/>
      </w:pPr>
      <w:rPr>
        <w:rFonts w:ascii="Aptos" w:eastAsiaTheme="minorHAnsi" w:hAnsi="Aptos" w:cstheme="minorBidi" w:hint="default"/>
      </w:rPr>
    </w:lvl>
    <w:lvl w:ilvl="2">
      <w:start w:val="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AA0E26"/>
    <w:multiLevelType w:val="multilevel"/>
    <w:tmpl w:val="1BCE33D6"/>
    <w:lvl w:ilvl="0">
      <w:start w:val="1"/>
      <w:numFmt w:val="decimal"/>
      <w:lvlText w:val="%1."/>
      <w:lvlJc w:val="left"/>
      <w:pPr>
        <w:tabs>
          <w:tab w:val="num" w:pos="720"/>
        </w:tabs>
        <w:ind w:left="720" w:hanging="360"/>
      </w:pPr>
      <w:rPr>
        <w:rFonts w:hint="default"/>
        <w:sz w:val="20"/>
      </w:rPr>
    </w:lvl>
    <w:lvl w:ilvl="1">
      <w:start w:val="2024"/>
      <w:numFmt w:val="bullet"/>
      <w:lvlText w:val="-"/>
      <w:lvlJc w:val="left"/>
      <w:pPr>
        <w:ind w:left="1440" w:hanging="360"/>
      </w:pPr>
      <w:rPr>
        <w:rFonts w:ascii="Aptos" w:eastAsiaTheme="minorHAnsi" w:hAnsi="Aptos" w:cstheme="minorBidi" w:hint="default"/>
      </w:rPr>
    </w:lvl>
    <w:lvl w:ilvl="2">
      <w:start w:val="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1B7CEC"/>
    <w:multiLevelType w:val="multilevel"/>
    <w:tmpl w:val="F4085F04"/>
    <w:lvl w:ilvl="0">
      <w:start w:val="1"/>
      <w:numFmt w:val="bullet"/>
      <w:pStyle w:val="Alttextbullets"/>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4C34D7"/>
    <w:multiLevelType w:val="hybridMultilevel"/>
    <w:tmpl w:val="2C0E756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C0F2C65"/>
    <w:multiLevelType w:val="hybridMultilevel"/>
    <w:tmpl w:val="9D38D862"/>
    <w:lvl w:ilvl="0" w:tplc="A3208BB8">
      <w:start w:val="1"/>
      <w:numFmt w:val="bullet"/>
      <w:lvlText w:val=""/>
      <w:lvlJc w:val="left"/>
      <w:pPr>
        <w:ind w:left="720" w:hanging="360"/>
      </w:pPr>
      <w:rPr>
        <w:rFonts w:ascii="Symbol" w:hAnsi="Symbol"/>
      </w:rPr>
    </w:lvl>
    <w:lvl w:ilvl="1" w:tplc="98A0DF1A">
      <w:start w:val="1"/>
      <w:numFmt w:val="bullet"/>
      <w:lvlText w:val=""/>
      <w:lvlJc w:val="left"/>
      <w:pPr>
        <w:ind w:left="720" w:hanging="360"/>
      </w:pPr>
      <w:rPr>
        <w:rFonts w:ascii="Symbol" w:hAnsi="Symbol"/>
      </w:rPr>
    </w:lvl>
    <w:lvl w:ilvl="2" w:tplc="7B6070A0">
      <w:start w:val="1"/>
      <w:numFmt w:val="bullet"/>
      <w:lvlText w:val=""/>
      <w:lvlJc w:val="left"/>
      <w:pPr>
        <w:ind w:left="720" w:hanging="360"/>
      </w:pPr>
      <w:rPr>
        <w:rFonts w:ascii="Symbol" w:hAnsi="Symbol"/>
      </w:rPr>
    </w:lvl>
    <w:lvl w:ilvl="3" w:tplc="1D603F68">
      <w:start w:val="1"/>
      <w:numFmt w:val="bullet"/>
      <w:lvlText w:val=""/>
      <w:lvlJc w:val="left"/>
      <w:pPr>
        <w:ind w:left="720" w:hanging="360"/>
      </w:pPr>
      <w:rPr>
        <w:rFonts w:ascii="Symbol" w:hAnsi="Symbol"/>
      </w:rPr>
    </w:lvl>
    <w:lvl w:ilvl="4" w:tplc="E5605508">
      <w:start w:val="1"/>
      <w:numFmt w:val="bullet"/>
      <w:lvlText w:val=""/>
      <w:lvlJc w:val="left"/>
      <w:pPr>
        <w:ind w:left="720" w:hanging="360"/>
      </w:pPr>
      <w:rPr>
        <w:rFonts w:ascii="Symbol" w:hAnsi="Symbol"/>
      </w:rPr>
    </w:lvl>
    <w:lvl w:ilvl="5" w:tplc="739EDF28">
      <w:start w:val="1"/>
      <w:numFmt w:val="bullet"/>
      <w:lvlText w:val=""/>
      <w:lvlJc w:val="left"/>
      <w:pPr>
        <w:ind w:left="720" w:hanging="360"/>
      </w:pPr>
      <w:rPr>
        <w:rFonts w:ascii="Symbol" w:hAnsi="Symbol"/>
      </w:rPr>
    </w:lvl>
    <w:lvl w:ilvl="6" w:tplc="999C9172">
      <w:start w:val="1"/>
      <w:numFmt w:val="bullet"/>
      <w:lvlText w:val=""/>
      <w:lvlJc w:val="left"/>
      <w:pPr>
        <w:ind w:left="720" w:hanging="360"/>
      </w:pPr>
      <w:rPr>
        <w:rFonts w:ascii="Symbol" w:hAnsi="Symbol"/>
      </w:rPr>
    </w:lvl>
    <w:lvl w:ilvl="7" w:tplc="3B28DDFC">
      <w:start w:val="1"/>
      <w:numFmt w:val="bullet"/>
      <w:lvlText w:val=""/>
      <w:lvlJc w:val="left"/>
      <w:pPr>
        <w:ind w:left="720" w:hanging="360"/>
      </w:pPr>
      <w:rPr>
        <w:rFonts w:ascii="Symbol" w:hAnsi="Symbol"/>
      </w:rPr>
    </w:lvl>
    <w:lvl w:ilvl="8" w:tplc="8A62577E">
      <w:start w:val="1"/>
      <w:numFmt w:val="bullet"/>
      <w:lvlText w:val=""/>
      <w:lvlJc w:val="left"/>
      <w:pPr>
        <w:ind w:left="720" w:hanging="360"/>
      </w:pPr>
      <w:rPr>
        <w:rFonts w:ascii="Symbol" w:hAnsi="Symbol"/>
      </w:rPr>
    </w:lvl>
  </w:abstractNum>
  <w:abstractNum w:abstractNumId="44" w15:restartNumberingAfterBreak="0">
    <w:nsid w:val="7FB04B32"/>
    <w:multiLevelType w:val="hybridMultilevel"/>
    <w:tmpl w:val="905EEA52"/>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313" w:hanging="360"/>
      </w:pPr>
      <w:rPr>
        <w:rFonts w:ascii="Courier New" w:hAnsi="Courier New" w:cs="Courier New" w:hint="default"/>
      </w:rPr>
    </w:lvl>
    <w:lvl w:ilvl="2" w:tplc="0C090005" w:tentative="1">
      <w:start w:val="1"/>
      <w:numFmt w:val="bullet"/>
      <w:lvlText w:val=""/>
      <w:lvlJc w:val="left"/>
      <w:pPr>
        <w:ind w:left="3033" w:hanging="360"/>
      </w:pPr>
      <w:rPr>
        <w:rFonts w:ascii="Wingdings" w:hAnsi="Wingdings" w:hint="default"/>
      </w:rPr>
    </w:lvl>
    <w:lvl w:ilvl="3" w:tplc="0C090001" w:tentative="1">
      <w:start w:val="1"/>
      <w:numFmt w:val="bullet"/>
      <w:lvlText w:val=""/>
      <w:lvlJc w:val="left"/>
      <w:pPr>
        <w:ind w:left="3753" w:hanging="360"/>
      </w:pPr>
      <w:rPr>
        <w:rFonts w:ascii="Symbol" w:hAnsi="Symbol" w:hint="default"/>
      </w:rPr>
    </w:lvl>
    <w:lvl w:ilvl="4" w:tplc="0C090003" w:tentative="1">
      <w:start w:val="1"/>
      <w:numFmt w:val="bullet"/>
      <w:lvlText w:val="o"/>
      <w:lvlJc w:val="left"/>
      <w:pPr>
        <w:ind w:left="4473" w:hanging="360"/>
      </w:pPr>
      <w:rPr>
        <w:rFonts w:ascii="Courier New" w:hAnsi="Courier New" w:cs="Courier New" w:hint="default"/>
      </w:rPr>
    </w:lvl>
    <w:lvl w:ilvl="5" w:tplc="0C090005" w:tentative="1">
      <w:start w:val="1"/>
      <w:numFmt w:val="bullet"/>
      <w:lvlText w:val=""/>
      <w:lvlJc w:val="left"/>
      <w:pPr>
        <w:ind w:left="5193" w:hanging="360"/>
      </w:pPr>
      <w:rPr>
        <w:rFonts w:ascii="Wingdings" w:hAnsi="Wingdings" w:hint="default"/>
      </w:rPr>
    </w:lvl>
    <w:lvl w:ilvl="6" w:tplc="0C090001" w:tentative="1">
      <w:start w:val="1"/>
      <w:numFmt w:val="bullet"/>
      <w:lvlText w:val=""/>
      <w:lvlJc w:val="left"/>
      <w:pPr>
        <w:ind w:left="5913" w:hanging="360"/>
      </w:pPr>
      <w:rPr>
        <w:rFonts w:ascii="Symbol" w:hAnsi="Symbol" w:hint="default"/>
      </w:rPr>
    </w:lvl>
    <w:lvl w:ilvl="7" w:tplc="0C090003" w:tentative="1">
      <w:start w:val="1"/>
      <w:numFmt w:val="bullet"/>
      <w:lvlText w:val="o"/>
      <w:lvlJc w:val="left"/>
      <w:pPr>
        <w:ind w:left="6633" w:hanging="360"/>
      </w:pPr>
      <w:rPr>
        <w:rFonts w:ascii="Courier New" w:hAnsi="Courier New" w:cs="Courier New" w:hint="default"/>
      </w:rPr>
    </w:lvl>
    <w:lvl w:ilvl="8" w:tplc="0C090005" w:tentative="1">
      <w:start w:val="1"/>
      <w:numFmt w:val="bullet"/>
      <w:lvlText w:val=""/>
      <w:lvlJc w:val="left"/>
      <w:pPr>
        <w:ind w:left="7353" w:hanging="360"/>
      </w:pPr>
      <w:rPr>
        <w:rFonts w:ascii="Wingdings" w:hAnsi="Wingdings" w:hint="default"/>
      </w:rPr>
    </w:lvl>
  </w:abstractNum>
  <w:num w:numId="1" w16cid:durableId="660547498">
    <w:abstractNumId w:val="1"/>
  </w:num>
  <w:num w:numId="2" w16cid:durableId="1405948882">
    <w:abstractNumId w:val="0"/>
  </w:num>
  <w:num w:numId="3" w16cid:durableId="802622208">
    <w:abstractNumId w:val="20"/>
  </w:num>
  <w:num w:numId="4" w16cid:durableId="1017660895">
    <w:abstractNumId w:val="21"/>
  </w:num>
  <w:num w:numId="5" w16cid:durableId="1004434061">
    <w:abstractNumId w:val="27"/>
  </w:num>
  <w:num w:numId="6" w16cid:durableId="234555646">
    <w:abstractNumId w:val="13"/>
  </w:num>
  <w:num w:numId="7" w16cid:durableId="1532380335">
    <w:abstractNumId w:val="12"/>
  </w:num>
  <w:num w:numId="8" w16cid:durableId="444927400">
    <w:abstractNumId w:val="11"/>
  </w:num>
  <w:num w:numId="9" w16cid:durableId="1086339583">
    <w:abstractNumId w:val="14"/>
  </w:num>
  <w:num w:numId="10" w16cid:durableId="2119331145">
    <w:abstractNumId w:val="23"/>
  </w:num>
  <w:num w:numId="11" w16cid:durableId="636496019">
    <w:abstractNumId w:val="16"/>
  </w:num>
  <w:num w:numId="12" w16cid:durableId="1540361038">
    <w:abstractNumId w:val="39"/>
  </w:num>
  <w:num w:numId="13" w16cid:durableId="1310401016">
    <w:abstractNumId w:val="41"/>
  </w:num>
  <w:num w:numId="14" w16cid:durableId="2068604633">
    <w:abstractNumId w:val="37"/>
  </w:num>
  <w:num w:numId="15" w16cid:durableId="374038742">
    <w:abstractNumId w:val="15"/>
  </w:num>
  <w:num w:numId="16" w16cid:durableId="2036228048">
    <w:abstractNumId w:val="31"/>
  </w:num>
  <w:num w:numId="17" w16cid:durableId="2023773543">
    <w:abstractNumId w:val="38"/>
  </w:num>
  <w:num w:numId="18" w16cid:durableId="717389194">
    <w:abstractNumId w:val="6"/>
  </w:num>
  <w:num w:numId="19" w16cid:durableId="479611818">
    <w:abstractNumId w:val="24"/>
  </w:num>
  <w:num w:numId="20" w16cid:durableId="610406015">
    <w:abstractNumId w:val="9"/>
  </w:num>
  <w:num w:numId="21" w16cid:durableId="1837960991">
    <w:abstractNumId w:val="19"/>
  </w:num>
  <w:num w:numId="22" w16cid:durableId="774444474">
    <w:abstractNumId w:val="2"/>
  </w:num>
  <w:num w:numId="23" w16cid:durableId="2139565578">
    <w:abstractNumId w:val="8"/>
  </w:num>
  <w:num w:numId="24" w16cid:durableId="829292663">
    <w:abstractNumId w:val="10"/>
  </w:num>
  <w:num w:numId="25" w16cid:durableId="544370781">
    <w:abstractNumId w:val="35"/>
  </w:num>
  <w:num w:numId="26" w16cid:durableId="2050375692">
    <w:abstractNumId w:val="43"/>
  </w:num>
  <w:num w:numId="27" w16cid:durableId="402483218">
    <w:abstractNumId w:val="28"/>
  </w:num>
  <w:num w:numId="28" w16cid:durableId="201480576">
    <w:abstractNumId w:val="17"/>
  </w:num>
  <w:num w:numId="29" w16cid:durableId="1750038088">
    <w:abstractNumId w:val="40"/>
  </w:num>
  <w:num w:numId="30" w16cid:durableId="719862200">
    <w:abstractNumId w:val="44"/>
  </w:num>
  <w:num w:numId="31" w16cid:durableId="772827431">
    <w:abstractNumId w:val="25"/>
  </w:num>
  <w:num w:numId="32" w16cid:durableId="327172571">
    <w:abstractNumId w:val="29"/>
  </w:num>
  <w:num w:numId="33" w16cid:durableId="603659757">
    <w:abstractNumId w:val="36"/>
  </w:num>
  <w:num w:numId="34" w16cid:durableId="1936395908">
    <w:abstractNumId w:val="33"/>
  </w:num>
  <w:num w:numId="35" w16cid:durableId="551842356">
    <w:abstractNumId w:val="22"/>
  </w:num>
  <w:num w:numId="36" w16cid:durableId="1609048900">
    <w:abstractNumId w:val="34"/>
  </w:num>
  <w:num w:numId="37" w16cid:durableId="355815908">
    <w:abstractNumId w:val="3"/>
  </w:num>
  <w:num w:numId="38" w16cid:durableId="2126072358">
    <w:abstractNumId w:val="26"/>
  </w:num>
  <w:num w:numId="39" w16cid:durableId="282469024">
    <w:abstractNumId w:val="4"/>
  </w:num>
  <w:num w:numId="40" w16cid:durableId="1515654113">
    <w:abstractNumId w:val="32"/>
  </w:num>
  <w:num w:numId="41" w16cid:durableId="76829778">
    <w:abstractNumId w:val="5"/>
  </w:num>
  <w:num w:numId="42" w16cid:durableId="1924948665">
    <w:abstractNumId w:val="7"/>
  </w:num>
  <w:num w:numId="43" w16cid:durableId="2142796219">
    <w:abstractNumId w:val="30"/>
  </w:num>
  <w:num w:numId="44" w16cid:durableId="1752317435">
    <w:abstractNumId w:val="42"/>
  </w:num>
  <w:num w:numId="45" w16cid:durableId="1429739117">
    <w:abstractNumId w:val="1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582"/>
    <w:rsid w:val="000000D4"/>
    <w:rsid w:val="000008AE"/>
    <w:rsid w:val="00000EE8"/>
    <w:rsid w:val="00001041"/>
    <w:rsid w:val="00001A0D"/>
    <w:rsid w:val="00001C63"/>
    <w:rsid w:val="00001D34"/>
    <w:rsid w:val="00002364"/>
    <w:rsid w:val="0000349E"/>
    <w:rsid w:val="0000364B"/>
    <w:rsid w:val="00003766"/>
    <w:rsid w:val="00003DEA"/>
    <w:rsid w:val="00004E9D"/>
    <w:rsid w:val="00005194"/>
    <w:rsid w:val="00005895"/>
    <w:rsid w:val="00005D3B"/>
    <w:rsid w:val="00005DA0"/>
    <w:rsid w:val="000060F7"/>
    <w:rsid w:val="00006373"/>
    <w:rsid w:val="00007AD4"/>
    <w:rsid w:val="00010C9D"/>
    <w:rsid w:val="00011F6B"/>
    <w:rsid w:val="000130DB"/>
    <w:rsid w:val="000130FB"/>
    <w:rsid w:val="00013255"/>
    <w:rsid w:val="000135CA"/>
    <w:rsid w:val="00014FDE"/>
    <w:rsid w:val="000152F5"/>
    <w:rsid w:val="0001546E"/>
    <w:rsid w:val="00015A5B"/>
    <w:rsid w:val="00015F31"/>
    <w:rsid w:val="000164F0"/>
    <w:rsid w:val="00016727"/>
    <w:rsid w:val="000167EC"/>
    <w:rsid w:val="00016803"/>
    <w:rsid w:val="000176FB"/>
    <w:rsid w:val="00017B0B"/>
    <w:rsid w:val="00017F90"/>
    <w:rsid w:val="0002045F"/>
    <w:rsid w:val="00020FB2"/>
    <w:rsid w:val="0002106C"/>
    <w:rsid w:val="000219A2"/>
    <w:rsid w:val="00021C61"/>
    <w:rsid w:val="00021E93"/>
    <w:rsid w:val="00022ACC"/>
    <w:rsid w:val="00022B32"/>
    <w:rsid w:val="000230DF"/>
    <w:rsid w:val="00023229"/>
    <w:rsid w:val="00023415"/>
    <w:rsid w:val="00023483"/>
    <w:rsid w:val="000237DF"/>
    <w:rsid w:val="00023BE5"/>
    <w:rsid w:val="00023D3D"/>
    <w:rsid w:val="000247D0"/>
    <w:rsid w:val="00024B79"/>
    <w:rsid w:val="00024E0E"/>
    <w:rsid w:val="00025127"/>
    <w:rsid w:val="0002597F"/>
    <w:rsid w:val="00025A4E"/>
    <w:rsid w:val="00025BD4"/>
    <w:rsid w:val="00026066"/>
    <w:rsid w:val="00026B82"/>
    <w:rsid w:val="00026DA5"/>
    <w:rsid w:val="0002773F"/>
    <w:rsid w:val="00027928"/>
    <w:rsid w:val="0003060D"/>
    <w:rsid w:val="00030E2C"/>
    <w:rsid w:val="00031315"/>
    <w:rsid w:val="000313DE"/>
    <w:rsid w:val="00031B41"/>
    <w:rsid w:val="0003250E"/>
    <w:rsid w:val="00032995"/>
    <w:rsid w:val="00032EF9"/>
    <w:rsid w:val="00033163"/>
    <w:rsid w:val="000336DC"/>
    <w:rsid w:val="0003389E"/>
    <w:rsid w:val="0003433A"/>
    <w:rsid w:val="00034867"/>
    <w:rsid w:val="00034E7D"/>
    <w:rsid w:val="00034EA8"/>
    <w:rsid w:val="00035171"/>
    <w:rsid w:val="00035681"/>
    <w:rsid w:val="00035779"/>
    <w:rsid w:val="00035F56"/>
    <w:rsid w:val="000364DE"/>
    <w:rsid w:val="00036E0A"/>
    <w:rsid w:val="000371ED"/>
    <w:rsid w:val="000371F0"/>
    <w:rsid w:val="000372BF"/>
    <w:rsid w:val="000403AB"/>
    <w:rsid w:val="00040512"/>
    <w:rsid w:val="00041005"/>
    <w:rsid w:val="0004200C"/>
    <w:rsid w:val="00043822"/>
    <w:rsid w:val="00043F36"/>
    <w:rsid w:val="00044C41"/>
    <w:rsid w:val="00044D6D"/>
    <w:rsid w:val="000451F1"/>
    <w:rsid w:val="0004595E"/>
    <w:rsid w:val="0004617A"/>
    <w:rsid w:val="0004641B"/>
    <w:rsid w:val="000468B1"/>
    <w:rsid w:val="000477AC"/>
    <w:rsid w:val="00050A43"/>
    <w:rsid w:val="000515E6"/>
    <w:rsid w:val="000516E7"/>
    <w:rsid w:val="00051719"/>
    <w:rsid w:val="0005183B"/>
    <w:rsid w:val="00052A6E"/>
    <w:rsid w:val="00052E96"/>
    <w:rsid w:val="00052FD9"/>
    <w:rsid w:val="00053C1E"/>
    <w:rsid w:val="00053E70"/>
    <w:rsid w:val="000545BD"/>
    <w:rsid w:val="0005480C"/>
    <w:rsid w:val="0005480F"/>
    <w:rsid w:val="000549CE"/>
    <w:rsid w:val="00054F8F"/>
    <w:rsid w:val="000552B3"/>
    <w:rsid w:val="0005684F"/>
    <w:rsid w:val="0005688F"/>
    <w:rsid w:val="0006039A"/>
    <w:rsid w:val="00060815"/>
    <w:rsid w:val="00060B34"/>
    <w:rsid w:val="00060E4B"/>
    <w:rsid w:val="00060E9D"/>
    <w:rsid w:val="00062015"/>
    <w:rsid w:val="0006226D"/>
    <w:rsid w:val="000629BD"/>
    <w:rsid w:val="00063125"/>
    <w:rsid w:val="00063993"/>
    <w:rsid w:val="00063D2B"/>
    <w:rsid w:val="00063EFB"/>
    <w:rsid w:val="00064359"/>
    <w:rsid w:val="00064F82"/>
    <w:rsid w:val="0006679A"/>
    <w:rsid w:val="00066E4B"/>
    <w:rsid w:val="000673B3"/>
    <w:rsid w:val="000675C1"/>
    <w:rsid w:val="00067753"/>
    <w:rsid w:val="0007045C"/>
    <w:rsid w:val="0007067B"/>
    <w:rsid w:val="00070961"/>
    <w:rsid w:val="00071297"/>
    <w:rsid w:val="0007218F"/>
    <w:rsid w:val="0007228E"/>
    <w:rsid w:val="0007266A"/>
    <w:rsid w:val="00072AD0"/>
    <w:rsid w:val="000732A6"/>
    <w:rsid w:val="00074455"/>
    <w:rsid w:val="00074974"/>
    <w:rsid w:val="00074C73"/>
    <w:rsid w:val="00074FF7"/>
    <w:rsid w:val="000759E3"/>
    <w:rsid w:val="00076790"/>
    <w:rsid w:val="00076D28"/>
    <w:rsid w:val="00080382"/>
    <w:rsid w:val="000805BB"/>
    <w:rsid w:val="000806BF"/>
    <w:rsid w:val="00080AA7"/>
    <w:rsid w:val="0008103A"/>
    <w:rsid w:val="0008167B"/>
    <w:rsid w:val="0008199A"/>
    <w:rsid w:val="00081D07"/>
    <w:rsid w:val="00082266"/>
    <w:rsid w:val="00082BA9"/>
    <w:rsid w:val="00083230"/>
    <w:rsid w:val="0008385C"/>
    <w:rsid w:val="0008388C"/>
    <w:rsid w:val="00083A27"/>
    <w:rsid w:val="00083A7B"/>
    <w:rsid w:val="00083CDA"/>
    <w:rsid w:val="00083E06"/>
    <w:rsid w:val="000844BC"/>
    <w:rsid w:val="00084702"/>
    <w:rsid w:val="00084CC8"/>
    <w:rsid w:val="00084D87"/>
    <w:rsid w:val="000852EA"/>
    <w:rsid w:val="00086742"/>
    <w:rsid w:val="00087F9A"/>
    <w:rsid w:val="00087FD8"/>
    <w:rsid w:val="0009078C"/>
    <w:rsid w:val="00090DDB"/>
    <w:rsid w:val="00090E3F"/>
    <w:rsid w:val="00091673"/>
    <w:rsid w:val="000921C8"/>
    <w:rsid w:val="00092445"/>
    <w:rsid w:val="00093804"/>
    <w:rsid w:val="00093833"/>
    <w:rsid w:val="00093905"/>
    <w:rsid w:val="000947F2"/>
    <w:rsid w:val="00095430"/>
    <w:rsid w:val="00095E4B"/>
    <w:rsid w:val="00097390"/>
    <w:rsid w:val="00097B47"/>
    <w:rsid w:val="00097C31"/>
    <w:rsid w:val="000A079F"/>
    <w:rsid w:val="000A0841"/>
    <w:rsid w:val="000A0E74"/>
    <w:rsid w:val="000A1839"/>
    <w:rsid w:val="000A2553"/>
    <w:rsid w:val="000A2732"/>
    <w:rsid w:val="000A2B4C"/>
    <w:rsid w:val="000A2D4C"/>
    <w:rsid w:val="000A339C"/>
    <w:rsid w:val="000A4013"/>
    <w:rsid w:val="000A4187"/>
    <w:rsid w:val="000A4885"/>
    <w:rsid w:val="000A4AB3"/>
    <w:rsid w:val="000A5236"/>
    <w:rsid w:val="000A64C4"/>
    <w:rsid w:val="000A67A7"/>
    <w:rsid w:val="000A6C40"/>
    <w:rsid w:val="000A7345"/>
    <w:rsid w:val="000A75CB"/>
    <w:rsid w:val="000A761B"/>
    <w:rsid w:val="000A7BAE"/>
    <w:rsid w:val="000B1BB9"/>
    <w:rsid w:val="000B20FD"/>
    <w:rsid w:val="000B361D"/>
    <w:rsid w:val="000B3744"/>
    <w:rsid w:val="000B37D7"/>
    <w:rsid w:val="000B3A95"/>
    <w:rsid w:val="000B3D16"/>
    <w:rsid w:val="000B3F00"/>
    <w:rsid w:val="000B42C1"/>
    <w:rsid w:val="000B42DC"/>
    <w:rsid w:val="000B4AE8"/>
    <w:rsid w:val="000B4C5F"/>
    <w:rsid w:val="000B4CD2"/>
    <w:rsid w:val="000B5324"/>
    <w:rsid w:val="000B60F4"/>
    <w:rsid w:val="000B6C60"/>
    <w:rsid w:val="000B6D09"/>
    <w:rsid w:val="000B6EE0"/>
    <w:rsid w:val="000B7005"/>
    <w:rsid w:val="000B724D"/>
    <w:rsid w:val="000C0866"/>
    <w:rsid w:val="000C11EC"/>
    <w:rsid w:val="000C1459"/>
    <w:rsid w:val="000C185B"/>
    <w:rsid w:val="000C1BBC"/>
    <w:rsid w:val="000C1E0C"/>
    <w:rsid w:val="000C20AF"/>
    <w:rsid w:val="000C29D0"/>
    <w:rsid w:val="000C3494"/>
    <w:rsid w:val="000C3BD8"/>
    <w:rsid w:val="000C4034"/>
    <w:rsid w:val="000C459F"/>
    <w:rsid w:val="000C45FF"/>
    <w:rsid w:val="000C5253"/>
    <w:rsid w:val="000C5AEC"/>
    <w:rsid w:val="000C5F73"/>
    <w:rsid w:val="000C63DB"/>
    <w:rsid w:val="000C6A53"/>
    <w:rsid w:val="000C6F1D"/>
    <w:rsid w:val="000C72B7"/>
    <w:rsid w:val="000C73EB"/>
    <w:rsid w:val="000C740C"/>
    <w:rsid w:val="000C7643"/>
    <w:rsid w:val="000C76E7"/>
    <w:rsid w:val="000C7F5D"/>
    <w:rsid w:val="000D009B"/>
    <w:rsid w:val="000D0471"/>
    <w:rsid w:val="000D09BB"/>
    <w:rsid w:val="000D0ACA"/>
    <w:rsid w:val="000D0EA1"/>
    <w:rsid w:val="000D1584"/>
    <w:rsid w:val="000D1789"/>
    <w:rsid w:val="000D1AFB"/>
    <w:rsid w:val="000D1E3E"/>
    <w:rsid w:val="000D2080"/>
    <w:rsid w:val="000D20EC"/>
    <w:rsid w:val="000D27DF"/>
    <w:rsid w:val="000D2AB6"/>
    <w:rsid w:val="000D2CF2"/>
    <w:rsid w:val="000D3247"/>
    <w:rsid w:val="000D32C0"/>
    <w:rsid w:val="000D34A9"/>
    <w:rsid w:val="000D3761"/>
    <w:rsid w:val="000D3A24"/>
    <w:rsid w:val="000D3EDC"/>
    <w:rsid w:val="000D3FDE"/>
    <w:rsid w:val="000D4507"/>
    <w:rsid w:val="000D4DBB"/>
    <w:rsid w:val="000D50AC"/>
    <w:rsid w:val="000D53C6"/>
    <w:rsid w:val="000D54A2"/>
    <w:rsid w:val="000D569B"/>
    <w:rsid w:val="000D5AB9"/>
    <w:rsid w:val="000D5F78"/>
    <w:rsid w:val="000D5F9E"/>
    <w:rsid w:val="000D60B0"/>
    <w:rsid w:val="000D6645"/>
    <w:rsid w:val="000D6ECB"/>
    <w:rsid w:val="000D7294"/>
    <w:rsid w:val="000D77EB"/>
    <w:rsid w:val="000D7DB2"/>
    <w:rsid w:val="000D7EF5"/>
    <w:rsid w:val="000E0628"/>
    <w:rsid w:val="000E071D"/>
    <w:rsid w:val="000E0766"/>
    <w:rsid w:val="000E0E2B"/>
    <w:rsid w:val="000E0F53"/>
    <w:rsid w:val="000E0F63"/>
    <w:rsid w:val="000E1BDD"/>
    <w:rsid w:val="000E1C65"/>
    <w:rsid w:val="000E1EB4"/>
    <w:rsid w:val="000E1F8B"/>
    <w:rsid w:val="000E20B3"/>
    <w:rsid w:val="000E2AA9"/>
    <w:rsid w:val="000E36C4"/>
    <w:rsid w:val="000E39CE"/>
    <w:rsid w:val="000E42E9"/>
    <w:rsid w:val="000E452B"/>
    <w:rsid w:val="000E4666"/>
    <w:rsid w:val="000E48C7"/>
    <w:rsid w:val="000E4D3A"/>
    <w:rsid w:val="000E599A"/>
    <w:rsid w:val="000E5C60"/>
    <w:rsid w:val="000E5E71"/>
    <w:rsid w:val="000E5F2D"/>
    <w:rsid w:val="000E6729"/>
    <w:rsid w:val="000E6965"/>
    <w:rsid w:val="000E76F3"/>
    <w:rsid w:val="000E7A46"/>
    <w:rsid w:val="000F0452"/>
    <w:rsid w:val="000F1508"/>
    <w:rsid w:val="000F1590"/>
    <w:rsid w:val="000F19C8"/>
    <w:rsid w:val="000F1C22"/>
    <w:rsid w:val="000F2535"/>
    <w:rsid w:val="000F2564"/>
    <w:rsid w:val="000F2F6E"/>
    <w:rsid w:val="000F33D5"/>
    <w:rsid w:val="000F37F3"/>
    <w:rsid w:val="000F3B51"/>
    <w:rsid w:val="000F3C48"/>
    <w:rsid w:val="000F490F"/>
    <w:rsid w:val="000F4C04"/>
    <w:rsid w:val="000F4C62"/>
    <w:rsid w:val="000F558A"/>
    <w:rsid w:val="000F581B"/>
    <w:rsid w:val="000F5C51"/>
    <w:rsid w:val="000F62AE"/>
    <w:rsid w:val="000F7134"/>
    <w:rsid w:val="000F78AE"/>
    <w:rsid w:val="00100259"/>
    <w:rsid w:val="001002E5"/>
    <w:rsid w:val="001004C3"/>
    <w:rsid w:val="0010065C"/>
    <w:rsid w:val="001008F4"/>
    <w:rsid w:val="00100910"/>
    <w:rsid w:val="00100CCB"/>
    <w:rsid w:val="00100E90"/>
    <w:rsid w:val="00100FB1"/>
    <w:rsid w:val="00101131"/>
    <w:rsid w:val="00102046"/>
    <w:rsid w:val="0010216E"/>
    <w:rsid w:val="00102949"/>
    <w:rsid w:val="00102AAB"/>
    <w:rsid w:val="00103391"/>
    <w:rsid w:val="0010443C"/>
    <w:rsid w:val="00104896"/>
    <w:rsid w:val="00105CFE"/>
    <w:rsid w:val="00105EF1"/>
    <w:rsid w:val="00105FB8"/>
    <w:rsid w:val="001063B9"/>
    <w:rsid w:val="001065C2"/>
    <w:rsid w:val="001074E4"/>
    <w:rsid w:val="00107CC4"/>
    <w:rsid w:val="001100EC"/>
    <w:rsid w:val="001104DB"/>
    <w:rsid w:val="001106B9"/>
    <w:rsid w:val="001111CD"/>
    <w:rsid w:val="001116D1"/>
    <w:rsid w:val="00111CE9"/>
    <w:rsid w:val="00112458"/>
    <w:rsid w:val="001129F4"/>
    <w:rsid w:val="00112D03"/>
    <w:rsid w:val="00112FF0"/>
    <w:rsid w:val="0011384C"/>
    <w:rsid w:val="00114032"/>
    <w:rsid w:val="001142C4"/>
    <w:rsid w:val="0011434D"/>
    <w:rsid w:val="001155DE"/>
    <w:rsid w:val="00115C7F"/>
    <w:rsid w:val="00115E30"/>
    <w:rsid w:val="00116F32"/>
    <w:rsid w:val="00117101"/>
    <w:rsid w:val="001176A9"/>
    <w:rsid w:val="00117B0D"/>
    <w:rsid w:val="00117DCD"/>
    <w:rsid w:val="001209D7"/>
    <w:rsid w:val="00120ABB"/>
    <w:rsid w:val="00120D58"/>
    <w:rsid w:val="0012119A"/>
    <w:rsid w:val="001219C0"/>
    <w:rsid w:val="00121AEA"/>
    <w:rsid w:val="00122B30"/>
    <w:rsid w:val="00123480"/>
    <w:rsid w:val="00123776"/>
    <w:rsid w:val="00123BA7"/>
    <w:rsid w:val="00124181"/>
    <w:rsid w:val="0012431F"/>
    <w:rsid w:val="0012479A"/>
    <w:rsid w:val="001247BD"/>
    <w:rsid w:val="00124ABA"/>
    <w:rsid w:val="00125020"/>
    <w:rsid w:val="0012523D"/>
    <w:rsid w:val="00125924"/>
    <w:rsid w:val="001261A9"/>
    <w:rsid w:val="00126630"/>
    <w:rsid w:val="00126E13"/>
    <w:rsid w:val="001271DE"/>
    <w:rsid w:val="001279E4"/>
    <w:rsid w:val="00127FF2"/>
    <w:rsid w:val="0013004D"/>
    <w:rsid w:val="001322B8"/>
    <w:rsid w:val="001327AE"/>
    <w:rsid w:val="00132F3C"/>
    <w:rsid w:val="001332A5"/>
    <w:rsid w:val="00133844"/>
    <w:rsid w:val="0013399C"/>
    <w:rsid w:val="00134774"/>
    <w:rsid w:val="00134C4B"/>
    <w:rsid w:val="00135765"/>
    <w:rsid w:val="001360AA"/>
    <w:rsid w:val="0013611E"/>
    <w:rsid w:val="00136638"/>
    <w:rsid w:val="00136822"/>
    <w:rsid w:val="00137F25"/>
    <w:rsid w:val="0014021F"/>
    <w:rsid w:val="00140FDC"/>
    <w:rsid w:val="0014166B"/>
    <w:rsid w:val="00141728"/>
    <w:rsid w:val="00141C34"/>
    <w:rsid w:val="0014272B"/>
    <w:rsid w:val="00142BFC"/>
    <w:rsid w:val="00143146"/>
    <w:rsid w:val="001432D4"/>
    <w:rsid w:val="00144444"/>
    <w:rsid w:val="00144C6D"/>
    <w:rsid w:val="001450E0"/>
    <w:rsid w:val="001453B6"/>
    <w:rsid w:val="00145C3A"/>
    <w:rsid w:val="00146109"/>
    <w:rsid w:val="00146B0C"/>
    <w:rsid w:val="00150229"/>
    <w:rsid w:val="001502BA"/>
    <w:rsid w:val="00150D0A"/>
    <w:rsid w:val="001536B6"/>
    <w:rsid w:val="0015399C"/>
    <w:rsid w:val="00153C15"/>
    <w:rsid w:val="001550F8"/>
    <w:rsid w:val="00155382"/>
    <w:rsid w:val="00156322"/>
    <w:rsid w:val="001568EA"/>
    <w:rsid w:val="001573C7"/>
    <w:rsid w:val="001573F2"/>
    <w:rsid w:val="001575FF"/>
    <w:rsid w:val="00157870"/>
    <w:rsid w:val="001578BD"/>
    <w:rsid w:val="0016047D"/>
    <w:rsid w:val="00161EDE"/>
    <w:rsid w:val="00162987"/>
    <w:rsid w:val="00162B8B"/>
    <w:rsid w:val="00162F1F"/>
    <w:rsid w:val="00163EA8"/>
    <w:rsid w:val="00164578"/>
    <w:rsid w:val="00165157"/>
    <w:rsid w:val="001655C8"/>
    <w:rsid w:val="00165BC7"/>
    <w:rsid w:val="00165C4F"/>
    <w:rsid w:val="001666F4"/>
    <w:rsid w:val="0016711F"/>
    <w:rsid w:val="001671A2"/>
    <w:rsid w:val="00167390"/>
    <w:rsid w:val="0017152F"/>
    <w:rsid w:val="00171757"/>
    <w:rsid w:val="00171B2F"/>
    <w:rsid w:val="00171E1B"/>
    <w:rsid w:val="00172016"/>
    <w:rsid w:val="0017280F"/>
    <w:rsid w:val="00173182"/>
    <w:rsid w:val="00173309"/>
    <w:rsid w:val="00173967"/>
    <w:rsid w:val="00174243"/>
    <w:rsid w:val="0017465B"/>
    <w:rsid w:val="00174925"/>
    <w:rsid w:val="00174FE0"/>
    <w:rsid w:val="00175905"/>
    <w:rsid w:val="00175CD1"/>
    <w:rsid w:val="00175E07"/>
    <w:rsid w:val="00176862"/>
    <w:rsid w:val="00176F09"/>
    <w:rsid w:val="00176FE7"/>
    <w:rsid w:val="00177FF4"/>
    <w:rsid w:val="001806C1"/>
    <w:rsid w:val="00180D9C"/>
    <w:rsid w:val="0018103B"/>
    <w:rsid w:val="001813F5"/>
    <w:rsid w:val="0018145A"/>
    <w:rsid w:val="00181BF9"/>
    <w:rsid w:val="001829C4"/>
    <w:rsid w:val="00182F03"/>
    <w:rsid w:val="0018310D"/>
    <w:rsid w:val="0018343E"/>
    <w:rsid w:val="00183737"/>
    <w:rsid w:val="00183884"/>
    <w:rsid w:val="00183A7C"/>
    <w:rsid w:val="00184420"/>
    <w:rsid w:val="0018484B"/>
    <w:rsid w:val="001848A2"/>
    <w:rsid w:val="00184BF4"/>
    <w:rsid w:val="00184C3F"/>
    <w:rsid w:val="00184F22"/>
    <w:rsid w:val="00185160"/>
    <w:rsid w:val="00185175"/>
    <w:rsid w:val="001855AA"/>
    <w:rsid w:val="001856F9"/>
    <w:rsid w:val="00186397"/>
    <w:rsid w:val="00186D5A"/>
    <w:rsid w:val="001871A7"/>
    <w:rsid w:val="001872DB"/>
    <w:rsid w:val="0018753C"/>
    <w:rsid w:val="001909A3"/>
    <w:rsid w:val="00190BFC"/>
    <w:rsid w:val="00191171"/>
    <w:rsid w:val="00191A8F"/>
    <w:rsid w:val="00191E7A"/>
    <w:rsid w:val="00192506"/>
    <w:rsid w:val="00193052"/>
    <w:rsid w:val="001931AA"/>
    <w:rsid w:val="00193463"/>
    <w:rsid w:val="00193EBC"/>
    <w:rsid w:val="00194586"/>
    <w:rsid w:val="00195B42"/>
    <w:rsid w:val="00195E71"/>
    <w:rsid w:val="001966CB"/>
    <w:rsid w:val="001969B6"/>
    <w:rsid w:val="00197772"/>
    <w:rsid w:val="001A0300"/>
    <w:rsid w:val="001A1536"/>
    <w:rsid w:val="001A172C"/>
    <w:rsid w:val="001A18DE"/>
    <w:rsid w:val="001A19BB"/>
    <w:rsid w:val="001A1A44"/>
    <w:rsid w:val="001A1F0B"/>
    <w:rsid w:val="001A3235"/>
    <w:rsid w:val="001A365B"/>
    <w:rsid w:val="001A38CC"/>
    <w:rsid w:val="001A3971"/>
    <w:rsid w:val="001A3A5F"/>
    <w:rsid w:val="001A3C94"/>
    <w:rsid w:val="001A3CC4"/>
    <w:rsid w:val="001A3F3E"/>
    <w:rsid w:val="001A4E34"/>
    <w:rsid w:val="001A562C"/>
    <w:rsid w:val="001A62C1"/>
    <w:rsid w:val="001A6823"/>
    <w:rsid w:val="001A6899"/>
    <w:rsid w:val="001A6914"/>
    <w:rsid w:val="001A6E6E"/>
    <w:rsid w:val="001A6F3B"/>
    <w:rsid w:val="001A74A7"/>
    <w:rsid w:val="001A7733"/>
    <w:rsid w:val="001A7F17"/>
    <w:rsid w:val="001B00B7"/>
    <w:rsid w:val="001B0891"/>
    <w:rsid w:val="001B0928"/>
    <w:rsid w:val="001B093D"/>
    <w:rsid w:val="001B0AC5"/>
    <w:rsid w:val="001B133B"/>
    <w:rsid w:val="001B1375"/>
    <w:rsid w:val="001B1BFD"/>
    <w:rsid w:val="001B2243"/>
    <w:rsid w:val="001B26A7"/>
    <w:rsid w:val="001B2C90"/>
    <w:rsid w:val="001B314C"/>
    <w:rsid w:val="001B3B52"/>
    <w:rsid w:val="001B3B84"/>
    <w:rsid w:val="001B42C1"/>
    <w:rsid w:val="001B4976"/>
    <w:rsid w:val="001B4BB1"/>
    <w:rsid w:val="001B5111"/>
    <w:rsid w:val="001B5224"/>
    <w:rsid w:val="001B55A7"/>
    <w:rsid w:val="001B5905"/>
    <w:rsid w:val="001B5C6D"/>
    <w:rsid w:val="001B68EC"/>
    <w:rsid w:val="001B7049"/>
    <w:rsid w:val="001B735E"/>
    <w:rsid w:val="001B7917"/>
    <w:rsid w:val="001C037A"/>
    <w:rsid w:val="001C0712"/>
    <w:rsid w:val="001C08DD"/>
    <w:rsid w:val="001C1434"/>
    <w:rsid w:val="001C1D75"/>
    <w:rsid w:val="001C1F5B"/>
    <w:rsid w:val="001C26C3"/>
    <w:rsid w:val="001C3040"/>
    <w:rsid w:val="001C3604"/>
    <w:rsid w:val="001C3729"/>
    <w:rsid w:val="001C522A"/>
    <w:rsid w:val="001C5575"/>
    <w:rsid w:val="001C6649"/>
    <w:rsid w:val="001C6D84"/>
    <w:rsid w:val="001C71AC"/>
    <w:rsid w:val="001C73E3"/>
    <w:rsid w:val="001C73F5"/>
    <w:rsid w:val="001C7474"/>
    <w:rsid w:val="001C7507"/>
    <w:rsid w:val="001C762C"/>
    <w:rsid w:val="001C773E"/>
    <w:rsid w:val="001D001C"/>
    <w:rsid w:val="001D0B78"/>
    <w:rsid w:val="001D0E8A"/>
    <w:rsid w:val="001D16A4"/>
    <w:rsid w:val="001D17DA"/>
    <w:rsid w:val="001D1873"/>
    <w:rsid w:val="001D216A"/>
    <w:rsid w:val="001D2209"/>
    <w:rsid w:val="001D2A2D"/>
    <w:rsid w:val="001D2E82"/>
    <w:rsid w:val="001D311C"/>
    <w:rsid w:val="001D31FA"/>
    <w:rsid w:val="001D407E"/>
    <w:rsid w:val="001D4590"/>
    <w:rsid w:val="001D4AD8"/>
    <w:rsid w:val="001D51DA"/>
    <w:rsid w:val="001D52B1"/>
    <w:rsid w:val="001D55EE"/>
    <w:rsid w:val="001D59D8"/>
    <w:rsid w:val="001D5F78"/>
    <w:rsid w:val="001D642A"/>
    <w:rsid w:val="001D675F"/>
    <w:rsid w:val="001D68F3"/>
    <w:rsid w:val="001E11FB"/>
    <w:rsid w:val="001E13E3"/>
    <w:rsid w:val="001E15EE"/>
    <w:rsid w:val="001E181B"/>
    <w:rsid w:val="001E23D6"/>
    <w:rsid w:val="001E28B5"/>
    <w:rsid w:val="001E2A82"/>
    <w:rsid w:val="001E352B"/>
    <w:rsid w:val="001E3794"/>
    <w:rsid w:val="001E458E"/>
    <w:rsid w:val="001E491B"/>
    <w:rsid w:val="001E4A2E"/>
    <w:rsid w:val="001E4F79"/>
    <w:rsid w:val="001E4FC4"/>
    <w:rsid w:val="001E55E8"/>
    <w:rsid w:val="001E5BE5"/>
    <w:rsid w:val="001E71A9"/>
    <w:rsid w:val="001E78F3"/>
    <w:rsid w:val="001E794E"/>
    <w:rsid w:val="001E7F8F"/>
    <w:rsid w:val="001F056C"/>
    <w:rsid w:val="001F0A9A"/>
    <w:rsid w:val="001F1288"/>
    <w:rsid w:val="001F152D"/>
    <w:rsid w:val="001F2202"/>
    <w:rsid w:val="001F226B"/>
    <w:rsid w:val="001F2327"/>
    <w:rsid w:val="001F2A25"/>
    <w:rsid w:val="001F2CF5"/>
    <w:rsid w:val="001F2FDF"/>
    <w:rsid w:val="001F321D"/>
    <w:rsid w:val="001F390C"/>
    <w:rsid w:val="001F4155"/>
    <w:rsid w:val="001F4B67"/>
    <w:rsid w:val="001F54AE"/>
    <w:rsid w:val="001F5AB1"/>
    <w:rsid w:val="001F683E"/>
    <w:rsid w:val="001F6A3D"/>
    <w:rsid w:val="001F6AD8"/>
    <w:rsid w:val="001F7265"/>
    <w:rsid w:val="001F7311"/>
    <w:rsid w:val="001F737E"/>
    <w:rsid w:val="00200032"/>
    <w:rsid w:val="002006DA"/>
    <w:rsid w:val="0020077F"/>
    <w:rsid w:val="00201E03"/>
    <w:rsid w:val="00201EC1"/>
    <w:rsid w:val="002020E0"/>
    <w:rsid w:val="002023F6"/>
    <w:rsid w:val="00203471"/>
    <w:rsid w:val="002037D2"/>
    <w:rsid w:val="00203FBB"/>
    <w:rsid w:val="0020426E"/>
    <w:rsid w:val="00205AB1"/>
    <w:rsid w:val="00205DF3"/>
    <w:rsid w:val="00207C62"/>
    <w:rsid w:val="00207E0D"/>
    <w:rsid w:val="0021015F"/>
    <w:rsid w:val="00210F8A"/>
    <w:rsid w:val="002115E9"/>
    <w:rsid w:val="00211A8C"/>
    <w:rsid w:val="00212047"/>
    <w:rsid w:val="00212AC2"/>
    <w:rsid w:val="00212B0B"/>
    <w:rsid w:val="00212F1E"/>
    <w:rsid w:val="002141D0"/>
    <w:rsid w:val="00214EAC"/>
    <w:rsid w:val="002152C6"/>
    <w:rsid w:val="0021671C"/>
    <w:rsid w:val="00217352"/>
    <w:rsid w:val="002177E4"/>
    <w:rsid w:val="00220577"/>
    <w:rsid w:val="0022083E"/>
    <w:rsid w:val="002209D7"/>
    <w:rsid w:val="00220FAD"/>
    <w:rsid w:val="00221005"/>
    <w:rsid w:val="00221510"/>
    <w:rsid w:val="0022174A"/>
    <w:rsid w:val="002217D7"/>
    <w:rsid w:val="00221B21"/>
    <w:rsid w:val="00221E8E"/>
    <w:rsid w:val="0022223D"/>
    <w:rsid w:val="00222BFF"/>
    <w:rsid w:val="00222C1A"/>
    <w:rsid w:val="00222D0B"/>
    <w:rsid w:val="00222D58"/>
    <w:rsid w:val="00222F01"/>
    <w:rsid w:val="00222F0D"/>
    <w:rsid w:val="00223AAF"/>
    <w:rsid w:val="00223BDE"/>
    <w:rsid w:val="002243EE"/>
    <w:rsid w:val="00224473"/>
    <w:rsid w:val="0022469D"/>
    <w:rsid w:val="002246B9"/>
    <w:rsid w:val="002246FA"/>
    <w:rsid w:val="00224980"/>
    <w:rsid w:val="00224DF0"/>
    <w:rsid w:val="00225570"/>
    <w:rsid w:val="00225C2F"/>
    <w:rsid w:val="002261EE"/>
    <w:rsid w:val="002262A2"/>
    <w:rsid w:val="002269A3"/>
    <w:rsid w:val="00226A08"/>
    <w:rsid w:val="00227129"/>
    <w:rsid w:val="00227C38"/>
    <w:rsid w:val="00230414"/>
    <w:rsid w:val="002308DF"/>
    <w:rsid w:val="00230B01"/>
    <w:rsid w:val="002312C8"/>
    <w:rsid w:val="00231A07"/>
    <w:rsid w:val="00231CD3"/>
    <w:rsid w:val="002320EB"/>
    <w:rsid w:val="0023213E"/>
    <w:rsid w:val="002330F5"/>
    <w:rsid w:val="0023317D"/>
    <w:rsid w:val="00233402"/>
    <w:rsid w:val="0023343E"/>
    <w:rsid w:val="002349B9"/>
    <w:rsid w:val="00235569"/>
    <w:rsid w:val="002356BC"/>
    <w:rsid w:val="00235705"/>
    <w:rsid w:val="002357C6"/>
    <w:rsid w:val="0023624B"/>
    <w:rsid w:val="00236CE3"/>
    <w:rsid w:val="00237551"/>
    <w:rsid w:val="00237995"/>
    <w:rsid w:val="002406C8"/>
    <w:rsid w:val="00240738"/>
    <w:rsid w:val="00241049"/>
    <w:rsid w:val="00241493"/>
    <w:rsid w:val="0024161C"/>
    <w:rsid w:val="00241774"/>
    <w:rsid w:val="00241BAE"/>
    <w:rsid w:val="00241D3D"/>
    <w:rsid w:val="0024230E"/>
    <w:rsid w:val="0024235E"/>
    <w:rsid w:val="00242A5F"/>
    <w:rsid w:val="00242BDE"/>
    <w:rsid w:val="00242C80"/>
    <w:rsid w:val="00243BA3"/>
    <w:rsid w:val="00243C39"/>
    <w:rsid w:val="00243CFD"/>
    <w:rsid w:val="00244198"/>
    <w:rsid w:val="002442E0"/>
    <w:rsid w:val="00244523"/>
    <w:rsid w:val="002447C3"/>
    <w:rsid w:val="0024484B"/>
    <w:rsid w:val="002449CC"/>
    <w:rsid w:val="00245226"/>
    <w:rsid w:val="00245E3E"/>
    <w:rsid w:val="002466F5"/>
    <w:rsid w:val="00246910"/>
    <w:rsid w:val="00246CE3"/>
    <w:rsid w:val="00246E54"/>
    <w:rsid w:val="00247204"/>
    <w:rsid w:val="0024759F"/>
    <w:rsid w:val="002515BC"/>
    <w:rsid w:val="00252175"/>
    <w:rsid w:val="00252E1D"/>
    <w:rsid w:val="00253F37"/>
    <w:rsid w:val="00254505"/>
    <w:rsid w:val="00254DA8"/>
    <w:rsid w:val="00255722"/>
    <w:rsid w:val="00255A96"/>
    <w:rsid w:val="00255BD8"/>
    <w:rsid w:val="00255EEE"/>
    <w:rsid w:val="00255F93"/>
    <w:rsid w:val="00256234"/>
    <w:rsid w:val="0025768F"/>
    <w:rsid w:val="00257AD6"/>
    <w:rsid w:val="00257D1B"/>
    <w:rsid w:val="00257F19"/>
    <w:rsid w:val="00260912"/>
    <w:rsid w:val="002617DA"/>
    <w:rsid w:val="002618E5"/>
    <w:rsid w:val="00261A34"/>
    <w:rsid w:val="00261E6A"/>
    <w:rsid w:val="002621FB"/>
    <w:rsid w:val="002627ED"/>
    <w:rsid w:val="00262935"/>
    <w:rsid w:val="00262B53"/>
    <w:rsid w:val="00262C1B"/>
    <w:rsid w:val="00262E17"/>
    <w:rsid w:val="00262F24"/>
    <w:rsid w:val="00262F45"/>
    <w:rsid w:val="002630E3"/>
    <w:rsid w:val="0026371F"/>
    <w:rsid w:val="00264464"/>
    <w:rsid w:val="0026539F"/>
    <w:rsid w:val="0026548C"/>
    <w:rsid w:val="00266B15"/>
    <w:rsid w:val="00266F7C"/>
    <w:rsid w:val="00267D05"/>
    <w:rsid w:val="00267E83"/>
    <w:rsid w:val="0027063B"/>
    <w:rsid w:val="0027064E"/>
    <w:rsid w:val="00270862"/>
    <w:rsid w:val="00272450"/>
    <w:rsid w:val="00272B04"/>
    <w:rsid w:val="00272D74"/>
    <w:rsid w:val="00272FF9"/>
    <w:rsid w:val="0027348F"/>
    <w:rsid w:val="00273836"/>
    <w:rsid w:val="002739F1"/>
    <w:rsid w:val="00273EF6"/>
    <w:rsid w:val="00274364"/>
    <w:rsid w:val="002745F4"/>
    <w:rsid w:val="0027461A"/>
    <w:rsid w:val="00274C94"/>
    <w:rsid w:val="00274CBA"/>
    <w:rsid w:val="00275882"/>
    <w:rsid w:val="00275C63"/>
    <w:rsid w:val="00275C93"/>
    <w:rsid w:val="00276684"/>
    <w:rsid w:val="0027790B"/>
    <w:rsid w:val="002805EF"/>
    <w:rsid w:val="00280B73"/>
    <w:rsid w:val="0028198D"/>
    <w:rsid w:val="00281AAD"/>
    <w:rsid w:val="002821EB"/>
    <w:rsid w:val="0028267B"/>
    <w:rsid w:val="00282CAB"/>
    <w:rsid w:val="00282ED3"/>
    <w:rsid w:val="00283142"/>
    <w:rsid w:val="0028523B"/>
    <w:rsid w:val="0028551E"/>
    <w:rsid w:val="002859BF"/>
    <w:rsid w:val="0028658A"/>
    <w:rsid w:val="00290E24"/>
    <w:rsid w:val="0029130D"/>
    <w:rsid w:val="00291D52"/>
    <w:rsid w:val="00291D65"/>
    <w:rsid w:val="002920BD"/>
    <w:rsid w:val="00292237"/>
    <w:rsid w:val="00292995"/>
    <w:rsid w:val="0029300D"/>
    <w:rsid w:val="0029311C"/>
    <w:rsid w:val="002947DF"/>
    <w:rsid w:val="0029560B"/>
    <w:rsid w:val="00296B01"/>
    <w:rsid w:val="00296D00"/>
    <w:rsid w:val="002974DC"/>
    <w:rsid w:val="002A045D"/>
    <w:rsid w:val="002A06E8"/>
    <w:rsid w:val="002A07B2"/>
    <w:rsid w:val="002A101F"/>
    <w:rsid w:val="002A1EE4"/>
    <w:rsid w:val="002A2495"/>
    <w:rsid w:val="002A2A07"/>
    <w:rsid w:val="002A2DCE"/>
    <w:rsid w:val="002A3170"/>
    <w:rsid w:val="002A3EDA"/>
    <w:rsid w:val="002A400A"/>
    <w:rsid w:val="002A4643"/>
    <w:rsid w:val="002A4AC8"/>
    <w:rsid w:val="002A4E12"/>
    <w:rsid w:val="002A501C"/>
    <w:rsid w:val="002A53BB"/>
    <w:rsid w:val="002A5666"/>
    <w:rsid w:val="002A593F"/>
    <w:rsid w:val="002A5B4E"/>
    <w:rsid w:val="002A60D2"/>
    <w:rsid w:val="002A701D"/>
    <w:rsid w:val="002A7077"/>
    <w:rsid w:val="002A7087"/>
    <w:rsid w:val="002A7148"/>
    <w:rsid w:val="002A741C"/>
    <w:rsid w:val="002A74A1"/>
    <w:rsid w:val="002A787A"/>
    <w:rsid w:val="002B03D6"/>
    <w:rsid w:val="002B066E"/>
    <w:rsid w:val="002B07B8"/>
    <w:rsid w:val="002B09CC"/>
    <w:rsid w:val="002B17AE"/>
    <w:rsid w:val="002B1E67"/>
    <w:rsid w:val="002B1F8D"/>
    <w:rsid w:val="002B202E"/>
    <w:rsid w:val="002B2239"/>
    <w:rsid w:val="002B2247"/>
    <w:rsid w:val="002B23DA"/>
    <w:rsid w:val="002B37DC"/>
    <w:rsid w:val="002B3A3A"/>
    <w:rsid w:val="002B4AC9"/>
    <w:rsid w:val="002B4C82"/>
    <w:rsid w:val="002B5578"/>
    <w:rsid w:val="002B5A45"/>
    <w:rsid w:val="002B5BEA"/>
    <w:rsid w:val="002B5C69"/>
    <w:rsid w:val="002B5D4E"/>
    <w:rsid w:val="002B68A9"/>
    <w:rsid w:val="002B6C0C"/>
    <w:rsid w:val="002C02CA"/>
    <w:rsid w:val="002C0AB6"/>
    <w:rsid w:val="002C0E18"/>
    <w:rsid w:val="002C1185"/>
    <w:rsid w:val="002C2544"/>
    <w:rsid w:val="002C2552"/>
    <w:rsid w:val="002C2991"/>
    <w:rsid w:val="002C2CC6"/>
    <w:rsid w:val="002C406E"/>
    <w:rsid w:val="002C42F7"/>
    <w:rsid w:val="002C4528"/>
    <w:rsid w:val="002C4B6D"/>
    <w:rsid w:val="002C4E3E"/>
    <w:rsid w:val="002C50CA"/>
    <w:rsid w:val="002C5370"/>
    <w:rsid w:val="002C5FCF"/>
    <w:rsid w:val="002C702F"/>
    <w:rsid w:val="002C75DE"/>
    <w:rsid w:val="002C7DC1"/>
    <w:rsid w:val="002D00A6"/>
    <w:rsid w:val="002D0483"/>
    <w:rsid w:val="002D1470"/>
    <w:rsid w:val="002D148F"/>
    <w:rsid w:val="002D1721"/>
    <w:rsid w:val="002D1C58"/>
    <w:rsid w:val="002D2030"/>
    <w:rsid w:val="002D230B"/>
    <w:rsid w:val="002D28C5"/>
    <w:rsid w:val="002D2A9A"/>
    <w:rsid w:val="002D2C3E"/>
    <w:rsid w:val="002D2D25"/>
    <w:rsid w:val="002D2E49"/>
    <w:rsid w:val="002D30AE"/>
    <w:rsid w:val="002D36B7"/>
    <w:rsid w:val="002D4A49"/>
    <w:rsid w:val="002D4C1A"/>
    <w:rsid w:val="002D5200"/>
    <w:rsid w:val="002D67AE"/>
    <w:rsid w:val="002D6ADC"/>
    <w:rsid w:val="002D7AFB"/>
    <w:rsid w:val="002E022E"/>
    <w:rsid w:val="002E053F"/>
    <w:rsid w:val="002E0A07"/>
    <w:rsid w:val="002E0F82"/>
    <w:rsid w:val="002E100E"/>
    <w:rsid w:val="002E134E"/>
    <w:rsid w:val="002E137F"/>
    <w:rsid w:val="002E13F4"/>
    <w:rsid w:val="002E16E7"/>
    <w:rsid w:val="002E1F93"/>
    <w:rsid w:val="002E25AB"/>
    <w:rsid w:val="002E2A8C"/>
    <w:rsid w:val="002E2AE1"/>
    <w:rsid w:val="002E2C05"/>
    <w:rsid w:val="002E2C5C"/>
    <w:rsid w:val="002E41BB"/>
    <w:rsid w:val="002E4E0B"/>
    <w:rsid w:val="002E500C"/>
    <w:rsid w:val="002E52F3"/>
    <w:rsid w:val="002E55BA"/>
    <w:rsid w:val="002E5657"/>
    <w:rsid w:val="002E5836"/>
    <w:rsid w:val="002E59B6"/>
    <w:rsid w:val="002E5CDE"/>
    <w:rsid w:val="002E5F91"/>
    <w:rsid w:val="002E6B5D"/>
    <w:rsid w:val="002E6BDA"/>
    <w:rsid w:val="002E6EEB"/>
    <w:rsid w:val="002E79F7"/>
    <w:rsid w:val="002F049D"/>
    <w:rsid w:val="002F11B6"/>
    <w:rsid w:val="002F1905"/>
    <w:rsid w:val="002F1D22"/>
    <w:rsid w:val="002F20C4"/>
    <w:rsid w:val="002F20F3"/>
    <w:rsid w:val="002F2547"/>
    <w:rsid w:val="002F29D0"/>
    <w:rsid w:val="002F3621"/>
    <w:rsid w:val="002F3B05"/>
    <w:rsid w:val="002F4136"/>
    <w:rsid w:val="002F4263"/>
    <w:rsid w:val="002F5A14"/>
    <w:rsid w:val="002F5E01"/>
    <w:rsid w:val="002F6088"/>
    <w:rsid w:val="002F60C0"/>
    <w:rsid w:val="002F618C"/>
    <w:rsid w:val="002F660D"/>
    <w:rsid w:val="002F6B03"/>
    <w:rsid w:val="002F7876"/>
    <w:rsid w:val="002F7CD4"/>
    <w:rsid w:val="003004FA"/>
    <w:rsid w:val="0030063B"/>
    <w:rsid w:val="003007EA"/>
    <w:rsid w:val="003010D8"/>
    <w:rsid w:val="00301947"/>
    <w:rsid w:val="00301ACC"/>
    <w:rsid w:val="00301C04"/>
    <w:rsid w:val="0030235F"/>
    <w:rsid w:val="003025EC"/>
    <w:rsid w:val="0030276C"/>
    <w:rsid w:val="00302847"/>
    <w:rsid w:val="00302C7B"/>
    <w:rsid w:val="00302DCE"/>
    <w:rsid w:val="0030300A"/>
    <w:rsid w:val="00303B22"/>
    <w:rsid w:val="00303C57"/>
    <w:rsid w:val="00304306"/>
    <w:rsid w:val="00304516"/>
    <w:rsid w:val="0030470A"/>
    <w:rsid w:val="00304AF2"/>
    <w:rsid w:val="00304B4B"/>
    <w:rsid w:val="0030549C"/>
    <w:rsid w:val="00305928"/>
    <w:rsid w:val="00305C76"/>
    <w:rsid w:val="00305C7C"/>
    <w:rsid w:val="00306586"/>
    <w:rsid w:val="00306993"/>
    <w:rsid w:val="003075A6"/>
    <w:rsid w:val="00307848"/>
    <w:rsid w:val="00307B1A"/>
    <w:rsid w:val="003102F8"/>
    <w:rsid w:val="0031048E"/>
    <w:rsid w:val="00310A20"/>
    <w:rsid w:val="00310B5B"/>
    <w:rsid w:val="003111D2"/>
    <w:rsid w:val="00313614"/>
    <w:rsid w:val="00313688"/>
    <w:rsid w:val="00313C13"/>
    <w:rsid w:val="0031468C"/>
    <w:rsid w:val="003147C3"/>
    <w:rsid w:val="0031486C"/>
    <w:rsid w:val="00314D6B"/>
    <w:rsid w:val="00315062"/>
    <w:rsid w:val="00315163"/>
    <w:rsid w:val="00315CF5"/>
    <w:rsid w:val="0031654A"/>
    <w:rsid w:val="00316690"/>
    <w:rsid w:val="003171E7"/>
    <w:rsid w:val="00317703"/>
    <w:rsid w:val="003200C5"/>
    <w:rsid w:val="00320521"/>
    <w:rsid w:val="00320E05"/>
    <w:rsid w:val="00321048"/>
    <w:rsid w:val="0032162C"/>
    <w:rsid w:val="00321CC4"/>
    <w:rsid w:val="0032232C"/>
    <w:rsid w:val="00322519"/>
    <w:rsid w:val="003227C6"/>
    <w:rsid w:val="003229DB"/>
    <w:rsid w:val="003232D5"/>
    <w:rsid w:val="00323A4C"/>
    <w:rsid w:val="00324616"/>
    <w:rsid w:val="003248EF"/>
    <w:rsid w:val="00324ED1"/>
    <w:rsid w:val="00325231"/>
    <w:rsid w:val="003253DF"/>
    <w:rsid w:val="0032555B"/>
    <w:rsid w:val="00325739"/>
    <w:rsid w:val="00326281"/>
    <w:rsid w:val="00326649"/>
    <w:rsid w:val="003266BC"/>
    <w:rsid w:val="003268BB"/>
    <w:rsid w:val="00326BBA"/>
    <w:rsid w:val="003275DD"/>
    <w:rsid w:val="003278E9"/>
    <w:rsid w:val="003300FE"/>
    <w:rsid w:val="003302CB"/>
    <w:rsid w:val="00330C0B"/>
    <w:rsid w:val="003311E6"/>
    <w:rsid w:val="003314C4"/>
    <w:rsid w:val="003331FF"/>
    <w:rsid w:val="00333253"/>
    <w:rsid w:val="00334CE8"/>
    <w:rsid w:val="0033577B"/>
    <w:rsid w:val="00335780"/>
    <w:rsid w:val="00335EB3"/>
    <w:rsid w:val="00336D6D"/>
    <w:rsid w:val="0033754D"/>
    <w:rsid w:val="00337778"/>
    <w:rsid w:val="00337895"/>
    <w:rsid w:val="00337A34"/>
    <w:rsid w:val="00341F68"/>
    <w:rsid w:val="00342542"/>
    <w:rsid w:val="00342C93"/>
    <w:rsid w:val="00342F79"/>
    <w:rsid w:val="00342FA9"/>
    <w:rsid w:val="00343202"/>
    <w:rsid w:val="00343D91"/>
    <w:rsid w:val="0034449E"/>
    <w:rsid w:val="00344F6D"/>
    <w:rsid w:val="00345326"/>
    <w:rsid w:val="00345E9E"/>
    <w:rsid w:val="00345F6F"/>
    <w:rsid w:val="003462B9"/>
    <w:rsid w:val="003462F0"/>
    <w:rsid w:val="00346802"/>
    <w:rsid w:val="00346B00"/>
    <w:rsid w:val="00346BB7"/>
    <w:rsid w:val="003476FD"/>
    <w:rsid w:val="0034782B"/>
    <w:rsid w:val="00347A47"/>
    <w:rsid w:val="0035089E"/>
    <w:rsid w:val="00350953"/>
    <w:rsid w:val="00350AC8"/>
    <w:rsid w:val="0035140F"/>
    <w:rsid w:val="00351829"/>
    <w:rsid w:val="003520CB"/>
    <w:rsid w:val="00352A7B"/>
    <w:rsid w:val="00353256"/>
    <w:rsid w:val="00353CA3"/>
    <w:rsid w:val="00354252"/>
    <w:rsid w:val="0035460E"/>
    <w:rsid w:val="00354B7B"/>
    <w:rsid w:val="00354CFA"/>
    <w:rsid w:val="00354D5B"/>
    <w:rsid w:val="003555BD"/>
    <w:rsid w:val="00355750"/>
    <w:rsid w:val="003574A2"/>
    <w:rsid w:val="00357519"/>
    <w:rsid w:val="00357BC3"/>
    <w:rsid w:val="00357BF8"/>
    <w:rsid w:val="00360EB7"/>
    <w:rsid w:val="003612B1"/>
    <w:rsid w:val="00361C76"/>
    <w:rsid w:val="0036317B"/>
    <w:rsid w:val="003633FB"/>
    <w:rsid w:val="00363B24"/>
    <w:rsid w:val="0036428C"/>
    <w:rsid w:val="00364F2F"/>
    <w:rsid w:val="003651D8"/>
    <w:rsid w:val="00365584"/>
    <w:rsid w:val="003661D3"/>
    <w:rsid w:val="00366E56"/>
    <w:rsid w:val="00367DC5"/>
    <w:rsid w:val="0037024B"/>
    <w:rsid w:val="0037107C"/>
    <w:rsid w:val="00371B0F"/>
    <w:rsid w:val="00371BF5"/>
    <w:rsid w:val="0037276E"/>
    <w:rsid w:val="00372EA6"/>
    <w:rsid w:val="00373BEA"/>
    <w:rsid w:val="00374C92"/>
    <w:rsid w:val="00375472"/>
    <w:rsid w:val="00375EEA"/>
    <w:rsid w:val="003760DA"/>
    <w:rsid w:val="003764D1"/>
    <w:rsid w:val="0037686F"/>
    <w:rsid w:val="00376D71"/>
    <w:rsid w:val="00376F87"/>
    <w:rsid w:val="00377BFC"/>
    <w:rsid w:val="00377F70"/>
    <w:rsid w:val="00377FAB"/>
    <w:rsid w:val="00380043"/>
    <w:rsid w:val="003800A3"/>
    <w:rsid w:val="00380319"/>
    <w:rsid w:val="003809CF"/>
    <w:rsid w:val="00381F31"/>
    <w:rsid w:val="003822D7"/>
    <w:rsid w:val="0038263D"/>
    <w:rsid w:val="00382D1F"/>
    <w:rsid w:val="00383248"/>
    <w:rsid w:val="00383656"/>
    <w:rsid w:val="0038396D"/>
    <w:rsid w:val="00383CA3"/>
    <w:rsid w:val="00384AEF"/>
    <w:rsid w:val="00384FBA"/>
    <w:rsid w:val="00385A8D"/>
    <w:rsid w:val="00385F17"/>
    <w:rsid w:val="00385FB4"/>
    <w:rsid w:val="00386013"/>
    <w:rsid w:val="00386E32"/>
    <w:rsid w:val="00386EE8"/>
    <w:rsid w:val="00386F93"/>
    <w:rsid w:val="003876E5"/>
    <w:rsid w:val="00387A3A"/>
    <w:rsid w:val="00387C8F"/>
    <w:rsid w:val="0039001B"/>
    <w:rsid w:val="003900DC"/>
    <w:rsid w:val="00391406"/>
    <w:rsid w:val="00391C01"/>
    <w:rsid w:val="00391D3A"/>
    <w:rsid w:val="0039229D"/>
    <w:rsid w:val="00392E31"/>
    <w:rsid w:val="00392FBB"/>
    <w:rsid w:val="0039313D"/>
    <w:rsid w:val="003931F1"/>
    <w:rsid w:val="0039364C"/>
    <w:rsid w:val="00393784"/>
    <w:rsid w:val="00393901"/>
    <w:rsid w:val="00393ADA"/>
    <w:rsid w:val="00394799"/>
    <w:rsid w:val="003949B3"/>
    <w:rsid w:val="00395BEA"/>
    <w:rsid w:val="00396A22"/>
    <w:rsid w:val="00396A7F"/>
    <w:rsid w:val="0039749A"/>
    <w:rsid w:val="00397F8C"/>
    <w:rsid w:val="003A0296"/>
    <w:rsid w:val="003A037C"/>
    <w:rsid w:val="003A0E7F"/>
    <w:rsid w:val="003A1AF6"/>
    <w:rsid w:val="003A1EA0"/>
    <w:rsid w:val="003A219E"/>
    <w:rsid w:val="003A2768"/>
    <w:rsid w:val="003A2DC9"/>
    <w:rsid w:val="003A3419"/>
    <w:rsid w:val="003A354A"/>
    <w:rsid w:val="003A396E"/>
    <w:rsid w:val="003A3ABD"/>
    <w:rsid w:val="003A4341"/>
    <w:rsid w:val="003A491A"/>
    <w:rsid w:val="003A61FD"/>
    <w:rsid w:val="003A6C8E"/>
    <w:rsid w:val="003A7893"/>
    <w:rsid w:val="003A7DE1"/>
    <w:rsid w:val="003B02D1"/>
    <w:rsid w:val="003B0346"/>
    <w:rsid w:val="003B0AB5"/>
    <w:rsid w:val="003B25D8"/>
    <w:rsid w:val="003B27A3"/>
    <w:rsid w:val="003B2CB7"/>
    <w:rsid w:val="003B2E09"/>
    <w:rsid w:val="003B324E"/>
    <w:rsid w:val="003B33C1"/>
    <w:rsid w:val="003B3844"/>
    <w:rsid w:val="003B3FBA"/>
    <w:rsid w:val="003B3FDC"/>
    <w:rsid w:val="003B4356"/>
    <w:rsid w:val="003B4499"/>
    <w:rsid w:val="003B4E44"/>
    <w:rsid w:val="003B6017"/>
    <w:rsid w:val="003B61AA"/>
    <w:rsid w:val="003B6F1E"/>
    <w:rsid w:val="003B73C3"/>
    <w:rsid w:val="003B7935"/>
    <w:rsid w:val="003B7C7F"/>
    <w:rsid w:val="003C14EA"/>
    <w:rsid w:val="003C197E"/>
    <w:rsid w:val="003C1BA3"/>
    <w:rsid w:val="003C1FF4"/>
    <w:rsid w:val="003C22C9"/>
    <w:rsid w:val="003C2E64"/>
    <w:rsid w:val="003C2E9D"/>
    <w:rsid w:val="003C3879"/>
    <w:rsid w:val="003C387B"/>
    <w:rsid w:val="003C3AFE"/>
    <w:rsid w:val="003C4E93"/>
    <w:rsid w:val="003C561F"/>
    <w:rsid w:val="003C5724"/>
    <w:rsid w:val="003C57FE"/>
    <w:rsid w:val="003C5A27"/>
    <w:rsid w:val="003C5AC9"/>
    <w:rsid w:val="003C6223"/>
    <w:rsid w:val="003C67CA"/>
    <w:rsid w:val="003C6E5B"/>
    <w:rsid w:val="003C6E77"/>
    <w:rsid w:val="003C733F"/>
    <w:rsid w:val="003D0879"/>
    <w:rsid w:val="003D0936"/>
    <w:rsid w:val="003D0A04"/>
    <w:rsid w:val="003D0DDB"/>
    <w:rsid w:val="003D115C"/>
    <w:rsid w:val="003D1755"/>
    <w:rsid w:val="003D368B"/>
    <w:rsid w:val="003D38ED"/>
    <w:rsid w:val="003D42AC"/>
    <w:rsid w:val="003D4E69"/>
    <w:rsid w:val="003D5802"/>
    <w:rsid w:val="003D5DE9"/>
    <w:rsid w:val="003D5F7F"/>
    <w:rsid w:val="003D697B"/>
    <w:rsid w:val="003D6997"/>
    <w:rsid w:val="003D6C08"/>
    <w:rsid w:val="003D6FD6"/>
    <w:rsid w:val="003D747D"/>
    <w:rsid w:val="003D796B"/>
    <w:rsid w:val="003D7B1C"/>
    <w:rsid w:val="003D7B91"/>
    <w:rsid w:val="003D7DCD"/>
    <w:rsid w:val="003E007C"/>
    <w:rsid w:val="003E02E8"/>
    <w:rsid w:val="003E039E"/>
    <w:rsid w:val="003E0866"/>
    <w:rsid w:val="003E12FB"/>
    <w:rsid w:val="003E1F18"/>
    <w:rsid w:val="003E3012"/>
    <w:rsid w:val="003E3CBC"/>
    <w:rsid w:val="003E3D0F"/>
    <w:rsid w:val="003E412B"/>
    <w:rsid w:val="003E4539"/>
    <w:rsid w:val="003E4582"/>
    <w:rsid w:val="003E58A9"/>
    <w:rsid w:val="003E5993"/>
    <w:rsid w:val="003E5B37"/>
    <w:rsid w:val="003E5E03"/>
    <w:rsid w:val="003E5E25"/>
    <w:rsid w:val="003E6C27"/>
    <w:rsid w:val="003E6CA8"/>
    <w:rsid w:val="003E6E30"/>
    <w:rsid w:val="003E7176"/>
    <w:rsid w:val="003E7627"/>
    <w:rsid w:val="003E79AD"/>
    <w:rsid w:val="003E7E09"/>
    <w:rsid w:val="003F0885"/>
    <w:rsid w:val="003F08C1"/>
    <w:rsid w:val="003F0BF9"/>
    <w:rsid w:val="003F0FA7"/>
    <w:rsid w:val="003F14D1"/>
    <w:rsid w:val="003F1FBC"/>
    <w:rsid w:val="003F2991"/>
    <w:rsid w:val="003F2EEA"/>
    <w:rsid w:val="003F33F0"/>
    <w:rsid w:val="003F3EBD"/>
    <w:rsid w:val="003F409C"/>
    <w:rsid w:val="003F47A7"/>
    <w:rsid w:val="003F4E42"/>
    <w:rsid w:val="003F518F"/>
    <w:rsid w:val="003F5454"/>
    <w:rsid w:val="003F57FE"/>
    <w:rsid w:val="003F5B85"/>
    <w:rsid w:val="003F5D82"/>
    <w:rsid w:val="003F5EE9"/>
    <w:rsid w:val="003F6090"/>
    <w:rsid w:val="003F7ADE"/>
    <w:rsid w:val="003F7EF8"/>
    <w:rsid w:val="00400278"/>
    <w:rsid w:val="004002C1"/>
    <w:rsid w:val="004003FB"/>
    <w:rsid w:val="00401074"/>
    <w:rsid w:val="004010A3"/>
    <w:rsid w:val="0040230D"/>
    <w:rsid w:val="00403434"/>
    <w:rsid w:val="004039AB"/>
    <w:rsid w:val="00403BDF"/>
    <w:rsid w:val="00403D82"/>
    <w:rsid w:val="00403DBB"/>
    <w:rsid w:val="00404134"/>
    <w:rsid w:val="00404C9B"/>
    <w:rsid w:val="00405890"/>
    <w:rsid w:val="00405A9A"/>
    <w:rsid w:val="00406032"/>
    <w:rsid w:val="0040690E"/>
    <w:rsid w:val="00406BDC"/>
    <w:rsid w:val="0040702D"/>
    <w:rsid w:val="00407280"/>
    <w:rsid w:val="00407BD0"/>
    <w:rsid w:val="00407DDA"/>
    <w:rsid w:val="00411376"/>
    <w:rsid w:val="00411854"/>
    <w:rsid w:val="00411CE0"/>
    <w:rsid w:val="00411E38"/>
    <w:rsid w:val="00412205"/>
    <w:rsid w:val="00412875"/>
    <w:rsid w:val="00412A75"/>
    <w:rsid w:val="00413109"/>
    <w:rsid w:val="004139AE"/>
    <w:rsid w:val="00413D76"/>
    <w:rsid w:val="00414334"/>
    <w:rsid w:val="004146D7"/>
    <w:rsid w:val="00414FC8"/>
    <w:rsid w:val="00415437"/>
    <w:rsid w:val="00415890"/>
    <w:rsid w:val="00415B0A"/>
    <w:rsid w:val="00415B48"/>
    <w:rsid w:val="0041617C"/>
    <w:rsid w:val="0041625F"/>
    <w:rsid w:val="0041716E"/>
    <w:rsid w:val="00420955"/>
    <w:rsid w:val="00420AD9"/>
    <w:rsid w:val="00422006"/>
    <w:rsid w:val="00422082"/>
    <w:rsid w:val="0042341C"/>
    <w:rsid w:val="00423B2E"/>
    <w:rsid w:val="00423D13"/>
    <w:rsid w:val="00424611"/>
    <w:rsid w:val="004253D4"/>
    <w:rsid w:val="00427924"/>
    <w:rsid w:val="00427A6B"/>
    <w:rsid w:val="00430203"/>
    <w:rsid w:val="00430294"/>
    <w:rsid w:val="004306C4"/>
    <w:rsid w:val="00430854"/>
    <w:rsid w:val="00430D74"/>
    <w:rsid w:val="00430D9B"/>
    <w:rsid w:val="00431516"/>
    <w:rsid w:val="0043191A"/>
    <w:rsid w:val="00432737"/>
    <w:rsid w:val="00432B24"/>
    <w:rsid w:val="00432B2A"/>
    <w:rsid w:val="00432E84"/>
    <w:rsid w:val="0043346A"/>
    <w:rsid w:val="004344AE"/>
    <w:rsid w:val="0043535A"/>
    <w:rsid w:val="00435F4A"/>
    <w:rsid w:val="00435FC1"/>
    <w:rsid w:val="00436863"/>
    <w:rsid w:val="0043720A"/>
    <w:rsid w:val="004374F8"/>
    <w:rsid w:val="00437568"/>
    <w:rsid w:val="00440155"/>
    <w:rsid w:val="00441007"/>
    <w:rsid w:val="00441084"/>
    <w:rsid w:val="0044150C"/>
    <w:rsid w:val="004417DA"/>
    <w:rsid w:val="00441909"/>
    <w:rsid w:val="0044263D"/>
    <w:rsid w:val="0044275F"/>
    <w:rsid w:val="0044316F"/>
    <w:rsid w:val="00443CA2"/>
    <w:rsid w:val="00445512"/>
    <w:rsid w:val="00445FAE"/>
    <w:rsid w:val="0044657A"/>
    <w:rsid w:val="00446805"/>
    <w:rsid w:val="00447F32"/>
    <w:rsid w:val="004500B9"/>
    <w:rsid w:val="0045082C"/>
    <w:rsid w:val="004515AB"/>
    <w:rsid w:val="00452CB0"/>
    <w:rsid w:val="0045477D"/>
    <w:rsid w:val="00454C64"/>
    <w:rsid w:val="00454FE3"/>
    <w:rsid w:val="004551DC"/>
    <w:rsid w:val="00455803"/>
    <w:rsid w:val="00456993"/>
    <w:rsid w:val="00456B3F"/>
    <w:rsid w:val="00456F5C"/>
    <w:rsid w:val="004574AF"/>
    <w:rsid w:val="004604D9"/>
    <w:rsid w:val="00460926"/>
    <w:rsid w:val="00462706"/>
    <w:rsid w:val="00462921"/>
    <w:rsid w:val="004632E9"/>
    <w:rsid w:val="004633FA"/>
    <w:rsid w:val="0046402C"/>
    <w:rsid w:val="00464215"/>
    <w:rsid w:val="00464387"/>
    <w:rsid w:val="00464479"/>
    <w:rsid w:val="00464FDD"/>
    <w:rsid w:val="00465FA4"/>
    <w:rsid w:val="0046600F"/>
    <w:rsid w:val="0046678C"/>
    <w:rsid w:val="0046752D"/>
    <w:rsid w:val="0047019E"/>
    <w:rsid w:val="004701EE"/>
    <w:rsid w:val="004701EF"/>
    <w:rsid w:val="004707B2"/>
    <w:rsid w:val="004711B4"/>
    <w:rsid w:val="00471B2F"/>
    <w:rsid w:val="0047214F"/>
    <w:rsid w:val="004721CD"/>
    <w:rsid w:val="00472796"/>
    <w:rsid w:val="00472AC4"/>
    <w:rsid w:val="00472DA1"/>
    <w:rsid w:val="00473B7D"/>
    <w:rsid w:val="00474230"/>
    <w:rsid w:val="00474768"/>
    <w:rsid w:val="00476685"/>
    <w:rsid w:val="00476F14"/>
    <w:rsid w:val="00476F8E"/>
    <w:rsid w:val="00476FAA"/>
    <w:rsid w:val="00477035"/>
    <w:rsid w:val="00477038"/>
    <w:rsid w:val="00477061"/>
    <w:rsid w:val="004772EE"/>
    <w:rsid w:val="004774BD"/>
    <w:rsid w:val="00477785"/>
    <w:rsid w:val="00477977"/>
    <w:rsid w:val="004803FA"/>
    <w:rsid w:val="004805E3"/>
    <w:rsid w:val="00480A06"/>
    <w:rsid w:val="00480A3E"/>
    <w:rsid w:val="00481030"/>
    <w:rsid w:val="004821AD"/>
    <w:rsid w:val="0048236F"/>
    <w:rsid w:val="00483584"/>
    <w:rsid w:val="00483CA4"/>
    <w:rsid w:val="00484576"/>
    <w:rsid w:val="00485660"/>
    <w:rsid w:val="004857DD"/>
    <w:rsid w:val="00485AA9"/>
    <w:rsid w:val="00486DC0"/>
    <w:rsid w:val="00487B05"/>
    <w:rsid w:val="00490E62"/>
    <w:rsid w:val="004915A5"/>
    <w:rsid w:val="00493000"/>
    <w:rsid w:val="0049355B"/>
    <w:rsid w:val="004936CB"/>
    <w:rsid w:val="00493FBB"/>
    <w:rsid w:val="00494F24"/>
    <w:rsid w:val="00495113"/>
    <w:rsid w:val="0049590B"/>
    <w:rsid w:val="004959A0"/>
    <w:rsid w:val="00495A12"/>
    <w:rsid w:val="00496046"/>
    <w:rsid w:val="004965A7"/>
    <w:rsid w:val="00496784"/>
    <w:rsid w:val="0049779C"/>
    <w:rsid w:val="004978E6"/>
    <w:rsid w:val="00497C4D"/>
    <w:rsid w:val="004A01C2"/>
    <w:rsid w:val="004A060E"/>
    <w:rsid w:val="004A0871"/>
    <w:rsid w:val="004A0965"/>
    <w:rsid w:val="004A098C"/>
    <w:rsid w:val="004A0C9F"/>
    <w:rsid w:val="004A14B4"/>
    <w:rsid w:val="004A1C85"/>
    <w:rsid w:val="004A1FA9"/>
    <w:rsid w:val="004A3717"/>
    <w:rsid w:val="004A3DB7"/>
    <w:rsid w:val="004A460D"/>
    <w:rsid w:val="004A49B0"/>
    <w:rsid w:val="004A4A16"/>
    <w:rsid w:val="004A5452"/>
    <w:rsid w:val="004A6458"/>
    <w:rsid w:val="004A67B5"/>
    <w:rsid w:val="004A7596"/>
    <w:rsid w:val="004A7856"/>
    <w:rsid w:val="004A7E04"/>
    <w:rsid w:val="004B04D4"/>
    <w:rsid w:val="004B07C0"/>
    <w:rsid w:val="004B1176"/>
    <w:rsid w:val="004B1216"/>
    <w:rsid w:val="004B19CC"/>
    <w:rsid w:val="004B26A7"/>
    <w:rsid w:val="004B2AE8"/>
    <w:rsid w:val="004B2CEC"/>
    <w:rsid w:val="004B374C"/>
    <w:rsid w:val="004B3CDE"/>
    <w:rsid w:val="004B3D78"/>
    <w:rsid w:val="004B3EEE"/>
    <w:rsid w:val="004B4254"/>
    <w:rsid w:val="004B47FD"/>
    <w:rsid w:val="004B5139"/>
    <w:rsid w:val="004B524F"/>
    <w:rsid w:val="004B531F"/>
    <w:rsid w:val="004B5BC3"/>
    <w:rsid w:val="004B694C"/>
    <w:rsid w:val="004B70BF"/>
    <w:rsid w:val="004B7202"/>
    <w:rsid w:val="004B7ACE"/>
    <w:rsid w:val="004C0796"/>
    <w:rsid w:val="004C1F88"/>
    <w:rsid w:val="004C2923"/>
    <w:rsid w:val="004C29A8"/>
    <w:rsid w:val="004C2CDB"/>
    <w:rsid w:val="004C384E"/>
    <w:rsid w:val="004C3A36"/>
    <w:rsid w:val="004C3F1C"/>
    <w:rsid w:val="004C47F4"/>
    <w:rsid w:val="004C5321"/>
    <w:rsid w:val="004C58AC"/>
    <w:rsid w:val="004C625A"/>
    <w:rsid w:val="004C70A6"/>
    <w:rsid w:val="004C7BBA"/>
    <w:rsid w:val="004C7F21"/>
    <w:rsid w:val="004C7FFB"/>
    <w:rsid w:val="004D077C"/>
    <w:rsid w:val="004D0D94"/>
    <w:rsid w:val="004D0EA0"/>
    <w:rsid w:val="004D14F6"/>
    <w:rsid w:val="004D2EDA"/>
    <w:rsid w:val="004D37D7"/>
    <w:rsid w:val="004D3B0F"/>
    <w:rsid w:val="004D3F3B"/>
    <w:rsid w:val="004D468F"/>
    <w:rsid w:val="004D46BB"/>
    <w:rsid w:val="004D46D1"/>
    <w:rsid w:val="004D4833"/>
    <w:rsid w:val="004D4E5E"/>
    <w:rsid w:val="004D5480"/>
    <w:rsid w:val="004D571C"/>
    <w:rsid w:val="004D5957"/>
    <w:rsid w:val="004D5BA0"/>
    <w:rsid w:val="004D6464"/>
    <w:rsid w:val="004D7A1E"/>
    <w:rsid w:val="004D7FF2"/>
    <w:rsid w:val="004E0824"/>
    <w:rsid w:val="004E12BC"/>
    <w:rsid w:val="004E16F7"/>
    <w:rsid w:val="004E1722"/>
    <w:rsid w:val="004E23A9"/>
    <w:rsid w:val="004E2839"/>
    <w:rsid w:val="004E28F5"/>
    <w:rsid w:val="004E3A6A"/>
    <w:rsid w:val="004E3BF5"/>
    <w:rsid w:val="004E4C3C"/>
    <w:rsid w:val="004E5181"/>
    <w:rsid w:val="004E75D2"/>
    <w:rsid w:val="004E7DD0"/>
    <w:rsid w:val="004F03C8"/>
    <w:rsid w:val="004F0577"/>
    <w:rsid w:val="004F0AD9"/>
    <w:rsid w:val="004F0CBF"/>
    <w:rsid w:val="004F1483"/>
    <w:rsid w:val="004F1DA9"/>
    <w:rsid w:val="004F1E56"/>
    <w:rsid w:val="004F32DA"/>
    <w:rsid w:val="004F40DE"/>
    <w:rsid w:val="004F45E3"/>
    <w:rsid w:val="004F4784"/>
    <w:rsid w:val="004F4829"/>
    <w:rsid w:val="004F530B"/>
    <w:rsid w:val="004F5363"/>
    <w:rsid w:val="004F55A5"/>
    <w:rsid w:val="004F5652"/>
    <w:rsid w:val="004F5BB1"/>
    <w:rsid w:val="004F728E"/>
    <w:rsid w:val="004F767E"/>
    <w:rsid w:val="004F7928"/>
    <w:rsid w:val="00500A5F"/>
    <w:rsid w:val="00500E1E"/>
    <w:rsid w:val="00500EAF"/>
    <w:rsid w:val="0050158B"/>
    <w:rsid w:val="005015D5"/>
    <w:rsid w:val="005016BB"/>
    <w:rsid w:val="005020F2"/>
    <w:rsid w:val="00502121"/>
    <w:rsid w:val="00502506"/>
    <w:rsid w:val="00502541"/>
    <w:rsid w:val="00502A94"/>
    <w:rsid w:val="00502F55"/>
    <w:rsid w:val="005044AE"/>
    <w:rsid w:val="005045DC"/>
    <w:rsid w:val="00504B1E"/>
    <w:rsid w:val="005053B4"/>
    <w:rsid w:val="00506013"/>
    <w:rsid w:val="00507EDE"/>
    <w:rsid w:val="00510B25"/>
    <w:rsid w:val="005115EA"/>
    <w:rsid w:val="00511F75"/>
    <w:rsid w:val="00512647"/>
    <w:rsid w:val="005143F4"/>
    <w:rsid w:val="00515B9F"/>
    <w:rsid w:val="00515C82"/>
    <w:rsid w:val="00516B0E"/>
    <w:rsid w:val="00516B66"/>
    <w:rsid w:val="0051769D"/>
    <w:rsid w:val="0051779B"/>
    <w:rsid w:val="00517C6A"/>
    <w:rsid w:val="00517E9E"/>
    <w:rsid w:val="005202D1"/>
    <w:rsid w:val="00520AFC"/>
    <w:rsid w:val="00520EDF"/>
    <w:rsid w:val="00520F98"/>
    <w:rsid w:val="00521033"/>
    <w:rsid w:val="0052185B"/>
    <w:rsid w:val="00521B93"/>
    <w:rsid w:val="00521EB9"/>
    <w:rsid w:val="00522184"/>
    <w:rsid w:val="005228D0"/>
    <w:rsid w:val="00523645"/>
    <w:rsid w:val="00523ACF"/>
    <w:rsid w:val="005241DB"/>
    <w:rsid w:val="005244F5"/>
    <w:rsid w:val="00524ADE"/>
    <w:rsid w:val="0052648E"/>
    <w:rsid w:val="00526545"/>
    <w:rsid w:val="00526C77"/>
    <w:rsid w:val="00527381"/>
    <w:rsid w:val="00530185"/>
    <w:rsid w:val="00531179"/>
    <w:rsid w:val="005311D7"/>
    <w:rsid w:val="00532464"/>
    <w:rsid w:val="005324F6"/>
    <w:rsid w:val="005326FF"/>
    <w:rsid w:val="00532E9B"/>
    <w:rsid w:val="00533A17"/>
    <w:rsid w:val="00533ACD"/>
    <w:rsid w:val="00533E48"/>
    <w:rsid w:val="00534546"/>
    <w:rsid w:val="0053512D"/>
    <w:rsid w:val="00535243"/>
    <w:rsid w:val="00535CF8"/>
    <w:rsid w:val="005362E5"/>
    <w:rsid w:val="00536BF2"/>
    <w:rsid w:val="0053713D"/>
    <w:rsid w:val="005379E1"/>
    <w:rsid w:val="00537DDC"/>
    <w:rsid w:val="00537FF4"/>
    <w:rsid w:val="005401D4"/>
    <w:rsid w:val="00540672"/>
    <w:rsid w:val="0054094E"/>
    <w:rsid w:val="00540D6D"/>
    <w:rsid w:val="00541014"/>
    <w:rsid w:val="00541072"/>
    <w:rsid w:val="0054107C"/>
    <w:rsid w:val="005419C2"/>
    <w:rsid w:val="005422A8"/>
    <w:rsid w:val="00542318"/>
    <w:rsid w:val="00542E2C"/>
    <w:rsid w:val="00543373"/>
    <w:rsid w:val="00543394"/>
    <w:rsid w:val="0054399B"/>
    <w:rsid w:val="005439C2"/>
    <w:rsid w:val="00544881"/>
    <w:rsid w:val="00544B6D"/>
    <w:rsid w:val="0054548E"/>
    <w:rsid w:val="00545DB4"/>
    <w:rsid w:val="005466A5"/>
    <w:rsid w:val="00546745"/>
    <w:rsid w:val="005468E1"/>
    <w:rsid w:val="00546C9B"/>
    <w:rsid w:val="00550326"/>
    <w:rsid w:val="005506BF"/>
    <w:rsid w:val="00550992"/>
    <w:rsid w:val="00550E6E"/>
    <w:rsid w:val="005511C9"/>
    <w:rsid w:val="00552BBA"/>
    <w:rsid w:val="0055331B"/>
    <w:rsid w:val="00553460"/>
    <w:rsid w:val="00553F07"/>
    <w:rsid w:val="00554679"/>
    <w:rsid w:val="00554F61"/>
    <w:rsid w:val="00555661"/>
    <w:rsid w:val="005558EC"/>
    <w:rsid w:val="00556D83"/>
    <w:rsid w:val="00560062"/>
    <w:rsid w:val="00560312"/>
    <w:rsid w:val="00560C58"/>
    <w:rsid w:val="00561895"/>
    <w:rsid w:val="00561B20"/>
    <w:rsid w:val="00561DEE"/>
    <w:rsid w:val="0056230D"/>
    <w:rsid w:val="00562E9E"/>
    <w:rsid w:val="00563FFB"/>
    <w:rsid w:val="0056611C"/>
    <w:rsid w:val="005663B4"/>
    <w:rsid w:val="00566A68"/>
    <w:rsid w:val="00566A8E"/>
    <w:rsid w:val="00567111"/>
    <w:rsid w:val="0056792D"/>
    <w:rsid w:val="0056795C"/>
    <w:rsid w:val="00567A28"/>
    <w:rsid w:val="005700AF"/>
    <w:rsid w:val="005702C6"/>
    <w:rsid w:val="00570419"/>
    <w:rsid w:val="0057069E"/>
    <w:rsid w:val="005706FD"/>
    <w:rsid w:val="00570C89"/>
    <w:rsid w:val="00570C9E"/>
    <w:rsid w:val="00570FA7"/>
    <w:rsid w:val="005715C3"/>
    <w:rsid w:val="00571657"/>
    <w:rsid w:val="00571885"/>
    <w:rsid w:val="00572521"/>
    <w:rsid w:val="005727EA"/>
    <w:rsid w:val="00572B60"/>
    <w:rsid w:val="005734BE"/>
    <w:rsid w:val="0057364B"/>
    <w:rsid w:val="005746FF"/>
    <w:rsid w:val="00574900"/>
    <w:rsid w:val="00574EA3"/>
    <w:rsid w:val="0057505F"/>
    <w:rsid w:val="00575577"/>
    <w:rsid w:val="0057566C"/>
    <w:rsid w:val="00575888"/>
    <w:rsid w:val="00575919"/>
    <w:rsid w:val="005767BF"/>
    <w:rsid w:val="00576BF7"/>
    <w:rsid w:val="005776AC"/>
    <w:rsid w:val="005777BC"/>
    <w:rsid w:val="005778AB"/>
    <w:rsid w:val="00577A70"/>
    <w:rsid w:val="00577E5B"/>
    <w:rsid w:val="0058001F"/>
    <w:rsid w:val="00580904"/>
    <w:rsid w:val="005810D3"/>
    <w:rsid w:val="00581446"/>
    <w:rsid w:val="00581717"/>
    <w:rsid w:val="00581D51"/>
    <w:rsid w:val="005820D2"/>
    <w:rsid w:val="0058375F"/>
    <w:rsid w:val="00583878"/>
    <w:rsid w:val="00583BD0"/>
    <w:rsid w:val="005848BF"/>
    <w:rsid w:val="00584B74"/>
    <w:rsid w:val="00585726"/>
    <w:rsid w:val="00585EB5"/>
    <w:rsid w:val="005872E4"/>
    <w:rsid w:val="0058752D"/>
    <w:rsid w:val="00587583"/>
    <w:rsid w:val="005879CD"/>
    <w:rsid w:val="00590474"/>
    <w:rsid w:val="00590E30"/>
    <w:rsid w:val="00591AE2"/>
    <w:rsid w:val="00591CBE"/>
    <w:rsid w:val="00591E41"/>
    <w:rsid w:val="0059200C"/>
    <w:rsid w:val="005924A8"/>
    <w:rsid w:val="005926BC"/>
    <w:rsid w:val="0059291A"/>
    <w:rsid w:val="005934EC"/>
    <w:rsid w:val="00593926"/>
    <w:rsid w:val="0059455B"/>
    <w:rsid w:val="00594C86"/>
    <w:rsid w:val="0059509E"/>
    <w:rsid w:val="00595363"/>
    <w:rsid w:val="00595ACD"/>
    <w:rsid w:val="00595B0B"/>
    <w:rsid w:val="00595CAF"/>
    <w:rsid w:val="00595E94"/>
    <w:rsid w:val="0059605A"/>
    <w:rsid w:val="005960CF"/>
    <w:rsid w:val="00596A48"/>
    <w:rsid w:val="00596A8E"/>
    <w:rsid w:val="00596E89"/>
    <w:rsid w:val="00597083"/>
    <w:rsid w:val="00597357"/>
    <w:rsid w:val="005974A1"/>
    <w:rsid w:val="005A0E85"/>
    <w:rsid w:val="005A0EBE"/>
    <w:rsid w:val="005A1238"/>
    <w:rsid w:val="005A134B"/>
    <w:rsid w:val="005A1B5C"/>
    <w:rsid w:val="005A1D63"/>
    <w:rsid w:val="005A2059"/>
    <w:rsid w:val="005A2092"/>
    <w:rsid w:val="005A2369"/>
    <w:rsid w:val="005A3363"/>
    <w:rsid w:val="005A3638"/>
    <w:rsid w:val="005A403A"/>
    <w:rsid w:val="005A4099"/>
    <w:rsid w:val="005A4683"/>
    <w:rsid w:val="005A49AC"/>
    <w:rsid w:val="005A4DC0"/>
    <w:rsid w:val="005A76FC"/>
    <w:rsid w:val="005B0431"/>
    <w:rsid w:val="005B0D36"/>
    <w:rsid w:val="005B143F"/>
    <w:rsid w:val="005B1BB5"/>
    <w:rsid w:val="005B29F8"/>
    <w:rsid w:val="005B2E5A"/>
    <w:rsid w:val="005B3C76"/>
    <w:rsid w:val="005B3CA6"/>
    <w:rsid w:val="005B4433"/>
    <w:rsid w:val="005B470A"/>
    <w:rsid w:val="005B4B34"/>
    <w:rsid w:val="005B4F44"/>
    <w:rsid w:val="005B5922"/>
    <w:rsid w:val="005B62DD"/>
    <w:rsid w:val="005B65DE"/>
    <w:rsid w:val="005B6BDA"/>
    <w:rsid w:val="005B727C"/>
    <w:rsid w:val="005B79E3"/>
    <w:rsid w:val="005B7BAB"/>
    <w:rsid w:val="005B7D25"/>
    <w:rsid w:val="005C05D0"/>
    <w:rsid w:val="005C08FF"/>
    <w:rsid w:val="005C12B7"/>
    <w:rsid w:val="005C1787"/>
    <w:rsid w:val="005C1A4C"/>
    <w:rsid w:val="005C1C35"/>
    <w:rsid w:val="005C214C"/>
    <w:rsid w:val="005C21EC"/>
    <w:rsid w:val="005C2C0A"/>
    <w:rsid w:val="005C2C1C"/>
    <w:rsid w:val="005C3064"/>
    <w:rsid w:val="005C352F"/>
    <w:rsid w:val="005C35D7"/>
    <w:rsid w:val="005C3751"/>
    <w:rsid w:val="005C38D7"/>
    <w:rsid w:val="005C3E64"/>
    <w:rsid w:val="005C46EF"/>
    <w:rsid w:val="005C472B"/>
    <w:rsid w:val="005C4FD0"/>
    <w:rsid w:val="005C57F5"/>
    <w:rsid w:val="005C59FA"/>
    <w:rsid w:val="005C5F9C"/>
    <w:rsid w:val="005C7256"/>
    <w:rsid w:val="005C746B"/>
    <w:rsid w:val="005C76A8"/>
    <w:rsid w:val="005C76C4"/>
    <w:rsid w:val="005C7A77"/>
    <w:rsid w:val="005C7D8D"/>
    <w:rsid w:val="005D01AA"/>
    <w:rsid w:val="005D0EF1"/>
    <w:rsid w:val="005D14B6"/>
    <w:rsid w:val="005D1997"/>
    <w:rsid w:val="005D1E78"/>
    <w:rsid w:val="005D24CF"/>
    <w:rsid w:val="005D267F"/>
    <w:rsid w:val="005D27F7"/>
    <w:rsid w:val="005D2852"/>
    <w:rsid w:val="005D2909"/>
    <w:rsid w:val="005D3073"/>
    <w:rsid w:val="005D33EE"/>
    <w:rsid w:val="005D35E9"/>
    <w:rsid w:val="005D3999"/>
    <w:rsid w:val="005D4116"/>
    <w:rsid w:val="005D428A"/>
    <w:rsid w:val="005D53EE"/>
    <w:rsid w:val="005D5B1D"/>
    <w:rsid w:val="005D6341"/>
    <w:rsid w:val="005D6627"/>
    <w:rsid w:val="005D6B58"/>
    <w:rsid w:val="005D6CE3"/>
    <w:rsid w:val="005D6D63"/>
    <w:rsid w:val="005E19DA"/>
    <w:rsid w:val="005E1B9B"/>
    <w:rsid w:val="005E1FEF"/>
    <w:rsid w:val="005E2A3B"/>
    <w:rsid w:val="005E3951"/>
    <w:rsid w:val="005E3C52"/>
    <w:rsid w:val="005E3D71"/>
    <w:rsid w:val="005E4204"/>
    <w:rsid w:val="005E50E5"/>
    <w:rsid w:val="005E536B"/>
    <w:rsid w:val="005E5F5F"/>
    <w:rsid w:val="005E61D0"/>
    <w:rsid w:val="005E64CF"/>
    <w:rsid w:val="005E6B67"/>
    <w:rsid w:val="005E6BEA"/>
    <w:rsid w:val="005E6FC7"/>
    <w:rsid w:val="005E7376"/>
    <w:rsid w:val="005E7977"/>
    <w:rsid w:val="005F01FA"/>
    <w:rsid w:val="005F05FB"/>
    <w:rsid w:val="005F0D3F"/>
    <w:rsid w:val="005F123F"/>
    <w:rsid w:val="005F2113"/>
    <w:rsid w:val="005F2469"/>
    <w:rsid w:val="005F2586"/>
    <w:rsid w:val="005F295C"/>
    <w:rsid w:val="005F2B65"/>
    <w:rsid w:val="005F354F"/>
    <w:rsid w:val="005F381F"/>
    <w:rsid w:val="005F58C5"/>
    <w:rsid w:val="005F7424"/>
    <w:rsid w:val="005F75BE"/>
    <w:rsid w:val="006001BB"/>
    <w:rsid w:val="0060022B"/>
    <w:rsid w:val="006004D4"/>
    <w:rsid w:val="00600D25"/>
    <w:rsid w:val="00600D3B"/>
    <w:rsid w:val="006014D6"/>
    <w:rsid w:val="00601C73"/>
    <w:rsid w:val="00601EB5"/>
    <w:rsid w:val="006026E2"/>
    <w:rsid w:val="00602CDB"/>
    <w:rsid w:val="00603DDF"/>
    <w:rsid w:val="00604351"/>
    <w:rsid w:val="00604453"/>
    <w:rsid w:val="0060488E"/>
    <w:rsid w:val="00604E58"/>
    <w:rsid w:val="006050DA"/>
    <w:rsid w:val="00605A3E"/>
    <w:rsid w:val="006063AF"/>
    <w:rsid w:val="00606624"/>
    <w:rsid w:val="00606BD2"/>
    <w:rsid w:val="00606F0F"/>
    <w:rsid w:val="00607077"/>
    <w:rsid w:val="0060710D"/>
    <w:rsid w:val="00607188"/>
    <w:rsid w:val="0060732A"/>
    <w:rsid w:val="0061071C"/>
    <w:rsid w:val="006113E1"/>
    <w:rsid w:val="006114FE"/>
    <w:rsid w:val="00611550"/>
    <w:rsid w:val="006116CF"/>
    <w:rsid w:val="00611B97"/>
    <w:rsid w:val="00611CBF"/>
    <w:rsid w:val="00611D75"/>
    <w:rsid w:val="00611E5F"/>
    <w:rsid w:val="0061297C"/>
    <w:rsid w:val="00612E54"/>
    <w:rsid w:val="006150A6"/>
    <w:rsid w:val="00615C6D"/>
    <w:rsid w:val="00615E34"/>
    <w:rsid w:val="00615EAE"/>
    <w:rsid w:val="00616587"/>
    <w:rsid w:val="00616B3B"/>
    <w:rsid w:val="00617B1E"/>
    <w:rsid w:val="00617B31"/>
    <w:rsid w:val="00620BDC"/>
    <w:rsid w:val="00622AB8"/>
    <w:rsid w:val="00622D39"/>
    <w:rsid w:val="006233FD"/>
    <w:rsid w:val="006234DE"/>
    <w:rsid w:val="00623633"/>
    <w:rsid w:val="0062369C"/>
    <w:rsid w:val="0062375E"/>
    <w:rsid w:val="006241B6"/>
    <w:rsid w:val="0062571B"/>
    <w:rsid w:val="00625A36"/>
    <w:rsid w:val="00626EA8"/>
    <w:rsid w:val="00627B73"/>
    <w:rsid w:val="00627B99"/>
    <w:rsid w:val="0063052F"/>
    <w:rsid w:val="00630912"/>
    <w:rsid w:val="00630EBF"/>
    <w:rsid w:val="00630EF7"/>
    <w:rsid w:val="00631CD5"/>
    <w:rsid w:val="00632FDC"/>
    <w:rsid w:val="006337C7"/>
    <w:rsid w:val="00633F5A"/>
    <w:rsid w:val="00634311"/>
    <w:rsid w:val="0063486A"/>
    <w:rsid w:val="00634B4C"/>
    <w:rsid w:val="006354C3"/>
    <w:rsid w:val="00635E4C"/>
    <w:rsid w:val="0063655A"/>
    <w:rsid w:val="00637110"/>
    <w:rsid w:val="00637E02"/>
    <w:rsid w:val="006400FD"/>
    <w:rsid w:val="0064021D"/>
    <w:rsid w:val="00640386"/>
    <w:rsid w:val="0064079C"/>
    <w:rsid w:val="00640B38"/>
    <w:rsid w:val="0064168B"/>
    <w:rsid w:val="0064194D"/>
    <w:rsid w:val="00641B22"/>
    <w:rsid w:val="00641B32"/>
    <w:rsid w:val="006421B9"/>
    <w:rsid w:val="006423EA"/>
    <w:rsid w:val="0064397C"/>
    <w:rsid w:val="006440BF"/>
    <w:rsid w:val="006447D0"/>
    <w:rsid w:val="00645758"/>
    <w:rsid w:val="006458A6"/>
    <w:rsid w:val="00645FAD"/>
    <w:rsid w:val="00646E78"/>
    <w:rsid w:val="00646EDB"/>
    <w:rsid w:val="006472AF"/>
    <w:rsid w:val="00647C36"/>
    <w:rsid w:val="0065022F"/>
    <w:rsid w:val="00651828"/>
    <w:rsid w:val="006527A7"/>
    <w:rsid w:val="0065297A"/>
    <w:rsid w:val="006539D1"/>
    <w:rsid w:val="00653B33"/>
    <w:rsid w:val="006540F7"/>
    <w:rsid w:val="00654657"/>
    <w:rsid w:val="00654FC9"/>
    <w:rsid w:val="00655775"/>
    <w:rsid w:val="00655CE1"/>
    <w:rsid w:val="00655F96"/>
    <w:rsid w:val="006565BD"/>
    <w:rsid w:val="0065676E"/>
    <w:rsid w:val="00656C6B"/>
    <w:rsid w:val="00657AE2"/>
    <w:rsid w:val="006600E3"/>
    <w:rsid w:val="00660845"/>
    <w:rsid w:val="00661200"/>
    <w:rsid w:val="00661806"/>
    <w:rsid w:val="00661A55"/>
    <w:rsid w:val="00662808"/>
    <w:rsid w:val="00663105"/>
    <w:rsid w:val="00664157"/>
    <w:rsid w:val="006648B6"/>
    <w:rsid w:val="006659A5"/>
    <w:rsid w:val="006659B3"/>
    <w:rsid w:val="00665A13"/>
    <w:rsid w:val="00666182"/>
    <w:rsid w:val="00667633"/>
    <w:rsid w:val="006677DC"/>
    <w:rsid w:val="00667AEB"/>
    <w:rsid w:val="00667BCC"/>
    <w:rsid w:val="00667FC8"/>
    <w:rsid w:val="006700D9"/>
    <w:rsid w:val="00670114"/>
    <w:rsid w:val="00670386"/>
    <w:rsid w:val="0067050C"/>
    <w:rsid w:val="00670AB9"/>
    <w:rsid w:val="00671475"/>
    <w:rsid w:val="00671978"/>
    <w:rsid w:val="00671D1D"/>
    <w:rsid w:val="00671FC8"/>
    <w:rsid w:val="00672599"/>
    <w:rsid w:val="00672B3C"/>
    <w:rsid w:val="0067317A"/>
    <w:rsid w:val="006732FE"/>
    <w:rsid w:val="006734B5"/>
    <w:rsid w:val="00673C22"/>
    <w:rsid w:val="00673D00"/>
    <w:rsid w:val="00673F2A"/>
    <w:rsid w:val="006749E9"/>
    <w:rsid w:val="00674A3B"/>
    <w:rsid w:val="006754DF"/>
    <w:rsid w:val="00675744"/>
    <w:rsid w:val="006758C5"/>
    <w:rsid w:val="006765D7"/>
    <w:rsid w:val="006766FA"/>
    <w:rsid w:val="006769A0"/>
    <w:rsid w:val="00676B9B"/>
    <w:rsid w:val="0067737B"/>
    <w:rsid w:val="0067776C"/>
    <w:rsid w:val="00677786"/>
    <w:rsid w:val="00677FF7"/>
    <w:rsid w:val="00680154"/>
    <w:rsid w:val="00680D15"/>
    <w:rsid w:val="00680E3F"/>
    <w:rsid w:val="00681194"/>
    <w:rsid w:val="0068135C"/>
    <w:rsid w:val="0068284C"/>
    <w:rsid w:val="0068286F"/>
    <w:rsid w:val="00683111"/>
    <w:rsid w:val="006833ED"/>
    <w:rsid w:val="006834A9"/>
    <w:rsid w:val="00683F2E"/>
    <w:rsid w:val="00686530"/>
    <w:rsid w:val="00686A89"/>
    <w:rsid w:val="00686CB6"/>
    <w:rsid w:val="00686DFE"/>
    <w:rsid w:val="0068718D"/>
    <w:rsid w:val="00687D8C"/>
    <w:rsid w:val="00690840"/>
    <w:rsid w:val="00690B65"/>
    <w:rsid w:val="00690EBC"/>
    <w:rsid w:val="006910D9"/>
    <w:rsid w:val="00691E5A"/>
    <w:rsid w:val="00691FBB"/>
    <w:rsid w:val="00692468"/>
    <w:rsid w:val="00692780"/>
    <w:rsid w:val="006930F1"/>
    <w:rsid w:val="00693802"/>
    <w:rsid w:val="00694070"/>
    <w:rsid w:val="00694241"/>
    <w:rsid w:val="006948FD"/>
    <w:rsid w:val="00694DF3"/>
    <w:rsid w:val="00694F2A"/>
    <w:rsid w:val="00695127"/>
    <w:rsid w:val="006958D7"/>
    <w:rsid w:val="00695B12"/>
    <w:rsid w:val="00696612"/>
    <w:rsid w:val="006969DE"/>
    <w:rsid w:val="006974CF"/>
    <w:rsid w:val="006974EC"/>
    <w:rsid w:val="00697567"/>
    <w:rsid w:val="006979FA"/>
    <w:rsid w:val="00697C34"/>
    <w:rsid w:val="00697C73"/>
    <w:rsid w:val="006A0113"/>
    <w:rsid w:val="006A0149"/>
    <w:rsid w:val="006A02F9"/>
    <w:rsid w:val="006A048B"/>
    <w:rsid w:val="006A1AED"/>
    <w:rsid w:val="006A2046"/>
    <w:rsid w:val="006A3188"/>
    <w:rsid w:val="006A359E"/>
    <w:rsid w:val="006A3B61"/>
    <w:rsid w:val="006A3D0E"/>
    <w:rsid w:val="006A42C0"/>
    <w:rsid w:val="006A4391"/>
    <w:rsid w:val="006A45FC"/>
    <w:rsid w:val="006A4940"/>
    <w:rsid w:val="006A4FB4"/>
    <w:rsid w:val="006A5314"/>
    <w:rsid w:val="006A5331"/>
    <w:rsid w:val="006A5A3D"/>
    <w:rsid w:val="006A5DB3"/>
    <w:rsid w:val="006A6EF5"/>
    <w:rsid w:val="006A707C"/>
    <w:rsid w:val="006A7971"/>
    <w:rsid w:val="006A7DB4"/>
    <w:rsid w:val="006A7F64"/>
    <w:rsid w:val="006B02C0"/>
    <w:rsid w:val="006B0C07"/>
    <w:rsid w:val="006B30D1"/>
    <w:rsid w:val="006B30FF"/>
    <w:rsid w:val="006B36D8"/>
    <w:rsid w:val="006B3BA0"/>
    <w:rsid w:val="006B46CD"/>
    <w:rsid w:val="006B47CC"/>
    <w:rsid w:val="006B53E6"/>
    <w:rsid w:val="006B5A14"/>
    <w:rsid w:val="006B66CE"/>
    <w:rsid w:val="006B68C6"/>
    <w:rsid w:val="006B6D5B"/>
    <w:rsid w:val="006B72B3"/>
    <w:rsid w:val="006B7687"/>
    <w:rsid w:val="006B7B8E"/>
    <w:rsid w:val="006C01EA"/>
    <w:rsid w:val="006C03FC"/>
    <w:rsid w:val="006C0B7B"/>
    <w:rsid w:val="006C1F3E"/>
    <w:rsid w:val="006C2120"/>
    <w:rsid w:val="006C235A"/>
    <w:rsid w:val="006C35C8"/>
    <w:rsid w:val="006C3ABC"/>
    <w:rsid w:val="006C410B"/>
    <w:rsid w:val="006C48AF"/>
    <w:rsid w:val="006C490A"/>
    <w:rsid w:val="006C4C9C"/>
    <w:rsid w:val="006C57A0"/>
    <w:rsid w:val="006C5942"/>
    <w:rsid w:val="006C5F14"/>
    <w:rsid w:val="006C65B3"/>
    <w:rsid w:val="006C737A"/>
    <w:rsid w:val="006C7AE7"/>
    <w:rsid w:val="006C7B36"/>
    <w:rsid w:val="006C7F58"/>
    <w:rsid w:val="006D0038"/>
    <w:rsid w:val="006D06CB"/>
    <w:rsid w:val="006D0C02"/>
    <w:rsid w:val="006D0FA4"/>
    <w:rsid w:val="006D1346"/>
    <w:rsid w:val="006D1C31"/>
    <w:rsid w:val="006D2221"/>
    <w:rsid w:val="006D2D32"/>
    <w:rsid w:val="006D303A"/>
    <w:rsid w:val="006D3132"/>
    <w:rsid w:val="006D36B7"/>
    <w:rsid w:val="006D3A85"/>
    <w:rsid w:val="006D3ADA"/>
    <w:rsid w:val="006D3FDB"/>
    <w:rsid w:val="006D4B03"/>
    <w:rsid w:val="006D4C15"/>
    <w:rsid w:val="006D4E64"/>
    <w:rsid w:val="006D6D9A"/>
    <w:rsid w:val="006D7E0B"/>
    <w:rsid w:val="006D7E90"/>
    <w:rsid w:val="006E0477"/>
    <w:rsid w:val="006E1636"/>
    <w:rsid w:val="006E1C50"/>
    <w:rsid w:val="006E1E6A"/>
    <w:rsid w:val="006E297E"/>
    <w:rsid w:val="006E29BB"/>
    <w:rsid w:val="006E303A"/>
    <w:rsid w:val="006E31CB"/>
    <w:rsid w:val="006E3400"/>
    <w:rsid w:val="006E37A1"/>
    <w:rsid w:val="006E4001"/>
    <w:rsid w:val="006E41E0"/>
    <w:rsid w:val="006E471A"/>
    <w:rsid w:val="006E4A21"/>
    <w:rsid w:val="006E4A5C"/>
    <w:rsid w:val="006E4D52"/>
    <w:rsid w:val="006E51F9"/>
    <w:rsid w:val="006E5270"/>
    <w:rsid w:val="006E5537"/>
    <w:rsid w:val="006E57C7"/>
    <w:rsid w:val="006E5CAA"/>
    <w:rsid w:val="006E65AA"/>
    <w:rsid w:val="006E6C78"/>
    <w:rsid w:val="006E6E76"/>
    <w:rsid w:val="006E6F5A"/>
    <w:rsid w:val="006E7477"/>
    <w:rsid w:val="006E7D23"/>
    <w:rsid w:val="006E7E6F"/>
    <w:rsid w:val="006F03CD"/>
    <w:rsid w:val="006F05B5"/>
    <w:rsid w:val="006F26BD"/>
    <w:rsid w:val="006F28F2"/>
    <w:rsid w:val="006F4D59"/>
    <w:rsid w:val="006F5428"/>
    <w:rsid w:val="006F58A5"/>
    <w:rsid w:val="006F6210"/>
    <w:rsid w:val="006F6776"/>
    <w:rsid w:val="006F7071"/>
    <w:rsid w:val="006F7651"/>
    <w:rsid w:val="0070097D"/>
    <w:rsid w:val="00700F96"/>
    <w:rsid w:val="00701947"/>
    <w:rsid w:val="00702097"/>
    <w:rsid w:val="007022C8"/>
    <w:rsid w:val="0070289B"/>
    <w:rsid w:val="00702AA3"/>
    <w:rsid w:val="00702E5B"/>
    <w:rsid w:val="00702F68"/>
    <w:rsid w:val="00703024"/>
    <w:rsid w:val="00703305"/>
    <w:rsid w:val="00703734"/>
    <w:rsid w:val="00703B13"/>
    <w:rsid w:val="00703E1D"/>
    <w:rsid w:val="007058AE"/>
    <w:rsid w:val="00707429"/>
    <w:rsid w:val="00707A1D"/>
    <w:rsid w:val="00707BB7"/>
    <w:rsid w:val="00711349"/>
    <w:rsid w:val="007115C9"/>
    <w:rsid w:val="00711A8B"/>
    <w:rsid w:val="0071242D"/>
    <w:rsid w:val="00712E5E"/>
    <w:rsid w:val="007132C1"/>
    <w:rsid w:val="007133A1"/>
    <w:rsid w:val="00713555"/>
    <w:rsid w:val="00713984"/>
    <w:rsid w:val="00713B80"/>
    <w:rsid w:val="0071448D"/>
    <w:rsid w:val="00715C0E"/>
    <w:rsid w:val="0071655B"/>
    <w:rsid w:val="00717287"/>
    <w:rsid w:val="00717A50"/>
    <w:rsid w:val="00717EDB"/>
    <w:rsid w:val="007203AD"/>
    <w:rsid w:val="00720DC2"/>
    <w:rsid w:val="007212A1"/>
    <w:rsid w:val="0072178B"/>
    <w:rsid w:val="007223D1"/>
    <w:rsid w:val="00722619"/>
    <w:rsid w:val="00722A1E"/>
    <w:rsid w:val="00722A2C"/>
    <w:rsid w:val="00722D8D"/>
    <w:rsid w:val="007233E7"/>
    <w:rsid w:val="00723C5D"/>
    <w:rsid w:val="0072442B"/>
    <w:rsid w:val="00724714"/>
    <w:rsid w:val="00724799"/>
    <w:rsid w:val="00724BE9"/>
    <w:rsid w:val="007251BA"/>
    <w:rsid w:val="00725C5C"/>
    <w:rsid w:val="0072666C"/>
    <w:rsid w:val="0072717D"/>
    <w:rsid w:val="007276AF"/>
    <w:rsid w:val="007277C0"/>
    <w:rsid w:val="00727971"/>
    <w:rsid w:val="00730225"/>
    <w:rsid w:val="007308AB"/>
    <w:rsid w:val="007308E9"/>
    <w:rsid w:val="00730F54"/>
    <w:rsid w:val="007318B6"/>
    <w:rsid w:val="00731A74"/>
    <w:rsid w:val="00732A8F"/>
    <w:rsid w:val="007332D6"/>
    <w:rsid w:val="0073362E"/>
    <w:rsid w:val="00733767"/>
    <w:rsid w:val="0073377B"/>
    <w:rsid w:val="0073484B"/>
    <w:rsid w:val="007361F9"/>
    <w:rsid w:val="00736669"/>
    <w:rsid w:val="00736821"/>
    <w:rsid w:val="00737090"/>
    <w:rsid w:val="00737F0F"/>
    <w:rsid w:val="00737F7C"/>
    <w:rsid w:val="00740587"/>
    <w:rsid w:val="00740733"/>
    <w:rsid w:val="00740E82"/>
    <w:rsid w:val="00740F5A"/>
    <w:rsid w:val="00741EAF"/>
    <w:rsid w:val="00742075"/>
    <w:rsid w:val="00742512"/>
    <w:rsid w:val="0074298D"/>
    <w:rsid w:val="00744755"/>
    <w:rsid w:val="007449F4"/>
    <w:rsid w:val="007452E3"/>
    <w:rsid w:val="007456FC"/>
    <w:rsid w:val="00745C0D"/>
    <w:rsid w:val="0074600B"/>
    <w:rsid w:val="00746784"/>
    <w:rsid w:val="0074685F"/>
    <w:rsid w:val="00746A6C"/>
    <w:rsid w:val="00747D3D"/>
    <w:rsid w:val="00747F52"/>
    <w:rsid w:val="00751915"/>
    <w:rsid w:val="00751DD4"/>
    <w:rsid w:val="007522F7"/>
    <w:rsid w:val="00752569"/>
    <w:rsid w:val="00752B2E"/>
    <w:rsid w:val="007547A8"/>
    <w:rsid w:val="00754F5A"/>
    <w:rsid w:val="00755A5A"/>
    <w:rsid w:val="00755C3C"/>
    <w:rsid w:val="00755C59"/>
    <w:rsid w:val="00756259"/>
    <w:rsid w:val="00756370"/>
    <w:rsid w:val="00756591"/>
    <w:rsid w:val="00757822"/>
    <w:rsid w:val="00757EC2"/>
    <w:rsid w:val="00757FA1"/>
    <w:rsid w:val="0076012B"/>
    <w:rsid w:val="007604AA"/>
    <w:rsid w:val="007605EB"/>
    <w:rsid w:val="00760653"/>
    <w:rsid w:val="007618B2"/>
    <w:rsid w:val="00762051"/>
    <w:rsid w:val="007623B0"/>
    <w:rsid w:val="0076252B"/>
    <w:rsid w:val="00762537"/>
    <w:rsid w:val="007625BD"/>
    <w:rsid w:val="00762E55"/>
    <w:rsid w:val="00762F41"/>
    <w:rsid w:val="007634B5"/>
    <w:rsid w:val="0076377B"/>
    <w:rsid w:val="00764231"/>
    <w:rsid w:val="007647D5"/>
    <w:rsid w:val="0076602F"/>
    <w:rsid w:val="00766262"/>
    <w:rsid w:val="0076652B"/>
    <w:rsid w:val="007673C4"/>
    <w:rsid w:val="0077062D"/>
    <w:rsid w:val="007706B9"/>
    <w:rsid w:val="00770CDD"/>
    <w:rsid w:val="00771449"/>
    <w:rsid w:val="00771BD4"/>
    <w:rsid w:val="00771CBB"/>
    <w:rsid w:val="00771CF0"/>
    <w:rsid w:val="0077243A"/>
    <w:rsid w:val="00772A39"/>
    <w:rsid w:val="00773093"/>
    <w:rsid w:val="0077309C"/>
    <w:rsid w:val="00773BD4"/>
    <w:rsid w:val="00773FAF"/>
    <w:rsid w:val="00774BE6"/>
    <w:rsid w:val="00774C6B"/>
    <w:rsid w:val="00775834"/>
    <w:rsid w:val="00775D46"/>
    <w:rsid w:val="00775D80"/>
    <w:rsid w:val="00775D90"/>
    <w:rsid w:val="00776419"/>
    <w:rsid w:val="00776430"/>
    <w:rsid w:val="007767BD"/>
    <w:rsid w:val="00776980"/>
    <w:rsid w:val="00777997"/>
    <w:rsid w:val="00777DD8"/>
    <w:rsid w:val="00777FA2"/>
    <w:rsid w:val="007807DB"/>
    <w:rsid w:val="00780AA3"/>
    <w:rsid w:val="00780FDA"/>
    <w:rsid w:val="0078324F"/>
    <w:rsid w:val="007833EE"/>
    <w:rsid w:val="007834E5"/>
    <w:rsid w:val="00784060"/>
    <w:rsid w:val="00784086"/>
    <w:rsid w:val="007842CB"/>
    <w:rsid w:val="00784C07"/>
    <w:rsid w:val="00784FAC"/>
    <w:rsid w:val="0078614B"/>
    <w:rsid w:val="007873E6"/>
    <w:rsid w:val="007874B0"/>
    <w:rsid w:val="007878E6"/>
    <w:rsid w:val="00787B89"/>
    <w:rsid w:val="00787E84"/>
    <w:rsid w:val="00790A46"/>
    <w:rsid w:val="00792F31"/>
    <w:rsid w:val="0079459F"/>
    <w:rsid w:val="00794ACA"/>
    <w:rsid w:val="00795072"/>
    <w:rsid w:val="007953CA"/>
    <w:rsid w:val="0079604B"/>
    <w:rsid w:val="00796B36"/>
    <w:rsid w:val="00797D0C"/>
    <w:rsid w:val="007A0835"/>
    <w:rsid w:val="007A121B"/>
    <w:rsid w:val="007A148A"/>
    <w:rsid w:val="007A1CB3"/>
    <w:rsid w:val="007A350F"/>
    <w:rsid w:val="007A3892"/>
    <w:rsid w:val="007A39C9"/>
    <w:rsid w:val="007A3BF1"/>
    <w:rsid w:val="007A49F0"/>
    <w:rsid w:val="007A5566"/>
    <w:rsid w:val="007A58C9"/>
    <w:rsid w:val="007A5C6B"/>
    <w:rsid w:val="007A6373"/>
    <w:rsid w:val="007A6D1E"/>
    <w:rsid w:val="007A6D4D"/>
    <w:rsid w:val="007A6F23"/>
    <w:rsid w:val="007A7081"/>
    <w:rsid w:val="007A76C1"/>
    <w:rsid w:val="007A7B2C"/>
    <w:rsid w:val="007B009B"/>
    <w:rsid w:val="007B050D"/>
    <w:rsid w:val="007B2419"/>
    <w:rsid w:val="007B262D"/>
    <w:rsid w:val="007B2FE5"/>
    <w:rsid w:val="007B32CA"/>
    <w:rsid w:val="007B3392"/>
    <w:rsid w:val="007B3646"/>
    <w:rsid w:val="007B3793"/>
    <w:rsid w:val="007B395A"/>
    <w:rsid w:val="007B3A17"/>
    <w:rsid w:val="007B3D02"/>
    <w:rsid w:val="007B44B7"/>
    <w:rsid w:val="007B49E6"/>
    <w:rsid w:val="007B5017"/>
    <w:rsid w:val="007B503C"/>
    <w:rsid w:val="007B51D9"/>
    <w:rsid w:val="007B553F"/>
    <w:rsid w:val="007B59C9"/>
    <w:rsid w:val="007B5E5D"/>
    <w:rsid w:val="007B6D41"/>
    <w:rsid w:val="007B6E0C"/>
    <w:rsid w:val="007B7748"/>
    <w:rsid w:val="007B78AA"/>
    <w:rsid w:val="007B79F8"/>
    <w:rsid w:val="007C0415"/>
    <w:rsid w:val="007C1442"/>
    <w:rsid w:val="007C2AC4"/>
    <w:rsid w:val="007C3539"/>
    <w:rsid w:val="007C3CD1"/>
    <w:rsid w:val="007C476C"/>
    <w:rsid w:val="007C485C"/>
    <w:rsid w:val="007C501C"/>
    <w:rsid w:val="007C5B23"/>
    <w:rsid w:val="007C70A8"/>
    <w:rsid w:val="007C7968"/>
    <w:rsid w:val="007D0A7F"/>
    <w:rsid w:val="007D0CFE"/>
    <w:rsid w:val="007D13F1"/>
    <w:rsid w:val="007D1608"/>
    <w:rsid w:val="007D16D2"/>
    <w:rsid w:val="007D1EBE"/>
    <w:rsid w:val="007D1F33"/>
    <w:rsid w:val="007D2333"/>
    <w:rsid w:val="007D330D"/>
    <w:rsid w:val="007D3496"/>
    <w:rsid w:val="007D3A5C"/>
    <w:rsid w:val="007D3CDF"/>
    <w:rsid w:val="007D40AF"/>
    <w:rsid w:val="007D468F"/>
    <w:rsid w:val="007D5348"/>
    <w:rsid w:val="007D567E"/>
    <w:rsid w:val="007D649A"/>
    <w:rsid w:val="007D6797"/>
    <w:rsid w:val="007D6B9F"/>
    <w:rsid w:val="007D70B9"/>
    <w:rsid w:val="007D78E8"/>
    <w:rsid w:val="007E0426"/>
    <w:rsid w:val="007E101F"/>
    <w:rsid w:val="007E1772"/>
    <w:rsid w:val="007E2898"/>
    <w:rsid w:val="007E2C5B"/>
    <w:rsid w:val="007E3A36"/>
    <w:rsid w:val="007E3BEE"/>
    <w:rsid w:val="007E3DE6"/>
    <w:rsid w:val="007E3EE0"/>
    <w:rsid w:val="007E4530"/>
    <w:rsid w:val="007E4C0E"/>
    <w:rsid w:val="007E5D4F"/>
    <w:rsid w:val="007E5EEF"/>
    <w:rsid w:val="007E6663"/>
    <w:rsid w:val="007E6E13"/>
    <w:rsid w:val="007E70B0"/>
    <w:rsid w:val="007E70DF"/>
    <w:rsid w:val="007E7231"/>
    <w:rsid w:val="007E771F"/>
    <w:rsid w:val="007E7847"/>
    <w:rsid w:val="007E7A76"/>
    <w:rsid w:val="007E7F64"/>
    <w:rsid w:val="007F05B5"/>
    <w:rsid w:val="007F0728"/>
    <w:rsid w:val="007F090A"/>
    <w:rsid w:val="007F134B"/>
    <w:rsid w:val="007F1504"/>
    <w:rsid w:val="007F30FF"/>
    <w:rsid w:val="007F4048"/>
    <w:rsid w:val="007F45B4"/>
    <w:rsid w:val="007F50B1"/>
    <w:rsid w:val="007F50FE"/>
    <w:rsid w:val="007F5171"/>
    <w:rsid w:val="007F5191"/>
    <w:rsid w:val="007F6191"/>
    <w:rsid w:val="007F6691"/>
    <w:rsid w:val="007F7734"/>
    <w:rsid w:val="007F7F86"/>
    <w:rsid w:val="00800361"/>
    <w:rsid w:val="00800526"/>
    <w:rsid w:val="00800696"/>
    <w:rsid w:val="008011A3"/>
    <w:rsid w:val="00802375"/>
    <w:rsid w:val="00802BDD"/>
    <w:rsid w:val="00803A02"/>
    <w:rsid w:val="00803D65"/>
    <w:rsid w:val="008042AD"/>
    <w:rsid w:val="00804685"/>
    <w:rsid w:val="00805DA0"/>
    <w:rsid w:val="00805F68"/>
    <w:rsid w:val="0080600A"/>
    <w:rsid w:val="00806200"/>
    <w:rsid w:val="00806453"/>
    <w:rsid w:val="00806473"/>
    <w:rsid w:val="00806665"/>
    <w:rsid w:val="008068AE"/>
    <w:rsid w:val="008068DA"/>
    <w:rsid w:val="008069C8"/>
    <w:rsid w:val="00806AA5"/>
    <w:rsid w:val="008071C0"/>
    <w:rsid w:val="0080724C"/>
    <w:rsid w:val="00807381"/>
    <w:rsid w:val="00807D8B"/>
    <w:rsid w:val="00807FFB"/>
    <w:rsid w:val="008105FE"/>
    <w:rsid w:val="008115AB"/>
    <w:rsid w:val="00811E68"/>
    <w:rsid w:val="00812610"/>
    <w:rsid w:val="00812980"/>
    <w:rsid w:val="00813036"/>
    <w:rsid w:val="00813467"/>
    <w:rsid w:val="00813961"/>
    <w:rsid w:val="00813DFE"/>
    <w:rsid w:val="0081528D"/>
    <w:rsid w:val="008156FE"/>
    <w:rsid w:val="00815ADF"/>
    <w:rsid w:val="0081640F"/>
    <w:rsid w:val="0081649D"/>
    <w:rsid w:val="008164F6"/>
    <w:rsid w:val="008168AD"/>
    <w:rsid w:val="008201A6"/>
    <w:rsid w:val="008201B6"/>
    <w:rsid w:val="00821015"/>
    <w:rsid w:val="0082108B"/>
    <w:rsid w:val="0082356F"/>
    <w:rsid w:val="008237A9"/>
    <w:rsid w:val="00823BEC"/>
    <w:rsid w:val="008243F9"/>
    <w:rsid w:val="00824428"/>
    <w:rsid w:val="00826293"/>
    <w:rsid w:val="0082723D"/>
    <w:rsid w:val="00827CCA"/>
    <w:rsid w:val="00827E60"/>
    <w:rsid w:val="00827EB7"/>
    <w:rsid w:val="0083004F"/>
    <w:rsid w:val="008307FC"/>
    <w:rsid w:val="0083101E"/>
    <w:rsid w:val="00831957"/>
    <w:rsid w:val="00833A1E"/>
    <w:rsid w:val="00834B7C"/>
    <w:rsid w:val="00834C55"/>
    <w:rsid w:val="00835471"/>
    <w:rsid w:val="00836A03"/>
    <w:rsid w:val="00836CA0"/>
    <w:rsid w:val="00837218"/>
    <w:rsid w:val="00837232"/>
    <w:rsid w:val="0083777C"/>
    <w:rsid w:val="00837F65"/>
    <w:rsid w:val="008402C4"/>
    <w:rsid w:val="008403BF"/>
    <w:rsid w:val="00840615"/>
    <w:rsid w:val="00840685"/>
    <w:rsid w:val="0084082C"/>
    <w:rsid w:val="00840BC1"/>
    <w:rsid w:val="00840E8E"/>
    <w:rsid w:val="00841112"/>
    <w:rsid w:val="008412E1"/>
    <w:rsid w:val="0084163B"/>
    <w:rsid w:val="0084174B"/>
    <w:rsid w:val="008419B1"/>
    <w:rsid w:val="00842680"/>
    <w:rsid w:val="00842721"/>
    <w:rsid w:val="00843444"/>
    <w:rsid w:val="008434B9"/>
    <w:rsid w:val="00843AC4"/>
    <w:rsid w:val="00843D3C"/>
    <w:rsid w:val="00844847"/>
    <w:rsid w:val="0084498B"/>
    <w:rsid w:val="00844AB0"/>
    <w:rsid w:val="008451EC"/>
    <w:rsid w:val="008452E3"/>
    <w:rsid w:val="00845E1D"/>
    <w:rsid w:val="008461E8"/>
    <w:rsid w:val="008469A4"/>
    <w:rsid w:val="00846EA1"/>
    <w:rsid w:val="008471AE"/>
    <w:rsid w:val="008473B0"/>
    <w:rsid w:val="00847BF8"/>
    <w:rsid w:val="00847CCB"/>
    <w:rsid w:val="0085013F"/>
    <w:rsid w:val="0085140D"/>
    <w:rsid w:val="00851AD6"/>
    <w:rsid w:val="00852281"/>
    <w:rsid w:val="00852E86"/>
    <w:rsid w:val="00853307"/>
    <w:rsid w:val="00853A7A"/>
    <w:rsid w:val="00853D7C"/>
    <w:rsid w:val="00853EC0"/>
    <w:rsid w:val="008545A3"/>
    <w:rsid w:val="008546C4"/>
    <w:rsid w:val="00854FF2"/>
    <w:rsid w:val="00855467"/>
    <w:rsid w:val="008554D2"/>
    <w:rsid w:val="00855592"/>
    <w:rsid w:val="0085580E"/>
    <w:rsid w:val="008558D0"/>
    <w:rsid w:val="00855B06"/>
    <w:rsid w:val="00855BBD"/>
    <w:rsid w:val="00855EE7"/>
    <w:rsid w:val="00856A6D"/>
    <w:rsid w:val="00856C81"/>
    <w:rsid w:val="00856CE1"/>
    <w:rsid w:val="00857483"/>
    <w:rsid w:val="0086006A"/>
    <w:rsid w:val="0086033D"/>
    <w:rsid w:val="008604FE"/>
    <w:rsid w:val="00860857"/>
    <w:rsid w:val="00860C12"/>
    <w:rsid w:val="00861052"/>
    <w:rsid w:val="00861246"/>
    <w:rsid w:val="0086223F"/>
    <w:rsid w:val="008630F9"/>
    <w:rsid w:val="00863803"/>
    <w:rsid w:val="00863A90"/>
    <w:rsid w:val="00864929"/>
    <w:rsid w:val="00864E47"/>
    <w:rsid w:val="00865301"/>
    <w:rsid w:val="008653B3"/>
    <w:rsid w:val="008653E9"/>
    <w:rsid w:val="0086576B"/>
    <w:rsid w:val="008657F1"/>
    <w:rsid w:val="00865D74"/>
    <w:rsid w:val="00865FD1"/>
    <w:rsid w:val="0086636C"/>
    <w:rsid w:val="00866506"/>
    <w:rsid w:val="00866723"/>
    <w:rsid w:val="00866C64"/>
    <w:rsid w:val="00867878"/>
    <w:rsid w:val="00870B31"/>
    <w:rsid w:val="00870D40"/>
    <w:rsid w:val="00872597"/>
    <w:rsid w:val="00872DFF"/>
    <w:rsid w:val="00872EAB"/>
    <w:rsid w:val="008738B4"/>
    <w:rsid w:val="00873AEF"/>
    <w:rsid w:val="00873BF2"/>
    <w:rsid w:val="00874086"/>
    <w:rsid w:val="00874C8E"/>
    <w:rsid w:val="0087574A"/>
    <w:rsid w:val="00876483"/>
    <w:rsid w:val="00876947"/>
    <w:rsid w:val="008776DE"/>
    <w:rsid w:val="00880DE5"/>
    <w:rsid w:val="00881024"/>
    <w:rsid w:val="008827E2"/>
    <w:rsid w:val="0088374A"/>
    <w:rsid w:val="00883BD4"/>
    <w:rsid w:val="00883E95"/>
    <w:rsid w:val="00883F19"/>
    <w:rsid w:val="00883F80"/>
    <w:rsid w:val="00884061"/>
    <w:rsid w:val="00884E33"/>
    <w:rsid w:val="0088510A"/>
    <w:rsid w:val="0088559D"/>
    <w:rsid w:val="00885A95"/>
    <w:rsid w:val="00885CFD"/>
    <w:rsid w:val="00885EBE"/>
    <w:rsid w:val="00886633"/>
    <w:rsid w:val="00886BC5"/>
    <w:rsid w:val="00887520"/>
    <w:rsid w:val="0089038D"/>
    <w:rsid w:val="0089061C"/>
    <w:rsid w:val="0089071F"/>
    <w:rsid w:val="00890A07"/>
    <w:rsid w:val="0089138A"/>
    <w:rsid w:val="00891412"/>
    <w:rsid w:val="0089178E"/>
    <w:rsid w:val="00891B6E"/>
    <w:rsid w:val="00891BF2"/>
    <w:rsid w:val="00891C1D"/>
    <w:rsid w:val="00891D16"/>
    <w:rsid w:val="008927E2"/>
    <w:rsid w:val="00892A73"/>
    <w:rsid w:val="00892B49"/>
    <w:rsid w:val="00892B6E"/>
    <w:rsid w:val="008930AC"/>
    <w:rsid w:val="008930F0"/>
    <w:rsid w:val="008935AA"/>
    <w:rsid w:val="00893E48"/>
    <w:rsid w:val="0089410D"/>
    <w:rsid w:val="00894A35"/>
    <w:rsid w:val="00894C02"/>
    <w:rsid w:val="00894C22"/>
    <w:rsid w:val="00895517"/>
    <w:rsid w:val="008960DA"/>
    <w:rsid w:val="0089654D"/>
    <w:rsid w:val="0089749E"/>
    <w:rsid w:val="008974C7"/>
    <w:rsid w:val="008978B1"/>
    <w:rsid w:val="0089793C"/>
    <w:rsid w:val="00897E94"/>
    <w:rsid w:val="008A0270"/>
    <w:rsid w:val="008A0881"/>
    <w:rsid w:val="008A088B"/>
    <w:rsid w:val="008A1067"/>
    <w:rsid w:val="008A1EDD"/>
    <w:rsid w:val="008A26E0"/>
    <w:rsid w:val="008A2983"/>
    <w:rsid w:val="008A463F"/>
    <w:rsid w:val="008A4789"/>
    <w:rsid w:val="008A4BDB"/>
    <w:rsid w:val="008A4D6B"/>
    <w:rsid w:val="008A4E2B"/>
    <w:rsid w:val="008A5B59"/>
    <w:rsid w:val="008A6A79"/>
    <w:rsid w:val="008A73ED"/>
    <w:rsid w:val="008B0E92"/>
    <w:rsid w:val="008B1187"/>
    <w:rsid w:val="008B1C70"/>
    <w:rsid w:val="008B212E"/>
    <w:rsid w:val="008B271E"/>
    <w:rsid w:val="008B2AC7"/>
    <w:rsid w:val="008B587D"/>
    <w:rsid w:val="008B5BBC"/>
    <w:rsid w:val="008B5CCE"/>
    <w:rsid w:val="008B61A8"/>
    <w:rsid w:val="008B6295"/>
    <w:rsid w:val="008B632A"/>
    <w:rsid w:val="008B6373"/>
    <w:rsid w:val="008B72BE"/>
    <w:rsid w:val="008B766F"/>
    <w:rsid w:val="008B7B1E"/>
    <w:rsid w:val="008B7B77"/>
    <w:rsid w:val="008B7C1D"/>
    <w:rsid w:val="008B7E8F"/>
    <w:rsid w:val="008C0697"/>
    <w:rsid w:val="008C086D"/>
    <w:rsid w:val="008C099E"/>
    <w:rsid w:val="008C0A5E"/>
    <w:rsid w:val="008C1052"/>
    <w:rsid w:val="008C1BEF"/>
    <w:rsid w:val="008C1D1E"/>
    <w:rsid w:val="008C1EB3"/>
    <w:rsid w:val="008C2718"/>
    <w:rsid w:val="008C2A79"/>
    <w:rsid w:val="008C2A7C"/>
    <w:rsid w:val="008C3398"/>
    <w:rsid w:val="008C357B"/>
    <w:rsid w:val="008C3B21"/>
    <w:rsid w:val="008C4398"/>
    <w:rsid w:val="008C477B"/>
    <w:rsid w:val="008C573B"/>
    <w:rsid w:val="008C5C36"/>
    <w:rsid w:val="008C5F1B"/>
    <w:rsid w:val="008C60D8"/>
    <w:rsid w:val="008C6D8B"/>
    <w:rsid w:val="008C6ED3"/>
    <w:rsid w:val="008C770E"/>
    <w:rsid w:val="008D06AC"/>
    <w:rsid w:val="008D0C81"/>
    <w:rsid w:val="008D18EC"/>
    <w:rsid w:val="008D1E3C"/>
    <w:rsid w:val="008D1E4D"/>
    <w:rsid w:val="008D244C"/>
    <w:rsid w:val="008D3A94"/>
    <w:rsid w:val="008D3DF0"/>
    <w:rsid w:val="008D4725"/>
    <w:rsid w:val="008D5642"/>
    <w:rsid w:val="008D5840"/>
    <w:rsid w:val="008D5E6C"/>
    <w:rsid w:val="008D672C"/>
    <w:rsid w:val="008D6830"/>
    <w:rsid w:val="008D6895"/>
    <w:rsid w:val="008D6BA2"/>
    <w:rsid w:val="008D6C5F"/>
    <w:rsid w:val="008D73B8"/>
    <w:rsid w:val="008E0190"/>
    <w:rsid w:val="008E0B2E"/>
    <w:rsid w:val="008E253B"/>
    <w:rsid w:val="008E29FA"/>
    <w:rsid w:val="008E2F34"/>
    <w:rsid w:val="008E3A8B"/>
    <w:rsid w:val="008E3C31"/>
    <w:rsid w:val="008E47BB"/>
    <w:rsid w:val="008E4A3B"/>
    <w:rsid w:val="008E4D71"/>
    <w:rsid w:val="008E5984"/>
    <w:rsid w:val="008E5E4B"/>
    <w:rsid w:val="008E60AC"/>
    <w:rsid w:val="008E6A98"/>
    <w:rsid w:val="008E7F0F"/>
    <w:rsid w:val="008F0BD9"/>
    <w:rsid w:val="008F0DC3"/>
    <w:rsid w:val="008F0EDC"/>
    <w:rsid w:val="008F1690"/>
    <w:rsid w:val="008F21C5"/>
    <w:rsid w:val="008F31A8"/>
    <w:rsid w:val="008F351C"/>
    <w:rsid w:val="008F3728"/>
    <w:rsid w:val="008F39E6"/>
    <w:rsid w:val="008F3F8F"/>
    <w:rsid w:val="008F42AA"/>
    <w:rsid w:val="008F489B"/>
    <w:rsid w:val="008F4E84"/>
    <w:rsid w:val="008F6DAB"/>
    <w:rsid w:val="008F7242"/>
    <w:rsid w:val="008F73C0"/>
    <w:rsid w:val="008F7A08"/>
    <w:rsid w:val="008F7A40"/>
    <w:rsid w:val="00900147"/>
    <w:rsid w:val="009002D2"/>
    <w:rsid w:val="00900607"/>
    <w:rsid w:val="0090084C"/>
    <w:rsid w:val="00900C48"/>
    <w:rsid w:val="009013AA"/>
    <w:rsid w:val="00901A58"/>
    <w:rsid w:val="009025E7"/>
    <w:rsid w:val="00902F14"/>
    <w:rsid w:val="009030F1"/>
    <w:rsid w:val="00903251"/>
    <w:rsid w:val="009039C2"/>
    <w:rsid w:val="00903EB0"/>
    <w:rsid w:val="00904112"/>
    <w:rsid w:val="00904278"/>
    <w:rsid w:val="00904729"/>
    <w:rsid w:val="0090495F"/>
    <w:rsid w:val="00904DDD"/>
    <w:rsid w:val="009059E9"/>
    <w:rsid w:val="00905EC7"/>
    <w:rsid w:val="009064F4"/>
    <w:rsid w:val="00906837"/>
    <w:rsid w:val="009069C7"/>
    <w:rsid w:val="00906A48"/>
    <w:rsid w:val="00906A63"/>
    <w:rsid w:val="00906CDE"/>
    <w:rsid w:val="0091198B"/>
    <w:rsid w:val="00911F6D"/>
    <w:rsid w:val="00912112"/>
    <w:rsid w:val="00912B34"/>
    <w:rsid w:val="00912FDC"/>
    <w:rsid w:val="00913214"/>
    <w:rsid w:val="009133B5"/>
    <w:rsid w:val="00913608"/>
    <w:rsid w:val="00913E5A"/>
    <w:rsid w:val="00915218"/>
    <w:rsid w:val="0091556D"/>
    <w:rsid w:val="00915F6F"/>
    <w:rsid w:val="00915FB4"/>
    <w:rsid w:val="00916063"/>
    <w:rsid w:val="009160E3"/>
    <w:rsid w:val="0091655A"/>
    <w:rsid w:val="00916F71"/>
    <w:rsid w:val="00917329"/>
    <w:rsid w:val="00917389"/>
    <w:rsid w:val="00917D4E"/>
    <w:rsid w:val="009200A3"/>
    <w:rsid w:val="009206B9"/>
    <w:rsid w:val="00920891"/>
    <w:rsid w:val="00920DDF"/>
    <w:rsid w:val="0092101E"/>
    <w:rsid w:val="00921168"/>
    <w:rsid w:val="00921187"/>
    <w:rsid w:val="009212AE"/>
    <w:rsid w:val="009213E9"/>
    <w:rsid w:val="00921442"/>
    <w:rsid w:val="00921875"/>
    <w:rsid w:val="00922149"/>
    <w:rsid w:val="009222F3"/>
    <w:rsid w:val="00922915"/>
    <w:rsid w:val="00922B0A"/>
    <w:rsid w:val="00923440"/>
    <w:rsid w:val="00923D4B"/>
    <w:rsid w:val="00923DBA"/>
    <w:rsid w:val="00923E3E"/>
    <w:rsid w:val="00924497"/>
    <w:rsid w:val="009244DF"/>
    <w:rsid w:val="009249F5"/>
    <w:rsid w:val="00924DA6"/>
    <w:rsid w:val="00925111"/>
    <w:rsid w:val="0092513A"/>
    <w:rsid w:val="0092538F"/>
    <w:rsid w:val="00925DFB"/>
    <w:rsid w:val="009262DC"/>
    <w:rsid w:val="009264B2"/>
    <w:rsid w:val="00926CA5"/>
    <w:rsid w:val="009279E8"/>
    <w:rsid w:val="00927BEB"/>
    <w:rsid w:val="00927DDC"/>
    <w:rsid w:val="00927F5A"/>
    <w:rsid w:val="00930387"/>
    <w:rsid w:val="0093038E"/>
    <w:rsid w:val="00930D52"/>
    <w:rsid w:val="00931191"/>
    <w:rsid w:val="009313F2"/>
    <w:rsid w:val="00931505"/>
    <w:rsid w:val="00931B4A"/>
    <w:rsid w:val="00931C41"/>
    <w:rsid w:val="00931E16"/>
    <w:rsid w:val="00932AD2"/>
    <w:rsid w:val="00932BD1"/>
    <w:rsid w:val="0093334C"/>
    <w:rsid w:val="009335E3"/>
    <w:rsid w:val="00933AB4"/>
    <w:rsid w:val="00933DB9"/>
    <w:rsid w:val="0093492F"/>
    <w:rsid w:val="009351BF"/>
    <w:rsid w:val="009352BF"/>
    <w:rsid w:val="009352F1"/>
    <w:rsid w:val="009359A0"/>
    <w:rsid w:val="00936095"/>
    <w:rsid w:val="00936944"/>
    <w:rsid w:val="00936D91"/>
    <w:rsid w:val="00936DFF"/>
    <w:rsid w:val="009373D2"/>
    <w:rsid w:val="00937AF5"/>
    <w:rsid w:val="009402B9"/>
    <w:rsid w:val="00940C95"/>
    <w:rsid w:val="009413B6"/>
    <w:rsid w:val="0094146A"/>
    <w:rsid w:val="009415EA"/>
    <w:rsid w:val="00942142"/>
    <w:rsid w:val="00942899"/>
    <w:rsid w:val="009435FB"/>
    <w:rsid w:val="00943899"/>
    <w:rsid w:val="00943B49"/>
    <w:rsid w:val="00945119"/>
    <w:rsid w:val="00945434"/>
    <w:rsid w:val="009457DC"/>
    <w:rsid w:val="00945935"/>
    <w:rsid w:val="00945A10"/>
    <w:rsid w:val="009462F3"/>
    <w:rsid w:val="00946770"/>
    <w:rsid w:val="00947500"/>
    <w:rsid w:val="00947BA6"/>
    <w:rsid w:val="00947F0D"/>
    <w:rsid w:val="009505A0"/>
    <w:rsid w:val="00950722"/>
    <w:rsid w:val="00950A33"/>
    <w:rsid w:val="00950BC5"/>
    <w:rsid w:val="00950BD9"/>
    <w:rsid w:val="00950F17"/>
    <w:rsid w:val="009511A3"/>
    <w:rsid w:val="00951249"/>
    <w:rsid w:val="00951ECA"/>
    <w:rsid w:val="00951F60"/>
    <w:rsid w:val="00953ED7"/>
    <w:rsid w:val="009541C8"/>
    <w:rsid w:val="009541D9"/>
    <w:rsid w:val="00954A32"/>
    <w:rsid w:val="00955A20"/>
    <w:rsid w:val="00955C22"/>
    <w:rsid w:val="00956230"/>
    <w:rsid w:val="00956318"/>
    <w:rsid w:val="0095696C"/>
    <w:rsid w:val="00956B75"/>
    <w:rsid w:val="00956CB5"/>
    <w:rsid w:val="00956F30"/>
    <w:rsid w:val="00957467"/>
    <w:rsid w:val="00957587"/>
    <w:rsid w:val="009579F8"/>
    <w:rsid w:val="00960425"/>
    <w:rsid w:val="00960D98"/>
    <w:rsid w:val="009619C0"/>
    <w:rsid w:val="00962028"/>
    <w:rsid w:val="009626F8"/>
    <w:rsid w:val="00962734"/>
    <w:rsid w:val="0096274B"/>
    <w:rsid w:val="00962976"/>
    <w:rsid w:val="00962B9B"/>
    <w:rsid w:val="00962C53"/>
    <w:rsid w:val="009633AA"/>
    <w:rsid w:val="00963C59"/>
    <w:rsid w:val="00963C9D"/>
    <w:rsid w:val="00963E19"/>
    <w:rsid w:val="00963EDC"/>
    <w:rsid w:val="00964111"/>
    <w:rsid w:val="00965502"/>
    <w:rsid w:val="0096582E"/>
    <w:rsid w:val="00966551"/>
    <w:rsid w:val="00966556"/>
    <w:rsid w:val="009666A4"/>
    <w:rsid w:val="00966C66"/>
    <w:rsid w:val="009700FB"/>
    <w:rsid w:val="0097048D"/>
    <w:rsid w:val="00970677"/>
    <w:rsid w:val="00970804"/>
    <w:rsid w:val="009708DF"/>
    <w:rsid w:val="00971126"/>
    <w:rsid w:val="00971BD9"/>
    <w:rsid w:val="00971ECF"/>
    <w:rsid w:val="00972B17"/>
    <w:rsid w:val="00972D04"/>
    <w:rsid w:val="00974101"/>
    <w:rsid w:val="0097484A"/>
    <w:rsid w:val="009748D7"/>
    <w:rsid w:val="00974C72"/>
    <w:rsid w:val="00974D53"/>
    <w:rsid w:val="00975106"/>
    <w:rsid w:val="0097534B"/>
    <w:rsid w:val="009759ED"/>
    <w:rsid w:val="00975DA3"/>
    <w:rsid w:val="00975E53"/>
    <w:rsid w:val="00976389"/>
    <w:rsid w:val="009771FB"/>
    <w:rsid w:val="00977546"/>
    <w:rsid w:val="00977779"/>
    <w:rsid w:val="00977B64"/>
    <w:rsid w:val="00977C0C"/>
    <w:rsid w:val="00980142"/>
    <w:rsid w:val="00980733"/>
    <w:rsid w:val="009830D1"/>
    <w:rsid w:val="0098377A"/>
    <w:rsid w:val="00983856"/>
    <w:rsid w:val="00984A20"/>
    <w:rsid w:val="00984D42"/>
    <w:rsid w:val="00986D4D"/>
    <w:rsid w:val="00987564"/>
    <w:rsid w:val="00987CA5"/>
    <w:rsid w:val="009901BB"/>
    <w:rsid w:val="00990A50"/>
    <w:rsid w:val="009914AF"/>
    <w:rsid w:val="00991AF7"/>
    <w:rsid w:val="00992329"/>
    <w:rsid w:val="009925EB"/>
    <w:rsid w:val="009926B0"/>
    <w:rsid w:val="00992D4E"/>
    <w:rsid w:val="00994B17"/>
    <w:rsid w:val="00994BC7"/>
    <w:rsid w:val="009954AA"/>
    <w:rsid w:val="009955BA"/>
    <w:rsid w:val="0099580F"/>
    <w:rsid w:val="00995B40"/>
    <w:rsid w:val="00996027"/>
    <w:rsid w:val="00996351"/>
    <w:rsid w:val="009964E6"/>
    <w:rsid w:val="0099696A"/>
    <w:rsid w:val="00997552"/>
    <w:rsid w:val="009975A0"/>
    <w:rsid w:val="009975A4"/>
    <w:rsid w:val="00997771"/>
    <w:rsid w:val="009A017E"/>
    <w:rsid w:val="009A02A5"/>
    <w:rsid w:val="009A045E"/>
    <w:rsid w:val="009A0AE4"/>
    <w:rsid w:val="009A0F9E"/>
    <w:rsid w:val="009A11CD"/>
    <w:rsid w:val="009A16BC"/>
    <w:rsid w:val="009A230E"/>
    <w:rsid w:val="009A2746"/>
    <w:rsid w:val="009A3898"/>
    <w:rsid w:val="009A413E"/>
    <w:rsid w:val="009A44C7"/>
    <w:rsid w:val="009A500E"/>
    <w:rsid w:val="009A549D"/>
    <w:rsid w:val="009A56A9"/>
    <w:rsid w:val="009A582B"/>
    <w:rsid w:val="009A5A75"/>
    <w:rsid w:val="009A6119"/>
    <w:rsid w:val="009A64AF"/>
    <w:rsid w:val="009A650E"/>
    <w:rsid w:val="009A6852"/>
    <w:rsid w:val="009A6ACC"/>
    <w:rsid w:val="009A6D1A"/>
    <w:rsid w:val="009A6D5E"/>
    <w:rsid w:val="009A72AF"/>
    <w:rsid w:val="009A7F17"/>
    <w:rsid w:val="009B052A"/>
    <w:rsid w:val="009B088B"/>
    <w:rsid w:val="009B0FCD"/>
    <w:rsid w:val="009B15E3"/>
    <w:rsid w:val="009B1769"/>
    <w:rsid w:val="009B207E"/>
    <w:rsid w:val="009B2ECB"/>
    <w:rsid w:val="009B38B8"/>
    <w:rsid w:val="009B3D64"/>
    <w:rsid w:val="009B5B0B"/>
    <w:rsid w:val="009B5C98"/>
    <w:rsid w:val="009B5D92"/>
    <w:rsid w:val="009B5F9A"/>
    <w:rsid w:val="009B6015"/>
    <w:rsid w:val="009B656A"/>
    <w:rsid w:val="009B6CC7"/>
    <w:rsid w:val="009C003D"/>
    <w:rsid w:val="009C1D56"/>
    <w:rsid w:val="009C2973"/>
    <w:rsid w:val="009C3491"/>
    <w:rsid w:val="009C3A74"/>
    <w:rsid w:val="009C40C1"/>
    <w:rsid w:val="009C50B8"/>
    <w:rsid w:val="009C5B69"/>
    <w:rsid w:val="009C60B9"/>
    <w:rsid w:val="009C6866"/>
    <w:rsid w:val="009C74B2"/>
    <w:rsid w:val="009C775B"/>
    <w:rsid w:val="009C7876"/>
    <w:rsid w:val="009C7D39"/>
    <w:rsid w:val="009D117D"/>
    <w:rsid w:val="009D17D7"/>
    <w:rsid w:val="009D1A05"/>
    <w:rsid w:val="009D2449"/>
    <w:rsid w:val="009D2903"/>
    <w:rsid w:val="009D2B5B"/>
    <w:rsid w:val="009D3229"/>
    <w:rsid w:val="009D32B8"/>
    <w:rsid w:val="009D33E9"/>
    <w:rsid w:val="009D444B"/>
    <w:rsid w:val="009D4EA0"/>
    <w:rsid w:val="009D4ECD"/>
    <w:rsid w:val="009D6590"/>
    <w:rsid w:val="009D6B25"/>
    <w:rsid w:val="009D709A"/>
    <w:rsid w:val="009D713C"/>
    <w:rsid w:val="009E0A42"/>
    <w:rsid w:val="009E0C5F"/>
    <w:rsid w:val="009E1866"/>
    <w:rsid w:val="009E1B70"/>
    <w:rsid w:val="009E1E1D"/>
    <w:rsid w:val="009E286F"/>
    <w:rsid w:val="009E39E6"/>
    <w:rsid w:val="009E3AB1"/>
    <w:rsid w:val="009E4722"/>
    <w:rsid w:val="009E4E47"/>
    <w:rsid w:val="009E5A4E"/>
    <w:rsid w:val="009E6A84"/>
    <w:rsid w:val="009E6FE0"/>
    <w:rsid w:val="009E7D2C"/>
    <w:rsid w:val="009F0350"/>
    <w:rsid w:val="009F0604"/>
    <w:rsid w:val="009F083A"/>
    <w:rsid w:val="009F0F78"/>
    <w:rsid w:val="009F115A"/>
    <w:rsid w:val="009F17A3"/>
    <w:rsid w:val="009F2019"/>
    <w:rsid w:val="009F2453"/>
    <w:rsid w:val="009F257F"/>
    <w:rsid w:val="009F2A12"/>
    <w:rsid w:val="009F2B92"/>
    <w:rsid w:val="009F2EC6"/>
    <w:rsid w:val="009F34D5"/>
    <w:rsid w:val="009F4296"/>
    <w:rsid w:val="009F44BE"/>
    <w:rsid w:val="009F4BB3"/>
    <w:rsid w:val="009F4F5B"/>
    <w:rsid w:val="009F5473"/>
    <w:rsid w:val="009F5898"/>
    <w:rsid w:val="009F5D9D"/>
    <w:rsid w:val="009F5DFA"/>
    <w:rsid w:val="009F5F26"/>
    <w:rsid w:val="009F5F5A"/>
    <w:rsid w:val="009F6DEE"/>
    <w:rsid w:val="009F6FCC"/>
    <w:rsid w:val="009F7A39"/>
    <w:rsid w:val="00A002D5"/>
    <w:rsid w:val="00A00362"/>
    <w:rsid w:val="00A0057A"/>
    <w:rsid w:val="00A016F8"/>
    <w:rsid w:val="00A01733"/>
    <w:rsid w:val="00A01E7B"/>
    <w:rsid w:val="00A01F71"/>
    <w:rsid w:val="00A03828"/>
    <w:rsid w:val="00A039ED"/>
    <w:rsid w:val="00A053E1"/>
    <w:rsid w:val="00A05511"/>
    <w:rsid w:val="00A05EC4"/>
    <w:rsid w:val="00A067EC"/>
    <w:rsid w:val="00A06821"/>
    <w:rsid w:val="00A06F14"/>
    <w:rsid w:val="00A0757C"/>
    <w:rsid w:val="00A0771E"/>
    <w:rsid w:val="00A077BE"/>
    <w:rsid w:val="00A07A2D"/>
    <w:rsid w:val="00A10561"/>
    <w:rsid w:val="00A11061"/>
    <w:rsid w:val="00A113C8"/>
    <w:rsid w:val="00A11564"/>
    <w:rsid w:val="00A13028"/>
    <w:rsid w:val="00A136E1"/>
    <w:rsid w:val="00A14FCF"/>
    <w:rsid w:val="00A15E64"/>
    <w:rsid w:val="00A15EFD"/>
    <w:rsid w:val="00A1646B"/>
    <w:rsid w:val="00A17424"/>
    <w:rsid w:val="00A174EF"/>
    <w:rsid w:val="00A2081C"/>
    <w:rsid w:val="00A20A46"/>
    <w:rsid w:val="00A20C8F"/>
    <w:rsid w:val="00A21006"/>
    <w:rsid w:val="00A21F46"/>
    <w:rsid w:val="00A22158"/>
    <w:rsid w:val="00A22192"/>
    <w:rsid w:val="00A224B9"/>
    <w:rsid w:val="00A22A27"/>
    <w:rsid w:val="00A23667"/>
    <w:rsid w:val="00A23F4A"/>
    <w:rsid w:val="00A23FE6"/>
    <w:rsid w:val="00A246CD"/>
    <w:rsid w:val="00A24F6A"/>
    <w:rsid w:val="00A24FD8"/>
    <w:rsid w:val="00A25AF9"/>
    <w:rsid w:val="00A264E4"/>
    <w:rsid w:val="00A26976"/>
    <w:rsid w:val="00A26B27"/>
    <w:rsid w:val="00A30347"/>
    <w:rsid w:val="00A30BF0"/>
    <w:rsid w:val="00A31FEB"/>
    <w:rsid w:val="00A322CF"/>
    <w:rsid w:val="00A32739"/>
    <w:rsid w:val="00A328C1"/>
    <w:rsid w:val="00A331A3"/>
    <w:rsid w:val="00A333DE"/>
    <w:rsid w:val="00A339F9"/>
    <w:rsid w:val="00A33AF8"/>
    <w:rsid w:val="00A33C3D"/>
    <w:rsid w:val="00A33D2F"/>
    <w:rsid w:val="00A342E4"/>
    <w:rsid w:val="00A34CC3"/>
    <w:rsid w:val="00A36AD1"/>
    <w:rsid w:val="00A3703E"/>
    <w:rsid w:val="00A3714B"/>
    <w:rsid w:val="00A37A71"/>
    <w:rsid w:val="00A37B21"/>
    <w:rsid w:val="00A4069F"/>
    <w:rsid w:val="00A40B78"/>
    <w:rsid w:val="00A41063"/>
    <w:rsid w:val="00A43893"/>
    <w:rsid w:val="00A43B81"/>
    <w:rsid w:val="00A44760"/>
    <w:rsid w:val="00A449B6"/>
    <w:rsid w:val="00A45D5A"/>
    <w:rsid w:val="00A461B5"/>
    <w:rsid w:val="00A4630F"/>
    <w:rsid w:val="00A4642B"/>
    <w:rsid w:val="00A465CD"/>
    <w:rsid w:val="00A468B9"/>
    <w:rsid w:val="00A47015"/>
    <w:rsid w:val="00A47332"/>
    <w:rsid w:val="00A47A6F"/>
    <w:rsid w:val="00A50B91"/>
    <w:rsid w:val="00A50EBF"/>
    <w:rsid w:val="00A5118B"/>
    <w:rsid w:val="00A511BC"/>
    <w:rsid w:val="00A51210"/>
    <w:rsid w:val="00A52A91"/>
    <w:rsid w:val="00A52F3D"/>
    <w:rsid w:val="00A538AB"/>
    <w:rsid w:val="00A53B04"/>
    <w:rsid w:val="00A53B5D"/>
    <w:rsid w:val="00A55346"/>
    <w:rsid w:val="00A5560E"/>
    <w:rsid w:val="00A55697"/>
    <w:rsid w:val="00A556F7"/>
    <w:rsid w:val="00A55E31"/>
    <w:rsid w:val="00A56654"/>
    <w:rsid w:val="00A56CC4"/>
    <w:rsid w:val="00A5734A"/>
    <w:rsid w:val="00A57AA9"/>
    <w:rsid w:val="00A57D02"/>
    <w:rsid w:val="00A609F5"/>
    <w:rsid w:val="00A61699"/>
    <w:rsid w:val="00A617FE"/>
    <w:rsid w:val="00A628B9"/>
    <w:rsid w:val="00A6312F"/>
    <w:rsid w:val="00A63468"/>
    <w:rsid w:val="00A6365B"/>
    <w:rsid w:val="00A636BB"/>
    <w:rsid w:val="00A636FA"/>
    <w:rsid w:val="00A63791"/>
    <w:rsid w:val="00A644E2"/>
    <w:rsid w:val="00A64AF5"/>
    <w:rsid w:val="00A6531F"/>
    <w:rsid w:val="00A65FFB"/>
    <w:rsid w:val="00A661B9"/>
    <w:rsid w:val="00A6662C"/>
    <w:rsid w:val="00A66C98"/>
    <w:rsid w:val="00A66F95"/>
    <w:rsid w:val="00A67393"/>
    <w:rsid w:val="00A6778D"/>
    <w:rsid w:val="00A7033C"/>
    <w:rsid w:val="00A70550"/>
    <w:rsid w:val="00A70EAD"/>
    <w:rsid w:val="00A714E7"/>
    <w:rsid w:val="00A71F32"/>
    <w:rsid w:val="00A731BB"/>
    <w:rsid w:val="00A73655"/>
    <w:rsid w:val="00A74600"/>
    <w:rsid w:val="00A74EC3"/>
    <w:rsid w:val="00A75714"/>
    <w:rsid w:val="00A762B0"/>
    <w:rsid w:val="00A76F35"/>
    <w:rsid w:val="00A7705F"/>
    <w:rsid w:val="00A77064"/>
    <w:rsid w:val="00A77728"/>
    <w:rsid w:val="00A7781B"/>
    <w:rsid w:val="00A77C10"/>
    <w:rsid w:val="00A80335"/>
    <w:rsid w:val="00A80FBC"/>
    <w:rsid w:val="00A81457"/>
    <w:rsid w:val="00A8195A"/>
    <w:rsid w:val="00A82041"/>
    <w:rsid w:val="00A822BE"/>
    <w:rsid w:val="00A82A8B"/>
    <w:rsid w:val="00A82F6B"/>
    <w:rsid w:val="00A82FA7"/>
    <w:rsid w:val="00A830FE"/>
    <w:rsid w:val="00A83687"/>
    <w:rsid w:val="00A83927"/>
    <w:rsid w:val="00A84016"/>
    <w:rsid w:val="00A8466E"/>
    <w:rsid w:val="00A8580E"/>
    <w:rsid w:val="00A866C8"/>
    <w:rsid w:val="00A86857"/>
    <w:rsid w:val="00A868E3"/>
    <w:rsid w:val="00A86B0E"/>
    <w:rsid w:val="00A86F07"/>
    <w:rsid w:val="00A87A4B"/>
    <w:rsid w:val="00A87B73"/>
    <w:rsid w:val="00A9004F"/>
    <w:rsid w:val="00A90C37"/>
    <w:rsid w:val="00A90CEC"/>
    <w:rsid w:val="00A90FDD"/>
    <w:rsid w:val="00A91673"/>
    <w:rsid w:val="00A91CFE"/>
    <w:rsid w:val="00A922EC"/>
    <w:rsid w:val="00A92330"/>
    <w:rsid w:val="00A931F0"/>
    <w:rsid w:val="00A9328D"/>
    <w:rsid w:val="00A9357E"/>
    <w:rsid w:val="00A93D16"/>
    <w:rsid w:val="00A941B1"/>
    <w:rsid w:val="00A94BDC"/>
    <w:rsid w:val="00A95114"/>
    <w:rsid w:val="00A96360"/>
    <w:rsid w:val="00A9778C"/>
    <w:rsid w:val="00A97F4C"/>
    <w:rsid w:val="00AA01BC"/>
    <w:rsid w:val="00AA0C31"/>
    <w:rsid w:val="00AA2C9C"/>
    <w:rsid w:val="00AA4140"/>
    <w:rsid w:val="00AA4198"/>
    <w:rsid w:val="00AA4375"/>
    <w:rsid w:val="00AA4C47"/>
    <w:rsid w:val="00AA573C"/>
    <w:rsid w:val="00AA5B9A"/>
    <w:rsid w:val="00AA6BA8"/>
    <w:rsid w:val="00AA7235"/>
    <w:rsid w:val="00AA73E4"/>
    <w:rsid w:val="00AA740C"/>
    <w:rsid w:val="00AA7868"/>
    <w:rsid w:val="00AB0426"/>
    <w:rsid w:val="00AB057E"/>
    <w:rsid w:val="00AB0BA1"/>
    <w:rsid w:val="00AB0E1F"/>
    <w:rsid w:val="00AB1349"/>
    <w:rsid w:val="00AB1EBF"/>
    <w:rsid w:val="00AB2970"/>
    <w:rsid w:val="00AB3E83"/>
    <w:rsid w:val="00AB4157"/>
    <w:rsid w:val="00AB4B57"/>
    <w:rsid w:val="00AB5A1E"/>
    <w:rsid w:val="00AB6D7A"/>
    <w:rsid w:val="00AB7F78"/>
    <w:rsid w:val="00AC09D0"/>
    <w:rsid w:val="00AC0A46"/>
    <w:rsid w:val="00AC0B0D"/>
    <w:rsid w:val="00AC0C21"/>
    <w:rsid w:val="00AC113B"/>
    <w:rsid w:val="00AC1F3A"/>
    <w:rsid w:val="00AC32F3"/>
    <w:rsid w:val="00AC35F7"/>
    <w:rsid w:val="00AC3BE7"/>
    <w:rsid w:val="00AC454B"/>
    <w:rsid w:val="00AC4C5B"/>
    <w:rsid w:val="00AC5BCA"/>
    <w:rsid w:val="00AC661E"/>
    <w:rsid w:val="00AC6DC5"/>
    <w:rsid w:val="00AC713D"/>
    <w:rsid w:val="00AC718B"/>
    <w:rsid w:val="00AC71B7"/>
    <w:rsid w:val="00AC74A0"/>
    <w:rsid w:val="00AC7632"/>
    <w:rsid w:val="00AD00B3"/>
    <w:rsid w:val="00AD05E4"/>
    <w:rsid w:val="00AD080B"/>
    <w:rsid w:val="00AD18E0"/>
    <w:rsid w:val="00AD1C38"/>
    <w:rsid w:val="00AD1DCE"/>
    <w:rsid w:val="00AD20D2"/>
    <w:rsid w:val="00AD222B"/>
    <w:rsid w:val="00AD22BA"/>
    <w:rsid w:val="00AD240B"/>
    <w:rsid w:val="00AD2A34"/>
    <w:rsid w:val="00AD3370"/>
    <w:rsid w:val="00AD3A0B"/>
    <w:rsid w:val="00AD3F70"/>
    <w:rsid w:val="00AD3FBD"/>
    <w:rsid w:val="00AD4194"/>
    <w:rsid w:val="00AD4810"/>
    <w:rsid w:val="00AD4CEA"/>
    <w:rsid w:val="00AD6B38"/>
    <w:rsid w:val="00AD7AEB"/>
    <w:rsid w:val="00AD7DC7"/>
    <w:rsid w:val="00AD7F07"/>
    <w:rsid w:val="00AE067D"/>
    <w:rsid w:val="00AE2139"/>
    <w:rsid w:val="00AE2649"/>
    <w:rsid w:val="00AE2663"/>
    <w:rsid w:val="00AE28D1"/>
    <w:rsid w:val="00AE2975"/>
    <w:rsid w:val="00AE2CB7"/>
    <w:rsid w:val="00AE3814"/>
    <w:rsid w:val="00AE3B5C"/>
    <w:rsid w:val="00AE3B73"/>
    <w:rsid w:val="00AE49BB"/>
    <w:rsid w:val="00AE4ACA"/>
    <w:rsid w:val="00AE5B46"/>
    <w:rsid w:val="00AE6367"/>
    <w:rsid w:val="00AF0543"/>
    <w:rsid w:val="00AF0D44"/>
    <w:rsid w:val="00AF0EE7"/>
    <w:rsid w:val="00AF1F64"/>
    <w:rsid w:val="00AF2E5D"/>
    <w:rsid w:val="00AF356F"/>
    <w:rsid w:val="00AF377A"/>
    <w:rsid w:val="00AF3A41"/>
    <w:rsid w:val="00AF438F"/>
    <w:rsid w:val="00AF4970"/>
    <w:rsid w:val="00AF4B45"/>
    <w:rsid w:val="00AF54E2"/>
    <w:rsid w:val="00AF55A2"/>
    <w:rsid w:val="00AF5711"/>
    <w:rsid w:val="00AF5B06"/>
    <w:rsid w:val="00AF5DBD"/>
    <w:rsid w:val="00AF6A9E"/>
    <w:rsid w:val="00AF6F5C"/>
    <w:rsid w:val="00AF7050"/>
    <w:rsid w:val="00AF71FB"/>
    <w:rsid w:val="00AF7349"/>
    <w:rsid w:val="00AF73EF"/>
    <w:rsid w:val="00B0054F"/>
    <w:rsid w:val="00B00A69"/>
    <w:rsid w:val="00B024A3"/>
    <w:rsid w:val="00B02674"/>
    <w:rsid w:val="00B02904"/>
    <w:rsid w:val="00B02B9C"/>
    <w:rsid w:val="00B031A9"/>
    <w:rsid w:val="00B03308"/>
    <w:rsid w:val="00B03AE1"/>
    <w:rsid w:val="00B04E24"/>
    <w:rsid w:val="00B05674"/>
    <w:rsid w:val="00B05BB0"/>
    <w:rsid w:val="00B068A1"/>
    <w:rsid w:val="00B06D3A"/>
    <w:rsid w:val="00B071EE"/>
    <w:rsid w:val="00B07A6B"/>
    <w:rsid w:val="00B07DB4"/>
    <w:rsid w:val="00B105E7"/>
    <w:rsid w:val="00B10633"/>
    <w:rsid w:val="00B10CBB"/>
    <w:rsid w:val="00B10FE7"/>
    <w:rsid w:val="00B11AB4"/>
    <w:rsid w:val="00B11FAF"/>
    <w:rsid w:val="00B12094"/>
    <w:rsid w:val="00B127D6"/>
    <w:rsid w:val="00B12D7E"/>
    <w:rsid w:val="00B131C0"/>
    <w:rsid w:val="00B13413"/>
    <w:rsid w:val="00B137BF"/>
    <w:rsid w:val="00B13CE1"/>
    <w:rsid w:val="00B13FBD"/>
    <w:rsid w:val="00B14592"/>
    <w:rsid w:val="00B158FF"/>
    <w:rsid w:val="00B15C01"/>
    <w:rsid w:val="00B1601B"/>
    <w:rsid w:val="00B16273"/>
    <w:rsid w:val="00B16944"/>
    <w:rsid w:val="00B17851"/>
    <w:rsid w:val="00B17B99"/>
    <w:rsid w:val="00B20194"/>
    <w:rsid w:val="00B20D2D"/>
    <w:rsid w:val="00B20FFF"/>
    <w:rsid w:val="00B2145B"/>
    <w:rsid w:val="00B21D1F"/>
    <w:rsid w:val="00B221B6"/>
    <w:rsid w:val="00B22C94"/>
    <w:rsid w:val="00B23574"/>
    <w:rsid w:val="00B24479"/>
    <w:rsid w:val="00B244B8"/>
    <w:rsid w:val="00B24844"/>
    <w:rsid w:val="00B248A3"/>
    <w:rsid w:val="00B251DB"/>
    <w:rsid w:val="00B253DA"/>
    <w:rsid w:val="00B25843"/>
    <w:rsid w:val="00B25A2E"/>
    <w:rsid w:val="00B268B5"/>
    <w:rsid w:val="00B269B9"/>
    <w:rsid w:val="00B26C25"/>
    <w:rsid w:val="00B27AB9"/>
    <w:rsid w:val="00B318D5"/>
    <w:rsid w:val="00B319A0"/>
    <w:rsid w:val="00B322A6"/>
    <w:rsid w:val="00B32FD5"/>
    <w:rsid w:val="00B331A1"/>
    <w:rsid w:val="00B33579"/>
    <w:rsid w:val="00B34486"/>
    <w:rsid w:val="00B347FB"/>
    <w:rsid w:val="00B3498F"/>
    <w:rsid w:val="00B34DCD"/>
    <w:rsid w:val="00B3507E"/>
    <w:rsid w:val="00B35A32"/>
    <w:rsid w:val="00B35A4E"/>
    <w:rsid w:val="00B35C0C"/>
    <w:rsid w:val="00B36407"/>
    <w:rsid w:val="00B366B9"/>
    <w:rsid w:val="00B369AE"/>
    <w:rsid w:val="00B36FC7"/>
    <w:rsid w:val="00B373D4"/>
    <w:rsid w:val="00B37A4E"/>
    <w:rsid w:val="00B37DEB"/>
    <w:rsid w:val="00B406F3"/>
    <w:rsid w:val="00B40A60"/>
    <w:rsid w:val="00B41393"/>
    <w:rsid w:val="00B417A7"/>
    <w:rsid w:val="00B4204D"/>
    <w:rsid w:val="00B4272F"/>
    <w:rsid w:val="00B432B2"/>
    <w:rsid w:val="00B439AA"/>
    <w:rsid w:val="00B43ED3"/>
    <w:rsid w:val="00B44193"/>
    <w:rsid w:val="00B446E7"/>
    <w:rsid w:val="00B44784"/>
    <w:rsid w:val="00B44C2F"/>
    <w:rsid w:val="00B44C64"/>
    <w:rsid w:val="00B45219"/>
    <w:rsid w:val="00B45764"/>
    <w:rsid w:val="00B45B98"/>
    <w:rsid w:val="00B45C24"/>
    <w:rsid w:val="00B47407"/>
    <w:rsid w:val="00B47F0E"/>
    <w:rsid w:val="00B5084F"/>
    <w:rsid w:val="00B508E1"/>
    <w:rsid w:val="00B50F07"/>
    <w:rsid w:val="00B511B4"/>
    <w:rsid w:val="00B5134E"/>
    <w:rsid w:val="00B52DC6"/>
    <w:rsid w:val="00B52DDA"/>
    <w:rsid w:val="00B5310F"/>
    <w:rsid w:val="00B534E6"/>
    <w:rsid w:val="00B536DD"/>
    <w:rsid w:val="00B53B7A"/>
    <w:rsid w:val="00B53C7B"/>
    <w:rsid w:val="00B53EB8"/>
    <w:rsid w:val="00B54D80"/>
    <w:rsid w:val="00B54EAD"/>
    <w:rsid w:val="00B54FE3"/>
    <w:rsid w:val="00B55AE9"/>
    <w:rsid w:val="00B56295"/>
    <w:rsid w:val="00B56385"/>
    <w:rsid w:val="00B56420"/>
    <w:rsid w:val="00B568E5"/>
    <w:rsid w:val="00B57362"/>
    <w:rsid w:val="00B57EF2"/>
    <w:rsid w:val="00B6075B"/>
    <w:rsid w:val="00B60D07"/>
    <w:rsid w:val="00B61328"/>
    <w:rsid w:val="00B614E1"/>
    <w:rsid w:val="00B61E34"/>
    <w:rsid w:val="00B61E38"/>
    <w:rsid w:val="00B61F1F"/>
    <w:rsid w:val="00B61FBD"/>
    <w:rsid w:val="00B623A2"/>
    <w:rsid w:val="00B62757"/>
    <w:rsid w:val="00B63002"/>
    <w:rsid w:val="00B63167"/>
    <w:rsid w:val="00B6353A"/>
    <w:rsid w:val="00B636D5"/>
    <w:rsid w:val="00B63760"/>
    <w:rsid w:val="00B6452C"/>
    <w:rsid w:val="00B64E25"/>
    <w:rsid w:val="00B654CB"/>
    <w:rsid w:val="00B65B5F"/>
    <w:rsid w:val="00B660C4"/>
    <w:rsid w:val="00B667D9"/>
    <w:rsid w:val="00B66CB1"/>
    <w:rsid w:val="00B66EAE"/>
    <w:rsid w:val="00B674EF"/>
    <w:rsid w:val="00B67621"/>
    <w:rsid w:val="00B70535"/>
    <w:rsid w:val="00B70752"/>
    <w:rsid w:val="00B71091"/>
    <w:rsid w:val="00B7125B"/>
    <w:rsid w:val="00B73337"/>
    <w:rsid w:val="00B73763"/>
    <w:rsid w:val="00B73830"/>
    <w:rsid w:val="00B73C57"/>
    <w:rsid w:val="00B74698"/>
    <w:rsid w:val="00B748B2"/>
    <w:rsid w:val="00B75810"/>
    <w:rsid w:val="00B75D4F"/>
    <w:rsid w:val="00B75E3F"/>
    <w:rsid w:val="00B7638B"/>
    <w:rsid w:val="00B770ED"/>
    <w:rsid w:val="00B7741B"/>
    <w:rsid w:val="00B77794"/>
    <w:rsid w:val="00B779A9"/>
    <w:rsid w:val="00B801CF"/>
    <w:rsid w:val="00B8027C"/>
    <w:rsid w:val="00B80A71"/>
    <w:rsid w:val="00B80AEE"/>
    <w:rsid w:val="00B82302"/>
    <w:rsid w:val="00B823A3"/>
    <w:rsid w:val="00B82FDD"/>
    <w:rsid w:val="00B84DAB"/>
    <w:rsid w:val="00B84FB5"/>
    <w:rsid w:val="00B856E2"/>
    <w:rsid w:val="00B85C53"/>
    <w:rsid w:val="00B85CC1"/>
    <w:rsid w:val="00B860B3"/>
    <w:rsid w:val="00B86CC6"/>
    <w:rsid w:val="00B87514"/>
    <w:rsid w:val="00B906D5"/>
    <w:rsid w:val="00B908A2"/>
    <w:rsid w:val="00B90D75"/>
    <w:rsid w:val="00B91699"/>
    <w:rsid w:val="00B91CC1"/>
    <w:rsid w:val="00B9209E"/>
    <w:rsid w:val="00B92B49"/>
    <w:rsid w:val="00B93257"/>
    <w:rsid w:val="00B9345D"/>
    <w:rsid w:val="00B937DF"/>
    <w:rsid w:val="00B9393B"/>
    <w:rsid w:val="00B9425B"/>
    <w:rsid w:val="00B942BC"/>
    <w:rsid w:val="00B94924"/>
    <w:rsid w:val="00B95DD2"/>
    <w:rsid w:val="00B961DA"/>
    <w:rsid w:val="00B961E8"/>
    <w:rsid w:val="00B962A8"/>
    <w:rsid w:val="00B96816"/>
    <w:rsid w:val="00BA02E3"/>
    <w:rsid w:val="00BA02EC"/>
    <w:rsid w:val="00BA03FA"/>
    <w:rsid w:val="00BA0683"/>
    <w:rsid w:val="00BA17EA"/>
    <w:rsid w:val="00BA1DB0"/>
    <w:rsid w:val="00BA2043"/>
    <w:rsid w:val="00BA24BC"/>
    <w:rsid w:val="00BA274B"/>
    <w:rsid w:val="00BA2BE4"/>
    <w:rsid w:val="00BA2D99"/>
    <w:rsid w:val="00BA2E0E"/>
    <w:rsid w:val="00BA3853"/>
    <w:rsid w:val="00BA38D2"/>
    <w:rsid w:val="00BA3A4F"/>
    <w:rsid w:val="00BA3C29"/>
    <w:rsid w:val="00BA46D1"/>
    <w:rsid w:val="00BA53A9"/>
    <w:rsid w:val="00BA5D27"/>
    <w:rsid w:val="00BA69AE"/>
    <w:rsid w:val="00BA6A07"/>
    <w:rsid w:val="00BA6C64"/>
    <w:rsid w:val="00BA7DB6"/>
    <w:rsid w:val="00BB0073"/>
    <w:rsid w:val="00BB070A"/>
    <w:rsid w:val="00BB0BE2"/>
    <w:rsid w:val="00BB1BBF"/>
    <w:rsid w:val="00BB210E"/>
    <w:rsid w:val="00BB2A8B"/>
    <w:rsid w:val="00BB2E68"/>
    <w:rsid w:val="00BB3025"/>
    <w:rsid w:val="00BB333C"/>
    <w:rsid w:val="00BB350F"/>
    <w:rsid w:val="00BB4144"/>
    <w:rsid w:val="00BB560B"/>
    <w:rsid w:val="00BB5F83"/>
    <w:rsid w:val="00BB68B7"/>
    <w:rsid w:val="00BB710B"/>
    <w:rsid w:val="00BB72F0"/>
    <w:rsid w:val="00BB7693"/>
    <w:rsid w:val="00BC06FD"/>
    <w:rsid w:val="00BC0C39"/>
    <w:rsid w:val="00BC164F"/>
    <w:rsid w:val="00BC1B51"/>
    <w:rsid w:val="00BC1F47"/>
    <w:rsid w:val="00BC30EF"/>
    <w:rsid w:val="00BC3359"/>
    <w:rsid w:val="00BC340B"/>
    <w:rsid w:val="00BC36FA"/>
    <w:rsid w:val="00BC3D67"/>
    <w:rsid w:val="00BC43E6"/>
    <w:rsid w:val="00BC44D1"/>
    <w:rsid w:val="00BC5002"/>
    <w:rsid w:val="00BC50F6"/>
    <w:rsid w:val="00BC5D38"/>
    <w:rsid w:val="00BC642E"/>
    <w:rsid w:val="00BC7400"/>
    <w:rsid w:val="00BC7B30"/>
    <w:rsid w:val="00BD0C79"/>
    <w:rsid w:val="00BD0F8A"/>
    <w:rsid w:val="00BD12E0"/>
    <w:rsid w:val="00BD1338"/>
    <w:rsid w:val="00BD1A6F"/>
    <w:rsid w:val="00BD1B74"/>
    <w:rsid w:val="00BD1CDC"/>
    <w:rsid w:val="00BD2C17"/>
    <w:rsid w:val="00BD2D61"/>
    <w:rsid w:val="00BD2E9D"/>
    <w:rsid w:val="00BD30FA"/>
    <w:rsid w:val="00BD3243"/>
    <w:rsid w:val="00BD366F"/>
    <w:rsid w:val="00BD565A"/>
    <w:rsid w:val="00BD6E22"/>
    <w:rsid w:val="00BD7188"/>
    <w:rsid w:val="00BE040E"/>
    <w:rsid w:val="00BE1184"/>
    <w:rsid w:val="00BE1CB4"/>
    <w:rsid w:val="00BE1E58"/>
    <w:rsid w:val="00BE1E68"/>
    <w:rsid w:val="00BE2495"/>
    <w:rsid w:val="00BE2632"/>
    <w:rsid w:val="00BE26BD"/>
    <w:rsid w:val="00BE3318"/>
    <w:rsid w:val="00BE356A"/>
    <w:rsid w:val="00BE3B1B"/>
    <w:rsid w:val="00BE3F8F"/>
    <w:rsid w:val="00BE418D"/>
    <w:rsid w:val="00BE53C7"/>
    <w:rsid w:val="00BE6933"/>
    <w:rsid w:val="00BE6C7B"/>
    <w:rsid w:val="00BE6D98"/>
    <w:rsid w:val="00BE6EEA"/>
    <w:rsid w:val="00BE75B1"/>
    <w:rsid w:val="00BE75C6"/>
    <w:rsid w:val="00BE776D"/>
    <w:rsid w:val="00BE77DA"/>
    <w:rsid w:val="00BE77DC"/>
    <w:rsid w:val="00BE7904"/>
    <w:rsid w:val="00BE7BCC"/>
    <w:rsid w:val="00BF06F5"/>
    <w:rsid w:val="00BF0F7F"/>
    <w:rsid w:val="00BF1083"/>
    <w:rsid w:val="00BF1A8D"/>
    <w:rsid w:val="00BF2218"/>
    <w:rsid w:val="00BF2837"/>
    <w:rsid w:val="00BF2996"/>
    <w:rsid w:val="00BF2C77"/>
    <w:rsid w:val="00BF3A05"/>
    <w:rsid w:val="00BF3BAD"/>
    <w:rsid w:val="00BF3CAD"/>
    <w:rsid w:val="00BF4AC7"/>
    <w:rsid w:val="00BF67E8"/>
    <w:rsid w:val="00BF7306"/>
    <w:rsid w:val="00BF7698"/>
    <w:rsid w:val="00BF79BE"/>
    <w:rsid w:val="00BF7CD8"/>
    <w:rsid w:val="00C00147"/>
    <w:rsid w:val="00C00A9E"/>
    <w:rsid w:val="00C00E3F"/>
    <w:rsid w:val="00C016E6"/>
    <w:rsid w:val="00C01963"/>
    <w:rsid w:val="00C01BE1"/>
    <w:rsid w:val="00C025B9"/>
    <w:rsid w:val="00C02758"/>
    <w:rsid w:val="00C02AC5"/>
    <w:rsid w:val="00C030AA"/>
    <w:rsid w:val="00C03606"/>
    <w:rsid w:val="00C038DD"/>
    <w:rsid w:val="00C03CDD"/>
    <w:rsid w:val="00C03DC0"/>
    <w:rsid w:val="00C04131"/>
    <w:rsid w:val="00C05675"/>
    <w:rsid w:val="00C056DE"/>
    <w:rsid w:val="00C05C56"/>
    <w:rsid w:val="00C05E35"/>
    <w:rsid w:val="00C066B8"/>
    <w:rsid w:val="00C06908"/>
    <w:rsid w:val="00C06A83"/>
    <w:rsid w:val="00C07AD8"/>
    <w:rsid w:val="00C10C8F"/>
    <w:rsid w:val="00C1154B"/>
    <w:rsid w:val="00C11CD5"/>
    <w:rsid w:val="00C14786"/>
    <w:rsid w:val="00C150FD"/>
    <w:rsid w:val="00C15C5A"/>
    <w:rsid w:val="00C15F58"/>
    <w:rsid w:val="00C16F06"/>
    <w:rsid w:val="00C17358"/>
    <w:rsid w:val="00C2009A"/>
    <w:rsid w:val="00C20D32"/>
    <w:rsid w:val="00C20EB1"/>
    <w:rsid w:val="00C21352"/>
    <w:rsid w:val="00C223B8"/>
    <w:rsid w:val="00C23E62"/>
    <w:rsid w:val="00C245A4"/>
    <w:rsid w:val="00C24E0A"/>
    <w:rsid w:val="00C25038"/>
    <w:rsid w:val="00C25695"/>
    <w:rsid w:val="00C25977"/>
    <w:rsid w:val="00C25DB5"/>
    <w:rsid w:val="00C26BFF"/>
    <w:rsid w:val="00C27224"/>
    <w:rsid w:val="00C27827"/>
    <w:rsid w:val="00C2785D"/>
    <w:rsid w:val="00C27CB3"/>
    <w:rsid w:val="00C3016C"/>
    <w:rsid w:val="00C30E30"/>
    <w:rsid w:val="00C30F69"/>
    <w:rsid w:val="00C310E7"/>
    <w:rsid w:val="00C31453"/>
    <w:rsid w:val="00C31D46"/>
    <w:rsid w:val="00C322A3"/>
    <w:rsid w:val="00C32956"/>
    <w:rsid w:val="00C32AA4"/>
    <w:rsid w:val="00C32AD6"/>
    <w:rsid w:val="00C34735"/>
    <w:rsid w:val="00C35016"/>
    <w:rsid w:val="00C35F8C"/>
    <w:rsid w:val="00C36A8F"/>
    <w:rsid w:val="00C37353"/>
    <w:rsid w:val="00C37A49"/>
    <w:rsid w:val="00C37B63"/>
    <w:rsid w:val="00C4066B"/>
    <w:rsid w:val="00C41F76"/>
    <w:rsid w:val="00C42271"/>
    <w:rsid w:val="00C42F09"/>
    <w:rsid w:val="00C435E6"/>
    <w:rsid w:val="00C43C86"/>
    <w:rsid w:val="00C43D48"/>
    <w:rsid w:val="00C44A87"/>
    <w:rsid w:val="00C45384"/>
    <w:rsid w:val="00C454E5"/>
    <w:rsid w:val="00C459D4"/>
    <w:rsid w:val="00C45AD5"/>
    <w:rsid w:val="00C45F71"/>
    <w:rsid w:val="00C45FEF"/>
    <w:rsid w:val="00C4602C"/>
    <w:rsid w:val="00C462AD"/>
    <w:rsid w:val="00C46C09"/>
    <w:rsid w:val="00C50A9A"/>
    <w:rsid w:val="00C50D15"/>
    <w:rsid w:val="00C50D79"/>
    <w:rsid w:val="00C510D2"/>
    <w:rsid w:val="00C519B7"/>
    <w:rsid w:val="00C51CAF"/>
    <w:rsid w:val="00C52668"/>
    <w:rsid w:val="00C52CA6"/>
    <w:rsid w:val="00C53310"/>
    <w:rsid w:val="00C53358"/>
    <w:rsid w:val="00C537C7"/>
    <w:rsid w:val="00C53962"/>
    <w:rsid w:val="00C53EBD"/>
    <w:rsid w:val="00C5403D"/>
    <w:rsid w:val="00C543A9"/>
    <w:rsid w:val="00C55037"/>
    <w:rsid w:val="00C56CC0"/>
    <w:rsid w:val="00C57162"/>
    <w:rsid w:val="00C576C7"/>
    <w:rsid w:val="00C579CB"/>
    <w:rsid w:val="00C57A89"/>
    <w:rsid w:val="00C57AB2"/>
    <w:rsid w:val="00C57CC2"/>
    <w:rsid w:val="00C6112C"/>
    <w:rsid w:val="00C61381"/>
    <w:rsid w:val="00C61DB0"/>
    <w:rsid w:val="00C61F03"/>
    <w:rsid w:val="00C6203B"/>
    <w:rsid w:val="00C624A3"/>
    <w:rsid w:val="00C62878"/>
    <w:rsid w:val="00C630E5"/>
    <w:rsid w:val="00C63209"/>
    <w:rsid w:val="00C63258"/>
    <w:rsid w:val="00C6396F"/>
    <w:rsid w:val="00C63C4D"/>
    <w:rsid w:val="00C63E93"/>
    <w:rsid w:val="00C63EF9"/>
    <w:rsid w:val="00C658A6"/>
    <w:rsid w:val="00C65DD2"/>
    <w:rsid w:val="00C65E4E"/>
    <w:rsid w:val="00C6618C"/>
    <w:rsid w:val="00C66337"/>
    <w:rsid w:val="00C67973"/>
    <w:rsid w:val="00C67FA4"/>
    <w:rsid w:val="00C70169"/>
    <w:rsid w:val="00C7186E"/>
    <w:rsid w:val="00C71AC7"/>
    <w:rsid w:val="00C721CD"/>
    <w:rsid w:val="00C722BA"/>
    <w:rsid w:val="00C72ED7"/>
    <w:rsid w:val="00C73921"/>
    <w:rsid w:val="00C73DA5"/>
    <w:rsid w:val="00C7424A"/>
    <w:rsid w:val="00C742EF"/>
    <w:rsid w:val="00C74CD6"/>
    <w:rsid w:val="00C751EC"/>
    <w:rsid w:val="00C7559A"/>
    <w:rsid w:val="00C76039"/>
    <w:rsid w:val="00C76217"/>
    <w:rsid w:val="00C76879"/>
    <w:rsid w:val="00C76FC8"/>
    <w:rsid w:val="00C776CD"/>
    <w:rsid w:val="00C8050C"/>
    <w:rsid w:val="00C80722"/>
    <w:rsid w:val="00C81AF1"/>
    <w:rsid w:val="00C81C87"/>
    <w:rsid w:val="00C82DDC"/>
    <w:rsid w:val="00C83D6B"/>
    <w:rsid w:val="00C83DD0"/>
    <w:rsid w:val="00C84179"/>
    <w:rsid w:val="00C84669"/>
    <w:rsid w:val="00C85517"/>
    <w:rsid w:val="00C85760"/>
    <w:rsid w:val="00C85B8E"/>
    <w:rsid w:val="00C86AC7"/>
    <w:rsid w:val="00C87A48"/>
    <w:rsid w:val="00C9034F"/>
    <w:rsid w:val="00C9049E"/>
    <w:rsid w:val="00C9050E"/>
    <w:rsid w:val="00C907F5"/>
    <w:rsid w:val="00C90FEB"/>
    <w:rsid w:val="00C91370"/>
    <w:rsid w:val="00C91423"/>
    <w:rsid w:val="00C91B69"/>
    <w:rsid w:val="00C92355"/>
    <w:rsid w:val="00C924CE"/>
    <w:rsid w:val="00C92973"/>
    <w:rsid w:val="00C92E3D"/>
    <w:rsid w:val="00C93FEE"/>
    <w:rsid w:val="00C94449"/>
    <w:rsid w:val="00C94690"/>
    <w:rsid w:val="00C955DC"/>
    <w:rsid w:val="00C95832"/>
    <w:rsid w:val="00C95B2A"/>
    <w:rsid w:val="00C96607"/>
    <w:rsid w:val="00C967FA"/>
    <w:rsid w:val="00C96AD9"/>
    <w:rsid w:val="00C9701D"/>
    <w:rsid w:val="00C97834"/>
    <w:rsid w:val="00C97CFE"/>
    <w:rsid w:val="00C97E81"/>
    <w:rsid w:val="00CA0110"/>
    <w:rsid w:val="00CA1118"/>
    <w:rsid w:val="00CA134F"/>
    <w:rsid w:val="00CA1894"/>
    <w:rsid w:val="00CA1E89"/>
    <w:rsid w:val="00CA20D6"/>
    <w:rsid w:val="00CA23A8"/>
    <w:rsid w:val="00CA25D6"/>
    <w:rsid w:val="00CA37C2"/>
    <w:rsid w:val="00CA3A6C"/>
    <w:rsid w:val="00CA3FF7"/>
    <w:rsid w:val="00CA4717"/>
    <w:rsid w:val="00CA4C80"/>
    <w:rsid w:val="00CA4E0B"/>
    <w:rsid w:val="00CA4EB9"/>
    <w:rsid w:val="00CA51FB"/>
    <w:rsid w:val="00CA5836"/>
    <w:rsid w:val="00CA5BA6"/>
    <w:rsid w:val="00CA6467"/>
    <w:rsid w:val="00CA687A"/>
    <w:rsid w:val="00CA6E07"/>
    <w:rsid w:val="00CA7B6C"/>
    <w:rsid w:val="00CB0DA9"/>
    <w:rsid w:val="00CB1024"/>
    <w:rsid w:val="00CB15FF"/>
    <w:rsid w:val="00CB1869"/>
    <w:rsid w:val="00CB268F"/>
    <w:rsid w:val="00CB26C6"/>
    <w:rsid w:val="00CB2712"/>
    <w:rsid w:val="00CB2715"/>
    <w:rsid w:val="00CB2C82"/>
    <w:rsid w:val="00CB2DE1"/>
    <w:rsid w:val="00CB2FC7"/>
    <w:rsid w:val="00CB35E9"/>
    <w:rsid w:val="00CB3A74"/>
    <w:rsid w:val="00CB3F23"/>
    <w:rsid w:val="00CB45DE"/>
    <w:rsid w:val="00CB5CA1"/>
    <w:rsid w:val="00CB5E9C"/>
    <w:rsid w:val="00CB61E0"/>
    <w:rsid w:val="00CB655A"/>
    <w:rsid w:val="00CB6698"/>
    <w:rsid w:val="00CB674B"/>
    <w:rsid w:val="00CB68BF"/>
    <w:rsid w:val="00CB68ED"/>
    <w:rsid w:val="00CB6AFB"/>
    <w:rsid w:val="00CB7499"/>
    <w:rsid w:val="00CB7B38"/>
    <w:rsid w:val="00CC0263"/>
    <w:rsid w:val="00CC142A"/>
    <w:rsid w:val="00CC15A9"/>
    <w:rsid w:val="00CC2472"/>
    <w:rsid w:val="00CC25BE"/>
    <w:rsid w:val="00CC2B9A"/>
    <w:rsid w:val="00CC30A1"/>
    <w:rsid w:val="00CC41A9"/>
    <w:rsid w:val="00CC5170"/>
    <w:rsid w:val="00CC61C7"/>
    <w:rsid w:val="00CC61F3"/>
    <w:rsid w:val="00CC6410"/>
    <w:rsid w:val="00CC6AB4"/>
    <w:rsid w:val="00CC7ED2"/>
    <w:rsid w:val="00CD085E"/>
    <w:rsid w:val="00CD0956"/>
    <w:rsid w:val="00CD0A17"/>
    <w:rsid w:val="00CD1654"/>
    <w:rsid w:val="00CD18F3"/>
    <w:rsid w:val="00CD1F17"/>
    <w:rsid w:val="00CD28C9"/>
    <w:rsid w:val="00CD2C36"/>
    <w:rsid w:val="00CD31F6"/>
    <w:rsid w:val="00CD355C"/>
    <w:rsid w:val="00CD4E85"/>
    <w:rsid w:val="00CD5221"/>
    <w:rsid w:val="00CD53B9"/>
    <w:rsid w:val="00CD55A5"/>
    <w:rsid w:val="00CD5675"/>
    <w:rsid w:val="00CD6F38"/>
    <w:rsid w:val="00CD7336"/>
    <w:rsid w:val="00CD788C"/>
    <w:rsid w:val="00CE14EC"/>
    <w:rsid w:val="00CE1647"/>
    <w:rsid w:val="00CE16A0"/>
    <w:rsid w:val="00CE17ED"/>
    <w:rsid w:val="00CE2349"/>
    <w:rsid w:val="00CE249D"/>
    <w:rsid w:val="00CE2FBC"/>
    <w:rsid w:val="00CE3322"/>
    <w:rsid w:val="00CE383F"/>
    <w:rsid w:val="00CE4362"/>
    <w:rsid w:val="00CE4789"/>
    <w:rsid w:val="00CE4AD2"/>
    <w:rsid w:val="00CE4FD8"/>
    <w:rsid w:val="00CE4FEB"/>
    <w:rsid w:val="00CE529D"/>
    <w:rsid w:val="00CE5626"/>
    <w:rsid w:val="00CE5F13"/>
    <w:rsid w:val="00CE6380"/>
    <w:rsid w:val="00CE670F"/>
    <w:rsid w:val="00CE679E"/>
    <w:rsid w:val="00CE67EF"/>
    <w:rsid w:val="00CE6BBD"/>
    <w:rsid w:val="00CE6FFD"/>
    <w:rsid w:val="00CE7AA9"/>
    <w:rsid w:val="00CE7B0F"/>
    <w:rsid w:val="00CE7F17"/>
    <w:rsid w:val="00CF02F5"/>
    <w:rsid w:val="00CF05B9"/>
    <w:rsid w:val="00CF0724"/>
    <w:rsid w:val="00CF0C8B"/>
    <w:rsid w:val="00CF2805"/>
    <w:rsid w:val="00CF2DF1"/>
    <w:rsid w:val="00CF388D"/>
    <w:rsid w:val="00CF39BA"/>
    <w:rsid w:val="00CF39E4"/>
    <w:rsid w:val="00CF42E6"/>
    <w:rsid w:val="00CF52A1"/>
    <w:rsid w:val="00CF54B9"/>
    <w:rsid w:val="00CF54C5"/>
    <w:rsid w:val="00CF59FD"/>
    <w:rsid w:val="00CF621B"/>
    <w:rsid w:val="00CF6D12"/>
    <w:rsid w:val="00CF6E67"/>
    <w:rsid w:val="00CF72A1"/>
    <w:rsid w:val="00CF7930"/>
    <w:rsid w:val="00CF79C6"/>
    <w:rsid w:val="00D00AE2"/>
    <w:rsid w:val="00D00E7D"/>
    <w:rsid w:val="00D014AF"/>
    <w:rsid w:val="00D0166D"/>
    <w:rsid w:val="00D01A97"/>
    <w:rsid w:val="00D01BEE"/>
    <w:rsid w:val="00D0207A"/>
    <w:rsid w:val="00D0261D"/>
    <w:rsid w:val="00D02B8B"/>
    <w:rsid w:val="00D02DCA"/>
    <w:rsid w:val="00D03151"/>
    <w:rsid w:val="00D03232"/>
    <w:rsid w:val="00D03A2B"/>
    <w:rsid w:val="00D03A94"/>
    <w:rsid w:val="00D03D1E"/>
    <w:rsid w:val="00D03E43"/>
    <w:rsid w:val="00D0414D"/>
    <w:rsid w:val="00D04C0C"/>
    <w:rsid w:val="00D04D28"/>
    <w:rsid w:val="00D04F94"/>
    <w:rsid w:val="00D05B48"/>
    <w:rsid w:val="00D05D7D"/>
    <w:rsid w:val="00D05F58"/>
    <w:rsid w:val="00D06416"/>
    <w:rsid w:val="00D06BAA"/>
    <w:rsid w:val="00D10542"/>
    <w:rsid w:val="00D11C99"/>
    <w:rsid w:val="00D11E7F"/>
    <w:rsid w:val="00D1305E"/>
    <w:rsid w:val="00D1407D"/>
    <w:rsid w:val="00D1409B"/>
    <w:rsid w:val="00D143E2"/>
    <w:rsid w:val="00D15198"/>
    <w:rsid w:val="00D153C4"/>
    <w:rsid w:val="00D15536"/>
    <w:rsid w:val="00D15873"/>
    <w:rsid w:val="00D15DB5"/>
    <w:rsid w:val="00D16A50"/>
    <w:rsid w:val="00D17370"/>
    <w:rsid w:val="00D17D9B"/>
    <w:rsid w:val="00D2012F"/>
    <w:rsid w:val="00D21299"/>
    <w:rsid w:val="00D2136F"/>
    <w:rsid w:val="00D21905"/>
    <w:rsid w:val="00D220CF"/>
    <w:rsid w:val="00D22304"/>
    <w:rsid w:val="00D22A7B"/>
    <w:rsid w:val="00D22B25"/>
    <w:rsid w:val="00D22E4A"/>
    <w:rsid w:val="00D233A6"/>
    <w:rsid w:val="00D23BE2"/>
    <w:rsid w:val="00D24741"/>
    <w:rsid w:val="00D2499E"/>
    <w:rsid w:val="00D24C90"/>
    <w:rsid w:val="00D24EE8"/>
    <w:rsid w:val="00D253E8"/>
    <w:rsid w:val="00D2546C"/>
    <w:rsid w:val="00D25DD4"/>
    <w:rsid w:val="00D25FE6"/>
    <w:rsid w:val="00D26359"/>
    <w:rsid w:val="00D26461"/>
    <w:rsid w:val="00D2698D"/>
    <w:rsid w:val="00D26A97"/>
    <w:rsid w:val="00D26C74"/>
    <w:rsid w:val="00D2716A"/>
    <w:rsid w:val="00D27995"/>
    <w:rsid w:val="00D27B99"/>
    <w:rsid w:val="00D27D27"/>
    <w:rsid w:val="00D3048C"/>
    <w:rsid w:val="00D30CD3"/>
    <w:rsid w:val="00D32EF0"/>
    <w:rsid w:val="00D331D8"/>
    <w:rsid w:val="00D335D2"/>
    <w:rsid w:val="00D337A1"/>
    <w:rsid w:val="00D34F8A"/>
    <w:rsid w:val="00D37086"/>
    <w:rsid w:val="00D374DA"/>
    <w:rsid w:val="00D37DE7"/>
    <w:rsid w:val="00D41314"/>
    <w:rsid w:val="00D415C4"/>
    <w:rsid w:val="00D417D0"/>
    <w:rsid w:val="00D419E5"/>
    <w:rsid w:val="00D42042"/>
    <w:rsid w:val="00D42D55"/>
    <w:rsid w:val="00D43B69"/>
    <w:rsid w:val="00D44262"/>
    <w:rsid w:val="00D446F0"/>
    <w:rsid w:val="00D45017"/>
    <w:rsid w:val="00D45557"/>
    <w:rsid w:val="00D45D5B"/>
    <w:rsid w:val="00D50776"/>
    <w:rsid w:val="00D52498"/>
    <w:rsid w:val="00D52798"/>
    <w:rsid w:val="00D529C5"/>
    <w:rsid w:val="00D529E1"/>
    <w:rsid w:val="00D52B86"/>
    <w:rsid w:val="00D53129"/>
    <w:rsid w:val="00D53603"/>
    <w:rsid w:val="00D54C4C"/>
    <w:rsid w:val="00D553B6"/>
    <w:rsid w:val="00D558BC"/>
    <w:rsid w:val="00D55F13"/>
    <w:rsid w:val="00D561C1"/>
    <w:rsid w:val="00D5649A"/>
    <w:rsid w:val="00D564B8"/>
    <w:rsid w:val="00D5733A"/>
    <w:rsid w:val="00D60CFC"/>
    <w:rsid w:val="00D60DFF"/>
    <w:rsid w:val="00D612D3"/>
    <w:rsid w:val="00D613A7"/>
    <w:rsid w:val="00D61FB2"/>
    <w:rsid w:val="00D623EC"/>
    <w:rsid w:val="00D62EE6"/>
    <w:rsid w:val="00D630FE"/>
    <w:rsid w:val="00D63110"/>
    <w:rsid w:val="00D63BC9"/>
    <w:rsid w:val="00D63FC1"/>
    <w:rsid w:val="00D6492D"/>
    <w:rsid w:val="00D64BFA"/>
    <w:rsid w:val="00D657EE"/>
    <w:rsid w:val="00D65D96"/>
    <w:rsid w:val="00D65FD9"/>
    <w:rsid w:val="00D66D44"/>
    <w:rsid w:val="00D67283"/>
    <w:rsid w:val="00D673CF"/>
    <w:rsid w:val="00D675CA"/>
    <w:rsid w:val="00D67722"/>
    <w:rsid w:val="00D67E8C"/>
    <w:rsid w:val="00D70FB2"/>
    <w:rsid w:val="00D70FF8"/>
    <w:rsid w:val="00D71658"/>
    <w:rsid w:val="00D71EBC"/>
    <w:rsid w:val="00D72A1A"/>
    <w:rsid w:val="00D72DBE"/>
    <w:rsid w:val="00D732AC"/>
    <w:rsid w:val="00D7349F"/>
    <w:rsid w:val="00D73DBE"/>
    <w:rsid w:val="00D74607"/>
    <w:rsid w:val="00D74964"/>
    <w:rsid w:val="00D74D8E"/>
    <w:rsid w:val="00D7509F"/>
    <w:rsid w:val="00D75265"/>
    <w:rsid w:val="00D75877"/>
    <w:rsid w:val="00D75B92"/>
    <w:rsid w:val="00D76065"/>
    <w:rsid w:val="00D760E9"/>
    <w:rsid w:val="00D76774"/>
    <w:rsid w:val="00D77648"/>
    <w:rsid w:val="00D7767B"/>
    <w:rsid w:val="00D805D8"/>
    <w:rsid w:val="00D80F0E"/>
    <w:rsid w:val="00D8142E"/>
    <w:rsid w:val="00D8144F"/>
    <w:rsid w:val="00D81501"/>
    <w:rsid w:val="00D8291C"/>
    <w:rsid w:val="00D82BA4"/>
    <w:rsid w:val="00D8327F"/>
    <w:rsid w:val="00D83780"/>
    <w:rsid w:val="00D83A2B"/>
    <w:rsid w:val="00D83DC1"/>
    <w:rsid w:val="00D83F3D"/>
    <w:rsid w:val="00D841E9"/>
    <w:rsid w:val="00D842A6"/>
    <w:rsid w:val="00D847E7"/>
    <w:rsid w:val="00D84BE6"/>
    <w:rsid w:val="00D84F44"/>
    <w:rsid w:val="00D851FB"/>
    <w:rsid w:val="00D85678"/>
    <w:rsid w:val="00D85A22"/>
    <w:rsid w:val="00D86049"/>
    <w:rsid w:val="00D86918"/>
    <w:rsid w:val="00D86A5B"/>
    <w:rsid w:val="00D87200"/>
    <w:rsid w:val="00D872A0"/>
    <w:rsid w:val="00D87988"/>
    <w:rsid w:val="00D87CC8"/>
    <w:rsid w:val="00D87D65"/>
    <w:rsid w:val="00D901A4"/>
    <w:rsid w:val="00D90269"/>
    <w:rsid w:val="00D904B1"/>
    <w:rsid w:val="00D90B92"/>
    <w:rsid w:val="00D9122B"/>
    <w:rsid w:val="00D923AC"/>
    <w:rsid w:val="00D9250F"/>
    <w:rsid w:val="00D92673"/>
    <w:rsid w:val="00D92C22"/>
    <w:rsid w:val="00D92CAD"/>
    <w:rsid w:val="00D92D4D"/>
    <w:rsid w:val="00D930F8"/>
    <w:rsid w:val="00D938A2"/>
    <w:rsid w:val="00D93BD3"/>
    <w:rsid w:val="00D93C26"/>
    <w:rsid w:val="00D93F06"/>
    <w:rsid w:val="00D9402F"/>
    <w:rsid w:val="00D946F1"/>
    <w:rsid w:val="00D949DF"/>
    <w:rsid w:val="00D957D5"/>
    <w:rsid w:val="00D96705"/>
    <w:rsid w:val="00D9703E"/>
    <w:rsid w:val="00D97604"/>
    <w:rsid w:val="00D97AA8"/>
    <w:rsid w:val="00DA06D8"/>
    <w:rsid w:val="00DA0707"/>
    <w:rsid w:val="00DA117F"/>
    <w:rsid w:val="00DA1CC0"/>
    <w:rsid w:val="00DA1D1D"/>
    <w:rsid w:val="00DA21BF"/>
    <w:rsid w:val="00DA26BE"/>
    <w:rsid w:val="00DA27E9"/>
    <w:rsid w:val="00DA339E"/>
    <w:rsid w:val="00DA33DD"/>
    <w:rsid w:val="00DA3806"/>
    <w:rsid w:val="00DA43CD"/>
    <w:rsid w:val="00DA4FE1"/>
    <w:rsid w:val="00DA5660"/>
    <w:rsid w:val="00DA6295"/>
    <w:rsid w:val="00DA63A7"/>
    <w:rsid w:val="00DA676F"/>
    <w:rsid w:val="00DA6AA9"/>
    <w:rsid w:val="00DB05A8"/>
    <w:rsid w:val="00DB1303"/>
    <w:rsid w:val="00DB188A"/>
    <w:rsid w:val="00DB2097"/>
    <w:rsid w:val="00DB25D6"/>
    <w:rsid w:val="00DB287E"/>
    <w:rsid w:val="00DB28CB"/>
    <w:rsid w:val="00DB2EA1"/>
    <w:rsid w:val="00DB3804"/>
    <w:rsid w:val="00DB3E24"/>
    <w:rsid w:val="00DB3EAD"/>
    <w:rsid w:val="00DB41AD"/>
    <w:rsid w:val="00DB517B"/>
    <w:rsid w:val="00DB555A"/>
    <w:rsid w:val="00DB5BD4"/>
    <w:rsid w:val="00DB671E"/>
    <w:rsid w:val="00DB738F"/>
    <w:rsid w:val="00DB7683"/>
    <w:rsid w:val="00DC1218"/>
    <w:rsid w:val="00DC1361"/>
    <w:rsid w:val="00DC19A3"/>
    <w:rsid w:val="00DC2A49"/>
    <w:rsid w:val="00DC2F3E"/>
    <w:rsid w:val="00DC383A"/>
    <w:rsid w:val="00DC3D56"/>
    <w:rsid w:val="00DC4177"/>
    <w:rsid w:val="00DC44A5"/>
    <w:rsid w:val="00DC44D3"/>
    <w:rsid w:val="00DC4B4D"/>
    <w:rsid w:val="00DC4C3F"/>
    <w:rsid w:val="00DC4ECC"/>
    <w:rsid w:val="00DC5818"/>
    <w:rsid w:val="00DC5FA7"/>
    <w:rsid w:val="00DC601B"/>
    <w:rsid w:val="00DC608D"/>
    <w:rsid w:val="00DC613C"/>
    <w:rsid w:val="00DC63B3"/>
    <w:rsid w:val="00DC6440"/>
    <w:rsid w:val="00DC6C0F"/>
    <w:rsid w:val="00DC7BE5"/>
    <w:rsid w:val="00DC7D2A"/>
    <w:rsid w:val="00DC7E6A"/>
    <w:rsid w:val="00DD11C3"/>
    <w:rsid w:val="00DD136C"/>
    <w:rsid w:val="00DD1735"/>
    <w:rsid w:val="00DD1BCE"/>
    <w:rsid w:val="00DD1CB3"/>
    <w:rsid w:val="00DD1E46"/>
    <w:rsid w:val="00DD1EFE"/>
    <w:rsid w:val="00DD21CF"/>
    <w:rsid w:val="00DD21F0"/>
    <w:rsid w:val="00DD3005"/>
    <w:rsid w:val="00DD3452"/>
    <w:rsid w:val="00DD35B4"/>
    <w:rsid w:val="00DD3CD5"/>
    <w:rsid w:val="00DD3FFF"/>
    <w:rsid w:val="00DD5094"/>
    <w:rsid w:val="00DD69D7"/>
    <w:rsid w:val="00DD7406"/>
    <w:rsid w:val="00DD7CD6"/>
    <w:rsid w:val="00DE04A8"/>
    <w:rsid w:val="00DE0A7E"/>
    <w:rsid w:val="00DE1060"/>
    <w:rsid w:val="00DE2307"/>
    <w:rsid w:val="00DE2550"/>
    <w:rsid w:val="00DE2A69"/>
    <w:rsid w:val="00DE34A2"/>
    <w:rsid w:val="00DE3602"/>
    <w:rsid w:val="00DE4772"/>
    <w:rsid w:val="00DE55F8"/>
    <w:rsid w:val="00DE5625"/>
    <w:rsid w:val="00DE58C8"/>
    <w:rsid w:val="00DE62E4"/>
    <w:rsid w:val="00DE65BF"/>
    <w:rsid w:val="00DE6687"/>
    <w:rsid w:val="00DE71DD"/>
    <w:rsid w:val="00DE79AA"/>
    <w:rsid w:val="00DE7F4D"/>
    <w:rsid w:val="00DF0C31"/>
    <w:rsid w:val="00DF0C81"/>
    <w:rsid w:val="00DF0F04"/>
    <w:rsid w:val="00DF1541"/>
    <w:rsid w:val="00DF17AA"/>
    <w:rsid w:val="00DF236C"/>
    <w:rsid w:val="00DF28E0"/>
    <w:rsid w:val="00DF2D23"/>
    <w:rsid w:val="00DF32DF"/>
    <w:rsid w:val="00DF37B3"/>
    <w:rsid w:val="00DF3D90"/>
    <w:rsid w:val="00DF3F8E"/>
    <w:rsid w:val="00DF54B0"/>
    <w:rsid w:val="00DF58F3"/>
    <w:rsid w:val="00DF6CFC"/>
    <w:rsid w:val="00DF6E61"/>
    <w:rsid w:val="00DF7EFA"/>
    <w:rsid w:val="00E00494"/>
    <w:rsid w:val="00E014F0"/>
    <w:rsid w:val="00E01C2D"/>
    <w:rsid w:val="00E01CE1"/>
    <w:rsid w:val="00E01D7D"/>
    <w:rsid w:val="00E01DAF"/>
    <w:rsid w:val="00E025BF"/>
    <w:rsid w:val="00E03B14"/>
    <w:rsid w:val="00E03E91"/>
    <w:rsid w:val="00E041FD"/>
    <w:rsid w:val="00E04816"/>
    <w:rsid w:val="00E04BCB"/>
    <w:rsid w:val="00E04C9F"/>
    <w:rsid w:val="00E04DA0"/>
    <w:rsid w:val="00E05333"/>
    <w:rsid w:val="00E0573F"/>
    <w:rsid w:val="00E05986"/>
    <w:rsid w:val="00E06030"/>
    <w:rsid w:val="00E06465"/>
    <w:rsid w:val="00E07BEA"/>
    <w:rsid w:val="00E10408"/>
    <w:rsid w:val="00E109E6"/>
    <w:rsid w:val="00E10FC3"/>
    <w:rsid w:val="00E11061"/>
    <w:rsid w:val="00E111E1"/>
    <w:rsid w:val="00E11938"/>
    <w:rsid w:val="00E11B00"/>
    <w:rsid w:val="00E1219C"/>
    <w:rsid w:val="00E12246"/>
    <w:rsid w:val="00E12AB6"/>
    <w:rsid w:val="00E12EF4"/>
    <w:rsid w:val="00E1335B"/>
    <w:rsid w:val="00E13585"/>
    <w:rsid w:val="00E135B0"/>
    <w:rsid w:val="00E13ADF"/>
    <w:rsid w:val="00E142ED"/>
    <w:rsid w:val="00E147DF"/>
    <w:rsid w:val="00E14BD6"/>
    <w:rsid w:val="00E15651"/>
    <w:rsid w:val="00E15EBC"/>
    <w:rsid w:val="00E168F1"/>
    <w:rsid w:val="00E16B64"/>
    <w:rsid w:val="00E16E98"/>
    <w:rsid w:val="00E17528"/>
    <w:rsid w:val="00E177EA"/>
    <w:rsid w:val="00E17AFA"/>
    <w:rsid w:val="00E203EF"/>
    <w:rsid w:val="00E2053D"/>
    <w:rsid w:val="00E20FA9"/>
    <w:rsid w:val="00E20FEF"/>
    <w:rsid w:val="00E213BF"/>
    <w:rsid w:val="00E21474"/>
    <w:rsid w:val="00E21653"/>
    <w:rsid w:val="00E225F5"/>
    <w:rsid w:val="00E22766"/>
    <w:rsid w:val="00E23164"/>
    <w:rsid w:val="00E2359D"/>
    <w:rsid w:val="00E23C3D"/>
    <w:rsid w:val="00E24182"/>
    <w:rsid w:val="00E2438B"/>
    <w:rsid w:val="00E24524"/>
    <w:rsid w:val="00E24C89"/>
    <w:rsid w:val="00E274C2"/>
    <w:rsid w:val="00E27CD0"/>
    <w:rsid w:val="00E3027E"/>
    <w:rsid w:val="00E30DB1"/>
    <w:rsid w:val="00E316C9"/>
    <w:rsid w:val="00E31B1D"/>
    <w:rsid w:val="00E3264F"/>
    <w:rsid w:val="00E3270D"/>
    <w:rsid w:val="00E3270E"/>
    <w:rsid w:val="00E32B6A"/>
    <w:rsid w:val="00E32FCA"/>
    <w:rsid w:val="00E33386"/>
    <w:rsid w:val="00E33629"/>
    <w:rsid w:val="00E343EC"/>
    <w:rsid w:val="00E34F10"/>
    <w:rsid w:val="00E35796"/>
    <w:rsid w:val="00E35A99"/>
    <w:rsid w:val="00E35DD9"/>
    <w:rsid w:val="00E35F5E"/>
    <w:rsid w:val="00E3622B"/>
    <w:rsid w:val="00E3696C"/>
    <w:rsid w:val="00E36AE4"/>
    <w:rsid w:val="00E37443"/>
    <w:rsid w:val="00E37A09"/>
    <w:rsid w:val="00E37A80"/>
    <w:rsid w:val="00E40670"/>
    <w:rsid w:val="00E40F66"/>
    <w:rsid w:val="00E41AF6"/>
    <w:rsid w:val="00E41E1E"/>
    <w:rsid w:val="00E42544"/>
    <w:rsid w:val="00E42B33"/>
    <w:rsid w:val="00E42D93"/>
    <w:rsid w:val="00E43773"/>
    <w:rsid w:val="00E438A9"/>
    <w:rsid w:val="00E43AB4"/>
    <w:rsid w:val="00E44BFF"/>
    <w:rsid w:val="00E45174"/>
    <w:rsid w:val="00E45E38"/>
    <w:rsid w:val="00E466B4"/>
    <w:rsid w:val="00E467F0"/>
    <w:rsid w:val="00E46F1B"/>
    <w:rsid w:val="00E47FEE"/>
    <w:rsid w:val="00E503F8"/>
    <w:rsid w:val="00E51EC5"/>
    <w:rsid w:val="00E52774"/>
    <w:rsid w:val="00E527BB"/>
    <w:rsid w:val="00E52B6B"/>
    <w:rsid w:val="00E52C26"/>
    <w:rsid w:val="00E53A05"/>
    <w:rsid w:val="00E53BF4"/>
    <w:rsid w:val="00E53C15"/>
    <w:rsid w:val="00E5400B"/>
    <w:rsid w:val="00E54619"/>
    <w:rsid w:val="00E5493E"/>
    <w:rsid w:val="00E54A1F"/>
    <w:rsid w:val="00E55368"/>
    <w:rsid w:val="00E55A29"/>
    <w:rsid w:val="00E55CD8"/>
    <w:rsid w:val="00E56290"/>
    <w:rsid w:val="00E567D4"/>
    <w:rsid w:val="00E5799D"/>
    <w:rsid w:val="00E600F5"/>
    <w:rsid w:val="00E601AA"/>
    <w:rsid w:val="00E607E5"/>
    <w:rsid w:val="00E60CF0"/>
    <w:rsid w:val="00E61547"/>
    <w:rsid w:val="00E61D64"/>
    <w:rsid w:val="00E61E4E"/>
    <w:rsid w:val="00E6218A"/>
    <w:rsid w:val="00E62316"/>
    <w:rsid w:val="00E62500"/>
    <w:rsid w:val="00E625FA"/>
    <w:rsid w:val="00E626FE"/>
    <w:rsid w:val="00E62B38"/>
    <w:rsid w:val="00E6372F"/>
    <w:rsid w:val="00E656E6"/>
    <w:rsid w:val="00E664F2"/>
    <w:rsid w:val="00E67094"/>
    <w:rsid w:val="00E679FE"/>
    <w:rsid w:val="00E67BAC"/>
    <w:rsid w:val="00E70B95"/>
    <w:rsid w:val="00E70EF3"/>
    <w:rsid w:val="00E712FD"/>
    <w:rsid w:val="00E717BE"/>
    <w:rsid w:val="00E72731"/>
    <w:rsid w:val="00E7283D"/>
    <w:rsid w:val="00E742E2"/>
    <w:rsid w:val="00E74AB8"/>
    <w:rsid w:val="00E74D76"/>
    <w:rsid w:val="00E75D7B"/>
    <w:rsid w:val="00E76186"/>
    <w:rsid w:val="00E764FE"/>
    <w:rsid w:val="00E76B03"/>
    <w:rsid w:val="00E80298"/>
    <w:rsid w:val="00E80840"/>
    <w:rsid w:val="00E80845"/>
    <w:rsid w:val="00E80E3A"/>
    <w:rsid w:val="00E81D19"/>
    <w:rsid w:val="00E81EF7"/>
    <w:rsid w:val="00E822E7"/>
    <w:rsid w:val="00E82302"/>
    <w:rsid w:val="00E82332"/>
    <w:rsid w:val="00E82936"/>
    <w:rsid w:val="00E82B88"/>
    <w:rsid w:val="00E830BA"/>
    <w:rsid w:val="00E836B9"/>
    <w:rsid w:val="00E84995"/>
    <w:rsid w:val="00E84B32"/>
    <w:rsid w:val="00E84C1E"/>
    <w:rsid w:val="00E858E0"/>
    <w:rsid w:val="00E869FD"/>
    <w:rsid w:val="00E87F9D"/>
    <w:rsid w:val="00E90503"/>
    <w:rsid w:val="00E90523"/>
    <w:rsid w:val="00E90669"/>
    <w:rsid w:val="00E90BDA"/>
    <w:rsid w:val="00E910F7"/>
    <w:rsid w:val="00E9114E"/>
    <w:rsid w:val="00E9207C"/>
    <w:rsid w:val="00E928BF"/>
    <w:rsid w:val="00E92FFE"/>
    <w:rsid w:val="00E934FF"/>
    <w:rsid w:val="00E935FF"/>
    <w:rsid w:val="00E93C69"/>
    <w:rsid w:val="00E93F6A"/>
    <w:rsid w:val="00E9423A"/>
    <w:rsid w:val="00E943D7"/>
    <w:rsid w:val="00E94A56"/>
    <w:rsid w:val="00E95372"/>
    <w:rsid w:val="00E95F34"/>
    <w:rsid w:val="00E9618B"/>
    <w:rsid w:val="00E96C6A"/>
    <w:rsid w:val="00E96E72"/>
    <w:rsid w:val="00EA01FA"/>
    <w:rsid w:val="00EA0739"/>
    <w:rsid w:val="00EA12C7"/>
    <w:rsid w:val="00EA142F"/>
    <w:rsid w:val="00EA198D"/>
    <w:rsid w:val="00EA1C7C"/>
    <w:rsid w:val="00EA2CDF"/>
    <w:rsid w:val="00EA3F11"/>
    <w:rsid w:val="00EA423D"/>
    <w:rsid w:val="00EA42D0"/>
    <w:rsid w:val="00EA4972"/>
    <w:rsid w:val="00EA4B58"/>
    <w:rsid w:val="00EA4DA3"/>
    <w:rsid w:val="00EA518C"/>
    <w:rsid w:val="00EA52F2"/>
    <w:rsid w:val="00EA5469"/>
    <w:rsid w:val="00EA5A15"/>
    <w:rsid w:val="00EA5DB8"/>
    <w:rsid w:val="00EA60A8"/>
    <w:rsid w:val="00EA60AE"/>
    <w:rsid w:val="00EA69A6"/>
    <w:rsid w:val="00EA7093"/>
    <w:rsid w:val="00EB1045"/>
    <w:rsid w:val="00EB1321"/>
    <w:rsid w:val="00EB1534"/>
    <w:rsid w:val="00EB2054"/>
    <w:rsid w:val="00EB26DF"/>
    <w:rsid w:val="00EB2A69"/>
    <w:rsid w:val="00EB2C0C"/>
    <w:rsid w:val="00EB2CFB"/>
    <w:rsid w:val="00EB2E20"/>
    <w:rsid w:val="00EB2E65"/>
    <w:rsid w:val="00EB31AD"/>
    <w:rsid w:val="00EB4318"/>
    <w:rsid w:val="00EB47D4"/>
    <w:rsid w:val="00EB58C9"/>
    <w:rsid w:val="00EB611C"/>
    <w:rsid w:val="00EB6EF4"/>
    <w:rsid w:val="00EB74DF"/>
    <w:rsid w:val="00EB7A02"/>
    <w:rsid w:val="00EB7BAF"/>
    <w:rsid w:val="00EB7E63"/>
    <w:rsid w:val="00EC0516"/>
    <w:rsid w:val="00EC1C3B"/>
    <w:rsid w:val="00EC1DA7"/>
    <w:rsid w:val="00EC1F09"/>
    <w:rsid w:val="00EC1FEC"/>
    <w:rsid w:val="00EC21E5"/>
    <w:rsid w:val="00EC24EB"/>
    <w:rsid w:val="00EC2F22"/>
    <w:rsid w:val="00EC3A78"/>
    <w:rsid w:val="00EC3E9A"/>
    <w:rsid w:val="00EC3EC2"/>
    <w:rsid w:val="00EC453D"/>
    <w:rsid w:val="00EC4B2A"/>
    <w:rsid w:val="00EC4FA3"/>
    <w:rsid w:val="00EC51E3"/>
    <w:rsid w:val="00EC5356"/>
    <w:rsid w:val="00EC5BCF"/>
    <w:rsid w:val="00EC5FFA"/>
    <w:rsid w:val="00EC6C64"/>
    <w:rsid w:val="00EC6D33"/>
    <w:rsid w:val="00EC6EC8"/>
    <w:rsid w:val="00EC705D"/>
    <w:rsid w:val="00EC7461"/>
    <w:rsid w:val="00EC78D1"/>
    <w:rsid w:val="00EC7991"/>
    <w:rsid w:val="00EC7C1D"/>
    <w:rsid w:val="00EC7E4B"/>
    <w:rsid w:val="00EC7FE6"/>
    <w:rsid w:val="00ED14BB"/>
    <w:rsid w:val="00ED173E"/>
    <w:rsid w:val="00ED17D8"/>
    <w:rsid w:val="00ED18DE"/>
    <w:rsid w:val="00ED1AFC"/>
    <w:rsid w:val="00ED20CB"/>
    <w:rsid w:val="00ED24C8"/>
    <w:rsid w:val="00ED2A3E"/>
    <w:rsid w:val="00ED2EB2"/>
    <w:rsid w:val="00ED3188"/>
    <w:rsid w:val="00ED39B9"/>
    <w:rsid w:val="00ED3FD9"/>
    <w:rsid w:val="00ED4129"/>
    <w:rsid w:val="00ED4480"/>
    <w:rsid w:val="00ED4811"/>
    <w:rsid w:val="00ED4F16"/>
    <w:rsid w:val="00ED4F9B"/>
    <w:rsid w:val="00ED554C"/>
    <w:rsid w:val="00ED59F0"/>
    <w:rsid w:val="00ED6C9B"/>
    <w:rsid w:val="00ED7423"/>
    <w:rsid w:val="00ED7D16"/>
    <w:rsid w:val="00ED7D54"/>
    <w:rsid w:val="00ED7D78"/>
    <w:rsid w:val="00ED7DE6"/>
    <w:rsid w:val="00EE0022"/>
    <w:rsid w:val="00EE005A"/>
    <w:rsid w:val="00EE0356"/>
    <w:rsid w:val="00EE06B2"/>
    <w:rsid w:val="00EE09AB"/>
    <w:rsid w:val="00EE121F"/>
    <w:rsid w:val="00EE1365"/>
    <w:rsid w:val="00EE147E"/>
    <w:rsid w:val="00EE1AE3"/>
    <w:rsid w:val="00EE1DFF"/>
    <w:rsid w:val="00EE1F4B"/>
    <w:rsid w:val="00EE243C"/>
    <w:rsid w:val="00EE26AB"/>
    <w:rsid w:val="00EE3C24"/>
    <w:rsid w:val="00EE4412"/>
    <w:rsid w:val="00EE4E9F"/>
    <w:rsid w:val="00EE4EFE"/>
    <w:rsid w:val="00EE4F0D"/>
    <w:rsid w:val="00EE55AD"/>
    <w:rsid w:val="00EE5AA4"/>
    <w:rsid w:val="00EE5B35"/>
    <w:rsid w:val="00EE658C"/>
    <w:rsid w:val="00EE6BA3"/>
    <w:rsid w:val="00EE6BF7"/>
    <w:rsid w:val="00EE7169"/>
    <w:rsid w:val="00EE7BBC"/>
    <w:rsid w:val="00EF049B"/>
    <w:rsid w:val="00EF059C"/>
    <w:rsid w:val="00EF12CC"/>
    <w:rsid w:val="00EF1796"/>
    <w:rsid w:val="00EF2037"/>
    <w:rsid w:val="00EF2326"/>
    <w:rsid w:val="00EF3389"/>
    <w:rsid w:val="00EF4D5F"/>
    <w:rsid w:val="00EF4ED3"/>
    <w:rsid w:val="00EF4F88"/>
    <w:rsid w:val="00EF67AF"/>
    <w:rsid w:val="00EF6880"/>
    <w:rsid w:val="00EF7218"/>
    <w:rsid w:val="00EF7ED3"/>
    <w:rsid w:val="00F002D8"/>
    <w:rsid w:val="00F007A6"/>
    <w:rsid w:val="00F00C48"/>
    <w:rsid w:val="00F00DE4"/>
    <w:rsid w:val="00F00DF1"/>
    <w:rsid w:val="00F01157"/>
    <w:rsid w:val="00F014DA"/>
    <w:rsid w:val="00F01E70"/>
    <w:rsid w:val="00F01E81"/>
    <w:rsid w:val="00F02608"/>
    <w:rsid w:val="00F03316"/>
    <w:rsid w:val="00F03405"/>
    <w:rsid w:val="00F03603"/>
    <w:rsid w:val="00F04672"/>
    <w:rsid w:val="00F046FC"/>
    <w:rsid w:val="00F04C01"/>
    <w:rsid w:val="00F04DBA"/>
    <w:rsid w:val="00F05462"/>
    <w:rsid w:val="00F05542"/>
    <w:rsid w:val="00F05AD7"/>
    <w:rsid w:val="00F05BBD"/>
    <w:rsid w:val="00F06877"/>
    <w:rsid w:val="00F06D71"/>
    <w:rsid w:val="00F0705A"/>
    <w:rsid w:val="00F070E6"/>
    <w:rsid w:val="00F07B93"/>
    <w:rsid w:val="00F10793"/>
    <w:rsid w:val="00F109CF"/>
    <w:rsid w:val="00F10BA5"/>
    <w:rsid w:val="00F10C94"/>
    <w:rsid w:val="00F10CFF"/>
    <w:rsid w:val="00F1102D"/>
    <w:rsid w:val="00F11415"/>
    <w:rsid w:val="00F1183E"/>
    <w:rsid w:val="00F11B7B"/>
    <w:rsid w:val="00F120C9"/>
    <w:rsid w:val="00F120DD"/>
    <w:rsid w:val="00F12717"/>
    <w:rsid w:val="00F12B62"/>
    <w:rsid w:val="00F12BCE"/>
    <w:rsid w:val="00F13603"/>
    <w:rsid w:val="00F138CD"/>
    <w:rsid w:val="00F1441E"/>
    <w:rsid w:val="00F151B7"/>
    <w:rsid w:val="00F1615E"/>
    <w:rsid w:val="00F163A9"/>
    <w:rsid w:val="00F165B7"/>
    <w:rsid w:val="00F16FE0"/>
    <w:rsid w:val="00F17A0B"/>
    <w:rsid w:val="00F17CE3"/>
    <w:rsid w:val="00F17E79"/>
    <w:rsid w:val="00F20EC5"/>
    <w:rsid w:val="00F21B1A"/>
    <w:rsid w:val="00F21D53"/>
    <w:rsid w:val="00F22023"/>
    <w:rsid w:val="00F22BB9"/>
    <w:rsid w:val="00F22CDE"/>
    <w:rsid w:val="00F244CE"/>
    <w:rsid w:val="00F24878"/>
    <w:rsid w:val="00F25545"/>
    <w:rsid w:val="00F25801"/>
    <w:rsid w:val="00F25D14"/>
    <w:rsid w:val="00F26C94"/>
    <w:rsid w:val="00F274F0"/>
    <w:rsid w:val="00F2788A"/>
    <w:rsid w:val="00F2797F"/>
    <w:rsid w:val="00F27D77"/>
    <w:rsid w:val="00F3011D"/>
    <w:rsid w:val="00F3053E"/>
    <w:rsid w:val="00F305CE"/>
    <w:rsid w:val="00F30DCA"/>
    <w:rsid w:val="00F31257"/>
    <w:rsid w:val="00F32629"/>
    <w:rsid w:val="00F32757"/>
    <w:rsid w:val="00F32803"/>
    <w:rsid w:val="00F32CFC"/>
    <w:rsid w:val="00F33C15"/>
    <w:rsid w:val="00F33F9E"/>
    <w:rsid w:val="00F3409A"/>
    <w:rsid w:val="00F3440F"/>
    <w:rsid w:val="00F34950"/>
    <w:rsid w:val="00F350F9"/>
    <w:rsid w:val="00F350FB"/>
    <w:rsid w:val="00F35832"/>
    <w:rsid w:val="00F35A41"/>
    <w:rsid w:val="00F36817"/>
    <w:rsid w:val="00F37ADF"/>
    <w:rsid w:val="00F40A92"/>
    <w:rsid w:val="00F40AF8"/>
    <w:rsid w:val="00F41293"/>
    <w:rsid w:val="00F4175E"/>
    <w:rsid w:val="00F41A16"/>
    <w:rsid w:val="00F41A65"/>
    <w:rsid w:val="00F41CBD"/>
    <w:rsid w:val="00F41D2C"/>
    <w:rsid w:val="00F42162"/>
    <w:rsid w:val="00F42291"/>
    <w:rsid w:val="00F426F7"/>
    <w:rsid w:val="00F44150"/>
    <w:rsid w:val="00F450A3"/>
    <w:rsid w:val="00F45342"/>
    <w:rsid w:val="00F45F31"/>
    <w:rsid w:val="00F46C4A"/>
    <w:rsid w:val="00F475A0"/>
    <w:rsid w:val="00F47664"/>
    <w:rsid w:val="00F47C87"/>
    <w:rsid w:val="00F50FA6"/>
    <w:rsid w:val="00F51528"/>
    <w:rsid w:val="00F51765"/>
    <w:rsid w:val="00F51A94"/>
    <w:rsid w:val="00F51E2D"/>
    <w:rsid w:val="00F52C49"/>
    <w:rsid w:val="00F53246"/>
    <w:rsid w:val="00F5360D"/>
    <w:rsid w:val="00F53FE5"/>
    <w:rsid w:val="00F54DEA"/>
    <w:rsid w:val="00F563BB"/>
    <w:rsid w:val="00F566E7"/>
    <w:rsid w:val="00F56F14"/>
    <w:rsid w:val="00F57644"/>
    <w:rsid w:val="00F57B30"/>
    <w:rsid w:val="00F606BD"/>
    <w:rsid w:val="00F61679"/>
    <w:rsid w:val="00F62B4E"/>
    <w:rsid w:val="00F62BD5"/>
    <w:rsid w:val="00F62F69"/>
    <w:rsid w:val="00F64659"/>
    <w:rsid w:val="00F64D77"/>
    <w:rsid w:val="00F65186"/>
    <w:rsid w:val="00F653B3"/>
    <w:rsid w:val="00F656F7"/>
    <w:rsid w:val="00F65AD7"/>
    <w:rsid w:val="00F65D33"/>
    <w:rsid w:val="00F669E4"/>
    <w:rsid w:val="00F66A4B"/>
    <w:rsid w:val="00F702A9"/>
    <w:rsid w:val="00F7135C"/>
    <w:rsid w:val="00F7177E"/>
    <w:rsid w:val="00F71849"/>
    <w:rsid w:val="00F71A71"/>
    <w:rsid w:val="00F722DA"/>
    <w:rsid w:val="00F72DA2"/>
    <w:rsid w:val="00F72E25"/>
    <w:rsid w:val="00F73512"/>
    <w:rsid w:val="00F739F0"/>
    <w:rsid w:val="00F73C60"/>
    <w:rsid w:val="00F7421F"/>
    <w:rsid w:val="00F7504C"/>
    <w:rsid w:val="00F751B2"/>
    <w:rsid w:val="00F758CB"/>
    <w:rsid w:val="00F7618C"/>
    <w:rsid w:val="00F7627D"/>
    <w:rsid w:val="00F7678B"/>
    <w:rsid w:val="00F767E4"/>
    <w:rsid w:val="00F76EAA"/>
    <w:rsid w:val="00F77190"/>
    <w:rsid w:val="00F77A29"/>
    <w:rsid w:val="00F77C1F"/>
    <w:rsid w:val="00F80B26"/>
    <w:rsid w:val="00F80CD3"/>
    <w:rsid w:val="00F80DFE"/>
    <w:rsid w:val="00F81182"/>
    <w:rsid w:val="00F81CA7"/>
    <w:rsid w:val="00F822E5"/>
    <w:rsid w:val="00F82AAB"/>
    <w:rsid w:val="00F82D71"/>
    <w:rsid w:val="00F837E4"/>
    <w:rsid w:val="00F83A4E"/>
    <w:rsid w:val="00F84610"/>
    <w:rsid w:val="00F84775"/>
    <w:rsid w:val="00F84B38"/>
    <w:rsid w:val="00F8518A"/>
    <w:rsid w:val="00F85900"/>
    <w:rsid w:val="00F85FCF"/>
    <w:rsid w:val="00F860F6"/>
    <w:rsid w:val="00F86174"/>
    <w:rsid w:val="00F8627A"/>
    <w:rsid w:val="00F865E8"/>
    <w:rsid w:val="00F879EA"/>
    <w:rsid w:val="00F87AFF"/>
    <w:rsid w:val="00F87B8B"/>
    <w:rsid w:val="00F87E1C"/>
    <w:rsid w:val="00F906E9"/>
    <w:rsid w:val="00F916B2"/>
    <w:rsid w:val="00F9172E"/>
    <w:rsid w:val="00F91E0D"/>
    <w:rsid w:val="00F92A54"/>
    <w:rsid w:val="00F93D51"/>
    <w:rsid w:val="00F9415A"/>
    <w:rsid w:val="00F9487E"/>
    <w:rsid w:val="00F95385"/>
    <w:rsid w:val="00F96353"/>
    <w:rsid w:val="00F96A4B"/>
    <w:rsid w:val="00F973CF"/>
    <w:rsid w:val="00F97778"/>
    <w:rsid w:val="00F9790B"/>
    <w:rsid w:val="00F97D39"/>
    <w:rsid w:val="00F97F0B"/>
    <w:rsid w:val="00FA028D"/>
    <w:rsid w:val="00FA0812"/>
    <w:rsid w:val="00FA0A48"/>
    <w:rsid w:val="00FA13E9"/>
    <w:rsid w:val="00FA2B9B"/>
    <w:rsid w:val="00FA2D3E"/>
    <w:rsid w:val="00FA304D"/>
    <w:rsid w:val="00FA3CA3"/>
    <w:rsid w:val="00FA40BB"/>
    <w:rsid w:val="00FA5EA5"/>
    <w:rsid w:val="00FA66A2"/>
    <w:rsid w:val="00FA6A6A"/>
    <w:rsid w:val="00FA72B9"/>
    <w:rsid w:val="00FB0546"/>
    <w:rsid w:val="00FB0620"/>
    <w:rsid w:val="00FB106A"/>
    <w:rsid w:val="00FB170E"/>
    <w:rsid w:val="00FB1902"/>
    <w:rsid w:val="00FB1E7A"/>
    <w:rsid w:val="00FB2D05"/>
    <w:rsid w:val="00FB31A1"/>
    <w:rsid w:val="00FB3850"/>
    <w:rsid w:val="00FB3B5C"/>
    <w:rsid w:val="00FB3EA0"/>
    <w:rsid w:val="00FB4263"/>
    <w:rsid w:val="00FB4465"/>
    <w:rsid w:val="00FB47C9"/>
    <w:rsid w:val="00FB4852"/>
    <w:rsid w:val="00FB48B8"/>
    <w:rsid w:val="00FB56D8"/>
    <w:rsid w:val="00FB62F7"/>
    <w:rsid w:val="00FB633A"/>
    <w:rsid w:val="00FB7FEF"/>
    <w:rsid w:val="00FC01B3"/>
    <w:rsid w:val="00FC06FC"/>
    <w:rsid w:val="00FC0967"/>
    <w:rsid w:val="00FC0B93"/>
    <w:rsid w:val="00FC120E"/>
    <w:rsid w:val="00FC1AC7"/>
    <w:rsid w:val="00FC1BF1"/>
    <w:rsid w:val="00FC251C"/>
    <w:rsid w:val="00FC29D2"/>
    <w:rsid w:val="00FC2EF0"/>
    <w:rsid w:val="00FC2F12"/>
    <w:rsid w:val="00FC3324"/>
    <w:rsid w:val="00FC3E61"/>
    <w:rsid w:val="00FC4505"/>
    <w:rsid w:val="00FC525A"/>
    <w:rsid w:val="00FC6179"/>
    <w:rsid w:val="00FC62EB"/>
    <w:rsid w:val="00FC63D9"/>
    <w:rsid w:val="00FC73B3"/>
    <w:rsid w:val="00FC73BF"/>
    <w:rsid w:val="00FC7783"/>
    <w:rsid w:val="00FD032D"/>
    <w:rsid w:val="00FD03F5"/>
    <w:rsid w:val="00FD0943"/>
    <w:rsid w:val="00FD098F"/>
    <w:rsid w:val="00FD0EEE"/>
    <w:rsid w:val="00FD1005"/>
    <w:rsid w:val="00FD160B"/>
    <w:rsid w:val="00FD18C6"/>
    <w:rsid w:val="00FD1EF4"/>
    <w:rsid w:val="00FD260B"/>
    <w:rsid w:val="00FD2E90"/>
    <w:rsid w:val="00FD2FBD"/>
    <w:rsid w:val="00FD33AA"/>
    <w:rsid w:val="00FD3891"/>
    <w:rsid w:val="00FD3A1F"/>
    <w:rsid w:val="00FD3FBF"/>
    <w:rsid w:val="00FD4A46"/>
    <w:rsid w:val="00FD4CA8"/>
    <w:rsid w:val="00FD4DF2"/>
    <w:rsid w:val="00FD57BB"/>
    <w:rsid w:val="00FD60A8"/>
    <w:rsid w:val="00FD694F"/>
    <w:rsid w:val="00FD699D"/>
    <w:rsid w:val="00FD6B1A"/>
    <w:rsid w:val="00FE044C"/>
    <w:rsid w:val="00FE0F37"/>
    <w:rsid w:val="00FE17A7"/>
    <w:rsid w:val="00FE1A67"/>
    <w:rsid w:val="00FE263A"/>
    <w:rsid w:val="00FE297F"/>
    <w:rsid w:val="00FE2F21"/>
    <w:rsid w:val="00FE4569"/>
    <w:rsid w:val="00FE5AD4"/>
    <w:rsid w:val="00FE62CA"/>
    <w:rsid w:val="00FE733A"/>
    <w:rsid w:val="00FE7DB2"/>
    <w:rsid w:val="00FE7F27"/>
    <w:rsid w:val="00FE7FC0"/>
    <w:rsid w:val="00FF06F7"/>
    <w:rsid w:val="00FF0824"/>
    <w:rsid w:val="00FF0AB7"/>
    <w:rsid w:val="00FF0E30"/>
    <w:rsid w:val="00FF1A3F"/>
    <w:rsid w:val="00FF28BF"/>
    <w:rsid w:val="00FF2AEB"/>
    <w:rsid w:val="00FF2C02"/>
    <w:rsid w:val="00FF2DC0"/>
    <w:rsid w:val="00FF2F8F"/>
    <w:rsid w:val="00FF302D"/>
    <w:rsid w:val="00FF3042"/>
    <w:rsid w:val="00FF3607"/>
    <w:rsid w:val="00FF3897"/>
    <w:rsid w:val="00FF3930"/>
    <w:rsid w:val="00FF3A18"/>
    <w:rsid w:val="00FF44C6"/>
    <w:rsid w:val="00FF4958"/>
    <w:rsid w:val="00FF52CF"/>
    <w:rsid w:val="00FF5504"/>
    <w:rsid w:val="00FF5889"/>
    <w:rsid w:val="00FF6488"/>
    <w:rsid w:val="00FF6698"/>
    <w:rsid w:val="00FF6A5C"/>
    <w:rsid w:val="00FF7925"/>
    <w:rsid w:val="00FF7989"/>
    <w:rsid w:val="00FF7C22"/>
    <w:rsid w:val="00FF7F22"/>
    <w:rsid w:val="0AC77AD0"/>
    <w:rsid w:val="0EA4320E"/>
    <w:rsid w:val="18D75483"/>
    <w:rsid w:val="1A9B25BD"/>
    <w:rsid w:val="1BE3A868"/>
    <w:rsid w:val="1CDB3AD2"/>
    <w:rsid w:val="277A1121"/>
    <w:rsid w:val="3AA85AD4"/>
    <w:rsid w:val="3AD1E2AA"/>
    <w:rsid w:val="4C4A6E27"/>
    <w:rsid w:val="4DF21E2F"/>
    <w:rsid w:val="51A07073"/>
    <w:rsid w:val="56B4D843"/>
    <w:rsid w:val="5AAC04A6"/>
    <w:rsid w:val="6ACA1E54"/>
    <w:rsid w:val="6B48C753"/>
    <w:rsid w:val="6EF4BE78"/>
    <w:rsid w:val="7966C64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B436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75B"/>
    <w:pPr>
      <w:spacing w:before="120" w:after="120" w:line="240" w:lineRule="auto"/>
    </w:pPr>
  </w:style>
  <w:style w:type="paragraph" w:styleId="Heading1">
    <w:name w:val="heading 1"/>
    <w:basedOn w:val="Normal"/>
    <w:next w:val="Normal"/>
    <w:link w:val="Heading1Char"/>
    <w:uiPriority w:val="9"/>
    <w:qFormat/>
    <w:rsid w:val="008545A3"/>
    <w:pPr>
      <w:keepNext/>
      <w:keepLines/>
      <w:contextualSpacing/>
      <w:outlineLvl w:val="0"/>
    </w:pPr>
    <w:rPr>
      <w:rFonts w:asciiTheme="majorHAnsi" w:eastAsiaTheme="majorEastAsia" w:hAnsiTheme="majorHAnsi" w:cstheme="majorBidi"/>
      <w:color w:val="001B35" w:themeColor="accent1"/>
      <w:sz w:val="52"/>
      <w:szCs w:val="32"/>
    </w:rPr>
  </w:style>
  <w:style w:type="paragraph" w:styleId="Heading2">
    <w:name w:val="heading 2"/>
    <w:basedOn w:val="Normal"/>
    <w:next w:val="Normal"/>
    <w:link w:val="Heading2Char"/>
    <w:uiPriority w:val="9"/>
    <w:unhideWhenUsed/>
    <w:qFormat/>
    <w:rsid w:val="008F489B"/>
    <w:pPr>
      <w:keepNext/>
      <w:keepLines/>
      <w:spacing w:before="360"/>
      <w:outlineLvl w:val="1"/>
    </w:pPr>
    <w:rPr>
      <w:rFonts w:asciiTheme="majorHAnsi" w:eastAsiaTheme="majorEastAsia" w:hAnsiTheme="majorHAnsi" w:cstheme="majorBidi"/>
      <w:color w:val="15659B" w:themeColor="accent4"/>
      <w:sz w:val="40"/>
      <w:szCs w:val="48"/>
    </w:rPr>
  </w:style>
  <w:style w:type="paragraph" w:styleId="Heading3">
    <w:name w:val="heading 3"/>
    <w:basedOn w:val="Normal"/>
    <w:next w:val="Normal"/>
    <w:link w:val="Heading3Char"/>
    <w:uiPriority w:val="9"/>
    <w:unhideWhenUsed/>
    <w:qFormat/>
    <w:rsid w:val="00093804"/>
    <w:pPr>
      <w:keepNext/>
      <w:keepLines/>
      <w:spacing w:before="240"/>
      <w:outlineLvl w:val="2"/>
    </w:pPr>
    <w:rPr>
      <w:rFonts w:asciiTheme="majorHAnsi" w:eastAsiaTheme="majorEastAsia" w:hAnsiTheme="majorHAnsi" w:cstheme="majorBidi"/>
      <w:color w:val="15659B" w:themeColor="accent4"/>
      <w:sz w:val="32"/>
      <w:szCs w:val="40"/>
    </w:rPr>
  </w:style>
  <w:style w:type="paragraph" w:styleId="Heading4">
    <w:name w:val="heading 4"/>
    <w:basedOn w:val="Normal"/>
    <w:next w:val="Normal"/>
    <w:link w:val="Heading4Char"/>
    <w:uiPriority w:val="9"/>
    <w:unhideWhenUsed/>
    <w:qFormat/>
    <w:rsid w:val="00BA69AE"/>
    <w:pPr>
      <w:keepNext/>
      <w:keepLines/>
      <w:spacing w:before="240"/>
      <w:outlineLvl w:val="3"/>
    </w:pPr>
    <w:rPr>
      <w:rFonts w:asciiTheme="majorHAnsi" w:eastAsiaTheme="majorEastAsia" w:hAnsiTheme="majorHAnsi" w:cstheme="majorBidi"/>
      <w:iCs/>
      <w:color w:val="15659B" w:themeColor="accent4"/>
      <w:sz w:val="28"/>
      <w:szCs w:val="28"/>
    </w:rPr>
  </w:style>
  <w:style w:type="paragraph" w:styleId="Heading5">
    <w:name w:val="heading 5"/>
    <w:basedOn w:val="Normal"/>
    <w:next w:val="Normal"/>
    <w:link w:val="Heading5Char"/>
    <w:uiPriority w:val="9"/>
    <w:unhideWhenUsed/>
    <w:qFormat/>
    <w:rsid w:val="000E5C60"/>
    <w:pPr>
      <w:keepNext/>
      <w:keepLines/>
      <w:spacing w:before="240"/>
      <w:outlineLvl w:val="4"/>
    </w:pPr>
    <w:rPr>
      <w:rFonts w:asciiTheme="majorHAnsi" w:eastAsiaTheme="majorEastAsia" w:hAnsiTheme="majorHAnsi" w:cstheme="majorBidi"/>
      <w:color w:val="15659B" w:themeColor="accent4"/>
      <w:sz w:val="26"/>
      <w:szCs w:val="26"/>
    </w:rPr>
  </w:style>
  <w:style w:type="paragraph" w:styleId="Heading6">
    <w:name w:val="heading 6"/>
    <w:basedOn w:val="Normal"/>
    <w:next w:val="Normal"/>
    <w:link w:val="Heading6Char"/>
    <w:uiPriority w:val="9"/>
    <w:unhideWhenUsed/>
    <w:qFormat/>
    <w:rsid w:val="00C50A9A"/>
    <w:pPr>
      <w:keepNext/>
      <w:keepLines/>
      <w:spacing w:before="240"/>
      <w:outlineLvl w:val="5"/>
    </w:pPr>
    <w:rPr>
      <w:rFonts w:asciiTheme="majorHAnsi" w:eastAsiaTheme="majorEastAsia" w:hAnsiTheme="majorHAnsi" w:cstheme="majorBidi"/>
      <w:color w:val="000000" w:themeColor="text1"/>
      <w:sz w:val="24"/>
    </w:rPr>
  </w:style>
  <w:style w:type="paragraph" w:styleId="Heading7">
    <w:name w:val="heading 7"/>
    <w:basedOn w:val="Normal"/>
    <w:next w:val="Normal"/>
    <w:link w:val="Heading7Char"/>
    <w:uiPriority w:val="9"/>
    <w:unhideWhenUsed/>
    <w:qFormat/>
    <w:rsid w:val="00C50A9A"/>
    <w:pPr>
      <w:keepNext/>
      <w:keepLines/>
      <w:spacing w:before="240"/>
      <w:outlineLvl w:val="6"/>
    </w:pPr>
    <w:rPr>
      <w:rFonts w:asciiTheme="majorHAnsi" w:eastAsiaTheme="majorEastAsia" w:hAnsiTheme="majorHAnsi" w:cstheme="majorBidi"/>
      <w:b/>
      <w:iCs/>
      <w:color w:val="001B35" w:themeColor="accent1"/>
    </w:rPr>
  </w:style>
  <w:style w:type="paragraph" w:styleId="Heading8">
    <w:name w:val="heading 8"/>
    <w:basedOn w:val="Normal"/>
    <w:next w:val="Normal"/>
    <w:link w:val="Heading8Char"/>
    <w:uiPriority w:val="9"/>
    <w:unhideWhenUsed/>
    <w:qFormat/>
    <w:rsid w:val="00C50A9A"/>
    <w:pPr>
      <w:keepNext/>
      <w:keepLines/>
      <w:spacing w:before="24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pPr>
  </w:style>
  <w:style w:type="character" w:customStyle="1" w:styleId="FooterChar">
    <w:name w:val="Footer Char"/>
    <w:basedOn w:val="DefaultParagraphFont"/>
    <w:link w:val="Footer"/>
    <w:uiPriority w:val="99"/>
    <w:rsid w:val="00B251DB"/>
  </w:style>
  <w:style w:type="character" w:customStyle="1" w:styleId="Heading1Char">
    <w:name w:val="Heading 1 Char"/>
    <w:basedOn w:val="DefaultParagraphFont"/>
    <w:link w:val="Heading1"/>
    <w:uiPriority w:val="9"/>
    <w:rsid w:val="008545A3"/>
    <w:rPr>
      <w:rFonts w:asciiTheme="majorHAnsi" w:eastAsiaTheme="majorEastAsia" w:hAnsiTheme="majorHAnsi" w:cstheme="majorBidi"/>
      <w:color w:val="001B35" w:themeColor="accent1"/>
      <w:sz w:val="52"/>
      <w:szCs w:val="32"/>
    </w:rPr>
  </w:style>
  <w:style w:type="table" w:customStyle="1" w:styleId="Verticaltable">
    <w:name w:val="Vertical table"/>
    <w:basedOn w:val="TableNormal"/>
    <w:uiPriority w:val="99"/>
    <w:rsid w:val="00AD22BA"/>
    <w:pPr>
      <w:spacing w:after="0" w:line="240" w:lineRule="auto"/>
    </w:pPr>
    <w:tblPr>
      <w:tblBorders>
        <w:top w:val="single" w:sz="4" w:space="0" w:color="15659B" w:themeColor="accent4"/>
        <w:left w:val="single" w:sz="4" w:space="0" w:color="15659B" w:themeColor="accent4"/>
        <w:bottom w:val="single" w:sz="4" w:space="0" w:color="15659B" w:themeColor="accent4"/>
        <w:right w:val="single" w:sz="4" w:space="0" w:color="15659B" w:themeColor="accent4"/>
        <w:insideH w:val="single" w:sz="4" w:space="0" w:color="15659B" w:themeColor="accent4"/>
        <w:insideV w:val="single" w:sz="4" w:space="0" w:color="15659B" w:themeColor="accent4"/>
      </w:tblBorders>
    </w:tblPr>
    <w:tblStylePr w:type="lastRow">
      <w:rPr>
        <w:b w:val="0"/>
      </w:rPr>
    </w:tblStylePr>
    <w:tblStylePr w:type="firstCol">
      <w:rPr>
        <w:b/>
        <w:color w:val="FFFFFF" w:themeColor="background1"/>
      </w:rPr>
      <w:tblPr/>
      <w:tcPr>
        <w:shd w:val="clear" w:color="auto" w:fill="15659B" w:themeFill="accent4"/>
      </w:tcPr>
    </w:tblStylePr>
  </w:style>
  <w:style w:type="character" w:styleId="FollowedHyperlink">
    <w:name w:val="FollowedHyperlink"/>
    <w:basedOn w:val="DefaultParagraphFont"/>
    <w:uiPriority w:val="99"/>
    <w:semiHidden/>
    <w:unhideWhenUsed/>
    <w:rsid w:val="00872DFF"/>
    <w:rPr>
      <w:color w:val="954F72" w:themeColor="followedHyperlink"/>
      <w:u w:val="single"/>
    </w:rPr>
  </w:style>
  <w:style w:type="paragraph" w:styleId="Subtitle">
    <w:name w:val="Subtitle"/>
    <w:basedOn w:val="Normal"/>
    <w:next w:val="Normal"/>
    <w:link w:val="SubtitleChar"/>
    <w:uiPriority w:val="11"/>
    <w:qFormat/>
    <w:rsid w:val="00CF79C6"/>
    <w:pPr>
      <w:numPr>
        <w:ilvl w:val="1"/>
      </w:numPr>
    </w:pPr>
    <w:rPr>
      <w:rFonts w:eastAsiaTheme="minorEastAsia"/>
      <w:color w:val="15659B" w:themeColor="accent4"/>
      <w:sz w:val="40"/>
    </w:rPr>
  </w:style>
  <w:style w:type="character" w:customStyle="1" w:styleId="SubtitleChar">
    <w:name w:val="Subtitle Char"/>
    <w:basedOn w:val="DefaultParagraphFont"/>
    <w:link w:val="Subtitle"/>
    <w:uiPriority w:val="11"/>
    <w:rsid w:val="00CF79C6"/>
    <w:rPr>
      <w:rFonts w:eastAsiaTheme="minorEastAsia"/>
      <w:color w:val="15659B" w:themeColor="accent4"/>
      <w:sz w:val="40"/>
    </w:rPr>
  </w:style>
  <w:style w:type="character" w:customStyle="1" w:styleId="Heading2Char">
    <w:name w:val="Heading 2 Char"/>
    <w:basedOn w:val="DefaultParagraphFont"/>
    <w:link w:val="Heading2"/>
    <w:uiPriority w:val="9"/>
    <w:rsid w:val="008F489B"/>
    <w:rPr>
      <w:rFonts w:asciiTheme="majorHAnsi" w:eastAsiaTheme="majorEastAsia" w:hAnsiTheme="majorHAnsi" w:cstheme="majorBidi"/>
      <w:color w:val="15659B" w:themeColor="accent4"/>
      <w:sz w:val="40"/>
      <w:szCs w:val="48"/>
    </w:rPr>
  </w:style>
  <w:style w:type="character" w:customStyle="1" w:styleId="Heading3Char">
    <w:name w:val="Heading 3 Char"/>
    <w:basedOn w:val="DefaultParagraphFont"/>
    <w:link w:val="Heading3"/>
    <w:uiPriority w:val="9"/>
    <w:rsid w:val="008F489B"/>
    <w:rPr>
      <w:rFonts w:asciiTheme="majorHAnsi" w:eastAsiaTheme="majorEastAsia" w:hAnsiTheme="majorHAnsi" w:cstheme="majorBidi"/>
      <w:color w:val="15659B" w:themeColor="accent4"/>
      <w:sz w:val="32"/>
      <w:szCs w:val="40"/>
    </w:rPr>
  </w:style>
  <w:style w:type="character" w:customStyle="1" w:styleId="Heading4Char">
    <w:name w:val="Heading 4 Char"/>
    <w:basedOn w:val="DefaultParagraphFont"/>
    <w:link w:val="Heading4"/>
    <w:uiPriority w:val="9"/>
    <w:rsid w:val="00E04DA0"/>
    <w:rPr>
      <w:rFonts w:asciiTheme="majorHAnsi" w:eastAsiaTheme="majorEastAsia" w:hAnsiTheme="majorHAnsi" w:cstheme="majorBidi"/>
      <w:iCs/>
      <w:color w:val="15659B" w:themeColor="accent4"/>
      <w:sz w:val="28"/>
      <w:szCs w:val="28"/>
    </w:rPr>
  </w:style>
  <w:style w:type="character" w:customStyle="1" w:styleId="Heading5Char">
    <w:name w:val="Heading 5 Char"/>
    <w:basedOn w:val="DefaultParagraphFont"/>
    <w:link w:val="Heading5"/>
    <w:uiPriority w:val="9"/>
    <w:rsid w:val="000E5C60"/>
    <w:rPr>
      <w:rFonts w:asciiTheme="majorHAnsi" w:eastAsiaTheme="majorEastAsia" w:hAnsiTheme="majorHAnsi" w:cstheme="majorBidi"/>
      <w:color w:val="15659B" w:themeColor="accent4"/>
      <w:sz w:val="26"/>
      <w:szCs w:val="26"/>
    </w:rPr>
  </w:style>
  <w:style w:type="paragraph" w:styleId="Quote">
    <w:name w:val="Quote"/>
    <w:basedOn w:val="Normal"/>
    <w:next w:val="Normal"/>
    <w:link w:val="QuoteChar"/>
    <w:uiPriority w:val="29"/>
    <w:qFormat/>
    <w:rsid w:val="00171757"/>
    <w:pPr>
      <w:pBdr>
        <w:top w:val="single" w:sz="4" w:space="6" w:color="15659B" w:themeColor="accent4"/>
        <w:bottom w:val="single" w:sz="4" w:space="6" w:color="15659B" w:themeColor="accent4"/>
      </w:pBdr>
      <w:spacing w:before="240" w:after="240"/>
      <w:ind w:right="2835"/>
    </w:pPr>
    <w:rPr>
      <w:iCs/>
      <w:color w:val="000000" w:themeColor="text1"/>
      <w:szCs w:val="24"/>
    </w:rPr>
  </w:style>
  <w:style w:type="character" w:customStyle="1" w:styleId="QuoteChar">
    <w:name w:val="Quote Char"/>
    <w:basedOn w:val="DefaultParagraphFont"/>
    <w:link w:val="Quote"/>
    <w:uiPriority w:val="29"/>
    <w:rsid w:val="00171757"/>
    <w:rPr>
      <w:iCs/>
      <w:color w:val="000000" w:themeColor="text1"/>
      <w:szCs w:val="24"/>
    </w:rPr>
  </w:style>
  <w:style w:type="character" w:styleId="Strong">
    <w:name w:val="Strong"/>
    <w:basedOn w:val="DefaultParagraphFont"/>
    <w:uiPriority w:val="22"/>
    <w:qFormat/>
    <w:rsid w:val="001F2202"/>
    <w:rPr>
      <w:rFonts w:ascii="Aptos" w:hAnsi="Aptos"/>
      <w:b/>
      <w:bCs/>
      <w:sz w:val="22"/>
    </w:rPr>
  </w:style>
  <w:style w:type="character" w:styleId="Emphasis">
    <w:name w:val="Emphasis"/>
    <w:basedOn w:val="DefaultParagraphFont"/>
    <w:uiPriority w:val="20"/>
    <w:qFormat/>
    <w:rsid w:val="00B251DB"/>
    <w:rPr>
      <w:i/>
      <w:iCs/>
    </w:rPr>
  </w:style>
  <w:style w:type="paragraph" w:styleId="ListParagraph">
    <w:name w:val="List Paragraph"/>
    <w:aliases w:val="List paragraph,Recommendation,L,List Paragraph1,List Paragraph11,bullet point list,Bullet point,NFP GP Bulleted List,List Paragraph - bullets,Bulletr List Paragraph,FooterText,List Paragraph2,List Paragraph21,Listeafsnit1,numbered,列"/>
    <w:basedOn w:val="Normal"/>
    <w:link w:val="ListParagraphChar"/>
    <w:uiPriority w:val="34"/>
    <w:qFormat/>
    <w:rsid w:val="00CD2C36"/>
    <w:pPr>
      <w:numPr>
        <w:numId w:val="43"/>
      </w:numPr>
      <w:spacing w:before="0"/>
      <w:ind w:left="714" w:hanging="357"/>
    </w:pPr>
  </w:style>
  <w:style w:type="character" w:styleId="Hyperlink">
    <w:name w:val="Hyperlink"/>
    <w:basedOn w:val="DefaultParagraphFont"/>
    <w:uiPriority w:val="99"/>
    <w:unhideWhenUsed/>
    <w:rsid w:val="0031654A"/>
    <w:rPr>
      <w:color w:val="15659B" w:themeColor="accent4"/>
      <w:u w:val="single"/>
    </w:rPr>
  </w:style>
  <w:style w:type="table" w:styleId="TableGrid">
    <w:name w:val="Table Grid"/>
    <w:aliases w:val="DISR plain Table 1"/>
    <w:basedOn w:val="TableNormal"/>
    <w:uiPriority w:val="39"/>
    <w:rsid w:val="00577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5777BC"/>
    <w:rPr>
      <w:b/>
      <w:iCs/>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2"/>
    <w:next w:val="Normal"/>
    <w:uiPriority w:val="39"/>
    <w:unhideWhenUsed/>
    <w:qFormat/>
    <w:rsid w:val="000F2564"/>
    <w:pPr>
      <w:spacing w:after="480"/>
      <w:outlineLvl w:val="9"/>
    </w:pPr>
    <w:rPr>
      <w:lang w:val="en-US"/>
    </w:rPr>
  </w:style>
  <w:style w:type="paragraph" w:styleId="TOC1">
    <w:name w:val="toc 1"/>
    <w:basedOn w:val="Normal"/>
    <w:next w:val="Normal"/>
    <w:autoRedefine/>
    <w:uiPriority w:val="39"/>
    <w:unhideWhenUsed/>
    <w:rsid w:val="00DA339E"/>
    <w:pPr>
      <w:tabs>
        <w:tab w:val="right" w:leader="dot" w:pos="9016"/>
      </w:tabs>
      <w:spacing w:after="100"/>
    </w:pPr>
    <w:rPr>
      <w:sz w:val="20"/>
    </w:rPr>
  </w:style>
  <w:style w:type="paragraph" w:styleId="TOC2">
    <w:name w:val="toc 2"/>
    <w:basedOn w:val="Normal"/>
    <w:next w:val="Normal"/>
    <w:autoRedefine/>
    <w:uiPriority w:val="39"/>
    <w:unhideWhenUsed/>
    <w:rsid w:val="0043720A"/>
    <w:pPr>
      <w:spacing w:after="100"/>
    </w:pPr>
  </w:style>
  <w:style w:type="paragraph" w:styleId="TOC3">
    <w:name w:val="toc 3"/>
    <w:basedOn w:val="Normal"/>
    <w:next w:val="Normal"/>
    <w:autoRedefine/>
    <w:uiPriority w:val="39"/>
    <w:unhideWhenUsed/>
    <w:rsid w:val="0043720A"/>
    <w:pPr>
      <w:spacing w:after="100"/>
      <w:ind w:left="221"/>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993533" w:themeColor="accent2"/>
        <w:left w:val="single" w:sz="4" w:space="0" w:color="993533" w:themeColor="accent2"/>
        <w:bottom w:val="single" w:sz="4" w:space="0" w:color="993533" w:themeColor="accent2"/>
        <w:right w:val="single" w:sz="4" w:space="0" w:color="993533" w:themeColor="accent2"/>
      </w:tblBorders>
    </w:tblPr>
    <w:tblStylePr w:type="firstRow">
      <w:rPr>
        <w:b/>
        <w:bCs/>
        <w:color w:val="FFFFFF" w:themeColor="background1"/>
      </w:rPr>
      <w:tblPr/>
      <w:tcPr>
        <w:shd w:val="clear" w:color="auto" w:fill="993533" w:themeFill="accent2"/>
      </w:tcPr>
    </w:tblStylePr>
    <w:tblStylePr w:type="lastRow">
      <w:rPr>
        <w:b/>
        <w:bCs/>
      </w:rPr>
      <w:tblPr/>
      <w:tcPr>
        <w:tcBorders>
          <w:top w:val="double" w:sz="4" w:space="0" w:color="9935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3533" w:themeColor="accent2"/>
          <w:right w:val="single" w:sz="4" w:space="0" w:color="993533" w:themeColor="accent2"/>
        </w:tcBorders>
      </w:tcPr>
    </w:tblStylePr>
    <w:tblStylePr w:type="band1Horz">
      <w:tblPr/>
      <w:tcPr>
        <w:tcBorders>
          <w:top w:val="single" w:sz="4" w:space="0" w:color="993533" w:themeColor="accent2"/>
          <w:bottom w:val="single" w:sz="4" w:space="0" w:color="9935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3533" w:themeColor="accent2"/>
          <w:left w:val="nil"/>
        </w:tcBorders>
      </w:tcPr>
    </w:tblStylePr>
    <w:tblStylePr w:type="swCell">
      <w:tblPr/>
      <w:tcPr>
        <w:tcBorders>
          <w:top w:val="double" w:sz="4" w:space="0" w:color="993533"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00D3D1" w:themeColor="accent3"/>
        <w:left w:val="single" w:sz="4" w:space="0" w:color="00D3D1" w:themeColor="accent3"/>
        <w:bottom w:val="single" w:sz="4" w:space="0" w:color="00D3D1" w:themeColor="accent3"/>
        <w:right w:val="single" w:sz="4" w:space="0" w:color="00D3D1" w:themeColor="accent3"/>
      </w:tblBorders>
    </w:tblPr>
    <w:tblStylePr w:type="firstRow">
      <w:rPr>
        <w:b/>
        <w:bCs/>
        <w:color w:val="FFFFFF" w:themeColor="background1"/>
      </w:rPr>
      <w:tblPr/>
      <w:tcPr>
        <w:shd w:val="clear" w:color="auto" w:fill="00D3D1" w:themeFill="accent3"/>
      </w:tcPr>
    </w:tblStylePr>
    <w:tblStylePr w:type="lastRow">
      <w:rPr>
        <w:b/>
        <w:bCs/>
      </w:rPr>
      <w:tblPr/>
      <w:tcPr>
        <w:tcBorders>
          <w:top w:val="double" w:sz="4" w:space="0" w:color="00D3D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D3D1" w:themeColor="accent3"/>
          <w:right w:val="single" w:sz="4" w:space="0" w:color="00D3D1" w:themeColor="accent3"/>
        </w:tcBorders>
      </w:tcPr>
    </w:tblStylePr>
    <w:tblStylePr w:type="band1Horz">
      <w:tblPr/>
      <w:tcPr>
        <w:tcBorders>
          <w:top w:val="single" w:sz="4" w:space="0" w:color="00D3D1" w:themeColor="accent3"/>
          <w:bottom w:val="single" w:sz="4" w:space="0" w:color="00D3D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D3D1" w:themeColor="accent3"/>
          <w:left w:val="nil"/>
        </w:tcBorders>
      </w:tcPr>
    </w:tblStylePr>
    <w:tblStylePr w:type="swCell">
      <w:tblPr/>
      <w:tcPr>
        <w:tcBorders>
          <w:top w:val="double" w:sz="4" w:space="0" w:color="00D3D1" w:themeColor="accent3"/>
          <w:right w:val="nil"/>
        </w:tcBorders>
      </w:tcPr>
    </w:tblStylePr>
  </w:style>
  <w:style w:type="paragraph" w:styleId="IntenseQuote">
    <w:name w:val="Intense Quote"/>
    <w:basedOn w:val="Normal"/>
    <w:next w:val="Normal"/>
    <w:link w:val="IntenseQuoteChar"/>
    <w:uiPriority w:val="30"/>
    <w:qFormat/>
    <w:rsid w:val="000A75CB"/>
    <w:pPr>
      <w:pBdr>
        <w:top w:val="single" w:sz="4" w:space="6" w:color="15659B" w:themeColor="accent4"/>
        <w:bottom w:val="single" w:sz="4" w:space="6" w:color="15659B" w:themeColor="accent4"/>
      </w:pBdr>
      <w:spacing w:before="360" w:after="360"/>
      <w:ind w:right="2835"/>
      <w:jc w:val="center"/>
    </w:pPr>
    <w:rPr>
      <w:b/>
      <w:iCs/>
      <w:sz w:val="24"/>
    </w:rPr>
  </w:style>
  <w:style w:type="character" w:customStyle="1" w:styleId="IntenseQuoteChar">
    <w:name w:val="Intense Quote Char"/>
    <w:basedOn w:val="DefaultParagraphFont"/>
    <w:link w:val="IntenseQuote"/>
    <w:uiPriority w:val="30"/>
    <w:rsid w:val="000A75CB"/>
    <w:rPr>
      <w:b/>
      <w:iCs/>
      <w:sz w:val="24"/>
    </w:rPr>
  </w:style>
  <w:style w:type="paragraph" w:customStyle="1" w:styleId="Calloutbox">
    <w:name w:val="Call out box"/>
    <w:basedOn w:val="Normal"/>
    <w:qFormat/>
    <w:rsid w:val="00266F7C"/>
    <w:pPr>
      <w:pBdr>
        <w:top w:val="single" w:sz="4" w:space="6" w:color="E7E6E6" w:themeColor="background2"/>
        <w:left w:val="single" w:sz="4" w:space="4" w:color="E7E6E6" w:themeColor="background2"/>
        <w:bottom w:val="single" w:sz="4" w:space="6" w:color="E7E6E6" w:themeColor="background2"/>
        <w:right w:val="single" w:sz="4" w:space="4" w:color="E7E6E6" w:themeColor="background2"/>
      </w:pBdr>
      <w:shd w:val="clear" w:color="auto" w:fill="E7E6E6" w:themeFill="background2"/>
    </w:pPr>
  </w:style>
  <w:style w:type="character" w:customStyle="1" w:styleId="Heading6Char">
    <w:name w:val="Heading 6 Char"/>
    <w:basedOn w:val="DefaultParagraphFont"/>
    <w:link w:val="Heading6"/>
    <w:uiPriority w:val="9"/>
    <w:rsid w:val="00C50A9A"/>
    <w:rPr>
      <w:rFonts w:asciiTheme="majorHAnsi" w:eastAsiaTheme="majorEastAsia" w:hAnsiTheme="majorHAnsi" w:cstheme="majorBidi"/>
      <w:color w:val="000000" w:themeColor="text1"/>
      <w:sz w:val="24"/>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D17675" w:themeColor="accent2" w:themeTint="99"/>
        <w:left w:val="single" w:sz="4" w:space="0" w:color="D17675" w:themeColor="accent2" w:themeTint="99"/>
        <w:bottom w:val="single" w:sz="4" w:space="0" w:color="D17675" w:themeColor="accent2" w:themeTint="99"/>
        <w:right w:val="single" w:sz="4" w:space="0" w:color="D17675" w:themeColor="accent2" w:themeTint="99"/>
        <w:insideH w:val="single" w:sz="4" w:space="0" w:color="D17675" w:themeColor="accent2" w:themeTint="99"/>
        <w:insideV w:val="single" w:sz="4" w:space="0" w:color="D17675" w:themeColor="accent2" w:themeTint="99"/>
      </w:tblBorders>
    </w:tblPr>
    <w:tblStylePr w:type="firstRow">
      <w:rPr>
        <w:b/>
        <w:bCs/>
        <w:color w:val="FFFFFF" w:themeColor="background1"/>
      </w:rPr>
      <w:tblPr/>
      <w:tcPr>
        <w:tcBorders>
          <w:top w:val="single" w:sz="4" w:space="0" w:color="993533" w:themeColor="accent2"/>
          <w:left w:val="single" w:sz="4" w:space="0" w:color="993533" w:themeColor="accent2"/>
          <w:bottom w:val="single" w:sz="4" w:space="0" w:color="993533" w:themeColor="accent2"/>
          <w:right w:val="single" w:sz="4" w:space="0" w:color="993533" w:themeColor="accent2"/>
          <w:insideH w:val="nil"/>
          <w:insideV w:val="nil"/>
        </w:tcBorders>
        <w:shd w:val="clear" w:color="auto" w:fill="993533" w:themeFill="accent2"/>
      </w:tcPr>
    </w:tblStylePr>
    <w:tblStylePr w:type="lastRow">
      <w:rPr>
        <w:b/>
        <w:bCs/>
      </w:rPr>
      <w:tblPr/>
      <w:tcPr>
        <w:tcBorders>
          <w:top w:val="double" w:sz="4" w:space="0" w:color="993533" w:themeColor="accent2"/>
        </w:tcBorders>
      </w:tcPr>
    </w:tblStylePr>
    <w:tblStylePr w:type="firstCol">
      <w:rPr>
        <w:b/>
        <w:bCs/>
      </w:rPr>
    </w:tblStylePr>
    <w:tblStylePr w:type="lastCol">
      <w:rPr>
        <w:b/>
        <w:bCs/>
      </w:rPr>
    </w:tblStylePr>
    <w:tblStylePr w:type="band1Vert">
      <w:tblPr/>
      <w:tcPr>
        <w:shd w:val="clear" w:color="auto" w:fill="EFD1D1" w:themeFill="accent2" w:themeFillTint="33"/>
      </w:tcPr>
    </w:tblStylePr>
    <w:tblStylePr w:type="band1Horz">
      <w:tblPr/>
      <w:tcPr>
        <w:shd w:val="clear" w:color="auto" w:fill="EFD1D1"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E0A4A3" w:themeColor="accent2" w:themeTint="66"/>
        <w:left w:val="single" w:sz="4" w:space="0" w:color="E0A4A3" w:themeColor="accent2" w:themeTint="66"/>
        <w:bottom w:val="single" w:sz="4" w:space="0" w:color="E0A4A3" w:themeColor="accent2" w:themeTint="66"/>
        <w:right w:val="single" w:sz="4" w:space="0" w:color="E0A4A3" w:themeColor="accent2" w:themeTint="66"/>
        <w:insideH w:val="single" w:sz="4" w:space="0" w:color="E0A4A3" w:themeColor="accent2" w:themeTint="66"/>
        <w:insideV w:val="single" w:sz="4" w:space="0" w:color="E0A4A3" w:themeColor="accent2" w:themeTint="66"/>
      </w:tblBorders>
    </w:tblPr>
    <w:tblStylePr w:type="firstRow">
      <w:rPr>
        <w:b/>
        <w:bCs/>
      </w:rPr>
      <w:tblPr/>
      <w:tcPr>
        <w:tcBorders>
          <w:bottom w:val="single" w:sz="12" w:space="0" w:color="D17675" w:themeColor="accent2" w:themeTint="99"/>
        </w:tcBorders>
      </w:tcPr>
    </w:tblStylePr>
    <w:tblStylePr w:type="lastRow">
      <w:rPr>
        <w:b/>
        <w:bCs/>
      </w:rPr>
      <w:tblPr/>
      <w:tcPr>
        <w:tcBorders>
          <w:top w:val="double" w:sz="2" w:space="0" w:color="D17675"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3D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1B3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1B3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1B3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1B35" w:themeFill="accent1"/>
      </w:tcPr>
    </w:tblStylePr>
    <w:tblStylePr w:type="band1Vert">
      <w:tblPr/>
      <w:tcPr>
        <w:shd w:val="clear" w:color="auto" w:fill="48A4FF" w:themeFill="accent1" w:themeFillTint="66"/>
      </w:tcPr>
    </w:tblStylePr>
    <w:tblStylePr w:type="band1Horz">
      <w:tblPr/>
      <w:tcPr>
        <w:shd w:val="clear" w:color="auto" w:fill="48A4FF" w:themeFill="accent1" w:themeFillTint="66"/>
      </w:tcPr>
    </w:tblStylePr>
  </w:style>
  <w:style w:type="table" w:styleId="GridTable4-Accent1">
    <w:name w:val="Grid Table 4 Accent 1"/>
    <w:basedOn w:val="TableNormal"/>
    <w:uiPriority w:val="49"/>
    <w:rsid w:val="00F32757"/>
    <w:pPr>
      <w:spacing w:after="0" w:line="240" w:lineRule="auto"/>
    </w:pPr>
    <w:tblPr>
      <w:tblStyleRowBandSize w:val="1"/>
      <w:tblStyleColBandSize w:val="1"/>
      <w:tblBorders>
        <w:top w:val="single" w:sz="4" w:space="0" w:color="0077EB" w:themeColor="accent1" w:themeTint="99"/>
        <w:left w:val="single" w:sz="4" w:space="0" w:color="0077EB" w:themeColor="accent1" w:themeTint="99"/>
        <w:bottom w:val="single" w:sz="4" w:space="0" w:color="0077EB" w:themeColor="accent1" w:themeTint="99"/>
        <w:right w:val="single" w:sz="4" w:space="0" w:color="0077EB" w:themeColor="accent1" w:themeTint="99"/>
        <w:insideH w:val="single" w:sz="4" w:space="0" w:color="0077EB" w:themeColor="accent1" w:themeTint="99"/>
        <w:insideV w:val="single" w:sz="4" w:space="0" w:color="0077EB" w:themeColor="accent1" w:themeTint="99"/>
      </w:tblBorders>
    </w:tblPr>
    <w:tblStylePr w:type="firstRow">
      <w:rPr>
        <w:b/>
        <w:bCs/>
        <w:color w:val="FFFFFF" w:themeColor="background1"/>
      </w:rPr>
      <w:tblPr/>
      <w:tcPr>
        <w:shd w:val="clear" w:color="auto" w:fill="001427" w:themeFill="accent1" w:themeFillShade="BF"/>
      </w:tcPr>
    </w:tblStylePr>
    <w:tblStylePr w:type="lastRow">
      <w:rPr>
        <w:b/>
        <w:bCs/>
      </w:rPr>
      <w:tblPr/>
      <w:tcPr>
        <w:tcBorders>
          <w:top w:val="double" w:sz="4" w:space="0" w:color="001B35" w:themeColor="accent1"/>
        </w:tcBorders>
      </w:tcPr>
    </w:tblStylePr>
    <w:tblStylePr w:type="firstCol">
      <w:rPr>
        <w:b/>
        <w:bCs/>
      </w:rPr>
    </w:tblStylePr>
    <w:tblStylePr w:type="lastCol">
      <w:rPr>
        <w:b/>
        <w:bCs/>
      </w:rPr>
    </w:tblStylePr>
    <w:tblStylePr w:type="band1Vert">
      <w:tblPr/>
      <w:tcPr>
        <w:shd w:val="clear" w:color="auto" w:fill="A3D1FF" w:themeFill="accent1" w:themeFillTint="33"/>
      </w:tcPr>
    </w:tblStylePr>
    <w:tblStylePr w:type="band1Horz">
      <w:tblPr/>
      <w:tcPr>
        <w:shd w:val="clear" w:color="auto" w:fill="A3D1FF"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EFFDB9" w:themeColor="accent5" w:themeTint="99"/>
        <w:left w:val="single" w:sz="4" w:space="0" w:color="EFFDB9" w:themeColor="accent5" w:themeTint="99"/>
        <w:bottom w:val="single" w:sz="4" w:space="0" w:color="EFFDB9" w:themeColor="accent5" w:themeTint="99"/>
        <w:right w:val="single" w:sz="4" w:space="0" w:color="EFFDB9" w:themeColor="accent5" w:themeTint="99"/>
        <w:insideH w:val="single" w:sz="4" w:space="0" w:color="EFFDB9" w:themeColor="accent5" w:themeTint="99"/>
        <w:insideV w:val="single" w:sz="4" w:space="0" w:color="EFFDB9" w:themeColor="accent5" w:themeTint="99"/>
      </w:tblBorders>
    </w:tblPr>
    <w:tblStylePr w:type="firstRow">
      <w:rPr>
        <w:b/>
        <w:bCs/>
        <w:color w:val="FFFFFF" w:themeColor="background1"/>
      </w:rPr>
      <w:tblPr/>
      <w:tcPr>
        <w:tcBorders>
          <w:top w:val="single" w:sz="4" w:space="0" w:color="E5FD8C" w:themeColor="accent5"/>
          <w:left w:val="single" w:sz="4" w:space="0" w:color="E5FD8C" w:themeColor="accent5"/>
          <w:bottom w:val="single" w:sz="4" w:space="0" w:color="E5FD8C" w:themeColor="accent5"/>
          <w:right w:val="single" w:sz="4" w:space="0" w:color="E5FD8C" w:themeColor="accent5"/>
          <w:insideH w:val="nil"/>
          <w:insideV w:val="nil"/>
        </w:tcBorders>
        <w:shd w:val="clear" w:color="auto" w:fill="E5FD8C" w:themeFill="accent5"/>
      </w:tcPr>
    </w:tblStylePr>
    <w:tblStylePr w:type="lastRow">
      <w:rPr>
        <w:b/>
        <w:bCs/>
      </w:rPr>
      <w:tblPr/>
      <w:tcPr>
        <w:tcBorders>
          <w:top w:val="double" w:sz="4" w:space="0" w:color="E5FD8C" w:themeColor="accent5"/>
        </w:tcBorders>
      </w:tcPr>
    </w:tblStylePr>
    <w:tblStylePr w:type="firstCol">
      <w:rPr>
        <w:b/>
        <w:bCs/>
      </w:rPr>
    </w:tblStylePr>
    <w:tblStylePr w:type="lastCol">
      <w:rPr>
        <w:b/>
        <w:bCs/>
      </w:rPr>
    </w:tblStylePr>
    <w:tblStylePr w:type="band1Vert">
      <w:tblPr/>
      <w:tcPr>
        <w:shd w:val="clear" w:color="auto" w:fill="F9FEE7" w:themeFill="accent5" w:themeFillTint="33"/>
      </w:tcPr>
    </w:tblStylePr>
    <w:tblStylePr w:type="band1Horz">
      <w:tblPr/>
      <w:tcPr>
        <w:shd w:val="clear" w:color="auto" w:fill="F9FEE7" w:themeFill="accent5" w:themeFillTint="33"/>
      </w:tcPr>
    </w:tblStylePr>
  </w:style>
  <w:style w:type="table" w:styleId="GridTable4-Accent4">
    <w:name w:val="Grid Table 4 Accent 4"/>
    <w:aliases w:val="DISR banded - Table 2"/>
    <w:basedOn w:val="TableNormal"/>
    <w:uiPriority w:val="49"/>
    <w:rsid w:val="005777BC"/>
    <w:pPr>
      <w:spacing w:after="0" w:line="240" w:lineRule="auto"/>
    </w:pPr>
    <w:tblPr>
      <w:tblStyleRowBandSize w:val="1"/>
      <w:tblStyleColBandSize w:val="1"/>
      <w:tblBorders>
        <w:top w:val="single" w:sz="4" w:space="0" w:color="15659B" w:themeColor="accent4"/>
        <w:left w:val="single" w:sz="4" w:space="0" w:color="15659B" w:themeColor="accent4"/>
        <w:bottom w:val="single" w:sz="4" w:space="0" w:color="15659B" w:themeColor="accent4"/>
        <w:right w:val="single" w:sz="4" w:space="0" w:color="15659B" w:themeColor="accent4"/>
        <w:insideH w:val="single" w:sz="4" w:space="0" w:color="15659B" w:themeColor="accent4"/>
        <w:insideV w:val="single" w:sz="4" w:space="0" w:color="15659B" w:themeColor="accent4"/>
      </w:tblBorders>
    </w:tblPr>
    <w:tblStylePr w:type="firstRow">
      <w:rPr>
        <w:b/>
        <w:bCs/>
        <w:color w:val="FFFFFF" w:themeColor="background1"/>
      </w:rPr>
      <w:tblPr/>
      <w:tcPr>
        <w:tcBorders>
          <w:top w:val="single" w:sz="4" w:space="0" w:color="15659B" w:themeColor="accent4"/>
          <w:left w:val="single" w:sz="4" w:space="0" w:color="15659B" w:themeColor="accent4"/>
          <w:bottom w:val="single" w:sz="4" w:space="0" w:color="15659B" w:themeColor="accent4"/>
          <w:right w:val="single" w:sz="4" w:space="0" w:color="15659B" w:themeColor="accent4"/>
          <w:insideH w:val="nil"/>
          <w:insideV w:val="nil"/>
        </w:tcBorders>
        <w:shd w:val="clear" w:color="auto" w:fill="15659B" w:themeFill="accent4"/>
      </w:tcPr>
    </w:tblStylePr>
    <w:tblStylePr w:type="lastRow">
      <w:rPr>
        <w:b/>
        <w:bCs/>
      </w:rPr>
      <w:tblPr/>
      <w:tcPr>
        <w:tcBorders>
          <w:top w:val="single" w:sz="18" w:space="0" w:color="15659B" w:themeColor="accent4"/>
        </w:tcBorders>
      </w:tcPr>
    </w:tblStylePr>
    <w:tblStylePr w:type="firstCol">
      <w:rPr>
        <w:b/>
        <w:bCs/>
      </w:rPr>
    </w:tblStylePr>
    <w:tblStylePr w:type="lastCol">
      <w:rPr>
        <w:b/>
        <w:bCs/>
      </w:rPr>
    </w:tblStylePr>
    <w:tblStylePr w:type="band1Vert">
      <w:tblPr/>
      <w:tcPr>
        <w:shd w:val="clear" w:color="auto" w:fill="C4E2F7" w:themeFill="accent4" w:themeFillTint="33"/>
      </w:tcPr>
    </w:tblStylePr>
    <w:tblStylePr w:type="band1Horz">
      <w:tblPr/>
      <w:tcPr>
        <w:shd w:val="clear" w:color="auto" w:fill="E7E6E6" w:themeFill="background2"/>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4BFFFC" w:themeColor="accent3" w:themeTint="99"/>
        <w:left w:val="single" w:sz="4" w:space="0" w:color="4BFFFC" w:themeColor="accent3" w:themeTint="99"/>
        <w:bottom w:val="single" w:sz="4" w:space="0" w:color="4BFFFC" w:themeColor="accent3" w:themeTint="99"/>
        <w:right w:val="single" w:sz="4" w:space="0" w:color="4BFFFC" w:themeColor="accent3" w:themeTint="99"/>
        <w:insideH w:val="single" w:sz="4" w:space="0" w:color="4BFFFC" w:themeColor="accent3" w:themeTint="99"/>
        <w:insideV w:val="single" w:sz="4" w:space="0" w:color="4BFFFC" w:themeColor="accent3" w:themeTint="99"/>
      </w:tblBorders>
    </w:tblPr>
    <w:tblStylePr w:type="firstRow">
      <w:rPr>
        <w:b/>
        <w:bCs/>
        <w:color w:val="FFFFFF" w:themeColor="background1"/>
      </w:rPr>
      <w:tblPr/>
      <w:tcPr>
        <w:tcBorders>
          <w:top w:val="single" w:sz="4" w:space="0" w:color="00D3D1" w:themeColor="accent3"/>
          <w:left w:val="single" w:sz="4" w:space="0" w:color="00D3D1" w:themeColor="accent3"/>
          <w:bottom w:val="single" w:sz="4" w:space="0" w:color="00D3D1" w:themeColor="accent3"/>
          <w:right w:val="single" w:sz="4" w:space="0" w:color="00D3D1" w:themeColor="accent3"/>
          <w:insideH w:val="nil"/>
          <w:insideV w:val="nil"/>
        </w:tcBorders>
        <w:shd w:val="clear" w:color="auto" w:fill="00D3D1" w:themeFill="accent3"/>
      </w:tcPr>
    </w:tblStylePr>
    <w:tblStylePr w:type="lastRow">
      <w:rPr>
        <w:b/>
        <w:bCs/>
      </w:rPr>
      <w:tblPr/>
      <w:tcPr>
        <w:tcBorders>
          <w:top w:val="double" w:sz="4" w:space="0" w:color="00D3D1" w:themeColor="accent3"/>
        </w:tcBorders>
      </w:tcPr>
    </w:tblStylePr>
    <w:tblStylePr w:type="firstCol">
      <w:rPr>
        <w:b/>
        <w:bCs/>
      </w:rPr>
    </w:tblStylePr>
    <w:tblStylePr w:type="lastCol">
      <w:rPr>
        <w:b/>
        <w:bCs/>
      </w:rPr>
    </w:tblStylePr>
    <w:tblStylePr w:type="band1Vert">
      <w:tblPr/>
      <w:tcPr>
        <w:shd w:val="clear" w:color="auto" w:fill="C3FFFE" w:themeFill="accent3" w:themeFillTint="33"/>
      </w:tcPr>
    </w:tblStylePr>
    <w:tblStylePr w:type="band1Horz">
      <w:tblPr/>
      <w:tcPr>
        <w:shd w:val="clear" w:color="auto" w:fill="C3FFFE" w:themeFill="accent3" w:themeFillTint="33"/>
      </w:tcPr>
    </w:tblStylePr>
  </w:style>
  <w:style w:type="paragraph" w:customStyle="1" w:styleId="Authoranddate">
    <w:name w:val="Author and date"/>
    <w:basedOn w:val="Subtitle"/>
    <w:link w:val="AuthoranddateChar"/>
    <w:qFormat/>
    <w:rsid w:val="001D51DA"/>
    <w:rPr>
      <w:szCs w:val="40"/>
    </w:rPr>
  </w:style>
  <w:style w:type="character" w:customStyle="1" w:styleId="AuthoranddateChar">
    <w:name w:val="Author and date Char"/>
    <w:basedOn w:val="SubtitleChar"/>
    <w:link w:val="Authoranddate"/>
    <w:rsid w:val="001D51DA"/>
    <w:rPr>
      <w:rFonts w:eastAsiaTheme="minorEastAsia"/>
      <w:color w:val="E7E6E6" w:themeColor="background2"/>
      <w:sz w:val="40"/>
      <w:szCs w:val="40"/>
    </w:rPr>
  </w:style>
  <w:style w:type="character" w:customStyle="1" w:styleId="Heading7Char">
    <w:name w:val="Heading 7 Char"/>
    <w:basedOn w:val="DefaultParagraphFont"/>
    <w:link w:val="Heading7"/>
    <w:uiPriority w:val="9"/>
    <w:rsid w:val="00C50A9A"/>
    <w:rPr>
      <w:rFonts w:asciiTheme="majorHAnsi" w:eastAsiaTheme="majorEastAsia" w:hAnsiTheme="majorHAnsi" w:cstheme="majorBidi"/>
      <w:b/>
      <w:iCs/>
      <w:color w:val="001B35" w:themeColor="accent1"/>
    </w:rPr>
  </w:style>
  <w:style w:type="character" w:styleId="UnresolvedMention">
    <w:name w:val="Unresolved Mention"/>
    <w:basedOn w:val="DefaultParagraphFont"/>
    <w:uiPriority w:val="99"/>
    <w:semiHidden/>
    <w:unhideWhenUsed/>
    <w:rsid w:val="00282ED3"/>
    <w:rPr>
      <w:color w:val="605E5C"/>
      <w:shd w:val="clear" w:color="auto" w:fill="E1DFDD"/>
    </w:rPr>
  </w:style>
  <w:style w:type="table" w:styleId="GridTable4">
    <w:name w:val="Grid Table 4"/>
    <w:basedOn w:val="TableNormal"/>
    <w:uiPriority w:val="49"/>
    <w:rsid w:val="0040603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4">
    <w:name w:val="List Table 3 Accent 4"/>
    <w:basedOn w:val="TableNormal"/>
    <w:uiPriority w:val="48"/>
    <w:rsid w:val="0031654A"/>
    <w:pPr>
      <w:spacing w:after="0" w:line="240" w:lineRule="auto"/>
    </w:pPr>
    <w:tblPr>
      <w:tblStyleRowBandSize w:val="1"/>
      <w:tblStyleColBandSize w:val="1"/>
      <w:tblBorders>
        <w:top w:val="single" w:sz="4" w:space="0" w:color="15659B" w:themeColor="accent4"/>
        <w:left w:val="single" w:sz="4" w:space="0" w:color="15659B" w:themeColor="accent4"/>
        <w:bottom w:val="single" w:sz="4" w:space="0" w:color="15659B" w:themeColor="accent4"/>
        <w:right w:val="single" w:sz="4" w:space="0" w:color="15659B" w:themeColor="accent4"/>
      </w:tblBorders>
    </w:tblPr>
    <w:tblStylePr w:type="firstRow">
      <w:rPr>
        <w:b/>
        <w:bCs/>
        <w:color w:val="FFFFFF" w:themeColor="background1"/>
      </w:rPr>
      <w:tblPr/>
      <w:tcPr>
        <w:shd w:val="clear" w:color="auto" w:fill="15659B" w:themeFill="accent4"/>
      </w:tcPr>
    </w:tblStylePr>
    <w:tblStylePr w:type="lastRow">
      <w:rPr>
        <w:b/>
        <w:bCs/>
      </w:rPr>
      <w:tblPr/>
      <w:tcPr>
        <w:tcBorders>
          <w:top w:val="double" w:sz="4" w:space="0" w:color="15659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59B" w:themeColor="accent4"/>
          <w:right w:val="single" w:sz="4" w:space="0" w:color="15659B" w:themeColor="accent4"/>
        </w:tcBorders>
      </w:tcPr>
    </w:tblStylePr>
    <w:tblStylePr w:type="band1Horz">
      <w:tblPr/>
      <w:tcPr>
        <w:tcBorders>
          <w:top w:val="single" w:sz="4" w:space="0" w:color="15659B" w:themeColor="accent4"/>
          <w:bottom w:val="single" w:sz="4" w:space="0" w:color="15659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59B" w:themeColor="accent4"/>
          <w:left w:val="nil"/>
        </w:tcBorders>
      </w:tcPr>
    </w:tblStylePr>
    <w:tblStylePr w:type="swCell">
      <w:tblPr/>
      <w:tcPr>
        <w:tcBorders>
          <w:top w:val="double" w:sz="4" w:space="0" w:color="15659B" w:themeColor="accent4"/>
          <w:right w:val="nil"/>
        </w:tcBorders>
      </w:tcPr>
    </w:tblStylePr>
  </w:style>
  <w:style w:type="paragraph" w:styleId="TOC4">
    <w:name w:val="toc 4"/>
    <w:basedOn w:val="Normal"/>
    <w:next w:val="Normal"/>
    <w:autoRedefine/>
    <w:uiPriority w:val="39"/>
    <w:unhideWhenUsed/>
    <w:rsid w:val="0043720A"/>
    <w:pPr>
      <w:spacing w:after="100"/>
      <w:ind w:left="442"/>
    </w:pPr>
  </w:style>
  <w:style w:type="paragraph" w:styleId="TOC5">
    <w:name w:val="toc 5"/>
    <w:basedOn w:val="Normal"/>
    <w:next w:val="Normal"/>
    <w:autoRedefine/>
    <w:uiPriority w:val="39"/>
    <w:unhideWhenUsed/>
    <w:rsid w:val="0043720A"/>
    <w:pPr>
      <w:spacing w:after="100"/>
      <w:ind w:left="601"/>
    </w:pPr>
  </w:style>
  <w:style w:type="paragraph" w:styleId="ListBullet">
    <w:name w:val="List Bullet"/>
    <w:basedOn w:val="Normal"/>
    <w:uiPriority w:val="99"/>
    <w:unhideWhenUsed/>
    <w:rsid w:val="00703734"/>
    <w:pPr>
      <w:numPr>
        <w:numId w:val="1"/>
      </w:numPr>
      <w:ind w:left="567" w:hanging="567"/>
      <w:contextualSpacing/>
    </w:pPr>
  </w:style>
  <w:style w:type="paragraph" w:styleId="ListBullet2">
    <w:name w:val="List Bullet 2"/>
    <w:basedOn w:val="Normal"/>
    <w:uiPriority w:val="99"/>
    <w:semiHidden/>
    <w:unhideWhenUsed/>
    <w:rsid w:val="00703734"/>
    <w:pPr>
      <w:numPr>
        <w:numId w:val="2"/>
      </w:numPr>
      <w:ind w:left="567" w:hanging="567"/>
      <w:contextualSpacing/>
    </w:pPr>
  </w:style>
  <w:style w:type="character" w:customStyle="1" w:styleId="Heading8Char">
    <w:name w:val="Heading 8 Char"/>
    <w:basedOn w:val="DefaultParagraphFont"/>
    <w:link w:val="Heading8"/>
    <w:uiPriority w:val="9"/>
    <w:rsid w:val="00C50A9A"/>
    <w:rPr>
      <w:rFonts w:asciiTheme="majorHAnsi" w:eastAsiaTheme="majorEastAsia" w:hAnsiTheme="majorHAnsi" w:cstheme="majorBidi"/>
      <w:color w:val="272727" w:themeColor="text1" w:themeTint="D8"/>
      <w:sz w:val="20"/>
      <w:szCs w:val="21"/>
    </w:rPr>
  </w:style>
  <w:style w:type="character" w:styleId="CommentReference">
    <w:name w:val="annotation reference"/>
    <w:basedOn w:val="DefaultParagraphFont"/>
    <w:uiPriority w:val="99"/>
    <w:semiHidden/>
    <w:unhideWhenUsed/>
    <w:rsid w:val="00FE4569"/>
    <w:rPr>
      <w:sz w:val="16"/>
      <w:szCs w:val="16"/>
    </w:rPr>
  </w:style>
  <w:style w:type="paragraph" w:styleId="CommentText">
    <w:name w:val="annotation text"/>
    <w:basedOn w:val="Normal"/>
    <w:link w:val="CommentTextChar"/>
    <w:uiPriority w:val="99"/>
    <w:unhideWhenUsed/>
    <w:rsid w:val="00FE4569"/>
    <w:rPr>
      <w:szCs w:val="20"/>
    </w:rPr>
  </w:style>
  <w:style w:type="character" w:customStyle="1" w:styleId="CommentTextChar">
    <w:name w:val="Comment Text Char"/>
    <w:basedOn w:val="DefaultParagraphFont"/>
    <w:link w:val="CommentText"/>
    <w:uiPriority w:val="99"/>
    <w:rsid w:val="00FE4569"/>
    <w:rPr>
      <w:sz w:val="20"/>
      <w:szCs w:val="20"/>
    </w:rPr>
  </w:style>
  <w:style w:type="paragraph" w:styleId="CommentSubject">
    <w:name w:val="annotation subject"/>
    <w:basedOn w:val="CommentText"/>
    <w:next w:val="CommentText"/>
    <w:link w:val="CommentSubjectChar"/>
    <w:uiPriority w:val="99"/>
    <w:semiHidden/>
    <w:unhideWhenUsed/>
    <w:rsid w:val="00FE4569"/>
    <w:rPr>
      <w:b/>
      <w:bCs/>
    </w:rPr>
  </w:style>
  <w:style w:type="character" w:customStyle="1" w:styleId="CommentSubjectChar">
    <w:name w:val="Comment Subject Char"/>
    <w:basedOn w:val="CommentTextChar"/>
    <w:link w:val="CommentSubject"/>
    <w:uiPriority w:val="99"/>
    <w:semiHidden/>
    <w:rsid w:val="00FE4569"/>
    <w:rPr>
      <w:b/>
      <w:bCs/>
      <w:sz w:val="20"/>
      <w:szCs w:val="20"/>
    </w:rPr>
  </w:style>
  <w:style w:type="character" w:customStyle="1" w:styleId="ListParagraphChar">
    <w:name w:val="List Paragraph Char"/>
    <w:aliases w:val="List paragraph Char,Recommendation Char,L Char,List Paragraph1 Char,List Paragraph11 Char,bullet point list Char,Bullet point Char,NFP GP Bulleted List Char,List Paragraph - bullets Char,Bulletr List Paragraph Char,FooterText Char"/>
    <w:basedOn w:val="DefaultParagraphFont"/>
    <w:link w:val="ListParagraph"/>
    <w:uiPriority w:val="34"/>
    <w:locked/>
    <w:rsid w:val="00CD2C36"/>
  </w:style>
  <w:style w:type="paragraph" w:customStyle="1" w:styleId="pf0">
    <w:name w:val="pf0"/>
    <w:basedOn w:val="Normal"/>
    <w:rsid w:val="00243BA3"/>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01">
    <w:name w:val="cf01"/>
    <w:basedOn w:val="DefaultParagraphFont"/>
    <w:rsid w:val="00243BA3"/>
    <w:rPr>
      <w:rFonts w:ascii="Segoe UI" w:hAnsi="Segoe UI" w:cs="Segoe UI" w:hint="default"/>
      <w:sz w:val="18"/>
      <w:szCs w:val="18"/>
    </w:rPr>
  </w:style>
  <w:style w:type="character" w:customStyle="1" w:styleId="cf11">
    <w:name w:val="cf11"/>
    <w:basedOn w:val="DefaultParagraphFont"/>
    <w:rsid w:val="00243BA3"/>
    <w:rPr>
      <w:rFonts w:ascii="Segoe UI" w:hAnsi="Segoe UI" w:cs="Segoe UI" w:hint="default"/>
      <w:b/>
      <w:bCs/>
      <w:sz w:val="18"/>
      <w:szCs w:val="18"/>
    </w:rPr>
  </w:style>
  <w:style w:type="character" w:styleId="Mention">
    <w:name w:val="Mention"/>
    <w:basedOn w:val="DefaultParagraphFont"/>
    <w:uiPriority w:val="99"/>
    <w:unhideWhenUsed/>
    <w:rsid w:val="00617B31"/>
    <w:rPr>
      <w:color w:val="2B579A"/>
      <w:shd w:val="clear" w:color="auto" w:fill="E1DFDD"/>
    </w:rPr>
  </w:style>
  <w:style w:type="paragraph" w:styleId="Revision">
    <w:name w:val="Revision"/>
    <w:hidden/>
    <w:uiPriority w:val="99"/>
    <w:semiHidden/>
    <w:rsid w:val="008E47BB"/>
    <w:pPr>
      <w:spacing w:after="0" w:line="240" w:lineRule="auto"/>
    </w:pPr>
    <w:rPr>
      <w:sz w:val="20"/>
    </w:rPr>
  </w:style>
  <w:style w:type="paragraph" w:styleId="FootnoteText">
    <w:name w:val="footnote text"/>
    <w:basedOn w:val="Normal"/>
    <w:link w:val="FootnoteTextChar"/>
    <w:uiPriority w:val="99"/>
    <w:semiHidden/>
    <w:unhideWhenUsed/>
    <w:rsid w:val="009A44C7"/>
    <w:pPr>
      <w:spacing w:before="0" w:after="0"/>
    </w:pPr>
    <w:rPr>
      <w:kern w:val="2"/>
      <w:szCs w:val="20"/>
      <w14:ligatures w14:val="standardContextual"/>
    </w:rPr>
  </w:style>
  <w:style w:type="character" w:customStyle="1" w:styleId="FootnoteTextChar">
    <w:name w:val="Footnote Text Char"/>
    <w:basedOn w:val="DefaultParagraphFont"/>
    <w:link w:val="FootnoteText"/>
    <w:uiPriority w:val="99"/>
    <w:semiHidden/>
    <w:rsid w:val="009A44C7"/>
    <w:rPr>
      <w:kern w:val="2"/>
      <w:sz w:val="20"/>
      <w:szCs w:val="20"/>
      <w14:ligatures w14:val="standardContextual"/>
    </w:rPr>
  </w:style>
  <w:style w:type="character" w:styleId="FootnoteReference">
    <w:name w:val="footnote reference"/>
    <w:basedOn w:val="DefaultParagraphFont"/>
    <w:uiPriority w:val="99"/>
    <w:semiHidden/>
    <w:unhideWhenUsed/>
    <w:rsid w:val="009A44C7"/>
    <w:rPr>
      <w:vertAlign w:val="superscript"/>
    </w:rPr>
  </w:style>
  <w:style w:type="paragraph" w:customStyle="1" w:styleId="Alttextbullets">
    <w:name w:val="Alt text bullets"/>
    <w:basedOn w:val="Normal"/>
    <w:link w:val="AlttextbulletsChar"/>
    <w:qFormat/>
    <w:rsid w:val="00EC3A78"/>
    <w:pPr>
      <w:numPr>
        <w:numId w:val="13"/>
      </w:numPr>
      <w:tabs>
        <w:tab w:val="clear" w:pos="720"/>
        <w:tab w:val="num" w:pos="1440"/>
      </w:tabs>
      <w:spacing w:before="0" w:after="60"/>
      <w:ind w:left="1434" w:hanging="357"/>
    </w:pPr>
    <w:rPr>
      <w:sz w:val="20"/>
      <w:szCs w:val="20"/>
    </w:rPr>
  </w:style>
  <w:style w:type="character" w:customStyle="1" w:styleId="AlttextbulletsChar">
    <w:name w:val="Alt text bullets Char"/>
    <w:basedOn w:val="ListParagraphChar"/>
    <w:link w:val="Alttextbullets"/>
    <w:rsid w:val="00EC3A78"/>
    <w:rPr>
      <w:sz w:val="20"/>
      <w:szCs w:val="20"/>
    </w:rPr>
  </w:style>
  <w:style w:type="paragraph" w:styleId="TableofFigures">
    <w:name w:val="table of figures"/>
    <w:basedOn w:val="Normal"/>
    <w:next w:val="Normal"/>
    <w:uiPriority w:val="99"/>
    <w:unhideWhenUsed/>
    <w:rsid w:val="00890A0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2781">
      <w:bodyDiv w:val="1"/>
      <w:marLeft w:val="0"/>
      <w:marRight w:val="0"/>
      <w:marTop w:val="0"/>
      <w:marBottom w:val="0"/>
      <w:divBdr>
        <w:top w:val="none" w:sz="0" w:space="0" w:color="auto"/>
        <w:left w:val="none" w:sz="0" w:space="0" w:color="auto"/>
        <w:bottom w:val="none" w:sz="0" w:space="0" w:color="auto"/>
        <w:right w:val="none" w:sz="0" w:space="0" w:color="auto"/>
      </w:divBdr>
    </w:div>
    <w:div w:id="429009989">
      <w:bodyDiv w:val="1"/>
      <w:marLeft w:val="0"/>
      <w:marRight w:val="0"/>
      <w:marTop w:val="0"/>
      <w:marBottom w:val="0"/>
      <w:divBdr>
        <w:top w:val="none" w:sz="0" w:space="0" w:color="auto"/>
        <w:left w:val="none" w:sz="0" w:space="0" w:color="auto"/>
        <w:bottom w:val="none" w:sz="0" w:space="0" w:color="auto"/>
        <w:right w:val="none" w:sz="0" w:space="0" w:color="auto"/>
      </w:divBdr>
    </w:div>
    <w:div w:id="960920062">
      <w:bodyDiv w:val="1"/>
      <w:marLeft w:val="0"/>
      <w:marRight w:val="0"/>
      <w:marTop w:val="0"/>
      <w:marBottom w:val="0"/>
      <w:divBdr>
        <w:top w:val="none" w:sz="0" w:space="0" w:color="auto"/>
        <w:left w:val="none" w:sz="0" w:space="0" w:color="auto"/>
        <w:bottom w:val="none" w:sz="0" w:space="0" w:color="auto"/>
        <w:right w:val="none" w:sz="0" w:space="0" w:color="auto"/>
      </w:divBdr>
    </w:div>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 w:id="1426414851">
      <w:marLeft w:val="0"/>
      <w:marRight w:val="0"/>
      <w:marTop w:val="0"/>
      <w:marBottom w:val="0"/>
      <w:divBdr>
        <w:top w:val="none" w:sz="0" w:space="0" w:color="auto"/>
        <w:left w:val="none" w:sz="0" w:space="0" w:color="auto"/>
        <w:bottom w:val="none" w:sz="0" w:space="0" w:color="auto"/>
        <w:right w:val="none" w:sz="0" w:space="0" w:color="auto"/>
      </w:divBdr>
    </w:div>
    <w:div w:id="1470320984">
      <w:marLeft w:val="0"/>
      <w:marRight w:val="0"/>
      <w:marTop w:val="0"/>
      <w:marBottom w:val="0"/>
      <w:divBdr>
        <w:top w:val="none" w:sz="0" w:space="0" w:color="auto"/>
        <w:left w:val="none" w:sz="0" w:space="0" w:color="auto"/>
        <w:bottom w:val="none" w:sz="0" w:space="0" w:color="auto"/>
        <w:right w:val="none" w:sz="0" w:space="0" w:color="auto"/>
      </w:divBdr>
    </w:div>
    <w:div w:id="1786582538">
      <w:bodyDiv w:val="1"/>
      <w:marLeft w:val="0"/>
      <w:marRight w:val="0"/>
      <w:marTop w:val="0"/>
      <w:marBottom w:val="0"/>
      <w:divBdr>
        <w:top w:val="none" w:sz="0" w:space="0" w:color="auto"/>
        <w:left w:val="none" w:sz="0" w:space="0" w:color="auto"/>
        <w:bottom w:val="none" w:sz="0" w:space="0" w:color="auto"/>
        <w:right w:val="none" w:sz="0" w:space="0" w:color="auto"/>
      </w:divBdr>
    </w:div>
    <w:div w:id="2066679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chart" Target="charts/chart2.xml"/><Relationship Id="rId42" Type="http://schemas.openxmlformats.org/officeDocument/2006/relationships/image" Target="media/image23.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chart" Target="charts/chart1.xml"/><Relationship Id="rId37" Type="http://schemas.openxmlformats.org/officeDocument/2006/relationships/image" Target="cid:image004.png@01DC58A8.379628D0" TargetMode="External"/><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gela.Perez\AppData\Local\Microsoft\Windows\INetCache\Content.Outlook\HIDJSPTM\ReservesProduction_Charts_AnnualReport_2025_JM%20(00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gela.Perez\AppData\Local\Microsoft\Windows\INetCache\Content.Outlook\HIDJSPTM\Data%20Management%20Stats%20FY24-25%20for%20annual%20repo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'2024-25 Annual Report-5 yr ONLY'!$D$3</c:f>
              <c:strCache>
                <c:ptCount val="1"/>
                <c:pt idx="0">
                  <c:v>Reserves/Production Ratio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'2024-25 Annual Report-5 yr ONLY'!$B$4:$B$8</c:f>
              <c:numCache>
                <c:formatCode>General</c:formatCode>
                <c:ptCount val="5"/>
                <c:pt idx="0">
                  <c:v>2019</c:v>
                </c:pt>
                <c:pt idx="1">
                  <c:v>2020</c:v>
                </c:pt>
                <c:pt idx="2">
                  <c:v>2021</c:v>
                </c:pt>
                <c:pt idx="3">
                  <c:v>2022</c:v>
                </c:pt>
                <c:pt idx="4">
                  <c:v>2023</c:v>
                </c:pt>
              </c:numCache>
            </c:numRef>
          </c:cat>
          <c:val>
            <c:numRef>
              <c:f>'2024-25 Annual Report-5 yr ONLY'!$D$4:$D$8</c:f>
              <c:numCache>
                <c:formatCode>General</c:formatCode>
                <c:ptCount val="5"/>
                <c:pt idx="0" formatCode="0">
                  <c:v>15.880636160191653</c:v>
                </c:pt>
                <c:pt idx="1">
                  <c:v>15</c:v>
                </c:pt>
                <c:pt idx="2">
                  <c:v>16</c:v>
                </c:pt>
                <c:pt idx="3">
                  <c:v>15</c:v>
                </c:pt>
                <c:pt idx="4" formatCode="0">
                  <c:v>14.600774239325178</c:v>
                </c:pt>
              </c:numCache>
            </c:numRef>
          </c:val>
          <c:extLst>
            <c:ext xmlns:c16="http://schemas.microsoft.com/office/drawing/2014/chart" uri="{C3380CC4-5D6E-409C-BE32-E72D297353CC}">
              <c16:uniqueId val="{00000000-76C4-411F-979E-FDA5F1C80822}"/>
            </c:ext>
          </c:extLst>
        </c:ser>
        <c:dLbls>
          <c:showLegendKey val="0"/>
          <c:showVal val="1"/>
          <c:showCatName val="0"/>
          <c:showSerName val="0"/>
          <c:showPercent val="0"/>
          <c:showBubbleSize val="0"/>
        </c:dLbls>
        <c:gapWidth val="75"/>
        <c:axId val="452604112"/>
        <c:axId val="452602144"/>
      </c:barChart>
      <c:catAx>
        <c:axId val="45260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52602144"/>
        <c:crosses val="autoZero"/>
        <c:auto val="1"/>
        <c:lblAlgn val="ctr"/>
        <c:lblOffset val="100"/>
        <c:noMultiLvlLbl val="0"/>
      </c:catAx>
      <c:valAx>
        <c:axId val="452602144"/>
        <c:scaling>
          <c:orientation val="minMax"/>
          <c:max val="20"/>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452604112"/>
        <c:crosses val="autoZero"/>
        <c:crossBetween val="between"/>
        <c:majorUnit val="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Activity Reporting</a:t>
            </a:r>
          </a:p>
        </c:rich>
      </c:tx>
      <c:layout>
        <c:manualLayout>
          <c:xMode val="edge"/>
          <c:yMode val="edge"/>
          <c:x val="0.37121089528518153"/>
          <c:y val="3.869616101938892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col"/>
        <c:grouping val="stacked"/>
        <c:varyColors val="0"/>
        <c:ser>
          <c:idx val="0"/>
          <c:order val="0"/>
          <c:tx>
            <c:strRef>
              <c:f>'Annual report'!$A$6</c:f>
              <c:strCache>
                <c:ptCount val="1"/>
                <c:pt idx="0">
                  <c:v>Weekly Survey Reports</c:v>
                </c:pt>
              </c:strCache>
            </c:strRef>
          </c:tx>
          <c:spPr>
            <a:solidFill>
              <a:srgbClr val="FFC000"/>
            </a:solidFill>
            <a:ln>
              <a:solidFill>
                <a:schemeClr val="accent2"/>
              </a:solidFill>
            </a:ln>
            <a:effectLst/>
          </c:spPr>
          <c:invertIfNegative val="0"/>
          <c:cat>
            <c:strRef>
              <c:f>'Annual report'!$D$2:$H$2</c:f>
              <c:strCache>
                <c:ptCount val="5"/>
                <c:pt idx="0">
                  <c:v>2020-21</c:v>
                </c:pt>
                <c:pt idx="1">
                  <c:v>2021-22</c:v>
                </c:pt>
                <c:pt idx="2">
                  <c:v>2022-23</c:v>
                </c:pt>
                <c:pt idx="3">
                  <c:v>2023-24</c:v>
                </c:pt>
                <c:pt idx="4">
                  <c:v>2024-25</c:v>
                </c:pt>
              </c:strCache>
            </c:strRef>
          </c:cat>
          <c:val>
            <c:numRef>
              <c:f>'Annual report'!$D$6:$H$6</c:f>
              <c:numCache>
                <c:formatCode>General</c:formatCode>
                <c:ptCount val="5"/>
                <c:pt idx="0">
                  <c:v>13</c:v>
                </c:pt>
                <c:pt idx="1">
                  <c:v>55</c:v>
                </c:pt>
                <c:pt idx="2">
                  <c:v>14</c:v>
                </c:pt>
                <c:pt idx="3">
                  <c:v>25</c:v>
                </c:pt>
                <c:pt idx="4">
                  <c:v>28</c:v>
                </c:pt>
              </c:numCache>
            </c:numRef>
          </c:val>
          <c:extLst>
            <c:ext xmlns:c16="http://schemas.microsoft.com/office/drawing/2014/chart" uri="{C3380CC4-5D6E-409C-BE32-E72D297353CC}">
              <c16:uniqueId val="{00000000-38A3-4E44-AD99-ECB73553ED51}"/>
            </c:ext>
          </c:extLst>
        </c:ser>
        <c:ser>
          <c:idx val="1"/>
          <c:order val="1"/>
          <c:tx>
            <c:strRef>
              <c:f>'Annual report'!$A$5</c:f>
              <c:strCache>
                <c:ptCount val="1"/>
                <c:pt idx="0">
                  <c:v>Daily Drilling reports</c:v>
                </c:pt>
              </c:strCache>
            </c:strRef>
          </c:tx>
          <c:spPr>
            <a:solidFill>
              <a:schemeClr val="accent1"/>
            </a:solidFill>
            <a:ln>
              <a:solidFill>
                <a:schemeClr val="accent1"/>
              </a:solidFill>
            </a:ln>
            <a:effectLst/>
          </c:spPr>
          <c:invertIfNegative val="0"/>
          <c:cat>
            <c:strRef>
              <c:f>'Annual report'!$D$2:$H$2</c:f>
              <c:strCache>
                <c:ptCount val="5"/>
                <c:pt idx="0">
                  <c:v>2020-21</c:v>
                </c:pt>
                <c:pt idx="1">
                  <c:v>2021-22</c:v>
                </c:pt>
                <c:pt idx="2">
                  <c:v>2022-23</c:v>
                </c:pt>
                <c:pt idx="3">
                  <c:v>2023-24</c:v>
                </c:pt>
                <c:pt idx="4">
                  <c:v>2024-25</c:v>
                </c:pt>
              </c:strCache>
            </c:strRef>
          </c:cat>
          <c:val>
            <c:numRef>
              <c:f>'Annual report'!$D$5:$H$5</c:f>
              <c:numCache>
                <c:formatCode>General</c:formatCode>
                <c:ptCount val="5"/>
                <c:pt idx="0">
                  <c:v>2305</c:v>
                </c:pt>
                <c:pt idx="1">
                  <c:v>3051</c:v>
                </c:pt>
                <c:pt idx="2">
                  <c:v>3239</c:v>
                </c:pt>
                <c:pt idx="3">
                  <c:v>3379</c:v>
                </c:pt>
                <c:pt idx="4">
                  <c:v>4776</c:v>
                </c:pt>
              </c:numCache>
            </c:numRef>
          </c:val>
          <c:extLst>
            <c:ext xmlns:c16="http://schemas.microsoft.com/office/drawing/2014/chart" uri="{C3380CC4-5D6E-409C-BE32-E72D297353CC}">
              <c16:uniqueId val="{00000001-38A3-4E44-AD99-ECB73553ED51}"/>
            </c:ext>
          </c:extLst>
        </c:ser>
        <c:ser>
          <c:idx val="3"/>
          <c:order val="2"/>
          <c:tx>
            <c:strRef>
              <c:f>'Annual report'!$A$4</c:f>
              <c:strCache>
                <c:ptCount val="1"/>
                <c:pt idx="0">
                  <c:v>Monthly Production Reports</c:v>
                </c:pt>
              </c:strCache>
            </c:strRef>
          </c:tx>
          <c:spPr>
            <a:solidFill>
              <a:srgbClr val="00B0F0"/>
            </a:solidFill>
            <a:ln>
              <a:solidFill>
                <a:srgbClr val="00B0F0"/>
              </a:solidFill>
            </a:ln>
            <a:effectLst/>
          </c:spPr>
          <c:invertIfNegative val="0"/>
          <c:cat>
            <c:strRef>
              <c:f>'Annual report'!$D$2:$H$2</c:f>
              <c:strCache>
                <c:ptCount val="5"/>
                <c:pt idx="0">
                  <c:v>2020-21</c:v>
                </c:pt>
                <c:pt idx="1">
                  <c:v>2021-22</c:v>
                </c:pt>
                <c:pt idx="2">
                  <c:v>2022-23</c:v>
                </c:pt>
                <c:pt idx="3">
                  <c:v>2023-24</c:v>
                </c:pt>
                <c:pt idx="4">
                  <c:v>2024-25</c:v>
                </c:pt>
              </c:strCache>
            </c:strRef>
          </c:cat>
          <c:val>
            <c:numRef>
              <c:f>'Annual report'!$D$4:$H$4</c:f>
              <c:numCache>
                <c:formatCode>General</c:formatCode>
                <c:ptCount val="5"/>
                <c:pt idx="0">
                  <c:v>1055</c:v>
                </c:pt>
                <c:pt idx="1">
                  <c:v>1087</c:v>
                </c:pt>
                <c:pt idx="2">
                  <c:v>1116</c:v>
                </c:pt>
                <c:pt idx="3">
                  <c:v>1120</c:v>
                </c:pt>
                <c:pt idx="4">
                  <c:v>1146</c:v>
                </c:pt>
              </c:numCache>
            </c:numRef>
          </c:val>
          <c:extLst>
            <c:ext xmlns:c16="http://schemas.microsoft.com/office/drawing/2014/chart" uri="{C3380CC4-5D6E-409C-BE32-E72D297353CC}">
              <c16:uniqueId val="{00000002-38A3-4E44-AD99-ECB73553ED51}"/>
            </c:ext>
          </c:extLst>
        </c:ser>
        <c:dLbls>
          <c:showLegendKey val="0"/>
          <c:showVal val="0"/>
          <c:showCatName val="0"/>
          <c:showSerName val="0"/>
          <c:showPercent val="0"/>
          <c:showBubbleSize val="0"/>
        </c:dLbls>
        <c:gapWidth val="150"/>
        <c:overlap val="100"/>
        <c:axId val="793296864"/>
        <c:axId val="793297192"/>
      </c:barChart>
      <c:catAx>
        <c:axId val="79329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3297192"/>
        <c:crosses val="autoZero"/>
        <c:auto val="1"/>
        <c:lblAlgn val="ctr"/>
        <c:lblOffset val="100"/>
        <c:noMultiLvlLbl val="0"/>
      </c:catAx>
      <c:valAx>
        <c:axId val="793297192"/>
        <c:scaling>
          <c:orientation val="minMax"/>
          <c:max val="6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329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869882947039135E-2"/>
          <c:y val="0.12024493542854164"/>
          <c:w val="0.87829942935954974"/>
          <c:h val="0.71072520670876915"/>
        </c:manualLayout>
      </c:layout>
      <c:barChart>
        <c:barDir val="col"/>
        <c:grouping val="clustered"/>
        <c:varyColors val="0"/>
        <c:ser>
          <c:idx val="0"/>
          <c:order val="0"/>
          <c:tx>
            <c:strRef>
              <c:f>'Fg 15, 16, 17, 18, 19, 20, 21 '!$A$3</c:f>
              <c:strCache>
                <c:ptCount val="1"/>
                <c:pt idx="0">
                  <c:v>% Applications met target timeframes </c:v>
                </c:pt>
              </c:strCache>
            </c:strRef>
          </c:tx>
          <c:spPr>
            <a:solidFill>
              <a:schemeClr val="accent1"/>
            </a:solidFill>
            <a:ln>
              <a:solidFill>
                <a:schemeClr val="accent1">
                  <a:alpha val="95000"/>
                </a:schemeClr>
              </a:solidFill>
            </a:ln>
            <a:effectLst/>
          </c:spPr>
          <c:invertIfNegative val="0"/>
          <c:dLbls>
            <c:dLbl>
              <c:idx val="0"/>
              <c:layout>
                <c:manualLayout>
                  <c:x val="1.800574851243453E-3"/>
                  <c:y val="-1.9377159110125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53-4218-8BD0-2B6F2C7E7D02}"/>
                </c:ext>
              </c:extLst>
            </c:dLbl>
            <c:dLbl>
              <c:idx val="1"/>
              <c:layout>
                <c:manualLayout>
                  <c:x val="1.800574851243453E-3"/>
                  <c:y val="9.68857955506276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53-4218-8BD0-2B6F2C7E7D0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31750" cap="rnd">
                <a:solidFill>
                  <a:schemeClr val="tx1"/>
                </a:solidFill>
                <a:prstDash val="dash"/>
                <a:headEnd type="none"/>
                <a:tailEnd type="none"/>
              </a:ln>
              <a:effectLst/>
            </c:spPr>
            <c:trendlineType val="linear"/>
            <c:dispRSqr val="0"/>
            <c:dispEq val="0"/>
          </c:trendline>
          <c:cat>
            <c:strRef>
              <c:f>'Fg 15, 16, 17, 18, 19, 20, 21 '!$A$8:$A$13</c:f>
              <c:strCache>
                <c:ptCount val="6"/>
                <c:pt idx="0">
                  <c:v>2019-20</c:v>
                </c:pt>
                <c:pt idx="1">
                  <c:v>2020-21</c:v>
                </c:pt>
                <c:pt idx="2">
                  <c:v>2021-22</c:v>
                </c:pt>
                <c:pt idx="3">
                  <c:v>2022-23</c:v>
                </c:pt>
                <c:pt idx="4">
                  <c:v>2023-24</c:v>
                </c:pt>
                <c:pt idx="5">
                  <c:v>2024-25</c:v>
                </c:pt>
              </c:strCache>
            </c:strRef>
          </c:cat>
          <c:val>
            <c:numRef>
              <c:f>'Fg 15, 16, 17, 18, 19, 20, 21 '!$B$8:$B$13</c:f>
              <c:numCache>
                <c:formatCode>General</c:formatCode>
                <c:ptCount val="6"/>
                <c:pt idx="0">
                  <c:v>82</c:v>
                </c:pt>
                <c:pt idx="1">
                  <c:v>93</c:v>
                </c:pt>
                <c:pt idx="2">
                  <c:v>93</c:v>
                </c:pt>
                <c:pt idx="3">
                  <c:v>97</c:v>
                </c:pt>
                <c:pt idx="4">
                  <c:v>97</c:v>
                </c:pt>
                <c:pt idx="5">
                  <c:v>99</c:v>
                </c:pt>
              </c:numCache>
            </c:numRef>
          </c:val>
          <c:extLst>
            <c:ext xmlns:c16="http://schemas.microsoft.com/office/drawing/2014/chart" uri="{C3380CC4-5D6E-409C-BE32-E72D297353CC}">
              <c16:uniqueId val="{00000003-A253-4218-8BD0-2B6F2C7E7D02}"/>
            </c:ext>
          </c:extLst>
        </c:ser>
        <c:dLbls>
          <c:showLegendKey val="0"/>
          <c:showVal val="0"/>
          <c:showCatName val="0"/>
          <c:showSerName val="0"/>
          <c:showPercent val="0"/>
          <c:showBubbleSize val="0"/>
        </c:dLbls>
        <c:gapWidth val="219"/>
        <c:overlap val="-27"/>
        <c:axId val="668438232"/>
        <c:axId val="668436592"/>
      </c:barChart>
      <c:catAx>
        <c:axId val="66843823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AU" sz="1200" b="1"/>
                  <a:t>Financial Year</a:t>
                </a:r>
              </a:p>
            </c:rich>
          </c:tx>
          <c:layout>
            <c:manualLayout>
              <c:xMode val="edge"/>
              <c:yMode val="edge"/>
              <c:x val="0.42428574668804558"/>
              <c:y val="0.9102925528585555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68436592"/>
        <c:crosses val="autoZero"/>
        <c:auto val="1"/>
        <c:lblAlgn val="ctr"/>
        <c:lblOffset val="100"/>
        <c:noMultiLvlLbl val="0"/>
      </c:catAx>
      <c:valAx>
        <c:axId val="668436592"/>
        <c:scaling>
          <c:orientation val="minMax"/>
          <c:max val="10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AU" sz="1200" b="1" baseline="0"/>
                  <a:t>Timeframe Met (%)</a:t>
                </a:r>
                <a:endParaRPr lang="en-AU" sz="1200" b="1"/>
              </a:p>
            </c:rich>
          </c:tx>
          <c:layout>
            <c:manualLayout>
              <c:xMode val="edge"/>
              <c:yMode val="edge"/>
              <c:x val="2.7509330002041346E-3"/>
              <c:y val="0.28318165316775779"/>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68438232"/>
        <c:crosses val="autoZero"/>
        <c:crossBetween val="between"/>
        <c:majorUnit val="20"/>
      </c:valAx>
      <c:spPr>
        <a:noFill/>
        <a:ln>
          <a:gradFill>
            <a:gsLst>
              <a:gs pos="15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softEdge rad="63500"/>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ISR 2023">
      <a:dk1>
        <a:srgbClr val="000000"/>
      </a:dk1>
      <a:lt1>
        <a:sysClr val="window" lastClr="FFFFFF"/>
      </a:lt1>
      <a:dk2>
        <a:srgbClr val="095258"/>
      </a:dk2>
      <a:lt2>
        <a:srgbClr val="E7E6E6"/>
      </a:lt2>
      <a:accent1>
        <a:srgbClr val="001B35"/>
      </a:accent1>
      <a:accent2>
        <a:srgbClr val="993533"/>
      </a:accent2>
      <a:accent3>
        <a:srgbClr val="00D3D1"/>
      </a:accent3>
      <a:accent4>
        <a:srgbClr val="15659B"/>
      </a:accent4>
      <a:accent5>
        <a:srgbClr val="E5FD8C"/>
      </a:accent5>
      <a:accent6>
        <a:srgbClr val="B7E4F7"/>
      </a:accent6>
      <a:hlink>
        <a:srgbClr val="15659B"/>
      </a:hlink>
      <a:folHlink>
        <a:srgbClr val="954F72"/>
      </a:folHlink>
    </a:clrScheme>
    <a:fontScheme name="DISR Aptos 2023 v2">
      <a:majorFont>
        <a:latin typeface="Aptos SemiBold"/>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D8DDB-8D5A-42FF-8C84-6E6517C0CB5E}">
  <ds:schemaRefs>
    <ds:schemaRef ds:uri="http://schemas.openxmlformats.org/officeDocument/2006/bibliography"/>
  </ds:schemaRefs>
</ds:datastoreItem>
</file>

<file path=docMetadata/LabelInfo.xml><?xml version="1.0" encoding="utf-8"?>
<clbl:labelList xmlns:clbl="http://schemas.microsoft.com/office/2020/mipLabelMetadata">
  <clbl:label id="{f788632b-1377-4314-aac5-af7281e8e760}" enabled="1" method="Privileged" siteId="{8f73f427-32e5-4a3b-8d42-b369b956a96b}"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10709</Words>
  <Characters>64579</Characters>
  <Application>Microsoft Office Word</Application>
  <DocSecurity>0</DocSecurity>
  <Lines>1699</Lines>
  <Paragraphs>1254</Paragraphs>
  <ScaleCrop>false</ScaleCrop>
  <Manager/>
  <Company/>
  <LinksUpToDate>false</LinksUpToDate>
  <CharactersWithSpaces>74034</CharactersWithSpaces>
  <SharedDoc>false</SharedDoc>
  <HLinks>
    <vt:vector size="252" baseType="variant">
      <vt:variant>
        <vt:i4>1507380</vt:i4>
      </vt:variant>
      <vt:variant>
        <vt:i4>248</vt:i4>
      </vt:variant>
      <vt:variant>
        <vt:i4>0</vt:i4>
      </vt:variant>
      <vt:variant>
        <vt:i4>5</vt:i4>
      </vt:variant>
      <vt:variant>
        <vt:lpwstr/>
      </vt:variant>
      <vt:variant>
        <vt:lpwstr>_Toc222500476</vt:lpwstr>
      </vt:variant>
      <vt:variant>
        <vt:i4>1507380</vt:i4>
      </vt:variant>
      <vt:variant>
        <vt:i4>242</vt:i4>
      </vt:variant>
      <vt:variant>
        <vt:i4>0</vt:i4>
      </vt:variant>
      <vt:variant>
        <vt:i4>5</vt:i4>
      </vt:variant>
      <vt:variant>
        <vt:lpwstr/>
      </vt:variant>
      <vt:variant>
        <vt:lpwstr>_Toc222500475</vt:lpwstr>
      </vt:variant>
      <vt:variant>
        <vt:i4>1507380</vt:i4>
      </vt:variant>
      <vt:variant>
        <vt:i4>236</vt:i4>
      </vt:variant>
      <vt:variant>
        <vt:i4>0</vt:i4>
      </vt:variant>
      <vt:variant>
        <vt:i4>5</vt:i4>
      </vt:variant>
      <vt:variant>
        <vt:lpwstr/>
      </vt:variant>
      <vt:variant>
        <vt:lpwstr>_Toc222500474</vt:lpwstr>
      </vt:variant>
      <vt:variant>
        <vt:i4>1507380</vt:i4>
      </vt:variant>
      <vt:variant>
        <vt:i4>230</vt:i4>
      </vt:variant>
      <vt:variant>
        <vt:i4>0</vt:i4>
      </vt:variant>
      <vt:variant>
        <vt:i4>5</vt:i4>
      </vt:variant>
      <vt:variant>
        <vt:lpwstr/>
      </vt:variant>
      <vt:variant>
        <vt:lpwstr>_Toc222500473</vt:lpwstr>
      </vt:variant>
      <vt:variant>
        <vt:i4>1507380</vt:i4>
      </vt:variant>
      <vt:variant>
        <vt:i4>224</vt:i4>
      </vt:variant>
      <vt:variant>
        <vt:i4>0</vt:i4>
      </vt:variant>
      <vt:variant>
        <vt:i4>5</vt:i4>
      </vt:variant>
      <vt:variant>
        <vt:lpwstr/>
      </vt:variant>
      <vt:variant>
        <vt:lpwstr>_Toc222500472</vt:lpwstr>
      </vt:variant>
      <vt:variant>
        <vt:i4>1507380</vt:i4>
      </vt:variant>
      <vt:variant>
        <vt:i4>218</vt:i4>
      </vt:variant>
      <vt:variant>
        <vt:i4>0</vt:i4>
      </vt:variant>
      <vt:variant>
        <vt:i4>5</vt:i4>
      </vt:variant>
      <vt:variant>
        <vt:lpwstr/>
      </vt:variant>
      <vt:variant>
        <vt:lpwstr>_Toc222500471</vt:lpwstr>
      </vt:variant>
      <vt:variant>
        <vt:i4>1507380</vt:i4>
      </vt:variant>
      <vt:variant>
        <vt:i4>212</vt:i4>
      </vt:variant>
      <vt:variant>
        <vt:i4>0</vt:i4>
      </vt:variant>
      <vt:variant>
        <vt:i4>5</vt:i4>
      </vt:variant>
      <vt:variant>
        <vt:lpwstr/>
      </vt:variant>
      <vt:variant>
        <vt:lpwstr>_Toc222500470</vt:lpwstr>
      </vt:variant>
      <vt:variant>
        <vt:i4>1441844</vt:i4>
      </vt:variant>
      <vt:variant>
        <vt:i4>206</vt:i4>
      </vt:variant>
      <vt:variant>
        <vt:i4>0</vt:i4>
      </vt:variant>
      <vt:variant>
        <vt:i4>5</vt:i4>
      </vt:variant>
      <vt:variant>
        <vt:lpwstr/>
      </vt:variant>
      <vt:variant>
        <vt:lpwstr>_Toc222500469</vt:lpwstr>
      </vt:variant>
      <vt:variant>
        <vt:i4>1441844</vt:i4>
      </vt:variant>
      <vt:variant>
        <vt:i4>200</vt:i4>
      </vt:variant>
      <vt:variant>
        <vt:i4>0</vt:i4>
      </vt:variant>
      <vt:variant>
        <vt:i4>5</vt:i4>
      </vt:variant>
      <vt:variant>
        <vt:lpwstr/>
      </vt:variant>
      <vt:variant>
        <vt:lpwstr>_Toc222500468</vt:lpwstr>
      </vt:variant>
      <vt:variant>
        <vt:i4>1441844</vt:i4>
      </vt:variant>
      <vt:variant>
        <vt:i4>194</vt:i4>
      </vt:variant>
      <vt:variant>
        <vt:i4>0</vt:i4>
      </vt:variant>
      <vt:variant>
        <vt:i4>5</vt:i4>
      </vt:variant>
      <vt:variant>
        <vt:lpwstr/>
      </vt:variant>
      <vt:variant>
        <vt:lpwstr>_Toc222500467</vt:lpwstr>
      </vt:variant>
      <vt:variant>
        <vt:i4>1441844</vt:i4>
      </vt:variant>
      <vt:variant>
        <vt:i4>188</vt:i4>
      </vt:variant>
      <vt:variant>
        <vt:i4>0</vt:i4>
      </vt:variant>
      <vt:variant>
        <vt:i4>5</vt:i4>
      </vt:variant>
      <vt:variant>
        <vt:lpwstr/>
      </vt:variant>
      <vt:variant>
        <vt:lpwstr>_Toc222500466</vt:lpwstr>
      </vt:variant>
      <vt:variant>
        <vt:i4>1441844</vt:i4>
      </vt:variant>
      <vt:variant>
        <vt:i4>182</vt:i4>
      </vt:variant>
      <vt:variant>
        <vt:i4>0</vt:i4>
      </vt:variant>
      <vt:variant>
        <vt:i4>5</vt:i4>
      </vt:variant>
      <vt:variant>
        <vt:lpwstr/>
      </vt:variant>
      <vt:variant>
        <vt:lpwstr>_Toc222500465</vt:lpwstr>
      </vt:variant>
      <vt:variant>
        <vt:i4>1441844</vt:i4>
      </vt:variant>
      <vt:variant>
        <vt:i4>176</vt:i4>
      </vt:variant>
      <vt:variant>
        <vt:i4>0</vt:i4>
      </vt:variant>
      <vt:variant>
        <vt:i4>5</vt:i4>
      </vt:variant>
      <vt:variant>
        <vt:lpwstr/>
      </vt:variant>
      <vt:variant>
        <vt:lpwstr>_Toc222500464</vt:lpwstr>
      </vt:variant>
      <vt:variant>
        <vt:i4>1441844</vt:i4>
      </vt:variant>
      <vt:variant>
        <vt:i4>170</vt:i4>
      </vt:variant>
      <vt:variant>
        <vt:i4>0</vt:i4>
      </vt:variant>
      <vt:variant>
        <vt:i4>5</vt:i4>
      </vt:variant>
      <vt:variant>
        <vt:lpwstr/>
      </vt:variant>
      <vt:variant>
        <vt:lpwstr>_Toc222500463</vt:lpwstr>
      </vt:variant>
      <vt:variant>
        <vt:i4>1441844</vt:i4>
      </vt:variant>
      <vt:variant>
        <vt:i4>164</vt:i4>
      </vt:variant>
      <vt:variant>
        <vt:i4>0</vt:i4>
      </vt:variant>
      <vt:variant>
        <vt:i4>5</vt:i4>
      </vt:variant>
      <vt:variant>
        <vt:lpwstr/>
      </vt:variant>
      <vt:variant>
        <vt:lpwstr>_Toc222500462</vt:lpwstr>
      </vt:variant>
      <vt:variant>
        <vt:i4>1441844</vt:i4>
      </vt:variant>
      <vt:variant>
        <vt:i4>158</vt:i4>
      </vt:variant>
      <vt:variant>
        <vt:i4>0</vt:i4>
      </vt:variant>
      <vt:variant>
        <vt:i4>5</vt:i4>
      </vt:variant>
      <vt:variant>
        <vt:lpwstr/>
      </vt:variant>
      <vt:variant>
        <vt:lpwstr>_Toc222500461</vt:lpwstr>
      </vt:variant>
      <vt:variant>
        <vt:i4>1441844</vt:i4>
      </vt:variant>
      <vt:variant>
        <vt:i4>152</vt:i4>
      </vt:variant>
      <vt:variant>
        <vt:i4>0</vt:i4>
      </vt:variant>
      <vt:variant>
        <vt:i4>5</vt:i4>
      </vt:variant>
      <vt:variant>
        <vt:lpwstr/>
      </vt:variant>
      <vt:variant>
        <vt:lpwstr>_Toc222500460</vt:lpwstr>
      </vt:variant>
      <vt:variant>
        <vt:i4>1376308</vt:i4>
      </vt:variant>
      <vt:variant>
        <vt:i4>146</vt:i4>
      </vt:variant>
      <vt:variant>
        <vt:i4>0</vt:i4>
      </vt:variant>
      <vt:variant>
        <vt:i4>5</vt:i4>
      </vt:variant>
      <vt:variant>
        <vt:lpwstr/>
      </vt:variant>
      <vt:variant>
        <vt:lpwstr>_Toc222500459</vt:lpwstr>
      </vt:variant>
      <vt:variant>
        <vt:i4>1376308</vt:i4>
      </vt:variant>
      <vt:variant>
        <vt:i4>140</vt:i4>
      </vt:variant>
      <vt:variant>
        <vt:i4>0</vt:i4>
      </vt:variant>
      <vt:variant>
        <vt:i4>5</vt:i4>
      </vt:variant>
      <vt:variant>
        <vt:lpwstr/>
      </vt:variant>
      <vt:variant>
        <vt:lpwstr>_Toc222500458</vt:lpwstr>
      </vt:variant>
      <vt:variant>
        <vt:i4>1376308</vt:i4>
      </vt:variant>
      <vt:variant>
        <vt:i4>134</vt:i4>
      </vt:variant>
      <vt:variant>
        <vt:i4>0</vt:i4>
      </vt:variant>
      <vt:variant>
        <vt:i4>5</vt:i4>
      </vt:variant>
      <vt:variant>
        <vt:lpwstr/>
      </vt:variant>
      <vt:variant>
        <vt:lpwstr>_Toc222500457</vt:lpwstr>
      </vt:variant>
      <vt:variant>
        <vt:i4>1376308</vt:i4>
      </vt:variant>
      <vt:variant>
        <vt:i4>128</vt:i4>
      </vt:variant>
      <vt:variant>
        <vt:i4>0</vt:i4>
      </vt:variant>
      <vt:variant>
        <vt:i4>5</vt:i4>
      </vt:variant>
      <vt:variant>
        <vt:lpwstr/>
      </vt:variant>
      <vt:variant>
        <vt:lpwstr>_Toc222500456</vt:lpwstr>
      </vt:variant>
      <vt:variant>
        <vt:i4>1376308</vt:i4>
      </vt:variant>
      <vt:variant>
        <vt:i4>122</vt:i4>
      </vt:variant>
      <vt:variant>
        <vt:i4>0</vt:i4>
      </vt:variant>
      <vt:variant>
        <vt:i4>5</vt:i4>
      </vt:variant>
      <vt:variant>
        <vt:lpwstr/>
      </vt:variant>
      <vt:variant>
        <vt:lpwstr>_Toc222500455</vt:lpwstr>
      </vt:variant>
      <vt:variant>
        <vt:i4>1376308</vt:i4>
      </vt:variant>
      <vt:variant>
        <vt:i4>116</vt:i4>
      </vt:variant>
      <vt:variant>
        <vt:i4>0</vt:i4>
      </vt:variant>
      <vt:variant>
        <vt:i4>5</vt:i4>
      </vt:variant>
      <vt:variant>
        <vt:lpwstr/>
      </vt:variant>
      <vt:variant>
        <vt:lpwstr>_Toc222500454</vt:lpwstr>
      </vt:variant>
      <vt:variant>
        <vt:i4>1376308</vt:i4>
      </vt:variant>
      <vt:variant>
        <vt:i4>110</vt:i4>
      </vt:variant>
      <vt:variant>
        <vt:i4>0</vt:i4>
      </vt:variant>
      <vt:variant>
        <vt:i4>5</vt:i4>
      </vt:variant>
      <vt:variant>
        <vt:lpwstr/>
      </vt:variant>
      <vt:variant>
        <vt:lpwstr>_Toc222500453</vt:lpwstr>
      </vt:variant>
      <vt:variant>
        <vt:i4>1376308</vt:i4>
      </vt:variant>
      <vt:variant>
        <vt:i4>104</vt:i4>
      </vt:variant>
      <vt:variant>
        <vt:i4>0</vt:i4>
      </vt:variant>
      <vt:variant>
        <vt:i4>5</vt:i4>
      </vt:variant>
      <vt:variant>
        <vt:lpwstr/>
      </vt:variant>
      <vt:variant>
        <vt:lpwstr>_Toc222500452</vt:lpwstr>
      </vt:variant>
      <vt:variant>
        <vt:i4>1376308</vt:i4>
      </vt:variant>
      <vt:variant>
        <vt:i4>98</vt:i4>
      </vt:variant>
      <vt:variant>
        <vt:i4>0</vt:i4>
      </vt:variant>
      <vt:variant>
        <vt:i4>5</vt:i4>
      </vt:variant>
      <vt:variant>
        <vt:lpwstr/>
      </vt:variant>
      <vt:variant>
        <vt:lpwstr>_Toc222500451</vt:lpwstr>
      </vt:variant>
      <vt:variant>
        <vt:i4>1376308</vt:i4>
      </vt:variant>
      <vt:variant>
        <vt:i4>92</vt:i4>
      </vt:variant>
      <vt:variant>
        <vt:i4>0</vt:i4>
      </vt:variant>
      <vt:variant>
        <vt:i4>5</vt:i4>
      </vt:variant>
      <vt:variant>
        <vt:lpwstr/>
      </vt:variant>
      <vt:variant>
        <vt:lpwstr>_Toc222500450</vt:lpwstr>
      </vt:variant>
      <vt:variant>
        <vt:i4>1310772</vt:i4>
      </vt:variant>
      <vt:variant>
        <vt:i4>86</vt:i4>
      </vt:variant>
      <vt:variant>
        <vt:i4>0</vt:i4>
      </vt:variant>
      <vt:variant>
        <vt:i4>5</vt:i4>
      </vt:variant>
      <vt:variant>
        <vt:lpwstr/>
      </vt:variant>
      <vt:variant>
        <vt:lpwstr>_Toc222500449</vt:lpwstr>
      </vt:variant>
      <vt:variant>
        <vt:i4>1310772</vt:i4>
      </vt:variant>
      <vt:variant>
        <vt:i4>80</vt:i4>
      </vt:variant>
      <vt:variant>
        <vt:i4>0</vt:i4>
      </vt:variant>
      <vt:variant>
        <vt:i4>5</vt:i4>
      </vt:variant>
      <vt:variant>
        <vt:lpwstr/>
      </vt:variant>
      <vt:variant>
        <vt:lpwstr>_Toc222500448</vt:lpwstr>
      </vt:variant>
      <vt:variant>
        <vt:i4>1310772</vt:i4>
      </vt:variant>
      <vt:variant>
        <vt:i4>74</vt:i4>
      </vt:variant>
      <vt:variant>
        <vt:i4>0</vt:i4>
      </vt:variant>
      <vt:variant>
        <vt:i4>5</vt:i4>
      </vt:variant>
      <vt:variant>
        <vt:lpwstr/>
      </vt:variant>
      <vt:variant>
        <vt:lpwstr>_Toc222500447</vt:lpwstr>
      </vt:variant>
      <vt:variant>
        <vt:i4>1310772</vt:i4>
      </vt:variant>
      <vt:variant>
        <vt:i4>68</vt:i4>
      </vt:variant>
      <vt:variant>
        <vt:i4>0</vt:i4>
      </vt:variant>
      <vt:variant>
        <vt:i4>5</vt:i4>
      </vt:variant>
      <vt:variant>
        <vt:lpwstr/>
      </vt:variant>
      <vt:variant>
        <vt:lpwstr>_Toc222500446</vt:lpwstr>
      </vt:variant>
      <vt:variant>
        <vt:i4>1310772</vt:i4>
      </vt:variant>
      <vt:variant>
        <vt:i4>62</vt:i4>
      </vt:variant>
      <vt:variant>
        <vt:i4>0</vt:i4>
      </vt:variant>
      <vt:variant>
        <vt:i4>5</vt:i4>
      </vt:variant>
      <vt:variant>
        <vt:lpwstr/>
      </vt:variant>
      <vt:variant>
        <vt:lpwstr>_Toc222500445</vt:lpwstr>
      </vt:variant>
      <vt:variant>
        <vt:i4>1310772</vt:i4>
      </vt:variant>
      <vt:variant>
        <vt:i4>56</vt:i4>
      </vt:variant>
      <vt:variant>
        <vt:i4>0</vt:i4>
      </vt:variant>
      <vt:variant>
        <vt:i4>5</vt:i4>
      </vt:variant>
      <vt:variant>
        <vt:lpwstr/>
      </vt:variant>
      <vt:variant>
        <vt:lpwstr>_Toc222500444</vt:lpwstr>
      </vt:variant>
      <vt:variant>
        <vt:i4>1310772</vt:i4>
      </vt:variant>
      <vt:variant>
        <vt:i4>50</vt:i4>
      </vt:variant>
      <vt:variant>
        <vt:i4>0</vt:i4>
      </vt:variant>
      <vt:variant>
        <vt:i4>5</vt:i4>
      </vt:variant>
      <vt:variant>
        <vt:lpwstr/>
      </vt:variant>
      <vt:variant>
        <vt:lpwstr>_Toc222500443</vt:lpwstr>
      </vt:variant>
      <vt:variant>
        <vt:i4>1310772</vt:i4>
      </vt:variant>
      <vt:variant>
        <vt:i4>44</vt:i4>
      </vt:variant>
      <vt:variant>
        <vt:i4>0</vt:i4>
      </vt:variant>
      <vt:variant>
        <vt:i4>5</vt:i4>
      </vt:variant>
      <vt:variant>
        <vt:lpwstr/>
      </vt:variant>
      <vt:variant>
        <vt:lpwstr>_Toc222500442</vt:lpwstr>
      </vt:variant>
      <vt:variant>
        <vt:i4>1310772</vt:i4>
      </vt:variant>
      <vt:variant>
        <vt:i4>38</vt:i4>
      </vt:variant>
      <vt:variant>
        <vt:i4>0</vt:i4>
      </vt:variant>
      <vt:variant>
        <vt:i4>5</vt:i4>
      </vt:variant>
      <vt:variant>
        <vt:lpwstr/>
      </vt:variant>
      <vt:variant>
        <vt:lpwstr>_Toc222500441</vt:lpwstr>
      </vt:variant>
      <vt:variant>
        <vt:i4>1310772</vt:i4>
      </vt:variant>
      <vt:variant>
        <vt:i4>32</vt:i4>
      </vt:variant>
      <vt:variant>
        <vt:i4>0</vt:i4>
      </vt:variant>
      <vt:variant>
        <vt:i4>5</vt:i4>
      </vt:variant>
      <vt:variant>
        <vt:lpwstr/>
      </vt:variant>
      <vt:variant>
        <vt:lpwstr>_Toc222500440</vt:lpwstr>
      </vt:variant>
      <vt:variant>
        <vt:i4>1245236</vt:i4>
      </vt:variant>
      <vt:variant>
        <vt:i4>26</vt:i4>
      </vt:variant>
      <vt:variant>
        <vt:i4>0</vt:i4>
      </vt:variant>
      <vt:variant>
        <vt:i4>5</vt:i4>
      </vt:variant>
      <vt:variant>
        <vt:lpwstr/>
      </vt:variant>
      <vt:variant>
        <vt:lpwstr>_Toc222500439</vt:lpwstr>
      </vt:variant>
      <vt:variant>
        <vt:i4>1245236</vt:i4>
      </vt:variant>
      <vt:variant>
        <vt:i4>20</vt:i4>
      </vt:variant>
      <vt:variant>
        <vt:i4>0</vt:i4>
      </vt:variant>
      <vt:variant>
        <vt:i4>5</vt:i4>
      </vt:variant>
      <vt:variant>
        <vt:lpwstr/>
      </vt:variant>
      <vt:variant>
        <vt:lpwstr>_Toc222500438</vt:lpwstr>
      </vt:variant>
      <vt:variant>
        <vt:i4>1245236</vt:i4>
      </vt:variant>
      <vt:variant>
        <vt:i4>14</vt:i4>
      </vt:variant>
      <vt:variant>
        <vt:i4>0</vt:i4>
      </vt:variant>
      <vt:variant>
        <vt:i4>5</vt:i4>
      </vt:variant>
      <vt:variant>
        <vt:lpwstr/>
      </vt:variant>
      <vt:variant>
        <vt:lpwstr>_Toc222500437</vt:lpwstr>
      </vt:variant>
      <vt:variant>
        <vt:i4>1245236</vt:i4>
      </vt:variant>
      <vt:variant>
        <vt:i4>8</vt:i4>
      </vt:variant>
      <vt:variant>
        <vt:i4>0</vt:i4>
      </vt:variant>
      <vt:variant>
        <vt:i4>5</vt:i4>
      </vt:variant>
      <vt:variant>
        <vt:lpwstr/>
      </vt:variant>
      <vt:variant>
        <vt:lpwstr>_Toc222500436</vt:lpwstr>
      </vt:variant>
      <vt:variant>
        <vt:i4>1245236</vt:i4>
      </vt:variant>
      <vt:variant>
        <vt:i4>2</vt:i4>
      </vt:variant>
      <vt:variant>
        <vt:i4>0</vt:i4>
      </vt:variant>
      <vt:variant>
        <vt:i4>5</vt:i4>
      </vt:variant>
      <vt:variant>
        <vt:lpwstr/>
      </vt:variant>
      <vt:variant>
        <vt:lpwstr>_Toc222500435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2026-04-10T01:49:00Z</dcterms:created>
  <dcterms:modified xsi:type="dcterms:W3CDTF">2026-04-10T03:37:00Z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3cd4f2a-0040-47df-a467-7cba635d669c_Enabled">
    <vt:lpwstr>true</vt:lpwstr>
  </property>
  <property fmtid="{D5CDD505-2E9C-101B-9397-08002B2CF9AE}" pid="3" name="MSIP_Label_93cd4f2a-0040-47df-a467-7cba635d669c_SetDate">
    <vt:lpwstr>2026-04-10T01:49:50Z</vt:lpwstr>
  </property>
  <property fmtid="{D5CDD505-2E9C-101B-9397-08002B2CF9AE}" pid="4" name="MSIP_Label_93cd4f2a-0040-47df-a467-7cba635d669c_Method">
    <vt:lpwstr>Standard</vt:lpwstr>
  </property>
  <property fmtid="{D5CDD505-2E9C-101B-9397-08002B2CF9AE}" pid="5" name="MSIP_Label_93cd4f2a-0040-47df-a467-7cba635d669c_Name">
    <vt:lpwstr>OFFICIAL - NOPTA</vt:lpwstr>
  </property>
  <property fmtid="{D5CDD505-2E9C-101B-9397-08002B2CF9AE}" pid="6" name="MSIP_Label_93cd4f2a-0040-47df-a467-7cba635d669c_SiteId">
    <vt:lpwstr>2940859f-ee86-4ee3-848f-02ac9eba62b2</vt:lpwstr>
  </property>
  <property fmtid="{D5CDD505-2E9C-101B-9397-08002B2CF9AE}" pid="7" name="MSIP_Label_93cd4f2a-0040-47df-a467-7cba635d669c_ActionId">
    <vt:lpwstr>6d5ec88d-3725-49b5-845b-357350db79b6</vt:lpwstr>
  </property>
  <property fmtid="{D5CDD505-2E9C-101B-9397-08002B2CF9AE}" pid="8" name="MSIP_Label_93cd4f2a-0040-47df-a467-7cba635d669c_ContentBits">
    <vt:lpwstr>0</vt:lpwstr>
  </property>
  <property fmtid="{D5CDD505-2E9C-101B-9397-08002B2CF9AE}" pid="9" name="MSIP_Label_93cd4f2a-0040-47df-a467-7cba635d669c_Tag">
    <vt:lpwstr>10, 3, 0, 1</vt:lpwstr>
  </property>
</Properties>
</file>