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7274F" w14:textId="5C3C5823" w:rsidR="002E49C5" w:rsidRPr="00B83411" w:rsidRDefault="00CB4713" w:rsidP="007D2133">
      <w:pPr>
        <w:rPr>
          <w:highlight w:val="yellow"/>
        </w:rPr>
      </w:pPr>
      <w:r w:rsidRPr="00B83411">
        <w:rPr>
          <w:noProof/>
          <w:highlight w:val="yellow"/>
          <w:lang w:eastAsia="en-AU"/>
        </w:rPr>
        <w:drawing>
          <wp:anchor distT="0" distB="0" distL="114300" distR="114300" simplePos="0" relativeHeight="251658240" behindDoc="1" locked="0" layoutInCell="1" allowOverlap="1" wp14:anchorId="78C8D79D" wp14:editId="4C049FB1">
            <wp:simplePos x="0" y="0"/>
            <wp:positionH relativeFrom="page">
              <wp:posOffset>3147</wp:posOffset>
            </wp:positionH>
            <wp:positionV relativeFrom="page">
              <wp:posOffset>-111318</wp:posOffset>
            </wp:positionV>
            <wp:extent cx="7566495" cy="10821725"/>
            <wp:effectExtent l="19050" t="0" r="0" b="0"/>
            <wp:wrapNone/>
            <wp:docPr id="51" name="Picture 51" descr="ASR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RG Cover"/>
                    <pic:cNvPicPr>
                      <a:picLocks noChangeAspect="1" noChangeArrowheads="1"/>
                    </pic:cNvPicPr>
                  </pic:nvPicPr>
                  <pic:blipFill>
                    <a:blip r:embed="rId12" cstate="print"/>
                    <a:srcRect/>
                    <a:stretch>
                      <a:fillRect/>
                    </a:stretch>
                  </pic:blipFill>
                  <pic:spPr bwMode="auto">
                    <a:xfrm>
                      <a:off x="0" y="0"/>
                      <a:ext cx="7566495" cy="10821725"/>
                    </a:xfrm>
                    <a:prstGeom prst="rect">
                      <a:avLst/>
                    </a:prstGeom>
                    <a:noFill/>
                    <a:ln w="9525">
                      <a:noFill/>
                      <a:miter lim="800000"/>
                      <a:headEnd/>
                      <a:tailEnd/>
                    </a:ln>
                  </pic:spPr>
                </pic:pic>
              </a:graphicData>
            </a:graphic>
          </wp:anchor>
        </w:drawing>
      </w:r>
    </w:p>
    <w:p w14:paraId="5F2C0499" w14:textId="77777777" w:rsidR="002E49C5" w:rsidRPr="00B83411" w:rsidRDefault="009C3267" w:rsidP="00333AE7">
      <w:pPr>
        <w:pStyle w:val="Front"/>
        <w:spacing w:before="0" w:after="240"/>
      </w:pPr>
      <w:r w:rsidRPr="00B83411">
        <w:rPr>
          <w:noProof/>
          <w:lang w:eastAsia="en-AU"/>
        </w:rPr>
        <mc:AlternateContent>
          <mc:Choice Requires="wps">
            <w:drawing>
              <wp:anchor distT="0" distB="0" distL="114300" distR="114300" simplePos="0" relativeHeight="251658242" behindDoc="0" locked="0" layoutInCell="1" allowOverlap="1" wp14:anchorId="686F144D" wp14:editId="086AC75C">
                <wp:simplePos x="0" y="0"/>
                <wp:positionH relativeFrom="page">
                  <wp:posOffset>628650</wp:posOffset>
                </wp:positionH>
                <wp:positionV relativeFrom="page">
                  <wp:posOffset>1314450</wp:posOffset>
                </wp:positionV>
                <wp:extent cx="6210300" cy="424815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4248150"/>
                        </a:xfrm>
                        <a:prstGeom prst="rect">
                          <a:avLst/>
                        </a:prstGeom>
                        <a:noFill/>
                        <a:ln>
                          <a:noFill/>
                        </a:ln>
                      </wps:spPr>
                      <wps:txbx>
                        <w:txbxContent>
                          <w:p w14:paraId="76D593D8" w14:textId="2AF255D7" w:rsidR="00FD643F" w:rsidRPr="00D10221" w:rsidRDefault="00895C23" w:rsidP="005C1E51">
                            <w:pPr>
                              <w:pStyle w:val="Title-green"/>
                              <w:spacing w:before="120" w:after="240" w:line="240" w:lineRule="auto"/>
                              <w:rPr>
                                <w:rFonts w:ascii="Arial Nova" w:hAnsi="Arial Nova"/>
                                <w:color w:val="FFFFFF" w:themeColor="background1"/>
                                <w:sz w:val="56"/>
                                <w:szCs w:val="28"/>
                              </w:rPr>
                            </w:pPr>
                            <w:r w:rsidRPr="00D10221">
                              <w:rPr>
                                <w:rFonts w:ascii="Arial Nova" w:hAnsi="Arial Nova"/>
                                <w:color w:val="FFFFFF" w:themeColor="background1"/>
                                <w:sz w:val="56"/>
                                <w:szCs w:val="28"/>
                              </w:rPr>
                              <w:t>N</w:t>
                            </w:r>
                            <w:r w:rsidR="005D358F" w:rsidRPr="00D10221">
                              <w:rPr>
                                <w:rFonts w:ascii="Arial Nova" w:hAnsi="Arial Nova"/>
                                <w:color w:val="FFFFFF" w:themeColor="background1"/>
                                <w:sz w:val="56"/>
                                <w:szCs w:val="28"/>
                              </w:rPr>
                              <w:t xml:space="preserve">ational </w:t>
                            </w:r>
                            <w:r w:rsidRPr="00D10221">
                              <w:rPr>
                                <w:rFonts w:ascii="Arial Nova" w:hAnsi="Arial Nova"/>
                                <w:color w:val="FFFFFF" w:themeColor="background1"/>
                                <w:sz w:val="56"/>
                                <w:szCs w:val="28"/>
                              </w:rPr>
                              <w:t>O</w:t>
                            </w:r>
                            <w:r w:rsidR="005D358F" w:rsidRPr="00D10221">
                              <w:rPr>
                                <w:rFonts w:ascii="Arial Nova" w:hAnsi="Arial Nova"/>
                                <w:color w:val="FFFFFF" w:themeColor="background1"/>
                                <w:sz w:val="56"/>
                                <w:szCs w:val="28"/>
                              </w:rPr>
                              <w:t xml:space="preserve">ffshore </w:t>
                            </w:r>
                            <w:r w:rsidRPr="00D10221">
                              <w:rPr>
                                <w:rFonts w:ascii="Arial Nova" w:hAnsi="Arial Nova"/>
                                <w:color w:val="FFFFFF" w:themeColor="background1"/>
                                <w:sz w:val="56"/>
                                <w:szCs w:val="28"/>
                              </w:rPr>
                              <w:t>P</w:t>
                            </w:r>
                            <w:r w:rsidR="005D358F" w:rsidRPr="00D10221">
                              <w:rPr>
                                <w:rFonts w:ascii="Arial Nova" w:hAnsi="Arial Nova"/>
                                <w:color w:val="FFFFFF" w:themeColor="background1"/>
                                <w:sz w:val="56"/>
                                <w:szCs w:val="28"/>
                              </w:rPr>
                              <w:t xml:space="preserve">etroleum </w:t>
                            </w:r>
                            <w:r w:rsidRPr="00D10221">
                              <w:rPr>
                                <w:rFonts w:ascii="Arial Nova" w:hAnsi="Arial Nova"/>
                                <w:color w:val="FFFFFF" w:themeColor="background1"/>
                                <w:sz w:val="56"/>
                                <w:szCs w:val="28"/>
                              </w:rPr>
                              <w:t>T</w:t>
                            </w:r>
                            <w:r w:rsidR="005D358F" w:rsidRPr="00D10221">
                              <w:rPr>
                                <w:rFonts w:ascii="Arial Nova" w:hAnsi="Arial Nova"/>
                                <w:color w:val="FFFFFF" w:themeColor="background1"/>
                                <w:sz w:val="56"/>
                                <w:szCs w:val="28"/>
                              </w:rPr>
                              <w:t xml:space="preserve">itles </w:t>
                            </w:r>
                            <w:r w:rsidRPr="00D10221">
                              <w:rPr>
                                <w:rFonts w:ascii="Arial Nova" w:hAnsi="Arial Nova"/>
                                <w:color w:val="FFFFFF" w:themeColor="background1"/>
                                <w:sz w:val="56"/>
                                <w:szCs w:val="28"/>
                              </w:rPr>
                              <w:t>A</w:t>
                            </w:r>
                            <w:r w:rsidR="005D358F" w:rsidRPr="00D10221">
                              <w:rPr>
                                <w:rFonts w:ascii="Arial Nova" w:hAnsi="Arial Nova"/>
                                <w:color w:val="FFFFFF" w:themeColor="background1"/>
                                <w:sz w:val="56"/>
                                <w:szCs w:val="28"/>
                              </w:rPr>
                              <w:t>dministrator</w:t>
                            </w:r>
                          </w:p>
                          <w:p w14:paraId="7A95BF4D" w14:textId="458197C0" w:rsidR="00FD643F" w:rsidRPr="00B83411" w:rsidRDefault="00895C23" w:rsidP="00704B26">
                            <w:pPr>
                              <w:pStyle w:val="Title-green"/>
                              <w:spacing w:before="360" w:after="240"/>
                              <w:rPr>
                                <w:rFonts w:ascii="Arial Nova" w:hAnsi="Arial Nova"/>
                                <w:color w:val="FFFFFF" w:themeColor="background1"/>
                                <w:sz w:val="56"/>
                                <w:szCs w:val="28"/>
                              </w:rPr>
                            </w:pPr>
                            <w:r w:rsidRPr="00B83411">
                              <w:rPr>
                                <w:rFonts w:ascii="Arial Nova" w:hAnsi="Arial Nova"/>
                                <w:color w:val="FFFFFF" w:themeColor="background1"/>
                                <w:sz w:val="56"/>
                                <w:szCs w:val="28"/>
                              </w:rPr>
                              <w:t>Stakeholder</w:t>
                            </w:r>
                            <w:r w:rsidR="0019274F" w:rsidRPr="00B83411">
                              <w:rPr>
                                <w:rFonts w:ascii="Arial Nova" w:hAnsi="Arial Nova"/>
                                <w:color w:val="FFFFFF" w:themeColor="background1"/>
                                <w:sz w:val="56"/>
                                <w:szCs w:val="28"/>
                              </w:rPr>
                              <w:t xml:space="preserve"> Survey 202</w:t>
                            </w:r>
                            <w:r w:rsidR="005D358F" w:rsidRPr="00B83411">
                              <w:rPr>
                                <w:rFonts w:ascii="Arial Nova" w:hAnsi="Arial Nova"/>
                                <w:color w:val="FFFFFF" w:themeColor="background1"/>
                                <w:sz w:val="56"/>
                                <w:szCs w:val="28"/>
                              </w:rPr>
                              <w:t>5</w:t>
                            </w:r>
                          </w:p>
                          <w:p w14:paraId="5DD8D44C" w14:textId="4B15BA29" w:rsidR="00FD643F" w:rsidRPr="00B83411" w:rsidRDefault="005D358F" w:rsidP="004B4263">
                            <w:pPr>
                              <w:pStyle w:val="Title-white"/>
                              <w:rPr>
                                <w:rFonts w:ascii="Arial Nova" w:hAnsi="Arial Nova"/>
                                <w:sz w:val="52"/>
                                <w:szCs w:val="28"/>
                              </w:rPr>
                            </w:pPr>
                            <w:r w:rsidRPr="00B83411">
                              <w:rPr>
                                <w:rFonts w:ascii="Arial Nova" w:hAnsi="Arial Nova"/>
                                <w:sz w:val="52"/>
                                <w:szCs w:val="28"/>
                              </w:rPr>
                              <w:t xml:space="preserve">Overall </w:t>
                            </w:r>
                            <w:r w:rsidR="00FD643F" w:rsidRPr="00B83411">
                              <w:rPr>
                                <w:rFonts w:ascii="Arial Nova" w:hAnsi="Arial Nova"/>
                                <w:sz w:val="52"/>
                                <w:szCs w:val="28"/>
                              </w:rPr>
                              <w:t>results report</w:t>
                            </w:r>
                          </w:p>
                          <w:p w14:paraId="7E858A5F" w14:textId="77777777" w:rsidR="00FD643F" w:rsidRPr="00B83411" w:rsidRDefault="00FD643F" w:rsidP="005D26E9">
                            <w:pPr>
                              <w:pStyle w:val="Title-white"/>
                              <w:rPr>
                                <w:rFonts w:ascii="Arial Nova" w:hAnsi="Arial Nova"/>
                              </w:rPr>
                            </w:pPr>
                          </w:p>
                          <w:p w14:paraId="641A6C0D" w14:textId="05D6DCF9" w:rsidR="00FD643F" w:rsidRPr="00B83411" w:rsidRDefault="0019274F" w:rsidP="005D26E9">
                            <w:pPr>
                              <w:pStyle w:val="Title-white"/>
                              <w:rPr>
                                <w:rFonts w:ascii="Arial Nova" w:hAnsi="Arial Nova"/>
                                <w:b w:val="0"/>
                                <w:caps/>
                                <w:sz w:val="28"/>
                              </w:rPr>
                            </w:pPr>
                            <w:r w:rsidRPr="00B83411">
                              <w:rPr>
                                <w:rFonts w:ascii="Arial Nova" w:hAnsi="Arial Nova"/>
                                <w:b w:val="0"/>
                                <w:sz w:val="28"/>
                              </w:rPr>
                              <w:t>Report date: November 202</w:t>
                            </w:r>
                            <w:r w:rsidR="005D358F" w:rsidRPr="00B83411">
                              <w:rPr>
                                <w:rFonts w:ascii="Arial Nova" w:hAnsi="Arial Nova"/>
                                <w:b w:val="0"/>
                                <w:caps/>
                                <w:sz w:val="28"/>
                              </w:rPr>
                              <w:t>5</w:t>
                            </w:r>
                          </w:p>
                          <w:p w14:paraId="42DB3B28" w14:textId="77777777" w:rsidR="00FD643F" w:rsidRPr="00B83411" w:rsidRDefault="00FD643F" w:rsidP="005D26E9">
                            <w:pPr>
                              <w:pStyle w:val="Title-white"/>
                              <w:rPr>
                                <w:b w:val="0"/>
                                <w:cap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F144D" id="_x0000_t202" coordsize="21600,21600" o:spt="202" path="m,l,21600r21600,l21600,xe">
                <v:stroke joinstyle="miter"/>
                <v:path gradientshapeok="t" o:connecttype="rect"/>
              </v:shapetype>
              <v:shape id="Text Box 134" o:spid="_x0000_s1026" type="#_x0000_t202" style="position:absolute;margin-left:49.5pt;margin-top:103.5pt;width:489pt;height:3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" filled="f" stroked="f">
                <v:textbox>
                  <w:txbxContent>
                    <w:p w14:paraId="76D593D8" w14:textId="2AF255D7" w:rsidR="00FD643F" w:rsidRPr="00D10221" w:rsidRDefault="00895C23" w:rsidP="005C1E51">
                      <w:pPr>
                        <w:pStyle w:val="Title-green"/>
                        <w:spacing w:before="120" w:after="240" w:line="240" w:lineRule="auto"/>
                        <w:rPr>
                          <w:rFonts w:ascii="Arial Nova" w:hAnsi="Arial Nova"/>
                          <w:color w:val="FFFFFF" w:themeColor="background1"/>
                          <w:sz w:val="56"/>
                          <w:szCs w:val="28"/>
                        </w:rPr>
                      </w:pPr>
                      <w:r w:rsidRPr="00D10221">
                        <w:rPr>
                          <w:rFonts w:ascii="Arial Nova" w:hAnsi="Arial Nova"/>
                          <w:color w:val="FFFFFF" w:themeColor="background1"/>
                          <w:sz w:val="56"/>
                          <w:szCs w:val="28"/>
                        </w:rPr>
                        <w:t>N</w:t>
                      </w:r>
                      <w:r w:rsidR="005D358F" w:rsidRPr="00D10221">
                        <w:rPr>
                          <w:rFonts w:ascii="Arial Nova" w:hAnsi="Arial Nova"/>
                          <w:color w:val="FFFFFF" w:themeColor="background1"/>
                          <w:sz w:val="56"/>
                          <w:szCs w:val="28"/>
                        </w:rPr>
                        <w:t xml:space="preserve">ational </w:t>
                      </w:r>
                      <w:r w:rsidRPr="00D10221">
                        <w:rPr>
                          <w:rFonts w:ascii="Arial Nova" w:hAnsi="Arial Nova"/>
                          <w:color w:val="FFFFFF" w:themeColor="background1"/>
                          <w:sz w:val="56"/>
                          <w:szCs w:val="28"/>
                        </w:rPr>
                        <w:t>O</w:t>
                      </w:r>
                      <w:r w:rsidR="005D358F" w:rsidRPr="00D10221">
                        <w:rPr>
                          <w:rFonts w:ascii="Arial Nova" w:hAnsi="Arial Nova"/>
                          <w:color w:val="FFFFFF" w:themeColor="background1"/>
                          <w:sz w:val="56"/>
                          <w:szCs w:val="28"/>
                        </w:rPr>
                        <w:t xml:space="preserve">ffshore </w:t>
                      </w:r>
                      <w:r w:rsidRPr="00D10221">
                        <w:rPr>
                          <w:rFonts w:ascii="Arial Nova" w:hAnsi="Arial Nova"/>
                          <w:color w:val="FFFFFF" w:themeColor="background1"/>
                          <w:sz w:val="56"/>
                          <w:szCs w:val="28"/>
                        </w:rPr>
                        <w:t>P</w:t>
                      </w:r>
                      <w:r w:rsidR="005D358F" w:rsidRPr="00D10221">
                        <w:rPr>
                          <w:rFonts w:ascii="Arial Nova" w:hAnsi="Arial Nova"/>
                          <w:color w:val="FFFFFF" w:themeColor="background1"/>
                          <w:sz w:val="56"/>
                          <w:szCs w:val="28"/>
                        </w:rPr>
                        <w:t xml:space="preserve">etroleum </w:t>
                      </w:r>
                      <w:r w:rsidRPr="00D10221">
                        <w:rPr>
                          <w:rFonts w:ascii="Arial Nova" w:hAnsi="Arial Nova"/>
                          <w:color w:val="FFFFFF" w:themeColor="background1"/>
                          <w:sz w:val="56"/>
                          <w:szCs w:val="28"/>
                        </w:rPr>
                        <w:t>T</w:t>
                      </w:r>
                      <w:r w:rsidR="005D358F" w:rsidRPr="00D10221">
                        <w:rPr>
                          <w:rFonts w:ascii="Arial Nova" w:hAnsi="Arial Nova"/>
                          <w:color w:val="FFFFFF" w:themeColor="background1"/>
                          <w:sz w:val="56"/>
                          <w:szCs w:val="28"/>
                        </w:rPr>
                        <w:t xml:space="preserve">itles </w:t>
                      </w:r>
                      <w:r w:rsidRPr="00D10221">
                        <w:rPr>
                          <w:rFonts w:ascii="Arial Nova" w:hAnsi="Arial Nova"/>
                          <w:color w:val="FFFFFF" w:themeColor="background1"/>
                          <w:sz w:val="56"/>
                          <w:szCs w:val="28"/>
                        </w:rPr>
                        <w:t>A</w:t>
                      </w:r>
                      <w:r w:rsidR="005D358F" w:rsidRPr="00D10221">
                        <w:rPr>
                          <w:rFonts w:ascii="Arial Nova" w:hAnsi="Arial Nova"/>
                          <w:color w:val="FFFFFF" w:themeColor="background1"/>
                          <w:sz w:val="56"/>
                          <w:szCs w:val="28"/>
                        </w:rPr>
                        <w:t>dministrator</w:t>
                      </w:r>
                    </w:p>
                    <w:p w14:paraId="7A95BF4D" w14:textId="458197C0" w:rsidR="00FD643F" w:rsidRPr="00B83411" w:rsidRDefault="00895C23" w:rsidP="00704B26">
                      <w:pPr>
                        <w:pStyle w:val="Title-green"/>
                        <w:spacing w:before="360" w:after="240"/>
                        <w:rPr>
                          <w:rFonts w:ascii="Arial Nova" w:hAnsi="Arial Nova"/>
                          <w:color w:val="FFFFFF" w:themeColor="background1"/>
                          <w:sz w:val="56"/>
                          <w:szCs w:val="28"/>
                        </w:rPr>
                      </w:pPr>
                      <w:r w:rsidRPr="00B83411">
                        <w:rPr>
                          <w:rFonts w:ascii="Arial Nova" w:hAnsi="Arial Nova"/>
                          <w:color w:val="FFFFFF" w:themeColor="background1"/>
                          <w:sz w:val="56"/>
                          <w:szCs w:val="28"/>
                        </w:rPr>
                        <w:t>Stakeholder</w:t>
                      </w:r>
                      <w:r w:rsidR="0019274F" w:rsidRPr="00B83411">
                        <w:rPr>
                          <w:rFonts w:ascii="Arial Nova" w:hAnsi="Arial Nova"/>
                          <w:color w:val="FFFFFF" w:themeColor="background1"/>
                          <w:sz w:val="56"/>
                          <w:szCs w:val="28"/>
                        </w:rPr>
                        <w:t xml:space="preserve"> Survey 202</w:t>
                      </w:r>
                      <w:r w:rsidR="005D358F" w:rsidRPr="00B83411">
                        <w:rPr>
                          <w:rFonts w:ascii="Arial Nova" w:hAnsi="Arial Nova"/>
                          <w:color w:val="FFFFFF" w:themeColor="background1"/>
                          <w:sz w:val="56"/>
                          <w:szCs w:val="28"/>
                        </w:rPr>
                        <w:t>5</w:t>
                      </w:r>
                    </w:p>
                    <w:p w14:paraId="5DD8D44C" w14:textId="4B15BA29" w:rsidR="00FD643F" w:rsidRPr="00B83411" w:rsidRDefault="005D358F" w:rsidP="004B4263">
                      <w:pPr>
                        <w:pStyle w:val="Title-white"/>
                        <w:rPr>
                          <w:rFonts w:ascii="Arial Nova" w:hAnsi="Arial Nova"/>
                          <w:sz w:val="52"/>
                          <w:szCs w:val="28"/>
                        </w:rPr>
                      </w:pPr>
                      <w:r w:rsidRPr="00B83411">
                        <w:rPr>
                          <w:rFonts w:ascii="Arial Nova" w:hAnsi="Arial Nova"/>
                          <w:sz w:val="52"/>
                          <w:szCs w:val="28"/>
                        </w:rPr>
                        <w:t xml:space="preserve">Overall </w:t>
                      </w:r>
                      <w:r w:rsidR="00FD643F" w:rsidRPr="00B83411">
                        <w:rPr>
                          <w:rFonts w:ascii="Arial Nova" w:hAnsi="Arial Nova"/>
                          <w:sz w:val="52"/>
                          <w:szCs w:val="28"/>
                        </w:rPr>
                        <w:t>results report</w:t>
                      </w:r>
                    </w:p>
                    <w:p w14:paraId="7E858A5F" w14:textId="77777777" w:rsidR="00FD643F" w:rsidRPr="00B83411" w:rsidRDefault="00FD643F" w:rsidP="005D26E9">
                      <w:pPr>
                        <w:pStyle w:val="Title-white"/>
                        <w:rPr>
                          <w:rFonts w:ascii="Arial Nova" w:hAnsi="Arial Nova"/>
                        </w:rPr>
                      </w:pPr>
                    </w:p>
                    <w:p w14:paraId="641A6C0D" w14:textId="05D6DCF9" w:rsidR="00FD643F" w:rsidRPr="00B83411" w:rsidRDefault="0019274F" w:rsidP="005D26E9">
                      <w:pPr>
                        <w:pStyle w:val="Title-white"/>
                        <w:rPr>
                          <w:rFonts w:ascii="Arial Nova" w:hAnsi="Arial Nova"/>
                          <w:b w:val="0"/>
                          <w:caps/>
                          <w:sz w:val="28"/>
                        </w:rPr>
                      </w:pPr>
                      <w:r w:rsidRPr="00B83411">
                        <w:rPr>
                          <w:rFonts w:ascii="Arial Nova" w:hAnsi="Arial Nova"/>
                          <w:b w:val="0"/>
                          <w:sz w:val="28"/>
                        </w:rPr>
                        <w:t>Report date: November 202</w:t>
                      </w:r>
                      <w:r w:rsidR="005D358F" w:rsidRPr="00B83411">
                        <w:rPr>
                          <w:rFonts w:ascii="Arial Nova" w:hAnsi="Arial Nova"/>
                          <w:b w:val="0"/>
                          <w:caps/>
                          <w:sz w:val="28"/>
                        </w:rPr>
                        <w:t>5</w:t>
                      </w:r>
                    </w:p>
                    <w:p w14:paraId="42DB3B28" w14:textId="77777777" w:rsidR="00FD643F" w:rsidRPr="00B83411" w:rsidRDefault="00FD643F" w:rsidP="005D26E9">
                      <w:pPr>
                        <w:pStyle w:val="Title-white"/>
                        <w:rPr>
                          <w:b w:val="0"/>
                          <w:caps/>
                          <w:sz w:val="28"/>
                        </w:rPr>
                      </w:pPr>
                    </w:p>
                  </w:txbxContent>
                </v:textbox>
                <w10:wrap anchorx="page" anchory="page"/>
              </v:shape>
            </w:pict>
          </mc:Fallback>
        </mc:AlternateContent>
      </w:r>
      <w:r w:rsidRPr="00B83411">
        <w:rPr>
          <w:noProof/>
          <w:lang w:eastAsia="en-AU"/>
        </w:rPr>
        <mc:AlternateContent>
          <mc:Choice Requires="wps">
            <w:drawing>
              <wp:anchor distT="0" distB="0" distL="114300" distR="114300" simplePos="0" relativeHeight="251658244" behindDoc="0" locked="0" layoutInCell="1" allowOverlap="1" wp14:anchorId="036ED1CB" wp14:editId="47754872">
                <wp:simplePos x="0" y="0"/>
                <wp:positionH relativeFrom="column">
                  <wp:posOffset>5173980</wp:posOffset>
                </wp:positionH>
                <wp:positionV relativeFrom="paragraph">
                  <wp:posOffset>8410575</wp:posOffset>
                </wp:positionV>
                <wp:extent cx="635" cy="531495"/>
                <wp:effectExtent l="0" t="0" r="37465" b="20955"/>
                <wp:wrapNone/>
                <wp:docPr id="133" name="Straight Connector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1495"/>
                        </a:xfrm>
                        <a:prstGeom prst="line">
                          <a:avLst/>
                        </a:prstGeom>
                        <a:noFill/>
                        <a:ln w="9525">
                          <a:solidFill>
                            <a:schemeClr val="tx2"/>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DF77098" id="Straight Connector 133"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662.25pt" to="407.45pt,7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" strokecolor="#1f497d [3215]"/>
            </w:pict>
          </mc:Fallback>
        </mc:AlternateContent>
      </w:r>
      <w:r w:rsidRPr="00B83411">
        <w:rPr>
          <w:noProof/>
          <w:lang w:eastAsia="en-AU"/>
        </w:rPr>
        <mc:AlternateContent>
          <mc:Choice Requires="wps">
            <w:drawing>
              <wp:anchor distT="0" distB="0" distL="114300" distR="114300" simplePos="0" relativeHeight="251658243" behindDoc="0" locked="0" layoutInCell="1" allowOverlap="1" wp14:anchorId="504CE807" wp14:editId="316E2DDC">
                <wp:simplePos x="0" y="0"/>
                <wp:positionH relativeFrom="page">
                  <wp:posOffset>981710</wp:posOffset>
                </wp:positionH>
                <wp:positionV relativeFrom="page">
                  <wp:posOffset>9571990</wp:posOffset>
                </wp:positionV>
                <wp:extent cx="5124450" cy="72199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21995"/>
                        </a:xfrm>
                        <a:prstGeom prst="rect">
                          <a:avLst/>
                        </a:prstGeom>
                        <a:noFill/>
                        <a:ln>
                          <a:noFill/>
                        </a:ln>
                      </wps:spPr>
                      <wps:txbx>
                        <w:txbxContent>
                          <w:p w14:paraId="1C716524" w14:textId="77777777" w:rsidR="00FD643F" w:rsidRPr="00D10221" w:rsidRDefault="00FD643F">
                            <w:pPr>
                              <w:pStyle w:val="Frontpagebottom"/>
                              <w:rPr>
                                <w:rFonts w:ascii="Arial Nova" w:hAnsi="Arial Nova"/>
                                <w:color w:val="1F497D" w:themeColor="text2"/>
                                <w:sz w:val="20"/>
                                <w:szCs w:val="22"/>
                              </w:rPr>
                            </w:pPr>
                            <w:r w:rsidRPr="00D10221">
                              <w:rPr>
                                <w:rFonts w:ascii="Arial Nova" w:hAnsi="Arial Nova"/>
                                <w:color w:val="1F497D" w:themeColor="text2"/>
                                <w:sz w:val="20"/>
                                <w:szCs w:val="22"/>
                              </w:rPr>
                              <w:t xml:space="preserve">Australian Survey Research Pty Ltd  </w:t>
                            </w:r>
                          </w:p>
                          <w:p w14:paraId="4541D697" w14:textId="75ABBCD9" w:rsidR="00FD643F" w:rsidRPr="00D10221" w:rsidRDefault="00FD643F">
                            <w:pPr>
                              <w:pStyle w:val="Frontpagebottom"/>
                              <w:rPr>
                                <w:rFonts w:ascii="Arial Nova" w:hAnsi="Arial Nova"/>
                                <w:color w:val="1F497D" w:themeColor="text2"/>
                                <w:sz w:val="20"/>
                                <w:szCs w:val="22"/>
                              </w:rPr>
                            </w:pPr>
                            <w:r w:rsidRPr="00D10221">
                              <w:rPr>
                                <w:rFonts w:ascii="Arial Nova" w:hAnsi="Arial Nova"/>
                                <w:color w:val="1F497D" w:themeColor="text2"/>
                                <w:sz w:val="20"/>
                                <w:szCs w:val="22"/>
                              </w:rPr>
                              <w:t>368 Centre Road</w:t>
                            </w:r>
                            <w:r w:rsidR="003917E2" w:rsidRPr="00D10221">
                              <w:rPr>
                                <w:rFonts w:ascii="Arial Nova" w:hAnsi="Arial Nova"/>
                                <w:color w:val="1F497D" w:themeColor="text2"/>
                                <w:sz w:val="20"/>
                                <w:szCs w:val="22"/>
                              </w:rPr>
                              <w:t xml:space="preserve"> </w:t>
                            </w:r>
                            <w:r w:rsidRPr="00D10221">
                              <w:rPr>
                                <w:rFonts w:ascii="Arial Nova" w:hAnsi="Arial Nova"/>
                                <w:color w:val="1F497D" w:themeColor="text2"/>
                                <w:sz w:val="20"/>
                                <w:szCs w:val="22"/>
                              </w:rPr>
                              <w:t xml:space="preserve"> Bentleigh </w:t>
                            </w:r>
                            <w:r w:rsidR="003917E2" w:rsidRPr="00D10221">
                              <w:rPr>
                                <w:rFonts w:ascii="Arial Nova" w:hAnsi="Arial Nova"/>
                                <w:color w:val="1F497D" w:themeColor="text2"/>
                                <w:sz w:val="20"/>
                                <w:szCs w:val="22"/>
                              </w:rPr>
                              <w:t xml:space="preserve"> </w:t>
                            </w:r>
                            <w:r w:rsidRPr="00D10221">
                              <w:rPr>
                                <w:rFonts w:ascii="Arial Nova" w:hAnsi="Arial Nova"/>
                                <w:color w:val="1F497D" w:themeColor="text2"/>
                                <w:sz w:val="20"/>
                                <w:szCs w:val="22"/>
                              </w:rPr>
                              <w:t>Victoria 3204</w:t>
                            </w:r>
                          </w:p>
                          <w:p w14:paraId="09D247C2" w14:textId="77777777" w:rsidR="00FD643F" w:rsidRPr="00D10221" w:rsidRDefault="00FD643F">
                            <w:pPr>
                              <w:pStyle w:val="Frontpagebottom"/>
                              <w:rPr>
                                <w:rFonts w:ascii="Arial Nova" w:hAnsi="Arial Nova"/>
                                <w:color w:val="1F497D" w:themeColor="text2"/>
                                <w:sz w:val="20"/>
                                <w:szCs w:val="22"/>
                              </w:rPr>
                            </w:pPr>
                            <w:r w:rsidRPr="00D10221">
                              <w:rPr>
                                <w:rFonts w:ascii="Arial Nova" w:hAnsi="Arial Nova"/>
                                <w:caps/>
                                <w:color w:val="1F497D" w:themeColor="text2"/>
                                <w:spacing w:val="1"/>
                                <w:position w:val="2"/>
                                <w:sz w:val="20"/>
                                <w:szCs w:val="22"/>
                                <w:u w:color="73C800"/>
                              </w:rPr>
                              <w:t>|</w:t>
                            </w:r>
                            <w:r w:rsidRPr="00D10221">
                              <w:rPr>
                                <w:rFonts w:ascii="Arial Nova" w:hAnsi="Arial Nova"/>
                                <w:caps/>
                                <w:color w:val="1F497D" w:themeColor="text2"/>
                                <w:spacing w:val="1"/>
                                <w:position w:val="2"/>
                                <w:sz w:val="14"/>
                                <w:szCs w:val="22"/>
                                <w:u w:color="73C800"/>
                              </w:rPr>
                              <w:t xml:space="preserve"> </w:t>
                            </w:r>
                            <w:r w:rsidRPr="00D10221">
                              <w:rPr>
                                <w:rFonts w:ascii="Arial Nova" w:hAnsi="Arial Nova"/>
                                <w:b/>
                                <w:color w:val="1F497D" w:themeColor="text2"/>
                                <w:sz w:val="20"/>
                                <w:szCs w:val="22"/>
                              </w:rPr>
                              <w:t>T</w:t>
                            </w:r>
                            <w:r w:rsidRPr="00D10221">
                              <w:rPr>
                                <w:rFonts w:ascii="Arial Nova" w:hAnsi="Arial Nova"/>
                                <w:color w:val="1F497D" w:themeColor="text2"/>
                                <w:sz w:val="20"/>
                                <w:szCs w:val="22"/>
                              </w:rPr>
                              <w:t xml:space="preserve"> 03 9557 4211 </w:t>
                            </w:r>
                            <w:r w:rsidRPr="00D10221">
                              <w:rPr>
                                <w:rFonts w:ascii="Arial Nova" w:hAnsi="Arial Nova"/>
                                <w:caps/>
                                <w:color w:val="1F497D" w:themeColor="text2"/>
                                <w:spacing w:val="1"/>
                                <w:position w:val="2"/>
                                <w:sz w:val="20"/>
                                <w:szCs w:val="22"/>
                                <w:u w:color="73C800"/>
                              </w:rPr>
                              <w:t>|</w:t>
                            </w:r>
                            <w:r w:rsidRPr="00D10221">
                              <w:rPr>
                                <w:rFonts w:ascii="Arial Nova" w:hAnsi="Arial Nova"/>
                                <w:caps/>
                                <w:color w:val="1F497D" w:themeColor="text2"/>
                                <w:spacing w:val="1"/>
                                <w:position w:val="2"/>
                                <w:sz w:val="14"/>
                                <w:szCs w:val="22"/>
                                <w:u w:color="73C800"/>
                              </w:rPr>
                              <w:t xml:space="preserve"> </w:t>
                            </w:r>
                            <w:r w:rsidRPr="00D10221">
                              <w:rPr>
                                <w:rFonts w:ascii="Arial Nova" w:hAnsi="Arial Nova"/>
                                <w:b/>
                                <w:color w:val="1F497D" w:themeColor="text2"/>
                                <w:sz w:val="20"/>
                                <w:szCs w:val="22"/>
                              </w:rPr>
                              <w:t>F</w:t>
                            </w:r>
                            <w:r w:rsidRPr="00D10221">
                              <w:rPr>
                                <w:rFonts w:ascii="Arial Nova" w:hAnsi="Arial Nova"/>
                                <w:color w:val="1F497D" w:themeColor="text2"/>
                                <w:sz w:val="20"/>
                                <w:szCs w:val="22"/>
                              </w:rPr>
                              <w:t xml:space="preserve"> 03 9557 4311 </w:t>
                            </w:r>
                            <w:r w:rsidRPr="00D10221">
                              <w:rPr>
                                <w:rFonts w:ascii="Arial Nova" w:hAnsi="Arial Nova"/>
                                <w:caps/>
                                <w:color w:val="1F497D" w:themeColor="text2"/>
                                <w:spacing w:val="1"/>
                                <w:position w:val="2"/>
                                <w:sz w:val="20"/>
                                <w:szCs w:val="22"/>
                                <w:u w:color="73C800"/>
                              </w:rPr>
                              <w:t>|</w:t>
                            </w:r>
                            <w:r w:rsidRPr="00D10221">
                              <w:rPr>
                                <w:rFonts w:ascii="Arial Nova" w:hAnsi="Arial Nova"/>
                                <w:caps/>
                                <w:color w:val="1F497D" w:themeColor="text2"/>
                                <w:spacing w:val="1"/>
                                <w:position w:val="2"/>
                                <w:sz w:val="14"/>
                                <w:szCs w:val="22"/>
                                <w:u w:color="73C800"/>
                              </w:rPr>
                              <w:t xml:space="preserve"> </w:t>
                            </w:r>
                            <w:r w:rsidRPr="00D10221">
                              <w:rPr>
                                <w:rFonts w:ascii="Arial Nova" w:hAnsi="Arial Nova"/>
                                <w:b/>
                                <w:color w:val="1F497D" w:themeColor="text2"/>
                                <w:sz w:val="20"/>
                                <w:szCs w:val="22"/>
                              </w:rPr>
                              <w:t>E</w:t>
                            </w:r>
                            <w:r w:rsidRPr="00D10221">
                              <w:rPr>
                                <w:rFonts w:ascii="Arial Nova" w:hAnsi="Arial Nova"/>
                                <w:color w:val="1F497D" w:themeColor="text2"/>
                                <w:sz w:val="20"/>
                                <w:szCs w:val="22"/>
                              </w:rPr>
                              <w:t xml:space="preserve"> info@aussurveys.com</w:t>
                            </w:r>
                            <w:r w:rsidRPr="00D10221">
                              <w:rPr>
                                <w:rFonts w:ascii="Arial Nova" w:hAnsi="Arial Nova"/>
                                <w:outline/>
                                <w:color w:val="1F497D" w:themeColor="text2"/>
                                <w:sz w:val="20"/>
                                <w:szCs w:val="22"/>
                                <w14:textOutline w14:w="9525" w14:cap="flat" w14:cmpd="sng" w14:algn="ctr">
                                  <w14:solidFill>
                                    <w14:srgbClr w14:val="00376E"/>
                                  </w14:solidFill>
                                  <w14:prstDash w14:val="solid"/>
                                  <w14:round/>
                                </w14:textOutline>
                              </w:rPr>
                              <w:t xml:space="preserve"> </w:t>
                            </w:r>
                            <w:r w:rsidRPr="00D10221">
                              <w:rPr>
                                <w:rFonts w:ascii="Arial Nova" w:hAnsi="Arial Nova"/>
                                <w:b/>
                                <w:color w:val="1F497D" w:themeColor="text2"/>
                                <w:sz w:val="20"/>
                                <w:szCs w:val="22"/>
                              </w:rPr>
                              <w:t>www.aussurveys.com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CE807" id="Text Box 132" o:spid="_x0000_s1027" type="#_x0000_t202" style="position:absolute;margin-left:77.3pt;margin-top:753.7pt;width:403.5pt;height:56.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" filled="f" stroked="f">
                <v:textbox inset="0,0,0,0">
                  <w:txbxContent>
                    <w:p w14:paraId="1C716524" w14:textId="77777777" w:rsidR="00FD643F" w:rsidRPr="00D10221" w:rsidRDefault="00FD643F">
                      <w:pPr>
                        <w:pStyle w:val="Frontpagebottom"/>
                        <w:rPr>
                          <w:rFonts w:ascii="Arial Nova" w:hAnsi="Arial Nova"/>
                          <w:color w:val="1F497D" w:themeColor="text2"/>
                          <w:sz w:val="20"/>
                          <w:szCs w:val="22"/>
                        </w:rPr>
                      </w:pPr>
                      <w:r w:rsidRPr="00D10221">
                        <w:rPr>
                          <w:rFonts w:ascii="Arial Nova" w:hAnsi="Arial Nova"/>
                          <w:color w:val="1F497D" w:themeColor="text2"/>
                          <w:sz w:val="20"/>
                          <w:szCs w:val="22"/>
                        </w:rPr>
                        <w:t xml:space="preserve">Australian Survey Research Pty Ltd  </w:t>
                      </w:r>
                    </w:p>
                    <w:p w14:paraId="4541D697" w14:textId="75ABBCD9" w:rsidR="00FD643F" w:rsidRPr="00D10221" w:rsidRDefault="00FD643F">
                      <w:pPr>
                        <w:pStyle w:val="Frontpagebottom"/>
                        <w:rPr>
                          <w:rFonts w:ascii="Arial Nova" w:hAnsi="Arial Nova"/>
                          <w:color w:val="1F497D" w:themeColor="text2"/>
                          <w:sz w:val="20"/>
                          <w:szCs w:val="22"/>
                        </w:rPr>
                      </w:pPr>
                      <w:r w:rsidRPr="00D10221">
                        <w:rPr>
                          <w:rFonts w:ascii="Arial Nova" w:hAnsi="Arial Nova"/>
                          <w:color w:val="1F497D" w:themeColor="text2"/>
                          <w:sz w:val="20"/>
                          <w:szCs w:val="22"/>
                        </w:rPr>
                        <w:t>368 Centre Road</w:t>
                      </w:r>
                      <w:r w:rsidR="003917E2" w:rsidRPr="00D10221">
                        <w:rPr>
                          <w:rFonts w:ascii="Arial Nova" w:hAnsi="Arial Nova"/>
                          <w:color w:val="1F497D" w:themeColor="text2"/>
                          <w:sz w:val="20"/>
                          <w:szCs w:val="22"/>
                        </w:rPr>
                        <w:t xml:space="preserve"> </w:t>
                      </w:r>
                      <w:r w:rsidRPr="00D10221">
                        <w:rPr>
                          <w:rFonts w:ascii="Arial Nova" w:hAnsi="Arial Nova"/>
                          <w:color w:val="1F497D" w:themeColor="text2"/>
                          <w:sz w:val="20"/>
                          <w:szCs w:val="22"/>
                        </w:rPr>
                        <w:t xml:space="preserve"> Bentleigh </w:t>
                      </w:r>
                      <w:r w:rsidR="003917E2" w:rsidRPr="00D10221">
                        <w:rPr>
                          <w:rFonts w:ascii="Arial Nova" w:hAnsi="Arial Nova"/>
                          <w:color w:val="1F497D" w:themeColor="text2"/>
                          <w:sz w:val="20"/>
                          <w:szCs w:val="22"/>
                        </w:rPr>
                        <w:t xml:space="preserve"> </w:t>
                      </w:r>
                      <w:r w:rsidRPr="00D10221">
                        <w:rPr>
                          <w:rFonts w:ascii="Arial Nova" w:hAnsi="Arial Nova"/>
                          <w:color w:val="1F497D" w:themeColor="text2"/>
                          <w:sz w:val="20"/>
                          <w:szCs w:val="22"/>
                        </w:rPr>
                        <w:t>Victoria 3204</w:t>
                      </w:r>
                    </w:p>
                    <w:p w14:paraId="09D247C2" w14:textId="77777777" w:rsidR="00FD643F" w:rsidRPr="00D10221" w:rsidRDefault="00FD643F">
                      <w:pPr>
                        <w:pStyle w:val="Frontpagebottom"/>
                        <w:rPr>
                          <w:rFonts w:ascii="Arial Nova" w:hAnsi="Arial Nova"/>
                          <w:color w:val="1F497D" w:themeColor="text2"/>
                          <w:sz w:val="20"/>
                          <w:szCs w:val="22"/>
                        </w:rPr>
                      </w:pPr>
                      <w:r w:rsidRPr="00D10221">
                        <w:rPr>
                          <w:rFonts w:ascii="Arial Nova" w:hAnsi="Arial Nova"/>
                          <w:caps/>
                          <w:color w:val="1F497D" w:themeColor="text2"/>
                          <w:spacing w:val="1"/>
                          <w:position w:val="2"/>
                          <w:sz w:val="20"/>
                          <w:szCs w:val="22"/>
                          <w:u w:color="73C800"/>
                        </w:rPr>
                        <w:t>|</w:t>
                      </w:r>
                      <w:r w:rsidRPr="00D10221">
                        <w:rPr>
                          <w:rFonts w:ascii="Arial Nova" w:hAnsi="Arial Nova"/>
                          <w:caps/>
                          <w:color w:val="1F497D" w:themeColor="text2"/>
                          <w:spacing w:val="1"/>
                          <w:position w:val="2"/>
                          <w:sz w:val="14"/>
                          <w:szCs w:val="22"/>
                          <w:u w:color="73C800"/>
                        </w:rPr>
                        <w:t xml:space="preserve"> </w:t>
                      </w:r>
                      <w:r w:rsidRPr="00D10221">
                        <w:rPr>
                          <w:rFonts w:ascii="Arial Nova" w:hAnsi="Arial Nova"/>
                          <w:b/>
                          <w:color w:val="1F497D" w:themeColor="text2"/>
                          <w:sz w:val="20"/>
                          <w:szCs w:val="22"/>
                        </w:rPr>
                        <w:t>T</w:t>
                      </w:r>
                      <w:r w:rsidRPr="00D10221">
                        <w:rPr>
                          <w:rFonts w:ascii="Arial Nova" w:hAnsi="Arial Nova"/>
                          <w:color w:val="1F497D" w:themeColor="text2"/>
                          <w:sz w:val="20"/>
                          <w:szCs w:val="22"/>
                        </w:rPr>
                        <w:t xml:space="preserve"> 03 9557 4211 </w:t>
                      </w:r>
                      <w:r w:rsidRPr="00D10221">
                        <w:rPr>
                          <w:rFonts w:ascii="Arial Nova" w:hAnsi="Arial Nova"/>
                          <w:caps/>
                          <w:color w:val="1F497D" w:themeColor="text2"/>
                          <w:spacing w:val="1"/>
                          <w:position w:val="2"/>
                          <w:sz w:val="20"/>
                          <w:szCs w:val="22"/>
                          <w:u w:color="73C800"/>
                        </w:rPr>
                        <w:t>|</w:t>
                      </w:r>
                      <w:r w:rsidRPr="00D10221">
                        <w:rPr>
                          <w:rFonts w:ascii="Arial Nova" w:hAnsi="Arial Nova"/>
                          <w:caps/>
                          <w:color w:val="1F497D" w:themeColor="text2"/>
                          <w:spacing w:val="1"/>
                          <w:position w:val="2"/>
                          <w:sz w:val="14"/>
                          <w:szCs w:val="22"/>
                          <w:u w:color="73C800"/>
                        </w:rPr>
                        <w:t xml:space="preserve"> </w:t>
                      </w:r>
                      <w:r w:rsidRPr="00D10221">
                        <w:rPr>
                          <w:rFonts w:ascii="Arial Nova" w:hAnsi="Arial Nova"/>
                          <w:b/>
                          <w:color w:val="1F497D" w:themeColor="text2"/>
                          <w:sz w:val="20"/>
                          <w:szCs w:val="22"/>
                        </w:rPr>
                        <w:t>F</w:t>
                      </w:r>
                      <w:r w:rsidRPr="00D10221">
                        <w:rPr>
                          <w:rFonts w:ascii="Arial Nova" w:hAnsi="Arial Nova"/>
                          <w:color w:val="1F497D" w:themeColor="text2"/>
                          <w:sz w:val="20"/>
                          <w:szCs w:val="22"/>
                        </w:rPr>
                        <w:t xml:space="preserve"> 03 9557 4311 </w:t>
                      </w:r>
                      <w:r w:rsidRPr="00D10221">
                        <w:rPr>
                          <w:rFonts w:ascii="Arial Nova" w:hAnsi="Arial Nova"/>
                          <w:caps/>
                          <w:color w:val="1F497D" w:themeColor="text2"/>
                          <w:spacing w:val="1"/>
                          <w:position w:val="2"/>
                          <w:sz w:val="20"/>
                          <w:szCs w:val="22"/>
                          <w:u w:color="73C800"/>
                        </w:rPr>
                        <w:t>|</w:t>
                      </w:r>
                      <w:r w:rsidRPr="00D10221">
                        <w:rPr>
                          <w:rFonts w:ascii="Arial Nova" w:hAnsi="Arial Nova"/>
                          <w:caps/>
                          <w:color w:val="1F497D" w:themeColor="text2"/>
                          <w:spacing w:val="1"/>
                          <w:position w:val="2"/>
                          <w:sz w:val="14"/>
                          <w:szCs w:val="22"/>
                          <w:u w:color="73C800"/>
                        </w:rPr>
                        <w:t xml:space="preserve"> </w:t>
                      </w:r>
                      <w:r w:rsidRPr="00D10221">
                        <w:rPr>
                          <w:rFonts w:ascii="Arial Nova" w:hAnsi="Arial Nova"/>
                          <w:b/>
                          <w:color w:val="1F497D" w:themeColor="text2"/>
                          <w:sz w:val="20"/>
                          <w:szCs w:val="22"/>
                        </w:rPr>
                        <w:t>E</w:t>
                      </w:r>
                      <w:r w:rsidRPr="00D10221">
                        <w:rPr>
                          <w:rFonts w:ascii="Arial Nova" w:hAnsi="Arial Nova"/>
                          <w:color w:val="1F497D" w:themeColor="text2"/>
                          <w:sz w:val="20"/>
                          <w:szCs w:val="22"/>
                        </w:rPr>
                        <w:t xml:space="preserve"> info@aussurveys.com</w:t>
                      </w:r>
                      <w:r w:rsidRPr="00D10221">
                        <w:rPr>
                          <w:rFonts w:ascii="Arial Nova" w:hAnsi="Arial Nova"/>
                          <w:outline/>
                          <w:color w:val="1F497D" w:themeColor="text2"/>
                          <w:sz w:val="20"/>
                          <w:szCs w:val="22"/>
                          <w14:textOutline w14:w="9525" w14:cap="flat" w14:cmpd="sng" w14:algn="ctr">
                            <w14:solidFill>
                              <w14:srgbClr w14:val="00376E"/>
                            </w14:solidFill>
                            <w14:prstDash w14:val="solid"/>
                            <w14:round/>
                          </w14:textOutline>
                        </w:rPr>
                        <w:t xml:space="preserve"> </w:t>
                      </w:r>
                      <w:r w:rsidRPr="00D10221">
                        <w:rPr>
                          <w:rFonts w:ascii="Arial Nova" w:hAnsi="Arial Nova"/>
                          <w:b/>
                          <w:color w:val="1F497D" w:themeColor="text2"/>
                          <w:sz w:val="20"/>
                          <w:szCs w:val="22"/>
                        </w:rPr>
                        <w:t>www.aussurveys.com</w:t>
                      </w:r>
                    </w:p>
                  </w:txbxContent>
                </v:textbox>
                <w10:wrap anchorx="page" anchory="page"/>
              </v:shape>
            </w:pict>
          </mc:Fallback>
        </mc:AlternateContent>
      </w:r>
      <w:r w:rsidR="00CB4713" w:rsidRPr="00B83411">
        <w:rPr>
          <w:noProof/>
          <w:highlight w:val="yellow"/>
          <w:lang w:eastAsia="en-AU"/>
        </w:rPr>
        <w:drawing>
          <wp:anchor distT="0" distB="0" distL="114300" distR="114300" simplePos="0" relativeHeight="251658241" behindDoc="1" locked="0" layoutInCell="1" allowOverlap="1" wp14:anchorId="6AE2182D" wp14:editId="7EC66C95">
            <wp:simplePos x="0" y="0"/>
            <wp:positionH relativeFrom="page">
              <wp:posOffset>6301105</wp:posOffset>
            </wp:positionH>
            <wp:positionV relativeFrom="page">
              <wp:posOffset>9545955</wp:posOffset>
            </wp:positionV>
            <wp:extent cx="979170" cy="636905"/>
            <wp:effectExtent l="19050" t="0" r="0" b="0"/>
            <wp:wrapNone/>
            <wp:docPr id="48" name="Picture 48" descr="AS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SR Logo"/>
                    <pic:cNvPicPr>
                      <a:picLocks noChangeArrowheads="1"/>
                    </pic:cNvPicPr>
                  </pic:nvPicPr>
                  <pic:blipFill>
                    <a:blip r:embed="rId13" cstate="print"/>
                    <a:srcRect/>
                    <a:stretch>
                      <a:fillRect/>
                    </a:stretch>
                  </pic:blipFill>
                  <pic:spPr bwMode="auto">
                    <a:xfrm>
                      <a:off x="0" y="0"/>
                      <a:ext cx="979170" cy="636905"/>
                    </a:xfrm>
                    <a:prstGeom prst="rect">
                      <a:avLst/>
                    </a:prstGeom>
                    <a:noFill/>
                    <a:ln w="9525">
                      <a:noFill/>
                      <a:miter lim="800000"/>
                      <a:headEnd/>
                      <a:tailEnd/>
                    </a:ln>
                  </pic:spPr>
                </pic:pic>
              </a:graphicData>
            </a:graphic>
          </wp:anchor>
        </w:drawing>
      </w:r>
      <w:r w:rsidR="002E49C5" w:rsidRPr="00B83411">
        <w:rPr>
          <w:highlight w:val="yellow"/>
        </w:rPr>
        <w:br w:type="page"/>
      </w:r>
      <w:r w:rsidR="00BD25B0" w:rsidRPr="00B83411">
        <w:lastRenderedPageBreak/>
        <w:t>Table of c</w:t>
      </w:r>
      <w:r w:rsidR="002E49C5" w:rsidRPr="00B83411">
        <w:t>ontents</w:t>
      </w:r>
    </w:p>
    <w:p w14:paraId="04ED464F" w14:textId="47CEDA6D" w:rsidR="00B83411" w:rsidRPr="00B83411" w:rsidRDefault="003917E2">
      <w:pPr>
        <w:pStyle w:val="TOC1"/>
        <w:rPr>
          <w:rFonts w:asciiTheme="minorHAnsi" w:eastAsiaTheme="minorEastAsia" w:hAnsiTheme="minorHAnsi" w:cstheme="minorBidi"/>
          <w:noProof/>
          <w:color w:val="auto"/>
          <w:kern w:val="2"/>
          <w:sz w:val="24"/>
          <w:szCs w:val="24"/>
          <w:lang w:eastAsia="en-AU"/>
          <w14:ligatures w14:val="standardContextual"/>
        </w:rPr>
      </w:pPr>
      <w:r w:rsidRPr="00B83411">
        <w:rPr>
          <w:highlight w:val="yellow"/>
        </w:rPr>
        <w:fldChar w:fldCharType="begin"/>
      </w:r>
      <w:r w:rsidRPr="00B83411">
        <w:rPr>
          <w:highlight w:val="yellow"/>
        </w:rPr>
        <w:instrText xml:space="preserve"> TOC \o "1-2" \h \z \u </w:instrText>
      </w:r>
      <w:r w:rsidRPr="00B83411">
        <w:rPr>
          <w:highlight w:val="yellow"/>
        </w:rPr>
        <w:fldChar w:fldCharType="separate"/>
      </w:r>
      <w:hyperlink w:anchor="_Toc213926336" w:history="1">
        <w:r w:rsidR="00B83411" w:rsidRPr="00B83411">
          <w:rPr>
            <w:rStyle w:val="Hyperlink"/>
            <w:noProof/>
          </w:rPr>
          <w:t>Introduction</w:t>
        </w:r>
        <w:r w:rsidR="00B83411" w:rsidRPr="00B83411">
          <w:rPr>
            <w:noProof/>
            <w:webHidden/>
          </w:rPr>
          <w:tab/>
        </w:r>
        <w:r w:rsidR="00B83411" w:rsidRPr="00B83411">
          <w:rPr>
            <w:noProof/>
            <w:webHidden/>
          </w:rPr>
          <w:fldChar w:fldCharType="begin"/>
        </w:r>
        <w:r w:rsidR="00B83411" w:rsidRPr="00B83411">
          <w:rPr>
            <w:noProof/>
            <w:webHidden/>
          </w:rPr>
          <w:instrText xml:space="preserve"> PAGEREF _Toc213926336 \h </w:instrText>
        </w:r>
        <w:r w:rsidR="00B83411" w:rsidRPr="00B83411">
          <w:rPr>
            <w:noProof/>
            <w:webHidden/>
          </w:rPr>
        </w:r>
        <w:r w:rsidR="00B83411" w:rsidRPr="00B83411">
          <w:rPr>
            <w:noProof/>
            <w:webHidden/>
          </w:rPr>
          <w:fldChar w:fldCharType="separate"/>
        </w:r>
        <w:r w:rsidR="004F2CF3">
          <w:rPr>
            <w:noProof/>
            <w:webHidden/>
          </w:rPr>
          <w:t>1</w:t>
        </w:r>
        <w:r w:rsidR="00B83411" w:rsidRPr="00B83411">
          <w:rPr>
            <w:noProof/>
            <w:webHidden/>
          </w:rPr>
          <w:fldChar w:fldCharType="end"/>
        </w:r>
      </w:hyperlink>
    </w:p>
    <w:p w14:paraId="1DAEF914" w14:textId="0715A27C"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37" w:history="1">
        <w:r w:rsidRPr="00B83411">
          <w:rPr>
            <w:rStyle w:val="Hyperlink"/>
            <w:noProof/>
          </w:rPr>
          <w:t>Background</w:t>
        </w:r>
        <w:r w:rsidRPr="00B83411">
          <w:rPr>
            <w:noProof/>
            <w:webHidden/>
          </w:rPr>
          <w:tab/>
        </w:r>
        <w:r w:rsidRPr="00B83411">
          <w:rPr>
            <w:noProof/>
            <w:webHidden/>
          </w:rPr>
          <w:fldChar w:fldCharType="begin"/>
        </w:r>
        <w:r w:rsidRPr="00B83411">
          <w:rPr>
            <w:noProof/>
            <w:webHidden/>
          </w:rPr>
          <w:instrText xml:space="preserve"> PAGEREF _Toc213926337 \h </w:instrText>
        </w:r>
        <w:r w:rsidRPr="00B83411">
          <w:rPr>
            <w:noProof/>
            <w:webHidden/>
          </w:rPr>
        </w:r>
        <w:r w:rsidRPr="00B83411">
          <w:rPr>
            <w:noProof/>
            <w:webHidden/>
          </w:rPr>
          <w:fldChar w:fldCharType="separate"/>
        </w:r>
        <w:r w:rsidR="004F2CF3">
          <w:rPr>
            <w:noProof/>
            <w:webHidden/>
          </w:rPr>
          <w:t>2</w:t>
        </w:r>
        <w:r w:rsidRPr="00B83411">
          <w:rPr>
            <w:noProof/>
            <w:webHidden/>
          </w:rPr>
          <w:fldChar w:fldCharType="end"/>
        </w:r>
      </w:hyperlink>
    </w:p>
    <w:p w14:paraId="5C962677" w14:textId="0211B15B"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38" w:history="1">
        <w:r w:rsidRPr="00B83411">
          <w:rPr>
            <w:rStyle w:val="Hyperlink"/>
            <w:noProof/>
          </w:rPr>
          <w:t>Survey administration</w:t>
        </w:r>
        <w:r w:rsidRPr="00B83411">
          <w:rPr>
            <w:noProof/>
            <w:webHidden/>
          </w:rPr>
          <w:tab/>
        </w:r>
        <w:r w:rsidRPr="00B83411">
          <w:rPr>
            <w:noProof/>
            <w:webHidden/>
          </w:rPr>
          <w:fldChar w:fldCharType="begin"/>
        </w:r>
        <w:r w:rsidRPr="00B83411">
          <w:rPr>
            <w:noProof/>
            <w:webHidden/>
          </w:rPr>
          <w:instrText xml:space="preserve"> PAGEREF _Toc213926338 \h </w:instrText>
        </w:r>
        <w:r w:rsidRPr="00B83411">
          <w:rPr>
            <w:noProof/>
            <w:webHidden/>
          </w:rPr>
        </w:r>
        <w:r w:rsidRPr="00B83411">
          <w:rPr>
            <w:noProof/>
            <w:webHidden/>
          </w:rPr>
          <w:fldChar w:fldCharType="separate"/>
        </w:r>
        <w:r w:rsidR="004F2CF3">
          <w:rPr>
            <w:noProof/>
            <w:webHidden/>
          </w:rPr>
          <w:t>2</w:t>
        </w:r>
        <w:r w:rsidRPr="00B83411">
          <w:rPr>
            <w:noProof/>
            <w:webHidden/>
          </w:rPr>
          <w:fldChar w:fldCharType="end"/>
        </w:r>
      </w:hyperlink>
    </w:p>
    <w:p w14:paraId="074E97E6" w14:textId="184FEFBE"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39" w:history="1">
        <w:r w:rsidRPr="00B83411">
          <w:rPr>
            <w:rStyle w:val="Hyperlink"/>
            <w:noProof/>
          </w:rPr>
          <w:t>Response rate</w:t>
        </w:r>
        <w:r w:rsidRPr="00B83411">
          <w:rPr>
            <w:noProof/>
            <w:webHidden/>
          </w:rPr>
          <w:tab/>
        </w:r>
        <w:r w:rsidRPr="00B83411">
          <w:rPr>
            <w:noProof/>
            <w:webHidden/>
          </w:rPr>
          <w:fldChar w:fldCharType="begin"/>
        </w:r>
        <w:r w:rsidRPr="00B83411">
          <w:rPr>
            <w:noProof/>
            <w:webHidden/>
          </w:rPr>
          <w:instrText xml:space="preserve"> PAGEREF _Toc213926339 \h </w:instrText>
        </w:r>
        <w:r w:rsidRPr="00B83411">
          <w:rPr>
            <w:noProof/>
            <w:webHidden/>
          </w:rPr>
        </w:r>
        <w:r w:rsidRPr="00B83411">
          <w:rPr>
            <w:noProof/>
            <w:webHidden/>
          </w:rPr>
          <w:fldChar w:fldCharType="separate"/>
        </w:r>
        <w:r w:rsidR="004F2CF3">
          <w:rPr>
            <w:noProof/>
            <w:webHidden/>
          </w:rPr>
          <w:t>2</w:t>
        </w:r>
        <w:r w:rsidRPr="00B83411">
          <w:rPr>
            <w:noProof/>
            <w:webHidden/>
          </w:rPr>
          <w:fldChar w:fldCharType="end"/>
        </w:r>
      </w:hyperlink>
    </w:p>
    <w:p w14:paraId="6D25FEE9" w14:textId="0430FC61"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40" w:history="1">
        <w:r w:rsidRPr="00B83411">
          <w:rPr>
            <w:rStyle w:val="Hyperlink"/>
            <w:noProof/>
          </w:rPr>
          <w:t>Analysis notes</w:t>
        </w:r>
        <w:r w:rsidRPr="00B83411">
          <w:rPr>
            <w:noProof/>
            <w:webHidden/>
          </w:rPr>
          <w:tab/>
        </w:r>
        <w:r w:rsidRPr="00B83411">
          <w:rPr>
            <w:noProof/>
            <w:webHidden/>
          </w:rPr>
          <w:fldChar w:fldCharType="begin"/>
        </w:r>
        <w:r w:rsidRPr="00B83411">
          <w:rPr>
            <w:noProof/>
            <w:webHidden/>
          </w:rPr>
          <w:instrText xml:space="preserve"> PAGEREF _Toc213926340 \h </w:instrText>
        </w:r>
        <w:r w:rsidRPr="00B83411">
          <w:rPr>
            <w:noProof/>
            <w:webHidden/>
          </w:rPr>
        </w:r>
        <w:r w:rsidRPr="00B83411">
          <w:rPr>
            <w:noProof/>
            <w:webHidden/>
          </w:rPr>
          <w:fldChar w:fldCharType="separate"/>
        </w:r>
        <w:r w:rsidR="004F2CF3">
          <w:rPr>
            <w:noProof/>
            <w:webHidden/>
          </w:rPr>
          <w:t>3</w:t>
        </w:r>
        <w:r w:rsidRPr="00B83411">
          <w:rPr>
            <w:noProof/>
            <w:webHidden/>
          </w:rPr>
          <w:fldChar w:fldCharType="end"/>
        </w:r>
      </w:hyperlink>
    </w:p>
    <w:p w14:paraId="65B11EDD" w14:textId="761835ED"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41" w:history="1">
        <w:r w:rsidRPr="00B83411">
          <w:rPr>
            <w:rStyle w:val="Hyperlink"/>
            <w:noProof/>
          </w:rPr>
          <w:t>Survey participants</w:t>
        </w:r>
        <w:r w:rsidRPr="00B83411">
          <w:rPr>
            <w:noProof/>
            <w:webHidden/>
          </w:rPr>
          <w:tab/>
        </w:r>
        <w:r w:rsidRPr="00B83411">
          <w:rPr>
            <w:noProof/>
            <w:webHidden/>
          </w:rPr>
          <w:fldChar w:fldCharType="begin"/>
        </w:r>
        <w:r w:rsidRPr="00B83411">
          <w:rPr>
            <w:noProof/>
            <w:webHidden/>
          </w:rPr>
          <w:instrText xml:space="preserve"> PAGEREF _Toc213926341 \h </w:instrText>
        </w:r>
        <w:r w:rsidRPr="00B83411">
          <w:rPr>
            <w:noProof/>
            <w:webHidden/>
          </w:rPr>
        </w:r>
        <w:r w:rsidRPr="00B83411">
          <w:rPr>
            <w:noProof/>
            <w:webHidden/>
          </w:rPr>
          <w:fldChar w:fldCharType="separate"/>
        </w:r>
        <w:r w:rsidR="004F2CF3">
          <w:rPr>
            <w:noProof/>
            <w:webHidden/>
          </w:rPr>
          <w:t>5</w:t>
        </w:r>
        <w:r w:rsidRPr="00B83411">
          <w:rPr>
            <w:noProof/>
            <w:webHidden/>
          </w:rPr>
          <w:fldChar w:fldCharType="end"/>
        </w:r>
      </w:hyperlink>
    </w:p>
    <w:p w14:paraId="56F9E59E" w14:textId="52FCE683"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42" w:history="1">
        <w:r w:rsidRPr="00B83411">
          <w:rPr>
            <w:rStyle w:val="Hyperlink"/>
            <w:noProof/>
          </w:rPr>
          <w:t>Overall results</w:t>
        </w:r>
        <w:r w:rsidRPr="00B83411">
          <w:rPr>
            <w:noProof/>
            <w:webHidden/>
          </w:rPr>
          <w:tab/>
        </w:r>
        <w:r w:rsidRPr="00B83411">
          <w:rPr>
            <w:noProof/>
            <w:webHidden/>
          </w:rPr>
          <w:fldChar w:fldCharType="begin"/>
        </w:r>
        <w:r w:rsidRPr="00B83411">
          <w:rPr>
            <w:noProof/>
            <w:webHidden/>
          </w:rPr>
          <w:instrText xml:space="preserve"> PAGEREF _Toc213926342 \h </w:instrText>
        </w:r>
        <w:r w:rsidRPr="00B83411">
          <w:rPr>
            <w:noProof/>
            <w:webHidden/>
          </w:rPr>
        </w:r>
        <w:r w:rsidRPr="00B83411">
          <w:rPr>
            <w:noProof/>
            <w:webHidden/>
          </w:rPr>
          <w:fldChar w:fldCharType="separate"/>
        </w:r>
        <w:r w:rsidR="004F2CF3">
          <w:rPr>
            <w:noProof/>
            <w:webHidden/>
          </w:rPr>
          <w:t>6</w:t>
        </w:r>
        <w:r w:rsidRPr="00B83411">
          <w:rPr>
            <w:noProof/>
            <w:webHidden/>
          </w:rPr>
          <w:fldChar w:fldCharType="end"/>
        </w:r>
      </w:hyperlink>
    </w:p>
    <w:p w14:paraId="4BEAB65D" w14:textId="409EB1BA"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43" w:history="1">
        <w:r w:rsidRPr="00B83411">
          <w:rPr>
            <w:rStyle w:val="Hyperlink"/>
            <w:noProof/>
          </w:rPr>
          <w:t>Interactions with NOPTA / OIR</w:t>
        </w:r>
        <w:r w:rsidRPr="00B83411">
          <w:rPr>
            <w:noProof/>
            <w:webHidden/>
          </w:rPr>
          <w:tab/>
        </w:r>
        <w:r w:rsidRPr="00B83411">
          <w:rPr>
            <w:noProof/>
            <w:webHidden/>
          </w:rPr>
          <w:fldChar w:fldCharType="begin"/>
        </w:r>
        <w:r w:rsidRPr="00B83411">
          <w:rPr>
            <w:noProof/>
            <w:webHidden/>
          </w:rPr>
          <w:instrText xml:space="preserve"> PAGEREF _Toc213926343 \h </w:instrText>
        </w:r>
        <w:r w:rsidRPr="00B83411">
          <w:rPr>
            <w:noProof/>
            <w:webHidden/>
          </w:rPr>
        </w:r>
        <w:r w:rsidRPr="00B83411">
          <w:rPr>
            <w:noProof/>
            <w:webHidden/>
          </w:rPr>
          <w:fldChar w:fldCharType="separate"/>
        </w:r>
        <w:r w:rsidR="004F2CF3">
          <w:rPr>
            <w:noProof/>
            <w:webHidden/>
          </w:rPr>
          <w:t>8</w:t>
        </w:r>
        <w:r w:rsidRPr="00B83411">
          <w:rPr>
            <w:noProof/>
            <w:webHidden/>
          </w:rPr>
          <w:fldChar w:fldCharType="end"/>
        </w:r>
      </w:hyperlink>
    </w:p>
    <w:p w14:paraId="0662F112" w14:textId="79FF8C2A"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44" w:history="1">
        <w:r w:rsidRPr="00B83411">
          <w:rPr>
            <w:rStyle w:val="Hyperlink"/>
            <w:noProof/>
          </w:rPr>
          <w:t>Information and advice from NOPTA / OIR</w:t>
        </w:r>
        <w:r w:rsidRPr="00B83411">
          <w:rPr>
            <w:noProof/>
            <w:webHidden/>
          </w:rPr>
          <w:tab/>
        </w:r>
        <w:r w:rsidRPr="00B83411">
          <w:rPr>
            <w:noProof/>
            <w:webHidden/>
          </w:rPr>
          <w:fldChar w:fldCharType="begin"/>
        </w:r>
        <w:r w:rsidRPr="00B83411">
          <w:rPr>
            <w:noProof/>
            <w:webHidden/>
          </w:rPr>
          <w:instrText xml:space="preserve"> PAGEREF _Toc213926344 \h </w:instrText>
        </w:r>
        <w:r w:rsidRPr="00B83411">
          <w:rPr>
            <w:noProof/>
            <w:webHidden/>
          </w:rPr>
        </w:r>
        <w:r w:rsidRPr="00B83411">
          <w:rPr>
            <w:noProof/>
            <w:webHidden/>
          </w:rPr>
          <w:fldChar w:fldCharType="separate"/>
        </w:r>
        <w:r w:rsidR="004F2CF3">
          <w:rPr>
            <w:noProof/>
            <w:webHidden/>
          </w:rPr>
          <w:t>9</w:t>
        </w:r>
        <w:r w:rsidRPr="00B83411">
          <w:rPr>
            <w:noProof/>
            <w:webHidden/>
          </w:rPr>
          <w:fldChar w:fldCharType="end"/>
        </w:r>
      </w:hyperlink>
    </w:p>
    <w:p w14:paraId="1CC6E681" w14:textId="36354C56"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45" w:history="1">
        <w:r w:rsidRPr="00B83411">
          <w:rPr>
            <w:rStyle w:val="Hyperlink"/>
            <w:noProof/>
          </w:rPr>
          <w:t>NOPTA / OIR performance and stakeholder effort required</w:t>
        </w:r>
        <w:r w:rsidRPr="00B83411">
          <w:rPr>
            <w:noProof/>
            <w:webHidden/>
          </w:rPr>
          <w:tab/>
        </w:r>
        <w:r w:rsidRPr="00B83411">
          <w:rPr>
            <w:noProof/>
            <w:webHidden/>
          </w:rPr>
          <w:fldChar w:fldCharType="begin"/>
        </w:r>
        <w:r w:rsidRPr="00B83411">
          <w:rPr>
            <w:noProof/>
            <w:webHidden/>
          </w:rPr>
          <w:instrText xml:space="preserve"> PAGEREF _Toc213926345 \h </w:instrText>
        </w:r>
        <w:r w:rsidRPr="00B83411">
          <w:rPr>
            <w:noProof/>
            <w:webHidden/>
          </w:rPr>
        </w:r>
        <w:r w:rsidRPr="00B83411">
          <w:rPr>
            <w:noProof/>
            <w:webHidden/>
          </w:rPr>
          <w:fldChar w:fldCharType="separate"/>
        </w:r>
        <w:r w:rsidR="004F2CF3">
          <w:rPr>
            <w:noProof/>
            <w:webHidden/>
          </w:rPr>
          <w:t>11</w:t>
        </w:r>
        <w:r w:rsidRPr="00B83411">
          <w:rPr>
            <w:noProof/>
            <w:webHidden/>
          </w:rPr>
          <w:fldChar w:fldCharType="end"/>
        </w:r>
      </w:hyperlink>
    </w:p>
    <w:p w14:paraId="1585A7BA" w14:textId="61C873AC"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46" w:history="1">
        <w:r w:rsidRPr="00B83411">
          <w:rPr>
            <w:rStyle w:val="Hyperlink"/>
            <w:noProof/>
          </w:rPr>
          <w:t>Demonstration of key values</w:t>
        </w:r>
        <w:r w:rsidRPr="00B83411">
          <w:rPr>
            <w:noProof/>
            <w:webHidden/>
          </w:rPr>
          <w:tab/>
        </w:r>
        <w:r w:rsidRPr="00B83411">
          <w:rPr>
            <w:noProof/>
            <w:webHidden/>
          </w:rPr>
          <w:fldChar w:fldCharType="begin"/>
        </w:r>
        <w:r w:rsidRPr="00B83411">
          <w:rPr>
            <w:noProof/>
            <w:webHidden/>
          </w:rPr>
          <w:instrText xml:space="preserve"> PAGEREF _Toc213926346 \h </w:instrText>
        </w:r>
        <w:r w:rsidRPr="00B83411">
          <w:rPr>
            <w:noProof/>
            <w:webHidden/>
          </w:rPr>
        </w:r>
        <w:r w:rsidRPr="00B83411">
          <w:rPr>
            <w:noProof/>
            <w:webHidden/>
          </w:rPr>
          <w:fldChar w:fldCharType="separate"/>
        </w:r>
        <w:r w:rsidR="004F2CF3">
          <w:rPr>
            <w:noProof/>
            <w:webHidden/>
          </w:rPr>
          <w:t>13</w:t>
        </w:r>
        <w:r w:rsidRPr="00B83411">
          <w:rPr>
            <w:noProof/>
            <w:webHidden/>
          </w:rPr>
          <w:fldChar w:fldCharType="end"/>
        </w:r>
      </w:hyperlink>
    </w:p>
    <w:p w14:paraId="43803B46" w14:textId="44CE8574"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47" w:history="1">
        <w:r w:rsidRPr="00B83411">
          <w:rPr>
            <w:rStyle w:val="Hyperlink"/>
            <w:noProof/>
          </w:rPr>
          <w:t>Trust in organisation</w:t>
        </w:r>
        <w:r w:rsidRPr="00B83411">
          <w:rPr>
            <w:noProof/>
            <w:webHidden/>
          </w:rPr>
          <w:tab/>
        </w:r>
        <w:r w:rsidRPr="00B83411">
          <w:rPr>
            <w:noProof/>
            <w:webHidden/>
          </w:rPr>
          <w:fldChar w:fldCharType="begin"/>
        </w:r>
        <w:r w:rsidRPr="00B83411">
          <w:rPr>
            <w:noProof/>
            <w:webHidden/>
          </w:rPr>
          <w:instrText xml:space="preserve"> PAGEREF _Toc213926347 \h </w:instrText>
        </w:r>
        <w:r w:rsidRPr="00B83411">
          <w:rPr>
            <w:noProof/>
            <w:webHidden/>
          </w:rPr>
        </w:r>
        <w:r w:rsidRPr="00B83411">
          <w:rPr>
            <w:noProof/>
            <w:webHidden/>
          </w:rPr>
          <w:fldChar w:fldCharType="separate"/>
        </w:r>
        <w:r w:rsidR="004F2CF3">
          <w:rPr>
            <w:noProof/>
            <w:webHidden/>
          </w:rPr>
          <w:t>14</w:t>
        </w:r>
        <w:r w:rsidRPr="00B83411">
          <w:rPr>
            <w:noProof/>
            <w:webHidden/>
          </w:rPr>
          <w:fldChar w:fldCharType="end"/>
        </w:r>
      </w:hyperlink>
    </w:p>
    <w:p w14:paraId="296EC8D1" w14:textId="2A80F3C8"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48" w:history="1">
        <w:r w:rsidRPr="00B83411">
          <w:rPr>
            <w:rStyle w:val="Hyperlink"/>
            <w:noProof/>
          </w:rPr>
          <w:t>Digital experiences</w:t>
        </w:r>
        <w:r w:rsidRPr="00B83411">
          <w:rPr>
            <w:noProof/>
            <w:webHidden/>
          </w:rPr>
          <w:tab/>
        </w:r>
        <w:r w:rsidRPr="00B83411">
          <w:rPr>
            <w:noProof/>
            <w:webHidden/>
          </w:rPr>
          <w:fldChar w:fldCharType="begin"/>
        </w:r>
        <w:r w:rsidRPr="00B83411">
          <w:rPr>
            <w:noProof/>
            <w:webHidden/>
          </w:rPr>
          <w:instrText xml:space="preserve"> PAGEREF _Toc213926348 \h </w:instrText>
        </w:r>
        <w:r w:rsidRPr="00B83411">
          <w:rPr>
            <w:noProof/>
            <w:webHidden/>
          </w:rPr>
        </w:r>
        <w:r w:rsidRPr="00B83411">
          <w:rPr>
            <w:noProof/>
            <w:webHidden/>
          </w:rPr>
          <w:fldChar w:fldCharType="separate"/>
        </w:r>
        <w:r w:rsidR="004F2CF3">
          <w:rPr>
            <w:noProof/>
            <w:webHidden/>
          </w:rPr>
          <w:t>15</w:t>
        </w:r>
        <w:r w:rsidRPr="00B83411">
          <w:rPr>
            <w:noProof/>
            <w:webHidden/>
          </w:rPr>
          <w:fldChar w:fldCharType="end"/>
        </w:r>
      </w:hyperlink>
    </w:p>
    <w:p w14:paraId="1A1AD258" w14:textId="310D7683"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49" w:history="1">
        <w:r w:rsidRPr="00B83411">
          <w:rPr>
            <w:rStyle w:val="Hyperlink"/>
            <w:noProof/>
          </w:rPr>
          <w:t>NEATS</w:t>
        </w:r>
        <w:r w:rsidRPr="00B83411">
          <w:rPr>
            <w:noProof/>
            <w:webHidden/>
          </w:rPr>
          <w:tab/>
        </w:r>
        <w:r w:rsidRPr="00B83411">
          <w:rPr>
            <w:noProof/>
            <w:webHidden/>
          </w:rPr>
          <w:fldChar w:fldCharType="begin"/>
        </w:r>
        <w:r w:rsidRPr="00B83411">
          <w:rPr>
            <w:noProof/>
            <w:webHidden/>
          </w:rPr>
          <w:instrText xml:space="preserve"> PAGEREF _Toc213926349 \h </w:instrText>
        </w:r>
        <w:r w:rsidRPr="00B83411">
          <w:rPr>
            <w:noProof/>
            <w:webHidden/>
          </w:rPr>
        </w:r>
        <w:r w:rsidRPr="00B83411">
          <w:rPr>
            <w:noProof/>
            <w:webHidden/>
          </w:rPr>
          <w:fldChar w:fldCharType="separate"/>
        </w:r>
        <w:r w:rsidR="004F2CF3">
          <w:rPr>
            <w:noProof/>
            <w:webHidden/>
          </w:rPr>
          <w:t>15</w:t>
        </w:r>
        <w:r w:rsidRPr="00B83411">
          <w:rPr>
            <w:noProof/>
            <w:webHidden/>
          </w:rPr>
          <w:fldChar w:fldCharType="end"/>
        </w:r>
      </w:hyperlink>
    </w:p>
    <w:p w14:paraId="12043A56" w14:textId="45AAC4D5"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0" w:history="1">
        <w:r w:rsidRPr="00B83411">
          <w:rPr>
            <w:rStyle w:val="Hyperlink"/>
            <w:noProof/>
          </w:rPr>
          <w:t>NOPIMS</w:t>
        </w:r>
        <w:r w:rsidRPr="00B83411">
          <w:rPr>
            <w:noProof/>
            <w:webHidden/>
          </w:rPr>
          <w:tab/>
        </w:r>
        <w:r w:rsidRPr="00B83411">
          <w:rPr>
            <w:noProof/>
            <w:webHidden/>
          </w:rPr>
          <w:fldChar w:fldCharType="begin"/>
        </w:r>
        <w:r w:rsidRPr="00B83411">
          <w:rPr>
            <w:noProof/>
            <w:webHidden/>
          </w:rPr>
          <w:instrText xml:space="preserve"> PAGEREF _Toc213926350 \h </w:instrText>
        </w:r>
        <w:r w:rsidRPr="00B83411">
          <w:rPr>
            <w:noProof/>
            <w:webHidden/>
          </w:rPr>
        </w:r>
        <w:r w:rsidRPr="00B83411">
          <w:rPr>
            <w:noProof/>
            <w:webHidden/>
          </w:rPr>
          <w:fldChar w:fldCharType="separate"/>
        </w:r>
        <w:r w:rsidR="004F2CF3">
          <w:rPr>
            <w:noProof/>
            <w:webHidden/>
          </w:rPr>
          <w:t>16</w:t>
        </w:r>
        <w:r w:rsidRPr="00B83411">
          <w:rPr>
            <w:noProof/>
            <w:webHidden/>
          </w:rPr>
          <w:fldChar w:fldCharType="end"/>
        </w:r>
      </w:hyperlink>
    </w:p>
    <w:p w14:paraId="473EA9D7" w14:textId="2050772D"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1" w:history="1">
        <w:r w:rsidRPr="00B83411">
          <w:rPr>
            <w:rStyle w:val="Hyperlink"/>
            <w:noProof/>
          </w:rPr>
          <w:t>NOPTA website</w:t>
        </w:r>
        <w:r w:rsidRPr="00B83411">
          <w:rPr>
            <w:noProof/>
            <w:webHidden/>
          </w:rPr>
          <w:tab/>
        </w:r>
        <w:r w:rsidRPr="00B83411">
          <w:rPr>
            <w:noProof/>
            <w:webHidden/>
          </w:rPr>
          <w:fldChar w:fldCharType="begin"/>
        </w:r>
        <w:r w:rsidRPr="00B83411">
          <w:rPr>
            <w:noProof/>
            <w:webHidden/>
          </w:rPr>
          <w:instrText xml:space="preserve"> PAGEREF _Toc213926351 \h </w:instrText>
        </w:r>
        <w:r w:rsidRPr="00B83411">
          <w:rPr>
            <w:noProof/>
            <w:webHidden/>
          </w:rPr>
        </w:r>
        <w:r w:rsidRPr="00B83411">
          <w:rPr>
            <w:noProof/>
            <w:webHidden/>
          </w:rPr>
          <w:fldChar w:fldCharType="separate"/>
        </w:r>
        <w:r w:rsidR="004F2CF3">
          <w:rPr>
            <w:noProof/>
            <w:webHidden/>
          </w:rPr>
          <w:t>17</w:t>
        </w:r>
        <w:r w:rsidRPr="00B83411">
          <w:rPr>
            <w:noProof/>
            <w:webHidden/>
          </w:rPr>
          <w:fldChar w:fldCharType="end"/>
        </w:r>
      </w:hyperlink>
    </w:p>
    <w:p w14:paraId="4A068A93" w14:textId="648966A2"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2" w:history="1">
        <w:r w:rsidRPr="00B83411">
          <w:rPr>
            <w:rStyle w:val="Hyperlink"/>
            <w:noProof/>
          </w:rPr>
          <w:t>OIR website</w:t>
        </w:r>
        <w:r w:rsidRPr="00B83411">
          <w:rPr>
            <w:noProof/>
            <w:webHidden/>
          </w:rPr>
          <w:tab/>
        </w:r>
        <w:r w:rsidRPr="00B83411">
          <w:rPr>
            <w:noProof/>
            <w:webHidden/>
          </w:rPr>
          <w:fldChar w:fldCharType="begin"/>
        </w:r>
        <w:r w:rsidRPr="00B83411">
          <w:rPr>
            <w:noProof/>
            <w:webHidden/>
          </w:rPr>
          <w:instrText xml:space="preserve"> PAGEREF _Toc213926352 \h </w:instrText>
        </w:r>
        <w:r w:rsidRPr="00B83411">
          <w:rPr>
            <w:noProof/>
            <w:webHidden/>
          </w:rPr>
        </w:r>
        <w:r w:rsidRPr="00B83411">
          <w:rPr>
            <w:noProof/>
            <w:webHidden/>
          </w:rPr>
          <w:fldChar w:fldCharType="separate"/>
        </w:r>
        <w:r w:rsidR="004F2CF3">
          <w:rPr>
            <w:noProof/>
            <w:webHidden/>
          </w:rPr>
          <w:t>18</w:t>
        </w:r>
        <w:r w:rsidRPr="00B83411">
          <w:rPr>
            <w:noProof/>
            <w:webHidden/>
          </w:rPr>
          <w:fldChar w:fldCharType="end"/>
        </w:r>
      </w:hyperlink>
    </w:p>
    <w:p w14:paraId="77FF11B3" w14:textId="76143CA4"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3" w:history="1">
        <w:r w:rsidRPr="00B83411">
          <w:rPr>
            <w:rStyle w:val="Hyperlink"/>
            <w:noProof/>
          </w:rPr>
          <w:t>Differences in level of interaction</w:t>
        </w:r>
        <w:r w:rsidRPr="00B83411">
          <w:rPr>
            <w:noProof/>
            <w:webHidden/>
          </w:rPr>
          <w:tab/>
        </w:r>
        <w:r w:rsidRPr="00B83411">
          <w:rPr>
            <w:noProof/>
            <w:webHidden/>
          </w:rPr>
          <w:fldChar w:fldCharType="begin"/>
        </w:r>
        <w:r w:rsidRPr="00B83411">
          <w:rPr>
            <w:noProof/>
            <w:webHidden/>
          </w:rPr>
          <w:instrText xml:space="preserve"> PAGEREF _Toc213926353 \h </w:instrText>
        </w:r>
        <w:r w:rsidRPr="00B83411">
          <w:rPr>
            <w:noProof/>
            <w:webHidden/>
          </w:rPr>
        </w:r>
        <w:r w:rsidRPr="00B83411">
          <w:rPr>
            <w:noProof/>
            <w:webHidden/>
          </w:rPr>
          <w:fldChar w:fldCharType="separate"/>
        </w:r>
        <w:r w:rsidR="004F2CF3">
          <w:rPr>
            <w:noProof/>
            <w:webHidden/>
          </w:rPr>
          <w:t>19</w:t>
        </w:r>
        <w:r w:rsidRPr="00B83411">
          <w:rPr>
            <w:noProof/>
            <w:webHidden/>
          </w:rPr>
          <w:fldChar w:fldCharType="end"/>
        </w:r>
      </w:hyperlink>
    </w:p>
    <w:p w14:paraId="0F56FA3D" w14:textId="737C684D"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4" w:history="1">
        <w:r w:rsidRPr="00B83411">
          <w:rPr>
            <w:rStyle w:val="Hyperlink"/>
            <w:noProof/>
          </w:rPr>
          <w:t>Digital application comments</w:t>
        </w:r>
        <w:r w:rsidRPr="00B83411">
          <w:rPr>
            <w:noProof/>
            <w:webHidden/>
          </w:rPr>
          <w:tab/>
        </w:r>
        <w:r w:rsidRPr="00B83411">
          <w:rPr>
            <w:noProof/>
            <w:webHidden/>
          </w:rPr>
          <w:fldChar w:fldCharType="begin"/>
        </w:r>
        <w:r w:rsidRPr="00B83411">
          <w:rPr>
            <w:noProof/>
            <w:webHidden/>
          </w:rPr>
          <w:instrText xml:space="preserve"> PAGEREF _Toc213926354 \h </w:instrText>
        </w:r>
        <w:r w:rsidRPr="00B83411">
          <w:rPr>
            <w:noProof/>
            <w:webHidden/>
          </w:rPr>
        </w:r>
        <w:r w:rsidRPr="00B83411">
          <w:rPr>
            <w:noProof/>
            <w:webHidden/>
          </w:rPr>
          <w:fldChar w:fldCharType="separate"/>
        </w:r>
        <w:r w:rsidR="004F2CF3">
          <w:rPr>
            <w:noProof/>
            <w:webHidden/>
          </w:rPr>
          <w:t>20</w:t>
        </w:r>
        <w:r w:rsidRPr="00B83411">
          <w:rPr>
            <w:noProof/>
            <w:webHidden/>
          </w:rPr>
          <w:fldChar w:fldCharType="end"/>
        </w:r>
      </w:hyperlink>
    </w:p>
    <w:p w14:paraId="16CAB387" w14:textId="3223A5C3"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55" w:history="1">
        <w:r w:rsidRPr="00B83411">
          <w:rPr>
            <w:rStyle w:val="Hyperlink"/>
            <w:noProof/>
          </w:rPr>
          <w:t>D</w:t>
        </w:r>
        <w:r w:rsidRPr="00B83411">
          <w:rPr>
            <w:rStyle w:val="Hyperlink"/>
            <w:noProof/>
            <w:lang w:eastAsia="en-AU"/>
          </w:rPr>
          <w:t>ifferences within sub-groups</w:t>
        </w:r>
        <w:r w:rsidRPr="00B83411">
          <w:rPr>
            <w:noProof/>
            <w:webHidden/>
          </w:rPr>
          <w:tab/>
        </w:r>
        <w:r w:rsidRPr="00B83411">
          <w:rPr>
            <w:noProof/>
            <w:webHidden/>
          </w:rPr>
          <w:fldChar w:fldCharType="begin"/>
        </w:r>
        <w:r w:rsidRPr="00B83411">
          <w:rPr>
            <w:noProof/>
            <w:webHidden/>
          </w:rPr>
          <w:instrText xml:space="preserve"> PAGEREF _Toc213926355 \h </w:instrText>
        </w:r>
        <w:r w:rsidRPr="00B83411">
          <w:rPr>
            <w:noProof/>
            <w:webHidden/>
          </w:rPr>
        </w:r>
        <w:r w:rsidRPr="00B83411">
          <w:rPr>
            <w:noProof/>
            <w:webHidden/>
          </w:rPr>
          <w:fldChar w:fldCharType="separate"/>
        </w:r>
        <w:r w:rsidR="004F2CF3">
          <w:rPr>
            <w:noProof/>
            <w:webHidden/>
          </w:rPr>
          <w:t>22</w:t>
        </w:r>
        <w:r w:rsidRPr="00B83411">
          <w:rPr>
            <w:noProof/>
            <w:webHidden/>
          </w:rPr>
          <w:fldChar w:fldCharType="end"/>
        </w:r>
      </w:hyperlink>
    </w:p>
    <w:p w14:paraId="795612D0" w14:textId="003CAF28"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6" w:history="1">
        <w:r w:rsidRPr="00B83411">
          <w:rPr>
            <w:rStyle w:val="Hyperlink"/>
            <w:noProof/>
            <w:lang w:eastAsia="en-AU"/>
          </w:rPr>
          <w:t>Role differences</w:t>
        </w:r>
        <w:r w:rsidRPr="00B83411">
          <w:rPr>
            <w:noProof/>
            <w:webHidden/>
          </w:rPr>
          <w:tab/>
        </w:r>
        <w:r w:rsidRPr="00B83411">
          <w:rPr>
            <w:noProof/>
            <w:webHidden/>
          </w:rPr>
          <w:fldChar w:fldCharType="begin"/>
        </w:r>
        <w:r w:rsidRPr="00B83411">
          <w:rPr>
            <w:noProof/>
            <w:webHidden/>
          </w:rPr>
          <w:instrText xml:space="preserve"> PAGEREF _Toc213926356 \h </w:instrText>
        </w:r>
        <w:r w:rsidRPr="00B83411">
          <w:rPr>
            <w:noProof/>
            <w:webHidden/>
          </w:rPr>
        </w:r>
        <w:r w:rsidRPr="00B83411">
          <w:rPr>
            <w:noProof/>
            <w:webHidden/>
          </w:rPr>
          <w:fldChar w:fldCharType="separate"/>
        </w:r>
        <w:r w:rsidR="004F2CF3">
          <w:rPr>
            <w:noProof/>
            <w:webHidden/>
          </w:rPr>
          <w:t>22</w:t>
        </w:r>
        <w:r w:rsidRPr="00B83411">
          <w:rPr>
            <w:noProof/>
            <w:webHidden/>
          </w:rPr>
          <w:fldChar w:fldCharType="end"/>
        </w:r>
      </w:hyperlink>
    </w:p>
    <w:p w14:paraId="761CAE6B" w14:textId="45138FCA"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7" w:history="1">
        <w:r w:rsidRPr="00B83411">
          <w:rPr>
            <w:rStyle w:val="Hyperlink"/>
            <w:noProof/>
            <w:lang w:eastAsia="en-AU"/>
          </w:rPr>
          <w:t>Level of interaction</w:t>
        </w:r>
        <w:r w:rsidRPr="00B83411">
          <w:rPr>
            <w:noProof/>
            <w:webHidden/>
          </w:rPr>
          <w:tab/>
        </w:r>
        <w:r w:rsidRPr="00B83411">
          <w:rPr>
            <w:noProof/>
            <w:webHidden/>
          </w:rPr>
          <w:fldChar w:fldCharType="begin"/>
        </w:r>
        <w:r w:rsidRPr="00B83411">
          <w:rPr>
            <w:noProof/>
            <w:webHidden/>
          </w:rPr>
          <w:instrText xml:space="preserve"> PAGEREF _Toc213926357 \h </w:instrText>
        </w:r>
        <w:r w:rsidRPr="00B83411">
          <w:rPr>
            <w:noProof/>
            <w:webHidden/>
          </w:rPr>
        </w:r>
        <w:r w:rsidRPr="00B83411">
          <w:rPr>
            <w:noProof/>
            <w:webHidden/>
          </w:rPr>
          <w:fldChar w:fldCharType="separate"/>
        </w:r>
        <w:r w:rsidR="004F2CF3">
          <w:rPr>
            <w:noProof/>
            <w:webHidden/>
          </w:rPr>
          <w:t>24</w:t>
        </w:r>
        <w:r w:rsidRPr="00B83411">
          <w:rPr>
            <w:noProof/>
            <w:webHidden/>
          </w:rPr>
          <w:fldChar w:fldCharType="end"/>
        </w:r>
      </w:hyperlink>
    </w:p>
    <w:p w14:paraId="455C3EA0" w14:textId="3C791B33"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58" w:history="1">
        <w:r w:rsidRPr="00B83411">
          <w:rPr>
            <w:rStyle w:val="Hyperlink"/>
            <w:noProof/>
          </w:rPr>
          <w:t>Industry sector</w:t>
        </w:r>
        <w:r w:rsidRPr="00B83411">
          <w:rPr>
            <w:noProof/>
            <w:webHidden/>
          </w:rPr>
          <w:tab/>
        </w:r>
        <w:r w:rsidRPr="00B83411">
          <w:rPr>
            <w:noProof/>
            <w:webHidden/>
          </w:rPr>
          <w:fldChar w:fldCharType="begin"/>
        </w:r>
        <w:r w:rsidRPr="00B83411">
          <w:rPr>
            <w:noProof/>
            <w:webHidden/>
          </w:rPr>
          <w:instrText xml:space="preserve"> PAGEREF _Toc213926358 \h </w:instrText>
        </w:r>
        <w:r w:rsidRPr="00B83411">
          <w:rPr>
            <w:noProof/>
            <w:webHidden/>
          </w:rPr>
        </w:r>
        <w:r w:rsidRPr="00B83411">
          <w:rPr>
            <w:noProof/>
            <w:webHidden/>
          </w:rPr>
          <w:fldChar w:fldCharType="separate"/>
        </w:r>
        <w:r w:rsidR="004F2CF3">
          <w:rPr>
            <w:noProof/>
            <w:webHidden/>
          </w:rPr>
          <w:t>24</w:t>
        </w:r>
        <w:r w:rsidRPr="00B83411">
          <w:rPr>
            <w:noProof/>
            <w:webHidden/>
          </w:rPr>
          <w:fldChar w:fldCharType="end"/>
        </w:r>
      </w:hyperlink>
    </w:p>
    <w:p w14:paraId="7EDB4E6C" w14:textId="06E6AE12"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59" w:history="1">
        <w:r w:rsidRPr="00B83411">
          <w:rPr>
            <w:rStyle w:val="Hyperlink"/>
            <w:noProof/>
            <w:lang w:eastAsia="en-AU"/>
          </w:rPr>
          <w:t>Results by APS values</w:t>
        </w:r>
        <w:r w:rsidRPr="00B83411">
          <w:rPr>
            <w:noProof/>
            <w:webHidden/>
          </w:rPr>
          <w:tab/>
        </w:r>
        <w:r w:rsidRPr="00B83411">
          <w:rPr>
            <w:noProof/>
            <w:webHidden/>
          </w:rPr>
          <w:fldChar w:fldCharType="begin"/>
        </w:r>
        <w:r w:rsidRPr="00B83411">
          <w:rPr>
            <w:noProof/>
            <w:webHidden/>
          </w:rPr>
          <w:instrText xml:space="preserve"> PAGEREF _Toc213926359 \h </w:instrText>
        </w:r>
        <w:r w:rsidRPr="00B83411">
          <w:rPr>
            <w:noProof/>
            <w:webHidden/>
          </w:rPr>
        </w:r>
        <w:r w:rsidRPr="00B83411">
          <w:rPr>
            <w:noProof/>
            <w:webHidden/>
          </w:rPr>
          <w:fldChar w:fldCharType="separate"/>
        </w:r>
        <w:r w:rsidR="004F2CF3">
          <w:rPr>
            <w:noProof/>
            <w:webHidden/>
          </w:rPr>
          <w:t>26</w:t>
        </w:r>
        <w:r w:rsidRPr="00B83411">
          <w:rPr>
            <w:noProof/>
            <w:webHidden/>
          </w:rPr>
          <w:fldChar w:fldCharType="end"/>
        </w:r>
      </w:hyperlink>
    </w:p>
    <w:p w14:paraId="3E5C7E52" w14:textId="46BC9BD6"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60" w:history="1">
        <w:r w:rsidRPr="00B83411">
          <w:rPr>
            <w:rStyle w:val="Hyperlink"/>
            <w:noProof/>
          </w:rPr>
          <w:t>Suggestions</w:t>
        </w:r>
        <w:r w:rsidRPr="00B83411">
          <w:rPr>
            <w:noProof/>
            <w:webHidden/>
          </w:rPr>
          <w:tab/>
        </w:r>
        <w:r w:rsidRPr="00B83411">
          <w:rPr>
            <w:noProof/>
            <w:webHidden/>
          </w:rPr>
          <w:fldChar w:fldCharType="begin"/>
        </w:r>
        <w:r w:rsidRPr="00B83411">
          <w:rPr>
            <w:noProof/>
            <w:webHidden/>
          </w:rPr>
          <w:instrText xml:space="preserve"> PAGEREF _Toc213926360 \h </w:instrText>
        </w:r>
        <w:r w:rsidRPr="00B83411">
          <w:rPr>
            <w:noProof/>
            <w:webHidden/>
          </w:rPr>
        </w:r>
        <w:r w:rsidRPr="00B83411">
          <w:rPr>
            <w:noProof/>
            <w:webHidden/>
          </w:rPr>
          <w:fldChar w:fldCharType="separate"/>
        </w:r>
        <w:r w:rsidR="004F2CF3">
          <w:rPr>
            <w:noProof/>
            <w:webHidden/>
          </w:rPr>
          <w:t>27</w:t>
        </w:r>
        <w:r w:rsidRPr="00B83411">
          <w:rPr>
            <w:noProof/>
            <w:webHidden/>
          </w:rPr>
          <w:fldChar w:fldCharType="end"/>
        </w:r>
      </w:hyperlink>
    </w:p>
    <w:p w14:paraId="7D66D7A4" w14:textId="14B58277"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61" w:history="1">
        <w:r w:rsidRPr="00B83411">
          <w:rPr>
            <w:rStyle w:val="Hyperlink"/>
            <w:noProof/>
          </w:rPr>
          <w:t>Doing well and should continue</w:t>
        </w:r>
        <w:r w:rsidRPr="00B83411">
          <w:rPr>
            <w:noProof/>
            <w:webHidden/>
          </w:rPr>
          <w:tab/>
        </w:r>
        <w:r w:rsidRPr="00B83411">
          <w:rPr>
            <w:noProof/>
            <w:webHidden/>
          </w:rPr>
          <w:fldChar w:fldCharType="begin"/>
        </w:r>
        <w:r w:rsidRPr="00B83411">
          <w:rPr>
            <w:noProof/>
            <w:webHidden/>
          </w:rPr>
          <w:instrText xml:space="preserve"> PAGEREF _Toc213926361 \h </w:instrText>
        </w:r>
        <w:r w:rsidRPr="00B83411">
          <w:rPr>
            <w:noProof/>
            <w:webHidden/>
          </w:rPr>
        </w:r>
        <w:r w:rsidRPr="00B83411">
          <w:rPr>
            <w:noProof/>
            <w:webHidden/>
          </w:rPr>
          <w:fldChar w:fldCharType="separate"/>
        </w:r>
        <w:r w:rsidR="004F2CF3">
          <w:rPr>
            <w:noProof/>
            <w:webHidden/>
          </w:rPr>
          <w:t>27</w:t>
        </w:r>
        <w:r w:rsidRPr="00B83411">
          <w:rPr>
            <w:noProof/>
            <w:webHidden/>
          </w:rPr>
          <w:fldChar w:fldCharType="end"/>
        </w:r>
      </w:hyperlink>
    </w:p>
    <w:p w14:paraId="6D6BB632" w14:textId="407079F8"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62" w:history="1">
        <w:r w:rsidRPr="00B83411">
          <w:rPr>
            <w:rStyle w:val="Hyperlink"/>
            <w:noProof/>
          </w:rPr>
          <w:t>Improvements needed</w:t>
        </w:r>
        <w:r w:rsidRPr="00B83411">
          <w:rPr>
            <w:noProof/>
            <w:webHidden/>
          </w:rPr>
          <w:tab/>
        </w:r>
        <w:r w:rsidRPr="00B83411">
          <w:rPr>
            <w:noProof/>
            <w:webHidden/>
          </w:rPr>
          <w:fldChar w:fldCharType="begin"/>
        </w:r>
        <w:r w:rsidRPr="00B83411">
          <w:rPr>
            <w:noProof/>
            <w:webHidden/>
          </w:rPr>
          <w:instrText xml:space="preserve"> PAGEREF _Toc213926362 \h </w:instrText>
        </w:r>
        <w:r w:rsidRPr="00B83411">
          <w:rPr>
            <w:noProof/>
            <w:webHidden/>
          </w:rPr>
        </w:r>
        <w:r w:rsidRPr="00B83411">
          <w:rPr>
            <w:noProof/>
            <w:webHidden/>
          </w:rPr>
          <w:fldChar w:fldCharType="separate"/>
        </w:r>
        <w:r w:rsidR="004F2CF3">
          <w:rPr>
            <w:noProof/>
            <w:webHidden/>
          </w:rPr>
          <w:t>27</w:t>
        </w:r>
        <w:r w:rsidRPr="00B83411">
          <w:rPr>
            <w:noProof/>
            <w:webHidden/>
          </w:rPr>
          <w:fldChar w:fldCharType="end"/>
        </w:r>
      </w:hyperlink>
    </w:p>
    <w:p w14:paraId="583993AC" w14:textId="4E7DBC82"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63" w:history="1">
        <w:r w:rsidRPr="00B83411">
          <w:rPr>
            <w:rStyle w:val="Hyperlink"/>
            <w:noProof/>
          </w:rPr>
          <w:t>Conclusions</w:t>
        </w:r>
        <w:r w:rsidRPr="00B83411">
          <w:rPr>
            <w:noProof/>
            <w:webHidden/>
          </w:rPr>
          <w:tab/>
        </w:r>
        <w:r w:rsidRPr="00B83411">
          <w:rPr>
            <w:noProof/>
            <w:webHidden/>
          </w:rPr>
          <w:fldChar w:fldCharType="begin"/>
        </w:r>
        <w:r w:rsidRPr="00B83411">
          <w:rPr>
            <w:noProof/>
            <w:webHidden/>
          </w:rPr>
          <w:instrText xml:space="preserve"> PAGEREF _Toc213926363 \h </w:instrText>
        </w:r>
        <w:r w:rsidRPr="00B83411">
          <w:rPr>
            <w:noProof/>
            <w:webHidden/>
          </w:rPr>
        </w:r>
        <w:r w:rsidRPr="00B83411">
          <w:rPr>
            <w:noProof/>
            <w:webHidden/>
          </w:rPr>
          <w:fldChar w:fldCharType="separate"/>
        </w:r>
        <w:r w:rsidR="004F2CF3">
          <w:rPr>
            <w:noProof/>
            <w:webHidden/>
          </w:rPr>
          <w:t>28</w:t>
        </w:r>
        <w:r w:rsidRPr="00B83411">
          <w:rPr>
            <w:noProof/>
            <w:webHidden/>
          </w:rPr>
          <w:fldChar w:fldCharType="end"/>
        </w:r>
      </w:hyperlink>
    </w:p>
    <w:p w14:paraId="33E322E6" w14:textId="7C526AF0"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64" w:history="1">
        <w:r w:rsidRPr="00B83411">
          <w:rPr>
            <w:rStyle w:val="Hyperlink"/>
            <w:noProof/>
          </w:rPr>
          <w:t>Appendix A: 2025 questionnaire</w:t>
        </w:r>
        <w:r w:rsidRPr="00B83411">
          <w:rPr>
            <w:noProof/>
            <w:webHidden/>
          </w:rPr>
          <w:tab/>
        </w:r>
        <w:r w:rsidRPr="00B83411">
          <w:rPr>
            <w:noProof/>
            <w:webHidden/>
          </w:rPr>
          <w:fldChar w:fldCharType="begin"/>
        </w:r>
        <w:r w:rsidRPr="00B83411">
          <w:rPr>
            <w:noProof/>
            <w:webHidden/>
          </w:rPr>
          <w:instrText xml:space="preserve"> PAGEREF _Toc213926364 \h </w:instrText>
        </w:r>
        <w:r w:rsidRPr="00B83411">
          <w:rPr>
            <w:noProof/>
            <w:webHidden/>
          </w:rPr>
        </w:r>
        <w:r w:rsidRPr="00B83411">
          <w:rPr>
            <w:noProof/>
            <w:webHidden/>
          </w:rPr>
          <w:fldChar w:fldCharType="separate"/>
        </w:r>
        <w:r w:rsidR="004F2CF3">
          <w:rPr>
            <w:noProof/>
            <w:webHidden/>
          </w:rPr>
          <w:t>29</w:t>
        </w:r>
        <w:r w:rsidRPr="00B83411">
          <w:rPr>
            <w:noProof/>
            <w:webHidden/>
          </w:rPr>
          <w:fldChar w:fldCharType="end"/>
        </w:r>
      </w:hyperlink>
    </w:p>
    <w:p w14:paraId="2BBE9D3C" w14:textId="4A3C31DF"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65" w:history="1">
        <w:r w:rsidRPr="00B83411">
          <w:rPr>
            <w:rStyle w:val="Hyperlink"/>
            <w:noProof/>
          </w:rPr>
          <w:t>Appendix B: Suggestions: verbatim comments</w:t>
        </w:r>
        <w:r w:rsidRPr="00B83411">
          <w:rPr>
            <w:noProof/>
            <w:webHidden/>
          </w:rPr>
          <w:tab/>
        </w:r>
        <w:r w:rsidRPr="00B83411">
          <w:rPr>
            <w:noProof/>
            <w:webHidden/>
          </w:rPr>
          <w:fldChar w:fldCharType="begin"/>
        </w:r>
        <w:r w:rsidRPr="00B83411">
          <w:rPr>
            <w:noProof/>
            <w:webHidden/>
          </w:rPr>
          <w:instrText xml:space="preserve"> PAGEREF _Toc213926365 \h </w:instrText>
        </w:r>
        <w:r w:rsidRPr="00B83411">
          <w:rPr>
            <w:noProof/>
            <w:webHidden/>
          </w:rPr>
        </w:r>
        <w:r w:rsidRPr="00B83411">
          <w:rPr>
            <w:noProof/>
            <w:webHidden/>
          </w:rPr>
          <w:fldChar w:fldCharType="separate"/>
        </w:r>
        <w:r w:rsidR="004F2CF3">
          <w:rPr>
            <w:noProof/>
            <w:webHidden/>
          </w:rPr>
          <w:t>34</w:t>
        </w:r>
        <w:r w:rsidRPr="00B83411">
          <w:rPr>
            <w:noProof/>
            <w:webHidden/>
          </w:rPr>
          <w:fldChar w:fldCharType="end"/>
        </w:r>
      </w:hyperlink>
    </w:p>
    <w:p w14:paraId="4AA2CBCE" w14:textId="237ABEB4"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66" w:history="1">
        <w:r w:rsidRPr="00B83411">
          <w:rPr>
            <w:rStyle w:val="Hyperlink"/>
            <w:noProof/>
          </w:rPr>
          <w:t>Suggestions about NOPTA / OIR strengths</w:t>
        </w:r>
        <w:r w:rsidRPr="00B83411">
          <w:rPr>
            <w:noProof/>
            <w:webHidden/>
          </w:rPr>
          <w:tab/>
        </w:r>
        <w:r w:rsidRPr="00B83411">
          <w:rPr>
            <w:noProof/>
            <w:webHidden/>
          </w:rPr>
          <w:fldChar w:fldCharType="begin"/>
        </w:r>
        <w:r w:rsidRPr="00B83411">
          <w:rPr>
            <w:noProof/>
            <w:webHidden/>
          </w:rPr>
          <w:instrText xml:space="preserve"> PAGEREF _Toc213926366 \h </w:instrText>
        </w:r>
        <w:r w:rsidRPr="00B83411">
          <w:rPr>
            <w:noProof/>
            <w:webHidden/>
          </w:rPr>
        </w:r>
        <w:r w:rsidRPr="00B83411">
          <w:rPr>
            <w:noProof/>
            <w:webHidden/>
          </w:rPr>
          <w:fldChar w:fldCharType="separate"/>
        </w:r>
        <w:r w:rsidR="004F2CF3">
          <w:rPr>
            <w:noProof/>
            <w:webHidden/>
          </w:rPr>
          <w:t>34</w:t>
        </w:r>
        <w:r w:rsidRPr="00B83411">
          <w:rPr>
            <w:noProof/>
            <w:webHidden/>
          </w:rPr>
          <w:fldChar w:fldCharType="end"/>
        </w:r>
      </w:hyperlink>
    </w:p>
    <w:p w14:paraId="627182D6" w14:textId="17A8189F" w:rsidR="00B83411" w:rsidRPr="00B83411" w:rsidRDefault="00B83411">
      <w:pPr>
        <w:pStyle w:val="TOC2"/>
        <w:rPr>
          <w:rFonts w:asciiTheme="minorHAnsi" w:eastAsiaTheme="minorEastAsia" w:hAnsiTheme="minorHAnsi" w:cstheme="minorBidi"/>
          <w:noProof/>
          <w:kern w:val="2"/>
          <w:sz w:val="24"/>
          <w:szCs w:val="24"/>
          <w:lang w:eastAsia="en-AU"/>
          <w14:ligatures w14:val="standardContextual"/>
        </w:rPr>
      </w:pPr>
      <w:hyperlink w:anchor="_Toc213926367" w:history="1">
        <w:r w:rsidRPr="00B83411">
          <w:rPr>
            <w:rStyle w:val="Hyperlink"/>
            <w:noProof/>
          </w:rPr>
          <w:t>Suggestions for improvements</w:t>
        </w:r>
        <w:r w:rsidRPr="00B83411">
          <w:rPr>
            <w:noProof/>
            <w:webHidden/>
          </w:rPr>
          <w:tab/>
        </w:r>
        <w:r w:rsidRPr="00B83411">
          <w:rPr>
            <w:noProof/>
            <w:webHidden/>
          </w:rPr>
          <w:fldChar w:fldCharType="begin"/>
        </w:r>
        <w:r w:rsidRPr="00B83411">
          <w:rPr>
            <w:noProof/>
            <w:webHidden/>
          </w:rPr>
          <w:instrText xml:space="preserve"> PAGEREF _Toc213926367 \h </w:instrText>
        </w:r>
        <w:r w:rsidRPr="00B83411">
          <w:rPr>
            <w:noProof/>
            <w:webHidden/>
          </w:rPr>
        </w:r>
        <w:r w:rsidRPr="00B83411">
          <w:rPr>
            <w:noProof/>
            <w:webHidden/>
          </w:rPr>
          <w:fldChar w:fldCharType="separate"/>
        </w:r>
        <w:r w:rsidR="004F2CF3">
          <w:rPr>
            <w:noProof/>
            <w:webHidden/>
          </w:rPr>
          <w:t>35</w:t>
        </w:r>
        <w:r w:rsidRPr="00B83411">
          <w:rPr>
            <w:noProof/>
            <w:webHidden/>
          </w:rPr>
          <w:fldChar w:fldCharType="end"/>
        </w:r>
      </w:hyperlink>
    </w:p>
    <w:p w14:paraId="37B54640" w14:textId="77180457" w:rsidR="00B83411" w:rsidRPr="00B83411" w:rsidRDefault="00B83411">
      <w:pPr>
        <w:pStyle w:val="TOC1"/>
        <w:rPr>
          <w:rFonts w:asciiTheme="minorHAnsi" w:eastAsiaTheme="minorEastAsia" w:hAnsiTheme="minorHAnsi" w:cstheme="minorBidi"/>
          <w:noProof/>
          <w:color w:val="auto"/>
          <w:kern w:val="2"/>
          <w:sz w:val="24"/>
          <w:szCs w:val="24"/>
          <w:lang w:eastAsia="en-AU"/>
          <w14:ligatures w14:val="standardContextual"/>
        </w:rPr>
      </w:pPr>
      <w:hyperlink w:anchor="_Toc213926368" w:history="1">
        <w:r w:rsidRPr="00B83411">
          <w:rPr>
            <w:rStyle w:val="Hyperlink"/>
            <w:noProof/>
          </w:rPr>
          <w:t>Appendix C: Unsure / no answers</w:t>
        </w:r>
        <w:r w:rsidRPr="00B83411">
          <w:rPr>
            <w:noProof/>
            <w:webHidden/>
          </w:rPr>
          <w:tab/>
        </w:r>
        <w:r w:rsidRPr="00B83411">
          <w:rPr>
            <w:noProof/>
            <w:webHidden/>
          </w:rPr>
          <w:fldChar w:fldCharType="begin"/>
        </w:r>
        <w:r w:rsidRPr="00B83411">
          <w:rPr>
            <w:noProof/>
            <w:webHidden/>
          </w:rPr>
          <w:instrText xml:space="preserve"> PAGEREF _Toc213926368 \h </w:instrText>
        </w:r>
        <w:r w:rsidRPr="00B83411">
          <w:rPr>
            <w:noProof/>
            <w:webHidden/>
          </w:rPr>
        </w:r>
        <w:r w:rsidRPr="00B83411">
          <w:rPr>
            <w:noProof/>
            <w:webHidden/>
          </w:rPr>
          <w:fldChar w:fldCharType="separate"/>
        </w:r>
        <w:r w:rsidR="004F2CF3">
          <w:rPr>
            <w:noProof/>
            <w:webHidden/>
          </w:rPr>
          <w:t>38</w:t>
        </w:r>
        <w:r w:rsidRPr="00B83411">
          <w:rPr>
            <w:noProof/>
            <w:webHidden/>
          </w:rPr>
          <w:fldChar w:fldCharType="end"/>
        </w:r>
      </w:hyperlink>
    </w:p>
    <w:p w14:paraId="431A6E2D" w14:textId="4054DE6A" w:rsidR="0019274F" w:rsidRPr="00B83411" w:rsidRDefault="003917E2" w:rsidP="007D2133">
      <w:pPr>
        <w:rPr>
          <w:rFonts w:eastAsia="Times New Roman"/>
          <w:highlight w:val="yellow"/>
        </w:rPr>
      </w:pPr>
      <w:r w:rsidRPr="00B83411">
        <w:rPr>
          <w:color w:val="163758"/>
          <w:szCs w:val="36"/>
          <w:highlight w:val="yellow"/>
        </w:rPr>
        <w:fldChar w:fldCharType="end"/>
      </w:r>
    </w:p>
    <w:p w14:paraId="614EE527" w14:textId="650381AD" w:rsidR="009F547A" w:rsidRPr="00B83411" w:rsidRDefault="0038077E" w:rsidP="007D2133">
      <w:pPr>
        <w:sectPr w:rsidR="009F547A" w:rsidRPr="00B83411" w:rsidSect="00233401">
          <w:headerReference w:type="even" r:id="rId14"/>
          <w:headerReference w:type="default" r:id="rId15"/>
          <w:footerReference w:type="even" r:id="rId16"/>
          <w:footerReference w:type="default" r:id="rId17"/>
          <w:headerReference w:type="first" r:id="rId18"/>
          <w:footerReference w:type="first" r:id="rId19"/>
          <w:type w:val="continuous"/>
          <w:pgSz w:w="11899" w:h="16838" w:code="9"/>
          <w:pgMar w:top="1531" w:right="567" w:bottom="1134" w:left="1701" w:header="0" w:footer="454" w:gutter="0"/>
          <w:cols w:space="720"/>
        </w:sectPr>
      </w:pPr>
      <w:r w:rsidRPr="00B83411">
        <w:t>Au</w:t>
      </w:r>
      <w:r w:rsidR="00C969EF" w:rsidRPr="00B83411">
        <w:t xml:space="preserve">stralian Survey Research Group Pty Ltd </w:t>
      </w:r>
      <w:r w:rsidR="005D358F" w:rsidRPr="00B83411">
        <w:t xml:space="preserve">prepared this report in accordance with </w:t>
      </w:r>
      <w:r w:rsidR="00C969EF" w:rsidRPr="00B83411">
        <w:t>the ISO 20252</w:t>
      </w:r>
      <w:r w:rsidR="009158A1" w:rsidRPr="00B83411">
        <w:t>:2019</w:t>
      </w:r>
      <w:r w:rsidR="00C969EF" w:rsidRPr="00B83411">
        <w:t xml:space="preserve"> quality standard applying to market and social research</w:t>
      </w:r>
      <w:r w:rsidR="009158A1" w:rsidRPr="00B83411">
        <w:t>.</w:t>
      </w:r>
    </w:p>
    <w:p w14:paraId="3EC74E56" w14:textId="41FB8007" w:rsidR="007450F1" w:rsidRPr="00940E24" w:rsidRDefault="007450F1" w:rsidP="00AD2008">
      <w:pPr>
        <w:pStyle w:val="Caption"/>
      </w:pPr>
      <w:r w:rsidRPr="00940E24">
        <w:lastRenderedPageBreak/>
        <w:t>Figure 1</w:t>
      </w:r>
      <w:r w:rsidR="009C25AB" w:rsidRPr="00940E24">
        <w:t>:</w:t>
      </w:r>
      <w:r w:rsidRPr="00940E24">
        <w:t xml:space="preserve"> </w:t>
      </w:r>
      <w:r w:rsidR="00205F20" w:rsidRPr="00940E24">
        <w:t xml:space="preserve">Summary of </w:t>
      </w:r>
      <w:r w:rsidR="00AA61A7" w:rsidRPr="00940E24">
        <w:t xml:space="preserve">NOPTA Stakeholder Survey 2025 </w:t>
      </w:r>
      <w:r w:rsidR="00C0590B" w:rsidRPr="00940E24">
        <w:t xml:space="preserve">key findings </w:t>
      </w:r>
    </w:p>
    <w:p w14:paraId="1200BE2B" w14:textId="2208984C" w:rsidR="007834D8" w:rsidRPr="00B83411" w:rsidRDefault="00874873" w:rsidP="007D2133">
      <w:r>
        <w:rPr>
          <w:noProof/>
        </w:rPr>
        <w:drawing>
          <wp:inline distT="0" distB="0" distL="0" distR="0" wp14:anchorId="7A37F7B1" wp14:editId="2A30C8D9">
            <wp:extent cx="6475730" cy="8636000"/>
            <wp:effectExtent l="0" t="0" r="1270" b="0"/>
            <wp:docPr id="57506496" name="Picture 4" descr="Summary of key findings from the survey. View the long alternative text description for Figure 1: Summary of NOPTA Stakeholder Survey 2025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6496" name="Picture 4" descr="Summary of key findings from the survey. View the long alternative text description for Figure 1: Summary of NOPTA Stakeholder Survey 2025 key findings."/>
                    <pic:cNvPicPr/>
                  </pic:nvPicPr>
                  <pic:blipFill>
                    <a:blip r:embed="rId20">
                      <a:extLst>
                        <a:ext uri="{28A0092B-C50C-407E-A947-70E740481C1C}">
                          <a14:useLocalDpi xmlns:a14="http://schemas.microsoft.com/office/drawing/2010/main" val="0"/>
                        </a:ext>
                      </a:extLst>
                    </a:blip>
                    <a:stretch>
                      <a:fillRect/>
                    </a:stretch>
                  </pic:blipFill>
                  <pic:spPr>
                    <a:xfrm>
                      <a:off x="0" y="0"/>
                      <a:ext cx="6475730" cy="8636000"/>
                    </a:xfrm>
                    <a:prstGeom prst="rect">
                      <a:avLst/>
                    </a:prstGeom>
                  </pic:spPr>
                </pic:pic>
              </a:graphicData>
            </a:graphic>
          </wp:inline>
        </w:drawing>
      </w:r>
    </w:p>
    <w:p w14:paraId="2F7C452C" w14:textId="77777777" w:rsidR="00DC71FE" w:rsidRPr="00B83411" w:rsidRDefault="00DC71FE" w:rsidP="007D2133">
      <w:pPr>
        <w:sectPr w:rsidR="00DC71FE" w:rsidRPr="00B83411" w:rsidSect="0068014D">
          <w:headerReference w:type="default" r:id="rId21"/>
          <w:footerReference w:type="default" r:id="rId22"/>
          <w:pgSz w:w="11899" w:h="16838" w:code="9"/>
          <w:pgMar w:top="1134" w:right="1134" w:bottom="1134" w:left="567" w:header="0" w:footer="454" w:gutter="0"/>
          <w:pgNumType w:start="1"/>
          <w:cols w:space="720"/>
          <w:docGrid w:linePitch="272"/>
        </w:sectPr>
      </w:pPr>
    </w:p>
    <w:p w14:paraId="53158E98" w14:textId="3B19596C" w:rsidR="008D6953" w:rsidRDefault="0022706F" w:rsidP="0022706F">
      <w:bookmarkStart w:id="0" w:name="_Toc213926336"/>
      <w:r>
        <w:lastRenderedPageBreak/>
        <w:t>Figure 1</w:t>
      </w:r>
      <w:r w:rsidRPr="0022706F">
        <w:t xml:space="preserve"> shows a summary of key findings of the survey</w:t>
      </w:r>
      <w:r w:rsidR="00D238EE">
        <w:t xml:space="preserve">, including: </w:t>
      </w:r>
    </w:p>
    <w:p w14:paraId="0D1F9C52" w14:textId="77777777" w:rsidR="0022706F" w:rsidRPr="0022706F" w:rsidRDefault="0022706F" w:rsidP="0022706F">
      <w:pPr>
        <w:numPr>
          <w:ilvl w:val="0"/>
          <w:numId w:val="23"/>
        </w:numPr>
      </w:pPr>
      <w:r w:rsidRPr="0022706F">
        <w:t xml:space="preserve">85 survey responses were received from 241 invitations, representing a 35 % response rate. </w:t>
      </w:r>
    </w:p>
    <w:p w14:paraId="10BCB40F" w14:textId="77777777" w:rsidR="0022706F" w:rsidRPr="0022706F" w:rsidRDefault="0022706F" w:rsidP="0022706F">
      <w:pPr>
        <w:numPr>
          <w:ilvl w:val="0"/>
          <w:numId w:val="23"/>
        </w:numPr>
      </w:pPr>
      <w:r w:rsidRPr="0022706F">
        <w:t>32 unique industry stakeholder companies or organisations responded</w:t>
      </w:r>
    </w:p>
    <w:p w14:paraId="325454C1" w14:textId="77777777" w:rsidR="0022706F" w:rsidRPr="0022706F" w:rsidRDefault="0022706F" w:rsidP="0022706F">
      <w:pPr>
        <w:numPr>
          <w:ilvl w:val="0"/>
          <w:numId w:val="23"/>
        </w:numPr>
      </w:pPr>
      <w:r w:rsidRPr="0022706F">
        <w:t xml:space="preserve">9 unique government agencies responded. </w:t>
      </w:r>
    </w:p>
    <w:p w14:paraId="73995AE4" w14:textId="77777777" w:rsidR="0062265B" w:rsidRDefault="00B01269" w:rsidP="0022706F">
      <w:r>
        <w:t xml:space="preserve">Figure 1 </w:t>
      </w:r>
      <w:r w:rsidR="0022706F" w:rsidRPr="0022706F">
        <w:t xml:space="preserve">highlights positive perception scores grouped into 3 tiers: 100%, 90%+, and 58–74%. </w:t>
      </w:r>
    </w:p>
    <w:p w14:paraId="1C12C721" w14:textId="0F1A00B2" w:rsidR="0022706F" w:rsidRPr="0022706F" w:rsidRDefault="0022706F" w:rsidP="0022706F">
      <w:r w:rsidRPr="0022706F">
        <w:t xml:space="preserve">The Titles Administrator and Offshore Infrastructure Registrar scored 100% positive responses for questions related to 'building cooperative relationships' and 'behaving ethically'. </w:t>
      </w:r>
    </w:p>
    <w:p w14:paraId="176E005A" w14:textId="77777777" w:rsidR="0022706F" w:rsidRPr="0022706F" w:rsidRDefault="0022706F" w:rsidP="0022706F">
      <w:r w:rsidRPr="0022706F">
        <w:t>Scores of 90% and higher were received for questions on:</w:t>
      </w:r>
    </w:p>
    <w:p w14:paraId="72103B7C" w14:textId="77777777" w:rsidR="0022706F" w:rsidRPr="0022706F" w:rsidRDefault="0022706F" w:rsidP="0022706F">
      <w:pPr>
        <w:numPr>
          <w:ilvl w:val="0"/>
          <w:numId w:val="24"/>
        </w:numPr>
      </w:pPr>
      <w:r w:rsidRPr="0022706F">
        <w:t>accuracy, clarity and consistency of information and advice</w:t>
      </w:r>
    </w:p>
    <w:p w14:paraId="73C6E620" w14:textId="77777777" w:rsidR="0022706F" w:rsidRPr="0022706F" w:rsidRDefault="0022706F" w:rsidP="0022706F">
      <w:pPr>
        <w:numPr>
          <w:ilvl w:val="0"/>
          <w:numId w:val="24"/>
        </w:numPr>
      </w:pPr>
      <w:r w:rsidRPr="0022706F">
        <w:t>helpfulness and expertise of our staff</w:t>
      </w:r>
    </w:p>
    <w:p w14:paraId="307750FD" w14:textId="77777777" w:rsidR="0022706F" w:rsidRPr="0022706F" w:rsidRDefault="0022706F" w:rsidP="0022706F">
      <w:pPr>
        <w:numPr>
          <w:ilvl w:val="0"/>
          <w:numId w:val="24"/>
        </w:numPr>
      </w:pPr>
      <w:r w:rsidRPr="0022706F">
        <w:t>trust in the Titles Administrator and Registrar</w:t>
      </w:r>
    </w:p>
    <w:p w14:paraId="6C6ABB05" w14:textId="77777777" w:rsidR="0022706F" w:rsidRPr="0022706F" w:rsidRDefault="0022706F" w:rsidP="0022706F">
      <w:pPr>
        <w:numPr>
          <w:ilvl w:val="0"/>
          <w:numId w:val="24"/>
        </w:numPr>
      </w:pPr>
      <w:r w:rsidRPr="0022706F">
        <w:t>behaving ethically</w:t>
      </w:r>
    </w:p>
    <w:p w14:paraId="5595A919" w14:textId="77777777" w:rsidR="0022706F" w:rsidRPr="0022706F" w:rsidRDefault="0022706F" w:rsidP="0022706F">
      <w:pPr>
        <w:numPr>
          <w:ilvl w:val="0"/>
          <w:numId w:val="24"/>
        </w:numPr>
      </w:pPr>
      <w:r w:rsidRPr="0022706F">
        <w:t xml:space="preserve">collaborating with stakeholders. </w:t>
      </w:r>
    </w:p>
    <w:p w14:paraId="69850EB4" w14:textId="77777777" w:rsidR="0022706F" w:rsidRPr="0022706F" w:rsidRDefault="0022706F" w:rsidP="0022706F">
      <w:r w:rsidRPr="0022706F">
        <w:t xml:space="preserve">Lower range positive scores were received for questions on: </w:t>
      </w:r>
    </w:p>
    <w:p w14:paraId="3091FB70" w14:textId="77777777" w:rsidR="0022706F" w:rsidRPr="0022706F" w:rsidRDefault="0022706F" w:rsidP="0022706F">
      <w:pPr>
        <w:numPr>
          <w:ilvl w:val="0"/>
          <w:numId w:val="25"/>
        </w:numPr>
      </w:pPr>
      <w:r w:rsidRPr="0022706F">
        <w:t>balancing administrative and compliance effort with outcomes</w:t>
      </w:r>
    </w:p>
    <w:p w14:paraId="6B67CEAD" w14:textId="77777777" w:rsidR="0022706F" w:rsidRPr="0022706F" w:rsidRDefault="0022706F" w:rsidP="0022706F">
      <w:pPr>
        <w:numPr>
          <w:ilvl w:val="0"/>
          <w:numId w:val="25"/>
        </w:numPr>
      </w:pPr>
      <w:r w:rsidRPr="0022706F">
        <w:t>transparency of decisions</w:t>
      </w:r>
    </w:p>
    <w:p w14:paraId="0870BEA2" w14:textId="77777777" w:rsidR="0022706F" w:rsidRPr="0022706F" w:rsidRDefault="0022706F" w:rsidP="0022706F">
      <w:pPr>
        <w:numPr>
          <w:ilvl w:val="0"/>
          <w:numId w:val="25"/>
        </w:numPr>
      </w:pPr>
      <w:r w:rsidRPr="0022706F">
        <w:t xml:space="preserve">efficiency of administration and processing of applications against published timeframes. </w:t>
      </w:r>
    </w:p>
    <w:p w14:paraId="684E0306" w14:textId="591C65CA" w:rsidR="0022706F" w:rsidRPr="0022706F" w:rsidRDefault="0070099E" w:rsidP="0022706F">
      <w:r>
        <w:t xml:space="preserve">Figure 1 </w:t>
      </w:r>
      <w:r w:rsidR="0022706F" w:rsidRPr="0022706F">
        <w:t xml:space="preserve">ends by highlighting 4 focus areas for consideration based on feedback received, including: </w:t>
      </w:r>
    </w:p>
    <w:p w14:paraId="13D6E389" w14:textId="77777777" w:rsidR="0022706F" w:rsidRPr="0022706F" w:rsidRDefault="0022706F" w:rsidP="0070099E">
      <w:pPr>
        <w:numPr>
          <w:ilvl w:val="0"/>
          <w:numId w:val="24"/>
        </w:numPr>
      </w:pPr>
      <w:r w:rsidRPr="0022706F">
        <w:t xml:space="preserve">balancing administrative and compliance effort with outcomes </w:t>
      </w:r>
    </w:p>
    <w:p w14:paraId="35E3B6E4" w14:textId="77777777" w:rsidR="0022706F" w:rsidRPr="0022706F" w:rsidRDefault="0022706F" w:rsidP="0070099E">
      <w:pPr>
        <w:numPr>
          <w:ilvl w:val="0"/>
          <w:numId w:val="24"/>
        </w:numPr>
      </w:pPr>
      <w:r w:rsidRPr="0022706F">
        <w:t>efficiency in processing applications</w:t>
      </w:r>
    </w:p>
    <w:p w14:paraId="7BEC2489" w14:textId="77777777" w:rsidR="0022706F" w:rsidRPr="0022706F" w:rsidRDefault="0022706F" w:rsidP="0070099E">
      <w:pPr>
        <w:numPr>
          <w:ilvl w:val="0"/>
          <w:numId w:val="24"/>
        </w:numPr>
      </w:pPr>
      <w:r w:rsidRPr="0022706F">
        <w:t>improving our online systems - NEATS (National Electronic Approvals Tracking System) and NOPIMS (National Offshore Petroleum Information Management System)</w:t>
      </w:r>
    </w:p>
    <w:p w14:paraId="2D42A890" w14:textId="77777777" w:rsidR="0022706F" w:rsidRPr="0022706F" w:rsidRDefault="0022706F" w:rsidP="0070099E">
      <w:pPr>
        <w:numPr>
          <w:ilvl w:val="0"/>
          <w:numId w:val="24"/>
        </w:numPr>
      </w:pPr>
      <w:r w:rsidRPr="0022706F">
        <w:t>providing further information to stakeholders on how we align with the best practice principles under the Department of Finance's Resource Management Guide 128.</w:t>
      </w:r>
    </w:p>
    <w:p w14:paraId="372DD661" w14:textId="77777777" w:rsidR="00A66123" w:rsidRDefault="00A66123" w:rsidP="00A66123"/>
    <w:p w14:paraId="19D8A227" w14:textId="36EED2BC" w:rsidR="00485ECD" w:rsidRPr="00B83411" w:rsidRDefault="00485ECD" w:rsidP="00F85980">
      <w:pPr>
        <w:pStyle w:val="Heading1"/>
        <w:spacing w:after="120"/>
      </w:pPr>
      <w:r w:rsidRPr="00B83411">
        <w:t>Introduction</w:t>
      </w:r>
      <w:bookmarkEnd w:id="0"/>
    </w:p>
    <w:p w14:paraId="4C345B17" w14:textId="6125338B" w:rsidR="005D358F" w:rsidRPr="00B83411" w:rsidRDefault="00DD285B" w:rsidP="007D2133">
      <w:r w:rsidRPr="00B83411">
        <w:t>The National Offshore Petroleum Titles Administrator (NOPTA) regularly collect</w:t>
      </w:r>
      <w:r w:rsidR="0046165C" w:rsidRPr="00B83411">
        <w:t>s</w:t>
      </w:r>
      <w:r w:rsidRPr="00B83411">
        <w:t xml:space="preserve"> stakeholder feedback</w:t>
      </w:r>
      <w:r w:rsidR="0046165C" w:rsidRPr="00B83411">
        <w:t xml:space="preserve"> which </w:t>
      </w:r>
      <w:r w:rsidRPr="00B83411">
        <w:t xml:space="preserve">forms </w:t>
      </w:r>
      <w:r w:rsidR="00922980" w:rsidRPr="00B83411">
        <w:t xml:space="preserve">part of its </w:t>
      </w:r>
      <w:r w:rsidRPr="00B83411">
        <w:t>ongoing performance reporting including obligations under the Australian Government’s Regulator Performance Framework</w:t>
      </w:r>
      <w:r w:rsidR="0046165C" w:rsidRPr="00B83411">
        <w:t>.</w:t>
      </w:r>
    </w:p>
    <w:p w14:paraId="7F5047C5" w14:textId="061DB823" w:rsidR="00922980" w:rsidRPr="00B83411" w:rsidRDefault="00922980" w:rsidP="007D2133">
      <w:r w:rsidRPr="00B83411">
        <w:t>In 202</w:t>
      </w:r>
      <w:r w:rsidR="005D358F" w:rsidRPr="00B83411">
        <w:t>5</w:t>
      </w:r>
      <w:r w:rsidRPr="00B83411">
        <w:t xml:space="preserve">, </w:t>
      </w:r>
      <w:r w:rsidR="005D358F" w:rsidRPr="00B83411">
        <w:t>NOPTA</w:t>
      </w:r>
      <w:r w:rsidRPr="00B83411">
        <w:t xml:space="preserve"> engaged Australian Survey Research (ASR) to help refine the survey instrument </w:t>
      </w:r>
      <w:r w:rsidR="0046165C" w:rsidRPr="00B83411">
        <w:t xml:space="preserve">used in the two-yearly online survey as well as </w:t>
      </w:r>
      <w:r w:rsidRPr="00B83411">
        <w:t xml:space="preserve">to conduct </w:t>
      </w:r>
      <w:r w:rsidR="005D358F" w:rsidRPr="00B83411">
        <w:t>a</w:t>
      </w:r>
      <w:r w:rsidR="0046165C" w:rsidRPr="00B83411">
        <w:t>nd report on the stakeholder</w:t>
      </w:r>
      <w:r w:rsidR="005D358F" w:rsidRPr="00B83411">
        <w:t xml:space="preserve"> </w:t>
      </w:r>
      <w:r w:rsidRPr="00B83411">
        <w:t>survey</w:t>
      </w:r>
      <w:r w:rsidR="0046165C" w:rsidRPr="00B83411">
        <w:t xml:space="preserve">. </w:t>
      </w:r>
      <w:r w:rsidR="005D358F" w:rsidRPr="00B83411">
        <w:t>NOPTA-identified stakeholders</w:t>
      </w:r>
      <w:r w:rsidR="006A330C" w:rsidRPr="00B83411">
        <w:t xml:space="preserve"> to participate in the survey</w:t>
      </w:r>
      <w:r w:rsidR="005D358F" w:rsidRPr="00B83411">
        <w:t>: title and licence holders as well as government decision makers and advisors</w:t>
      </w:r>
      <w:r w:rsidR="0046165C" w:rsidRPr="00B83411">
        <w:t>, all of whom were invited to participate in the survey, while ASR provided expert survey advice as well as the online survey platform.</w:t>
      </w:r>
    </w:p>
    <w:p w14:paraId="18B1485C" w14:textId="3DFA07FD" w:rsidR="005D358F" w:rsidRDefault="00922980" w:rsidP="006A330C">
      <w:pPr>
        <w:spacing w:after="240"/>
      </w:pPr>
      <w:r w:rsidRPr="00B83411">
        <w:t>The report presents findings for each question in the survey, presented within topics</w:t>
      </w:r>
      <w:r w:rsidR="0046165C" w:rsidRPr="00B83411">
        <w:t>. Some questions have been analysed by</w:t>
      </w:r>
      <w:r w:rsidR="005D358F" w:rsidRPr="00B83411">
        <w:t xml:space="preserve"> key sub-groups</w:t>
      </w:r>
      <w:r w:rsidRPr="00B83411">
        <w:t>. A copy of the survey instrument can be found in Appendix A of this report.</w:t>
      </w:r>
      <w:r w:rsidR="0046165C" w:rsidRPr="00B83411">
        <w:t xml:space="preserve"> </w:t>
      </w:r>
      <w:r w:rsidR="00187497" w:rsidRPr="00B83411">
        <w:t xml:space="preserve">Detailed respondent suggestions about strengths and improvements forms Appendix B while a discussion of </w:t>
      </w:r>
      <w:r w:rsidR="00187497" w:rsidRPr="00B83411">
        <w:rPr>
          <w:i/>
          <w:iCs/>
        </w:rPr>
        <w:t>unsure</w:t>
      </w:r>
      <w:r w:rsidR="00187497" w:rsidRPr="00B83411">
        <w:t xml:space="preserve"> and no answer responses forms Appendix C. </w:t>
      </w:r>
    </w:p>
    <w:p w14:paraId="10FA27EE" w14:textId="67DA8ABC" w:rsidR="0070099E" w:rsidRDefault="0070099E">
      <w:pPr>
        <w:spacing w:before="0" w:line="240" w:lineRule="auto"/>
        <w:ind w:right="0"/>
      </w:pPr>
      <w:r>
        <w:br w:type="page"/>
      </w:r>
    </w:p>
    <w:p w14:paraId="18862C24" w14:textId="0EE23FAB" w:rsidR="005D358F" w:rsidRPr="00B83411" w:rsidRDefault="005D358F" w:rsidP="0052178C">
      <w:pPr>
        <w:pStyle w:val="Heading1"/>
        <w:spacing w:after="120"/>
      </w:pPr>
      <w:bookmarkStart w:id="1" w:name="_Toc213926337"/>
      <w:r w:rsidRPr="00B83411">
        <w:t>Background</w:t>
      </w:r>
      <w:bookmarkEnd w:id="1"/>
    </w:p>
    <w:p w14:paraId="5527BA4D" w14:textId="41D72734" w:rsidR="0052178C" w:rsidRPr="00B83411" w:rsidRDefault="0046165C" w:rsidP="007D2133">
      <w:r w:rsidRPr="00B83411">
        <w:t xml:space="preserve">NOPTA has conducted stakeholder surveys since </w:t>
      </w:r>
      <w:r w:rsidR="000B547D" w:rsidRPr="00B83411">
        <w:t>2015,</w:t>
      </w:r>
      <w:r w:rsidR="002E5749" w:rsidRPr="00B83411">
        <w:t xml:space="preserve"> and this has been done every two years after 2017</w:t>
      </w:r>
      <w:r w:rsidR="009A2F58" w:rsidRPr="00B83411">
        <w:t xml:space="preserve">. In 2022, the General Manager of the NOPTA Branch was appointed as the Registrar under the </w:t>
      </w:r>
      <w:r w:rsidR="009A2F58" w:rsidRPr="00B83411">
        <w:rPr>
          <w:i/>
          <w:iCs/>
        </w:rPr>
        <w:t>Offshore Electricity Infrastructure Act 2021</w:t>
      </w:r>
      <w:r w:rsidR="009A2F58" w:rsidRPr="00B83411">
        <w:t>.</w:t>
      </w:r>
      <w:r w:rsidR="0019067E" w:rsidRPr="00B83411">
        <w:t xml:space="preserve">The 2025 stakeholder survey included stakeholders </w:t>
      </w:r>
      <w:r w:rsidR="009A2F58" w:rsidRPr="00B83411">
        <w:t xml:space="preserve">of the Offshore Infrastructure Registrar (OIR) </w:t>
      </w:r>
      <w:r w:rsidR="0019067E" w:rsidRPr="00B83411">
        <w:t>for the first time.</w:t>
      </w:r>
    </w:p>
    <w:p w14:paraId="3A8A78D4" w14:textId="55D69991" w:rsidR="0019067E" w:rsidRPr="00B83411" w:rsidRDefault="0019067E" w:rsidP="0019067E">
      <w:pPr>
        <w:spacing w:after="120"/>
      </w:pPr>
      <w:r w:rsidRPr="00B83411">
        <w:t xml:space="preserve">As a </w:t>
      </w:r>
      <w:r w:rsidR="000B547D" w:rsidRPr="00B83411">
        <w:t>result,</w:t>
      </w:r>
      <w:r w:rsidRPr="00B83411">
        <w:t xml:space="preserve"> the survey questions </w:t>
      </w:r>
      <w:r w:rsidR="002E5749" w:rsidRPr="00B83411">
        <w:t xml:space="preserve">used in 2023 </w:t>
      </w:r>
      <w:r w:rsidRPr="00B83411">
        <w:t>were updated to reflect both NOPTA and OIR stakeholders. In addition, the survey questions were reviewed to reflect:</w:t>
      </w:r>
    </w:p>
    <w:p w14:paraId="7BF052AC" w14:textId="77777777" w:rsidR="0019067E" w:rsidRPr="00B83411" w:rsidRDefault="0019067E" w:rsidP="0068089E">
      <w:pPr>
        <w:pStyle w:val="ListParagraph"/>
        <w:numPr>
          <w:ilvl w:val="0"/>
          <w:numId w:val="10"/>
        </w:numPr>
      </w:pPr>
      <w:r w:rsidRPr="00B83411">
        <w:t>NOPTA’s four pillars within its 2024-2027 strategic plan</w:t>
      </w:r>
    </w:p>
    <w:p w14:paraId="7B54D0E4" w14:textId="32DD4267" w:rsidR="0019067E" w:rsidRPr="00B83411" w:rsidRDefault="0019067E" w:rsidP="0068089E">
      <w:pPr>
        <w:pStyle w:val="ListParagraph"/>
        <w:numPr>
          <w:ilvl w:val="0"/>
          <w:numId w:val="10"/>
        </w:numPr>
      </w:pPr>
      <w:r w:rsidRPr="00B83411">
        <w:t>Australian Public Service values, particularly trust and</w:t>
      </w:r>
    </w:p>
    <w:p w14:paraId="167FDD74" w14:textId="22B7F432" w:rsidR="0019067E" w:rsidRPr="00B83411" w:rsidRDefault="0019067E" w:rsidP="0068089E">
      <w:pPr>
        <w:pStyle w:val="ListParagraph"/>
        <w:numPr>
          <w:ilvl w:val="0"/>
          <w:numId w:val="10"/>
        </w:numPr>
      </w:pPr>
      <w:r w:rsidRPr="00B83411">
        <w:t xml:space="preserve">Performance measures as required in the Public Governance, Performance and Accountability Act </w:t>
      </w:r>
      <w:r w:rsidR="008B78BC" w:rsidRPr="00B83411">
        <w:t>through</w:t>
      </w:r>
      <w:r w:rsidRPr="00B83411">
        <w:t xml:space="preserve"> using the Resource Management Guide</w:t>
      </w:r>
      <w:r w:rsidR="00597DAB" w:rsidRPr="00B83411">
        <w:t>s</w:t>
      </w:r>
      <w:r w:rsidRPr="00B83411">
        <w:t xml:space="preserve"> 1</w:t>
      </w:r>
      <w:r w:rsidR="002E5749" w:rsidRPr="00B83411">
        <w:t>28 and 131</w:t>
      </w:r>
      <w:r w:rsidRPr="00B83411">
        <w:t>.</w:t>
      </w:r>
    </w:p>
    <w:p w14:paraId="27DBE55B" w14:textId="7AE20E6C" w:rsidR="0098564E" w:rsidRPr="00B83411" w:rsidRDefault="0098564E" w:rsidP="0098564E">
      <w:r w:rsidRPr="00B83411">
        <w:t>As part of this 2025 update, rating scales were also moved away from a satisfaction focus to a performance focus</w:t>
      </w:r>
      <w:r w:rsidR="003A5B28" w:rsidRPr="00B83411">
        <w:t xml:space="preserve">: away from a respondent focus </w:t>
      </w:r>
      <w:r w:rsidR="005C1D34" w:rsidRPr="00B83411">
        <w:t xml:space="preserve">where low expectations may result in higher satisfaction </w:t>
      </w:r>
      <w:r w:rsidR="003A5B28" w:rsidRPr="00B83411">
        <w:t xml:space="preserve">to a focus on the </w:t>
      </w:r>
      <w:r w:rsidR="005C1D34" w:rsidRPr="00B83411">
        <w:t xml:space="preserve">performance of the </w:t>
      </w:r>
      <w:r w:rsidR="003A5B28" w:rsidRPr="00B83411">
        <w:t>entities being surveyed.</w:t>
      </w:r>
    </w:p>
    <w:p w14:paraId="0977C646" w14:textId="6006B812" w:rsidR="003A5B28" w:rsidRPr="00B83411" w:rsidRDefault="00EE04DD" w:rsidP="0098564E">
      <w:r w:rsidRPr="00B83411">
        <w:t>Because</w:t>
      </w:r>
      <w:r w:rsidR="003A5B28" w:rsidRPr="00B83411">
        <w:t xml:space="preserve"> of these fundamental changes to topics, questions and answer options, no historical comparisons have been made.</w:t>
      </w:r>
    </w:p>
    <w:p w14:paraId="2BF33F4A" w14:textId="77777777" w:rsidR="002F46EA" w:rsidRPr="00B83411" w:rsidRDefault="002F46EA" w:rsidP="00F85980">
      <w:pPr>
        <w:pStyle w:val="Heading1"/>
        <w:spacing w:before="240" w:after="120"/>
      </w:pPr>
      <w:bookmarkStart w:id="2" w:name="_Toc213926338"/>
      <w:r w:rsidRPr="00B83411">
        <w:t>Survey administration</w:t>
      </w:r>
      <w:bookmarkEnd w:id="2"/>
    </w:p>
    <w:p w14:paraId="3FC9C397" w14:textId="77777777" w:rsidR="002E5749" w:rsidRPr="00B83411" w:rsidRDefault="006A330C" w:rsidP="007D2133">
      <w:r w:rsidRPr="00B83411">
        <w:t xml:space="preserve">NOPTA and ASR project staff developed the survey </w:t>
      </w:r>
      <w:r w:rsidR="002E5749" w:rsidRPr="00B83411">
        <w:t>questionnaire</w:t>
      </w:r>
      <w:r w:rsidRPr="00B83411">
        <w:t xml:space="preserve"> together</w:t>
      </w:r>
      <w:r w:rsidR="002E5749" w:rsidRPr="00B83411">
        <w:t xml:space="preserve">, while NOPTA identified stakeholders to be invited to the survey. </w:t>
      </w:r>
      <w:r w:rsidRPr="00B83411">
        <w:t>Once</w:t>
      </w:r>
      <w:r w:rsidR="002E5749" w:rsidRPr="00B83411">
        <w:t xml:space="preserve"> the questionnaire was</w:t>
      </w:r>
      <w:r w:rsidRPr="00B83411">
        <w:t xml:space="preserve"> finalised, </w:t>
      </w:r>
      <w:r w:rsidR="002E5749" w:rsidRPr="00B83411">
        <w:t xml:space="preserve">it was loaded into ASR’s proprietary online survey platform, SurveyManager, hosted in a high security data centre in Sydney. No data was sent offshore. </w:t>
      </w:r>
    </w:p>
    <w:p w14:paraId="38F8DD9C" w14:textId="4143D3E2" w:rsidR="000E5D47" w:rsidRPr="00B83411" w:rsidRDefault="000E5D47" w:rsidP="000E5D47">
      <w:r w:rsidRPr="00B83411">
        <w:t xml:space="preserve">NOPTA sourced potential survey participants from a range of internal staff as well as using different types of interactions, channels and systems within NOPTA so that only relevant and current stakeholders were invited to participate. NOPTA provided meta-data about respondents like industry sector and role (title </w:t>
      </w:r>
      <w:r w:rsidR="007834D8" w:rsidRPr="00B83411">
        <w:t xml:space="preserve">holder and </w:t>
      </w:r>
      <w:r w:rsidRPr="00B83411">
        <w:t>licence holder or government representative</w:t>
      </w:r>
      <w:r w:rsidR="0017597D" w:rsidRPr="00B83411">
        <w:t>) as well as email addresses. Meta-data was used in survey logic to present relevant questions to each respondent.</w:t>
      </w:r>
    </w:p>
    <w:p w14:paraId="107BC9AE" w14:textId="4380D074" w:rsidR="001F5463" w:rsidRPr="00B83411" w:rsidRDefault="002E5749" w:rsidP="007D2133">
      <w:r w:rsidRPr="00B83411">
        <w:t>The survey was in</w:t>
      </w:r>
      <w:r w:rsidR="001F5463" w:rsidRPr="00B83411">
        <w:t xml:space="preserve"> field </w:t>
      </w:r>
      <w:r w:rsidRPr="00B83411">
        <w:t xml:space="preserve">from </w:t>
      </w:r>
      <w:r w:rsidR="001F5463" w:rsidRPr="00B83411">
        <w:t xml:space="preserve">30 September 2025 </w:t>
      </w:r>
      <w:r w:rsidRPr="00B83411">
        <w:t xml:space="preserve">until </w:t>
      </w:r>
      <w:r w:rsidR="001F5463" w:rsidRPr="00B83411">
        <w:t>21 October 2025</w:t>
      </w:r>
      <w:r w:rsidRPr="00B83411">
        <w:t>.</w:t>
      </w:r>
    </w:p>
    <w:p w14:paraId="54C41569" w14:textId="22D0D82F" w:rsidR="004577EA" w:rsidRPr="00B83411" w:rsidRDefault="002756C3" w:rsidP="002E5749">
      <w:r w:rsidRPr="00B83411">
        <w:t xml:space="preserve">ASR distributed invitation emails with unique survey links to </w:t>
      </w:r>
      <w:r w:rsidR="002E5749" w:rsidRPr="00B83411">
        <w:t xml:space="preserve">241 potential participants. </w:t>
      </w:r>
      <w:r w:rsidRPr="00B83411">
        <w:t xml:space="preserve">During the fieldwork period </w:t>
      </w:r>
      <w:r w:rsidR="002E5749" w:rsidRPr="00B83411">
        <w:t>two</w:t>
      </w:r>
      <w:r w:rsidRPr="00B83411">
        <w:t xml:space="preserve"> additional reminder emails were sent to people who had not yet completed the survey. </w:t>
      </w:r>
    </w:p>
    <w:p w14:paraId="39B5D8DA" w14:textId="5F644B5D" w:rsidR="002E5749" w:rsidRPr="00B83411" w:rsidRDefault="002E5749" w:rsidP="002E5749">
      <w:pPr>
        <w:spacing w:after="240"/>
      </w:pPr>
      <w:r w:rsidRPr="00B83411">
        <w:t>At survey close, a total of 85 people had responded which was the highest number since inception of this survey.</w:t>
      </w:r>
    </w:p>
    <w:p w14:paraId="0E7870FD" w14:textId="77777777" w:rsidR="006A330C" w:rsidRPr="00B83411" w:rsidRDefault="006A330C" w:rsidP="006A330C">
      <w:pPr>
        <w:pStyle w:val="Heading1"/>
      </w:pPr>
      <w:bookmarkStart w:id="3" w:name="_Toc213926339"/>
      <w:r w:rsidRPr="00B83411">
        <w:t>Response rate</w:t>
      </w:r>
      <w:bookmarkEnd w:id="3"/>
    </w:p>
    <w:p w14:paraId="3D9341EC" w14:textId="3E6F5B8A" w:rsidR="006A330C" w:rsidRPr="00B83411" w:rsidRDefault="006A330C" w:rsidP="006A330C">
      <w:pPr>
        <w:spacing w:after="120"/>
      </w:pPr>
      <w:r w:rsidRPr="00B83411">
        <w:t>For this round of surveying NOPTA wanted to hear from more stakeholders than in previous surveys, in other words, to increase the response</w:t>
      </w:r>
      <w:r w:rsidR="003A5B28" w:rsidRPr="00B83411">
        <w:t xml:space="preserve"> sample and the response</w:t>
      </w:r>
      <w:r w:rsidRPr="00B83411">
        <w:t xml:space="preserve"> rate achieved in previous surveys. A number of measures were taken to make this happen</w:t>
      </w:r>
      <w:r w:rsidR="005C1D34" w:rsidRPr="00B83411">
        <w:t xml:space="preserve"> in this round of surveying</w:t>
      </w:r>
      <w:r w:rsidRPr="00B83411">
        <w:t>, including:</w:t>
      </w:r>
    </w:p>
    <w:p w14:paraId="1FFD6DA4" w14:textId="3B46D587" w:rsidR="000E5D47" w:rsidRPr="00B83411" w:rsidRDefault="000E5D47" w:rsidP="0068089E">
      <w:pPr>
        <w:pStyle w:val="ListParagraph"/>
        <w:numPr>
          <w:ilvl w:val="0"/>
          <w:numId w:val="11"/>
        </w:numPr>
      </w:pPr>
      <w:r w:rsidRPr="00B83411">
        <w:t xml:space="preserve">precise identification of relevant stakeholders through </w:t>
      </w:r>
      <w:r w:rsidR="005C1D34" w:rsidRPr="00B83411">
        <w:t xml:space="preserve">NOPTA’s </w:t>
      </w:r>
      <w:r w:rsidRPr="00B83411">
        <w:t>internal research and consultation</w:t>
      </w:r>
    </w:p>
    <w:p w14:paraId="59789A11" w14:textId="4C2AC612" w:rsidR="006A330C" w:rsidRPr="00B83411" w:rsidRDefault="006A330C" w:rsidP="0068089E">
      <w:pPr>
        <w:pStyle w:val="ListParagraph"/>
        <w:numPr>
          <w:ilvl w:val="0"/>
          <w:numId w:val="11"/>
        </w:numPr>
      </w:pPr>
      <w:r w:rsidRPr="00B83411">
        <w:t xml:space="preserve">communicating with </w:t>
      </w:r>
      <w:r w:rsidR="00C00074" w:rsidRPr="00B83411">
        <w:t xml:space="preserve">all identified </w:t>
      </w:r>
      <w:r w:rsidRPr="00B83411">
        <w:t>stakeholders before commencing the survey</w:t>
      </w:r>
    </w:p>
    <w:p w14:paraId="02BB50FA" w14:textId="61A84828" w:rsidR="006A330C" w:rsidRPr="00B83411" w:rsidRDefault="006A330C" w:rsidP="0068089E">
      <w:pPr>
        <w:pStyle w:val="ListParagraph"/>
        <w:numPr>
          <w:ilvl w:val="0"/>
          <w:numId w:val="11"/>
        </w:numPr>
      </w:pPr>
      <w:r w:rsidRPr="00B83411">
        <w:t>prior consult</w:t>
      </w:r>
      <w:r w:rsidR="00C00074" w:rsidRPr="00B83411">
        <w:t>at</w:t>
      </w:r>
      <w:r w:rsidRPr="00B83411">
        <w:t>i</w:t>
      </w:r>
      <w:r w:rsidR="00C00074" w:rsidRPr="00B83411">
        <w:t>on</w:t>
      </w:r>
      <w:r w:rsidRPr="00B83411">
        <w:t xml:space="preserve"> with companies that had many titles and/or licences and therefore had more staff interacting with NOPTA</w:t>
      </w:r>
    </w:p>
    <w:p w14:paraId="6F1D0B8F" w14:textId="5C55135E" w:rsidR="00C00074" w:rsidRPr="00B83411" w:rsidRDefault="00C00074" w:rsidP="0068089E">
      <w:pPr>
        <w:pStyle w:val="ListParagraph"/>
        <w:numPr>
          <w:ilvl w:val="0"/>
          <w:numId w:val="11"/>
        </w:numPr>
      </w:pPr>
      <w:r w:rsidRPr="00B83411">
        <w:t xml:space="preserve">allowing participating organisations to provide a consolidated response in order to reduce administrative </w:t>
      </w:r>
      <w:r w:rsidR="005C1D34" w:rsidRPr="00B83411">
        <w:t>effort</w:t>
      </w:r>
    </w:p>
    <w:p w14:paraId="15074DA1" w14:textId="77777777" w:rsidR="00C00074" w:rsidRPr="00B83411" w:rsidRDefault="00C00074" w:rsidP="0068089E">
      <w:pPr>
        <w:pStyle w:val="ListParagraph"/>
        <w:numPr>
          <w:ilvl w:val="0"/>
          <w:numId w:val="11"/>
        </w:numPr>
      </w:pPr>
      <w:r w:rsidRPr="00B83411">
        <w:t>reducing the number of questions</w:t>
      </w:r>
    </w:p>
    <w:p w14:paraId="5439E6E3" w14:textId="6B4B457A" w:rsidR="00C00074" w:rsidRPr="00B83411" w:rsidRDefault="00C00074" w:rsidP="0068089E">
      <w:pPr>
        <w:pStyle w:val="ListParagraph"/>
        <w:numPr>
          <w:ilvl w:val="0"/>
          <w:numId w:val="11"/>
        </w:numPr>
        <w:spacing w:after="240"/>
      </w:pPr>
      <w:r w:rsidRPr="00B83411">
        <w:t>better targeting of questions to respondents’ experiences.</w:t>
      </w:r>
    </w:p>
    <w:p w14:paraId="597D82DF" w14:textId="668FC7A6" w:rsidR="00AF3896" w:rsidRPr="00B83411" w:rsidRDefault="00C00074" w:rsidP="00704B26">
      <w:pPr>
        <w:spacing w:after="240"/>
      </w:pPr>
      <w:r w:rsidRPr="00B83411">
        <w:t>Collectively these measures worked and the survey achieved the h</w:t>
      </w:r>
      <w:r w:rsidR="00AF3896" w:rsidRPr="00B83411">
        <w:t>ighest response rate</w:t>
      </w:r>
      <w:r w:rsidRPr="00B83411">
        <w:t xml:space="preserve"> (35%)</w:t>
      </w:r>
      <w:r w:rsidR="00AF3896" w:rsidRPr="00B83411">
        <w:t xml:space="preserve"> </w:t>
      </w:r>
      <w:r w:rsidR="003A5B28" w:rsidRPr="00B83411">
        <w:t xml:space="preserve">and the highest response sample (n=85) </w:t>
      </w:r>
      <w:r w:rsidR="00AF3896" w:rsidRPr="00B83411">
        <w:t xml:space="preserve">since </w:t>
      </w:r>
      <w:r w:rsidR="006A330C" w:rsidRPr="00B83411">
        <w:t>the survey</w:t>
      </w:r>
      <w:r w:rsidRPr="00B83411">
        <w:t>’s inception in</w:t>
      </w:r>
      <w:r w:rsidR="006A330C" w:rsidRPr="00B83411">
        <w:t xml:space="preserve"> 2015.</w:t>
      </w:r>
      <w:r w:rsidRPr="00B83411">
        <w:t xml:space="preserve"> This level of response is within</w:t>
      </w:r>
      <w:r w:rsidR="009A2F58" w:rsidRPr="00B83411">
        <w:t xml:space="preserve"> the range of</w:t>
      </w:r>
      <w:r w:rsidRPr="00B83411">
        <w:t xml:space="preserve"> </w:t>
      </w:r>
      <w:r w:rsidR="009A2F58" w:rsidRPr="00B83411">
        <w:t>response rates for contemporary, Australian,</w:t>
      </w:r>
      <w:r w:rsidRPr="00B83411">
        <w:t xml:space="preserve"> </w:t>
      </w:r>
      <w:r w:rsidR="009A2F58" w:rsidRPr="00B83411">
        <w:t>online</w:t>
      </w:r>
      <w:r w:rsidRPr="00B83411">
        <w:t xml:space="preserve"> stakeholder surveys.</w:t>
      </w:r>
    </w:p>
    <w:p w14:paraId="0E1C0B8A" w14:textId="77777777" w:rsidR="00AF3A95" w:rsidRPr="00B83411" w:rsidRDefault="00AF3A95" w:rsidP="00F85980">
      <w:pPr>
        <w:pStyle w:val="Heading1"/>
        <w:spacing w:after="0"/>
      </w:pPr>
      <w:bookmarkStart w:id="4" w:name="_Toc213926340"/>
      <w:r w:rsidRPr="00B83411">
        <w:t>Analysis notes</w:t>
      </w:r>
      <w:bookmarkEnd w:id="4"/>
    </w:p>
    <w:p w14:paraId="23C61A45" w14:textId="53D7660D" w:rsidR="005C1D34" w:rsidRPr="00B83411" w:rsidRDefault="005C1D34" w:rsidP="005C1D34">
      <w:r w:rsidRPr="00B83411">
        <w:t xml:space="preserve">These are important to understand as the material covered here affects how a report reader </w:t>
      </w:r>
      <w:r w:rsidR="00A67900" w:rsidRPr="00B83411">
        <w:t xml:space="preserve">comprehends and </w:t>
      </w:r>
      <w:r w:rsidRPr="00B83411">
        <w:t>interprets the survey results and findings.</w:t>
      </w:r>
    </w:p>
    <w:p w14:paraId="47FD2F44" w14:textId="77777777" w:rsidR="00AF3A95" w:rsidRPr="00B83411" w:rsidRDefault="00AF3A95" w:rsidP="00966B2A">
      <w:pPr>
        <w:pStyle w:val="Heading3"/>
      </w:pPr>
      <w:r w:rsidRPr="00B83411">
        <w:t>Weighting</w:t>
      </w:r>
    </w:p>
    <w:p w14:paraId="570B2DA7" w14:textId="5B686D97" w:rsidR="00AF3A95" w:rsidRPr="00B83411" w:rsidRDefault="00BE2D83" w:rsidP="007D2133">
      <w:r w:rsidRPr="00B83411">
        <w:t xml:space="preserve">Survey response data was not weighted due to an indeterminate (unknown and potentially unlimited) survey population, with one exception. </w:t>
      </w:r>
      <w:r w:rsidR="00C00074" w:rsidRPr="00B83411">
        <w:t xml:space="preserve">Weighting can only happen when population proportions are known. </w:t>
      </w:r>
      <w:r w:rsidRPr="00B83411">
        <w:t xml:space="preserve">To help reduce respondent burden some larger stakeholder groups (large petroleum and greenhouse gas companies and government agencies with many contacts) were given the opportunity to provide a group, as in a single and consolidated, response. To ASR’s knowledge, only one company took that opportunity. Their single response was triplicated (copied and added twice) to reflect a larger set of responses. This multiplier or weight was chosen as it reflected the general response rate of all other </w:t>
      </w:r>
      <w:r w:rsidR="00163328" w:rsidRPr="00B83411">
        <w:t>title/</w:t>
      </w:r>
      <w:r w:rsidRPr="00B83411">
        <w:t>holders.</w:t>
      </w:r>
    </w:p>
    <w:p w14:paraId="62E3335C" w14:textId="78E10111" w:rsidR="00AF3A95" w:rsidRPr="00B83411" w:rsidRDefault="00AF3A95" w:rsidP="00966B2A">
      <w:pPr>
        <w:pStyle w:val="Heading3"/>
      </w:pPr>
      <w:r w:rsidRPr="00B83411">
        <w:t>Rounding</w:t>
      </w:r>
    </w:p>
    <w:p w14:paraId="41364C81" w14:textId="67B483F3" w:rsidR="00AF3A95" w:rsidRPr="00B83411" w:rsidRDefault="00AF3A95" w:rsidP="007D2133">
      <w:r w:rsidRPr="00B83411">
        <w:t xml:space="preserve">In all tables with a total of more than 100% some rounding errors may occur, that is, it may appear that a column total should be 99% or 101%. If decimal points were presented in sub-items, the totals would be 100%. All results are presented with zero decimal places. </w:t>
      </w:r>
    </w:p>
    <w:p w14:paraId="558FD930" w14:textId="77777777" w:rsidR="007E6BC1" w:rsidRPr="00B83411" w:rsidRDefault="007E6BC1" w:rsidP="00966B2A">
      <w:pPr>
        <w:pStyle w:val="Heading3"/>
      </w:pPr>
      <w:r w:rsidRPr="00B83411">
        <w:t>Varying response counts in answers</w:t>
      </w:r>
    </w:p>
    <w:p w14:paraId="4432E9E7" w14:textId="16C3703F" w:rsidR="00F375D2" w:rsidRPr="00B83411" w:rsidRDefault="007E6BC1" w:rsidP="007D2133">
      <w:r w:rsidRPr="00B83411">
        <w:t>Logic was applied to questions within the survey, to cater for different types of people answering, such as title or licence holders compared with government decision makers or advisors. This means that no respondents saw all the questions within the survey questionnaire</w:t>
      </w:r>
      <w:r w:rsidR="00BE2D83" w:rsidRPr="00B83411">
        <w:t>. As a resul</w:t>
      </w:r>
      <w:r w:rsidR="00016266" w:rsidRPr="00B83411">
        <w:t>t</w:t>
      </w:r>
      <w:r w:rsidR="00BE2D83" w:rsidRPr="00B83411">
        <w:t>, in this report the</w:t>
      </w:r>
      <w:r w:rsidRPr="00B83411">
        <w:t xml:space="preserve"> </w:t>
      </w:r>
      <w:r w:rsidR="00AF3A95" w:rsidRPr="00B83411">
        <w:t xml:space="preserve">n counts </w:t>
      </w:r>
      <w:r w:rsidRPr="00B83411">
        <w:t>(the number of respondents providing a</w:t>
      </w:r>
      <w:r w:rsidR="00BE2D83" w:rsidRPr="00B83411">
        <w:t xml:space="preserve"> valid</w:t>
      </w:r>
      <w:r w:rsidRPr="00B83411">
        <w:t xml:space="preserve"> answer to a question)</w:t>
      </w:r>
      <w:r w:rsidR="00BE2D83" w:rsidRPr="00B83411">
        <w:t xml:space="preserve"> varies between questions. Tables and charts specify the n counts for each answer</w:t>
      </w:r>
      <w:r w:rsidR="00AF3A95" w:rsidRPr="00B83411">
        <w:t>.</w:t>
      </w:r>
    </w:p>
    <w:p w14:paraId="43E59FA3" w14:textId="77777777" w:rsidR="002756C3" w:rsidRPr="00B83411" w:rsidRDefault="002756C3" w:rsidP="00966B2A">
      <w:pPr>
        <w:pStyle w:val="Heading3"/>
      </w:pPr>
      <w:r w:rsidRPr="00B83411">
        <w:t>Percent positive calculations</w:t>
      </w:r>
    </w:p>
    <w:p w14:paraId="028EC8F6" w14:textId="04383564" w:rsidR="00C00074" w:rsidRPr="00B83411" w:rsidRDefault="002756C3" w:rsidP="0017597D">
      <w:pPr>
        <w:rPr>
          <w:rFonts w:cs="Arial"/>
          <w:i/>
          <w:iCs/>
          <w:color w:val="00376E"/>
          <w:sz w:val="24"/>
          <w:szCs w:val="26"/>
        </w:rPr>
      </w:pPr>
      <w:r w:rsidRPr="00B83411">
        <w:t xml:space="preserve">For </w:t>
      </w:r>
      <w:r w:rsidR="00BE2D83" w:rsidRPr="00B83411">
        <w:t>most</w:t>
      </w:r>
      <w:r w:rsidR="00016266" w:rsidRPr="00B83411">
        <w:t xml:space="preserve"> </w:t>
      </w:r>
      <w:r w:rsidRPr="00B83411">
        <w:t>questions in this survey the percent positive score (% pos) for rated items (those using a Likert-type scale) was calculated by adding the proportions of respondents who selected any of the agreement or positive answers in a rating scale, for example</w:t>
      </w:r>
      <w:r w:rsidR="00BE2D83" w:rsidRPr="00B83411">
        <w:t xml:space="preserve"> </w:t>
      </w:r>
      <w:r w:rsidRPr="00B83411">
        <w:rPr>
          <w:i/>
          <w:iCs/>
        </w:rPr>
        <w:t>very good</w:t>
      </w:r>
      <w:r w:rsidRPr="00B83411">
        <w:t xml:space="preserve"> and </w:t>
      </w:r>
      <w:r w:rsidRPr="00B83411">
        <w:rPr>
          <w:i/>
          <w:iCs/>
        </w:rPr>
        <w:t>good</w:t>
      </w:r>
      <w:r w:rsidRPr="00B83411">
        <w:t xml:space="preserve">  When calculating these scores, ASR has deliberately chosen to remove </w:t>
      </w:r>
      <w:r w:rsidRPr="00B83411">
        <w:rPr>
          <w:i/>
          <w:iCs/>
        </w:rPr>
        <w:t>unsure</w:t>
      </w:r>
      <w:r w:rsidR="00016266" w:rsidRPr="00B83411">
        <w:rPr>
          <w:i/>
          <w:iCs/>
        </w:rPr>
        <w:t xml:space="preserve"> </w:t>
      </w:r>
      <w:r w:rsidRPr="00B83411">
        <w:t xml:space="preserve">and no answer responses. We believe this gives a more accurate reading of sentiment, as it only considers those who had a view. As a </w:t>
      </w:r>
      <w:r w:rsidR="00EE04DD" w:rsidRPr="00B83411">
        <w:t>result,</w:t>
      </w:r>
      <w:r w:rsidR="00016266" w:rsidRPr="00B83411">
        <w:t xml:space="preserve"> and as explained in the previous paragraph,</w:t>
      </w:r>
      <w:r w:rsidRPr="00B83411">
        <w:t xml:space="preserve"> the n count (sample) used in calculations varies between survey </w:t>
      </w:r>
      <w:r w:rsidR="0052178C" w:rsidRPr="00B83411">
        <w:t>questions</w:t>
      </w:r>
      <w:r w:rsidRPr="00B83411">
        <w:t>.</w:t>
      </w:r>
    </w:p>
    <w:p w14:paraId="4FD5EEA6" w14:textId="061FEEAB" w:rsidR="003A2A5B" w:rsidRPr="00B83411" w:rsidRDefault="00861528" w:rsidP="003A2A5B">
      <w:pPr>
        <w:pStyle w:val="Heading3"/>
      </w:pPr>
      <w:bookmarkStart w:id="5" w:name="_Hlk213668286"/>
      <w:r w:rsidRPr="00B83411">
        <w:t>Margin of error</w:t>
      </w:r>
    </w:p>
    <w:p w14:paraId="13ACE351" w14:textId="4665C26C" w:rsidR="00861528" w:rsidRPr="00B83411" w:rsidRDefault="00861528" w:rsidP="00861528">
      <w:r w:rsidRPr="00B83411">
        <w:t xml:space="preserve">While the most people in the survey’s history responded (85 representing a 35% response rate), results still need to be interpreted with caution. </w:t>
      </w:r>
    </w:p>
    <w:p w14:paraId="6DB1810B" w14:textId="341C169A" w:rsidR="00F15688" w:rsidRPr="00B83411" w:rsidRDefault="00F15688" w:rsidP="00F15688">
      <w:bookmarkStart w:id="6" w:name="_Hlk213668636"/>
      <w:r w:rsidRPr="00B83411">
        <w:t xml:space="preserve">Given the way in which NOPTA / OIR stakeholders were identified and selected (the sample frame that was used for this survey), and the relatively small </w:t>
      </w:r>
      <w:r w:rsidR="007834D8" w:rsidRPr="00B83411">
        <w:t xml:space="preserve">size of the </w:t>
      </w:r>
      <w:r w:rsidRPr="00B83411">
        <w:t>survey response</w:t>
      </w:r>
      <w:r w:rsidR="007834D8" w:rsidRPr="00B83411">
        <w:t xml:space="preserve"> sample</w:t>
      </w:r>
      <w:r w:rsidRPr="00B83411">
        <w:t>, results must be treated as indicative only. For example, ASR suggests that a margin of error of around</w:t>
      </w:r>
      <w:r w:rsidR="007834D8" w:rsidRPr="00B83411">
        <w:t xml:space="preserve"> </w:t>
      </w:r>
      <w:r w:rsidRPr="00B83411">
        <w:t xml:space="preserve">±10% or higher needs to be applied to </w:t>
      </w:r>
      <w:r w:rsidR="007834D8" w:rsidRPr="00B83411">
        <w:t xml:space="preserve">all of this </w:t>
      </w:r>
      <w:r w:rsidRPr="00B83411">
        <w:t>survey</w:t>
      </w:r>
      <w:r w:rsidR="007834D8" w:rsidRPr="00B83411">
        <w:t>’s</w:t>
      </w:r>
      <w:r w:rsidRPr="00B83411">
        <w:t xml:space="preserve"> results</w:t>
      </w:r>
      <w:r w:rsidR="00C908B7" w:rsidRPr="00B83411">
        <w:t xml:space="preserve">, </w:t>
      </w:r>
      <w:r w:rsidRPr="00B83411">
        <w:t>mean</w:t>
      </w:r>
      <w:r w:rsidR="00C908B7" w:rsidRPr="00B83411">
        <w:t>ing</w:t>
      </w:r>
      <w:r w:rsidRPr="00B83411">
        <w:t xml:space="preserve"> that all results in this report need to be treated as indicative only.</w:t>
      </w:r>
    </w:p>
    <w:bookmarkEnd w:id="5"/>
    <w:bookmarkEnd w:id="6"/>
    <w:p w14:paraId="15A4FE95" w14:textId="77777777" w:rsidR="00A67900" w:rsidRPr="00B83411" w:rsidRDefault="00A67900">
      <w:pPr>
        <w:spacing w:before="0" w:line="240" w:lineRule="auto"/>
        <w:ind w:right="0"/>
        <w:rPr>
          <w:rFonts w:cs="Arial"/>
          <w:i/>
          <w:iCs/>
          <w:color w:val="00376E"/>
          <w:sz w:val="24"/>
          <w:szCs w:val="26"/>
        </w:rPr>
      </w:pPr>
      <w:r w:rsidRPr="00B83411">
        <w:br w:type="page"/>
      </w:r>
    </w:p>
    <w:p w14:paraId="3321AFCA" w14:textId="36144F0E" w:rsidR="00861528" w:rsidRPr="00B83411" w:rsidRDefault="00861528" w:rsidP="00861528">
      <w:pPr>
        <w:pStyle w:val="Heading3"/>
        <w:spacing w:after="240"/>
      </w:pPr>
      <w:r w:rsidRPr="00B83411">
        <w:t>Glossary of terms</w:t>
      </w:r>
      <w:r w:rsidR="00C908B7" w:rsidRPr="00B83411">
        <w:t xml:space="preserve"> and abbreviations</w:t>
      </w:r>
    </w:p>
    <w:p w14:paraId="38A10A44" w14:textId="3D53B516" w:rsidR="005D5E76" w:rsidRDefault="005D5E76" w:rsidP="005D5E76">
      <w:pPr>
        <w:pStyle w:val="Caption"/>
        <w:keepNext/>
      </w:pPr>
      <w:r>
        <w:t xml:space="preserve">Table </w:t>
      </w:r>
      <w:r>
        <w:fldChar w:fldCharType="begin"/>
      </w:r>
      <w:r>
        <w:instrText xml:space="preserve"> SEQ Table \* ARABIC </w:instrText>
      </w:r>
      <w:r>
        <w:fldChar w:fldCharType="separate"/>
      </w:r>
      <w:r w:rsidR="00C350E2">
        <w:rPr>
          <w:noProof/>
        </w:rPr>
        <w:t>1</w:t>
      </w:r>
      <w:r>
        <w:fldChar w:fldCharType="end"/>
      </w:r>
      <w:r>
        <w:t>: Glossary of terms and abbreviations</w:t>
      </w:r>
    </w:p>
    <w:tbl>
      <w:tblPr>
        <w:tblStyle w:val="TableGrid"/>
        <w:tblW w:w="0" w:type="auto"/>
        <w:tblInd w:w="-5" w:type="dxa"/>
        <w:tblLook w:val="04A0" w:firstRow="1" w:lastRow="0" w:firstColumn="1" w:lastColumn="0" w:noHBand="0" w:noVBand="1"/>
      </w:tblPr>
      <w:tblGrid>
        <w:gridCol w:w="2263"/>
        <w:gridCol w:w="6379"/>
      </w:tblGrid>
      <w:tr w:rsidR="00861528" w:rsidRPr="00B83411" w14:paraId="6323338F" w14:textId="77777777" w:rsidTr="00AB3F93">
        <w:trPr>
          <w:tblHeader/>
        </w:trPr>
        <w:tc>
          <w:tcPr>
            <w:tcW w:w="2263" w:type="dxa"/>
            <w:tcBorders>
              <w:top w:val="nil"/>
              <w:left w:val="nil"/>
              <w:bottom w:val="nil"/>
              <w:right w:val="nil"/>
            </w:tcBorders>
            <w:shd w:val="clear" w:color="auto" w:fill="003366"/>
          </w:tcPr>
          <w:p w14:paraId="2E61AABB" w14:textId="77777777" w:rsidR="00861528" w:rsidRPr="00B83411" w:rsidRDefault="00861528">
            <w:pPr>
              <w:spacing w:before="60" w:after="60"/>
              <w:ind w:right="0"/>
              <w:rPr>
                <w:b/>
                <w:bCs/>
              </w:rPr>
            </w:pPr>
            <w:r w:rsidRPr="00B83411">
              <w:rPr>
                <w:b/>
                <w:bCs/>
              </w:rPr>
              <w:t>Term</w:t>
            </w:r>
          </w:p>
        </w:tc>
        <w:tc>
          <w:tcPr>
            <w:tcW w:w="6379" w:type="dxa"/>
            <w:tcBorders>
              <w:top w:val="nil"/>
              <w:left w:val="nil"/>
              <w:bottom w:val="nil"/>
              <w:right w:val="nil"/>
            </w:tcBorders>
            <w:shd w:val="clear" w:color="auto" w:fill="003366"/>
          </w:tcPr>
          <w:p w14:paraId="73DF934F" w14:textId="77777777" w:rsidR="00861528" w:rsidRPr="00B83411" w:rsidRDefault="00861528">
            <w:pPr>
              <w:spacing w:before="60" w:after="60"/>
              <w:ind w:right="0"/>
              <w:jc w:val="center"/>
              <w:rPr>
                <w:b/>
                <w:bCs/>
              </w:rPr>
            </w:pPr>
            <w:r w:rsidRPr="00B83411">
              <w:rPr>
                <w:b/>
                <w:bCs/>
              </w:rPr>
              <w:t>Explanation</w:t>
            </w:r>
          </w:p>
        </w:tc>
      </w:tr>
      <w:tr w:rsidR="00861528" w:rsidRPr="00B83411" w14:paraId="4EC21705" w14:textId="77777777" w:rsidTr="00AB3F93">
        <w:tblPrEx>
          <w:tblBorders>
            <w:top w:val="none" w:sz="0" w:space="0" w:color="auto"/>
            <w:bottom w:val="none" w:sz="0" w:space="0" w:color="auto"/>
          </w:tblBorders>
        </w:tblPrEx>
        <w:tc>
          <w:tcPr>
            <w:tcW w:w="2263" w:type="dxa"/>
            <w:tcBorders>
              <w:top w:val="nil"/>
              <w:left w:val="nil"/>
              <w:bottom w:val="nil"/>
              <w:right w:val="nil"/>
            </w:tcBorders>
          </w:tcPr>
          <w:p w14:paraId="587DEA83" w14:textId="77777777" w:rsidR="00861528" w:rsidRPr="00B83411" w:rsidRDefault="00861528">
            <w:pPr>
              <w:spacing w:before="60" w:after="60"/>
              <w:ind w:right="-114"/>
            </w:pPr>
            <w:r w:rsidRPr="00B83411">
              <w:t>NOPTA</w:t>
            </w:r>
          </w:p>
        </w:tc>
        <w:tc>
          <w:tcPr>
            <w:tcW w:w="6379" w:type="dxa"/>
            <w:tcBorders>
              <w:top w:val="nil"/>
              <w:left w:val="nil"/>
              <w:bottom w:val="nil"/>
              <w:right w:val="nil"/>
            </w:tcBorders>
          </w:tcPr>
          <w:p w14:paraId="719A7D34" w14:textId="77777777" w:rsidR="00861528" w:rsidRPr="00B83411" w:rsidRDefault="00861528">
            <w:pPr>
              <w:spacing w:before="60" w:after="60"/>
              <w:ind w:right="-114"/>
            </w:pPr>
            <w:r w:rsidRPr="00B83411">
              <w:t>National Offshore Petroleum Titles Administrator (this entity administers offshore petroleum and greenhouse gas titles)</w:t>
            </w:r>
          </w:p>
        </w:tc>
      </w:tr>
      <w:tr w:rsidR="00861528" w:rsidRPr="00B83411" w14:paraId="170FDB4A" w14:textId="77777777">
        <w:tblPrEx>
          <w:tblBorders>
            <w:top w:val="none" w:sz="0" w:space="0" w:color="auto"/>
            <w:bottom w:val="none" w:sz="0" w:space="0" w:color="auto"/>
          </w:tblBorders>
        </w:tblPrEx>
        <w:tc>
          <w:tcPr>
            <w:tcW w:w="2263" w:type="dxa"/>
            <w:tcBorders>
              <w:top w:val="nil"/>
              <w:left w:val="nil"/>
              <w:bottom w:val="nil"/>
              <w:right w:val="nil"/>
            </w:tcBorders>
            <w:shd w:val="clear" w:color="auto" w:fill="D1D1D1"/>
          </w:tcPr>
          <w:p w14:paraId="06FA00A6" w14:textId="77777777" w:rsidR="00861528" w:rsidRPr="00B83411" w:rsidRDefault="00861528">
            <w:pPr>
              <w:spacing w:before="60" w:after="60"/>
              <w:ind w:right="-114"/>
            </w:pPr>
            <w:r w:rsidRPr="00B83411">
              <w:t>OIR</w:t>
            </w:r>
          </w:p>
        </w:tc>
        <w:tc>
          <w:tcPr>
            <w:tcW w:w="6379" w:type="dxa"/>
            <w:tcBorders>
              <w:top w:val="nil"/>
              <w:left w:val="nil"/>
              <w:bottom w:val="nil"/>
              <w:right w:val="nil"/>
            </w:tcBorders>
            <w:shd w:val="clear" w:color="auto" w:fill="D1D1D1"/>
          </w:tcPr>
          <w:p w14:paraId="3FF78E03" w14:textId="203BFC02" w:rsidR="00861528" w:rsidRPr="00B83411" w:rsidRDefault="00861528">
            <w:pPr>
              <w:spacing w:before="60" w:after="60"/>
              <w:ind w:right="-114"/>
            </w:pPr>
            <w:r w:rsidRPr="00B83411">
              <w:t xml:space="preserve">Offshore Infrastructure </w:t>
            </w:r>
            <w:r w:rsidR="00BB6628" w:rsidRPr="00B83411">
              <w:t xml:space="preserve">Registrar </w:t>
            </w:r>
            <w:r w:rsidRPr="00B83411">
              <w:t>(this entity administers and regulates offshore electricity licences)</w:t>
            </w:r>
          </w:p>
        </w:tc>
      </w:tr>
      <w:tr w:rsidR="00861528" w:rsidRPr="00B83411" w14:paraId="1488A592" w14:textId="77777777">
        <w:tblPrEx>
          <w:tblBorders>
            <w:top w:val="none" w:sz="0" w:space="0" w:color="auto"/>
            <w:bottom w:val="none" w:sz="0" w:space="0" w:color="auto"/>
          </w:tblBorders>
        </w:tblPrEx>
        <w:tc>
          <w:tcPr>
            <w:tcW w:w="2263" w:type="dxa"/>
            <w:tcBorders>
              <w:top w:val="nil"/>
              <w:left w:val="nil"/>
              <w:bottom w:val="nil"/>
              <w:right w:val="nil"/>
            </w:tcBorders>
          </w:tcPr>
          <w:p w14:paraId="565C6353" w14:textId="77777777" w:rsidR="00861528" w:rsidRPr="00B83411" w:rsidRDefault="00861528">
            <w:pPr>
              <w:spacing w:before="60" w:after="60"/>
              <w:ind w:right="-114"/>
            </w:pPr>
            <w:r w:rsidRPr="00B83411">
              <w:t>Stakeholder</w:t>
            </w:r>
          </w:p>
        </w:tc>
        <w:tc>
          <w:tcPr>
            <w:tcW w:w="6379" w:type="dxa"/>
            <w:tcBorders>
              <w:top w:val="nil"/>
              <w:left w:val="nil"/>
              <w:bottom w:val="nil"/>
              <w:right w:val="nil"/>
            </w:tcBorders>
          </w:tcPr>
          <w:p w14:paraId="315B3EE5" w14:textId="57C2A9DF" w:rsidR="00861528" w:rsidRPr="00B83411" w:rsidRDefault="00861528">
            <w:pPr>
              <w:spacing w:before="60" w:after="60"/>
              <w:ind w:right="-114"/>
            </w:pPr>
            <w:r w:rsidRPr="00B83411">
              <w:t xml:space="preserve">Title </w:t>
            </w:r>
            <w:r w:rsidR="00CC7F72" w:rsidRPr="00B83411">
              <w:t xml:space="preserve">holders, </w:t>
            </w:r>
            <w:r w:rsidRPr="00B83411">
              <w:t>licence holders</w:t>
            </w:r>
            <w:r w:rsidR="00B00084" w:rsidRPr="00B83411">
              <w:t xml:space="preserve"> and applicants</w:t>
            </w:r>
            <w:r w:rsidRPr="00B83411">
              <w:t>, government decision makers and advisors, industry association or peak council representatives</w:t>
            </w:r>
          </w:p>
        </w:tc>
      </w:tr>
      <w:tr w:rsidR="00861528" w:rsidRPr="00B83411" w14:paraId="582301BB" w14:textId="77777777">
        <w:tblPrEx>
          <w:tblBorders>
            <w:top w:val="none" w:sz="0" w:space="0" w:color="auto"/>
            <w:bottom w:val="none" w:sz="0" w:space="0" w:color="auto"/>
          </w:tblBorders>
        </w:tblPrEx>
        <w:tc>
          <w:tcPr>
            <w:tcW w:w="2263" w:type="dxa"/>
            <w:tcBorders>
              <w:top w:val="nil"/>
              <w:left w:val="nil"/>
              <w:bottom w:val="nil"/>
              <w:right w:val="nil"/>
            </w:tcBorders>
            <w:shd w:val="clear" w:color="auto" w:fill="D1D1D1"/>
          </w:tcPr>
          <w:p w14:paraId="5944855D" w14:textId="77777777" w:rsidR="00861528" w:rsidRPr="00B83411" w:rsidRDefault="00861528">
            <w:pPr>
              <w:spacing w:before="60" w:after="60"/>
              <w:ind w:right="-114"/>
            </w:pPr>
            <w:r w:rsidRPr="00B83411">
              <w:t>Title holder</w:t>
            </w:r>
          </w:p>
        </w:tc>
        <w:tc>
          <w:tcPr>
            <w:tcW w:w="6379" w:type="dxa"/>
            <w:tcBorders>
              <w:top w:val="nil"/>
              <w:left w:val="nil"/>
              <w:bottom w:val="nil"/>
              <w:right w:val="nil"/>
            </w:tcBorders>
            <w:shd w:val="clear" w:color="auto" w:fill="D1D1D1"/>
          </w:tcPr>
          <w:p w14:paraId="34BD2AE2" w14:textId="77777777" w:rsidR="00861528" w:rsidRPr="00B83411" w:rsidRDefault="00861528">
            <w:pPr>
              <w:spacing w:before="60" w:after="60"/>
              <w:ind w:right="-114"/>
            </w:pPr>
            <w:r w:rsidRPr="00B83411">
              <w:t>A company that holds an offshore petroleum or greenhouse gas title</w:t>
            </w:r>
          </w:p>
        </w:tc>
      </w:tr>
      <w:tr w:rsidR="00861528" w:rsidRPr="00B83411" w14:paraId="06C3FA66" w14:textId="77777777">
        <w:tblPrEx>
          <w:tblBorders>
            <w:top w:val="none" w:sz="0" w:space="0" w:color="auto"/>
            <w:bottom w:val="none" w:sz="0" w:space="0" w:color="auto"/>
          </w:tblBorders>
        </w:tblPrEx>
        <w:tc>
          <w:tcPr>
            <w:tcW w:w="2263" w:type="dxa"/>
            <w:tcBorders>
              <w:top w:val="nil"/>
              <w:left w:val="nil"/>
              <w:bottom w:val="nil"/>
              <w:right w:val="nil"/>
            </w:tcBorders>
          </w:tcPr>
          <w:p w14:paraId="520656C6" w14:textId="69E52158" w:rsidR="00861528" w:rsidRPr="00B83411" w:rsidRDefault="00861528">
            <w:pPr>
              <w:spacing w:before="60" w:after="60"/>
              <w:ind w:right="-114"/>
            </w:pPr>
            <w:r w:rsidRPr="00B83411">
              <w:t>P</w:t>
            </w:r>
            <w:r w:rsidR="003874D2" w:rsidRPr="00B83411">
              <w:t>/</w:t>
            </w:r>
            <w:r w:rsidRPr="00B83411">
              <w:t>GHG</w:t>
            </w:r>
          </w:p>
        </w:tc>
        <w:tc>
          <w:tcPr>
            <w:tcW w:w="6379" w:type="dxa"/>
            <w:tcBorders>
              <w:top w:val="nil"/>
              <w:left w:val="nil"/>
              <w:bottom w:val="nil"/>
              <w:right w:val="nil"/>
            </w:tcBorders>
          </w:tcPr>
          <w:p w14:paraId="583BBCB9" w14:textId="24F88F9F" w:rsidR="00861528" w:rsidRPr="00B83411" w:rsidRDefault="00861528">
            <w:pPr>
              <w:spacing w:before="60" w:after="60"/>
              <w:ind w:right="-114"/>
            </w:pPr>
            <w:r w:rsidRPr="00B83411">
              <w:t xml:space="preserve">Petroleum / Greenhouse Gas </w:t>
            </w:r>
            <w:r w:rsidR="00B00084" w:rsidRPr="00B83411">
              <w:t>– the industry</w:t>
            </w:r>
          </w:p>
        </w:tc>
      </w:tr>
      <w:tr w:rsidR="00861528" w:rsidRPr="00B83411" w14:paraId="18F450D9" w14:textId="77777777">
        <w:tblPrEx>
          <w:tblBorders>
            <w:top w:val="none" w:sz="0" w:space="0" w:color="auto"/>
            <w:bottom w:val="none" w:sz="0" w:space="0" w:color="auto"/>
          </w:tblBorders>
        </w:tblPrEx>
        <w:tc>
          <w:tcPr>
            <w:tcW w:w="2263" w:type="dxa"/>
            <w:tcBorders>
              <w:top w:val="nil"/>
              <w:left w:val="nil"/>
              <w:bottom w:val="nil"/>
              <w:right w:val="nil"/>
            </w:tcBorders>
            <w:shd w:val="clear" w:color="auto" w:fill="D1D1D1"/>
          </w:tcPr>
          <w:p w14:paraId="2769D1D4" w14:textId="77777777" w:rsidR="00861528" w:rsidRPr="00B83411" w:rsidRDefault="00861528">
            <w:pPr>
              <w:spacing w:before="60" w:after="60"/>
              <w:ind w:right="-114"/>
            </w:pPr>
            <w:r w:rsidRPr="00B83411">
              <w:t>Licence holder</w:t>
            </w:r>
          </w:p>
        </w:tc>
        <w:tc>
          <w:tcPr>
            <w:tcW w:w="6379" w:type="dxa"/>
            <w:tcBorders>
              <w:top w:val="nil"/>
              <w:left w:val="nil"/>
              <w:bottom w:val="nil"/>
              <w:right w:val="nil"/>
            </w:tcBorders>
            <w:shd w:val="clear" w:color="auto" w:fill="D1D1D1"/>
          </w:tcPr>
          <w:p w14:paraId="21A38364" w14:textId="384D1CA9" w:rsidR="00861528" w:rsidRPr="00B83411" w:rsidRDefault="00861528">
            <w:pPr>
              <w:spacing w:before="60" w:after="60"/>
              <w:ind w:right="-114"/>
            </w:pPr>
            <w:r w:rsidRPr="00B83411">
              <w:t xml:space="preserve">A company that holds an offshore electricity </w:t>
            </w:r>
            <w:r w:rsidR="00C60BB9" w:rsidRPr="00B83411">
              <w:t xml:space="preserve">feasibility </w:t>
            </w:r>
            <w:r w:rsidRPr="00B83411">
              <w:t>licence</w:t>
            </w:r>
          </w:p>
        </w:tc>
      </w:tr>
      <w:tr w:rsidR="00861528" w:rsidRPr="00B83411" w14:paraId="67FF88DE" w14:textId="77777777">
        <w:tblPrEx>
          <w:tblBorders>
            <w:top w:val="none" w:sz="0" w:space="0" w:color="auto"/>
            <w:bottom w:val="none" w:sz="0" w:space="0" w:color="auto"/>
          </w:tblBorders>
        </w:tblPrEx>
        <w:tc>
          <w:tcPr>
            <w:tcW w:w="2263" w:type="dxa"/>
            <w:tcBorders>
              <w:top w:val="nil"/>
              <w:left w:val="nil"/>
              <w:bottom w:val="nil"/>
              <w:right w:val="nil"/>
            </w:tcBorders>
          </w:tcPr>
          <w:p w14:paraId="6FCE4D2D" w14:textId="77777777" w:rsidR="00861528" w:rsidRPr="00B83411" w:rsidRDefault="00861528">
            <w:pPr>
              <w:spacing w:before="60" w:after="60"/>
              <w:ind w:right="-114"/>
            </w:pPr>
            <w:r w:rsidRPr="00B83411">
              <w:t>OEI</w:t>
            </w:r>
          </w:p>
        </w:tc>
        <w:tc>
          <w:tcPr>
            <w:tcW w:w="6379" w:type="dxa"/>
            <w:tcBorders>
              <w:top w:val="nil"/>
              <w:left w:val="nil"/>
              <w:bottom w:val="nil"/>
              <w:right w:val="nil"/>
            </w:tcBorders>
          </w:tcPr>
          <w:p w14:paraId="5873A7F7" w14:textId="16CEC9DF" w:rsidR="00861528" w:rsidRPr="00B83411" w:rsidRDefault="00861528">
            <w:pPr>
              <w:spacing w:before="60" w:after="60"/>
              <w:ind w:right="-114"/>
            </w:pPr>
            <w:r w:rsidRPr="00B83411">
              <w:t>Offshore Electricity Infrastructure licence holder and government decision maker / advisor</w:t>
            </w:r>
            <w:r w:rsidR="00C908B7" w:rsidRPr="00B83411">
              <w:t xml:space="preserve">, also referred to as a </w:t>
            </w:r>
            <w:r w:rsidR="002806A7" w:rsidRPr="00B83411">
              <w:t>sector</w:t>
            </w:r>
          </w:p>
        </w:tc>
      </w:tr>
      <w:tr w:rsidR="00861528" w:rsidRPr="00B83411" w14:paraId="7DA8E95E" w14:textId="77777777">
        <w:tblPrEx>
          <w:tblBorders>
            <w:top w:val="none" w:sz="0" w:space="0" w:color="auto"/>
            <w:bottom w:val="none" w:sz="0" w:space="0" w:color="auto"/>
          </w:tblBorders>
        </w:tblPrEx>
        <w:tc>
          <w:tcPr>
            <w:tcW w:w="2263" w:type="dxa"/>
            <w:tcBorders>
              <w:top w:val="nil"/>
              <w:left w:val="nil"/>
              <w:bottom w:val="nil"/>
              <w:right w:val="nil"/>
            </w:tcBorders>
            <w:shd w:val="clear" w:color="auto" w:fill="D1D1D1"/>
          </w:tcPr>
          <w:p w14:paraId="51329A31" w14:textId="77777777" w:rsidR="00861528" w:rsidRPr="00B83411" w:rsidRDefault="00861528">
            <w:pPr>
              <w:spacing w:before="60" w:after="60"/>
              <w:ind w:right="-114"/>
            </w:pPr>
            <w:r w:rsidRPr="00B83411">
              <w:t>Industry sectors</w:t>
            </w:r>
          </w:p>
        </w:tc>
        <w:tc>
          <w:tcPr>
            <w:tcW w:w="6379" w:type="dxa"/>
            <w:tcBorders>
              <w:top w:val="nil"/>
              <w:left w:val="nil"/>
              <w:bottom w:val="nil"/>
              <w:right w:val="nil"/>
            </w:tcBorders>
            <w:shd w:val="clear" w:color="auto" w:fill="D1D1D1"/>
          </w:tcPr>
          <w:p w14:paraId="1D523912" w14:textId="6C7A4730" w:rsidR="00861528" w:rsidRPr="00B83411" w:rsidRDefault="00861528">
            <w:pPr>
              <w:spacing w:before="60" w:after="60"/>
              <w:ind w:right="-114"/>
            </w:pPr>
            <w:r w:rsidRPr="00B83411">
              <w:t>For this survey there are two industry sectors: offshore petroleum and greenhouse gas title</w:t>
            </w:r>
            <w:r w:rsidR="001543CC" w:rsidRPr="00B83411">
              <w:t xml:space="preserve"> </w:t>
            </w:r>
            <w:r w:rsidRPr="00B83411">
              <w:t xml:space="preserve">holders / representatives and related government decision makers and advisors OR offshore electricity </w:t>
            </w:r>
            <w:r w:rsidR="001543CC" w:rsidRPr="00B83411">
              <w:t xml:space="preserve">licence holders, </w:t>
            </w:r>
            <w:r w:rsidRPr="00B83411">
              <w:t>and representatives and related government decision makers and advisors</w:t>
            </w:r>
            <w:r w:rsidR="00B00084" w:rsidRPr="00B83411">
              <w:t>.</w:t>
            </w:r>
          </w:p>
          <w:p w14:paraId="76643743" w14:textId="2D611813" w:rsidR="00861528" w:rsidRPr="00B83411" w:rsidRDefault="00861528">
            <w:pPr>
              <w:spacing w:before="60" w:after="60"/>
              <w:ind w:right="-114"/>
            </w:pPr>
            <w:r w:rsidRPr="00B83411">
              <w:t>For this report, the two sectors have been abbreviated to P</w:t>
            </w:r>
            <w:r w:rsidR="00EE35BF" w:rsidRPr="00B83411">
              <w:t>/</w:t>
            </w:r>
            <w:r w:rsidRPr="00B83411">
              <w:t>GHG and OEI.</w:t>
            </w:r>
          </w:p>
        </w:tc>
      </w:tr>
      <w:tr w:rsidR="00861528" w:rsidRPr="00B83411" w14:paraId="02936CD7" w14:textId="77777777" w:rsidTr="00C908B7">
        <w:tblPrEx>
          <w:tblBorders>
            <w:top w:val="none" w:sz="0" w:space="0" w:color="auto"/>
            <w:bottom w:val="none" w:sz="0" w:space="0" w:color="auto"/>
          </w:tblBorders>
        </w:tblPrEx>
        <w:tc>
          <w:tcPr>
            <w:tcW w:w="2263" w:type="dxa"/>
            <w:tcBorders>
              <w:top w:val="nil"/>
              <w:left w:val="nil"/>
              <w:bottom w:val="nil"/>
              <w:right w:val="nil"/>
            </w:tcBorders>
          </w:tcPr>
          <w:p w14:paraId="540DA7DE" w14:textId="66D6F423" w:rsidR="00861528" w:rsidRPr="00B83411" w:rsidRDefault="00C908B7">
            <w:pPr>
              <w:spacing w:before="60" w:after="60"/>
              <w:ind w:right="-114"/>
            </w:pPr>
            <w:r w:rsidRPr="00B83411">
              <w:t>NEATS</w:t>
            </w:r>
          </w:p>
        </w:tc>
        <w:tc>
          <w:tcPr>
            <w:tcW w:w="6379" w:type="dxa"/>
            <w:tcBorders>
              <w:top w:val="nil"/>
              <w:left w:val="nil"/>
              <w:bottom w:val="nil"/>
              <w:right w:val="nil"/>
            </w:tcBorders>
          </w:tcPr>
          <w:p w14:paraId="2AEDDF12" w14:textId="667ECF53" w:rsidR="00861528" w:rsidRPr="00B83411" w:rsidRDefault="00C908B7">
            <w:pPr>
              <w:spacing w:before="60" w:after="60"/>
              <w:ind w:right="-114"/>
            </w:pPr>
            <w:r w:rsidRPr="00B83411">
              <w:t>National Electronic Approvals Tracking System</w:t>
            </w:r>
          </w:p>
        </w:tc>
      </w:tr>
      <w:tr w:rsidR="00C908B7" w:rsidRPr="00B83411" w14:paraId="0758DF29" w14:textId="77777777" w:rsidTr="00C908B7">
        <w:tblPrEx>
          <w:tblBorders>
            <w:top w:val="none" w:sz="0" w:space="0" w:color="auto"/>
            <w:bottom w:val="none" w:sz="0" w:space="0" w:color="auto"/>
          </w:tblBorders>
        </w:tblPrEx>
        <w:tc>
          <w:tcPr>
            <w:tcW w:w="2263" w:type="dxa"/>
            <w:tcBorders>
              <w:top w:val="nil"/>
              <w:left w:val="nil"/>
              <w:bottom w:val="single" w:sz="4" w:space="0" w:color="auto"/>
              <w:right w:val="nil"/>
            </w:tcBorders>
            <w:shd w:val="clear" w:color="auto" w:fill="D9D9D9" w:themeFill="background1" w:themeFillShade="D9"/>
          </w:tcPr>
          <w:p w14:paraId="45D09DFF" w14:textId="09D29DC0" w:rsidR="00C908B7" w:rsidRPr="00B83411" w:rsidRDefault="00C908B7">
            <w:pPr>
              <w:spacing w:before="60" w:after="60"/>
              <w:ind w:right="-114"/>
            </w:pPr>
            <w:r w:rsidRPr="00B83411">
              <w:t>NOPIMS</w:t>
            </w:r>
          </w:p>
        </w:tc>
        <w:tc>
          <w:tcPr>
            <w:tcW w:w="6379" w:type="dxa"/>
            <w:tcBorders>
              <w:top w:val="nil"/>
              <w:left w:val="nil"/>
              <w:bottom w:val="single" w:sz="4" w:space="0" w:color="auto"/>
              <w:right w:val="nil"/>
            </w:tcBorders>
            <w:shd w:val="clear" w:color="auto" w:fill="D9D9D9" w:themeFill="background1" w:themeFillShade="D9"/>
          </w:tcPr>
          <w:p w14:paraId="6F4A101B" w14:textId="37C7733E" w:rsidR="00C908B7" w:rsidRPr="00B83411" w:rsidRDefault="00C908B7">
            <w:pPr>
              <w:spacing w:before="60" w:after="60"/>
              <w:ind w:right="-114"/>
            </w:pPr>
            <w:r w:rsidRPr="00B83411">
              <w:t>National Offshore Petroleum Information Management System</w:t>
            </w:r>
          </w:p>
        </w:tc>
      </w:tr>
    </w:tbl>
    <w:p w14:paraId="2FC55314" w14:textId="77777777" w:rsidR="00016266" w:rsidRPr="00B83411" w:rsidRDefault="00016266" w:rsidP="007D2133"/>
    <w:p w14:paraId="798F5E8D" w14:textId="77777777" w:rsidR="00823C45" w:rsidRDefault="00823C45" w:rsidP="007D2133"/>
    <w:p w14:paraId="6EF255F6" w14:textId="55E2D197" w:rsidR="00F85980" w:rsidRPr="00B83411" w:rsidRDefault="00F85980" w:rsidP="007D2133">
      <w:pPr>
        <w:rPr>
          <w:color w:val="00376E"/>
          <w:kern w:val="32"/>
          <w:sz w:val="36"/>
          <w:szCs w:val="18"/>
        </w:rPr>
      </w:pPr>
      <w:r w:rsidRPr="00B83411">
        <w:br w:type="page"/>
      </w:r>
    </w:p>
    <w:p w14:paraId="0736DD32" w14:textId="284EB7EA" w:rsidR="009B1075" w:rsidRPr="00B83411" w:rsidRDefault="009B1075" w:rsidP="00655425">
      <w:pPr>
        <w:pStyle w:val="Heading1"/>
      </w:pPr>
      <w:bookmarkStart w:id="7" w:name="_Toc213926341"/>
      <w:r w:rsidRPr="00B83411">
        <w:t>Survey participants</w:t>
      </w:r>
      <w:bookmarkEnd w:id="7"/>
    </w:p>
    <w:p w14:paraId="310ED6A3" w14:textId="1EAB98F3" w:rsidR="00025AB6" w:rsidRPr="00B83411" w:rsidRDefault="009B1075" w:rsidP="00345208">
      <w:pPr>
        <w:spacing w:after="240"/>
      </w:pPr>
      <w:r w:rsidRPr="00B83411">
        <w:t>This section provides a brief profile of the survey resp</w:t>
      </w:r>
      <w:r w:rsidR="00345208" w:rsidRPr="00B83411">
        <w:t>o</w:t>
      </w:r>
      <w:r w:rsidRPr="00B83411">
        <w:t>ndents.</w:t>
      </w:r>
      <w:r w:rsidR="004577EA" w:rsidRPr="00B83411">
        <w:t xml:space="preserve"> </w:t>
      </w:r>
    </w:p>
    <w:p w14:paraId="4F6CC249" w14:textId="1DC63B4F" w:rsidR="00F32B16" w:rsidRDefault="00F32B16" w:rsidP="00611DAD">
      <w:pPr>
        <w:pStyle w:val="Caption"/>
        <w:keepNext/>
      </w:pPr>
      <w:r>
        <w:t xml:space="preserve">Table </w:t>
      </w:r>
      <w:r>
        <w:fldChar w:fldCharType="begin"/>
      </w:r>
      <w:r>
        <w:instrText xml:space="preserve"> SEQ Table \* ARABIC </w:instrText>
      </w:r>
      <w:r>
        <w:fldChar w:fldCharType="separate"/>
      </w:r>
      <w:r w:rsidR="00C350E2">
        <w:rPr>
          <w:noProof/>
        </w:rPr>
        <w:t>2</w:t>
      </w:r>
      <w:r>
        <w:fldChar w:fldCharType="end"/>
      </w:r>
      <w:r>
        <w:t>: Profile of su</w:t>
      </w:r>
      <w:r w:rsidR="00DB3764">
        <w:t>r</w:t>
      </w:r>
      <w:r>
        <w:t>vey respondents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4257"/>
      </w:tblGrid>
      <w:tr w:rsidR="00C353AF" w:rsidRPr="00B83411" w14:paraId="2D89B2F6" w14:textId="77777777" w:rsidTr="00611DAD">
        <w:trPr>
          <w:jc w:val="center"/>
        </w:trPr>
        <w:tc>
          <w:tcPr>
            <w:tcW w:w="1980" w:type="dxa"/>
            <w:shd w:val="clear" w:color="auto" w:fill="F79646" w:themeFill="accent6"/>
            <w:vAlign w:val="center"/>
          </w:tcPr>
          <w:p w14:paraId="6ECCCE99" w14:textId="54795F80" w:rsidR="00C353AF" w:rsidRPr="00B83411" w:rsidRDefault="00C353AF" w:rsidP="00576027">
            <w:pPr>
              <w:spacing w:after="120"/>
              <w:ind w:right="0"/>
              <w:jc w:val="center"/>
              <w:rPr>
                <w:b/>
                <w:bCs/>
                <w:sz w:val="40"/>
                <w:szCs w:val="40"/>
              </w:rPr>
            </w:pPr>
            <w:r w:rsidRPr="00B83411">
              <w:rPr>
                <w:b/>
                <w:bCs/>
                <w:sz w:val="40"/>
                <w:szCs w:val="40"/>
              </w:rPr>
              <w:t>241</w:t>
            </w:r>
          </w:p>
        </w:tc>
        <w:tc>
          <w:tcPr>
            <w:tcW w:w="4257" w:type="dxa"/>
            <w:vAlign w:val="center"/>
          </w:tcPr>
          <w:p w14:paraId="421EAAC2" w14:textId="13E31349" w:rsidR="00C353AF" w:rsidRPr="00B83411" w:rsidRDefault="00345208" w:rsidP="00345208">
            <w:pPr>
              <w:spacing w:after="120"/>
              <w:ind w:right="-102"/>
              <w:rPr>
                <w:sz w:val="24"/>
                <w:szCs w:val="24"/>
              </w:rPr>
            </w:pPr>
            <w:r w:rsidRPr="00B83411">
              <w:rPr>
                <w:sz w:val="24"/>
                <w:szCs w:val="24"/>
              </w:rPr>
              <w:t>Stakeholders</w:t>
            </w:r>
            <w:r w:rsidR="00C353AF" w:rsidRPr="00B83411">
              <w:rPr>
                <w:sz w:val="24"/>
                <w:szCs w:val="24"/>
              </w:rPr>
              <w:t xml:space="preserve"> invited to participate</w:t>
            </w:r>
          </w:p>
        </w:tc>
      </w:tr>
      <w:tr w:rsidR="00C353AF" w:rsidRPr="00B83411" w14:paraId="0F4B57C2" w14:textId="77777777" w:rsidTr="00611DAD">
        <w:trPr>
          <w:jc w:val="center"/>
        </w:trPr>
        <w:tc>
          <w:tcPr>
            <w:tcW w:w="1980" w:type="dxa"/>
            <w:shd w:val="clear" w:color="auto" w:fill="95B3D7" w:themeFill="accent1" w:themeFillTint="99"/>
            <w:vAlign w:val="center"/>
          </w:tcPr>
          <w:p w14:paraId="16A36315" w14:textId="0D6E6A17" w:rsidR="00C353AF" w:rsidRPr="00B83411" w:rsidRDefault="00C353AF" w:rsidP="00345208">
            <w:pPr>
              <w:spacing w:after="120"/>
              <w:ind w:right="0"/>
              <w:jc w:val="center"/>
              <w:rPr>
                <w:b/>
                <w:bCs/>
                <w:sz w:val="40"/>
                <w:szCs w:val="40"/>
              </w:rPr>
            </w:pPr>
            <w:r w:rsidRPr="00B83411">
              <w:rPr>
                <w:b/>
                <w:bCs/>
                <w:sz w:val="40"/>
                <w:szCs w:val="40"/>
              </w:rPr>
              <w:t>85</w:t>
            </w:r>
          </w:p>
        </w:tc>
        <w:tc>
          <w:tcPr>
            <w:tcW w:w="4257" w:type="dxa"/>
            <w:vAlign w:val="center"/>
          </w:tcPr>
          <w:p w14:paraId="151CDCB2" w14:textId="36841DE8" w:rsidR="00C353AF" w:rsidRPr="00B83411" w:rsidRDefault="00C353AF" w:rsidP="00345208">
            <w:pPr>
              <w:spacing w:after="120"/>
              <w:ind w:right="-102"/>
              <w:rPr>
                <w:sz w:val="24"/>
                <w:szCs w:val="24"/>
              </w:rPr>
            </w:pPr>
            <w:r w:rsidRPr="00B83411">
              <w:rPr>
                <w:sz w:val="24"/>
                <w:szCs w:val="24"/>
              </w:rPr>
              <w:t>Responded</w:t>
            </w:r>
          </w:p>
        </w:tc>
      </w:tr>
      <w:tr w:rsidR="00C353AF" w:rsidRPr="00B83411" w14:paraId="670267BB" w14:textId="77777777" w:rsidTr="00611DAD">
        <w:trPr>
          <w:jc w:val="center"/>
        </w:trPr>
        <w:tc>
          <w:tcPr>
            <w:tcW w:w="1980" w:type="dxa"/>
            <w:shd w:val="clear" w:color="auto" w:fill="92D050"/>
            <w:vAlign w:val="center"/>
          </w:tcPr>
          <w:p w14:paraId="58725EB4" w14:textId="09C8CE72" w:rsidR="00C353AF" w:rsidRPr="00B83411" w:rsidRDefault="00C353AF" w:rsidP="00345208">
            <w:pPr>
              <w:spacing w:after="120"/>
              <w:ind w:right="0"/>
              <w:jc w:val="center"/>
              <w:rPr>
                <w:b/>
                <w:bCs/>
                <w:sz w:val="40"/>
                <w:szCs w:val="40"/>
              </w:rPr>
            </w:pPr>
            <w:r w:rsidRPr="00B83411">
              <w:rPr>
                <w:b/>
                <w:bCs/>
                <w:sz w:val="40"/>
                <w:szCs w:val="40"/>
              </w:rPr>
              <w:t>35%</w:t>
            </w:r>
          </w:p>
        </w:tc>
        <w:tc>
          <w:tcPr>
            <w:tcW w:w="4257" w:type="dxa"/>
            <w:vAlign w:val="center"/>
          </w:tcPr>
          <w:p w14:paraId="36A80631" w14:textId="4D782C0B" w:rsidR="00C353AF" w:rsidRPr="00B83411" w:rsidRDefault="00C353AF" w:rsidP="00345208">
            <w:pPr>
              <w:spacing w:after="120"/>
              <w:ind w:right="-102"/>
              <w:rPr>
                <w:sz w:val="24"/>
                <w:szCs w:val="24"/>
              </w:rPr>
            </w:pPr>
            <w:r w:rsidRPr="00B83411">
              <w:rPr>
                <w:sz w:val="24"/>
                <w:szCs w:val="24"/>
              </w:rPr>
              <w:t>Response rate</w:t>
            </w:r>
          </w:p>
        </w:tc>
      </w:tr>
    </w:tbl>
    <w:p w14:paraId="009110F3" w14:textId="70334F53" w:rsidR="00772D5F" w:rsidRPr="00B83411" w:rsidRDefault="00E471A1" w:rsidP="00965584">
      <w:pPr>
        <w:pStyle w:val="Heading3"/>
      </w:pPr>
      <w:r w:rsidRPr="00B83411">
        <w:t>Type of organisation</w:t>
      </w:r>
    </w:p>
    <w:p w14:paraId="78FA83A6" w14:textId="144CE8E3" w:rsidR="00016266" w:rsidRPr="00B83411" w:rsidRDefault="00DF1E0B" w:rsidP="00DC4EFE">
      <w:pPr>
        <w:spacing w:after="240"/>
      </w:pPr>
      <w:r w:rsidRPr="00B83411">
        <w:fldChar w:fldCharType="begin"/>
      </w:r>
      <w:r w:rsidRPr="00B83411">
        <w:instrText xml:space="preserve"> REF _Ref212465544 \h </w:instrText>
      </w:r>
      <w:r w:rsidRPr="00B83411">
        <w:fldChar w:fldCharType="separate"/>
      </w:r>
      <w:r w:rsidR="00555FB4" w:rsidRPr="00B83411">
        <w:t xml:space="preserve">Table </w:t>
      </w:r>
      <w:r w:rsidR="00555FB4">
        <w:rPr>
          <w:noProof/>
        </w:rPr>
        <w:t>3</w:t>
      </w:r>
      <w:r w:rsidRPr="00B83411">
        <w:fldChar w:fldCharType="end"/>
      </w:r>
      <w:r w:rsidRPr="00B83411">
        <w:t xml:space="preserve"> </w:t>
      </w:r>
      <w:r w:rsidR="00DC4EFE" w:rsidRPr="00B83411">
        <w:t>below shows the breakdown of respondents</w:t>
      </w:r>
      <w:r w:rsidR="00E471A1" w:rsidRPr="00B83411">
        <w:t xml:space="preserve"> in terms of the organisation they were representing when responding</w:t>
      </w:r>
      <w:r w:rsidR="00DC4EFE" w:rsidRPr="00B83411">
        <w:t xml:space="preserve">. The orange highlight shows the breakdown of the 85 respondents. It shows that many companies participated and these included both large and small </w:t>
      </w:r>
      <w:r w:rsidR="00B746C9" w:rsidRPr="00B83411">
        <w:t>title</w:t>
      </w:r>
      <w:r w:rsidR="00DC4EFE" w:rsidRPr="00B83411">
        <w:t xml:space="preserve"> and </w:t>
      </w:r>
      <w:r w:rsidR="00B746C9" w:rsidRPr="00B83411">
        <w:t>licence</w:t>
      </w:r>
      <w:r w:rsidR="00DC4EFE" w:rsidRPr="00B83411">
        <w:t xml:space="preserve"> holders. </w:t>
      </w:r>
      <w:r w:rsidR="00EE04DD" w:rsidRPr="00B83411">
        <w:t>Overall,</w:t>
      </w:r>
      <w:r w:rsidR="00DC4EFE" w:rsidRPr="00B83411">
        <w:t xml:space="preserve"> it shows that a diverse group of stakeholders participated</w:t>
      </w:r>
      <w:r w:rsidR="00DC202E" w:rsidRPr="00B83411">
        <w:t>. This</w:t>
      </w:r>
      <w:r w:rsidR="00DC4EFE" w:rsidRPr="00B83411">
        <w:t xml:space="preserve"> is a robust result </w:t>
      </w:r>
      <w:r w:rsidR="00A67900" w:rsidRPr="00B83411">
        <w:t>because it</w:t>
      </w:r>
      <w:r w:rsidR="00DC4EFE" w:rsidRPr="00B83411">
        <w:t xml:space="preserve"> indicates that </w:t>
      </w:r>
      <w:r w:rsidR="00E471A1" w:rsidRPr="00B83411">
        <w:t>survey answers reflect</w:t>
      </w:r>
      <w:r w:rsidR="00A67900" w:rsidRPr="00B83411">
        <w:t>ed</w:t>
      </w:r>
      <w:r w:rsidR="00E471A1" w:rsidRPr="00B83411">
        <w:t xml:space="preserve"> a range of</w:t>
      </w:r>
      <w:r w:rsidR="00DC4EFE" w:rsidRPr="00B83411">
        <w:t xml:space="preserve"> views.</w:t>
      </w:r>
    </w:p>
    <w:p w14:paraId="539D1C48" w14:textId="658F06FC" w:rsidR="00DF1E0B" w:rsidRPr="00B83411" w:rsidRDefault="00DF1E0B" w:rsidP="00DF1E0B">
      <w:pPr>
        <w:pStyle w:val="Caption"/>
      </w:pPr>
      <w:bookmarkStart w:id="8" w:name="_Ref212465544"/>
      <w:bookmarkStart w:id="9" w:name="_Ref212563295"/>
      <w:r w:rsidRPr="00B83411">
        <w:t xml:space="preserve">Table </w:t>
      </w:r>
      <w:r w:rsidR="00C32D47">
        <w:fldChar w:fldCharType="begin"/>
      </w:r>
      <w:r w:rsidR="00C32D47">
        <w:instrText xml:space="preserve"> SEQ Table \* ARABIC </w:instrText>
      </w:r>
      <w:r w:rsidR="00C32D47">
        <w:fldChar w:fldCharType="separate"/>
      </w:r>
      <w:r w:rsidR="00C350E2">
        <w:rPr>
          <w:noProof/>
        </w:rPr>
        <w:t>3</w:t>
      </w:r>
      <w:r w:rsidR="00C32D47">
        <w:fldChar w:fldCharType="end"/>
      </w:r>
      <w:bookmarkEnd w:id="8"/>
      <w:r w:rsidRPr="00B83411">
        <w:t xml:space="preserve">: Survey </w:t>
      </w:r>
      <w:r w:rsidR="000D4863" w:rsidRPr="00B83411">
        <w:t>respondent</w:t>
      </w:r>
      <w:r w:rsidRPr="00B83411">
        <w:t xml:space="preserve"> </w:t>
      </w:r>
      <w:r w:rsidR="00AB3F93" w:rsidRPr="00B83411">
        <w:t xml:space="preserve">organisation </w:t>
      </w:r>
      <w:r w:rsidRPr="00B83411">
        <w:t>breakdown</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694"/>
      </w:tblGrid>
      <w:tr w:rsidR="00C27698" w:rsidRPr="00B83411" w14:paraId="6E23657A" w14:textId="77777777" w:rsidTr="00C353AF">
        <w:tc>
          <w:tcPr>
            <w:tcW w:w="5103" w:type="dxa"/>
            <w:shd w:val="clear" w:color="auto" w:fill="003366"/>
          </w:tcPr>
          <w:p w14:paraId="68697F41" w14:textId="2FFDC39E" w:rsidR="00C27698" w:rsidRPr="00B83411" w:rsidRDefault="00C27698" w:rsidP="00C27698">
            <w:pPr>
              <w:spacing w:before="60" w:after="60"/>
              <w:ind w:right="0"/>
              <w:rPr>
                <w:b/>
                <w:bCs/>
              </w:rPr>
            </w:pPr>
            <w:r w:rsidRPr="00B83411">
              <w:rPr>
                <w:b/>
                <w:bCs/>
              </w:rPr>
              <w:t xml:space="preserve">Type of </w:t>
            </w:r>
            <w:r w:rsidR="000D4863" w:rsidRPr="00B83411">
              <w:rPr>
                <w:b/>
                <w:bCs/>
              </w:rPr>
              <w:t>respondent organisation</w:t>
            </w:r>
          </w:p>
        </w:tc>
        <w:tc>
          <w:tcPr>
            <w:tcW w:w="2694" w:type="dxa"/>
            <w:shd w:val="clear" w:color="auto" w:fill="003366"/>
          </w:tcPr>
          <w:p w14:paraId="3243CD2F" w14:textId="5B8994AB" w:rsidR="00C27698" w:rsidRPr="00B83411" w:rsidRDefault="00C27698" w:rsidP="00C27698">
            <w:pPr>
              <w:spacing w:before="60" w:after="60"/>
              <w:ind w:right="0"/>
              <w:jc w:val="center"/>
              <w:rPr>
                <w:b/>
                <w:bCs/>
              </w:rPr>
            </w:pPr>
            <w:r w:rsidRPr="00B83411">
              <w:rPr>
                <w:b/>
                <w:bCs/>
              </w:rPr>
              <w:t xml:space="preserve">Number </w:t>
            </w:r>
            <w:r w:rsidR="000D4863" w:rsidRPr="00B83411">
              <w:rPr>
                <w:b/>
                <w:bCs/>
              </w:rPr>
              <w:t>responding</w:t>
            </w:r>
          </w:p>
        </w:tc>
      </w:tr>
      <w:tr w:rsidR="00C27698" w:rsidRPr="00B83411" w14:paraId="4B396585" w14:textId="77777777" w:rsidTr="00EA529C">
        <w:tc>
          <w:tcPr>
            <w:tcW w:w="5103" w:type="dxa"/>
          </w:tcPr>
          <w:p w14:paraId="5EF8FE9E" w14:textId="410D4ABD" w:rsidR="00C27698" w:rsidRPr="00B83411" w:rsidRDefault="00C27698" w:rsidP="00C27698">
            <w:pPr>
              <w:spacing w:before="60" w:after="60"/>
              <w:ind w:right="0"/>
            </w:pPr>
            <w:r w:rsidRPr="00B83411">
              <w:t>Unique company</w:t>
            </w:r>
            <w:r w:rsidR="00C353AF" w:rsidRPr="00B83411">
              <w:t xml:space="preserve"> / industry association</w:t>
            </w:r>
            <w:r w:rsidR="00EA529C">
              <w:t xml:space="preserve"> (all industries)</w:t>
            </w:r>
          </w:p>
        </w:tc>
        <w:tc>
          <w:tcPr>
            <w:tcW w:w="2694" w:type="dxa"/>
            <w:vAlign w:val="center"/>
          </w:tcPr>
          <w:p w14:paraId="114CD2A3" w14:textId="38A0A34A" w:rsidR="00C27698" w:rsidRPr="00B83411" w:rsidRDefault="00EA529C" w:rsidP="00EA529C">
            <w:pPr>
              <w:spacing w:before="60" w:after="60"/>
              <w:ind w:right="0"/>
              <w:jc w:val="center"/>
            </w:pPr>
            <w:r>
              <w:t>32</w:t>
            </w:r>
          </w:p>
        </w:tc>
      </w:tr>
      <w:tr w:rsidR="000E71C1" w:rsidRPr="00B83411" w14:paraId="34BBA2A4" w14:textId="77777777" w:rsidTr="00EA529C">
        <w:tc>
          <w:tcPr>
            <w:tcW w:w="5103" w:type="dxa"/>
            <w:shd w:val="clear" w:color="auto" w:fill="D1D1D1"/>
          </w:tcPr>
          <w:p w14:paraId="645C1929" w14:textId="73BB7797" w:rsidR="000E71C1" w:rsidRPr="00B83411" w:rsidRDefault="000E71C1" w:rsidP="00C27698">
            <w:pPr>
              <w:spacing w:before="60" w:after="60"/>
              <w:ind w:right="0"/>
            </w:pPr>
            <w:r w:rsidRPr="00B83411">
              <w:t>Unique government agency</w:t>
            </w:r>
            <w:r w:rsidR="00C353AF" w:rsidRPr="00B83411">
              <w:t xml:space="preserve"> (Commonwealth &amp; state)</w:t>
            </w:r>
            <w:r w:rsidR="00EA529C">
              <w:t xml:space="preserve"> (all industries)</w:t>
            </w:r>
          </w:p>
        </w:tc>
        <w:tc>
          <w:tcPr>
            <w:tcW w:w="2694" w:type="dxa"/>
            <w:shd w:val="clear" w:color="auto" w:fill="D1D1D1"/>
            <w:vAlign w:val="center"/>
          </w:tcPr>
          <w:p w14:paraId="3C3E1515" w14:textId="684E5C48" w:rsidR="000E71C1" w:rsidRPr="00B83411" w:rsidRDefault="00EA529C" w:rsidP="00EA529C">
            <w:pPr>
              <w:spacing w:before="60" w:after="60"/>
              <w:ind w:right="0"/>
              <w:jc w:val="center"/>
            </w:pPr>
            <w:r>
              <w:t>9</w:t>
            </w:r>
          </w:p>
        </w:tc>
      </w:tr>
      <w:tr w:rsidR="00AB3F93" w:rsidRPr="00B83411" w14:paraId="51DDF288" w14:textId="77777777" w:rsidTr="00EA529C">
        <w:tc>
          <w:tcPr>
            <w:tcW w:w="5103" w:type="dxa"/>
          </w:tcPr>
          <w:p w14:paraId="6AD3CDEB" w14:textId="6883635F" w:rsidR="00AB3F93" w:rsidRPr="00B83411" w:rsidRDefault="00C908B7">
            <w:pPr>
              <w:spacing w:before="60" w:after="60"/>
              <w:ind w:right="0"/>
            </w:pPr>
            <w:r w:rsidRPr="00B83411">
              <w:t>P/GHG</w:t>
            </w:r>
            <w:r w:rsidR="00AB3F93" w:rsidRPr="00B83411">
              <w:t xml:space="preserve"> government agency</w:t>
            </w:r>
          </w:p>
        </w:tc>
        <w:tc>
          <w:tcPr>
            <w:tcW w:w="2694" w:type="dxa"/>
            <w:vAlign w:val="center"/>
          </w:tcPr>
          <w:p w14:paraId="5A8F9898" w14:textId="27F263EC" w:rsidR="00AB3F93" w:rsidRPr="00B83411" w:rsidRDefault="00AB3F93" w:rsidP="00EA529C">
            <w:pPr>
              <w:spacing w:before="60" w:after="60"/>
              <w:ind w:right="0"/>
              <w:jc w:val="center"/>
            </w:pPr>
            <w:r w:rsidRPr="00B83411">
              <w:t>1</w:t>
            </w:r>
            <w:r w:rsidR="00EA529C">
              <w:t>4</w:t>
            </w:r>
          </w:p>
        </w:tc>
      </w:tr>
      <w:tr w:rsidR="00AB3F93" w:rsidRPr="00B83411" w14:paraId="3DCDB5D6" w14:textId="77777777" w:rsidTr="00EA529C">
        <w:tc>
          <w:tcPr>
            <w:tcW w:w="5103" w:type="dxa"/>
            <w:shd w:val="clear" w:color="auto" w:fill="D1D1D1"/>
          </w:tcPr>
          <w:p w14:paraId="4AAE3A26" w14:textId="77777777" w:rsidR="00AB3F93" w:rsidRPr="00B83411" w:rsidRDefault="00AB3F93">
            <w:pPr>
              <w:spacing w:before="60" w:after="60"/>
              <w:ind w:right="0"/>
            </w:pPr>
            <w:r w:rsidRPr="00B83411">
              <w:t>OEI government agency</w:t>
            </w:r>
          </w:p>
        </w:tc>
        <w:tc>
          <w:tcPr>
            <w:tcW w:w="2694" w:type="dxa"/>
            <w:shd w:val="clear" w:color="auto" w:fill="D1D1D1"/>
            <w:vAlign w:val="center"/>
          </w:tcPr>
          <w:p w14:paraId="18F9AF7B" w14:textId="77777777" w:rsidR="00AB3F93" w:rsidRPr="00B83411" w:rsidRDefault="00AB3F93" w:rsidP="00EA529C">
            <w:pPr>
              <w:spacing w:before="60" w:after="60"/>
              <w:ind w:right="0"/>
              <w:jc w:val="center"/>
            </w:pPr>
            <w:r w:rsidRPr="00B83411">
              <w:t>7</w:t>
            </w:r>
          </w:p>
        </w:tc>
      </w:tr>
      <w:tr w:rsidR="00C27698" w:rsidRPr="00B83411" w14:paraId="302E0809" w14:textId="77777777" w:rsidTr="00EA529C">
        <w:tc>
          <w:tcPr>
            <w:tcW w:w="5103" w:type="dxa"/>
            <w:shd w:val="clear" w:color="auto" w:fill="FABF8F" w:themeFill="accent6" w:themeFillTint="99"/>
          </w:tcPr>
          <w:p w14:paraId="1D1C3B60" w14:textId="68C22158" w:rsidR="00C27698" w:rsidRPr="00B83411" w:rsidRDefault="00C908B7" w:rsidP="00C27698">
            <w:pPr>
              <w:spacing w:before="60" w:after="60"/>
              <w:ind w:right="0"/>
            </w:pPr>
            <w:r w:rsidRPr="00B83411">
              <w:t>P/GHG</w:t>
            </w:r>
            <w:r w:rsidR="00C27698" w:rsidRPr="00B83411">
              <w:t xml:space="preserve"> </w:t>
            </w:r>
            <w:r w:rsidR="00B746C9" w:rsidRPr="00B83411">
              <w:t>title</w:t>
            </w:r>
            <w:r w:rsidR="00163485" w:rsidRPr="00B83411">
              <w:t xml:space="preserve"> holder</w:t>
            </w:r>
            <w:r w:rsidR="00C353AF" w:rsidRPr="00B83411">
              <w:t>,</w:t>
            </w:r>
            <w:r w:rsidR="00B00084" w:rsidRPr="00B83411">
              <w:t xml:space="preserve"> applicant</w:t>
            </w:r>
            <w:r w:rsidR="00C353AF" w:rsidRPr="00B83411">
              <w:t xml:space="preserve"> or industry rep</w:t>
            </w:r>
          </w:p>
        </w:tc>
        <w:tc>
          <w:tcPr>
            <w:tcW w:w="2694" w:type="dxa"/>
            <w:shd w:val="clear" w:color="auto" w:fill="FABF8F" w:themeFill="accent6" w:themeFillTint="99"/>
            <w:vAlign w:val="center"/>
          </w:tcPr>
          <w:p w14:paraId="5F1E8054" w14:textId="003C41EE" w:rsidR="00C27698" w:rsidRPr="00B83411" w:rsidRDefault="00163485" w:rsidP="00EA529C">
            <w:pPr>
              <w:spacing w:before="60" w:after="60"/>
              <w:ind w:right="0"/>
              <w:jc w:val="center"/>
            </w:pPr>
            <w:r w:rsidRPr="00B83411">
              <w:t>51</w:t>
            </w:r>
          </w:p>
        </w:tc>
      </w:tr>
      <w:tr w:rsidR="00163485" w:rsidRPr="00B83411" w14:paraId="0C33B4FE" w14:textId="77777777" w:rsidTr="00EA529C">
        <w:tc>
          <w:tcPr>
            <w:tcW w:w="5103" w:type="dxa"/>
            <w:shd w:val="clear" w:color="auto" w:fill="FABF8F" w:themeFill="accent6" w:themeFillTint="99"/>
          </w:tcPr>
          <w:p w14:paraId="53912A30" w14:textId="21D56D02" w:rsidR="00163485" w:rsidRPr="00B83411" w:rsidRDefault="00DC202E" w:rsidP="00C27698">
            <w:pPr>
              <w:spacing w:before="60" w:after="60"/>
              <w:ind w:right="0"/>
            </w:pPr>
            <w:r w:rsidRPr="00B83411">
              <w:t>OEI</w:t>
            </w:r>
            <w:r w:rsidR="00163485" w:rsidRPr="00B83411">
              <w:t xml:space="preserve"> </w:t>
            </w:r>
            <w:r w:rsidR="00B746C9" w:rsidRPr="00B83411">
              <w:t>licence</w:t>
            </w:r>
            <w:r w:rsidR="00163485" w:rsidRPr="00B83411">
              <w:t xml:space="preserve"> holder</w:t>
            </w:r>
            <w:r w:rsidR="00C353AF" w:rsidRPr="00B83411">
              <w:t xml:space="preserve">, </w:t>
            </w:r>
            <w:r w:rsidR="00B00084" w:rsidRPr="00B83411">
              <w:t>applicant</w:t>
            </w:r>
            <w:r w:rsidR="00C353AF" w:rsidRPr="00B83411">
              <w:t xml:space="preserve"> or industry rep</w:t>
            </w:r>
          </w:p>
        </w:tc>
        <w:tc>
          <w:tcPr>
            <w:tcW w:w="2694" w:type="dxa"/>
            <w:shd w:val="clear" w:color="auto" w:fill="FABF8F" w:themeFill="accent6" w:themeFillTint="99"/>
            <w:vAlign w:val="center"/>
          </w:tcPr>
          <w:p w14:paraId="030C5C0B" w14:textId="1292F750" w:rsidR="00163485" w:rsidRPr="00B83411" w:rsidRDefault="00163485" w:rsidP="00EA529C">
            <w:pPr>
              <w:spacing w:before="60" w:after="60"/>
              <w:ind w:right="0"/>
              <w:jc w:val="center"/>
            </w:pPr>
            <w:r w:rsidRPr="00B83411">
              <w:t>11</w:t>
            </w:r>
          </w:p>
        </w:tc>
      </w:tr>
      <w:tr w:rsidR="00163485" w:rsidRPr="00B83411" w14:paraId="1E8171B4" w14:textId="77777777" w:rsidTr="00EA529C">
        <w:tc>
          <w:tcPr>
            <w:tcW w:w="5103" w:type="dxa"/>
            <w:shd w:val="clear" w:color="auto" w:fill="FABF8F" w:themeFill="accent6" w:themeFillTint="99"/>
          </w:tcPr>
          <w:p w14:paraId="5B984514" w14:textId="7622CAA3" w:rsidR="00163485" w:rsidRPr="00B83411" w:rsidRDefault="00AB3F93" w:rsidP="00C27698">
            <w:pPr>
              <w:spacing w:before="60" w:after="60"/>
              <w:ind w:right="0"/>
            </w:pPr>
            <w:r w:rsidRPr="00B83411">
              <w:t>Any g</w:t>
            </w:r>
            <w:r w:rsidR="00163485" w:rsidRPr="00B83411">
              <w:t>overnment agency</w:t>
            </w:r>
          </w:p>
        </w:tc>
        <w:tc>
          <w:tcPr>
            <w:tcW w:w="2694" w:type="dxa"/>
            <w:shd w:val="clear" w:color="auto" w:fill="FABF8F" w:themeFill="accent6" w:themeFillTint="99"/>
            <w:vAlign w:val="center"/>
          </w:tcPr>
          <w:p w14:paraId="7B9F04A0" w14:textId="4FFC51E8" w:rsidR="00163485" w:rsidRPr="00B83411" w:rsidRDefault="00163485" w:rsidP="00EA529C">
            <w:pPr>
              <w:spacing w:before="60" w:after="60"/>
              <w:ind w:right="0"/>
              <w:jc w:val="center"/>
            </w:pPr>
            <w:r w:rsidRPr="00B83411">
              <w:t>23</w:t>
            </w:r>
          </w:p>
        </w:tc>
      </w:tr>
      <w:tr w:rsidR="00163485" w:rsidRPr="00B83411" w14:paraId="68369EFC" w14:textId="77777777" w:rsidTr="00EA529C">
        <w:tc>
          <w:tcPr>
            <w:tcW w:w="5103" w:type="dxa"/>
            <w:tcBorders>
              <w:bottom w:val="single" w:sz="4" w:space="0" w:color="auto"/>
            </w:tcBorders>
          </w:tcPr>
          <w:p w14:paraId="75735FBE" w14:textId="46BEDE43" w:rsidR="00163485" w:rsidRPr="00B83411" w:rsidRDefault="00163485" w:rsidP="00C27698">
            <w:pPr>
              <w:spacing w:before="60" w:after="60"/>
              <w:ind w:right="0"/>
              <w:rPr>
                <w:b/>
                <w:bCs/>
              </w:rPr>
            </w:pPr>
            <w:r w:rsidRPr="00B83411">
              <w:rPr>
                <w:b/>
                <w:bCs/>
              </w:rPr>
              <w:t xml:space="preserve">Total </w:t>
            </w:r>
            <w:r w:rsidR="00DC4EFE" w:rsidRPr="00B83411">
              <w:rPr>
                <w:b/>
                <w:bCs/>
              </w:rPr>
              <w:t xml:space="preserve">survey </w:t>
            </w:r>
            <w:r w:rsidRPr="00B83411">
              <w:rPr>
                <w:b/>
                <w:bCs/>
              </w:rPr>
              <w:t>respon</w:t>
            </w:r>
            <w:r w:rsidR="00DC4EFE" w:rsidRPr="00B83411">
              <w:rPr>
                <w:b/>
                <w:bCs/>
              </w:rPr>
              <w:t>dents</w:t>
            </w:r>
          </w:p>
        </w:tc>
        <w:tc>
          <w:tcPr>
            <w:tcW w:w="2694" w:type="dxa"/>
            <w:tcBorders>
              <w:bottom w:val="single" w:sz="4" w:space="0" w:color="auto"/>
            </w:tcBorders>
            <w:vAlign w:val="center"/>
          </w:tcPr>
          <w:p w14:paraId="662D0571" w14:textId="3644CCEB" w:rsidR="00163485" w:rsidRPr="00B83411" w:rsidRDefault="00163485" w:rsidP="00EA529C">
            <w:pPr>
              <w:spacing w:before="60" w:after="60"/>
              <w:ind w:right="0"/>
              <w:jc w:val="center"/>
              <w:rPr>
                <w:b/>
                <w:bCs/>
              </w:rPr>
            </w:pPr>
            <w:r w:rsidRPr="00B83411">
              <w:rPr>
                <w:b/>
                <w:bCs/>
              </w:rPr>
              <w:t>85</w:t>
            </w:r>
          </w:p>
        </w:tc>
      </w:tr>
    </w:tbl>
    <w:p w14:paraId="713AEAF8" w14:textId="54D63103" w:rsidR="00823C45" w:rsidRDefault="00823C45" w:rsidP="00823C45"/>
    <w:p w14:paraId="38232BB0" w14:textId="77777777" w:rsidR="00823C45" w:rsidRDefault="00823C45">
      <w:pPr>
        <w:spacing w:before="0" w:line="240" w:lineRule="auto"/>
        <w:ind w:right="0"/>
      </w:pPr>
      <w:r>
        <w:br w:type="page"/>
      </w:r>
    </w:p>
    <w:p w14:paraId="064D0C1C" w14:textId="77777777" w:rsidR="00823C45" w:rsidRDefault="00823C45" w:rsidP="00823C45"/>
    <w:p w14:paraId="2A1B2588" w14:textId="0C2B391E" w:rsidR="0052178C" w:rsidRPr="00B83411" w:rsidRDefault="0052178C" w:rsidP="00345208">
      <w:pPr>
        <w:pStyle w:val="Heading3"/>
        <w:keepNext w:val="0"/>
      </w:pPr>
      <w:r w:rsidRPr="00B83411">
        <w:t>Frequency of interactions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2"/>
        <w:gridCol w:w="4830"/>
      </w:tblGrid>
      <w:tr w:rsidR="00A9196A" w:rsidRPr="00B83411" w14:paraId="4A81396F" w14:textId="77777777" w:rsidTr="00492D07">
        <w:tc>
          <w:tcPr>
            <w:tcW w:w="4242" w:type="dxa"/>
          </w:tcPr>
          <w:p w14:paraId="31716644" w14:textId="3F6A7DE7" w:rsidR="00A9196A" w:rsidRPr="00B83411" w:rsidRDefault="00A9196A" w:rsidP="00345208">
            <w:pPr>
              <w:ind w:right="0"/>
            </w:pPr>
            <w:r w:rsidRPr="00B83411">
              <w:t>Most commonly (40%), survey respondents had 10 or fewer interactions with NOPTA or OIR in the past 6 to 12 months, referring to the chart to the right.</w:t>
            </w:r>
          </w:p>
          <w:p w14:paraId="340345F0" w14:textId="6DDDB9F7" w:rsidR="00A9196A" w:rsidRPr="00B83411" w:rsidRDefault="00EE04DD" w:rsidP="00345208">
            <w:pPr>
              <w:ind w:right="0"/>
            </w:pPr>
            <w:r w:rsidRPr="00B83411">
              <w:t>However,</w:t>
            </w:r>
            <w:r w:rsidR="00A9196A" w:rsidRPr="00B83411">
              <w:t xml:space="preserve"> 57% had 11 or more interactions in the time period. This indicates a relatively informed or experienced response sample.</w:t>
            </w:r>
          </w:p>
          <w:p w14:paraId="620BD288" w14:textId="03676897" w:rsidR="00B13B71" w:rsidRPr="00B83411" w:rsidRDefault="00935677" w:rsidP="00345208">
            <w:pPr>
              <w:ind w:right="0"/>
            </w:pPr>
            <w:r w:rsidRPr="00B83411">
              <w:t xml:space="preserve">There are some differences in views between those with more and less experience with NOPTA / OIR. These are detailed in a later section on </w:t>
            </w:r>
            <w:r w:rsidR="00A67900" w:rsidRPr="00B83411">
              <w:t>sub-group</w:t>
            </w:r>
            <w:r w:rsidRPr="00B83411">
              <w:t xml:space="preserve"> differences.</w:t>
            </w:r>
          </w:p>
        </w:tc>
        <w:tc>
          <w:tcPr>
            <w:tcW w:w="4830" w:type="dxa"/>
          </w:tcPr>
          <w:p w14:paraId="5A0B3CE3" w14:textId="28F25D4B" w:rsidR="00E154FD" w:rsidRDefault="00E154FD" w:rsidP="00E154FD">
            <w:pPr>
              <w:pStyle w:val="Caption"/>
              <w:keepNext/>
            </w:pPr>
            <w:r>
              <w:t>Figure 2: Frequency of interactions with NOPTA / OIR</w:t>
            </w:r>
          </w:p>
          <w:p w14:paraId="7A989461" w14:textId="7E68EB3C" w:rsidR="00A9196A" w:rsidRPr="00B83411" w:rsidRDefault="00A9196A" w:rsidP="00345208">
            <w:pPr>
              <w:ind w:right="28"/>
            </w:pPr>
            <w:r w:rsidRPr="00B83411">
              <w:rPr>
                <w:noProof/>
              </w:rPr>
              <w:drawing>
                <wp:inline distT="0" distB="0" distL="0" distR="0" wp14:anchorId="1A155D3A" wp14:editId="60EDEED2">
                  <wp:extent cx="3267075" cy="2590800"/>
                  <wp:effectExtent l="0" t="0" r="0" b="0"/>
                  <wp:docPr id="1314119055" name="Chart 1" descr="A chart showing the frequency of stakeholder interactions respondents have had with the Titles Administrator or the Offshore Infrastructure Registrar over the past 6-12 months.">
                    <a:extLst xmlns:a="http://schemas.openxmlformats.org/drawingml/2006/main">
                      <a:ext uri="{FF2B5EF4-FFF2-40B4-BE49-F238E27FC236}">
                        <a16:creationId xmlns:a16="http://schemas.microsoft.com/office/drawing/2014/main" id="{5ED3390B-1AC3-104C-8395-A07706255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CE03A94" w14:textId="1298C945" w:rsidR="00F078D7" w:rsidRPr="00B83411" w:rsidRDefault="0052178C" w:rsidP="00655425">
      <w:pPr>
        <w:pStyle w:val="Heading1"/>
      </w:pPr>
      <w:bookmarkStart w:id="10" w:name="_Toc213926342"/>
      <w:r w:rsidRPr="00B83411">
        <w:t>Overall</w:t>
      </w:r>
      <w:r w:rsidR="00C60062" w:rsidRPr="00B83411">
        <w:t xml:space="preserve"> results</w:t>
      </w:r>
      <w:bookmarkEnd w:id="10"/>
    </w:p>
    <w:p w14:paraId="4CD640FB" w14:textId="1651C527" w:rsidR="003A2A5B" w:rsidRPr="00B83411" w:rsidRDefault="00DC4EFE" w:rsidP="007D2133">
      <w:r w:rsidRPr="00B83411">
        <w:t xml:space="preserve">Results shown in tables in this and the following sections use a percent </w:t>
      </w:r>
      <w:r w:rsidR="00C353AF" w:rsidRPr="00B83411">
        <w:t xml:space="preserve">(%) </w:t>
      </w:r>
      <w:r w:rsidRPr="00B83411">
        <w:t xml:space="preserve">positive score. This is the sum of the positive answers in a </w:t>
      </w:r>
      <w:r w:rsidR="000B547D" w:rsidRPr="00B83411">
        <w:t>five-point</w:t>
      </w:r>
      <w:r w:rsidRPr="00B83411">
        <w:t xml:space="preserve"> rating scale and most commonly in this survey it is </w:t>
      </w:r>
      <w:r w:rsidR="00A71010" w:rsidRPr="00B83411">
        <w:t xml:space="preserve">the sum of the proportion of respondents who answered </w:t>
      </w:r>
      <w:r w:rsidR="00A71010" w:rsidRPr="00B83411">
        <w:rPr>
          <w:i/>
          <w:iCs/>
        </w:rPr>
        <w:t>good</w:t>
      </w:r>
      <w:r w:rsidR="00A71010" w:rsidRPr="00B83411">
        <w:t xml:space="preserve"> and </w:t>
      </w:r>
      <w:r w:rsidR="00A71010" w:rsidRPr="00B83411">
        <w:rPr>
          <w:i/>
          <w:iCs/>
        </w:rPr>
        <w:t>very good</w:t>
      </w:r>
      <w:r w:rsidR="00A71010" w:rsidRPr="00B83411">
        <w:t xml:space="preserve"> to a question.</w:t>
      </w:r>
    </w:p>
    <w:p w14:paraId="4F6BED36" w14:textId="149ED362" w:rsidR="00A71010" w:rsidRPr="00B83411" w:rsidRDefault="00DF1E0B" w:rsidP="007D2133">
      <w:r w:rsidRPr="00B83411">
        <w:fldChar w:fldCharType="begin"/>
      </w:r>
      <w:r w:rsidRPr="00B83411">
        <w:instrText xml:space="preserve"> REF _Ref212465594 \h </w:instrText>
      </w:r>
      <w:r w:rsidRPr="00B83411">
        <w:fldChar w:fldCharType="separate"/>
      </w:r>
      <w:r w:rsidR="00646C23" w:rsidRPr="00B83411">
        <w:t xml:space="preserve">Table </w:t>
      </w:r>
      <w:r w:rsidR="00646C23">
        <w:rPr>
          <w:noProof/>
        </w:rPr>
        <w:t>4</w:t>
      </w:r>
      <w:r w:rsidRPr="00B83411">
        <w:fldChar w:fldCharType="end"/>
      </w:r>
      <w:r w:rsidRPr="00B83411">
        <w:t xml:space="preserve"> </w:t>
      </w:r>
      <w:r w:rsidR="00A71010" w:rsidRPr="00B83411">
        <w:t xml:space="preserve">below shows </w:t>
      </w:r>
      <w:r w:rsidR="006315BF" w:rsidRPr="00B83411">
        <w:t xml:space="preserve">a quick summary of common </w:t>
      </w:r>
      <w:r w:rsidR="00A71010" w:rsidRPr="00B83411">
        <w:t>questions ordered from high</w:t>
      </w:r>
      <w:r w:rsidR="006315BF" w:rsidRPr="00B83411">
        <w:t>est</w:t>
      </w:r>
      <w:r w:rsidR="00A71010" w:rsidRPr="00B83411">
        <w:t xml:space="preserve"> to low</w:t>
      </w:r>
      <w:r w:rsidR="006315BF" w:rsidRPr="00B83411">
        <w:t>est</w:t>
      </w:r>
      <w:r w:rsidR="00A71010" w:rsidRPr="00B83411">
        <w:t xml:space="preserve"> % positive scores.</w:t>
      </w:r>
      <w:r w:rsidR="00300D08" w:rsidRPr="00B83411">
        <w:t xml:space="preserve"> This table excludes any items relating to digital systems and websites.</w:t>
      </w:r>
    </w:p>
    <w:p w14:paraId="3A5E44B2" w14:textId="68AFF8BF" w:rsidR="00A71010" w:rsidRPr="00B83411" w:rsidRDefault="00A71010" w:rsidP="007D2133">
      <w:r w:rsidRPr="00B83411">
        <w:rPr>
          <w:b/>
          <w:bCs/>
        </w:rPr>
        <w:t>Highest scoring items</w:t>
      </w:r>
      <w:r w:rsidRPr="00B83411">
        <w:t xml:space="preserve"> with larger response sample</w:t>
      </w:r>
      <w:r w:rsidR="00300D08" w:rsidRPr="00B83411">
        <w:t>s</w:t>
      </w:r>
      <w:r w:rsidRPr="00B83411">
        <w:t xml:space="preserve"> </w:t>
      </w:r>
      <w:r w:rsidR="00300D08" w:rsidRPr="00B83411">
        <w:t>were</w:t>
      </w:r>
      <w:r w:rsidRPr="00B83411">
        <w:t xml:space="preserve"> around the areas of building cooperative relationships</w:t>
      </w:r>
      <w:r w:rsidR="00DF1E0B" w:rsidRPr="00B83411">
        <w:t xml:space="preserve"> and collaboration</w:t>
      </w:r>
      <w:r w:rsidRPr="00B83411">
        <w:t>, behaving ethically, accuracy of information / advice and NOPTA / OIR staff (helpfulness and technical expertise).</w:t>
      </w:r>
      <w:r w:rsidR="00DF1E0B" w:rsidRPr="00B83411">
        <w:t xml:space="preserve"> The concept of organisational trust </w:t>
      </w:r>
      <w:r w:rsidR="00300D08" w:rsidRPr="00B83411">
        <w:t>was</w:t>
      </w:r>
      <w:r w:rsidR="00DF1E0B" w:rsidRPr="00B83411">
        <w:t xml:space="preserve"> also highly rated.</w:t>
      </w:r>
    </w:p>
    <w:p w14:paraId="6B7141C8" w14:textId="113B000C" w:rsidR="00DF1E0B" w:rsidRPr="00B83411" w:rsidRDefault="00DF1E0B" w:rsidP="007D2133">
      <w:r w:rsidRPr="00B83411">
        <w:rPr>
          <w:b/>
          <w:bCs/>
        </w:rPr>
        <w:t>Lower scoring items</w:t>
      </w:r>
      <w:r w:rsidRPr="00B83411">
        <w:t xml:space="preserve"> (below 7</w:t>
      </w:r>
      <w:r w:rsidR="002A7663" w:rsidRPr="00B83411">
        <w:t>5</w:t>
      </w:r>
      <w:r w:rsidRPr="00B83411">
        <w:t xml:space="preserve">% positive) were asked of title </w:t>
      </w:r>
      <w:r w:rsidR="00C908B7" w:rsidRPr="00B83411">
        <w:t xml:space="preserve">holders </w:t>
      </w:r>
      <w:r w:rsidR="002A7663" w:rsidRPr="00B83411">
        <w:t xml:space="preserve">and licence </w:t>
      </w:r>
      <w:r w:rsidRPr="00B83411">
        <w:t>holders</w:t>
      </w:r>
      <w:r w:rsidR="002A7663" w:rsidRPr="00B83411">
        <w:t xml:space="preserve"> only with the lowest scoring item asked of title holders only</w:t>
      </w:r>
      <w:r w:rsidRPr="00B83411">
        <w:t xml:space="preserve">. Note that government agency respondents answered the </w:t>
      </w:r>
      <w:r w:rsidR="006315BF" w:rsidRPr="00B83411">
        <w:t>balancing effort with outcomes</w:t>
      </w:r>
      <w:r w:rsidRPr="00B83411">
        <w:t xml:space="preserve"> question with a 100 % positive score while </w:t>
      </w:r>
      <w:r w:rsidR="002A7663" w:rsidRPr="00B83411">
        <w:t>title</w:t>
      </w:r>
      <w:r w:rsidRPr="00B83411">
        <w:t xml:space="preserve"> / </w:t>
      </w:r>
      <w:r w:rsidR="002A7663" w:rsidRPr="00B83411">
        <w:t>licence</w:t>
      </w:r>
      <w:r w:rsidRPr="00B83411">
        <w:t xml:space="preserve"> holders scored </w:t>
      </w:r>
      <w:r w:rsidR="006315BF" w:rsidRPr="00B83411">
        <w:t xml:space="preserve">a similar item as 74% positive. This </w:t>
      </w:r>
      <w:r w:rsidR="00300D08" w:rsidRPr="00B83411">
        <w:t>was</w:t>
      </w:r>
      <w:r w:rsidR="006315BF" w:rsidRPr="00B83411">
        <w:t xml:space="preserve"> the largest difference in scores between sub-groups, reflecting quite different experiences or views. Transparency of decision making and efficiency of titles / licence administration are potential areas for improvement.</w:t>
      </w:r>
    </w:p>
    <w:p w14:paraId="627CDC1D" w14:textId="5E9E62B2" w:rsidR="00BF3BB0" w:rsidRPr="00B83411" w:rsidRDefault="00A71010" w:rsidP="00A71010">
      <w:pPr>
        <w:ind w:left="709" w:hanging="709"/>
        <w:rPr>
          <w:lang w:eastAsia="en-AU"/>
        </w:rPr>
      </w:pPr>
      <w:r w:rsidRPr="00B83411">
        <w:rPr>
          <w:lang w:eastAsia="en-AU"/>
        </w:rPr>
        <w:t>Note:</w:t>
      </w:r>
      <w:r w:rsidRPr="00B83411">
        <w:rPr>
          <w:lang w:eastAsia="en-AU"/>
        </w:rPr>
        <w:tab/>
      </w:r>
      <w:r w:rsidR="00DF1E0B" w:rsidRPr="00B83411">
        <w:rPr>
          <w:lang w:eastAsia="en-AU"/>
        </w:rPr>
        <w:t>I</w:t>
      </w:r>
      <w:r w:rsidRPr="00B83411">
        <w:rPr>
          <w:i/>
          <w:iCs/>
          <w:lang w:eastAsia="en-AU"/>
        </w:rPr>
        <w:t>talic</w:t>
      </w:r>
      <w:r w:rsidRPr="00B83411">
        <w:rPr>
          <w:lang w:eastAsia="en-AU"/>
        </w:rPr>
        <w:t xml:space="preserve"> items were asked of government agency respondents only</w:t>
      </w:r>
    </w:p>
    <w:p w14:paraId="18D551B9" w14:textId="2B45BABF" w:rsidR="00A71010" w:rsidRPr="00B83411" w:rsidRDefault="00A71010" w:rsidP="00A71010">
      <w:pPr>
        <w:ind w:left="709" w:hanging="709"/>
        <w:rPr>
          <w:lang w:eastAsia="en-AU"/>
        </w:rPr>
      </w:pPr>
      <w:r w:rsidRPr="00B83411">
        <w:rPr>
          <w:lang w:eastAsia="en-AU"/>
        </w:rPr>
        <w:tab/>
      </w:r>
      <w:r w:rsidRPr="00B83411">
        <w:rPr>
          <w:b/>
          <w:bCs/>
          <w:lang w:eastAsia="en-AU"/>
        </w:rPr>
        <w:t>Bold</w:t>
      </w:r>
      <w:r w:rsidRPr="00B83411">
        <w:rPr>
          <w:lang w:eastAsia="en-AU"/>
        </w:rPr>
        <w:t xml:space="preserve"> items</w:t>
      </w:r>
      <w:r w:rsidR="006315BF" w:rsidRPr="00B83411">
        <w:rPr>
          <w:lang w:eastAsia="en-AU"/>
        </w:rPr>
        <w:t xml:space="preserve"> in the table below</w:t>
      </w:r>
      <w:r w:rsidRPr="00B83411">
        <w:rPr>
          <w:lang w:eastAsia="en-AU"/>
        </w:rPr>
        <w:t xml:space="preserve"> </w:t>
      </w:r>
      <w:r w:rsidR="00A67900" w:rsidRPr="00B83411">
        <w:rPr>
          <w:lang w:eastAsia="en-AU"/>
        </w:rPr>
        <w:t>were</w:t>
      </w:r>
      <w:r w:rsidRPr="00B83411">
        <w:rPr>
          <w:lang w:eastAsia="en-AU"/>
        </w:rPr>
        <w:t xml:space="preserve"> lowest scoring (below 75% positive)</w:t>
      </w:r>
    </w:p>
    <w:p w14:paraId="0FAF1D28" w14:textId="0284B37E" w:rsidR="00A71010" w:rsidRDefault="00A71010" w:rsidP="00A71010">
      <w:pPr>
        <w:spacing w:after="240"/>
        <w:ind w:left="709" w:hanging="709"/>
        <w:rPr>
          <w:lang w:eastAsia="en-AU"/>
        </w:rPr>
      </w:pPr>
      <w:r w:rsidRPr="00B83411">
        <w:rPr>
          <w:lang w:eastAsia="en-AU"/>
        </w:rPr>
        <w:tab/>
        <w:t>n counts are small</w:t>
      </w:r>
      <w:r w:rsidR="00C54F6E" w:rsidRPr="00B83411">
        <w:rPr>
          <w:lang w:eastAsia="en-AU"/>
        </w:rPr>
        <w:t>er</w:t>
      </w:r>
      <w:r w:rsidRPr="00B83411">
        <w:rPr>
          <w:lang w:eastAsia="en-AU"/>
        </w:rPr>
        <w:t xml:space="preserve"> (n=</w:t>
      </w:r>
      <w:r w:rsidR="00C54F6E" w:rsidRPr="00B83411">
        <w:rPr>
          <w:lang w:eastAsia="en-AU"/>
        </w:rPr>
        <w:t xml:space="preserve">7 or </w:t>
      </w:r>
      <w:r w:rsidRPr="00B83411">
        <w:rPr>
          <w:lang w:eastAsia="en-AU"/>
        </w:rPr>
        <w:t>8) for some items because only a small group of people were knowingly presented with these questions</w:t>
      </w:r>
      <w:r w:rsidR="00924E38" w:rsidRPr="00B83411">
        <w:rPr>
          <w:lang w:eastAsia="en-AU"/>
        </w:rPr>
        <w:t xml:space="preserve"> or provided valid answers</w:t>
      </w:r>
      <w:r w:rsidR="00DF1E0B" w:rsidRPr="00B83411">
        <w:rPr>
          <w:lang w:eastAsia="en-AU"/>
        </w:rPr>
        <w:t xml:space="preserve">. </w:t>
      </w:r>
      <w:r w:rsidR="00924E38" w:rsidRPr="00B83411">
        <w:rPr>
          <w:lang w:eastAsia="en-AU"/>
        </w:rPr>
        <w:t>Hence results for these it</w:t>
      </w:r>
      <w:r w:rsidR="00852BAA" w:rsidRPr="00B83411">
        <w:rPr>
          <w:lang w:eastAsia="en-AU"/>
        </w:rPr>
        <w:t>em</w:t>
      </w:r>
      <w:r w:rsidR="00924E38" w:rsidRPr="00B83411">
        <w:rPr>
          <w:lang w:eastAsia="en-AU"/>
        </w:rPr>
        <w:t>s</w:t>
      </w:r>
      <w:r w:rsidRPr="00B83411">
        <w:rPr>
          <w:lang w:eastAsia="en-AU"/>
        </w:rPr>
        <w:t xml:space="preserve"> should be treated as being somewhat indicative only</w:t>
      </w:r>
      <w:r w:rsidR="00585162" w:rsidRPr="00B83411">
        <w:rPr>
          <w:lang w:eastAsia="en-AU"/>
        </w:rPr>
        <w:t>.</w:t>
      </w:r>
    </w:p>
    <w:p w14:paraId="694AA6D3" w14:textId="6FEEED4D" w:rsidR="00823C45" w:rsidRDefault="00823C45">
      <w:pPr>
        <w:spacing w:before="0" w:line="240" w:lineRule="auto"/>
        <w:ind w:right="0"/>
        <w:rPr>
          <w:lang w:eastAsia="en-AU"/>
        </w:rPr>
      </w:pPr>
      <w:r>
        <w:rPr>
          <w:lang w:eastAsia="en-AU"/>
        </w:rPr>
        <w:br w:type="page"/>
      </w:r>
    </w:p>
    <w:p w14:paraId="1D9CCBDC" w14:textId="2C200DFA" w:rsidR="00DF1E0B" w:rsidRPr="00B83411" w:rsidRDefault="00DF1E0B" w:rsidP="00DF1E0B">
      <w:pPr>
        <w:pStyle w:val="Caption"/>
      </w:pPr>
      <w:bookmarkStart w:id="11" w:name="_Ref212465594"/>
      <w:r w:rsidRPr="00B83411">
        <w:t xml:space="preserve">Table </w:t>
      </w:r>
      <w:r w:rsidR="00C32D47">
        <w:fldChar w:fldCharType="begin"/>
      </w:r>
      <w:r w:rsidR="00C32D47">
        <w:instrText xml:space="preserve"> SEQ Table \* ARABIC </w:instrText>
      </w:r>
      <w:r w:rsidR="00C32D47">
        <w:fldChar w:fldCharType="separate"/>
      </w:r>
      <w:r w:rsidR="00C350E2">
        <w:rPr>
          <w:noProof/>
        </w:rPr>
        <w:t>4</w:t>
      </w:r>
      <w:r w:rsidR="00C32D47">
        <w:fldChar w:fldCharType="end"/>
      </w:r>
      <w:bookmarkEnd w:id="11"/>
      <w:r w:rsidRPr="00B83411">
        <w:t>: Common survey items ordered high to low % positive</w:t>
      </w:r>
    </w:p>
    <w:tbl>
      <w:tblPr>
        <w:tblW w:w="9072" w:type="dxa"/>
        <w:tblLook w:val="04A0" w:firstRow="1" w:lastRow="0" w:firstColumn="1" w:lastColumn="0" w:noHBand="0" w:noVBand="1"/>
      </w:tblPr>
      <w:tblGrid>
        <w:gridCol w:w="7416"/>
        <w:gridCol w:w="1656"/>
      </w:tblGrid>
      <w:tr w:rsidR="00BF3BB0" w:rsidRPr="00B83411" w14:paraId="50E02A68" w14:textId="77777777" w:rsidTr="00DF1E0B">
        <w:trPr>
          <w:trHeight w:val="300"/>
          <w:tblHeader/>
        </w:trPr>
        <w:tc>
          <w:tcPr>
            <w:tcW w:w="7416" w:type="dxa"/>
            <w:tcBorders>
              <w:top w:val="nil"/>
              <w:left w:val="nil"/>
              <w:bottom w:val="nil"/>
              <w:right w:val="nil"/>
            </w:tcBorders>
            <w:shd w:val="clear" w:color="auto" w:fill="003366"/>
            <w:noWrap/>
            <w:vAlign w:val="bottom"/>
            <w:hideMark/>
          </w:tcPr>
          <w:p w14:paraId="6B15318E" w14:textId="42EF27FB" w:rsidR="00BF3BB0" w:rsidRPr="00B83411" w:rsidRDefault="00A71010" w:rsidP="00BF3BB0">
            <w:pPr>
              <w:spacing w:before="60" w:after="60" w:line="240" w:lineRule="auto"/>
              <w:ind w:right="0"/>
              <w:rPr>
                <w:rFonts w:eastAsia="Times New Roman" w:cs="Arial"/>
                <w:b/>
                <w:bCs/>
                <w:lang w:eastAsia="en-AU"/>
              </w:rPr>
            </w:pPr>
            <w:r w:rsidRPr="00B83411">
              <w:rPr>
                <w:rFonts w:eastAsia="Times New Roman" w:cs="Arial"/>
                <w:b/>
                <w:bCs/>
                <w:lang w:eastAsia="en-AU"/>
              </w:rPr>
              <w:t>High to low % pos scores for survey questions*</w:t>
            </w:r>
          </w:p>
        </w:tc>
        <w:tc>
          <w:tcPr>
            <w:tcW w:w="1656" w:type="dxa"/>
            <w:tcBorders>
              <w:top w:val="nil"/>
              <w:left w:val="nil"/>
              <w:bottom w:val="nil"/>
              <w:right w:val="nil"/>
            </w:tcBorders>
            <w:shd w:val="clear" w:color="auto" w:fill="003366"/>
            <w:noWrap/>
            <w:vAlign w:val="bottom"/>
            <w:hideMark/>
          </w:tcPr>
          <w:p w14:paraId="271AF971" w14:textId="1C0B1AE8" w:rsidR="00BF3BB0" w:rsidRPr="00B83411" w:rsidRDefault="00BF3BB0" w:rsidP="00BF3BB0">
            <w:pPr>
              <w:spacing w:before="60" w:after="60" w:line="240" w:lineRule="auto"/>
              <w:ind w:right="0"/>
              <w:jc w:val="center"/>
              <w:rPr>
                <w:rFonts w:eastAsia="Times New Roman" w:cs="Arial"/>
                <w:b/>
                <w:bCs/>
                <w:lang w:eastAsia="en-AU"/>
              </w:rPr>
            </w:pPr>
            <w:r w:rsidRPr="00B83411">
              <w:rPr>
                <w:rFonts w:eastAsia="Times New Roman" w:cs="Arial"/>
                <w:b/>
                <w:bCs/>
                <w:lang w:eastAsia="en-AU"/>
              </w:rPr>
              <w:t>% pos</w:t>
            </w:r>
            <w:r w:rsidR="00A71010" w:rsidRPr="00B83411">
              <w:rPr>
                <w:rFonts w:eastAsia="Times New Roman" w:cs="Arial"/>
                <w:b/>
                <w:bCs/>
                <w:lang w:eastAsia="en-AU"/>
              </w:rPr>
              <w:t>itive</w:t>
            </w:r>
          </w:p>
        </w:tc>
      </w:tr>
      <w:tr w:rsidR="00BF3BB0" w:rsidRPr="00B83411" w14:paraId="74531C55" w14:textId="77777777" w:rsidTr="00BF3BB0">
        <w:trPr>
          <w:trHeight w:val="300"/>
        </w:trPr>
        <w:tc>
          <w:tcPr>
            <w:tcW w:w="7416" w:type="dxa"/>
            <w:tcBorders>
              <w:top w:val="nil"/>
              <w:left w:val="nil"/>
              <w:bottom w:val="nil"/>
              <w:right w:val="nil"/>
            </w:tcBorders>
            <w:noWrap/>
            <w:vAlign w:val="bottom"/>
            <w:hideMark/>
          </w:tcPr>
          <w:p w14:paraId="42C7C720" w14:textId="28FD172A"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Building cooperative relationships with your company and industry n=57</w:t>
            </w:r>
          </w:p>
        </w:tc>
        <w:tc>
          <w:tcPr>
            <w:tcW w:w="1656" w:type="dxa"/>
            <w:tcBorders>
              <w:top w:val="nil"/>
              <w:left w:val="nil"/>
              <w:bottom w:val="nil"/>
              <w:right w:val="nil"/>
            </w:tcBorders>
            <w:noWrap/>
            <w:vAlign w:val="center"/>
            <w:hideMark/>
          </w:tcPr>
          <w:p w14:paraId="052EED52"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1A660B3A" w14:textId="77777777" w:rsidTr="00BF3BB0">
        <w:trPr>
          <w:trHeight w:val="255"/>
        </w:trPr>
        <w:tc>
          <w:tcPr>
            <w:tcW w:w="7416" w:type="dxa"/>
            <w:tcBorders>
              <w:top w:val="nil"/>
              <w:left w:val="nil"/>
              <w:bottom w:val="nil"/>
              <w:right w:val="nil"/>
            </w:tcBorders>
            <w:shd w:val="clear" w:color="auto" w:fill="D9D9D9" w:themeFill="background1" w:themeFillShade="D9"/>
            <w:noWrap/>
            <w:vAlign w:val="bottom"/>
            <w:hideMark/>
          </w:tcPr>
          <w:p w14:paraId="3372D5E7" w14:textId="64584BA7" w:rsidR="00BF3BB0" w:rsidRPr="00B83411" w:rsidRDefault="00BF3BB0" w:rsidP="00BF3BB0">
            <w:pPr>
              <w:spacing w:before="60" w:after="60" w:line="240" w:lineRule="auto"/>
              <w:ind w:right="0"/>
              <w:rPr>
                <w:rFonts w:eastAsia="Times New Roman" w:cs="Arial"/>
                <w:i/>
                <w:iCs/>
                <w:lang w:eastAsia="en-AU"/>
              </w:rPr>
            </w:pPr>
            <w:r w:rsidRPr="00B83411">
              <w:rPr>
                <w:rFonts w:eastAsia="Times New Roman" w:cs="Arial"/>
                <w:i/>
                <w:iCs/>
                <w:lang w:eastAsia="en-AU"/>
              </w:rPr>
              <w:t>Building cooperative relationships with government decision makers / your agency n=22</w:t>
            </w:r>
          </w:p>
        </w:tc>
        <w:tc>
          <w:tcPr>
            <w:tcW w:w="1656" w:type="dxa"/>
            <w:tcBorders>
              <w:top w:val="nil"/>
              <w:left w:val="nil"/>
              <w:bottom w:val="nil"/>
              <w:right w:val="nil"/>
            </w:tcBorders>
            <w:shd w:val="clear" w:color="auto" w:fill="D9D9D9" w:themeFill="background1" w:themeFillShade="D9"/>
            <w:noWrap/>
            <w:vAlign w:val="center"/>
            <w:hideMark/>
          </w:tcPr>
          <w:p w14:paraId="5784BD7B"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438D18C4" w14:textId="77777777" w:rsidTr="00BF3BB0">
        <w:trPr>
          <w:trHeight w:val="300"/>
        </w:trPr>
        <w:tc>
          <w:tcPr>
            <w:tcW w:w="7416" w:type="dxa"/>
            <w:tcBorders>
              <w:top w:val="nil"/>
              <w:left w:val="nil"/>
              <w:bottom w:val="nil"/>
              <w:right w:val="nil"/>
            </w:tcBorders>
            <w:noWrap/>
            <w:vAlign w:val="bottom"/>
            <w:hideMark/>
          </w:tcPr>
          <w:p w14:paraId="57C966FE" w14:textId="264B93B5" w:rsidR="00BF3BB0" w:rsidRPr="00B83411" w:rsidRDefault="00BF3BB0" w:rsidP="00BF3BB0">
            <w:pPr>
              <w:spacing w:before="60" w:after="60" w:line="240" w:lineRule="auto"/>
              <w:ind w:right="0"/>
              <w:rPr>
                <w:rFonts w:eastAsia="Times New Roman" w:cs="Arial"/>
                <w:i/>
                <w:iCs/>
                <w:lang w:eastAsia="en-AU"/>
              </w:rPr>
            </w:pPr>
            <w:r w:rsidRPr="00B83411">
              <w:rPr>
                <w:rFonts w:eastAsia="Times New Roman" w:cs="Arial"/>
                <w:i/>
                <w:iCs/>
                <w:lang w:eastAsia="en-AU"/>
              </w:rPr>
              <w:t>Accuracy of advice it provides n=22</w:t>
            </w:r>
          </w:p>
        </w:tc>
        <w:tc>
          <w:tcPr>
            <w:tcW w:w="1656" w:type="dxa"/>
            <w:tcBorders>
              <w:top w:val="nil"/>
              <w:left w:val="nil"/>
              <w:bottom w:val="nil"/>
              <w:right w:val="nil"/>
            </w:tcBorders>
            <w:noWrap/>
            <w:vAlign w:val="center"/>
            <w:hideMark/>
          </w:tcPr>
          <w:p w14:paraId="6480FD95"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3F6FF350"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16FBF6AA" w14:textId="5C4E1665" w:rsidR="00BF3BB0" w:rsidRPr="00B83411" w:rsidRDefault="00BF3BB0" w:rsidP="00BF3BB0">
            <w:pPr>
              <w:spacing w:before="60" w:after="60" w:line="240" w:lineRule="auto"/>
              <w:ind w:right="0"/>
              <w:rPr>
                <w:rFonts w:eastAsia="Times New Roman" w:cs="Arial"/>
                <w:i/>
                <w:iCs/>
                <w:lang w:eastAsia="en-AU"/>
              </w:rPr>
            </w:pPr>
            <w:r w:rsidRPr="00B83411">
              <w:rPr>
                <w:rFonts w:eastAsia="Times New Roman" w:cs="Arial"/>
                <w:i/>
                <w:iCs/>
                <w:lang w:eastAsia="en-AU"/>
              </w:rPr>
              <w:t>Clarity of advice it provides  n=22</w:t>
            </w:r>
          </w:p>
        </w:tc>
        <w:tc>
          <w:tcPr>
            <w:tcW w:w="1656" w:type="dxa"/>
            <w:tcBorders>
              <w:top w:val="nil"/>
              <w:left w:val="nil"/>
              <w:bottom w:val="nil"/>
              <w:right w:val="nil"/>
            </w:tcBorders>
            <w:shd w:val="clear" w:color="auto" w:fill="D9D9D9" w:themeFill="background1" w:themeFillShade="D9"/>
            <w:noWrap/>
            <w:vAlign w:val="center"/>
            <w:hideMark/>
          </w:tcPr>
          <w:p w14:paraId="5B329AF8"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000DCA2D" w14:textId="77777777" w:rsidTr="00BF3BB0">
        <w:trPr>
          <w:trHeight w:val="300"/>
        </w:trPr>
        <w:tc>
          <w:tcPr>
            <w:tcW w:w="7416" w:type="dxa"/>
            <w:tcBorders>
              <w:top w:val="nil"/>
              <w:left w:val="nil"/>
              <w:bottom w:val="nil"/>
              <w:right w:val="nil"/>
            </w:tcBorders>
            <w:noWrap/>
            <w:vAlign w:val="bottom"/>
            <w:hideMark/>
          </w:tcPr>
          <w:p w14:paraId="44D60806" w14:textId="72A15347" w:rsidR="00BF3BB0" w:rsidRPr="00B83411" w:rsidRDefault="00BF3BB0" w:rsidP="00BF3BB0">
            <w:pPr>
              <w:spacing w:before="60" w:after="60" w:line="240" w:lineRule="auto"/>
              <w:ind w:right="0"/>
              <w:rPr>
                <w:rFonts w:eastAsia="Times New Roman" w:cs="Arial"/>
                <w:i/>
                <w:iCs/>
                <w:lang w:eastAsia="en-AU"/>
              </w:rPr>
            </w:pPr>
            <w:r w:rsidRPr="00B83411">
              <w:rPr>
                <w:rFonts w:eastAsia="Times New Roman" w:cs="Arial"/>
                <w:i/>
                <w:iCs/>
                <w:lang w:eastAsia="en-AU"/>
              </w:rPr>
              <w:t>Justification of its recommendations made about offshore titles / licences n=7</w:t>
            </w:r>
          </w:p>
        </w:tc>
        <w:tc>
          <w:tcPr>
            <w:tcW w:w="1656" w:type="dxa"/>
            <w:tcBorders>
              <w:top w:val="nil"/>
              <w:left w:val="nil"/>
              <w:bottom w:val="nil"/>
              <w:right w:val="nil"/>
            </w:tcBorders>
            <w:noWrap/>
            <w:vAlign w:val="center"/>
            <w:hideMark/>
          </w:tcPr>
          <w:p w14:paraId="61FE9E5A"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3AE904D1"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2C11CDE8" w14:textId="0230E187" w:rsidR="00BF3BB0" w:rsidRPr="00B83411" w:rsidRDefault="00BF3BB0" w:rsidP="00BF3BB0">
            <w:pPr>
              <w:spacing w:before="60" w:after="60" w:line="240" w:lineRule="auto"/>
              <w:ind w:right="0"/>
              <w:rPr>
                <w:rFonts w:eastAsia="Times New Roman" w:cs="Arial"/>
                <w:i/>
                <w:iCs/>
                <w:lang w:eastAsia="en-AU"/>
              </w:rPr>
            </w:pPr>
            <w:r w:rsidRPr="00B83411">
              <w:rPr>
                <w:rFonts w:eastAsia="Times New Roman" w:cs="Arial"/>
                <w:i/>
                <w:iCs/>
                <w:lang w:eastAsia="en-AU"/>
              </w:rPr>
              <w:t>Consistency of its advice / recommendations n=8</w:t>
            </w:r>
          </w:p>
        </w:tc>
        <w:tc>
          <w:tcPr>
            <w:tcW w:w="1656" w:type="dxa"/>
            <w:tcBorders>
              <w:top w:val="nil"/>
              <w:left w:val="nil"/>
              <w:bottom w:val="nil"/>
              <w:right w:val="nil"/>
            </w:tcBorders>
            <w:shd w:val="clear" w:color="auto" w:fill="D9D9D9" w:themeFill="background1" w:themeFillShade="D9"/>
            <w:noWrap/>
            <w:vAlign w:val="center"/>
            <w:hideMark/>
          </w:tcPr>
          <w:p w14:paraId="4215018B"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4E8862A3" w14:textId="77777777" w:rsidTr="00BF3BB0">
        <w:trPr>
          <w:trHeight w:val="300"/>
        </w:trPr>
        <w:tc>
          <w:tcPr>
            <w:tcW w:w="7416" w:type="dxa"/>
            <w:tcBorders>
              <w:top w:val="nil"/>
              <w:left w:val="nil"/>
              <w:bottom w:val="nil"/>
              <w:right w:val="nil"/>
            </w:tcBorders>
            <w:noWrap/>
            <w:vAlign w:val="bottom"/>
            <w:hideMark/>
          </w:tcPr>
          <w:p w14:paraId="186A9F2B" w14:textId="5A5E3259"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Behaving ethically n=76</w:t>
            </w:r>
          </w:p>
        </w:tc>
        <w:tc>
          <w:tcPr>
            <w:tcW w:w="1656" w:type="dxa"/>
            <w:tcBorders>
              <w:top w:val="nil"/>
              <w:left w:val="nil"/>
              <w:bottom w:val="nil"/>
              <w:right w:val="nil"/>
            </w:tcBorders>
            <w:noWrap/>
            <w:vAlign w:val="center"/>
            <w:hideMark/>
          </w:tcPr>
          <w:p w14:paraId="4D68F4E9"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5D6BB634"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613CF8CE" w14:textId="0413F7FA" w:rsidR="00BF3BB0" w:rsidRPr="00B83411" w:rsidRDefault="00BF3BB0" w:rsidP="00BF3BB0">
            <w:pPr>
              <w:spacing w:before="60" w:after="60" w:line="240" w:lineRule="auto"/>
              <w:ind w:right="0"/>
              <w:rPr>
                <w:rFonts w:eastAsia="Times New Roman" w:cs="Arial"/>
                <w:i/>
                <w:iCs/>
                <w:lang w:eastAsia="en-AU"/>
              </w:rPr>
            </w:pPr>
            <w:r w:rsidRPr="00B83411">
              <w:rPr>
                <w:rFonts w:eastAsia="Times New Roman" w:cs="Arial"/>
                <w:i/>
                <w:iCs/>
                <w:lang w:eastAsia="en-AU"/>
              </w:rPr>
              <w:t>Balancing administrative effort with outcomes</w:t>
            </w:r>
            <w:r w:rsidR="00DD285B" w:rsidRPr="00B83411">
              <w:rPr>
                <w:rFonts w:eastAsia="Times New Roman" w:cs="Arial"/>
                <w:i/>
                <w:iCs/>
                <w:lang w:eastAsia="en-AU"/>
              </w:rPr>
              <w:t xml:space="preserve"> n=17</w:t>
            </w:r>
          </w:p>
        </w:tc>
        <w:tc>
          <w:tcPr>
            <w:tcW w:w="1656" w:type="dxa"/>
            <w:tcBorders>
              <w:top w:val="nil"/>
              <w:left w:val="nil"/>
              <w:bottom w:val="nil"/>
              <w:right w:val="nil"/>
            </w:tcBorders>
            <w:shd w:val="clear" w:color="auto" w:fill="D9D9D9" w:themeFill="background1" w:themeFillShade="D9"/>
            <w:noWrap/>
            <w:vAlign w:val="center"/>
            <w:hideMark/>
          </w:tcPr>
          <w:p w14:paraId="7B21DEC2"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100</w:t>
            </w:r>
          </w:p>
        </w:tc>
      </w:tr>
      <w:tr w:rsidR="00BF3BB0" w:rsidRPr="00B83411" w14:paraId="20B04417" w14:textId="77777777" w:rsidTr="00BF3BB0">
        <w:trPr>
          <w:trHeight w:val="255"/>
        </w:trPr>
        <w:tc>
          <w:tcPr>
            <w:tcW w:w="7416" w:type="dxa"/>
            <w:tcBorders>
              <w:top w:val="nil"/>
              <w:left w:val="nil"/>
              <w:bottom w:val="nil"/>
              <w:right w:val="nil"/>
            </w:tcBorders>
            <w:noWrap/>
            <w:vAlign w:val="bottom"/>
            <w:hideMark/>
          </w:tcPr>
          <w:p w14:paraId="0839E14E" w14:textId="5EC148F0"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Accuracy of the information it provides n=58</w:t>
            </w:r>
          </w:p>
        </w:tc>
        <w:tc>
          <w:tcPr>
            <w:tcW w:w="1656" w:type="dxa"/>
            <w:tcBorders>
              <w:top w:val="nil"/>
              <w:left w:val="nil"/>
              <w:bottom w:val="nil"/>
              <w:right w:val="nil"/>
            </w:tcBorders>
            <w:noWrap/>
            <w:vAlign w:val="center"/>
            <w:hideMark/>
          </w:tcPr>
          <w:p w14:paraId="2F851CD8"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98</w:t>
            </w:r>
          </w:p>
        </w:tc>
      </w:tr>
      <w:tr w:rsidR="00BF3BB0" w:rsidRPr="00B83411" w14:paraId="1EEB31F5"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2530F3FC" w14:textId="6D46C988"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Helpfulness of staff n=80</w:t>
            </w:r>
          </w:p>
        </w:tc>
        <w:tc>
          <w:tcPr>
            <w:tcW w:w="1656" w:type="dxa"/>
            <w:tcBorders>
              <w:top w:val="nil"/>
              <w:left w:val="nil"/>
              <w:bottom w:val="nil"/>
              <w:right w:val="nil"/>
            </w:tcBorders>
            <w:shd w:val="clear" w:color="auto" w:fill="D9D9D9" w:themeFill="background1" w:themeFillShade="D9"/>
            <w:noWrap/>
            <w:vAlign w:val="center"/>
            <w:hideMark/>
          </w:tcPr>
          <w:p w14:paraId="620CC4EA" w14:textId="49BE3F16"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w:t>
            </w:r>
            <w:r w:rsidR="00757F4E" w:rsidRPr="00B83411">
              <w:rPr>
                <w:rFonts w:eastAsia="Times New Roman" w:cs="Arial"/>
                <w:lang w:eastAsia="en-AU"/>
              </w:rPr>
              <w:t>8</w:t>
            </w:r>
          </w:p>
        </w:tc>
      </w:tr>
      <w:tr w:rsidR="00BF3BB0" w:rsidRPr="00B83411" w14:paraId="02BD418C" w14:textId="77777777" w:rsidTr="00BF3BB0">
        <w:trPr>
          <w:trHeight w:val="300"/>
        </w:trPr>
        <w:tc>
          <w:tcPr>
            <w:tcW w:w="7416" w:type="dxa"/>
            <w:tcBorders>
              <w:top w:val="nil"/>
              <w:left w:val="nil"/>
              <w:bottom w:val="nil"/>
              <w:right w:val="nil"/>
            </w:tcBorders>
            <w:noWrap/>
            <w:vAlign w:val="bottom"/>
            <w:hideMark/>
          </w:tcPr>
          <w:p w14:paraId="3FE83B87" w14:textId="35096BA7"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Technical expertise of staff n=79</w:t>
            </w:r>
          </w:p>
        </w:tc>
        <w:tc>
          <w:tcPr>
            <w:tcW w:w="1656" w:type="dxa"/>
            <w:tcBorders>
              <w:top w:val="nil"/>
              <w:left w:val="nil"/>
              <w:bottom w:val="nil"/>
              <w:right w:val="nil"/>
            </w:tcBorders>
            <w:noWrap/>
            <w:vAlign w:val="center"/>
            <w:hideMark/>
          </w:tcPr>
          <w:p w14:paraId="4B40745F"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96</w:t>
            </w:r>
          </w:p>
        </w:tc>
      </w:tr>
      <w:tr w:rsidR="00BF3BB0" w:rsidRPr="00B83411" w14:paraId="4641D9D4"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318853F4" w14:textId="1CBB1A63"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Overall, I trust the Offshore Infrastructure Registrar to administer the offshore petroleum and greenhouse gas framework in Australia's national interest</w:t>
            </w:r>
            <w:r w:rsidR="00DD285B" w:rsidRPr="00B83411">
              <w:rPr>
                <w:rFonts w:eastAsia="Times New Roman" w:cs="Arial"/>
                <w:lang w:eastAsia="en-AU"/>
              </w:rPr>
              <w:t xml:space="preserve"> n=18</w:t>
            </w:r>
          </w:p>
        </w:tc>
        <w:tc>
          <w:tcPr>
            <w:tcW w:w="1656" w:type="dxa"/>
            <w:tcBorders>
              <w:top w:val="nil"/>
              <w:left w:val="nil"/>
              <w:bottom w:val="nil"/>
              <w:right w:val="nil"/>
            </w:tcBorders>
            <w:shd w:val="clear" w:color="auto" w:fill="D9D9D9" w:themeFill="background1" w:themeFillShade="D9"/>
            <w:noWrap/>
            <w:vAlign w:val="center"/>
            <w:hideMark/>
          </w:tcPr>
          <w:p w14:paraId="5609850B"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94</w:t>
            </w:r>
          </w:p>
        </w:tc>
      </w:tr>
      <w:tr w:rsidR="00BF3BB0" w:rsidRPr="00B83411" w14:paraId="54C5181C" w14:textId="77777777" w:rsidTr="00BF3BB0">
        <w:trPr>
          <w:trHeight w:val="300"/>
        </w:trPr>
        <w:tc>
          <w:tcPr>
            <w:tcW w:w="7416" w:type="dxa"/>
            <w:tcBorders>
              <w:top w:val="nil"/>
              <w:left w:val="nil"/>
              <w:bottom w:val="nil"/>
              <w:right w:val="nil"/>
            </w:tcBorders>
            <w:noWrap/>
            <w:vAlign w:val="bottom"/>
            <w:hideMark/>
          </w:tcPr>
          <w:p w14:paraId="674E63E5" w14:textId="0EB5F5AB"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Collaboration with stakeholders to improve administration n=74</w:t>
            </w:r>
          </w:p>
        </w:tc>
        <w:tc>
          <w:tcPr>
            <w:tcW w:w="1656" w:type="dxa"/>
            <w:tcBorders>
              <w:top w:val="nil"/>
              <w:left w:val="nil"/>
              <w:bottom w:val="nil"/>
              <w:right w:val="nil"/>
            </w:tcBorders>
            <w:noWrap/>
            <w:vAlign w:val="center"/>
            <w:hideMark/>
          </w:tcPr>
          <w:p w14:paraId="455B25C7"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93</w:t>
            </w:r>
          </w:p>
        </w:tc>
      </w:tr>
      <w:tr w:rsidR="00BF3BB0" w:rsidRPr="00B83411" w14:paraId="3AD65FAE"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283ADBB1" w14:textId="4B5915EA"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Clarity of information it provides n=58</w:t>
            </w:r>
          </w:p>
        </w:tc>
        <w:tc>
          <w:tcPr>
            <w:tcW w:w="1656" w:type="dxa"/>
            <w:tcBorders>
              <w:top w:val="nil"/>
              <w:left w:val="nil"/>
              <w:bottom w:val="nil"/>
              <w:right w:val="nil"/>
            </w:tcBorders>
            <w:shd w:val="clear" w:color="auto" w:fill="D9D9D9" w:themeFill="background1" w:themeFillShade="D9"/>
            <w:noWrap/>
            <w:vAlign w:val="center"/>
            <w:hideMark/>
          </w:tcPr>
          <w:p w14:paraId="750ACFE4"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93</w:t>
            </w:r>
          </w:p>
        </w:tc>
      </w:tr>
      <w:tr w:rsidR="00BF3BB0" w:rsidRPr="00B83411" w14:paraId="0D40A01D" w14:textId="77777777" w:rsidTr="00BF3BB0">
        <w:trPr>
          <w:trHeight w:val="300"/>
        </w:trPr>
        <w:tc>
          <w:tcPr>
            <w:tcW w:w="7416" w:type="dxa"/>
            <w:tcBorders>
              <w:top w:val="nil"/>
              <w:left w:val="nil"/>
              <w:bottom w:val="nil"/>
              <w:right w:val="nil"/>
            </w:tcBorders>
            <w:noWrap/>
            <w:vAlign w:val="bottom"/>
            <w:hideMark/>
          </w:tcPr>
          <w:p w14:paraId="4D2167CF" w14:textId="2BFE9F13"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Overall, I trust NOPTA to administer the offshore petroleum and greenhouse gas framework in Australia's national interest</w:t>
            </w:r>
            <w:r w:rsidR="00DD285B" w:rsidRPr="00B83411">
              <w:rPr>
                <w:rFonts w:eastAsia="Times New Roman" w:cs="Arial"/>
                <w:lang w:eastAsia="en-AU"/>
              </w:rPr>
              <w:t xml:space="preserve"> n=58</w:t>
            </w:r>
          </w:p>
        </w:tc>
        <w:tc>
          <w:tcPr>
            <w:tcW w:w="1656" w:type="dxa"/>
            <w:tcBorders>
              <w:top w:val="nil"/>
              <w:left w:val="nil"/>
              <w:bottom w:val="nil"/>
              <w:right w:val="nil"/>
            </w:tcBorders>
            <w:noWrap/>
            <w:vAlign w:val="center"/>
            <w:hideMark/>
          </w:tcPr>
          <w:p w14:paraId="159842A0"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93</w:t>
            </w:r>
          </w:p>
        </w:tc>
      </w:tr>
      <w:tr w:rsidR="00BF3BB0" w:rsidRPr="00B83411" w14:paraId="2D7F7D56" w14:textId="77777777" w:rsidTr="00BF3BB0">
        <w:trPr>
          <w:trHeight w:val="255"/>
        </w:trPr>
        <w:tc>
          <w:tcPr>
            <w:tcW w:w="7416" w:type="dxa"/>
            <w:tcBorders>
              <w:top w:val="nil"/>
              <w:left w:val="nil"/>
              <w:bottom w:val="nil"/>
              <w:right w:val="nil"/>
            </w:tcBorders>
            <w:shd w:val="clear" w:color="auto" w:fill="D9D9D9" w:themeFill="background1" w:themeFillShade="D9"/>
            <w:noWrap/>
            <w:vAlign w:val="bottom"/>
            <w:hideMark/>
          </w:tcPr>
          <w:p w14:paraId="034B1D8E" w14:textId="1BBB8E83"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Consistency of its information</w:t>
            </w:r>
            <w:r w:rsidR="00A71010" w:rsidRPr="00B83411">
              <w:rPr>
                <w:rFonts w:eastAsia="Times New Roman" w:cs="Arial"/>
                <w:lang w:eastAsia="en-AU"/>
              </w:rPr>
              <w:t xml:space="preserve"> n=52</w:t>
            </w:r>
          </w:p>
        </w:tc>
        <w:tc>
          <w:tcPr>
            <w:tcW w:w="1656" w:type="dxa"/>
            <w:tcBorders>
              <w:top w:val="nil"/>
              <w:left w:val="nil"/>
              <w:bottom w:val="nil"/>
              <w:right w:val="nil"/>
            </w:tcBorders>
            <w:shd w:val="clear" w:color="auto" w:fill="D9D9D9" w:themeFill="background1" w:themeFillShade="D9"/>
            <w:noWrap/>
            <w:vAlign w:val="center"/>
            <w:hideMark/>
          </w:tcPr>
          <w:p w14:paraId="73B979B8"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90</w:t>
            </w:r>
          </w:p>
        </w:tc>
      </w:tr>
      <w:tr w:rsidR="00BF3BB0" w:rsidRPr="00B83411" w14:paraId="62EEDD29" w14:textId="77777777" w:rsidTr="00BF3BB0">
        <w:trPr>
          <w:trHeight w:val="300"/>
        </w:trPr>
        <w:tc>
          <w:tcPr>
            <w:tcW w:w="7416" w:type="dxa"/>
            <w:tcBorders>
              <w:top w:val="nil"/>
              <w:left w:val="nil"/>
              <w:bottom w:val="nil"/>
              <w:right w:val="nil"/>
            </w:tcBorders>
            <w:noWrap/>
            <w:vAlign w:val="bottom"/>
            <w:hideMark/>
          </w:tcPr>
          <w:p w14:paraId="0EF80F9B" w14:textId="09E205AB"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Supporting the responsible use of Australia’s offshore energy resources across the title / licensing lifecycle n=69</w:t>
            </w:r>
          </w:p>
        </w:tc>
        <w:tc>
          <w:tcPr>
            <w:tcW w:w="1656" w:type="dxa"/>
            <w:tcBorders>
              <w:top w:val="nil"/>
              <w:left w:val="nil"/>
              <w:bottom w:val="nil"/>
              <w:right w:val="nil"/>
            </w:tcBorders>
            <w:noWrap/>
            <w:vAlign w:val="center"/>
            <w:hideMark/>
          </w:tcPr>
          <w:p w14:paraId="5D7B6C19"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88</w:t>
            </w:r>
          </w:p>
        </w:tc>
      </w:tr>
      <w:tr w:rsidR="00BF3BB0" w:rsidRPr="00B83411" w14:paraId="547E3A84"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00A7652F" w14:textId="7007D246"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The effectiveness of its titles / licences administration n=71</w:t>
            </w:r>
          </w:p>
        </w:tc>
        <w:tc>
          <w:tcPr>
            <w:tcW w:w="1656" w:type="dxa"/>
            <w:tcBorders>
              <w:top w:val="nil"/>
              <w:left w:val="nil"/>
              <w:bottom w:val="nil"/>
              <w:right w:val="nil"/>
            </w:tcBorders>
            <w:shd w:val="clear" w:color="auto" w:fill="D9D9D9" w:themeFill="background1" w:themeFillShade="D9"/>
            <w:noWrap/>
            <w:vAlign w:val="center"/>
            <w:hideMark/>
          </w:tcPr>
          <w:p w14:paraId="30E17625"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87</w:t>
            </w:r>
          </w:p>
        </w:tc>
      </w:tr>
      <w:tr w:rsidR="00BF3BB0" w:rsidRPr="00B83411" w14:paraId="12E61270" w14:textId="77777777" w:rsidTr="00BF3BB0">
        <w:trPr>
          <w:trHeight w:val="300"/>
        </w:trPr>
        <w:tc>
          <w:tcPr>
            <w:tcW w:w="7416" w:type="dxa"/>
            <w:tcBorders>
              <w:top w:val="nil"/>
              <w:left w:val="nil"/>
              <w:bottom w:val="nil"/>
              <w:right w:val="nil"/>
            </w:tcBorders>
            <w:noWrap/>
            <w:vAlign w:val="bottom"/>
            <w:hideMark/>
          </w:tcPr>
          <w:p w14:paraId="0997AD77" w14:textId="333BCC6C"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Encouraging voluntary administrative compliance n=45</w:t>
            </w:r>
          </w:p>
        </w:tc>
        <w:tc>
          <w:tcPr>
            <w:tcW w:w="1656" w:type="dxa"/>
            <w:tcBorders>
              <w:top w:val="nil"/>
              <w:left w:val="nil"/>
              <w:bottom w:val="nil"/>
              <w:right w:val="nil"/>
            </w:tcBorders>
            <w:noWrap/>
            <w:vAlign w:val="center"/>
            <w:hideMark/>
          </w:tcPr>
          <w:p w14:paraId="1AE65F63" w14:textId="3DBF76EB"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8</w:t>
            </w:r>
            <w:r w:rsidR="00585162" w:rsidRPr="00B83411">
              <w:rPr>
                <w:rFonts w:eastAsia="Times New Roman" w:cs="Arial"/>
                <w:lang w:eastAsia="en-AU"/>
              </w:rPr>
              <w:t>7</w:t>
            </w:r>
          </w:p>
        </w:tc>
      </w:tr>
      <w:tr w:rsidR="00BF3BB0" w:rsidRPr="00B83411" w14:paraId="035FD208"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1F5E1261" w14:textId="4344A13C"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Its focus on continuous improvement n=57</w:t>
            </w:r>
          </w:p>
        </w:tc>
        <w:tc>
          <w:tcPr>
            <w:tcW w:w="1656" w:type="dxa"/>
            <w:tcBorders>
              <w:top w:val="nil"/>
              <w:left w:val="nil"/>
              <w:bottom w:val="nil"/>
              <w:right w:val="nil"/>
            </w:tcBorders>
            <w:shd w:val="clear" w:color="auto" w:fill="D9D9D9" w:themeFill="background1" w:themeFillShade="D9"/>
            <w:noWrap/>
            <w:vAlign w:val="center"/>
            <w:hideMark/>
          </w:tcPr>
          <w:p w14:paraId="76F3D5D9"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86</w:t>
            </w:r>
          </w:p>
        </w:tc>
      </w:tr>
      <w:tr w:rsidR="00BF3BB0" w:rsidRPr="00B83411" w14:paraId="67971BA3" w14:textId="77777777" w:rsidTr="00BF3BB0">
        <w:trPr>
          <w:trHeight w:val="300"/>
        </w:trPr>
        <w:tc>
          <w:tcPr>
            <w:tcW w:w="7416" w:type="dxa"/>
            <w:tcBorders>
              <w:top w:val="nil"/>
              <w:left w:val="nil"/>
              <w:bottom w:val="nil"/>
              <w:right w:val="nil"/>
            </w:tcBorders>
            <w:noWrap/>
            <w:vAlign w:val="bottom"/>
            <w:hideMark/>
          </w:tcPr>
          <w:p w14:paraId="0E093B7A" w14:textId="5A5DE977"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Working with other government agencies and authorities to provide a consistent, whole of government approach to offshore electricity infrastructure</w:t>
            </w:r>
            <w:r w:rsidR="002A7663" w:rsidRPr="00B83411">
              <w:rPr>
                <w:rFonts w:eastAsia="Times New Roman" w:cs="Arial"/>
                <w:lang w:eastAsia="en-AU"/>
              </w:rPr>
              <w:t>#</w:t>
            </w:r>
            <w:r w:rsidRPr="00B83411">
              <w:rPr>
                <w:rFonts w:eastAsia="Times New Roman" w:cs="Arial"/>
                <w:lang w:eastAsia="en-AU"/>
              </w:rPr>
              <w:t xml:space="preserve"> n=15</w:t>
            </w:r>
          </w:p>
        </w:tc>
        <w:tc>
          <w:tcPr>
            <w:tcW w:w="1656" w:type="dxa"/>
            <w:tcBorders>
              <w:top w:val="nil"/>
              <w:left w:val="nil"/>
              <w:bottom w:val="nil"/>
              <w:right w:val="nil"/>
            </w:tcBorders>
            <w:noWrap/>
            <w:vAlign w:val="center"/>
            <w:hideMark/>
          </w:tcPr>
          <w:p w14:paraId="133B5E23"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80</w:t>
            </w:r>
          </w:p>
        </w:tc>
      </w:tr>
      <w:tr w:rsidR="00BF3BB0" w:rsidRPr="00B83411" w14:paraId="3B2065E3"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2B0C1B86" w14:textId="1FB727AA"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Justification of its decisions made about offshore titles / licences n=50</w:t>
            </w:r>
          </w:p>
        </w:tc>
        <w:tc>
          <w:tcPr>
            <w:tcW w:w="1656" w:type="dxa"/>
            <w:tcBorders>
              <w:top w:val="nil"/>
              <w:left w:val="nil"/>
              <w:bottom w:val="nil"/>
              <w:right w:val="nil"/>
            </w:tcBorders>
            <w:shd w:val="clear" w:color="auto" w:fill="D9D9D9" w:themeFill="background1" w:themeFillShade="D9"/>
            <w:noWrap/>
            <w:vAlign w:val="center"/>
            <w:hideMark/>
          </w:tcPr>
          <w:p w14:paraId="0A88BF52"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78</w:t>
            </w:r>
          </w:p>
        </w:tc>
      </w:tr>
      <w:tr w:rsidR="00BF3BB0" w:rsidRPr="00B83411" w14:paraId="486BBC23" w14:textId="77777777" w:rsidTr="00BF3BB0">
        <w:trPr>
          <w:trHeight w:val="255"/>
        </w:trPr>
        <w:tc>
          <w:tcPr>
            <w:tcW w:w="7416" w:type="dxa"/>
            <w:tcBorders>
              <w:top w:val="nil"/>
              <w:left w:val="nil"/>
              <w:bottom w:val="nil"/>
              <w:right w:val="nil"/>
            </w:tcBorders>
            <w:noWrap/>
            <w:vAlign w:val="bottom"/>
            <w:hideMark/>
          </w:tcPr>
          <w:p w14:paraId="64F178AC" w14:textId="006877A1"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Being risk-based</w:t>
            </w:r>
            <w:r w:rsidR="00DD285B" w:rsidRPr="00B83411">
              <w:rPr>
                <w:rFonts w:eastAsia="Times New Roman" w:cs="Arial"/>
                <w:lang w:eastAsia="en-AU"/>
              </w:rPr>
              <w:t xml:space="preserve"> n=51</w:t>
            </w:r>
          </w:p>
        </w:tc>
        <w:tc>
          <w:tcPr>
            <w:tcW w:w="1656" w:type="dxa"/>
            <w:tcBorders>
              <w:top w:val="nil"/>
              <w:left w:val="nil"/>
              <w:bottom w:val="nil"/>
              <w:right w:val="nil"/>
            </w:tcBorders>
            <w:noWrap/>
            <w:vAlign w:val="center"/>
            <w:hideMark/>
          </w:tcPr>
          <w:p w14:paraId="1EAF5C11"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76</w:t>
            </w:r>
          </w:p>
        </w:tc>
      </w:tr>
      <w:tr w:rsidR="00BF3BB0" w:rsidRPr="00B83411" w14:paraId="029BFA79" w14:textId="77777777" w:rsidTr="00BF3BB0">
        <w:trPr>
          <w:trHeight w:val="300"/>
        </w:trPr>
        <w:tc>
          <w:tcPr>
            <w:tcW w:w="7416" w:type="dxa"/>
            <w:tcBorders>
              <w:top w:val="nil"/>
              <w:left w:val="nil"/>
              <w:bottom w:val="nil"/>
              <w:right w:val="nil"/>
            </w:tcBorders>
            <w:shd w:val="clear" w:color="auto" w:fill="D9D9D9" w:themeFill="background1" w:themeFillShade="D9"/>
            <w:noWrap/>
            <w:vAlign w:val="bottom"/>
            <w:hideMark/>
          </w:tcPr>
          <w:p w14:paraId="681D5AE3" w14:textId="50CE1B37"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Balancing administrative and compliance effort</w:t>
            </w:r>
            <w:r w:rsidR="006315BF" w:rsidRPr="00B83411">
              <w:rPr>
                <w:rFonts w:eastAsia="Times New Roman" w:cs="Arial"/>
                <w:lang w:eastAsia="en-AU"/>
              </w:rPr>
              <w:t xml:space="preserve"> </w:t>
            </w:r>
            <w:r w:rsidRPr="00B83411">
              <w:rPr>
                <w:rFonts w:eastAsia="Times New Roman" w:cs="Arial"/>
                <w:lang w:eastAsia="en-AU"/>
              </w:rPr>
              <w:t>with outcomes</w:t>
            </w:r>
            <w:r w:rsidR="00DD285B" w:rsidRPr="00B83411">
              <w:rPr>
                <w:rFonts w:eastAsia="Times New Roman" w:cs="Arial"/>
                <w:lang w:eastAsia="en-AU"/>
              </w:rPr>
              <w:t xml:space="preserve"> n=55</w:t>
            </w:r>
          </w:p>
        </w:tc>
        <w:tc>
          <w:tcPr>
            <w:tcW w:w="1656" w:type="dxa"/>
            <w:tcBorders>
              <w:top w:val="nil"/>
              <w:left w:val="nil"/>
              <w:bottom w:val="nil"/>
              <w:right w:val="nil"/>
            </w:tcBorders>
            <w:shd w:val="clear" w:color="auto" w:fill="D9D9D9" w:themeFill="background1" w:themeFillShade="D9"/>
            <w:noWrap/>
            <w:vAlign w:val="center"/>
            <w:hideMark/>
          </w:tcPr>
          <w:p w14:paraId="49349DF1" w14:textId="034D54B5"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7</w:t>
            </w:r>
            <w:r w:rsidR="00585162" w:rsidRPr="00B83411">
              <w:rPr>
                <w:rFonts w:eastAsia="Times New Roman" w:cs="Arial"/>
                <w:lang w:eastAsia="en-AU"/>
              </w:rPr>
              <w:t>5</w:t>
            </w:r>
          </w:p>
        </w:tc>
      </w:tr>
      <w:tr w:rsidR="00BF3BB0" w:rsidRPr="00B83411" w14:paraId="4166B48A" w14:textId="77777777" w:rsidTr="00BF3BB0">
        <w:trPr>
          <w:trHeight w:val="300"/>
        </w:trPr>
        <w:tc>
          <w:tcPr>
            <w:tcW w:w="7416" w:type="dxa"/>
            <w:tcBorders>
              <w:top w:val="nil"/>
              <w:left w:val="nil"/>
              <w:right w:val="nil"/>
            </w:tcBorders>
            <w:noWrap/>
            <w:vAlign w:val="bottom"/>
            <w:hideMark/>
          </w:tcPr>
          <w:p w14:paraId="34E4B838" w14:textId="5407495A" w:rsidR="00BF3BB0" w:rsidRPr="00B83411" w:rsidRDefault="00BF3BB0" w:rsidP="00BF3BB0">
            <w:pPr>
              <w:spacing w:before="60" w:after="60" w:line="240" w:lineRule="auto"/>
              <w:ind w:right="0"/>
              <w:rPr>
                <w:rFonts w:eastAsia="Times New Roman" w:cs="Arial"/>
                <w:lang w:eastAsia="en-AU"/>
              </w:rPr>
            </w:pPr>
            <w:r w:rsidRPr="00B83411">
              <w:rPr>
                <w:rFonts w:eastAsia="Times New Roman" w:cs="Arial"/>
                <w:lang w:eastAsia="en-AU"/>
              </w:rPr>
              <w:t>Transparency of its decisions about offshore titles / licences n=49</w:t>
            </w:r>
          </w:p>
        </w:tc>
        <w:tc>
          <w:tcPr>
            <w:tcW w:w="1656" w:type="dxa"/>
            <w:tcBorders>
              <w:top w:val="nil"/>
              <w:left w:val="nil"/>
              <w:right w:val="nil"/>
            </w:tcBorders>
            <w:noWrap/>
            <w:vAlign w:val="center"/>
            <w:hideMark/>
          </w:tcPr>
          <w:p w14:paraId="457C0208" w14:textId="77777777" w:rsidR="00BF3BB0" w:rsidRPr="00B83411" w:rsidRDefault="00BF3BB0" w:rsidP="00BF3BB0">
            <w:pPr>
              <w:spacing w:before="60" w:after="60" w:line="240" w:lineRule="auto"/>
              <w:ind w:right="0"/>
              <w:jc w:val="center"/>
              <w:rPr>
                <w:rFonts w:eastAsia="Times New Roman" w:cs="Arial"/>
                <w:lang w:eastAsia="en-AU"/>
              </w:rPr>
            </w:pPr>
            <w:r w:rsidRPr="00B83411">
              <w:rPr>
                <w:rFonts w:eastAsia="Times New Roman" w:cs="Arial"/>
                <w:lang w:eastAsia="en-AU"/>
              </w:rPr>
              <w:t>73</w:t>
            </w:r>
          </w:p>
        </w:tc>
      </w:tr>
      <w:tr w:rsidR="00BF3BB0" w:rsidRPr="00B83411" w14:paraId="0A713410" w14:textId="77777777" w:rsidTr="000D4863">
        <w:trPr>
          <w:trHeight w:val="300"/>
        </w:trPr>
        <w:tc>
          <w:tcPr>
            <w:tcW w:w="7416" w:type="dxa"/>
            <w:tcBorders>
              <w:top w:val="nil"/>
              <w:left w:val="nil"/>
              <w:bottom w:val="nil"/>
              <w:right w:val="nil"/>
            </w:tcBorders>
            <w:shd w:val="clear" w:color="auto" w:fill="D9D9D9" w:themeFill="background1" w:themeFillShade="D9"/>
            <w:noWrap/>
            <w:vAlign w:val="bottom"/>
            <w:hideMark/>
          </w:tcPr>
          <w:p w14:paraId="1C28DE7D" w14:textId="70D7E5DD" w:rsidR="00BF3BB0" w:rsidRPr="00B83411" w:rsidRDefault="00BF3BB0" w:rsidP="00BF3BB0">
            <w:pPr>
              <w:spacing w:before="60" w:after="60" w:line="240" w:lineRule="auto"/>
              <w:ind w:right="0"/>
              <w:rPr>
                <w:rFonts w:eastAsia="Times New Roman" w:cs="Arial"/>
                <w:b/>
                <w:bCs/>
                <w:lang w:eastAsia="en-AU"/>
              </w:rPr>
            </w:pPr>
            <w:r w:rsidRPr="00B83411">
              <w:rPr>
                <w:rFonts w:eastAsia="Times New Roman" w:cs="Arial"/>
                <w:b/>
                <w:bCs/>
                <w:lang w:eastAsia="en-AU"/>
              </w:rPr>
              <w:t>The efficiency of its titles / licences administration n=68</w:t>
            </w:r>
          </w:p>
        </w:tc>
        <w:tc>
          <w:tcPr>
            <w:tcW w:w="1656" w:type="dxa"/>
            <w:tcBorders>
              <w:top w:val="nil"/>
              <w:left w:val="nil"/>
              <w:bottom w:val="nil"/>
              <w:right w:val="nil"/>
            </w:tcBorders>
            <w:shd w:val="clear" w:color="auto" w:fill="D9D9D9" w:themeFill="background1" w:themeFillShade="D9"/>
            <w:noWrap/>
            <w:vAlign w:val="center"/>
            <w:hideMark/>
          </w:tcPr>
          <w:p w14:paraId="66EC1868" w14:textId="77777777" w:rsidR="00BF3BB0" w:rsidRPr="00B83411" w:rsidRDefault="00BF3BB0" w:rsidP="00BF3BB0">
            <w:pPr>
              <w:spacing w:before="60" w:after="60" w:line="240" w:lineRule="auto"/>
              <w:ind w:right="0"/>
              <w:jc w:val="center"/>
              <w:rPr>
                <w:rFonts w:eastAsia="Times New Roman" w:cs="Arial"/>
                <w:b/>
                <w:bCs/>
                <w:lang w:eastAsia="en-AU"/>
              </w:rPr>
            </w:pPr>
            <w:r w:rsidRPr="00B83411">
              <w:rPr>
                <w:rFonts w:eastAsia="Times New Roman" w:cs="Arial"/>
                <w:b/>
                <w:bCs/>
                <w:lang w:eastAsia="en-AU"/>
              </w:rPr>
              <w:t>67</w:t>
            </w:r>
          </w:p>
        </w:tc>
      </w:tr>
      <w:tr w:rsidR="000D4863" w:rsidRPr="00B83411" w14:paraId="0B57C37D" w14:textId="77777777" w:rsidTr="000D4863">
        <w:trPr>
          <w:trHeight w:val="300"/>
        </w:trPr>
        <w:tc>
          <w:tcPr>
            <w:tcW w:w="7416" w:type="dxa"/>
            <w:tcBorders>
              <w:top w:val="nil"/>
              <w:left w:val="nil"/>
              <w:bottom w:val="single" w:sz="4" w:space="0" w:color="auto"/>
              <w:right w:val="nil"/>
            </w:tcBorders>
            <w:noWrap/>
            <w:vAlign w:val="bottom"/>
          </w:tcPr>
          <w:p w14:paraId="38B38729" w14:textId="1F2FFC6F" w:rsidR="000D4863" w:rsidRPr="00B83411" w:rsidRDefault="000D4863" w:rsidP="00BF3BB0">
            <w:pPr>
              <w:spacing w:before="60" w:after="60" w:line="240" w:lineRule="auto"/>
              <w:ind w:right="0"/>
              <w:rPr>
                <w:rFonts w:eastAsia="Times New Roman" w:cs="Arial"/>
                <w:b/>
                <w:bCs/>
                <w:lang w:eastAsia="en-AU"/>
              </w:rPr>
            </w:pPr>
            <w:r w:rsidRPr="00B83411">
              <w:rPr>
                <w:rFonts w:eastAsia="Times New Roman" w:cs="Arial"/>
                <w:b/>
                <w:bCs/>
                <w:lang w:eastAsia="en-AU"/>
              </w:rPr>
              <w:t>Processing its applications to meet its published assessment timeframes</w:t>
            </w:r>
            <w:r w:rsidR="004F64AF" w:rsidRPr="00B83411">
              <w:rPr>
                <w:rFonts w:eastAsia="Times New Roman" w:cs="Arial"/>
                <w:b/>
                <w:bCs/>
                <w:lang w:eastAsia="en-AU"/>
              </w:rPr>
              <w:t xml:space="preserve">^ </w:t>
            </w:r>
            <w:r w:rsidRPr="00B83411">
              <w:rPr>
                <w:rFonts w:eastAsia="Times New Roman" w:cs="Arial"/>
                <w:b/>
                <w:bCs/>
                <w:lang w:eastAsia="en-AU"/>
              </w:rPr>
              <w:t>n=45</w:t>
            </w:r>
          </w:p>
        </w:tc>
        <w:tc>
          <w:tcPr>
            <w:tcW w:w="1656" w:type="dxa"/>
            <w:tcBorders>
              <w:top w:val="nil"/>
              <w:left w:val="nil"/>
              <w:bottom w:val="single" w:sz="4" w:space="0" w:color="auto"/>
              <w:right w:val="nil"/>
            </w:tcBorders>
            <w:noWrap/>
            <w:vAlign w:val="center"/>
          </w:tcPr>
          <w:p w14:paraId="5A55096F" w14:textId="46242A41" w:rsidR="000D4863" w:rsidRPr="00B83411" w:rsidRDefault="000D4863" w:rsidP="00BF3BB0">
            <w:pPr>
              <w:spacing w:before="60" w:after="60" w:line="240" w:lineRule="auto"/>
              <w:ind w:right="0"/>
              <w:jc w:val="center"/>
              <w:rPr>
                <w:rFonts w:eastAsia="Times New Roman" w:cs="Arial"/>
                <w:b/>
                <w:bCs/>
                <w:lang w:eastAsia="en-AU"/>
              </w:rPr>
            </w:pPr>
            <w:r w:rsidRPr="00B83411">
              <w:rPr>
                <w:rFonts w:eastAsia="Times New Roman" w:cs="Arial"/>
                <w:b/>
                <w:bCs/>
                <w:lang w:eastAsia="en-AU"/>
              </w:rPr>
              <w:t>58</w:t>
            </w:r>
          </w:p>
        </w:tc>
      </w:tr>
    </w:tbl>
    <w:p w14:paraId="647B1FB9" w14:textId="22DEB1A8" w:rsidR="00BF3BB0" w:rsidRPr="00B83411" w:rsidRDefault="00A71010" w:rsidP="004F64AF">
      <w:pPr>
        <w:pStyle w:val="ListParagraph"/>
        <w:numPr>
          <w:ilvl w:val="0"/>
          <w:numId w:val="0"/>
        </w:numPr>
        <w:spacing w:before="120" w:after="60"/>
        <w:rPr>
          <w:i/>
          <w:iCs/>
        </w:rPr>
      </w:pPr>
      <w:r w:rsidRPr="00B83411">
        <w:rPr>
          <w:i/>
          <w:iCs/>
        </w:rPr>
        <w:t>*Excludes digital experience questions which had small sample numbers</w:t>
      </w:r>
      <w:r w:rsidR="006315BF" w:rsidRPr="00B83411">
        <w:rPr>
          <w:i/>
          <w:iCs/>
        </w:rPr>
        <w:t xml:space="preserve"> and were user selected (only those with experience in a system / platform answered about it)</w:t>
      </w:r>
    </w:p>
    <w:p w14:paraId="27345712" w14:textId="54503A93" w:rsidR="002A7663" w:rsidRPr="00B83411" w:rsidRDefault="002A7663" w:rsidP="004F64AF">
      <w:pPr>
        <w:pStyle w:val="ListParagraph"/>
        <w:numPr>
          <w:ilvl w:val="0"/>
          <w:numId w:val="0"/>
        </w:numPr>
        <w:spacing w:before="120" w:after="60"/>
        <w:rPr>
          <w:i/>
          <w:iCs/>
        </w:rPr>
      </w:pPr>
      <w:r w:rsidRPr="00B83411">
        <w:rPr>
          <w:i/>
          <w:iCs/>
        </w:rPr>
        <w:t>#Asked of the OEI sector only</w:t>
      </w:r>
    </w:p>
    <w:p w14:paraId="40DBFC99" w14:textId="19A69A7E" w:rsidR="004F64AF" w:rsidRPr="00B83411" w:rsidRDefault="004F64AF" w:rsidP="00A71010">
      <w:pPr>
        <w:pStyle w:val="ListParagraph"/>
        <w:numPr>
          <w:ilvl w:val="0"/>
          <w:numId w:val="0"/>
        </w:numPr>
        <w:spacing w:before="120"/>
        <w:rPr>
          <w:i/>
          <w:iCs/>
        </w:rPr>
      </w:pPr>
      <w:r w:rsidRPr="00B83411">
        <w:rPr>
          <w:i/>
          <w:iCs/>
        </w:rPr>
        <w:t xml:space="preserve">^Asked of </w:t>
      </w:r>
      <w:r w:rsidR="00B746C9" w:rsidRPr="00B83411">
        <w:rPr>
          <w:i/>
          <w:iCs/>
        </w:rPr>
        <w:t>title</w:t>
      </w:r>
      <w:r w:rsidRPr="00B83411">
        <w:rPr>
          <w:i/>
          <w:iCs/>
        </w:rPr>
        <w:t xml:space="preserve"> holders</w:t>
      </w:r>
      <w:r w:rsidR="002A7663" w:rsidRPr="00B83411">
        <w:rPr>
          <w:i/>
          <w:iCs/>
        </w:rPr>
        <w:t xml:space="preserve"> only</w:t>
      </w:r>
    </w:p>
    <w:p w14:paraId="522138A0" w14:textId="4852BC5A" w:rsidR="00994F34" w:rsidRPr="00B83411" w:rsidRDefault="007E6BC1" w:rsidP="00BC5D6A">
      <w:pPr>
        <w:pStyle w:val="Heading2"/>
      </w:pPr>
      <w:bookmarkStart w:id="12" w:name="_Toc213926343"/>
      <w:r w:rsidRPr="00B83411">
        <w:t>Interactions with NOPTA / OIR</w:t>
      </w:r>
      <w:bookmarkEnd w:id="12"/>
    </w:p>
    <w:p w14:paraId="6EB97443" w14:textId="7BCE0369" w:rsidR="00B94C0E" w:rsidRPr="00B83411" w:rsidRDefault="006315BF" w:rsidP="007D2133">
      <w:r w:rsidRPr="00B83411">
        <w:t xml:space="preserve">Respondents were asked a range of questions around their interactions with administrator / </w:t>
      </w:r>
      <w:r w:rsidR="00C54F6E" w:rsidRPr="00B83411">
        <w:t>registrar</w:t>
      </w:r>
      <w:r w:rsidRPr="00B83411">
        <w:t xml:space="preserve"> staff. All questions in this topic scored highly and </w:t>
      </w:r>
      <w:r w:rsidRPr="00B83411">
        <w:rPr>
          <w:b/>
          <w:bCs/>
        </w:rPr>
        <w:t>staff and relationships with stakeholders</w:t>
      </w:r>
      <w:r w:rsidRPr="00B83411">
        <w:t xml:space="preserve"> should be considered a NOPTA / OIR strength</w:t>
      </w:r>
      <w:r w:rsidR="00DC202E" w:rsidRPr="00B83411">
        <w:t xml:space="preserve">, particularly as both title </w:t>
      </w:r>
      <w:r w:rsidR="00C908B7" w:rsidRPr="00B83411">
        <w:t>holders /</w:t>
      </w:r>
      <w:r w:rsidR="00DC202E" w:rsidRPr="00B83411">
        <w:t xml:space="preserve"> licence holders and government agency staff had identical views on cooperative relationships.</w:t>
      </w:r>
      <w:r w:rsidRPr="00B83411">
        <w:t xml:space="preserve"> </w:t>
      </w:r>
    </w:p>
    <w:p w14:paraId="7F9A48E5" w14:textId="4679E9C4" w:rsidR="006315BF" w:rsidRPr="00B83411" w:rsidRDefault="006315BF" w:rsidP="00B94C0E">
      <w:pPr>
        <w:spacing w:after="240"/>
      </w:pPr>
      <w:r w:rsidRPr="00B83411">
        <w:t xml:space="preserve">Only those respondents who were part of the OEI sector were asked about the </w:t>
      </w:r>
      <w:r w:rsidRPr="00B83411">
        <w:rPr>
          <w:b/>
          <w:bCs/>
        </w:rPr>
        <w:t xml:space="preserve">consistent </w:t>
      </w:r>
      <w:r w:rsidR="001754A8" w:rsidRPr="00B83411">
        <w:rPr>
          <w:b/>
          <w:bCs/>
        </w:rPr>
        <w:t xml:space="preserve">whole of </w:t>
      </w:r>
      <w:r w:rsidR="00C908B7" w:rsidRPr="00B83411">
        <w:rPr>
          <w:b/>
          <w:bCs/>
        </w:rPr>
        <w:t>government</w:t>
      </w:r>
      <w:r w:rsidRPr="00B83411">
        <w:rPr>
          <w:b/>
          <w:bCs/>
        </w:rPr>
        <w:t xml:space="preserve"> approach</w:t>
      </w:r>
      <w:r w:rsidRPr="00B83411">
        <w:t xml:space="preserve"> question (hence the low</w:t>
      </w:r>
      <w:r w:rsidR="00DC202E" w:rsidRPr="00B83411">
        <w:t>er</w:t>
      </w:r>
      <w:r w:rsidRPr="00B83411">
        <w:t xml:space="preserve"> n count)</w:t>
      </w:r>
      <w:r w:rsidR="00B94C0E" w:rsidRPr="00B83411">
        <w:t xml:space="preserve"> and this is the lower scoring item within this topic. It </w:t>
      </w:r>
      <w:r w:rsidR="00A67900" w:rsidRPr="00B83411">
        <w:t>could</w:t>
      </w:r>
      <w:r w:rsidR="00B94C0E" w:rsidRPr="00B83411">
        <w:t xml:space="preserve"> point to providing more information about how a consistent approach is being achieved.</w:t>
      </w:r>
    </w:p>
    <w:p w14:paraId="36048F96" w14:textId="58DC4D0C" w:rsidR="00313DD1" w:rsidRPr="00B83411" w:rsidRDefault="006315BF" w:rsidP="006315BF">
      <w:pPr>
        <w:pStyle w:val="Caption"/>
      </w:pPr>
      <w:r w:rsidRPr="00B83411">
        <w:t xml:space="preserve">Table </w:t>
      </w:r>
      <w:r w:rsidR="00C32D47">
        <w:fldChar w:fldCharType="begin"/>
      </w:r>
      <w:r w:rsidR="00C32D47">
        <w:instrText xml:space="preserve"> SEQ Table \* ARABIC </w:instrText>
      </w:r>
      <w:r w:rsidR="00C32D47">
        <w:fldChar w:fldCharType="separate"/>
      </w:r>
      <w:r w:rsidR="00C350E2">
        <w:rPr>
          <w:noProof/>
        </w:rPr>
        <w:t>5</w:t>
      </w:r>
      <w:r w:rsidR="00C32D47">
        <w:fldChar w:fldCharType="end"/>
      </w:r>
      <w:r w:rsidRPr="00B83411">
        <w:t>: Interactions with NOPTA / OIR</w:t>
      </w:r>
    </w:p>
    <w:tbl>
      <w:tblPr>
        <w:tblW w:w="8647" w:type="dxa"/>
        <w:tblLayout w:type="fixed"/>
        <w:tblLook w:val="0000" w:firstRow="0" w:lastRow="0" w:firstColumn="0" w:lastColumn="0" w:noHBand="0" w:noVBand="0"/>
      </w:tblPr>
      <w:tblGrid>
        <w:gridCol w:w="6946"/>
        <w:gridCol w:w="1701"/>
      </w:tblGrid>
      <w:tr w:rsidR="002707A8" w:rsidRPr="00B83411" w14:paraId="05E7F20B" w14:textId="77777777" w:rsidTr="00AE1430">
        <w:trPr>
          <w:trHeight w:val="267"/>
          <w:tblHeader/>
        </w:trPr>
        <w:tc>
          <w:tcPr>
            <w:tcW w:w="6946" w:type="dxa"/>
            <w:shd w:val="clear" w:color="auto" w:fill="003366"/>
            <w:noWrap/>
            <w:vAlign w:val="center"/>
          </w:tcPr>
          <w:p w14:paraId="23F5EE46" w14:textId="5A6573BE" w:rsidR="002707A8" w:rsidRPr="00B83411" w:rsidRDefault="002707A8" w:rsidP="002707A8">
            <w:pPr>
              <w:pStyle w:val="Tabletext"/>
              <w:keepNext/>
              <w:spacing w:before="60" w:after="60"/>
              <w:rPr>
                <w:rFonts w:ascii="Arial Nova" w:hAnsi="Arial Nova" w:cs="Arial"/>
                <w:color w:val="FFFFFF"/>
                <w:sz w:val="22"/>
                <w:szCs w:val="22"/>
                <w:lang w:val="en-AU"/>
              </w:rPr>
            </w:pPr>
            <w:r w:rsidRPr="00B83411">
              <w:rPr>
                <w:rFonts w:ascii="Arial Nova" w:hAnsi="Arial Nova" w:cs="Arial"/>
                <w:b/>
                <w:bCs/>
                <w:color w:val="FFFFFF"/>
                <w:sz w:val="22"/>
                <w:szCs w:val="22"/>
                <w:lang w:val="en-AU"/>
              </w:rPr>
              <w:t>Interactions with NOPTA / OIR</w:t>
            </w:r>
          </w:p>
        </w:tc>
        <w:tc>
          <w:tcPr>
            <w:tcW w:w="1701" w:type="dxa"/>
            <w:shd w:val="clear" w:color="auto" w:fill="003366"/>
            <w:vAlign w:val="center"/>
          </w:tcPr>
          <w:p w14:paraId="0564C50B" w14:textId="4ABF645E" w:rsidR="002707A8" w:rsidRPr="00B83411" w:rsidRDefault="002707A8" w:rsidP="002707A8">
            <w:pPr>
              <w:pStyle w:val="Tabletext"/>
              <w:keepNext/>
              <w:spacing w:before="60" w:after="60"/>
              <w:jc w:val="center"/>
              <w:rPr>
                <w:rFonts w:ascii="Arial Nova" w:hAnsi="Arial Nova" w:cs="Arial"/>
                <w:color w:val="FFFFFF"/>
                <w:sz w:val="22"/>
                <w:szCs w:val="22"/>
                <w:lang w:val="en-AU"/>
              </w:rPr>
            </w:pPr>
            <w:r w:rsidRPr="00B83411">
              <w:rPr>
                <w:rFonts w:ascii="Arial Nova" w:hAnsi="Arial Nova" w:cs="Arial"/>
                <w:b/>
                <w:bCs/>
                <w:color w:val="FFFFFF"/>
                <w:sz w:val="22"/>
                <w:szCs w:val="22"/>
                <w:lang w:val="en-AU"/>
              </w:rPr>
              <w:t>% positive</w:t>
            </w:r>
          </w:p>
        </w:tc>
      </w:tr>
      <w:tr w:rsidR="002707A8" w:rsidRPr="00B83411" w14:paraId="4CD75636" w14:textId="77777777" w:rsidTr="00AE1430">
        <w:trPr>
          <w:trHeight w:val="267"/>
        </w:trPr>
        <w:tc>
          <w:tcPr>
            <w:tcW w:w="6946" w:type="dxa"/>
            <w:noWrap/>
            <w:vAlign w:val="center"/>
          </w:tcPr>
          <w:p w14:paraId="2E3D4892" w14:textId="0C16637B" w:rsidR="002707A8" w:rsidRPr="00B83411" w:rsidRDefault="002707A8" w:rsidP="002707A8">
            <w:pPr>
              <w:spacing w:before="60" w:after="60"/>
              <w:ind w:right="0"/>
              <w:rPr>
                <w:rFonts w:cs="Arial"/>
                <w:color w:val="000000"/>
              </w:rPr>
            </w:pPr>
            <w:r w:rsidRPr="00B83411">
              <w:rPr>
                <w:rFonts w:cs="Arial"/>
                <w:color w:val="000000"/>
              </w:rPr>
              <w:t>Technical expertise of staff n=79</w:t>
            </w:r>
          </w:p>
        </w:tc>
        <w:tc>
          <w:tcPr>
            <w:tcW w:w="1701" w:type="dxa"/>
            <w:vAlign w:val="center"/>
          </w:tcPr>
          <w:p w14:paraId="431662C1" w14:textId="77C5584B" w:rsidR="002707A8" w:rsidRPr="00B83411" w:rsidRDefault="002707A8" w:rsidP="002707A8">
            <w:pPr>
              <w:spacing w:before="60" w:after="60"/>
              <w:ind w:right="0"/>
              <w:jc w:val="center"/>
            </w:pPr>
            <w:r w:rsidRPr="00B83411">
              <w:rPr>
                <w:rFonts w:cs="Arial"/>
              </w:rPr>
              <w:t>96</w:t>
            </w:r>
          </w:p>
        </w:tc>
      </w:tr>
      <w:tr w:rsidR="002707A8" w:rsidRPr="00B83411" w14:paraId="01676A1A" w14:textId="77777777" w:rsidTr="00AE1430">
        <w:trPr>
          <w:trHeight w:val="267"/>
        </w:trPr>
        <w:tc>
          <w:tcPr>
            <w:tcW w:w="6946" w:type="dxa"/>
            <w:shd w:val="clear" w:color="auto" w:fill="D1D1D1"/>
            <w:noWrap/>
            <w:vAlign w:val="center"/>
          </w:tcPr>
          <w:p w14:paraId="7C13361F" w14:textId="6FCA6FC3" w:rsidR="002707A8" w:rsidRPr="00B83411" w:rsidRDefault="002707A8" w:rsidP="002707A8">
            <w:pPr>
              <w:spacing w:before="60" w:after="60"/>
              <w:ind w:right="0"/>
              <w:rPr>
                <w:rFonts w:cs="Arial"/>
                <w:color w:val="000000"/>
              </w:rPr>
            </w:pPr>
            <w:r w:rsidRPr="00B83411">
              <w:rPr>
                <w:rFonts w:cs="Arial"/>
                <w:color w:val="000000"/>
              </w:rPr>
              <w:t>Helpfulness of staff n=80</w:t>
            </w:r>
          </w:p>
        </w:tc>
        <w:tc>
          <w:tcPr>
            <w:tcW w:w="1701" w:type="dxa"/>
            <w:shd w:val="clear" w:color="auto" w:fill="D1D1D1"/>
            <w:vAlign w:val="center"/>
          </w:tcPr>
          <w:p w14:paraId="7E9A52CC" w14:textId="44D420F4" w:rsidR="002707A8" w:rsidRPr="00B83411" w:rsidRDefault="002707A8" w:rsidP="002707A8">
            <w:pPr>
              <w:spacing w:before="60" w:after="60"/>
              <w:ind w:right="0"/>
              <w:jc w:val="center"/>
            </w:pPr>
            <w:r w:rsidRPr="00B83411">
              <w:rPr>
                <w:rFonts w:cs="Arial"/>
              </w:rPr>
              <w:t>98</w:t>
            </w:r>
          </w:p>
        </w:tc>
      </w:tr>
      <w:tr w:rsidR="002707A8" w:rsidRPr="00B83411" w14:paraId="40D24FED" w14:textId="77777777" w:rsidTr="00AE1430">
        <w:trPr>
          <w:trHeight w:val="267"/>
        </w:trPr>
        <w:tc>
          <w:tcPr>
            <w:tcW w:w="6946" w:type="dxa"/>
            <w:noWrap/>
            <w:vAlign w:val="center"/>
          </w:tcPr>
          <w:p w14:paraId="78A6B497" w14:textId="5A81FC55" w:rsidR="002707A8" w:rsidRPr="00B83411" w:rsidRDefault="002707A8" w:rsidP="002707A8">
            <w:pPr>
              <w:spacing w:before="60" w:after="60"/>
              <w:ind w:right="0"/>
            </w:pPr>
            <w:r w:rsidRPr="00B83411">
              <w:rPr>
                <w:rFonts w:cs="Arial"/>
                <w:color w:val="000000"/>
              </w:rPr>
              <w:t>Building cooperative relationships with your company and industry (title</w:t>
            </w:r>
            <w:r w:rsidR="00B746C9" w:rsidRPr="00B83411">
              <w:rPr>
                <w:rFonts w:cs="Arial"/>
                <w:color w:val="000000"/>
              </w:rPr>
              <w:t xml:space="preserve"> / licence </w:t>
            </w:r>
            <w:r w:rsidRPr="00B83411">
              <w:rPr>
                <w:rFonts w:cs="Arial"/>
                <w:color w:val="000000"/>
              </w:rPr>
              <w:t xml:space="preserve">holder only) n=57 </w:t>
            </w:r>
          </w:p>
        </w:tc>
        <w:tc>
          <w:tcPr>
            <w:tcW w:w="1701" w:type="dxa"/>
            <w:vAlign w:val="center"/>
          </w:tcPr>
          <w:p w14:paraId="45E6C2F7" w14:textId="7F9E2793" w:rsidR="002707A8" w:rsidRPr="00B83411" w:rsidRDefault="002707A8" w:rsidP="002707A8">
            <w:pPr>
              <w:spacing w:before="60" w:after="60"/>
              <w:ind w:right="0"/>
              <w:jc w:val="center"/>
            </w:pPr>
            <w:r w:rsidRPr="00B83411">
              <w:rPr>
                <w:rFonts w:cs="Arial"/>
              </w:rPr>
              <w:t>100</w:t>
            </w:r>
          </w:p>
        </w:tc>
      </w:tr>
      <w:tr w:rsidR="002707A8" w:rsidRPr="00B83411" w14:paraId="15C27C0C" w14:textId="77777777" w:rsidTr="00AE1430">
        <w:trPr>
          <w:trHeight w:val="267"/>
        </w:trPr>
        <w:tc>
          <w:tcPr>
            <w:tcW w:w="6946" w:type="dxa"/>
            <w:shd w:val="clear" w:color="auto" w:fill="D1D1D1"/>
            <w:noWrap/>
            <w:vAlign w:val="center"/>
          </w:tcPr>
          <w:p w14:paraId="72885DA7" w14:textId="2ABBB46B" w:rsidR="002707A8" w:rsidRPr="00B83411" w:rsidRDefault="002707A8" w:rsidP="002707A8">
            <w:pPr>
              <w:spacing w:before="60" w:after="60"/>
              <w:ind w:right="0"/>
              <w:rPr>
                <w:i/>
                <w:iCs/>
              </w:rPr>
            </w:pPr>
            <w:r w:rsidRPr="00B83411">
              <w:rPr>
                <w:rFonts w:cs="Arial"/>
                <w:i/>
                <w:iCs/>
                <w:color w:val="000000"/>
              </w:rPr>
              <w:t>Building cooperative relationships with government decision makers / your agency (govt agency only) n=22</w:t>
            </w:r>
          </w:p>
        </w:tc>
        <w:tc>
          <w:tcPr>
            <w:tcW w:w="1701" w:type="dxa"/>
            <w:shd w:val="clear" w:color="auto" w:fill="D1D1D1"/>
            <w:vAlign w:val="center"/>
          </w:tcPr>
          <w:p w14:paraId="747DB62B" w14:textId="3943D19B" w:rsidR="002707A8" w:rsidRPr="00B83411" w:rsidRDefault="002707A8" w:rsidP="002707A8">
            <w:pPr>
              <w:spacing w:before="60" w:after="60"/>
              <w:ind w:right="0"/>
              <w:jc w:val="center"/>
            </w:pPr>
            <w:r w:rsidRPr="00B83411">
              <w:rPr>
                <w:rFonts w:cs="Arial"/>
              </w:rPr>
              <w:t>100</w:t>
            </w:r>
          </w:p>
        </w:tc>
      </w:tr>
      <w:tr w:rsidR="002707A8" w:rsidRPr="00B83411" w14:paraId="15AFE76B" w14:textId="77777777" w:rsidTr="00AE1430">
        <w:trPr>
          <w:trHeight w:val="267"/>
        </w:trPr>
        <w:tc>
          <w:tcPr>
            <w:tcW w:w="6946" w:type="dxa"/>
            <w:noWrap/>
            <w:vAlign w:val="center"/>
          </w:tcPr>
          <w:p w14:paraId="39D39715" w14:textId="79CCF18F" w:rsidR="002707A8" w:rsidRPr="00B83411" w:rsidRDefault="002707A8" w:rsidP="002707A8">
            <w:pPr>
              <w:spacing w:before="60" w:after="60"/>
              <w:ind w:right="0"/>
            </w:pPr>
            <w:r w:rsidRPr="00B83411">
              <w:rPr>
                <w:rFonts w:cs="Arial"/>
                <w:color w:val="000000"/>
              </w:rPr>
              <w:t>Collaboration with stakeholders to improve administration n=74</w:t>
            </w:r>
          </w:p>
        </w:tc>
        <w:tc>
          <w:tcPr>
            <w:tcW w:w="1701" w:type="dxa"/>
            <w:vAlign w:val="center"/>
          </w:tcPr>
          <w:p w14:paraId="0557D5C0" w14:textId="465BFB60" w:rsidR="002707A8" w:rsidRPr="00B83411" w:rsidRDefault="002707A8" w:rsidP="002707A8">
            <w:pPr>
              <w:spacing w:before="60" w:after="60"/>
              <w:ind w:right="0"/>
              <w:jc w:val="center"/>
            </w:pPr>
            <w:r w:rsidRPr="00B83411">
              <w:rPr>
                <w:rFonts w:cs="Arial"/>
              </w:rPr>
              <w:t>93</w:t>
            </w:r>
          </w:p>
        </w:tc>
      </w:tr>
      <w:tr w:rsidR="002707A8" w:rsidRPr="00B83411" w14:paraId="6925944E" w14:textId="77777777" w:rsidTr="00AE1430">
        <w:trPr>
          <w:trHeight w:val="267"/>
        </w:trPr>
        <w:tc>
          <w:tcPr>
            <w:tcW w:w="6946" w:type="dxa"/>
            <w:shd w:val="clear" w:color="auto" w:fill="D1D1D1"/>
            <w:noWrap/>
            <w:vAlign w:val="center"/>
          </w:tcPr>
          <w:p w14:paraId="7F5EF26B" w14:textId="7237D976" w:rsidR="002707A8" w:rsidRPr="00B83411" w:rsidRDefault="002707A8" w:rsidP="002707A8">
            <w:pPr>
              <w:spacing w:before="60" w:after="60"/>
              <w:ind w:right="0"/>
            </w:pPr>
            <w:r w:rsidRPr="00B83411">
              <w:rPr>
                <w:rFonts w:cs="Arial"/>
                <w:color w:val="000000"/>
              </w:rPr>
              <w:t>Working with</w:t>
            </w:r>
            <w:r w:rsidR="00DC202E" w:rsidRPr="00B83411">
              <w:rPr>
                <w:rFonts w:cs="Arial"/>
                <w:color w:val="000000"/>
              </w:rPr>
              <w:t xml:space="preserve"> </w:t>
            </w:r>
            <w:r w:rsidRPr="00B83411">
              <w:rPr>
                <w:rFonts w:cs="Arial"/>
                <w:color w:val="000000"/>
              </w:rPr>
              <w:t>other government agencies and authorities to provide a consistent, whole of government approach to offshore electricity infrastructure (O</w:t>
            </w:r>
            <w:r w:rsidR="006315BF" w:rsidRPr="00B83411">
              <w:rPr>
                <w:rFonts w:cs="Arial"/>
                <w:color w:val="000000"/>
              </w:rPr>
              <w:t>EI</w:t>
            </w:r>
            <w:r w:rsidRPr="00B83411">
              <w:rPr>
                <w:rFonts w:cs="Arial"/>
                <w:color w:val="000000"/>
              </w:rPr>
              <w:t xml:space="preserve"> sector only) n=15</w:t>
            </w:r>
          </w:p>
        </w:tc>
        <w:tc>
          <w:tcPr>
            <w:tcW w:w="1701" w:type="dxa"/>
            <w:shd w:val="clear" w:color="auto" w:fill="D1D1D1"/>
            <w:vAlign w:val="center"/>
          </w:tcPr>
          <w:p w14:paraId="7886DEFD" w14:textId="6C6A86E8" w:rsidR="002707A8" w:rsidRPr="00B83411" w:rsidRDefault="002707A8" w:rsidP="002707A8">
            <w:pPr>
              <w:spacing w:before="60" w:after="60"/>
              <w:ind w:right="0"/>
              <w:jc w:val="center"/>
            </w:pPr>
            <w:r w:rsidRPr="00B83411">
              <w:rPr>
                <w:rFonts w:cs="Arial"/>
              </w:rPr>
              <w:t>80</w:t>
            </w:r>
          </w:p>
        </w:tc>
      </w:tr>
      <w:tr w:rsidR="002707A8" w:rsidRPr="00B83411" w14:paraId="78AD25FB" w14:textId="77777777" w:rsidTr="00AE1430">
        <w:trPr>
          <w:trHeight w:val="267"/>
        </w:trPr>
        <w:tc>
          <w:tcPr>
            <w:tcW w:w="6946" w:type="dxa"/>
            <w:tcBorders>
              <w:bottom w:val="single" w:sz="4" w:space="0" w:color="auto"/>
            </w:tcBorders>
            <w:noWrap/>
            <w:vAlign w:val="bottom"/>
          </w:tcPr>
          <w:p w14:paraId="075EA96A" w14:textId="4DC65FC0" w:rsidR="002707A8" w:rsidRPr="00B83411" w:rsidRDefault="002707A8" w:rsidP="002707A8">
            <w:pPr>
              <w:spacing w:before="60" w:after="60"/>
              <w:ind w:right="0"/>
            </w:pPr>
            <w:r w:rsidRPr="00B83411">
              <w:rPr>
                <w:rFonts w:cs="Arial"/>
                <w:b/>
                <w:bCs/>
              </w:rPr>
              <w:t>Topic average</w:t>
            </w:r>
          </w:p>
        </w:tc>
        <w:tc>
          <w:tcPr>
            <w:tcW w:w="1701" w:type="dxa"/>
            <w:tcBorders>
              <w:bottom w:val="single" w:sz="4" w:space="0" w:color="auto"/>
            </w:tcBorders>
            <w:vAlign w:val="bottom"/>
          </w:tcPr>
          <w:p w14:paraId="55960E3D" w14:textId="4E543120" w:rsidR="002707A8" w:rsidRPr="00B83411" w:rsidRDefault="002707A8" w:rsidP="002707A8">
            <w:pPr>
              <w:spacing w:before="60" w:after="60"/>
              <w:ind w:right="0"/>
              <w:jc w:val="center"/>
            </w:pPr>
            <w:r w:rsidRPr="00B83411">
              <w:rPr>
                <w:rFonts w:cs="Arial"/>
                <w:b/>
                <w:bCs/>
              </w:rPr>
              <w:t>94</w:t>
            </w:r>
          </w:p>
        </w:tc>
      </w:tr>
    </w:tbl>
    <w:p w14:paraId="6B5B27F5" w14:textId="659F18A4" w:rsidR="00BC5D6A" w:rsidRDefault="0035105F" w:rsidP="00B94C0E">
      <w:pPr>
        <w:keepNext/>
      </w:pPr>
      <w:r>
        <w:t xml:space="preserve">Figure 3 </w:t>
      </w:r>
      <w:r w:rsidR="00B94C0E" w:rsidRPr="00B83411">
        <w:t>below is a breakdown of the answers to the interaction topic question</w:t>
      </w:r>
      <w:r w:rsidR="0026454B" w:rsidRPr="00B83411">
        <w:t>s</w:t>
      </w:r>
      <w:r w:rsidR="00B94C0E" w:rsidRPr="00B83411">
        <w:t>.</w:t>
      </w:r>
      <w:r w:rsidR="00B00084" w:rsidRPr="00B83411">
        <w:t xml:space="preserve"> Note that yellow and green cells constitute the % positive score and </w:t>
      </w:r>
      <w:r w:rsidR="00B00084" w:rsidRPr="00B83411">
        <w:rPr>
          <w:i/>
          <w:iCs/>
        </w:rPr>
        <w:t>unsure</w:t>
      </w:r>
      <w:r w:rsidR="00B00084" w:rsidRPr="00B83411">
        <w:t xml:space="preserve"> and no answers are excluded from the calculation base. </w:t>
      </w:r>
    </w:p>
    <w:p w14:paraId="7D668389" w14:textId="2AB267B3" w:rsidR="00823C45" w:rsidRDefault="00823C45">
      <w:pPr>
        <w:spacing w:before="0" w:line="240" w:lineRule="auto"/>
        <w:ind w:right="0"/>
      </w:pPr>
      <w:r>
        <w:br w:type="page"/>
      </w:r>
    </w:p>
    <w:p w14:paraId="4593A4CC" w14:textId="4985162F" w:rsidR="002A0B7A" w:rsidRPr="002A0B7A" w:rsidRDefault="002A0B7A" w:rsidP="002A0B7A">
      <w:pPr>
        <w:pStyle w:val="Caption"/>
      </w:pPr>
      <w:r>
        <w:t xml:space="preserve">Figure 3: </w:t>
      </w:r>
      <w:r w:rsidR="00013ED5" w:rsidRPr="00B83411">
        <w:t>Interactions with NOPTA / OIR</w:t>
      </w:r>
    </w:p>
    <w:p w14:paraId="16442106" w14:textId="7F327E29" w:rsidR="00A9196A" w:rsidRPr="00B83411" w:rsidRDefault="002A7663" w:rsidP="00B94C0E">
      <w:pPr>
        <w:keepNext/>
      </w:pPr>
      <w:r w:rsidRPr="00B83411">
        <w:rPr>
          <w:noProof/>
        </w:rPr>
        <w:drawing>
          <wp:inline distT="0" distB="0" distL="0" distR="0" wp14:anchorId="4F1EDAC3" wp14:editId="15B73F3E">
            <wp:extent cx="5753100" cy="4438015"/>
            <wp:effectExtent l="0" t="0" r="0" b="635"/>
            <wp:docPr id="326804496" name="Chart 1" descr="A chart showing the breakdown of responses, to ‘interactions’ topic questions. Responses were coded against a five-point rating scale. Yellow and green cells constitute the % positive score and unsure and no answers are excluded.&#10;">
              <a:extLst xmlns:a="http://schemas.openxmlformats.org/drawingml/2006/main">
                <a:ext uri="{FF2B5EF4-FFF2-40B4-BE49-F238E27FC236}">
                  <a16:creationId xmlns:a16="http://schemas.microsoft.com/office/drawing/2014/main" id="{9E9E3C8F-1194-D16C-A71C-12FB581CB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75B5F1" w14:textId="24BB55F5" w:rsidR="00E10DC1" w:rsidRPr="00B83411" w:rsidRDefault="00520AB4" w:rsidP="00BC5D6A">
      <w:pPr>
        <w:pStyle w:val="Heading2"/>
      </w:pPr>
      <w:bookmarkStart w:id="13" w:name="_Toc213926344"/>
      <w:r w:rsidRPr="00B83411">
        <w:t>I</w:t>
      </w:r>
      <w:r w:rsidR="00BC5D6A" w:rsidRPr="00B83411">
        <w:t>nformation and advice</w:t>
      </w:r>
      <w:r w:rsidRPr="00B83411">
        <w:t xml:space="preserve"> from NOPTA </w:t>
      </w:r>
      <w:r w:rsidR="006B7D34" w:rsidRPr="00B83411">
        <w:t>/</w:t>
      </w:r>
      <w:r w:rsidRPr="00B83411">
        <w:t xml:space="preserve"> OIR</w:t>
      </w:r>
      <w:bookmarkEnd w:id="13"/>
    </w:p>
    <w:p w14:paraId="420C55CC" w14:textId="1684A87E" w:rsidR="009E308E" w:rsidRPr="00B83411" w:rsidRDefault="00C908B7" w:rsidP="007D2133">
      <w:r w:rsidRPr="00B83411">
        <w:fldChar w:fldCharType="begin"/>
      </w:r>
      <w:r w:rsidRPr="00B83411">
        <w:instrText xml:space="preserve"> REF _Ref213924085 \h </w:instrText>
      </w:r>
      <w:r w:rsidRPr="00B83411">
        <w:fldChar w:fldCharType="separate"/>
      </w:r>
      <w:r w:rsidR="005817F9" w:rsidRPr="00B83411">
        <w:t xml:space="preserve">Table </w:t>
      </w:r>
      <w:r w:rsidR="005817F9">
        <w:rPr>
          <w:noProof/>
        </w:rPr>
        <w:t>6</w:t>
      </w:r>
      <w:r w:rsidRPr="00B83411">
        <w:fldChar w:fldCharType="end"/>
      </w:r>
      <w:r w:rsidRPr="00B83411">
        <w:t xml:space="preserve"> below s</w:t>
      </w:r>
      <w:r w:rsidR="00905207" w:rsidRPr="00B83411">
        <w:t xml:space="preserve">hows the % positive results for survey questions related to information and advice from NOPTA / OIR. </w:t>
      </w:r>
      <w:r w:rsidR="009E308E" w:rsidRPr="00B83411">
        <w:t>Overall this is a high scoring topic.</w:t>
      </w:r>
    </w:p>
    <w:p w14:paraId="7C01AC53" w14:textId="50CCB6A7" w:rsidR="003F4FD1" w:rsidRPr="00B83411" w:rsidRDefault="00905207" w:rsidP="007D2133">
      <w:r w:rsidRPr="00B83411">
        <w:t xml:space="preserve">All stakeholders rated the organisations highly on </w:t>
      </w:r>
      <w:r w:rsidRPr="00B83411">
        <w:rPr>
          <w:i/>
          <w:iCs/>
        </w:rPr>
        <w:t>accuracy</w:t>
      </w:r>
      <w:r w:rsidR="001133B6" w:rsidRPr="00B83411">
        <w:t xml:space="preserve">, </w:t>
      </w:r>
      <w:r w:rsidRPr="00B83411">
        <w:rPr>
          <w:i/>
          <w:iCs/>
        </w:rPr>
        <w:t>clarity</w:t>
      </w:r>
      <w:r w:rsidRPr="00B83411">
        <w:t xml:space="preserve"> </w:t>
      </w:r>
      <w:r w:rsidR="001133B6" w:rsidRPr="00B83411">
        <w:t xml:space="preserve">and </w:t>
      </w:r>
      <w:r w:rsidR="001133B6" w:rsidRPr="00B83411">
        <w:rPr>
          <w:i/>
          <w:iCs/>
        </w:rPr>
        <w:t>consistency</w:t>
      </w:r>
      <w:r w:rsidR="001133B6" w:rsidRPr="00B83411">
        <w:t xml:space="preserve"> </w:t>
      </w:r>
      <w:r w:rsidRPr="00B83411">
        <w:t xml:space="preserve">of information that </w:t>
      </w:r>
      <w:r w:rsidR="00591CFA" w:rsidRPr="00B83411">
        <w:t>they</w:t>
      </w:r>
      <w:r w:rsidRPr="00B83411">
        <w:t xml:space="preserve"> provide. Government agency respondents rated </w:t>
      </w:r>
      <w:r w:rsidRPr="00B83411">
        <w:rPr>
          <w:i/>
          <w:iCs/>
        </w:rPr>
        <w:t xml:space="preserve">justification of </w:t>
      </w:r>
      <w:r w:rsidRPr="00B83411">
        <w:rPr>
          <w:b/>
          <w:bCs/>
          <w:i/>
          <w:iCs/>
        </w:rPr>
        <w:t>recommendations</w:t>
      </w:r>
      <w:r w:rsidRPr="00B83411">
        <w:t xml:space="preserve"> very highly, while licence and title holders rated a similar question </w:t>
      </w:r>
      <w:r w:rsidR="00591CFA" w:rsidRPr="00B83411">
        <w:t xml:space="preserve">on </w:t>
      </w:r>
      <w:r w:rsidR="00591CFA" w:rsidRPr="00B83411">
        <w:rPr>
          <w:i/>
          <w:iCs/>
        </w:rPr>
        <w:t xml:space="preserve">justification of </w:t>
      </w:r>
      <w:r w:rsidR="00591CFA" w:rsidRPr="00B83411">
        <w:rPr>
          <w:b/>
          <w:bCs/>
          <w:i/>
          <w:iCs/>
        </w:rPr>
        <w:t>decisions</w:t>
      </w:r>
      <w:r w:rsidR="00591CFA" w:rsidRPr="00B83411">
        <w:t xml:space="preserve"> </w:t>
      </w:r>
      <w:r w:rsidRPr="00B83411">
        <w:t>more than 20% lower</w:t>
      </w:r>
      <w:r w:rsidR="00342052" w:rsidRPr="00B83411">
        <w:t>-</w:t>
      </w:r>
      <w:r w:rsidRPr="00B83411">
        <w:t>, so a notable difference</w:t>
      </w:r>
      <w:r w:rsidR="00591CFA" w:rsidRPr="00B83411">
        <w:t xml:space="preserve"> and indicating quite different experience</w:t>
      </w:r>
      <w:r w:rsidR="003165A2" w:rsidRPr="00B83411">
        <w:t>s and views</w:t>
      </w:r>
      <w:r w:rsidR="00591CFA" w:rsidRPr="00B83411">
        <w:t xml:space="preserve"> around justifications.</w:t>
      </w:r>
    </w:p>
    <w:p w14:paraId="72FDDA08" w14:textId="322C5874" w:rsidR="00A67900" w:rsidRPr="00B83411" w:rsidRDefault="001133B6" w:rsidP="007D2133">
      <w:r w:rsidRPr="00B83411">
        <w:t>In comparison</w:t>
      </w:r>
      <w:r w:rsidRPr="00B83411">
        <w:rPr>
          <w:i/>
          <w:iCs/>
        </w:rPr>
        <w:t xml:space="preserve"> </w:t>
      </w:r>
      <w:r w:rsidRPr="00B83411">
        <w:t xml:space="preserve">to the high scores for a number of aspects of NOPTA’s information, </w:t>
      </w:r>
      <w:r w:rsidRPr="00B83411">
        <w:rPr>
          <w:i/>
          <w:iCs/>
        </w:rPr>
        <w:t>t</w:t>
      </w:r>
      <w:r w:rsidR="00905207" w:rsidRPr="00B83411">
        <w:rPr>
          <w:i/>
          <w:iCs/>
        </w:rPr>
        <w:t>ransparency of decision making</w:t>
      </w:r>
      <w:r w:rsidR="00905207" w:rsidRPr="00B83411">
        <w:t xml:space="preserve"> had one of the lowe</w:t>
      </w:r>
      <w:r w:rsidR="00070F47" w:rsidRPr="00B83411">
        <w:t>r</w:t>
      </w:r>
      <w:r w:rsidR="00905207" w:rsidRPr="00B83411">
        <w:t xml:space="preserve"> % positive scores in the survey (73%). Note two things: </w:t>
      </w:r>
      <w:r w:rsidRPr="00B83411">
        <w:t>the transparency question</w:t>
      </w:r>
      <w:r w:rsidR="00905207" w:rsidRPr="00B83411">
        <w:t xml:space="preserve"> was only asked of title </w:t>
      </w:r>
      <w:r w:rsidR="00C54F6E" w:rsidRPr="00B83411">
        <w:t xml:space="preserve">holders </w:t>
      </w:r>
      <w:r w:rsidR="00905207" w:rsidRPr="00B83411">
        <w:t xml:space="preserve">/ licence holders and of the 62 respondents presented with the question, 13 (20%) answered that they were </w:t>
      </w:r>
      <w:r w:rsidR="00905207" w:rsidRPr="00B83411">
        <w:rPr>
          <w:i/>
          <w:iCs/>
        </w:rPr>
        <w:t>unsure</w:t>
      </w:r>
      <w:r w:rsidRPr="00B83411">
        <w:rPr>
          <w:i/>
          <w:iCs/>
        </w:rPr>
        <w:t xml:space="preserve"> </w:t>
      </w:r>
      <w:r w:rsidRPr="00B83411">
        <w:t>or had no answer</w:t>
      </w:r>
      <w:r w:rsidR="00591CFA" w:rsidRPr="00B83411">
        <w:t>. As a result these answers were</w:t>
      </w:r>
      <w:r w:rsidR="00905207" w:rsidRPr="00B83411">
        <w:t xml:space="preserve"> excluded from the % positive score</w:t>
      </w:r>
      <w:r w:rsidR="00591CFA" w:rsidRPr="00B83411">
        <w:t xml:space="preserve"> calculation</w:t>
      </w:r>
      <w:r w:rsidR="00905207" w:rsidRPr="00B83411">
        <w:t xml:space="preserve">. </w:t>
      </w:r>
      <w:r w:rsidR="00591CFA" w:rsidRPr="00B83411">
        <w:t xml:space="preserve">This is a relatively high proportion of </w:t>
      </w:r>
      <w:r w:rsidR="00591CFA" w:rsidRPr="00B83411">
        <w:rPr>
          <w:i/>
          <w:iCs/>
        </w:rPr>
        <w:t>unsure</w:t>
      </w:r>
      <w:r w:rsidR="00591CFA" w:rsidRPr="00B83411">
        <w:t xml:space="preserve"> answers and one possible reason</w:t>
      </w:r>
      <w:r w:rsidR="003165A2" w:rsidRPr="00B83411">
        <w:t xml:space="preserve"> for this non-response</w:t>
      </w:r>
      <w:r w:rsidR="00591CFA" w:rsidRPr="00B83411">
        <w:t xml:space="preserve"> is a lack of or insufficient information </w:t>
      </w:r>
      <w:r w:rsidRPr="00B83411">
        <w:t xml:space="preserve">about this topic </w:t>
      </w:r>
      <w:r w:rsidR="00591CFA" w:rsidRPr="00B83411">
        <w:t>from a respondent’s perspective.</w:t>
      </w:r>
      <w:r w:rsidRPr="00B83411">
        <w:t xml:space="preserve"> </w:t>
      </w:r>
      <w:r w:rsidR="00A67900" w:rsidRPr="00B83411">
        <w:t xml:space="preserve">See the further explanation about invalid answers at Appendix C. </w:t>
      </w:r>
    </w:p>
    <w:p w14:paraId="0E97E138" w14:textId="069E13D3" w:rsidR="00905207" w:rsidRPr="00B83411" w:rsidRDefault="001133B6" w:rsidP="007D2133">
      <w:r w:rsidRPr="00B83411">
        <w:t xml:space="preserve">Also note that with lower response numbers, the </w:t>
      </w:r>
      <w:r w:rsidR="00342052" w:rsidRPr="00B83411">
        <w:t>results should be treated as indicative only</w:t>
      </w:r>
      <w:r w:rsidRPr="00B83411">
        <w:t>.</w:t>
      </w:r>
    </w:p>
    <w:p w14:paraId="45E5C773" w14:textId="77777777" w:rsidR="00070F47" w:rsidRPr="00B83411" w:rsidRDefault="00070F47" w:rsidP="00070F47">
      <w:pPr>
        <w:spacing w:before="0" w:line="240" w:lineRule="auto"/>
        <w:ind w:right="0"/>
        <w:rPr>
          <w:color w:val="1F497D" w:themeColor="text2"/>
        </w:rPr>
      </w:pPr>
    </w:p>
    <w:p w14:paraId="06BCE063" w14:textId="77777777" w:rsidR="00070F47" w:rsidRPr="00B83411" w:rsidRDefault="00070F47">
      <w:pPr>
        <w:spacing w:before="0" w:line="240" w:lineRule="auto"/>
        <w:ind w:right="0"/>
        <w:rPr>
          <w:color w:val="1F497D" w:themeColor="text2"/>
        </w:rPr>
      </w:pPr>
      <w:r w:rsidRPr="00B83411">
        <w:br w:type="page"/>
      </w:r>
    </w:p>
    <w:p w14:paraId="1B215B73" w14:textId="7A40A929" w:rsidR="00070F47" w:rsidRPr="00B83411" w:rsidRDefault="00070F47" w:rsidP="00070F47">
      <w:pPr>
        <w:pStyle w:val="Caption"/>
      </w:pPr>
      <w:bookmarkStart w:id="14" w:name="_Ref213924085"/>
      <w:r w:rsidRPr="00B83411">
        <w:t xml:space="preserve">Table </w:t>
      </w:r>
      <w:r w:rsidR="00C32D47">
        <w:fldChar w:fldCharType="begin"/>
      </w:r>
      <w:r w:rsidR="00C32D47">
        <w:instrText xml:space="preserve"> SEQ Table \* ARABIC </w:instrText>
      </w:r>
      <w:r w:rsidR="00C32D47">
        <w:fldChar w:fldCharType="separate"/>
      </w:r>
      <w:r w:rsidR="00C350E2">
        <w:rPr>
          <w:noProof/>
        </w:rPr>
        <w:t>6</w:t>
      </w:r>
      <w:r w:rsidR="00C32D47">
        <w:fldChar w:fldCharType="end"/>
      </w:r>
      <w:bookmarkEnd w:id="14"/>
      <w:r w:rsidRPr="00B83411">
        <w:t>: Information and advice from NOPTA and OIR</w:t>
      </w:r>
    </w:p>
    <w:tbl>
      <w:tblPr>
        <w:tblW w:w="8647" w:type="dxa"/>
        <w:tblLayout w:type="fixed"/>
        <w:tblLook w:val="0000" w:firstRow="0" w:lastRow="0" w:firstColumn="0" w:lastColumn="0" w:noHBand="0" w:noVBand="0"/>
      </w:tblPr>
      <w:tblGrid>
        <w:gridCol w:w="6804"/>
        <w:gridCol w:w="1843"/>
      </w:tblGrid>
      <w:tr w:rsidR="00070F47" w:rsidRPr="00B83411" w14:paraId="17F7F0B3" w14:textId="77777777">
        <w:trPr>
          <w:trHeight w:val="267"/>
          <w:tblHeader/>
        </w:trPr>
        <w:tc>
          <w:tcPr>
            <w:tcW w:w="6804" w:type="dxa"/>
            <w:shd w:val="clear" w:color="auto" w:fill="003366"/>
            <w:noWrap/>
            <w:vAlign w:val="center"/>
          </w:tcPr>
          <w:p w14:paraId="69BE07FE" w14:textId="77777777" w:rsidR="00070F47" w:rsidRPr="00B83411" w:rsidRDefault="00070F47">
            <w:pPr>
              <w:spacing w:before="60" w:after="60"/>
              <w:rPr>
                <w:rFonts w:ascii="Arial" w:hAnsi="Arial"/>
                <w:b/>
                <w:bCs/>
                <w:color w:val="FFFFFF" w:themeColor="background1"/>
                <w:sz w:val="22"/>
                <w:szCs w:val="22"/>
              </w:rPr>
            </w:pPr>
            <w:r w:rsidRPr="00B83411">
              <w:rPr>
                <w:b/>
                <w:bCs/>
                <w:color w:val="FFFFFF" w:themeColor="background1"/>
                <w:sz w:val="22"/>
                <w:szCs w:val="22"/>
              </w:rPr>
              <w:t>Information and advice</w:t>
            </w:r>
          </w:p>
        </w:tc>
        <w:tc>
          <w:tcPr>
            <w:tcW w:w="1843" w:type="dxa"/>
            <w:shd w:val="clear" w:color="auto" w:fill="003366"/>
            <w:vAlign w:val="center"/>
          </w:tcPr>
          <w:p w14:paraId="3A458479" w14:textId="77777777" w:rsidR="00070F47" w:rsidRPr="00B83411" w:rsidRDefault="00070F47">
            <w:pPr>
              <w:spacing w:before="60" w:after="60"/>
              <w:ind w:right="-112"/>
              <w:jc w:val="center"/>
              <w:rPr>
                <w:rFonts w:cs="Arial"/>
                <w:b/>
                <w:bCs/>
                <w:color w:val="FFFFFF" w:themeColor="background1"/>
                <w:sz w:val="22"/>
                <w:szCs w:val="22"/>
              </w:rPr>
            </w:pPr>
            <w:r w:rsidRPr="00B83411">
              <w:rPr>
                <w:rFonts w:cs="Arial"/>
                <w:b/>
                <w:bCs/>
                <w:color w:val="FFFFFF" w:themeColor="background1"/>
                <w:sz w:val="22"/>
                <w:szCs w:val="22"/>
              </w:rPr>
              <w:t>% positive</w:t>
            </w:r>
          </w:p>
        </w:tc>
      </w:tr>
      <w:tr w:rsidR="00070F47" w:rsidRPr="00B83411" w14:paraId="5E140D04" w14:textId="77777777">
        <w:trPr>
          <w:trHeight w:val="267"/>
        </w:trPr>
        <w:tc>
          <w:tcPr>
            <w:tcW w:w="6804" w:type="dxa"/>
            <w:noWrap/>
            <w:vAlign w:val="center"/>
          </w:tcPr>
          <w:p w14:paraId="1DD9B53B" w14:textId="67A38994" w:rsidR="00070F47" w:rsidRPr="00B83411" w:rsidRDefault="00070F47">
            <w:pPr>
              <w:spacing w:before="60" w:after="60"/>
              <w:ind w:right="0"/>
              <w:rPr>
                <w:rFonts w:cs="Arial"/>
                <w:color w:val="000000"/>
              </w:rPr>
            </w:pPr>
            <w:r w:rsidRPr="00B83411">
              <w:rPr>
                <w:rFonts w:cs="Arial"/>
                <w:color w:val="000000"/>
              </w:rPr>
              <w:t xml:space="preserve">Accuracy of the information it provides </w:t>
            </w:r>
            <w:r w:rsidR="00B746C9" w:rsidRPr="00B83411">
              <w:rPr>
                <w:rFonts w:cs="Arial"/>
                <w:color w:val="000000"/>
              </w:rPr>
              <w:t>(title / licence holder only)</w:t>
            </w:r>
            <w:r w:rsidRPr="00B83411">
              <w:rPr>
                <w:rFonts w:cs="Arial"/>
                <w:color w:val="000000"/>
              </w:rPr>
              <w:t>) n=58</w:t>
            </w:r>
          </w:p>
        </w:tc>
        <w:tc>
          <w:tcPr>
            <w:tcW w:w="1843" w:type="dxa"/>
            <w:vAlign w:val="center"/>
          </w:tcPr>
          <w:p w14:paraId="440A66BC" w14:textId="77777777" w:rsidR="00070F47" w:rsidRPr="00B83411" w:rsidRDefault="00070F47">
            <w:pPr>
              <w:spacing w:before="60" w:after="60"/>
              <w:ind w:right="0"/>
              <w:jc w:val="center"/>
            </w:pPr>
            <w:r w:rsidRPr="00B83411">
              <w:rPr>
                <w:rFonts w:cs="Arial"/>
              </w:rPr>
              <w:t>98</w:t>
            </w:r>
          </w:p>
        </w:tc>
      </w:tr>
      <w:tr w:rsidR="00070F47" w:rsidRPr="00B83411" w14:paraId="5FD43505" w14:textId="77777777">
        <w:trPr>
          <w:trHeight w:val="267"/>
        </w:trPr>
        <w:tc>
          <w:tcPr>
            <w:tcW w:w="6804" w:type="dxa"/>
            <w:shd w:val="clear" w:color="auto" w:fill="D9D9D9" w:themeFill="background1" w:themeFillShade="D9"/>
            <w:noWrap/>
            <w:vAlign w:val="center"/>
          </w:tcPr>
          <w:p w14:paraId="424440AC" w14:textId="77777777" w:rsidR="00070F47" w:rsidRPr="00B83411" w:rsidRDefault="00070F47">
            <w:pPr>
              <w:spacing w:before="60" w:after="60"/>
              <w:ind w:right="0"/>
            </w:pPr>
            <w:r w:rsidRPr="00B83411">
              <w:rPr>
                <w:rFonts w:cs="Arial"/>
                <w:color w:val="000000"/>
              </w:rPr>
              <w:t>Accuracy of advice it provides (govt agency only) n=22</w:t>
            </w:r>
          </w:p>
        </w:tc>
        <w:tc>
          <w:tcPr>
            <w:tcW w:w="1843" w:type="dxa"/>
            <w:shd w:val="clear" w:color="auto" w:fill="D9D9D9" w:themeFill="background1" w:themeFillShade="D9"/>
            <w:vAlign w:val="center"/>
          </w:tcPr>
          <w:p w14:paraId="4F71E7BE" w14:textId="77777777" w:rsidR="00070F47" w:rsidRPr="00B83411" w:rsidRDefault="00070F47">
            <w:pPr>
              <w:spacing w:before="60" w:after="60"/>
              <w:ind w:right="0"/>
              <w:jc w:val="center"/>
            </w:pPr>
            <w:r w:rsidRPr="00B83411">
              <w:rPr>
                <w:rFonts w:cs="Arial"/>
              </w:rPr>
              <w:t>100</w:t>
            </w:r>
          </w:p>
        </w:tc>
      </w:tr>
      <w:tr w:rsidR="00070F47" w:rsidRPr="00B83411" w14:paraId="59A12110" w14:textId="77777777">
        <w:trPr>
          <w:trHeight w:val="267"/>
        </w:trPr>
        <w:tc>
          <w:tcPr>
            <w:tcW w:w="6804" w:type="dxa"/>
            <w:noWrap/>
            <w:vAlign w:val="center"/>
          </w:tcPr>
          <w:p w14:paraId="6B02E837" w14:textId="007B198F" w:rsidR="00070F47" w:rsidRPr="00B83411" w:rsidRDefault="00070F47">
            <w:pPr>
              <w:spacing w:before="60" w:after="60"/>
              <w:ind w:right="0"/>
              <w:rPr>
                <w:rFonts w:cs="Arial"/>
                <w:color w:val="000000"/>
              </w:rPr>
            </w:pPr>
            <w:r w:rsidRPr="00B83411">
              <w:rPr>
                <w:rFonts w:cs="Arial"/>
                <w:color w:val="000000"/>
              </w:rPr>
              <w:t xml:space="preserve">Clarity of information it provides </w:t>
            </w:r>
            <w:r w:rsidR="00B746C9" w:rsidRPr="00B83411">
              <w:rPr>
                <w:rFonts w:cs="Arial"/>
                <w:color w:val="000000"/>
              </w:rPr>
              <w:t>(title / licence holder only)</w:t>
            </w:r>
            <w:r w:rsidRPr="00B83411">
              <w:rPr>
                <w:rFonts w:cs="Arial"/>
                <w:color w:val="000000"/>
              </w:rPr>
              <w:t>n=58</w:t>
            </w:r>
          </w:p>
        </w:tc>
        <w:tc>
          <w:tcPr>
            <w:tcW w:w="1843" w:type="dxa"/>
            <w:vAlign w:val="center"/>
          </w:tcPr>
          <w:p w14:paraId="6993794B" w14:textId="77777777" w:rsidR="00070F47" w:rsidRPr="00B83411" w:rsidRDefault="00070F47">
            <w:pPr>
              <w:spacing w:before="60" w:after="60"/>
              <w:ind w:right="0"/>
              <w:jc w:val="center"/>
            </w:pPr>
            <w:r w:rsidRPr="00B83411">
              <w:rPr>
                <w:rFonts w:cs="Arial"/>
              </w:rPr>
              <w:t>93</w:t>
            </w:r>
          </w:p>
        </w:tc>
      </w:tr>
      <w:tr w:rsidR="00070F47" w:rsidRPr="00B83411" w14:paraId="015D60CF" w14:textId="77777777">
        <w:trPr>
          <w:trHeight w:val="267"/>
        </w:trPr>
        <w:tc>
          <w:tcPr>
            <w:tcW w:w="6804" w:type="dxa"/>
            <w:shd w:val="clear" w:color="auto" w:fill="D9D9D9" w:themeFill="background1" w:themeFillShade="D9"/>
            <w:noWrap/>
            <w:vAlign w:val="center"/>
          </w:tcPr>
          <w:p w14:paraId="157E5575" w14:textId="77777777" w:rsidR="00070F47" w:rsidRPr="00B83411" w:rsidRDefault="00070F47">
            <w:pPr>
              <w:spacing w:before="60" w:after="60"/>
              <w:ind w:right="0"/>
            </w:pPr>
            <w:r w:rsidRPr="00B83411">
              <w:rPr>
                <w:rFonts w:cs="Arial"/>
                <w:color w:val="000000"/>
              </w:rPr>
              <w:t>Clarity of advice it provides (govt agency only) n=22</w:t>
            </w:r>
          </w:p>
        </w:tc>
        <w:tc>
          <w:tcPr>
            <w:tcW w:w="1843" w:type="dxa"/>
            <w:shd w:val="clear" w:color="auto" w:fill="D9D9D9" w:themeFill="background1" w:themeFillShade="D9"/>
            <w:vAlign w:val="center"/>
          </w:tcPr>
          <w:p w14:paraId="2AA11989" w14:textId="77777777" w:rsidR="00070F47" w:rsidRPr="00B83411" w:rsidRDefault="00070F47">
            <w:pPr>
              <w:spacing w:before="60" w:after="60"/>
              <w:ind w:right="0"/>
              <w:jc w:val="center"/>
            </w:pPr>
            <w:r w:rsidRPr="00B83411">
              <w:rPr>
                <w:rFonts w:cs="Arial"/>
              </w:rPr>
              <w:t>100</w:t>
            </w:r>
          </w:p>
        </w:tc>
      </w:tr>
      <w:tr w:rsidR="00070F47" w:rsidRPr="00B83411" w14:paraId="347F4D2F" w14:textId="77777777">
        <w:trPr>
          <w:trHeight w:val="267"/>
        </w:trPr>
        <w:tc>
          <w:tcPr>
            <w:tcW w:w="6804" w:type="dxa"/>
            <w:noWrap/>
            <w:vAlign w:val="center"/>
          </w:tcPr>
          <w:p w14:paraId="765795F9" w14:textId="1D6CC737" w:rsidR="00070F47" w:rsidRPr="00B83411" w:rsidRDefault="00070F47">
            <w:pPr>
              <w:spacing w:before="60" w:after="60"/>
              <w:ind w:right="0"/>
            </w:pPr>
            <w:r w:rsidRPr="00B83411">
              <w:rPr>
                <w:rFonts w:cs="Arial"/>
                <w:color w:val="000000"/>
              </w:rPr>
              <w:t xml:space="preserve">Justification of its decisions made about offshore titles / licences </w:t>
            </w:r>
            <w:r w:rsidR="00B746C9" w:rsidRPr="00B83411">
              <w:rPr>
                <w:rFonts w:cs="Arial"/>
                <w:color w:val="000000"/>
              </w:rPr>
              <w:t xml:space="preserve">(title / licence holder only) </w:t>
            </w:r>
            <w:r w:rsidRPr="00B83411">
              <w:rPr>
                <w:rFonts w:cs="Arial"/>
                <w:color w:val="000000"/>
              </w:rPr>
              <w:t>n=50</w:t>
            </w:r>
          </w:p>
        </w:tc>
        <w:tc>
          <w:tcPr>
            <w:tcW w:w="1843" w:type="dxa"/>
            <w:vAlign w:val="center"/>
          </w:tcPr>
          <w:p w14:paraId="19217B2E" w14:textId="77777777" w:rsidR="00070F47" w:rsidRPr="00B83411" w:rsidRDefault="00070F47">
            <w:pPr>
              <w:spacing w:before="60" w:after="60"/>
              <w:ind w:right="0"/>
              <w:jc w:val="center"/>
            </w:pPr>
            <w:r w:rsidRPr="00B83411">
              <w:rPr>
                <w:rFonts w:cs="Arial"/>
              </w:rPr>
              <w:t>78</w:t>
            </w:r>
          </w:p>
        </w:tc>
      </w:tr>
      <w:tr w:rsidR="00070F47" w:rsidRPr="00B83411" w14:paraId="40B02FC2" w14:textId="77777777">
        <w:trPr>
          <w:trHeight w:val="267"/>
        </w:trPr>
        <w:tc>
          <w:tcPr>
            <w:tcW w:w="6804" w:type="dxa"/>
            <w:shd w:val="clear" w:color="auto" w:fill="D9D9D9" w:themeFill="background1" w:themeFillShade="D9"/>
            <w:noWrap/>
            <w:vAlign w:val="center"/>
          </w:tcPr>
          <w:p w14:paraId="12C0C3C4" w14:textId="77777777" w:rsidR="00070F47" w:rsidRPr="00B83411" w:rsidRDefault="00070F47">
            <w:pPr>
              <w:spacing w:before="60" w:after="60"/>
              <w:ind w:right="0"/>
            </w:pPr>
            <w:r w:rsidRPr="00B83411">
              <w:rPr>
                <w:rFonts w:cs="Arial"/>
                <w:color w:val="000000"/>
              </w:rPr>
              <w:t>Justification of its recommendations made about offshore titles / licences (govt agency only) n=7</w:t>
            </w:r>
          </w:p>
        </w:tc>
        <w:tc>
          <w:tcPr>
            <w:tcW w:w="1843" w:type="dxa"/>
            <w:shd w:val="clear" w:color="auto" w:fill="D9D9D9" w:themeFill="background1" w:themeFillShade="D9"/>
            <w:vAlign w:val="center"/>
          </w:tcPr>
          <w:p w14:paraId="0822F8D1" w14:textId="77777777" w:rsidR="00070F47" w:rsidRPr="00B83411" w:rsidRDefault="00070F47">
            <w:pPr>
              <w:spacing w:before="60" w:after="60"/>
              <w:ind w:right="0"/>
              <w:jc w:val="center"/>
            </w:pPr>
            <w:r w:rsidRPr="00B83411">
              <w:rPr>
                <w:rFonts w:cs="Arial"/>
              </w:rPr>
              <w:t>100</w:t>
            </w:r>
          </w:p>
        </w:tc>
      </w:tr>
      <w:tr w:rsidR="00070F47" w:rsidRPr="00B83411" w14:paraId="6884084A" w14:textId="77777777">
        <w:trPr>
          <w:trHeight w:val="267"/>
        </w:trPr>
        <w:tc>
          <w:tcPr>
            <w:tcW w:w="6804" w:type="dxa"/>
            <w:noWrap/>
            <w:vAlign w:val="center"/>
          </w:tcPr>
          <w:p w14:paraId="42250A68" w14:textId="027A9697" w:rsidR="00070F47" w:rsidRPr="00B83411" w:rsidRDefault="00070F47">
            <w:pPr>
              <w:spacing w:before="60" w:after="60"/>
              <w:ind w:right="0"/>
            </w:pPr>
            <w:r w:rsidRPr="00B83411">
              <w:rPr>
                <w:rFonts w:cs="Arial"/>
                <w:color w:val="000000"/>
              </w:rPr>
              <w:t>Consistency of its information </w:t>
            </w:r>
            <w:r w:rsidR="00B746C9" w:rsidRPr="00B83411">
              <w:rPr>
                <w:rFonts w:cs="Arial"/>
                <w:color w:val="000000"/>
              </w:rPr>
              <w:t xml:space="preserve">(title / licence holder only) </w:t>
            </w:r>
            <w:r w:rsidRPr="00B83411">
              <w:rPr>
                <w:rFonts w:cs="Arial"/>
                <w:color w:val="000000"/>
              </w:rPr>
              <w:t>n=52</w:t>
            </w:r>
          </w:p>
        </w:tc>
        <w:tc>
          <w:tcPr>
            <w:tcW w:w="1843" w:type="dxa"/>
            <w:vAlign w:val="center"/>
          </w:tcPr>
          <w:p w14:paraId="220D04F6" w14:textId="77777777" w:rsidR="00070F47" w:rsidRPr="00B83411" w:rsidRDefault="00070F47">
            <w:pPr>
              <w:spacing w:before="60" w:after="60"/>
              <w:ind w:right="0"/>
              <w:jc w:val="center"/>
            </w:pPr>
            <w:r w:rsidRPr="00B83411">
              <w:rPr>
                <w:rFonts w:cs="Arial"/>
              </w:rPr>
              <w:t>90</w:t>
            </w:r>
          </w:p>
        </w:tc>
      </w:tr>
      <w:tr w:rsidR="00070F47" w:rsidRPr="00B83411" w14:paraId="3A487D26" w14:textId="77777777">
        <w:trPr>
          <w:trHeight w:val="267"/>
        </w:trPr>
        <w:tc>
          <w:tcPr>
            <w:tcW w:w="6804" w:type="dxa"/>
            <w:shd w:val="clear" w:color="auto" w:fill="D9D9D9" w:themeFill="background1" w:themeFillShade="D9"/>
            <w:noWrap/>
            <w:vAlign w:val="center"/>
          </w:tcPr>
          <w:p w14:paraId="2C3EDE31" w14:textId="33EFC6A5" w:rsidR="00070F47" w:rsidRPr="00B83411" w:rsidRDefault="00070F47">
            <w:pPr>
              <w:spacing w:before="60" w:after="60"/>
              <w:ind w:right="0"/>
              <w:rPr>
                <w:rFonts w:cs="Arial"/>
                <w:b/>
                <w:bCs/>
              </w:rPr>
            </w:pPr>
            <w:r w:rsidRPr="00B83411">
              <w:rPr>
                <w:rFonts w:cs="Arial"/>
                <w:color w:val="000000"/>
              </w:rPr>
              <w:t>Consistency of its advice / recommendations (govt agency only) n=8</w:t>
            </w:r>
          </w:p>
        </w:tc>
        <w:tc>
          <w:tcPr>
            <w:tcW w:w="1843" w:type="dxa"/>
            <w:shd w:val="clear" w:color="auto" w:fill="D9D9D9" w:themeFill="background1" w:themeFillShade="D9"/>
            <w:vAlign w:val="center"/>
          </w:tcPr>
          <w:p w14:paraId="02DED971" w14:textId="77777777" w:rsidR="00070F47" w:rsidRPr="00B83411" w:rsidRDefault="00070F47">
            <w:pPr>
              <w:spacing w:before="60" w:after="60"/>
              <w:ind w:right="0"/>
              <w:jc w:val="center"/>
              <w:rPr>
                <w:rFonts w:cs="Arial"/>
                <w:b/>
                <w:bCs/>
              </w:rPr>
            </w:pPr>
            <w:r w:rsidRPr="00B83411">
              <w:rPr>
                <w:rFonts w:cs="Arial"/>
              </w:rPr>
              <w:t>100</w:t>
            </w:r>
          </w:p>
        </w:tc>
      </w:tr>
      <w:tr w:rsidR="00070F47" w:rsidRPr="00B83411" w14:paraId="6A0C00BD" w14:textId="77777777">
        <w:trPr>
          <w:trHeight w:val="267"/>
        </w:trPr>
        <w:tc>
          <w:tcPr>
            <w:tcW w:w="6804" w:type="dxa"/>
            <w:noWrap/>
            <w:vAlign w:val="center"/>
          </w:tcPr>
          <w:p w14:paraId="09F5DE05" w14:textId="0EEC02AD" w:rsidR="00070F47" w:rsidRPr="00B83411" w:rsidRDefault="00070F47">
            <w:pPr>
              <w:spacing w:before="60" w:after="60"/>
              <w:ind w:right="0"/>
              <w:rPr>
                <w:rFonts w:cs="Arial"/>
                <w:b/>
                <w:bCs/>
              </w:rPr>
            </w:pPr>
            <w:r w:rsidRPr="00B83411">
              <w:rPr>
                <w:rFonts w:cs="Arial"/>
                <w:color w:val="000000"/>
              </w:rPr>
              <w:t xml:space="preserve">Transparency of its decisions about offshore titles / licences </w:t>
            </w:r>
            <w:r w:rsidR="00B746C9" w:rsidRPr="00B83411">
              <w:rPr>
                <w:rFonts w:cs="Arial"/>
                <w:color w:val="000000"/>
              </w:rPr>
              <w:t>(title / licence holder only)</w:t>
            </w:r>
            <w:r w:rsidRPr="00B83411">
              <w:rPr>
                <w:rFonts w:cs="Arial"/>
                <w:color w:val="000000"/>
              </w:rPr>
              <w:t xml:space="preserve"> n=49</w:t>
            </w:r>
          </w:p>
        </w:tc>
        <w:tc>
          <w:tcPr>
            <w:tcW w:w="1843" w:type="dxa"/>
            <w:vAlign w:val="center"/>
          </w:tcPr>
          <w:p w14:paraId="38532DAC" w14:textId="77777777" w:rsidR="00070F47" w:rsidRPr="00B83411" w:rsidRDefault="00070F47">
            <w:pPr>
              <w:spacing w:before="60" w:after="60"/>
              <w:ind w:right="0"/>
              <w:jc w:val="center"/>
              <w:rPr>
                <w:rFonts w:cs="Arial"/>
                <w:b/>
                <w:bCs/>
              </w:rPr>
            </w:pPr>
            <w:r w:rsidRPr="00B83411">
              <w:rPr>
                <w:rFonts w:cs="Arial"/>
              </w:rPr>
              <w:t>73</w:t>
            </w:r>
          </w:p>
        </w:tc>
      </w:tr>
      <w:tr w:rsidR="00070F47" w:rsidRPr="00B83411" w14:paraId="6D1DF64B" w14:textId="77777777">
        <w:trPr>
          <w:trHeight w:val="267"/>
        </w:trPr>
        <w:tc>
          <w:tcPr>
            <w:tcW w:w="6804" w:type="dxa"/>
            <w:tcBorders>
              <w:bottom w:val="single" w:sz="4" w:space="0" w:color="auto"/>
            </w:tcBorders>
            <w:shd w:val="clear" w:color="auto" w:fill="D9D9D9" w:themeFill="background1" w:themeFillShade="D9"/>
            <w:noWrap/>
            <w:vAlign w:val="bottom"/>
          </w:tcPr>
          <w:p w14:paraId="69854A05" w14:textId="77777777" w:rsidR="00070F47" w:rsidRPr="00B83411" w:rsidRDefault="00070F47">
            <w:pPr>
              <w:spacing w:before="60" w:after="60"/>
              <w:ind w:right="0"/>
              <w:rPr>
                <w:rFonts w:cs="Arial"/>
                <w:b/>
                <w:bCs/>
              </w:rPr>
            </w:pPr>
            <w:r w:rsidRPr="00B83411">
              <w:rPr>
                <w:rFonts w:cs="Arial"/>
                <w:b/>
                <w:bCs/>
              </w:rPr>
              <w:t>Topic average</w:t>
            </w:r>
          </w:p>
        </w:tc>
        <w:tc>
          <w:tcPr>
            <w:tcW w:w="1843" w:type="dxa"/>
            <w:tcBorders>
              <w:bottom w:val="single" w:sz="4" w:space="0" w:color="auto"/>
            </w:tcBorders>
            <w:shd w:val="clear" w:color="auto" w:fill="D9D9D9" w:themeFill="background1" w:themeFillShade="D9"/>
            <w:vAlign w:val="center"/>
          </w:tcPr>
          <w:p w14:paraId="39758938" w14:textId="77777777" w:rsidR="00070F47" w:rsidRPr="00B83411" w:rsidRDefault="00070F47">
            <w:pPr>
              <w:spacing w:before="60" w:after="60"/>
              <w:ind w:right="0"/>
              <w:jc w:val="center"/>
              <w:rPr>
                <w:rFonts w:cs="Arial"/>
                <w:b/>
                <w:bCs/>
              </w:rPr>
            </w:pPr>
            <w:r w:rsidRPr="00B83411">
              <w:rPr>
                <w:rFonts w:cs="Arial"/>
                <w:b/>
                <w:bCs/>
              </w:rPr>
              <w:t>93</w:t>
            </w:r>
          </w:p>
        </w:tc>
      </w:tr>
    </w:tbl>
    <w:p w14:paraId="2726D459" w14:textId="77777777" w:rsidR="00A62392" w:rsidRPr="00B83411" w:rsidRDefault="00A62392" w:rsidP="00A67900">
      <w:pPr>
        <w:keepNext/>
        <w:spacing w:before="0"/>
      </w:pPr>
    </w:p>
    <w:p w14:paraId="65110212" w14:textId="6EF962A6" w:rsidR="00A62392" w:rsidRDefault="000925A2" w:rsidP="009F0689">
      <w:r>
        <w:t xml:space="preserve">Figure 4 </w:t>
      </w:r>
      <w:r w:rsidR="00A62392" w:rsidRPr="00B83411">
        <w:t xml:space="preserve">below is a breakdown of the answers to the </w:t>
      </w:r>
      <w:r w:rsidR="0026454B" w:rsidRPr="00B83411">
        <w:t>information and advice</w:t>
      </w:r>
      <w:r w:rsidR="00A62392" w:rsidRPr="00B83411">
        <w:t xml:space="preserve"> topic question</w:t>
      </w:r>
      <w:r w:rsidR="0026454B" w:rsidRPr="00B83411">
        <w:t>s</w:t>
      </w:r>
      <w:r w:rsidR="00A62392" w:rsidRPr="00B83411">
        <w:t xml:space="preserve">. Note that yellow and green cells constitute the % positive score and </w:t>
      </w:r>
      <w:r w:rsidR="00A62392" w:rsidRPr="00B83411">
        <w:rPr>
          <w:i/>
          <w:iCs/>
        </w:rPr>
        <w:t>unsure</w:t>
      </w:r>
      <w:r w:rsidR="00A62392" w:rsidRPr="00B83411">
        <w:t xml:space="preserve"> and no answers </w:t>
      </w:r>
      <w:r w:rsidR="003165A2" w:rsidRPr="00B83411">
        <w:t>were</w:t>
      </w:r>
      <w:r w:rsidR="00A62392" w:rsidRPr="00B83411">
        <w:t xml:space="preserve"> excluded from the calculation base.</w:t>
      </w:r>
    </w:p>
    <w:p w14:paraId="4D560994" w14:textId="77777777" w:rsidR="009F0689" w:rsidRDefault="009F0689" w:rsidP="002A0B7A"/>
    <w:p w14:paraId="3CAFE718" w14:textId="084CF720" w:rsidR="009F0689" w:rsidRPr="009F0689" w:rsidRDefault="009F0689" w:rsidP="009F0689">
      <w:pPr>
        <w:pStyle w:val="Caption"/>
      </w:pPr>
      <w:r>
        <w:t xml:space="preserve">Figure 4: </w:t>
      </w:r>
      <w:r w:rsidR="005904C2">
        <w:t>Information and advice from NOPTA and OIR</w:t>
      </w:r>
    </w:p>
    <w:p w14:paraId="24770CDF" w14:textId="661D0FE7" w:rsidR="00591CFA" w:rsidRPr="00B83411" w:rsidRDefault="00070F47" w:rsidP="009F0689">
      <w:pPr>
        <w:rPr>
          <w:rFonts w:ascii="Arial" w:hAnsi="Arial"/>
          <w:color w:val="00376E"/>
          <w:sz w:val="28"/>
        </w:rPr>
      </w:pPr>
      <w:r w:rsidRPr="00B83411">
        <w:rPr>
          <w:noProof/>
        </w:rPr>
        <w:drawing>
          <wp:inline distT="0" distB="0" distL="0" distR="0" wp14:anchorId="333BCE08" wp14:editId="41B7172E">
            <wp:extent cx="6115685" cy="4533900"/>
            <wp:effectExtent l="0" t="0" r="0" b="0"/>
            <wp:docPr id="424588321" name="Chart 1" descr="A chart showing the breakdown of answers to ‘information and advice’ topic questions. Responses were coded against a five-point rating scale. Yellow and green cells constitute the % positive score and unsure and no answers are excluded.&#10;">
              <a:extLst xmlns:a="http://schemas.openxmlformats.org/drawingml/2006/main">
                <a:ext uri="{FF2B5EF4-FFF2-40B4-BE49-F238E27FC236}">
                  <a16:creationId xmlns:a16="http://schemas.microsoft.com/office/drawing/2014/main" id="{39AC7DD2-287C-731F-A0EA-5BD7AD1D3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91CFA" w:rsidRPr="00B83411">
        <w:br w:type="page"/>
      </w:r>
    </w:p>
    <w:p w14:paraId="198D092D" w14:textId="09901902" w:rsidR="00BC5D6A" w:rsidRPr="00B83411" w:rsidRDefault="004F64AF" w:rsidP="00BC5D6A">
      <w:pPr>
        <w:pStyle w:val="Heading2"/>
      </w:pPr>
      <w:bookmarkStart w:id="15" w:name="_Toc213926345"/>
      <w:r w:rsidRPr="00B83411">
        <w:t>NOPTA</w:t>
      </w:r>
      <w:r w:rsidR="002A7663" w:rsidRPr="00B83411">
        <w:t xml:space="preserve"> / OIR p</w:t>
      </w:r>
      <w:r w:rsidR="00BC5D6A" w:rsidRPr="00B83411">
        <w:t>erformance</w:t>
      </w:r>
      <w:r w:rsidR="007D2133" w:rsidRPr="00B83411">
        <w:t xml:space="preserve"> and </w:t>
      </w:r>
      <w:r w:rsidRPr="00B83411">
        <w:t xml:space="preserve">stakeholder </w:t>
      </w:r>
      <w:r w:rsidR="007D2133" w:rsidRPr="00B83411">
        <w:t>effort</w:t>
      </w:r>
      <w:r w:rsidR="003F4FD1" w:rsidRPr="00B83411">
        <w:t xml:space="preserve"> required</w:t>
      </w:r>
      <w:bookmarkEnd w:id="15"/>
    </w:p>
    <w:p w14:paraId="74326C86" w14:textId="14A3F5C5" w:rsidR="00E016A8" w:rsidRPr="00B83411" w:rsidRDefault="004F64AF" w:rsidP="007D2133">
      <w:r w:rsidRPr="00B83411">
        <w:t>This topic focuses on performance measures, including</w:t>
      </w:r>
      <w:r w:rsidR="0007468C" w:rsidRPr="00B83411">
        <w:t xml:space="preserve"> administrative /</w:t>
      </w:r>
      <w:r w:rsidRPr="00B83411">
        <w:t xml:space="preserve"> regulatory </w:t>
      </w:r>
      <w:r w:rsidR="00A67900" w:rsidRPr="00B83411">
        <w:t>effort</w:t>
      </w:r>
      <w:r w:rsidRPr="00B83411">
        <w:t xml:space="preserve">. </w:t>
      </w:r>
    </w:p>
    <w:p w14:paraId="3B2BF0FB" w14:textId="59CDE572" w:rsidR="004F64AF" w:rsidRPr="00B83411" w:rsidRDefault="004F64AF" w:rsidP="004F64AF">
      <w:pPr>
        <w:spacing w:after="120"/>
      </w:pPr>
      <w:r w:rsidRPr="00B83411">
        <w:t>Respondents were given the following explanations about efficiency and effectiveness when answering those questions:</w:t>
      </w:r>
    </w:p>
    <w:p w14:paraId="51B48647" w14:textId="1590287D" w:rsidR="00520AB4" w:rsidRPr="00B83411" w:rsidRDefault="00520AB4" w:rsidP="0068089E">
      <w:pPr>
        <w:pStyle w:val="ListParagraph"/>
        <w:numPr>
          <w:ilvl w:val="0"/>
          <w:numId w:val="12"/>
        </w:numPr>
        <w:rPr>
          <w:i/>
          <w:iCs/>
          <w:szCs w:val="20"/>
        </w:rPr>
      </w:pPr>
      <w:r w:rsidRPr="00B83411">
        <w:rPr>
          <w:i/>
          <w:iCs/>
          <w:szCs w:val="20"/>
        </w:rPr>
        <w:t>efficiency refers to accomplishing objectives with the least waste of time and effort as well as on time / on budget</w:t>
      </w:r>
    </w:p>
    <w:p w14:paraId="2B8B3CA7" w14:textId="1B11A18A" w:rsidR="00520AB4" w:rsidRPr="00B83411" w:rsidRDefault="00520AB4" w:rsidP="0068089E">
      <w:pPr>
        <w:pStyle w:val="ListParagraph"/>
        <w:numPr>
          <w:ilvl w:val="0"/>
          <w:numId w:val="12"/>
        </w:numPr>
        <w:rPr>
          <w:i/>
          <w:iCs/>
          <w:szCs w:val="20"/>
        </w:rPr>
      </w:pPr>
      <w:r w:rsidRPr="00B83411">
        <w:rPr>
          <w:i/>
          <w:iCs/>
          <w:szCs w:val="20"/>
        </w:rPr>
        <w:t>effectiveness refers to success in achieving stated objectives / functions)</w:t>
      </w:r>
      <w:r w:rsidR="004F64AF" w:rsidRPr="00B83411">
        <w:rPr>
          <w:i/>
          <w:iCs/>
          <w:szCs w:val="20"/>
        </w:rPr>
        <w:t>.</w:t>
      </w:r>
    </w:p>
    <w:p w14:paraId="3A3D90CC" w14:textId="4B2B38C4" w:rsidR="0042570D" w:rsidRPr="00B83411" w:rsidRDefault="004F64AF" w:rsidP="007D2133">
      <w:r w:rsidRPr="00B83411">
        <w:t xml:space="preserve">The results for this topic </w:t>
      </w:r>
      <w:r w:rsidR="003165A2" w:rsidRPr="00B83411">
        <w:t>were</w:t>
      </w:r>
      <w:r w:rsidRPr="00B83411">
        <w:t xml:space="preserve"> very mixed with </w:t>
      </w:r>
      <w:r w:rsidR="003165A2" w:rsidRPr="00B83411">
        <w:t xml:space="preserve">topic </w:t>
      </w:r>
      <w:r w:rsidRPr="00B83411">
        <w:t>items achieving the highest and lowest scores in the survey.</w:t>
      </w:r>
    </w:p>
    <w:p w14:paraId="27C09614" w14:textId="5DBB0528" w:rsidR="004F64AF" w:rsidRPr="00B83411" w:rsidRDefault="004F64AF" w:rsidP="007D2133">
      <w:pPr>
        <w:rPr>
          <w:rFonts w:cs="Arial"/>
          <w:color w:val="000000"/>
        </w:rPr>
      </w:pPr>
      <w:r w:rsidRPr="00B83411">
        <w:t xml:space="preserve">Respondents from government agencies rated NOPTA at 100% positive on </w:t>
      </w:r>
      <w:r w:rsidRPr="00B83411">
        <w:rPr>
          <w:i/>
          <w:iCs/>
        </w:rPr>
        <w:t>balancing administrative effort with outcomes</w:t>
      </w:r>
      <w:r w:rsidRPr="00B83411">
        <w:t>. However, when licence and title holder respondents were asked a similar question (</w:t>
      </w:r>
      <w:r w:rsidRPr="00B83411">
        <w:rPr>
          <w:rFonts w:cs="Arial"/>
          <w:i/>
          <w:iCs/>
          <w:color w:val="000000"/>
        </w:rPr>
        <w:t>balancing administrative and compliance effort</w:t>
      </w:r>
      <w:r w:rsidR="00591CFA" w:rsidRPr="00B83411">
        <w:rPr>
          <w:rFonts w:cs="Arial"/>
          <w:i/>
          <w:iCs/>
          <w:color w:val="000000"/>
        </w:rPr>
        <w:t xml:space="preserve"> </w:t>
      </w:r>
      <w:r w:rsidRPr="00B83411">
        <w:rPr>
          <w:rFonts w:cs="Arial"/>
          <w:i/>
          <w:iCs/>
          <w:color w:val="000000"/>
        </w:rPr>
        <w:t xml:space="preserve">with outcomes) </w:t>
      </w:r>
      <w:r w:rsidRPr="00B83411">
        <w:rPr>
          <w:rFonts w:cs="Arial"/>
          <w:color w:val="000000"/>
        </w:rPr>
        <w:t>they scored 25% positive points lower at 75% positive. This is a notable difference in opinion</w:t>
      </w:r>
      <w:r w:rsidR="006571CF" w:rsidRPr="00B83411">
        <w:rPr>
          <w:rFonts w:cs="Arial"/>
          <w:color w:val="000000"/>
        </w:rPr>
        <w:t>.</w:t>
      </w:r>
    </w:p>
    <w:p w14:paraId="6CC44F17" w14:textId="77777777" w:rsidR="00C908B7" w:rsidRPr="00B83411" w:rsidRDefault="004F64AF" w:rsidP="00050E0E">
      <w:pPr>
        <w:spacing w:after="120"/>
        <w:rPr>
          <w:rFonts w:cs="Arial"/>
          <w:color w:val="000000"/>
        </w:rPr>
      </w:pPr>
      <w:r w:rsidRPr="00B83411">
        <w:rPr>
          <w:rFonts w:cs="Arial"/>
          <w:color w:val="000000"/>
        </w:rPr>
        <w:t xml:space="preserve">The two lowest scores in the survey </w:t>
      </w:r>
      <w:r w:rsidR="00BF0449" w:rsidRPr="00B83411">
        <w:rPr>
          <w:rFonts w:cs="Arial"/>
          <w:color w:val="000000"/>
        </w:rPr>
        <w:t>were</w:t>
      </w:r>
      <w:r w:rsidRPr="00B83411">
        <w:rPr>
          <w:rFonts w:cs="Arial"/>
          <w:i/>
          <w:iCs/>
          <w:color w:val="000000"/>
        </w:rPr>
        <w:t xml:space="preserve"> the efficiency of NOPTA</w:t>
      </w:r>
      <w:r w:rsidR="00591CFA" w:rsidRPr="00B83411">
        <w:rPr>
          <w:rFonts w:cs="Arial"/>
          <w:i/>
          <w:iCs/>
          <w:color w:val="000000"/>
        </w:rPr>
        <w:t>/OIR titles / licences administration</w:t>
      </w:r>
      <w:r w:rsidR="00591CFA" w:rsidRPr="00B83411">
        <w:rPr>
          <w:rFonts w:cs="Arial"/>
          <w:color w:val="000000"/>
        </w:rPr>
        <w:t xml:space="preserve"> (68%) asked of all title</w:t>
      </w:r>
      <w:r w:rsidR="00E87D15" w:rsidRPr="00B83411">
        <w:rPr>
          <w:rFonts w:cs="Arial"/>
          <w:color w:val="000000"/>
        </w:rPr>
        <w:t xml:space="preserve"> holders</w:t>
      </w:r>
      <w:r w:rsidR="00591CFA" w:rsidRPr="00B83411">
        <w:rPr>
          <w:rFonts w:cs="Arial"/>
          <w:color w:val="000000"/>
        </w:rPr>
        <w:t xml:space="preserve"> and licence holders and </w:t>
      </w:r>
      <w:r w:rsidR="00591CFA" w:rsidRPr="00B83411">
        <w:rPr>
          <w:rFonts w:cs="Arial"/>
          <w:i/>
          <w:iCs/>
          <w:color w:val="000000"/>
        </w:rPr>
        <w:t>processing NOPTA applications to meet its published assessment timeframes</w:t>
      </w:r>
      <w:r w:rsidR="00591CFA" w:rsidRPr="00B83411">
        <w:rPr>
          <w:rFonts w:cs="Arial"/>
          <w:color w:val="000000"/>
        </w:rPr>
        <w:t xml:space="preserve"> (58%) asked </w:t>
      </w:r>
      <w:r w:rsidR="00BF0449" w:rsidRPr="00B83411">
        <w:rPr>
          <w:rFonts w:cs="Arial"/>
          <w:color w:val="000000"/>
        </w:rPr>
        <w:t xml:space="preserve">of title holders only. </w:t>
      </w:r>
    </w:p>
    <w:p w14:paraId="3F497A2D" w14:textId="6588F919" w:rsidR="00050E0E" w:rsidRPr="00B83411" w:rsidRDefault="003165A2" w:rsidP="00050E0E">
      <w:pPr>
        <w:spacing w:after="120"/>
        <w:rPr>
          <w:rFonts w:cs="Arial"/>
          <w:color w:val="000000"/>
        </w:rPr>
      </w:pPr>
      <w:r w:rsidRPr="00B83411">
        <w:rPr>
          <w:rFonts w:cs="Arial"/>
          <w:color w:val="000000"/>
        </w:rPr>
        <w:t xml:space="preserve">A number of comments </w:t>
      </w:r>
      <w:r w:rsidR="00050E0E" w:rsidRPr="00B83411">
        <w:rPr>
          <w:rFonts w:cs="Arial"/>
          <w:color w:val="000000"/>
        </w:rPr>
        <w:t xml:space="preserve">about </w:t>
      </w:r>
      <w:r w:rsidR="00050E0E" w:rsidRPr="00B83411">
        <w:rPr>
          <w:rFonts w:cs="Arial"/>
          <w:b/>
          <w:bCs/>
          <w:color w:val="000000"/>
        </w:rPr>
        <w:t>where efficiencies could be achieved</w:t>
      </w:r>
      <w:r w:rsidR="00050E0E" w:rsidRPr="00B83411">
        <w:rPr>
          <w:rFonts w:cs="Arial"/>
          <w:color w:val="000000"/>
        </w:rPr>
        <w:t xml:space="preserve"> were offered under the</w:t>
      </w:r>
      <w:r w:rsidRPr="00B83411">
        <w:rPr>
          <w:rFonts w:cs="Arial"/>
          <w:color w:val="000000"/>
        </w:rPr>
        <w:t xml:space="preserve"> suggested improvements</w:t>
      </w:r>
      <w:r w:rsidR="00050E0E" w:rsidRPr="00B83411">
        <w:rPr>
          <w:rFonts w:cs="Arial"/>
          <w:color w:val="000000"/>
        </w:rPr>
        <w:t xml:space="preserve"> section and these </w:t>
      </w:r>
      <w:r w:rsidRPr="00B83411">
        <w:rPr>
          <w:rFonts w:cs="Arial"/>
          <w:color w:val="000000"/>
        </w:rPr>
        <w:t>point to</w:t>
      </w:r>
      <w:r w:rsidR="00050E0E" w:rsidRPr="00B83411">
        <w:rPr>
          <w:rFonts w:cs="Arial"/>
          <w:color w:val="000000"/>
        </w:rPr>
        <w:t>:</w:t>
      </w:r>
    </w:p>
    <w:p w14:paraId="6215F66D" w14:textId="77777777" w:rsidR="00050E0E" w:rsidRPr="00B83411" w:rsidRDefault="003165A2" w:rsidP="0068089E">
      <w:pPr>
        <w:pStyle w:val="ListParagraph"/>
        <w:numPr>
          <w:ilvl w:val="0"/>
          <w:numId w:val="17"/>
        </w:numPr>
        <w:rPr>
          <w:rFonts w:cs="Arial"/>
        </w:rPr>
      </w:pPr>
      <w:r w:rsidRPr="00B83411">
        <w:rPr>
          <w:rFonts w:cs="Arial"/>
        </w:rPr>
        <w:t>acknowledgement of other government agencies and what they regulate</w:t>
      </w:r>
      <w:r w:rsidR="00050E0E" w:rsidRPr="00B83411">
        <w:rPr>
          <w:rFonts w:cs="Arial"/>
        </w:rPr>
        <w:t xml:space="preserve"> to reduce duplication and particularly with NOPSEMA</w:t>
      </w:r>
    </w:p>
    <w:p w14:paraId="1B472E71" w14:textId="77777777" w:rsidR="00050E0E" w:rsidRPr="00B83411" w:rsidRDefault="00050E0E" w:rsidP="0068089E">
      <w:pPr>
        <w:pStyle w:val="ListParagraph"/>
        <w:numPr>
          <w:ilvl w:val="0"/>
          <w:numId w:val="17"/>
        </w:numPr>
        <w:rPr>
          <w:rFonts w:cs="Arial"/>
        </w:rPr>
      </w:pPr>
      <w:r w:rsidRPr="00B83411">
        <w:rPr>
          <w:rFonts w:cs="Arial"/>
        </w:rPr>
        <w:t xml:space="preserve">the </w:t>
      </w:r>
      <w:r w:rsidR="003165A2" w:rsidRPr="00B83411">
        <w:rPr>
          <w:rFonts w:cs="Arial"/>
        </w:rPr>
        <w:t xml:space="preserve">number of </w:t>
      </w:r>
      <w:r w:rsidRPr="00B83411">
        <w:rPr>
          <w:rFonts w:cs="Arial"/>
        </w:rPr>
        <w:t>NOPTA staff</w:t>
      </w:r>
      <w:r w:rsidR="003165A2" w:rsidRPr="00B83411">
        <w:rPr>
          <w:rFonts w:cs="Arial"/>
        </w:rPr>
        <w:t xml:space="preserve"> </w:t>
      </w:r>
      <w:r w:rsidRPr="00B83411">
        <w:rPr>
          <w:rFonts w:cs="Arial"/>
        </w:rPr>
        <w:t xml:space="preserve">who </w:t>
      </w:r>
      <w:r w:rsidR="003165A2" w:rsidRPr="00B83411">
        <w:rPr>
          <w:rFonts w:cs="Arial"/>
        </w:rPr>
        <w:t>attend meetings</w:t>
      </w:r>
    </w:p>
    <w:p w14:paraId="315BD9FB" w14:textId="77777777" w:rsidR="00050E0E" w:rsidRPr="00B83411" w:rsidRDefault="003165A2" w:rsidP="0068089E">
      <w:pPr>
        <w:pStyle w:val="ListParagraph"/>
        <w:numPr>
          <w:ilvl w:val="0"/>
          <w:numId w:val="17"/>
        </w:numPr>
        <w:rPr>
          <w:rFonts w:cs="Arial"/>
        </w:rPr>
      </w:pPr>
      <w:r w:rsidRPr="00B83411">
        <w:rPr>
          <w:rFonts w:cs="Arial"/>
        </w:rPr>
        <w:t>system upgrades</w:t>
      </w:r>
    </w:p>
    <w:p w14:paraId="2750EA19" w14:textId="77777777" w:rsidR="00050E0E" w:rsidRPr="00B83411" w:rsidRDefault="003165A2" w:rsidP="0068089E">
      <w:pPr>
        <w:pStyle w:val="ListParagraph"/>
        <w:numPr>
          <w:ilvl w:val="0"/>
          <w:numId w:val="17"/>
        </w:numPr>
        <w:rPr>
          <w:rFonts w:cs="Arial"/>
        </w:rPr>
      </w:pPr>
      <w:r w:rsidRPr="00B83411">
        <w:rPr>
          <w:rFonts w:cs="Arial"/>
        </w:rPr>
        <w:t xml:space="preserve">asking for information once </w:t>
      </w:r>
      <w:r w:rsidR="00050E0E" w:rsidRPr="00B83411">
        <w:rPr>
          <w:rFonts w:cs="Arial"/>
        </w:rPr>
        <w:t xml:space="preserve">only </w:t>
      </w:r>
      <w:r w:rsidRPr="00B83411">
        <w:rPr>
          <w:rFonts w:cs="Arial"/>
        </w:rPr>
        <w:t>for companies with multiple titles / licences</w:t>
      </w:r>
    </w:p>
    <w:p w14:paraId="517B68EF" w14:textId="66B9712F" w:rsidR="00BF0449" w:rsidRPr="00B83411" w:rsidRDefault="00050E0E" w:rsidP="0068089E">
      <w:pPr>
        <w:pStyle w:val="ListParagraph"/>
        <w:numPr>
          <w:ilvl w:val="0"/>
          <w:numId w:val="17"/>
        </w:numPr>
        <w:rPr>
          <w:rFonts w:cs="Arial"/>
        </w:rPr>
      </w:pPr>
      <w:r w:rsidRPr="00B83411">
        <w:rPr>
          <w:rFonts w:cs="Arial"/>
        </w:rPr>
        <w:t>reducing the amount of information required including around financial competency.</w:t>
      </w:r>
    </w:p>
    <w:p w14:paraId="796B5B09" w14:textId="1B5780A8" w:rsidR="004F64AF" w:rsidRPr="00B83411" w:rsidRDefault="00BF0449" w:rsidP="003D1D0B">
      <w:pPr>
        <w:spacing w:after="240"/>
        <w:rPr>
          <w:rFonts w:cs="Arial"/>
          <w:color w:val="000000"/>
        </w:rPr>
      </w:pPr>
      <w:r w:rsidRPr="00B83411">
        <w:rPr>
          <w:rFonts w:cs="Arial"/>
          <w:color w:val="000000"/>
        </w:rPr>
        <w:t>NOPTA has a published performance measure of 9</w:t>
      </w:r>
      <w:r w:rsidR="00E87D15" w:rsidRPr="00B83411">
        <w:rPr>
          <w:rFonts w:cs="Arial"/>
          <w:color w:val="000000"/>
        </w:rPr>
        <w:t>0</w:t>
      </w:r>
      <w:r w:rsidRPr="00B83411">
        <w:rPr>
          <w:rFonts w:cs="Arial"/>
          <w:color w:val="000000"/>
        </w:rPr>
        <w:t xml:space="preserve">% of </w:t>
      </w:r>
      <w:r w:rsidRPr="00B83411">
        <w:rPr>
          <w:rFonts w:cs="Arial"/>
          <w:b/>
          <w:bCs/>
          <w:color w:val="000000"/>
        </w:rPr>
        <w:t>applications processed within published timeframes</w:t>
      </w:r>
      <w:r w:rsidR="003D1D0B" w:rsidRPr="00B83411">
        <w:rPr>
          <w:rFonts w:cs="Arial"/>
          <w:color w:val="000000"/>
        </w:rPr>
        <w:t>. I</w:t>
      </w:r>
      <w:r w:rsidRPr="00B83411">
        <w:rPr>
          <w:rFonts w:cs="Arial"/>
          <w:color w:val="000000"/>
        </w:rPr>
        <w:t>n 2024</w:t>
      </w:r>
      <w:r w:rsidR="00055430" w:rsidRPr="00B83411">
        <w:rPr>
          <w:rFonts w:cs="Arial"/>
          <w:color w:val="000000"/>
        </w:rPr>
        <w:t>-25</w:t>
      </w:r>
      <w:r w:rsidRPr="00B83411">
        <w:rPr>
          <w:rFonts w:cs="Arial"/>
          <w:color w:val="000000"/>
        </w:rPr>
        <w:t xml:space="preserve"> </w:t>
      </w:r>
      <w:r w:rsidR="003D1D0B" w:rsidRPr="00B83411">
        <w:rPr>
          <w:rFonts w:cs="Arial"/>
          <w:color w:val="000000"/>
        </w:rPr>
        <w:t>NOPTA</w:t>
      </w:r>
      <w:r w:rsidRPr="00B83411">
        <w:rPr>
          <w:rFonts w:cs="Arial"/>
          <w:color w:val="000000"/>
        </w:rPr>
        <w:t xml:space="preserve"> exceed</w:t>
      </w:r>
      <w:r w:rsidR="003D1D0B" w:rsidRPr="00B83411">
        <w:rPr>
          <w:rFonts w:cs="Arial"/>
          <w:color w:val="000000"/>
        </w:rPr>
        <w:t>ed</w:t>
      </w:r>
      <w:r w:rsidRPr="00B83411">
        <w:rPr>
          <w:rFonts w:cs="Arial"/>
          <w:color w:val="000000"/>
        </w:rPr>
        <w:t xml:space="preserve"> that target with 9</w:t>
      </w:r>
      <w:r w:rsidR="00055430" w:rsidRPr="00B83411">
        <w:rPr>
          <w:rFonts w:cs="Arial"/>
          <w:color w:val="000000"/>
        </w:rPr>
        <w:t>9</w:t>
      </w:r>
      <w:r w:rsidRPr="00B83411">
        <w:rPr>
          <w:rFonts w:cs="Arial"/>
          <w:color w:val="000000"/>
        </w:rPr>
        <w:t xml:space="preserve">% of applications meeting timeframes. However </w:t>
      </w:r>
      <w:r w:rsidR="0026454B" w:rsidRPr="00B83411">
        <w:rPr>
          <w:rFonts w:cs="Arial"/>
          <w:color w:val="000000"/>
        </w:rPr>
        <w:t>many</w:t>
      </w:r>
      <w:r w:rsidRPr="00B83411">
        <w:rPr>
          <w:rFonts w:cs="Arial"/>
          <w:color w:val="000000"/>
        </w:rPr>
        <w:t xml:space="preserve"> title holders </w:t>
      </w:r>
      <w:r w:rsidR="00A67900" w:rsidRPr="00B83411">
        <w:rPr>
          <w:rFonts w:cs="Arial"/>
          <w:color w:val="000000"/>
        </w:rPr>
        <w:t xml:space="preserve">were </w:t>
      </w:r>
      <w:r w:rsidRPr="00B83411">
        <w:rPr>
          <w:rFonts w:cs="Arial"/>
          <w:color w:val="000000"/>
        </w:rPr>
        <w:t>probably not aware of th</w:t>
      </w:r>
      <w:r w:rsidR="0026454B" w:rsidRPr="00B83411">
        <w:rPr>
          <w:rFonts w:cs="Arial"/>
          <w:color w:val="000000"/>
        </w:rPr>
        <w:t>at measure and NOPTA’s performance</w:t>
      </w:r>
      <w:r w:rsidRPr="00B83411">
        <w:rPr>
          <w:rFonts w:cs="Arial"/>
          <w:color w:val="000000"/>
        </w:rPr>
        <w:t>. Confusing the issue is that the processing of title applications is quite different from approving applications.</w:t>
      </w:r>
      <w:r w:rsidR="00C908B7" w:rsidRPr="00B83411">
        <w:rPr>
          <w:rFonts w:cs="Arial"/>
          <w:color w:val="000000"/>
        </w:rPr>
        <w:t xml:space="preserve"> Other departmental branches (not NOPTA) support decision makers (ministers / delegates) to approve applications</w:t>
      </w:r>
      <w:r w:rsidRPr="00B83411">
        <w:rPr>
          <w:rFonts w:cs="Arial"/>
          <w:color w:val="000000"/>
        </w:rPr>
        <w:t xml:space="preserve">. </w:t>
      </w:r>
      <w:r w:rsidR="00050E0E" w:rsidRPr="00B83411">
        <w:rPr>
          <w:rFonts w:cs="Arial"/>
          <w:color w:val="000000"/>
        </w:rPr>
        <w:t>Some</w:t>
      </w:r>
      <w:r w:rsidRPr="00B83411">
        <w:rPr>
          <w:rFonts w:cs="Arial"/>
          <w:color w:val="000000"/>
        </w:rPr>
        <w:t xml:space="preserve"> applicants </w:t>
      </w:r>
      <w:r w:rsidR="00050E0E" w:rsidRPr="00B83411">
        <w:rPr>
          <w:rFonts w:cs="Arial"/>
          <w:color w:val="000000"/>
        </w:rPr>
        <w:t xml:space="preserve">may have </w:t>
      </w:r>
      <w:r w:rsidRPr="00B83411">
        <w:rPr>
          <w:rFonts w:cs="Arial"/>
          <w:color w:val="000000"/>
        </w:rPr>
        <w:t>only consider</w:t>
      </w:r>
      <w:r w:rsidR="00050E0E" w:rsidRPr="00B83411">
        <w:rPr>
          <w:rFonts w:cs="Arial"/>
          <w:color w:val="000000"/>
        </w:rPr>
        <w:t>ed</w:t>
      </w:r>
      <w:r w:rsidRPr="00B83411">
        <w:rPr>
          <w:rFonts w:cs="Arial"/>
          <w:color w:val="000000"/>
        </w:rPr>
        <w:t xml:space="preserve"> the total time f</w:t>
      </w:r>
      <w:r w:rsidR="003D1D0B" w:rsidRPr="00B83411">
        <w:rPr>
          <w:rFonts w:cs="Arial"/>
          <w:color w:val="000000"/>
        </w:rPr>
        <w:t xml:space="preserve">rom application to </w:t>
      </w:r>
      <w:r w:rsidRPr="00B83411">
        <w:rPr>
          <w:rFonts w:cs="Arial"/>
          <w:color w:val="000000"/>
        </w:rPr>
        <w:t xml:space="preserve">approval </w:t>
      </w:r>
      <w:r w:rsidR="00050E0E" w:rsidRPr="00B83411">
        <w:rPr>
          <w:rFonts w:cs="Arial"/>
          <w:color w:val="000000"/>
        </w:rPr>
        <w:t xml:space="preserve">and </w:t>
      </w:r>
      <w:r w:rsidR="00A67900" w:rsidRPr="00B83411">
        <w:rPr>
          <w:rFonts w:cs="Arial"/>
          <w:color w:val="000000"/>
        </w:rPr>
        <w:t xml:space="preserve">not been aware that </w:t>
      </w:r>
      <w:r w:rsidR="00050E0E" w:rsidRPr="00B83411">
        <w:rPr>
          <w:rFonts w:cs="Arial"/>
          <w:color w:val="000000"/>
        </w:rPr>
        <w:t xml:space="preserve">any decision-making time </w:t>
      </w:r>
      <w:r w:rsidRPr="00B83411">
        <w:rPr>
          <w:rFonts w:cs="Arial"/>
          <w:color w:val="000000"/>
        </w:rPr>
        <w:t>is outside of NOPTA’s remit.</w:t>
      </w:r>
      <w:r w:rsidR="003D1D0B" w:rsidRPr="00B83411">
        <w:rPr>
          <w:rFonts w:cs="Arial"/>
          <w:color w:val="000000"/>
        </w:rPr>
        <w:t xml:space="preserve"> </w:t>
      </w:r>
      <w:r w:rsidR="00050E0E" w:rsidRPr="00B83411">
        <w:rPr>
          <w:rFonts w:cs="Arial"/>
          <w:color w:val="000000"/>
        </w:rPr>
        <w:t>However, t</w:t>
      </w:r>
      <w:r w:rsidR="003D1D0B" w:rsidRPr="00B83411">
        <w:rPr>
          <w:rFonts w:cs="Arial"/>
          <w:color w:val="000000"/>
        </w:rPr>
        <w:t xml:space="preserve">he result for this survey item does point to clearer </w:t>
      </w:r>
      <w:r w:rsidR="00050E0E" w:rsidRPr="00B83411">
        <w:rPr>
          <w:rFonts w:cs="Arial"/>
          <w:color w:val="000000"/>
        </w:rPr>
        <w:t>information</w:t>
      </w:r>
      <w:r w:rsidR="003D1D0B" w:rsidRPr="00B83411">
        <w:rPr>
          <w:rFonts w:cs="Arial"/>
          <w:color w:val="000000"/>
        </w:rPr>
        <w:t xml:space="preserve"> from NOPTA </w:t>
      </w:r>
      <w:r w:rsidR="00300D08" w:rsidRPr="00B83411">
        <w:rPr>
          <w:rFonts w:cs="Arial"/>
          <w:color w:val="000000"/>
        </w:rPr>
        <w:t xml:space="preserve">about </w:t>
      </w:r>
      <w:r w:rsidR="00050E0E" w:rsidRPr="00B83411">
        <w:rPr>
          <w:rFonts w:cs="Arial"/>
          <w:color w:val="000000"/>
        </w:rPr>
        <w:t xml:space="preserve">NOPTA’s role and </w:t>
      </w:r>
      <w:r w:rsidR="00300D08" w:rsidRPr="00B83411">
        <w:rPr>
          <w:rFonts w:cs="Arial"/>
          <w:color w:val="000000"/>
        </w:rPr>
        <w:t xml:space="preserve">which organisation/s make decisions. This information </w:t>
      </w:r>
      <w:r w:rsidR="003D1D0B" w:rsidRPr="00B83411">
        <w:rPr>
          <w:rFonts w:cs="Arial"/>
          <w:color w:val="000000"/>
        </w:rPr>
        <w:t xml:space="preserve">could possibly </w:t>
      </w:r>
      <w:r w:rsidR="00300D08" w:rsidRPr="00B83411">
        <w:rPr>
          <w:rFonts w:cs="Arial"/>
          <w:color w:val="000000"/>
        </w:rPr>
        <w:t>be provided</w:t>
      </w:r>
      <w:r w:rsidR="003D1D0B" w:rsidRPr="00B83411">
        <w:rPr>
          <w:rFonts w:cs="Arial"/>
          <w:color w:val="000000"/>
        </w:rPr>
        <w:t xml:space="preserve"> at point of application submission.</w:t>
      </w:r>
    </w:p>
    <w:p w14:paraId="63A4BA83" w14:textId="77777777" w:rsidR="00050E0E" w:rsidRPr="00B83411" w:rsidRDefault="00050E0E">
      <w:pPr>
        <w:spacing w:before="0" w:line="240" w:lineRule="auto"/>
        <w:ind w:right="0"/>
        <w:rPr>
          <w:color w:val="1F497D" w:themeColor="text2"/>
        </w:rPr>
      </w:pPr>
      <w:r w:rsidRPr="00B83411">
        <w:br w:type="page"/>
      </w:r>
    </w:p>
    <w:p w14:paraId="695F4C61" w14:textId="18E67D57" w:rsidR="003F4FD1" w:rsidRPr="00B83411" w:rsidRDefault="0042570D" w:rsidP="0042570D">
      <w:pPr>
        <w:pStyle w:val="Caption"/>
      </w:pPr>
      <w:r w:rsidRPr="00B83411">
        <w:t xml:space="preserve">Table </w:t>
      </w:r>
      <w:r w:rsidR="00C32D47">
        <w:fldChar w:fldCharType="begin"/>
      </w:r>
      <w:r w:rsidR="00C32D47">
        <w:instrText xml:space="preserve"> SEQ Table \* ARABIC </w:instrText>
      </w:r>
      <w:r w:rsidR="00C32D47">
        <w:fldChar w:fldCharType="separate"/>
      </w:r>
      <w:r w:rsidR="00C350E2">
        <w:rPr>
          <w:noProof/>
        </w:rPr>
        <w:t>7</w:t>
      </w:r>
      <w:r w:rsidR="00C32D47">
        <w:fldChar w:fldCharType="end"/>
      </w:r>
      <w:r w:rsidRPr="00B83411">
        <w:t xml:space="preserve">: </w:t>
      </w:r>
      <w:r w:rsidR="00BE78A1" w:rsidRPr="00B83411">
        <w:t>NOPTA</w:t>
      </w:r>
      <w:r w:rsidR="00A62392" w:rsidRPr="00B83411">
        <w:t>/OIR</w:t>
      </w:r>
      <w:r w:rsidR="00BE78A1" w:rsidRPr="00B83411">
        <w:t xml:space="preserve"> p</w:t>
      </w:r>
      <w:r w:rsidRPr="00B83411">
        <w:t xml:space="preserve">erformance and </w:t>
      </w:r>
      <w:r w:rsidR="00BE78A1" w:rsidRPr="00B83411">
        <w:t xml:space="preserve">stakeholder </w:t>
      </w:r>
      <w:r w:rsidRPr="00B83411">
        <w:t>effort required</w:t>
      </w:r>
    </w:p>
    <w:tbl>
      <w:tblPr>
        <w:tblW w:w="8647" w:type="dxa"/>
        <w:tblLayout w:type="fixed"/>
        <w:tblLook w:val="0000" w:firstRow="0" w:lastRow="0" w:firstColumn="0" w:lastColumn="0" w:noHBand="0" w:noVBand="0"/>
      </w:tblPr>
      <w:tblGrid>
        <w:gridCol w:w="6946"/>
        <w:gridCol w:w="1701"/>
      </w:tblGrid>
      <w:tr w:rsidR="003F4FD1" w:rsidRPr="00B83411" w14:paraId="40F0FA2B" w14:textId="77777777" w:rsidTr="00AE1430">
        <w:trPr>
          <w:trHeight w:val="267"/>
          <w:tblHeader/>
        </w:trPr>
        <w:tc>
          <w:tcPr>
            <w:tcW w:w="6946" w:type="dxa"/>
            <w:shd w:val="clear" w:color="auto" w:fill="003366"/>
            <w:noWrap/>
            <w:vAlign w:val="center"/>
          </w:tcPr>
          <w:p w14:paraId="23C07463" w14:textId="2A3463D1" w:rsidR="003F4FD1" w:rsidRPr="00B83411" w:rsidRDefault="003F4FD1" w:rsidP="00B94C0E">
            <w:pPr>
              <w:spacing w:before="60" w:after="60"/>
              <w:rPr>
                <w:rFonts w:ascii="Arial" w:hAnsi="Arial"/>
                <w:b/>
                <w:bCs/>
                <w:color w:val="00376E"/>
                <w:sz w:val="22"/>
                <w:szCs w:val="22"/>
              </w:rPr>
            </w:pPr>
            <w:r w:rsidRPr="00B83411">
              <w:rPr>
                <w:b/>
                <w:bCs/>
                <w:sz w:val="22"/>
                <w:szCs w:val="22"/>
              </w:rPr>
              <w:t xml:space="preserve">NOPTA and OIR performance and </w:t>
            </w:r>
            <w:r w:rsidR="004F64AF" w:rsidRPr="00B83411">
              <w:rPr>
                <w:b/>
                <w:bCs/>
                <w:sz w:val="22"/>
                <w:szCs w:val="22"/>
              </w:rPr>
              <w:t xml:space="preserve">stakeholder </w:t>
            </w:r>
            <w:r w:rsidRPr="00B83411">
              <w:rPr>
                <w:b/>
                <w:bCs/>
                <w:sz w:val="22"/>
                <w:szCs w:val="22"/>
              </w:rPr>
              <w:t>effort required</w:t>
            </w:r>
          </w:p>
        </w:tc>
        <w:tc>
          <w:tcPr>
            <w:tcW w:w="1701" w:type="dxa"/>
            <w:shd w:val="clear" w:color="auto" w:fill="003366"/>
            <w:vAlign w:val="center"/>
          </w:tcPr>
          <w:p w14:paraId="293DBFBA" w14:textId="77777777" w:rsidR="003F4FD1" w:rsidRPr="00B83411" w:rsidRDefault="003F4FD1" w:rsidP="00B94C0E">
            <w:pPr>
              <w:spacing w:before="60" w:after="60"/>
              <w:ind w:right="0"/>
              <w:rPr>
                <w:rFonts w:cs="Arial"/>
                <w:b/>
                <w:bCs/>
                <w:color w:val="FFFFFF"/>
                <w:sz w:val="22"/>
                <w:szCs w:val="22"/>
              </w:rPr>
            </w:pPr>
            <w:r w:rsidRPr="00B83411">
              <w:rPr>
                <w:rFonts w:cs="Arial"/>
                <w:b/>
                <w:bCs/>
                <w:color w:val="FFFFFF"/>
                <w:sz w:val="22"/>
                <w:szCs w:val="22"/>
              </w:rPr>
              <w:t>% positive</w:t>
            </w:r>
          </w:p>
        </w:tc>
      </w:tr>
      <w:tr w:rsidR="003F4FD1" w:rsidRPr="00B83411" w14:paraId="6C64A4FC" w14:textId="77777777" w:rsidTr="00AE1430">
        <w:trPr>
          <w:trHeight w:val="267"/>
        </w:trPr>
        <w:tc>
          <w:tcPr>
            <w:tcW w:w="6946" w:type="dxa"/>
            <w:noWrap/>
            <w:vAlign w:val="center"/>
          </w:tcPr>
          <w:p w14:paraId="77BA14EA" w14:textId="0DEE0237" w:rsidR="003F4FD1" w:rsidRPr="00B83411" w:rsidRDefault="003F4FD1" w:rsidP="003F4FD1">
            <w:pPr>
              <w:spacing w:before="60" w:after="60"/>
              <w:ind w:right="0"/>
              <w:rPr>
                <w:rFonts w:cs="Arial"/>
                <w:color w:val="000000"/>
              </w:rPr>
            </w:pPr>
            <w:r w:rsidRPr="00B83411">
              <w:rPr>
                <w:rFonts w:cs="Arial"/>
                <w:color w:val="000000"/>
              </w:rPr>
              <w:t xml:space="preserve">The efficiency of </w:t>
            </w:r>
            <w:r w:rsidR="004F64AF" w:rsidRPr="00B83411">
              <w:rPr>
                <w:rFonts w:cs="Arial"/>
                <w:color w:val="000000"/>
              </w:rPr>
              <w:t>NOPTA</w:t>
            </w:r>
            <w:r w:rsidR="00591CFA" w:rsidRPr="00B83411">
              <w:rPr>
                <w:rFonts w:cs="Arial"/>
                <w:color w:val="000000"/>
              </w:rPr>
              <w:t>/OIR</w:t>
            </w:r>
            <w:r w:rsidRPr="00B83411">
              <w:rPr>
                <w:rFonts w:cs="Arial"/>
                <w:color w:val="000000"/>
              </w:rPr>
              <w:t xml:space="preserve"> titles / licences administration n=68</w:t>
            </w:r>
          </w:p>
        </w:tc>
        <w:tc>
          <w:tcPr>
            <w:tcW w:w="1701" w:type="dxa"/>
            <w:vAlign w:val="center"/>
          </w:tcPr>
          <w:p w14:paraId="38C15848" w14:textId="16932EE9" w:rsidR="003F4FD1" w:rsidRPr="00B83411" w:rsidRDefault="003F4FD1" w:rsidP="00143804">
            <w:pPr>
              <w:spacing w:before="60" w:after="60"/>
              <w:ind w:right="0"/>
              <w:jc w:val="center"/>
            </w:pPr>
            <w:r w:rsidRPr="00B83411">
              <w:rPr>
                <w:rFonts w:cs="Arial"/>
              </w:rPr>
              <w:t>68</w:t>
            </w:r>
          </w:p>
        </w:tc>
      </w:tr>
      <w:tr w:rsidR="003F4FD1" w:rsidRPr="00B83411" w14:paraId="20FBD7BB" w14:textId="77777777" w:rsidTr="00AE1430">
        <w:trPr>
          <w:trHeight w:val="267"/>
        </w:trPr>
        <w:tc>
          <w:tcPr>
            <w:tcW w:w="6946" w:type="dxa"/>
            <w:shd w:val="clear" w:color="auto" w:fill="D1D1D1"/>
            <w:noWrap/>
            <w:vAlign w:val="center"/>
          </w:tcPr>
          <w:p w14:paraId="6C1A47C9" w14:textId="5BD25B98" w:rsidR="003F4FD1" w:rsidRPr="00B83411" w:rsidRDefault="003F4FD1" w:rsidP="003F4FD1">
            <w:pPr>
              <w:spacing w:before="60" w:after="60"/>
              <w:ind w:right="0"/>
              <w:rPr>
                <w:rFonts w:cs="Arial"/>
                <w:color w:val="000000"/>
              </w:rPr>
            </w:pPr>
            <w:r w:rsidRPr="00B83411">
              <w:rPr>
                <w:rFonts w:cs="Arial"/>
                <w:color w:val="000000"/>
              </w:rPr>
              <w:t xml:space="preserve">The effectiveness of </w:t>
            </w:r>
            <w:r w:rsidR="004F64AF" w:rsidRPr="00B83411">
              <w:rPr>
                <w:rFonts w:cs="Arial"/>
                <w:color w:val="000000"/>
              </w:rPr>
              <w:t>NOPTA</w:t>
            </w:r>
            <w:r w:rsidR="00591CFA" w:rsidRPr="00B83411">
              <w:rPr>
                <w:rFonts w:cs="Arial"/>
                <w:color w:val="000000"/>
              </w:rPr>
              <w:t>/OIR</w:t>
            </w:r>
            <w:r w:rsidRPr="00B83411">
              <w:rPr>
                <w:rFonts w:cs="Arial"/>
                <w:color w:val="000000"/>
              </w:rPr>
              <w:t xml:space="preserve"> titles / licences administration n=71</w:t>
            </w:r>
          </w:p>
        </w:tc>
        <w:tc>
          <w:tcPr>
            <w:tcW w:w="1701" w:type="dxa"/>
            <w:shd w:val="clear" w:color="auto" w:fill="D1D1D1"/>
            <w:vAlign w:val="center"/>
          </w:tcPr>
          <w:p w14:paraId="4740EE1E" w14:textId="43062789" w:rsidR="003F4FD1" w:rsidRPr="00B83411" w:rsidRDefault="003F4FD1" w:rsidP="00143804">
            <w:pPr>
              <w:spacing w:before="60" w:after="60"/>
              <w:ind w:right="0"/>
              <w:jc w:val="center"/>
            </w:pPr>
            <w:r w:rsidRPr="00B83411">
              <w:rPr>
                <w:rFonts w:cs="Arial"/>
              </w:rPr>
              <w:t>87</w:t>
            </w:r>
          </w:p>
        </w:tc>
      </w:tr>
      <w:tr w:rsidR="003F4FD1" w:rsidRPr="00B83411" w14:paraId="022885B4" w14:textId="77777777" w:rsidTr="00AE1430">
        <w:trPr>
          <w:trHeight w:val="267"/>
        </w:trPr>
        <w:tc>
          <w:tcPr>
            <w:tcW w:w="6946" w:type="dxa"/>
            <w:noWrap/>
            <w:vAlign w:val="center"/>
          </w:tcPr>
          <w:p w14:paraId="788FEACF" w14:textId="50A09CA8" w:rsidR="003F4FD1" w:rsidRPr="00B83411" w:rsidRDefault="003F4FD1" w:rsidP="003F4FD1">
            <w:pPr>
              <w:spacing w:before="60" w:after="60"/>
              <w:ind w:right="0"/>
            </w:pPr>
            <w:r w:rsidRPr="00B83411">
              <w:rPr>
                <w:rFonts w:cs="Arial"/>
                <w:color w:val="000000"/>
              </w:rPr>
              <w:t xml:space="preserve">Processing </w:t>
            </w:r>
            <w:r w:rsidR="00591CFA" w:rsidRPr="00B83411">
              <w:rPr>
                <w:rFonts w:cs="Arial"/>
                <w:color w:val="000000"/>
              </w:rPr>
              <w:t>NOPTA</w:t>
            </w:r>
            <w:r w:rsidRPr="00B83411">
              <w:rPr>
                <w:rFonts w:cs="Arial"/>
                <w:color w:val="000000"/>
              </w:rPr>
              <w:t xml:space="preserve"> applications to meet its published assessment timeframes (</w:t>
            </w:r>
            <w:r w:rsidR="00591CFA" w:rsidRPr="00B83411">
              <w:rPr>
                <w:rFonts w:cs="Arial"/>
                <w:color w:val="000000"/>
              </w:rPr>
              <w:t>title</w:t>
            </w:r>
            <w:r w:rsidRPr="00B83411">
              <w:rPr>
                <w:rFonts w:cs="Arial"/>
                <w:color w:val="000000"/>
              </w:rPr>
              <w:t xml:space="preserve"> holder only) n=45</w:t>
            </w:r>
          </w:p>
        </w:tc>
        <w:tc>
          <w:tcPr>
            <w:tcW w:w="1701" w:type="dxa"/>
            <w:vAlign w:val="center"/>
          </w:tcPr>
          <w:p w14:paraId="44300B26" w14:textId="2D92169F" w:rsidR="003F4FD1" w:rsidRPr="00B83411" w:rsidRDefault="003F4FD1" w:rsidP="00143804">
            <w:pPr>
              <w:spacing w:before="60" w:after="60"/>
              <w:ind w:right="0"/>
              <w:jc w:val="center"/>
            </w:pPr>
            <w:r w:rsidRPr="00B83411">
              <w:rPr>
                <w:rFonts w:cs="Arial"/>
              </w:rPr>
              <w:t>58</w:t>
            </w:r>
          </w:p>
        </w:tc>
      </w:tr>
      <w:tr w:rsidR="003F4FD1" w:rsidRPr="00B83411" w14:paraId="359B4272" w14:textId="77777777" w:rsidTr="00AE1430">
        <w:trPr>
          <w:trHeight w:val="267"/>
        </w:trPr>
        <w:tc>
          <w:tcPr>
            <w:tcW w:w="6946" w:type="dxa"/>
            <w:shd w:val="clear" w:color="auto" w:fill="D1D1D1"/>
            <w:noWrap/>
            <w:vAlign w:val="center"/>
          </w:tcPr>
          <w:p w14:paraId="679DF626" w14:textId="3D339240" w:rsidR="003F4FD1" w:rsidRPr="00B83411" w:rsidRDefault="003F4FD1" w:rsidP="003F4FD1">
            <w:pPr>
              <w:spacing w:before="60" w:after="60"/>
              <w:ind w:right="0"/>
            </w:pPr>
            <w:r w:rsidRPr="00B83411">
              <w:rPr>
                <w:rFonts w:cs="Arial"/>
                <w:color w:val="000000"/>
              </w:rPr>
              <w:t xml:space="preserve">Balancing administrative and compliance effort with outcomes </w:t>
            </w:r>
            <w:r w:rsidR="00B746C9" w:rsidRPr="00B83411">
              <w:rPr>
                <w:rFonts w:cs="Arial"/>
                <w:color w:val="000000"/>
              </w:rPr>
              <w:t>(title / licence holder only</w:t>
            </w:r>
            <w:r w:rsidRPr="00B83411">
              <w:rPr>
                <w:rFonts w:cs="Arial"/>
                <w:color w:val="000000"/>
              </w:rPr>
              <w:t>) n=55</w:t>
            </w:r>
          </w:p>
        </w:tc>
        <w:tc>
          <w:tcPr>
            <w:tcW w:w="1701" w:type="dxa"/>
            <w:shd w:val="clear" w:color="auto" w:fill="D1D1D1"/>
            <w:vAlign w:val="center"/>
          </w:tcPr>
          <w:p w14:paraId="31F8ECA5" w14:textId="744CCDAB" w:rsidR="003F4FD1" w:rsidRPr="00B83411" w:rsidRDefault="003F4FD1" w:rsidP="00143804">
            <w:pPr>
              <w:spacing w:before="60" w:after="60"/>
              <w:ind w:right="0"/>
              <w:jc w:val="center"/>
            </w:pPr>
            <w:r w:rsidRPr="00B83411">
              <w:rPr>
                <w:rFonts w:cs="Arial"/>
              </w:rPr>
              <w:t>75</w:t>
            </w:r>
          </w:p>
        </w:tc>
      </w:tr>
      <w:tr w:rsidR="003F4FD1" w:rsidRPr="00B83411" w14:paraId="0F52466B" w14:textId="77777777" w:rsidTr="00AE1430">
        <w:trPr>
          <w:trHeight w:val="267"/>
        </w:trPr>
        <w:tc>
          <w:tcPr>
            <w:tcW w:w="6946" w:type="dxa"/>
            <w:noWrap/>
            <w:vAlign w:val="center"/>
          </w:tcPr>
          <w:p w14:paraId="2050D45A" w14:textId="417B0671" w:rsidR="003F4FD1" w:rsidRPr="00B83411" w:rsidRDefault="003F4FD1" w:rsidP="003F4FD1">
            <w:pPr>
              <w:spacing w:before="60" w:after="60"/>
              <w:ind w:right="0"/>
            </w:pPr>
            <w:r w:rsidRPr="00B83411">
              <w:rPr>
                <w:rFonts w:cs="Arial"/>
                <w:color w:val="000000"/>
              </w:rPr>
              <w:t>Balancing administrative effort with outcomes (govt agency only) n=17</w:t>
            </w:r>
          </w:p>
        </w:tc>
        <w:tc>
          <w:tcPr>
            <w:tcW w:w="1701" w:type="dxa"/>
            <w:vAlign w:val="center"/>
          </w:tcPr>
          <w:p w14:paraId="57EF385E" w14:textId="27B2F77E" w:rsidR="003F4FD1" w:rsidRPr="00B83411" w:rsidRDefault="003F4FD1" w:rsidP="00143804">
            <w:pPr>
              <w:spacing w:before="60" w:after="60"/>
              <w:ind w:right="0"/>
              <w:jc w:val="center"/>
            </w:pPr>
            <w:r w:rsidRPr="00B83411">
              <w:rPr>
                <w:rFonts w:cs="Arial"/>
              </w:rPr>
              <w:t>100</w:t>
            </w:r>
          </w:p>
        </w:tc>
      </w:tr>
      <w:tr w:rsidR="003F4FD1" w:rsidRPr="00B83411" w14:paraId="574AB748" w14:textId="77777777" w:rsidTr="00AE1430">
        <w:trPr>
          <w:trHeight w:val="267"/>
        </w:trPr>
        <w:tc>
          <w:tcPr>
            <w:tcW w:w="6946" w:type="dxa"/>
            <w:shd w:val="clear" w:color="auto" w:fill="D1D1D1"/>
            <w:noWrap/>
            <w:vAlign w:val="center"/>
          </w:tcPr>
          <w:p w14:paraId="6264294C" w14:textId="29304E2B" w:rsidR="003F4FD1" w:rsidRPr="00B83411" w:rsidRDefault="003F4FD1" w:rsidP="003F4FD1">
            <w:pPr>
              <w:spacing w:before="60" w:after="60"/>
              <w:ind w:right="0"/>
            </w:pPr>
            <w:r w:rsidRPr="00B83411">
              <w:rPr>
                <w:rFonts w:cs="Arial"/>
                <w:color w:val="000000"/>
              </w:rPr>
              <w:t xml:space="preserve">Encouraging voluntary administrative compliance </w:t>
            </w:r>
            <w:r w:rsidR="00B746C9" w:rsidRPr="00B83411">
              <w:rPr>
                <w:rFonts w:cs="Arial"/>
                <w:color w:val="000000"/>
              </w:rPr>
              <w:t xml:space="preserve">(title / licence holder only) </w:t>
            </w:r>
            <w:r w:rsidRPr="00B83411">
              <w:rPr>
                <w:rFonts w:cs="Arial"/>
                <w:color w:val="000000"/>
              </w:rPr>
              <w:t>n=45</w:t>
            </w:r>
          </w:p>
        </w:tc>
        <w:tc>
          <w:tcPr>
            <w:tcW w:w="1701" w:type="dxa"/>
            <w:shd w:val="clear" w:color="auto" w:fill="D1D1D1"/>
            <w:vAlign w:val="center"/>
          </w:tcPr>
          <w:p w14:paraId="37912BD1" w14:textId="3BEE0904" w:rsidR="003F4FD1" w:rsidRPr="00B83411" w:rsidRDefault="003F4FD1" w:rsidP="00143804">
            <w:pPr>
              <w:spacing w:before="60" w:after="60"/>
              <w:ind w:right="0"/>
              <w:jc w:val="center"/>
            </w:pPr>
            <w:r w:rsidRPr="00B83411">
              <w:rPr>
                <w:rFonts w:cs="Arial"/>
              </w:rPr>
              <w:t>87</w:t>
            </w:r>
          </w:p>
        </w:tc>
      </w:tr>
      <w:tr w:rsidR="003F4FD1" w:rsidRPr="00B83411" w14:paraId="6F16DCB5" w14:textId="77777777" w:rsidTr="00AE1430">
        <w:trPr>
          <w:trHeight w:val="267"/>
        </w:trPr>
        <w:tc>
          <w:tcPr>
            <w:tcW w:w="6946" w:type="dxa"/>
            <w:tcBorders>
              <w:bottom w:val="single" w:sz="4" w:space="0" w:color="auto"/>
            </w:tcBorders>
            <w:noWrap/>
            <w:vAlign w:val="bottom"/>
          </w:tcPr>
          <w:p w14:paraId="6866347F" w14:textId="35DCAFAD" w:rsidR="003F4FD1" w:rsidRPr="00B83411" w:rsidRDefault="003F4FD1" w:rsidP="003F4FD1">
            <w:pPr>
              <w:spacing w:before="60" w:after="60"/>
              <w:ind w:right="0"/>
            </w:pPr>
            <w:r w:rsidRPr="00B83411">
              <w:rPr>
                <w:rFonts w:cs="Arial"/>
                <w:b/>
                <w:bCs/>
              </w:rPr>
              <w:t>Topic average</w:t>
            </w:r>
          </w:p>
        </w:tc>
        <w:tc>
          <w:tcPr>
            <w:tcW w:w="1701" w:type="dxa"/>
            <w:tcBorders>
              <w:bottom w:val="single" w:sz="4" w:space="0" w:color="auto"/>
            </w:tcBorders>
            <w:vAlign w:val="center"/>
          </w:tcPr>
          <w:p w14:paraId="33F8E931" w14:textId="6E4C55CA" w:rsidR="003F4FD1" w:rsidRPr="00B83411" w:rsidRDefault="003F4FD1" w:rsidP="00143804">
            <w:pPr>
              <w:spacing w:before="60" w:after="60"/>
              <w:ind w:right="0"/>
              <w:jc w:val="center"/>
              <w:rPr>
                <w:b/>
                <w:bCs/>
              </w:rPr>
            </w:pPr>
            <w:r w:rsidRPr="00B83411">
              <w:rPr>
                <w:rFonts w:cs="Arial"/>
                <w:b/>
                <w:bCs/>
              </w:rPr>
              <w:t>79</w:t>
            </w:r>
          </w:p>
        </w:tc>
      </w:tr>
    </w:tbl>
    <w:p w14:paraId="1292E6EF" w14:textId="41941692" w:rsidR="00A62392" w:rsidRPr="00B83411" w:rsidRDefault="00A62392">
      <w:pPr>
        <w:spacing w:before="0" w:line="240" w:lineRule="auto"/>
        <w:ind w:right="0"/>
      </w:pPr>
    </w:p>
    <w:p w14:paraId="6A3033BB" w14:textId="480EECCF" w:rsidR="007D2133" w:rsidRDefault="00F757F5" w:rsidP="00CD174B">
      <w:pPr>
        <w:keepNext/>
        <w:spacing w:after="240"/>
      </w:pPr>
      <w:r>
        <w:t xml:space="preserve">Figure 5 </w:t>
      </w:r>
      <w:r w:rsidR="00A62392" w:rsidRPr="00B83411">
        <w:t xml:space="preserve">below is a breakdown of the answers to the </w:t>
      </w:r>
      <w:r w:rsidR="0026454B" w:rsidRPr="00B83411">
        <w:t>performance and effort</w:t>
      </w:r>
      <w:r w:rsidR="00A62392" w:rsidRPr="00B83411">
        <w:t xml:space="preserve"> topic</w:t>
      </w:r>
      <w:r w:rsidR="0026454B" w:rsidRPr="00B83411">
        <w:t xml:space="preserve"> questions</w:t>
      </w:r>
      <w:r w:rsidR="00A62392" w:rsidRPr="00B83411">
        <w:t xml:space="preserve">. Note that yellow and green cells constitute the % positive score and </w:t>
      </w:r>
      <w:r w:rsidR="00A62392" w:rsidRPr="00B83411">
        <w:rPr>
          <w:i/>
          <w:iCs/>
        </w:rPr>
        <w:t>unsure</w:t>
      </w:r>
      <w:r w:rsidR="00A62392" w:rsidRPr="00B83411">
        <w:t xml:space="preserve"> and no answers </w:t>
      </w:r>
      <w:r w:rsidR="00A67900" w:rsidRPr="00B83411">
        <w:t>were</w:t>
      </w:r>
      <w:r w:rsidR="00A62392" w:rsidRPr="00B83411">
        <w:t xml:space="preserve"> excluded from the calculation base. </w:t>
      </w:r>
    </w:p>
    <w:p w14:paraId="4112AA2C" w14:textId="3963E948" w:rsidR="001D596C" w:rsidRPr="00B83411" w:rsidRDefault="001D596C" w:rsidP="001D596C">
      <w:pPr>
        <w:pStyle w:val="Caption"/>
      </w:pPr>
      <w:r>
        <w:t xml:space="preserve">Figure5: </w:t>
      </w:r>
      <w:r w:rsidR="00031186">
        <w:t>NOPTA / OIR</w:t>
      </w:r>
      <w:r>
        <w:t xml:space="preserve"> </w:t>
      </w:r>
      <w:r w:rsidR="00E25DDD">
        <w:t xml:space="preserve">performance </w:t>
      </w:r>
      <w:r w:rsidR="00031186" w:rsidRPr="00B83411">
        <w:t>and stakeholder effort</w:t>
      </w:r>
    </w:p>
    <w:p w14:paraId="7C78F9AD" w14:textId="54C7CE40" w:rsidR="00A9196A" w:rsidRPr="00B83411" w:rsidRDefault="00070F47" w:rsidP="007D2133">
      <w:r w:rsidRPr="00B83411">
        <w:rPr>
          <w:noProof/>
        </w:rPr>
        <w:drawing>
          <wp:inline distT="0" distB="0" distL="0" distR="0" wp14:anchorId="1040570D" wp14:editId="57311C65">
            <wp:extent cx="5876925" cy="4352925"/>
            <wp:effectExtent l="0" t="0" r="0" b="0"/>
            <wp:docPr id="972297479" name="Chart 1" descr="A chart showing the breakdown of answers to ‘performance and effort’ topic questions. Responses were coded against a five-point rating scale. Yellow and green cells constitute the % positive score, orange cells are sometimes poor / sometimes good (neutral response). Unsure and no answers are excluded.&#10;&#10;">
              <a:extLst xmlns:a="http://schemas.openxmlformats.org/drawingml/2006/main">
                <a:ext uri="{FF2B5EF4-FFF2-40B4-BE49-F238E27FC236}">
                  <a16:creationId xmlns:a16="http://schemas.microsoft.com/office/drawing/2014/main" id="{1D7E4BE4-0C4F-6987-97B7-5B5F55272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9DC4E7" w14:textId="77777777" w:rsidR="00050E0E" w:rsidRPr="00B83411" w:rsidRDefault="00050E0E">
      <w:pPr>
        <w:spacing w:before="0" w:line="240" w:lineRule="auto"/>
        <w:ind w:right="0"/>
        <w:rPr>
          <w:rFonts w:ascii="Arial" w:hAnsi="Arial"/>
          <w:color w:val="00376E"/>
          <w:sz w:val="28"/>
        </w:rPr>
      </w:pPr>
      <w:r w:rsidRPr="00B83411">
        <w:br w:type="page"/>
      </w:r>
    </w:p>
    <w:p w14:paraId="55C36BDE" w14:textId="6932B6DA" w:rsidR="00ED6B67" w:rsidRPr="00B83411" w:rsidRDefault="00F708B5" w:rsidP="00ED6B67">
      <w:pPr>
        <w:pStyle w:val="Heading2"/>
      </w:pPr>
      <w:bookmarkStart w:id="16" w:name="_Toc213926346"/>
      <w:r w:rsidRPr="00B83411">
        <w:t>D</w:t>
      </w:r>
      <w:r w:rsidR="00ED6B67" w:rsidRPr="00B83411">
        <w:t>emonstration of key values</w:t>
      </w:r>
      <w:bookmarkEnd w:id="16"/>
    </w:p>
    <w:p w14:paraId="450E08E0" w14:textId="1306D163" w:rsidR="00ED6B67" w:rsidRPr="00B83411" w:rsidRDefault="003D1D0B" w:rsidP="00ED6B67">
      <w:r w:rsidRPr="00B83411">
        <w:t xml:space="preserve">NOPTA / OIR scored 100% positive on </w:t>
      </w:r>
      <w:r w:rsidRPr="00B83411">
        <w:rPr>
          <w:i/>
          <w:iCs/>
        </w:rPr>
        <w:t>behaving ethically</w:t>
      </w:r>
      <w:r w:rsidRPr="00B83411">
        <w:t xml:space="preserve">—an excellent result. </w:t>
      </w:r>
      <w:r w:rsidRPr="00B83411">
        <w:rPr>
          <w:i/>
          <w:iCs/>
        </w:rPr>
        <w:t>Focus on continuous improvement</w:t>
      </w:r>
      <w:r w:rsidRPr="00B83411">
        <w:t xml:space="preserve"> and </w:t>
      </w:r>
      <w:r w:rsidRPr="00B83411">
        <w:rPr>
          <w:i/>
          <w:iCs/>
        </w:rPr>
        <w:t>supporting the responsible use of offshore energy resources</w:t>
      </w:r>
      <w:r w:rsidRPr="00B83411">
        <w:t xml:space="preserve"> also scored relatively well.</w:t>
      </w:r>
    </w:p>
    <w:p w14:paraId="3B6F25DA" w14:textId="09875AF9" w:rsidR="00143804" w:rsidRPr="00B83411" w:rsidRDefault="003D1D0B" w:rsidP="00300D08">
      <w:pPr>
        <w:spacing w:after="240"/>
      </w:pPr>
      <w:r w:rsidRPr="00B83411">
        <w:t xml:space="preserve">Even though the question on continuous improvement was asked of all respondents, irrespective of role or sector, only 57 </w:t>
      </w:r>
      <w:r w:rsidR="003C5B50" w:rsidRPr="00B83411">
        <w:t>respondent</w:t>
      </w:r>
      <w:r w:rsidR="00167A29" w:rsidRPr="00B83411">
        <w:t>s</w:t>
      </w:r>
      <w:r w:rsidRPr="00B83411">
        <w:t xml:space="preserve"> provided a valid answer</w:t>
      </w:r>
      <w:r w:rsidR="003C5B50" w:rsidRPr="00B83411">
        <w:t>. This means that</w:t>
      </w:r>
      <w:r w:rsidRPr="00B83411">
        <w:t xml:space="preserve"> 28 people answered </w:t>
      </w:r>
      <w:r w:rsidRPr="00B83411">
        <w:rPr>
          <w:i/>
          <w:iCs/>
        </w:rPr>
        <w:t>Unsure</w:t>
      </w:r>
      <w:r w:rsidRPr="00B83411">
        <w:t xml:space="preserve"> or provided no answer, </w:t>
      </w:r>
      <w:r w:rsidR="0026454B" w:rsidRPr="00B83411">
        <w:t>possibly indicating</w:t>
      </w:r>
      <w:r w:rsidRPr="00B83411">
        <w:t xml:space="preserve"> lack of information</w:t>
      </w:r>
      <w:r w:rsidR="0026454B" w:rsidRPr="00B83411">
        <w:t xml:space="preserve"> or experience of the activity or unwillingness to provide an answer</w:t>
      </w:r>
      <w:r w:rsidRPr="00B83411">
        <w:t xml:space="preserve">. </w:t>
      </w:r>
      <w:r w:rsidR="00A62392" w:rsidRPr="00B83411">
        <w:t xml:space="preserve">This high proportion </w:t>
      </w:r>
      <w:r w:rsidR="0026454B" w:rsidRPr="00B83411">
        <w:t xml:space="preserve">of </w:t>
      </w:r>
      <w:r w:rsidR="0026454B" w:rsidRPr="00B83411">
        <w:rPr>
          <w:i/>
          <w:iCs/>
        </w:rPr>
        <w:t>Unsure</w:t>
      </w:r>
      <w:r w:rsidR="0026454B" w:rsidRPr="00B83411">
        <w:t xml:space="preserve"> and no answer responses </w:t>
      </w:r>
      <w:r w:rsidR="00A62392" w:rsidRPr="00B83411">
        <w:t>points to providing more information about NOPTA’s activities</w:t>
      </w:r>
      <w:r w:rsidR="00A67900" w:rsidRPr="00B83411">
        <w:t>;</w:t>
      </w:r>
      <w:r w:rsidR="00A62392" w:rsidRPr="00B83411">
        <w:t xml:space="preserve"> approaching or involving stakeholders more in improvement initiatives</w:t>
      </w:r>
      <w:r w:rsidR="00A67900" w:rsidRPr="00B83411">
        <w:t>; or only asking those who have been involved in continuous improvement initiatives about them.</w:t>
      </w:r>
    </w:p>
    <w:p w14:paraId="1B40E017" w14:textId="5D6323AF" w:rsidR="003C5B50" w:rsidRPr="00B83411" w:rsidRDefault="003C5B50" w:rsidP="003C5B50">
      <w:pPr>
        <w:pStyle w:val="Caption"/>
      </w:pPr>
      <w:r w:rsidRPr="00B83411">
        <w:t xml:space="preserve">Table </w:t>
      </w:r>
      <w:r w:rsidR="00C32D47">
        <w:fldChar w:fldCharType="begin"/>
      </w:r>
      <w:r w:rsidR="00C32D47">
        <w:instrText xml:space="preserve"> SEQ Table \* ARABIC </w:instrText>
      </w:r>
      <w:r w:rsidR="00C32D47">
        <w:fldChar w:fldCharType="separate"/>
      </w:r>
      <w:r w:rsidR="00C350E2">
        <w:rPr>
          <w:noProof/>
        </w:rPr>
        <w:t>8</w:t>
      </w:r>
      <w:r w:rsidR="00C32D47">
        <w:fldChar w:fldCharType="end"/>
      </w:r>
      <w:r w:rsidRPr="00B83411">
        <w:t>: Demonstration of key values</w:t>
      </w:r>
    </w:p>
    <w:tbl>
      <w:tblPr>
        <w:tblW w:w="8647" w:type="dxa"/>
        <w:tblLayout w:type="fixed"/>
        <w:tblLook w:val="0000" w:firstRow="0" w:lastRow="0" w:firstColumn="0" w:lastColumn="0" w:noHBand="0" w:noVBand="0"/>
      </w:tblPr>
      <w:tblGrid>
        <w:gridCol w:w="6946"/>
        <w:gridCol w:w="1701"/>
      </w:tblGrid>
      <w:tr w:rsidR="003F4FD1" w:rsidRPr="00B83411" w14:paraId="4F5439C5" w14:textId="77777777" w:rsidTr="00AE1430">
        <w:trPr>
          <w:trHeight w:val="267"/>
          <w:tblHeader/>
        </w:trPr>
        <w:tc>
          <w:tcPr>
            <w:tcW w:w="6946" w:type="dxa"/>
            <w:shd w:val="clear" w:color="auto" w:fill="003366"/>
            <w:noWrap/>
            <w:vAlign w:val="center"/>
          </w:tcPr>
          <w:p w14:paraId="5E611D44" w14:textId="476C04B2" w:rsidR="003F4FD1" w:rsidRPr="00B83411" w:rsidRDefault="003F4FD1" w:rsidP="003D1D0B">
            <w:pPr>
              <w:spacing w:before="60" w:after="60"/>
              <w:rPr>
                <w:rFonts w:ascii="Arial" w:hAnsi="Arial"/>
                <w:b/>
                <w:bCs/>
                <w:color w:val="00376E"/>
                <w:sz w:val="22"/>
                <w:szCs w:val="22"/>
              </w:rPr>
            </w:pPr>
            <w:r w:rsidRPr="00B83411">
              <w:rPr>
                <w:b/>
                <w:bCs/>
                <w:sz w:val="22"/>
                <w:szCs w:val="22"/>
              </w:rPr>
              <w:t>Demonstration of key values</w:t>
            </w:r>
          </w:p>
        </w:tc>
        <w:tc>
          <w:tcPr>
            <w:tcW w:w="1701" w:type="dxa"/>
            <w:shd w:val="clear" w:color="auto" w:fill="003366"/>
            <w:vAlign w:val="center"/>
          </w:tcPr>
          <w:p w14:paraId="4EAC9EC8" w14:textId="77777777" w:rsidR="003F4FD1" w:rsidRPr="00B83411" w:rsidRDefault="003F4FD1" w:rsidP="003D1D0B">
            <w:pPr>
              <w:spacing w:before="60" w:after="60"/>
              <w:ind w:right="-112"/>
              <w:rPr>
                <w:rFonts w:cs="Arial"/>
                <w:b/>
                <w:bCs/>
                <w:color w:val="FFFFFF"/>
                <w:sz w:val="22"/>
                <w:szCs w:val="22"/>
              </w:rPr>
            </w:pPr>
            <w:r w:rsidRPr="00B83411">
              <w:rPr>
                <w:rFonts w:cs="Arial"/>
                <w:b/>
                <w:bCs/>
                <w:color w:val="FFFFFF"/>
                <w:sz w:val="22"/>
                <w:szCs w:val="22"/>
              </w:rPr>
              <w:t>% positive</w:t>
            </w:r>
          </w:p>
        </w:tc>
      </w:tr>
      <w:tr w:rsidR="003F4FD1" w:rsidRPr="00B83411" w14:paraId="6BB3E1AD" w14:textId="77777777" w:rsidTr="00AE1430">
        <w:trPr>
          <w:trHeight w:val="267"/>
        </w:trPr>
        <w:tc>
          <w:tcPr>
            <w:tcW w:w="6946" w:type="dxa"/>
            <w:noWrap/>
            <w:vAlign w:val="center"/>
          </w:tcPr>
          <w:p w14:paraId="6D390F9C" w14:textId="63DB54E6" w:rsidR="003F4FD1" w:rsidRPr="00B83411" w:rsidRDefault="003D1D0B" w:rsidP="003F4FD1">
            <w:pPr>
              <w:spacing w:before="60" w:after="60"/>
              <w:ind w:right="0"/>
              <w:rPr>
                <w:rFonts w:cs="Arial"/>
                <w:color w:val="000000"/>
              </w:rPr>
            </w:pPr>
            <w:r w:rsidRPr="00B83411">
              <w:rPr>
                <w:rFonts w:cs="Arial"/>
                <w:color w:val="000000"/>
              </w:rPr>
              <w:t>NOPTA/OIR</w:t>
            </w:r>
            <w:r w:rsidR="003F4FD1" w:rsidRPr="00B83411">
              <w:rPr>
                <w:rFonts w:cs="Arial"/>
                <w:color w:val="000000"/>
              </w:rPr>
              <w:t xml:space="preserve"> focus on continuous improvement n=57</w:t>
            </w:r>
          </w:p>
        </w:tc>
        <w:tc>
          <w:tcPr>
            <w:tcW w:w="1701" w:type="dxa"/>
            <w:vAlign w:val="center"/>
          </w:tcPr>
          <w:p w14:paraId="4118B3BB" w14:textId="468E11A6" w:rsidR="003F4FD1" w:rsidRPr="00B83411" w:rsidRDefault="003F4FD1" w:rsidP="00143804">
            <w:pPr>
              <w:spacing w:before="60" w:after="60"/>
              <w:ind w:right="0"/>
              <w:jc w:val="center"/>
            </w:pPr>
            <w:r w:rsidRPr="00B83411">
              <w:rPr>
                <w:rFonts w:cs="Arial"/>
              </w:rPr>
              <w:t>86</w:t>
            </w:r>
          </w:p>
        </w:tc>
      </w:tr>
      <w:tr w:rsidR="003F4FD1" w:rsidRPr="00B83411" w14:paraId="19EDDF80" w14:textId="77777777" w:rsidTr="00AE1430">
        <w:trPr>
          <w:trHeight w:val="267"/>
        </w:trPr>
        <w:tc>
          <w:tcPr>
            <w:tcW w:w="6946" w:type="dxa"/>
            <w:shd w:val="clear" w:color="auto" w:fill="D1D1D1"/>
            <w:noWrap/>
            <w:vAlign w:val="center"/>
          </w:tcPr>
          <w:p w14:paraId="6EE59465" w14:textId="5347E319" w:rsidR="003F4FD1" w:rsidRPr="00B83411" w:rsidRDefault="003F4FD1" w:rsidP="003F4FD1">
            <w:pPr>
              <w:spacing w:before="60" w:after="60"/>
              <w:ind w:right="0"/>
              <w:rPr>
                <w:rFonts w:cs="Arial"/>
                <w:color w:val="000000"/>
              </w:rPr>
            </w:pPr>
            <w:r w:rsidRPr="00B83411">
              <w:rPr>
                <w:rFonts w:cs="Arial"/>
                <w:color w:val="000000"/>
              </w:rPr>
              <w:t>Supporting the responsible use of Australia’s offshore energy resources across the title / licensing lifecycle n=69</w:t>
            </w:r>
          </w:p>
        </w:tc>
        <w:tc>
          <w:tcPr>
            <w:tcW w:w="1701" w:type="dxa"/>
            <w:shd w:val="clear" w:color="auto" w:fill="D1D1D1"/>
            <w:vAlign w:val="center"/>
          </w:tcPr>
          <w:p w14:paraId="787ACBEB" w14:textId="07E00F1A" w:rsidR="003F4FD1" w:rsidRPr="00B83411" w:rsidRDefault="003F4FD1" w:rsidP="00143804">
            <w:pPr>
              <w:spacing w:before="60" w:after="60"/>
              <w:ind w:right="0"/>
              <w:jc w:val="center"/>
            </w:pPr>
            <w:r w:rsidRPr="00B83411">
              <w:rPr>
                <w:rFonts w:cs="Arial"/>
              </w:rPr>
              <w:t>88</w:t>
            </w:r>
          </w:p>
        </w:tc>
      </w:tr>
      <w:tr w:rsidR="003F4FD1" w:rsidRPr="00B83411" w14:paraId="5614CFE9" w14:textId="77777777" w:rsidTr="00AE1430">
        <w:trPr>
          <w:trHeight w:val="267"/>
        </w:trPr>
        <w:tc>
          <w:tcPr>
            <w:tcW w:w="6946" w:type="dxa"/>
            <w:noWrap/>
            <w:vAlign w:val="center"/>
          </w:tcPr>
          <w:p w14:paraId="55A3DEFB" w14:textId="5C2A4C62" w:rsidR="003F4FD1" w:rsidRPr="00B83411" w:rsidRDefault="003F4FD1" w:rsidP="003F4FD1">
            <w:pPr>
              <w:spacing w:before="60" w:after="60"/>
              <w:ind w:right="0"/>
            </w:pPr>
            <w:r w:rsidRPr="00B83411">
              <w:rPr>
                <w:rFonts w:cs="Arial"/>
                <w:color w:val="000000"/>
              </w:rPr>
              <w:t>Behaving ethically n=76</w:t>
            </w:r>
          </w:p>
        </w:tc>
        <w:tc>
          <w:tcPr>
            <w:tcW w:w="1701" w:type="dxa"/>
            <w:vAlign w:val="center"/>
          </w:tcPr>
          <w:p w14:paraId="0AAE26D8" w14:textId="308FBC60" w:rsidR="003F4FD1" w:rsidRPr="00B83411" w:rsidRDefault="003F4FD1" w:rsidP="00143804">
            <w:pPr>
              <w:spacing w:before="60" w:after="60"/>
              <w:ind w:right="0"/>
              <w:jc w:val="center"/>
            </w:pPr>
            <w:r w:rsidRPr="00B83411">
              <w:rPr>
                <w:rFonts w:cs="Arial"/>
              </w:rPr>
              <w:t>100</w:t>
            </w:r>
          </w:p>
        </w:tc>
      </w:tr>
      <w:tr w:rsidR="003F4FD1" w:rsidRPr="00B83411" w14:paraId="7E35A002" w14:textId="77777777" w:rsidTr="00AE1430">
        <w:trPr>
          <w:trHeight w:val="267"/>
        </w:trPr>
        <w:tc>
          <w:tcPr>
            <w:tcW w:w="6946" w:type="dxa"/>
            <w:shd w:val="clear" w:color="auto" w:fill="D1D1D1"/>
            <w:noWrap/>
            <w:vAlign w:val="center"/>
          </w:tcPr>
          <w:p w14:paraId="7778F442" w14:textId="5FCBEC9B" w:rsidR="003F4FD1" w:rsidRPr="00B83411" w:rsidRDefault="003F4FD1" w:rsidP="003F4FD1">
            <w:pPr>
              <w:spacing w:before="60" w:after="60"/>
              <w:ind w:right="0"/>
            </w:pPr>
            <w:r w:rsidRPr="00B83411">
              <w:rPr>
                <w:rFonts w:cs="Arial"/>
                <w:color w:val="000000"/>
              </w:rPr>
              <w:t xml:space="preserve">Being risk-based (title </w:t>
            </w:r>
            <w:r w:rsidR="002A7663" w:rsidRPr="00B83411">
              <w:rPr>
                <w:rFonts w:cs="Arial"/>
                <w:color w:val="000000"/>
              </w:rPr>
              <w:t xml:space="preserve">/ licence </w:t>
            </w:r>
            <w:r w:rsidRPr="00B83411">
              <w:rPr>
                <w:rFonts w:cs="Arial"/>
                <w:color w:val="000000"/>
              </w:rPr>
              <w:t>holder only) n=51</w:t>
            </w:r>
          </w:p>
        </w:tc>
        <w:tc>
          <w:tcPr>
            <w:tcW w:w="1701" w:type="dxa"/>
            <w:shd w:val="clear" w:color="auto" w:fill="D1D1D1"/>
            <w:vAlign w:val="center"/>
          </w:tcPr>
          <w:p w14:paraId="763F8747" w14:textId="7F40014F" w:rsidR="003F4FD1" w:rsidRPr="00B83411" w:rsidRDefault="003F4FD1" w:rsidP="00143804">
            <w:pPr>
              <w:spacing w:before="60" w:after="60"/>
              <w:ind w:right="0"/>
              <w:jc w:val="center"/>
            </w:pPr>
            <w:r w:rsidRPr="00B83411">
              <w:rPr>
                <w:rFonts w:cs="Arial"/>
              </w:rPr>
              <w:t>76</w:t>
            </w:r>
          </w:p>
        </w:tc>
      </w:tr>
      <w:tr w:rsidR="003F4FD1" w:rsidRPr="00B83411" w14:paraId="29F288A4" w14:textId="77777777" w:rsidTr="00AE1430">
        <w:trPr>
          <w:trHeight w:val="267"/>
        </w:trPr>
        <w:tc>
          <w:tcPr>
            <w:tcW w:w="6946" w:type="dxa"/>
            <w:tcBorders>
              <w:bottom w:val="single" w:sz="4" w:space="0" w:color="auto"/>
            </w:tcBorders>
            <w:noWrap/>
            <w:vAlign w:val="center"/>
          </w:tcPr>
          <w:p w14:paraId="41ACC42B" w14:textId="77F8626A" w:rsidR="003F4FD1" w:rsidRPr="00B83411" w:rsidRDefault="003F4FD1" w:rsidP="003F4FD1">
            <w:pPr>
              <w:spacing w:before="60" w:after="60"/>
              <w:ind w:right="0"/>
              <w:rPr>
                <w:b/>
                <w:bCs/>
              </w:rPr>
            </w:pPr>
            <w:r w:rsidRPr="00B83411">
              <w:rPr>
                <w:b/>
                <w:bCs/>
              </w:rPr>
              <w:t>Topic average</w:t>
            </w:r>
          </w:p>
        </w:tc>
        <w:tc>
          <w:tcPr>
            <w:tcW w:w="1701" w:type="dxa"/>
            <w:tcBorders>
              <w:bottom w:val="single" w:sz="4" w:space="0" w:color="auto"/>
            </w:tcBorders>
            <w:vAlign w:val="center"/>
          </w:tcPr>
          <w:p w14:paraId="1BEE8F0C" w14:textId="38E0A5BF" w:rsidR="003F4FD1" w:rsidRPr="00B83411" w:rsidRDefault="00143804" w:rsidP="00143804">
            <w:pPr>
              <w:spacing w:before="60" w:after="60"/>
              <w:ind w:right="0"/>
              <w:jc w:val="center"/>
              <w:rPr>
                <w:b/>
                <w:bCs/>
              </w:rPr>
            </w:pPr>
            <w:r w:rsidRPr="00B83411">
              <w:rPr>
                <w:b/>
                <w:bCs/>
              </w:rPr>
              <w:t>88</w:t>
            </w:r>
          </w:p>
        </w:tc>
      </w:tr>
    </w:tbl>
    <w:p w14:paraId="6B613964" w14:textId="30791314" w:rsidR="003C5B50" w:rsidRDefault="00614BD4" w:rsidP="00A67900">
      <w:pPr>
        <w:keepNext/>
        <w:spacing w:before="240" w:after="120"/>
      </w:pPr>
      <w:r>
        <w:t xml:space="preserve">Figure 6 </w:t>
      </w:r>
      <w:r w:rsidR="003C5B50" w:rsidRPr="00B83411">
        <w:t xml:space="preserve">below is a breakdown of the answers to the </w:t>
      </w:r>
      <w:r w:rsidR="0026454B" w:rsidRPr="00B83411">
        <w:t>demonstration of key values</w:t>
      </w:r>
      <w:r w:rsidR="003C5B50" w:rsidRPr="00B83411">
        <w:t xml:space="preserve"> topic</w:t>
      </w:r>
      <w:r w:rsidR="0026454B" w:rsidRPr="00B83411">
        <w:t xml:space="preserve"> questions</w:t>
      </w:r>
      <w:r w:rsidR="003C5B50" w:rsidRPr="00B83411">
        <w:t xml:space="preserve">. Note that yellow and green cells constitute the % positive score and </w:t>
      </w:r>
      <w:r w:rsidR="003C5B50" w:rsidRPr="00B83411">
        <w:rPr>
          <w:i/>
          <w:iCs/>
        </w:rPr>
        <w:t>unsure</w:t>
      </w:r>
      <w:r w:rsidR="003C5B50" w:rsidRPr="00B83411">
        <w:t xml:space="preserve"> and no answers </w:t>
      </w:r>
      <w:r w:rsidR="003165A2" w:rsidRPr="00B83411">
        <w:t>were</w:t>
      </w:r>
      <w:r w:rsidR="003C5B50" w:rsidRPr="00B83411">
        <w:t xml:space="preserve"> excluded from the calculation base. </w:t>
      </w:r>
    </w:p>
    <w:p w14:paraId="04B85B8E" w14:textId="3F137F9A" w:rsidR="00817EB6" w:rsidRPr="00B83411" w:rsidRDefault="00817EB6" w:rsidP="00817EB6">
      <w:pPr>
        <w:pStyle w:val="Caption"/>
      </w:pPr>
      <w:r>
        <w:t>Figure 6: Demonstration of key values</w:t>
      </w:r>
    </w:p>
    <w:p w14:paraId="06DAAF2A" w14:textId="3FCD5B42" w:rsidR="00A9196A" w:rsidRPr="00B83411" w:rsidRDefault="003D1D0B" w:rsidP="007D2133">
      <w:r w:rsidRPr="00B83411">
        <w:rPr>
          <w:noProof/>
        </w:rPr>
        <w:drawing>
          <wp:inline distT="0" distB="0" distL="0" distR="0" wp14:anchorId="4432CEFD" wp14:editId="75702103">
            <wp:extent cx="6115685" cy="3219450"/>
            <wp:effectExtent l="0" t="0" r="0" b="0"/>
            <wp:docPr id="1456045910" name="Chart 1" descr="A chart showing the breakdown of answers to quesitons about Australian Public Service values. &#10;Responses were coded against a five-point rating scale. Yellow and green cells constitute the % positive score, orange cells are sometimes poor / sometimes good (neutral response). Unsure and no answers are excluded.&#10;">
              <a:extLst xmlns:a="http://schemas.openxmlformats.org/drawingml/2006/main">
                <a:ext uri="{FF2B5EF4-FFF2-40B4-BE49-F238E27FC236}">
                  <a16:creationId xmlns:a16="http://schemas.microsoft.com/office/drawing/2014/main" id="{6149B65B-FEFE-E189-39C9-09260632E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A5087E" w14:textId="77777777" w:rsidR="00A67900" w:rsidRPr="00B83411" w:rsidRDefault="00A67900">
      <w:pPr>
        <w:spacing w:before="0" w:line="240" w:lineRule="auto"/>
        <w:ind w:right="0"/>
        <w:rPr>
          <w:rFonts w:ascii="Arial" w:hAnsi="Arial"/>
          <w:color w:val="00376E"/>
          <w:sz w:val="28"/>
        </w:rPr>
      </w:pPr>
      <w:r w:rsidRPr="00B83411">
        <w:br w:type="page"/>
      </w:r>
    </w:p>
    <w:p w14:paraId="4D9D2EF1" w14:textId="27094B93" w:rsidR="00ED6B67" w:rsidRPr="00B83411" w:rsidRDefault="00F708B5" w:rsidP="00ED6B67">
      <w:pPr>
        <w:pStyle w:val="Heading2"/>
      </w:pPr>
      <w:bookmarkStart w:id="17" w:name="_Toc213926347"/>
      <w:r w:rsidRPr="00B83411">
        <w:t>T</w:t>
      </w:r>
      <w:r w:rsidR="00ED6B67" w:rsidRPr="00B83411">
        <w:t>rust</w:t>
      </w:r>
      <w:r w:rsidR="00A46B9F" w:rsidRPr="00B83411">
        <w:t xml:space="preserve"> in organisation</w:t>
      </w:r>
      <w:bookmarkEnd w:id="17"/>
    </w:p>
    <w:p w14:paraId="221EB509" w14:textId="0E8D40E1" w:rsidR="00ED6B67" w:rsidRPr="00B83411" w:rsidRDefault="00167A29" w:rsidP="00167A29">
      <w:pPr>
        <w:spacing w:after="240"/>
      </w:pPr>
      <w:r w:rsidRPr="00B83411">
        <w:t xml:space="preserve">Each sector was asked a specific question about NOPTA or OIR. Respondents from both sectors answered similarly except for one </w:t>
      </w:r>
      <w:r w:rsidR="008B7E49" w:rsidRPr="00B83411">
        <w:t>respondent</w:t>
      </w:r>
      <w:r w:rsidRPr="00B83411">
        <w:t xml:space="preserve"> who indicated no trust at all in OIR. The overall result, however, was an almost identical and high </w:t>
      </w:r>
      <w:r w:rsidR="00A67900" w:rsidRPr="00B83411">
        <w:t>percent</w:t>
      </w:r>
      <w:r w:rsidRPr="00B83411">
        <w:t xml:space="preserve"> positive score—a</w:t>
      </w:r>
      <w:r w:rsidR="00A67900" w:rsidRPr="00B83411">
        <w:t xml:space="preserve">n excellent </w:t>
      </w:r>
      <w:r w:rsidRPr="00B83411">
        <w:t xml:space="preserve">result for both the administrator and </w:t>
      </w:r>
      <w:r w:rsidR="00C54F6E" w:rsidRPr="00B83411">
        <w:t>registrar</w:t>
      </w:r>
      <w:r w:rsidRPr="00B83411">
        <w:t>.</w:t>
      </w:r>
    </w:p>
    <w:p w14:paraId="431675D8" w14:textId="3F5CC971" w:rsidR="003C5B50" w:rsidRPr="00B83411" w:rsidRDefault="00167A29" w:rsidP="00167A29">
      <w:pPr>
        <w:pStyle w:val="Caption"/>
      </w:pPr>
      <w:r w:rsidRPr="00B83411">
        <w:t xml:space="preserve">Table </w:t>
      </w:r>
      <w:r w:rsidR="00C32D47">
        <w:fldChar w:fldCharType="begin"/>
      </w:r>
      <w:r w:rsidR="00C32D47">
        <w:instrText xml:space="preserve"> SEQ Table \* ARABIC </w:instrText>
      </w:r>
      <w:r w:rsidR="00C32D47">
        <w:fldChar w:fldCharType="separate"/>
      </w:r>
      <w:r w:rsidR="00C350E2">
        <w:rPr>
          <w:noProof/>
        </w:rPr>
        <w:t>9</w:t>
      </w:r>
      <w:r w:rsidR="00C32D47">
        <w:fldChar w:fldCharType="end"/>
      </w:r>
      <w:r w:rsidRPr="00B83411">
        <w:t>: Trust in NOPTA/OIR</w:t>
      </w:r>
    </w:p>
    <w:tbl>
      <w:tblPr>
        <w:tblW w:w="8789" w:type="dxa"/>
        <w:tblLayout w:type="fixed"/>
        <w:tblLook w:val="0000" w:firstRow="0" w:lastRow="0" w:firstColumn="0" w:lastColumn="0" w:noHBand="0" w:noVBand="0"/>
      </w:tblPr>
      <w:tblGrid>
        <w:gridCol w:w="6946"/>
        <w:gridCol w:w="1843"/>
      </w:tblGrid>
      <w:tr w:rsidR="00143804" w:rsidRPr="00B83411" w14:paraId="54A70A07" w14:textId="77777777" w:rsidTr="00AE1430">
        <w:trPr>
          <w:trHeight w:val="267"/>
          <w:tblHeader/>
        </w:trPr>
        <w:tc>
          <w:tcPr>
            <w:tcW w:w="6946" w:type="dxa"/>
            <w:shd w:val="clear" w:color="auto" w:fill="003366"/>
            <w:noWrap/>
            <w:vAlign w:val="center"/>
          </w:tcPr>
          <w:p w14:paraId="5BC3E862" w14:textId="4C29818A" w:rsidR="00143804" w:rsidRPr="00B83411" w:rsidRDefault="00143804" w:rsidP="00167A29">
            <w:pPr>
              <w:spacing w:before="60" w:after="60"/>
              <w:rPr>
                <w:rFonts w:ascii="Arial" w:hAnsi="Arial"/>
                <w:b/>
                <w:bCs/>
                <w:color w:val="00376E"/>
                <w:sz w:val="22"/>
                <w:szCs w:val="22"/>
              </w:rPr>
            </w:pPr>
            <w:r w:rsidRPr="00B83411">
              <w:rPr>
                <w:b/>
                <w:bCs/>
                <w:sz w:val="22"/>
                <w:szCs w:val="22"/>
              </w:rPr>
              <w:t>Trust in organisation</w:t>
            </w:r>
          </w:p>
        </w:tc>
        <w:tc>
          <w:tcPr>
            <w:tcW w:w="1843" w:type="dxa"/>
            <w:shd w:val="clear" w:color="auto" w:fill="003366"/>
            <w:vAlign w:val="center"/>
          </w:tcPr>
          <w:p w14:paraId="05B6E620" w14:textId="77777777" w:rsidR="00143804" w:rsidRPr="00B83411" w:rsidRDefault="00143804" w:rsidP="00167A29">
            <w:pPr>
              <w:spacing w:before="60" w:after="60"/>
              <w:ind w:right="0"/>
              <w:rPr>
                <w:rFonts w:cs="Arial"/>
                <w:b/>
                <w:bCs/>
                <w:color w:val="FFFFFF"/>
                <w:sz w:val="22"/>
                <w:szCs w:val="22"/>
              </w:rPr>
            </w:pPr>
            <w:r w:rsidRPr="00B83411">
              <w:rPr>
                <w:rFonts w:cs="Arial"/>
                <w:b/>
                <w:bCs/>
                <w:color w:val="FFFFFF"/>
                <w:sz w:val="22"/>
                <w:szCs w:val="22"/>
              </w:rPr>
              <w:t>% positive</w:t>
            </w:r>
          </w:p>
        </w:tc>
      </w:tr>
      <w:tr w:rsidR="00143804" w:rsidRPr="00B83411" w14:paraId="7CE1F4CB" w14:textId="77777777" w:rsidTr="00167A29">
        <w:trPr>
          <w:trHeight w:val="267"/>
        </w:trPr>
        <w:tc>
          <w:tcPr>
            <w:tcW w:w="6946" w:type="dxa"/>
            <w:noWrap/>
            <w:vAlign w:val="center"/>
          </w:tcPr>
          <w:p w14:paraId="2738956C" w14:textId="5FE49824" w:rsidR="00143804" w:rsidRPr="00B83411" w:rsidRDefault="00143804" w:rsidP="00143804">
            <w:pPr>
              <w:spacing w:before="60" w:after="60"/>
              <w:ind w:right="0"/>
              <w:rPr>
                <w:rFonts w:cs="Arial"/>
                <w:color w:val="000000"/>
              </w:rPr>
            </w:pPr>
            <w:r w:rsidRPr="00B83411">
              <w:rPr>
                <w:rFonts w:cs="Arial"/>
                <w:color w:val="000000"/>
              </w:rPr>
              <w:t>Overall, I trust NOPTA to administer the offshore petroleum and greenhouse gas framework in Australia's national interest n=58</w:t>
            </w:r>
          </w:p>
        </w:tc>
        <w:tc>
          <w:tcPr>
            <w:tcW w:w="1843" w:type="dxa"/>
            <w:vAlign w:val="center"/>
          </w:tcPr>
          <w:p w14:paraId="40C912C5" w14:textId="7F494D7F" w:rsidR="00143804" w:rsidRPr="00B83411" w:rsidRDefault="00143804" w:rsidP="00143804">
            <w:pPr>
              <w:spacing w:before="60" w:after="60"/>
              <w:ind w:right="0"/>
              <w:jc w:val="center"/>
            </w:pPr>
            <w:r w:rsidRPr="00B83411">
              <w:rPr>
                <w:rFonts w:cs="Arial"/>
              </w:rPr>
              <w:t>93</w:t>
            </w:r>
          </w:p>
        </w:tc>
      </w:tr>
      <w:tr w:rsidR="00143804" w:rsidRPr="00B83411" w14:paraId="7AFD6931" w14:textId="77777777" w:rsidTr="00167A29">
        <w:trPr>
          <w:trHeight w:val="267"/>
        </w:trPr>
        <w:tc>
          <w:tcPr>
            <w:tcW w:w="6946" w:type="dxa"/>
            <w:shd w:val="clear" w:color="auto" w:fill="D1D1D1"/>
            <w:noWrap/>
            <w:vAlign w:val="center"/>
          </w:tcPr>
          <w:p w14:paraId="0378F8CD" w14:textId="5209E506" w:rsidR="00143804" w:rsidRPr="00B83411" w:rsidRDefault="00143804" w:rsidP="00143804">
            <w:pPr>
              <w:spacing w:before="60" w:after="60"/>
              <w:ind w:right="0"/>
              <w:rPr>
                <w:rFonts w:cs="Arial"/>
                <w:color w:val="000000"/>
              </w:rPr>
            </w:pPr>
            <w:r w:rsidRPr="00B83411">
              <w:rPr>
                <w:rFonts w:cs="Arial"/>
                <w:color w:val="000000"/>
              </w:rPr>
              <w:t>Overall, I trust the Offshore Infrastructure Registrar</w:t>
            </w:r>
            <w:r w:rsidR="00C54F6E" w:rsidRPr="00B83411">
              <w:rPr>
                <w:rFonts w:cs="Arial"/>
                <w:color w:val="000000"/>
              </w:rPr>
              <w:t xml:space="preserve"> </w:t>
            </w:r>
            <w:r w:rsidRPr="00B83411">
              <w:rPr>
                <w:rFonts w:cs="Arial"/>
                <w:color w:val="000000"/>
              </w:rPr>
              <w:t>to administer the offshore (electricity) infrastructure framework in Australia's national interest n=18</w:t>
            </w:r>
          </w:p>
        </w:tc>
        <w:tc>
          <w:tcPr>
            <w:tcW w:w="1843" w:type="dxa"/>
            <w:shd w:val="clear" w:color="auto" w:fill="D1D1D1"/>
            <w:vAlign w:val="center"/>
          </w:tcPr>
          <w:p w14:paraId="52ED770F" w14:textId="3A2EFFD7" w:rsidR="00143804" w:rsidRPr="00B83411" w:rsidRDefault="00143804" w:rsidP="00143804">
            <w:pPr>
              <w:spacing w:before="60" w:after="60"/>
              <w:ind w:right="0"/>
              <w:jc w:val="center"/>
            </w:pPr>
            <w:r w:rsidRPr="00B83411">
              <w:rPr>
                <w:rFonts w:cs="Arial"/>
              </w:rPr>
              <w:t>94</w:t>
            </w:r>
          </w:p>
        </w:tc>
      </w:tr>
      <w:tr w:rsidR="00143804" w:rsidRPr="00B83411" w14:paraId="5625F25F" w14:textId="77777777" w:rsidTr="00167A29">
        <w:trPr>
          <w:trHeight w:val="267"/>
        </w:trPr>
        <w:tc>
          <w:tcPr>
            <w:tcW w:w="6946" w:type="dxa"/>
            <w:tcBorders>
              <w:bottom w:val="single" w:sz="4" w:space="0" w:color="auto"/>
            </w:tcBorders>
            <w:noWrap/>
            <w:vAlign w:val="center"/>
          </w:tcPr>
          <w:p w14:paraId="3336A5EE" w14:textId="7A4D275A" w:rsidR="00143804" w:rsidRPr="00B83411" w:rsidRDefault="00143804">
            <w:pPr>
              <w:spacing w:before="60" w:after="60"/>
              <w:ind w:right="0"/>
              <w:rPr>
                <w:b/>
                <w:bCs/>
              </w:rPr>
            </w:pPr>
            <w:r w:rsidRPr="00B83411">
              <w:rPr>
                <w:b/>
                <w:bCs/>
              </w:rPr>
              <w:t>Topic average</w:t>
            </w:r>
          </w:p>
        </w:tc>
        <w:tc>
          <w:tcPr>
            <w:tcW w:w="1843" w:type="dxa"/>
            <w:tcBorders>
              <w:bottom w:val="single" w:sz="4" w:space="0" w:color="auto"/>
            </w:tcBorders>
            <w:vAlign w:val="bottom"/>
          </w:tcPr>
          <w:p w14:paraId="528868B6" w14:textId="01EA909B" w:rsidR="00143804" w:rsidRPr="00B83411" w:rsidRDefault="00167A29">
            <w:pPr>
              <w:spacing w:before="60" w:after="60"/>
              <w:ind w:right="0"/>
              <w:jc w:val="center"/>
              <w:rPr>
                <w:b/>
                <w:bCs/>
              </w:rPr>
            </w:pPr>
            <w:r w:rsidRPr="00B83411">
              <w:rPr>
                <w:b/>
                <w:bCs/>
              </w:rPr>
              <w:t>94</w:t>
            </w:r>
          </w:p>
        </w:tc>
      </w:tr>
    </w:tbl>
    <w:p w14:paraId="51EA9DFF" w14:textId="37B524EC" w:rsidR="00F17DDB" w:rsidRDefault="00DF302A" w:rsidP="00A67900">
      <w:pPr>
        <w:keepNext/>
        <w:spacing w:before="240" w:after="120"/>
      </w:pPr>
      <w:r>
        <w:t xml:space="preserve">Figure 7 </w:t>
      </w:r>
      <w:r w:rsidR="00167A29" w:rsidRPr="00B83411">
        <w:t xml:space="preserve">below is a breakdown of the answers to the </w:t>
      </w:r>
      <w:r w:rsidR="0026454B" w:rsidRPr="00B83411">
        <w:t>trust</w:t>
      </w:r>
      <w:r w:rsidR="00167A29" w:rsidRPr="00B83411">
        <w:t xml:space="preserve"> question. Note that yellow and green cells constitute the % positive score and </w:t>
      </w:r>
      <w:r w:rsidR="00167A29" w:rsidRPr="00B83411">
        <w:rPr>
          <w:i/>
          <w:iCs/>
        </w:rPr>
        <w:t>unsure</w:t>
      </w:r>
      <w:r w:rsidR="00167A29" w:rsidRPr="00B83411">
        <w:t xml:space="preserve"> and no answers </w:t>
      </w:r>
      <w:r w:rsidR="003165A2" w:rsidRPr="00B83411">
        <w:t>were</w:t>
      </w:r>
      <w:r w:rsidR="00167A29" w:rsidRPr="00B83411">
        <w:t xml:space="preserve"> excluded from the calculation base. </w:t>
      </w:r>
    </w:p>
    <w:p w14:paraId="76992A4E" w14:textId="4196ED11" w:rsidR="00F17DDB" w:rsidRPr="00B83411" w:rsidRDefault="00F17DDB" w:rsidP="00F17DDB">
      <w:pPr>
        <w:pStyle w:val="Caption"/>
      </w:pPr>
      <w:r>
        <w:t xml:space="preserve">Figure 7: Trust in </w:t>
      </w:r>
      <w:r w:rsidR="00CA0FB6">
        <w:t>NOPTA/OIR</w:t>
      </w:r>
    </w:p>
    <w:p w14:paraId="41ADBBD5" w14:textId="3CB8738D" w:rsidR="00DF2A4F" w:rsidRPr="00B83411" w:rsidRDefault="00167A29" w:rsidP="00ED6B67">
      <w:r w:rsidRPr="00B83411">
        <w:rPr>
          <w:noProof/>
        </w:rPr>
        <w:drawing>
          <wp:inline distT="0" distB="0" distL="0" distR="0" wp14:anchorId="0B35B4CE" wp14:editId="6C000BFE">
            <wp:extent cx="5610225" cy="3305175"/>
            <wp:effectExtent l="0" t="0" r="0" b="0"/>
            <wp:docPr id="1772889981" name="Chart 1" descr="A chart showing answers to the trust question – based on a five-point rating scale. Yellow and green cells constitute a % positive trust score, orange denotes a moderate amount of trust and grey is no trust whatsoever. Unsure and no answers were excluded from the calculation base.&#10;">
              <a:extLst xmlns:a="http://schemas.openxmlformats.org/drawingml/2006/main">
                <a:ext uri="{FF2B5EF4-FFF2-40B4-BE49-F238E27FC236}">
                  <a16:creationId xmlns:a16="http://schemas.microsoft.com/office/drawing/2014/main" id="{19BC021D-F537-187C-FD48-96C8899A2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619EAA" w14:textId="77777777" w:rsidR="00A67900" w:rsidRPr="00B83411" w:rsidRDefault="00A67900">
      <w:pPr>
        <w:spacing w:before="0" w:line="240" w:lineRule="auto"/>
        <w:ind w:right="0"/>
        <w:rPr>
          <w:b/>
          <w:color w:val="00376E"/>
          <w:kern w:val="32"/>
          <w:sz w:val="36"/>
          <w:szCs w:val="18"/>
        </w:rPr>
      </w:pPr>
      <w:r w:rsidRPr="00B83411">
        <w:br w:type="page"/>
      </w:r>
    </w:p>
    <w:p w14:paraId="38448CDB" w14:textId="2E25287F" w:rsidR="007D2133" w:rsidRPr="00B83411" w:rsidRDefault="00DF2A4F" w:rsidP="00300D08">
      <w:pPr>
        <w:pStyle w:val="Heading1"/>
        <w:spacing w:before="120"/>
      </w:pPr>
      <w:bookmarkStart w:id="18" w:name="_Toc213926348"/>
      <w:r w:rsidRPr="00B83411">
        <w:t>D</w:t>
      </w:r>
      <w:r w:rsidR="007D2133" w:rsidRPr="00B83411">
        <w:t>igital experiences</w:t>
      </w:r>
      <w:bookmarkEnd w:id="18"/>
    </w:p>
    <w:p w14:paraId="2E8E48A4" w14:textId="202669EE" w:rsidR="00167A29" w:rsidRPr="00B83411" w:rsidRDefault="00167A29" w:rsidP="00167A29">
      <w:r w:rsidRPr="00B83411">
        <w:t xml:space="preserve">In order to reduce respondent burden, respondents were asked to select which NOPTA/OIR digital </w:t>
      </w:r>
      <w:r w:rsidR="00A67900" w:rsidRPr="00B83411">
        <w:t xml:space="preserve">applications / </w:t>
      </w:r>
      <w:r w:rsidRPr="00B83411">
        <w:t>platforms they had used recently. Only those who selected a</w:t>
      </w:r>
      <w:r w:rsidR="001D4613" w:rsidRPr="00B83411">
        <w:t>n application</w:t>
      </w:r>
      <w:r w:rsidRPr="00B83411">
        <w:t xml:space="preserve"> were asked questions about it. The results for each </w:t>
      </w:r>
      <w:r w:rsidR="001D4613" w:rsidRPr="00B83411">
        <w:t>application</w:t>
      </w:r>
      <w:r w:rsidRPr="00B83411">
        <w:t xml:space="preserve"> surveyed are shown </w:t>
      </w:r>
      <w:r w:rsidR="001D4613" w:rsidRPr="00B83411">
        <w:t xml:space="preserve">separately </w:t>
      </w:r>
      <w:r w:rsidRPr="00B83411">
        <w:t>below</w:t>
      </w:r>
      <w:r w:rsidR="001D4613" w:rsidRPr="00B83411">
        <w:t xml:space="preserve"> with improvement suggestions at the end of the section</w:t>
      </w:r>
      <w:r w:rsidRPr="00B83411">
        <w:t>.</w:t>
      </w:r>
    </w:p>
    <w:p w14:paraId="506DFE77" w14:textId="71F6DD51" w:rsidR="00DF2A4F" w:rsidRPr="00B83411" w:rsidRDefault="00DF2A4F" w:rsidP="00FD3A76">
      <w:pPr>
        <w:pStyle w:val="Heading2"/>
        <w:spacing w:before="240"/>
      </w:pPr>
      <w:bookmarkStart w:id="19" w:name="_Toc213926349"/>
      <w:r w:rsidRPr="00B83411">
        <w:t>NEATS</w:t>
      </w:r>
      <w:bookmarkEnd w:id="19"/>
    </w:p>
    <w:p w14:paraId="70442A87" w14:textId="36C9D17C" w:rsidR="001D4613" w:rsidRPr="00B83411" w:rsidRDefault="00A448E5" w:rsidP="001D4613">
      <w:pPr>
        <w:spacing w:after="120"/>
      </w:pPr>
      <w:r w:rsidRPr="00B83411">
        <w:t xml:space="preserve">Most commonly NEATS users rated the system as </w:t>
      </w:r>
      <w:r w:rsidRPr="00B83411">
        <w:rPr>
          <w:i/>
          <w:iCs/>
        </w:rPr>
        <w:t>good</w:t>
      </w:r>
      <w:r w:rsidRPr="00B83411">
        <w:t xml:space="preserve"> and comments (at the end of this section) clearly state users’ ideas about improvements, many of them quite specific. </w:t>
      </w:r>
    </w:p>
    <w:p w14:paraId="3EB1A4D0" w14:textId="14A25B86" w:rsidR="00167A29" w:rsidRPr="00B83411" w:rsidRDefault="00A448E5" w:rsidP="00A448E5">
      <w:pPr>
        <w:spacing w:after="240"/>
      </w:pPr>
      <w:r w:rsidRPr="00B83411">
        <w:t>At an overall view and given the scores to other items in this survey, NEATS</w:t>
      </w:r>
      <w:r w:rsidR="001D4613" w:rsidRPr="00B83411">
        <w:t xml:space="preserve">’ results </w:t>
      </w:r>
      <w:r w:rsidRPr="00B83411">
        <w:t xml:space="preserve">indicate room for improvement. </w:t>
      </w:r>
      <w:r w:rsidR="00EE69B4" w:rsidRPr="00B83411">
        <w:t xml:space="preserve">Refer to </w:t>
      </w:r>
      <w:r w:rsidR="00EE69B4" w:rsidRPr="00B83411">
        <w:fldChar w:fldCharType="begin"/>
      </w:r>
      <w:r w:rsidR="00EE69B4" w:rsidRPr="00B83411">
        <w:instrText xml:space="preserve"> REF _Ref213246026 \h </w:instrText>
      </w:r>
      <w:r w:rsidR="00EE69B4" w:rsidRPr="00B83411">
        <w:fldChar w:fldCharType="separate"/>
      </w:r>
      <w:r w:rsidR="002304F6" w:rsidRPr="00B83411">
        <w:t xml:space="preserve">Table </w:t>
      </w:r>
      <w:r w:rsidR="002304F6">
        <w:rPr>
          <w:noProof/>
        </w:rPr>
        <w:t>10</w:t>
      </w:r>
      <w:r w:rsidR="00EE69B4" w:rsidRPr="00B83411">
        <w:fldChar w:fldCharType="end"/>
      </w:r>
      <w:r w:rsidR="00EE69B4" w:rsidRPr="00B83411">
        <w:t xml:space="preserve">. </w:t>
      </w:r>
      <w:r w:rsidR="0026454B" w:rsidRPr="00B83411">
        <w:t>T</w:t>
      </w:r>
      <w:r w:rsidRPr="00B83411">
        <w:t xml:space="preserve">hose with more </w:t>
      </w:r>
      <w:r w:rsidR="001D4613" w:rsidRPr="00B83411">
        <w:t>interactions with NOPTA</w:t>
      </w:r>
      <w:r w:rsidRPr="00B83411">
        <w:t xml:space="preserve"> rate</w:t>
      </w:r>
      <w:r w:rsidR="00FD3A76" w:rsidRPr="00B83411">
        <w:t>d</w:t>
      </w:r>
      <w:r w:rsidRPr="00B83411">
        <w:t xml:space="preserve"> the </w:t>
      </w:r>
      <w:r w:rsidR="001D4613" w:rsidRPr="00B83411">
        <w:t xml:space="preserve">NEATS </w:t>
      </w:r>
      <w:r w:rsidRPr="00B83411">
        <w:t>system lower than those with fewer interactions</w:t>
      </w:r>
      <w:r w:rsidR="0026454B" w:rsidRPr="00B83411">
        <w:t xml:space="preserve"> which is surprising as, anecdotally in our experience, it’s usually the opposite pattern.</w:t>
      </w:r>
      <w:r w:rsidR="001D4613" w:rsidRPr="00B83411">
        <w:t xml:space="preserve"> This may be because </w:t>
      </w:r>
      <w:r w:rsidR="00FD3A76" w:rsidRPr="00B83411">
        <w:t>more frequent NOPTA interactors</w:t>
      </w:r>
      <w:r w:rsidR="001D4613" w:rsidRPr="00B83411">
        <w:t xml:space="preserve"> us</w:t>
      </w:r>
      <w:r w:rsidR="00A67900" w:rsidRPr="00B83411">
        <w:t>ed</w:t>
      </w:r>
      <w:r w:rsidR="001D4613" w:rsidRPr="00B83411">
        <w:t xml:space="preserve"> more advanced aspects of the system</w:t>
      </w:r>
      <w:r w:rsidR="00FD3A76" w:rsidRPr="00B83411">
        <w:t xml:space="preserve"> and/or</w:t>
      </w:r>
      <w:r w:rsidR="001D4613" w:rsidRPr="00B83411">
        <w:t xml:space="preserve"> have more experience with it and with other systems that it could or does integrate with.</w:t>
      </w:r>
      <w:r w:rsidR="00FD3A76" w:rsidRPr="00B83411">
        <w:t xml:space="preserve"> Refer to </w:t>
      </w:r>
      <w:r w:rsidR="00EE69B4" w:rsidRPr="00B83411">
        <w:fldChar w:fldCharType="begin"/>
      </w:r>
      <w:r w:rsidR="00EE69B4" w:rsidRPr="00B83411">
        <w:instrText xml:space="preserve"> REF _Ref213239913 \h </w:instrText>
      </w:r>
      <w:r w:rsidR="00EE69B4" w:rsidRPr="00B83411">
        <w:fldChar w:fldCharType="separate"/>
      </w:r>
      <w:r w:rsidR="00FE3946" w:rsidRPr="00B83411">
        <w:t xml:space="preserve">Table </w:t>
      </w:r>
      <w:r w:rsidR="00FE3946">
        <w:rPr>
          <w:noProof/>
        </w:rPr>
        <w:t>14</w:t>
      </w:r>
      <w:r w:rsidR="00EE69B4" w:rsidRPr="00B83411">
        <w:fldChar w:fldCharType="end"/>
      </w:r>
      <w:r w:rsidR="00EE69B4" w:rsidRPr="00B83411">
        <w:t xml:space="preserve"> for a more detailed breakdown of level of interaction results.</w:t>
      </w:r>
    </w:p>
    <w:p w14:paraId="25A7A1A3" w14:textId="339DED09" w:rsidR="00BC5D6A" w:rsidRPr="00B83411" w:rsidRDefault="00A448E5" w:rsidP="00050E0E">
      <w:pPr>
        <w:pStyle w:val="Caption"/>
        <w:keepNext/>
      </w:pPr>
      <w:bookmarkStart w:id="20" w:name="_Ref213246026"/>
      <w:r w:rsidRPr="00B83411">
        <w:t xml:space="preserve">Table </w:t>
      </w:r>
      <w:r w:rsidR="00C32D47">
        <w:fldChar w:fldCharType="begin"/>
      </w:r>
      <w:r w:rsidR="00C32D47">
        <w:instrText xml:space="preserve"> SEQ Table \* ARABIC </w:instrText>
      </w:r>
      <w:r w:rsidR="00C32D47">
        <w:fldChar w:fldCharType="separate"/>
      </w:r>
      <w:r w:rsidR="00C350E2">
        <w:rPr>
          <w:noProof/>
        </w:rPr>
        <w:t>10</w:t>
      </w:r>
      <w:r w:rsidR="00C32D47">
        <w:fldChar w:fldCharType="end"/>
      </w:r>
      <w:bookmarkEnd w:id="20"/>
      <w:r w:rsidRPr="00B83411">
        <w:t>: Using NEATS</w:t>
      </w:r>
    </w:p>
    <w:tbl>
      <w:tblPr>
        <w:tblW w:w="5812" w:type="dxa"/>
        <w:tblLayout w:type="fixed"/>
        <w:tblLook w:val="0000" w:firstRow="0" w:lastRow="0" w:firstColumn="0" w:lastColumn="0" w:noHBand="0" w:noVBand="0"/>
      </w:tblPr>
      <w:tblGrid>
        <w:gridCol w:w="4253"/>
        <w:gridCol w:w="1559"/>
      </w:tblGrid>
      <w:tr w:rsidR="00143804" w:rsidRPr="00B83411" w14:paraId="7F466F7D" w14:textId="77777777" w:rsidTr="00A448E5">
        <w:trPr>
          <w:trHeight w:val="267"/>
          <w:tblHeader/>
        </w:trPr>
        <w:tc>
          <w:tcPr>
            <w:tcW w:w="4253" w:type="dxa"/>
            <w:shd w:val="clear" w:color="auto" w:fill="003366"/>
            <w:noWrap/>
            <w:vAlign w:val="center"/>
          </w:tcPr>
          <w:p w14:paraId="72D82244" w14:textId="527FC8E1" w:rsidR="00143804" w:rsidRPr="00B83411" w:rsidRDefault="00143804" w:rsidP="00050E0E">
            <w:pPr>
              <w:keepNext/>
              <w:spacing w:before="60" w:after="60"/>
              <w:rPr>
                <w:b/>
                <w:bCs/>
                <w:color w:val="00376E"/>
                <w:sz w:val="22"/>
                <w:szCs w:val="22"/>
              </w:rPr>
            </w:pPr>
            <w:r w:rsidRPr="00B83411">
              <w:rPr>
                <w:b/>
                <w:bCs/>
                <w:sz w:val="22"/>
                <w:szCs w:val="22"/>
              </w:rPr>
              <w:t>NEATS</w:t>
            </w:r>
            <w:r w:rsidR="001D4613" w:rsidRPr="00B83411">
              <w:rPr>
                <w:b/>
                <w:bCs/>
                <w:sz w:val="22"/>
                <w:szCs w:val="22"/>
              </w:rPr>
              <w:t xml:space="preserve"> dimensions</w:t>
            </w:r>
          </w:p>
        </w:tc>
        <w:tc>
          <w:tcPr>
            <w:tcW w:w="1559" w:type="dxa"/>
            <w:shd w:val="clear" w:color="auto" w:fill="003366"/>
            <w:vAlign w:val="center"/>
          </w:tcPr>
          <w:p w14:paraId="68A78FD9" w14:textId="6C4AA2FF" w:rsidR="00143804" w:rsidRPr="00B83411" w:rsidRDefault="00143804" w:rsidP="00050E0E">
            <w:pPr>
              <w:keepNext/>
              <w:spacing w:before="60" w:after="60"/>
              <w:ind w:right="0"/>
              <w:jc w:val="center"/>
              <w:rPr>
                <w:rFonts w:cs="Arial"/>
                <w:b/>
                <w:bCs/>
                <w:color w:val="FFFFFF"/>
                <w:sz w:val="22"/>
                <w:szCs w:val="22"/>
              </w:rPr>
            </w:pPr>
            <w:r w:rsidRPr="00B83411">
              <w:rPr>
                <w:rFonts w:cs="Arial"/>
                <w:b/>
                <w:bCs/>
                <w:color w:val="FFFFFF"/>
                <w:sz w:val="22"/>
                <w:szCs w:val="22"/>
              </w:rPr>
              <w:t>% positive</w:t>
            </w:r>
            <w:r w:rsidR="00D93A0B" w:rsidRPr="00B83411">
              <w:rPr>
                <w:rFonts w:cs="Arial"/>
                <w:b/>
                <w:bCs/>
                <w:color w:val="FFFFFF"/>
                <w:sz w:val="22"/>
                <w:szCs w:val="22"/>
              </w:rPr>
              <w:br/>
            </w:r>
            <w:r w:rsidR="00D93A0B" w:rsidRPr="00B83411">
              <w:rPr>
                <w:rFonts w:cs="Arial"/>
                <w:i/>
                <w:iCs/>
                <w:color w:val="FFFFFF"/>
              </w:rPr>
              <w:t>n=</w:t>
            </w:r>
            <w:r w:rsidR="00AE1430" w:rsidRPr="00B83411">
              <w:rPr>
                <w:rFonts w:cs="Arial"/>
                <w:i/>
                <w:iCs/>
                <w:color w:val="FFFFFF"/>
              </w:rPr>
              <w:t>69</w:t>
            </w:r>
          </w:p>
        </w:tc>
      </w:tr>
      <w:tr w:rsidR="00143804" w:rsidRPr="00B83411" w14:paraId="43C3E4A9" w14:textId="77777777" w:rsidTr="00A448E5">
        <w:trPr>
          <w:trHeight w:val="267"/>
        </w:trPr>
        <w:tc>
          <w:tcPr>
            <w:tcW w:w="4253" w:type="dxa"/>
            <w:noWrap/>
            <w:vAlign w:val="center"/>
          </w:tcPr>
          <w:p w14:paraId="4C3011AF" w14:textId="0DC2D9D2" w:rsidR="00143804" w:rsidRPr="00B83411" w:rsidRDefault="00143804" w:rsidP="00050E0E">
            <w:pPr>
              <w:keepNext/>
              <w:spacing w:before="60" w:after="60"/>
              <w:ind w:right="0"/>
              <w:rPr>
                <w:rFonts w:cs="Arial"/>
                <w:color w:val="000000"/>
              </w:rPr>
            </w:pPr>
            <w:r w:rsidRPr="00B83411">
              <w:rPr>
                <w:rFonts w:cs="Arial"/>
                <w:color w:val="000000"/>
              </w:rPr>
              <w:t>Clear instructions / workflow</w:t>
            </w:r>
          </w:p>
        </w:tc>
        <w:tc>
          <w:tcPr>
            <w:tcW w:w="1559" w:type="dxa"/>
            <w:vAlign w:val="bottom"/>
          </w:tcPr>
          <w:p w14:paraId="6B234967" w14:textId="658D3404" w:rsidR="00143804" w:rsidRPr="00B83411" w:rsidRDefault="00143804" w:rsidP="00050E0E">
            <w:pPr>
              <w:keepNext/>
              <w:spacing w:before="60" w:after="60"/>
              <w:ind w:right="0"/>
              <w:jc w:val="center"/>
            </w:pPr>
            <w:r w:rsidRPr="00B83411">
              <w:rPr>
                <w:rFonts w:cs="Arial"/>
              </w:rPr>
              <w:t>74</w:t>
            </w:r>
          </w:p>
        </w:tc>
      </w:tr>
      <w:tr w:rsidR="00143804" w:rsidRPr="00B83411" w14:paraId="7138534C" w14:textId="77777777" w:rsidTr="00A448E5">
        <w:trPr>
          <w:trHeight w:val="267"/>
        </w:trPr>
        <w:tc>
          <w:tcPr>
            <w:tcW w:w="4253" w:type="dxa"/>
            <w:shd w:val="clear" w:color="auto" w:fill="D1D1D1"/>
            <w:noWrap/>
            <w:vAlign w:val="center"/>
          </w:tcPr>
          <w:p w14:paraId="4D280521" w14:textId="072AF827" w:rsidR="00143804" w:rsidRPr="00B83411" w:rsidRDefault="00143804" w:rsidP="00050E0E">
            <w:pPr>
              <w:keepNext/>
              <w:spacing w:before="60" w:after="60"/>
              <w:ind w:right="0"/>
              <w:rPr>
                <w:rFonts w:cs="Arial"/>
                <w:color w:val="000000"/>
              </w:rPr>
            </w:pPr>
            <w:r w:rsidRPr="00B83411">
              <w:rPr>
                <w:rFonts w:cs="Arial"/>
                <w:color w:val="000000"/>
              </w:rPr>
              <w:t>Integrated functionality</w:t>
            </w:r>
          </w:p>
        </w:tc>
        <w:tc>
          <w:tcPr>
            <w:tcW w:w="1559" w:type="dxa"/>
            <w:shd w:val="clear" w:color="auto" w:fill="D1D1D1"/>
            <w:vAlign w:val="bottom"/>
          </w:tcPr>
          <w:p w14:paraId="1359A5BF" w14:textId="751171F7" w:rsidR="00143804" w:rsidRPr="00B83411" w:rsidRDefault="00143804" w:rsidP="00050E0E">
            <w:pPr>
              <w:keepNext/>
              <w:spacing w:before="60" w:after="60"/>
              <w:ind w:right="0"/>
              <w:jc w:val="center"/>
            </w:pPr>
            <w:r w:rsidRPr="00B83411">
              <w:rPr>
                <w:rFonts w:cs="Arial"/>
              </w:rPr>
              <w:t>75</w:t>
            </w:r>
          </w:p>
        </w:tc>
      </w:tr>
      <w:tr w:rsidR="00143804" w:rsidRPr="00B83411" w14:paraId="73DAC0AF" w14:textId="77777777" w:rsidTr="00A448E5">
        <w:trPr>
          <w:trHeight w:val="267"/>
        </w:trPr>
        <w:tc>
          <w:tcPr>
            <w:tcW w:w="4253" w:type="dxa"/>
            <w:noWrap/>
            <w:vAlign w:val="center"/>
          </w:tcPr>
          <w:p w14:paraId="18E06C52" w14:textId="167E9FC0" w:rsidR="00143804" w:rsidRPr="00B83411" w:rsidRDefault="00143804" w:rsidP="00143804">
            <w:pPr>
              <w:spacing w:before="60" w:after="60"/>
              <w:ind w:right="0"/>
            </w:pPr>
            <w:r w:rsidRPr="00B83411">
              <w:rPr>
                <w:rFonts w:cs="Arial"/>
                <w:color w:val="000000"/>
              </w:rPr>
              <w:t>Easy to find information</w:t>
            </w:r>
          </w:p>
        </w:tc>
        <w:tc>
          <w:tcPr>
            <w:tcW w:w="1559" w:type="dxa"/>
            <w:vAlign w:val="bottom"/>
          </w:tcPr>
          <w:p w14:paraId="74A833DE" w14:textId="394DFBE1" w:rsidR="00143804" w:rsidRPr="00B83411" w:rsidRDefault="00143804" w:rsidP="00143804">
            <w:pPr>
              <w:spacing w:before="60" w:after="60"/>
              <w:ind w:right="0"/>
              <w:jc w:val="center"/>
            </w:pPr>
            <w:r w:rsidRPr="00B83411">
              <w:rPr>
                <w:rFonts w:cs="Arial"/>
              </w:rPr>
              <w:t>65</w:t>
            </w:r>
          </w:p>
        </w:tc>
      </w:tr>
      <w:tr w:rsidR="00143804" w:rsidRPr="00B83411" w14:paraId="36888C4C" w14:textId="77777777" w:rsidTr="00A448E5">
        <w:trPr>
          <w:trHeight w:val="267"/>
        </w:trPr>
        <w:tc>
          <w:tcPr>
            <w:tcW w:w="4253" w:type="dxa"/>
            <w:shd w:val="clear" w:color="auto" w:fill="D1D1D1"/>
            <w:noWrap/>
            <w:vAlign w:val="center"/>
          </w:tcPr>
          <w:p w14:paraId="2A1EEF4A" w14:textId="12C34957" w:rsidR="00143804" w:rsidRPr="00B83411" w:rsidRDefault="00143804" w:rsidP="00143804">
            <w:pPr>
              <w:spacing w:before="60" w:after="60"/>
              <w:ind w:right="0"/>
            </w:pPr>
            <w:r w:rsidRPr="00B83411">
              <w:rPr>
                <w:rFonts w:cs="Arial"/>
                <w:color w:val="000000"/>
              </w:rPr>
              <w:t>Continuous improvement</w:t>
            </w:r>
          </w:p>
        </w:tc>
        <w:tc>
          <w:tcPr>
            <w:tcW w:w="1559" w:type="dxa"/>
            <w:shd w:val="clear" w:color="auto" w:fill="D1D1D1"/>
            <w:vAlign w:val="bottom"/>
          </w:tcPr>
          <w:p w14:paraId="7FCEAB24" w14:textId="7FC4B6FC" w:rsidR="00143804" w:rsidRPr="00B83411" w:rsidRDefault="00143804" w:rsidP="00143804">
            <w:pPr>
              <w:spacing w:before="60" w:after="60"/>
              <w:ind w:right="0"/>
              <w:jc w:val="center"/>
            </w:pPr>
            <w:r w:rsidRPr="00B83411">
              <w:rPr>
                <w:rFonts w:cs="Arial"/>
              </w:rPr>
              <w:t>61</w:t>
            </w:r>
          </w:p>
        </w:tc>
      </w:tr>
      <w:tr w:rsidR="00143804" w:rsidRPr="00B83411" w14:paraId="32FA6A7C" w14:textId="77777777" w:rsidTr="00A448E5">
        <w:trPr>
          <w:trHeight w:val="267"/>
        </w:trPr>
        <w:tc>
          <w:tcPr>
            <w:tcW w:w="4253" w:type="dxa"/>
            <w:noWrap/>
            <w:vAlign w:val="center"/>
          </w:tcPr>
          <w:p w14:paraId="2F7B2224" w14:textId="68E1581C" w:rsidR="00143804" w:rsidRPr="00B83411" w:rsidRDefault="00143804" w:rsidP="00143804">
            <w:pPr>
              <w:spacing w:before="60" w:after="60"/>
              <w:ind w:right="0"/>
            </w:pPr>
            <w:r w:rsidRPr="00B83411">
              <w:rPr>
                <w:rFonts w:cs="Arial"/>
                <w:color w:val="000000"/>
              </w:rPr>
              <w:t>Fit for purpose</w:t>
            </w:r>
          </w:p>
        </w:tc>
        <w:tc>
          <w:tcPr>
            <w:tcW w:w="1559" w:type="dxa"/>
            <w:vAlign w:val="bottom"/>
          </w:tcPr>
          <w:p w14:paraId="21D99373" w14:textId="38ACCFFE" w:rsidR="00143804" w:rsidRPr="00B83411" w:rsidRDefault="00143804" w:rsidP="00143804">
            <w:pPr>
              <w:spacing w:before="60" w:after="60"/>
              <w:ind w:right="0"/>
              <w:jc w:val="center"/>
            </w:pPr>
            <w:r w:rsidRPr="00B83411">
              <w:rPr>
                <w:rFonts w:cs="Arial"/>
              </w:rPr>
              <w:t>77</w:t>
            </w:r>
          </w:p>
        </w:tc>
      </w:tr>
      <w:tr w:rsidR="00143804" w:rsidRPr="00B83411" w14:paraId="7801EE4B" w14:textId="77777777" w:rsidTr="00A448E5">
        <w:trPr>
          <w:trHeight w:val="267"/>
        </w:trPr>
        <w:tc>
          <w:tcPr>
            <w:tcW w:w="4253" w:type="dxa"/>
            <w:tcBorders>
              <w:bottom w:val="single" w:sz="4" w:space="0" w:color="auto"/>
            </w:tcBorders>
            <w:shd w:val="clear" w:color="auto" w:fill="D1D1D1"/>
            <w:noWrap/>
            <w:vAlign w:val="bottom"/>
          </w:tcPr>
          <w:p w14:paraId="75AC0664" w14:textId="77777777" w:rsidR="00143804" w:rsidRPr="00B83411" w:rsidRDefault="00143804" w:rsidP="00143804">
            <w:pPr>
              <w:spacing w:before="60" w:after="60"/>
              <w:ind w:right="0"/>
            </w:pPr>
            <w:r w:rsidRPr="00B83411">
              <w:rPr>
                <w:rFonts w:cs="Arial"/>
                <w:b/>
                <w:bCs/>
              </w:rPr>
              <w:t>Topic average</w:t>
            </w:r>
          </w:p>
        </w:tc>
        <w:tc>
          <w:tcPr>
            <w:tcW w:w="1559" w:type="dxa"/>
            <w:tcBorders>
              <w:bottom w:val="single" w:sz="4" w:space="0" w:color="auto"/>
            </w:tcBorders>
            <w:shd w:val="clear" w:color="auto" w:fill="D1D1D1"/>
            <w:vAlign w:val="bottom"/>
          </w:tcPr>
          <w:p w14:paraId="637E1BEB" w14:textId="0F524448" w:rsidR="00143804" w:rsidRPr="00B83411" w:rsidRDefault="00143804" w:rsidP="00143804">
            <w:pPr>
              <w:spacing w:before="60" w:after="60"/>
              <w:ind w:right="0"/>
              <w:jc w:val="center"/>
              <w:rPr>
                <w:b/>
                <w:bCs/>
              </w:rPr>
            </w:pPr>
            <w:r w:rsidRPr="00B83411">
              <w:rPr>
                <w:rFonts w:cs="Arial"/>
                <w:b/>
                <w:bCs/>
              </w:rPr>
              <w:t>70</w:t>
            </w:r>
          </w:p>
        </w:tc>
      </w:tr>
    </w:tbl>
    <w:p w14:paraId="0B3E79B6" w14:textId="14E06B1E" w:rsidR="00BC5D6A" w:rsidRDefault="00BC5D6A" w:rsidP="007D2133"/>
    <w:p w14:paraId="07BD9EB5" w14:textId="7A09502A" w:rsidR="00B34C53" w:rsidRPr="00B83411" w:rsidRDefault="00422EB6" w:rsidP="00422EB6">
      <w:pPr>
        <w:pStyle w:val="Caption"/>
      </w:pPr>
      <w:r>
        <w:t xml:space="preserve">Figure 8: Using </w:t>
      </w:r>
      <w:r w:rsidR="00F70DF3">
        <w:t>NEAT</w:t>
      </w:r>
      <w:r w:rsidR="00F4464F">
        <w:t>S</w:t>
      </w:r>
    </w:p>
    <w:p w14:paraId="02E9BA80" w14:textId="4AFDE3AE" w:rsidR="00A9196A" w:rsidRPr="00B83411" w:rsidRDefault="00AE1430" w:rsidP="00CD174B">
      <w:pPr>
        <w:spacing w:before="0"/>
      </w:pPr>
      <w:r w:rsidRPr="00B83411">
        <w:rPr>
          <w:noProof/>
        </w:rPr>
        <w:drawing>
          <wp:inline distT="0" distB="0" distL="0" distR="0" wp14:anchorId="09145FB5" wp14:editId="177FE691">
            <wp:extent cx="5705475" cy="2600325"/>
            <wp:effectExtent l="0" t="0" r="0" b="0"/>
            <wp:docPr id="1363573361" name="Chart 1" descr="A chart showing the breakdown of answers to using the National Electronic Approvals Tracking System. Responses were coded against a five-point rating scale.&#10;Yellow and green cells constitute the % positive score, orange cells are sometimes poor / sometimes good (neutral response), blue responses are poor and grey is very poor. Unsure and no answers are excluded.&#10;">
              <a:extLst xmlns:a="http://schemas.openxmlformats.org/drawingml/2006/main">
                <a:ext uri="{FF2B5EF4-FFF2-40B4-BE49-F238E27FC236}">
                  <a16:creationId xmlns:a16="http://schemas.microsoft.com/office/drawing/2014/main" id="{698497AD-DD7D-5B9F-9C66-C0EBB59DB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ABCA30" w14:textId="77777777" w:rsidR="00EE69B4" w:rsidRPr="00B83411" w:rsidRDefault="00EE69B4">
      <w:pPr>
        <w:spacing w:before="0" w:line="240" w:lineRule="auto"/>
        <w:ind w:right="0"/>
        <w:rPr>
          <w:rFonts w:ascii="Arial" w:hAnsi="Arial"/>
          <w:color w:val="00376E"/>
          <w:sz w:val="28"/>
        </w:rPr>
      </w:pPr>
      <w:r w:rsidRPr="00B83411">
        <w:br w:type="page"/>
      </w:r>
    </w:p>
    <w:p w14:paraId="3B8A9AF5" w14:textId="28A30020" w:rsidR="00DF2A4F" w:rsidRPr="00B83411" w:rsidRDefault="00DF2A4F" w:rsidP="00DF2A4F">
      <w:pPr>
        <w:pStyle w:val="Heading2"/>
      </w:pPr>
      <w:bookmarkStart w:id="21" w:name="_Toc213926350"/>
      <w:r w:rsidRPr="00B83411">
        <w:t>NOPIMS</w:t>
      </w:r>
      <w:bookmarkEnd w:id="21"/>
    </w:p>
    <w:p w14:paraId="619EA7B3" w14:textId="6529693B" w:rsidR="002556BE" w:rsidRPr="00B83411" w:rsidRDefault="002556BE" w:rsidP="001D4613">
      <w:r w:rsidRPr="00B83411">
        <w:t xml:space="preserve">As shown in Table </w:t>
      </w:r>
      <w:r w:rsidR="003E0CEF">
        <w:t>11</w:t>
      </w:r>
      <w:r w:rsidR="00757F4E" w:rsidRPr="00B83411">
        <w:t xml:space="preserve"> below</w:t>
      </w:r>
      <w:r w:rsidRPr="00B83411">
        <w:t xml:space="preserve">, </w:t>
      </w:r>
      <w:r w:rsidR="00757F4E" w:rsidRPr="00B83411">
        <w:t xml:space="preserve">NOPIMS </w:t>
      </w:r>
      <w:r w:rsidRPr="00B83411">
        <w:t>achieved a</w:t>
      </w:r>
      <w:r w:rsidR="00757F4E" w:rsidRPr="00B83411">
        <w:t xml:space="preserve"> topic</w:t>
      </w:r>
      <w:r w:rsidRPr="00B83411">
        <w:t xml:space="preserve"> average score of 60%, making it the lowest-performing digital system in the survey.</w:t>
      </w:r>
    </w:p>
    <w:p w14:paraId="6EABAA1B" w14:textId="3A84D719" w:rsidR="002556BE" w:rsidRPr="00B83411" w:rsidRDefault="00757F4E" w:rsidP="002556BE">
      <w:r w:rsidRPr="00B83411">
        <w:t>In line</w:t>
      </w:r>
      <w:r w:rsidR="00FD3A76" w:rsidRPr="00B83411">
        <w:t xml:space="preserve"> with the NEATS system</w:t>
      </w:r>
      <w:r w:rsidR="002556BE" w:rsidRPr="00B83411">
        <w:t xml:space="preserve">, </w:t>
      </w:r>
      <w:r w:rsidR="00FD3A76" w:rsidRPr="00B83411">
        <w:t>respondents with more interactions with NOPTA</w:t>
      </w:r>
      <w:r w:rsidR="002970E3" w:rsidRPr="00B83411">
        <w:t xml:space="preserve"> / OIR</w:t>
      </w:r>
      <w:r w:rsidR="00FD3A76" w:rsidRPr="00B83411">
        <w:t xml:space="preserve"> rated the </w:t>
      </w:r>
      <w:r w:rsidR="0026454B" w:rsidRPr="00B83411">
        <w:t xml:space="preserve">NOPIMS </w:t>
      </w:r>
      <w:r w:rsidR="00FD3A76" w:rsidRPr="00B83411">
        <w:t xml:space="preserve">system considerably lower on all dimensions and particularly </w:t>
      </w:r>
      <w:r w:rsidR="00FD3A76" w:rsidRPr="00B83411">
        <w:rPr>
          <w:i/>
          <w:iCs/>
        </w:rPr>
        <w:t>easy to find information</w:t>
      </w:r>
      <w:r w:rsidR="00FD3A76" w:rsidRPr="00B83411">
        <w:t xml:space="preserve"> and </w:t>
      </w:r>
      <w:r w:rsidR="00FD3A76" w:rsidRPr="00B83411">
        <w:rPr>
          <w:i/>
          <w:iCs/>
        </w:rPr>
        <w:t>continuous improvement</w:t>
      </w:r>
      <w:r w:rsidR="00FD3A76" w:rsidRPr="00B83411">
        <w:t xml:space="preserve"> than those with fewer interactions.</w:t>
      </w:r>
      <w:r w:rsidR="002556BE" w:rsidRPr="00B83411">
        <w:t xml:space="preserve"> </w:t>
      </w:r>
    </w:p>
    <w:p w14:paraId="118554C0" w14:textId="00B6F18D" w:rsidR="00FD3A76" w:rsidRPr="00B83411" w:rsidRDefault="006C2A62" w:rsidP="001D4613">
      <w:r w:rsidRPr="00B83411">
        <w:t>Refer to</w:t>
      </w:r>
      <w:r w:rsidR="00EE69B4" w:rsidRPr="00B83411">
        <w:t xml:space="preserve"> </w:t>
      </w:r>
      <w:r w:rsidR="00EE69B4" w:rsidRPr="00B83411">
        <w:fldChar w:fldCharType="begin"/>
      </w:r>
      <w:r w:rsidR="00EE69B4" w:rsidRPr="00B83411">
        <w:instrText xml:space="preserve"> REF _Ref213239913 \h </w:instrText>
      </w:r>
      <w:r w:rsidR="00EE69B4" w:rsidRPr="00B83411">
        <w:fldChar w:fldCharType="separate"/>
      </w:r>
      <w:r w:rsidR="003E0CEF" w:rsidRPr="00B83411">
        <w:t xml:space="preserve">Table </w:t>
      </w:r>
      <w:r w:rsidR="003E0CEF">
        <w:rPr>
          <w:noProof/>
        </w:rPr>
        <w:t>14</w:t>
      </w:r>
      <w:r w:rsidR="00EE69B4" w:rsidRPr="00B83411">
        <w:fldChar w:fldCharType="end"/>
      </w:r>
      <w:r w:rsidR="00EE69B4" w:rsidRPr="00B83411">
        <w:t xml:space="preserve"> </w:t>
      </w:r>
      <w:r w:rsidRPr="00B83411">
        <w:t>for more details</w:t>
      </w:r>
      <w:r w:rsidR="002970E3" w:rsidRPr="00B83411">
        <w:t xml:space="preserve"> about level of interaction</w:t>
      </w:r>
      <w:r w:rsidRPr="00B83411">
        <w:t>.</w:t>
      </w:r>
      <w:r w:rsidR="002556BE" w:rsidRPr="00B83411">
        <w:t xml:space="preserve"> </w:t>
      </w:r>
    </w:p>
    <w:p w14:paraId="796D0711" w14:textId="763C6719" w:rsidR="00FD3A76" w:rsidRPr="00B83411" w:rsidRDefault="006C2A62" w:rsidP="006C2A62">
      <w:pPr>
        <w:spacing w:after="240"/>
      </w:pPr>
      <w:r w:rsidRPr="00B83411">
        <w:t xml:space="preserve">There is considerable room for improvement with the </w:t>
      </w:r>
      <w:r w:rsidRPr="00B83411">
        <w:rPr>
          <w:i/>
          <w:iCs/>
        </w:rPr>
        <w:t>easy to find information</w:t>
      </w:r>
      <w:r w:rsidRPr="00B83411">
        <w:t xml:space="preserve"> and </w:t>
      </w:r>
      <w:r w:rsidRPr="00B83411">
        <w:rPr>
          <w:i/>
          <w:iCs/>
        </w:rPr>
        <w:t>continuous improvement</w:t>
      </w:r>
      <w:r w:rsidRPr="00B83411">
        <w:t xml:space="preserve"> dimensions.</w:t>
      </w:r>
    </w:p>
    <w:p w14:paraId="516EF38F" w14:textId="055D697F" w:rsidR="00A9196A" w:rsidRPr="00B83411" w:rsidRDefault="001D4613" w:rsidP="001D4613">
      <w:pPr>
        <w:pStyle w:val="Caption"/>
      </w:pPr>
      <w:bookmarkStart w:id="22" w:name="_Ref212632089"/>
      <w:bookmarkStart w:id="23" w:name="_Ref212632076"/>
      <w:r w:rsidRPr="00B83411">
        <w:t xml:space="preserve">Table </w:t>
      </w:r>
      <w:r w:rsidR="00C32D47">
        <w:fldChar w:fldCharType="begin"/>
      </w:r>
      <w:r w:rsidR="00C32D47">
        <w:instrText xml:space="preserve"> SEQ Table \* ARABIC </w:instrText>
      </w:r>
      <w:r w:rsidR="00C32D47">
        <w:fldChar w:fldCharType="separate"/>
      </w:r>
      <w:r w:rsidR="00C350E2">
        <w:rPr>
          <w:noProof/>
        </w:rPr>
        <w:t>11</w:t>
      </w:r>
      <w:r w:rsidR="00C32D47">
        <w:fldChar w:fldCharType="end"/>
      </w:r>
      <w:bookmarkEnd w:id="22"/>
      <w:r w:rsidRPr="00B83411">
        <w:t>: Using NOPIMS</w:t>
      </w:r>
      <w:bookmarkEnd w:id="23"/>
    </w:p>
    <w:tbl>
      <w:tblPr>
        <w:tblW w:w="5670" w:type="dxa"/>
        <w:tblLayout w:type="fixed"/>
        <w:tblLook w:val="0000" w:firstRow="0" w:lastRow="0" w:firstColumn="0" w:lastColumn="0" w:noHBand="0" w:noVBand="0"/>
      </w:tblPr>
      <w:tblGrid>
        <w:gridCol w:w="3686"/>
        <w:gridCol w:w="1984"/>
      </w:tblGrid>
      <w:tr w:rsidR="00143804" w:rsidRPr="00B83411" w14:paraId="2F159440" w14:textId="77777777" w:rsidTr="00A448E5">
        <w:trPr>
          <w:trHeight w:val="267"/>
          <w:tblHeader/>
        </w:trPr>
        <w:tc>
          <w:tcPr>
            <w:tcW w:w="3686" w:type="dxa"/>
            <w:shd w:val="clear" w:color="auto" w:fill="003366"/>
            <w:noWrap/>
            <w:vAlign w:val="center"/>
          </w:tcPr>
          <w:p w14:paraId="220F9C1F" w14:textId="09584D87" w:rsidR="00143804" w:rsidRPr="00B83411" w:rsidRDefault="00143804" w:rsidP="006C2A62">
            <w:pPr>
              <w:spacing w:before="60" w:after="60"/>
              <w:rPr>
                <w:b/>
                <w:bCs/>
                <w:color w:val="00376E"/>
                <w:sz w:val="22"/>
                <w:szCs w:val="22"/>
              </w:rPr>
            </w:pPr>
            <w:r w:rsidRPr="00B83411">
              <w:rPr>
                <w:b/>
                <w:bCs/>
                <w:sz w:val="22"/>
                <w:szCs w:val="22"/>
              </w:rPr>
              <w:t>NOPIMS</w:t>
            </w:r>
            <w:r w:rsidR="001D4613" w:rsidRPr="00B83411">
              <w:rPr>
                <w:b/>
                <w:bCs/>
                <w:sz w:val="22"/>
                <w:szCs w:val="22"/>
              </w:rPr>
              <w:t xml:space="preserve"> dimensions</w:t>
            </w:r>
          </w:p>
        </w:tc>
        <w:tc>
          <w:tcPr>
            <w:tcW w:w="1984" w:type="dxa"/>
            <w:shd w:val="clear" w:color="auto" w:fill="003366"/>
            <w:vAlign w:val="center"/>
          </w:tcPr>
          <w:p w14:paraId="4BE519A4" w14:textId="736989D6" w:rsidR="00143804" w:rsidRPr="00B83411" w:rsidRDefault="00143804" w:rsidP="006C2A62">
            <w:pPr>
              <w:spacing w:before="60" w:after="60"/>
              <w:ind w:right="0"/>
              <w:jc w:val="center"/>
              <w:rPr>
                <w:rFonts w:cs="Arial"/>
                <w:b/>
                <w:bCs/>
                <w:color w:val="FFFFFF"/>
                <w:sz w:val="22"/>
                <w:szCs w:val="22"/>
              </w:rPr>
            </w:pPr>
            <w:r w:rsidRPr="00B83411">
              <w:rPr>
                <w:rFonts w:cs="Arial"/>
                <w:b/>
                <w:bCs/>
                <w:color w:val="FFFFFF"/>
                <w:sz w:val="22"/>
                <w:szCs w:val="22"/>
              </w:rPr>
              <w:t>% positive</w:t>
            </w:r>
            <w:r w:rsidR="00AE1430" w:rsidRPr="00B83411">
              <w:rPr>
                <w:rFonts w:cs="Arial"/>
                <w:b/>
                <w:bCs/>
                <w:color w:val="FFFFFF"/>
                <w:sz w:val="22"/>
                <w:szCs w:val="22"/>
              </w:rPr>
              <w:br/>
            </w:r>
            <w:r w:rsidR="00AE1430" w:rsidRPr="00B83411">
              <w:rPr>
                <w:rFonts w:cs="Arial"/>
                <w:i/>
                <w:iCs/>
                <w:color w:val="FFFFFF"/>
              </w:rPr>
              <w:t>n=42</w:t>
            </w:r>
          </w:p>
        </w:tc>
      </w:tr>
      <w:tr w:rsidR="00143804" w:rsidRPr="00B83411" w14:paraId="229FEFF3" w14:textId="77777777" w:rsidTr="00A448E5">
        <w:trPr>
          <w:trHeight w:val="267"/>
        </w:trPr>
        <w:tc>
          <w:tcPr>
            <w:tcW w:w="3686" w:type="dxa"/>
            <w:noWrap/>
            <w:vAlign w:val="center"/>
          </w:tcPr>
          <w:p w14:paraId="69E535C3" w14:textId="77777777" w:rsidR="00143804" w:rsidRPr="00B83411" w:rsidRDefault="00143804" w:rsidP="00143804">
            <w:pPr>
              <w:spacing w:before="60" w:after="60"/>
              <w:ind w:right="0"/>
              <w:rPr>
                <w:rFonts w:cs="Arial"/>
                <w:color w:val="000000"/>
              </w:rPr>
            </w:pPr>
            <w:r w:rsidRPr="00B83411">
              <w:rPr>
                <w:rFonts w:cs="Arial"/>
                <w:color w:val="000000"/>
              </w:rPr>
              <w:t>Clear instructions / workflow</w:t>
            </w:r>
          </w:p>
        </w:tc>
        <w:tc>
          <w:tcPr>
            <w:tcW w:w="1984" w:type="dxa"/>
            <w:vAlign w:val="bottom"/>
          </w:tcPr>
          <w:p w14:paraId="194C63DE" w14:textId="6AA14DF6" w:rsidR="00143804" w:rsidRPr="00B83411" w:rsidRDefault="00143804" w:rsidP="00A448E5">
            <w:pPr>
              <w:spacing w:before="60" w:after="60"/>
              <w:ind w:right="0"/>
              <w:jc w:val="center"/>
            </w:pPr>
            <w:r w:rsidRPr="00B83411">
              <w:rPr>
                <w:rFonts w:cs="Arial"/>
              </w:rPr>
              <w:t>62</w:t>
            </w:r>
          </w:p>
        </w:tc>
      </w:tr>
      <w:tr w:rsidR="00143804" w:rsidRPr="00B83411" w14:paraId="31C55975" w14:textId="77777777" w:rsidTr="00A448E5">
        <w:trPr>
          <w:trHeight w:val="267"/>
        </w:trPr>
        <w:tc>
          <w:tcPr>
            <w:tcW w:w="3686" w:type="dxa"/>
            <w:shd w:val="clear" w:color="auto" w:fill="D1D1D1"/>
            <w:noWrap/>
            <w:vAlign w:val="center"/>
          </w:tcPr>
          <w:p w14:paraId="6CC50EDF" w14:textId="77777777" w:rsidR="00143804" w:rsidRPr="00B83411" w:rsidRDefault="00143804" w:rsidP="00143804">
            <w:pPr>
              <w:spacing w:before="60" w:after="60"/>
              <w:ind w:right="0"/>
              <w:rPr>
                <w:rFonts w:cs="Arial"/>
                <w:color w:val="000000"/>
              </w:rPr>
            </w:pPr>
            <w:r w:rsidRPr="00B83411">
              <w:rPr>
                <w:rFonts w:cs="Arial"/>
                <w:color w:val="000000"/>
              </w:rPr>
              <w:t>Integrated functionality</w:t>
            </w:r>
          </w:p>
        </w:tc>
        <w:tc>
          <w:tcPr>
            <w:tcW w:w="1984" w:type="dxa"/>
            <w:shd w:val="clear" w:color="auto" w:fill="D1D1D1"/>
            <w:vAlign w:val="bottom"/>
          </w:tcPr>
          <w:p w14:paraId="5ED879CB" w14:textId="200BC493" w:rsidR="00143804" w:rsidRPr="00B83411" w:rsidRDefault="00143804" w:rsidP="00A448E5">
            <w:pPr>
              <w:spacing w:before="60" w:after="60"/>
              <w:ind w:right="0"/>
              <w:jc w:val="center"/>
            </w:pPr>
            <w:r w:rsidRPr="00B83411">
              <w:rPr>
                <w:rFonts w:cs="Arial"/>
              </w:rPr>
              <w:t>69</w:t>
            </w:r>
          </w:p>
        </w:tc>
      </w:tr>
      <w:tr w:rsidR="00143804" w:rsidRPr="00B83411" w14:paraId="053FA426" w14:textId="77777777" w:rsidTr="00A448E5">
        <w:trPr>
          <w:trHeight w:val="267"/>
        </w:trPr>
        <w:tc>
          <w:tcPr>
            <w:tcW w:w="3686" w:type="dxa"/>
            <w:noWrap/>
            <w:vAlign w:val="center"/>
          </w:tcPr>
          <w:p w14:paraId="7B05A8E1" w14:textId="77777777" w:rsidR="00143804" w:rsidRPr="00B83411" w:rsidRDefault="00143804" w:rsidP="00143804">
            <w:pPr>
              <w:spacing w:before="60" w:after="60"/>
              <w:ind w:right="0"/>
            </w:pPr>
            <w:r w:rsidRPr="00B83411">
              <w:rPr>
                <w:rFonts w:cs="Arial"/>
                <w:color w:val="000000"/>
              </w:rPr>
              <w:t>Easy to find information</w:t>
            </w:r>
          </w:p>
        </w:tc>
        <w:tc>
          <w:tcPr>
            <w:tcW w:w="1984" w:type="dxa"/>
            <w:vAlign w:val="bottom"/>
          </w:tcPr>
          <w:p w14:paraId="232CB59A" w14:textId="33B7DB25" w:rsidR="00143804" w:rsidRPr="00B83411" w:rsidRDefault="00143804" w:rsidP="00A448E5">
            <w:pPr>
              <w:spacing w:before="60" w:after="60"/>
              <w:ind w:right="0"/>
              <w:jc w:val="center"/>
            </w:pPr>
            <w:r w:rsidRPr="00B83411">
              <w:rPr>
                <w:rFonts w:cs="Arial"/>
              </w:rPr>
              <w:t>48</w:t>
            </w:r>
          </w:p>
        </w:tc>
      </w:tr>
      <w:tr w:rsidR="00143804" w:rsidRPr="00B83411" w14:paraId="584F30CF" w14:textId="77777777" w:rsidTr="00A448E5">
        <w:trPr>
          <w:trHeight w:val="267"/>
        </w:trPr>
        <w:tc>
          <w:tcPr>
            <w:tcW w:w="3686" w:type="dxa"/>
            <w:shd w:val="clear" w:color="auto" w:fill="D1D1D1"/>
            <w:noWrap/>
            <w:vAlign w:val="center"/>
          </w:tcPr>
          <w:p w14:paraId="7588F90D" w14:textId="77777777" w:rsidR="00143804" w:rsidRPr="00B83411" w:rsidRDefault="00143804" w:rsidP="00143804">
            <w:pPr>
              <w:spacing w:before="60" w:after="60"/>
              <w:ind w:right="0"/>
            </w:pPr>
            <w:r w:rsidRPr="00B83411">
              <w:rPr>
                <w:rFonts w:cs="Arial"/>
                <w:color w:val="000000"/>
              </w:rPr>
              <w:t>Continuous improvement</w:t>
            </w:r>
          </w:p>
        </w:tc>
        <w:tc>
          <w:tcPr>
            <w:tcW w:w="1984" w:type="dxa"/>
            <w:shd w:val="clear" w:color="auto" w:fill="D1D1D1"/>
            <w:vAlign w:val="bottom"/>
          </w:tcPr>
          <w:p w14:paraId="22C77138" w14:textId="659DE48E" w:rsidR="00143804" w:rsidRPr="00B83411" w:rsidRDefault="00143804" w:rsidP="00A448E5">
            <w:pPr>
              <w:spacing w:before="60" w:after="60"/>
              <w:ind w:right="0"/>
              <w:jc w:val="center"/>
            </w:pPr>
            <w:r w:rsidRPr="00B83411">
              <w:rPr>
                <w:rFonts w:cs="Arial"/>
              </w:rPr>
              <w:t>45</w:t>
            </w:r>
          </w:p>
        </w:tc>
      </w:tr>
      <w:tr w:rsidR="00143804" w:rsidRPr="00B83411" w14:paraId="25452439" w14:textId="77777777" w:rsidTr="00A448E5">
        <w:trPr>
          <w:trHeight w:val="267"/>
        </w:trPr>
        <w:tc>
          <w:tcPr>
            <w:tcW w:w="3686" w:type="dxa"/>
            <w:noWrap/>
            <w:vAlign w:val="center"/>
          </w:tcPr>
          <w:p w14:paraId="71104944" w14:textId="77777777" w:rsidR="00143804" w:rsidRPr="00B83411" w:rsidRDefault="00143804" w:rsidP="00143804">
            <w:pPr>
              <w:spacing w:before="60" w:after="60"/>
              <w:ind w:right="0"/>
            </w:pPr>
            <w:r w:rsidRPr="00B83411">
              <w:rPr>
                <w:rFonts w:cs="Arial"/>
                <w:color w:val="000000"/>
              </w:rPr>
              <w:t>Fit for purpose</w:t>
            </w:r>
          </w:p>
        </w:tc>
        <w:tc>
          <w:tcPr>
            <w:tcW w:w="1984" w:type="dxa"/>
            <w:vAlign w:val="bottom"/>
          </w:tcPr>
          <w:p w14:paraId="18D7AE44" w14:textId="008F476D" w:rsidR="00143804" w:rsidRPr="00B83411" w:rsidRDefault="00143804" w:rsidP="00A448E5">
            <w:pPr>
              <w:spacing w:before="60" w:after="60"/>
              <w:ind w:right="0"/>
              <w:jc w:val="center"/>
            </w:pPr>
            <w:r w:rsidRPr="00B83411">
              <w:rPr>
                <w:rFonts w:cs="Arial"/>
              </w:rPr>
              <w:t>76</w:t>
            </w:r>
          </w:p>
        </w:tc>
      </w:tr>
      <w:tr w:rsidR="00143804" w:rsidRPr="00B83411" w14:paraId="02D6A9AC" w14:textId="77777777" w:rsidTr="00A448E5">
        <w:trPr>
          <w:trHeight w:val="267"/>
        </w:trPr>
        <w:tc>
          <w:tcPr>
            <w:tcW w:w="3686" w:type="dxa"/>
            <w:tcBorders>
              <w:bottom w:val="single" w:sz="4" w:space="0" w:color="auto"/>
            </w:tcBorders>
            <w:shd w:val="clear" w:color="auto" w:fill="D1D1D1"/>
            <w:noWrap/>
            <w:vAlign w:val="bottom"/>
          </w:tcPr>
          <w:p w14:paraId="688B570D" w14:textId="77777777" w:rsidR="00143804" w:rsidRPr="00B83411" w:rsidRDefault="00143804" w:rsidP="00143804">
            <w:pPr>
              <w:spacing w:before="60" w:after="60"/>
              <w:ind w:right="0"/>
              <w:rPr>
                <w:highlight w:val="lightGray"/>
              </w:rPr>
            </w:pPr>
            <w:r w:rsidRPr="00B83411">
              <w:rPr>
                <w:rFonts w:cs="Arial"/>
                <w:b/>
                <w:bCs/>
                <w:highlight w:val="lightGray"/>
              </w:rPr>
              <w:t>Topic average</w:t>
            </w:r>
          </w:p>
        </w:tc>
        <w:tc>
          <w:tcPr>
            <w:tcW w:w="1984" w:type="dxa"/>
            <w:tcBorders>
              <w:bottom w:val="single" w:sz="4" w:space="0" w:color="auto"/>
            </w:tcBorders>
            <w:shd w:val="clear" w:color="auto" w:fill="D1D1D1"/>
            <w:vAlign w:val="bottom"/>
          </w:tcPr>
          <w:p w14:paraId="44977E57" w14:textId="7326C23B" w:rsidR="00143804" w:rsidRPr="00B83411" w:rsidRDefault="00143804" w:rsidP="00A448E5">
            <w:pPr>
              <w:spacing w:before="60" w:after="60"/>
              <w:ind w:right="0"/>
              <w:jc w:val="center"/>
              <w:rPr>
                <w:b/>
                <w:bCs/>
              </w:rPr>
            </w:pPr>
            <w:r w:rsidRPr="00B83411">
              <w:rPr>
                <w:rFonts w:cs="Arial"/>
                <w:b/>
                <w:bCs/>
                <w:highlight w:val="lightGray"/>
              </w:rPr>
              <w:t>60</w:t>
            </w:r>
          </w:p>
        </w:tc>
      </w:tr>
    </w:tbl>
    <w:p w14:paraId="35E2F394" w14:textId="007A0D42" w:rsidR="00A9196A" w:rsidRDefault="00A9196A" w:rsidP="00CD174B">
      <w:pPr>
        <w:spacing w:before="0"/>
      </w:pPr>
    </w:p>
    <w:p w14:paraId="54326479" w14:textId="22C5C353" w:rsidR="00B34C53" w:rsidRPr="000F6E5A" w:rsidRDefault="00460CCF" w:rsidP="00B34C53">
      <w:pPr>
        <w:pStyle w:val="Caption"/>
      </w:pPr>
      <w:r>
        <w:t xml:space="preserve">Figure 9: Using </w:t>
      </w:r>
      <w:r w:rsidR="00F70DF3">
        <w:t>NOPIMS</w:t>
      </w:r>
    </w:p>
    <w:p w14:paraId="57919D0E" w14:textId="35CFA74F" w:rsidR="00D93A0B" w:rsidRPr="00B83411" w:rsidRDefault="00D93A0B" w:rsidP="00CD174B">
      <w:pPr>
        <w:spacing w:before="0"/>
      </w:pPr>
      <w:r w:rsidRPr="00B83411">
        <w:rPr>
          <w:noProof/>
        </w:rPr>
        <w:drawing>
          <wp:inline distT="0" distB="0" distL="0" distR="0" wp14:anchorId="7A52588A" wp14:editId="17FACE7A">
            <wp:extent cx="5724525" cy="2828925"/>
            <wp:effectExtent l="0" t="0" r="0" b="0"/>
            <wp:docPr id="1655839253" name="Chart 1" descr="A chart showing the breakdown of answers to using the National Offshore Petroleum Information Management System. Responses were coded against a five-point rating scale. Yellow and green cells constitute the % positive score, orange cells are sometimes poor / sometimes good (neutral response), blue responses are poor and grey is very poor. Unsure and no answers are excluded.">
              <a:extLst xmlns:a="http://schemas.openxmlformats.org/drawingml/2006/main">
                <a:ext uri="{FF2B5EF4-FFF2-40B4-BE49-F238E27FC236}">
                  <a16:creationId xmlns:a16="http://schemas.microsoft.com/office/drawing/2014/main" id="{9FB7C339-AC36-2E6C-219A-FC364A37F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D66A59" w14:textId="77777777" w:rsidR="00EE69B4" w:rsidRPr="00B83411" w:rsidRDefault="00EE69B4">
      <w:pPr>
        <w:spacing w:before="0" w:line="240" w:lineRule="auto"/>
        <w:ind w:right="0"/>
        <w:rPr>
          <w:rFonts w:ascii="Arial" w:hAnsi="Arial"/>
          <w:color w:val="00376E"/>
          <w:sz w:val="28"/>
        </w:rPr>
      </w:pPr>
      <w:r w:rsidRPr="00B83411">
        <w:br w:type="page"/>
      </w:r>
    </w:p>
    <w:p w14:paraId="39537C63" w14:textId="3AC788C3" w:rsidR="00DF2A4F" w:rsidRPr="00B83411" w:rsidRDefault="00DF2A4F" w:rsidP="00050E0E">
      <w:pPr>
        <w:pStyle w:val="Heading2"/>
      </w:pPr>
      <w:bookmarkStart w:id="24" w:name="_Toc213926351"/>
      <w:r w:rsidRPr="00B83411">
        <w:t>NOPTA website</w:t>
      </w:r>
      <w:bookmarkEnd w:id="24"/>
    </w:p>
    <w:p w14:paraId="46A7C399" w14:textId="2C1B82B9" w:rsidR="002970E3" w:rsidRPr="00B83411" w:rsidRDefault="006C2A62" w:rsidP="002970E3">
      <w:pPr>
        <w:spacing w:after="120"/>
      </w:pPr>
      <w:r w:rsidRPr="00B83411">
        <w:t xml:space="preserve">Both the NOPTA and OIR websites scored much more positively than NEATS and NOPIMS. However, again, the lowest score item for the NOPTA website was </w:t>
      </w:r>
      <w:r w:rsidRPr="00B83411">
        <w:rPr>
          <w:i/>
          <w:iCs/>
        </w:rPr>
        <w:t>easy to find information</w:t>
      </w:r>
      <w:r w:rsidRPr="00B83411">
        <w:t xml:space="preserve"> with a 70% positive result. </w:t>
      </w:r>
      <w:r w:rsidR="002970E3" w:rsidRPr="00B83411">
        <w:t xml:space="preserve">Refer to </w:t>
      </w:r>
      <w:r w:rsidR="002970E3" w:rsidRPr="00B83411">
        <w:fldChar w:fldCharType="begin"/>
      </w:r>
      <w:r w:rsidR="002970E3" w:rsidRPr="00B83411">
        <w:instrText xml:space="preserve"> REF _Ref213320449 \h </w:instrText>
      </w:r>
      <w:r w:rsidR="002970E3" w:rsidRPr="00B83411">
        <w:fldChar w:fldCharType="separate"/>
      </w:r>
      <w:r w:rsidR="00907316" w:rsidRPr="00B83411">
        <w:t xml:space="preserve">Table </w:t>
      </w:r>
      <w:r w:rsidR="00907316">
        <w:rPr>
          <w:noProof/>
        </w:rPr>
        <w:t>12</w:t>
      </w:r>
      <w:r w:rsidR="002970E3" w:rsidRPr="00B83411">
        <w:fldChar w:fldCharType="end"/>
      </w:r>
      <w:r w:rsidR="002970E3" w:rsidRPr="00B83411">
        <w:t>.</w:t>
      </w:r>
    </w:p>
    <w:p w14:paraId="0076FD6E" w14:textId="28B15E66" w:rsidR="001D4613" w:rsidRPr="00B83411" w:rsidRDefault="002970E3" w:rsidP="002970E3">
      <w:pPr>
        <w:spacing w:after="240"/>
      </w:pPr>
      <w:r w:rsidRPr="00B83411">
        <w:t>Anecdotally, many professional people have considerable</w:t>
      </w:r>
      <w:r w:rsidR="002C1039" w:rsidRPr="00B83411">
        <w:t xml:space="preserve"> experience </w:t>
      </w:r>
      <w:r w:rsidRPr="00B83411">
        <w:t xml:space="preserve">in conducting internet searches and using a range of applications, so they have considerable experience </w:t>
      </w:r>
      <w:r w:rsidR="002C1039" w:rsidRPr="00B83411">
        <w:t xml:space="preserve">to draw from </w:t>
      </w:r>
      <w:r w:rsidRPr="00B83411">
        <w:t xml:space="preserve">and compare. </w:t>
      </w:r>
      <w:r w:rsidR="001D2F0C" w:rsidRPr="00B83411">
        <w:t>Professionals</w:t>
      </w:r>
      <w:r w:rsidRPr="00B83411">
        <w:t xml:space="preserve"> also have </w:t>
      </w:r>
      <w:r w:rsidR="002C1039" w:rsidRPr="00B83411">
        <w:t xml:space="preserve">relatively high expectations of search functions. When a website doesn’t work as fast or as well as </w:t>
      </w:r>
      <w:r w:rsidR="001D2F0C" w:rsidRPr="00B83411">
        <w:t xml:space="preserve">familiar search engines </w:t>
      </w:r>
      <w:r w:rsidR="00144333" w:rsidRPr="00B83411">
        <w:t>and browsers</w:t>
      </w:r>
      <w:r w:rsidR="002C1039" w:rsidRPr="00B83411">
        <w:t xml:space="preserve">, a user </w:t>
      </w:r>
      <w:r w:rsidRPr="00B83411">
        <w:t>may be</w:t>
      </w:r>
      <w:r w:rsidR="002C1039" w:rsidRPr="00B83411">
        <w:t xml:space="preserve"> somewhat disappointed.</w:t>
      </w:r>
    </w:p>
    <w:p w14:paraId="167E6239" w14:textId="3672BC7D" w:rsidR="00DF2A4F" w:rsidRPr="00B83411" w:rsidRDefault="001D4613" w:rsidP="001D4613">
      <w:pPr>
        <w:pStyle w:val="Caption"/>
      </w:pPr>
      <w:bookmarkStart w:id="25" w:name="_Ref213320449"/>
      <w:r w:rsidRPr="00B83411">
        <w:t xml:space="preserve">Table </w:t>
      </w:r>
      <w:r w:rsidR="00C32D47">
        <w:fldChar w:fldCharType="begin"/>
      </w:r>
      <w:r w:rsidR="00C32D47">
        <w:instrText xml:space="preserve"> SEQ Table \* ARABIC </w:instrText>
      </w:r>
      <w:r w:rsidR="00C32D47">
        <w:fldChar w:fldCharType="separate"/>
      </w:r>
      <w:r w:rsidR="00C350E2">
        <w:rPr>
          <w:noProof/>
        </w:rPr>
        <w:t>12</w:t>
      </w:r>
      <w:r w:rsidR="00C32D47">
        <w:fldChar w:fldCharType="end"/>
      </w:r>
      <w:bookmarkEnd w:id="25"/>
      <w:r w:rsidR="002C1039" w:rsidRPr="00B83411">
        <w:t>:</w:t>
      </w:r>
      <w:r w:rsidRPr="00B83411">
        <w:t xml:space="preserve"> Using NOPTA website</w:t>
      </w:r>
    </w:p>
    <w:tbl>
      <w:tblPr>
        <w:tblW w:w="5812" w:type="dxa"/>
        <w:tblLayout w:type="fixed"/>
        <w:tblLook w:val="0000" w:firstRow="0" w:lastRow="0" w:firstColumn="0" w:lastColumn="0" w:noHBand="0" w:noVBand="0"/>
      </w:tblPr>
      <w:tblGrid>
        <w:gridCol w:w="3544"/>
        <w:gridCol w:w="2268"/>
      </w:tblGrid>
      <w:tr w:rsidR="00143804" w:rsidRPr="00B83411" w14:paraId="54B69025" w14:textId="77777777" w:rsidTr="00AE1430">
        <w:trPr>
          <w:trHeight w:val="267"/>
          <w:tblHeader/>
        </w:trPr>
        <w:tc>
          <w:tcPr>
            <w:tcW w:w="3544" w:type="dxa"/>
            <w:shd w:val="clear" w:color="auto" w:fill="003366"/>
            <w:noWrap/>
            <w:vAlign w:val="center"/>
          </w:tcPr>
          <w:p w14:paraId="022EAF22" w14:textId="69035B0A" w:rsidR="00143804" w:rsidRPr="00B83411" w:rsidRDefault="00143804" w:rsidP="006C2A62">
            <w:pPr>
              <w:spacing w:before="60" w:after="60"/>
              <w:ind w:right="0"/>
              <w:rPr>
                <w:rFonts w:ascii="Arial" w:hAnsi="Arial"/>
                <w:b/>
                <w:bCs/>
                <w:color w:val="00376E"/>
              </w:rPr>
            </w:pPr>
            <w:r w:rsidRPr="00B83411">
              <w:rPr>
                <w:b/>
                <w:bCs/>
                <w:sz w:val="22"/>
                <w:szCs w:val="22"/>
              </w:rPr>
              <w:t>NOPTA website</w:t>
            </w:r>
            <w:r w:rsidR="001D4613" w:rsidRPr="00B83411">
              <w:rPr>
                <w:b/>
                <w:bCs/>
                <w:sz w:val="22"/>
                <w:szCs w:val="22"/>
              </w:rPr>
              <w:t xml:space="preserve"> dimensions</w:t>
            </w:r>
          </w:p>
        </w:tc>
        <w:tc>
          <w:tcPr>
            <w:tcW w:w="2268" w:type="dxa"/>
            <w:shd w:val="clear" w:color="auto" w:fill="003366"/>
            <w:vAlign w:val="center"/>
          </w:tcPr>
          <w:p w14:paraId="54016618" w14:textId="387EF9BD" w:rsidR="00143804" w:rsidRPr="00B83411" w:rsidRDefault="00143804" w:rsidP="006C2A62">
            <w:pPr>
              <w:spacing w:before="60" w:after="60"/>
              <w:ind w:right="30"/>
              <w:jc w:val="center"/>
              <w:rPr>
                <w:rFonts w:cs="Arial"/>
                <w:b/>
                <w:bCs/>
                <w:color w:val="FFFFFF"/>
              </w:rPr>
            </w:pPr>
            <w:r w:rsidRPr="00B83411">
              <w:rPr>
                <w:rFonts w:cs="Arial"/>
                <w:b/>
                <w:bCs/>
                <w:color w:val="FFFFFF"/>
                <w:sz w:val="22"/>
                <w:szCs w:val="22"/>
              </w:rPr>
              <w:t>% positive</w:t>
            </w:r>
            <w:r w:rsidR="00DF2A4F" w:rsidRPr="00B83411">
              <w:rPr>
                <w:rFonts w:cs="Arial"/>
                <w:b/>
                <w:bCs/>
                <w:color w:val="FFFFFF"/>
              </w:rPr>
              <w:br/>
            </w:r>
            <w:r w:rsidR="00DF2A4F" w:rsidRPr="00B83411">
              <w:rPr>
                <w:rFonts w:cs="Arial"/>
                <w:i/>
                <w:iCs/>
                <w:color w:val="FFFFFF"/>
              </w:rPr>
              <w:t>n=69</w:t>
            </w:r>
          </w:p>
        </w:tc>
      </w:tr>
      <w:tr w:rsidR="00D93A0B" w:rsidRPr="00B83411" w14:paraId="287C9D01" w14:textId="77777777" w:rsidTr="00AE1430">
        <w:trPr>
          <w:trHeight w:val="267"/>
        </w:trPr>
        <w:tc>
          <w:tcPr>
            <w:tcW w:w="3544" w:type="dxa"/>
            <w:noWrap/>
            <w:vAlign w:val="center"/>
          </w:tcPr>
          <w:p w14:paraId="7AC4BBB9" w14:textId="5F71D329" w:rsidR="00D93A0B" w:rsidRPr="00B83411" w:rsidRDefault="00D93A0B" w:rsidP="00D93A0B">
            <w:pPr>
              <w:spacing w:before="60" w:after="60"/>
              <w:ind w:right="0"/>
              <w:rPr>
                <w:rFonts w:cs="Arial"/>
                <w:color w:val="000000"/>
              </w:rPr>
            </w:pPr>
            <w:r w:rsidRPr="00B83411">
              <w:rPr>
                <w:rFonts w:cs="Arial"/>
                <w:color w:val="000000"/>
              </w:rPr>
              <w:t>Clear</w:t>
            </w:r>
          </w:p>
        </w:tc>
        <w:tc>
          <w:tcPr>
            <w:tcW w:w="2268" w:type="dxa"/>
            <w:vAlign w:val="bottom"/>
          </w:tcPr>
          <w:p w14:paraId="686291B4" w14:textId="77CF1F38" w:rsidR="00D93A0B" w:rsidRPr="00B83411" w:rsidRDefault="00D93A0B" w:rsidP="00D93A0B">
            <w:pPr>
              <w:spacing w:before="60" w:after="60"/>
              <w:ind w:right="0"/>
              <w:jc w:val="center"/>
            </w:pPr>
            <w:r w:rsidRPr="00B83411">
              <w:rPr>
                <w:rFonts w:cs="Arial"/>
              </w:rPr>
              <w:t>86</w:t>
            </w:r>
          </w:p>
        </w:tc>
      </w:tr>
      <w:tr w:rsidR="00D93A0B" w:rsidRPr="00B83411" w14:paraId="4BE3229D" w14:textId="77777777" w:rsidTr="00AE1430">
        <w:trPr>
          <w:trHeight w:val="267"/>
        </w:trPr>
        <w:tc>
          <w:tcPr>
            <w:tcW w:w="3544" w:type="dxa"/>
            <w:shd w:val="clear" w:color="auto" w:fill="D1D1D1"/>
            <w:noWrap/>
            <w:vAlign w:val="center"/>
          </w:tcPr>
          <w:p w14:paraId="4F9FF772" w14:textId="2A55FE8C" w:rsidR="00D93A0B" w:rsidRPr="00B83411" w:rsidRDefault="00D93A0B" w:rsidP="00D93A0B">
            <w:pPr>
              <w:spacing w:before="60" w:after="60"/>
              <w:ind w:right="0"/>
              <w:rPr>
                <w:rFonts w:cs="Arial"/>
                <w:color w:val="000000"/>
              </w:rPr>
            </w:pPr>
            <w:r w:rsidRPr="00B83411">
              <w:rPr>
                <w:rFonts w:cs="Arial"/>
                <w:color w:val="000000"/>
              </w:rPr>
              <w:t>Relevant</w:t>
            </w:r>
          </w:p>
        </w:tc>
        <w:tc>
          <w:tcPr>
            <w:tcW w:w="2268" w:type="dxa"/>
            <w:shd w:val="clear" w:color="auto" w:fill="D1D1D1"/>
            <w:vAlign w:val="bottom"/>
          </w:tcPr>
          <w:p w14:paraId="46E4A036" w14:textId="3872D7F0" w:rsidR="00D93A0B" w:rsidRPr="00B83411" w:rsidRDefault="00D93A0B" w:rsidP="00D93A0B">
            <w:pPr>
              <w:spacing w:before="60" w:after="60"/>
              <w:ind w:right="0"/>
              <w:jc w:val="center"/>
            </w:pPr>
            <w:r w:rsidRPr="00B83411">
              <w:rPr>
                <w:rFonts w:cs="Arial"/>
              </w:rPr>
              <w:t>96</w:t>
            </w:r>
          </w:p>
        </w:tc>
      </w:tr>
      <w:tr w:rsidR="00D93A0B" w:rsidRPr="00B83411" w14:paraId="09F2B953" w14:textId="77777777" w:rsidTr="00AE1430">
        <w:trPr>
          <w:trHeight w:val="267"/>
        </w:trPr>
        <w:tc>
          <w:tcPr>
            <w:tcW w:w="3544" w:type="dxa"/>
            <w:noWrap/>
            <w:vAlign w:val="center"/>
          </w:tcPr>
          <w:p w14:paraId="63B3C98F" w14:textId="34312206" w:rsidR="00D93A0B" w:rsidRPr="00B83411" w:rsidRDefault="00D93A0B" w:rsidP="00D93A0B">
            <w:pPr>
              <w:spacing w:before="60" w:after="60"/>
              <w:ind w:right="0"/>
            </w:pPr>
            <w:r w:rsidRPr="00B83411">
              <w:rPr>
                <w:rFonts w:cs="Arial"/>
                <w:color w:val="000000"/>
              </w:rPr>
              <w:t>Easy to find information</w:t>
            </w:r>
          </w:p>
        </w:tc>
        <w:tc>
          <w:tcPr>
            <w:tcW w:w="2268" w:type="dxa"/>
            <w:vAlign w:val="bottom"/>
          </w:tcPr>
          <w:p w14:paraId="03485BB4" w14:textId="3EDAF889" w:rsidR="00D93A0B" w:rsidRPr="00B83411" w:rsidRDefault="00D93A0B" w:rsidP="00D93A0B">
            <w:pPr>
              <w:spacing w:before="60" w:after="60"/>
              <w:ind w:right="0"/>
              <w:jc w:val="center"/>
            </w:pPr>
            <w:r w:rsidRPr="00B83411">
              <w:rPr>
                <w:rFonts w:cs="Arial"/>
              </w:rPr>
              <w:t>71</w:t>
            </w:r>
          </w:p>
        </w:tc>
      </w:tr>
      <w:tr w:rsidR="00D93A0B" w:rsidRPr="00B83411" w14:paraId="7DF9CC53" w14:textId="77777777" w:rsidTr="00AE1430">
        <w:trPr>
          <w:trHeight w:val="267"/>
        </w:trPr>
        <w:tc>
          <w:tcPr>
            <w:tcW w:w="3544" w:type="dxa"/>
            <w:shd w:val="clear" w:color="auto" w:fill="D1D1D1"/>
            <w:noWrap/>
            <w:vAlign w:val="center"/>
          </w:tcPr>
          <w:p w14:paraId="3FBC49B8" w14:textId="1814A52C" w:rsidR="00D93A0B" w:rsidRPr="00B83411" w:rsidRDefault="00D93A0B" w:rsidP="00D93A0B">
            <w:pPr>
              <w:spacing w:before="60" w:after="60"/>
              <w:ind w:right="0"/>
            </w:pPr>
            <w:r w:rsidRPr="00B83411">
              <w:rPr>
                <w:rFonts w:cs="Arial"/>
                <w:color w:val="000000"/>
              </w:rPr>
              <w:t>Concise</w:t>
            </w:r>
          </w:p>
        </w:tc>
        <w:tc>
          <w:tcPr>
            <w:tcW w:w="2268" w:type="dxa"/>
            <w:shd w:val="clear" w:color="auto" w:fill="D1D1D1"/>
            <w:vAlign w:val="bottom"/>
          </w:tcPr>
          <w:p w14:paraId="3564FAE4" w14:textId="7356625F" w:rsidR="00D93A0B" w:rsidRPr="00B83411" w:rsidRDefault="00D93A0B" w:rsidP="00D93A0B">
            <w:pPr>
              <w:spacing w:before="60" w:after="60"/>
              <w:ind w:right="0"/>
              <w:jc w:val="center"/>
            </w:pPr>
            <w:r w:rsidRPr="00B83411">
              <w:rPr>
                <w:rFonts w:cs="Arial"/>
              </w:rPr>
              <w:t>83</w:t>
            </w:r>
          </w:p>
        </w:tc>
      </w:tr>
      <w:tr w:rsidR="00D93A0B" w:rsidRPr="00B83411" w14:paraId="6C97A9D4" w14:textId="77777777" w:rsidTr="00AE1430">
        <w:trPr>
          <w:trHeight w:val="267"/>
        </w:trPr>
        <w:tc>
          <w:tcPr>
            <w:tcW w:w="3544" w:type="dxa"/>
            <w:tcBorders>
              <w:bottom w:val="single" w:sz="4" w:space="0" w:color="auto"/>
            </w:tcBorders>
            <w:noWrap/>
            <w:vAlign w:val="bottom"/>
          </w:tcPr>
          <w:p w14:paraId="1EDA2441" w14:textId="77777777" w:rsidR="00D93A0B" w:rsidRPr="00B83411" w:rsidRDefault="00D93A0B" w:rsidP="00D93A0B">
            <w:pPr>
              <w:spacing w:before="60" w:after="60"/>
              <w:ind w:right="0"/>
            </w:pPr>
            <w:r w:rsidRPr="00B83411">
              <w:rPr>
                <w:rFonts w:cs="Arial"/>
                <w:b/>
                <w:bCs/>
              </w:rPr>
              <w:t>Topic average</w:t>
            </w:r>
          </w:p>
        </w:tc>
        <w:tc>
          <w:tcPr>
            <w:tcW w:w="2268" w:type="dxa"/>
            <w:tcBorders>
              <w:bottom w:val="single" w:sz="4" w:space="0" w:color="auto"/>
            </w:tcBorders>
            <w:vAlign w:val="bottom"/>
          </w:tcPr>
          <w:p w14:paraId="31AD9E1E" w14:textId="6EEBE136" w:rsidR="00D93A0B" w:rsidRPr="00B83411" w:rsidRDefault="00D93A0B" w:rsidP="00D93A0B">
            <w:pPr>
              <w:spacing w:before="60" w:after="60"/>
              <w:ind w:right="0"/>
              <w:jc w:val="center"/>
              <w:rPr>
                <w:b/>
                <w:bCs/>
              </w:rPr>
            </w:pPr>
            <w:r w:rsidRPr="00B83411">
              <w:rPr>
                <w:rFonts w:cs="Arial"/>
                <w:b/>
                <w:bCs/>
              </w:rPr>
              <w:t>84</w:t>
            </w:r>
          </w:p>
        </w:tc>
      </w:tr>
    </w:tbl>
    <w:p w14:paraId="2D41BFD8" w14:textId="77777777" w:rsidR="00A9196A" w:rsidRDefault="00A9196A" w:rsidP="00EE69B4">
      <w:pPr>
        <w:spacing w:before="0"/>
      </w:pPr>
    </w:p>
    <w:p w14:paraId="2AA0F146" w14:textId="03094AC5" w:rsidR="0010222C" w:rsidRPr="00B83411" w:rsidRDefault="0010222C" w:rsidP="00015AAC">
      <w:pPr>
        <w:pStyle w:val="Caption"/>
      </w:pPr>
      <w:r>
        <w:t xml:space="preserve">Figure 10: Using the </w:t>
      </w:r>
      <w:r w:rsidR="007F64FA">
        <w:t xml:space="preserve">NOPTA </w:t>
      </w:r>
      <w:r w:rsidR="00015AAC">
        <w:t>website</w:t>
      </w:r>
    </w:p>
    <w:p w14:paraId="545585A9" w14:textId="0A9B02F8" w:rsidR="00D93A0B" w:rsidRPr="00B83411" w:rsidRDefault="00EE353B" w:rsidP="007D2133">
      <w:r w:rsidRPr="00B83411">
        <w:rPr>
          <w:b/>
          <w:bCs/>
          <w:noProof/>
        </w:rPr>
        <w:drawing>
          <wp:inline distT="0" distB="0" distL="0" distR="0" wp14:anchorId="77CD9757" wp14:editId="0D5A9C28">
            <wp:extent cx="5876925" cy="2647950"/>
            <wp:effectExtent l="0" t="0" r="0" b="0"/>
            <wp:docPr id="1017260590" name="Chart 1" descr="A chart showing the breakdown of answers to questions about using NOPTA’s website. Yellow and green cells constitute the % positive score, orange cells are sometimes poor / sometimes good (neutral response), blue responses are poor.&#10;">
              <a:extLst xmlns:a="http://schemas.openxmlformats.org/drawingml/2006/main">
                <a:ext uri="{FF2B5EF4-FFF2-40B4-BE49-F238E27FC236}">
                  <a16:creationId xmlns:a16="http://schemas.microsoft.com/office/drawing/2014/main" id="{2A8D565B-D2E2-317D-9106-1F3482C2D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A92954" w14:textId="77777777" w:rsidR="00EE69B4" w:rsidRPr="00B83411" w:rsidRDefault="00EE69B4">
      <w:pPr>
        <w:spacing w:before="0" w:line="240" w:lineRule="auto"/>
        <w:ind w:right="0"/>
        <w:rPr>
          <w:rFonts w:ascii="Arial" w:hAnsi="Arial"/>
          <w:color w:val="00376E"/>
          <w:sz w:val="28"/>
        </w:rPr>
      </w:pPr>
      <w:r w:rsidRPr="00B83411">
        <w:br w:type="page"/>
      </w:r>
    </w:p>
    <w:p w14:paraId="388E0EBF" w14:textId="23BA9314" w:rsidR="00D93A0B" w:rsidRPr="00B83411" w:rsidRDefault="00DF2A4F" w:rsidP="00DF2A4F">
      <w:pPr>
        <w:pStyle w:val="Heading2"/>
      </w:pPr>
      <w:bookmarkStart w:id="26" w:name="_Toc213926352"/>
      <w:r w:rsidRPr="00B83411">
        <w:t>OIR website</w:t>
      </w:r>
      <w:bookmarkEnd w:id="26"/>
    </w:p>
    <w:p w14:paraId="1387F71A" w14:textId="47A291C8" w:rsidR="001D4613" w:rsidRPr="00B83411" w:rsidRDefault="002C1039" w:rsidP="00EE69B4">
      <w:pPr>
        <w:spacing w:after="100" w:afterAutospacing="1"/>
      </w:pPr>
      <w:r w:rsidRPr="00B83411">
        <w:t xml:space="preserve">The OIR website score highly on all dimensions—an excellent result. However, note the considerably smaller sample size for this topic. </w:t>
      </w:r>
    </w:p>
    <w:p w14:paraId="21494CE0" w14:textId="64196B62" w:rsidR="00D93A0B" w:rsidRPr="00B83411" w:rsidRDefault="001D4613" w:rsidP="001D4613">
      <w:pPr>
        <w:pStyle w:val="Caption"/>
        <w:rPr>
          <w:sz w:val="22"/>
          <w:szCs w:val="22"/>
        </w:rPr>
      </w:pPr>
      <w:r w:rsidRPr="00B83411">
        <w:t xml:space="preserve">Table </w:t>
      </w:r>
      <w:r w:rsidR="00C32D47">
        <w:fldChar w:fldCharType="begin"/>
      </w:r>
      <w:r w:rsidR="00C32D47">
        <w:instrText xml:space="preserve"> SEQ Table \* ARABIC </w:instrText>
      </w:r>
      <w:r w:rsidR="00C32D47">
        <w:fldChar w:fldCharType="separate"/>
      </w:r>
      <w:r w:rsidR="00C350E2">
        <w:rPr>
          <w:noProof/>
        </w:rPr>
        <w:t>13</w:t>
      </w:r>
      <w:r w:rsidR="00C32D47">
        <w:fldChar w:fldCharType="end"/>
      </w:r>
      <w:r w:rsidRPr="00B83411">
        <w:t>: Using OIR website</w:t>
      </w:r>
    </w:p>
    <w:tbl>
      <w:tblPr>
        <w:tblW w:w="5812" w:type="dxa"/>
        <w:tblLayout w:type="fixed"/>
        <w:tblLook w:val="0000" w:firstRow="0" w:lastRow="0" w:firstColumn="0" w:lastColumn="0" w:noHBand="0" w:noVBand="0"/>
      </w:tblPr>
      <w:tblGrid>
        <w:gridCol w:w="3402"/>
        <w:gridCol w:w="2410"/>
      </w:tblGrid>
      <w:tr w:rsidR="00D93A0B" w:rsidRPr="00B83411" w14:paraId="1DB94120" w14:textId="77777777" w:rsidTr="00AE1430">
        <w:trPr>
          <w:trHeight w:val="267"/>
          <w:tblHeader/>
        </w:trPr>
        <w:tc>
          <w:tcPr>
            <w:tcW w:w="3402" w:type="dxa"/>
            <w:shd w:val="clear" w:color="auto" w:fill="003366"/>
            <w:noWrap/>
            <w:vAlign w:val="center"/>
          </w:tcPr>
          <w:p w14:paraId="1BFD5BC3" w14:textId="7F9B017D" w:rsidR="00D93A0B" w:rsidRPr="00B83411" w:rsidRDefault="00D93A0B" w:rsidP="002C1039">
            <w:pPr>
              <w:spacing w:before="60" w:after="60"/>
              <w:ind w:right="39"/>
              <w:rPr>
                <w:rFonts w:ascii="Arial" w:hAnsi="Arial"/>
                <w:b/>
                <w:bCs/>
                <w:color w:val="00376E"/>
                <w:sz w:val="22"/>
                <w:szCs w:val="22"/>
              </w:rPr>
            </w:pPr>
            <w:r w:rsidRPr="00B83411">
              <w:rPr>
                <w:b/>
                <w:bCs/>
                <w:sz w:val="22"/>
                <w:szCs w:val="22"/>
              </w:rPr>
              <w:t>OIR website</w:t>
            </w:r>
            <w:r w:rsidR="001D4613" w:rsidRPr="00B83411">
              <w:rPr>
                <w:b/>
                <w:bCs/>
                <w:sz w:val="22"/>
                <w:szCs w:val="22"/>
              </w:rPr>
              <w:t xml:space="preserve"> dimensions</w:t>
            </w:r>
          </w:p>
        </w:tc>
        <w:tc>
          <w:tcPr>
            <w:tcW w:w="2410" w:type="dxa"/>
            <w:shd w:val="clear" w:color="auto" w:fill="003366"/>
            <w:vAlign w:val="center"/>
          </w:tcPr>
          <w:p w14:paraId="61B5FD0A" w14:textId="4E6D1479" w:rsidR="00D93A0B" w:rsidRPr="00B83411" w:rsidRDefault="00D93A0B" w:rsidP="002C1039">
            <w:pPr>
              <w:spacing w:before="60" w:after="60"/>
              <w:ind w:right="-112"/>
              <w:jc w:val="center"/>
              <w:rPr>
                <w:rFonts w:cs="Arial"/>
                <w:b/>
                <w:bCs/>
                <w:color w:val="FFFFFF"/>
                <w:sz w:val="22"/>
                <w:szCs w:val="22"/>
              </w:rPr>
            </w:pPr>
            <w:r w:rsidRPr="00B83411">
              <w:rPr>
                <w:rFonts w:cs="Arial"/>
                <w:b/>
                <w:bCs/>
                <w:color w:val="FFFFFF"/>
                <w:sz w:val="22"/>
                <w:szCs w:val="22"/>
              </w:rPr>
              <w:t>% positive</w:t>
            </w:r>
            <w:r w:rsidR="00DF2A4F" w:rsidRPr="00B83411">
              <w:rPr>
                <w:rFonts w:cs="Arial"/>
                <w:b/>
                <w:bCs/>
                <w:color w:val="FFFFFF"/>
                <w:sz w:val="22"/>
                <w:szCs w:val="22"/>
              </w:rPr>
              <w:br/>
            </w:r>
            <w:r w:rsidR="00DF2A4F" w:rsidRPr="00B83411">
              <w:rPr>
                <w:rFonts w:cs="Arial"/>
                <w:i/>
                <w:iCs/>
                <w:color w:val="FFFFFF"/>
              </w:rPr>
              <w:t>n=21</w:t>
            </w:r>
          </w:p>
        </w:tc>
      </w:tr>
      <w:tr w:rsidR="00D93A0B" w:rsidRPr="00B83411" w14:paraId="61176C50" w14:textId="77777777" w:rsidTr="00AE1430">
        <w:trPr>
          <w:trHeight w:val="267"/>
        </w:trPr>
        <w:tc>
          <w:tcPr>
            <w:tcW w:w="3402" w:type="dxa"/>
            <w:noWrap/>
            <w:vAlign w:val="center"/>
          </w:tcPr>
          <w:p w14:paraId="67042FF4" w14:textId="77777777" w:rsidR="00D93A0B" w:rsidRPr="00B83411" w:rsidRDefault="00D93A0B" w:rsidP="00D93A0B">
            <w:pPr>
              <w:spacing w:before="60" w:after="60"/>
              <w:ind w:right="0"/>
              <w:rPr>
                <w:rFonts w:cs="Arial"/>
                <w:color w:val="000000"/>
              </w:rPr>
            </w:pPr>
            <w:r w:rsidRPr="00B83411">
              <w:rPr>
                <w:rFonts w:cs="Arial"/>
                <w:color w:val="000000"/>
              </w:rPr>
              <w:t>Clear</w:t>
            </w:r>
          </w:p>
        </w:tc>
        <w:tc>
          <w:tcPr>
            <w:tcW w:w="2410" w:type="dxa"/>
            <w:vAlign w:val="bottom"/>
          </w:tcPr>
          <w:p w14:paraId="26B0A0D9" w14:textId="5C39030D" w:rsidR="00D93A0B" w:rsidRPr="00B83411" w:rsidRDefault="00D93A0B" w:rsidP="00D93A0B">
            <w:pPr>
              <w:spacing w:before="60" w:after="60"/>
              <w:ind w:right="0"/>
              <w:jc w:val="center"/>
            </w:pPr>
            <w:r w:rsidRPr="00B83411">
              <w:rPr>
                <w:rFonts w:cs="Arial"/>
              </w:rPr>
              <w:t>90</w:t>
            </w:r>
          </w:p>
        </w:tc>
      </w:tr>
      <w:tr w:rsidR="00D93A0B" w:rsidRPr="00B83411" w14:paraId="66545348" w14:textId="77777777" w:rsidTr="00AE1430">
        <w:trPr>
          <w:trHeight w:val="267"/>
        </w:trPr>
        <w:tc>
          <w:tcPr>
            <w:tcW w:w="3402" w:type="dxa"/>
            <w:shd w:val="clear" w:color="auto" w:fill="D1D1D1"/>
            <w:noWrap/>
            <w:vAlign w:val="center"/>
          </w:tcPr>
          <w:p w14:paraId="5AA31DD7" w14:textId="77777777" w:rsidR="00D93A0B" w:rsidRPr="00B83411" w:rsidRDefault="00D93A0B" w:rsidP="00D93A0B">
            <w:pPr>
              <w:spacing w:before="60" w:after="60"/>
              <w:ind w:right="0"/>
              <w:rPr>
                <w:rFonts w:cs="Arial"/>
                <w:color w:val="000000"/>
              </w:rPr>
            </w:pPr>
            <w:r w:rsidRPr="00B83411">
              <w:rPr>
                <w:rFonts w:cs="Arial"/>
                <w:color w:val="000000"/>
              </w:rPr>
              <w:t>Relevant</w:t>
            </w:r>
          </w:p>
        </w:tc>
        <w:tc>
          <w:tcPr>
            <w:tcW w:w="2410" w:type="dxa"/>
            <w:shd w:val="clear" w:color="auto" w:fill="D1D1D1"/>
            <w:vAlign w:val="bottom"/>
          </w:tcPr>
          <w:p w14:paraId="3EBCA6B5" w14:textId="60BEC639" w:rsidR="00D93A0B" w:rsidRPr="00B83411" w:rsidRDefault="00D93A0B" w:rsidP="00D93A0B">
            <w:pPr>
              <w:spacing w:before="60" w:after="60"/>
              <w:ind w:right="0"/>
              <w:jc w:val="center"/>
            </w:pPr>
            <w:r w:rsidRPr="00B83411">
              <w:rPr>
                <w:rFonts w:cs="Arial"/>
              </w:rPr>
              <w:t>90</w:t>
            </w:r>
          </w:p>
        </w:tc>
      </w:tr>
      <w:tr w:rsidR="00D93A0B" w:rsidRPr="00B83411" w14:paraId="528A4133" w14:textId="77777777" w:rsidTr="00AE1430">
        <w:trPr>
          <w:trHeight w:val="267"/>
        </w:trPr>
        <w:tc>
          <w:tcPr>
            <w:tcW w:w="3402" w:type="dxa"/>
            <w:noWrap/>
            <w:vAlign w:val="center"/>
          </w:tcPr>
          <w:p w14:paraId="4C0BCFB7" w14:textId="77777777" w:rsidR="00D93A0B" w:rsidRPr="00B83411" w:rsidRDefault="00D93A0B" w:rsidP="00D93A0B">
            <w:pPr>
              <w:spacing w:before="60" w:after="60"/>
              <w:ind w:right="0"/>
            </w:pPr>
            <w:r w:rsidRPr="00B83411">
              <w:rPr>
                <w:rFonts w:cs="Arial"/>
                <w:color w:val="000000"/>
              </w:rPr>
              <w:t>Easy to find information</w:t>
            </w:r>
          </w:p>
        </w:tc>
        <w:tc>
          <w:tcPr>
            <w:tcW w:w="2410" w:type="dxa"/>
            <w:vAlign w:val="bottom"/>
          </w:tcPr>
          <w:p w14:paraId="7C2C8228" w14:textId="272F511A" w:rsidR="00D93A0B" w:rsidRPr="00B83411" w:rsidRDefault="00D93A0B" w:rsidP="00D93A0B">
            <w:pPr>
              <w:spacing w:before="60" w:after="60"/>
              <w:ind w:right="0"/>
              <w:jc w:val="center"/>
            </w:pPr>
            <w:r w:rsidRPr="00B83411">
              <w:rPr>
                <w:rFonts w:cs="Arial"/>
              </w:rPr>
              <w:t>90</w:t>
            </w:r>
          </w:p>
        </w:tc>
      </w:tr>
      <w:tr w:rsidR="00D93A0B" w:rsidRPr="00B83411" w14:paraId="76D69E2E" w14:textId="77777777" w:rsidTr="00AE1430">
        <w:trPr>
          <w:trHeight w:val="267"/>
        </w:trPr>
        <w:tc>
          <w:tcPr>
            <w:tcW w:w="3402" w:type="dxa"/>
            <w:shd w:val="clear" w:color="auto" w:fill="D1D1D1"/>
            <w:noWrap/>
            <w:vAlign w:val="center"/>
          </w:tcPr>
          <w:p w14:paraId="1CF4275B" w14:textId="77777777" w:rsidR="00D93A0B" w:rsidRPr="00B83411" w:rsidRDefault="00D93A0B" w:rsidP="00D93A0B">
            <w:pPr>
              <w:spacing w:before="60" w:after="60"/>
              <w:ind w:right="0"/>
            </w:pPr>
            <w:r w:rsidRPr="00B83411">
              <w:rPr>
                <w:rFonts w:cs="Arial"/>
                <w:color w:val="000000"/>
              </w:rPr>
              <w:t>Concise</w:t>
            </w:r>
          </w:p>
        </w:tc>
        <w:tc>
          <w:tcPr>
            <w:tcW w:w="2410" w:type="dxa"/>
            <w:shd w:val="clear" w:color="auto" w:fill="D1D1D1"/>
            <w:vAlign w:val="bottom"/>
          </w:tcPr>
          <w:p w14:paraId="5D96A220" w14:textId="0B7860DB" w:rsidR="00D93A0B" w:rsidRPr="00B83411" w:rsidRDefault="00D93A0B" w:rsidP="00D93A0B">
            <w:pPr>
              <w:spacing w:before="60" w:after="60"/>
              <w:ind w:right="0"/>
              <w:jc w:val="center"/>
            </w:pPr>
            <w:r w:rsidRPr="00B83411">
              <w:rPr>
                <w:rFonts w:cs="Arial"/>
              </w:rPr>
              <w:t>90</w:t>
            </w:r>
          </w:p>
        </w:tc>
      </w:tr>
      <w:tr w:rsidR="00D93A0B" w:rsidRPr="00B83411" w14:paraId="2740240F" w14:textId="77777777" w:rsidTr="00AE1430">
        <w:trPr>
          <w:trHeight w:val="267"/>
        </w:trPr>
        <w:tc>
          <w:tcPr>
            <w:tcW w:w="3402" w:type="dxa"/>
            <w:tcBorders>
              <w:bottom w:val="single" w:sz="4" w:space="0" w:color="auto"/>
            </w:tcBorders>
            <w:noWrap/>
            <w:vAlign w:val="bottom"/>
          </w:tcPr>
          <w:p w14:paraId="227F54E1" w14:textId="77777777" w:rsidR="00D93A0B" w:rsidRPr="00B83411" w:rsidRDefault="00D93A0B" w:rsidP="00D93A0B">
            <w:pPr>
              <w:spacing w:before="60" w:after="60"/>
              <w:ind w:right="0"/>
            </w:pPr>
            <w:r w:rsidRPr="00B83411">
              <w:rPr>
                <w:rFonts w:cs="Arial"/>
                <w:b/>
                <w:bCs/>
              </w:rPr>
              <w:t>Topic average</w:t>
            </w:r>
          </w:p>
        </w:tc>
        <w:tc>
          <w:tcPr>
            <w:tcW w:w="2410" w:type="dxa"/>
            <w:tcBorders>
              <w:bottom w:val="single" w:sz="4" w:space="0" w:color="auto"/>
            </w:tcBorders>
            <w:vAlign w:val="bottom"/>
          </w:tcPr>
          <w:p w14:paraId="09E8137C" w14:textId="3B712AAF" w:rsidR="00D93A0B" w:rsidRPr="00B83411" w:rsidRDefault="00D93A0B" w:rsidP="00D93A0B">
            <w:pPr>
              <w:spacing w:before="60" w:after="60"/>
              <w:ind w:right="0"/>
              <w:jc w:val="center"/>
              <w:rPr>
                <w:b/>
                <w:bCs/>
              </w:rPr>
            </w:pPr>
            <w:r w:rsidRPr="00B83411">
              <w:rPr>
                <w:rFonts w:cs="Arial"/>
                <w:b/>
                <w:bCs/>
              </w:rPr>
              <w:t>90</w:t>
            </w:r>
          </w:p>
        </w:tc>
      </w:tr>
    </w:tbl>
    <w:p w14:paraId="7C6F0B42" w14:textId="77777777" w:rsidR="00A9196A" w:rsidRDefault="00A9196A" w:rsidP="00EE69B4">
      <w:pPr>
        <w:spacing w:before="0"/>
      </w:pPr>
    </w:p>
    <w:p w14:paraId="0736A304" w14:textId="5ED9AC3F" w:rsidR="003422C3" w:rsidRPr="0010222C" w:rsidRDefault="003422C3" w:rsidP="0010222C">
      <w:pPr>
        <w:pStyle w:val="Caption"/>
      </w:pPr>
      <w:r w:rsidRPr="0010222C">
        <w:t xml:space="preserve">Figure 11: </w:t>
      </w:r>
      <w:r w:rsidR="002972DF" w:rsidRPr="0010222C">
        <w:t xml:space="preserve">Using the </w:t>
      </w:r>
      <w:r w:rsidR="00552372">
        <w:t xml:space="preserve">OIR’s </w:t>
      </w:r>
      <w:r w:rsidR="002972DF" w:rsidRPr="0010222C">
        <w:t>website</w:t>
      </w:r>
    </w:p>
    <w:p w14:paraId="3AB956F9" w14:textId="56E28F8E" w:rsidR="00A9196A" w:rsidRPr="00B83411" w:rsidRDefault="00AE1859" w:rsidP="007D2133">
      <w:r w:rsidRPr="00B83411">
        <w:rPr>
          <w:noProof/>
        </w:rPr>
        <w:drawing>
          <wp:inline distT="0" distB="0" distL="0" distR="0" wp14:anchorId="4CAA2881" wp14:editId="7B35B8CE">
            <wp:extent cx="5904000" cy="2649600"/>
            <wp:effectExtent l="0" t="0" r="1905" b="0"/>
            <wp:docPr id="685394066" name="Chart 1" descr="A chart showing the breakdown of answers to quesitons about using the Offshore Infrastructure Registrar's website. Yellow and green cells constitute the % positive score, orange cells are sometimes poor / sometimes good (neutral response), blue responses are poor.&#10;">
              <a:extLst xmlns:a="http://schemas.openxmlformats.org/drawingml/2006/main">
                <a:ext uri="{FF2B5EF4-FFF2-40B4-BE49-F238E27FC236}">
                  <a16:creationId xmlns:a16="http://schemas.microsoft.com/office/drawing/2014/main" id="{DA283B73-4769-1AD9-8B63-010B666A6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1AEC9A" w14:textId="6FF39B8C" w:rsidR="00135B0F" w:rsidRPr="00B83411" w:rsidRDefault="00135B0F">
      <w:pPr>
        <w:spacing w:before="0" w:line="240" w:lineRule="auto"/>
        <w:ind w:right="0"/>
      </w:pPr>
      <w:r w:rsidRPr="00B83411">
        <w:br w:type="page"/>
      </w:r>
    </w:p>
    <w:p w14:paraId="6FA32E43" w14:textId="3A8291D6" w:rsidR="00135B0F" w:rsidRPr="00B83411" w:rsidRDefault="00EE74B9" w:rsidP="00EE74B9">
      <w:pPr>
        <w:pStyle w:val="Heading2"/>
      </w:pPr>
      <w:bookmarkStart w:id="27" w:name="_Toc213926353"/>
      <w:r w:rsidRPr="00B83411">
        <w:t>Differences in level of interaction</w:t>
      </w:r>
      <w:bookmarkEnd w:id="27"/>
    </w:p>
    <w:p w14:paraId="149035D3" w14:textId="3E3977A7" w:rsidR="00EE74B9" w:rsidRPr="00B83411" w:rsidRDefault="00CD174B" w:rsidP="00EE74B9">
      <w:r w:rsidRPr="00B83411">
        <w:t xml:space="preserve">Each set of answers for digital applications / platforms were analysed by role, level of interaction and industry. Interactions was the only sub-group that had clear differences about digital experiences. </w:t>
      </w:r>
      <w:r w:rsidR="00E47AD7" w:rsidRPr="00B83411">
        <w:t xml:space="preserve">The level of interactions n counts in the column headings of </w:t>
      </w:r>
      <w:r w:rsidR="00E47AD7" w:rsidRPr="00B83411">
        <w:fldChar w:fldCharType="begin"/>
      </w:r>
      <w:r w:rsidR="00E47AD7" w:rsidRPr="00B83411">
        <w:instrText xml:space="preserve"> REF _Ref213239913 \h </w:instrText>
      </w:r>
      <w:r w:rsidR="00E47AD7" w:rsidRPr="00B83411">
        <w:fldChar w:fldCharType="separate"/>
      </w:r>
      <w:r w:rsidR="00A8651D" w:rsidRPr="00B83411">
        <w:t xml:space="preserve">Table </w:t>
      </w:r>
      <w:r w:rsidR="00A8651D">
        <w:rPr>
          <w:noProof/>
        </w:rPr>
        <w:t>14</w:t>
      </w:r>
      <w:r w:rsidR="00E47AD7" w:rsidRPr="00B83411">
        <w:fldChar w:fldCharType="end"/>
      </w:r>
      <w:r w:rsidR="00E47AD7" w:rsidRPr="00B83411">
        <w:t xml:space="preserve"> below refer to the maximum possible number of respondents that could have been in either category.</w:t>
      </w:r>
    </w:p>
    <w:p w14:paraId="41533A5B" w14:textId="5F650690" w:rsidR="00E47AD7" w:rsidRPr="00B83411" w:rsidRDefault="00E47AD7" w:rsidP="006741B3">
      <w:pPr>
        <w:spacing w:after="240"/>
      </w:pPr>
      <w:r w:rsidRPr="00B83411">
        <w:t>As a general pattern, but not universal, respondents who had more than 10 interactions with NOPTA / OIR tended to rate systems and platforms lower than those with fewer interactions. The most notable differences</w:t>
      </w:r>
      <w:r w:rsidR="00AE1859" w:rsidRPr="00B83411">
        <w:t xml:space="preserve"> (20% difference or higher)</w:t>
      </w:r>
      <w:r w:rsidR="006741B3" w:rsidRPr="00B83411">
        <w:t xml:space="preserve"> </w:t>
      </w:r>
      <w:r w:rsidRPr="00B83411">
        <w:t>were for NOPIMS</w:t>
      </w:r>
      <w:r w:rsidR="006741B3" w:rsidRPr="00B83411">
        <w:t xml:space="preserve">. </w:t>
      </w:r>
      <w:r w:rsidR="002970E3" w:rsidRPr="00B83411">
        <w:t xml:space="preserve">Refer to the </w:t>
      </w:r>
      <w:r w:rsidR="002970E3" w:rsidRPr="00B83411">
        <w:rPr>
          <w:shd w:val="clear" w:color="auto" w:fill="B6DDE8" w:themeFill="accent5" w:themeFillTint="66"/>
        </w:rPr>
        <w:t>blue</w:t>
      </w:r>
      <w:r w:rsidR="002970E3" w:rsidRPr="00B83411">
        <w:t xml:space="preserve"> highlight in the table below. NOPIMS</w:t>
      </w:r>
      <w:r w:rsidRPr="00B83411">
        <w:t xml:space="preserve"> received the lowest scores</w:t>
      </w:r>
      <w:r w:rsidR="006741B3" w:rsidRPr="00B83411">
        <w:t xml:space="preserve"> on all dimensions</w:t>
      </w:r>
      <w:r w:rsidRPr="00B83411">
        <w:t xml:space="preserve"> for all application / platforms surveyed.</w:t>
      </w:r>
      <w:r w:rsidR="006741B3" w:rsidRPr="00B83411">
        <w:t xml:space="preserve"> It is likely that those who had more experience with the application more clearly understood its limitations.</w:t>
      </w:r>
    </w:p>
    <w:p w14:paraId="28914D31" w14:textId="3DB00E78" w:rsidR="00EE74B9" w:rsidRPr="00B83411" w:rsidRDefault="00EE74B9" w:rsidP="00EE74B9">
      <w:pPr>
        <w:pStyle w:val="Caption"/>
      </w:pPr>
      <w:bookmarkStart w:id="28" w:name="_Ref213239913"/>
      <w:r w:rsidRPr="00B83411">
        <w:t xml:space="preserve">Table </w:t>
      </w:r>
      <w:r w:rsidR="00C32D47">
        <w:fldChar w:fldCharType="begin"/>
      </w:r>
      <w:r w:rsidR="00C32D47">
        <w:instrText xml:space="preserve"> SEQ Table \* ARABIC </w:instrText>
      </w:r>
      <w:r w:rsidR="00C32D47">
        <w:fldChar w:fldCharType="separate"/>
      </w:r>
      <w:r w:rsidR="00C350E2">
        <w:rPr>
          <w:noProof/>
        </w:rPr>
        <w:t>14</w:t>
      </w:r>
      <w:r w:rsidR="00C32D47">
        <w:fldChar w:fldCharType="end"/>
      </w:r>
      <w:bookmarkEnd w:id="28"/>
      <w:r w:rsidRPr="00B83411">
        <w:t>: Digital application / platform by level of interaction with Administrator / Registrar</w:t>
      </w:r>
    </w:p>
    <w:tbl>
      <w:tblPr>
        <w:tblW w:w="8364" w:type="dxa"/>
        <w:tblLook w:val="04A0" w:firstRow="1" w:lastRow="0" w:firstColumn="1" w:lastColumn="0" w:noHBand="0" w:noVBand="1"/>
      </w:tblPr>
      <w:tblGrid>
        <w:gridCol w:w="4535"/>
        <w:gridCol w:w="1342"/>
        <w:gridCol w:w="1353"/>
        <w:gridCol w:w="1134"/>
      </w:tblGrid>
      <w:tr w:rsidR="00135B0F" w:rsidRPr="00B83411" w14:paraId="4DAD8625" w14:textId="77777777" w:rsidTr="00135B0F">
        <w:trPr>
          <w:trHeight w:val="300"/>
        </w:trPr>
        <w:tc>
          <w:tcPr>
            <w:tcW w:w="4535" w:type="dxa"/>
            <w:tcBorders>
              <w:top w:val="nil"/>
              <w:left w:val="nil"/>
              <w:bottom w:val="single" w:sz="4" w:space="0" w:color="002855"/>
              <w:right w:val="nil"/>
            </w:tcBorders>
            <w:shd w:val="clear" w:color="auto" w:fill="003366"/>
            <w:noWrap/>
            <w:vAlign w:val="center"/>
          </w:tcPr>
          <w:p w14:paraId="426C59DD" w14:textId="12A7E166" w:rsidR="00135B0F" w:rsidRPr="00B83411" w:rsidRDefault="00EE74B9" w:rsidP="00135B0F">
            <w:pPr>
              <w:spacing w:before="60" w:after="60" w:line="240" w:lineRule="auto"/>
              <w:ind w:right="0"/>
              <w:rPr>
                <w:rFonts w:eastAsia="Times New Roman" w:cs="Arial"/>
                <w:b/>
                <w:bCs/>
                <w:color w:val="FFFFFF" w:themeColor="background1"/>
                <w:sz w:val="22"/>
                <w:szCs w:val="22"/>
                <w:lang w:eastAsia="en-AU"/>
              </w:rPr>
            </w:pPr>
            <w:r w:rsidRPr="00B83411">
              <w:rPr>
                <w:rFonts w:eastAsia="Times New Roman" w:cs="Arial"/>
                <w:b/>
                <w:bCs/>
                <w:color w:val="FFFFFF" w:themeColor="background1"/>
                <w:sz w:val="22"/>
                <w:szCs w:val="22"/>
                <w:lang w:eastAsia="en-AU"/>
              </w:rPr>
              <w:t>Application / platform</w:t>
            </w:r>
          </w:p>
        </w:tc>
        <w:tc>
          <w:tcPr>
            <w:tcW w:w="1342" w:type="dxa"/>
            <w:tcBorders>
              <w:top w:val="nil"/>
              <w:left w:val="nil"/>
              <w:bottom w:val="single" w:sz="4" w:space="0" w:color="002855"/>
              <w:right w:val="nil"/>
            </w:tcBorders>
            <w:shd w:val="clear" w:color="auto" w:fill="003366"/>
            <w:noWrap/>
            <w:vAlign w:val="center"/>
          </w:tcPr>
          <w:p w14:paraId="51C0506C" w14:textId="40BA5A12" w:rsidR="00135B0F" w:rsidRPr="00B83411" w:rsidRDefault="00135B0F" w:rsidP="00135B0F">
            <w:pPr>
              <w:spacing w:before="60" w:after="60" w:line="240" w:lineRule="auto"/>
              <w:ind w:right="0"/>
              <w:jc w:val="center"/>
              <w:rPr>
                <w:rFonts w:eastAsia="Times New Roman" w:cs="Arial"/>
                <w:b/>
                <w:bCs/>
                <w:color w:val="FFFFFF" w:themeColor="background1"/>
                <w:lang w:eastAsia="en-AU"/>
              </w:rPr>
            </w:pPr>
            <w:r w:rsidRPr="00B83411">
              <w:rPr>
                <w:rFonts w:eastAsia="Times New Roman" w:cs="Arial"/>
                <w:b/>
                <w:bCs/>
                <w:color w:val="FFFFFF" w:themeColor="background1"/>
                <w:lang w:eastAsia="en-AU"/>
              </w:rPr>
              <w:t>Less than 10 interactions</w:t>
            </w:r>
            <w:r w:rsidR="00E47AD7" w:rsidRPr="00B83411">
              <w:rPr>
                <w:rFonts w:eastAsia="Times New Roman" w:cs="Arial"/>
                <w:b/>
                <w:bCs/>
                <w:color w:val="FFFFFF" w:themeColor="background1"/>
                <w:lang w:eastAsia="en-AU"/>
              </w:rPr>
              <w:br/>
            </w:r>
            <w:r w:rsidR="00E47AD7" w:rsidRPr="00B83411">
              <w:rPr>
                <w:rFonts w:eastAsia="Times New Roman" w:cs="Arial"/>
                <w:i/>
                <w:iCs/>
                <w:color w:val="FFFFFF" w:themeColor="background1"/>
                <w:lang w:eastAsia="en-AU"/>
              </w:rPr>
              <w:t>n=34 max</w:t>
            </w:r>
          </w:p>
        </w:tc>
        <w:tc>
          <w:tcPr>
            <w:tcW w:w="1353" w:type="dxa"/>
            <w:tcBorders>
              <w:top w:val="nil"/>
              <w:left w:val="nil"/>
              <w:bottom w:val="single" w:sz="4" w:space="0" w:color="002855"/>
              <w:right w:val="nil"/>
            </w:tcBorders>
            <w:shd w:val="clear" w:color="auto" w:fill="003366"/>
            <w:noWrap/>
            <w:vAlign w:val="center"/>
          </w:tcPr>
          <w:p w14:paraId="59DA109B" w14:textId="6ABDFD73" w:rsidR="00135B0F" w:rsidRPr="00B83411" w:rsidRDefault="00135B0F" w:rsidP="00135B0F">
            <w:pPr>
              <w:spacing w:before="60" w:after="60" w:line="240" w:lineRule="auto"/>
              <w:ind w:right="0"/>
              <w:jc w:val="center"/>
              <w:rPr>
                <w:rFonts w:eastAsia="Times New Roman" w:cs="Arial"/>
                <w:b/>
                <w:bCs/>
                <w:color w:val="FFFFFF" w:themeColor="background1"/>
                <w:lang w:eastAsia="en-AU"/>
              </w:rPr>
            </w:pPr>
            <w:r w:rsidRPr="00B83411">
              <w:rPr>
                <w:rFonts w:eastAsia="Times New Roman" w:cs="Arial"/>
                <w:b/>
                <w:bCs/>
                <w:color w:val="FFFFFF" w:themeColor="background1"/>
                <w:lang w:eastAsia="en-AU"/>
              </w:rPr>
              <w:t>More than 10 interactions</w:t>
            </w:r>
            <w:r w:rsidR="00E47AD7" w:rsidRPr="00B83411">
              <w:rPr>
                <w:rFonts w:eastAsia="Times New Roman" w:cs="Arial"/>
                <w:b/>
                <w:bCs/>
                <w:color w:val="FFFFFF" w:themeColor="background1"/>
                <w:lang w:eastAsia="en-AU"/>
              </w:rPr>
              <w:br/>
            </w:r>
            <w:r w:rsidR="00E47AD7" w:rsidRPr="00B83411">
              <w:rPr>
                <w:rFonts w:eastAsia="Times New Roman" w:cs="Arial"/>
                <w:i/>
                <w:iCs/>
                <w:color w:val="FFFFFF" w:themeColor="background1"/>
                <w:lang w:eastAsia="en-AU"/>
              </w:rPr>
              <w:t>n=50 max</w:t>
            </w:r>
          </w:p>
        </w:tc>
        <w:tc>
          <w:tcPr>
            <w:tcW w:w="1134" w:type="dxa"/>
            <w:tcBorders>
              <w:top w:val="nil"/>
              <w:left w:val="nil"/>
              <w:bottom w:val="single" w:sz="4" w:space="0" w:color="002855"/>
              <w:right w:val="nil"/>
            </w:tcBorders>
            <w:shd w:val="clear" w:color="auto" w:fill="003366"/>
            <w:noWrap/>
            <w:vAlign w:val="center"/>
          </w:tcPr>
          <w:p w14:paraId="1DBBEE31" w14:textId="3A4E4F8B" w:rsidR="00135B0F" w:rsidRPr="00B83411" w:rsidRDefault="00135B0F" w:rsidP="00135B0F">
            <w:pPr>
              <w:spacing w:before="60" w:after="60" w:line="240" w:lineRule="auto"/>
              <w:ind w:right="0"/>
              <w:jc w:val="center"/>
              <w:rPr>
                <w:rFonts w:eastAsia="Times New Roman" w:cs="Arial"/>
                <w:b/>
                <w:bCs/>
                <w:color w:val="FFFFFF" w:themeColor="background1"/>
                <w:lang w:eastAsia="en-AU"/>
              </w:rPr>
            </w:pPr>
            <w:r w:rsidRPr="00B83411">
              <w:rPr>
                <w:rFonts w:eastAsia="Times New Roman" w:cs="Arial"/>
                <w:b/>
                <w:bCs/>
                <w:color w:val="FFFFFF" w:themeColor="background1"/>
                <w:lang w:eastAsia="en-AU"/>
              </w:rPr>
              <w:t>Total</w:t>
            </w:r>
          </w:p>
        </w:tc>
      </w:tr>
      <w:tr w:rsidR="00AE1859" w:rsidRPr="00B83411" w14:paraId="7925C4A7"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19D4D28F" w14:textId="1BA341A0" w:rsidR="00AE1859" w:rsidRPr="00B83411" w:rsidRDefault="00AE1859" w:rsidP="00AE1859">
            <w:pPr>
              <w:spacing w:before="60" w:after="60" w:line="240" w:lineRule="auto"/>
              <w:ind w:right="0"/>
              <w:rPr>
                <w:rFonts w:eastAsia="Times New Roman" w:cs="Arial"/>
                <w:b/>
                <w:bCs/>
                <w:color w:val="000000"/>
                <w:lang w:eastAsia="en-AU"/>
              </w:rPr>
            </w:pPr>
            <w:r w:rsidRPr="00B83411">
              <w:rPr>
                <w:rFonts w:eastAsia="Times New Roman" w:cs="Arial"/>
                <w:b/>
                <w:bCs/>
                <w:color w:val="000000"/>
                <w:lang w:eastAsia="en-AU"/>
              </w:rPr>
              <w:t xml:space="preserve">NEATS </w:t>
            </w:r>
            <w:r w:rsidRPr="00B83411">
              <w:rPr>
                <w:rFonts w:eastAsia="Times New Roman" w:cs="Arial"/>
                <w:i/>
                <w:iCs/>
                <w:color w:val="000000"/>
                <w:lang w:eastAsia="en-AU"/>
              </w:rPr>
              <w:t>n=67 answered this topic</w:t>
            </w:r>
          </w:p>
          <w:p w14:paraId="15002A10" w14:textId="4C9C0E13"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Clear instructions / workflow</w:t>
            </w:r>
          </w:p>
        </w:tc>
        <w:tc>
          <w:tcPr>
            <w:tcW w:w="1342" w:type="dxa"/>
            <w:tcBorders>
              <w:top w:val="nil"/>
              <w:left w:val="nil"/>
              <w:bottom w:val="nil"/>
              <w:right w:val="nil"/>
            </w:tcBorders>
            <w:shd w:val="clear" w:color="auto" w:fill="D9D9D9" w:themeFill="background1" w:themeFillShade="D9"/>
            <w:noWrap/>
            <w:hideMark/>
          </w:tcPr>
          <w:p w14:paraId="425A5B83" w14:textId="07CC69AE" w:rsidR="00AE1859" w:rsidRPr="00B83411" w:rsidRDefault="00AE1859" w:rsidP="00AE1859">
            <w:pPr>
              <w:spacing w:before="60" w:after="60" w:line="240" w:lineRule="auto"/>
              <w:ind w:right="0"/>
              <w:jc w:val="center"/>
              <w:rPr>
                <w:rFonts w:eastAsia="Times New Roman" w:cs="Arial"/>
                <w:color w:val="000000"/>
                <w:lang w:eastAsia="en-AU"/>
              </w:rPr>
            </w:pPr>
            <w:r w:rsidRPr="00B83411">
              <w:t>77</w:t>
            </w:r>
          </w:p>
        </w:tc>
        <w:tc>
          <w:tcPr>
            <w:tcW w:w="1353" w:type="dxa"/>
            <w:tcBorders>
              <w:top w:val="nil"/>
              <w:left w:val="nil"/>
              <w:bottom w:val="nil"/>
              <w:right w:val="nil"/>
            </w:tcBorders>
            <w:shd w:val="clear" w:color="auto" w:fill="D9D9D9" w:themeFill="background1" w:themeFillShade="D9"/>
            <w:noWrap/>
            <w:hideMark/>
          </w:tcPr>
          <w:p w14:paraId="1F75972B" w14:textId="1AEC41DE" w:rsidR="00AE1859" w:rsidRPr="00B83411" w:rsidRDefault="00AE1859" w:rsidP="00AE1859">
            <w:pPr>
              <w:spacing w:before="60" w:after="60" w:line="240" w:lineRule="auto"/>
              <w:ind w:right="0"/>
              <w:jc w:val="center"/>
              <w:rPr>
                <w:rFonts w:eastAsia="Times New Roman" w:cs="Arial"/>
                <w:color w:val="000000"/>
                <w:lang w:eastAsia="en-AU"/>
              </w:rPr>
            </w:pPr>
            <w:r w:rsidRPr="00B83411">
              <w:t>71</w:t>
            </w:r>
          </w:p>
        </w:tc>
        <w:tc>
          <w:tcPr>
            <w:tcW w:w="1134" w:type="dxa"/>
            <w:tcBorders>
              <w:top w:val="nil"/>
              <w:left w:val="nil"/>
              <w:bottom w:val="nil"/>
              <w:right w:val="nil"/>
            </w:tcBorders>
            <w:shd w:val="clear" w:color="auto" w:fill="D9D9D9" w:themeFill="background1" w:themeFillShade="D9"/>
            <w:noWrap/>
            <w:hideMark/>
          </w:tcPr>
          <w:p w14:paraId="7D3519A5" w14:textId="29ABE6C0" w:rsidR="00AE1859" w:rsidRPr="00B83411" w:rsidRDefault="00AE1859" w:rsidP="00AE1859">
            <w:pPr>
              <w:spacing w:before="60" w:after="60" w:line="240" w:lineRule="auto"/>
              <w:ind w:right="0"/>
              <w:jc w:val="center"/>
              <w:rPr>
                <w:rFonts w:eastAsia="Times New Roman" w:cs="Arial"/>
                <w:color w:val="000000"/>
                <w:lang w:eastAsia="en-AU"/>
              </w:rPr>
            </w:pPr>
            <w:r w:rsidRPr="00B83411">
              <w:t>7</w:t>
            </w:r>
            <w:r w:rsidR="00EF62DD" w:rsidRPr="00B83411">
              <w:t>4</w:t>
            </w:r>
          </w:p>
        </w:tc>
      </w:tr>
      <w:tr w:rsidR="00AE1859" w:rsidRPr="00B83411" w14:paraId="6BA276ED" w14:textId="77777777">
        <w:trPr>
          <w:trHeight w:val="300"/>
        </w:trPr>
        <w:tc>
          <w:tcPr>
            <w:tcW w:w="4535" w:type="dxa"/>
            <w:tcBorders>
              <w:top w:val="nil"/>
              <w:left w:val="nil"/>
              <w:bottom w:val="nil"/>
              <w:right w:val="nil"/>
            </w:tcBorders>
            <w:noWrap/>
            <w:vAlign w:val="center"/>
            <w:hideMark/>
          </w:tcPr>
          <w:p w14:paraId="38F6224B"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Integrated functionality</w:t>
            </w:r>
          </w:p>
        </w:tc>
        <w:tc>
          <w:tcPr>
            <w:tcW w:w="1342" w:type="dxa"/>
            <w:tcBorders>
              <w:top w:val="nil"/>
              <w:left w:val="nil"/>
              <w:bottom w:val="nil"/>
              <w:right w:val="nil"/>
            </w:tcBorders>
            <w:noWrap/>
            <w:hideMark/>
          </w:tcPr>
          <w:p w14:paraId="558E792D" w14:textId="58A0F204" w:rsidR="00AE1859" w:rsidRPr="00B83411" w:rsidRDefault="00AE1859" w:rsidP="00AE1859">
            <w:pPr>
              <w:spacing w:before="60" w:after="60" w:line="240" w:lineRule="auto"/>
              <w:ind w:right="0"/>
              <w:jc w:val="center"/>
              <w:rPr>
                <w:rFonts w:eastAsia="Times New Roman" w:cs="Arial"/>
                <w:color w:val="000000"/>
                <w:lang w:eastAsia="en-AU"/>
              </w:rPr>
            </w:pPr>
            <w:r w:rsidRPr="00B83411">
              <w:t>81</w:t>
            </w:r>
          </w:p>
        </w:tc>
        <w:tc>
          <w:tcPr>
            <w:tcW w:w="1353" w:type="dxa"/>
            <w:tcBorders>
              <w:top w:val="nil"/>
              <w:left w:val="nil"/>
              <w:bottom w:val="nil"/>
              <w:right w:val="nil"/>
            </w:tcBorders>
            <w:noWrap/>
            <w:hideMark/>
          </w:tcPr>
          <w:p w14:paraId="55CB9CB2" w14:textId="6828747B" w:rsidR="00AE1859" w:rsidRPr="00B83411" w:rsidRDefault="00AE1859" w:rsidP="00AE1859">
            <w:pPr>
              <w:spacing w:before="60" w:after="60" w:line="240" w:lineRule="auto"/>
              <w:ind w:right="0"/>
              <w:jc w:val="center"/>
              <w:rPr>
                <w:rFonts w:eastAsia="Times New Roman" w:cs="Arial"/>
                <w:color w:val="000000"/>
                <w:lang w:eastAsia="en-AU"/>
              </w:rPr>
            </w:pPr>
            <w:r w:rsidRPr="00B83411">
              <w:t>71</w:t>
            </w:r>
          </w:p>
        </w:tc>
        <w:tc>
          <w:tcPr>
            <w:tcW w:w="1134" w:type="dxa"/>
            <w:tcBorders>
              <w:top w:val="nil"/>
              <w:left w:val="nil"/>
              <w:bottom w:val="nil"/>
              <w:right w:val="nil"/>
            </w:tcBorders>
            <w:noWrap/>
            <w:hideMark/>
          </w:tcPr>
          <w:p w14:paraId="7F474156" w14:textId="4EC57D9F" w:rsidR="00AE1859" w:rsidRPr="00B83411" w:rsidRDefault="00AE1859" w:rsidP="00AE1859">
            <w:pPr>
              <w:spacing w:before="60" w:after="60" w:line="240" w:lineRule="auto"/>
              <w:ind w:right="0"/>
              <w:jc w:val="center"/>
              <w:rPr>
                <w:rFonts w:eastAsia="Times New Roman" w:cs="Arial"/>
                <w:color w:val="000000"/>
                <w:lang w:eastAsia="en-AU"/>
              </w:rPr>
            </w:pPr>
            <w:r w:rsidRPr="00B83411">
              <w:t>75</w:t>
            </w:r>
          </w:p>
        </w:tc>
      </w:tr>
      <w:tr w:rsidR="00AE1859" w:rsidRPr="00B83411" w14:paraId="312DB5B4"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52B95782"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Easy to find information</w:t>
            </w:r>
          </w:p>
        </w:tc>
        <w:tc>
          <w:tcPr>
            <w:tcW w:w="1342" w:type="dxa"/>
            <w:tcBorders>
              <w:top w:val="nil"/>
              <w:left w:val="nil"/>
              <w:bottom w:val="nil"/>
              <w:right w:val="nil"/>
            </w:tcBorders>
            <w:shd w:val="clear" w:color="auto" w:fill="D9D9D9" w:themeFill="background1" w:themeFillShade="D9"/>
            <w:noWrap/>
            <w:hideMark/>
          </w:tcPr>
          <w:p w14:paraId="2B5F0858" w14:textId="5545C38B" w:rsidR="00AE1859" w:rsidRPr="00B83411" w:rsidRDefault="00AE1859" w:rsidP="00AE1859">
            <w:pPr>
              <w:spacing w:before="60" w:after="60" w:line="240" w:lineRule="auto"/>
              <w:ind w:right="0"/>
              <w:jc w:val="center"/>
              <w:rPr>
                <w:rFonts w:eastAsia="Times New Roman" w:cs="Arial"/>
                <w:color w:val="000000"/>
                <w:lang w:eastAsia="en-AU"/>
              </w:rPr>
            </w:pPr>
            <w:r w:rsidRPr="00B83411">
              <w:t>73</w:t>
            </w:r>
          </w:p>
        </w:tc>
        <w:tc>
          <w:tcPr>
            <w:tcW w:w="1353" w:type="dxa"/>
            <w:tcBorders>
              <w:top w:val="nil"/>
              <w:left w:val="nil"/>
              <w:bottom w:val="nil"/>
              <w:right w:val="nil"/>
            </w:tcBorders>
            <w:shd w:val="clear" w:color="auto" w:fill="D9D9D9" w:themeFill="background1" w:themeFillShade="D9"/>
            <w:noWrap/>
            <w:hideMark/>
          </w:tcPr>
          <w:p w14:paraId="77CFE3F1" w14:textId="69E6AEE4" w:rsidR="00AE1859" w:rsidRPr="00B83411" w:rsidRDefault="00AE1859" w:rsidP="00AE1859">
            <w:pPr>
              <w:spacing w:before="60" w:after="60" w:line="240" w:lineRule="auto"/>
              <w:ind w:right="0"/>
              <w:jc w:val="center"/>
              <w:rPr>
                <w:rFonts w:eastAsia="Times New Roman" w:cs="Arial"/>
                <w:color w:val="000000"/>
                <w:lang w:eastAsia="en-AU"/>
              </w:rPr>
            </w:pPr>
            <w:r w:rsidRPr="00B83411">
              <w:t>59</w:t>
            </w:r>
          </w:p>
        </w:tc>
        <w:tc>
          <w:tcPr>
            <w:tcW w:w="1134" w:type="dxa"/>
            <w:tcBorders>
              <w:top w:val="nil"/>
              <w:left w:val="nil"/>
              <w:bottom w:val="nil"/>
              <w:right w:val="nil"/>
            </w:tcBorders>
            <w:shd w:val="clear" w:color="auto" w:fill="D9D9D9" w:themeFill="background1" w:themeFillShade="D9"/>
            <w:noWrap/>
            <w:hideMark/>
          </w:tcPr>
          <w:p w14:paraId="7D689BCB" w14:textId="5DE1B6B8" w:rsidR="00AE1859" w:rsidRPr="00B83411" w:rsidRDefault="00AE1859" w:rsidP="00AE1859">
            <w:pPr>
              <w:spacing w:before="60" w:after="60" w:line="240" w:lineRule="auto"/>
              <w:ind w:right="0"/>
              <w:jc w:val="center"/>
              <w:rPr>
                <w:rFonts w:eastAsia="Times New Roman" w:cs="Arial"/>
                <w:color w:val="000000"/>
                <w:lang w:eastAsia="en-AU"/>
              </w:rPr>
            </w:pPr>
            <w:r w:rsidRPr="00B83411">
              <w:t>6</w:t>
            </w:r>
            <w:r w:rsidR="00EF62DD" w:rsidRPr="00B83411">
              <w:t>5</w:t>
            </w:r>
          </w:p>
        </w:tc>
      </w:tr>
      <w:tr w:rsidR="00AE1859" w:rsidRPr="00B83411" w14:paraId="78D107E2" w14:textId="77777777">
        <w:trPr>
          <w:trHeight w:val="300"/>
        </w:trPr>
        <w:tc>
          <w:tcPr>
            <w:tcW w:w="4535" w:type="dxa"/>
            <w:tcBorders>
              <w:top w:val="nil"/>
              <w:left w:val="nil"/>
              <w:bottom w:val="nil"/>
              <w:right w:val="nil"/>
            </w:tcBorders>
            <w:noWrap/>
            <w:vAlign w:val="center"/>
            <w:hideMark/>
          </w:tcPr>
          <w:p w14:paraId="41A09714"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Continuous improvement</w:t>
            </w:r>
          </w:p>
        </w:tc>
        <w:tc>
          <w:tcPr>
            <w:tcW w:w="1342" w:type="dxa"/>
            <w:tcBorders>
              <w:top w:val="nil"/>
              <w:left w:val="nil"/>
              <w:bottom w:val="nil"/>
              <w:right w:val="nil"/>
            </w:tcBorders>
            <w:noWrap/>
            <w:hideMark/>
          </w:tcPr>
          <w:p w14:paraId="48D0A831" w14:textId="346012F8" w:rsidR="00AE1859" w:rsidRPr="00B83411" w:rsidRDefault="00AE1859" w:rsidP="00AE1859">
            <w:pPr>
              <w:spacing w:before="60" w:after="60" w:line="240" w:lineRule="auto"/>
              <w:ind w:right="0"/>
              <w:jc w:val="center"/>
              <w:rPr>
                <w:rFonts w:eastAsia="Times New Roman" w:cs="Arial"/>
                <w:color w:val="000000"/>
                <w:lang w:eastAsia="en-AU"/>
              </w:rPr>
            </w:pPr>
            <w:r w:rsidRPr="00B83411">
              <w:t>69</w:t>
            </w:r>
          </w:p>
        </w:tc>
        <w:tc>
          <w:tcPr>
            <w:tcW w:w="1353" w:type="dxa"/>
            <w:tcBorders>
              <w:top w:val="nil"/>
              <w:left w:val="nil"/>
              <w:bottom w:val="nil"/>
              <w:right w:val="nil"/>
            </w:tcBorders>
            <w:noWrap/>
            <w:hideMark/>
          </w:tcPr>
          <w:p w14:paraId="07D1360C" w14:textId="62CDE3C5" w:rsidR="00AE1859" w:rsidRPr="00B83411" w:rsidRDefault="00AE1859" w:rsidP="00AE1859">
            <w:pPr>
              <w:spacing w:before="60" w:after="60" w:line="240" w:lineRule="auto"/>
              <w:ind w:right="0"/>
              <w:jc w:val="center"/>
              <w:rPr>
                <w:rFonts w:eastAsia="Times New Roman" w:cs="Arial"/>
                <w:color w:val="000000"/>
                <w:lang w:eastAsia="en-AU"/>
              </w:rPr>
            </w:pPr>
            <w:r w:rsidRPr="00B83411">
              <w:t>54</w:t>
            </w:r>
          </w:p>
        </w:tc>
        <w:tc>
          <w:tcPr>
            <w:tcW w:w="1134" w:type="dxa"/>
            <w:tcBorders>
              <w:top w:val="nil"/>
              <w:left w:val="nil"/>
              <w:bottom w:val="nil"/>
              <w:right w:val="nil"/>
            </w:tcBorders>
            <w:noWrap/>
            <w:hideMark/>
          </w:tcPr>
          <w:p w14:paraId="00132076" w14:textId="217073D4" w:rsidR="00AE1859" w:rsidRPr="00B83411" w:rsidRDefault="00AE1859" w:rsidP="00AE1859">
            <w:pPr>
              <w:spacing w:before="60" w:after="60" w:line="240" w:lineRule="auto"/>
              <w:ind w:right="0"/>
              <w:jc w:val="center"/>
              <w:rPr>
                <w:rFonts w:eastAsia="Times New Roman" w:cs="Arial"/>
                <w:color w:val="000000"/>
                <w:lang w:eastAsia="en-AU"/>
              </w:rPr>
            </w:pPr>
            <w:r w:rsidRPr="00B83411">
              <w:t>6</w:t>
            </w:r>
            <w:r w:rsidR="00EF62DD" w:rsidRPr="00B83411">
              <w:t>1</w:t>
            </w:r>
          </w:p>
        </w:tc>
      </w:tr>
      <w:tr w:rsidR="00AE1859" w:rsidRPr="00B83411" w14:paraId="70CCBCDC"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06287213"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Fit for purpose</w:t>
            </w:r>
          </w:p>
        </w:tc>
        <w:tc>
          <w:tcPr>
            <w:tcW w:w="1342" w:type="dxa"/>
            <w:tcBorders>
              <w:top w:val="nil"/>
              <w:left w:val="nil"/>
              <w:bottom w:val="nil"/>
              <w:right w:val="nil"/>
            </w:tcBorders>
            <w:shd w:val="clear" w:color="auto" w:fill="D9D9D9" w:themeFill="background1" w:themeFillShade="D9"/>
            <w:noWrap/>
            <w:hideMark/>
          </w:tcPr>
          <w:p w14:paraId="58AD05AA" w14:textId="0D702542" w:rsidR="00AE1859" w:rsidRPr="00B83411" w:rsidRDefault="00AE1859" w:rsidP="00AE1859">
            <w:pPr>
              <w:spacing w:before="60" w:after="60" w:line="240" w:lineRule="auto"/>
              <w:ind w:right="0"/>
              <w:jc w:val="center"/>
              <w:rPr>
                <w:rFonts w:eastAsia="Times New Roman" w:cs="Arial"/>
                <w:color w:val="000000"/>
                <w:lang w:eastAsia="en-AU"/>
              </w:rPr>
            </w:pPr>
            <w:r w:rsidRPr="00B83411">
              <w:t>81</w:t>
            </w:r>
          </w:p>
        </w:tc>
        <w:tc>
          <w:tcPr>
            <w:tcW w:w="1353" w:type="dxa"/>
            <w:tcBorders>
              <w:top w:val="nil"/>
              <w:left w:val="nil"/>
              <w:bottom w:val="nil"/>
              <w:right w:val="nil"/>
            </w:tcBorders>
            <w:shd w:val="clear" w:color="auto" w:fill="D9D9D9" w:themeFill="background1" w:themeFillShade="D9"/>
            <w:noWrap/>
            <w:hideMark/>
          </w:tcPr>
          <w:p w14:paraId="00BF1E88" w14:textId="407717AD" w:rsidR="00AE1859" w:rsidRPr="00B83411" w:rsidRDefault="00AE1859" w:rsidP="00AE1859">
            <w:pPr>
              <w:spacing w:before="60" w:after="60" w:line="240" w:lineRule="auto"/>
              <w:ind w:right="0"/>
              <w:jc w:val="center"/>
              <w:rPr>
                <w:rFonts w:eastAsia="Times New Roman" w:cs="Arial"/>
                <w:color w:val="000000"/>
                <w:lang w:eastAsia="en-AU"/>
              </w:rPr>
            </w:pPr>
            <w:r w:rsidRPr="00B83411">
              <w:t>73</w:t>
            </w:r>
          </w:p>
        </w:tc>
        <w:tc>
          <w:tcPr>
            <w:tcW w:w="1134" w:type="dxa"/>
            <w:tcBorders>
              <w:top w:val="nil"/>
              <w:left w:val="nil"/>
              <w:bottom w:val="nil"/>
              <w:right w:val="nil"/>
            </w:tcBorders>
            <w:shd w:val="clear" w:color="auto" w:fill="D9D9D9" w:themeFill="background1" w:themeFillShade="D9"/>
            <w:noWrap/>
            <w:hideMark/>
          </w:tcPr>
          <w:p w14:paraId="3F02FDBB" w14:textId="28F7C30C" w:rsidR="00AE1859" w:rsidRPr="00B83411" w:rsidRDefault="00AE1859" w:rsidP="00AE1859">
            <w:pPr>
              <w:spacing w:before="60" w:after="60" w:line="240" w:lineRule="auto"/>
              <w:ind w:right="0"/>
              <w:jc w:val="center"/>
              <w:rPr>
                <w:rFonts w:eastAsia="Times New Roman" w:cs="Arial"/>
                <w:color w:val="000000"/>
                <w:lang w:eastAsia="en-AU"/>
              </w:rPr>
            </w:pPr>
            <w:r w:rsidRPr="00B83411">
              <w:t>7</w:t>
            </w:r>
            <w:r w:rsidR="00EF62DD" w:rsidRPr="00B83411">
              <w:t>7</w:t>
            </w:r>
          </w:p>
        </w:tc>
      </w:tr>
      <w:tr w:rsidR="00AE1859" w:rsidRPr="00B83411" w14:paraId="57DACF88" w14:textId="77777777">
        <w:trPr>
          <w:trHeight w:val="300"/>
        </w:trPr>
        <w:tc>
          <w:tcPr>
            <w:tcW w:w="4535" w:type="dxa"/>
            <w:tcBorders>
              <w:top w:val="nil"/>
              <w:left w:val="nil"/>
              <w:bottom w:val="nil"/>
              <w:right w:val="nil"/>
            </w:tcBorders>
            <w:noWrap/>
            <w:vAlign w:val="center"/>
            <w:hideMark/>
          </w:tcPr>
          <w:p w14:paraId="504D38C0" w14:textId="4A4596DB"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b/>
                <w:bCs/>
                <w:color w:val="000000"/>
                <w:lang w:eastAsia="en-AU"/>
              </w:rPr>
              <w:t>NOPIMS</w:t>
            </w:r>
            <w:r w:rsidRPr="00B83411">
              <w:rPr>
                <w:rFonts w:eastAsia="Times New Roman" w:cs="Arial"/>
                <w:color w:val="000000"/>
                <w:lang w:eastAsia="en-AU"/>
              </w:rPr>
              <w:t xml:space="preserve"> </w:t>
            </w:r>
            <w:r w:rsidRPr="00B83411">
              <w:rPr>
                <w:rFonts w:eastAsia="Times New Roman" w:cs="Arial"/>
                <w:i/>
                <w:iCs/>
                <w:color w:val="000000"/>
                <w:lang w:eastAsia="en-AU"/>
              </w:rPr>
              <w:t>n=42 answered this topic</w:t>
            </w:r>
          </w:p>
          <w:p w14:paraId="797625A0" w14:textId="7CE09F53"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Clear instructions</w:t>
            </w:r>
          </w:p>
        </w:tc>
        <w:tc>
          <w:tcPr>
            <w:tcW w:w="1342" w:type="dxa"/>
            <w:tcBorders>
              <w:top w:val="nil"/>
              <w:left w:val="nil"/>
              <w:bottom w:val="nil"/>
              <w:right w:val="nil"/>
            </w:tcBorders>
            <w:noWrap/>
            <w:hideMark/>
          </w:tcPr>
          <w:p w14:paraId="448E65EF" w14:textId="21235567" w:rsidR="00AE1859" w:rsidRPr="00B83411" w:rsidRDefault="00AE1859" w:rsidP="00AE1859">
            <w:pPr>
              <w:spacing w:before="60" w:after="60" w:line="240" w:lineRule="auto"/>
              <w:ind w:right="0"/>
              <w:jc w:val="center"/>
              <w:rPr>
                <w:rFonts w:eastAsia="Times New Roman" w:cs="Arial"/>
                <w:color w:val="000000"/>
                <w:lang w:eastAsia="en-AU"/>
              </w:rPr>
            </w:pPr>
            <w:r w:rsidRPr="00B83411">
              <w:t>83</w:t>
            </w:r>
          </w:p>
        </w:tc>
        <w:tc>
          <w:tcPr>
            <w:tcW w:w="1353" w:type="dxa"/>
            <w:tcBorders>
              <w:top w:val="nil"/>
              <w:left w:val="nil"/>
              <w:bottom w:val="nil"/>
              <w:right w:val="nil"/>
            </w:tcBorders>
            <w:shd w:val="clear" w:color="auto" w:fill="92CDDC" w:themeFill="accent5" w:themeFillTint="99"/>
            <w:noWrap/>
            <w:hideMark/>
          </w:tcPr>
          <w:p w14:paraId="25E95093" w14:textId="2B3C4876" w:rsidR="00AE1859" w:rsidRPr="00B83411" w:rsidRDefault="00AE1859" w:rsidP="00AE1859">
            <w:pPr>
              <w:spacing w:before="60" w:after="60" w:line="240" w:lineRule="auto"/>
              <w:ind w:right="0"/>
              <w:jc w:val="center"/>
              <w:rPr>
                <w:rFonts w:eastAsia="Times New Roman" w:cs="Arial"/>
                <w:color w:val="000000"/>
                <w:lang w:eastAsia="en-AU"/>
              </w:rPr>
            </w:pPr>
            <w:r w:rsidRPr="00B83411">
              <w:t>53</w:t>
            </w:r>
          </w:p>
        </w:tc>
        <w:tc>
          <w:tcPr>
            <w:tcW w:w="1134" w:type="dxa"/>
            <w:tcBorders>
              <w:top w:val="nil"/>
              <w:left w:val="nil"/>
              <w:bottom w:val="nil"/>
              <w:right w:val="nil"/>
            </w:tcBorders>
            <w:noWrap/>
            <w:hideMark/>
          </w:tcPr>
          <w:p w14:paraId="02C4ED93" w14:textId="28A6E488" w:rsidR="00AE1859" w:rsidRPr="00B83411" w:rsidRDefault="00AE1859" w:rsidP="00AE1859">
            <w:pPr>
              <w:spacing w:before="60" w:after="60" w:line="240" w:lineRule="auto"/>
              <w:ind w:right="0"/>
              <w:jc w:val="center"/>
              <w:rPr>
                <w:rFonts w:eastAsia="Times New Roman" w:cs="Arial"/>
                <w:color w:val="000000"/>
                <w:lang w:eastAsia="en-AU"/>
              </w:rPr>
            </w:pPr>
            <w:r w:rsidRPr="00B83411">
              <w:t>62</w:t>
            </w:r>
          </w:p>
        </w:tc>
      </w:tr>
      <w:tr w:rsidR="00AE1859" w:rsidRPr="00B83411" w14:paraId="19FA4527"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005877EB"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Integrated functionality</w:t>
            </w:r>
          </w:p>
        </w:tc>
        <w:tc>
          <w:tcPr>
            <w:tcW w:w="1342" w:type="dxa"/>
            <w:tcBorders>
              <w:top w:val="nil"/>
              <w:left w:val="nil"/>
              <w:bottom w:val="nil"/>
              <w:right w:val="nil"/>
            </w:tcBorders>
            <w:shd w:val="clear" w:color="auto" w:fill="D9D9D9" w:themeFill="background1" w:themeFillShade="D9"/>
            <w:noWrap/>
            <w:hideMark/>
          </w:tcPr>
          <w:p w14:paraId="5CFD1EE1" w14:textId="1FC99245" w:rsidR="00AE1859" w:rsidRPr="00B83411" w:rsidRDefault="00AE1859" w:rsidP="00AE1859">
            <w:pPr>
              <w:spacing w:before="60" w:after="60" w:line="240" w:lineRule="auto"/>
              <w:ind w:right="0"/>
              <w:jc w:val="center"/>
              <w:rPr>
                <w:rFonts w:eastAsia="Times New Roman" w:cs="Arial"/>
                <w:color w:val="000000"/>
                <w:lang w:eastAsia="en-AU"/>
              </w:rPr>
            </w:pPr>
            <w:r w:rsidRPr="00B83411">
              <w:t>83</w:t>
            </w:r>
          </w:p>
        </w:tc>
        <w:tc>
          <w:tcPr>
            <w:tcW w:w="1353" w:type="dxa"/>
            <w:tcBorders>
              <w:top w:val="nil"/>
              <w:left w:val="nil"/>
              <w:bottom w:val="nil"/>
              <w:right w:val="nil"/>
            </w:tcBorders>
            <w:shd w:val="clear" w:color="auto" w:fill="92CDDC" w:themeFill="accent5" w:themeFillTint="99"/>
            <w:noWrap/>
            <w:hideMark/>
          </w:tcPr>
          <w:p w14:paraId="75967388" w14:textId="16D832D2" w:rsidR="00AE1859" w:rsidRPr="00B83411" w:rsidRDefault="00AE1859" w:rsidP="00AE1859">
            <w:pPr>
              <w:spacing w:before="60" w:after="60" w:line="240" w:lineRule="auto"/>
              <w:ind w:right="0"/>
              <w:jc w:val="center"/>
              <w:rPr>
                <w:rFonts w:eastAsia="Times New Roman" w:cs="Arial"/>
                <w:color w:val="000000"/>
                <w:lang w:eastAsia="en-AU"/>
              </w:rPr>
            </w:pPr>
            <w:r w:rsidRPr="00B83411">
              <w:t>63</w:t>
            </w:r>
          </w:p>
        </w:tc>
        <w:tc>
          <w:tcPr>
            <w:tcW w:w="1134" w:type="dxa"/>
            <w:tcBorders>
              <w:top w:val="nil"/>
              <w:left w:val="nil"/>
              <w:bottom w:val="nil"/>
              <w:right w:val="nil"/>
            </w:tcBorders>
            <w:shd w:val="clear" w:color="auto" w:fill="D9D9D9" w:themeFill="background1" w:themeFillShade="D9"/>
            <w:noWrap/>
            <w:hideMark/>
          </w:tcPr>
          <w:p w14:paraId="27DB0FCF" w14:textId="63525119" w:rsidR="00AE1859" w:rsidRPr="00B83411" w:rsidRDefault="00AE1859" w:rsidP="00AE1859">
            <w:pPr>
              <w:spacing w:before="60" w:after="60" w:line="240" w:lineRule="auto"/>
              <w:ind w:right="0"/>
              <w:jc w:val="center"/>
              <w:rPr>
                <w:rFonts w:eastAsia="Times New Roman" w:cs="Arial"/>
                <w:color w:val="000000"/>
                <w:lang w:eastAsia="en-AU"/>
              </w:rPr>
            </w:pPr>
            <w:r w:rsidRPr="00B83411">
              <w:t>69</w:t>
            </w:r>
          </w:p>
        </w:tc>
      </w:tr>
      <w:tr w:rsidR="00AE1859" w:rsidRPr="00B83411" w14:paraId="66704C5A" w14:textId="77777777">
        <w:trPr>
          <w:trHeight w:val="300"/>
        </w:trPr>
        <w:tc>
          <w:tcPr>
            <w:tcW w:w="4535" w:type="dxa"/>
            <w:tcBorders>
              <w:top w:val="nil"/>
              <w:left w:val="nil"/>
              <w:bottom w:val="nil"/>
              <w:right w:val="nil"/>
            </w:tcBorders>
            <w:noWrap/>
            <w:vAlign w:val="center"/>
            <w:hideMark/>
          </w:tcPr>
          <w:p w14:paraId="313BB18D"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Easy to find information</w:t>
            </w:r>
          </w:p>
        </w:tc>
        <w:tc>
          <w:tcPr>
            <w:tcW w:w="1342" w:type="dxa"/>
            <w:tcBorders>
              <w:top w:val="nil"/>
              <w:left w:val="nil"/>
              <w:bottom w:val="nil"/>
              <w:right w:val="nil"/>
            </w:tcBorders>
            <w:noWrap/>
            <w:hideMark/>
          </w:tcPr>
          <w:p w14:paraId="5A173388" w14:textId="192FE9A6" w:rsidR="00AE1859" w:rsidRPr="00B83411" w:rsidRDefault="00AE1859" w:rsidP="00AE1859">
            <w:pPr>
              <w:spacing w:before="60" w:after="60" w:line="240" w:lineRule="auto"/>
              <w:ind w:right="0"/>
              <w:jc w:val="center"/>
              <w:rPr>
                <w:rFonts w:eastAsia="Times New Roman" w:cs="Arial"/>
                <w:color w:val="000000"/>
                <w:lang w:eastAsia="en-AU"/>
              </w:rPr>
            </w:pPr>
            <w:r w:rsidRPr="00B83411">
              <w:t>83</w:t>
            </w:r>
          </w:p>
        </w:tc>
        <w:tc>
          <w:tcPr>
            <w:tcW w:w="1353" w:type="dxa"/>
            <w:tcBorders>
              <w:top w:val="nil"/>
              <w:left w:val="nil"/>
              <w:bottom w:val="nil"/>
              <w:right w:val="nil"/>
            </w:tcBorders>
            <w:shd w:val="clear" w:color="auto" w:fill="92CDDC" w:themeFill="accent5" w:themeFillTint="99"/>
            <w:noWrap/>
            <w:hideMark/>
          </w:tcPr>
          <w:p w14:paraId="4720C2EB" w14:textId="08BEDCE6" w:rsidR="00AE1859" w:rsidRPr="00B83411" w:rsidRDefault="00AE1859" w:rsidP="00AE1859">
            <w:pPr>
              <w:spacing w:before="60" w:after="60" w:line="240" w:lineRule="auto"/>
              <w:ind w:right="0"/>
              <w:jc w:val="center"/>
              <w:rPr>
                <w:rFonts w:eastAsia="Times New Roman" w:cs="Arial"/>
                <w:color w:val="000000"/>
                <w:lang w:eastAsia="en-AU"/>
              </w:rPr>
            </w:pPr>
            <w:r w:rsidRPr="00B83411">
              <w:t>33</w:t>
            </w:r>
          </w:p>
        </w:tc>
        <w:tc>
          <w:tcPr>
            <w:tcW w:w="1134" w:type="dxa"/>
            <w:tcBorders>
              <w:top w:val="nil"/>
              <w:left w:val="nil"/>
              <w:bottom w:val="nil"/>
              <w:right w:val="nil"/>
            </w:tcBorders>
            <w:noWrap/>
            <w:hideMark/>
          </w:tcPr>
          <w:p w14:paraId="4EE29B65" w14:textId="6896C005" w:rsidR="00AE1859" w:rsidRPr="00B83411" w:rsidRDefault="00AE1859" w:rsidP="00AE1859">
            <w:pPr>
              <w:spacing w:before="60" w:after="60" w:line="240" w:lineRule="auto"/>
              <w:ind w:right="0"/>
              <w:jc w:val="center"/>
              <w:rPr>
                <w:rFonts w:eastAsia="Times New Roman" w:cs="Arial"/>
                <w:color w:val="000000"/>
                <w:lang w:eastAsia="en-AU"/>
              </w:rPr>
            </w:pPr>
            <w:r w:rsidRPr="00B83411">
              <w:t>48</w:t>
            </w:r>
          </w:p>
        </w:tc>
      </w:tr>
      <w:tr w:rsidR="00AE1859" w:rsidRPr="00B83411" w14:paraId="25A181C1"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7D2E10A7"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Continuous improvement</w:t>
            </w:r>
          </w:p>
        </w:tc>
        <w:tc>
          <w:tcPr>
            <w:tcW w:w="1342" w:type="dxa"/>
            <w:tcBorders>
              <w:top w:val="nil"/>
              <w:left w:val="nil"/>
              <w:bottom w:val="nil"/>
              <w:right w:val="nil"/>
            </w:tcBorders>
            <w:shd w:val="clear" w:color="auto" w:fill="D9D9D9" w:themeFill="background1" w:themeFillShade="D9"/>
            <w:noWrap/>
            <w:hideMark/>
          </w:tcPr>
          <w:p w14:paraId="6B41CF73" w14:textId="2261603C" w:rsidR="00AE1859" w:rsidRPr="00B83411" w:rsidRDefault="00AE1859" w:rsidP="00AE1859">
            <w:pPr>
              <w:spacing w:before="60" w:after="60" w:line="240" w:lineRule="auto"/>
              <w:ind w:right="0"/>
              <w:jc w:val="center"/>
              <w:rPr>
                <w:rFonts w:eastAsia="Times New Roman" w:cs="Arial"/>
                <w:color w:val="000000"/>
                <w:lang w:eastAsia="en-AU"/>
              </w:rPr>
            </w:pPr>
            <w:r w:rsidRPr="00B83411">
              <w:t>67</w:t>
            </w:r>
          </w:p>
        </w:tc>
        <w:tc>
          <w:tcPr>
            <w:tcW w:w="1353" w:type="dxa"/>
            <w:tcBorders>
              <w:top w:val="nil"/>
              <w:left w:val="nil"/>
              <w:bottom w:val="nil"/>
              <w:right w:val="nil"/>
            </w:tcBorders>
            <w:shd w:val="clear" w:color="auto" w:fill="92CDDC" w:themeFill="accent5" w:themeFillTint="99"/>
            <w:noWrap/>
            <w:hideMark/>
          </w:tcPr>
          <w:p w14:paraId="56C0677C" w14:textId="2DEBEC95" w:rsidR="00AE1859" w:rsidRPr="00B83411" w:rsidRDefault="00AE1859" w:rsidP="00AE1859">
            <w:pPr>
              <w:spacing w:before="60" w:after="60" w:line="240" w:lineRule="auto"/>
              <w:ind w:right="0"/>
              <w:jc w:val="center"/>
              <w:rPr>
                <w:rFonts w:eastAsia="Times New Roman" w:cs="Arial"/>
                <w:color w:val="000000"/>
                <w:lang w:eastAsia="en-AU"/>
              </w:rPr>
            </w:pPr>
            <w:r w:rsidRPr="00B83411">
              <w:t>37</w:t>
            </w:r>
          </w:p>
        </w:tc>
        <w:tc>
          <w:tcPr>
            <w:tcW w:w="1134" w:type="dxa"/>
            <w:tcBorders>
              <w:top w:val="nil"/>
              <w:left w:val="nil"/>
              <w:bottom w:val="nil"/>
              <w:right w:val="nil"/>
            </w:tcBorders>
            <w:shd w:val="clear" w:color="auto" w:fill="D9D9D9" w:themeFill="background1" w:themeFillShade="D9"/>
            <w:noWrap/>
            <w:hideMark/>
          </w:tcPr>
          <w:p w14:paraId="2E4EF1DD" w14:textId="7FAF5A4C" w:rsidR="00AE1859" w:rsidRPr="00B83411" w:rsidRDefault="00AE1859" w:rsidP="00AE1859">
            <w:pPr>
              <w:spacing w:before="60" w:after="60" w:line="240" w:lineRule="auto"/>
              <w:ind w:right="0"/>
              <w:jc w:val="center"/>
              <w:rPr>
                <w:rFonts w:eastAsia="Times New Roman" w:cs="Arial"/>
                <w:color w:val="000000"/>
                <w:lang w:eastAsia="en-AU"/>
              </w:rPr>
            </w:pPr>
            <w:r w:rsidRPr="00B83411">
              <w:t>45</w:t>
            </w:r>
          </w:p>
        </w:tc>
      </w:tr>
      <w:tr w:rsidR="00AE1859" w:rsidRPr="00B83411" w14:paraId="336DF0D7" w14:textId="77777777">
        <w:trPr>
          <w:trHeight w:val="300"/>
        </w:trPr>
        <w:tc>
          <w:tcPr>
            <w:tcW w:w="4535" w:type="dxa"/>
            <w:tcBorders>
              <w:top w:val="nil"/>
              <w:left w:val="nil"/>
              <w:bottom w:val="nil"/>
              <w:right w:val="nil"/>
            </w:tcBorders>
            <w:noWrap/>
            <w:vAlign w:val="center"/>
            <w:hideMark/>
          </w:tcPr>
          <w:p w14:paraId="3FFB941E"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Fit for purpose</w:t>
            </w:r>
          </w:p>
        </w:tc>
        <w:tc>
          <w:tcPr>
            <w:tcW w:w="1342" w:type="dxa"/>
            <w:tcBorders>
              <w:top w:val="nil"/>
              <w:left w:val="nil"/>
              <w:bottom w:val="nil"/>
              <w:right w:val="nil"/>
            </w:tcBorders>
            <w:noWrap/>
            <w:hideMark/>
          </w:tcPr>
          <w:p w14:paraId="316E15EC" w14:textId="6BA637A8" w:rsidR="00AE1859" w:rsidRPr="00B83411" w:rsidRDefault="00AE1859" w:rsidP="00AE1859">
            <w:pPr>
              <w:spacing w:before="60" w:after="60" w:line="240" w:lineRule="auto"/>
              <w:ind w:right="0"/>
              <w:jc w:val="center"/>
              <w:rPr>
                <w:rFonts w:eastAsia="Times New Roman" w:cs="Arial"/>
                <w:color w:val="000000"/>
                <w:lang w:eastAsia="en-AU"/>
              </w:rPr>
            </w:pPr>
            <w:r w:rsidRPr="00B83411">
              <w:t>92</w:t>
            </w:r>
          </w:p>
        </w:tc>
        <w:tc>
          <w:tcPr>
            <w:tcW w:w="1353" w:type="dxa"/>
            <w:tcBorders>
              <w:top w:val="nil"/>
              <w:left w:val="nil"/>
              <w:bottom w:val="nil"/>
              <w:right w:val="nil"/>
            </w:tcBorders>
            <w:shd w:val="clear" w:color="auto" w:fill="92CDDC" w:themeFill="accent5" w:themeFillTint="99"/>
            <w:noWrap/>
            <w:hideMark/>
          </w:tcPr>
          <w:p w14:paraId="674BBC19" w14:textId="63492AF6" w:rsidR="00AE1859" w:rsidRPr="00B83411" w:rsidRDefault="00AE1859" w:rsidP="00AE1859">
            <w:pPr>
              <w:spacing w:before="60" w:after="60" w:line="240" w:lineRule="auto"/>
              <w:ind w:right="0"/>
              <w:jc w:val="center"/>
              <w:rPr>
                <w:rFonts w:eastAsia="Times New Roman" w:cs="Arial"/>
                <w:color w:val="000000"/>
                <w:lang w:eastAsia="en-AU"/>
              </w:rPr>
            </w:pPr>
            <w:r w:rsidRPr="00B83411">
              <w:t>70</w:t>
            </w:r>
          </w:p>
        </w:tc>
        <w:tc>
          <w:tcPr>
            <w:tcW w:w="1134" w:type="dxa"/>
            <w:tcBorders>
              <w:top w:val="nil"/>
              <w:left w:val="nil"/>
              <w:bottom w:val="nil"/>
              <w:right w:val="nil"/>
            </w:tcBorders>
            <w:noWrap/>
            <w:hideMark/>
          </w:tcPr>
          <w:p w14:paraId="5F7C0237" w14:textId="2BBF580E" w:rsidR="00AE1859" w:rsidRPr="00B83411" w:rsidRDefault="00AE1859" w:rsidP="00AE1859">
            <w:pPr>
              <w:spacing w:before="60" w:after="60" w:line="240" w:lineRule="auto"/>
              <w:ind w:right="0"/>
              <w:jc w:val="center"/>
              <w:rPr>
                <w:rFonts w:eastAsia="Times New Roman" w:cs="Arial"/>
                <w:color w:val="000000"/>
                <w:lang w:eastAsia="en-AU"/>
              </w:rPr>
            </w:pPr>
            <w:r w:rsidRPr="00B83411">
              <w:t>76</w:t>
            </w:r>
          </w:p>
        </w:tc>
      </w:tr>
      <w:tr w:rsidR="00AE1859" w:rsidRPr="00B83411" w14:paraId="24399FB0"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2B8C4CDE" w14:textId="1BDF33AE" w:rsidR="00AE1859" w:rsidRPr="00B83411" w:rsidRDefault="00AE1859" w:rsidP="00AE1859">
            <w:pPr>
              <w:spacing w:before="60" w:after="60" w:line="240" w:lineRule="auto"/>
              <w:ind w:right="0"/>
              <w:rPr>
                <w:rFonts w:eastAsia="Times New Roman" w:cs="Arial"/>
                <w:i/>
                <w:iCs/>
                <w:color w:val="000000"/>
                <w:lang w:eastAsia="en-AU"/>
              </w:rPr>
            </w:pPr>
            <w:r w:rsidRPr="00B83411">
              <w:rPr>
                <w:rFonts w:eastAsia="Times New Roman" w:cs="Arial"/>
                <w:b/>
                <w:bCs/>
                <w:color w:val="000000"/>
                <w:lang w:eastAsia="en-AU"/>
              </w:rPr>
              <w:t xml:space="preserve">NOPTA website </w:t>
            </w:r>
            <w:r w:rsidRPr="00B83411">
              <w:rPr>
                <w:rFonts w:eastAsia="Times New Roman" w:cs="Arial"/>
                <w:i/>
                <w:iCs/>
                <w:color w:val="000000"/>
                <w:lang w:eastAsia="en-AU"/>
              </w:rPr>
              <w:t>n=68 answered this topic</w:t>
            </w:r>
          </w:p>
          <w:p w14:paraId="1BBD416C" w14:textId="7D11B651"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Clear</w:t>
            </w:r>
          </w:p>
        </w:tc>
        <w:tc>
          <w:tcPr>
            <w:tcW w:w="1342" w:type="dxa"/>
            <w:tcBorders>
              <w:top w:val="nil"/>
              <w:left w:val="nil"/>
              <w:bottom w:val="nil"/>
              <w:right w:val="nil"/>
            </w:tcBorders>
            <w:shd w:val="clear" w:color="auto" w:fill="D9D9D9" w:themeFill="background1" w:themeFillShade="D9"/>
            <w:noWrap/>
            <w:hideMark/>
          </w:tcPr>
          <w:p w14:paraId="4683937E" w14:textId="6D4B316E" w:rsidR="00AE1859" w:rsidRPr="00B83411" w:rsidRDefault="00AE1859" w:rsidP="00AE1859">
            <w:pPr>
              <w:spacing w:before="60" w:after="60" w:line="240" w:lineRule="auto"/>
              <w:ind w:right="0"/>
              <w:jc w:val="center"/>
              <w:rPr>
                <w:rFonts w:eastAsia="Times New Roman" w:cs="Arial"/>
                <w:color w:val="000000"/>
                <w:lang w:eastAsia="en-AU"/>
              </w:rPr>
            </w:pPr>
            <w:r w:rsidRPr="00B83411">
              <w:t>93</w:t>
            </w:r>
          </w:p>
        </w:tc>
        <w:tc>
          <w:tcPr>
            <w:tcW w:w="1353" w:type="dxa"/>
            <w:tcBorders>
              <w:top w:val="nil"/>
              <w:left w:val="nil"/>
              <w:bottom w:val="nil"/>
              <w:right w:val="nil"/>
            </w:tcBorders>
            <w:shd w:val="clear" w:color="auto" w:fill="D9D9D9" w:themeFill="background1" w:themeFillShade="D9"/>
            <w:noWrap/>
            <w:hideMark/>
          </w:tcPr>
          <w:p w14:paraId="40BE18A6" w14:textId="06FD5B2D" w:rsidR="00AE1859" w:rsidRPr="00B83411" w:rsidRDefault="00AE1859" w:rsidP="00AE1859">
            <w:pPr>
              <w:spacing w:before="60" w:after="60" w:line="240" w:lineRule="auto"/>
              <w:ind w:right="0"/>
              <w:jc w:val="center"/>
              <w:rPr>
                <w:rFonts w:eastAsia="Times New Roman" w:cs="Arial"/>
                <w:color w:val="000000"/>
                <w:lang w:eastAsia="en-AU"/>
              </w:rPr>
            </w:pPr>
            <w:r w:rsidRPr="00B83411">
              <w:t>8</w:t>
            </w:r>
            <w:r w:rsidR="007000EA" w:rsidRPr="00B83411">
              <w:t>0</w:t>
            </w:r>
          </w:p>
        </w:tc>
        <w:tc>
          <w:tcPr>
            <w:tcW w:w="1134" w:type="dxa"/>
            <w:tcBorders>
              <w:top w:val="nil"/>
              <w:left w:val="nil"/>
              <w:bottom w:val="nil"/>
              <w:right w:val="nil"/>
            </w:tcBorders>
            <w:shd w:val="clear" w:color="auto" w:fill="D9D9D9" w:themeFill="background1" w:themeFillShade="D9"/>
            <w:noWrap/>
            <w:hideMark/>
          </w:tcPr>
          <w:p w14:paraId="57C463E8" w14:textId="2DD1E77A" w:rsidR="00AE1859" w:rsidRPr="00B83411" w:rsidRDefault="00AE1859" w:rsidP="00AE1859">
            <w:pPr>
              <w:spacing w:before="60" w:after="60" w:line="240" w:lineRule="auto"/>
              <w:ind w:right="0"/>
              <w:jc w:val="center"/>
              <w:rPr>
                <w:rFonts w:eastAsia="Times New Roman" w:cs="Arial"/>
                <w:color w:val="000000"/>
                <w:lang w:eastAsia="en-AU"/>
              </w:rPr>
            </w:pPr>
            <w:r w:rsidRPr="00B83411">
              <w:t>8</w:t>
            </w:r>
            <w:r w:rsidR="00EF62DD" w:rsidRPr="00B83411">
              <w:t>6</w:t>
            </w:r>
          </w:p>
        </w:tc>
      </w:tr>
      <w:tr w:rsidR="00AE1859" w:rsidRPr="00B83411" w14:paraId="4A92A083" w14:textId="77777777">
        <w:trPr>
          <w:trHeight w:val="300"/>
        </w:trPr>
        <w:tc>
          <w:tcPr>
            <w:tcW w:w="4535" w:type="dxa"/>
            <w:tcBorders>
              <w:top w:val="nil"/>
              <w:left w:val="nil"/>
              <w:bottom w:val="nil"/>
              <w:right w:val="nil"/>
            </w:tcBorders>
            <w:noWrap/>
            <w:vAlign w:val="center"/>
            <w:hideMark/>
          </w:tcPr>
          <w:p w14:paraId="51AFE5B3"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Relevant</w:t>
            </w:r>
          </w:p>
        </w:tc>
        <w:tc>
          <w:tcPr>
            <w:tcW w:w="1342" w:type="dxa"/>
            <w:tcBorders>
              <w:top w:val="nil"/>
              <w:left w:val="nil"/>
              <w:bottom w:val="nil"/>
              <w:right w:val="nil"/>
            </w:tcBorders>
            <w:noWrap/>
            <w:hideMark/>
          </w:tcPr>
          <w:p w14:paraId="640BD7CC" w14:textId="16C5AE06" w:rsidR="00AE1859" w:rsidRPr="00B83411" w:rsidRDefault="00AE1859" w:rsidP="00AE1859">
            <w:pPr>
              <w:spacing w:before="60" w:after="60" w:line="240" w:lineRule="auto"/>
              <w:ind w:right="0"/>
              <w:jc w:val="center"/>
              <w:rPr>
                <w:rFonts w:eastAsia="Times New Roman" w:cs="Arial"/>
                <w:color w:val="000000"/>
                <w:lang w:eastAsia="en-AU"/>
              </w:rPr>
            </w:pPr>
            <w:r w:rsidRPr="00B83411">
              <w:t>93</w:t>
            </w:r>
          </w:p>
        </w:tc>
        <w:tc>
          <w:tcPr>
            <w:tcW w:w="1353" w:type="dxa"/>
            <w:tcBorders>
              <w:top w:val="nil"/>
              <w:left w:val="nil"/>
              <w:bottom w:val="nil"/>
              <w:right w:val="nil"/>
            </w:tcBorders>
            <w:noWrap/>
            <w:hideMark/>
          </w:tcPr>
          <w:p w14:paraId="356289CC" w14:textId="193BA8E9" w:rsidR="00AE1859" w:rsidRPr="00B83411" w:rsidRDefault="00AE1859" w:rsidP="00AE1859">
            <w:pPr>
              <w:spacing w:before="60" w:after="60" w:line="240" w:lineRule="auto"/>
              <w:ind w:right="0"/>
              <w:jc w:val="center"/>
              <w:rPr>
                <w:rFonts w:eastAsia="Times New Roman" w:cs="Arial"/>
                <w:color w:val="000000"/>
                <w:lang w:eastAsia="en-AU"/>
              </w:rPr>
            </w:pPr>
            <w:r w:rsidRPr="00B83411">
              <w:t>98</w:t>
            </w:r>
          </w:p>
        </w:tc>
        <w:tc>
          <w:tcPr>
            <w:tcW w:w="1134" w:type="dxa"/>
            <w:tcBorders>
              <w:top w:val="nil"/>
              <w:left w:val="nil"/>
              <w:bottom w:val="nil"/>
              <w:right w:val="nil"/>
            </w:tcBorders>
            <w:noWrap/>
            <w:hideMark/>
          </w:tcPr>
          <w:p w14:paraId="204D2509" w14:textId="439ED7AB" w:rsidR="00AE1859" w:rsidRPr="00B83411" w:rsidRDefault="00AE1859" w:rsidP="00AE1859">
            <w:pPr>
              <w:spacing w:before="60" w:after="60" w:line="240" w:lineRule="auto"/>
              <w:ind w:right="0"/>
              <w:jc w:val="center"/>
              <w:rPr>
                <w:rFonts w:eastAsia="Times New Roman" w:cs="Arial"/>
                <w:color w:val="000000"/>
                <w:lang w:eastAsia="en-AU"/>
              </w:rPr>
            </w:pPr>
            <w:r w:rsidRPr="00B83411">
              <w:t>96</w:t>
            </w:r>
          </w:p>
        </w:tc>
      </w:tr>
      <w:tr w:rsidR="00AE1859" w:rsidRPr="00B83411" w14:paraId="19C7312E"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76249E0C"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Easy to find information</w:t>
            </w:r>
          </w:p>
        </w:tc>
        <w:tc>
          <w:tcPr>
            <w:tcW w:w="1342" w:type="dxa"/>
            <w:tcBorders>
              <w:top w:val="nil"/>
              <w:left w:val="nil"/>
              <w:bottom w:val="nil"/>
              <w:right w:val="nil"/>
            </w:tcBorders>
            <w:shd w:val="clear" w:color="auto" w:fill="D9D9D9" w:themeFill="background1" w:themeFillShade="D9"/>
            <w:noWrap/>
            <w:hideMark/>
          </w:tcPr>
          <w:p w14:paraId="75D0381A" w14:textId="75D2592C" w:rsidR="00AE1859" w:rsidRPr="00B83411" w:rsidRDefault="00AE1859" w:rsidP="00AE1859">
            <w:pPr>
              <w:spacing w:before="60" w:after="60" w:line="240" w:lineRule="auto"/>
              <w:ind w:right="0"/>
              <w:jc w:val="center"/>
              <w:rPr>
                <w:rFonts w:eastAsia="Times New Roman" w:cs="Arial"/>
                <w:color w:val="000000"/>
                <w:lang w:eastAsia="en-AU"/>
              </w:rPr>
            </w:pPr>
            <w:r w:rsidRPr="00B83411">
              <w:t>74</w:t>
            </w:r>
          </w:p>
        </w:tc>
        <w:tc>
          <w:tcPr>
            <w:tcW w:w="1353" w:type="dxa"/>
            <w:tcBorders>
              <w:top w:val="nil"/>
              <w:left w:val="nil"/>
              <w:bottom w:val="nil"/>
              <w:right w:val="nil"/>
            </w:tcBorders>
            <w:shd w:val="clear" w:color="auto" w:fill="D9D9D9" w:themeFill="background1" w:themeFillShade="D9"/>
            <w:noWrap/>
            <w:hideMark/>
          </w:tcPr>
          <w:p w14:paraId="5005467D" w14:textId="0BC4FD09" w:rsidR="00AE1859" w:rsidRPr="00B83411" w:rsidRDefault="00AE1859" w:rsidP="00AE1859">
            <w:pPr>
              <w:spacing w:before="60" w:after="60" w:line="240" w:lineRule="auto"/>
              <w:ind w:right="0"/>
              <w:jc w:val="center"/>
              <w:rPr>
                <w:rFonts w:eastAsia="Times New Roman" w:cs="Arial"/>
                <w:color w:val="000000"/>
                <w:lang w:eastAsia="en-AU"/>
              </w:rPr>
            </w:pPr>
            <w:r w:rsidRPr="00B83411">
              <w:t>68</w:t>
            </w:r>
          </w:p>
        </w:tc>
        <w:tc>
          <w:tcPr>
            <w:tcW w:w="1134" w:type="dxa"/>
            <w:tcBorders>
              <w:top w:val="nil"/>
              <w:left w:val="nil"/>
              <w:bottom w:val="nil"/>
              <w:right w:val="nil"/>
            </w:tcBorders>
            <w:shd w:val="clear" w:color="auto" w:fill="D9D9D9" w:themeFill="background1" w:themeFillShade="D9"/>
            <w:noWrap/>
            <w:hideMark/>
          </w:tcPr>
          <w:p w14:paraId="756E0BCA" w14:textId="771D33EC" w:rsidR="00AE1859" w:rsidRPr="00B83411" w:rsidRDefault="00AE1859" w:rsidP="00AE1859">
            <w:pPr>
              <w:spacing w:before="60" w:after="60" w:line="240" w:lineRule="auto"/>
              <w:ind w:right="0"/>
              <w:jc w:val="center"/>
              <w:rPr>
                <w:rFonts w:eastAsia="Times New Roman" w:cs="Arial"/>
                <w:color w:val="000000"/>
                <w:lang w:eastAsia="en-AU"/>
              </w:rPr>
            </w:pPr>
            <w:r w:rsidRPr="00B83411">
              <w:t>71</w:t>
            </w:r>
          </w:p>
        </w:tc>
      </w:tr>
      <w:tr w:rsidR="00AE1859" w:rsidRPr="00B83411" w14:paraId="05B2EB1C" w14:textId="77777777">
        <w:trPr>
          <w:trHeight w:val="300"/>
        </w:trPr>
        <w:tc>
          <w:tcPr>
            <w:tcW w:w="4535" w:type="dxa"/>
            <w:tcBorders>
              <w:top w:val="nil"/>
              <w:left w:val="nil"/>
              <w:bottom w:val="nil"/>
              <w:right w:val="nil"/>
            </w:tcBorders>
            <w:noWrap/>
            <w:vAlign w:val="center"/>
            <w:hideMark/>
          </w:tcPr>
          <w:p w14:paraId="09B681AA"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Concise</w:t>
            </w:r>
          </w:p>
        </w:tc>
        <w:tc>
          <w:tcPr>
            <w:tcW w:w="1342" w:type="dxa"/>
            <w:tcBorders>
              <w:top w:val="nil"/>
              <w:left w:val="nil"/>
              <w:bottom w:val="nil"/>
              <w:right w:val="nil"/>
            </w:tcBorders>
            <w:noWrap/>
            <w:hideMark/>
          </w:tcPr>
          <w:p w14:paraId="399902F7" w14:textId="4AE83FBA" w:rsidR="00AE1859" w:rsidRPr="00B83411" w:rsidRDefault="00AE1859" w:rsidP="00AE1859">
            <w:pPr>
              <w:spacing w:before="60" w:after="60" w:line="240" w:lineRule="auto"/>
              <w:ind w:right="0"/>
              <w:jc w:val="center"/>
              <w:rPr>
                <w:rFonts w:eastAsia="Times New Roman" w:cs="Arial"/>
                <w:color w:val="000000"/>
                <w:lang w:eastAsia="en-AU"/>
              </w:rPr>
            </w:pPr>
            <w:r w:rsidRPr="00B83411">
              <w:t>85</w:t>
            </w:r>
          </w:p>
        </w:tc>
        <w:tc>
          <w:tcPr>
            <w:tcW w:w="1353" w:type="dxa"/>
            <w:tcBorders>
              <w:top w:val="nil"/>
              <w:left w:val="nil"/>
              <w:bottom w:val="nil"/>
              <w:right w:val="nil"/>
            </w:tcBorders>
            <w:noWrap/>
            <w:hideMark/>
          </w:tcPr>
          <w:p w14:paraId="3E139E04" w14:textId="49F873D0" w:rsidR="00AE1859" w:rsidRPr="00B83411" w:rsidRDefault="00AE1859" w:rsidP="00AE1859">
            <w:pPr>
              <w:spacing w:before="60" w:after="60" w:line="240" w:lineRule="auto"/>
              <w:ind w:right="0"/>
              <w:jc w:val="center"/>
              <w:rPr>
                <w:rFonts w:eastAsia="Times New Roman" w:cs="Arial"/>
                <w:color w:val="000000"/>
                <w:lang w:eastAsia="en-AU"/>
              </w:rPr>
            </w:pPr>
            <w:r w:rsidRPr="00B83411">
              <w:t>81</w:t>
            </w:r>
          </w:p>
        </w:tc>
        <w:tc>
          <w:tcPr>
            <w:tcW w:w="1134" w:type="dxa"/>
            <w:tcBorders>
              <w:top w:val="nil"/>
              <w:left w:val="nil"/>
              <w:bottom w:val="nil"/>
              <w:right w:val="nil"/>
            </w:tcBorders>
            <w:noWrap/>
            <w:hideMark/>
          </w:tcPr>
          <w:p w14:paraId="11A1C298" w14:textId="5DFE789E" w:rsidR="00AE1859" w:rsidRPr="00B83411" w:rsidRDefault="00AE1859" w:rsidP="00AE1859">
            <w:pPr>
              <w:spacing w:before="60" w:after="60" w:line="240" w:lineRule="auto"/>
              <w:ind w:right="0"/>
              <w:jc w:val="center"/>
              <w:rPr>
                <w:rFonts w:eastAsia="Times New Roman" w:cs="Arial"/>
                <w:color w:val="000000"/>
                <w:lang w:eastAsia="en-AU"/>
              </w:rPr>
            </w:pPr>
            <w:r w:rsidRPr="00B83411">
              <w:t>8</w:t>
            </w:r>
            <w:r w:rsidR="00EF62DD" w:rsidRPr="00B83411">
              <w:t>3</w:t>
            </w:r>
          </w:p>
        </w:tc>
      </w:tr>
      <w:tr w:rsidR="00AE1859" w:rsidRPr="00B83411" w14:paraId="5F95C1C5"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43E0B40D" w14:textId="48D84B2C" w:rsidR="00AE1859" w:rsidRPr="00B83411" w:rsidRDefault="00AE1859" w:rsidP="00AE1859">
            <w:pPr>
              <w:spacing w:before="60" w:after="60" w:line="240" w:lineRule="auto"/>
              <w:ind w:right="0"/>
              <w:rPr>
                <w:rFonts w:eastAsia="Times New Roman" w:cs="Arial"/>
                <w:b/>
                <w:bCs/>
                <w:color w:val="000000"/>
                <w:lang w:eastAsia="en-AU"/>
              </w:rPr>
            </w:pPr>
            <w:r w:rsidRPr="00B83411">
              <w:rPr>
                <w:rFonts w:eastAsia="Times New Roman" w:cs="Arial"/>
                <w:b/>
                <w:bCs/>
                <w:color w:val="000000"/>
                <w:lang w:eastAsia="en-AU"/>
              </w:rPr>
              <w:t xml:space="preserve">OIR website </w:t>
            </w:r>
            <w:r w:rsidRPr="00B83411">
              <w:rPr>
                <w:rFonts w:eastAsia="Times New Roman" w:cs="Arial"/>
                <w:i/>
                <w:iCs/>
                <w:color w:val="000000"/>
                <w:lang w:eastAsia="en-AU"/>
              </w:rPr>
              <w:t>n=21 answered this topic</w:t>
            </w:r>
          </w:p>
          <w:p w14:paraId="3BF232E4" w14:textId="4CCBDCC1"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Clear</w:t>
            </w:r>
          </w:p>
        </w:tc>
        <w:tc>
          <w:tcPr>
            <w:tcW w:w="1342" w:type="dxa"/>
            <w:tcBorders>
              <w:top w:val="nil"/>
              <w:left w:val="nil"/>
              <w:bottom w:val="nil"/>
              <w:right w:val="nil"/>
            </w:tcBorders>
            <w:shd w:val="clear" w:color="auto" w:fill="D9D9D9" w:themeFill="background1" w:themeFillShade="D9"/>
            <w:noWrap/>
            <w:hideMark/>
          </w:tcPr>
          <w:p w14:paraId="559724A0" w14:textId="7F2A5603" w:rsidR="00AE1859" w:rsidRPr="00B83411" w:rsidRDefault="00AE1859" w:rsidP="00AE1859">
            <w:pPr>
              <w:spacing w:before="60" w:after="60" w:line="240" w:lineRule="auto"/>
              <w:ind w:right="0"/>
              <w:jc w:val="center"/>
              <w:rPr>
                <w:rFonts w:eastAsia="Times New Roman" w:cs="Arial"/>
                <w:color w:val="000000"/>
                <w:lang w:eastAsia="en-AU"/>
              </w:rPr>
            </w:pPr>
            <w:r w:rsidRPr="00B83411">
              <w:t>89</w:t>
            </w:r>
          </w:p>
        </w:tc>
        <w:tc>
          <w:tcPr>
            <w:tcW w:w="1353" w:type="dxa"/>
            <w:tcBorders>
              <w:top w:val="nil"/>
              <w:left w:val="nil"/>
              <w:bottom w:val="nil"/>
              <w:right w:val="nil"/>
            </w:tcBorders>
            <w:shd w:val="clear" w:color="auto" w:fill="D9D9D9" w:themeFill="background1" w:themeFillShade="D9"/>
            <w:noWrap/>
            <w:hideMark/>
          </w:tcPr>
          <w:p w14:paraId="2264F920" w14:textId="33EA836C" w:rsidR="00AE1859" w:rsidRPr="00B83411" w:rsidRDefault="00AE1859" w:rsidP="00AE1859">
            <w:pPr>
              <w:spacing w:before="60" w:after="60" w:line="240" w:lineRule="auto"/>
              <w:ind w:right="0"/>
              <w:jc w:val="center"/>
              <w:rPr>
                <w:rFonts w:eastAsia="Times New Roman" w:cs="Arial"/>
                <w:color w:val="000000"/>
                <w:lang w:eastAsia="en-AU"/>
              </w:rPr>
            </w:pPr>
            <w:r w:rsidRPr="00B83411">
              <w:t>92</w:t>
            </w:r>
          </w:p>
        </w:tc>
        <w:tc>
          <w:tcPr>
            <w:tcW w:w="1134" w:type="dxa"/>
            <w:tcBorders>
              <w:top w:val="nil"/>
              <w:left w:val="nil"/>
              <w:bottom w:val="nil"/>
              <w:right w:val="nil"/>
            </w:tcBorders>
            <w:shd w:val="clear" w:color="auto" w:fill="D9D9D9" w:themeFill="background1" w:themeFillShade="D9"/>
            <w:noWrap/>
            <w:hideMark/>
          </w:tcPr>
          <w:p w14:paraId="16B602CA" w14:textId="335BF483" w:rsidR="00AE1859" w:rsidRPr="00B83411" w:rsidRDefault="00AE1859" w:rsidP="00AE1859">
            <w:pPr>
              <w:spacing w:before="60" w:after="60" w:line="240" w:lineRule="auto"/>
              <w:ind w:right="0"/>
              <w:jc w:val="center"/>
              <w:rPr>
                <w:rFonts w:eastAsia="Times New Roman" w:cs="Arial"/>
                <w:color w:val="000000"/>
                <w:lang w:eastAsia="en-AU"/>
              </w:rPr>
            </w:pPr>
            <w:r w:rsidRPr="00B83411">
              <w:t>9</w:t>
            </w:r>
            <w:r w:rsidR="00EF62DD" w:rsidRPr="00B83411">
              <w:t>0</w:t>
            </w:r>
          </w:p>
        </w:tc>
      </w:tr>
      <w:tr w:rsidR="00AE1859" w:rsidRPr="00B83411" w14:paraId="7F521D34" w14:textId="77777777">
        <w:trPr>
          <w:trHeight w:val="300"/>
        </w:trPr>
        <w:tc>
          <w:tcPr>
            <w:tcW w:w="4535" w:type="dxa"/>
            <w:tcBorders>
              <w:top w:val="nil"/>
              <w:left w:val="nil"/>
              <w:bottom w:val="nil"/>
              <w:right w:val="nil"/>
            </w:tcBorders>
            <w:noWrap/>
            <w:vAlign w:val="center"/>
            <w:hideMark/>
          </w:tcPr>
          <w:p w14:paraId="0F3779DC"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Relevant</w:t>
            </w:r>
          </w:p>
        </w:tc>
        <w:tc>
          <w:tcPr>
            <w:tcW w:w="1342" w:type="dxa"/>
            <w:tcBorders>
              <w:top w:val="nil"/>
              <w:left w:val="nil"/>
              <w:bottom w:val="nil"/>
              <w:right w:val="nil"/>
            </w:tcBorders>
            <w:noWrap/>
            <w:hideMark/>
          </w:tcPr>
          <w:p w14:paraId="5E4AB7D9" w14:textId="72FDAB07" w:rsidR="00AE1859" w:rsidRPr="00B83411" w:rsidRDefault="00AE1859" w:rsidP="00AE1859">
            <w:pPr>
              <w:spacing w:before="60" w:after="60" w:line="240" w:lineRule="auto"/>
              <w:ind w:right="0"/>
              <w:jc w:val="center"/>
              <w:rPr>
                <w:rFonts w:eastAsia="Times New Roman" w:cs="Arial"/>
                <w:color w:val="000000"/>
                <w:lang w:eastAsia="en-AU"/>
              </w:rPr>
            </w:pPr>
            <w:r w:rsidRPr="00B83411">
              <w:t>89</w:t>
            </w:r>
          </w:p>
        </w:tc>
        <w:tc>
          <w:tcPr>
            <w:tcW w:w="1353" w:type="dxa"/>
            <w:tcBorders>
              <w:top w:val="nil"/>
              <w:left w:val="nil"/>
              <w:bottom w:val="nil"/>
              <w:right w:val="nil"/>
            </w:tcBorders>
            <w:noWrap/>
            <w:hideMark/>
          </w:tcPr>
          <w:p w14:paraId="737BF23F" w14:textId="2A05F51B" w:rsidR="00AE1859" w:rsidRPr="00B83411" w:rsidRDefault="00AE1859" w:rsidP="00AE1859">
            <w:pPr>
              <w:spacing w:before="60" w:after="60" w:line="240" w:lineRule="auto"/>
              <w:ind w:right="0"/>
              <w:jc w:val="center"/>
              <w:rPr>
                <w:rFonts w:eastAsia="Times New Roman" w:cs="Arial"/>
                <w:color w:val="000000"/>
                <w:lang w:eastAsia="en-AU"/>
              </w:rPr>
            </w:pPr>
            <w:r w:rsidRPr="00B83411">
              <w:t>92</w:t>
            </w:r>
          </w:p>
        </w:tc>
        <w:tc>
          <w:tcPr>
            <w:tcW w:w="1134" w:type="dxa"/>
            <w:tcBorders>
              <w:top w:val="nil"/>
              <w:left w:val="nil"/>
              <w:bottom w:val="nil"/>
              <w:right w:val="nil"/>
            </w:tcBorders>
            <w:noWrap/>
            <w:hideMark/>
          </w:tcPr>
          <w:p w14:paraId="750942BC" w14:textId="0929A028" w:rsidR="00AE1859" w:rsidRPr="00B83411" w:rsidRDefault="00AE1859" w:rsidP="00AE1859">
            <w:pPr>
              <w:spacing w:before="60" w:after="60" w:line="240" w:lineRule="auto"/>
              <w:ind w:right="0"/>
              <w:jc w:val="center"/>
              <w:rPr>
                <w:rFonts w:eastAsia="Times New Roman" w:cs="Arial"/>
                <w:color w:val="000000"/>
                <w:lang w:eastAsia="en-AU"/>
              </w:rPr>
            </w:pPr>
            <w:r w:rsidRPr="00B83411">
              <w:t>9</w:t>
            </w:r>
            <w:r w:rsidR="00EF62DD" w:rsidRPr="00B83411">
              <w:t>0</w:t>
            </w:r>
          </w:p>
        </w:tc>
      </w:tr>
      <w:tr w:rsidR="00AE1859" w:rsidRPr="00B83411" w14:paraId="341458AE" w14:textId="77777777">
        <w:trPr>
          <w:trHeight w:val="300"/>
        </w:trPr>
        <w:tc>
          <w:tcPr>
            <w:tcW w:w="4535" w:type="dxa"/>
            <w:tcBorders>
              <w:top w:val="nil"/>
              <w:left w:val="nil"/>
              <w:right w:val="nil"/>
            </w:tcBorders>
            <w:shd w:val="clear" w:color="auto" w:fill="D9D9D9" w:themeFill="background1" w:themeFillShade="D9"/>
            <w:noWrap/>
            <w:vAlign w:val="center"/>
            <w:hideMark/>
          </w:tcPr>
          <w:p w14:paraId="0C375E49"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Easy to find information</w:t>
            </w:r>
          </w:p>
        </w:tc>
        <w:tc>
          <w:tcPr>
            <w:tcW w:w="1342" w:type="dxa"/>
            <w:tcBorders>
              <w:top w:val="nil"/>
              <w:left w:val="nil"/>
              <w:right w:val="nil"/>
            </w:tcBorders>
            <w:shd w:val="clear" w:color="auto" w:fill="D9D9D9" w:themeFill="background1" w:themeFillShade="D9"/>
            <w:noWrap/>
            <w:hideMark/>
          </w:tcPr>
          <w:p w14:paraId="4328DCE1" w14:textId="08AD877B" w:rsidR="00AE1859" w:rsidRPr="00B83411" w:rsidRDefault="00AE1859" w:rsidP="00AE1859">
            <w:pPr>
              <w:spacing w:before="60" w:after="60" w:line="240" w:lineRule="auto"/>
              <w:ind w:right="0"/>
              <w:jc w:val="center"/>
              <w:rPr>
                <w:rFonts w:eastAsia="Times New Roman" w:cs="Arial"/>
                <w:color w:val="000000"/>
                <w:lang w:eastAsia="en-AU"/>
              </w:rPr>
            </w:pPr>
            <w:r w:rsidRPr="00B83411">
              <w:t>89</w:t>
            </w:r>
          </w:p>
        </w:tc>
        <w:tc>
          <w:tcPr>
            <w:tcW w:w="1353" w:type="dxa"/>
            <w:tcBorders>
              <w:top w:val="nil"/>
              <w:left w:val="nil"/>
              <w:right w:val="nil"/>
            </w:tcBorders>
            <w:shd w:val="clear" w:color="auto" w:fill="D9D9D9" w:themeFill="background1" w:themeFillShade="D9"/>
            <w:noWrap/>
            <w:hideMark/>
          </w:tcPr>
          <w:p w14:paraId="11AE6CB9" w14:textId="3BF35D13" w:rsidR="00AE1859" w:rsidRPr="00B83411" w:rsidRDefault="00AE1859" w:rsidP="00AE1859">
            <w:pPr>
              <w:spacing w:before="60" w:after="60" w:line="240" w:lineRule="auto"/>
              <w:ind w:right="0"/>
              <w:jc w:val="center"/>
              <w:rPr>
                <w:rFonts w:eastAsia="Times New Roman" w:cs="Arial"/>
                <w:color w:val="000000"/>
                <w:lang w:eastAsia="en-AU"/>
              </w:rPr>
            </w:pPr>
            <w:r w:rsidRPr="00B83411">
              <w:t>92</w:t>
            </w:r>
          </w:p>
        </w:tc>
        <w:tc>
          <w:tcPr>
            <w:tcW w:w="1134" w:type="dxa"/>
            <w:tcBorders>
              <w:top w:val="nil"/>
              <w:left w:val="nil"/>
              <w:right w:val="nil"/>
            </w:tcBorders>
            <w:shd w:val="clear" w:color="auto" w:fill="D9D9D9" w:themeFill="background1" w:themeFillShade="D9"/>
            <w:noWrap/>
            <w:hideMark/>
          </w:tcPr>
          <w:p w14:paraId="6B8DA589" w14:textId="0360306C" w:rsidR="00AE1859" w:rsidRPr="00B83411" w:rsidRDefault="00AE1859" w:rsidP="00AE1859">
            <w:pPr>
              <w:spacing w:before="60" w:after="60" w:line="240" w:lineRule="auto"/>
              <w:ind w:right="0"/>
              <w:jc w:val="center"/>
              <w:rPr>
                <w:rFonts w:eastAsia="Times New Roman" w:cs="Arial"/>
                <w:color w:val="000000"/>
                <w:lang w:eastAsia="en-AU"/>
              </w:rPr>
            </w:pPr>
            <w:r w:rsidRPr="00B83411">
              <w:t>9</w:t>
            </w:r>
            <w:r w:rsidR="00EF62DD" w:rsidRPr="00B83411">
              <w:t>0</w:t>
            </w:r>
          </w:p>
        </w:tc>
      </w:tr>
      <w:tr w:rsidR="00AE1859" w:rsidRPr="00B83411" w14:paraId="2B3A2ADA" w14:textId="77777777">
        <w:trPr>
          <w:trHeight w:val="300"/>
        </w:trPr>
        <w:tc>
          <w:tcPr>
            <w:tcW w:w="4535" w:type="dxa"/>
            <w:tcBorders>
              <w:top w:val="nil"/>
              <w:left w:val="nil"/>
              <w:bottom w:val="single" w:sz="4" w:space="0" w:color="auto"/>
              <w:right w:val="nil"/>
            </w:tcBorders>
            <w:noWrap/>
            <w:vAlign w:val="center"/>
            <w:hideMark/>
          </w:tcPr>
          <w:p w14:paraId="0B9AD1DF" w14:textId="77777777" w:rsidR="00AE1859" w:rsidRPr="00B83411" w:rsidRDefault="00AE1859" w:rsidP="00AE1859">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Concise</w:t>
            </w:r>
          </w:p>
        </w:tc>
        <w:tc>
          <w:tcPr>
            <w:tcW w:w="1342" w:type="dxa"/>
            <w:tcBorders>
              <w:top w:val="nil"/>
              <w:left w:val="nil"/>
              <w:bottom w:val="single" w:sz="4" w:space="0" w:color="auto"/>
              <w:right w:val="nil"/>
            </w:tcBorders>
            <w:noWrap/>
            <w:hideMark/>
          </w:tcPr>
          <w:p w14:paraId="4D721680" w14:textId="61E45695" w:rsidR="00AE1859" w:rsidRPr="00B83411" w:rsidRDefault="00AE1859" w:rsidP="00AE1859">
            <w:pPr>
              <w:spacing w:before="60" w:after="60" w:line="240" w:lineRule="auto"/>
              <w:ind w:right="0"/>
              <w:jc w:val="center"/>
              <w:rPr>
                <w:rFonts w:eastAsia="Times New Roman" w:cs="Arial"/>
                <w:color w:val="000000"/>
                <w:lang w:eastAsia="en-AU"/>
              </w:rPr>
            </w:pPr>
            <w:r w:rsidRPr="00B83411">
              <w:t>89</w:t>
            </w:r>
          </w:p>
        </w:tc>
        <w:tc>
          <w:tcPr>
            <w:tcW w:w="1353" w:type="dxa"/>
            <w:tcBorders>
              <w:top w:val="nil"/>
              <w:left w:val="nil"/>
              <w:bottom w:val="single" w:sz="4" w:space="0" w:color="auto"/>
              <w:right w:val="nil"/>
            </w:tcBorders>
            <w:noWrap/>
            <w:hideMark/>
          </w:tcPr>
          <w:p w14:paraId="2CD61913" w14:textId="4EC51D35" w:rsidR="00AE1859" w:rsidRPr="00B83411" w:rsidRDefault="00AE1859" w:rsidP="00AE1859">
            <w:pPr>
              <w:spacing w:before="60" w:after="60" w:line="240" w:lineRule="auto"/>
              <w:ind w:right="0"/>
              <w:jc w:val="center"/>
              <w:rPr>
                <w:rFonts w:eastAsia="Times New Roman" w:cs="Arial"/>
                <w:color w:val="000000"/>
                <w:lang w:eastAsia="en-AU"/>
              </w:rPr>
            </w:pPr>
            <w:r w:rsidRPr="00B83411">
              <w:t>92</w:t>
            </w:r>
          </w:p>
        </w:tc>
        <w:tc>
          <w:tcPr>
            <w:tcW w:w="1134" w:type="dxa"/>
            <w:tcBorders>
              <w:top w:val="nil"/>
              <w:left w:val="nil"/>
              <w:bottom w:val="single" w:sz="4" w:space="0" w:color="auto"/>
              <w:right w:val="nil"/>
            </w:tcBorders>
            <w:noWrap/>
            <w:hideMark/>
          </w:tcPr>
          <w:p w14:paraId="2C8CA8F3" w14:textId="36227912" w:rsidR="00AE1859" w:rsidRPr="00B83411" w:rsidRDefault="00AE1859" w:rsidP="00AE1859">
            <w:pPr>
              <w:spacing w:before="60" w:after="60" w:line="240" w:lineRule="auto"/>
              <w:ind w:right="0"/>
              <w:jc w:val="center"/>
              <w:rPr>
                <w:rFonts w:eastAsia="Times New Roman" w:cs="Arial"/>
                <w:color w:val="000000"/>
                <w:lang w:eastAsia="en-AU"/>
              </w:rPr>
            </w:pPr>
            <w:r w:rsidRPr="00B83411">
              <w:t>9</w:t>
            </w:r>
            <w:r w:rsidR="00EF62DD" w:rsidRPr="00B83411">
              <w:t>0</w:t>
            </w:r>
          </w:p>
        </w:tc>
      </w:tr>
    </w:tbl>
    <w:p w14:paraId="4A34AE84" w14:textId="77777777" w:rsidR="00EE69B4" w:rsidRPr="00B83411" w:rsidRDefault="00EE69B4" w:rsidP="00DF2A4F">
      <w:pPr>
        <w:pStyle w:val="Heading2"/>
      </w:pPr>
    </w:p>
    <w:p w14:paraId="498483FC" w14:textId="77777777" w:rsidR="00EE69B4" w:rsidRPr="00B83411" w:rsidRDefault="00EE69B4">
      <w:pPr>
        <w:spacing w:before="0" w:line="240" w:lineRule="auto"/>
        <w:ind w:right="0"/>
        <w:rPr>
          <w:rFonts w:ascii="Arial" w:hAnsi="Arial"/>
          <w:color w:val="00376E"/>
          <w:sz w:val="28"/>
        </w:rPr>
      </w:pPr>
      <w:r w:rsidRPr="00B83411">
        <w:br w:type="page"/>
      </w:r>
    </w:p>
    <w:p w14:paraId="2F93EAB5" w14:textId="6217E3A1" w:rsidR="002707A8" w:rsidRPr="00B83411" w:rsidRDefault="00DF2A4F" w:rsidP="00DF2A4F">
      <w:pPr>
        <w:pStyle w:val="Heading2"/>
      </w:pPr>
      <w:bookmarkStart w:id="29" w:name="_Toc213926354"/>
      <w:r w:rsidRPr="00B83411">
        <w:t xml:space="preserve">Digital </w:t>
      </w:r>
      <w:r w:rsidR="001D4613" w:rsidRPr="00B83411">
        <w:t>application</w:t>
      </w:r>
      <w:r w:rsidRPr="00B83411">
        <w:t xml:space="preserve"> comments</w:t>
      </w:r>
      <w:bookmarkEnd w:id="29"/>
    </w:p>
    <w:p w14:paraId="713E95B6" w14:textId="77777777" w:rsidR="006741B3" w:rsidRPr="00B83411" w:rsidRDefault="002C1039" w:rsidP="006741B3">
      <w:pPr>
        <w:spacing w:after="120"/>
      </w:pPr>
      <w:r w:rsidRPr="00B83411">
        <w:t xml:space="preserve">All respondents, irrespective of whether or not they used an application or platform were asked </w:t>
      </w:r>
      <w:r w:rsidRPr="00B83411">
        <w:rPr>
          <w:i/>
          <w:iCs/>
        </w:rPr>
        <w:t>“What one thing could the Titles Administrator / Registrar do to improve its digital systems.</w:t>
      </w:r>
      <w:r w:rsidRPr="00B83411">
        <w:t xml:space="preserve"> </w:t>
      </w:r>
      <w:r w:rsidR="00C93DF0" w:rsidRPr="00B83411">
        <w:t xml:space="preserve">A total of 28 respondents provided one or more suggestions. </w:t>
      </w:r>
      <w:r w:rsidR="001D4613" w:rsidRPr="00B83411">
        <w:t>These are offered verbatim</w:t>
      </w:r>
      <w:r w:rsidR="00C93DF0" w:rsidRPr="00B83411">
        <w:t xml:space="preserve"> below--</w:t>
      </w:r>
      <w:r w:rsidRPr="00B83411">
        <w:t>as entered by respondents.</w:t>
      </w:r>
      <w:r w:rsidR="00C93DF0" w:rsidRPr="00B83411">
        <w:t xml:space="preserve"> </w:t>
      </w:r>
    </w:p>
    <w:p w14:paraId="2F8EB265" w14:textId="77777777" w:rsidR="006741B3" w:rsidRPr="00B83411" w:rsidRDefault="002C1039" w:rsidP="006741B3">
      <w:pPr>
        <w:spacing w:after="120"/>
      </w:pPr>
      <w:r w:rsidRPr="00B83411">
        <w:t>Th</w:t>
      </w:r>
      <w:r w:rsidR="001D4613" w:rsidRPr="00B83411">
        <w:t xml:space="preserve">ere </w:t>
      </w:r>
      <w:r w:rsidR="006741B3" w:rsidRPr="00B83411">
        <w:t>are few</w:t>
      </w:r>
      <w:r w:rsidR="001D4613" w:rsidRPr="00B83411">
        <w:t xml:space="preserve"> common themes among the comments</w:t>
      </w:r>
      <w:r w:rsidR="00C93DF0" w:rsidRPr="00B83411">
        <w:t xml:space="preserve"> except for</w:t>
      </w:r>
      <w:r w:rsidR="006741B3" w:rsidRPr="00B83411">
        <w:t>:</w:t>
      </w:r>
    </w:p>
    <w:p w14:paraId="08F3DC0A" w14:textId="03517182" w:rsidR="006741B3" w:rsidRPr="00B83411" w:rsidRDefault="00B46CF3" w:rsidP="0068089E">
      <w:pPr>
        <w:pStyle w:val="ListParagraph"/>
        <w:numPr>
          <w:ilvl w:val="0"/>
          <w:numId w:val="18"/>
        </w:numPr>
      </w:pPr>
      <w:r w:rsidRPr="00B83411">
        <w:rPr>
          <w:b/>
          <w:bCs/>
        </w:rPr>
        <w:t>I</w:t>
      </w:r>
      <w:r w:rsidR="00C93DF0" w:rsidRPr="00B83411">
        <w:rPr>
          <w:b/>
          <w:bCs/>
        </w:rPr>
        <w:t>mproving search functionality</w:t>
      </w:r>
      <w:r w:rsidR="001D4613" w:rsidRPr="00B83411">
        <w:t xml:space="preserve">. </w:t>
      </w:r>
      <w:r w:rsidR="006741B3" w:rsidRPr="00B83411">
        <w:t xml:space="preserve">This feature was the lowest scoring item for all application / platforms except the OIR website (which also had a lower response sample compared with other applications / platforms). </w:t>
      </w:r>
    </w:p>
    <w:p w14:paraId="0B6638FA" w14:textId="4758001E" w:rsidR="006741B3" w:rsidRPr="00B83411" w:rsidRDefault="006741B3" w:rsidP="0068089E">
      <w:pPr>
        <w:pStyle w:val="ListParagraph"/>
        <w:numPr>
          <w:ilvl w:val="0"/>
          <w:numId w:val="18"/>
        </w:numPr>
      </w:pPr>
      <w:r w:rsidRPr="00B83411">
        <w:t xml:space="preserve">Generally NEATS needing an </w:t>
      </w:r>
      <w:r w:rsidR="006B7D34" w:rsidRPr="00B83411">
        <w:t>upgrade or revamp</w:t>
      </w:r>
      <w:r w:rsidRPr="00B83411">
        <w:t xml:space="preserve"> to be more intuitive</w:t>
      </w:r>
      <w:r w:rsidR="008E1327" w:rsidRPr="00B83411">
        <w:t>,</w:t>
      </w:r>
      <w:r w:rsidRPr="00B83411">
        <w:t xml:space="preserve"> easier to use </w:t>
      </w:r>
      <w:r w:rsidR="008E1327" w:rsidRPr="00B83411">
        <w:t>and more integrated with other applications.</w:t>
      </w:r>
    </w:p>
    <w:p w14:paraId="6F35BCE1" w14:textId="77361553" w:rsidR="001D4613" w:rsidRPr="00B83411" w:rsidRDefault="008E1327" w:rsidP="00C93DF0">
      <w:pPr>
        <w:spacing w:after="240"/>
      </w:pPr>
      <w:r w:rsidRPr="00B83411">
        <w:t>A number of</w:t>
      </w:r>
      <w:r w:rsidR="001D4613" w:rsidRPr="00B83411">
        <w:t xml:space="preserve"> </w:t>
      </w:r>
      <w:r w:rsidR="006741B3" w:rsidRPr="00B83411">
        <w:t>suggestions were unique and about</w:t>
      </w:r>
      <w:r w:rsidR="001D4613" w:rsidRPr="00B83411">
        <w:t xml:space="preserve"> specific functionality improvements.</w:t>
      </w:r>
    </w:p>
    <w:p w14:paraId="6191C528" w14:textId="50380473" w:rsidR="00CB4A78" w:rsidRDefault="00CB4A78" w:rsidP="00611DAD">
      <w:pPr>
        <w:pStyle w:val="Caption"/>
        <w:keepNext/>
      </w:pPr>
      <w:r>
        <w:t xml:space="preserve">Table </w:t>
      </w:r>
      <w:r>
        <w:fldChar w:fldCharType="begin"/>
      </w:r>
      <w:r>
        <w:instrText xml:space="preserve"> SEQ Table \* ARABIC </w:instrText>
      </w:r>
      <w:r>
        <w:fldChar w:fldCharType="separate"/>
      </w:r>
      <w:r w:rsidR="00C350E2">
        <w:rPr>
          <w:noProof/>
        </w:rPr>
        <w:t>15</w:t>
      </w:r>
      <w:r>
        <w:fldChar w:fldCharType="end"/>
      </w:r>
      <w:r>
        <w:t xml:space="preserve">: Digital </w:t>
      </w:r>
      <w:r w:rsidR="000C0122">
        <w:t>system improvemen</w:t>
      </w:r>
    </w:p>
    <w:tbl>
      <w:tblPr>
        <w:tblW w:w="8647" w:type="dxa"/>
        <w:tblBorders>
          <w:bottom w:val="single" w:sz="4" w:space="0" w:color="auto"/>
          <w:insideH w:val="single" w:sz="4" w:space="0" w:color="auto"/>
        </w:tblBorders>
        <w:tblLook w:val="04A0" w:firstRow="1" w:lastRow="0" w:firstColumn="1" w:lastColumn="0" w:noHBand="0" w:noVBand="1"/>
      </w:tblPr>
      <w:tblGrid>
        <w:gridCol w:w="8647"/>
      </w:tblGrid>
      <w:tr w:rsidR="00C93DF0" w:rsidRPr="00B83411" w14:paraId="30C3D0EC" w14:textId="77777777" w:rsidTr="00C93DF0">
        <w:trPr>
          <w:trHeight w:val="255"/>
          <w:tblHeader/>
        </w:trPr>
        <w:tc>
          <w:tcPr>
            <w:tcW w:w="8647" w:type="dxa"/>
            <w:shd w:val="clear" w:color="auto" w:fill="003366"/>
            <w:noWrap/>
            <w:vAlign w:val="bottom"/>
          </w:tcPr>
          <w:p w14:paraId="6396F1B6" w14:textId="622465B6" w:rsidR="00C93DF0" w:rsidRPr="00B83411" w:rsidRDefault="00C93DF0" w:rsidP="00C93DF0">
            <w:pPr>
              <w:spacing w:before="60" w:after="60"/>
              <w:ind w:right="39"/>
              <w:rPr>
                <w:rFonts w:ascii="Arial" w:eastAsia="Times New Roman" w:hAnsi="Arial" w:cs="Arial"/>
                <w:i/>
                <w:iCs/>
                <w:color w:val="000000"/>
                <w:lang w:eastAsia="en-AU"/>
              </w:rPr>
            </w:pPr>
            <w:r w:rsidRPr="00B83411">
              <w:rPr>
                <w:b/>
                <w:bCs/>
                <w:sz w:val="22"/>
                <w:szCs w:val="22"/>
              </w:rPr>
              <w:t>Digital system improvement suggestions</w:t>
            </w:r>
          </w:p>
        </w:tc>
      </w:tr>
      <w:tr w:rsidR="00597DAB" w:rsidRPr="00B83411" w14:paraId="473A200F" w14:textId="77777777" w:rsidTr="00597DAB">
        <w:trPr>
          <w:trHeight w:val="255"/>
        </w:trPr>
        <w:tc>
          <w:tcPr>
            <w:tcW w:w="8647" w:type="dxa"/>
            <w:noWrap/>
            <w:vAlign w:val="bottom"/>
            <w:hideMark/>
          </w:tcPr>
          <w:p w14:paraId="3D9CE641" w14:textId="1A1F54C9"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We find both NEATS and NOPIMs quite functional and good once we became familiar with the overall layout. Make the public portal application tracking data match the user login application tracking. The submission of applications is quite cumbersome and we have frequently submitted physical copies to avoid doubt - an online submissions portal with tracking would be a great step forward.</w:t>
            </w:r>
          </w:p>
        </w:tc>
      </w:tr>
      <w:tr w:rsidR="00597DAB" w:rsidRPr="00B83411" w14:paraId="61E0D0D3" w14:textId="77777777" w:rsidTr="00597DAB">
        <w:trPr>
          <w:trHeight w:val="255"/>
        </w:trPr>
        <w:tc>
          <w:tcPr>
            <w:tcW w:w="8647" w:type="dxa"/>
            <w:noWrap/>
            <w:vAlign w:val="bottom"/>
            <w:hideMark/>
          </w:tcPr>
          <w:p w14:paraId="1BECAE20"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There used to be an option to search by title on the NEATS page. This appears to not be the case now (or if it is, then it's not that obvious). The only search function seems to be in the interactive map.</w:t>
            </w:r>
          </w:p>
        </w:tc>
      </w:tr>
      <w:tr w:rsidR="00597DAB" w:rsidRPr="00B83411" w14:paraId="1721FBD6" w14:textId="77777777" w:rsidTr="00597DAB">
        <w:trPr>
          <w:trHeight w:val="255"/>
        </w:trPr>
        <w:tc>
          <w:tcPr>
            <w:tcW w:w="8647" w:type="dxa"/>
            <w:noWrap/>
            <w:vAlign w:val="bottom"/>
            <w:hideMark/>
          </w:tcPr>
          <w:p w14:paraId="08B80845"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The site has all the relevant information but presented in a very technical and not necessarily user friendly way. Instead of one page different pages may be better. Also good to present a flow diagram as to how to apply for a licence.</w:t>
            </w:r>
          </w:p>
        </w:tc>
      </w:tr>
      <w:tr w:rsidR="00597DAB" w:rsidRPr="00B83411" w14:paraId="265CE574" w14:textId="77777777" w:rsidTr="00597DAB">
        <w:trPr>
          <w:trHeight w:val="255"/>
        </w:trPr>
        <w:tc>
          <w:tcPr>
            <w:tcW w:w="8647" w:type="dxa"/>
            <w:noWrap/>
            <w:vAlign w:val="bottom"/>
            <w:hideMark/>
          </w:tcPr>
          <w:p w14:paraId="0DC70023"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The search functionality is limited, i.e. inability to return one step in a search process - the search often needs to return to the first step in the process.</w:t>
            </w:r>
          </w:p>
        </w:tc>
      </w:tr>
      <w:tr w:rsidR="00597DAB" w:rsidRPr="00B83411" w14:paraId="006990F0" w14:textId="77777777" w:rsidTr="00597DAB">
        <w:trPr>
          <w:trHeight w:val="255"/>
        </w:trPr>
        <w:tc>
          <w:tcPr>
            <w:tcW w:w="8647" w:type="dxa"/>
            <w:noWrap/>
            <w:vAlign w:val="bottom"/>
            <w:hideMark/>
          </w:tcPr>
          <w:p w14:paraId="54DB6975"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The NEATS portal is difficult to use for submission of applications / communication and could be improved as it requires support through other methods of submission as a result. and is not very interactive.</w:t>
            </w:r>
          </w:p>
        </w:tc>
      </w:tr>
      <w:tr w:rsidR="00597DAB" w:rsidRPr="00B83411" w14:paraId="6778BAF9" w14:textId="77777777" w:rsidTr="00597DAB">
        <w:trPr>
          <w:trHeight w:val="255"/>
        </w:trPr>
        <w:tc>
          <w:tcPr>
            <w:tcW w:w="8647" w:type="dxa"/>
            <w:noWrap/>
            <w:vAlign w:val="bottom"/>
            <w:hideMark/>
          </w:tcPr>
          <w:p w14:paraId="6CE9FC16" w14:textId="16FEF84A"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 xml:space="preserve">The forms and templates are still pdf based - may be more efficient to use a portal with pre-filled information on each title that avoids duplication. </w:t>
            </w:r>
          </w:p>
        </w:tc>
      </w:tr>
      <w:tr w:rsidR="00597DAB" w:rsidRPr="00B83411" w14:paraId="1586ABD1" w14:textId="77777777" w:rsidTr="00597DAB">
        <w:trPr>
          <w:trHeight w:val="255"/>
        </w:trPr>
        <w:tc>
          <w:tcPr>
            <w:tcW w:w="8647" w:type="dxa"/>
            <w:noWrap/>
            <w:vAlign w:val="bottom"/>
            <w:hideMark/>
          </w:tcPr>
          <w:p w14:paraId="1DA9C8BD"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Splitting documents by guideline v factsheet on NOPTA's website is not very helpful, it's hard to understand what the difference between one and the other is and where you might find what you need. Suggest thematic sorting might be easier to navigate i.e. everything related to GHG is one spot, everything related to petroleum exploration in one spot etc.</w:t>
            </w:r>
          </w:p>
        </w:tc>
      </w:tr>
      <w:tr w:rsidR="00597DAB" w:rsidRPr="00B83411" w14:paraId="6BB94ABE" w14:textId="77777777" w:rsidTr="00597DAB">
        <w:trPr>
          <w:trHeight w:val="255"/>
        </w:trPr>
        <w:tc>
          <w:tcPr>
            <w:tcW w:w="8647" w:type="dxa"/>
            <w:noWrap/>
            <w:vAlign w:val="bottom"/>
            <w:hideMark/>
          </w:tcPr>
          <w:p w14:paraId="6A7A2A65" w14:textId="4E87F3D1" w:rsidR="00597DAB" w:rsidRPr="00B83411" w:rsidRDefault="002C1039"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R</w:t>
            </w:r>
            <w:r w:rsidR="00597DAB" w:rsidRPr="00B83411">
              <w:rPr>
                <w:rFonts w:ascii="Arial" w:eastAsia="Times New Roman" w:hAnsi="Arial" w:cs="Arial"/>
                <w:i/>
                <w:iCs/>
                <w:color w:val="000000"/>
                <w:lang w:eastAsia="en-AU"/>
              </w:rPr>
              <w:t>eally appreciate the guidelines and fact sheets. I refer to these often</w:t>
            </w:r>
            <w:r w:rsidRPr="00B83411">
              <w:rPr>
                <w:rFonts w:ascii="Arial" w:eastAsia="Times New Roman" w:hAnsi="Arial" w:cs="Arial"/>
                <w:i/>
                <w:iCs/>
                <w:color w:val="000000"/>
                <w:lang w:eastAsia="en-AU"/>
              </w:rPr>
              <w:t>.</w:t>
            </w:r>
          </w:p>
        </w:tc>
      </w:tr>
      <w:tr w:rsidR="00597DAB" w:rsidRPr="00B83411" w14:paraId="33BE79E9" w14:textId="77777777" w:rsidTr="00597DAB">
        <w:trPr>
          <w:trHeight w:val="255"/>
        </w:trPr>
        <w:tc>
          <w:tcPr>
            <w:tcW w:w="8647" w:type="dxa"/>
            <w:noWrap/>
            <w:vAlign w:val="bottom"/>
            <w:hideMark/>
          </w:tcPr>
          <w:p w14:paraId="3E754400" w14:textId="7BF38CD8"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NOPTA website | a FAQ for non-well or new seismic data submissions ie providing insights to reprocessed data submission requirements submission timelines etc. NEATS | providing the Working Interest of the Titleholders (captured on GP Info).</w:t>
            </w:r>
          </w:p>
        </w:tc>
      </w:tr>
      <w:tr w:rsidR="00597DAB" w:rsidRPr="00B83411" w14:paraId="16689EC5" w14:textId="77777777" w:rsidTr="00597DAB">
        <w:trPr>
          <w:trHeight w:val="255"/>
        </w:trPr>
        <w:tc>
          <w:tcPr>
            <w:tcW w:w="8647" w:type="dxa"/>
            <w:noWrap/>
            <w:vAlign w:val="bottom"/>
            <w:hideMark/>
          </w:tcPr>
          <w:p w14:paraId="2D57A52E"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NOPIMS needs to have a floating horizontal scroll bar when viewing some of the information tables. The current static bar requires you to scroll down the page to use, consequently losing the column headings. It is almost unusable on a laptop.</w:t>
            </w:r>
          </w:p>
        </w:tc>
      </w:tr>
      <w:tr w:rsidR="00597DAB" w:rsidRPr="00B83411" w14:paraId="7537D412" w14:textId="77777777" w:rsidTr="00597DAB">
        <w:trPr>
          <w:trHeight w:val="255"/>
        </w:trPr>
        <w:tc>
          <w:tcPr>
            <w:tcW w:w="8647" w:type="dxa"/>
            <w:noWrap/>
            <w:vAlign w:val="bottom"/>
            <w:hideMark/>
          </w:tcPr>
          <w:p w14:paraId="469FA2DD"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NOPIMS - it can be difficult to sift through files to find what is actually required as the columns containing file data are often empty or in the incorrect field making it difficult to search or filter data. Understanding correcting this is a huge task it would be great to have it all correct. At the moment I handle this by contacting GA directly.</w:t>
            </w:r>
          </w:p>
        </w:tc>
      </w:tr>
      <w:tr w:rsidR="00597DAB" w:rsidRPr="00B83411" w14:paraId="2DD0E928" w14:textId="77777777" w:rsidTr="00597DAB">
        <w:trPr>
          <w:trHeight w:val="255"/>
        </w:trPr>
        <w:tc>
          <w:tcPr>
            <w:tcW w:w="8647" w:type="dxa"/>
            <w:noWrap/>
            <w:vAlign w:val="bottom"/>
            <w:hideMark/>
          </w:tcPr>
          <w:p w14:paraId="79CFA3EE" w14:textId="7A23EA95"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NEATS needs an overhaul</w:t>
            </w:r>
          </w:p>
        </w:tc>
      </w:tr>
      <w:tr w:rsidR="00597DAB" w:rsidRPr="00B83411" w14:paraId="48CA7A4A" w14:textId="77777777" w:rsidTr="00597DAB">
        <w:trPr>
          <w:trHeight w:val="255"/>
        </w:trPr>
        <w:tc>
          <w:tcPr>
            <w:tcW w:w="8647" w:type="dxa"/>
            <w:noWrap/>
            <w:vAlign w:val="bottom"/>
            <w:hideMark/>
          </w:tcPr>
          <w:p w14:paraId="428D7B92"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NEATS - titleholders login area: Create an option for visibility of progress on titles applications even for non-operated titles. Currently these titles are not listed under in the titleholder section.</w:t>
            </w:r>
          </w:p>
        </w:tc>
      </w:tr>
      <w:tr w:rsidR="00597DAB" w:rsidRPr="00B83411" w14:paraId="27086197" w14:textId="77777777" w:rsidTr="00597DAB">
        <w:trPr>
          <w:trHeight w:val="255"/>
        </w:trPr>
        <w:tc>
          <w:tcPr>
            <w:tcW w:w="8647" w:type="dxa"/>
            <w:noWrap/>
            <w:vAlign w:val="bottom"/>
            <w:hideMark/>
          </w:tcPr>
          <w:p w14:paraId="1AC23217" w14:textId="32E0FA6A"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More clear links, search functionality needs to improve (eg: NOPSEMA)</w:t>
            </w:r>
          </w:p>
        </w:tc>
      </w:tr>
      <w:tr w:rsidR="00597DAB" w:rsidRPr="00B83411" w14:paraId="6E668432" w14:textId="77777777" w:rsidTr="00597DAB">
        <w:trPr>
          <w:trHeight w:val="255"/>
        </w:trPr>
        <w:tc>
          <w:tcPr>
            <w:tcW w:w="8647" w:type="dxa"/>
            <w:noWrap/>
            <w:vAlign w:val="bottom"/>
            <w:hideMark/>
          </w:tcPr>
          <w:p w14:paraId="0794B167"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 xml:space="preserve">Modernise the structure and functions of all the systems. Given the pace of tech change and AI perhaps start a project like NOPSEMA to rebuild and include new functionality. </w:t>
            </w:r>
          </w:p>
        </w:tc>
      </w:tr>
      <w:tr w:rsidR="00597DAB" w:rsidRPr="00B83411" w14:paraId="5643911E" w14:textId="77777777" w:rsidTr="00597DAB">
        <w:trPr>
          <w:trHeight w:val="255"/>
        </w:trPr>
        <w:tc>
          <w:tcPr>
            <w:tcW w:w="8647" w:type="dxa"/>
            <w:noWrap/>
            <w:vAlign w:val="bottom"/>
            <w:hideMark/>
          </w:tcPr>
          <w:p w14:paraId="6DEA72D0"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Make the system easier to follow and make payments on. It can be difficult to know what to do when submitting applications as drafts and different types that are not listed for review and submitting payment is very complicated and doesn't need to be.</w:t>
            </w:r>
          </w:p>
        </w:tc>
      </w:tr>
      <w:tr w:rsidR="00597DAB" w:rsidRPr="00B83411" w14:paraId="52A8126A" w14:textId="77777777" w:rsidTr="00597DAB">
        <w:trPr>
          <w:trHeight w:val="255"/>
        </w:trPr>
        <w:tc>
          <w:tcPr>
            <w:tcW w:w="8647" w:type="dxa"/>
            <w:noWrap/>
            <w:vAlign w:val="bottom"/>
            <w:hideMark/>
          </w:tcPr>
          <w:p w14:paraId="792319F7"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 xml:space="preserve">It would be fantastic to be able to export the register and or search results and be able to see version history or changes in relation to acreage and locations. </w:t>
            </w:r>
          </w:p>
        </w:tc>
      </w:tr>
      <w:tr w:rsidR="00597DAB" w:rsidRPr="00B83411" w14:paraId="219B970A" w14:textId="77777777" w:rsidTr="00597DAB">
        <w:trPr>
          <w:trHeight w:val="255"/>
        </w:trPr>
        <w:tc>
          <w:tcPr>
            <w:tcW w:w="8647" w:type="dxa"/>
            <w:noWrap/>
            <w:vAlign w:val="bottom"/>
            <w:hideMark/>
          </w:tcPr>
          <w:p w14:paraId="14D745C0"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It is very difficult to update the information, e.g. long delay between submitted and then subsequently published data (NEATS &amp; NOPIMS)</w:t>
            </w:r>
          </w:p>
        </w:tc>
      </w:tr>
      <w:tr w:rsidR="00597DAB" w:rsidRPr="00B83411" w14:paraId="7A4FA1B7" w14:textId="77777777" w:rsidTr="00597DAB">
        <w:trPr>
          <w:trHeight w:val="255"/>
        </w:trPr>
        <w:tc>
          <w:tcPr>
            <w:tcW w:w="8647" w:type="dxa"/>
            <w:noWrap/>
            <w:vAlign w:val="bottom"/>
            <w:hideMark/>
          </w:tcPr>
          <w:p w14:paraId="68FE2EA0"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Integration between the GIS Map and NOPIMS data listings.</w:t>
            </w:r>
          </w:p>
        </w:tc>
      </w:tr>
      <w:tr w:rsidR="00597DAB" w:rsidRPr="00B83411" w14:paraId="669D5A38" w14:textId="77777777" w:rsidTr="00597DAB">
        <w:trPr>
          <w:trHeight w:val="255"/>
        </w:trPr>
        <w:tc>
          <w:tcPr>
            <w:tcW w:w="8647" w:type="dxa"/>
            <w:noWrap/>
            <w:vAlign w:val="bottom"/>
            <w:hideMark/>
          </w:tcPr>
          <w:p w14:paraId="5BFBD168"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Integrate workflows / submissions from NOPTA platforms with other regulator systems (eg. NOPSEMA)</w:t>
            </w:r>
          </w:p>
        </w:tc>
      </w:tr>
      <w:tr w:rsidR="00597DAB" w:rsidRPr="00B83411" w14:paraId="01976C37" w14:textId="77777777" w:rsidTr="00597DAB">
        <w:trPr>
          <w:trHeight w:val="255"/>
        </w:trPr>
        <w:tc>
          <w:tcPr>
            <w:tcW w:w="8647" w:type="dxa"/>
            <w:noWrap/>
            <w:vAlign w:val="bottom"/>
            <w:hideMark/>
          </w:tcPr>
          <w:p w14:paraId="3D9B1593" w14:textId="17106EEC"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Include links to information on government consultation which would</w:t>
            </w:r>
            <w:r w:rsidR="001D4613" w:rsidRPr="00B83411">
              <w:rPr>
                <w:rFonts w:ascii="Arial" w:eastAsia="Times New Roman" w:hAnsi="Arial" w:cs="Arial"/>
                <w:i/>
                <w:iCs/>
                <w:color w:val="000000"/>
                <w:lang w:eastAsia="en-AU"/>
              </w:rPr>
              <w:t xml:space="preserve"> /</w:t>
            </w:r>
            <w:r w:rsidRPr="00B83411">
              <w:rPr>
                <w:rFonts w:ascii="Arial" w:eastAsia="Times New Roman" w:hAnsi="Arial" w:cs="Arial"/>
                <w:i/>
                <w:iCs/>
                <w:color w:val="000000"/>
                <w:lang w:eastAsia="en-AU"/>
              </w:rPr>
              <w:t xml:space="preserve"> may potentially impact the regulatory regime, such as the draft revision to the Offshore Petroleum Explo Permit guidelines. </w:t>
            </w:r>
          </w:p>
        </w:tc>
      </w:tr>
      <w:tr w:rsidR="00597DAB" w:rsidRPr="00B83411" w14:paraId="2E55F9B3" w14:textId="77777777" w:rsidTr="00597DAB">
        <w:trPr>
          <w:trHeight w:val="255"/>
        </w:trPr>
        <w:tc>
          <w:tcPr>
            <w:tcW w:w="8647" w:type="dxa"/>
            <w:noWrap/>
            <w:vAlign w:val="bottom"/>
            <w:hideMark/>
          </w:tcPr>
          <w:p w14:paraId="291F3C38"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Improve search functions. Also consider the possibility that the words being searched may not be a match or exact fit to the terms used in-house.</w:t>
            </w:r>
          </w:p>
        </w:tc>
      </w:tr>
      <w:tr w:rsidR="00597DAB" w:rsidRPr="00B83411" w14:paraId="7E2E7AFA" w14:textId="77777777" w:rsidTr="00597DAB">
        <w:trPr>
          <w:trHeight w:val="255"/>
        </w:trPr>
        <w:tc>
          <w:tcPr>
            <w:tcW w:w="8647" w:type="dxa"/>
            <w:noWrap/>
            <w:vAlign w:val="bottom"/>
            <w:hideMark/>
          </w:tcPr>
          <w:p w14:paraId="335926B3"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I think communication could be clearer around significant changes that are planned for these websites and when functions are transferred from one to another, for example the latest changes to the NOPIMS website around data management.</w:t>
            </w:r>
          </w:p>
        </w:tc>
      </w:tr>
      <w:tr w:rsidR="00597DAB" w:rsidRPr="00B83411" w14:paraId="60148A0D" w14:textId="77777777" w:rsidTr="00597DAB">
        <w:trPr>
          <w:trHeight w:val="255"/>
        </w:trPr>
        <w:tc>
          <w:tcPr>
            <w:tcW w:w="8647" w:type="dxa"/>
            <w:noWrap/>
            <w:vAlign w:val="bottom"/>
            <w:hideMark/>
          </w:tcPr>
          <w:p w14:paraId="3B7C11A7" w14:textId="77777777" w:rsidR="001D4613"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 xml:space="preserve">I find both NEATS and NOPIMs quite functional and good once we became familiar with the overall layout. Think it could be made slightly more user friendly, ie more intuitive. </w:t>
            </w:r>
          </w:p>
          <w:p w14:paraId="5830B820" w14:textId="3F51AD8F"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The submission of applications feels a bit cumbersome, and we have frequently submitted physical copies to avoid doubt</w:t>
            </w:r>
          </w:p>
        </w:tc>
      </w:tr>
      <w:tr w:rsidR="00597DAB" w:rsidRPr="00B83411" w14:paraId="338A67F1" w14:textId="77777777" w:rsidTr="00597DAB">
        <w:trPr>
          <w:trHeight w:val="255"/>
        </w:trPr>
        <w:tc>
          <w:tcPr>
            <w:tcW w:w="8647" w:type="dxa"/>
            <w:noWrap/>
            <w:vAlign w:val="bottom"/>
            <w:hideMark/>
          </w:tcPr>
          <w:p w14:paraId="0F00FA2E"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Have added functionality of map layers in NEATS</w:t>
            </w:r>
          </w:p>
        </w:tc>
      </w:tr>
      <w:tr w:rsidR="00597DAB" w:rsidRPr="00B83411" w14:paraId="3B76F3D8" w14:textId="77777777" w:rsidTr="00597DAB">
        <w:trPr>
          <w:trHeight w:val="255"/>
        </w:trPr>
        <w:tc>
          <w:tcPr>
            <w:tcW w:w="8647" w:type="dxa"/>
            <w:noWrap/>
            <w:vAlign w:val="bottom"/>
            <w:hideMark/>
          </w:tcPr>
          <w:p w14:paraId="5FC248FD"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Aggregation of services into one portal.</w:t>
            </w:r>
          </w:p>
        </w:tc>
      </w:tr>
      <w:tr w:rsidR="00597DAB" w:rsidRPr="00B83411" w14:paraId="7C3512D0" w14:textId="77777777" w:rsidTr="00597DAB">
        <w:trPr>
          <w:trHeight w:val="255"/>
        </w:trPr>
        <w:tc>
          <w:tcPr>
            <w:tcW w:w="8647" w:type="dxa"/>
            <w:noWrap/>
            <w:vAlign w:val="bottom"/>
            <w:hideMark/>
          </w:tcPr>
          <w:p w14:paraId="5D756874" w14:textId="77777777" w:rsidR="00597DAB" w:rsidRPr="00B83411" w:rsidRDefault="00597DAB" w:rsidP="00597DAB">
            <w:pPr>
              <w:spacing w:before="60" w:after="60" w:line="240" w:lineRule="auto"/>
              <w:ind w:right="0"/>
              <w:rPr>
                <w:rFonts w:ascii="Arial" w:eastAsia="Times New Roman" w:hAnsi="Arial" w:cs="Arial"/>
                <w:i/>
                <w:iCs/>
                <w:color w:val="000000"/>
                <w:lang w:eastAsia="en-AU"/>
              </w:rPr>
            </w:pPr>
            <w:r w:rsidRPr="00B83411">
              <w:rPr>
                <w:rFonts w:ascii="Arial" w:eastAsia="Times New Roman" w:hAnsi="Arial" w:cs="Arial"/>
                <w:i/>
                <w:iCs/>
                <w:color w:val="000000"/>
                <w:lang w:eastAsia="en-AU"/>
              </w:rPr>
              <w:t xml:space="preserve">Advise on the website (NOPTA) if Schedule of Fees are due to increase. EG: Either a notification goes out via the website or it's on the main landing page. No notification I could find when they increased Jan2025. </w:t>
            </w:r>
          </w:p>
        </w:tc>
      </w:tr>
    </w:tbl>
    <w:p w14:paraId="24E85D5B" w14:textId="5DE867A4" w:rsidR="0093616A" w:rsidRPr="00B83411" w:rsidRDefault="00DF6A00" w:rsidP="00A67900">
      <w:pPr>
        <w:pStyle w:val="Heading1"/>
      </w:pPr>
      <w:r w:rsidRPr="00B83411">
        <w:br w:type="page"/>
      </w:r>
      <w:bookmarkStart w:id="30" w:name="_Toc213926355"/>
      <w:r w:rsidR="00A67900" w:rsidRPr="00B83411">
        <w:t>D</w:t>
      </w:r>
      <w:r w:rsidR="00862754" w:rsidRPr="00B83411">
        <w:rPr>
          <w:lang w:eastAsia="en-AU"/>
        </w:rPr>
        <w:t xml:space="preserve">ifferences within </w:t>
      </w:r>
      <w:r w:rsidR="005E0823" w:rsidRPr="00B83411">
        <w:rPr>
          <w:lang w:eastAsia="en-AU"/>
        </w:rPr>
        <w:t>sub-group</w:t>
      </w:r>
      <w:r w:rsidR="00862754" w:rsidRPr="00B83411">
        <w:rPr>
          <w:lang w:eastAsia="en-AU"/>
        </w:rPr>
        <w:t>s</w:t>
      </w:r>
      <w:bookmarkEnd w:id="30"/>
    </w:p>
    <w:p w14:paraId="56B2B0A6" w14:textId="7C2607D3" w:rsidR="00E816C9" w:rsidRPr="00B83411" w:rsidRDefault="00E816C9" w:rsidP="00E816C9">
      <w:pPr>
        <w:rPr>
          <w:lang w:eastAsia="en-AU"/>
        </w:rPr>
      </w:pPr>
      <w:r w:rsidRPr="00B83411">
        <w:rPr>
          <w:lang w:eastAsia="en-AU"/>
        </w:rPr>
        <w:t xml:space="preserve">This section focuses on </w:t>
      </w:r>
      <w:r w:rsidR="00EE69B4" w:rsidRPr="00B83411">
        <w:rPr>
          <w:lang w:eastAsia="en-AU"/>
        </w:rPr>
        <w:t xml:space="preserve">the common questions </w:t>
      </w:r>
      <w:r w:rsidRPr="00B83411">
        <w:rPr>
          <w:lang w:eastAsia="en-AU"/>
        </w:rPr>
        <w:t xml:space="preserve">where there were notable differences between sub-groups (title holders compared with licence holders, title </w:t>
      </w:r>
      <w:r w:rsidR="00C54F6E" w:rsidRPr="00B83411">
        <w:rPr>
          <w:lang w:eastAsia="en-AU"/>
        </w:rPr>
        <w:t xml:space="preserve">holders </w:t>
      </w:r>
      <w:r w:rsidRPr="00B83411">
        <w:rPr>
          <w:lang w:eastAsia="en-AU"/>
        </w:rPr>
        <w:t>/ licence holders compared with decision makers / advisors, P/GHG compared with OEI, etc).</w:t>
      </w:r>
      <w:r w:rsidR="00EE69B4" w:rsidRPr="00B83411">
        <w:rPr>
          <w:lang w:eastAsia="en-AU"/>
        </w:rPr>
        <w:t xml:space="preserve"> Digital experience differences were covered in that section.</w:t>
      </w:r>
    </w:p>
    <w:p w14:paraId="5342F7EC" w14:textId="666BD9D8" w:rsidR="005E0823" w:rsidRPr="00B83411" w:rsidRDefault="005E0823" w:rsidP="00E816C9">
      <w:pPr>
        <w:pStyle w:val="Heading2"/>
        <w:rPr>
          <w:lang w:eastAsia="en-AU"/>
        </w:rPr>
      </w:pPr>
      <w:bookmarkStart w:id="31" w:name="_Toc213926356"/>
      <w:r w:rsidRPr="00B83411">
        <w:rPr>
          <w:lang w:eastAsia="en-AU"/>
        </w:rPr>
        <w:t xml:space="preserve">Role </w:t>
      </w:r>
      <w:r w:rsidR="00E816C9" w:rsidRPr="00B83411">
        <w:rPr>
          <w:lang w:eastAsia="en-AU"/>
        </w:rPr>
        <w:t>differences</w:t>
      </w:r>
      <w:bookmarkEnd w:id="31"/>
    </w:p>
    <w:p w14:paraId="22F77305" w14:textId="100F905E" w:rsidR="00E816C9" w:rsidRPr="00B83411" w:rsidRDefault="00E816C9" w:rsidP="005E0823">
      <w:pPr>
        <w:rPr>
          <w:lang w:eastAsia="en-AU"/>
        </w:rPr>
      </w:pPr>
      <w:r w:rsidRPr="00B83411">
        <w:rPr>
          <w:lang w:eastAsia="en-AU"/>
        </w:rPr>
        <w:t>There were three different categories in this analysis: title holders or applicants (P</w:t>
      </w:r>
      <w:r w:rsidR="00BD252B" w:rsidRPr="00B83411">
        <w:rPr>
          <w:lang w:eastAsia="en-AU"/>
        </w:rPr>
        <w:t>/</w:t>
      </w:r>
      <w:r w:rsidRPr="00B83411">
        <w:rPr>
          <w:lang w:eastAsia="en-AU"/>
        </w:rPr>
        <w:t xml:space="preserve">GHG respondents), licence holders or applicants (OEI respondents) and government employees (decision makers or advisors). Survey results have been </w:t>
      </w:r>
      <w:r w:rsidR="00B83411" w:rsidRPr="00B83411">
        <w:rPr>
          <w:lang w:eastAsia="en-AU"/>
        </w:rPr>
        <w:t>cross tabulated</w:t>
      </w:r>
      <w:r w:rsidRPr="00B83411">
        <w:rPr>
          <w:lang w:eastAsia="en-AU"/>
        </w:rPr>
        <w:t xml:space="preserve"> using these categories and are shown in </w:t>
      </w:r>
      <w:r w:rsidRPr="00B83411">
        <w:rPr>
          <w:lang w:eastAsia="en-AU"/>
        </w:rPr>
        <w:fldChar w:fldCharType="begin"/>
      </w:r>
      <w:r w:rsidRPr="00B83411">
        <w:rPr>
          <w:lang w:eastAsia="en-AU"/>
        </w:rPr>
        <w:instrText xml:space="preserve"> REF _Ref212563336 \h </w:instrText>
      </w:r>
      <w:r w:rsidRPr="00B83411">
        <w:rPr>
          <w:lang w:eastAsia="en-AU"/>
        </w:rPr>
      </w:r>
      <w:r w:rsidRPr="00B83411">
        <w:rPr>
          <w:lang w:eastAsia="en-AU"/>
        </w:rPr>
        <w:fldChar w:fldCharType="separate"/>
      </w:r>
      <w:r w:rsidR="00110FE2" w:rsidRPr="00B83411">
        <w:t xml:space="preserve">Table </w:t>
      </w:r>
      <w:r w:rsidR="00110FE2">
        <w:rPr>
          <w:noProof/>
        </w:rPr>
        <w:t>16</w:t>
      </w:r>
      <w:r w:rsidRPr="00B83411">
        <w:rPr>
          <w:lang w:eastAsia="en-AU"/>
        </w:rPr>
        <w:fldChar w:fldCharType="end"/>
      </w:r>
      <w:r w:rsidRPr="00B83411">
        <w:rPr>
          <w:lang w:eastAsia="en-AU"/>
        </w:rPr>
        <w:t xml:space="preserve"> below. The results indicate quite different perspectives or experiences in specific, but not all, aspects of interacting with NOPTA / OIR. Unfortunately, they do not indicate why or the reasons behind respondents having these views.</w:t>
      </w:r>
    </w:p>
    <w:p w14:paraId="20A4DB29" w14:textId="40220F6F" w:rsidR="005C1F45" w:rsidRPr="00B83411" w:rsidRDefault="005C1F45" w:rsidP="005C1F45">
      <w:pPr>
        <w:spacing w:after="120"/>
        <w:rPr>
          <w:lang w:eastAsia="en-AU"/>
        </w:rPr>
      </w:pPr>
      <w:r w:rsidRPr="00B83411">
        <w:rPr>
          <w:lang w:eastAsia="en-AU"/>
        </w:rPr>
        <w:t xml:space="preserve">Notes for reading </w:t>
      </w:r>
      <w:r w:rsidRPr="00B83411">
        <w:rPr>
          <w:lang w:eastAsia="en-AU"/>
        </w:rPr>
        <w:fldChar w:fldCharType="begin"/>
      </w:r>
      <w:r w:rsidRPr="00B83411">
        <w:rPr>
          <w:lang w:eastAsia="en-AU"/>
        </w:rPr>
        <w:instrText xml:space="preserve"> REF _Ref212563336 \h </w:instrText>
      </w:r>
      <w:r w:rsidRPr="00B83411">
        <w:rPr>
          <w:lang w:eastAsia="en-AU"/>
        </w:rPr>
      </w:r>
      <w:r w:rsidRPr="00B83411">
        <w:rPr>
          <w:lang w:eastAsia="en-AU"/>
        </w:rPr>
        <w:fldChar w:fldCharType="separate"/>
      </w:r>
      <w:r w:rsidR="00110FE2" w:rsidRPr="00B83411">
        <w:t xml:space="preserve">Table </w:t>
      </w:r>
      <w:r w:rsidR="00110FE2">
        <w:rPr>
          <w:noProof/>
        </w:rPr>
        <w:t>16</w:t>
      </w:r>
      <w:r w:rsidRPr="00B83411">
        <w:rPr>
          <w:lang w:eastAsia="en-AU"/>
        </w:rPr>
        <w:fldChar w:fldCharType="end"/>
      </w:r>
      <w:r w:rsidRPr="00B83411">
        <w:rPr>
          <w:lang w:eastAsia="en-AU"/>
        </w:rPr>
        <w:t>:</w:t>
      </w:r>
    </w:p>
    <w:p w14:paraId="6604D8FA" w14:textId="0B463D28" w:rsidR="001133B6" w:rsidRPr="00B83411" w:rsidRDefault="001133B6" w:rsidP="0068089E">
      <w:pPr>
        <w:pStyle w:val="ListParagraph"/>
        <w:numPr>
          <w:ilvl w:val="0"/>
          <w:numId w:val="13"/>
        </w:numPr>
        <w:spacing w:after="0"/>
      </w:pPr>
      <w:r w:rsidRPr="00B83411">
        <w:t>NA means not asked</w:t>
      </w:r>
    </w:p>
    <w:p w14:paraId="593AF48B" w14:textId="7F7DEF34" w:rsidR="001133B6" w:rsidRPr="00B83411" w:rsidRDefault="005C1F45" w:rsidP="0068089E">
      <w:pPr>
        <w:pStyle w:val="ListParagraph"/>
        <w:numPr>
          <w:ilvl w:val="0"/>
          <w:numId w:val="13"/>
        </w:numPr>
        <w:spacing w:after="0"/>
      </w:pPr>
      <w:r w:rsidRPr="00B83411">
        <w:t>Government rep indicates a government person who is a decision-maker or advisor</w:t>
      </w:r>
    </w:p>
    <w:p w14:paraId="2740CC7F" w14:textId="6815C2CC" w:rsidR="005C1F45" w:rsidRPr="00B83411" w:rsidRDefault="005C1F45" w:rsidP="0068089E">
      <w:pPr>
        <w:pStyle w:val="ListParagraph"/>
        <w:numPr>
          <w:ilvl w:val="0"/>
          <w:numId w:val="13"/>
        </w:numPr>
        <w:spacing w:after="0"/>
      </w:pPr>
      <w:r w:rsidRPr="00B83411">
        <w:rPr>
          <w:i/>
          <w:iCs/>
        </w:rPr>
        <w:t>Italics</w:t>
      </w:r>
      <w:r w:rsidRPr="00B83411">
        <w:t xml:space="preserve"> indicates asked of government representatives only</w:t>
      </w:r>
    </w:p>
    <w:p w14:paraId="11359887" w14:textId="3C64F76B" w:rsidR="005C1F45" w:rsidRPr="00B83411" w:rsidRDefault="005C1F45" w:rsidP="0068089E">
      <w:pPr>
        <w:pStyle w:val="ListParagraph"/>
        <w:numPr>
          <w:ilvl w:val="0"/>
          <w:numId w:val="13"/>
        </w:numPr>
        <w:spacing w:after="0"/>
      </w:pPr>
      <w:r w:rsidRPr="00B83411">
        <w:rPr>
          <w:shd w:val="clear" w:color="auto" w:fill="FBD4B4" w:themeFill="accent6" w:themeFillTint="66"/>
        </w:rPr>
        <w:t>Pale orange</w:t>
      </w:r>
      <w:r w:rsidRPr="00B83411">
        <w:t xml:space="preserve"> highlight shows similar question asked of different roles</w:t>
      </w:r>
    </w:p>
    <w:p w14:paraId="6B32C1C0" w14:textId="12566F0B" w:rsidR="005C1F45" w:rsidRPr="00B83411" w:rsidRDefault="005C1F45" w:rsidP="0068089E">
      <w:pPr>
        <w:pStyle w:val="ListParagraph"/>
        <w:numPr>
          <w:ilvl w:val="0"/>
          <w:numId w:val="13"/>
        </w:numPr>
        <w:spacing w:after="0"/>
      </w:pPr>
      <w:r w:rsidRPr="00B83411">
        <w:rPr>
          <w:shd w:val="clear" w:color="auto" w:fill="92CDDC" w:themeFill="accent5" w:themeFillTint="99"/>
        </w:rPr>
        <w:t>Blue</w:t>
      </w:r>
      <w:r w:rsidRPr="00B83411">
        <w:t xml:space="preserve"> highlight shows </w:t>
      </w:r>
      <w:r w:rsidR="00556D6F" w:rsidRPr="00B83411">
        <w:t>considerable</w:t>
      </w:r>
      <w:r w:rsidRPr="00B83411">
        <w:t xml:space="preserve"> differences in % positive scores between roles</w:t>
      </w:r>
      <w:r w:rsidR="007000EA" w:rsidRPr="00B83411">
        <w:t xml:space="preserve"> (15% or more)</w:t>
      </w:r>
      <w:r w:rsidR="008E1327" w:rsidRPr="00B83411">
        <w:t>.</w:t>
      </w:r>
    </w:p>
    <w:p w14:paraId="64A56013" w14:textId="75B6F262" w:rsidR="00490FFF" w:rsidRPr="00B83411" w:rsidRDefault="00C93DF0" w:rsidP="00C93DF0">
      <w:pPr>
        <w:tabs>
          <w:tab w:val="left" w:pos="1065"/>
        </w:tabs>
        <w:spacing w:after="120"/>
        <w:rPr>
          <w:lang w:eastAsia="en-AU"/>
        </w:rPr>
      </w:pPr>
      <w:r w:rsidRPr="00B83411">
        <w:rPr>
          <w:lang w:eastAsia="en-AU"/>
        </w:rPr>
        <w:t xml:space="preserve">The key </w:t>
      </w:r>
      <w:r w:rsidR="002A68A1" w:rsidRPr="00B83411">
        <w:rPr>
          <w:lang w:eastAsia="en-AU"/>
        </w:rPr>
        <w:t>findings</w:t>
      </w:r>
      <w:r w:rsidRPr="00B83411">
        <w:rPr>
          <w:lang w:eastAsia="en-AU"/>
        </w:rPr>
        <w:t xml:space="preserve"> </w:t>
      </w:r>
      <w:r w:rsidR="00E816C9" w:rsidRPr="00B83411">
        <w:rPr>
          <w:lang w:eastAsia="en-AU"/>
        </w:rPr>
        <w:t>of</w:t>
      </w:r>
      <w:r w:rsidRPr="00B83411">
        <w:rPr>
          <w:lang w:eastAsia="en-AU"/>
        </w:rPr>
        <w:t xml:space="preserve"> </w:t>
      </w:r>
      <w:r w:rsidRPr="00B83411">
        <w:rPr>
          <w:lang w:eastAsia="en-AU"/>
        </w:rPr>
        <w:fldChar w:fldCharType="begin"/>
      </w:r>
      <w:r w:rsidRPr="00B83411">
        <w:rPr>
          <w:lang w:eastAsia="en-AU"/>
        </w:rPr>
        <w:instrText xml:space="preserve"> REF _Ref212563336 \h </w:instrText>
      </w:r>
      <w:r w:rsidRPr="00B83411">
        <w:rPr>
          <w:lang w:eastAsia="en-AU"/>
        </w:rPr>
      </w:r>
      <w:r w:rsidRPr="00B83411">
        <w:rPr>
          <w:lang w:eastAsia="en-AU"/>
        </w:rPr>
        <w:fldChar w:fldCharType="separate"/>
      </w:r>
      <w:r w:rsidR="00110FE2" w:rsidRPr="00B83411">
        <w:t xml:space="preserve">Table </w:t>
      </w:r>
      <w:r w:rsidR="00110FE2">
        <w:rPr>
          <w:noProof/>
        </w:rPr>
        <w:t>16</w:t>
      </w:r>
      <w:r w:rsidRPr="00B83411">
        <w:rPr>
          <w:lang w:eastAsia="en-AU"/>
        </w:rPr>
        <w:fldChar w:fldCharType="end"/>
      </w:r>
      <w:r w:rsidRPr="00B83411">
        <w:rPr>
          <w:lang w:eastAsia="en-AU"/>
        </w:rPr>
        <w:t xml:space="preserve"> are</w:t>
      </w:r>
      <w:r w:rsidR="00E816C9" w:rsidRPr="00B83411">
        <w:rPr>
          <w:lang w:eastAsia="en-AU"/>
        </w:rPr>
        <w:t xml:space="preserve"> that</w:t>
      </w:r>
      <w:r w:rsidRPr="00B83411">
        <w:rPr>
          <w:lang w:eastAsia="en-AU"/>
        </w:rPr>
        <w:t>:</w:t>
      </w:r>
    </w:p>
    <w:p w14:paraId="6A64E1A9" w14:textId="3570F180" w:rsidR="00C93DF0" w:rsidRPr="00B83411" w:rsidRDefault="00C93DF0" w:rsidP="0068089E">
      <w:pPr>
        <w:pStyle w:val="ListParagraph"/>
        <w:numPr>
          <w:ilvl w:val="0"/>
          <w:numId w:val="14"/>
        </w:numPr>
        <w:tabs>
          <w:tab w:val="left" w:pos="1065"/>
        </w:tabs>
      </w:pPr>
      <w:r w:rsidRPr="00B83411">
        <w:t>Licence holders rate</w:t>
      </w:r>
      <w:r w:rsidR="002A68A1" w:rsidRPr="00B83411">
        <w:t>d</w:t>
      </w:r>
      <w:r w:rsidRPr="00B83411">
        <w:t xml:space="preserve"> the </w:t>
      </w:r>
      <w:r w:rsidRPr="00B83411">
        <w:rPr>
          <w:i/>
          <w:iCs/>
        </w:rPr>
        <w:t>technical expertise of staff</w:t>
      </w:r>
      <w:r w:rsidRPr="00B83411">
        <w:t xml:space="preserve"> considerably lower than title holders and government respondents.</w:t>
      </w:r>
    </w:p>
    <w:p w14:paraId="330ED104" w14:textId="23518789" w:rsidR="00C93DF0" w:rsidRPr="00B83411" w:rsidRDefault="00C93DF0" w:rsidP="0068089E">
      <w:pPr>
        <w:pStyle w:val="ListParagraph"/>
        <w:numPr>
          <w:ilvl w:val="0"/>
          <w:numId w:val="14"/>
        </w:numPr>
        <w:tabs>
          <w:tab w:val="left" w:pos="1065"/>
        </w:tabs>
      </w:pPr>
      <w:r w:rsidRPr="00B83411">
        <w:t xml:space="preserve">Government respondents rated NOPTA / OIR considerably higher in </w:t>
      </w:r>
      <w:r w:rsidRPr="00B83411">
        <w:rPr>
          <w:i/>
          <w:iCs/>
        </w:rPr>
        <w:t>justification of its recommendations</w:t>
      </w:r>
      <w:r w:rsidRPr="00B83411">
        <w:t xml:space="preserve"> compared with title holders and particularly licence holders.</w:t>
      </w:r>
    </w:p>
    <w:p w14:paraId="702E84E2" w14:textId="0E6479A8" w:rsidR="002A68A1" w:rsidRPr="00B83411" w:rsidRDefault="002A68A1" w:rsidP="0068089E">
      <w:pPr>
        <w:pStyle w:val="ListParagraph"/>
        <w:numPr>
          <w:ilvl w:val="0"/>
          <w:numId w:val="14"/>
        </w:numPr>
        <w:tabs>
          <w:tab w:val="left" w:pos="1065"/>
        </w:tabs>
      </w:pPr>
      <w:r w:rsidRPr="00B83411">
        <w:t xml:space="preserve">Government respondents rated NOPTA / OIR considerably higher in </w:t>
      </w:r>
      <w:r w:rsidRPr="00B83411">
        <w:rPr>
          <w:rFonts w:cs="Arial"/>
          <w:i/>
          <w:iCs/>
        </w:rPr>
        <w:t xml:space="preserve">the efficiency of its titles / licences administration </w:t>
      </w:r>
      <w:r w:rsidRPr="00B83411">
        <w:t>compared with title and licence holders.</w:t>
      </w:r>
    </w:p>
    <w:p w14:paraId="59746139" w14:textId="2B398609" w:rsidR="002A68A1" w:rsidRPr="00B83411" w:rsidRDefault="002A68A1" w:rsidP="0068089E">
      <w:pPr>
        <w:pStyle w:val="ListParagraph"/>
        <w:numPr>
          <w:ilvl w:val="0"/>
          <w:numId w:val="14"/>
        </w:numPr>
        <w:tabs>
          <w:tab w:val="left" w:pos="1065"/>
        </w:tabs>
      </w:pPr>
      <w:r w:rsidRPr="00B83411">
        <w:t xml:space="preserve">Government respondents rated NOPTA / OIR considerably higher in </w:t>
      </w:r>
      <w:r w:rsidRPr="00B83411">
        <w:rPr>
          <w:rFonts w:cs="Arial"/>
          <w:i/>
          <w:iCs/>
        </w:rPr>
        <w:t xml:space="preserve">balancing administrative effort with outcomes </w:t>
      </w:r>
      <w:r w:rsidRPr="00B83411">
        <w:t>compared with title and licence holders.</w:t>
      </w:r>
    </w:p>
    <w:p w14:paraId="721DB292" w14:textId="010AFF6E" w:rsidR="002A68A1" w:rsidRPr="00B83411" w:rsidRDefault="002A68A1" w:rsidP="0068089E">
      <w:pPr>
        <w:pStyle w:val="ListParagraph"/>
        <w:numPr>
          <w:ilvl w:val="0"/>
          <w:numId w:val="14"/>
        </w:numPr>
        <w:tabs>
          <w:tab w:val="left" w:pos="1065"/>
        </w:tabs>
      </w:pPr>
      <w:r w:rsidRPr="00B83411">
        <w:t xml:space="preserve">Title holders rated OIR considerably higher in </w:t>
      </w:r>
      <w:r w:rsidRPr="00B83411">
        <w:rPr>
          <w:rFonts w:cs="Arial"/>
          <w:i/>
          <w:iCs/>
        </w:rPr>
        <w:t>encouraging voluntary administrative compliance</w:t>
      </w:r>
      <w:r w:rsidRPr="00B83411">
        <w:t xml:space="preserve"> than licence holders</w:t>
      </w:r>
      <w:r w:rsidR="0007468C" w:rsidRPr="00B83411">
        <w:t xml:space="preserve"> rated NOPTA</w:t>
      </w:r>
      <w:r w:rsidRPr="00B83411">
        <w:t>.</w:t>
      </w:r>
    </w:p>
    <w:p w14:paraId="3CD2884B" w14:textId="79B8C257" w:rsidR="002A68A1" w:rsidRPr="00B83411" w:rsidRDefault="002A68A1" w:rsidP="00E816C9">
      <w:pPr>
        <w:tabs>
          <w:tab w:val="left" w:pos="1065"/>
        </w:tabs>
        <w:spacing w:after="120"/>
      </w:pPr>
      <w:r w:rsidRPr="00B83411">
        <w:t>All of the</w:t>
      </w:r>
      <w:r w:rsidR="00EE74B9" w:rsidRPr="00B83411">
        <w:t xml:space="preserve"> above</w:t>
      </w:r>
      <w:r w:rsidRPr="00B83411">
        <w:t xml:space="preserve"> differences were </w:t>
      </w:r>
      <w:r w:rsidR="007000EA" w:rsidRPr="00B83411">
        <w:t>15% or higher</w:t>
      </w:r>
      <w:r w:rsidRPr="00B83411">
        <w:t>.</w:t>
      </w:r>
      <w:r w:rsidR="00EE74B9" w:rsidRPr="00B83411">
        <w:t xml:space="preserve"> </w:t>
      </w:r>
      <w:r w:rsidR="007000EA" w:rsidRPr="00B83411">
        <w:t>While there are many smaller differences between roles, these should be interpreted with caution, as they fall within the range of variation expected for this sample and may not represent true differences</w:t>
      </w:r>
      <w:r w:rsidR="00EE74B9" w:rsidRPr="00B83411">
        <w:t>.</w:t>
      </w:r>
    </w:p>
    <w:p w14:paraId="6468E6B0" w14:textId="1A44D4A9" w:rsidR="00E816C9" w:rsidRPr="00B83411" w:rsidRDefault="00E816C9" w:rsidP="00E816C9">
      <w:pPr>
        <w:tabs>
          <w:tab w:val="left" w:pos="1065"/>
        </w:tabs>
        <w:spacing w:after="120"/>
        <w:rPr>
          <w:lang w:eastAsia="en-AU"/>
        </w:rPr>
      </w:pPr>
      <w:r w:rsidRPr="00B83411">
        <w:rPr>
          <w:lang w:eastAsia="en-AU"/>
        </w:rPr>
        <w:t xml:space="preserve">The table also highlights where there </w:t>
      </w:r>
      <w:r w:rsidR="00862754" w:rsidRPr="00B83411">
        <w:rPr>
          <w:lang w:eastAsia="en-AU"/>
        </w:rPr>
        <w:t>were</w:t>
      </w:r>
      <w:r w:rsidRPr="00B83411">
        <w:rPr>
          <w:lang w:eastAsia="en-AU"/>
        </w:rPr>
        <w:t xml:space="preserve"> commonalities in views as well as higher scoring results and these should be considered NOPTA / OIR strengths:</w:t>
      </w:r>
    </w:p>
    <w:p w14:paraId="4BEB7B17" w14:textId="3113C9EE" w:rsidR="00E816C9" w:rsidRPr="00B83411" w:rsidRDefault="00E816C9" w:rsidP="0068089E">
      <w:pPr>
        <w:pStyle w:val="ListParagraph"/>
        <w:numPr>
          <w:ilvl w:val="0"/>
          <w:numId w:val="15"/>
        </w:numPr>
        <w:tabs>
          <w:tab w:val="left" w:pos="1065"/>
        </w:tabs>
      </w:pPr>
      <w:r w:rsidRPr="00B83411">
        <w:t>Helpfulness of staff</w:t>
      </w:r>
    </w:p>
    <w:p w14:paraId="47EB1B6A" w14:textId="3593919B" w:rsidR="00E816C9" w:rsidRPr="00B83411" w:rsidRDefault="00E816C9" w:rsidP="0068089E">
      <w:pPr>
        <w:pStyle w:val="ListParagraph"/>
        <w:numPr>
          <w:ilvl w:val="0"/>
          <w:numId w:val="15"/>
        </w:numPr>
        <w:tabs>
          <w:tab w:val="left" w:pos="1065"/>
        </w:tabs>
      </w:pPr>
      <w:r w:rsidRPr="00B83411">
        <w:t>Building cooperative relationships and collaboration</w:t>
      </w:r>
    </w:p>
    <w:p w14:paraId="34A83121" w14:textId="7E8BB3A0" w:rsidR="00E816C9" w:rsidRPr="00B83411" w:rsidRDefault="00E816C9" w:rsidP="0068089E">
      <w:pPr>
        <w:pStyle w:val="ListParagraph"/>
        <w:numPr>
          <w:ilvl w:val="0"/>
          <w:numId w:val="15"/>
        </w:numPr>
        <w:tabs>
          <w:tab w:val="left" w:pos="1065"/>
        </w:tabs>
      </w:pPr>
      <w:r w:rsidRPr="00B83411">
        <w:t>Accuracy, clarity and consistency of information</w:t>
      </w:r>
    </w:p>
    <w:p w14:paraId="3B24804F" w14:textId="571C884D" w:rsidR="00E816C9" w:rsidRPr="00B83411" w:rsidRDefault="00E816C9" w:rsidP="0068089E">
      <w:pPr>
        <w:pStyle w:val="ListParagraph"/>
        <w:numPr>
          <w:ilvl w:val="0"/>
          <w:numId w:val="15"/>
        </w:numPr>
        <w:tabs>
          <w:tab w:val="left" w:pos="1065"/>
        </w:tabs>
      </w:pPr>
      <w:r w:rsidRPr="00B83411">
        <w:rPr>
          <w:rFonts w:cs="Arial"/>
        </w:rPr>
        <w:t>The effectiveness of titles / licences administration</w:t>
      </w:r>
    </w:p>
    <w:p w14:paraId="0390ADCF" w14:textId="6779385F" w:rsidR="00E816C9" w:rsidRPr="00B83411" w:rsidRDefault="00E816C9" w:rsidP="0068089E">
      <w:pPr>
        <w:pStyle w:val="ListParagraph"/>
        <w:numPr>
          <w:ilvl w:val="0"/>
          <w:numId w:val="15"/>
        </w:numPr>
        <w:tabs>
          <w:tab w:val="left" w:pos="1065"/>
        </w:tabs>
      </w:pPr>
      <w:r w:rsidRPr="00B83411">
        <w:rPr>
          <w:rFonts w:cs="Arial"/>
        </w:rPr>
        <w:t>Behaving ethically</w:t>
      </w:r>
    </w:p>
    <w:p w14:paraId="03772249" w14:textId="25DD78D0" w:rsidR="00E816C9" w:rsidRPr="00B83411" w:rsidRDefault="00E816C9" w:rsidP="00924E38">
      <w:pPr>
        <w:pStyle w:val="ListParagraph"/>
        <w:numPr>
          <w:ilvl w:val="0"/>
          <w:numId w:val="15"/>
        </w:numPr>
        <w:tabs>
          <w:tab w:val="left" w:pos="1065"/>
        </w:tabs>
        <w:spacing w:after="240"/>
      </w:pPr>
      <w:r w:rsidRPr="00B83411">
        <w:rPr>
          <w:rFonts w:cs="Arial"/>
        </w:rPr>
        <w:t>Overall trust in NOPTA / OIR.</w:t>
      </w:r>
    </w:p>
    <w:p w14:paraId="2A5D798A" w14:textId="067D8A5F" w:rsidR="0007468C" w:rsidRPr="00B83411" w:rsidRDefault="0007468C" w:rsidP="00924E38">
      <w:pPr>
        <w:tabs>
          <w:tab w:val="left" w:pos="1065"/>
        </w:tabs>
        <w:spacing w:after="240"/>
      </w:pPr>
      <w:bookmarkStart w:id="32" w:name="_Hlk213925612"/>
      <w:r w:rsidRPr="00B83411">
        <w:t xml:space="preserve">No further breakdown of government representatives was conducted, for example comparisons of Commonwealth and state agencies or </w:t>
      </w:r>
      <w:r w:rsidR="00924E38" w:rsidRPr="00B83411">
        <w:t xml:space="preserve">comparison </w:t>
      </w:r>
      <w:r w:rsidRPr="00B83411">
        <w:t xml:space="preserve">sectors, simply because government representatives had 100% positive scores for </w:t>
      </w:r>
      <w:r w:rsidR="008C48EF">
        <w:t xml:space="preserve">nearly </w:t>
      </w:r>
      <w:r w:rsidRPr="00B83411">
        <w:t>all items</w:t>
      </w:r>
      <w:r w:rsidR="008C48EF">
        <w:t xml:space="preserve"> </w:t>
      </w:r>
      <w:r w:rsidRPr="00B83411">
        <w:t>that they answered.</w:t>
      </w:r>
      <w:r w:rsidR="00924E38" w:rsidRPr="00B83411">
        <w:t xml:space="preserve"> Refer to </w:t>
      </w:r>
      <w:r w:rsidR="00924E38" w:rsidRPr="00B83411">
        <w:fldChar w:fldCharType="begin"/>
      </w:r>
      <w:r w:rsidR="00924E38" w:rsidRPr="00B83411">
        <w:instrText xml:space="preserve"> REF _Ref212563336 \h </w:instrText>
      </w:r>
      <w:r w:rsidR="00924E38" w:rsidRPr="00B83411">
        <w:fldChar w:fldCharType="separate"/>
      </w:r>
      <w:r w:rsidR="00110FE2" w:rsidRPr="00B83411">
        <w:t xml:space="preserve">Table </w:t>
      </w:r>
      <w:r w:rsidR="00110FE2">
        <w:rPr>
          <w:noProof/>
        </w:rPr>
        <w:t>16</w:t>
      </w:r>
      <w:r w:rsidR="00924E38" w:rsidRPr="00B83411">
        <w:fldChar w:fldCharType="end"/>
      </w:r>
      <w:r w:rsidR="00924E38" w:rsidRPr="00B83411">
        <w:t xml:space="preserve">. This </w:t>
      </w:r>
      <w:r w:rsidR="006B7D34" w:rsidRPr="00B83411">
        <w:t xml:space="preserve">type of scoring means </w:t>
      </w:r>
      <w:r w:rsidR="00924E38" w:rsidRPr="00B83411">
        <w:t>that government representatives</w:t>
      </w:r>
      <w:r w:rsidRPr="00B83411">
        <w:t xml:space="preserve"> had common</w:t>
      </w:r>
      <w:r w:rsidR="00924E38" w:rsidRPr="00B83411">
        <w:t>,</w:t>
      </w:r>
      <w:r w:rsidRPr="00B83411">
        <w:t xml:space="preserve"> and possibly identical</w:t>
      </w:r>
      <w:r w:rsidR="00924E38" w:rsidRPr="00B83411">
        <w:t>,</w:t>
      </w:r>
      <w:r w:rsidRPr="00B83411">
        <w:t xml:space="preserve"> opinions</w:t>
      </w:r>
      <w:r w:rsidR="008C48EF">
        <w:t>,</w:t>
      </w:r>
      <w:r w:rsidR="008C48EF" w:rsidRPr="008C48EF">
        <w:t xml:space="preserve"> irrespective of employer or sector</w:t>
      </w:r>
      <w:r w:rsidRPr="00B83411">
        <w:t>. One item (</w:t>
      </w:r>
      <w:r w:rsidRPr="008C48EF">
        <w:rPr>
          <w:i/>
          <w:iCs/>
        </w:rPr>
        <w:t>working with other government agencies and authorities, etc</w:t>
      </w:r>
      <w:r w:rsidRPr="00B83411">
        <w:t>) was asked of the OIE sector only (licence holders and government representatives) and government representatives had an 83% positive score</w:t>
      </w:r>
      <w:r w:rsidR="00924E38" w:rsidRPr="00B83411">
        <w:t xml:space="preserve"> for the item</w:t>
      </w:r>
      <w:r w:rsidRPr="00B83411">
        <w:t>.</w:t>
      </w:r>
      <w:r w:rsidR="006B7D34" w:rsidRPr="00B83411">
        <w:t xml:space="preserve"> This was the only common item asked of one sector.</w:t>
      </w:r>
    </w:p>
    <w:p w14:paraId="1D7E6D7F" w14:textId="1932203A" w:rsidR="001133B6" w:rsidRPr="00B83411" w:rsidRDefault="001133B6" w:rsidP="001133B6">
      <w:pPr>
        <w:pStyle w:val="Caption"/>
        <w:keepNext/>
      </w:pPr>
      <w:bookmarkStart w:id="33" w:name="_Ref212563336"/>
      <w:bookmarkStart w:id="34" w:name="_Ref212563300"/>
      <w:bookmarkEnd w:id="32"/>
      <w:r w:rsidRPr="00B83411">
        <w:t xml:space="preserve">Table </w:t>
      </w:r>
      <w:r w:rsidR="00C32D47">
        <w:fldChar w:fldCharType="begin"/>
      </w:r>
      <w:r w:rsidR="00C32D47">
        <w:instrText xml:space="preserve"> SEQ Table \* ARABIC </w:instrText>
      </w:r>
      <w:r w:rsidR="00C32D47">
        <w:fldChar w:fldCharType="separate"/>
      </w:r>
      <w:r w:rsidR="00C350E2">
        <w:rPr>
          <w:noProof/>
        </w:rPr>
        <w:t>16</w:t>
      </w:r>
      <w:r w:rsidR="00C32D47">
        <w:fldChar w:fldCharType="end"/>
      </w:r>
      <w:bookmarkEnd w:id="33"/>
      <w:r w:rsidRPr="00B83411">
        <w:t xml:space="preserve">: </w:t>
      </w:r>
      <w:r w:rsidR="00EE74B9" w:rsidRPr="00B83411">
        <w:t>Common items by r</w:t>
      </w:r>
      <w:r w:rsidRPr="00B83411">
        <w:t>ole differences</w:t>
      </w:r>
      <w:bookmarkEnd w:id="34"/>
    </w:p>
    <w:tbl>
      <w:tblPr>
        <w:tblW w:w="9072" w:type="dxa"/>
        <w:tblLayout w:type="fixed"/>
        <w:tblLook w:val="04A0" w:firstRow="1" w:lastRow="0" w:firstColumn="1" w:lastColumn="0" w:noHBand="0" w:noVBand="1"/>
      </w:tblPr>
      <w:tblGrid>
        <w:gridCol w:w="4678"/>
        <w:gridCol w:w="1098"/>
        <w:gridCol w:w="1099"/>
        <w:gridCol w:w="1098"/>
        <w:gridCol w:w="1099"/>
      </w:tblGrid>
      <w:tr w:rsidR="008D0E74" w:rsidRPr="00B83411" w14:paraId="2BCEE34D" w14:textId="77777777" w:rsidTr="008C5899">
        <w:trPr>
          <w:trHeight w:val="326"/>
          <w:tblHeader/>
        </w:trPr>
        <w:tc>
          <w:tcPr>
            <w:tcW w:w="4678" w:type="dxa"/>
            <w:tcBorders>
              <w:top w:val="nil"/>
              <w:left w:val="nil"/>
              <w:bottom w:val="nil"/>
              <w:right w:val="nil"/>
            </w:tcBorders>
            <w:shd w:val="clear" w:color="auto" w:fill="003366"/>
            <w:noWrap/>
            <w:vAlign w:val="center"/>
          </w:tcPr>
          <w:p w14:paraId="0C9A6E44" w14:textId="77777777" w:rsidR="008D0E74" w:rsidRPr="00B83411" w:rsidRDefault="008D0E74" w:rsidP="008D0E74">
            <w:pPr>
              <w:spacing w:before="0" w:line="240" w:lineRule="auto"/>
              <w:ind w:right="0"/>
              <w:rPr>
                <w:rFonts w:eastAsia="Times New Roman" w:cs="Arial"/>
                <w:color w:val="000000"/>
                <w:lang w:eastAsia="en-AU"/>
              </w:rPr>
            </w:pPr>
          </w:p>
        </w:tc>
        <w:tc>
          <w:tcPr>
            <w:tcW w:w="4394" w:type="dxa"/>
            <w:gridSpan w:val="4"/>
            <w:tcBorders>
              <w:top w:val="nil"/>
              <w:left w:val="nil"/>
              <w:bottom w:val="nil"/>
              <w:right w:val="nil"/>
            </w:tcBorders>
            <w:shd w:val="clear" w:color="auto" w:fill="003366"/>
            <w:noWrap/>
            <w:vAlign w:val="center"/>
          </w:tcPr>
          <w:p w14:paraId="230256F6" w14:textId="42A5CEEB" w:rsidR="008D0E74" w:rsidRPr="00B83411" w:rsidRDefault="007568CE" w:rsidP="008D0E74">
            <w:pPr>
              <w:spacing w:before="0" w:line="240" w:lineRule="auto"/>
              <w:ind w:right="0"/>
              <w:jc w:val="center"/>
              <w:rPr>
                <w:rFonts w:eastAsia="Times New Roman" w:cs="Arial"/>
                <w:b/>
                <w:bCs/>
                <w:color w:val="FFFFFF"/>
                <w:lang w:eastAsia="en-AU"/>
              </w:rPr>
            </w:pPr>
            <w:r w:rsidRPr="00B83411">
              <w:rPr>
                <w:rFonts w:eastAsia="Times New Roman" w:cs="Arial"/>
                <w:b/>
                <w:bCs/>
                <w:color w:val="FFFFFF"/>
                <w:lang w:eastAsia="en-AU"/>
              </w:rPr>
              <w:t>% positive scores</w:t>
            </w:r>
          </w:p>
        </w:tc>
      </w:tr>
      <w:tr w:rsidR="008D0E74" w:rsidRPr="00B83411" w14:paraId="41C63617" w14:textId="77777777" w:rsidTr="008C5899">
        <w:trPr>
          <w:trHeight w:val="567"/>
          <w:tblHeader/>
        </w:trPr>
        <w:tc>
          <w:tcPr>
            <w:tcW w:w="4678" w:type="dxa"/>
            <w:tcBorders>
              <w:top w:val="nil"/>
              <w:left w:val="nil"/>
              <w:bottom w:val="nil"/>
              <w:right w:val="nil"/>
            </w:tcBorders>
            <w:shd w:val="clear" w:color="auto" w:fill="003366"/>
            <w:noWrap/>
            <w:vAlign w:val="center"/>
          </w:tcPr>
          <w:p w14:paraId="555B907A" w14:textId="57B3EDBE" w:rsidR="008D0E74" w:rsidRPr="00B83411" w:rsidRDefault="002A68A1" w:rsidP="00C93DF0">
            <w:pPr>
              <w:spacing w:before="60" w:after="60" w:line="240" w:lineRule="auto"/>
              <w:ind w:right="0"/>
              <w:rPr>
                <w:rFonts w:eastAsia="Times New Roman" w:cs="Arial"/>
                <w:b/>
                <w:bCs/>
                <w:color w:val="FFFFFF"/>
                <w:lang w:eastAsia="en-AU"/>
              </w:rPr>
            </w:pPr>
            <w:r w:rsidRPr="00B83411">
              <w:rPr>
                <w:rFonts w:eastAsia="Times New Roman" w:cs="Arial"/>
                <w:b/>
                <w:bCs/>
                <w:color w:val="FFFFFF"/>
                <w:lang w:eastAsia="en-AU"/>
              </w:rPr>
              <w:t>Common survey i</w:t>
            </w:r>
            <w:r w:rsidR="007568CE" w:rsidRPr="00B83411">
              <w:rPr>
                <w:rFonts w:eastAsia="Times New Roman" w:cs="Arial"/>
                <w:b/>
                <w:bCs/>
                <w:color w:val="FFFFFF"/>
                <w:lang w:eastAsia="en-AU"/>
              </w:rPr>
              <w:t>tem</w:t>
            </w:r>
          </w:p>
        </w:tc>
        <w:tc>
          <w:tcPr>
            <w:tcW w:w="1098" w:type="dxa"/>
            <w:tcBorders>
              <w:top w:val="nil"/>
              <w:left w:val="nil"/>
              <w:bottom w:val="nil"/>
              <w:right w:val="nil"/>
            </w:tcBorders>
            <w:shd w:val="clear" w:color="auto" w:fill="003366"/>
            <w:noWrap/>
            <w:vAlign w:val="center"/>
          </w:tcPr>
          <w:p w14:paraId="34C27289" w14:textId="268A1CAA" w:rsidR="008D0E74" w:rsidRPr="00B83411" w:rsidRDefault="001F5463" w:rsidP="00C93DF0">
            <w:pPr>
              <w:spacing w:before="60" w:after="60" w:line="240" w:lineRule="auto"/>
              <w:ind w:right="0"/>
              <w:jc w:val="center"/>
              <w:rPr>
                <w:rFonts w:eastAsia="Times New Roman" w:cs="Arial"/>
                <w:color w:val="000000"/>
                <w:lang w:eastAsia="en-AU"/>
              </w:rPr>
            </w:pPr>
            <w:r w:rsidRPr="00B83411">
              <w:rPr>
                <w:rFonts w:eastAsia="Times New Roman" w:cs="Arial"/>
                <w:b/>
                <w:bCs/>
                <w:color w:val="FFFFFF"/>
                <w:lang w:eastAsia="en-AU"/>
              </w:rPr>
              <w:t>Title</w:t>
            </w:r>
            <w:r w:rsidR="008D0E74" w:rsidRPr="00B83411">
              <w:rPr>
                <w:rFonts w:eastAsia="Times New Roman" w:cs="Arial"/>
                <w:b/>
                <w:bCs/>
                <w:color w:val="FFFFFF"/>
                <w:lang w:eastAsia="en-AU"/>
              </w:rPr>
              <w:t xml:space="preserve"> holder</w:t>
            </w:r>
            <w:r w:rsidRPr="00B83411">
              <w:rPr>
                <w:rFonts w:eastAsia="Times New Roman" w:cs="Arial"/>
                <w:b/>
                <w:bCs/>
                <w:color w:val="FFFFFF"/>
                <w:lang w:eastAsia="en-AU"/>
              </w:rPr>
              <w:br/>
            </w:r>
            <w:r w:rsidRPr="00B83411">
              <w:rPr>
                <w:rFonts w:eastAsia="Times New Roman" w:cs="Arial"/>
                <w:i/>
                <w:iCs/>
                <w:color w:val="FFFFFF"/>
                <w:lang w:eastAsia="en-AU"/>
              </w:rPr>
              <w:t>n=</w:t>
            </w:r>
            <w:r w:rsidR="009426E3" w:rsidRPr="00B83411">
              <w:rPr>
                <w:rFonts w:eastAsia="Times New Roman" w:cs="Arial"/>
                <w:i/>
                <w:iCs/>
                <w:color w:val="FFFFFF"/>
                <w:lang w:eastAsia="en-AU"/>
              </w:rPr>
              <w:t>51 max</w:t>
            </w:r>
          </w:p>
        </w:tc>
        <w:tc>
          <w:tcPr>
            <w:tcW w:w="1099" w:type="dxa"/>
            <w:tcBorders>
              <w:top w:val="nil"/>
              <w:left w:val="nil"/>
              <w:bottom w:val="nil"/>
              <w:right w:val="nil"/>
            </w:tcBorders>
            <w:shd w:val="clear" w:color="auto" w:fill="003366"/>
            <w:noWrap/>
            <w:vAlign w:val="center"/>
          </w:tcPr>
          <w:p w14:paraId="22B0BFEC" w14:textId="01F0D707" w:rsidR="008D0E74" w:rsidRPr="00B83411" w:rsidRDefault="001F5463" w:rsidP="00C93DF0">
            <w:pPr>
              <w:spacing w:before="60" w:after="60" w:line="240" w:lineRule="auto"/>
              <w:ind w:right="0"/>
              <w:jc w:val="center"/>
              <w:rPr>
                <w:rFonts w:eastAsia="Times New Roman" w:cs="Arial"/>
                <w:color w:val="000000"/>
                <w:lang w:eastAsia="en-AU"/>
              </w:rPr>
            </w:pPr>
            <w:r w:rsidRPr="00B83411">
              <w:rPr>
                <w:rFonts w:eastAsia="Times New Roman" w:cs="Arial"/>
                <w:b/>
                <w:bCs/>
                <w:color w:val="FFFFFF"/>
                <w:lang w:eastAsia="en-AU"/>
              </w:rPr>
              <w:t>Licence</w:t>
            </w:r>
            <w:r w:rsidR="008D0E74" w:rsidRPr="00B83411">
              <w:rPr>
                <w:rFonts w:eastAsia="Times New Roman" w:cs="Arial"/>
                <w:b/>
                <w:bCs/>
                <w:color w:val="FFFFFF"/>
                <w:lang w:eastAsia="en-AU"/>
              </w:rPr>
              <w:t xml:space="preserve"> holder</w:t>
            </w:r>
            <w:r w:rsidRPr="00B83411">
              <w:rPr>
                <w:rFonts w:eastAsia="Times New Roman" w:cs="Arial"/>
                <w:b/>
                <w:bCs/>
                <w:color w:val="FFFFFF"/>
                <w:lang w:eastAsia="en-AU"/>
              </w:rPr>
              <w:br/>
            </w:r>
            <w:r w:rsidRPr="00B83411">
              <w:rPr>
                <w:rFonts w:eastAsia="Times New Roman" w:cs="Arial"/>
                <w:i/>
                <w:iCs/>
                <w:color w:val="FFFFFF"/>
                <w:lang w:eastAsia="en-AU"/>
              </w:rPr>
              <w:t>n=</w:t>
            </w:r>
            <w:r w:rsidR="009426E3" w:rsidRPr="00B83411">
              <w:rPr>
                <w:rFonts w:eastAsia="Times New Roman" w:cs="Arial"/>
                <w:i/>
                <w:iCs/>
                <w:color w:val="FFFFFF"/>
                <w:lang w:eastAsia="en-AU"/>
              </w:rPr>
              <w:t>11 max</w:t>
            </w:r>
          </w:p>
        </w:tc>
        <w:tc>
          <w:tcPr>
            <w:tcW w:w="1098" w:type="dxa"/>
            <w:tcBorders>
              <w:top w:val="nil"/>
              <w:left w:val="nil"/>
              <w:bottom w:val="nil"/>
              <w:right w:val="nil"/>
            </w:tcBorders>
            <w:shd w:val="clear" w:color="auto" w:fill="003366"/>
            <w:noWrap/>
            <w:vAlign w:val="center"/>
          </w:tcPr>
          <w:p w14:paraId="71BF8584" w14:textId="6AF6AAD5" w:rsidR="008D0E74" w:rsidRPr="00B83411" w:rsidRDefault="001133B6" w:rsidP="00C93DF0">
            <w:pPr>
              <w:spacing w:before="60" w:after="60" w:line="240" w:lineRule="auto"/>
              <w:ind w:right="0"/>
              <w:jc w:val="center"/>
              <w:rPr>
                <w:rFonts w:eastAsia="Times New Roman" w:cs="Arial"/>
                <w:color w:val="000000"/>
                <w:lang w:eastAsia="en-AU"/>
              </w:rPr>
            </w:pPr>
            <w:r w:rsidRPr="00B83411">
              <w:rPr>
                <w:rFonts w:eastAsia="Times New Roman" w:cs="Arial"/>
                <w:b/>
                <w:bCs/>
                <w:color w:val="FFFFFF"/>
                <w:lang w:eastAsia="en-AU"/>
              </w:rPr>
              <w:t>Govt rep</w:t>
            </w:r>
            <w:r w:rsidR="001F5463" w:rsidRPr="00B83411">
              <w:rPr>
                <w:rFonts w:eastAsia="Times New Roman" w:cs="Arial"/>
                <w:b/>
                <w:bCs/>
                <w:color w:val="FFFFFF"/>
                <w:lang w:eastAsia="en-AU"/>
              </w:rPr>
              <w:br/>
            </w:r>
            <w:r w:rsidR="001F5463" w:rsidRPr="00B83411">
              <w:rPr>
                <w:rFonts w:eastAsia="Times New Roman" w:cs="Arial"/>
                <w:i/>
                <w:iCs/>
                <w:color w:val="FFFFFF"/>
                <w:lang w:eastAsia="en-AU"/>
              </w:rPr>
              <w:t>n=</w:t>
            </w:r>
            <w:r w:rsidR="00683DD1" w:rsidRPr="00B83411">
              <w:rPr>
                <w:rFonts w:eastAsia="Times New Roman" w:cs="Arial"/>
                <w:i/>
                <w:iCs/>
                <w:color w:val="FFFFFF"/>
                <w:lang w:eastAsia="en-AU"/>
              </w:rPr>
              <w:t>2</w:t>
            </w:r>
            <w:r w:rsidR="009426E3" w:rsidRPr="00B83411">
              <w:rPr>
                <w:rFonts w:eastAsia="Times New Roman" w:cs="Arial"/>
                <w:i/>
                <w:iCs/>
                <w:color w:val="FFFFFF"/>
                <w:lang w:eastAsia="en-AU"/>
              </w:rPr>
              <w:t>3 max</w:t>
            </w:r>
          </w:p>
        </w:tc>
        <w:tc>
          <w:tcPr>
            <w:tcW w:w="1099" w:type="dxa"/>
            <w:tcBorders>
              <w:top w:val="nil"/>
              <w:left w:val="nil"/>
              <w:bottom w:val="nil"/>
              <w:right w:val="nil"/>
            </w:tcBorders>
            <w:shd w:val="clear" w:color="auto" w:fill="003366"/>
            <w:noWrap/>
            <w:vAlign w:val="center"/>
          </w:tcPr>
          <w:p w14:paraId="5B720F6A" w14:textId="5744E28D" w:rsidR="008D0E74" w:rsidRPr="00B83411" w:rsidRDefault="008D0E74" w:rsidP="00C93DF0">
            <w:pPr>
              <w:spacing w:before="60" w:after="60" w:line="240" w:lineRule="auto"/>
              <w:ind w:right="0"/>
              <w:jc w:val="center"/>
              <w:rPr>
                <w:rFonts w:eastAsia="Times New Roman" w:cs="Arial"/>
                <w:color w:val="000000"/>
                <w:lang w:eastAsia="en-AU"/>
              </w:rPr>
            </w:pPr>
            <w:r w:rsidRPr="00B83411">
              <w:rPr>
                <w:rFonts w:eastAsia="Times New Roman" w:cs="Arial"/>
                <w:b/>
                <w:bCs/>
                <w:color w:val="FFFFFF"/>
                <w:lang w:eastAsia="en-AU"/>
              </w:rPr>
              <w:t>Tota</w:t>
            </w:r>
            <w:r w:rsidR="00683DD1" w:rsidRPr="00B83411">
              <w:rPr>
                <w:rFonts w:eastAsia="Times New Roman" w:cs="Arial"/>
                <w:b/>
                <w:bCs/>
                <w:color w:val="FFFFFF"/>
                <w:lang w:eastAsia="en-AU"/>
              </w:rPr>
              <w:t>l</w:t>
            </w:r>
            <w:r w:rsidR="00683DD1" w:rsidRPr="00B83411">
              <w:rPr>
                <w:rFonts w:eastAsia="Times New Roman" w:cs="Arial"/>
                <w:b/>
                <w:bCs/>
                <w:color w:val="FFFFFF"/>
                <w:lang w:eastAsia="en-AU"/>
              </w:rPr>
              <w:br/>
            </w:r>
            <w:r w:rsidR="00683DD1" w:rsidRPr="00B83411">
              <w:rPr>
                <w:rFonts w:eastAsia="Times New Roman" w:cs="Arial"/>
                <w:i/>
                <w:iCs/>
                <w:color w:val="FFFFFF"/>
                <w:lang w:eastAsia="en-AU"/>
              </w:rPr>
              <w:t>n=8</w:t>
            </w:r>
            <w:r w:rsidR="009426E3" w:rsidRPr="00B83411">
              <w:rPr>
                <w:rFonts w:eastAsia="Times New Roman" w:cs="Arial"/>
                <w:i/>
                <w:iCs/>
                <w:color w:val="FFFFFF"/>
                <w:lang w:eastAsia="en-AU"/>
              </w:rPr>
              <w:t>5</w:t>
            </w:r>
            <w:r w:rsidR="00C94BFE" w:rsidRPr="00B83411">
              <w:rPr>
                <w:rFonts w:eastAsia="Times New Roman" w:cs="Arial"/>
                <w:i/>
                <w:iCs/>
                <w:color w:val="FFFFFF"/>
                <w:lang w:eastAsia="en-AU"/>
              </w:rPr>
              <w:t xml:space="preserve"> max</w:t>
            </w:r>
          </w:p>
        </w:tc>
      </w:tr>
      <w:tr w:rsidR="007000EA" w:rsidRPr="00B83411" w14:paraId="426A2D61" w14:textId="77777777">
        <w:trPr>
          <w:trHeight w:val="113"/>
        </w:trPr>
        <w:tc>
          <w:tcPr>
            <w:tcW w:w="4678" w:type="dxa"/>
            <w:tcBorders>
              <w:top w:val="nil"/>
              <w:left w:val="nil"/>
              <w:bottom w:val="nil"/>
              <w:right w:val="nil"/>
            </w:tcBorders>
            <w:noWrap/>
            <w:vAlign w:val="center"/>
          </w:tcPr>
          <w:p w14:paraId="46CE070F" w14:textId="31D9AEAA"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Technical expertise of staff</w:t>
            </w:r>
          </w:p>
        </w:tc>
        <w:tc>
          <w:tcPr>
            <w:tcW w:w="1098" w:type="dxa"/>
            <w:tcBorders>
              <w:top w:val="nil"/>
              <w:left w:val="nil"/>
              <w:bottom w:val="nil"/>
              <w:right w:val="nil"/>
            </w:tcBorders>
            <w:noWrap/>
          </w:tcPr>
          <w:p w14:paraId="68F1ABDB" w14:textId="2505A6A6" w:rsidR="007000EA" w:rsidRPr="00B83411" w:rsidRDefault="007000EA" w:rsidP="007000EA">
            <w:pPr>
              <w:spacing w:before="60" w:after="60" w:line="240" w:lineRule="auto"/>
              <w:ind w:right="0"/>
              <w:jc w:val="center"/>
              <w:rPr>
                <w:rFonts w:eastAsia="Times New Roman" w:cs="Arial"/>
                <w:color w:val="000000"/>
                <w:lang w:eastAsia="en-AU"/>
              </w:rPr>
            </w:pPr>
            <w:r w:rsidRPr="00B83411">
              <w:t>98</w:t>
            </w:r>
          </w:p>
        </w:tc>
        <w:tc>
          <w:tcPr>
            <w:tcW w:w="1099" w:type="dxa"/>
            <w:tcBorders>
              <w:top w:val="nil"/>
              <w:left w:val="nil"/>
              <w:bottom w:val="nil"/>
              <w:right w:val="nil"/>
            </w:tcBorders>
            <w:shd w:val="clear" w:color="auto" w:fill="92CDDC" w:themeFill="accent5" w:themeFillTint="99"/>
            <w:noWrap/>
          </w:tcPr>
          <w:p w14:paraId="1A5ACF7F" w14:textId="23611EAA" w:rsidR="007000EA" w:rsidRPr="00B83411" w:rsidRDefault="007000EA" w:rsidP="007000EA">
            <w:pPr>
              <w:spacing w:before="60" w:after="60" w:line="240" w:lineRule="auto"/>
              <w:ind w:right="0"/>
              <w:jc w:val="center"/>
              <w:rPr>
                <w:rFonts w:eastAsia="Times New Roman" w:cs="Arial"/>
                <w:color w:val="000000"/>
                <w:lang w:eastAsia="en-AU"/>
              </w:rPr>
            </w:pPr>
            <w:r w:rsidRPr="00B83411">
              <w:t>82</w:t>
            </w:r>
          </w:p>
        </w:tc>
        <w:tc>
          <w:tcPr>
            <w:tcW w:w="1098" w:type="dxa"/>
            <w:tcBorders>
              <w:top w:val="nil"/>
              <w:left w:val="nil"/>
              <w:bottom w:val="nil"/>
              <w:right w:val="nil"/>
            </w:tcBorders>
            <w:noWrap/>
          </w:tcPr>
          <w:p w14:paraId="28D6F3EF" w14:textId="0394E219"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noWrap/>
          </w:tcPr>
          <w:p w14:paraId="5958E586" w14:textId="36CD5DE5" w:rsidR="007000EA" w:rsidRPr="00B83411" w:rsidRDefault="007000EA" w:rsidP="007000EA">
            <w:pPr>
              <w:spacing w:before="60" w:after="60" w:line="240" w:lineRule="auto"/>
              <w:ind w:right="0"/>
              <w:jc w:val="center"/>
              <w:rPr>
                <w:rFonts w:eastAsia="Times New Roman" w:cs="Arial"/>
                <w:color w:val="000000"/>
                <w:lang w:eastAsia="en-AU"/>
              </w:rPr>
            </w:pPr>
            <w:r w:rsidRPr="00B83411">
              <w:t>96</w:t>
            </w:r>
          </w:p>
        </w:tc>
      </w:tr>
      <w:tr w:rsidR="007000EA" w:rsidRPr="00B83411" w14:paraId="6C7AD60A"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6C15EF5D"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Helpfulness of staff</w:t>
            </w:r>
          </w:p>
        </w:tc>
        <w:tc>
          <w:tcPr>
            <w:tcW w:w="1098" w:type="dxa"/>
            <w:tcBorders>
              <w:top w:val="nil"/>
              <w:left w:val="nil"/>
              <w:bottom w:val="nil"/>
              <w:right w:val="nil"/>
            </w:tcBorders>
            <w:shd w:val="clear" w:color="auto" w:fill="D9D9D9" w:themeFill="background1" w:themeFillShade="D9"/>
            <w:noWrap/>
            <w:hideMark/>
          </w:tcPr>
          <w:p w14:paraId="208CA8EA" w14:textId="0057C3AB" w:rsidR="007000EA" w:rsidRPr="00B83411" w:rsidRDefault="007000EA" w:rsidP="007000EA">
            <w:pPr>
              <w:spacing w:before="60" w:after="60" w:line="240" w:lineRule="auto"/>
              <w:ind w:right="0"/>
              <w:jc w:val="center"/>
              <w:rPr>
                <w:rFonts w:eastAsia="Times New Roman" w:cs="Arial"/>
                <w:color w:val="000000"/>
                <w:lang w:eastAsia="en-AU"/>
              </w:rPr>
            </w:pPr>
            <w:r w:rsidRPr="00B83411">
              <w:t>98</w:t>
            </w:r>
          </w:p>
        </w:tc>
        <w:tc>
          <w:tcPr>
            <w:tcW w:w="1099" w:type="dxa"/>
            <w:tcBorders>
              <w:top w:val="nil"/>
              <w:left w:val="nil"/>
              <w:bottom w:val="nil"/>
              <w:right w:val="nil"/>
            </w:tcBorders>
            <w:shd w:val="clear" w:color="auto" w:fill="D9D9D9" w:themeFill="background1" w:themeFillShade="D9"/>
            <w:noWrap/>
            <w:hideMark/>
          </w:tcPr>
          <w:p w14:paraId="4F38E2A9" w14:textId="33AE935D"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8" w:type="dxa"/>
            <w:tcBorders>
              <w:top w:val="nil"/>
              <w:left w:val="nil"/>
              <w:bottom w:val="nil"/>
              <w:right w:val="nil"/>
            </w:tcBorders>
            <w:shd w:val="clear" w:color="auto" w:fill="D9D9D9" w:themeFill="background1" w:themeFillShade="D9"/>
            <w:noWrap/>
            <w:hideMark/>
          </w:tcPr>
          <w:p w14:paraId="545C5C70" w14:textId="4A920640" w:rsidR="00C94BFE" w:rsidRPr="00B83411" w:rsidRDefault="007000EA" w:rsidP="00C94BFE">
            <w:pPr>
              <w:spacing w:before="60" w:after="60" w:line="240" w:lineRule="auto"/>
              <w:ind w:right="0"/>
              <w:jc w:val="center"/>
            </w:pPr>
            <w:r w:rsidRPr="00B83411">
              <w:t>9</w:t>
            </w:r>
            <w:r w:rsidR="00C94BFE" w:rsidRPr="00B83411">
              <w:t>5</w:t>
            </w:r>
          </w:p>
        </w:tc>
        <w:tc>
          <w:tcPr>
            <w:tcW w:w="1099" w:type="dxa"/>
            <w:tcBorders>
              <w:top w:val="nil"/>
              <w:left w:val="nil"/>
              <w:bottom w:val="nil"/>
              <w:right w:val="nil"/>
            </w:tcBorders>
            <w:shd w:val="clear" w:color="auto" w:fill="D9D9D9" w:themeFill="background1" w:themeFillShade="D9"/>
            <w:noWrap/>
            <w:hideMark/>
          </w:tcPr>
          <w:p w14:paraId="765315DE" w14:textId="578B50AD" w:rsidR="007000EA" w:rsidRPr="00B83411" w:rsidRDefault="007000EA" w:rsidP="007000EA">
            <w:pPr>
              <w:spacing w:before="60" w:after="60" w:line="240" w:lineRule="auto"/>
              <w:ind w:right="0"/>
              <w:jc w:val="center"/>
              <w:rPr>
                <w:rFonts w:eastAsia="Times New Roman" w:cs="Arial"/>
                <w:color w:val="000000"/>
                <w:lang w:eastAsia="en-AU"/>
              </w:rPr>
            </w:pPr>
            <w:r w:rsidRPr="00B83411">
              <w:t>98</w:t>
            </w:r>
          </w:p>
        </w:tc>
      </w:tr>
      <w:tr w:rsidR="007000EA" w:rsidRPr="00B83411" w14:paraId="555FF12F" w14:textId="77777777">
        <w:trPr>
          <w:trHeight w:val="113"/>
        </w:trPr>
        <w:tc>
          <w:tcPr>
            <w:tcW w:w="4678" w:type="dxa"/>
            <w:tcBorders>
              <w:top w:val="nil"/>
              <w:left w:val="nil"/>
              <w:bottom w:val="nil"/>
              <w:right w:val="nil"/>
            </w:tcBorders>
            <w:noWrap/>
            <w:vAlign w:val="center"/>
            <w:hideMark/>
          </w:tcPr>
          <w:p w14:paraId="3F722928"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Building cooperative relationships with your company and industry</w:t>
            </w:r>
          </w:p>
        </w:tc>
        <w:tc>
          <w:tcPr>
            <w:tcW w:w="1098" w:type="dxa"/>
            <w:tcBorders>
              <w:top w:val="nil"/>
              <w:left w:val="nil"/>
              <w:bottom w:val="nil"/>
              <w:right w:val="nil"/>
            </w:tcBorders>
            <w:noWrap/>
            <w:hideMark/>
          </w:tcPr>
          <w:p w14:paraId="19A1B030" w14:textId="043A7FC3"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noWrap/>
            <w:hideMark/>
          </w:tcPr>
          <w:p w14:paraId="6AF0CDF1" w14:textId="7670D80F"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8" w:type="dxa"/>
            <w:tcBorders>
              <w:top w:val="nil"/>
              <w:left w:val="nil"/>
              <w:bottom w:val="nil"/>
              <w:right w:val="nil"/>
            </w:tcBorders>
            <w:noWrap/>
            <w:hideMark/>
          </w:tcPr>
          <w:p w14:paraId="331992B5" w14:textId="2732A967"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noWrap/>
            <w:hideMark/>
          </w:tcPr>
          <w:p w14:paraId="771E02D7" w14:textId="687A7148"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r>
      <w:tr w:rsidR="007000EA" w:rsidRPr="00B83411" w14:paraId="17E59FA5"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5CB4744F" w14:textId="77777777" w:rsidR="007000EA" w:rsidRPr="00B83411" w:rsidRDefault="007000EA" w:rsidP="007000EA">
            <w:pPr>
              <w:spacing w:before="60" w:after="60" w:line="240" w:lineRule="auto"/>
              <w:ind w:right="0"/>
              <w:rPr>
                <w:rFonts w:eastAsia="Times New Roman" w:cs="Arial"/>
                <w:i/>
                <w:iCs/>
                <w:color w:val="000000"/>
                <w:lang w:eastAsia="en-AU"/>
              </w:rPr>
            </w:pPr>
            <w:r w:rsidRPr="00B83411">
              <w:rPr>
                <w:rFonts w:eastAsia="Times New Roman" w:cs="Arial"/>
                <w:i/>
                <w:iCs/>
                <w:color w:val="000000"/>
                <w:lang w:eastAsia="en-AU"/>
              </w:rPr>
              <w:t>Building cooperative relationships with government decision makers / your agency</w:t>
            </w:r>
          </w:p>
        </w:tc>
        <w:tc>
          <w:tcPr>
            <w:tcW w:w="1098" w:type="dxa"/>
            <w:tcBorders>
              <w:top w:val="nil"/>
              <w:left w:val="nil"/>
              <w:bottom w:val="nil"/>
              <w:right w:val="nil"/>
            </w:tcBorders>
            <w:shd w:val="clear" w:color="auto" w:fill="D9D9D9" w:themeFill="background1" w:themeFillShade="D9"/>
            <w:noWrap/>
            <w:hideMark/>
          </w:tcPr>
          <w:p w14:paraId="11DEEB8B" w14:textId="32F807E3"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9" w:type="dxa"/>
            <w:tcBorders>
              <w:top w:val="nil"/>
              <w:left w:val="nil"/>
              <w:bottom w:val="nil"/>
              <w:right w:val="nil"/>
            </w:tcBorders>
            <w:shd w:val="clear" w:color="auto" w:fill="D9D9D9" w:themeFill="background1" w:themeFillShade="D9"/>
            <w:noWrap/>
            <w:hideMark/>
          </w:tcPr>
          <w:p w14:paraId="2FFEFC1A" w14:textId="4738B255"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8" w:type="dxa"/>
            <w:tcBorders>
              <w:top w:val="nil"/>
              <w:left w:val="nil"/>
              <w:bottom w:val="nil"/>
              <w:right w:val="nil"/>
            </w:tcBorders>
            <w:shd w:val="clear" w:color="auto" w:fill="D9D9D9" w:themeFill="background1" w:themeFillShade="D9"/>
            <w:noWrap/>
            <w:hideMark/>
          </w:tcPr>
          <w:p w14:paraId="641A4BA8" w14:textId="54832611"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5FD5608B" w14:textId="42687CC3"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r>
      <w:tr w:rsidR="007000EA" w:rsidRPr="00B83411" w14:paraId="7D947C28" w14:textId="77777777">
        <w:trPr>
          <w:trHeight w:val="113"/>
        </w:trPr>
        <w:tc>
          <w:tcPr>
            <w:tcW w:w="4678" w:type="dxa"/>
            <w:tcBorders>
              <w:top w:val="nil"/>
              <w:left w:val="nil"/>
              <w:bottom w:val="nil"/>
              <w:right w:val="nil"/>
            </w:tcBorders>
            <w:noWrap/>
            <w:vAlign w:val="center"/>
            <w:hideMark/>
          </w:tcPr>
          <w:p w14:paraId="5F2A4D0A"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Collaboration with stakeholders to improve administration</w:t>
            </w:r>
          </w:p>
        </w:tc>
        <w:tc>
          <w:tcPr>
            <w:tcW w:w="1098" w:type="dxa"/>
            <w:tcBorders>
              <w:top w:val="nil"/>
              <w:left w:val="nil"/>
              <w:bottom w:val="nil"/>
              <w:right w:val="nil"/>
            </w:tcBorders>
            <w:noWrap/>
            <w:hideMark/>
          </w:tcPr>
          <w:p w14:paraId="74DA5923" w14:textId="0229DC7A" w:rsidR="007000EA" w:rsidRPr="00B83411" w:rsidRDefault="007000EA" w:rsidP="007000EA">
            <w:pPr>
              <w:spacing w:before="60" w:after="60" w:line="240" w:lineRule="auto"/>
              <w:ind w:right="0"/>
              <w:jc w:val="center"/>
              <w:rPr>
                <w:rFonts w:eastAsia="Times New Roman" w:cs="Arial"/>
                <w:color w:val="000000"/>
                <w:lang w:eastAsia="en-AU"/>
              </w:rPr>
            </w:pPr>
            <w:r w:rsidRPr="00B83411">
              <w:t>91</w:t>
            </w:r>
          </w:p>
        </w:tc>
        <w:tc>
          <w:tcPr>
            <w:tcW w:w="1099" w:type="dxa"/>
            <w:tcBorders>
              <w:top w:val="nil"/>
              <w:left w:val="nil"/>
              <w:bottom w:val="nil"/>
              <w:right w:val="nil"/>
            </w:tcBorders>
            <w:noWrap/>
            <w:hideMark/>
          </w:tcPr>
          <w:p w14:paraId="779A921E" w14:textId="4AA8296D" w:rsidR="007000EA" w:rsidRPr="00B83411" w:rsidRDefault="007000EA" w:rsidP="007000EA">
            <w:pPr>
              <w:spacing w:before="60" w:after="60" w:line="240" w:lineRule="auto"/>
              <w:ind w:right="0"/>
              <w:jc w:val="center"/>
              <w:rPr>
                <w:rFonts w:eastAsia="Times New Roman" w:cs="Arial"/>
                <w:color w:val="000000"/>
                <w:lang w:eastAsia="en-AU"/>
              </w:rPr>
            </w:pPr>
            <w:r w:rsidRPr="00B83411">
              <w:t>91</w:t>
            </w:r>
          </w:p>
        </w:tc>
        <w:tc>
          <w:tcPr>
            <w:tcW w:w="1098" w:type="dxa"/>
            <w:tcBorders>
              <w:top w:val="nil"/>
              <w:left w:val="nil"/>
              <w:bottom w:val="nil"/>
              <w:right w:val="nil"/>
            </w:tcBorders>
            <w:noWrap/>
            <w:hideMark/>
          </w:tcPr>
          <w:p w14:paraId="7FE47338" w14:textId="235E111D"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noWrap/>
            <w:hideMark/>
          </w:tcPr>
          <w:p w14:paraId="7A2521F4" w14:textId="61ADB463" w:rsidR="007000EA" w:rsidRPr="00B83411" w:rsidRDefault="007000EA" w:rsidP="007000EA">
            <w:pPr>
              <w:spacing w:before="60" w:after="60" w:line="240" w:lineRule="auto"/>
              <w:ind w:right="0"/>
              <w:jc w:val="center"/>
              <w:rPr>
                <w:rFonts w:eastAsia="Times New Roman" w:cs="Arial"/>
                <w:color w:val="000000"/>
                <w:lang w:eastAsia="en-AU"/>
              </w:rPr>
            </w:pPr>
            <w:r w:rsidRPr="00B83411">
              <w:t>93</w:t>
            </w:r>
          </w:p>
        </w:tc>
      </w:tr>
      <w:tr w:rsidR="007000EA" w:rsidRPr="00B83411" w14:paraId="283F2BF2"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446C07BD" w14:textId="75642FC4"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Working with</w:t>
            </w:r>
            <w:r w:rsidR="00924E38" w:rsidRPr="00B83411">
              <w:rPr>
                <w:rFonts w:eastAsia="Times New Roman" w:cs="Arial"/>
                <w:color w:val="000000"/>
                <w:lang w:eastAsia="en-AU"/>
              </w:rPr>
              <w:t xml:space="preserve"> </w:t>
            </w:r>
            <w:r w:rsidRPr="00B83411">
              <w:rPr>
                <w:rFonts w:eastAsia="Times New Roman" w:cs="Arial"/>
                <w:color w:val="000000"/>
                <w:lang w:eastAsia="en-AU"/>
              </w:rPr>
              <w:t>other government agencies and authorities to provide a consistent, whole of government approach to offshore electricity infrastructure</w:t>
            </w:r>
          </w:p>
        </w:tc>
        <w:tc>
          <w:tcPr>
            <w:tcW w:w="1098" w:type="dxa"/>
            <w:tcBorders>
              <w:top w:val="nil"/>
              <w:left w:val="nil"/>
              <w:bottom w:val="nil"/>
              <w:right w:val="nil"/>
            </w:tcBorders>
            <w:shd w:val="clear" w:color="auto" w:fill="D9D9D9" w:themeFill="background1" w:themeFillShade="D9"/>
            <w:noWrap/>
            <w:hideMark/>
          </w:tcPr>
          <w:p w14:paraId="7F71A537" w14:textId="4B273B42" w:rsidR="007000EA" w:rsidRPr="00B83411" w:rsidRDefault="007000EA" w:rsidP="007000EA">
            <w:pPr>
              <w:spacing w:before="60" w:after="60" w:line="240" w:lineRule="auto"/>
              <w:ind w:right="0"/>
              <w:jc w:val="center"/>
              <w:rPr>
                <w:rFonts w:eastAsia="Times New Roman" w:cs="Arial"/>
                <w:color w:val="000000"/>
                <w:lang w:eastAsia="en-AU"/>
              </w:rPr>
            </w:pPr>
            <w:r w:rsidRPr="00B83411">
              <w:t>NA </w:t>
            </w:r>
          </w:p>
        </w:tc>
        <w:tc>
          <w:tcPr>
            <w:tcW w:w="1099" w:type="dxa"/>
            <w:tcBorders>
              <w:top w:val="nil"/>
              <w:left w:val="nil"/>
              <w:bottom w:val="nil"/>
              <w:right w:val="nil"/>
            </w:tcBorders>
            <w:shd w:val="clear" w:color="auto" w:fill="D9D9D9" w:themeFill="background1" w:themeFillShade="D9"/>
            <w:noWrap/>
            <w:hideMark/>
          </w:tcPr>
          <w:p w14:paraId="45DC1ABA" w14:textId="507178BE"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c>
          <w:tcPr>
            <w:tcW w:w="1098" w:type="dxa"/>
            <w:tcBorders>
              <w:top w:val="nil"/>
              <w:left w:val="nil"/>
              <w:bottom w:val="nil"/>
              <w:right w:val="nil"/>
            </w:tcBorders>
            <w:shd w:val="clear" w:color="auto" w:fill="D9D9D9" w:themeFill="background1" w:themeFillShade="D9"/>
            <w:noWrap/>
            <w:hideMark/>
          </w:tcPr>
          <w:p w14:paraId="27FA3334" w14:textId="13BDFE6F" w:rsidR="007000EA" w:rsidRPr="00B83411" w:rsidRDefault="007000EA" w:rsidP="007000EA">
            <w:pPr>
              <w:spacing w:before="60" w:after="60" w:line="240" w:lineRule="auto"/>
              <w:ind w:right="0"/>
              <w:jc w:val="center"/>
              <w:rPr>
                <w:rFonts w:eastAsia="Times New Roman" w:cs="Arial"/>
                <w:color w:val="000000"/>
                <w:lang w:eastAsia="en-AU"/>
              </w:rPr>
            </w:pPr>
            <w:r w:rsidRPr="00B83411">
              <w:t>83</w:t>
            </w:r>
          </w:p>
        </w:tc>
        <w:tc>
          <w:tcPr>
            <w:tcW w:w="1099" w:type="dxa"/>
            <w:tcBorders>
              <w:top w:val="nil"/>
              <w:left w:val="nil"/>
              <w:bottom w:val="nil"/>
              <w:right w:val="nil"/>
            </w:tcBorders>
            <w:shd w:val="clear" w:color="auto" w:fill="D9D9D9" w:themeFill="background1" w:themeFillShade="D9"/>
            <w:noWrap/>
            <w:hideMark/>
          </w:tcPr>
          <w:p w14:paraId="448B1F5E" w14:textId="14CDC88A" w:rsidR="007000EA" w:rsidRPr="00B83411" w:rsidRDefault="007000EA" w:rsidP="007000EA">
            <w:pPr>
              <w:spacing w:before="60" w:after="60" w:line="240" w:lineRule="auto"/>
              <w:ind w:right="0"/>
              <w:jc w:val="center"/>
              <w:rPr>
                <w:rFonts w:eastAsia="Times New Roman" w:cs="Arial"/>
                <w:color w:val="000000"/>
                <w:lang w:eastAsia="en-AU"/>
              </w:rPr>
            </w:pPr>
            <w:r w:rsidRPr="00B83411">
              <w:t>80</w:t>
            </w:r>
          </w:p>
        </w:tc>
      </w:tr>
      <w:tr w:rsidR="007000EA" w:rsidRPr="00B83411" w14:paraId="5B3F046F" w14:textId="77777777">
        <w:trPr>
          <w:trHeight w:val="113"/>
        </w:trPr>
        <w:tc>
          <w:tcPr>
            <w:tcW w:w="4678" w:type="dxa"/>
            <w:tcBorders>
              <w:top w:val="nil"/>
              <w:left w:val="nil"/>
              <w:bottom w:val="nil"/>
              <w:right w:val="nil"/>
            </w:tcBorders>
            <w:noWrap/>
            <w:vAlign w:val="center"/>
            <w:hideMark/>
          </w:tcPr>
          <w:p w14:paraId="1A85B1BE"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Accuracy of the information it provides</w:t>
            </w:r>
          </w:p>
        </w:tc>
        <w:tc>
          <w:tcPr>
            <w:tcW w:w="1098" w:type="dxa"/>
            <w:tcBorders>
              <w:top w:val="nil"/>
              <w:left w:val="nil"/>
              <w:bottom w:val="nil"/>
              <w:right w:val="nil"/>
            </w:tcBorders>
            <w:noWrap/>
            <w:hideMark/>
          </w:tcPr>
          <w:p w14:paraId="16007CCD" w14:textId="63970658" w:rsidR="007000EA" w:rsidRPr="00B83411" w:rsidRDefault="007000EA" w:rsidP="007000EA">
            <w:pPr>
              <w:spacing w:before="60" w:after="60" w:line="240" w:lineRule="auto"/>
              <w:ind w:right="0"/>
              <w:jc w:val="center"/>
              <w:rPr>
                <w:rFonts w:eastAsia="Times New Roman" w:cs="Arial"/>
                <w:color w:val="000000"/>
                <w:lang w:eastAsia="en-AU"/>
              </w:rPr>
            </w:pPr>
            <w:r w:rsidRPr="00B83411">
              <w:t>98</w:t>
            </w:r>
          </w:p>
        </w:tc>
        <w:tc>
          <w:tcPr>
            <w:tcW w:w="1099" w:type="dxa"/>
            <w:tcBorders>
              <w:top w:val="nil"/>
              <w:left w:val="nil"/>
              <w:bottom w:val="nil"/>
              <w:right w:val="nil"/>
            </w:tcBorders>
            <w:noWrap/>
            <w:hideMark/>
          </w:tcPr>
          <w:p w14:paraId="2BC06F7C" w14:textId="7E8DF41F"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8" w:type="dxa"/>
            <w:tcBorders>
              <w:top w:val="nil"/>
              <w:left w:val="nil"/>
              <w:bottom w:val="nil"/>
              <w:right w:val="nil"/>
            </w:tcBorders>
            <w:noWrap/>
            <w:hideMark/>
          </w:tcPr>
          <w:p w14:paraId="1081A591" w14:textId="473C195B"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noWrap/>
            <w:hideMark/>
          </w:tcPr>
          <w:p w14:paraId="58B96405" w14:textId="54232A03" w:rsidR="007000EA" w:rsidRPr="00B83411" w:rsidRDefault="007000EA" w:rsidP="007000EA">
            <w:pPr>
              <w:spacing w:before="60" w:after="60" w:line="240" w:lineRule="auto"/>
              <w:ind w:right="0"/>
              <w:jc w:val="center"/>
              <w:rPr>
                <w:rFonts w:eastAsia="Times New Roman" w:cs="Arial"/>
                <w:color w:val="000000"/>
                <w:lang w:eastAsia="en-AU"/>
              </w:rPr>
            </w:pPr>
            <w:r w:rsidRPr="00B83411">
              <w:t>98</w:t>
            </w:r>
          </w:p>
        </w:tc>
      </w:tr>
      <w:tr w:rsidR="007000EA" w:rsidRPr="00B83411" w14:paraId="36FFCC7A"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1B99F064"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Clarity of information it provides</w:t>
            </w:r>
          </w:p>
        </w:tc>
        <w:tc>
          <w:tcPr>
            <w:tcW w:w="1098" w:type="dxa"/>
            <w:tcBorders>
              <w:top w:val="nil"/>
              <w:left w:val="nil"/>
              <w:bottom w:val="nil"/>
              <w:right w:val="nil"/>
            </w:tcBorders>
            <w:shd w:val="clear" w:color="auto" w:fill="D9D9D9" w:themeFill="background1" w:themeFillShade="D9"/>
            <w:noWrap/>
            <w:hideMark/>
          </w:tcPr>
          <w:p w14:paraId="7BA7EC8A" w14:textId="465AD612" w:rsidR="007000EA" w:rsidRPr="00B83411" w:rsidRDefault="007000EA" w:rsidP="007000EA">
            <w:pPr>
              <w:spacing w:before="60" w:after="60" w:line="240" w:lineRule="auto"/>
              <w:ind w:right="0"/>
              <w:jc w:val="center"/>
              <w:rPr>
                <w:rFonts w:eastAsia="Times New Roman" w:cs="Arial"/>
                <w:color w:val="000000"/>
                <w:lang w:eastAsia="en-AU"/>
              </w:rPr>
            </w:pPr>
            <w:r w:rsidRPr="00B83411">
              <w:t>94</w:t>
            </w:r>
          </w:p>
        </w:tc>
        <w:tc>
          <w:tcPr>
            <w:tcW w:w="1099" w:type="dxa"/>
            <w:tcBorders>
              <w:top w:val="nil"/>
              <w:left w:val="nil"/>
              <w:bottom w:val="nil"/>
              <w:right w:val="nil"/>
            </w:tcBorders>
            <w:shd w:val="clear" w:color="auto" w:fill="D9D9D9" w:themeFill="background1" w:themeFillShade="D9"/>
            <w:noWrap/>
            <w:hideMark/>
          </w:tcPr>
          <w:p w14:paraId="742A5D85" w14:textId="33FEF240" w:rsidR="007000EA" w:rsidRPr="00B83411" w:rsidRDefault="007000EA" w:rsidP="007000EA">
            <w:pPr>
              <w:spacing w:before="60" w:after="60" w:line="240" w:lineRule="auto"/>
              <w:ind w:right="0"/>
              <w:jc w:val="center"/>
              <w:rPr>
                <w:rFonts w:eastAsia="Times New Roman" w:cs="Arial"/>
                <w:color w:val="000000"/>
                <w:lang w:eastAsia="en-AU"/>
              </w:rPr>
            </w:pPr>
            <w:r w:rsidRPr="00B83411">
              <w:t>91</w:t>
            </w:r>
          </w:p>
        </w:tc>
        <w:tc>
          <w:tcPr>
            <w:tcW w:w="1098" w:type="dxa"/>
            <w:tcBorders>
              <w:top w:val="nil"/>
              <w:left w:val="nil"/>
              <w:bottom w:val="nil"/>
              <w:right w:val="nil"/>
            </w:tcBorders>
            <w:shd w:val="clear" w:color="auto" w:fill="D9D9D9" w:themeFill="background1" w:themeFillShade="D9"/>
            <w:noWrap/>
            <w:hideMark/>
          </w:tcPr>
          <w:p w14:paraId="1852AD08" w14:textId="5F2CC609" w:rsidR="007000EA" w:rsidRPr="00B83411" w:rsidRDefault="007000EA" w:rsidP="007000EA">
            <w:pPr>
              <w:spacing w:before="60" w:after="60" w:line="240" w:lineRule="auto"/>
              <w:ind w:right="0"/>
              <w:jc w:val="center"/>
              <w:rPr>
                <w:rFonts w:eastAsia="Times New Roman" w:cs="Arial"/>
                <w:color w:val="000000"/>
                <w:lang w:eastAsia="en-AU"/>
              </w:rPr>
            </w:pPr>
            <w:r w:rsidRPr="00B83411">
              <w:t> NA</w:t>
            </w:r>
          </w:p>
        </w:tc>
        <w:tc>
          <w:tcPr>
            <w:tcW w:w="1099" w:type="dxa"/>
            <w:tcBorders>
              <w:top w:val="nil"/>
              <w:left w:val="nil"/>
              <w:bottom w:val="nil"/>
              <w:right w:val="nil"/>
            </w:tcBorders>
            <w:shd w:val="clear" w:color="auto" w:fill="D9D9D9" w:themeFill="background1" w:themeFillShade="D9"/>
            <w:noWrap/>
            <w:hideMark/>
          </w:tcPr>
          <w:p w14:paraId="36C4CD2B" w14:textId="119BED3F" w:rsidR="007000EA" w:rsidRPr="00B83411" w:rsidRDefault="007000EA" w:rsidP="007000EA">
            <w:pPr>
              <w:spacing w:before="60" w:after="60" w:line="240" w:lineRule="auto"/>
              <w:ind w:right="0"/>
              <w:jc w:val="center"/>
              <w:rPr>
                <w:rFonts w:eastAsia="Times New Roman" w:cs="Arial"/>
                <w:color w:val="000000"/>
                <w:lang w:eastAsia="en-AU"/>
              </w:rPr>
            </w:pPr>
            <w:r w:rsidRPr="00B83411">
              <w:t>93</w:t>
            </w:r>
          </w:p>
        </w:tc>
      </w:tr>
      <w:tr w:rsidR="007000EA" w:rsidRPr="00B83411" w14:paraId="6567684B" w14:textId="77777777">
        <w:trPr>
          <w:trHeight w:val="113"/>
        </w:trPr>
        <w:tc>
          <w:tcPr>
            <w:tcW w:w="4678" w:type="dxa"/>
            <w:tcBorders>
              <w:top w:val="nil"/>
              <w:left w:val="nil"/>
              <w:bottom w:val="nil"/>
              <w:right w:val="nil"/>
            </w:tcBorders>
            <w:noWrap/>
            <w:vAlign w:val="center"/>
            <w:hideMark/>
          </w:tcPr>
          <w:p w14:paraId="0E5446B4" w14:textId="77777777" w:rsidR="007000EA" w:rsidRPr="00B83411" w:rsidRDefault="007000EA" w:rsidP="007000EA">
            <w:pPr>
              <w:spacing w:before="60" w:after="60" w:line="240" w:lineRule="auto"/>
              <w:ind w:right="0"/>
              <w:rPr>
                <w:rFonts w:eastAsia="Times New Roman" w:cs="Arial"/>
                <w:i/>
                <w:iCs/>
                <w:color w:val="000000"/>
                <w:lang w:eastAsia="en-AU"/>
              </w:rPr>
            </w:pPr>
            <w:r w:rsidRPr="00B83411">
              <w:rPr>
                <w:rFonts w:eastAsia="Times New Roman" w:cs="Arial"/>
                <w:i/>
                <w:iCs/>
                <w:color w:val="000000"/>
                <w:lang w:eastAsia="en-AU"/>
              </w:rPr>
              <w:t>Accuracy of advice it provides</w:t>
            </w:r>
          </w:p>
        </w:tc>
        <w:tc>
          <w:tcPr>
            <w:tcW w:w="1098" w:type="dxa"/>
            <w:tcBorders>
              <w:top w:val="nil"/>
              <w:left w:val="nil"/>
              <w:bottom w:val="nil"/>
              <w:right w:val="nil"/>
            </w:tcBorders>
            <w:noWrap/>
            <w:hideMark/>
          </w:tcPr>
          <w:p w14:paraId="52292DD3" w14:textId="009EC20E"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9" w:type="dxa"/>
            <w:tcBorders>
              <w:top w:val="nil"/>
              <w:left w:val="nil"/>
              <w:bottom w:val="nil"/>
              <w:right w:val="nil"/>
            </w:tcBorders>
            <w:noWrap/>
            <w:hideMark/>
          </w:tcPr>
          <w:p w14:paraId="10CFC79B" w14:textId="11B3739A" w:rsidR="007000EA" w:rsidRPr="00B83411" w:rsidRDefault="007000EA" w:rsidP="007000EA">
            <w:pPr>
              <w:spacing w:before="60" w:after="60" w:line="240" w:lineRule="auto"/>
              <w:ind w:right="0"/>
              <w:jc w:val="center"/>
              <w:rPr>
                <w:rFonts w:eastAsia="Times New Roman"/>
                <w:i/>
                <w:iCs/>
                <w:lang w:eastAsia="en-AU"/>
              </w:rPr>
            </w:pPr>
            <w:r w:rsidRPr="00B83411">
              <w:t>NA</w:t>
            </w:r>
          </w:p>
        </w:tc>
        <w:tc>
          <w:tcPr>
            <w:tcW w:w="1098" w:type="dxa"/>
            <w:tcBorders>
              <w:top w:val="nil"/>
              <w:left w:val="nil"/>
              <w:bottom w:val="nil"/>
              <w:right w:val="nil"/>
            </w:tcBorders>
            <w:noWrap/>
            <w:hideMark/>
          </w:tcPr>
          <w:p w14:paraId="0E293185" w14:textId="753ED93B"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c>
          <w:tcPr>
            <w:tcW w:w="1099" w:type="dxa"/>
            <w:tcBorders>
              <w:top w:val="nil"/>
              <w:left w:val="nil"/>
              <w:bottom w:val="nil"/>
              <w:right w:val="nil"/>
            </w:tcBorders>
            <w:noWrap/>
            <w:hideMark/>
          </w:tcPr>
          <w:p w14:paraId="5D5D753C" w14:textId="0B18C023"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r>
      <w:tr w:rsidR="007000EA" w:rsidRPr="00B83411" w14:paraId="778F0071"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4B18FBDB" w14:textId="77777777" w:rsidR="007000EA" w:rsidRPr="00B83411" w:rsidRDefault="007000EA" w:rsidP="007000EA">
            <w:pPr>
              <w:spacing w:before="60" w:after="60" w:line="240" w:lineRule="auto"/>
              <w:ind w:right="0"/>
              <w:rPr>
                <w:rFonts w:eastAsia="Times New Roman" w:cs="Arial"/>
                <w:i/>
                <w:iCs/>
                <w:color w:val="000000"/>
                <w:lang w:eastAsia="en-AU"/>
              </w:rPr>
            </w:pPr>
            <w:r w:rsidRPr="00B83411">
              <w:rPr>
                <w:rFonts w:eastAsia="Times New Roman" w:cs="Arial"/>
                <w:i/>
                <w:iCs/>
                <w:color w:val="000000"/>
                <w:lang w:eastAsia="en-AU"/>
              </w:rPr>
              <w:t>Clarity of advice it provides </w:t>
            </w:r>
          </w:p>
        </w:tc>
        <w:tc>
          <w:tcPr>
            <w:tcW w:w="1098" w:type="dxa"/>
            <w:tcBorders>
              <w:top w:val="nil"/>
              <w:left w:val="nil"/>
              <w:bottom w:val="nil"/>
              <w:right w:val="nil"/>
            </w:tcBorders>
            <w:shd w:val="clear" w:color="auto" w:fill="D9D9D9" w:themeFill="background1" w:themeFillShade="D9"/>
            <w:noWrap/>
            <w:hideMark/>
          </w:tcPr>
          <w:p w14:paraId="1882EF01" w14:textId="5962D490"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9" w:type="dxa"/>
            <w:tcBorders>
              <w:top w:val="nil"/>
              <w:left w:val="nil"/>
              <w:bottom w:val="nil"/>
              <w:right w:val="nil"/>
            </w:tcBorders>
            <w:shd w:val="clear" w:color="auto" w:fill="D9D9D9" w:themeFill="background1" w:themeFillShade="D9"/>
            <w:noWrap/>
            <w:hideMark/>
          </w:tcPr>
          <w:p w14:paraId="7217C929" w14:textId="65D3DF04"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8" w:type="dxa"/>
            <w:tcBorders>
              <w:top w:val="nil"/>
              <w:left w:val="nil"/>
              <w:bottom w:val="nil"/>
              <w:right w:val="nil"/>
            </w:tcBorders>
            <w:shd w:val="clear" w:color="auto" w:fill="D9D9D9" w:themeFill="background1" w:themeFillShade="D9"/>
            <w:noWrap/>
            <w:hideMark/>
          </w:tcPr>
          <w:p w14:paraId="158D14E5" w14:textId="32065F02"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6067575A" w14:textId="3DD95B0C"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r>
      <w:tr w:rsidR="007000EA" w:rsidRPr="00B83411" w14:paraId="58F724BB" w14:textId="77777777">
        <w:trPr>
          <w:trHeight w:val="113"/>
        </w:trPr>
        <w:tc>
          <w:tcPr>
            <w:tcW w:w="4678" w:type="dxa"/>
            <w:tcBorders>
              <w:top w:val="nil"/>
              <w:left w:val="nil"/>
              <w:bottom w:val="nil"/>
              <w:right w:val="nil"/>
            </w:tcBorders>
            <w:shd w:val="clear" w:color="auto" w:fill="FBD4B4" w:themeFill="accent6" w:themeFillTint="66"/>
            <w:noWrap/>
            <w:vAlign w:val="center"/>
            <w:hideMark/>
          </w:tcPr>
          <w:p w14:paraId="4410ECB5"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Justification of its decisions made about offshore titles / licences (justification includes clearly explaining the reasons for a decision)</w:t>
            </w:r>
          </w:p>
        </w:tc>
        <w:tc>
          <w:tcPr>
            <w:tcW w:w="1098" w:type="dxa"/>
            <w:tcBorders>
              <w:top w:val="nil"/>
              <w:left w:val="nil"/>
              <w:bottom w:val="nil"/>
              <w:right w:val="nil"/>
            </w:tcBorders>
            <w:shd w:val="clear" w:color="auto" w:fill="92CDDC" w:themeFill="accent5" w:themeFillTint="99"/>
            <w:noWrap/>
            <w:hideMark/>
          </w:tcPr>
          <w:p w14:paraId="5855A6C2" w14:textId="0924543A" w:rsidR="007000EA" w:rsidRPr="00B83411" w:rsidRDefault="007000EA" w:rsidP="007000EA">
            <w:pPr>
              <w:spacing w:before="60" w:after="60" w:line="240" w:lineRule="auto"/>
              <w:ind w:right="0"/>
              <w:jc w:val="center"/>
              <w:rPr>
                <w:rFonts w:eastAsia="Times New Roman" w:cs="Arial"/>
                <w:color w:val="000000"/>
                <w:lang w:eastAsia="en-AU"/>
              </w:rPr>
            </w:pPr>
            <w:r w:rsidRPr="00B83411">
              <w:t>83</w:t>
            </w:r>
          </w:p>
        </w:tc>
        <w:tc>
          <w:tcPr>
            <w:tcW w:w="1099" w:type="dxa"/>
            <w:tcBorders>
              <w:top w:val="nil"/>
              <w:left w:val="nil"/>
              <w:bottom w:val="nil"/>
              <w:right w:val="nil"/>
            </w:tcBorders>
            <w:shd w:val="clear" w:color="auto" w:fill="92CDDC" w:themeFill="accent5" w:themeFillTint="99"/>
            <w:noWrap/>
            <w:hideMark/>
          </w:tcPr>
          <w:p w14:paraId="68EB337F" w14:textId="4D42D242" w:rsidR="007000EA" w:rsidRPr="00B83411" w:rsidRDefault="007000EA" w:rsidP="007000EA">
            <w:pPr>
              <w:spacing w:before="60" w:after="60" w:line="240" w:lineRule="auto"/>
              <w:ind w:right="0"/>
              <w:jc w:val="center"/>
              <w:rPr>
                <w:rFonts w:eastAsia="Times New Roman" w:cs="Arial"/>
                <w:color w:val="000000"/>
                <w:lang w:eastAsia="en-AU"/>
              </w:rPr>
            </w:pPr>
            <w:r w:rsidRPr="00B83411">
              <w:t>60</w:t>
            </w:r>
          </w:p>
        </w:tc>
        <w:tc>
          <w:tcPr>
            <w:tcW w:w="1098" w:type="dxa"/>
            <w:tcBorders>
              <w:top w:val="nil"/>
              <w:left w:val="nil"/>
              <w:bottom w:val="nil"/>
              <w:right w:val="nil"/>
            </w:tcBorders>
            <w:shd w:val="clear" w:color="auto" w:fill="FBD4B4" w:themeFill="accent6" w:themeFillTint="66"/>
            <w:noWrap/>
            <w:hideMark/>
          </w:tcPr>
          <w:p w14:paraId="222372DE" w14:textId="01FD2C12"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shd w:val="clear" w:color="auto" w:fill="FBD4B4" w:themeFill="accent6" w:themeFillTint="66"/>
            <w:noWrap/>
            <w:hideMark/>
          </w:tcPr>
          <w:p w14:paraId="44FA7F6C" w14:textId="07D050D4"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r>
      <w:tr w:rsidR="007000EA" w:rsidRPr="00B83411" w14:paraId="1BB336F7" w14:textId="77777777">
        <w:trPr>
          <w:trHeight w:val="113"/>
        </w:trPr>
        <w:tc>
          <w:tcPr>
            <w:tcW w:w="4678" w:type="dxa"/>
            <w:tcBorders>
              <w:top w:val="nil"/>
              <w:left w:val="nil"/>
              <w:bottom w:val="nil"/>
              <w:right w:val="nil"/>
            </w:tcBorders>
            <w:shd w:val="clear" w:color="auto" w:fill="FBD4B4" w:themeFill="accent6" w:themeFillTint="66"/>
            <w:noWrap/>
            <w:vAlign w:val="center"/>
            <w:hideMark/>
          </w:tcPr>
          <w:p w14:paraId="1C48F340" w14:textId="77777777" w:rsidR="007000EA" w:rsidRPr="00B83411" w:rsidRDefault="007000EA" w:rsidP="007000EA">
            <w:pPr>
              <w:spacing w:before="60" w:after="60" w:line="240" w:lineRule="auto"/>
              <w:ind w:right="0"/>
              <w:rPr>
                <w:rFonts w:eastAsia="Times New Roman" w:cs="Arial"/>
                <w:i/>
                <w:iCs/>
                <w:color w:val="000000"/>
                <w:lang w:eastAsia="en-AU"/>
              </w:rPr>
            </w:pPr>
            <w:r w:rsidRPr="00B83411">
              <w:rPr>
                <w:rFonts w:eastAsia="Times New Roman" w:cs="Arial"/>
                <w:i/>
                <w:iCs/>
                <w:color w:val="000000"/>
                <w:lang w:eastAsia="en-AU"/>
              </w:rPr>
              <w:t>Justification of its recommendations made about offshore titles / licences</w:t>
            </w:r>
          </w:p>
        </w:tc>
        <w:tc>
          <w:tcPr>
            <w:tcW w:w="1098" w:type="dxa"/>
            <w:tcBorders>
              <w:top w:val="nil"/>
              <w:left w:val="nil"/>
              <w:bottom w:val="nil"/>
              <w:right w:val="nil"/>
            </w:tcBorders>
            <w:shd w:val="clear" w:color="auto" w:fill="FBD4B4" w:themeFill="accent6" w:themeFillTint="66"/>
            <w:noWrap/>
            <w:hideMark/>
          </w:tcPr>
          <w:p w14:paraId="35A8A582" w14:textId="301DEDD0"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9" w:type="dxa"/>
            <w:tcBorders>
              <w:top w:val="nil"/>
              <w:left w:val="nil"/>
              <w:bottom w:val="nil"/>
              <w:right w:val="nil"/>
            </w:tcBorders>
            <w:shd w:val="clear" w:color="auto" w:fill="FBD4B4" w:themeFill="accent6" w:themeFillTint="66"/>
            <w:noWrap/>
            <w:hideMark/>
          </w:tcPr>
          <w:p w14:paraId="21E23C1A" w14:textId="30F4D945"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8" w:type="dxa"/>
            <w:tcBorders>
              <w:top w:val="nil"/>
              <w:left w:val="nil"/>
              <w:bottom w:val="nil"/>
              <w:right w:val="nil"/>
            </w:tcBorders>
            <w:shd w:val="clear" w:color="auto" w:fill="92CDDC" w:themeFill="accent5" w:themeFillTint="99"/>
            <w:noWrap/>
            <w:hideMark/>
          </w:tcPr>
          <w:p w14:paraId="7F287D0B" w14:textId="7D46BCEF"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c>
          <w:tcPr>
            <w:tcW w:w="1099" w:type="dxa"/>
            <w:tcBorders>
              <w:top w:val="nil"/>
              <w:left w:val="nil"/>
              <w:bottom w:val="nil"/>
              <w:right w:val="nil"/>
            </w:tcBorders>
            <w:shd w:val="clear" w:color="auto" w:fill="FBD4B4" w:themeFill="accent6" w:themeFillTint="66"/>
            <w:noWrap/>
            <w:hideMark/>
          </w:tcPr>
          <w:p w14:paraId="4F5219C3" w14:textId="159556BD"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r>
      <w:tr w:rsidR="007000EA" w:rsidRPr="00B83411" w14:paraId="4A7E67BF" w14:textId="77777777">
        <w:trPr>
          <w:trHeight w:val="113"/>
        </w:trPr>
        <w:tc>
          <w:tcPr>
            <w:tcW w:w="4678" w:type="dxa"/>
            <w:tcBorders>
              <w:top w:val="nil"/>
              <w:left w:val="nil"/>
              <w:bottom w:val="nil"/>
              <w:right w:val="nil"/>
            </w:tcBorders>
            <w:noWrap/>
            <w:vAlign w:val="center"/>
            <w:hideMark/>
          </w:tcPr>
          <w:p w14:paraId="45507580"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Consistency of its information </w:t>
            </w:r>
          </w:p>
        </w:tc>
        <w:tc>
          <w:tcPr>
            <w:tcW w:w="1098" w:type="dxa"/>
            <w:tcBorders>
              <w:top w:val="nil"/>
              <w:left w:val="nil"/>
              <w:bottom w:val="nil"/>
              <w:right w:val="nil"/>
            </w:tcBorders>
            <w:noWrap/>
            <w:hideMark/>
          </w:tcPr>
          <w:p w14:paraId="3AB88C30" w14:textId="6F05C894" w:rsidR="007000EA" w:rsidRPr="00B83411" w:rsidRDefault="007000EA" w:rsidP="007000EA">
            <w:pPr>
              <w:spacing w:before="60" w:after="60" w:line="240" w:lineRule="auto"/>
              <w:ind w:right="0"/>
              <w:jc w:val="center"/>
              <w:rPr>
                <w:rFonts w:eastAsia="Times New Roman" w:cs="Arial"/>
                <w:color w:val="000000"/>
                <w:lang w:eastAsia="en-AU"/>
              </w:rPr>
            </w:pPr>
            <w:r w:rsidRPr="00B83411">
              <w:t>89</w:t>
            </w:r>
          </w:p>
        </w:tc>
        <w:tc>
          <w:tcPr>
            <w:tcW w:w="1099" w:type="dxa"/>
            <w:tcBorders>
              <w:top w:val="nil"/>
              <w:left w:val="nil"/>
              <w:bottom w:val="nil"/>
              <w:right w:val="nil"/>
            </w:tcBorders>
            <w:noWrap/>
            <w:hideMark/>
          </w:tcPr>
          <w:p w14:paraId="54E6DB5D" w14:textId="573B43E1"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8" w:type="dxa"/>
            <w:tcBorders>
              <w:top w:val="nil"/>
              <w:left w:val="nil"/>
              <w:bottom w:val="nil"/>
              <w:right w:val="nil"/>
            </w:tcBorders>
            <w:noWrap/>
            <w:hideMark/>
          </w:tcPr>
          <w:p w14:paraId="377A5507" w14:textId="1EF9EE4B"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noWrap/>
            <w:hideMark/>
          </w:tcPr>
          <w:p w14:paraId="6B1CCA01" w14:textId="6D57CBBE" w:rsidR="007000EA" w:rsidRPr="00B83411" w:rsidRDefault="007000EA" w:rsidP="007000EA">
            <w:pPr>
              <w:spacing w:before="60" w:after="60" w:line="240" w:lineRule="auto"/>
              <w:ind w:right="0"/>
              <w:jc w:val="center"/>
              <w:rPr>
                <w:rFonts w:eastAsia="Times New Roman" w:cs="Arial"/>
                <w:color w:val="000000"/>
                <w:lang w:eastAsia="en-AU"/>
              </w:rPr>
            </w:pPr>
            <w:r w:rsidRPr="00B83411">
              <w:t>90</w:t>
            </w:r>
          </w:p>
        </w:tc>
      </w:tr>
      <w:tr w:rsidR="007000EA" w:rsidRPr="00B83411" w14:paraId="735EADBB"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6E5EED11" w14:textId="77777777" w:rsidR="007000EA" w:rsidRPr="00B83411" w:rsidRDefault="007000EA" w:rsidP="007000EA">
            <w:pPr>
              <w:spacing w:before="60" w:after="60" w:line="240" w:lineRule="auto"/>
              <w:ind w:right="0"/>
              <w:rPr>
                <w:rFonts w:eastAsia="Times New Roman" w:cs="Arial"/>
                <w:i/>
                <w:iCs/>
                <w:color w:val="000000"/>
                <w:lang w:eastAsia="en-AU"/>
              </w:rPr>
            </w:pPr>
            <w:r w:rsidRPr="00B83411">
              <w:rPr>
                <w:rFonts w:eastAsia="Times New Roman" w:cs="Arial"/>
                <w:i/>
                <w:iCs/>
                <w:color w:val="000000"/>
                <w:lang w:eastAsia="en-AU"/>
              </w:rPr>
              <w:t>Consistency of its advice / recommendations</w:t>
            </w:r>
          </w:p>
        </w:tc>
        <w:tc>
          <w:tcPr>
            <w:tcW w:w="1098" w:type="dxa"/>
            <w:tcBorders>
              <w:top w:val="nil"/>
              <w:left w:val="nil"/>
              <w:bottom w:val="nil"/>
              <w:right w:val="nil"/>
            </w:tcBorders>
            <w:shd w:val="clear" w:color="auto" w:fill="D9D9D9" w:themeFill="background1" w:themeFillShade="D9"/>
            <w:noWrap/>
            <w:hideMark/>
          </w:tcPr>
          <w:p w14:paraId="4AB9877B" w14:textId="3E09FBED"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9" w:type="dxa"/>
            <w:tcBorders>
              <w:top w:val="nil"/>
              <w:left w:val="nil"/>
              <w:bottom w:val="nil"/>
              <w:right w:val="nil"/>
            </w:tcBorders>
            <w:shd w:val="clear" w:color="auto" w:fill="D9D9D9" w:themeFill="background1" w:themeFillShade="D9"/>
            <w:noWrap/>
            <w:hideMark/>
          </w:tcPr>
          <w:p w14:paraId="4A8F5F83" w14:textId="00CFDAB8"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8" w:type="dxa"/>
            <w:tcBorders>
              <w:top w:val="nil"/>
              <w:left w:val="nil"/>
              <w:bottom w:val="nil"/>
              <w:right w:val="nil"/>
            </w:tcBorders>
            <w:shd w:val="clear" w:color="auto" w:fill="D9D9D9" w:themeFill="background1" w:themeFillShade="D9"/>
            <w:noWrap/>
            <w:hideMark/>
          </w:tcPr>
          <w:p w14:paraId="794FF8A8" w14:textId="31148A06"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0C033D98" w14:textId="1F5E5038"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r>
      <w:tr w:rsidR="007000EA" w:rsidRPr="00B83411" w14:paraId="25683954" w14:textId="77777777">
        <w:trPr>
          <w:trHeight w:val="113"/>
        </w:trPr>
        <w:tc>
          <w:tcPr>
            <w:tcW w:w="4678" w:type="dxa"/>
            <w:tcBorders>
              <w:top w:val="nil"/>
              <w:left w:val="nil"/>
              <w:bottom w:val="nil"/>
              <w:right w:val="nil"/>
            </w:tcBorders>
            <w:noWrap/>
            <w:vAlign w:val="center"/>
            <w:hideMark/>
          </w:tcPr>
          <w:p w14:paraId="123BE402"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Transparency of its decisions about offshore titles / licences</w:t>
            </w:r>
          </w:p>
        </w:tc>
        <w:tc>
          <w:tcPr>
            <w:tcW w:w="1098" w:type="dxa"/>
            <w:tcBorders>
              <w:top w:val="nil"/>
              <w:left w:val="nil"/>
              <w:bottom w:val="nil"/>
              <w:right w:val="nil"/>
            </w:tcBorders>
            <w:noWrap/>
            <w:hideMark/>
          </w:tcPr>
          <w:p w14:paraId="1EA6EAFC" w14:textId="083C53DB" w:rsidR="007000EA" w:rsidRPr="00B83411" w:rsidRDefault="007000EA" w:rsidP="007000EA">
            <w:pPr>
              <w:spacing w:before="60" w:after="60" w:line="240" w:lineRule="auto"/>
              <w:ind w:right="0"/>
              <w:jc w:val="center"/>
              <w:rPr>
                <w:rFonts w:eastAsia="Times New Roman" w:cs="Arial"/>
                <w:color w:val="000000"/>
                <w:lang w:eastAsia="en-AU"/>
              </w:rPr>
            </w:pPr>
            <w:r w:rsidRPr="00B83411">
              <w:t>74</w:t>
            </w:r>
          </w:p>
        </w:tc>
        <w:tc>
          <w:tcPr>
            <w:tcW w:w="1099" w:type="dxa"/>
            <w:tcBorders>
              <w:top w:val="nil"/>
              <w:left w:val="nil"/>
              <w:bottom w:val="nil"/>
              <w:right w:val="nil"/>
            </w:tcBorders>
            <w:noWrap/>
            <w:hideMark/>
          </w:tcPr>
          <w:p w14:paraId="04917940" w14:textId="2CC854FD" w:rsidR="007000EA" w:rsidRPr="00B83411" w:rsidRDefault="007000EA" w:rsidP="007000EA">
            <w:pPr>
              <w:spacing w:before="60" w:after="60" w:line="240" w:lineRule="auto"/>
              <w:ind w:right="0"/>
              <w:jc w:val="center"/>
              <w:rPr>
                <w:rFonts w:eastAsia="Times New Roman" w:cs="Arial"/>
                <w:color w:val="000000"/>
                <w:lang w:eastAsia="en-AU"/>
              </w:rPr>
            </w:pPr>
            <w:r w:rsidRPr="00B83411">
              <w:t>70</w:t>
            </w:r>
          </w:p>
        </w:tc>
        <w:tc>
          <w:tcPr>
            <w:tcW w:w="1098" w:type="dxa"/>
            <w:tcBorders>
              <w:top w:val="nil"/>
              <w:left w:val="nil"/>
              <w:bottom w:val="nil"/>
              <w:right w:val="nil"/>
            </w:tcBorders>
            <w:noWrap/>
            <w:hideMark/>
          </w:tcPr>
          <w:p w14:paraId="5BE54C76" w14:textId="3E9CEC39"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noWrap/>
            <w:hideMark/>
          </w:tcPr>
          <w:p w14:paraId="06B33E43" w14:textId="41EB9137" w:rsidR="007000EA" w:rsidRPr="00B83411" w:rsidRDefault="007000EA" w:rsidP="007000EA">
            <w:pPr>
              <w:spacing w:before="60" w:after="60" w:line="240" w:lineRule="auto"/>
              <w:ind w:right="0"/>
              <w:jc w:val="center"/>
              <w:rPr>
                <w:rFonts w:eastAsia="Times New Roman" w:cs="Arial"/>
                <w:color w:val="000000"/>
                <w:lang w:eastAsia="en-AU"/>
              </w:rPr>
            </w:pPr>
            <w:r w:rsidRPr="00B83411">
              <w:t>7</w:t>
            </w:r>
            <w:r w:rsidR="00EF62DD" w:rsidRPr="00B83411">
              <w:t>3</w:t>
            </w:r>
          </w:p>
        </w:tc>
      </w:tr>
      <w:tr w:rsidR="007000EA" w:rsidRPr="00B83411" w14:paraId="02576230"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2A6C0CB4" w14:textId="2EB04493"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 xml:space="preserve">The efficiency of its titles / licences administration </w:t>
            </w:r>
          </w:p>
        </w:tc>
        <w:tc>
          <w:tcPr>
            <w:tcW w:w="1098" w:type="dxa"/>
            <w:tcBorders>
              <w:top w:val="nil"/>
              <w:left w:val="nil"/>
              <w:bottom w:val="nil"/>
              <w:right w:val="nil"/>
            </w:tcBorders>
            <w:shd w:val="clear" w:color="auto" w:fill="92CDDC" w:themeFill="accent5" w:themeFillTint="99"/>
            <w:noWrap/>
            <w:hideMark/>
          </w:tcPr>
          <w:p w14:paraId="0E303048" w14:textId="449808F9" w:rsidR="007000EA" w:rsidRPr="00B83411" w:rsidRDefault="007000EA" w:rsidP="007000EA">
            <w:pPr>
              <w:spacing w:before="60" w:after="60" w:line="240" w:lineRule="auto"/>
              <w:ind w:right="0"/>
              <w:jc w:val="center"/>
              <w:rPr>
                <w:rFonts w:eastAsia="Times New Roman" w:cs="Arial"/>
                <w:color w:val="000000"/>
                <w:lang w:eastAsia="en-AU"/>
              </w:rPr>
            </w:pPr>
            <w:r w:rsidRPr="00B83411">
              <w:t>59</w:t>
            </w:r>
          </w:p>
        </w:tc>
        <w:tc>
          <w:tcPr>
            <w:tcW w:w="1099" w:type="dxa"/>
            <w:tcBorders>
              <w:top w:val="nil"/>
              <w:left w:val="nil"/>
              <w:bottom w:val="nil"/>
              <w:right w:val="nil"/>
            </w:tcBorders>
            <w:shd w:val="clear" w:color="auto" w:fill="92CDDC" w:themeFill="accent5" w:themeFillTint="99"/>
            <w:noWrap/>
            <w:hideMark/>
          </w:tcPr>
          <w:p w14:paraId="69B8FA4B" w14:textId="0257A251" w:rsidR="007000EA" w:rsidRPr="00B83411" w:rsidRDefault="007000EA" w:rsidP="007000EA">
            <w:pPr>
              <w:spacing w:before="60" w:after="60" w:line="240" w:lineRule="auto"/>
              <w:ind w:right="0"/>
              <w:jc w:val="center"/>
              <w:rPr>
                <w:rFonts w:eastAsia="Times New Roman" w:cs="Arial"/>
                <w:color w:val="000000"/>
                <w:lang w:eastAsia="en-AU"/>
              </w:rPr>
            </w:pPr>
            <w:r w:rsidRPr="00B83411">
              <w:t>64</w:t>
            </w:r>
          </w:p>
        </w:tc>
        <w:tc>
          <w:tcPr>
            <w:tcW w:w="1098" w:type="dxa"/>
            <w:tcBorders>
              <w:top w:val="nil"/>
              <w:left w:val="nil"/>
              <w:bottom w:val="nil"/>
              <w:right w:val="nil"/>
            </w:tcBorders>
            <w:shd w:val="clear" w:color="auto" w:fill="D9D9D9" w:themeFill="background1" w:themeFillShade="D9"/>
            <w:noWrap/>
            <w:hideMark/>
          </w:tcPr>
          <w:p w14:paraId="7866FBAA" w14:textId="09F42483"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21D1A298" w14:textId="2BCD9893" w:rsidR="007000EA" w:rsidRPr="00B83411" w:rsidRDefault="007000EA" w:rsidP="007000EA">
            <w:pPr>
              <w:spacing w:before="60" w:after="60" w:line="240" w:lineRule="auto"/>
              <w:ind w:right="0"/>
              <w:jc w:val="center"/>
              <w:rPr>
                <w:rFonts w:eastAsia="Times New Roman" w:cs="Arial"/>
                <w:color w:val="000000"/>
                <w:lang w:eastAsia="en-AU"/>
              </w:rPr>
            </w:pPr>
            <w:r w:rsidRPr="00B83411">
              <w:t>68</w:t>
            </w:r>
          </w:p>
        </w:tc>
      </w:tr>
      <w:tr w:rsidR="007000EA" w:rsidRPr="00B83411" w14:paraId="32C037C2" w14:textId="77777777">
        <w:trPr>
          <w:trHeight w:val="113"/>
        </w:trPr>
        <w:tc>
          <w:tcPr>
            <w:tcW w:w="4678" w:type="dxa"/>
            <w:tcBorders>
              <w:top w:val="nil"/>
              <w:left w:val="nil"/>
              <w:bottom w:val="nil"/>
              <w:right w:val="nil"/>
            </w:tcBorders>
            <w:noWrap/>
            <w:vAlign w:val="center"/>
            <w:hideMark/>
          </w:tcPr>
          <w:p w14:paraId="6D5E6B0E" w14:textId="5EB7C1CA"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The effectiveness of its titles / licences administration</w:t>
            </w:r>
          </w:p>
        </w:tc>
        <w:tc>
          <w:tcPr>
            <w:tcW w:w="1098" w:type="dxa"/>
            <w:tcBorders>
              <w:top w:val="nil"/>
              <w:left w:val="nil"/>
              <w:bottom w:val="nil"/>
              <w:right w:val="nil"/>
            </w:tcBorders>
            <w:noWrap/>
            <w:hideMark/>
          </w:tcPr>
          <w:p w14:paraId="5A3DEAF4" w14:textId="3A05AE9C" w:rsidR="007000EA" w:rsidRPr="00B83411" w:rsidRDefault="007000EA" w:rsidP="007000EA">
            <w:pPr>
              <w:spacing w:before="60" w:after="60" w:line="240" w:lineRule="auto"/>
              <w:ind w:right="0"/>
              <w:jc w:val="center"/>
              <w:rPr>
                <w:rFonts w:eastAsia="Times New Roman" w:cs="Arial"/>
                <w:color w:val="000000"/>
                <w:lang w:eastAsia="en-AU"/>
              </w:rPr>
            </w:pPr>
            <w:r w:rsidRPr="00B83411">
              <w:t>82</w:t>
            </w:r>
          </w:p>
        </w:tc>
        <w:tc>
          <w:tcPr>
            <w:tcW w:w="1099" w:type="dxa"/>
            <w:tcBorders>
              <w:top w:val="nil"/>
              <w:left w:val="nil"/>
              <w:bottom w:val="nil"/>
              <w:right w:val="nil"/>
            </w:tcBorders>
            <w:noWrap/>
            <w:hideMark/>
          </w:tcPr>
          <w:p w14:paraId="146B6E95" w14:textId="68E56DDD" w:rsidR="007000EA" w:rsidRPr="00B83411" w:rsidRDefault="007000EA" w:rsidP="007000EA">
            <w:pPr>
              <w:spacing w:before="60" w:after="60" w:line="240" w:lineRule="auto"/>
              <w:ind w:right="0"/>
              <w:jc w:val="center"/>
              <w:rPr>
                <w:rFonts w:eastAsia="Times New Roman" w:cs="Arial"/>
                <w:color w:val="000000"/>
                <w:lang w:eastAsia="en-AU"/>
              </w:rPr>
            </w:pPr>
            <w:r w:rsidRPr="00B83411">
              <w:t>88</w:t>
            </w:r>
          </w:p>
        </w:tc>
        <w:tc>
          <w:tcPr>
            <w:tcW w:w="1098" w:type="dxa"/>
            <w:tcBorders>
              <w:top w:val="nil"/>
              <w:left w:val="nil"/>
              <w:bottom w:val="nil"/>
              <w:right w:val="nil"/>
            </w:tcBorders>
            <w:noWrap/>
            <w:hideMark/>
          </w:tcPr>
          <w:p w14:paraId="787DF8BB" w14:textId="62C51588"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noWrap/>
            <w:hideMark/>
          </w:tcPr>
          <w:p w14:paraId="13BC1D64" w14:textId="1E14E3F5" w:rsidR="007000EA" w:rsidRPr="00B83411" w:rsidRDefault="007000EA" w:rsidP="007000EA">
            <w:pPr>
              <w:spacing w:before="60" w:after="60" w:line="240" w:lineRule="auto"/>
              <w:ind w:right="0"/>
              <w:jc w:val="center"/>
              <w:rPr>
                <w:rFonts w:eastAsia="Times New Roman" w:cs="Arial"/>
                <w:color w:val="000000"/>
                <w:lang w:eastAsia="en-AU"/>
              </w:rPr>
            </w:pPr>
            <w:r w:rsidRPr="00B83411">
              <w:t>87</w:t>
            </w:r>
          </w:p>
        </w:tc>
      </w:tr>
      <w:tr w:rsidR="007000EA" w:rsidRPr="00B83411" w14:paraId="1B3045FC"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1327CA52"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Its focus on continuous improvement</w:t>
            </w:r>
          </w:p>
        </w:tc>
        <w:tc>
          <w:tcPr>
            <w:tcW w:w="1098" w:type="dxa"/>
            <w:tcBorders>
              <w:top w:val="nil"/>
              <w:left w:val="nil"/>
              <w:bottom w:val="nil"/>
              <w:right w:val="nil"/>
            </w:tcBorders>
            <w:shd w:val="clear" w:color="auto" w:fill="D9D9D9" w:themeFill="background1" w:themeFillShade="D9"/>
            <w:noWrap/>
            <w:hideMark/>
          </w:tcPr>
          <w:p w14:paraId="78897225" w14:textId="39D47175"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c>
          <w:tcPr>
            <w:tcW w:w="1099" w:type="dxa"/>
            <w:tcBorders>
              <w:top w:val="nil"/>
              <w:left w:val="nil"/>
              <w:bottom w:val="nil"/>
              <w:right w:val="nil"/>
            </w:tcBorders>
            <w:shd w:val="clear" w:color="auto" w:fill="D9D9D9" w:themeFill="background1" w:themeFillShade="D9"/>
            <w:noWrap/>
            <w:hideMark/>
          </w:tcPr>
          <w:p w14:paraId="4BECE4C9" w14:textId="06848DA9" w:rsidR="007000EA" w:rsidRPr="00B83411" w:rsidRDefault="007000EA" w:rsidP="007000EA">
            <w:pPr>
              <w:spacing w:before="60" w:after="60" w:line="240" w:lineRule="auto"/>
              <w:ind w:right="0"/>
              <w:jc w:val="center"/>
              <w:rPr>
                <w:rFonts w:eastAsia="Times New Roman" w:cs="Arial"/>
                <w:color w:val="000000"/>
                <w:lang w:eastAsia="en-AU"/>
              </w:rPr>
            </w:pPr>
            <w:r w:rsidRPr="00B83411">
              <w:t>88</w:t>
            </w:r>
          </w:p>
        </w:tc>
        <w:tc>
          <w:tcPr>
            <w:tcW w:w="1098" w:type="dxa"/>
            <w:tcBorders>
              <w:top w:val="nil"/>
              <w:left w:val="nil"/>
              <w:bottom w:val="nil"/>
              <w:right w:val="nil"/>
            </w:tcBorders>
            <w:shd w:val="clear" w:color="auto" w:fill="D9D9D9" w:themeFill="background1" w:themeFillShade="D9"/>
            <w:noWrap/>
            <w:hideMark/>
          </w:tcPr>
          <w:p w14:paraId="5A11C9DC" w14:textId="4B221345"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7779EAC4" w14:textId="34A6C66C" w:rsidR="007000EA" w:rsidRPr="00B83411" w:rsidRDefault="007000EA" w:rsidP="007000EA">
            <w:pPr>
              <w:spacing w:before="60" w:after="60" w:line="240" w:lineRule="auto"/>
              <w:ind w:right="0"/>
              <w:jc w:val="center"/>
              <w:rPr>
                <w:rFonts w:eastAsia="Times New Roman" w:cs="Arial"/>
                <w:color w:val="000000"/>
                <w:lang w:eastAsia="en-AU"/>
              </w:rPr>
            </w:pPr>
            <w:r w:rsidRPr="00B83411">
              <w:t>86</w:t>
            </w:r>
          </w:p>
        </w:tc>
      </w:tr>
      <w:tr w:rsidR="007000EA" w:rsidRPr="00B83411" w14:paraId="5CBAFFD1" w14:textId="77777777">
        <w:trPr>
          <w:trHeight w:val="113"/>
        </w:trPr>
        <w:tc>
          <w:tcPr>
            <w:tcW w:w="4678" w:type="dxa"/>
            <w:tcBorders>
              <w:top w:val="nil"/>
              <w:left w:val="nil"/>
              <w:bottom w:val="nil"/>
              <w:right w:val="nil"/>
            </w:tcBorders>
            <w:noWrap/>
            <w:vAlign w:val="center"/>
            <w:hideMark/>
          </w:tcPr>
          <w:p w14:paraId="25F993DD"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Supporting the responsible use of Australia’s offshore energy resources across the title / licensing lifecycle</w:t>
            </w:r>
          </w:p>
        </w:tc>
        <w:tc>
          <w:tcPr>
            <w:tcW w:w="1098" w:type="dxa"/>
            <w:tcBorders>
              <w:top w:val="nil"/>
              <w:left w:val="nil"/>
              <w:bottom w:val="nil"/>
              <w:right w:val="nil"/>
            </w:tcBorders>
            <w:noWrap/>
            <w:hideMark/>
          </w:tcPr>
          <w:p w14:paraId="72AA4B6A" w14:textId="7408F178" w:rsidR="007000EA" w:rsidRPr="00B83411" w:rsidRDefault="007000EA" w:rsidP="007000EA">
            <w:pPr>
              <w:spacing w:before="60" w:after="60" w:line="240" w:lineRule="auto"/>
              <w:ind w:right="0"/>
              <w:jc w:val="center"/>
              <w:rPr>
                <w:rFonts w:eastAsia="Times New Roman" w:cs="Arial"/>
                <w:color w:val="000000"/>
                <w:lang w:eastAsia="en-AU"/>
              </w:rPr>
            </w:pPr>
            <w:r w:rsidRPr="00B83411">
              <w:t>83</w:t>
            </w:r>
          </w:p>
        </w:tc>
        <w:tc>
          <w:tcPr>
            <w:tcW w:w="1099" w:type="dxa"/>
            <w:tcBorders>
              <w:top w:val="nil"/>
              <w:left w:val="nil"/>
              <w:bottom w:val="nil"/>
              <w:right w:val="nil"/>
            </w:tcBorders>
            <w:noWrap/>
            <w:hideMark/>
          </w:tcPr>
          <w:p w14:paraId="0A1C2250" w14:textId="11E8D423" w:rsidR="007000EA" w:rsidRPr="00B83411" w:rsidRDefault="007000EA" w:rsidP="007000EA">
            <w:pPr>
              <w:spacing w:before="60" w:after="60" w:line="240" w:lineRule="auto"/>
              <w:ind w:right="0"/>
              <w:jc w:val="center"/>
              <w:rPr>
                <w:rFonts w:eastAsia="Times New Roman" w:cs="Arial"/>
                <w:color w:val="000000"/>
                <w:lang w:eastAsia="en-AU"/>
              </w:rPr>
            </w:pPr>
            <w:r w:rsidRPr="00B83411">
              <w:t>90</w:t>
            </w:r>
          </w:p>
        </w:tc>
        <w:tc>
          <w:tcPr>
            <w:tcW w:w="1098" w:type="dxa"/>
            <w:tcBorders>
              <w:top w:val="nil"/>
              <w:left w:val="nil"/>
              <w:bottom w:val="nil"/>
              <w:right w:val="nil"/>
            </w:tcBorders>
            <w:noWrap/>
            <w:hideMark/>
          </w:tcPr>
          <w:p w14:paraId="745D13D4" w14:textId="3B19A480"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noWrap/>
            <w:hideMark/>
          </w:tcPr>
          <w:p w14:paraId="31CE91C5" w14:textId="655C8738" w:rsidR="007000EA" w:rsidRPr="00B83411" w:rsidRDefault="007000EA" w:rsidP="007000EA">
            <w:pPr>
              <w:spacing w:before="60" w:after="60" w:line="240" w:lineRule="auto"/>
              <w:ind w:right="0"/>
              <w:jc w:val="center"/>
              <w:rPr>
                <w:rFonts w:eastAsia="Times New Roman" w:cs="Arial"/>
                <w:color w:val="000000"/>
                <w:lang w:eastAsia="en-AU"/>
              </w:rPr>
            </w:pPr>
            <w:r w:rsidRPr="00B83411">
              <w:t>88</w:t>
            </w:r>
          </w:p>
        </w:tc>
      </w:tr>
      <w:tr w:rsidR="007000EA" w:rsidRPr="00B83411" w14:paraId="4095A474"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0CF4D92F" w14:textId="6B4D5823"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Behaving ethically</w:t>
            </w:r>
          </w:p>
        </w:tc>
        <w:tc>
          <w:tcPr>
            <w:tcW w:w="1098" w:type="dxa"/>
            <w:tcBorders>
              <w:top w:val="nil"/>
              <w:left w:val="nil"/>
              <w:bottom w:val="nil"/>
              <w:right w:val="nil"/>
            </w:tcBorders>
            <w:shd w:val="clear" w:color="auto" w:fill="D9D9D9" w:themeFill="background1" w:themeFillShade="D9"/>
            <w:noWrap/>
            <w:hideMark/>
          </w:tcPr>
          <w:p w14:paraId="283C94E7" w14:textId="3A4FDF37"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37291791" w14:textId="365C07A8"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8" w:type="dxa"/>
            <w:tcBorders>
              <w:top w:val="nil"/>
              <w:left w:val="nil"/>
              <w:bottom w:val="nil"/>
              <w:right w:val="nil"/>
            </w:tcBorders>
            <w:shd w:val="clear" w:color="auto" w:fill="D9D9D9" w:themeFill="background1" w:themeFillShade="D9"/>
            <w:noWrap/>
            <w:hideMark/>
          </w:tcPr>
          <w:p w14:paraId="3E79F19D" w14:textId="76040188"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shd w:val="clear" w:color="auto" w:fill="D9D9D9" w:themeFill="background1" w:themeFillShade="D9"/>
            <w:noWrap/>
            <w:hideMark/>
          </w:tcPr>
          <w:p w14:paraId="6736E900" w14:textId="48D109BB"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r>
      <w:tr w:rsidR="007000EA" w:rsidRPr="00B83411" w14:paraId="626E9C81" w14:textId="77777777">
        <w:trPr>
          <w:trHeight w:val="113"/>
        </w:trPr>
        <w:tc>
          <w:tcPr>
            <w:tcW w:w="4678" w:type="dxa"/>
            <w:tcBorders>
              <w:top w:val="nil"/>
              <w:left w:val="nil"/>
              <w:bottom w:val="nil"/>
              <w:right w:val="nil"/>
            </w:tcBorders>
            <w:shd w:val="clear" w:color="auto" w:fill="FBD4B4" w:themeFill="accent6" w:themeFillTint="66"/>
            <w:noWrap/>
            <w:vAlign w:val="center"/>
            <w:hideMark/>
          </w:tcPr>
          <w:p w14:paraId="47D2CEDB"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Balancing administrative and compliance effort with outcomes</w:t>
            </w:r>
          </w:p>
        </w:tc>
        <w:tc>
          <w:tcPr>
            <w:tcW w:w="1098" w:type="dxa"/>
            <w:tcBorders>
              <w:top w:val="nil"/>
              <w:left w:val="nil"/>
              <w:bottom w:val="nil"/>
              <w:right w:val="nil"/>
            </w:tcBorders>
            <w:shd w:val="clear" w:color="auto" w:fill="92CDDC" w:themeFill="accent5" w:themeFillTint="99"/>
            <w:noWrap/>
            <w:hideMark/>
          </w:tcPr>
          <w:p w14:paraId="7D5683CB" w14:textId="40053B8F" w:rsidR="007000EA" w:rsidRPr="00B83411" w:rsidRDefault="007000EA" w:rsidP="007000EA">
            <w:pPr>
              <w:spacing w:before="60" w:after="60" w:line="240" w:lineRule="auto"/>
              <w:ind w:right="0"/>
              <w:jc w:val="center"/>
              <w:rPr>
                <w:rFonts w:eastAsia="Times New Roman" w:cs="Arial"/>
                <w:color w:val="000000"/>
                <w:lang w:eastAsia="en-AU"/>
              </w:rPr>
            </w:pPr>
            <w:r w:rsidRPr="00B83411">
              <w:t>73</w:t>
            </w:r>
          </w:p>
        </w:tc>
        <w:tc>
          <w:tcPr>
            <w:tcW w:w="1099" w:type="dxa"/>
            <w:tcBorders>
              <w:top w:val="nil"/>
              <w:left w:val="nil"/>
              <w:bottom w:val="nil"/>
              <w:right w:val="nil"/>
            </w:tcBorders>
            <w:shd w:val="clear" w:color="auto" w:fill="92CDDC" w:themeFill="accent5" w:themeFillTint="99"/>
            <w:noWrap/>
            <w:hideMark/>
          </w:tcPr>
          <w:p w14:paraId="7B0AF396" w14:textId="345183DB" w:rsidR="007000EA" w:rsidRPr="00B83411" w:rsidRDefault="007000EA" w:rsidP="007000EA">
            <w:pPr>
              <w:spacing w:before="60" w:after="60" w:line="240" w:lineRule="auto"/>
              <w:ind w:right="0"/>
              <w:jc w:val="center"/>
              <w:rPr>
                <w:rFonts w:eastAsia="Times New Roman" w:cs="Arial"/>
                <w:color w:val="000000"/>
                <w:lang w:eastAsia="en-AU"/>
              </w:rPr>
            </w:pPr>
            <w:r w:rsidRPr="00B83411">
              <w:t>82</w:t>
            </w:r>
          </w:p>
        </w:tc>
        <w:tc>
          <w:tcPr>
            <w:tcW w:w="1098" w:type="dxa"/>
            <w:tcBorders>
              <w:top w:val="nil"/>
              <w:left w:val="nil"/>
              <w:bottom w:val="nil"/>
              <w:right w:val="nil"/>
            </w:tcBorders>
            <w:shd w:val="clear" w:color="auto" w:fill="FBD4B4" w:themeFill="accent6" w:themeFillTint="66"/>
            <w:noWrap/>
            <w:hideMark/>
          </w:tcPr>
          <w:p w14:paraId="6E2FB09C" w14:textId="3F144884"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shd w:val="clear" w:color="auto" w:fill="FBD4B4" w:themeFill="accent6" w:themeFillTint="66"/>
            <w:noWrap/>
            <w:hideMark/>
          </w:tcPr>
          <w:p w14:paraId="369738E6" w14:textId="02B04893" w:rsidR="007000EA" w:rsidRPr="00B83411" w:rsidRDefault="007000EA" w:rsidP="007000EA">
            <w:pPr>
              <w:spacing w:before="60" w:after="60" w:line="240" w:lineRule="auto"/>
              <w:ind w:right="0"/>
              <w:jc w:val="center"/>
              <w:rPr>
                <w:rFonts w:eastAsia="Times New Roman" w:cs="Arial"/>
                <w:color w:val="000000"/>
                <w:lang w:eastAsia="en-AU"/>
              </w:rPr>
            </w:pPr>
            <w:r w:rsidRPr="00B83411">
              <w:t>75</w:t>
            </w:r>
          </w:p>
        </w:tc>
      </w:tr>
      <w:tr w:rsidR="007000EA" w:rsidRPr="00B83411" w14:paraId="7DCB888A" w14:textId="77777777">
        <w:trPr>
          <w:trHeight w:val="113"/>
        </w:trPr>
        <w:tc>
          <w:tcPr>
            <w:tcW w:w="4678" w:type="dxa"/>
            <w:tcBorders>
              <w:top w:val="nil"/>
              <w:left w:val="nil"/>
              <w:bottom w:val="nil"/>
              <w:right w:val="nil"/>
            </w:tcBorders>
            <w:shd w:val="clear" w:color="auto" w:fill="FBD4B4" w:themeFill="accent6" w:themeFillTint="66"/>
            <w:noWrap/>
            <w:vAlign w:val="center"/>
            <w:hideMark/>
          </w:tcPr>
          <w:p w14:paraId="4876EF9B" w14:textId="77777777" w:rsidR="007000EA" w:rsidRPr="00B83411" w:rsidRDefault="007000EA" w:rsidP="007000EA">
            <w:pPr>
              <w:spacing w:before="60" w:after="60" w:line="240" w:lineRule="auto"/>
              <w:ind w:right="0"/>
              <w:rPr>
                <w:rFonts w:eastAsia="Times New Roman" w:cs="Arial"/>
                <w:i/>
                <w:iCs/>
                <w:color w:val="000000"/>
                <w:lang w:eastAsia="en-AU"/>
              </w:rPr>
            </w:pPr>
            <w:r w:rsidRPr="00B83411">
              <w:rPr>
                <w:rFonts w:eastAsia="Times New Roman" w:cs="Arial"/>
                <w:i/>
                <w:iCs/>
                <w:color w:val="000000"/>
                <w:lang w:eastAsia="en-AU"/>
              </w:rPr>
              <w:t>Balancing administrative effort with outcomes</w:t>
            </w:r>
          </w:p>
        </w:tc>
        <w:tc>
          <w:tcPr>
            <w:tcW w:w="1098" w:type="dxa"/>
            <w:tcBorders>
              <w:top w:val="nil"/>
              <w:left w:val="nil"/>
              <w:bottom w:val="nil"/>
              <w:right w:val="nil"/>
            </w:tcBorders>
            <w:shd w:val="clear" w:color="auto" w:fill="FBD4B4" w:themeFill="accent6" w:themeFillTint="66"/>
            <w:noWrap/>
            <w:hideMark/>
          </w:tcPr>
          <w:p w14:paraId="15D2F8FC" w14:textId="161E58C1"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9" w:type="dxa"/>
            <w:tcBorders>
              <w:top w:val="nil"/>
              <w:left w:val="nil"/>
              <w:bottom w:val="nil"/>
              <w:right w:val="nil"/>
            </w:tcBorders>
            <w:shd w:val="clear" w:color="auto" w:fill="FBD4B4" w:themeFill="accent6" w:themeFillTint="66"/>
            <w:noWrap/>
            <w:hideMark/>
          </w:tcPr>
          <w:p w14:paraId="59A68FB2" w14:textId="157338D7" w:rsidR="007000EA" w:rsidRPr="00B83411" w:rsidRDefault="007000EA" w:rsidP="007000EA">
            <w:pPr>
              <w:spacing w:before="60" w:after="60" w:line="240" w:lineRule="auto"/>
              <w:ind w:right="0"/>
              <w:jc w:val="center"/>
              <w:rPr>
                <w:rFonts w:eastAsia="Times New Roman" w:cs="Arial"/>
                <w:i/>
                <w:iCs/>
                <w:color w:val="000000"/>
                <w:lang w:eastAsia="en-AU"/>
              </w:rPr>
            </w:pPr>
            <w:r w:rsidRPr="00B83411">
              <w:t>NA</w:t>
            </w:r>
          </w:p>
        </w:tc>
        <w:tc>
          <w:tcPr>
            <w:tcW w:w="1098" w:type="dxa"/>
            <w:tcBorders>
              <w:top w:val="nil"/>
              <w:left w:val="nil"/>
              <w:bottom w:val="nil"/>
              <w:right w:val="nil"/>
            </w:tcBorders>
            <w:shd w:val="clear" w:color="auto" w:fill="92CDDC" w:themeFill="accent5" w:themeFillTint="99"/>
            <w:noWrap/>
            <w:hideMark/>
          </w:tcPr>
          <w:p w14:paraId="65E389B0" w14:textId="540049FE"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c>
          <w:tcPr>
            <w:tcW w:w="1099" w:type="dxa"/>
            <w:tcBorders>
              <w:top w:val="nil"/>
              <w:left w:val="nil"/>
              <w:bottom w:val="nil"/>
              <w:right w:val="nil"/>
            </w:tcBorders>
            <w:shd w:val="clear" w:color="auto" w:fill="FBD4B4" w:themeFill="accent6" w:themeFillTint="66"/>
            <w:noWrap/>
            <w:hideMark/>
          </w:tcPr>
          <w:p w14:paraId="6525FF99" w14:textId="2C1A0F37" w:rsidR="007000EA" w:rsidRPr="00B83411" w:rsidRDefault="007000EA" w:rsidP="007000EA">
            <w:pPr>
              <w:spacing w:before="60" w:after="60" w:line="240" w:lineRule="auto"/>
              <w:ind w:right="0"/>
              <w:jc w:val="center"/>
              <w:rPr>
                <w:rFonts w:eastAsia="Times New Roman" w:cs="Arial"/>
                <w:i/>
                <w:iCs/>
                <w:color w:val="000000"/>
                <w:lang w:eastAsia="en-AU"/>
              </w:rPr>
            </w:pPr>
            <w:r w:rsidRPr="00B83411">
              <w:t>100</w:t>
            </w:r>
          </w:p>
        </w:tc>
      </w:tr>
      <w:tr w:rsidR="007000EA" w:rsidRPr="00B83411" w14:paraId="3866BEAB" w14:textId="77777777">
        <w:trPr>
          <w:trHeight w:val="113"/>
        </w:trPr>
        <w:tc>
          <w:tcPr>
            <w:tcW w:w="4678" w:type="dxa"/>
            <w:tcBorders>
              <w:top w:val="nil"/>
              <w:left w:val="nil"/>
              <w:bottom w:val="nil"/>
              <w:right w:val="nil"/>
            </w:tcBorders>
            <w:noWrap/>
            <w:vAlign w:val="center"/>
            <w:hideMark/>
          </w:tcPr>
          <w:p w14:paraId="04420EEC"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Being risk-based</w:t>
            </w:r>
          </w:p>
        </w:tc>
        <w:tc>
          <w:tcPr>
            <w:tcW w:w="1098" w:type="dxa"/>
            <w:tcBorders>
              <w:top w:val="nil"/>
              <w:left w:val="nil"/>
              <w:bottom w:val="nil"/>
              <w:right w:val="nil"/>
            </w:tcBorders>
            <w:noWrap/>
            <w:hideMark/>
          </w:tcPr>
          <w:p w14:paraId="75431FB7" w14:textId="210AB480"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c>
          <w:tcPr>
            <w:tcW w:w="1099" w:type="dxa"/>
            <w:tcBorders>
              <w:top w:val="nil"/>
              <w:left w:val="nil"/>
              <w:bottom w:val="nil"/>
              <w:right w:val="nil"/>
            </w:tcBorders>
            <w:noWrap/>
            <w:hideMark/>
          </w:tcPr>
          <w:p w14:paraId="2B24A139" w14:textId="55EB5451" w:rsidR="007000EA" w:rsidRPr="00B83411" w:rsidRDefault="007000EA" w:rsidP="007000EA">
            <w:pPr>
              <w:spacing w:before="60" w:after="60" w:line="240" w:lineRule="auto"/>
              <w:ind w:right="0"/>
              <w:jc w:val="center"/>
              <w:rPr>
                <w:rFonts w:eastAsia="Times New Roman" w:cs="Arial"/>
                <w:color w:val="000000"/>
                <w:lang w:eastAsia="en-AU"/>
              </w:rPr>
            </w:pPr>
            <w:r w:rsidRPr="00B83411">
              <w:t>73</w:t>
            </w:r>
          </w:p>
        </w:tc>
        <w:tc>
          <w:tcPr>
            <w:tcW w:w="1098" w:type="dxa"/>
            <w:tcBorders>
              <w:top w:val="nil"/>
              <w:left w:val="nil"/>
              <w:bottom w:val="nil"/>
              <w:right w:val="nil"/>
            </w:tcBorders>
            <w:noWrap/>
            <w:hideMark/>
          </w:tcPr>
          <w:p w14:paraId="3749D75B" w14:textId="0B7B7199"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noWrap/>
            <w:hideMark/>
          </w:tcPr>
          <w:p w14:paraId="26D79B1F" w14:textId="0C3C340F" w:rsidR="007000EA" w:rsidRPr="00B83411" w:rsidRDefault="007000EA" w:rsidP="007000EA">
            <w:pPr>
              <w:spacing w:before="60" w:after="60" w:line="240" w:lineRule="auto"/>
              <w:ind w:right="0"/>
              <w:jc w:val="center"/>
              <w:rPr>
                <w:rFonts w:eastAsia="Times New Roman" w:cs="Arial"/>
                <w:color w:val="000000"/>
                <w:lang w:eastAsia="en-AU"/>
              </w:rPr>
            </w:pPr>
            <w:r w:rsidRPr="00B83411">
              <w:t>7</w:t>
            </w:r>
            <w:r w:rsidR="00EF62DD" w:rsidRPr="00B83411">
              <w:t>6</w:t>
            </w:r>
          </w:p>
        </w:tc>
      </w:tr>
      <w:tr w:rsidR="007000EA" w:rsidRPr="00B83411" w14:paraId="7621A8F7" w14:textId="77777777">
        <w:trPr>
          <w:trHeight w:val="113"/>
        </w:trPr>
        <w:tc>
          <w:tcPr>
            <w:tcW w:w="4678" w:type="dxa"/>
            <w:tcBorders>
              <w:top w:val="nil"/>
              <w:left w:val="nil"/>
              <w:bottom w:val="nil"/>
              <w:right w:val="nil"/>
            </w:tcBorders>
            <w:shd w:val="clear" w:color="auto" w:fill="D9D9D9" w:themeFill="background1" w:themeFillShade="D9"/>
            <w:noWrap/>
            <w:vAlign w:val="center"/>
            <w:hideMark/>
          </w:tcPr>
          <w:p w14:paraId="58AD67C2"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Encouraging voluntary administrative compliance</w:t>
            </w:r>
          </w:p>
        </w:tc>
        <w:tc>
          <w:tcPr>
            <w:tcW w:w="1098" w:type="dxa"/>
            <w:tcBorders>
              <w:top w:val="nil"/>
              <w:left w:val="nil"/>
              <w:bottom w:val="nil"/>
              <w:right w:val="nil"/>
            </w:tcBorders>
            <w:shd w:val="clear" w:color="auto" w:fill="D9D9D9" w:themeFill="background1" w:themeFillShade="D9"/>
            <w:noWrap/>
            <w:hideMark/>
          </w:tcPr>
          <w:p w14:paraId="0F725BD1" w14:textId="0F5815D7" w:rsidR="007000EA" w:rsidRPr="00B83411" w:rsidRDefault="007000EA" w:rsidP="007000EA">
            <w:pPr>
              <w:spacing w:before="60" w:after="60" w:line="240" w:lineRule="auto"/>
              <w:ind w:right="0"/>
              <w:jc w:val="center"/>
              <w:rPr>
                <w:rFonts w:eastAsia="Times New Roman" w:cs="Arial"/>
                <w:color w:val="000000"/>
                <w:lang w:eastAsia="en-AU"/>
              </w:rPr>
            </w:pPr>
            <w:r w:rsidRPr="00B83411">
              <w:t>91</w:t>
            </w:r>
          </w:p>
        </w:tc>
        <w:tc>
          <w:tcPr>
            <w:tcW w:w="1099" w:type="dxa"/>
            <w:tcBorders>
              <w:top w:val="nil"/>
              <w:left w:val="nil"/>
              <w:bottom w:val="nil"/>
              <w:right w:val="nil"/>
            </w:tcBorders>
            <w:shd w:val="clear" w:color="auto" w:fill="92CDDC" w:themeFill="accent5" w:themeFillTint="99"/>
            <w:noWrap/>
            <w:hideMark/>
          </w:tcPr>
          <w:p w14:paraId="31390857" w14:textId="66B1E2C3" w:rsidR="007000EA" w:rsidRPr="00B83411" w:rsidRDefault="007000EA" w:rsidP="007000EA">
            <w:pPr>
              <w:spacing w:before="60" w:after="60" w:line="240" w:lineRule="auto"/>
              <w:ind w:right="0"/>
              <w:jc w:val="center"/>
              <w:rPr>
                <w:rFonts w:eastAsia="Times New Roman" w:cs="Arial"/>
                <w:color w:val="000000"/>
                <w:lang w:eastAsia="en-AU"/>
              </w:rPr>
            </w:pPr>
            <w:r w:rsidRPr="00B83411">
              <w:t>70</w:t>
            </w:r>
          </w:p>
        </w:tc>
        <w:tc>
          <w:tcPr>
            <w:tcW w:w="1098" w:type="dxa"/>
            <w:tcBorders>
              <w:top w:val="nil"/>
              <w:left w:val="nil"/>
              <w:bottom w:val="nil"/>
              <w:right w:val="nil"/>
            </w:tcBorders>
            <w:shd w:val="clear" w:color="auto" w:fill="D9D9D9" w:themeFill="background1" w:themeFillShade="D9"/>
            <w:noWrap/>
            <w:hideMark/>
          </w:tcPr>
          <w:p w14:paraId="7401B9E9" w14:textId="4CD0932C"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nil"/>
              <w:right w:val="nil"/>
            </w:tcBorders>
            <w:shd w:val="clear" w:color="auto" w:fill="D9D9D9" w:themeFill="background1" w:themeFillShade="D9"/>
            <w:noWrap/>
            <w:hideMark/>
          </w:tcPr>
          <w:p w14:paraId="0146045A" w14:textId="50C2407E" w:rsidR="007000EA" w:rsidRPr="00B83411" w:rsidRDefault="007000EA" w:rsidP="007000EA">
            <w:pPr>
              <w:spacing w:before="60" w:after="60" w:line="240" w:lineRule="auto"/>
              <w:ind w:right="0"/>
              <w:jc w:val="center"/>
              <w:rPr>
                <w:rFonts w:eastAsia="Times New Roman" w:cs="Arial"/>
                <w:color w:val="000000"/>
                <w:lang w:eastAsia="en-AU"/>
              </w:rPr>
            </w:pPr>
            <w:r w:rsidRPr="00B83411">
              <w:t>87</w:t>
            </w:r>
          </w:p>
        </w:tc>
      </w:tr>
      <w:tr w:rsidR="007000EA" w:rsidRPr="00B83411" w14:paraId="438D82EF" w14:textId="77777777">
        <w:trPr>
          <w:trHeight w:val="113"/>
        </w:trPr>
        <w:tc>
          <w:tcPr>
            <w:tcW w:w="4678" w:type="dxa"/>
            <w:tcBorders>
              <w:top w:val="nil"/>
              <w:left w:val="nil"/>
              <w:bottom w:val="nil"/>
              <w:right w:val="nil"/>
            </w:tcBorders>
            <w:noWrap/>
            <w:vAlign w:val="center"/>
            <w:hideMark/>
          </w:tcPr>
          <w:p w14:paraId="17E2CE29" w14:textId="2AA84980"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Overall, I trust NOPTA to administer the offshore petroleum and greenhouse gas framework in Australia's national interest</w:t>
            </w:r>
          </w:p>
        </w:tc>
        <w:tc>
          <w:tcPr>
            <w:tcW w:w="1098" w:type="dxa"/>
            <w:tcBorders>
              <w:top w:val="nil"/>
              <w:left w:val="nil"/>
              <w:bottom w:val="nil"/>
              <w:right w:val="nil"/>
            </w:tcBorders>
            <w:noWrap/>
            <w:hideMark/>
          </w:tcPr>
          <w:p w14:paraId="730BBC27" w14:textId="62DDCC66" w:rsidR="007000EA" w:rsidRPr="00B83411" w:rsidRDefault="007000EA" w:rsidP="007000EA">
            <w:pPr>
              <w:spacing w:before="60" w:after="60" w:line="240" w:lineRule="auto"/>
              <w:ind w:right="0"/>
              <w:jc w:val="center"/>
              <w:rPr>
                <w:rFonts w:eastAsia="Times New Roman" w:cs="Arial"/>
                <w:color w:val="000000"/>
                <w:lang w:eastAsia="en-AU"/>
              </w:rPr>
            </w:pPr>
            <w:r w:rsidRPr="00B83411">
              <w:t>9</w:t>
            </w:r>
            <w:r w:rsidR="00EF62DD" w:rsidRPr="00B83411">
              <w:t>0</w:t>
            </w:r>
          </w:p>
        </w:tc>
        <w:tc>
          <w:tcPr>
            <w:tcW w:w="1099" w:type="dxa"/>
            <w:tcBorders>
              <w:top w:val="nil"/>
              <w:left w:val="nil"/>
              <w:bottom w:val="nil"/>
              <w:right w:val="nil"/>
            </w:tcBorders>
            <w:noWrap/>
            <w:hideMark/>
          </w:tcPr>
          <w:p w14:paraId="243E2C64" w14:textId="1ECCC3F0"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8" w:type="dxa"/>
            <w:tcBorders>
              <w:top w:val="nil"/>
              <w:left w:val="nil"/>
              <w:bottom w:val="nil"/>
              <w:right w:val="nil"/>
            </w:tcBorders>
            <w:noWrap/>
            <w:hideMark/>
          </w:tcPr>
          <w:p w14:paraId="0039B480" w14:textId="0D05BCD9"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nil"/>
              <w:right w:val="nil"/>
            </w:tcBorders>
            <w:noWrap/>
            <w:hideMark/>
          </w:tcPr>
          <w:p w14:paraId="40CE4082" w14:textId="6D9AD468" w:rsidR="007000EA" w:rsidRPr="00B83411" w:rsidRDefault="007000EA" w:rsidP="007000EA">
            <w:pPr>
              <w:spacing w:before="60" w:after="60" w:line="240" w:lineRule="auto"/>
              <w:ind w:right="0"/>
              <w:jc w:val="center"/>
              <w:rPr>
                <w:rFonts w:eastAsia="Times New Roman" w:cs="Arial"/>
                <w:color w:val="000000"/>
                <w:lang w:eastAsia="en-AU"/>
              </w:rPr>
            </w:pPr>
            <w:r w:rsidRPr="00B83411">
              <w:t>93</w:t>
            </w:r>
          </w:p>
        </w:tc>
      </w:tr>
      <w:tr w:rsidR="007000EA" w:rsidRPr="00B83411" w14:paraId="3EADEF90" w14:textId="77777777">
        <w:trPr>
          <w:trHeight w:val="113"/>
        </w:trPr>
        <w:tc>
          <w:tcPr>
            <w:tcW w:w="4678" w:type="dxa"/>
            <w:tcBorders>
              <w:top w:val="nil"/>
              <w:left w:val="nil"/>
              <w:bottom w:val="single" w:sz="4" w:space="0" w:color="002855"/>
              <w:right w:val="nil"/>
            </w:tcBorders>
            <w:shd w:val="clear" w:color="auto" w:fill="D9D9D9" w:themeFill="background1" w:themeFillShade="D9"/>
            <w:noWrap/>
            <w:vAlign w:val="center"/>
            <w:hideMark/>
          </w:tcPr>
          <w:p w14:paraId="26E4EC88" w14:textId="47FE99FF"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Overall, I trust the Offshore Infrastructure Registrar to administer the offshore petroleum and greenhouse gas framework in Australia's national interest</w:t>
            </w:r>
          </w:p>
        </w:tc>
        <w:tc>
          <w:tcPr>
            <w:tcW w:w="1098" w:type="dxa"/>
            <w:tcBorders>
              <w:top w:val="nil"/>
              <w:left w:val="nil"/>
              <w:bottom w:val="single" w:sz="4" w:space="0" w:color="002855"/>
              <w:right w:val="nil"/>
            </w:tcBorders>
            <w:shd w:val="clear" w:color="auto" w:fill="D9D9D9" w:themeFill="background1" w:themeFillShade="D9"/>
            <w:noWrap/>
            <w:hideMark/>
          </w:tcPr>
          <w:p w14:paraId="3752F1DA" w14:textId="3A9957F3" w:rsidR="007000EA" w:rsidRPr="00B83411" w:rsidRDefault="007000EA" w:rsidP="007000EA">
            <w:pPr>
              <w:spacing w:before="60" w:after="60" w:line="240" w:lineRule="auto"/>
              <w:ind w:right="0"/>
              <w:jc w:val="center"/>
              <w:rPr>
                <w:rFonts w:eastAsia="Times New Roman" w:cs="Arial"/>
                <w:color w:val="000000"/>
                <w:lang w:eastAsia="en-AU"/>
              </w:rPr>
            </w:pPr>
            <w:r w:rsidRPr="00B83411">
              <w:t>NA</w:t>
            </w:r>
          </w:p>
        </w:tc>
        <w:tc>
          <w:tcPr>
            <w:tcW w:w="1099" w:type="dxa"/>
            <w:tcBorders>
              <w:top w:val="nil"/>
              <w:left w:val="nil"/>
              <w:bottom w:val="single" w:sz="4" w:space="0" w:color="002855"/>
              <w:right w:val="nil"/>
            </w:tcBorders>
            <w:shd w:val="clear" w:color="auto" w:fill="D9D9D9" w:themeFill="background1" w:themeFillShade="D9"/>
            <w:noWrap/>
            <w:hideMark/>
          </w:tcPr>
          <w:p w14:paraId="041506E0" w14:textId="6A900C03" w:rsidR="007000EA" w:rsidRPr="00B83411" w:rsidRDefault="007000EA" w:rsidP="007000EA">
            <w:pPr>
              <w:spacing w:before="60" w:after="60" w:line="240" w:lineRule="auto"/>
              <w:ind w:right="0"/>
              <w:jc w:val="center"/>
              <w:rPr>
                <w:rFonts w:eastAsia="Times New Roman" w:cs="Arial"/>
                <w:color w:val="000000"/>
                <w:lang w:eastAsia="en-AU"/>
              </w:rPr>
            </w:pPr>
            <w:r w:rsidRPr="00B83411">
              <w:t>91</w:t>
            </w:r>
          </w:p>
        </w:tc>
        <w:tc>
          <w:tcPr>
            <w:tcW w:w="1098" w:type="dxa"/>
            <w:tcBorders>
              <w:top w:val="nil"/>
              <w:left w:val="nil"/>
              <w:bottom w:val="single" w:sz="4" w:space="0" w:color="002855"/>
              <w:right w:val="nil"/>
            </w:tcBorders>
            <w:shd w:val="clear" w:color="auto" w:fill="D9D9D9" w:themeFill="background1" w:themeFillShade="D9"/>
            <w:noWrap/>
            <w:hideMark/>
          </w:tcPr>
          <w:p w14:paraId="35B56836" w14:textId="61EED0DD"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099" w:type="dxa"/>
            <w:tcBorders>
              <w:top w:val="nil"/>
              <w:left w:val="nil"/>
              <w:bottom w:val="single" w:sz="4" w:space="0" w:color="002855"/>
              <w:right w:val="nil"/>
            </w:tcBorders>
            <w:shd w:val="clear" w:color="auto" w:fill="D9D9D9" w:themeFill="background1" w:themeFillShade="D9"/>
            <w:noWrap/>
            <w:hideMark/>
          </w:tcPr>
          <w:p w14:paraId="0B6BB93C" w14:textId="318C2676" w:rsidR="007000EA" w:rsidRPr="00B83411" w:rsidRDefault="007000EA" w:rsidP="007000EA">
            <w:pPr>
              <w:spacing w:before="60" w:after="60" w:line="240" w:lineRule="auto"/>
              <w:ind w:right="0"/>
              <w:jc w:val="center"/>
              <w:rPr>
                <w:rFonts w:eastAsia="Times New Roman" w:cs="Arial"/>
                <w:color w:val="000000"/>
                <w:lang w:eastAsia="en-AU"/>
              </w:rPr>
            </w:pPr>
            <w:r w:rsidRPr="00B83411">
              <w:t>94</w:t>
            </w:r>
          </w:p>
        </w:tc>
      </w:tr>
    </w:tbl>
    <w:p w14:paraId="31731BA8" w14:textId="62454C11" w:rsidR="00135B0F" w:rsidRPr="00B83411" w:rsidRDefault="00135B0F" w:rsidP="00135B0F">
      <w:pPr>
        <w:pStyle w:val="Heading2"/>
        <w:rPr>
          <w:lang w:eastAsia="en-AU"/>
        </w:rPr>
      </w:pPr>
      <w:bookmarkStart w:id="35" w:name="_Toc213926357"/>
      <w:r w:rsidRPr="00B83411">
        <w:rPr>
          <w:lang w:eastAsia="en-AU"/>
        </w:rPr>
        <w:t>Level of interaction</w:t>
      </w:r>
      <w:bookmarkEnd w:id="35"/>
    </w:p>
    <w:p w14:paraId="20DD2A9F" w14:textId="17BB118D" w:rsidR="007568CE" w:rsidRPr="00B83411" w:rsidRDefault="00C91818" w:rsidP="00C91818">
      <w:pPr>
        <w:spacing w:after="240"/>
        <w:rPr>
          <w:lang w:eastAsia="en-AU"/>
        </w:rPr>
      </w:pPr>
      <w:r w:rsidRPr="00B83411">
        <w:rPr>
          <w:lang w:eastAsia="en-AU"/>
        </w:rPr>
        <w:t xml:space="preserve">All respondents, irrespective of role, were asked to estimate their level of interaction with NOPTA/OIR in the past 6 to 12 months. </w:t>
      </w:r>
      <w:r w:rsidRPr="00B83411">
        <w:rPr>
          <w:lang w:eastAsia="en-AU"/>
        </w:rPr>
        <w:fldChar w:fldCharType="begin"/>
      </w:r>
      <w:r w:rsidRPr="00B83411">
        <w:rPr>
          <w:lang w:eastAsia="en-AU"/>
        </w:rPr>
        <w:instrText xml:space="preserve"> REF _Ref212725217 \h </w:instrText>
      </w:r>
      <w:r w:rsidRPr="00B83411">
        <w:rPr>
          <w:lang w:eastAsia="en-AU"/>
        </w:rPr>
      </w:r>
      <w:r w:rsidRPr="00B83411">
        <w:rPr>
          <w:lang w:eastAsia="en-AU"/>
        </w:rPr>
        <w:fldChar w:fldCharType="separate"/>
      </w:r>
      <w:r w:rsidR="001E3282" w:rsidRPr="00B83411">
        <w:t xml:space="preserve">Table </w:t>
      </w:r>
      <w:r w:rsidR="001E3282">
        <w:rPr>
          <w:noProof/>
        </w:rPr>
        <w:t>17</w:t>
      </w:r>
      <w:r w:rsidRPr="00B83411">
        <w:rPr>
          <w:lang w:eastAsia="en-AU"/>
        </w:rPr>
        <w:fldChar w:fldCharType="end"/>
      </w:r>
      <w:r w:rsidRPr="00B83411">
        <w:rPr>
          <w:lang w:eastAsia="en-AU"/>
        </w:rPr>
        <w:t xml:space="preserve"> below shows the four items where there were notable differences on common items. The two blue highlights are where there were large difference </w:t>
      </w:r>
      <w:r w:rsidR="00862754" w:rsidRPr="00B83411">
        <w:rPr>
          <w:lang w:eastAsia="en-AU"/>
        </w:rPr>
        <w:t>indicating that</w:t>
      </w:r>
      <w:r w:rsidRPr="00B83411">
        <w:rPr>
          <w:lang w:eastAsia="en-AU"/>
        </w:rPr>
        <w:t xml:space="preserve"> greater experience generated quite different and more negative views.</w:t>
      </w:r>
    </w:p>
    <w:p w14:paraId="4964AB4B" w14:textId="7E9D1A1F" w:rsidR="00490FFF" w:rsidRPr="00B83411" w:rsidRDefault="004839E4" w:rsidP="004839E4">
      <w:pPr>
        <w:pStyle w:val="Caption"/>
        <w:rPr>
          <w:lang w:eastAsia="en-AU"/>
        </w:rPr>
      </w:pPr>
      <w:bookmarkStart w:id="36" w:name="_Ref212725217"/>
      <w:r w:rsidRPr="00B83411">
        <w:t xml:space="preserve">Table </w:t>
      </w:r>
      <w:r w:rsidR="00C32D47">
        <w:fldChar w:fldCharType="begin"/>
      </w:r>
      <w:r w:rsidR="00C32D47">
        <w:instrText xml:space="preserve"> SEQ Table \* ARABIC </w:instrText>
      </w:r>
      <w:r w:rsidR="00C32D47">
        <w:fldChar w:fldCharType="separate"/>
      </w:r>
      <w:r w:rsidR="00C350E2">
        <w:rPr>
          <w:noProof/>
        </w:rPr>
        <w:t>17</w:t>
      </w:r>
      <w:r w:rsidR="00C32D47">
        <w:fldChar w:fldCharType="end"/>
      </w:r>
      <w:bookmarkEnd w:id="36"/>
      <w:r w:rsidR="002A68A1" w:rsidRPr="00B83411">
        <w:t xml:space="preserve">: </w:t>
      </w:r>
      <w:r w:rsidR="00EE74B9" w:rsidRPr="00B83411">
        <w:t xml:space="preserve">Common items by </w:t>
      </w:r>
      <w:r w:rsidR="002A68A1" w:rsidRPr="00B83411">
        <w:t>interactions with NOPTA / OIR in the past 6-12 months</w:t>
      </w:r>
      <w:r w:rsidR="00862754" w:rsidRPr="00B83411">
        <w:t xml:space="preserve"> (large differences)</w:t>
      </w:r>
    </w:p>
    <w:tbl>
      <w:tblPr>
        <w:tblW w:w="8364" w:type="dxa"/>
        <w:tblLook w:val="04A0" w:firstRow="1" w:lastRow="0" w:firstColumn="1" w:lastColumn="0" w:noHBand="0" w:noVBand="1"/>
      </w:tblPr>
      <w:tblGrid>
        <w:gridCol w:w="4535"/>
        <w:gridCol w:w="1342"/>
        <w:gridCol w:w="1353"/>
        <w:gridCol w:w="1134"/>
      </w:tblGrid>
      <w:tr w:rsidR="008C5899" w:rsidRPr="00B83411" w14:paraId="2A54F2C1" w14:textId="77777777" w:rsidTr="001F5463">
        <w:trPr>
          <w:trHeight w:val="300"/>
        </w:trPr>
        <w:tc>
          <w:tcPr>
            <w:tcW w:w="4535" w:type="dxa"/>
            <w:shd w:val="clear" w:color="000000" w:fill="003366"/>
            <w:vAlign w:val="center"/>
            <w:hideMark/>
          </w:tcPr>
          <w:p w14:paraId="0B90E8E0" w14:textId="40667453" w:rsidR="008C5899" w:rsidRPr="00B83411" w:rsidRDefault="002A68A1" w:rsidP="00135B0F">
            <w:pPr>
              <w:spacing w:before="60" w:after="60" w:line="240" w:lineRule="auto"/>
              <w:ind w:right="0"/>
              <w:rPr>
                <w:rFonts w:eastAsia="Times New Roman" w:cs="Arial"/>
                <w:b/>
                <w:bCs/>
                <w:color w:val="FFFFFF"/>
                <w:lang w:eastAsia="en-AU"/>
              </w:rPr>
            </w:pPr>
            <w:bookmarkStart w:id="37" w:name="_Hlk212632238"/>
            <w:r w:rsidRPr="00B83411">
              <w:rPr>
                <w:rFonts w:eastAsia="Times New Roman" w:cs="Arial"/>
                <w:b/>
                <w:bCs/>
                <w:color w:val="FFFFFF"/>
                <w:lang w:eastAsia="en-AU"/>
              </w:rPr>
              <w:t>Common survey item</w:t>
            </w:r>
          </w:p>
        </w:tc>
        <w:tc>
          <w:tcPr>
            <w:tcW w:w="1342" w:type="dxa"/>
            <w:shd w:val="clear" w:color="000000" w:fill="003366"/>
            <w:noWrap/>
            <w:vAlign w:val="center"/>
            <w:hideMark/>
          </w:tcPr>
          <w:p w14:paraId="51428F66" w14:textId="46340F80" w:rsidR="008C5899" w:rsidRPr="00B83411" w:rsidRDefault="008C5899" w:rsidP="00C91818">
            <w:pPr>
              <w:spacing w:before="60" w:after="60" w:line="240" w:lineRule="auto"/>
              <w:ind w:right="0"/>
              <w:jc w:val="center"/>
              <w:rPr>
                <w:rFonts w:eastAsia="Times New Roman" w:cs="Arial"/>
                <w:b/>
                <w:bCs/>
                <w:color w:val="FFFFFF"/>
                <w:lang w:eastAsia="en-AU"/>
              </w:rPr>
            </w:pPr>
            <w:r w:rsidRPr="00B83411">
              <w:rPr>
                <w:rFonts w:eastAsia="Times New Roman" w:cs="Arial"/>
                <w:b/>
                <w:bCs/>
                <w:color w:val="FFFFFF"/>
                <w:lang w:eastAsia="en-AU"/>
              </w:rPr>
              <w:t>Less than 10 interactions</w:t>
            </w:r>
            <w:r w:rsidR="001F5463" w:rsidRPr="00B83411">
              <w:rPr>
                <w:rFonts w:eastAsia="Times New Roman" w:cs="Arial"/>
                <w:b/>
                <w:bCs/>
                <w:color w:val="FFFFFF"/>
                <w:lang w:eastAsia="en-AU"/>
              </w:rPr>
              <w:br/>
            </w:r>
            <w:r w:rsidR="001F5463" w:rsidRPr="00B83411">
              <w:rPr>
                <w:rFonts w:eastAsia="Times New Roman" w:cs="Arial"/>
                <w:i/>
                <w:iCs/>
                <w:color w:val="FFFFFF"/>
                <w:lang w:eastAsia="en-AU"/>
              </w:rPr>
              <w:t>n=34</w:t>
            </w:r>
          </w:p>
        </w:tc>
        <w:tc>
          <w:tcPr>
            <w:tcW w:w="1353" w:type="dxa"/>
            <w:shd w:val="clear" w:color="000000" w:fill="003366"/>
            <w:noWrap/>
            <w:vAlign w:val="center"/>
            <w:hideMark/>
          </w:tcPr>
          <w:p w14:paraId="01841479" w14:textId="4D98904E" w:rsidR="008C5899" w:rsidRPr="00B83411" w:rsidRDefault="008C5899" w:rsidP="00C91818">
            <w:pPr>
              <w:spacing w:before="60" w:after="60" w:line="240" w:lineRule="auto"/>
              <w:ind w:right="0"/>
              <w:jc w:val="center"/>
              <w:rPr>
                <w:rFonts w:eastAsia="Times New Roman" w:cs="Arial"/>
                <w:b/>
                <w:bCs/>
                <w:color w:val="FFFFFF"/>
                <w:lang w:eastAsia="en-AU"/>
              </w:rPr>
            </w:pPr>
            <w:r w:rsidRPr="00B83411">
              <w:rPr>
                <w:rFonts w:eastAsia="Times New Roman" w:cs="Arial"/>
                <w:b/>
                <w:bCs/>
                <w:color w:val="FFFFFF"/>
                <w:lang w:eastAsia="en-AU"/>
              </w:rPr>
              <w:t>More than 10 interactions</w:t>
            </w:r>
            <w:r w:rsidR="001F5463" w:rsidRPr="00B83411">
              <w:rPr>
                <w:rFonts w:eastAsia="Times New Roman" w:cs="Arial"/>
                <w:b/>
                <w:bCs/>
                <w:color w:val="FFFFFF"/>
                <w:lang w:eastAsia="en-AU"/>
              </w:rPr>
              <w:br/>
            </w:r>
            <w:r w:rsidR="001F5463" w:rsidRPr="00B83411">
              <w:rPr>
                <w:rFonts w:eastAsia="Times New Roman" w:cs="Arial"/>
                <w:i/>
                <w:iCs/>
                <w:color w:val="FFFFFF"/>
                <w:lang w:eastAsia="en-AU"/>
              </w:rPr>
              <w:t>n=50</w:t>
            </w:r>
          </w:p>
        </w:tc>
        <w:tc>
          <w:tcPr>
            <w:tcW w:w="1134" w:type="dxa"/>
            <w:shd w:val="clear" w:color="000000" w:fill="003366"/>
            <w:noWrap/>
            <w:vAlign w:val="center"/>
            <w:hideMark/>
          </w:tcPr>
          <w:p w14:paraId="43122652" w14:textId="099B9C8C" w:rsidR="008C5899" w:rsidRPr="00B83411" w:rsidRDefault="008C5899" w:rsidP="00135B0F">
            <w:pPr>
              <w:spacing w:before="60" w:after="60" w:line="240" w:lineRule="auto"/>
              <w:ind w:right="0"/>
              <w:jc w:val="center"/>
              <w:rPr>
                <w:rFonts w:eastAsia="Times New Roman" w:cs="Arial"/>
                <w:b/>
                <w:bCs/>
                <w:color w:val="FFFFFF"/>
                <w:lang w:eastAsia="en-AU"/>
              </w:rPr>
            </w:pPr>
            <w:r w:rsidRPr="00B83411">
              <w:rPr>
                <w:rFonts w:eastAsia="Times New Roman" w:cs="Arial"/>
                <w:b/>
                <w:bCs/>
                <w:color w:val="FFFFFF"/>
                <w:lang w:eastAsia="en-AU"/>
              </w:rPr>
              <w:t>Total</w:t>
            </w:r>
            <w:r w:rsidR="001F5463" w:rsidRPr="00B83411">
              <w:rPr>
                <w:rFonts w:eastAsia="Times New Roman" w:cs="Arial"/>
                <w:b/>
                <w:bCs/>
                <w:color w:val="FFFFFF"/>
                <w:lang w:eastAsia="en-AU"/>
              </w:rPr>
              <w:br/>
              <w:t>n=</w:t>
            </w:r>
          </w:p>
        </w:tc>
      </w:tr>
      <w:bookmarkEnd w:id="37"/>
      <w:tr w:rsidR="007000EA" w:rsidRPr="00B83411" w14:paraId="244C8AAE" w14:textId="77777777">
        <w:trPr>
          <w:trHeight w:val="300"/>
        </w:trPr>
        <w:tc>
          <w:tcPr>
            <w:tcW w:w="4535" w:type="dxa"/>
            <w:tcBorders>
              <w:top w:val="nil"/>
              <w:left w:val="nil"/>
              <w:bottom w:val="nil"/>
              <w:right w:val="nil"/>
            </w:tcBorders>
            <w:noWrap/>
            <w:vAlign w:val="center"/>
            <w:hideMark/>
          </w:tcPr>
          <w:p w14:paraId="6CDFA060" w14:textId="50C0ED48"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 xml:space="preserve">Justification of its decisions made about offshore titles / licences </w:t>
            </w:r>
          </w:p>
        </w:tc>
        <w:tc>
          <w:tcPr>
            <w:tcW w:w="1342" w:type="dxa"/>
            <w:tcBorders>
              <w:top w:val="nil"/>
              <w:left w:val="nil"/>
              <w:bottom w:val="nil"/>
              <w:right w:val="nil"/>
            </w:tcBorders>
            <w:noWrap/>
            <w:hideMark/>
          </w:tcPr>
          <w:p w14:paraId="5A18712B" w14:textId="61E779F0" w:rsidR="007000EA" w:rsidRPr="00B83411" w:rsidRDefault="007000EA" w:rsidP="007000EA">
            <w:pPr>
              <w:spacing w:before="60" w:after="60" w:line="240" w:lineRule="auto"/>
              <w:ind w:right="0"/>
              <w:jc w:val="center"/>
              <w:rPr>
                <w:rFonts w:eastAsia="Times New Roman" w:cs="Arial"/>
                <w:color w:val="000000"/>
                <w:lang w:eastAsia="en-AU"/>
              </w:rPr>
            </w:pPr>
            <w:r w:rsidRPr="00B83411">
              <w:t>90</w:t>
            </w:r>
          </w:p>
        </w:tc>
        <w:tc>
          <w:tcPr>
            <w:tcW w:w="1353" w:type="dxa"/>
            <w:tcBorders>
              <w:top w:val="nil"/>
              <w:left w:val="nil"/>
              <w:bottom w:val="nil"/>
              <w:right w:val="nil"/>
            </w:tcBorders>
            <w:shd w:val="clear" w:color="auto" w:fill="92CDDC" w:themeFill="accent5" w:themeFillTint="99"/>
            <w:noWrap/>
            <w:hideMark/>
          </w:tcPr>
          <w:p w14:paraId="76BA66D8" w14:textId="4635FCF4" w:rsidR="007000EA" w:rsidRPr="00B83411" w:rsidRDefault="007000EA" w:rsidP="007000EA">
            <w:pPr>
              <w:spacing w:before="60" w:after="60" w:line="240" w:lineRule="auto"/>
              <w:ind w:right="0"/>
              <w:jc w:val="center"/>
              <w:rPr>
                <w:rFonts w:eastAsia="Times New Roman" w:cs="Arial"/>
                <w:color w:val="000000"/>
                <w:lang w:eastAsia="en-AU"/>
              </w:rPr>
            </w:pPr>
            <w:r w:rsidRPr="00B83411">
              <w:t>69</w:t>
            </w:r>
          </w:p>
        </w:tc>
        <w:tc>
          <w:tcPr>
            <w:tcW w:w="1134" w:type="dxa"/>
            <w:tcBorders>
              <w:top w:val="nil"/>
              <w:left w:val="nil"/>
              <w:bottom w:val="nil"/>
              <w:right w:val="nil"/>
            </w:tcBorders>
            <w:noWrap/>
            <w:hideMark/>
          </w:tcPr>
          <w:p w14:paraId="68085FB5" w14:textId="530989AA"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r>
      <w:tr w:rsidR="007000EA" w:rsidRPr="00B83411" w14:paraId="463C0A56" w14:textId="77777777">
        <w:trPr>
          <w:trHeight w:val="300"/>
        </w:trPr>
        <w:tc>
          <w:tcPr>
            <w:tcW w:w="4535" w:type="dxa"/>
            <w:tcBorders>
              <w:top w:val="nil"/>
              <w:left w:val="nil"/>
              <w:bottom w:val="nil"/>
              <w:right w:val="nil"/>
            </w:tcBorders>
            <w:shd w:val="clear" w:color="auto" w:fill="D9D9D9" w:themeFill="background1" w:themeFillShade="D9"/>
            <w:noWrap/>
            <w:vAlign w:val="center"/>
            <w:hideMark/>
          </w:tcPr>
          <w:p w14:paraId="1ABBD021"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Consistency of its information </w:t>
            </w:r>
          </w:p>
        </w:tc>
        <w:tc>
          <w:tcPr>
            <w:tcW w:w="1342" w:type="dxa"/>
            <w:tcBorders>
              <w:top w:val="nil"/>
              <w:left w:val="nil"/>
              <w:bottom w:val="nil"/>
              <w:right w:val="nil"/>
            </w:tcBorders>
            <w:shd w:val="clear" w:color="auto" w:fill="D9D9D9" w:themeFill="background1" w:themeFillShade="D9"/>
            <w:noWrap/>
            <w:hideMark/>
          </w:tcPr>
          <w:p w14:paraId="322C4B6B" w14:textId="1ADE4473" w:rsidR="007000EA" w:rsidRPr="00B83411" w:rsidRDefault="007000EA" w:rsidP="007000EA">
            <w:pPr>
              <w:spacing w:before="60" w:after="60" w:line="240" w:lineRule="auto"/>
              <w:ind w:right="0"/>
              <w:jc w:val="center"/>
              <w:rPr>
                <w:rFonts w:eastAsia="Times New Roman" w:cs="Arial"/>
                <w:color w:val="000000"/>
                <w:lang w:eastAsia="en-AU"/>
              </w:rPr>
            </w:pPr>
            <w:r w:rsidRPr="00B83411">
              <w:t>96</w:t>
            </w:r>
          </w:p>
        </w:tc>
        <w:tc>
          <w:tcPr>
            <w:tcW w:w="1353" w:type="dxa"/>
            <w:tcBorders>
              <w:top w:val="nil"/>
              <w:left w:val="nil"/>
              <w:bottom w:val="nil"/>
              <w:right w:val="nil"/>
            </w:tcBorders>
            <w:shd w:val="clear" w:color="auto" w:fill="D9D9D9" w:themeFill="background1" w:themeFillShade="D9"/>
            <w:noWrap/>
            <w:hideMark/>
          </w:tcPr>
          <w:p w14:paraId="68562202" w14:textId="52D749E8" w:rsidR="007000EA" w:rsidRPr="00B83411" w:rsidRDefault="007000EA" w:rsidP="007000EA">
            <w:pPr>
              <w:spacing w:before="60" w:after="60" w:line="240" w:lineRule="auto"/>
              <w:ind w:right="0"/>
              <w:jc w:val="center"/>
              <w:rPr>
                <w:rFonts w:eastAsia="Times New Roman" w:cs="Arial"/>
                <w:color w:val="000000"/>
                <w:lang w:eastAsia="en-AU"/>
              </w:rPr>
            </w:pPr>
            <w:r w:rsidRPr="00B83411">
              <w:t>86</w:t>
            </w:r>
          </w:p>
        </w:tc>
        <w:tc>
          <w:tcPr>
            <w:tcW w:w="1134" w:type="dxa"/>
            <w:tcBorders>
              <w:top w:val="nil"/>
              <w:left w:val="nil"/>
              <w:bottom w:val="nil"/>
              <w:right w:val="nil"/>
            </w:tcBorders>
            <w:shd w:val="clear" w:color="auto" w:fill="D9D9D9" w:themeFill="background1" w:themeFillShade="D9"/>
            <w:noWrap/>
            <w:hideMark/>
          </w:tcPr>
          <w:p w14:paraId="4B639445" w14:textId="7FB96E30" w:rsidR="007000EA" w:rsidRPr="00B83411" w:rsidRDefault="007000EA" w:rsidP="007000EA">
            <w:pPr>
              <w:spacing w:before="60" w:after="60" w:line="240" w:lineRule="auto"/>
              <w:ind w:right="0"/>
              <w:jc w:val="center"/>
              <w:rPr>
                <w:rFonts w:eastAsia="Times New Roman" w:cs="Arial"/>
                <w:color w:val="000000"/>
                <w:lang w:eastAsia="en-AU"/>
              </w:rPr>
            </w:pPr>
            <w:r w:rsidRPr="00B83411">
              <w:t>90</w:t>
            </w:r>
          </w:p>
        </w:tc>
      </w:tr>
      <w:tr w:rsidR="007000EA" w:rsidRPr="00B83411" w14:paraId="6A36BFA8" w14:textId="77777777">
        <w:trPr>
          <w:trHeight w:val="300"/>
        </w:trPr>
        <w:tc>
          <w:tcPr>
            <w:tcW w:w="4535" w:type="dxa"/>
            <w:tcBorders>
              <w:top w:val="nil"/>
              <w:left w:val="nil"/>
              <w:right w:val="nil"/>
            </w:tcBorders>
            <w:noWrap/>
            <w:vAlign w:val="center"/>
            <w:hideMark/>
          </w:tcPr>
          <w:p w14:paraId="5C63FEF2"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Transparency of its decisions about offshore titles / licences</w:t>
            </w:r>
          </w:p>
        </w:tc>
        <w:tc>
          <w:tcPr>
            <w:tcW w:w="1342" w:type="dxa"/>
            <w:tcBorders>
              <w:top w:val="nil"/>
              <w:left w:val="nil"/>
              <w:right w:val="nil"/>
            </w:tcBorders>
            <w:noWrap/>
            <w:hideMark/>
          </w:tcPr>
          <w:p w14:paraId="03387657" w14:textId="32B982E0" w:rsidR="007000EA" w:rsidRPr="00B83411" w:rsidRDefault="007000EA" w:rsidP="007000EA">
            <w:pPr>
              <w:spacing w:before="60" w:after="60" w:line="240" w:lineRule="auto"/>
              <w:ind w:right="0"/>
              <w:jc w:val="center"/>
              <w:rPr>
                <w:rFonts w:eastAsia="Times New Roman" w:cs="Arial"/>
                <w:color w:val="000000"/>
                <w:lang w:eastAsia="en-AU"/>
              </w:rPr>
            </w:pPr>
            <w:r w:rsidRPr="00B83411">
              <w:t>94</w:t>
            </w:r>
          </w:p>
        </w:tc>
        <w:tc>
          <w:tcPr>
            <w:tcW w:w="1353" w:type="dxa"/>
            <w:tcBorders>
              <w:top w:val="nil"/>
              <w:left w:val="nil"/>
              <w:right w:val="nil"/>
            </w:tcBorders>
            <w:shd w:val="clear" w:color="auto" w:fill="92CDDC" w:themeFill="accent5" w:themeFillTint="99"/>
            <w:noWrap/>
            <w:hideMark/>
          </w:tcPr>
          <w:p w14:paraId="282094B7" w14:textId="257220C9" w:rsidR="007000EA" w:rsidRPr="00B83411" w:rsidRDefault="007000EA" w:rsidP="007000EA">
            <w:pPr>
              <w:spacing w:before="60" w:after="60" w:line="240" w:lineRule="auto"/>
              <w:ind w:right="0"/>
              <w:jc w:val="center"/>
              <w:rPr>
                <w:rFonts w:eastAsia="Times New Roman" w:cs="Arial"/>
                <w:color w:val="000000"/>
                <w:lang w:eastAsia="en-AU"/>
              </w:rPr>
            </w:pPr>
            <w:r w:rsidRPr="00B83411">
              <w:t>60</w:t>
            </w:r>
          </w:p>
        </w:tc>
        <w:tc>
          <w:tcPr>
            <w:tcW w:w="1134" w:type="dxa"/>
            <w:tcBorders>
              <w:top w:val="nil"/>
              <w:left w:val="nil"/>
              <w:right w:val="nil"/>
            </w:tcBorders>
            <w:noWrap/>
            <w:hideMark/>
          </w:tcPr>
          <w:p w14:paraId="04F5F14D" w14:textId="5DA21D78" w:rsidR="007000EA" w:rsidRPr="00B83411" w:rsidRDefault="007000EA" w:rsidP="007000EA">
            <w:pPr>
              <w:spacing w:before="60" w:after="60" w:line="240" w:lineRule="auto"/>
              <w:ind w:right="0"/>
              <w:jc w:val="center"/>
              <w:rPr>
                <w:rFonts w:eastAsia="Times New Roman" w:cs="Arial"/>
                <w:color w:val="000000"/>
                <w:lang w:eastAsia="en-AU"/>
              </w:rPr>
            </w:pPr>
            <w:r w:rsidRPr="00B83411">
              <w:t>73</w:t>
            </w:r>
          </w:p>
        </w:tc>
      </w:tr>
      <w:tr w:rsidR="007000EA" w:rsidRPr="00B83411" w14:paraId="5472A258" w14:textId="77777777">
        <w:trPr>
          <w:trHeight w:val="300"/>
        </w:trPr>
        <w:tc>
          <w:tcPr>
            <w:tcW w:w="4535" w:type="dxa"/>
            <w:tcBorders>
              <w:top w:val="nil"/>
              <w:left w:val="nil"/>
              <w:bottom w:val="single" w:sz="4" w:space="0" w:color="auto"/>
              <w:right w:val="nil"/>
            </w:tcBorders>
            <w:shd w:val="clear" w:color="auto" w:fill="D9D9D9" w:themeFill="background1" w:themeFillShade="D9"/>
            <w:noWrap/>
            <w:vAlign w:val="center"/>
            <w:hideMark/>
          </w:tcPr>
          <w:p w14:paraId="2AEE99F0"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Balancing administrative and compliance effort with outcomes</w:t>
            </w:r>
          </w:p>
        </w:tc>
        <w:tc>
          <w:tcPr>
            <w:tcW w:w="1342" w:type="dxa"/>
            <w:tcBorders>
              <w:top w:val="nil"/>
              <w:left w:val="nil"/>
              <w:bottom w:val="single" w:sz="4" w:space="0" w:color="auto"/>
              <w:right w:val="nil"/>
            </w:tcBorders>
            <w:shd w:val="clear" w:color="auto" w:fill="D9D9D9" w:themeFill="background1" w:themeFillShade="D9"/>
            <w:noWrap/>
            <w:hideMark/>
          </w:tcPr>
          <w:p w14:paraId="1E946641" w14:textId="63CB0A04" w:rsidR="007000EA" w:rsidRPr="00B83411" w:rsidRDefault="007000EA" w:rsidP="007000EA">
            <w:pPr>
              <w:spacing w:before="60" w:after="60" w:line="240" w:lineRule="auto"/>
              <w:ind w:right="0"/>
              <w:jc w:val="center"/>
              <w:rPr>
                <w:rFonts w:eastAsia="Times New Roman" w:cs="Arial"/>
                <w:color w:val="000000"/>
                <w:lang w:eastAsia="en-AU"/>
              </w:rPr>
            </w:pPr>
            <w:r w:rsidRPr="00B83411">
              <w:t>68</w:t>
            </w:r>
          </w:p>
        </w:tc>
        <w:tc>
          <w:tcPr>
            <w:tcW w:w="1353" w:type="dxa"/>
            <w:tcBorders>
              <w:top w:val="nil"/>
              <w:left w:val="nil"/>
              <w:bottom w:val="single" w:sz="4" w:space="0" w:color="auto"/>
              <w:right w:val="nil"/>
            </w:tcBorders>
            <w:shd w:val="clear" w:color="auto" w:fill="D9D9D9" w:themeFill="background1" w:themeFillShade="D9"/>
            <w:noWrap/>
            <w:hideMark/>
          </w:tcPr>
          <w:p w14:paraId="3E238BD4" w14:textId="25A006FF"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c>
          <w:tcPr>
            <w:tcW w:w="1134" w:type="dxa"/>
            <w:tcBorders>
              <w:top w:val="nil"/>
              <w:left w:val="nil"/>
              <w:bottom w:val="single" w:sz="4" w:space="0" w:color="auto"/>
              <w:right w:val="nil"/>
            </w:tcBorders>
            <w:shd w:val="clear" w:color="auto" w:fill="D9D9D9" w:themeFill="background1" w:themeFillShade="D9"/>
            <w:noWrap/>
            <w:hideMark/>
          </w:tcPr>
          <w:p w14:paraId="74B8110A" w14:textId="0301DEF4" w:rsidR="007000EA" w:rsidRPr="00B83411" w:rsidRDefault="007000EA" w:rsidP="007000EA">
            <w:pPr>
              <w:spacing w:before="60" w:after="60" w:line="240" w:lineRule="auto"/>
              <w:ind w:right="0"/>
              <w:jc w:val="center"/>
              <w:rPr>
                <w:rFonts w:eastAsia="Times New Roman" w:cs="Arial"/>
                <w:color w:val="000000"/>
                <w:lang w:eastAsia="en-AU"/>
              </w:rPr>
            </w:pPr>
            <w:r w:rsidRPr="00B83411">
              <w:t>7</w:t>
            </w:r>
            <w:r w:rsidR="00EF62DD" w:rsidRPr="00B83411">
              <w:t>5</w:t>
            </w:r>
          </w:p>
        </w:tc>
      </w:tr>
    </w:tbl>
    <w:p w14:paraId="48B70554" w14:textId="60ED0F0A" w:rsidR="004839E4" w:rsidRPr="00B83411" w:rsidRDefault="0082224B" w:rsidP="00CB0E46">
      <w:pPr>
        <w:pStyle w:val="Heading2"/>
      </w:pPr>
      <w:bookmarkStart w:id="38" w:name="_Toc213926358"/>
      <w:r w:rsidRPr="00B83411">
        <w:t>Industry sector</w:t>
      </w:r>
      <w:bookmarkEnd w:id="38"/>
    </w:p>
    <w:p w14:paraId="3758656F" w14:textId="3DD5B136" w:rsidR="00CB0E46" w:rsidRPr="00B83411" w:rsidRDefault="00CB0E46" w:rsidP="00CB0E46">
      <w:r w:rsidRPr="00B83411">
        <w:t>All respondents were grouped into two sectors: P</w:t>
      </w:r>
      <w:r w:rsidR="00DA6D4B" w:rsidRPr="00B83411">
        <w:t>/</w:t>
      </w:r>
      <w:r w:rsidRPr="00B83411">
        <w:t>GHG or OEI. This includes title holders and government employees associated with decisions or advice about P</w:t>
      </w:r>
      <w:r w:rsidR="00A44CDD" w:rsidRPr="00B83411">
        <w:t>/</w:t>
      </w:r>
      <w:r w:rsidRPr="00B83411">
        <w:t>GHG and OEI licence holders and government employees associated with decisions or advice about OEI.</w:t>
      </w:r>
    </w:p>
    <w:p w14:paraId="2579973A" w14:textId="582AF738" w:rsidR="00CB0E46" w:rsidRPr="00B83411" w:rsidRDefault="00CB0E46" w:rsidP="006B7D34">
      <w:pPr>
        <w:spacing w:after="240"/>
      </w:pPr>
      <w:r w:rsidRPr="00B83411">
        <w:fldChar w:fldCharType="begin"/>
      </w:r>
      <w:r w:rsidRPr="00B83411">
        <w:instrText xml:space="preserve"> REF _Ref213060362 \h </w:instrText>
      </w:r>
      <w:r w:rsidRPr="00B83411">
        <w:fldChar w:fldCharType="separate"/>
      </w:r>
      <w:r w:rsidR="001E3282" w:rsidRPr="00B83411">
        <w:t xml:space="preserve">Table </w:t>
      </w:r>
      <w:r w:rsidR="001E3282">
        <w:rPr>
          <w:noProof/>
        </w:rPr>
        <w:t>18</w:t>
      </w:r>
      <w:r w:rsidRPr="00B83411">
        <w:fldChar w:fldCharType="end"/>
      </w:r>
      <w:r w:rsidRPr="00B83411">
        <w:t xml:space="preserve"> shows where there were differences of 10% positive scores or more. The two most notable differences are highlighted in blue and were about </w:t>
      </w:r>
      <w:r w:rsidRPr="00B83411">
        <w:rPr>
          <w:i/>
          <w:iCs/>
        </w:rPr>
        <w:t>justification of decisions</w:t>
      </w:r>
      <w:r w:rsidRPr="00B83411">
        <w:t xml:space="preserve"> about licences and titles and encouraging voluntary administrative compliance where the OEI sector was considerably lower than the </w:t>
      </w:r>
      <w:r w:rsidR="00C908B7" w:rsidRPr="00B83411">
        <w:t>P/GHG</w:t>
      </w:r>
      <w:r w:rsidRPr="00B83411">
        <w:t xml:space="preserve"> sector.</w:t>
      </w:r>
    </w:p>
    <w:p w14:paraId="1AC706F5" w14:textId="035AF3A4" w:rsidR="00E016A8" w:rsidRPr="00B83411" w:rsidRDefault="0030165D" w:rsidP="00CB0E46">
      <w:pPr>
        <w:pStyle w:val="Caption"/>
        <w:keepNext/>
        <w:rPr>
          <w:lang w:eastAsia="en-AU"/>
        </w:rPr>
      </w:pPr>
      <w:bookmarkStart w:id="39" w:name="_Ref213060362"/>
      <w:r w:rsidRPr="00B83411">
        <w:t xml:space="preserve">Table </w:t>
      </w:r>
      <w:r w:rsidR="00C32D47">
        <w:fldChar w:fldCharType="begin"/>
      </w:r>
      <w:r w:rsidR="00C32D47">
        <w:instrText xml:space="preserve"> SEQ Table \* ARABIC </w:instrText>
      </w:r>
      <w:r w:rsidR="00C32D47">
        <w:fldChar w:fldCharType="separate"/>
      </w:r>
      <w:r w:rsidR="00C350E2">
        <w:rPr>
          <w:noProof/>
        </w:rPr>
        <w:t>18</w:t>
      </w:r>
      <w:r w:rsidR="00C32D47">
        <w:fldChar w:fldCharType="end"/>
      </w:r>
      <w:bookmarkEnd w:id="39"/>
      <w:r w:rsidR="00862754" w:rsidRPr="00B83411">
        <w:t>: Common items by industry sector (large differences)</w:t>
      </w:r>
    </w:p>
    <w:tbl>
      <w:tblPr>
        <w:tblW w:w="8359" w:type="dxa"/>
        <w:tblLook w:val="04A0" w:firstRow="1" w:lastRow="0" w:firstColumn="1" w:lastColumn="0" w:noHBand="0" w:noVBand="1"/>
      </w:tblPr>
      <w:tblGrid>
        <w:gridCol w:w="4531"/>
        <w:gridCol w:w="1276"/>
        <w:gridCol w:w="1418"/>
        <w:gridCol w:w="1134"/>
      </w:tblGrid>
      <w:tr w:rsidR="00BC29D0" w:rsidRPr="00B83411" w14:paraId="58021679" w14:textId="77777777" w:rsidTr="0030165D">
        <w:trPr>
          <w:trHeight w:val="901"/>
        </w:trPr>
        <w:tc>
          <w:tcPr>
            <w:tcW w:w="4531" w:type="dxa"/>
            <w:shd w:val="clear" w:color="000000" w:fill="003366"/>
            <w:vAlign w:val="center"/>
            <w:hideMark/>
          </w:tcPr>
          <w:p w14:paraId="104A84DD" w14:textId="742D8F19" w:rsidR="00BC29D0" w:rsidRPr="00B83411" w:rsidRDefault="00BE592E" w:rsidP="00CB0E46">
            <w:pPr>
              <w:keepNext/>
              <w:spacing w:before="60" w:after="60" w:line="240" w:lineRule="auto"/>
              <w:ind w:right="0"/>
              <w:rPr>
                <w:rFonts w:eastAsia="Times New Roman" w:cs="Arial"/>
                <w:b/>
                <w:bCs/>
                <w:color w:val="FFFFFF"/>
                <w:lang w:eastAsia="en-AU"/>
              </w:rPr>
            </w:pPr>
            <w:r w:rsidRPr="00B83411">
              <w:rPr>
                <w:rFonts w:eastAsia="Times New Roman" w:cs="Arial"/>
                <w:b/>
                <w:bCs/>
                <w:color w:val="FFFFFF"/>
                <w:lang w:eastAsia="en-AU"/>
              </w:rPr>
              <w:t>Common survey item</w:t>
            </w:r>
          </w:p>
        </w:tc>
        <w:tc>
          <w:tcPr>
            <w:tcW w:w="1276" w:type="dxa"/>
            <w:shd w:val="clear" w:color="000000" w:fill="003366"/>
            <w:noWrap/>
            <w:vAlign w:val="center"/>
            <w:hideMark/>
          </w:tcPr>
          <w:p w14:paraId="15D7C218" w14:textId="6EC0FF8F" w:rsidR="00BC29D0" w:rsidRPr="00B83411" w:rsidRDefault="00C908B7" w:rsidP="00CB0E46">
            <w:pPr>
              <w:keepNext/>
              <w:spacing w:before="60" w:after="60" w:line="240" w:lineRule="auto"/>
              <w:ind w:right="0"/>
              <w:jc w:val="center"/>
              <w:rPr>
                <w:rFonts w:eastAsia="Times New Roman" w:cs="Arial"/>
                <w:b/>
                <w:bCs/>
                <w:color w:val="FFFFFF"/>
                <w:lang w:eastAsia="en-AU"/>
              </w:rPr>
            </w:pPr>
            <w:r w:rsidRPr="00B83411">
              <w:rPr>
                <w:rFonts w:eastAsia="Times New Roman" w:cs="Arial"/>
                <w:b/>
                <w:bCs/>
                <w:color w:val="FFFFFF"/>
                <w:lang w:eastAsia="en-AU"/>
              </w:rPr>
              <w:t>P/GHG</w:t>
            </w:r>
            <w:r w:rsidR="00BC29D0" w:rsidRPr="00B83411">
              <w:rPr>
                <w:rFonts w:eastAsia="Times New Roman" w:cs="Arial"/>
                <w:b/>
                <w:bCs/>
                <w:color w:val="FFFFFF"/>
                <w:lang w:eastAsia="en-AU"/>
              </w:rPr>
              <w:t xml:space="preserve"> industry</w:t>
            </w:r>
          </w:p>
        </w:tc>
        <w:tc>
          <w:tcPr>
            <w:tcW w:w="1418" w:type="dxa"/>
            <w:shd w:val="clear" w:color="000000" w:fill="003366"/>
            <w:noWrap/>
            <w:vAlign w:val="center"/>
            <w:hideMark/>
          </w:tcPr>
          <w:p w14:paraId="113DC1DA" w14:textId="77777777" w:rsidR="00BC29D0" w:rsidRPr="00B83411" w:rsidRDefault="00BC29D0" w:rsidP="00CB0E46">
            <w:pPr>
              <w:keepNext/>
              <w:spacing w:before="60" w:after="60" w:line="240" w:lineRule="auto"/>
              <w:ind w:right="0"/>
              <w:jc w:val="center"/>
              <w:rPr>
                <w:rFonts w:eastAsia="Times New Roman" w:cs="Arial"/>
                <w:b/>
                <w:bCs/>
                <w:color w:val="FFFFFF"/>
                <w:lang w:eastAsia="en-AU"/>
              </w:rPr>
            </w:pPr>
            <w:r w:rsidRPr="00B83411">
              <w:rPr>
                <w:rFonts w:eastAsia="Times New Roman" w:cs="Arial"/>
                <w:b/>
                <w:bCs/>
                <w:color w:val="FFFFFF"/>
                <w:lang w:eastAsia="en-AU"/>
              </w:rPr>
              <w:t>OEI industry</w:t>
            </w:r>
          </w:p>
        </w:tc>
        <w:tc>
          <w:tcPr>
            <w:tcW w:w="1134" w:type="dxa"/>
            <w:shd w:val="clear" w:color="000000" w:fill="003366"/>
            <w:noWrap/>
            <w:vAlign w:val="center"/>
            <w:hideMark/>
          </w:tcPr>
          <w:p w14:paraId="09428557" w14:textId="77777777" w:rsidR="00BC29D0" w:rsidRPr="00B83411" w:rsidRDefault="00BC29D0" w:rsidP="00CB0E46">
            <w:pPr>
              <w:keepNext/>
              <w:spacing w:before="60" w:after="60" w:line="240" w:lineRule="auto"/>
              <w:ind w:right="0"/>
              <w:rPr>
                <w:rFonts w:eastAsia="Times New Roman" w:cs="Arial"/>
                <w:b/>
                <w:bCs/>
                <w:color w:val="FFFFFF"/>
                <w:lang w:eastAsia="en-AU"/>
              </w:rPr>
            </w:pPr>
            <w:r w:rsidRPr="00B83411">
              <w:rPr>
                <w:rFonts w:eastAsia="Times New Roman" w:cs="Arial"/>
                <w:b/>
                <w:bCs/>
                <w:color w:val="FFFFFF"/>
                <w:lang w:eastAsia="en-AU"/>
              </w:rPr>
              <w:t>Total</w:t>
            </w:r>
          </w:p>
        </w:tc>
      </w:tr>
      <w:tr w:rsidR="007000EA" w:rsidRPr="00B83411" w14:paraId="2CDE0F03" w14:textId="77777777">
        <w:trPr>
          <w:trHeight w:val="218"/>
        </w:trPr>
        <w:tc>
          <w:tcPr>
            <w:tcW w:w="4531" w:type="dxa"/>
            <w:noWrap/>
            <w:vAlign w:val="center"/>
            <w:hideMark/>
          </w:tcPr>
          <w:p w14:paraId="7B77BFC0"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Technical expertise of staff</w:t>
            </w:r>
          </w:p>
        </w:tc>
        <w:tc>
          <w:tcPr>
            <w:tcW w:w="1276" w:type="dxa"/>
            <w:noWrap/>
            <w:hideMark/>
          </w:tcPr>
          <w:p w14:paraId="3C0427C1" w14:textId="11CD65C1" w:rsidR="007000EA" w:rsidRPr="00B83411" w:rsidRDefault="007000EA" w:rsidP="007000EA">
            <w:pPr>
              <w:spacing w:before="60" w:after="60" w:line="240" w:lineRule="auto"/>
              <w:ind w:right="0"/>
              <w:jc w:val="center"/>
              <w:rPr>
                <w:rFonts w:eastAsia="Times New Roman" w:cs="Arial"/>
                <w:color w:val="000000"/>
                <w:lang w:eastAsia="en-AU"/>
              </w:rPr>
            </w:pPr>
            <w:r w:rsidRPr="00B83411">
              <w:t>98</w:t>
            </w:r>
          </w:p>
        </w:tc>
        <w:tc>
          <w:tcPr>
            <w:tcW w:w="1418" w:type="dxa"/>
            <w:noWrap/>
            <w:hideMark/>
          </w:tcPr>
          <w:p w14:paraId="0675EC76" w14:textId="1E896FDA" w:rsidR="007000EA" w:rsidRPr="00B83411" w:rsidRDefault="007000EA" w:rsidP="007000EA">
            <w:pPr>
              <w:spacing w:before="60" w:after="60" w:line="240" w:lineRule="auto"/>
              <w:ind w:right="0"/>
              <w:jc w:val="center"/>
              <w:rPr>
                <w:rFonts w:eastAsia="Times New Roman" w:cs="Arial"/>
                <w:color w:val="000000"/>
                <w:lang w:eastAsia="en-AU"/>
              </w:rPr>
            </w:pPr>
            <w:r w:rsidRPr="00B83411">
              <w:t>88</w:t>
            </w:r>
          </w:p>
        </w:tc>
        <w:tc>
          <w:tcPr>
            <w:tcW w:w="1134" w:type="dxa"/>
            <w:noWrap/>
            <w:hideMark/>
          </w:tcPr>
          <w:p w14:paraId="74FD1A12" w14:textId="78BE81A9" w:rsidR="007000EA" w:rsidRPr="00B83411" w:rsidRDefault="007000EA" w:rsidP="007000EA">
            <w:pPr>
              <w:spacing w:before="60" w:after="60" w:line="240" w:lineRule="auto"/>
              <w:ind w:right="0"/>
              <w:jc w:val="center"/>
              <w:rPr>
                <w:rFonts w:eastAsia="Times New Roman" w:cs="Arial"/>
                <w:color w:val="000000"/>
                <w:lang w:eastAsia="en-AU"/>
              </w:rPr>
            </w:pPr>
            <w:r w:rsidRPr="00B83411">
              <w:t>96</w:t>
            </w:r>
          </w:p>
        </w:tc>
      </w:tr>
      <w:tr w:rsidR="007000EA" w:rsidRPr="00B83411" w14:paraId="1E3303A8" w14:textId="77777777">
        <w:trPr>
          <w:trHeight w:val="300"/>
        </w:trPr>
        <w:tc>
          <w:tcPr>
            <w:tcW w:w="4531" w:type="dxa"/>
            <w:shd w:val="clear" w:color="auto" w:fill="D9D9D9" w:themeFill="background1" w:themeFillShade="D9"/>
            <w:noWrap/>
            <w:vAlign w:val="center"/>
            <w:hideMark/>
          </w:tcPr>
          <w:p w14:paraId="5F448FE2" w14:textId="759BD7E5"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Justification of its decisions made about offshore titles / licences</w:t>
            </w:r>
          </w:p>
        </w:tc>
        <w:tc>
          <w:tcPr>
            <w:tcW w:w="1276" w:type="dxa"/>
            <w:shd w:val="clear" w:color="auto" w:fill="D9D9D9" w:themeFill="background1" w:themeFillShade="D9"/>
            <w:noWrap/>
            <w:hideMark/>
          </w:tcPr>
          <w:p w14:paraId="6450B44E" w14:textId="5AB3896F" w:rsidR="007000EA" w:rsidRPr="00B83411" w:rsidRDefault="007000EA" w:rsidP="007000EA">
            <w:pPr>
              <w:spacing w:before="60" w:after="60" w:line="240" w:lineRule="auto"/>
              <w:ind w:right="0"/>
              <w:jc w:val="center"/>
              <w:rPr>
                <w:rFonts w:eastAsia="Times New Roman" w:cs="Arial"/>
                <w:color w:val="000000"/>
                <w:lang w:eastAsia="en-AU"/>
              </w:rPr>
            </w:pPr>
            <w:r w:rsidRPr="00B83411">
              <w:t>83</w:t>
            </w:r>
          </w:p>
        </w:tc>
        <w:tc>
          <w:tcPr>
            <w:tcW w:w="1418" w:type="dxa"/>
            <w:shd w:val="clear" w:color="auto" w:fill="92CDDC" w:themeFill="accent5" w:themeFillTint="99"/>
            <w:noWrap/>
            <w:hideMark/>
          </w:tcPr>
          <w:p w14:paraId="07220110" w14:textId="502FCFB6" w:rsidR="007000EA" w:rsidRPr="00B83411" w:rsidRDefault="007000EA" w:rsidP="007000EA">
            <w:pPr>
              <w:spacing w:before="60" w:after="60" w:line="240" w:lineRule="auto"/>
              <w:ind w:right="0"/>
              <w:jc w:val="center"/>
              <w:rPr>
                <w:rFonts w:eastAsia="Times New Roman" w:cs="Arial"/>
                <w:color w:val="000000"/>
                <w:lang w:eastAsia="en-AU"/>
              </w:rPr>
            </w:pPr>
            <w:r w:rsidRPr="00B83411">
              <w:t>60</w:t>
            </w:r>
          </w:p>
        </w:tc>
        <w:tc>
          <w:tcPr>
            <w:tcW w:w="1134" w:type="dxa"/>
            <w:shd w:val="clear" w:color="auto" w:fill="D9D9D9" w:themeFill="background1" w:themeFillShade="D9"/>
            <w:noWrap/>
            <w:hideMark/>
          </w:tcPr>
          <w:p w14:paraId="3E8F656E" w14:textId="229E1171" w:rsidR="007000EA" w:rsidRPr="00B83411" w:rsidRDefault="007000EA" w:rsidP="007000EA">
            <w:pPr>
              <w:spacing w:before="60" w:after="60" w:line="240" w:lineRule="auto"/>
              <w:ind w:right="0"/>
              <w:jc w:val="center"/>
              <w:rPr>
                <w:rFonts w:eastAsia="Times New Roman" w:cs="Arial"/>
                <w:color w:val="000000"/>
                <w:lang w:eastAsia="en-AU"/>
              </w:rPr>
            </w:pPr>
            <w:r w:rsidRPr="00B83411">
              <w:t>78</w:t>
            </w:r>
          </w:p>
        </w:tc>
      </w:tr>
      <w:tr w:rsidR="007000EA" w:rsidRPr="00B83411" w14:paraId="1DBD1450" w14:textId="77777777">
        <w:trPr>
          <w:trHeight w:val="600"/>
        </w:trPr>
        <w:tc>
          <w:tcPr>
            <w:tcW w:w="4531" w:type="dxa"/>
            <w:noWrap/>
            <w:vAlign w:val="center"/>
            <w:hideMark/>
          </w:tcPr>
          <w:p w14:paraId="47719BA6"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Consistency of its information </w:t>
            </w:r>
          </w:p>
        </w:tc>
        <w:tc>
          <w:tcPr>
            <w:tcW w:w="1276" w:type="dxa"/>
            <w:noWrap/>
            <w:hideMark/>
          </w:tcPr>
          <w:p w14:paraId="6C6D0A57" w14:textId="6CC9C67E" w:rsidR="007000EA" w:rsidRPr="00B83411" w:rsidRDefault="007000EA" w:rsidP="007000EA">
            <w:pPr>
              <w:spacing w:before="60" w:after="60" w:line="240" w:lineRule="auto"/>
              <w:ind w:right="0"/>
              <w:jc w:val="center"/>
              <w:rPr>
                <w:rFonts w:eastAsia="Times New Roman" w:cs="Arial"/>
                <w:color w:val="000000"/>
                <w:lang w:eastAsia="en-AU"/>
              </w:rPr>
            </w:pPr>
            <w:r w:rsidRPr="00B83411">
              <w:t>89</w:t>
            </w:r>
          </w:p>
        </w:tc>
        <w:tc>
          <w:tcPr>
            <w:tcW w:w="1418" w:type="dxa"/>
            <w:noWrap/>
            <w:hideMark/>
          </w:tcPr>
          <w:p w14:paraId="2E32A00C" w14:textId="4D03D8C7" w:rsidR="007000EA" w:rsidRPr="00B83411" w:rsidRDefault="007000EA" w:rsidP="007000EA">
            <w:pPr>
              <w:spacing w:before="60" w:after="60" w:line="240" w:lineRule="auto"/>
              <w:ind w:right="0"/>
              <w:jc w:val="center"/>
              <w:rPr>
                <w:rFonts w:eastAsia="Times New Roman" w:cs="Arial"/>
                <w:color w:val="000000"/>
                <w:lang w:eastAsia="en-AU"/>
              </w:rPr>
            </w:pPr>
            <w:r w:rsidRPr="00B83411">
              <w:t>100</w:t>
            </w:r>
          </w:p>
        </w:tc>
        <w:tc>
          <w:tcPr>
            <w:tcW w:w="1134" w:type="dxa"/>
            <w:noWrap/>
            <w:hideMark/>
          </w:tcPr>
          <w:p w14:paraId="6732AA53" w14:textId="440D2FBE" w:rsidR="007000EA" w:rsidRPr="00B83411" w:rsidRDefault="007000EA" w:rsidP="007000EA">
            <w:pPr>
              <w:spacing w:before="60" w:after="60" w:line="240" w:lineRule="auto"/>
              <w:ind w:right="0"/>
              <w:jc w:val="center"/>
              <w:rPr>
                <w:rFonts w:eastAsia="Times New Roman" w:cs="Arial"/>
                <w:color w:val="000000"/>
                <w:lang w:eastAsia="en-AU"/>
              </w:rPr>
            </w:pPr>
            <w:r w:rsidRPr="00B83411">
              <w:t>90</w:t>
            </w:r>
          </w:p>
        </w:tc>
      </w:tr>
      <w:tr w:rsidR="007000EA" w:rsidRPr="00B83411" w14:paraId="0E9C0B74" w14:textId="77777777">
        <w:trPr>
          <w:trHeight w:val="300"/>
        </w:trPr>
        <w:tc>
          <w:tcPr>
            <w:tcW w:w="4531" w:type="dxa"/>
            <w:shd w:val="clear" w:color="auto" w:fill="D9D9D9" w:themeFill="background1" w:themeFillShade="D9"/>
            <w:noWrap/>
            <w:vAlign w:val="center"/>
            <w:hideMark/>
          </w:tcPr>
          <w:p w14:paraId="60D8EF7B"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Balancing administrative and compliance effort with outcomes</w:t>
            </w:r>
          </w:p>
        </w:tc>
        <w:tc>
          <w:tcPr>
            <w:tcW w:w="1276" w:type="dxa"/>
            <w:shd w:val="clear" w:color="auto" w:fill="D9D9D9" w:themeFill="background1" w:themeFillShade="D9"/>
            <w:noWrap/>
            <w:hideMark/>
          </w:tcPr>
          <w:p w14:paraId="7D683585" w14:textId="54B7947C" w:rsidR="007000EA" w:rsidRPr="00B83411" w:rsidRDefault="007000EA" w:rsidP="007000EA">
            <w:pPr>
              <w:spacing w:before="60" w:after="60" w:line="240" w:lineRule="auto"/>
              <w:ind w:right="0"/>
              <w:jc w:val="center"/>
              <w:rPr>
                <w:rFonts w:eastAsia="Times New Roman" w:cs="Arial"/>
                <w:color w:val="000000"/>
                <w:lang w:eastAsia="en-AU"/>
              </w:rPr>
            </w:pPr>
            <w:r w:rsidRPr="00B83411">
              <w:t>73</w:t>
            </w:r>
          </w:p>
        </w:tc>
        <w:tc>
          <w:tcPr>
            <w:tcW w:w="1418" w:type="dxa"/>
            <w:shd w:val="clear" w:color="auto" w:fill="D9D9D9" w:themeFill="background1" w:themeFillShade="D9"/>
            <w:noWrap/>
            <w:hideMark/>
          </w:tcPr>
          <w:p w14:paraId="21DA287A" w14:textId="1988924D" w:rsidR="007000EA" w:rsidRPr="00B83411" w:rsidRDefault="007000EA" w:rsidP="007000EA">
            <w:pPr>
              <w:spacing w:before="60" w:after="60" w:line="240" w:lineRule="auto"/>
              <w:ind w:right="0"/>
              <w:jc w:val="center"/>
              <w:rPr>
                <w:rFonts w:eastAsia="Times New Roman" w:cs="Arial"/>
                <w:color w:val="000000"/>
                <w:lang w:eastAsia="en-AU"/>
              </w:rPr>
            </w:pPr>
            <w:r w:rsidRPr="00B83411">
              <w:t>82</w:t>
            </w:r>
          </w:p>
        </w:tc>
        <w:tc>
          <w:tcPr>
            <w:tcW w:w="1134" w:type="dxa"/>
            <w:shd w:val="clear" w:color="auto" w:fill="D9D9D9" w:themeFill="background1" w:themeFillShade="D9"/>
            <w:noWrap/>
            <w:hideMark/>
          </w:tcPr>
          <w:p w14:paraId="494F9F38" w14:textId="5CD617BA" w:rsidR="007000EA" w:rsidRPr="00B83411" w:rsidRDefault="007000EA" w:rsidP="007000EA">
            <w:pPr>
              <w:spacing w:before="60" w:after="60" w:line="240" w:lineRule="auto"/>
              <w:ind w:right="0"/>
              <w:jc w:val="center"/>
              <w:rPr>
                <w:rFonts w:eastAsia="Times New Roman" w:cs="Arial"/>
                <w:color w:val="000000"/>
                <w:lang w:eastAsia="en-AU"/>
              </w:rPr>
            </w:pPr>
            <w:r w:rsidRPr="00B83411">
              <w:t>75</w:t>
            </w:r>
          </w:p>
        </w:tc>
      </w:tr>
      <w:tr w:rsidR="007000EA" w:rsidRPr="00B83411" w14:paraId="2A9EE514" w14:textId="77777777">
        <w:trPr>
          <w:trHeight w:val="300"/>
        </w:trPr>
        <w:tc>
          <w:tcPr>
            <w:tcW w:w="4531" w:type="dxa"/>
            <w:tcBorders>
              <w:bottom w:val="single" w:sz="4" w:space="0" w:color="auto"/>
            </w:tcBorders>
            <w:noWrap/>
            <w:vAlign w:val="center"/>
            <w:hideMark/>
          </w:tcPr>
          <w:p w14:paraId="1919D322" w14:textId="77777777" w:rsidR="007000EA" w:rsidRPr="00B83411" w:rsidRDefault="007000EA" w:rsidP="007000EA">
            <w:pPr>
              <w:spacing w:before="60" w:after="60" w:line="240" w:lineRule="auto"/>
              <w:ind w:right="0"/>
              <w:rPr>
                <w:rFonts w:eastAsia="Times New Roman" w:cs="Arial"/>
                <w:color w:val="000000"/>
                <w:lang w:eastAsia="en-AU"/>
              </w:rPr>
            </w:pPr>
            <w:r w:rsidRPr="00B83411">
              <w:rPr>
                <w:rFonts w:eastAsia="Times New Roman" w:cs="Arial"/>
                <w:color w:val="000000"/>
                <w:lang w:eastAsia="en-AU"/>
              </w:rPr>
              <w:t>Encouraging voluntary administrative compliance</w:t>
            </w:r>
          </w:p>
        </w:tc>
        <w:tc>
          <w:tcPr>
            <w:tcW w:w="1276" w:type="dxa"/>
            <w:tcBorders>
              <w:bottom w:val="single" w:sz="4" w:space="0" w:color="auto"/>
            </w:tcBorders>
            <w:noWrap/>
            <w:hideMark/>
          </w:tcPr>
          <w:p w14:paraId="0EC5711B" w14:textId="2519BC26" w:rsidR="007000EA" w:rsidRPr="00B83411" w:rsidRDefault="007000EA" w:rsidP="007000EA">
            <w:pPr>
              <w:spacing w:before="60" w:after="60" w:line="240" w:lineRule="auto"/>
              <w:ind w:right="0"/>
              <w:jc w:val="center"/>
              <w:rPr>
                <w:rFonts w:eastAsia="Times New Roman" w:cs="Arial"/>
                <w:color w:val="000000"/>
                <w:lang w:eastAsia="en-AU"/>
              </w:rPr>
            </w:pPr>
            <w:r w:rsidRPr="00B83411">
              <w:t>91</w:t>
            </w:r>
          </w:p>
        </w:tc>
        <w:tc>
          <w:tcPr>
            <w:tcW w:w="1418" w:type="dxa"/>
            <w:tcBorders>
              <w:bottom w:val="single" w:sz="4" w:space="0" w:color="auto"/>
            </w:tcBorders>
            <w:shd w:val="clear" w:color="auto" w:fill="92CDDC" w:themeFill="accent5" w:themeFillTint="99"/>
            <w:noWrap/>
            <w:hideMark/>
          </w:tcPr>
          <w:p w14:paraId="4790E3A9" w14:textId="131DADCD" w:rsidR="007000EA" w:rsidRPr="00B83411" w:rsidRDefault="007000EA" w:rsidP="007000EA">
            <w:pPr>
              <w:spacing w:before="60" w:after="60" w:line="240" w:lineRule="auto"/>
              <w:ind w:right="0"/>
              <w:jc w:val="center"/>
              <w:rPr>
                <w:rFonts w:eastAsia="Times New Roman" w:cs="Arial"/>
                <w:color w:val="000000"/>
                <w:lang w:eastAsia="en-AU"/>
              </w:rPr>
            </w:pPr>
            <w:r w:rsidRPr="00B83411">
              <w:t>70</w:t>
            </w:r>
          </w:p>
        </w:tc>
        <w:tc>
          <w:tcPr>
            <w:tcW w:w="1134" w:type="dxa"/>
            <w:tcBorders>
              <w:bottom w:val="single" w:sz="4" w:space="0" w:color="auto"/>
            </w:tcBorders>
            <w:noWrap/>
            <w:hideMark/>
          </w:tcPr>
          <w:p w14:paraId="1C7AB5D8" w14:textId="6CF56C62" w:rsidR="007000EA" w:rsidRPr="00B83411" w:rsidRDefault="007000EA" w:rsidP="007000EA">
            <w:pPr>
              <w:spacing w:before="60" w:after="60" w:line="240" w:lineRule="auto"/>
              <w:ind w:right="0"/>
              <w:jc w:val="center"/>
              <w:rPr>
                <w:rFonts w:eastAsia="Times New Roman" w:cs="Arial"/>
                <w:color w:val="000000"/>
                <w:lang w:eastAsia="en-AU"/>
              </w:rPr>
            </w:pPr>
            <w:r w:rsidRPr="00B83411">
              <w:t>87</w:t>
            </w:r>
          </w:p>
        </w:tc>
      </w:tr>
    </w:tbl>
    <w:p w14:paraId="2A89E9C0" w14:textId="77777777" w:rsidR="00BC29D0" w:rsidRPr="00B83411" w:rsidRDefault="00BC29D0" w:rsidP="007D2133">
      <w:pPr>
        <w:rPr>
          <w:lang w:eastAsia="en-AU"/>
        </w:rPr>
      </w:pPr>
    </w:p>
    <w:p w14:paraId="7C4E4801" w14:textId="77777777" w:rsidR="006B7D34" w:rsidRPr="00B83411" w:rsidRDefault="006B7D34">
      <w:pPr>
        <w:spacing w:before="0" w:line="240" w:lineRule="auto"/>
        <w:ind w:right="0"/>
        <w:rPr>
          <w:b/>
          <w:color w:val="00376E"/>
          <w:kern w:val="32"/>
          <w:sz w:val="36"/>
          <w:szCs w:val="18"/>
          <w:lang w:eastAsia="en-AU"/>
        </w:rPr>
      </w:pPr>
      <w:r w:rsidRPr="00B83411">
        <w:rPr>
          <w:lang w:eastAsia="en-AU"/>
        </w:rPr>
        <w:br w:type="page"/>
      </w:r>
    </w:p>
    <w:p w14:paraId="7DE0D4C2" w14:textId="749B13AA" w:rsidR="007D2133" w:rsidRPr="00B83411" w:rsidRDefault="007D2133" w:rsidP="007D2133">
      <w:pPr>
        <w:pStyle w:val="Heading1"/>
        <w:rPr>
          <w:lang w:eastAsia="en-AU"/>
        </w:rPr>
      </w:pPr>
      <w:bookmarkStart w:id="40" w:name="_Toc213926359"/>
      <w:r w:rsidRPr="00B83411">
        <w:rPr>
          <w:lang w:eastAsia="en-AU"/>
        </w:rPr>
        <w:t>Results by APS values</w:t>
      </w:r>
      <w:bookmarkEnd w:id="40"/>
    </w:p>
    <w:p w14:paraId="68F03E80" w14:textId="2B460F01" w:rsidR="0069586D" w:rsidRPr="00B83411" w:rsidRDefault="007D2133" w:rsidP="00605483">
      <w:pPr>
        <w:spacing w:after="120"/>
      </w:pPr>
      <w:r w:rsidRPr="00B83411">
        <w:t>This section show</w:t>
      </w:r>
      <w:r w:rsidR="0069586D" w:rsidRPr="00B83411">
        <w:t>s</w:t>
      </w:r>
      <w:r w:rsidRPr="00B83411">
        <w:t xml:space="preserve"> results </w:t>
      </w:r>
      <w:r w:rsidR="0069586D" w:rsidRPr="00B83411">
        <w:t xml:space="preserve">for key items that were included in the questionnaire in order to generate an APS value score and </w:t>
      </w:r>
      <w:r w:rsidR="00605483" w:rsidRPr="00B83411">
        <w:t xml:space="preserve">that was </w:t>
      </w:r>
      <w:r w:rsidR="0069586D" w:rsidRPr="00B83411">
        <w:t xml:space="preserve">aligned with the survey instrument </w:t>
      </w:r>
      <w:r w:rsidR="00605483" w:rsidRPr="00B83411">
        <w:t xml:space="preserve">used in the </w:t>
      </w:r>
      <w:r w:rsidR="0069586D" w:rsidRPr="00B83411">
        <w:rPr>
          <w:i/>
          <w:iCs/>
        </w:rPr>
        <w:t xml:space="preserve">Trust in </w:t>
      </w:r>
      <w:r w:rsidR="00605483" w:rsidRPr="00B83411">
        <w:rPr>
          <w:i/>
          <w:iCs/>
        </w:rPr>
        <w:t>Australian</w:t>
      </w:r>
      <w:r w:rsidR="0069586D" w:rsidRPr="00B83411">
        <w:rPr>
          <w:i/>
          <w:iCs/>
        </w:rPr>
        <w:t xml:space="preserve"> Public Services</w:t>
      </w:r>
      <w:r w:rsidR="00605483" w:rsidRPr="00B83411">
        <w:rPr>
          <w:i/>
          <w:iCs/>
        </w:rPr>
        <w:t xml:space="preserve"> Survey</w:t>
      </w:r>
      <w:r w:rsidR="00605483" w:rsidRPr="00B83411">
        <w:t xml:space="preserve"> for 2022-23</w:t>
      </w:r>
      <w:r w:rsidR="00605483" w:rsidRPr="00B83411">
        <w:rPr>
          <w:rStyle w:val="FootnoteReference"/>
        </w:rPr>
        <w:footnoteReference w:id="1"/>
      </w:r>
      <w:r w:rsidR="00605483" w:rsidRPr="00B83411">
        <w:t>.</w:t>
      </w:r>
    </w:p>
    <w:p w14:paraId="6420AA9F" w14:textId="69594BE8" w:rsidR="00605483" w:rsidRPr="00B83411" w:rsidRDefault="00605483" w:rsidP="00605483">
      <w:pPr>
        <w:spacing w:after="240"/>
      </w:pPr>
      <w:r w:rsidRPr="00B83411">
        <w:t xml:space="preserve">All APS values scored above 80% positive with the values of </w:t>
      </w:r>
      <w:r w:rsidRPr="00B83411">
        <w:rPr>
          <w:i/>
          <w:iCs/>
        </w:rPr>
        <w:t>Integrity</w:t>
      </w:r>
      <w:r w:rsidRPr="00B83411">
        <w:t xml:space="preserve"> and </w:t>
      </w:r>
      <w:r w:rsidRPr="00B83411">
        <w:rPr>
          <w:i/>
          <w:iCs/>
        </w:rPr>
        <w:t>Fairness</w:t>
      </w:r>
      <w:r w:rsidRPr="00B83411">
        <w:t xml:space="preserve"> scoring highest.</w:t>
      </w:r>
    </w:p>
    <w:p w14:paraId="760840A1" w14:textId="5EB2E0BB" w:rsidR="0069586D" w:rsidRPr="00B83411" w:rsidRDefault="0069586D" w:rsidP="0069586D">
      <w:pPr>
        <w:pStyle w:val="Caption"/>
      </w:pPr>
      <w:r w:rsidRPr="00B83411">
        <w:t xml:space="preserve">Table </w:t>
      </w:r>
      <w:r w:rsidR="00C32D47">
        <w:fldChar w:fldCharType="begin"/>
      </w:r>
      <w:r w:rsidR="00C32D47">
        <w:instrText xml:space="preserve"> SEQ Table \* ARABIC </w:instrText>
      </w:r>
      <w:r w:rsidR="00C32D47">
        <w:fldChar w:fldCharType="separate"/>
      </w:r>
      <w:r w:rsidR="00C350E2">
        <w:rPr>
          <w:noProof/>
        </w:rPr>
        <w:t>19</w:t>
      </w:r>
      <w:r w:rsidR="00C32D47">
        <w:fldChar w:fldCharType="end"/>
      </w:r>
      <w:r w:rsidRPr="00B83411">
        <w:t>: Items and associated APS value</w:t>
      </w:r>
    </w:p>
    <w:tbl>
      <w:tblPr>
        <w:tblW w:w="8574" w:type="dxa"/>
        <w:tblLook w:val="04A0" w:firstRow="1" w:lastRow="0" w:firstColumn="1" w:lastColumn="0" w:noHBand="0" w:noVBand="1"/>
      </w:tblPr>
      <w:tblGrid>
        <w:gridCol w:w="4395"/>
        <w:gridCol w:w="1787"/>
        <w:gridCol w:w="1379"/>
        <w:gridCol w:w="1013"/>
      </w:tblGrid>
      <w:tr w:rsidR="0069586D" w:rsidRPr="00B83411" w14:paraId="2E99385F" w14:textId="77777777" w:rsidTr="00605483">
        <w:trPr>
          <w:trHeight w:val="1020"/>
        </w:trPr>
        <w:tc>
          <w:tcPr>
            <w:tcW w:w="4395" w:type="dxa"/>
            <w:tcBorders>
              <w:top w:val="nil"/>
              <w:left w:val="nil"/>
              <w:bottom w:val="nil"/>
              <w:right w:val="nil"/>
            </w:tcBorders>
            <w:shd w:val="clear" w:color="auto" w:fill="003366"/>
            <w:noWrap/>
            <w:vAlign w:val="center"/>
            <w:hideMark/>
          </w:tcPr>
          <w:p w14:paraId="57446C73" w14:textId="77777777" w:rsidR="0069586D" w:rsidRPr="00B83411" w:rsidRDefault="0069586D" w:rsidP="0069586D">
            <w:pPr>
              <w:spacing w:before="60" w:after="60" w:line="240" w:lineRule="auto"/>
              <w:ind w:right="0"/>
              <w:rPr>
                <w:rFonts w:eastAsia="Times New Roman" w:cs="Arial"/>
                <w:b/>
                <w:bCs/>
                <w:sz w:val="22"/>
                <w:szCs w:val="22"/>
                <w:lang w:eastAsia="en-AU"/>
              </w:rPr>
            </w:pPr>
            <w:r w:rsidRPr="00B83411">
              <w:rPr>
                <w:rFonts w:eastAsia="Times New Roman" w:cs="Arial"/>
                <w:b/>
                <w:bCs/>
                <w:sz w:val="22"/>
                <w:szCs w:val="22"/>
                <w:lang w:eastAsia="en-AU"/>
              </w:rPr>
              <w:t>Survey item/s</w:t>
            </w:r>
          </w:p>
        </w:tc>
        <w:tc>
          <w:tcPr>
            <w:tcW w:w="1787" w:type="dxa"/>
            <w:tcBorders>
              <w:top w:val="nil"/>
              <w:left w:val="nil"/>
              <w:bottom w:val="nil"/>
              <w:right w:val="nil"/>
            </w:tcBorders>
            <w:shd w:val="clear" w:color="auto" w:fill="003366"/>
            <w:noWrap/>
            <w:vAlign w:val="center"/>
            <w:hideMark/>
          </w:tcPr>
          <w:p w14:paraId="77015942" w14:textId="62982F87" w:rsidR="0069586D" w:rsidRPr="00B83411" w:rsidRDefault="0069586D" w:rsidP="0069586D">
            <w:pPr>
              <w:spacing w:before="60" w:after="60" w:line="240" w:lineRule="auto"/>
              <w:ind w:right="0"/>
              <w:rPr>
                <w:rFonts w:eastAsia="Times New Roman" w:cs="Arial"/>
                <w:b/>
                <w:bCs/>
                <w:sz w:val="22"/>
                <w:szCs w:val="22"/>
                <w:lang w:eastAsia="en-AU"/>
              </w:rPr>
            </w:pPr>
            <w:r w:rsidRPr="00B83411">
              <w:rPr>
                <w:rFonts w:eastAsia="Times New Roman" w:cs="Arial"/>
                <w:b/>
                <w:bCs/>
                <w:sz w:val="22"/>
                <w:szCs w:val="22"/>
                <w:lang w:eastAsia="en-AU"/>
              </w:rPr>
              <w:t>APS value</w:t>
            </w:r>
          </w:p>
        </w:tc>
        <w:tc>
          <w:tcPr>
            <w:tcW w:w="1379" w:type="dxa"/>
            <w:tcBorders>
              <w:top w:val="nil"/>
              <w:left w:val="nil"/>
              <w:bottom w:val="nil"/>
              <w:right w:val="nil"/>
            </w:tcBorders>
            <w:shd w:val="clear" w:color="auto" w:fill="003366"/>
            <w:vAlign w:val="center"/>
            <w:hideMark/>
          </w:tcPr>
          <w:p w14:paraId="09CA1EE2" w14:textId="77777777" w:rsidR="0069586D" w:rsidRPr="00B83411" w:rsidRDefault="0069586D" w:rsidP="0069586D">
            <w:pPr>
              <w:spacing w:before="60" w:after="60" w:line="240" w:lineRule="auto"/>
              <w:ind w:right="0"/>
              <w:jc w:val="center"/>
              <w:rPr>
                <w:rFonts w:eastAsia="Times New Roman" w:cs="Arial"/>
                <w:b/>
                <w:bCs/>
                <w:lang w:eastAsia="en-AU"/>
              </w:rPr>
            </w:pPr>
            <w:r w:rsidRPr="00B83411">
              <w:rPr>
                <w:rFonts w:eastAsia="Times New Roman" w:cs="Arial"/>
                <w:b/>
                <w:bCs/>
                <w:lang w:eastAsia="en-AU"/>
              </w:rPr>
              <w:t>Average %pos score for contributing items</w:t>
            </w:r>
          </w:p>
        </w:tc>
        <w:tc>
          <w:tcPr>
            <w:tcW w:w="1013" w:type="dxa"/>
            <w:tcBorders>
              <w:top w:val="nil"/>
              <w:left w:val="nil"/>
              <w:bottom w:val="nil"/>
              <w:right w:val="nil"/>
            </w:tcBorders>
            <w:shd w:val="clear" w:color="auto" w:fill="003366"/>
            <w:vAlign w:val="center"/>
            <w:hideMark/>
          </w:tcPr>
          <w:p w14:paraId="2A0F78C7" w14:textId="77777777" w:rsidR="0069586D" w:rsidRPr="00B83411" w:rsidRDefault="0069586D" w:rsidP="0069586D">
            <w:pPr>
              <w:spacing w:before="60" w:after="60" w:line="240" w:lineRule="auto"/>
              <w:ind w:right="0"/>
              <w:jc w:val="center"/>
              <w:rPr>
                <w:rFonts w:eastAsia="Times New Roman" w:cs="Arial"/>
                <w:b/>
                <w:bCs/>
                <w:lang w:eastAsia="en-AU"/>
              </w:rPr>
            </w:pPr>
            <w:r w:rsidRPr="00B83411">
              <w:rPr>
                <w:rFonts w:eastAsia="Times New Roman" w:cs="Arial"/>
                <w:b/>
                <w:bCs/>
                <w:lang w:eastAsia="en-AU"/>
              </w:rPr>
              <w:t>Average % pos score for value</w:t>
            </w:r>
          </w:p>
        </w:tc>
      </w:tr>
      <w:tr w:rsidR="0069586D" w:rsidRPr="00B83411" w14:paraId="19B0D80B" w14:textId="77777777" w:rsidTr="00605483">
        <w:trPr>
          <w:trHeight w:val="255"/>
        </w:trPr>
        <w:tc>
          <w:tcPr>
            <w:tcW w:w="4395" w:type="dxa"/>
            <w:tcBorders>
              <w:top w:val="nil"/>
              <w:left w:val="nil"/>
              <w:right w:val="nil"/>
            </w:tcBorders>
            <w:noWrap/>
            <w:vAlign w:val="bottom"/>
            <w:hideMark/>
          </w:tcPr>
          <w:p w14:paraId="47145254"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Consistency of information / advice</w:t>
            </w:r>
          </w:p>
        </w:tc>
        <w:tc>
          <w:tcPr>
            <w:tcW w:w="1787" w:type="dxa"/>
            <w:tcBorders>
              <w:top w:val="nil"/>
              <w:left w:val="nil"/>
              <w:right w:val="nil"/>
            </w:tcBorders>
            <w:noWrap/>
            <w:vAlign w:val="bottom"/>
            <w:hideMark/>
          </w:tcPr>
          <w:p w14:paraId="71A734BB"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Fair</w:t>
            </w:r>
          </w:p>
        </w:tc>
        <w:tc>
          <w:tcPr>
            <w:tcW w:w="1379" w:type="dxa"/>
            <w:tcBorders>
              <w:top w:val="nil"/>
              <w:left w:val="nil"/>
              <w:right w:val="nil"/>
            </w:tcBorders>
            <w:vAlign w:val="bottom"/>
            <w:hideMark/>
          </w:tcPr>
          <w:p w14:paraId="369EF06E"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95</w:t>
            </w:r>
          </w:p>
        </w:tc>
        <w:tc>
          <w:tcPr>
            <w:tcW w:w="1013" w:type="dxa"/>
            <w:vMerge w:val="restart"/>
            <w:tcBorders>
              <w:top w:val="nil"/>
              <w:left w:val="nil"/>
              <w:right w:val="nil"/>
            </w:tcBorders>
            <w:noWrap/>
            <w:vAlign w:val="center"/>
            <w:hideMark/>
          </w:tcPr>
          <w:p w14:paraId="0A7A879A"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91</w:t>
            </w:r>
          </w:p>
        </w:tc>
      </w:tr>
      <w:tr w:rsidR="0069586D" w:rsidRPr="00B83411" w14:paraId="27F68CEB" w14:textId="77777777" w:rsidTr="00605483">
        <w:trPr>
          <w:trHeight w:val="255"/>
        </w:trPr>
        <w:tc>
          <w:tcPr>
            <w:tcW w:w="4395" w:type="dxa"/>
            <w:tcBorders>
              <w:top w:val="nil"/>
              <w:left w:val="nil"/>
              <w:bottom w:val="single" w:sz="4" w:space="0" w:color="auto"/>
              <w:right w:val="nil"/>
            </w:tcBorders>
            <w:noWrap/>
            <w:vAlign w:val="bottom"/>
            <w:hideMark/>
          </w:tcPr>
          <w:p w14:paraId="305CE135"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Minimising administrative burden</w:t>
            </w:r>
          </w:p>
        </w:tc>
        <w:tc>
          <w:tcPr>
            <w:tcW w:w="1787" w:type="dxa"/>
            <w:tcBorders>
              <w:top w:val="nil"/>
              <w:left w:val="nil"/>
              <w:bottom w:val="single" w:sz="4" w:space="0" w:color="auto"/>
              <w:right w:val="nil"/>
            </w:tcBorders>
            <w:noWrap/>
            <w:vAlign w:val="bottom"/>
            <w:hideMark/>
          </w:tcPr>
          <w:p w14:paraId="76388578"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Fair</w:t>
            </w:r>
          </w:p>
        </w:tc>
        <w:tc>
          <w:tcPr>
            <w:tcW w:w="1379" w:type="dxa"/>
            <w:tcBorders>
              <w:top w:val="nil"/>
              <w:left w:val="nil"/>
              <w:bottom w:val="single" w:sz="4" w:space="0" w:color="auto"/>
              <w:right w:val="nil"/>
            </w:tcBorders>
            <w:vAlign w:val="bottom"/>
            <w:hideMark/>
          </w:tcPr>
          <w:p w14:paraId="716536EA"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87</w:t>
            </w:r>
          </w:p>
        </w:tc>
        <w:tc>
          <w:tcPr>
            <w:tcW w:w="1013" w:type="dxa"/>
            <w:vMerge/>
            <w:tcBorders>
              <w:left w:val="nil"/>
              <w:bottom w:val="single" w:sz="4" w:space="0" w:color="auto"/>
              <w:right w:val="nil"/>
            </w:tcBorders>
            <w:noWrap/>
            <w:vAlign w:val="bottom"/>
            <w:hideMark/>
          </w:tcPr>
          <w:p w14:paraId="52F8A59E" w14:textId="77777777" w:rsidR="0069586D" w:rsidRPr="00B83411" w:rsidRDefault="0069586D" w:rsidP="0069586D">
            <w:pPr>
              <w:spacing w:before="60" w:after="60" w:line="240" w:lineRule="auto"/>
              <w:ind w:right="0"/>
              <w:jc w:val="center"/>
              <w:rPr>
                <w:rFonts w:eastAsia="Times New Roman" w:cs="Arial"/>
                <w:lang w:eastAsia="en-AU"/>
              </w:rPr>
            </w:pPr>
          </w:p>
        </w:tc>
      </w:tr>
      <w:tr w:rsidR="0069586D" w:rsidRPr="00B83411" w14:paraId="218C33A8" w14:textId="77777777" w:rsidTr="00605483">
        <w:trPr>
          <w:trHeight w:val="255"/>
        </w:trPr>
        <w:tc>
          <w:tcPr>
            <w:tcW w:w="4395" w:type="dxa"/>
            <w:tcBorders>
              <w:top w:val="single" w:sz="4" w:space="0" w:color="auto"/>
              <w:left w:val="nil"/>
              <w:right w:val="nil"/>
            </w:tcBorders>
            <w:shd w:val="clear" w:color="auto" w:fill="D9D9D9" w:themeFill="background1" w:themeFillShade="D9"/>
            <w:noWrap/>
            <w:vAlign w:val="bottom"/>
            <w:hideMark/>
          </w:tcPr>
          <w:p w14:paraId="3888EA24"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 xml:space="preserve">Supporting the responsible use of Australia’s offshore energy resources </w:t>
            </w:r>
          </w:p>
        </w:tc>
        <w:tc>
          <w:tcPr>
            <w:tcW w:w="1787" w:type="dxa"/>
            <w:tcBorders>
              <w:top w:val="single" w:sz="4" w:space="0" w:color="auto"/>
              <w:left w:val="nil"/>
              <w:right w:val="nil"/>
            </w:tcBorders>
            <w:shd w:val="clear" w:color="auto" w:fill="D9D9D9" w:themeFill="background1" w:themeFillShade="D9"/>
            <w:noWrap/>
            <w:vAlign w:val="center"/>
            <w:hideMark/>
          </w:tcPr>
          <w:p w14:paraId="778B2797" w14:textId="77777777" w:rsidR="0069586D" w:rsidRPr="00B83411" w:rsidRDefault="0069586D" w:rsidP="00605483">
            <w:pPr>
              <w:spacing w:before="60" w:after="60" w:line="240" w:lineRule="auto"/>
              <w:ind w:right="0"/>
              <w:rPr>
                <w:rFonts w:eastAsia="Times New Roman" w:cs="Arial"/>
                <w:lang w:eastAsia="en-AU"/>
              </w:rPr>
            </w:pPr>
            <w:r w:rsidRPr="00B83411">
              <w:rPr>
                <w:rFonts w:eastAsia="Times New Roman" w:cs="Arial"/>
                <w:lang w:eastAsia="en-AU"/>
              </w:rPr>
              <w:t>Integrity</w:t>
            </w:r>
          </w:p>
        </w:tc>
        <w:tc>
          <w:tcPr>
            <w:tcW w:w="1379" w:type="dxa"/>
            <w:tcBorders>
              <w:top w:val="single" w:sz="4" w:space="0" w:color="auto"/>
              <w:left w:val="nil"/>
              <w:right w:val="nil"/>
            </w:tcBorders>
            <w:shd w:val="clear" w:color="auto" w:fill="D9D9D9" w:themeFill="background1" w:themeFillShade="D9"/>
            <w:vAlign w:val="center"/>
            <w:hideMark/>
          </w:tcPr>
          <w:p w14:paraId="307AB4C2" w14:textId="77777777" w:rsidR="0069586D" w:rsidRPr="00B83411" w:rsidRDefault="0069586D" w:rsidP="00605483">
            <w:pPr>
              <w:spacing w:before="60" w:after="60" w:line="240" w:lineRule="auto"/>
              <w:ind w:right="0"/>
              <w:jc w:val="center"/>
              <w:rPr>
                <w:rFonts w:eastAsia="Times New Roman" w:cs="Arial"/>
                <w:lang w:eastAsia="en-AU"/>
              </w:rPr>
            </w:pPr>
            <w:r w:rsidRPr="00B83411">
              <w:rPr>
                <w:rFonts w:eastAsia="Times New Roman" w:cs="Arial"/>
                <w:lang w:eastAsia="en-AU"/>
              </w:rPr>
              <w:t>88</w:t>
            </w:r>
          </w:p>
        </w:tc>
        <w:tc>
          <w:tcPr>
            <w:tcW w:w="1013" w:type="dxa"/>
            <w:vMerge w:val="restart"/>
            <w:tcBorders>
              <w:top w:val="single" w:sz="4" w:space="0" w:color="auto"/>
              <w:left w:val="nil"/>
              <w:right w:val="nil"/>
            </w:tcBorders>
            <w:shd w:val="clear" w:color="auto" w:fill="D9D9D9" w:themeFill="background1" w:themeFillShade="D9"/>
            <w:noWrap/>
            <w:vAlign w:val="center"/>
            <w:hideMark/>
          </w:tcPr>
          <w:p w14:paraId="6E753557"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94</w:t>
            </w:r>
          </w:p>
        </w:tc>
      </w:tr>
      <w:tr w:rsidR="0069586D" w:rsidRPr="00B83411" w14:paraId="04B232C2" w14:textId="77777777" w:rsidTr="00605483">
        <w:trPr>
          <w:trHeight w:val="255"/>
        </w:trPr>
        <w:tc>
          <w:tcPr>
            <w:tcW w:w="4395" w:type="dxa"/>
            <w:tcBorders>
              <w:top w:val="nil"/>
              <w:left w:val="nil"/>
              <w:bottom w:val="single" w:sz="4" w:space="0" w:color="auto"/>
              <w:right w:val="nil"/>
            </w:tcBorders>
            <w:shd w:val="clear" w:color="auto" w:fill="D9D9D9" w:themeFill="background1" w:themeFillShade="D9"/>
            <w:noWrap/>
            <w:vAlign w:val="bottom"/>
            <w:hideMark/>
          </w:tcPr>
          <w:p w14:paraId="1AA680FC" w14:textId="4DCC6264"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Behaves ethically</w:t>
            </w:r>
          </w:p>
        </w:tc>
        <w:tc>
          <w:tcPr>
            <w:tcW w:w="1787" w:type="dxa"/>
            <w:tcBorders>
              <w:top w:val="nil"/>
              <w:left w:val="nil"/>
              <w:bottom w:val="single" w:sz="4" w:space="0" w:color="auto"/>
              <w:right w:val="nil"/>
            </w:tcBorders>
            <w:shd w:val="clear" w:color="auto" w:fill="D9D9D9" w:themeFill="background1" w:themeFillShade="D9"/>
            <w:noWrap/>
            <w:vAlign w:val="center"/>
            <w:hideMark/>
          </w:tcPr>
          <w:p w14:paraId="00AF0BEF" w14:textId="77777777" w:rsidR="0069586D" w:rsidRPr="00B83411" w:rsidRDefault="0069586D" w:rsidP="00605483">
            <w:pPr>
              <w:spacing w:before="60" w:after="60" w:line="240" w:lineRule="auto"/>
              <w:ind w:right="0"/>
              <w:rPr>
                <w:rFonts w:eastAsia="Times New Roman" w:cs="Arial"/>
                <w:lang w:eastAsia="en-AU"/>
              </w:rPr>
            </w:pPr>
            <w:r w:rsidRPr="00B83411">
              <w:rPr>
                <w:rFonts w:eastAsia="Times New Roman" w:cs="Arial"/>
                <w:lang w:eastAsia="en-AU"/>
              </w:rPr>
              <w:t>Integrity</w:t>
            </w:r>
          </w:p>
        </w:tc>
        <w:tc>
          <w:tcPr>
            <w:tcW w:w="1379" w:type="dxa"/>
            <w:tcBorders>
              <w:top w:val="nil"/>
              <w:left w:val="nil"/>
              <w:bottom w:val="single" w:sz="4" w:space="0" w:color="auto"/>
              <w:right w:val="nil"/>
            </w:tcBorders>
            <w:shd w:val="clear" w:color="auto" w:fill="D9D9D9" w:themeFill="background1" w:themeFillShade="D9"/>
            <w:vAlign w:val="center"/>
            <w:hideMark/>
          </w:tcPr>
          <w:p w14:paraId="56696EC5" w14:textId="77777777" w:rsidR="0069586D" w:rsidRPr="00B83411" w:rsidRDefault="0069586D" w:rsidP="00605483">
            <w:pPr>
              <w:spacing w:before="60" w:after="60" w:line="240" w:lineRule="auto"/>
              <w:ind w:right="0"/>
              <w:jc w:val="center"/>
              <w:rPr>
                <w:rFonts w:eastAsia="Times New Roman" w:cs="Arial"/>
                <w:lang w:eastAsia="en-AU"/>
              </w:rPr>
            </w:pPr>
            <w:r w:rsidRPr="00B83411">
              <w:rPr>
                <w:rFonts w:eastAsia="Times New Roman" w:cs="Arial"/>
                <w:lang w:eastAsia="en-AU"/>
              </w:rPr>
              <w:t>100</w:t>
            </w:r>
          </w:p>
        </w:tc>
        <w:tc>
          <w:tcPr>
            <w:tcW w:w="1013" w:type="dxa"/>
            <w:vMerge/>
            <w:tcBorders>
              <w:left w:val="nil"/>
              <w:bottom w:val="single" w:sz="4" w:space="0" w:color="auto"/>
              <w:right w:val="nil"/>
            </w:tcBorders>
            <w:shd w:val="clear" w:color="auto" w:fill="D9D9D9" w:themeFill="background1" w:themeFillShade="D9"/>
            <w:noWrap/>
            <w:vAlign w:val="bottom"/>
            <w:hideMark/>
          </w:tcPr>
          <w:p w14:paraId="25CB5615" w14:textId="77777777" w:rsidR="0069586D" w:rsidRPr="00B83411" w:rsidRDefault="0069586D" w:rsidP="0069586D">
            <w:pPr>
              <w:spacing w:before="60" w:after="60" w:line="240" w:lineRule="auto"/>
              <w:ind w:right="0"/>
              <w:jc w:val="center"/>
              <w:rPr>
                <w:rFonts w:eastAsia="Times New Roman" w:cs="Arial"/>
                <w:lang w:eastAsia="en-AU"/>
              </w:rPr>
            </w:pPr>
          </w:p>
        </w:tc>
      </w:tr>
      <w:tr w:rsidR="0069586D" w:rsidRPr="00B83411" w14:paraId="69F39D7A" w14:textId="77777777" w:rsidTr="00605483">
        <w:trPr>
          <w:trHeight w:val="255"/>
        </w:trPr>
        <w:tc>
          <w:tcPr>
            <w:tcW w:w="4395" w:type="dxa"/>
            <w:tcBorders>
              <w:top w:val="single" w:sz="4" w:space="0" w:color="auto"/>
              <w:left w:val="nil"/>
              <w:right w:val="nil"/>
            </w:tcBorders>
            <w:noWrap/>
            <w:vAlign w:val="bottom"/>
            <w:hideMark/>
          </w:tcPr>
          <w:p w14:paraId="4351E8C2"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Justification of decisions / recommendations</w:t>
            </w:r>
          </w:p>
        </w:tc>
        <w:tc>
          <w:tcPr>
            <w:tcW w:w="1787" w:type="dxa"/>
            <w:tcBorders>
              <w:top w:val="single" w:sz="4" w:space="0" w:color="auto"/>
              <w:left w:val="nil"/>
              <w:right w:val="nil"/>
            </w:tcBorders>
            <w:noWrap/>
            <w:vAlign w:val="center"/>
            <w:hideMark/>
          </w:tcPr>
          <w:p w14:paraId="385B41BB"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Open and honest</w:t>
            </w:r>
          </w:p>
        </w:tc>
        <w:tc>
          <w:tcPr>
            <w:tcW w:w="1379" w:type="dxa"/>
            <w:tcBorders>
              <w:top w:val="single" w:sz="4" w:space="0" w:color="auto"/>
              <w:left w:val="nil"/>
              <w:right w:val="nil"/>
            </w:tcBorders>
            <w:vAlign w:val="bottom"/>
            <w:hideMark/>
          </w:tcPr>
          <w:p w14:paraId="1FF561F3"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89</w:t>
            </w:r>
          </w:p>
        </w:tc>
        <w:tc>
          <w:tcPr>
            <w:tcW w:w="1013" w:type="dxa"/>
            <w:vMerge w:val="restart"/>
            <w:tcBorders>
              <w:top w:val="single" w:sz="4" w:space="0" w:color="auto"/>
              <w:left w:val="nil"/>
              <w:right w:val="nil"/>
            </w:tcBorders>
            <w:noWrap/>
            <w:vAlign w:val="center"/>
            <w:hideMark/>
          </w:tcPr>
          <w:p w14:paraId="23BB77E7"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81</w:t>
            </w:r>
          </w:p>
        </w:tc>
      </w:tr>
      <w:tr w:rsidR="0069586D" w:rsidRPr="00B83411" w14:paraId="5BA8B12D" w14:textId="77777777" w:rsidTr="00605483">
        <w:trPr>
          <w:trHeight w:val="255"/>
        </w:trPr>
        <w:tc>
          <w:tcPr>
            <w:tcW w:w="4395" w:type="dxa"/>
            <w:tcBorders>
              <w:top w:val="nil"/>
              <w:left w:val="nil"/>
              <w:bottom w:val="single" w:sz="4" w:space="0" w:color="auto"/>
              <w:right w:val="nil"/>
            </w:tcBorders>
            <w:noWrap/>
            <w:vAlign w:val="bottom"/>
            <w:hideMark/>
          </w:tcPr>
          <w:p w14:paraId="41ED32E1"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Transparency of decisions</w:t>
            </w:r>
          </w:p>
        </w:tc>
        <w:tc>
          <w:tcPr>
            <w:tcW w:w="1787" w:type="dxa"/>
            <w:tcBorders>
              <w:top w:val="nil"/>
              <w:left w:val="nil"/>
              <w:bottom w:val="single" w:sz="4" w:space="0" w:color="auto"/>
              <w:right w:val="nil"/>
            </w:tcBorders>
            <w:noWrap/>
            <w:vAlign w:val="center"/>
            <w:hideMark/>
          </w:tcPr>
          <w:p w14:paraId="43C5A83F"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Open and honest</w:t>
            </w:r>
          </w:p>
        </w:tc>
        <w:tc>
          <w:tcPr>
            <w:tcW w:w="1379" w:type="dxa"/>
            <w:tcBorders>
              <w:top w:val="nil"/>
              <w:left w:val="nil"/>
              <w:bottom w:val="single" w:sz="4" w:space="0" w:color="auto"/>
              <w:right w:val="nil"/>
            </w:tcBorders>
            <w:vAlign w:val="bottom"/>
            <w:hideMark/>
          </w:tcPr>
          <w:p w14:paraId="10D44FCF"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73</w:t>
            </w:r>
          </w:p>
        </w:tc>
        <w:tc>
          <w:tcPr>
            <w:tcW w:w="1013" w:type="dxa"/>
            <w:vMerge/>
            <w:tcBorders>
              <w:left w:val="nil"/>
              <w:bottom w:val="single" w:sz="4" w:space="0" w:color="auto"/>
              <w:right w:val="nil"/>
            </w:tcBorders>
            <w:noWrap/>
            <w:vAlign w:val="bottom"/>
            <w:hideMark/>
          </w:tcPr>
          <w:p w14:paraId="3C066049" w14:textId="77777777" w:rsidR="0069586D" w:rsidRPr="00B83411" w:rsidRDefault="0069586D" w:rsidP="0069586D">
            <w:pPr>
              <w:spacing w:before="60" w:after="60" w:line="240" w:lineRule="auto"/>
              <w:ind w:right="0"/>
              <w:jc w:val="center"/>
              <w:rPr>
                <w:rFonts w:eastAsia="Times New Roman" w:cs="Arial"/>
                <w:lang w:eastAsia="en-AU"/>
              </w:rPr>
            </w:pPr>
          </w:p>
        </w:tc>
      </w:tr>
      <w:tr w:rsidR="0069586D" w:rsidRPr="00B83411" w14:paraId="7881E488" w14:textId="77777777" w:rsidTr="00605483">
        <w:trPr>
          <w:trHeight w:val="255"/>
        </w:trPr>
        <w:tc>
          <w:tcPr>
            <w:tcW w:w="4395" w:type="dxa"/>
            <w:tcBorders>
              <w:top w:val="single" w:sz="4" w:space="0" w:color="auto"/>
              <w:left w:val="nil"/>
              <w:bottom w:val="nil"/>
              <w:right w:val="nil"/>
            </w:tcBorders>
            <w:shd w:val="clear" w:color="auto" w:fill="D9D9D9" w:themeFill="background1" w:themeFillShade="D9"/>
            <w:noWrap/>
            <w:vAlign w:val="bottom"/>
            <w:hideMark/>
          </w:tcPr>
          <w:p w14:paraId="71A1F153"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Staff expertise</w:t>
            </w:r>
          </w:p>
        </w:tc>
        <w:tc>
          <w:tcPr>
            <w:tcW w:w="1787" w:type="dxa"/>
            <w:tcBorders>
              <w:top w:val="single" w:sz="4" w:space="0" w:color="auto"/>
              <w:left w:val="nil"/>
              <w:bottom w:val="nil"/>
              <w:right w:val="nil"/>
            </w:tcBorders>
            <w:shd w:val="clear" w:color="auto" w:fill="D9D9D9" w:themeFill="background1" w:themeFillShade="D9"/>
            <w:noWrap/>
            <w:vAlign w:val="center"/>
            <w:hideMark/>
          </w:tcPr>
          <w:p w14:paraId="6CB3DF28" w14:textId="0653D907" w:rsidR="0069586D" w:rsidRPr="00B83411" w:rsidRDefault="0069586D" w:rsidP="00605483">
            <w:pPr>
              <w:spacing w:before="60" w:after="60" w:line="240" w:lineRule="auto"/>
              <w:ind w:right="0"/>
              <w:rPr>
                <w:rFonts w:eastAsia="Times New Roman" w:cs="Arial"/>
                <w:lang w:eastAsia="en-AU"/>
              </w:rPr>
            </w:pPr>
            <w:r w:rsidRPr="00B83411">
              <w:rPr>
                <w:rFonts w:eastAsia="Times New Roman" w:cs="Arial"/>
                <w:lang w:eastAsia="en-AU"/>
              </w:rPr>
              <w:t>Reliab</w:t>
            </w:r>
            <w:r w:rsidR="00605483" w:rsidRPr="00B83411">
              <w:rPr>
                <w:rFonts w:eastAsia="Times New Roman" w:cs="Arial"/>
                <w:lang w:eastAsia="en-AU"/>
              </w:rPr>
              <w:t>le</w:t>
            </w:r>
          </w:p>
        </w:tc>
        <w:tc>
          <w:tcPr>
            <w:tcW w:w="1379" w:type="dxa"/>
            <w:tcBorders>
              <w:top w:val="single" w:sz="4" w:space="0" w:color="auto"/>
              <w:left w:val="nil"/>
              <w:bottom w:val="nil"/>
              <w:right w:val="nil"/>
            </w:tcBorders>
            <w:shd w:val="clear" w:color="auto" w:fill="D9D9D9" w:themeFill="background1" w:themeFillShade="D9"/>
            <w:vAlign w:val="center"/>
            <w:hideMark/>
          </w:tcPr>
          <w:p w14:paraId="4B84F1D9" w14:textId="77777777" w:rsidR="0069586D" w:rsidRPr="00B83411" w:rsidRDefault="0069586D" w:rsidP="00605483">
            <w:pPr>
              <w:spacing w:before="60" w:after="60" w:line="240" w:lineRule="auto"/>
              <w:ind w:right="0"/>
              <w:jc w:val="center"/>
              <w:rPr>
                <w:rFonts w:eastAsia="Times New Roman" w:cs="Arial"/>
                <w:lang w:eastAsia="en-AU"/>
              </w:rPr>
            </w:pPr>
            <w:r w:rsidRPr="00B83411">
              <w:rPr>
                <w:rFonts w:eastAsia="Times New Roman" w:cs="Arial"/>
                <w:lang w:eastAsia="en-AU"/>
              </w:rPr>
              <w:t>96</w:t>
            </w:r>
          </w:p>
        </w:tc>
        <w:tc>
          <w:tcPr>
            <w:tcW w:w="1013" w:type="dxa"/>
            <w:vMerge w:val="restart"/>
            <w:tcBorders>
              <w:top w:val="single" w:sz="4" w:space="0" w:color="auto"/>
              <w:left w:val="nil"/>
              <w:right w:val="nil"/>
            </w:tcBorders>
            <w:shd w:val="clear" w:color="auto" w:fill="D9D9D9" w:themeFill="background1" w:themeFillShade="D9"/>
            <w:noWrap/>
            <w:vAlign w:val="center"/>
            <w:hideMark/>
          </w:tcPr>
          <w:p w14:paraId="463EF676"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88</w:t>
            </w:r>
          </w:p>
        </w:tc>
      </w:tr>
      <w:tr w:rsidR="00605483" w:rsidRPr="00B83411" w14:paraId="66C8328F" w14:textId="77777777" w:rsidTr="00605483">
        <w:trPr>
          <w:trHeight w:val="255"/>
        </w:trPr>
        <w:tc>
          <w:tcPr>
            <w:tcW w:w="4395" w:type="dxa"/>
            <w:tcBorders>
              <w:top w:val="nil"/>
              <w:left w:val="nil"/>
              <w:bottom w:val="nil"/>
              <w:right w:val="nil"/>
            </w:tcBorders>
            <w:shd w:val="clear" w:color="auto" w:fill="D9D9D9" w:themeFill="background1" w:themeFillShade="D9"/>
            <w:noWrap/>
            <w:vAlign w:val="bottom"/>
            <w:hideMark/>
          </w:tcPr>
          <w:p w14:paraId="2A29232E" w14:textId="77777777"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Providing advice to govt decision makers (accuracy and clarity)</w:t>
            </w:r>
          </w:p>
        </w:tc>
        <w:tc>
          <w:tcPr>
            <w:tcW w:w="1787" w:type="dxa"/>
            <w:tcBorders>
              <w:top w:val="nil"/>
              <w:left w:val="nil"/>
              <w:bottom w:val="nil"/>
              <w:right w:val="nil"/>
            </w:tcBorders>
            <w:shd w:val="clear" w:color="auto" w:fill="D9D9D9" w:themeFill="background1" w:themeFillShade="D9"/>
            <w:noWrap/>
            <w:vAlign w:val="center"/>
            <w:hideMark/>
          </w:tcPr>
          <w:p w14:paraId="0737533D" w14:textId="0419D61B"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Reliable</w:t>
            </w:r>
          </w:p>
        </w:tc>
        <w:tc>
          <w:tcPr>
            <w:tcW w:w="1379" w:type="dxa"/>
            <w:tcBorders>
              <w:top w:val="nil"/>
              <w:left w:val="nil"/>
              <w:bottom w:val="nil"/>
              <w:right w:val="nil"/>
            </w:tcBorders>
            <w:shd w:val="clear" w:color="auto" w:fill="D9D9D9" w:themeFill="background1" w:themeFillShade="D9"/>
            <w:vAlign w:val="center"/>
            <w:hideMark/>
          </w:tcPr>
          <w:p w14:paraId="7080EF20" w14:textId="77777777" w:rsidR="00605483" w:rsidRPr="00B83411" w:rsidRDefault="00605483" w:rsidP="00605483">
            <w:pPr>
              <w:spacing w:before="60" w:after="60" w:line="240" w:lineRule="auto"/>
              <w:ind w:right="0"/>
              <w:jc w:val="center"/>
              <w:rPr>
                <w:rFonts w:eastAsia="Times New Roman" w:cs="Arial"/>
                <w:lang w:eastAsia="en-AU"/>
              </w:rPr>
            </w:pPr>
            <w:r w:rsidRPr="00B83411">
              <w:rPr>
                <w:rFonts w:eastAsia="Times New Roman" w:cs="Arial"/>
                <w:lang w:eastAsia="en-AU"/>
              </w:rPr>
              <w:t>100</w:t>
            </w:r>
          </w:p>
        </w:tc>
        <w:tc>
          <w:tcPr>
            <w:tcW w:w="1013" w:type="dxa"/>
            <w:vMerge/>
            <w:tcBorders>
              <w:left w:val="nil"/>
              <w:right w:val="nil"/>
            </w:tcBorders>
            <w:shd w:val="clear" w:color="auto" w:fill="D9D9D9" w:themeFill="background1" w:themeFillShade="D9"/>
            <w:noWrap/>
            <w:vAlign w:val="center"/>
            <w:hideMark/>
          </w:tcPr>
          <w:p w14:paraId="1D627FA9" w14:textId="77777777" w:rsidR="00605483" w:rsidRPr="00B83411" w:rsidRDefault="00605483" w:rsidP="00605483">
            <w:pPr>
              <w:spacing w:before="60" w:after="60" w:line="240" w:lineRule="auto"/>
              <w:ind w:right="0"/>
              <w:jc w:val="center"/>
              <w:rPr>
                <w:rFonts w:eastAsia="Times New Roman" w:cs="Arial"/>
                <w:lang w:eastAsia="en-AU"/>
              </w:rPr>
            </w:pPr>
          </w:p>
        </w:tc>
      </w:tr>
      <w:tr w:rsidR="00605483" w:rsidRPr="00B83411" w14:paraId="6652CD99" w14:textId="77777777" w:rsidTr="00605483">
        <w:trPr>
          <w:trHeight w:val="255"/>
        </w:trPr>
        <w:tc>
          <w:tcPr>
            <w:tcW w:w="4395" w:type="dxa"/>
            <w:tcBorders>
              <w:top w:val="nil"/>
              <w:left w:val="nil"/>
              <w:right w:val="nil"/>
            </w:tcBorders>
            <w:shd w:val="clear" w:color="auto" w:fill="D9D9D9" w:themeFill="background1" w:themeFillShade="D9"/>
            <w:noWrap/>
            <w:vAlign w:val="bottom"/>
            <w:hideMark/>
          </w:tcPr>
          <w:p w14:paraId="294892AF" w14:textId="6E6FC4F3"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Administration of titles and licences (efficient and effective)</w:t>
            </w:r>
          </w:p>
        </w:tc>
        <w:tc>
          <w:tcPr>
            <w:tcW w:w="1787" w:type="dxa"/>
            <w:tcBorders>
              <w:top w:val="nil"/>
              <w:left w:val="nil"/>
              <w:right w:val="nil"/>
            </w:tcBorders>
            <w:shd w:val="clear" w:color="auto" w:fill="D9D9D9" w:themeFill="background1" w:themeFillShade="D9"/>
            <w:noWrap/>
            <w:vAlign w:val="center"/>
            <w:hideMark/>
          </w:tcPr>
          <w:p w14:paraId="60300B47" w14:textId="63C5348F"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Reliable</w:t>
            </w:r>
          </w:p>
        </w:tc>
        <w:tc>
          <w:tcPr>
            <w:tcW w:w="1379" w:type="dxa"/>
            <w:tcBorders>
              <w:top w:val="nil"/>
              <w:left w:val="nil"/>
              <w:right w:val="nil"/>
            </w:tcBorders>
            <w:shd w:val="clear" w:color="auto" w:fill="D9D9D9" w:themeFill="background1" w:themeFillShade="D9"/>
            <w:vAlign w:val="center"/>
            <w:hideMark/>
          </w:tcPr>
          <w:p w14:paraId="2E2D9C7A" w14:textId="77777777" w:rsidR="00605483" w:rsidRPr="00B83411" w:rsidRDefault="00605483" w:rsidP="00605483">
            <w:pPr>
              <w:spacing w:before="60" w:after="60" w:line="240" w:lineRule="auto"/>
              <w:ind w:right="0"/>
              <w:jc w:val="center"/>
              <w:rPr>
                <w:rFonts w:eastAsia="Times New Roman" w:cs="Arial"/>
                <w:lang w:eastAsia="en-AU"/>
              </w:rPr>
            </w:pPr>
            <w:r w:rsidRPr="00B83411">
              <w:rPr>
                <w:rFonts w:eastAsia="Times New Roman" w:cs="Arial"/>
                <w:lang w:eastAsia="en-AU"/>
              </w:rPr>
              <w:t>77</w:t>
            </w:r>
          </w:p>
        </w:tc>
        <w:tc>
          <w:tcPr>
            <w:tcW w:w="1013" w:type="dxa"/>
            <w:vMerge/>
            <w:tcBorders>
              <w:left w:val="nil"/>
              <w:right w:val="nil"/>
            </w:tcBorders>
            <w:shd w:val="clear" w:color="auto" w:fill="D9D9D9" w:themeFill="background1" w:themeFillShade="D9"/>
            <w:noWrap/>
            <w:vAlign w:val="center"/>
            <w:hideMark/>
          </w:tcPr>
          <w:p w14:paraId="26D8CD90" w14:textId="77777777" w:rsidR="00605483" w:rsidRPr="00B83411" w:rsidRDefault="00605483" w:rsidP="00605483">
            <w:pPr>
              <w:spacing w:before="60" w:after="60" w:line="240" w:lineRule="auto"/>
              <w:ind w:right="0"/>
              <w:jc w:val="center"/>
              <w:rPr>
                <w:rFonts w:eastAsia="Times New Roman" w:cs="Arial"/>
                <w:lang w:eastAsia="en-AU"/>
              </w:rPr>
            </w:pPr>
          </w:p>
        </w:tc>
      </w:tr>
      <w:tr w:rsidR="00605483" w:rsidRPr="00B83411" w14:paraId="0D277904" w14:textId="77777777" w:rsidTr="00605483">
        <w:trPr>
          <w:trHeight w:val="255"/>
        </w:trPr>
        <w:tc>
          <w:tcPr>
            <w:tcW w:w="4395" w:type="dxa"/>
            <w:tcBorders>
              <w:top w:val="nil"/>
              <w:left w:val="nil"/>
              <w:bottom w:val="single" w:sz="4" w:space="0" w:color="auto"/>
              <w:right w:val="nil"/>
            </w:tcBorders>
            <w:shd w:val="clear" w:color="auto" w:fill="D9D9D9" w:themeFill="background1" w:themeFillShade="D9"/>
            <w:noWrap/>
            <w:vAlign w:val="bottom"/>
            <w:hideMark/>
          </w:tcPr>
          <w:p w14:paraId="11A660F1" w14:textId="77777777"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Fit for purpose IT systems</w:t>
            </w:r>
          </w:p>
        </w:tc>
        <w:tc>
          <w:tcPr>
            <w:tcW w:w="1787" w:type="dxa"/>
            <w:tcBorders>
              <w:top w:val="nil"/>
              <w:left w:val="nil"/>
              <w:bottom w:val="single" w:sz="4" w:space="0" w:color="auto"/>
              <w:right w:val="nil"/>
            </w:tcBorders>
            <w:shd w:val="clear" w:color="auto" w:fill="D9D9D9" w:themeFill="background1" w:themeFillShade="D9"/>
            <w:noWrap/>
            <w:vAlign w:val="center"/>
            <w:hideMark/>
          </w:tcPr>
          <w:p w14:paraId="36E1C8C8" w14:textId="477C6961"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Reliable</w:t>
            </w:r>
          </w:p>
        </w:tc>
        <w:tc>
          <w:tcPr>
            <w:tcW w:w="1379" w:type="dxa"/>
            <w:tcBorders>
              <w:top w:val="nil"/>
              <w:left w:val="nil"/>
              <w:bottom w:val="single" w:sz="4" w:space="0" w:color="auto"/>
              <w:right w:val="nil"/>
            </w:tcBorders>
            <w:shd w:val="clear" w:color="auto" w:fill="D9D9D9" w:themeFill="background1" w:themeFillShade="D9"/>
            <w:vAlign w:val="center"/>
            <w:hideMark/>
          </w:tcPr>
          <w:p w14:paraId="0EE06239" w14:textId="77777777" w:rsidR="00605483" w:rsidRPr="00B83411" w:rsidRDefault="00605483" w:rsidP="00605483">
            <w:pPr>
              <w:spacing w:before="60" w:after="60" w:line="240" w:lineRule="auto"/>
              <w:ind w:right="0"/>
              <w:jc w:val="center"/>
              <w:rPr>
                <w:rFonts w:eastAsia="Times New Roman" w:cs="Arial"/>
                <w:lang w:eastAsia="en-AU"/>
              </w:rPr>
            </w:pPr>
            <w:r w:rsidRPr="00B83411">
              <w:rPr>
                <w:rFonts w:eastAsia="Times New Roman" w:cs="Arial"/>
                <w:lang w:eastAsia="en-AU"/>
              </w:rPr>
              <w:t>77</w:t>
            </w:r>
          </w:p>
        </w:tc>
        <w:tc>
          <w:tcPr>
            <w:tcW w:w="1013" w:type="dxa"/>
            <w:vMerge/>
            <w:tcBorders>
              <w:left w:val="nil"/>
              <w:bottom w:val="single" w:sz="4" w:space="0" w:color="auto"/>
              <w:right w:val="nil"/>
            </w:tcBorders>
            <w:shd w:val="clear" w:color="auto" w:fill="D9D9D9" w:themeFill="background1" w:themeFillShade="D9"/>
            <w:noWrap/>
            <w:vAlign w:val="center"/>
            <w:hideMark/>
          </w:tcPr>
          <w:p w14:paraId="5124D5B6" w14:textId="77777777" w:rsidR="00605483" w:rsidRPr="00B83411" w:rsidRDefault="00605483" w:rsidP="00605483">
            <w:pPr>
              <w:spacing w:before="60" w:after="60" w:line="240" w:lineRule="auto"/>
              <w:ind w:right="0"/>
              <w:jc w:val="center"/>
              <w:rPr>
                <w:rFonts w:eastAsia="Times New Roman" w:cs="Arial"/>
                <w:lang w:eastAsia="en-AU"/>
              </w:rPr>
            </w:pPr>
          </w:p>
        </w:tc>
      </w:tr>
      <w:tr w:rsidR="0069586D" w:rsidRPr="00B83411" w14:paraId="6ED08FBC" w14:textId="77777777" w:rsidTr="00605483">
        <w:trPr>
          <w:trHeight w:val="255"/>
        </w:trPr>
        <w:tc>
          <w:tcPr>
            <w:tcW w:w="4395" w:type="dxa"/>
            <w:tcBorders>
              <w:top w:val="single" w:sz="4" w:space="0" w:color="auto"/>
              <w:left w:val="nil"/>
              <w:bottom w:val="nil"/>
              <w:right w:val="nil"/>
            </w:tcBorders>
            <w:noWrap/>
            <w:vAlign w:val="bottom"/>
            <w:hideMark/>
          </w:tcPr>
          <w:p w14:paraId="3E5A5662"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Building cooperative relationships</w:t>
            </w:r>
          </w:p>
        </w:tc>
        <w:tc>
          <w:tcPr>
            <w:tcW w:w="1787" w:type="dxa"/>
            <w:tcBorders>
              <w:top w:val="single" w:sz="4" w:space="0" w:color="auto"/>
              <w:left w:val="nil"/>
              <w:bottom w:val="nil"/>
              <w:right w:val="nil"/>
            </w:tcBorders>
            <w:noWrap/>
            <w:vAlign w:val="center"/>
            <w:hideMark/>
          </w:tcPr>
          <w:p w14:paraId="2AB0D5D4" w14:textId="71C473D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Responsive</w:t>
            </w:r>
          </w:p>
        </w:tc>
        <w:tc>
          <w:tcPr>
            <w:tcW w:w="1379" w:type="dxa"/>
            <w:tcBorders>
              <w:top w:val="single" w:sz="4" w:space="0" w:color="auto"/>
              <w:left w:val="nil"/>
              <w:bottom w:val="nil"/>
              <w:right w:val="nil"/>
            </w:tcBorders>
            <w:vAlign w:val="bottom"/>
            <w:hideMark/>
          </w:tcPr>
          <w:p w14:paraId="5D07F2E4"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100</w:t>
            </w:r>
          </w:p>
        </w:tc>
        <w:tc>
          <w:tcPr>
            <w:tcW w:w="1013" w:type="dxa"/>
            <w:vMerge w:val="restart"/>
            <w:tcBorders>
              <w:top w:val="single" w:sz="4" w:space="0" w:color="auto"/>
              <w:left w:val="nil"/>
              <w:right w:val="nil"/>
            </w:tcBorders>
            <w:noWrap/>
            <w:vAlign w:val="center"/>
            <w:hideMark/>
          </w:tcPr>
          <w:p w14:paraId="14FDFC9B"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83</w:t>
            </w:r>
          </w:p>
        </w:tc>
      </w:tr>
      <w:tr w:rsidR="00605483" w:rsidRPr="00B83411" w14:paraId="3DC133F4" w14:textId="77777777">
        <w:trPr>
          <w:trHeight w:val="255"/>
        </w:trPr>
        <w:tc>
          <w:tcPr>
            <w:tcW w:w="4395" w:type="dxa"/>
            <w:tcBorders>
              <w:top w:val="nil"/>
              <w:left w:val="nil"/>
              <w:bottom w:val="nil"/>
              <w:right w:val="nil"/>
            </w:tcBorders>
            <w:noWrap/>
            <w:vAlign w:val="bottom"/>
            <w:hideMark/>
          </w:tcPr>
          <w:p w14:paraId="52271FCC" w14:textId="77777777"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Collaboration with stakeholders</w:t>
            </w:r>
          </w:p>
        </w:tc>
        <w:tc>
          <w:tcPr>
            <w:tcW w:w="1787" w:type="dxa"/>
            <w:tcBorders>
              <w:top w:val="nil"/>
              <w:left w:val="nil"/>
              <w:bottom w:val="nil"/>
              <w:right w:val="nil"/>
            </w:tcBorders>
            <w:noWrap/>
            <w:hideMark/>
          </w:tcPr>
          <w:p w14:paraId="41FBC2BB" w14:textId="1A0BC04B"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Responsive</w:t>
            </w:r>
          </w:p>
        </w:tc>
        <w:tc>
          <w:tcPr>
            <w:tcW w:w="1379" w:type="dxa"/>
            <w:tcBorders>
              <w:top w:val="nil"/>
              <w:left w:val="nil"/>
              <w:bottom w:val="nil"/>
              <w:right w:val="nil"/>
            </w:tcBorders>
            <w:vAlign w:val="bottom"/>
            <w:hideMark/>
          </w:tcPr>
          <w:p w14:paraId="726A4FCE" w14:textId="77777777" w:rsidR="00605483" w:rsidRPr="00B83411" w:rsidRDefault="00605483" w:rsidP="00605483">
            <w:pPr>
              <w:spacing w:before="60" w:after="60" w:line="240" w:lineRule="auto"/>
              <w:ind w:right="0"/>
              <w:jc w:val="center"/>
              <w:rPr>
                <w:rFonts w:eastAsia="Times New Roman" w:cs="Arial"/>
                <w:lang w:eastAsia="en-AU"/>
              </w:rPr>
            </w:pPr>
            <w:r w:rsidRPr="00B83411">
              <w:rPr>
                <w:rFonts w:eastAsia="Times New Roman" w:cs="Arial"/>
                <w:lang w:eastAsia="en-AU"/>
              </w:rPr>
              <w:t>93</w:t>
            </w:r>
          </w:p>
        </w:tc>
        <w:tc>
          <w:tcPr>
            <w:tcW w:w="1013" w:type="dxa"/>
            <w:vMerge/>
            <w:tcBorders>
              <w:left w:val="nil"/>
              <w:right w:val="nil"/>
            </w:tcBorders>
            <w:noWrap/>
            <w:vAlign w:val="bottom"/>
            <w:hideMark/>
          </w:tcPr>
          <w:p w14:paraId="738483CD" w14:textId="77777777" w:rsidR="00605483" w:rsidRPr="00B83411" w:rsidRDefault="00605483" w:rsidP="00605483">
            <w:pPr>
              <w:spacing w:before="60" w:after="60" w:line="240" w:lineRule="auto"/>
              <w:ind w:right="0"/>
              <w:jc w:val="center"/>
              <w:rPr>
                <w:rFonts w:eastAsia="Times New Roman" w:cs="Arial"/>
                <w:lang w:eastAsia="en-AU"/>
              </w:rPr>
            </w:pPr>
          </w:p>
        </w:tc>
      </w:tr>
      <w:tr w:rsidR="00605483" w:rsidRPr="00B83411" w14:paraId="7742C805" w14:textId="77777777">
        <w:trPr>
          <w:trHeight w:val="255"/>
        </w:trPr>
        <w:tc>
          <w:tcPr>
            <w:tcW w:w="4395" w:type="dxa"/>
            <w:tcBorders>
              <w:top w:val="nil"/>
              <w:left w:val="nil"/>
              <w:right w:val="nil"/>
            </w:tcBorders>
            <w:noWrap/>
            <w:vAlign w:val="bottom"/>
            <w:hideMark/>
          </w:tcPr>
          <w:p w14:paraId="37F2E172" w14:textId="77777777"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Continuous improvement</w:t>
            </w:r>
          </w:p>
        </w:tc>
        <w:tc>
          <w:tcPr>
            <w:tcW w:w="1787" w:type="dxa"/>
            <w:tcBorders>
              <w:top w:val="nil"/>
              <w:left w:val="nil"/>
              <w:right w:val="nil"/>
            </w:tcBorders>
            <w:noWrap/>
            <w:hideMark/>
          </w:tcPr>
          <w:p w14:paraId="7BBFA907" w14:textId="60C21763"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Responsive</w:t>
            </w:r>
          </w:p>
        </w:tc>
        <w:tc>
          <w:tcPr>
            <w:tcW w:w="1379" w:type="dxa"/>
            <w:tcBorders>
              <w:top w:val="nil"/>
              <w:left w:val="nil"/>
              <w:right w:val="nil"/>
            </w:tcBorders>
            <w:vAlign w:val="bottom"/>
            <w:hideMark/>
          </w:tcPr>
          <w:p w14:paraId="02C470DA" w14:textId="77777777" w:rsidR="00605483" w:rsidRPr="00B83411" w:rsidRDefault="00605483" w:rsidP="00605483">
            <w:pPr>
              <w:spacing w:before="60" w:after="60" w:line="240" w:lineRule="auto"/>
              <w:ind w:right="0"/>
              <w:jc w:val="center"/>
              <w:rPr>
                <w:rFonts w:eastAsia="Times New Roman" w:cs="Arial"/>
                <w:lang w:eastAsia="en-AU"/>
              </w:rPr>
            </w:pPr>
            <w:r w:rsidRPr="00B83411">
              <w:rPr>
                <w:rFonts w:eastAsia="Times New Roman" w:cs="Arial"/>
                <w:lang w:eastAsia="en-AU"/>
              </w:rPr>
              <w:t>86</w:t>
            </w:r>
          </w:p>
        </w:tc>
        <w:tc>
          <w:tcPr>
            <w:tcW w:w="1013" w:type="dxa"/>
            <w:vMerge/>
            <w:tcBorders>
              <w:left w:val="nil"/>
              <w:right w:val="nil"/>
            </w:tcBorders>
            <w:noWrap/>
            <w:vAlign w:val="bottom"/>
            <w:hideMark/>
          </w:tcPr>
          <w:p w14:paraId="4529FFAF" w14:textId="77777777" w:rsidR="00605483" w:rsidRPr="00B83411" w:rsidRDefault="00605483" w:rsidP="00605483">
            <w:pPr>
              <w:spacing w:before="60" w:after="60" w:line="240" w:lineRule="auto"/>
              <w:ind w:right="0"/>
              <w:jc w:val="center"/>
              <w:rPr>
                <w:rFonts w:eastAsia="Times New Roman" w:cs="Arial"/>
                <w:lang w:eastAsia="en-AU"/>
              </w:rPr>
            </w:pPr>
          </w:p>
        </w:tc>
      </w:tr>
      <w:tr w:rsidR="00605483" w:rsidRPr="00B83411" w14:paraId="12E25E70" w14:textId="77777777">
        <w:trPr>
          <w:trHeight w:val="255"/>
        </w:trPr>
        <w:tc>
          <w:tcPr>
            <w:tcW w:w="4395" w:type="dxa"/>
            <w:tcBorders>
              <w:top w:val="nil"/>
              <w:left w:val="nil"/>
              <w:bottom w:val="single" w:sz="4" w:space="0" w:color="auto"/>
              <w:right w:val="nil"/>
            </w:tcBorders>
            <w:noWrap/>
            <w:vAlign w:val="bottom"/>
            <w:hideMark/>
          </w:tcPr>
          <w:p w14:paraId="58006ACA" w14:textId="77777777"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Innovative IT systems</w:t>
            </w:r>
          </w:p>
        </w:tc>
        <w:tc>
          <w:tcPr>
            <w:tcW w:w="1787" w:type="dxa"/>
            <w:tcBorders>
              <w:top w:val="nil"/>
              <w:left w:val="nil"/>
              <w:bottom w:val="single" w:sz="4" w:space="0" w:color="auto"/>
              <w:right w:val="nil"/>
            </w:tcBorders>
            <w:noWrap/>
            <w:hideMark/>
          </w:tcPr>
          <w:p w14:paraId="230DB4B5" w14:textId="7D14ACAF" w:rsidR="00605483" w:rsidRPr="00B83411" w:rsidRDefault="00605483" w:rsidP="00605483">
            <w:pPr>
              <w:spacing w:before="60" w:after="60" w:line="240" w:lineRule="auto"/>
              <w:ind w:right="0"/>
              <w:rPr>
                <w:rFonts w:eastAsia="Times New Roman" w:cs="Arial"/>
                <w:lang w:eastAsia="en-AU"/>
              </w:rPr>
            </w:pPr>
            <w:r w:rsidRPr="00B83411">
              <w:rPr>
                <w:rFonts w:eastAsia="Times New Roman" w:cs="Arial"/>
                <w:lang w:eastAsia="en-AU"/>
              </w:rPr>
              <w:t>Responsive</w:t>
            </w:r>
          </w:p>
        </w:tc>
        <w:tc>
          <w:tcPr>
            <w:tcW w:w="1379" w:type="dxa"/>
            <w:tcBorders>
              <w:top w:val="nil"/>
              <w:left w:val="nil"/>
              <w:bottom w:val="single" w:sz="4" w:space="0" w:color="auto"/>
              <w:right w:val="nil"/>
            </w:tcBorders>
            <w:vAlign w:val="bottom"/>
            <w:hideMark/>
          </w:tcPr>
          <w:p w14:paraId="5FDA37C1" w14:textId="77777777" w:rsidR="00605483" w:rsidRPr="00B83411" w:rsidRDefault="00605483" w:rsidP="00605483">
            <w:pPr>
              <w:spacing w:before="60" w:after="60" w:line="240" w:lineRule="auto"/>
              <w:ind w:right="0"/>
              <w:jc w:val="center"/>
              <w:rPr>
                <w:rFonts w:eastAsia="Times New Roman" w:cs="Arial"/>
                <w:lang w:eastAsia="en-AU"/>
              </w:rPr>
            </w:pPr>
            <w:r w:rsidRPr="00B83411">
              <w:rPr>
                <w:rFonts w:eastAsia="Times New Roman" w:cs="Arial"/>
                <w:lang w:eastAsia="en-AU"/>
              </w:rPr>
              <w:t>53</w:t>
            </w:r>
          </w:p>
        </w:tc>
        <w:tc>
          <w:tcPr>
            <w:tcW w:w="1013" w:type="dxa"/>
            <w:vMerge/>
            <w:tcBorders>
              <w:left w:val="nil"/>
              <w:bottom w:val="single" w:sz="4" w:space="0" w:color="auto"/>
              <w:right w:val="nil"/>
            </w:tcBorders>
            <w:noWrap/>
            <w:vAlign w:val="bottom"/>
            <w:hideMark/>
          </w:tcPr>
          <w:p w14:paraId="5199C333" w14:textId="77777777" w:rsidR="00605483" w:rsidRPr="00B83411" w:rsidRDefault="00605483" w:rsidP="00605483">
            <w:pPr>
              <w:spacing w:before="60" w:after="60" w:line="240" w:lineRule="auto"/>
              <w:ind w:right="0"/>
              <w:jc w:val="center"/>
              <w:rPr>
                <w:rFonts w:eastAsia="Times New Roman" w:cs="Arial"/>
                <w:lang w:eastAsia="en-AU"/>
              </w:rPr>
            </w:pPr>
          </w:p>
        </w:tc>
      </w:tr>
      <w:tr w:rsidR="0069586D" w:rsidRPr="00B83411" w14:paraId="2BCFA4B5" w14:textId="77777777" w:rsidTr="00605483">
        <w:trPr>
          <w:trHeight w:val="255"/>
        </w:trPr>
        <w:tc>
          <w:tcPr>
            <w:tcW w:w="4395" w:type="dxa"/>
            <w:tcBorders>
              <w:top w:val="single" w:sz="4" w:space="0" w:color="auto"/>
              <w:left w:val="nil"/>
              <w:bottom w:val="single" w:sz="4" w:space="0" w:color="auto"/>
              <w:right w:val="nil"/>
            </w:tcBorders>
            <w:shd w:val="clear" w:color="auto" w:fill="D9D9D9" w:themeFill="background1" w:themeFillShade="D9"/>
            <w:noWrap/>
            <w:vAlign w:val="bottom"/>
            <w:hideMark/>
          </w:tcPr>
          <w:p w14:paraId="114D992D"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Trust</w:t>
            </w:r>
          </w:p>
        </w:tc>
        <w:tc>
          <w:tcPr>
            <w:tcW w:w="1787" w:type="dxa"/>
            <w:tcBorders>
              <w:top w:val="single" w:sz="4" w:space="0" w:color="auto"/>
              <w:left w:val="nil"/>
              <w:bottom w:val="single" w:sz="4" w:space="0" w:color="auto"/>
              <w:right w:val="nil"/>
            </w:tcBorders>
            <w:shd w:val="clear" w:color="auto" w:fill="D9D9D9" w:themeFill="background1" w:themeFillShade="D9"/>
            <w:noWrap/>
            <w:vAlign w:val="bottom"/>
            <w:hideMark/>
          </w:tcPr>
          <w:p w14:paraId="68FA0672" w14:textId="77777777" w:rsidR="0069586D" w:rsidRPr="00B83411" w:rsidRDefault="0069586D" w:rsidP="0069586D">
            <w:pPr>
              <w:spacing w:before="60" w:after="60" w:line="240" w:lineRule="auto"/>
              <w:ind w:right="0"/>
              <w:rPr>
                <w:rFonts w:eastAsia="Times New Roman" w:cs="Arial"/>
                <w:lang w:eastAsia="en-AU"/>
              </w:rPr>
            </w:pPr>
            <w:r w:rsidRPr="00B83411">
              <w:rPr>
                <w:rFonts w:eastAsia="Times New Roman" w:cs="Arial"/>
                <w:lang w:eastAsia="en-AU"/>
              </w:rPr>
              <w:t>Trust</w:t>
            </w:r>
          </w:p>
        </w:tc>
        <w:tc>
          <w:tcPr>
            <w:tcW w:w="1379" w:type="dxa"/>
            <w:tcBorders>
              <w:top w:val="single" w:sz="4" w:space="0" w:color="auto"/>
              <w:left w:val="nil"/>
              <w:bottom w:val="single" w:sz="4" w:space="0" w:color="auto"/>
              <w:right w:val="nil"/>
            </w:tcBorders>
            <w:shd w:val="clear" w:color="auto" w:fill="D9D9D9" w:themeFill="background1" w:themeFillShade="D9"/>
            <w:vAlign w:val="bottom"/>
            <w:hideMark/>
          </w:tcPr>
          <w:p w14:paraId="5AD63EF8"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94</w:t>
            </w:r>
          </w:p>
        </w:tc>
        <w:tc>
          <w:tcPr>
            <w:tcW w:w="1013" w:type="dxa"/>
            <w:tcBorders>
              <w:top w:val="single" w:sz="4" w:space="0" w:color="auto"/>
              <w:left w:val="nil"/>
              <w:bottom w:val="single" w:sz="4" w:space="0" w:color="auto"/>
              <w:right w:val="nil"/>
            </w:tcBorders>
            <w:shd w:val="clear" w:color="auto" w:fill="D9D9D9" w:themeFill="background1" w:themeFillShade="D9"/>
            <w:noWrap/>
            <w:vAlign w:val="bottom"/>
            <w:hideMark/>
          </w:tcPr>
          <w:p w14:paraId="683A9E16" w14:textId="77777777" w:rsidR="0069586D" w:rsidRPr="00B83411" w:rsidRDefault="0069586D" w:rsidP="0069586D">
            <w:pPr>
              <w:spacing w:before="60" w:after="60" w:line="240" w:lineRule="auto"/>
              <w:ind w:right="0"/>
              <w:jc w:val="center"/>
              <w:rPr>
                <w:rFonts w:eastAsia="Times New Roman" w:cs="Arial"/>
                <w:lang w:eastAsia="en-AU"/>
              </w:rPr>
            </w:pPr>
            <w:r w:rsidRPr="00B83411">
              <w:rPr>
                <w:rFonts w:eastAsia="Times New Roman" w:cs="Arial"/>
                <w:lang w:eastAsia="en-AU"/>
              </w:rPr>
              <w:t>94</w:t>
            </w:r>
          </w:p>
        </w:tc>
      </w:tr>
    </w:tbl>
    <w:p w14:paraId="7FF297E6" w14:textId="5781974C" w:rsidR="007E6BC1" w:rsidRPr="00B83411" w:rsidRDefault="007E6BC1" w:rsidP="007D2133"/>
    <w:p w14:paraId="35931C6E" w14:textId="77777777" w:rsidR="007C3A60" w:rsidRPr="00B83411" w:rsidRDefault="007C3A60">
      <w:pPr>
        <w:spacing w:before="0" w:line="240" w:lineRule="auto"/>
        <w:ind w:right="0"/>
        <w:rPr>
          <w:b/>
          <w:color w:val="00376E"/>
          <w:kern w:val="32"/>
          <w:sz w:val="36"/>
          <w:szCs w:val="18"/>
        </w:rPr>
      </w:pPr>
      <w:r w:rsidRPr="00B83411">
        <w:br w:type="page"/>
      </w:r>
    </w:p>
    <w:p w14:paraId="0797B53E" w14:textId="5B16BC29" w:rsidR="00ED6B67" w:rsidRPr="00B83411" w:rsidRDefault="00ED6B67" w:rsidP="00ED6B67">
      <w:pPr>
        <w:pStyle w:val="Heading1"/>
      </w:pPr>
      <w:bookmarkStart w:id="41" w:name="_Toc213926360"/>
      <w:r w:rsidRPr="00B83411">
        <w:t>Suggestions</w:t>
      </w:r>
      <w:bookmarkEnd w:id="41"/>
    </w:p>
    <w:p w14:paraId="4EE6BAEA" w14:textId="24341443" w:rsidR="008E1327" w:rsidRPr="00B83411" w:rsidRDefault="008E1327" w:rsidP="008E1327">
      <w:r w:rsidRPr="00B83411">
        <w:t xml:space="preserve">This section summarises the comments that respondents offered about what NOPTA / OIR does well and what it could improve. All verbatim </w:t>
      </w:r>
      <w:r w:rsidR="00EE69B4" w:rsidRPr="00B83411">
        <w:t>strengths and improvement suggestions</w:t>
      </w:r>
      <w:r w:rsidRPr="00B83411">
        <w:t xml:space="preserve"> provided </w:t>
      </w:r>
      <w:r w:rsidR="00EE69B4" w:rsidRPr="00B83411">
        <w:t>can be found</w:t>
      </w:r>
      <w:r w:rsidRPr="00B83411">
        <w:t xml:space="preserve"> in Appendix B.</w:t>
      </w:r>
    </w:p>
    <w:p w14:paraId="564EB593" w14:textId="0E0AD5C4" w:rsidR="00ED6B67" w:rsidRPr="00B83411" w:rsidRDefault="00ED6B67" w:rsidP="00ED6B67">
      <w:pPr>
        <w:pStyle w:val="Heading2"/>
      </w:pPr>
      <w:bookmarkStart w:id="42" w:name="_Toc213926361"/>
      <w:r w:rsidRPr="00B83411">
        <w:t>Doing well and should continue</w:t>
      </w:r>
      <w:bookmarkEnd w:id="42"/>
    </w:p>
    <w:p w14:paraId="7A9BF0EC" w14:textId="7D2A5BC2" w:rsidR="008E1327" w:rsidRPr="00B83411" w:rsidRDefault="008E1327" w:rsidP="008E1327">
      <w:r w:rsidRPr="00B83411">
        <w:t xml:space="preserve">Many respondents commented about NOPTA staff: their knowledge, helpfulness, responsiveness and professionalism. </w:t>
      </w:r>
    </w:p>
    <w:p w14:paraId="35F63DE4" w14:textId="21C7D6B3" w:rsidR="008E1327" w:rsidRPr="00B83411" w:rsidRDefault="008E1327" w:rsidP="008E1327">
      <w:r w:rsidRPr="00B83411">
        <w:t>NOPTA’s engagement with stakeholders and relationship building was praised.</w:t>
      </w:r>
      <w:r w:rsidR="00EE69B4" w:rsidRPr="00B83411">
        <w:t xml:space="preserve"> </w:t>
      </w:r>
      <w:r w:rsidRPr="00B83411">
        <w:t>Its provision of good and accessible information and advice was also noted.</w:t>
      </w:r>
    </w:p>
    <w:p w14:paraId="33909DDA" w14:textId="5C70E70D" w:rsidR="008E1327" w:rsidRPr="00B83411" w:rsidRDefault="008E1327" w:rsidP="008E1327">
      <w:r w:rsidRPr="00B83411">
        <w:t xml:space="preserve">The comments </w:t>
      </w:r>
      <w:r w:rsidR="00753F3D" w:rsidRPr="00B83411">
        <w:t>corroborated</w:t>
      </w:r>
      <w:r w:rsidRPr="00B83411">
        <w:t xml:space="preserve"> the numeric results of this survey</w:t>
      </w:r>
      <w:r w:rsidR="00753F3D" w:rsidRPr="00B83411">
        <w:t xml:space="preserve"> indicating that the numeric results were a true reflection of stakeholder sentiment.</w:t>
      </w:r>
    </w:p>
    <w:p w14:paraId="03183E56" w14:textId="22E880FC" w:rsidR="00ED6B67" w:rsidRPr="00B83411" w:rsidRDefault="00ED6B67" w:rsidP="00ED6B67">
      <w:pPr>
        <w:pStyle w:val="Heading2"/>
      </w:pPr>
      <w:bookmarkStart w:id="43" w:name="_Toc213926362"/>
      <w:r w:rsidRPr="00B83411">
        <w:t>Improvements needed</w:t>
      </w:r>
      <w:bookmarkEnd w:id="43"/>
    </w:p>
    <w:p w14:paraId="1D00AA59" w14:textId="48DAAE3E" w:rsidR="00753F3D" w:rsidRPr="00B83411" w:rsidRDefault="00753F3D" w:rsidP="00753F3D">
      <w:r w:rsidRPr="00B83411">
        <w:t>A number of improvements focused on providing faster decisions which was commented on earlier in this report and is known to be outside NOPTA’s remit.</w:t>
      </w:r>
    </w:p>
    <w:p w14:paraId="34C026C9" w14:textId="0D7BE644" w:rsidR="00753F3D" w:rsidRPr="00B83411" w:rsidRDefault="00753F3D" w:rsidP="00753F3D">
      <w:r w:rsidRPr="00B83411">
        <w:t xml:space="preserve">Greater flexibility, particularly for smaller title </w:t>
      </w:r>
      <w:r w:rsidR="00C54F6E" w:rsidRPr="00B83411">
        <w:t xml:space="preserve">holders </w:t>
      </w:r>
      <w:r w:rsidRPr="00B83411">
        <w:t>/ licence holders was raised by more than one respondent. Another recurring theme was greater efficiency, particularly around applications, duplication with other</w:t>
      </w:r>
      <w:r w:rsidR="00C54F6E" w:rsidRPr="00B83411">
        <w:t xml:space="preserve"> administrators /</w:t>
      </w:r>
      <w:r w:rsidRPr="00B83411">
        <w:t xml:space="preserve"> regulators and the amount of information required. </w:t>
      </w:r>
    </w:p>
    <w:p w14:paraId="3689A539" w14:textId="48467C5E" w:rsidR="00753F3D" w:rsidRPr="00B83411" w:rsidRDefault="00753F3D" w:rsidP="00753F3D">
      <w:r w:rsidRPr="00B83411">
        <w:t>Updating of digital systems was the most common area of improvement and also, again, reflected in numeric results.</w:t>
      </w:r>
    </w:p>
    <w:p w14:paraId="3DBF5A97" w14:textId="77777777" w:rsidR="007D2133" w:rsidRPr="00B83411" w:rsidRDefault="007D2133" w:rsidP="007D2133">
      <w:pPr>
        <w:rPr>
          <w:color w:val="00376E"/>
          <w:kern w:val="32"/>
          <w:sz w:val="36"/>
          <w:szCs w:val="18"/>
        </w:rPr>
      </w:pPr>
      <w:r w:rsidRPr="00B83411">
        <w:br w:type="page"/>
      </w:r>
    </w:p>
    <w:p w14:paraId="53DFCA7A" w14:textId="621E4163" w:rsidR="007D2133" w:rsidRPr="00B83411" w:rsidRDefault="007D2133" w:rsidP="007D2133">
      <w:pPr>
        <w:pStyle w:val="Heading1"/>
      </w:pPr>
      <w:bookmarkStart w:id="44" w:name="_Toc213926363"/>
      <w:r w:rsidRPr="00B83411">
        <w:t>Conclusions</w:t>
      </w:r>
      <w:bookmarkEnd w:id="44"/>
    </w:p>
    <w:p w14:paraId="11930CA0" w14:textId="17C0ED6F" w:rsidR="007D2133" w:rsidRPr="00B83411" w:rsidRDefault="007D2133" w:rsidP="00753F3D">
      <w:pPr>
        <w:spacing w:after="240"/>
      </w:pPr>
      <w:r w:rsidRPr="00B83411">
        <w:t xml:space="preserve">The key messages / findings of the survey are presented below. With the application of organisational knowledge and insight, these </w:t>
      </w:r>
      <w:r w:rsidR="00753F3D" w:rsidRPr="00B83411">
        <w:t>could</w:t>
      </w:r>
      <w:r w:rsidRPr="00B83411">
        <w:t xml:space="preserve"> become </w:t>
      </w:r>
      <w:r w:rsidR="00753F3D" w:rsidRPr="00B83411">
        <w:t xml:space="preserve">survey </w:t>
      </w:r>
      <w:r w:rsidRPr="00B83411">
        <w:t>recommendations.</w:t>
      </w:r>
    </w:p>
    <w:p w14:paraId="378B6428" w14:textId="3156ABF0" w:rsidR="00753F3D" w:rsidRPr="00B83411" w:rsidRDefault="00753F3D" w:rsidP="0068089E">
      <w:pPr>
        <w:pStyle w:val="ListParagraph"/>
        <w:numPr>
          <w:ilvl w:val="0"/>
          <w:numId w:val="19"/>
        </w:numPr>
      </w:pPr>
      <w:r w:rsidRPr="00B83411">
        <w:t xml:space="preserve">NOPTA / OIR staff are </w:t>
      </w:r>
      <w:r w:rsidR="0017597D" w:rsidRPr="00B83411">
        <w:t>a</w:t>
      </w:r>
      <w:r w:rsidRPr="00B83411">
        <w:t xml:space="preserve"> key strength</w:t>
      </w:r>
      <w:r w:rsidR="00826B7D" w:rsidRPr="00B83411">
        <w:t>. Whatever senior managers are doing now to recruit, support and encourage staff should be continued.</w:t>
      </w:r>
    </w:p>
    <w:p w14:paraId="068AA56F" w14:textId="15424E7F" w:rsidR="00826B7D" w:rsidRPr="00B83411" w:rsidRDefault="00826B7D" w:rsidP="0068089E">
      <w:pPr>
        <w:pStyle w:val="ListParagraph"/>
        <w:numPr>
          <w:ilvl w:val="0"/>
          <w:numId w:val="19"/>
        </w:numPr>
      </w:pPr>
      <w:r w:rsidRPr="00B83411">
        <w:t xml:space="preserve">NOPTA relationships with title and licence holders as well as government decision makers and advisors </w:t>
      </w:r>
      <w:r w:rsidR="0017597D" w:rsidRPr="00B83411">
        <w:t>were</w:t>
      </w:r>
      <w:r w:rsidRPr="00B83411">
        <w:t xml:space="preserve"> strongly endorsed. This collaborative approach is another of NOPTA’s key strengths and should be continued.</w:t>
      </w:r>
    </w:p>
    <w:p w14:paraId="1BDBDA7C" w14:textId="513237BA" w:rsidR="00826B7D" w:rsidRPr="00B83411" w:rsidRDefault="00826B7D" w:rsidP="0068089E">
      <w:pPr>
        <w:pStyle w:val="ListParagraph"/>
        <w:numPr>
          <w:ilvl w:val="0"/>
          <w:numId w:val="19"/>
        </w:numPr>
      </w:pPr>
      <w:r w:rsidRPr="00B83411">
        <w:t xml:space="preserve">The accuracy, clarity and consistency of information and advice </w:t>
      </w:r>
      <w:r w:rsidR="00B6637C" w:rsidRPr="00B83411">
        <w:t>the Title Administrator /</w:t>
      </w:r>
      <w:r w:rsidR="009E15C5" w:rsidRPr="00B83411">
        <w:t xml:space="preserve">Registrar </w:t>
      </w:r>
      <w:r w:rsidRPr="00B83411">
        <w:t xml:space="preserve">provides </w:t>
      </w:r>
      <w:r w:rsidR="00B6637C" w:rsidRPr="00B83411">
        <w:t>were</w:t>
      </w:r>
      <w:r w:rsidRPr="00B83411">
        <w:t xml:space="preserve"> rated highly and also needs to continue.</w:t>
      </w:r>
    </w:p>
    <w:p w14:paraId="7C5DCF81" w14:textId="7369CB24" w:rsidR="00826B7D" w:rsidRPr="00B83411" w:rsidRDefault="00826B7D" w:rsidP="0068089E">
      <w:pPr>
        <w:pStyle w:val="ListParagraph"/>
        <w:numPr>
          <w:ilvl w:val="0"/>
          <w:numId w:val="19"/>
        </w:numPr>
      </w:pPr>
      <w:r w:rsidRPr="00B83411">
        <w:t>Because of all of the above, as well as behav</w:t>
      </w:r>
      <w:r w:rsidR="0017597D" w:rsidRPr="00B83411">
        <w:t>ing</w:t>
      </w:r>
      <w:r w:rsidRPr="00B83411">
        <w:t xml:space="preserve"> ethically</w:t>
      </w:r>
      <w:r w:rsidR="0017597D" w:rsidRPr="00B83411">
        <w:t xml:space="preserve"> and being seen as effective in </w:t>
      </w:r>
      <w:r w:rsidR="00B6637C" w:rsidRPr="00B83411">
        <w:t>their</w:t>
      </w:r>
      <w:r w:rsidR="0017597D" w:rsidRPr="00B83411">
        <w:t xml:space="preserve"> role</w:t>
      </w:r>
      <w:r w:rsidR="00B6637C" w:rsidRPr="00B83411">
        <w:t>s</w:t>
      </w:r>
      <w:r w:rsidRPr="00B83411">
        <w:t xml:space="preserve">, the Titles Administrator and Registrar </w:t>
      </w:r>
      <w:r w:rsidR="0017597D" w:rsidRPr="00B83411">
        <w:t>were considered</w:t>
      </w:r>
      <w:r w:rsidRPr="00B83411">
        <w:t xml:space="preserve"> trusted entities</w:t>
      </w:r>
      <w:r w:rsidR="0017597D" w:rsidRPr="00B83411">
        <w:t xml:space="preserve">—a strong endorsement of </w:t>
      </w:r>
      <w:r w:rsidR="00B6637C" w:rsidRPr="00B83411">
        <w:t xml:space="preserve">the organisations’ </w:t>
      </w:r>
      <w:r w:rsidR="00DB0DA1" w:rsidRPr="00B83411">
        <w:t>administrative role and activities</w:t>
      </w:r>
      <w:r w:rsidR="0017597D" w:rsidRPr="00B83411">
        <w:t>.</w:t>
      </w:r>
    </w:p>
    <w:p w14:paraId="48F64F31" w14:textId="7FFB51AA" w:rsidR="0017597D" w:rsidRPr="00B83411" w:rsidRDefault="0017597D" w:rsidP="0068089E">
      <w:pPr>
        <w:pStyle w:val="ListParagraph"/>
        <w:numPr>
          <w:ilvl w:val="0"/>
          <w:numId w:val="19"/>
        </w:numPr>
      </w:pPr>
      <w:r w:rsidRPr="00B83411">
        <w:t xml:space="preserve">For some stakeholders, particularly newer title </w:t>
      </w:r>
      <w:r w:rsidR="00C54F6E" w:rsidRPr="00B83411">
        <w:t xml:space="preserve">holders </w:t>
      </w:r>
      <w:r w:rsidRPr="00B83411">
        <w:t xml:space="preserve">/ licence holders, there appears to be either lack of information and/or confusion about the Title Administrator / </w:t>
      </w:r>
      <w:r w:rsidR="00D01168" w:rsidRPr="00B83411">
        <w:t xml:space="preserve">Registrar’s </w:t>
      </w:r>
      <w:r w:rsidRPr="00B83411">
        <w:t xml:space="preserve">role in decision-making. NOPTA needs to consider more timely, clear and concise information at point of application and throughout all its communication activities about its role or lack thereof in the decision making process. This is </w:t>
      </w:r>
      <w:r w:rsidR="00B6637C" w:rsidRPr="00B83411">
        <w:t>probably</w:t>
      </w:r>
      <w:r w:rsidRPr="00B83411">
        <w:t xml:space="preserve"> closely related to clarifying the nature of NOPTA’s application processing time target</w:t>
      </w:r>
      <w:r w:rsidR="000337FF" w:rsidRPr="00B83411">
        <w:t xml:space="preserve"> / performance measure</w:t>
      </w:r>
      <w:r w:rsidRPr="00B83411">
        <w:t>.</w:t>
      </w:r>
      <w:r w:rsidR="00126C59" w:rsidRPr="00B83411">
        <w:t xml:space="preserve"> </w:t>
      </w:r>
    </w:p>
    <w:p w14:paraId="1823354C" w14:textId="72EF63AE" w:rsidR="0017597D" w:rsidRPr="00B83411" w:rsidRDefault="00B6637C" w:rsidP="0068089E">
      <w:pPr>
        <w:pStyle w:val="ListParagraph"/>
        <w:numPr>
          <w:ilvl w:val="0"/>
          <w:numId w:val="19"/>
        </w:numPr>
      </w:pPr>
      <w:r w:rsidRPr="00B83411">
        <w:t>NEATS and NOPIMS</w:t>
      </w:r>
      <w:r w:rsidR="00126C59" w:rsidRPr="00B83411">
        <w:t xml:space="preserve"> systems need to be updated, linked with other systems and improved in key areas of functionality, particularly searching.</w:t>
      </w:r>
    </w:p>
    <w:p w14:paraId="1F5D465A" w14:textId="68A9BAA6" w:rsidR="00126C59" w:rsidRPr="00B83411" w:rsidRDefault="00126C59" w:rsidP="0068089E">
      <w:pPr>
        <w:pStyle w:val="ListParagraph"/>
        <w:numPr>
          <w:ilvl w:val="0"/>
          <w:numId w:val="19"/>
        </w:numPr>
      </w:pPr>
      <w:r w:rsidRPr="00B83411">
        <w:t xml:space="preserve">Government stakeholders need to understand that their views about administrative </w:t>
      </w:r>
      <w:r w:rsidR="00E9313E" w:rsidRPr="00B83411">
        <w:t>effort</w:t>
      </w:r>
      <w:r w:rsidRPr="00B83411">
        <w:t xml:space="preserve"> for title and licence holders </w:t>
      </w:r>
      <w:r w:rsidR="00E9313E" w:rsidRPr="00B83411">
        <w:t>and justification about decisions are</w:t>
      </w:r>
      <w:r w:rsidRPr="00B83411">
        <w:t xml:space="preserve"> not shared by </w:t>
      </w:r>
      <w:r w:rsidR="00E9313E" w:rsidRPr="00B83411">
        <w:t>title and licence holders. This</w:t>
      </w:r>
      <w:r w:rsidR="00B6637C" w:rsidRPr="00B83411">
        <w:t xml:space="preserve"> difference in views</w:t>
      </w:r>
      <w:r w:rsidR="00E9313E" w:rsidRPr="00B83411">
        <w:t xml:space="preserve"> could lead, at times, to significant misalignment between policy making </w:t>
      </w:r>
      <w:r w:rsidR="00B6637C" w:rsidRPr="00B83411">
        <w:t xml:space="preserve">or implementation </w:t>
      </w:r>
      <w:r w:rsidR="00E9313E" w:rsidRPr="00B83411">
        <w:t>and stakeholder reactions.</w:t>
      </w:r>
    </w:p>
    <w:p w14:paraId="580F4D2A" w14:textId="32D3649F" w:rsidR="001E67B5" w:rsidRPr="00B83411" w:rsidRDefault="00DB0DA1" w:rsidP="0068089E">
      <w:pPr>
        <w:pStyle w:val="ListParagraph"/>
        <w:numPr>
          <w:ilvl w:val="0"/>
          <w:numId w:val="19"/>
        </w:numPr>
      </w:pPr>
      <w:r w:rsidRPr="00B83411">
        <w:t xml:space="preserve">Many </w:t>
      </w:r>
      <w:r w:rsidR="001E67B5" w:rsidRPr="00B83411">
        <w:t xml:space="preserve">title holders </w:t>
      </w:r>
      <w:r w:rsidR="00677BB5" w:rsidRPr="00B83411">
        <w:t xml:space="preserve">and licence holders </w:t>
      </w:r>
      <w:r w:rsidR="001E67B5" w:rsidRPr="00B83411">
        <w:t>believe that the</w:t>
      </w:r>
      <w:r w:rsidRPr="00B83411">
        <w:t>ir administrative and compliance efforts are not balanced with outcomes: too much is asked at times without apparent understanding of effort involved.</w:t>
      </w:r>
    </w:p>
    <w:p w14:paraId="68348DA6" w14:textId="606DA707" w:rsidR="00DB0DA1" w:rsidRPr="00B83411" w:rsidRDefault="00DB0DA1" w:rsidP="0068089E">
      <w:pPr>
        <w:pStyle w:val="ListParagraph"/>
        <w:numPr>
          <w:ilvl w:val="0"/>
          <w:numId w:val="19"/>
        </w:numPr>
      </w:pPr>
      <w:r w:rsidRPr="00B83411">
        <w:t xml:space="preserve">The Title Administrator / </w:t>
      </w:r>
      <w:r w:rsidR="00AC5AD5" w:rsidRPr="00B83411">
        <w:t xml:space="preserve">Registrar </w:t>
      </w:r>
      <w:r w:rsidRPr="00B83411">
        <w:t xml:space="preserve">needs to be more efficient in its operations, including having more streamlined processes and systems as well as reduced duplication and greater integration </w:t>
      </w:r>
      <w:r w:rsidR="00AC5AD5" w:rsidRPr="00B83411">
        <w:t>across government</w:t>
      </w:r>
      <w:r w:rsidRPr="00B83411">
        <w:t>.</w:t>
      </w:r>
    </w:p>
    <w:p w14:paraId="765C5A05" w14:textId="5C33D3AA" w:rsidR="00E9313E" w:rsidRPr="00B83411" w:rsidRDefault="00E9313E" w:rsidP="0068089E">
      <w:pPr>
        <w:pStyle w:val="ListParagraph"/>
        <w:numPr>
          <w:ilvl w:val="0"/>
          <w:numId w:val="19"/>
        </w:numPr>
      </w:pPr>
      <w:r w:rsidRPr="00B83411">
        <w:t xml:space="preserve">There is a lack of information from a stakeholder’s perspective about </w:t>
      </w:r>
      <w:r w:rsidR="00B6637C" w:rsidRPr="00B83411">
        <w:t xml:space="preserve">a number of </w:t>
      </w:r>
      <w:r w:rsidRPr="00B83411">
        <w:t xml:space="preserve">NOPTA’s </w:t>
      </w:r>
      <w:r w:rsidR="00B6637C" w:rsidRPr="00B83411">
        <w:t xml:space="preserve">activities, particularly </w:t>
      </w:r>
      <w:r w:rsidRPr="00B83411">
        <w:t xml:space="preserve">continuous improvement initiatives, </w:t>
      </w:r>
      <w:r w:rsidR="00B6637C" w:rsidRPr="00B83411">
        <w:t xml:space="preserve">encouraging voluntary compliance, the transparency of its decisions and being risk-based (based on high proportions of </w:t>
      </w:r>
      <w:r w:rsidR="00B6637C" w:rsidRPr="00B83411">
        <w:rPr>
          <w:i/>
          <w:iCs/>
        </w:rPr>
        <w:t>Unsure</w:t>
      </w:r>
      <w:r w:rsidR="00B6637C" w:rsidRPr="00B83411">
        <w:t xml:space="preserve"> or no answers to these questions). NOPTA needs to consider increasing its information about these activities and/or only asking knowledgeable stakeholders for feedback about the</w:t>
      </w:r>
      <w:r w:rsidR="00DB0DA1" w:rsidRPr="00B83411">
        <w:t xml:space="preserve"> activities</w:t>
      </w:r>
      <w:r w:rsidR="00B6637C" w:rsidRPr="00B83411">
        <w:t>.</w:t>
      </w:r>
    </w:p>
    <w:p w14:paraId="5F26F1FA" w14:textId="77777777" w:rsidR="008E1327" w:rsidRPr="00B83411" w:rsidRDefault="008E1327" w:rsidP="007D2133"/>
    <w:p w14:paraId="2F18B681" w14:textId="1FD4082D" w:rsidR="007D2133" w:rsidRPr="00B83411" w:rsidRDefault="007D2133" w:rsidP="007D2133">
      <w:pPr>
        <w:rPr>
          <w:color w:val="00376E"/>
          <w:kern w:val="32"/>
          <w:sz w:val="36"/>
          <w:szCs w:val="18"/>
        </w:rPr>
      </w:pPr>
      <w:r w:rsidRPr="00B83411">
        <w:br w:type="page"/>
      </w:r>
    </w:p>
    <w:p w14:paraId="00D9A0EC" w14:textId="3761697D" w:rsidR="00EB47FA" w:rsidRPr="00B83411" w:rsidRDefault="00EB47FA" w:rsidP="00655425">
      <w:pPr>
        <w:pStyle w:val="Heading1"/>
      </w:pPr>
      <w:bookmarkStart w:id="45" w:name="_Toc213926364"/>
      <w:r w:rsidRPr="00B83411">
        <w:t>Appendi</w:t>
      </w:r>
      <w:r w:rsidR="00534D95" w:rsidRPr="00B83411">
        <w:t xml:space="preserve">x </w:t>
      </w:r>
      <w:r w:rsidR="00F26D21" w:rsidRPr="00B83411">
        <w:t>A</w:t>
      </w:r>
      <w:r w:rsidR="00C84586" w:rsidRPr="00B83411">
        <w:t xml:space="preserve">: </w:t>
      </w:r>
      <w:r w:rsidR="007D2133" w:rsidRPr="00B83411">
        <w:t>2025 q</w:t>
      </w:r>
      <w:r w:rsidR="00C84586" w:rsidRPr="00B83411">
        <w:t>uestionnaire</w:t>
      </w:r>
      <w:bookmarkEnd w:id="45"/>
    </w:p>
    <w:p w14:paraId="3E79E256" w14:textId="77777777" w:rsidR="00F64090" w:rsidRPr="00F64090" w:rsidRDefault="006A21F4" w:rsidP="00F64090">
      <w:r w:rsidRPr="00F64090">
        <w:t xml:space="preserve">The questionnaire format presented in </w:t>
      </w:r>
      <w:r w:rsidR="00372A47" w:rsidRPr="00F64090">
        <w:t>A</w:t>
      </w:r>
      <w:r w:rsidRPr="00F64090">
        <w:t xml:space="preserve">ppendix </w:t>
      </w:r>
      <w:r w:rsidR="00372A47" w:rsidRPr="00F64090">
        <w:t xml:space="preserve">A </w:t>
      </w:r>
      <w:r w:rsidR="00951BB0" w:rsidRPr="00F64090">
        <w:t>wa</w:t>
      </w:r>
      <w:r w:rsidRPr="00F64090">
        <w:t xml:space="preserve">s generated using SurveyManager®, an Australian survey, online forms and online data collection platform. </w:t>
      </w:r>
    </w:p>
    <w:p w14:paraId="16C591F2" w14:textId="64ECD103" w:rsidR="0055477A" w:rsidRPr="00F64090" w:rsidRDefault="0055477A" w:rsidP="00F64090">
      <w:r w:rsidRPr="00F64090">
        <w:t xml:space="preserve">This version of the questionnaire below shows all questions. Logic was applied using respondent attributes, so no respondent saw all questions presented below. </w:t>
      </w:r>
    </w:p>
    <w:p w14:paraId="347CB793" w14:textId="77777777" w:rsidR="0055477A" w:rsidRPr="00B83411" w:rsidRDefault="0055477A" w:rsidP="0055477A">
      <w:pPr>
        <w:spacing w:before="0" w:line="240" w:lineRule="auto"/>
        <w:ind w:right="0"/>
        <w:rPr>
          <w:rFonts w:eastAsia="Times New Roman"/>
          <w:sz w:val="24"/>
          <w:szCs w:val="24"/>
          <w:lang w:eastAsia="en-AU"/>
        </w:rPr>
      </w:pPr>
    </w:p>
    <w:p w14:paraId="2F9B40E5" w14:textId="77777777" w:rsidR="0055477A" w:rsidRPr="00B83411" w:rsidRDefault="0055477A" w:rsidP="0055477A">
      <w:pPr>
        <w:spacing w:before="0" w:after="120" w:line="240" w:lineRule="auto"/>
        <w:ind w:right="0"/>
        <w:rPr>
          <w:rFonts w:eastAsia="Times New Roman"/>
          <w:b/>
          <w:sz w:val="24"/>
          <w:szCs w:val="24"/>
          <w:lang w:eastAsia="en-AU"/>
        </w:rPr>
      </w:pPr>
      <w:r w:rsidRPr="00B83411">
        <w:rPr>
          <w:rFonts w:eastAsia="Times New Roman"/>
          <w:b/>
          <w:sz w:val="24"/>
          <w:lang w:eastAsia="en-AU"/>
        </w:rPr>
        <w:t>Your interactions with the Titles Administrator / Offshore Infrastructure Registrar</w:t>
      </w:r>
    </w:p>
    <w:tbl>
      <w:tblPr>
        <w:tblW w:w="5000" w:type="pct"/>
        <w:tblLook w:val="04A0" w:firstRow="1" w:lastRow="0" w:firstColumn="1" w:lastColumn="0" w:noHBand="0" w:noVBand="1"/>
      </w:tblPr>
      <w:tblGrid>
        <w:gridCol w:w="9631"/>
      </w:tblGrid>
      <w:tr w:rsidR="0055477A" w:rsidRPr="00B83411" w14:paraId="37C6C576" w14:textId="77777777">
        <w:tc>
          <w:tcPr>
            <w:tcW w:w="0" w:type="auto"/>
          </w:tcPr>
          <w:p w14:paraId="72155766" w14:textId="50A176F6" w:rsidR="0055477A" w:rsidRPr="00B83411" w:rsidRDefault="0055477A" w:rsidP="0055477A">
            <w:pPr>
              <w:spacing w:before="0" w:line="240" w:lineRule="auto"/>
              <w:ind w:right="0"/>
              <w:rPr>
                <w:rFonts w:eastAsia="Times New Roman"/>
                <w:b/>
              </w:rPr>
            </w:pPr>
            <w:r w:rsidRPr="00B83411">
              <w:rPr>
                <w:rFonts w:eastAsia="Times New Roman"/>
                <w:lang w:eastAsia="en-AU"/>
              </w:rPr>
              <w:t xml:space="preserve">Over the past 6 to 12 months, please estimate how many times you interacted in some way with Titles Administrator / Offshore Infrastructure Registrar. This could include using digital systems, phone calls, attending meetings, using Titles Administrator / Offshore Infrastructure Registrar's website, etc. </w:t>
            </w:r>
            <w:r w:rsidRPr="00B83411">
              <w:rPr>
                <w:rFonts w:eastAsia="Times New Roman"/>
                <w:i/>
                <w:iCs/>
                <w:lang w:eastAsia="en-AU"/>
              </w:rPr>
              <w:t>An estimate is fine. </w:t>
            </w:r>
          </w:p>
        </w:tc>
      </w:tr>
    </w:tbl>
    <w:tbl>
      <w:tblPr>
        <w:tblW w:w="0" w:type="auto"/>
        <w:tblLayout w:type="fixed"/>
        <w:tblLook w:val="04A0" w:firstRow="1" w:lastRow="0" w:firstColumn="1" w:lastColumn="0" w:noHBand="0" w:noVBand="1"/>
      </w:tblPr>
      <w:tblGrid>
        <w:gridCol w:w="800"/>
        <w:gridCol w:w="8000"/>
      </w:tblGrid>
      <w:tr w:rsidR="0055477A" w:rsidRPr="00B83411" w14:paraId="3E447D8D" w14:textId="77777777">
        <w:tc>
          <w:tcPr>
            <w:tcW w:w="800" w:type="dxa"/>
          </w:tcPr>
          <w:p w14:paraId="5F921ECD" w14:textId="77777777" w:rsidR="0055477A" w:rsidRPr="00B83411" w:rsidRDefault="0055477A" w:rsidP="0055477A">
            <w:pPr>
              <w:spacing w:before="0" w:line="240" w:lineRule="auto"/>
              <w:ind w:left="200" w:right="0"/>
              <w:jc w:val="right"/>
              <w:rPr>
                <w:rFonts w:eastAsia="Times New Roman"/>
              </w:rPr>
            </w:pPr>
            <w:r w:rsidRPr="00B83411">
              <w:rPr>
                <w:rFonts w:eastAsia="Wingdings 2" w:cs="Arial Nova"/>
                <w:sz w:val="22"/>
              </w:rPr>
              <w:t>™</w:t>
            </w:r>
          </w:p>
        </w:tc>
        <w:tc>
          <w:tcPr>
            <w:tcW w:w="8000" w:type="dxa"/>
          </w:tcPr>
          <w:p w14:paraId="03B47DA3"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No interactions</w:t>
            </w:r>
          </w:p>
        </w:tc>
      </w:tr>
      <w:tr w:rsidR="0055477A" w:rsidRPr="00B83411" w14:paraId="4BAE7335" w14:textId="77777777">
        <w:tc>
          <w:tcPr>
            <w:tcW w:w="800" w:type="dxa"/>
          </w:tcPr>
          <w:p w14:paraId="649171EC" w14:textId="77777777" w:rsidR="0055477A" w:rsidRPr="00B83411" w:rsidRDefault="0055477A" w:rsidP="0055477A">
            <w:pPr>
              <w:spacing w:before="0" w:line="240" w:lineRule="auto"/>
              <w:ind w:right="0"/>
              <w:jc w:val="right"/>
              <w:rPr>
                <w:rFonts w:eastAsia="Times New Roman"/>
              </w:rPr>
            </w:pPr>
            <w:r w:rsidRPr="00B83411">
              <w:rPr>
                <w:rFonts w:eastAsia="Wingdings 2" w:cs="Arial Nova"/>
                <w:sz w:val="22"/>
              </w:rPr>
              <w:t>™</w:t>
            </w:r>
          </w:p>
        </w:tc>
        <w:tc>
          <w:tcPr>
            <w:tcW w:w="8000" w:type="dxa"/>
          </w:tcPr>
          <w:p w14:paraId="3ACC538F"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1 to 10</w:t>
            </w:r>
          </w:p>
        </w:tc>
      </w:tr>
      <w:tr w:rsidR="0055477A" w:rsidRPr="00B83411" w14:paraId="2237B183" w14:textId="77777777">
        <w:tc>
          <w:tcPr>
            <w:tcW w:w="800" w:type="dxa"/>
          </w:tcPr>
          <w:p w14:paraId="7E86A56C" w14:textId="77777777" w:rsidR="0055477A" w:rsidRPr="00B83411" w:rsidRDefault="0055477A" w:rsidP="0055477A">
            <w:pPr>
              <w:spacing w:before="0" w:line="240" w:lineRule="auto"/>
              <w:ind w:right="0"/>
              <w:jc w:val="right"/>
              <w:rPr>
                <w:rFonts w:eastAsia="Times New Roman"/>
              </w:rPr>
            </w:pPr>
            <w:r w:rsidRPr="00B83411">
              <w:rPr>
                <w:rFonts w:eastAsia="Wingdings 2" w:cs="Arial Nova"/>
                <w:sz w:val="22"/>
              </w:rPr>
              <w:t>™</w:t>
            </w:r>
          </w:p>
        </w:tc>
        <w:tc>
          <w:tcPr>
            <w:tcW w:w="8000" w:type="dxa"/>
          </w:tcPr>
          <w:p w14:paraId="0E851307"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11 to 30</w:t>
            </w:r>
          </w:p>
        </w:tc>
      </w:tr>
      <w:tr w:rsidR="0055477A" w:rsidRPr="00B83411" w14:paraId="2E9A4316" w14:textId="77777777">
        <w:tc>
          <w:tcPr>
            <w:tcW w:w="800" w:type="dxa"/>
          </w:tcPr>
          <w:p w14:paraId="4DA1AA62" w14:textId="77777777" w:rsidR="0055477A" w:rsidRPr="00B83411" w:rsidRDefault="0055477A" w:rsidP="0055477A">
            <w:pPr>
              <w:spacing w:before="0" w:line="240" w:lineRule="auto"/>
              <w:ind w:right="0"/>
              <w:jc w:val="right"/>
              <w:rPr>
                <w:rFonts w:eastAsia="Times New Roman"/>
              </w:rPr>
            </w:pPr>
            <w:r w:rsidRPr="00B83411">
              <w:rPr>
                <w:rFonts w:eastAsia="Wingdings 2" w:cs="Arial Nova"/>
                <w:sz w:val="22"/>
              </w:rPr>
              <w:t>™</w:t>
            </w:r>
          </w:p>
        </w:tc>
        <w:tc>
          <w:tcPr>
            <w:tcW w:w="8000" w:type="dxa"/>
          </w:tcPr>
          <w:p w14:paraId="4E12497E"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More than 30</w:t>
            </w:r>
          </w:p>
        </w:tc>
      </w:tr>
    </w:tbl>
    <w:p w14:paraId="6F0C7470" w14:textId="77777777" w:rsidR="0055477A" w:rsidRPr="00B83411" w:rsidRDefault="0055477A" w:rsidP="0055477A">
      <w:pPr>
        <w:spacing w:before="0" w:line="240" w:lineRule="auto"/>
        <w:ind w:right="0"/>
        <w:rPr>
          <w:rFonts w:eastAsia="Times New Roman"/>
          <w:lang w:eastAsia="en-AU"/>
        </w:rPr>
      </w:pPr>
    </w:p>
    <w:tbl>
      <w:tblPr>
        <w:tblW w:w="5000" w:type="pct"/>
        <w:tblLook w:val="04A0" w:firstRow="1" w:lastRow="0" w:firstColumn="1" w:lastColumn="0" w:noHBand="0" w:noVBand="1"/>
      </w:tblPr>
      <w:tblGrid>
        <w:gridCol w:w="9631"/>
      </w:tblGrid>
      <w:tr w:rsidR="0055477A" w:rsidRPr="00B83411" w14:paraId="3123BCCB" w14:textId="77777777">
        <w:tc>
          <w:tcPr>
            <w:tcW w:w="0" w:type="auto"/>
          </w:tcPr>
          <w:p w14:paraId="4BDBD789"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How do you rate the Titles Administrator / Offshore Infrastructure Registrar on the following:</w:t>
            </w:r>
          </w:p>
          <w:p w14:paraId="4BE87D82" w14:textId="77777777" w:rsidR="0055477A" w:rsidRPr="00B83411" w:rsidRDefault="0055477A" w:rsidP="0055477A">
            <w:pPr>
              <w:spacing w:before="0" w:line="240" w:lineRule="auto"/>
              <w:ind w:right="0"/>
              <w:rPr>
                <w:rFonts w:eastAsia="Times New Roman"/>
                <w:b/>
              </w:rPr>
            </w:pPr>
            <w:r w:rsidRPr="00B83411">
              <w:rPr>
                <w:rFonts w:eastAsia="Times New Roman"/>
                <w:i/>
                <w:iCs/>
                <w:lang w:eastAsia="en-AU"/>
              </w:rPr>
              <w:t>When answering, think about your interactions in the last 6 to 12 months. </w:t>
            </w:r>
          </w:p>
        </w:tc>
      </w:tr>
    </w:tbl>
    <w:p w14:paraId="430E860C" w14:textId="77777777" w:rsidR="0055477A" w:rsidRPr="00B83411" w:rsidRDefault="0055477A" w:rsidP="0055477A">
      <w:pPr>
        <w:spacing w:before="0" w:line="240" w:lineRule="auto"/>
        <w:ind w:right="0"/>
        <w:rPr>
          <w:rFonts w:eastAsia="Times New Roman"/>
          <w:lang w:eastAsia="en-AU"/>
        </w:rPr>
      </w:pPr>
    </w:p>
    <w:tbl>
      <w:tblPr>
        <w:tblW w:w="46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956"/>
        <w:gridCol w:w="957"/>
        <w:gridCol w:w="957"/>
        <w:gridCol w:w="957"/>
        <w:gridCol w:w="957"/>
        <w:gridCol w:w="957"/>
      </w:tblGrid>
      <w:tr w:rsidR="0055477A" w:rsidRPr="00B83411" w14:paraId="119055A3"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394D15" w14:textId="76459A09" w:rsidR="0055477A" w:rsidRPr="00B83411" w:rsidRDefault="0055477A" w:rsidP="0055477A">
            <w:pPr>
              <w:spacing w:before="0" w:line="240" w:lineRule="auto"/>
              <w:ind w:left="200" w:right="0"/>
              <w:jc w:val="center"/>
              <w:rPr>
                <w:rFonts w:eastAsia="Times New Roman"/>
              </w:rPr>
            </w:pP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4EE67B"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ED044F"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CAF57C"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Sometimes poor/ sometimes good</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386506"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885BE4"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3A02F6"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Unsure / not enough info to answer</w:t>
            </w:r>
          </w:p>
        </w:tc>
      </w:tr>
      <w:tr w:rsidR="0055477A" w:rsidRPr="00B83411" w14:paraId="1A495928"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31FF84"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Technical expertise</w:t>
            </w:r>
            <w:r w:rsidRPr="00B83411">
              <w:rPr>
                <w:rFonts w:eastAsia="Times New Roman"/>
                <w:lang w:eastAsia="en-AU"/>
              </w:rPr>
              <w:t xml:space="preserve"> of staff</w:t>
            </w: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2458B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6C8F0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B7762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3D818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9DED9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B03E0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345D02FA"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EE249B"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Helpfulness </w:t>
            </w:r>
            <w:r w:rsidRPr="00B83411">
              <w:rPr>
                <w:rFonts w:eastAsia="Times New Roman"/>
                <w:lang w:eastAsia="en-AU"/>
              </w:rPr>
              <w:t>of staff</w:t>
            </w: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FF165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07EA4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B2AEB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E6241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03260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D7943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D640BA2"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480F3A"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Building cooperative relationships</w:t>
            </w:r>
            <w:r w:rsidRPr="00B83411">
              <w:rPr>
                <w:rFonts w:eastAsia="Times New Roman"/>
                <w:lang w:eastAsia="en-AU"/>
              </w:rPr>
              <w:t xml:space="preserve"> with your company and industry</w:t>
            </w: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7D1F2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21EBF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66752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A8BD3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6FF0B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71D77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632D4B2"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1F1534"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Building cooperative relationships </w:t>
            </w:r>
            <w:r w:rsidRPr="00B83411">
              <w:rPr>
                <w:rFonts w:eastAsia="Times New Roman"/>
                <w:lang w:eastAsia="en-AU"/>
              </w:rPr>
              <w:t>with government decision makers / your agency</w:t>
            </w: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7D2D1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37332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245A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279D8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2D3B0F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38DAE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342468F5"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7165F0C"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Collaboration </w:t>
            </w:r>
            <w:r w:rsidRPr="00B83411">
              <w:rPr>
                <w:rFonts w:eastAsia="Times New Roman"/>
                <w:lang w:eastAsia="en-AU"/>
              </w:rPr>
              <w:t>with stakeholders to improve administration</w:t>
            </w: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49138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7FA09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40029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B036D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35BE9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DD557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71D4402F" w14:textId="77777777" w:rsidTr="0055477A">
        <w:tc>
          <w:tcPr>
            <w:tcW w:w="318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3DB57B7"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Working with other government agencies </w:t>
            </w:r>
            <w:r w:rsidRPr="00B83411">
              <w:rPr>
                <w:rFonts w:eastAsia="Times New Roman"/>
                <w:lang w:eastAsia="en-AU"/>
              </w:rPr>
              <w:t>and authorities to provide a consistent, whole of government approach to offshore electricity infrastructure</w:t>
            </w:r>
          </w:p>
        </w:tc>
        <w:tc>
          <w:tcPr>
            <w:tcW w:w="956"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C10A1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AC922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70E4A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008A6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4CA399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5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0FCA6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76AF2D74" w14:textId="77777777" w:rsidR="0055477A" w:rsidRPr="00B83411" w:rsidRDefault="0055477A" w:rsidP="0055477A">
      <w:pPr>
        <w:spacing w:before="0" w:line="240" w:lineRule="auto"/>
        <w:ind w:left="200" w:right="0"/>
        <w:jc w:val="center"/>
        <w:rPr>
          <w:rFonts w:eastAsia="Times New Roman"/>
          <w:lang w:eastAsia="en-AU"/>
        </w:rPr>
      </w:pPr>
    </w:p>
    <w:p w14:paraId="396FA803" w14:textId="77777777" w:rsidR="0055477A" w:rsidRPr="00B83411" w:rsidRDefault="0055477A" w:rsidP="0055477A">
      <w:pPr>
        <w:spacing w:before="0" w:line="240" w:lineRule="auto"/>
        <w:ind w:left="200" w:right="0"/>
        <w:jc w:val="center"/>
        <w:rPr>
          <w:rFonts w:eastAsia="Times New Roman"/>
          <w:lang w:eastAsia="en-AU"/>
        </w:rPr>
      </w:pPr>
      <w:r w:rsidRPr="00B83411">
        <w:rPr>
          <w:rFonts w:eastAsia="Times New Roman"/>
          <w:lang w:eastAsia="en-AU"/>
        </w:rPr>
        <w:br w:type="page"/>
      </w:r>
    </w:p>
    <w:tbl>
      <w:tblPr>
        <w:tblW w:w="4710" w:type="pct"/>
        <w:tblLayout w:type="fixed"/>
        <w:tblLook w:val="04A0" w:firstRow="1" w:lastRow="0" w:firstColumn="1" w:lastColumn="0" w:noHBand="0" w:noVBand="1"/>
      </w:tblPr>
      <w:tblGrid>
        <w:gridCol w:w="3423"/>
        <w:gridCol w:w="941"/>
        <w:gridCol w:w="942"/>
        <w:gridCol w:w="942"/>
        <w:gridCol w:w="942"/>
        <w:gridCol w:w="942"/>
        <w:gridCol w:w="940"/>
      </w:tblGrid>
      <w:tr w:rsidR="0055477A" w:rsidRPr="00B83411" w14:paraId="649E39E5" w14:textId="77777777" w:rsidTr="0055477A">
        <w:tc>
          <w:tcPr>
            <w:tcW w:w="5000" w:type="pct"/>
            <w:gridSpan w:val="7"/>
            <w:tcMar>
              <w:top w:w="80" w:type="dxa"/>
              <w:left w:w="40" w:type="dxa"/>
              <w:bottom w:w="80" w:type="dxa"/>
              <w:right w:w="40" w:type="dxa"/>
            </w:tcMar>
          </w:tcPr>
          <w:p w14:paraId="0B8D5216" w14:textId="77777777" w:rsidR="0055477A" w:rsidRPr="00B83411" w:rsidRDefault="0055477A" w:rsidP="0055477A">
            <w:pPr>
              <w:spacing w:before="0" w:line="240" w:lineRule="auto"/>
              <w:ind w:right="0"/>
              <w:rPr>
                <w:rFonts w:eastAsia="Times New Roman"/>
                <w:lang w:eastAsia="en-AU"/>
              </w:rPr>
            </w:pPr>
            <w:r w:rsidRPr="00B83411">
              <w:rPr>
                <w:rFonts w:ascii="Times New Roman" w:eastAsia="Times New Roman" w:hAnsi="Times New Roman"/>
                <w:lang w:eastAsia="en-AU"/>
              </w:rPr>
              <w:br w:type="page"/>
            </w:r>
            <w:r w:rsidRPr="00B83411">
              <w:rPr>
                <w:rFonts w:eastAsia="Times New Roman"/>
                <w:lang w:eastAsia="en-AU"/>
              </w:rPr>
              <w:t>How do you rate the Titles Administrator / Offshore Infrastructure Registrar on the following:</w:t>
            </w:r>
          </w:p>
          <w:p w14:paraId="4792C50C" w14:textId="77777777" w:rsidR="0055477A" w:rsidRPr="00B83411" w:rsidRDefault="0055477A" w:rsidP="0055477A">
            <w:pPr>
              <w:spacing w:before="0" w:after="120" w:line="240" w:lineRule="auto"/>
              <w:ind w:right="0"/>
              <w:rPr>
                <w:rFonts w:eastAsia="Times New Roman"/>
                <w:b/>
              </w:rPr>
            </w:pPr>
            <w:r w:rsidRPr="00B83411">
              <w:rPr>
                <w:rFonts w:eastAsia="Times New Roman"/>
                <w:i/>
                <w:iCs/>
                <w:lang w:eastAsia="en-AU"/>
              </w:rPr>
              <w:t>When answering, think about your interactions in the last 6 to 12 months. </w:t>
            </w:r>
          </w:p>
        </w:tc>
      </w:tr>
      <w:tr w:rsidR="0055477A" w:rsidRPr="00B83411" w14:paraId="7EE9D438"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1FEC8C" w14:textId="77777777" w:rsidR="0055477A" w:rsidRPr="00B83411" w:rsidRDefault="0055477A" w:rsidP="0055477A">
            <w:pPr>
              <w:spacing w:before="0" w:line="240" w:lineRule="auto"/>
              <w:ind w:left="200" w:right="0"/>
              <w:jc w:val="center"/>
              <w:rPr>
                <w:rFonts w:eastAsia="Times New Roman"/>
              </w:rPr>
            </w:pP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C26EFB"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286EE5"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4332D9F"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Sometimes poor/ sometimes good</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69EBDA"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89E1CA"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A7C2D2"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Unsure / not enough info to answer</w:t>
            </w:r>
          </w:p>
        </w:tc>
      </w:tr>
      <w:tr w:rsidR="0055477A" w:rsidRPr="00B83411" w14:paraId="7F89B28E"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B7F51B1"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Accuracy </w:t>
            </w:r>
            <w:r w:rsidRPr="00B83411">
              <w:rPr>
                <w:rFonts w:eastAsia="Times New Roman"/>
                <w:lang w:eastAsia="en-AU"/>
              </w:rPr>
              <w:t>of the information it provides</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6DDC2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A295F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5FCC2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276FC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CF6D71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A66BF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295246AC"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93F622"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Clarity </w:t>
            </w:r>
            <w:r w:rsidRPr="00B83411">
              <w:rPr>
                <w:rFonts w:eastAsia="Times New Roman"/>
                <w:lang w:eastAsia="en-AU"/>
              </w:rPr>
              <w:t>of information it provides</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565CA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72C640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55A3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62163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FB24F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C590D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0116A2FF"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6E01A9"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Accuracy </w:t>
            </w:r>
            <w:r w:rsidRPr="00B83411">
              <w:rPr>
                <w:rFonts w:eastAsia="Times New Roman"/>
                <w:lang w:eastAsia="en-AU"/>
              </w:rPr>
              <w:t>of advice it provides</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B428DA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3422B8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8C68F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A3381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AC00C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A7C3F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038FB8F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C77BB32"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Clarity </w:t>
            </w:r>
            <w:r w:rsidRPr="00B83411">
              <w:rPr>
                <w:rFonts w:eastAsia="Times New Roman"/>
                <w:lang w:eastAsia="en-AU"/>
              </w:rPr>
              <w:t>of advice it provides </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8554D9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B8EC31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E03C5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B7721A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53EEC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FBDE6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A4B2182"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B68669"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Justification </w:t>
            </w:r>
            <w:r w:rsidRPr="00B83411">
              <w:rPr>
                <w:rFonts w:eastAsia="Times New Roman"/>
                <w:lang w:eastAsia="en-AU"/>
              </w:rPr>
              <w:t>of its decisions made about offshore titles / licences</w:t>
            </w:r>
            <w:r w:rsidRPr="00B83411">
              <w:rPr>
                <w:rFonts w:eastAsia="Times New Roman"/>
                <w:i/>
                <w:iCs/>
                <w:lang w:eastAsia="en-AU"/>
              </w:rPr>
              <w:t xml:space="preserve"> (justification includes clearly explaining the reasons for a decision)</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4F3EF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2F54E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5D8430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49171F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CCD5B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F2F729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595D2EB"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51433B"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Justification </w:t>
            </w:r>
            <w:r w:rsidRPr="00B83411">
              <w:rPr>
                <w:rFonts w:eastAsia="Times New Roman"/>
                <w:lang w:eastAsia="en-AU"/>
              </w:rPr>
              <w:t>of its recommendations made about offshore titles / licences</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8D017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7DA2D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DE15C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F6928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5FAB5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3D1D3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B465C1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C94D5A"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Consistency </w:t>
            </w:r>
            <w:r w:rsidRPr="00B83411">
              <w:rPr>
                <w:rFonts w:eastAsia="Times New Roman"/>
                <w:lang w:eastAsia="en-AU"/>
              </w:rPr>
              <w:t>of its information </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A9303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AB828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BA3E2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EEDC8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8EB44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A7F3F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EBFDBE8"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546A0C9"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Consistency </w:t>
            </w:r>
            <w:r w:rsidRPr="00B83411">
              <w:rPr>
                <w:rFonts w:eastAsia="Times New Roman"/>
                <w:lang w:eastAsia="en-AU"/>
              </w:rPr>
              <w:t>of its advice / recommendations</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932A1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5C2A3E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17805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BA3106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B9ED6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D47CA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62452E3E"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8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640BB4"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Transparency </w:t>
            </w:r>
            <w:r w:rsidRPr="00B83411">
              <w:rPr>
                <w:rFonts w:eastAsia="Times New Roman"/>
                <w:lang w:eastAsia="en-AU"/>
              </w:rPr>
              <w:t>of its decisions about offshore titles / licences</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21C99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4061F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FB9AC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6D676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25EE6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1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38DB6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130BF318" w14:textId="77777777" w:rsidR="0055477A" w:rsidRPr="00B83411" w:rsidRDefault="0055477A" w:rsidP="0055477A">
      <w:pPr>
        <w:spacing w:before="0" w:line="240" w:lineRule="auto"/>
        <w:ind w:right="0"/>
        <w:rPr>
          <w:rFonts w:eastAsia="Times New Roman"/>
          <w:lang w:eastAsia="en-AU"/>
        </w:rPr>
      </w:pPr>
    </w:p>
    <w:tbl>
      <w:tblPr>
        <w:tblW w:w="4710" w:type="pct"/>
        <w:tblLook w:val="04A0" w:firstRow="1" w:lastRow="0" w:firstColumn="1" w:lastColumn="0" w:noHBand="0" w:noVBand="1"/>
      </w:tblPr>
      <w:tblGrid>
        <w:gridCol w:w="3478"/>
        <w:gridCol w:w="754"/>
        <w:gridCol w:w="765"/>
        <w:gridCol w:w="1497"/>
        <w:gridCol w:w="852"/>
        <w:gridCol w:w="806"/>
        <w:gridCol w:w="920"/>
      </w:tblGrid>
      <w:tr w:rsidR="0055477A" w:rsidRPr="00B83411" w14:paraId="0F078A55" w14:textId="77777777" w:rsidTr="0055477A">
        <w:tc>
          <w:tcPr>
            <w:tcW w:w="5000" w:type="pct"/>
            <w:gridSpan w:val="7"/>
            <w:tcMar>
              <w:top w:w="80" w:type="dxa"/>
              <w:left w:w="40" w:type="dxa"/>
              <w:bottom w:w="80" w:type="dxa"/>
              <w:right w:w="40" w:type="dxa"/>
            </w:tcMar>
          </w:tcPr>
          <w:p w14:paraId="4C7988C7"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How do you rate the Titles Administrator / Offshore Infrastructure Registrar on the following:</w:t>
            </w:r>
          </w:p>
          <w:p w14:paraId="6D8128CF" w14:textId="77777777" w:rsidR="0055477A" w:rsidRPr="00B83411" w:rsidRDefault="0055477A" w:rsidP="0055477A">
            <w:pPr>
              <w:spacing w:before="0" w:line="240" w:lineRule="auto"/>
              <w:ind w:right="0"/>
              <w:rPr>
                <w:rFonts w:eastAsia="Times New Roman"/>
                <w:b/>
              </w:rPr>
            </w:pPr>
            <w:r w:rsidRPr="00B83411">
              <w:rPr>
                <w:rFonts w:eastAsia="Times New Roman"/>
                <w:i/>
                <w:iCs/>
                <w:lang w:eastAsia="en-AU"/>
              </w:rPr>
              <w:t>When answering, think about your interactions in the last 6 to 12 months. </w:t>
            </w:r>
          </w:p>
        </w:tc>
      </w:tr>
      <w:tr w:rsidR="0055477A" w:rsidRPr="00B83411" w14:paraId="006D903B"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F529F8B" w14:textId="77777777" w:rsidR="0055477A" w:rsidRPr="00B83411" w:rsidRDefault="0055477A" w:rsidP="0055477A">
            <w:pPr>
              <w:spacing w:before="0" w:line="240" w:lineRule="auto"/>
              <w:ind w:left="200" w:right="0"/>
              <w:jc w:val="center"/>
              <w:rPr>
                <w:rFonts w:eastAsia="Times New Roman"/>
              </w:rPr>
            </w:pP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BF67F9"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47215"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995310"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Sometimes poor/ sometimes good</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1478F0"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7046DC"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5B3E31"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Unsure</w:t>
            </w:r>
          </w:p>
        </w:tc>
      </w:tr>
      <w:tr w:rsidR="0055477A" w:rsidRPr="00B83411" w14:paraId="71FE762A"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42E447"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 xml:space="preserve">The </w:t>
            </w:r>
            <w:r w:rsidRPr="00B83411">
              <w:rPr>
                <w:rFonts w:eastAsia="Times New Roman"/>
                <w:b/>
                <w:bCs/>
                <w:lang w:eastAsia="en-AU"/>
              </w:rPr>
              <w:t xml:space="preserve">efficiency </w:t>
            </w:r>
            <w:r w:rsidRPr="00B83411">
              <w:rPr>
                <w:rFonts w:eastAsia="Times New Roman"/>
                <w:lang w:eastAsia="en-AU"/>
              </w:rPr>
              <w:t>of its titles / licences administration (</w:t>
            </w:r>
            <w:r w:rsidRPr="00B83411">
              <w:rPr>
                <w:rFonts w:eastAsia="Times New Roman"/>
                <w:i/>
                <w:iCs/>
                <w:lang w:eastAsia="en-AU"/>
              </w:rPr>
              <w:t>efficiency refers to accomplishing objectives with the least waste of time and effort as well as on time / on budget)</w:t>
            </w:r>
            <w:r w:rsidRPr="00B83411">
              <w:rPr>
                <w:rFonts w:eastAsia="Times New Roman"/>
                <w:i/>
                <w:iCs/>
                <w:lang w:eastAsia="en-AU"/>
              </w:rPr>
              <w:br/>
            </w:r>
            <w:r w:rsidRPr="00B83411">
              <w:rPr>
                <w:rFonts w:eastAsia="Times New Roman"/>
                <w:lang w:eastAsia="en-AU"/>
              </w:rPr>
              <w:t> </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3C3E2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932A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888C1A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7AEC9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D3B93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757B0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2BB82CD4"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081E5F"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 xml:space="preserve">The </w:t>
            </w:r>
            <w:r w:rsidRPr="00B83411">
              <w:rPr>
                <w:rFonts w:eastAsia="Times New Roman"/>
                <w:b/>
                <w:bCs/>
                <w:lang w:eastAsia="en-AU"/>
              </w:rPr>
              <w:t>effectiveness</w:t>
            </w:r>
            <w:r w:rsidRPr="00B83411">
              <w:rPr>
                <w:rFonts w:eastAsia="Times New Roman"/>
                <w:lang w:eastAsia="en-AU"/>
              </w:rPr>
              <w:t xml:space="preserve"> of its titles / licences administration </w:t>
            </w:r>
            <w:r w:rsidRPr="00B83411">
              <w:rPr>
                <w:rFonts w:eastAsia="Times New Roman"/>
                <w:i/>
                <w:iCs/>
                <w:lang w:eastAsia="en-AU"/>
              </w:rPr>
              <w:t>(effectiveness refers to success in achieving stated objectives / functions)</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481F8C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30E09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32446C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1BC6FB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16085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4A8AB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276DB464"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9C8A25"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 xml:space="preserve">Its focus on </w:t>
            </w:r>
            <w:r w:rsidRPr="00B83411">
              <w:rPr>
                <w:rFonts w:eastAsia="Times New Roman"/>
                <w:b/>
                <w:bCs/>
                <w:lang w:eastAsia="en-AU"/>
              </w:rPr>
              <w:t>continuous improvement</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76C921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2C943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3E7CA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413D3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D5DD9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A3B54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0E06AF51"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AE2D21"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Supporting</w:t>
            </w:r>
            <w:r w:rsidRPr="00B83411">
              <w:rPr>
                <w:rFonts w:eastAsia="Times New Roman"/>
                <w:b/>
                <w:bCs/>
                <w:lang w:eastAsia="en-AU"/>
              </w:rPr>
              <w:t xml:space="preserve"> the responsible use</w:t>
            </w:r>
            <w:r w:rsidRPr="00B83411">
              <w:rPr>
                <w:rFonts w:eastAsia="Times New Roman"/>
                <w:lang w:eastAsia="en-AU"/>
              </w:rPr>
              <w:t xml:space="preserve"> of Australia’s offshore energy resources across the title / licensing lifecycle</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062BC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CAFEA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98732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86B69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17E91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560B9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6029F16F"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8070A5"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 xml:space="preserve">Behaving </w:t>
            </w:r>
            <w:r w:rsidRPr="00B83411">
              <w:rPr>
                <w:rFonts w:eastAsia="Times New Roman"/>
                <w:b/>
                <w:bCs/>
                <w:lang w:eastAsia="en-AU"/>
              </w:rPr>
              <w:t>ethically</w:t>
            </w:r>
            <w:r w:rsidRPr="00B83411">
              <w:rPr>
                <w:rFonts w:eastAsia="Times New Roman"/>
                <w:lang w:eastAsia="en-AU"/>
              </w:rPr>
              <w:t> </w:t>
            </w:r>
            <w:r w:rsidRPr="00B83411">
              <w:rPr>
                <w:rFonts w:eastAsia="Times New Roman"/>
                <w:i/>
                <w:iCs/>
                <w:lang w:eastAsia="en-AU"/>
              </w:rPr>
              <w:t>(with integrity and high standards of behaviour)</w:t>
            </w:r>
            <w:r w:rsidRPr="00B83411">
              <w:rPr>
                <w:rFonts w:eastAsia="Times New Roman"/>
                <w:i/>
                <w:iCs/>
                <w:lang w:eastAsia="en-AU"/>
              </w:rPr>
              <w:br/>
            </w:r>
            <w:r w:rsidRPr="00B83411">
              <w:rPr>
                <w:rFonts w:eastAsia="Times New Roman"/>
                <w:lang w:eastAsia="en-AU"/>
              </w:rPr>
              <w:t> </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6E48F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F1786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A4F75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B26C7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F9297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B79DB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CAB8035"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201082"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Balancing </w:t>
            </w:r>
            <w:r w:rsidRPr="00B83411">
              <w:rPr>
                <w:rFonts w:eastAsia="Times New Roman"/>
                <w:lang w:eastAsia="en-AU"/>
              </w:rPr>
              <w:t xml:space="preserve">administrative and compliance </w:t>
            </w:r>
            <w:r w:rsidRPr="00B83411">
              <w:rPr>
                <w:rFonts w:eastAsia="Times New Roman"/>
                <w:b/>
                <w:bCs/>
                <w:lang w:eastAsia="en-AU"/>
              </w:rPr>
              <w:t>effort</w:t>
            </w:r>
            <w:r w:rsidRPr="00B83411">
              <w:rPr>
                <w:rFonts w:eastAsia="Times New Roman"/>
                <w:lang w:eastAsia="en-AU"/>
              </w:rPr>
              <w:t xml:space="preserve"> with </w:t>
            </w:r>
            <w:r w:rsidRPr="00B83411">
              <w:rPr>
                <w:rFonts w:eastAsia="Times New Roman"/>
                <w:b/>
                <w:bCs/>
                <w:lang w:eastAsia="en-AU"/>
              </w:rPr>
              <w:t>outcomes</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D26154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0A4A2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CAED4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FE222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70E5C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2C7C5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C9DDC78"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62403A" w14:textId="77777777" w:rsidR="0055477A" w:rsidRPr="00B83411" w:rsidRDefault="0055477A" w:rsidP="0055477A">
            <w:pPr>
              <w:spacing w:before="0" w:line="240" w:lineRule="auto"/>
              <w:ind w:left="200" w:right="0"/>
              <w:rPr>
                <w:rFonts w:eastAsia="Times New Roman"/>
              </w:rPr>
            </w:pPr>
            <w:r w:rsidRPr="00B83411">
              <w:rPr>
                <w:rFonts w:eastAsia="Times New Roman"/>
                <w:b/>
                <w:bCs/>
                <w:lang w:eastAsia="en-AU"/>
              </w:rPr>
              <w:t xml:space="preserve">Balancing </w:t>
            </w:r>
            <w:r w:rsidRPr="00B83411">
              <w:rPr>
                <w:rFonts w:eastAsia="Times New Roman"/>
                <w:lang w:eastAsia="en-AU"/>
              </w:rPr>
              <w:t xml:space="preserve">administrative </w:t>
            </w:r>
            <w:r w:rsidRPr="00B83411">
              <w:rPr>
                <w:rFonts w:eastAsia="Times New Roman"/>
                <w:b/>
                <w:bCs/>
                <w:lang w:eastAsia="en-AU"/>
              </w:rPr>
              <w:t xml:space="preserve">effort </w:t>
            </w:r>
            <w:r w:rsidRPr="00B83411">
              <w:rPr>
                <w:rFonts w:eastAsia="Times New Roman"/>
                <w:lang w:eastAsia="en-AU"/>
              </w:rPr>
              <w:t xml:space="preserve">with </w:t>
            </w:r>
            <w:r w:rsidRPr="00B83411">
              <w:rPr>
                <w:rFonts w:eastAsia="Times New Roman"/>
                <w:b/>
                <w:bCs/>
                <w:lang w:eastAsia="en-AU"/>
              </w:rPr>
              <w:t>outcomes</w:t>
            </w:r>
          </w:p>
        </w:tc>
        <w:tc>
          <w:tcPr>
            <w:tcW w:w="4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46DC2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5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78409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5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5205A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50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B048D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E814A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30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6D713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5F1FC0FB" w14:textId="77777777" w:rsidR="0055477A" w:rsidRPr="00B83411" w:rsidRDefault="0055477A" w:rsidP="0055477A">
      <w:pPr>
        <w:spacing w:before="0" w:line="240" w:lineRule="auto"/>
        <w:ind w:left="200" w:right="0"/>
        <w:jc w:val="center"/>
        <w:rPr>
          <w:rFonts w:eastAsia="Times New Roman"/>
          <w:sz w:val="24"/>
          <w:szCs w:val="24"/>
          <w:lang w:eastAsia="en-AU"/>
        </w:rPr>
      </w:pPr>
    </w:p>
    <w:tbl>
      <w:tblPr>
        <w:tblW w:w="4710" w:type="pct"/>
        <w:tblLook w:val="04A0" w:firstRow="1" w:lastRow="0" w:firstColumn="1" w:lastColumn="0" w:noHBand="0" w:noVBand="1"/>
      </w:tblPr>
      <w:tblGrid>
        <w:gridCol w:w="3601"/>
        <w:gridCol w:w="769"/>
        <w:gridCol w:w="773"/>
        <w:gridCol w:w="1404"/>
        <w:gridCol w:w="816"/>
        <w:gridCol w:w="789"/>
        <w:gridCol w:w="920"/>
      </w:tblGrid>
      <w:tr w:rsidR="0055477A" w:rsidRPr="00B83411" w14:paraId="0F9DD98E" w14:textId="77777777" w:rsidTr="0055477A">
        <w:tc>
          <w:tcPr>
            <w:tcW w:w="5000" w:type="pct"/>
            <w:gridSpan w:val="7"/>
            <w:tcMar>
              <w:top w:w="80" w:type="dxa"/>
              <w:left w:w="40" w:type="dxa"/>
              <w:bottom w:w="80" w:type="dxa"/>
              <w:right w:w="40" w:type="dxa"/>
            </w:tcMar>
          </w:tcPr>
          <w:p w14:paraId="603B51C5" w14:textId="3F9BA02B"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How do you rate the Titles Administrator / Offshore Infrastructure Registrar's approach to administrative compliance in terms of:</w:t>
            </w:r>
          </w:p>
          <w:p w14:paraId="5EBCE4AE" w14:textId="505C5FB2" w:rsidR="0055477A" w:rsidRPr="00B83411" w:rsidRDefault="0055477A" w:rsidP="0055477A">
            <w:pPr>
              <w:spacing w:before="0" w:after="120" w:line="240" w:lineRule="auto"/>
              <w:ind w:right="0"/>
              <w:rPr>
                <w:rFonts w:eastAsia="Times New Roman"/>
                <w:b/>
              </w:rPr>
            </w:pPr>
            <w:r w:rsidRPr="00B83411">
              <w:rPr>
                <w:rFonts w:eastAsia="Times New Roman"/>
                <w:i/>
                <w:iCs/>
                <w:lang w:eastAsia="en-AU"/>
              </w:rPr>
              <w:t>When answering, think about your interactions in the last 6 to 12 months.</w:t>
            </w:r>
          </w:p>
        </w:tc>
      </w:tr>
      <w:tr w:rsidR="0055477A" w:rsidRPr="00B83411" w14:paraId="2A52AD7E"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AFD71B" w14:textId="77777777" w:rsidR="0055477A" w:rsidRPr="00B83411" w:rsidRDefault="0055477A" w:rsidP="0055477A">
            <w:pPr>
              <w:spacing w:before="0" w:line="240" w:lineRule="auto"/>
              <w:ind w:left="200" w:right="0"/>
              <w:jc w:val="center"/>
              <w:rPr>
                <w:rFonts w:eastAsia="Times New Roman"/>
              </w:rPr>
            </w:pPr>
          </w:p>
        </w:tc>
        <w:tc>
          <w:tcPr>
            <w:tcW w:w="46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DBFB54"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4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459B28"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81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5E3EF9"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Sometimes poor/ sometimes good</w:t>
            </w:r>
          </w:p>
        </w:tc>
        <w:tc>
          <w:tcPr>
            <w:tcW w:w="48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A2B073"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47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57E506"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c>
          <w:tcPr>
            <w:tcW w:w="2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F9E854"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Unsure</w:t>
            </w:r>
          </w:p>
        </w:tc>
      </w:tr>
      <w:tr w:rsidR="0055477A" w:rsidRPr="00B83411" w14:paraId="0AD0002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D67F7C"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Being risk-based</w:t>
            </w:r>
          </w:p>
        </w:tc>
        <w:tc>
          <w:tcPr>
            <w:tcW w:w="46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E5812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997FF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1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5CF718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8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446FB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7D8CC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2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8E7FF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09EAED9C"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2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A1737C"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Encouraging voluntary administrative compliance</w:t>
            </w:r>
          </w:p>
        </w:tc>
        <w:tc>
          <w:tcPr>
            <w:tcW w:w="46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D84E2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3B6D3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812"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DA77A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8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32E22B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473"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BF7359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27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F39D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14AA40DB" w14:textId="77777777" w:rsidR="0055477A" w:rsidRPr="00B83411" w:rsidRDefault="0055477A" w:rsidP="0055477A">
      <w:pPr>
        <w:spacing w:before="0" w:line="240" w:lineRule="auto"/>
        <w:ind w:left="200" w:right="0"/>
        <w:jc w:val="center"/>
        <w:rPr>
          <w:rFonts w:eastAsia="Times New Roman"/>
          <w:lang w:eastAsia="en-AU"/>
        </w:rPr>
      </w:pPr>
    </w:p>
    <w:tbl>
      <w:tblPr>
        <w:tblW w:w="5000" w:type="pct"/>
        <w:tblLook w:val="04A0" w:firstRow="1" w:lastRow="0" w:firstColumn="1" w:lastColumn="0" w:noHBand="0" w:noVBand="1"/>
      </w:tblPr>
      <w:tblGrid>
        <w:gridCol w:w="9631"/>
      </w:tblGrid>
      <w:tr w:rsidR="0055477A" w:rsidRPr="00B83411" w14:paraId="6A77D6F4" w14:textId="77777777">
        <w:tc>
          <w:tcPr>
            <w:tcW w:w="0" w:type="auto"/>
            <w:tcMar>
              <w:top w:w="80" w:type="dxa"/>
              <w:left w:w="40" w:type="dxa"/>
              <w:bottom w:w="80" w:type="dxa"/>
              <w:right w:w="40" w:type="dxa"/>
            </w:tcMar>
          </w:tcPr>
          <w:p w14:paraId="6286DA76" w14:textId="77777777" w:rsidR="0055477A" w:rsidRPr="00B83411" w:rsidRDefault="0055477A" w:rsidP="0055477A">
            <w:pPr>
              <w:spacing w:before="0" w:after="120" w:line="240" w:lineRule="auto"/>
              <w:ind w:right="0"/>
              <w:rPr>
                <w:rFonts w:eastAsia="Times New Roman"/>
                <w:b/>
              </w:rPr>
            </w:pPr>
            <w:r w:rsidRPr="00B83411">
              <w:rPr>
                <w:rFonts w:eastAsia="Times New Roman"/>
                <w:lang w:eastAsia="en-AU"/>
              </w:rPr>
              <w:t>Which of the following have you used in the last 6 to 12 months?</w:t>
            </w:r>
          </w:p>
        </w:tc>
      </w:tr>
    </w:tbl>
    <w:tbl>
      <w:tblPr>
        <w:tblW w:w="0" w:type="auto"/>
        <w:tblLayout w:type="fixed"/>
        <w:tblLook w:val="04A0" w:firstRow="1" w:lastRow="0" w:firstColumn="1" w:lastColumn="0" w:noHBand="0" w:noVBand="1"/>
      </w:tblPr>
      <w:tblGrid>
        <w:gridCol w:w="800"/>
        <w:gridCol w:w="8000"/>
      </w:tblGrid>
      <w:tr w:rsidR="0055477A" w:rsidRPr="00B83411" w14:paraId="2EF26594" w14:textId="77777777">
        <w:tc>
          <w:tcPr>
            <w:tcW w:w="800" w:type="dxa"/>
          </w:tcPr>
          <w:p w14:paraId="127E32AC" w14:textId="77777777" w:rsidR="0055477A" w:rsidRPr="00B83411" w:rsidRDefault="0055477A" w:rsidP="0055477A">
            <w:pPr>
              <w:spacing w:before="0" w:line="240" w:lineRule="auto"/>
              <w:ind w:left="200" w:right="0"/>
              <w:jc w:val="right"/>
              <w:rPr>
                <w:rFonts w:eastAsia="Times New Roman"/>
              </w:rPr>
            </w:pPr>
            <w:r w:rsidRPr="00B83411">
              <w:rPr>
                <w:rFonts w:ascii="Webdings" w:eastAsia="Webdings" w:hAnsi="Webdings" w:cs="Webdings"/>
                <w:sz w:val="16"/>
                <w:szCs w:val="16"/>
              </w:rPr>
              <w:t>c</w:t>
            </w:r>
          </w:p>
        </w:tc>
        <w:tc>
          <w:tcPr>
            <w:tcW w:w="8000" w:type="dxa"/>
          </w:tcPr>
          <w:p w14:paraId="0E6AB6C5"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National Electronic Approvals Tracking System (NEATS)</w:t>
            </w:r>
          </w:p>
        </w:tc>
      </w:tr>
      <w:tr w:rsidR="0055477A" w:rsidRPr="00B83411" w14:paraId="56CF4E27" w14:textId="77777777">
        <w:tc>
          <w:tcPr>
            <w:tcW w:w="800" w:type="dxa"/>
          </w:tcPr>
          <w:p w14:paraId="242FB995" w14:textId="77777777" w:rsidR="0055477A" w:rsidRPr="00B83411" w:rsidRDefault="0055477A" w:rsidP="0055477A">
            <w:pPr>
              <w:spacing w:before="0" w:line="240" w:lineRule="auto"/>
              <w:ind w:right="0"/>
              <w:jc w:val="right"/>
              <w:rPr>
                <w:rFonts w:eastAsia="Times New Roman"/>
              </w:rPr>
            </w:pPr>
            <w:r w:rsidRPr="00B83411">
              <w:rPr>
                <w:rFonts w:ascii="Webdings" w:eastAsia="Webdings" w:hAnsi="Webdings" w:cs="Webdings"/>
                <w:sz w:val="16"/>
                <w:szCs w:val="16"/>
              </w:rPr>
              <w:t>c</w:t>
            </w:r>
          </w:p>
        </w:tc>
        <w:tc>
          <w:tcPr>
            <w:tcW w:w="8000" w:type="dxa"/>
          </w:tcPr>
          <w:p w14:paraId="55EF424C"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National Offshore Petroleum Information System (NOPIMS)</w:t>
            </w:r>
          </w:p>
        </w:tc>
      </w:tr>
      <w:tr w:rsidR="0055477A" w:rsidRPr="00B83411" w14:paraId="6AA71648" w14:textId="77777777">
        <w:tc>
          <w:tcPr>
            <w:tcW w:w="800" w:type="dxa"/>
          </w:tcPr>
          <w:p w14:paraId="69F60143" w14:textId="77777777" w:rsidR="0055477A" w:rsidRPr="00B83411" w:rsidRDefault="0055477A" w:rsidP="0055477A">
            <w:pPr>
              <w:spacing w:before="0" w:line="240" w:lineRule="auto"/>
              <w:ind w:right="0"/>
              <w:jc w:val="right"/>
              <w:rPr>
                <w:rFonts w:eastAsia="Times New Roman"/>
              </w:rPr>
            </w:pPr>
            <w:r w:rsidRPr="00B83411">
              <w:rPr>
                <w:rFonts w:ascii="Webdings" w:eastAsia="Webdings" w:hAnsi="Webdings" w:cs="Webdings"/>
                <w:sz w:val="16"/>
                <w:szCs w:val="16"/>
              </w:rPr>
              <w:t>c</w:t>
            </w:r>
          </w:p>
        </w:tc>
        <w:tc>
          <w:tcPr>
            <w:tcW w:w="8000" w:type="dxa"/>
          </w:tcPr>
          <w:p w14:paraId="1D9B520A"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NOPTA website</w:t>
            </w:r>
          </w:p>
        </w:tc>
      </w:tr>
      <w:tr w:rsidR="0055477A" w:rsidRPr="00B83411" w14:paraId="236B5147" w14:textId="77777777">
        <w:tc>
          <w:tcPr>
            <w:tcW w:w="800" w:type="dxa"/>
          </w:tcPr>
          <w:p w14:paraId="270EC164" w14:textId="77777777" w:rsidR="0055477A" w:rsidRPr="00B83411" w:rsidRDefault="0055477A" w:rsidP="0055477A">
            <w:pPr>
              <w:spacing w:before="0" w:line="240" w:lineRule="auto"/>
              <w:ind w:right="0"/>
              <w:jc w:val="right"/>
              <w:rPr>
                <w:rFonts w:eastAsia="Times New Roman"/>
              </w:rPr>
            </w:pPr>
            <w:r w:rsidRPr="00B83411">
              <w:rPr>
                <w:rFonts w:ascii="Webdings" w:eastAsia="Webdings" w:hAnsi="Webdings" w:cs="Webdings"/>
                <w:sz w:val="16"/>
                <w:szCs w:val="16"/>
              </w:rPr>
              <w:t>c</w:t>
            </w:r>
          </w:p>
        </w:tc>
        <w:tc>
          <w:tcPr>
            <w:tcW w:w="8000" w:type="dxa"/>
          </w:tcPr>
          <w:p w14:paraId="7C1DEF1E"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Offshore Infrastructure Registrar's website</w:t>
            </w:r>
          </w:p>
        </w:tc>
      </w:tr>
      <w:tr w:rsidR="0055477A" w:rsidRPr="00B83411" w14:paraId="1E90B3E1" w14:textId="77777777">
        <w:tc>
          <w:tcPr>
            <w:tcW w:w="800" w:type="dxa"/>
          </w:tcPr>
          <w:p w14:paraId="6719E28A" w14:textId="77777777" w:rsidR="0055477A" w:rsidRPr="00B83411" w:rsidRDefault="0055477A" w:rsidP="0055477A">
            <w:pPr>
              <w:spacing w:before="0" w:line="240" w:lineRule="auto"/>
              <w:ind w:right="0"/>
              <w:jc w:val="right"/>
              <w:rPr>
                <w:rFonts w:eastAsia="Times New Roman"/>
              </w:rPr>
            </w:pPr>
            <w:r w:rsidRPr="00B83411">
              <w:rPr>
                <w:rFonts w:ascii="Webdings" w:eastAsia="Webdings" w:hAnsi="Webdings" w:cs="Webdings"/>
                <w:sz w:val="16"/>
                <w:szCs w:val="16"/>
              </w:rPr>
              <w:t>c</w:t>
            </w:r>
          </w:p>
        </w:tc>
        <w:tc>
          <w:tcPr>
            <w:tcW w:w="8000" w:type="dxa"/>
          </w:tcPr>
          <w:p w14:paraId="6714A87D" w14:textId="77777777" w:rsidR="0055477A" w:rsidRPr="00B83411" w:rsidRDefault="0055477A" w:rsidP="0055477A">
            <w:pPr>
              <w:spacing w:before="0" w:line="240" w:lineRule="auto"/>
              <w:ind w:right="0"/>
              <w:rPr>
                <w:rFonts w:eastAsia="Times New Roman"/>
              </w:rPr>
            </w:pPr>
            <w:r w:rsidRPr="00B83411">
              <w:rPr>
                <w:rFonts w:eastAsia="Times New Roman"/>
                <w:lang w:eastAsia="en-AU"/>
              </w:rPr>
              <w:t>None of the above</w:t>
            </w:r>
          </w:p>
        </w:tc>
      </w:tr>
    </w:tbl>
    <w:p w14:paraId="30518ADE" w14:textId="77777777" w:rsidR="0055477A" w:rsidRPr="00B83411" w:rsidRDefault="0055477A" w:rsidP="0055477A">
      <w:pPr>
        <w:spacing w:before="0" w:line="240" w:lineRule="auto"/>
        <w:ind w:right="0"/>
        <w:rPr>
          <w:rFonts w:eastAsia="Times New Roman"/>
          <w:lang w:eastAsia="en-AU"/>
        </w:rPr>
      </w:pPr>
    </w:p>
    <w:tbl>
      <w:tblPr>
        <w:tblW w:w="4710" w:type="pct"/>
        <w:tblLayout w:type="fixed"/>
        <w:tblLook w:val="04A0" w:firstRow="1" w:lastRow="0" w:firstColumn="1" w:lastColumn="0" w:noHBand="0" w:noVBand="1"/>
      </w:tblPr>
      <w:tblGrid>
        <w:gridCol w:w="3476"/>
        <w:gridCol w:w="1120"/>
        <w:gridCol w:w="1119"/>
        <w:gridCol w:w="1119"/>
        <w:gridCol w:w="1119"/>
        <w:gridCol w:w="1119"/>
      </w:tblGrid>
      <w:tr w:rsidR="0055477A" w:rsidRPr="00B83411" w14:paraId="5D678162" w14:textId="77777777" w:rsidTr="0055477A">
        <w:tc>
          <w:tcPr>
            <w:tcW w:w="5000" w:type="pct"/>
            <w:gridSpan w:val="6"/>
          </w:tcPr>
          <w:p w14:paraId="43492F1B"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 xml:space="preserve">How do you rate </w:t>
            </w:r>
            <w:r w:rsidRPr="00B83411">
              <w:rPr>
                <w:rFonts w:eastAsia="Times New Roman"/>
                <w:b/>
                <w:bCs/>
                <w:lang w:eastAsia="en-AU"/>
              </w:rPr>
              <w:t>NEATS </w:t>
            </w:r>
            <w:r w:rsidRPr="00B83411">
              <w:rPr>
                <w:rFonts w:eastAsia="Times New Roman"/>
                <w:lang w:eastAsia="en-AU"/>
              </w:rPr>
              <w:t>on the following:</w:t>
            </w:r>
          </w:p>
          <w:p w14:paraId="69A0EB15" w14:textId="77777777" w:rsidR="0055477A" w:rsidRPr="00B83411" w:rsidRDefault="0055477A" w:rsidP="0055477A">
            <w:pPr>
              <w:spacing w:before="0" w:after="120" w:line="240" w:lineRule="auto"/>
              <w:ind w:right="0"/>
              <w:rPr>
                <w:rFonts w:eastAsia="Times New Roman"/>
                <w:b/>
              </w:rPr>
            </w:pPr>
            <w:r w:rsidRPr="00B83411">
              <w:rPr>
                <w:rFonts w:eastAsia="Times New Roman"/>
                <w:i/>
                <w:iCs/>
                <w:lang w:eastAsia="en-AU"/>
              </w:rPr>
              <w:t>When answering, think about your interactions in the last 6 to 12 months.</w:t>
            </w:r>
          </w:p>
        </w:tc>
      </w:tr>
      <w:tr w:rsidR="0055477A" w:rsidRPr="00B83411" w14:paraId="001ABB6C"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DB76FF" w14:textId="77777777" w:rsidR="0055477A" w:rsidRPr="00B83411" w:rsidRDefault="0055477A" w:rsidP="0055477A">
            <w:pPr>
              <w:spacing w:before="0" w:line="240" w:lineRule="auto"/>
              <w:ind w:left="200" w:right="0"/>
              <w:jc w:val="center"/>
              <w:rPr>
                <w:rFonts w:eastAsia="Times New Roman"/>
              </w:rPr>
            </w:pP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711225"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D1D26E"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82C09E"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Sometimes poor/ sometimes good</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7245480"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CA89F2"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r>
      <w:tr w:rsidR="0055477A" w:rsidRPr="00B83411" w14:paraId="7B1A3C74"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94BBAF"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Clear instructions / workflow</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F0EAD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6D054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714FB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0BD2C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A312F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5C8250F"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8E21FB"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Integrated functionality</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BA6D2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F967B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0E05A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8FB5D2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30EB8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C031B9B"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427ED3"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Easy to find information</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4083E5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B4C79B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E5D00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6A43B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B536C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80F46F3"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46BC56"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Continuous improvement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B3FD7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60FB05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ED124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BE4419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4C5A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F73EEC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D21A35C"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Fit for purpose</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84B40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FC0FF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FD6E3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7B0F8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0E663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3D9B0584" w14:textId="77777777" w:rsidR="0055477A" w:rsidRPr="00B83411" w:rsidRDefault="0055477A" w:rsidP="0055477A">
      <w:pPr>
        <w:spacing w:before="0" w:line="240" w:lineRule="auto"/>
        <w:ind w:right="0"/>
        <w:jc w:val="center"/>
        <w:rPr>
          <w:rFonts w:eastAsia="Times New Roman"/>
          <w:lang w:eastAsia="en-AU"/>
        </w:rPr>
      </w:pPr>
    </w:p>
    <w:p w14:paraId="7F2F7F44" w14:textId="77777777" w:rsidR="0055477A" w:rsidRPr="00B83411" w:rsidRDefault="0055477A" w:rsidP="0055477A">
      <w:pPr>
        <w:spacing w:before="0" w:line="240" w:lineRule="auto"/>
        <w:ind w:right="0"/>
        <w:rPr>
          <w:rFonts w:ascii="Times New Roman" w:eastAsia="Times New Roman" w:hAnsi="Times New Roman"/>
          <w:sz w:val="24"/>
          <w:szCs w:val="24"/>
          <w:lang w:eastAsia="en-AU"/>
        </w:rPr>
      </w:pPr>
      <w:r w:rsidRPr="00B83411">
        <w:rPr>
          <w:rFonts w:ascii="Times New Roman" w:eastAsia="Times New Roman" w:hAnsi="Times New Roman"/>
          <w:sz w:val="24"/>
          <w:szCs w:val="24"/>
          <w:lang w:eastAsia="en-AU"/>
        </w:rPr>
        <w:br w:type="page"/>
      </w:r>
    </w:p>
    <w:tbl>
      <w:tblPr>
        <w:tblW w:w="4637" w:type="pct"/>
        <w:tblLayout w:type="fixed"/>
        <w:tblLook w:val="04A0" w:firstRow="1" w:lastRow="0" w:firstColumn="1" w:lastColumn="0" w:noHBand="0" w:noVBand="1"/>
      </w:tblPr>
      <w:tblGrid>
        <w:gridCol w:w="3445"/>
        <w:gridCol w:w="1097"/>
        <w:gridCol w:w="1097"/>
        <w:gridCol w:w="1097"/>
        <w:gridCol w:w="1097"/>
        <w:gridCol w:w="1099"/>
      </w:tblGrid>
      <w:tr w:rsidR="0055477A" w:rsidRPr="00B83411" w14:paraId="331EC61F" w14:textId="77777777" w:rsidTr="0055477A">
        <w:tc>
          <w:tcPr>
            <w:tcW w:w="5000" w:type="pct"/>
            <w:gridSpan w:val="6"/>
            <w:tcMar>
              <w:top w:w="80" w:type="dxa"/>
              <w:left w:w="40" w:type="dxa"/>
              <w:bottom w:w="80" w:type="dxa"/>
              <w:right w:w="40" w:type="dxa"/>
            </w:tcMar>
          </w:tcPr>
          <w:p w14:paraId="5C3241D9"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 xml:space="preserve">How do you rate </w:t>
            </w:r>
            <w:r w:rsidRPr="00B83411">
              <w:rPr>
                <w:rFonts w:eastAsia="Times New Roman"/>
                <w:b/>
                <w:bCs/>
                <w:lang w:eastAsia="en-AU"/>
              </w:rPr>
              <w:t>NOPIMS </w:t>
            </w:r>
            <w:r w:rsidRPr="00B83411">
              <w:rPr>
                <w:rFonts w:eastAsia="Times New Roman"/>
                <w:lang w:eastAsia="en-AU"/>
              </w:rPr>
              <w:t>on the following:</w:t>
            </w:r>
          </w:p>
          <w:p w14:paraId="0F14FC46" w14:textId="77777777" w:rsidR="0055477A" w:rsidRPr="00B83411" w:rsidRDefault="0055477A" w:rsidP="0055477A">
            <w:pPr>
              <w:spacing w:before="0" w:after="120" w:line="240" w:lineRule="auto"/>
              <w:ind w:right="0"/>
              <w:rPr>
                <w:rFonts w:eastAsia="Times New Roman"/>
                <w:b/>
              </w:rPr>
            </w:pPr>
            <w:r w:rsidRPr="00B83411">
              <w:rPr>
                <w:rFonts w:eastAsia="Times New Roman"/>
                <w:i/>
                <w:iCs/>
                <w:lang w:eastAsia="en-AU"/>
              </w:rPr>
              <w:t>When answering, think about your interactions in the last 6 to 12 months.</w:t>
            </w:r>
          </w:p>
        </w:tc>
      </w:tr>
      <w:tr w:rsidR="0055477A" w:rsidRPr="00B83411" w14:paraId="37BBD247"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A3720C" w14:textId="77777777" w:rsidR="0055477A" w:rsidRPr="00B83411" w:rsidRDefault="0055477A" w:rsidP="0055477A">
            <w:pPr>
              <w:spacing w:before="0" w:line="240" w:lineRule="auto"/>
              <w:ind w:left="200" w:right="0"/>
              <w:jc w:val="center"/>
              <w:rPr>
                <w:rFonts w:eastAsia="Times New Roman"/>
              </w:rPr>
            </w:pP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5B0795"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3EB513"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B55A7E"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Sometimes poor/ sometimes good</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5D5D47"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6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D064E7"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r>
      <w:tr w:rsidR="0055477A" w:rsidRPr="00B83411" w14:paraId="558F668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7EB7E6"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Clear instructions</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61BEB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DD080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89E72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76CC7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8EDBB3"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ECF7462"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5C1BBB"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Integrated functionality</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A0CFF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571A7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9EF1A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A8F33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187B8F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F6745C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B0A43B"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Easy to find information</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99151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CB134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AEA72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4ED3B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1DD45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35D367DB"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7EBA93F"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Continuous improvement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C8AF3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F6252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FBF2A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99C8D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B9B7F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767A5C0D"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441068"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Fit for purpose</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36231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EC59B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3A4B7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6D345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1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7D1AC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4F2A4B4B" w14:textId="77777777" w:rsidR="0055477A" w:rsidRPr="00B83411" w:rsidRDefault="0055477A" w:rsidP="0055477A">
      <w:pPr>
        <w:spacing w:before="0" w:line="240" w:lineRule="auto"/>
        <w:ind w:left="200" w:right="0"/>
        <w:jc w:val="center"/>
        <w:rPr>
          <w:rFonts w:eastAsia="Times New Roman"/>
          <w:lang w:eastAsia="en-AU"/>
        </w:rPr>
      </w:pPr>
    </w:p>
    <w:tbl>
      <w:tblPr>
        <w:tblW w:w="4637" w:type="pct"/>
        <w:tblLayout w:type="fixed"/>
        <w:tblLook w:val="04A0" w:firstRow="1" w:lastRow="0" w:firstColumn="1" w:lastColumn="0" w:noHBand="0" w:noVBand="1"/>
      </w:tblPr>
      <w:tblGrid>
        <w:gridCol w:w="3306"/>
        <w:gridCol w:w="1126"/>
        <w:gridCol w:w="1125"/>
        <w:gridCol w:w="1125"/>
        <w:gridCol w:w="1125"/>
        <w:gridCol w:w="1125"/>
      </w:tblGrid>
      <w:tr w:rsidR="0055477A" w:rsidRPr="00B83411" w14:paraId="14ED0EB7" w14:textId="77777777" w:rsidTr="0055477A">
        <w:tc>
          <w:tcPr>
            <w:tcW w:w="5000" w:type="pct"/>
            <w:gridSpan w:val="6"/>
            <w:tcMar>
              <w:top w:w="80" w:type="dxa"/>
              <w:left w:w="40" w:type="dxa"/>
              <w:bottom w:w="80" w:type="dxa"/>
              <w:right w:w="40" w:type="dxa"/>
            </w:tcMar>
          </w:tcPr>
          <w:p w14:paraId="24975DBB"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 xml:space="preserve">How do you rate </w:t>
            </w:r>
            <w:r w:rsidRPr="00B83411">
              <w:rPr>
                <w:rFonts w:eastAsia="Times New Roman"/>
                <w:b/>
                <w:bCs/>
                <w:lang w:eastAsia="en-AU"/>
              </w:rPr>
              <w:t xml:space="preserve">NOPTA's </w:t>
            </w:r>
            <w:r w:rsidRPr="00B83411">
              <w:rPr>
                <w:rFonts w:eastAsia="Times New Roman"/>
                <w:lang w:eastAsia="en-AU"/>
              </w:rPr>
              <w:t>website on the following:</w:t>
            </w:r>
          </w:p>
          <w:p w14:paraId="5DF38E79" w14:textId="77777777" w:rsidR="0055477A" w:rsidRPr="00B83411" w:rsidRDefault="0055477A" w:rsidP="0055477A">
            <w:pPr>
              <w:spacing w:before="0" w:line="240" w:lineRule="auto"/>
              <w:ind w:right="0"/>
              <w:rPr>
                <w:rFonts w:eastAsia="Times New Roman"/>
                <w:lang w:eastAsia="en-AU"/>
              </w:rPr>
            </w:pPr>
            <w:r w:rsidRPr="00B83411">
              <w:rPr>
                <w:rFonts w:eastAsia="Times New Roman"/>
                <w:i/>
                <w:iCs/>
                <w:lang w:eastAsia="en-AU"/>
              </w:rPr>
              <w:t xml:space="preserve">The website </w:t>
            </w:r>
            <w:r w:rsidRPr="00B83411">
              <w:rPr>
                <w:rFonts w:eastAsia="Times New Roman"/>
                <w:b/>
                <w:bCs/>
                <w:i/>
                <w:iCs/>
                <w:lang w:eastAsia="en-AU"/>
              </w:rPr>
              <w:t>does not include</w:t>
            </w:r>
            <w:r w:rsidRPr="00B83411">
              <w:rPr>
                <w:rFonts w:eastAsia="Times New Roman"/>
                <w:i/>
                <w:iCs/>
                <w:lang w:eastAsia="en-AU"/>
              </w:rPr>
              <w:t xml:space="preserve"> NEATS or NOPIMS.</w:t>
            </w:r>
          </w:p>
          <w:p w14:paraId="63AD92FE" w14:textId="77777777" w:rsidR="0055477A" w:rsidRPr="00B83411" w:rsidRDefault="0055477A" w:rsidP="0055477A">
            <w:pPr>
              <w:spacing w:before="0" w:after="120" w:line="240" w:lineRule="auto"/>
              <w:ind w:right="0"/>
              <w:rPr>
                <w:rFonts w:eastAsia="Times New Roman"/>
                <w:b/>
              </w:rPr>
            </w:pPr>
            <w:r w:rsidRPr="00B83411">
              <w:rPr>
                <w:rFonts w:eastAsia="Times New Roman"/>
                <w:i/>
                <w:iCs/>
                <w:lang w:eastAsia="en-AU"/>
              </w:rPr>
              <w:t xml:space="preserve">When answering, think about your interactions in the last 6 to 12 months. </w:t>
            </w:r>
          </w:p>
        </w:tc>
      </w:tr>
      <w:tr w:rsidR="0055477A" w:rsidRPr="00B83411" w14:paraId="7D197DCA"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55A404B" w14:textId="77777777" w:rsidR="0055477A" w:rsidRPr="00B83411" w:rsidRDefault="0055477A" w:rsidP="0055477A">
            <w:pPr>
              <w:spacing w:before="0" w:line="240" w:lineRule="auto"/>
              <w:ind w:left="200" w:right="0"/>
              <w:jc w:val="center"/>
              <w:rPr>
                <w:rFonts w:eastAsia="Times New Roman"/>
              </w:rPr>
            </w:pP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6177D4"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3EE027"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29ED5F" w14:textId="77777777" w:rsidR="0055477A" w:rsidRPr="00B83411" w:rsidRDefault="0055477A" w:rsidP="00B6637C">
            <w:pPr>
              <w:spacing w:before="0" w:line="240" w:lineRule="auto"/>
              <w:ind w:left="-65" w:right="0"/>
              <w:jc w:val="center"/>
              <w:rPr>
                <w:rFonts w:eastAsia="Times New Roman"/>
              </w:rPr>
            </w:pPr>
            <w:r w:rsidRPr="00B83411">
              <w:rPr>
                <w:rFonts w:eastAsia="Times New Roman"/>
                <w:lang w:eastAsia="en-AU"/>
              </w:rPr>
              <w:t>Sometimes poor/ sometimes good</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8407A3"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25F449"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r>
      <w:tr w:rsidR="0055477A" w:rsidRPr="00B83411" w14:paraId="46B1C530"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FBB674"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Clear</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493549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20CD2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6BB9D1" w14:textId="77777777" w:rsidR="0055477A" w:rsidRPr="00B83411" w:rsidRDefault="0055477A" w:rsidP="00B6637C">
            <w:pPr>
              <w:spacing w:before="0" w:line="240" w:lineRule="auto"/>
              <w:ind w:left="-65"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BC486E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782F0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2CF72F4A"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E69682"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Relevant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28CB6D"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10D20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56A161" w14:textId="77777777" w:rsidR="0055477A" w:rsidRPr="00B83411" w:rsidRDefault="0055477A" w:rsidP="00B6637C">
            <w:pPr>
              <w:spacing w:before="0" w:line="240" w:lineRule="auto"/>
              <w:ind w:left="-65"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79AE3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1EA6F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0F95562B"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DDE527"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Easy to find information</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ACD6A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B34ABC"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47037B" w14:textId="77777777" w:rsidR="0055477A" w:rsidRPr="00B83411" w:rsidRDefault="0055477A" w:rsidP="00B6637C">
            <w:pPr>
              <w:spacing w:before="0" w:line="240" w:lineRule="auto"/>
              <w:ind w:left="-65"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5D892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64A18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3FB8D76F"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5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1763D8"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Concise</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5E467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C1F36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A3D531" w14:textId="77777777" w:rsidR="0055477A" w:rsidRPr="00B83411" w:rsidRDefault="0055477A" w:rsidP="00B6637C">
            <w:pPr>
              <w:spacing w:before="0" w:line="240" w:lineRule="auto"/>
              <w:ind w:left="-65"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368EA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3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0C161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312D9E0F" w14:textId="77777777" w:rsidR="0055477A" w:rsidRPr="00B83411" w:rsidRDefault="0055477A" w:rsidP="0055477A">
      <w:pPr>
        <w:spacing w:before="0" w:line="240" w:lineRule="auto"/>
        <w:ind w:left="200" w:right="0"/>
        <w:jc w:val="center"/>
        <w:rPr>
          <w:rFonts w:eastAsia="Times New Roman"/>
          <w:lang w:eastAsia="en-AU"/>
        </w:rPr>
      </w:pPr>
    </w:p>
    <w:tbl>
      <w:tblPr>
        <w:tblW w:w="4637" w:type="pct"/>
        <w:tblLayout w:type="fixed"/>
        <w:tblLook w:val="04A0" w:firstRow="1" w:lastRow="0" w:firstColumn="1" w:lastColumn="0" w:noHBand="0" w:noVBand="1"/>
      </w:tblPr>
      <w:tblGrid>
        <w:gridCol w:w="3164"/>
        <w:gridCol w:w="1152"/>
        <w:gridCol w:w="1154"/>
        <w:gridCol w:w="1152"/>
        <w:gridCol w:w="1154"/>
        <w:gridCol w:w="1156"/>
      </w:tblGrid>
      <w:tr w:rsidR="0055477A" w:rsidRPr="00B83411" w14:paraId="2934D214" w14:textId="77777777" w:rsidTr="0055477A">
        <w:tc>
          <w:tcPr>
            <w:tcW w:w="5000" w:type="pct"/>
            <w:gridSpan w:val="6"/>
            <w:tcMar>
              <w:top w:w="80" w:type="dxa"/>
              <w:left w:w="40" w:type="dxa"/>
              <w:bottom w:w="80" w:type="dxa"/>
              <w:right w:w="40" w:type="dxa"/>
            </w:tcMar>
          </w:tcPr>
          <w:p w14:paraId="3E156C08"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 xml:space="preserve">How do you rate the </w:t>
            </w:r>
            <w:r w:rsidRPr="00B83411">
              <w:rPr>
                <w:rFonts w:eastAsia="Times New Roman"/>
                <w:b/>
                <w:bCs/>
                <w:lang w:eastAsia="en-AU"/>
              </w:rPr>
              <w:t>Offshore Infrastructure Registrar's </w:t>
            </w:r>
            <w:r w:rsidRPr="00B83411">
              <w:rPr>
                <w:rFonts w:eastAsia="Times New Roman"/>
                <w:lang w:eastAsia="en-AU"/>
              </w:rPr>
              <w:t>website on the following:</w:t>
            </w:r>
          </w:p>
          <w:p w14:paraId="56DE4CCA" w14:textId="77777777" w:rsidR="0055477A" w:rsidRPr="00B83411" w:rsidRDefault="0055477A" w:rsidP="0055477A">
            <w:pPr>
              <w:spacing w:before="0" w:after="120" w:line="240" w:lineRule="auto"/>
              <w:ind w:right="0"/>
              <w:rPr>
                <w:rFonts w:eastAsia="Times New Roman"/>
                <w:b/>
              </w:rPr>
            </w:pPr>
            <w:r w:rsidRPr="00B83411">
              <w:rPr>
                <w:rFonts w:eastAsia="Times New Roman"/>
                <w:i/>
                <w:iCs/>
                <w:lang w:eastAsia="en-AU"/>
              </w:rPr>
              <w:t xml:space="preserve">When answering, think about your interactions in the last 6 to 12 months. </w:t>
            </w:r>
          </w:p>
        </w:tc>
      </w:tr>
      <w:tr w:rsidR="0055477A" w:rsidRPr="00B83411" w14:paraId="2C3725A1"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7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6C03EF" w14:textId="77777777" w:rsidR="0055477A" w:rsidRPr="00B83411" w:rsidRDefault="0055477A" w:rsidP="0055477A">
            <w:pPr>
              <w:spacing w:before="0" w:line="240" w:lineRule="auto"/>
              <w:ind w:left="200" w:right="0"/>
              <w:jc w:val="center"/>
              <w:rPr>
                <w:rFonts w:eastAsia="Times New Roman"/>
              </w:rPr>
            </w:pP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DFCA48"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5FF98F"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F5AEC7" w14:textId="77777777" w:rsidR="0055477A" w:rsidRPr="00B83411" w:rsidRDefault="0055477A" w:rsidP="00B6637C">
            <w:pPr>
              <w:spacing w:before="0" w:line="240" w:lineRule="auto"/>
              <w:ind w:left="25" w:right="0"/>
              <w:jc w:val="center"/>
              <w:rPr>
                <w:rFonts w:eastAsia="Times New Roman"/>
              </w:rPr>
            </w:pPr>
            <w:r w:rsidRPr="00B83411">
              <w:rPr>
                <w:rFonts w:eastAsia="Times New Roman"/>
                <w:lang w:eastAsia="en-AU"/>
              </w:rPr>
              <w:t>Sometimes poor/ sometimes good</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3EDB3D"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6D8FEB"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r>
      <w:tr w:rsidR="0055477A" w:rsidRPr="00B83411" w14:paraId="6FEE7DD5"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7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AB639C"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Clear</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19348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003B16"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E7AF82" w14:textId="77777777" w:rsidR="0055477A" w:rsidRPr="00B83411" w:rsidRDefault="0055477A" w:rsidP="00B6637C">
            <w:pPr>
              <w:spacing w:before="0" w:line="240" w:lineRule="auto"/>
              <w:ind w:left="25"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44D31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62CA0F"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7A117DD"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7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5E5329"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Relevant</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CA90C4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C481AF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3E56A8" w14:textId="77777777" w:rsidR="0055477A" w:rsidRPr="00B83411" w:rsidRDefault="0055477A" w:rsidP="00B6637C">
            <w:pPr>
              <w:spacing w:before="0" w:line="240" w:lineRule="auto"/>
              <w:ind w:left="25"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8F535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7CB7B9"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4A14566A"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7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A1D4318"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Easy to find information</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A39FF8"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33CEC65"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45CFE9" w14:textId="77777777" w:rsidR="0055477A" w:rsidRPr="00B83411" w:rsidRDefault="0055477A" w:rsidP="00B6637C">
            <w:pPr>
              <w:spacing w:before="0" w:line="240" w:lineRule="auto"/>
              <w:ind w:left="25"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845E2C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1AC56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r w:rsidR="0055477A" w:rsidRPr="00B83411" w14:paraId="1961B868" w14:textId="77777777" w:rsidTr="00554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71"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43F15C"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Concise</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8F0987"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6D2EE0"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5"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AC0F02" w14:textId="77777777" w:rsidR="0055477A" w:rsidRPr="00B83411" w:rsidRDefault="0055477A" w:rsidP="00B6637C">
            <w:pPr>
              <w:spacing w:before="0" w:line="240" w:lineRule="auto"/>
              <w:ind w:left="25"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C88C14"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646"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B2B8A1"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54EC1EEF" w14:textId="77777777" w:rsidR="0055477A" w:rsidRPr="00B83411" w:rsidRDefault="0055477A" w:rsidP="0055477A">
      <w:pPr>
        <w:spacing w:before="0" w:line="240" w:lineRule="auto"/>
        <w:ind w:left="200" w:right="0"/>
        <w:jc w:val="center"/>
        <w:rPr>
          <w:rFonts w:eastAsia="Times New Roman"/>
          <w:lang w:eastAsia="en-AU"/>
        </w:rPr>
      </w:pPr>
    </w:p>
    <w:p w14:paraId="016B96A9" w14:textId="77777777" w:rsidR="0055477A" w:rsidRPr="00B83411" w:rsidRDefault="0055477A" w:rsidP="0055477A">
      <w:pPr>
        <w:spacing w:before="0" w:line="240" w:lineRule="auto"/>
        <w:ind w:right="0"/>
        <w:rPr>
          <w:rFonts w:ascii="Times New Roman" w:eastAsia="Times New Roman" w:hAnsi="Times New Roman"/>
          <w:sz w:val="24"/>
          <w:szCs w:val="24"/>
          <w:lang w:eastAsia="en-AU"/>
        </w:rPr>
      </w:pPr>
      <w:r w:rsidRPr="00B83411">
        <w:rPr>
          <w:rFonts w:ascii="Times New Roman" w:eastAsia="Times New Roman" w:hAnsi="Times New Roman"/>
          <w:sz w:val="24"/>
          <w:szCs w:val="24"/>
          <w:lang w:eastAsia="en-AU"/>
        </w:rPr>
        <w:br w:type="page"/>
      </w:r>
    </w:p>
    <w:tbl>
      <w:tblPr>
        <w:tblW w:w="5000" w:type="pct"/>
        <w:tblLook w:val="04A0" w:firstRow="1" w:lastRow="0" w:firstColumn="1" w:lastColumn="0" w:noHBand="0" w:noVBand="1"/>
      </w:tblPr>
      <w:tblGrid>
        <w:gridCol w:w="9631"/>
      </w:tblGrid>
      <w:tr w:rsidR="0055477A" w:rsidRPr="00B83411" w14:paraId="2242FAA5" w14:textId="77777777">
        <w:tc>
          <w:tcPr>
            <w:tcW w:w="0" w:type="auto"/>
            <w:tcMar>
              <w:top w:w="80" w:type="dxa"/>
              <w:left w:w="40" w:type="dxa"/>
              <w:bottom w:w="80" w:type="dxa"/>
              <w:right w:w="40" w:type="dxa"/>
            </w:tcMar>
          </w:tcPr>
          <w:p w14:paraId="177F9116"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br w:type="page"/>
              <w:t>What is </w:t>
            </w:r>
            <w:r w:rsidRPr="00B83411">
              <w:rPr>
                <w:rFonts w:eastAsia="Times New Roman"/>
                <w:b/>
                <w:bCs/>
                <w:lang w:eastAsia="en-AU"/>
              </w:rPr>
              <w:t>one thing </w:t>
            </w:r>
            <w:r w:rsidRPr="00B83411">
              <w:rPr>
                <w:rFonts w:eastAsia="Times New Roman"/>
                <w:lang w:eastAsia="en-AU"/>
              </w:rPr>
              <w:t>the Titles Administrator / Offshore Infrastructure Registrar could do to improve its digital systems?</w:t>
            </w:r>
          </w:p>
          <w:p w14:paraId="13EDBB9C" w14:textId="77777777" w:rsidR="0055477A" w:rsidRPr="00B83411" w:rsidRDefault="0055477A" w:rsidP="0055477A">
            <w:pPr>
              <w:spacing w:before="0" w:line="240" w:lineRule="auto"/>
              <w:ind w:right="0"/>
              <w:rPr>
                <w:rFonts w:eastAsia="Times New Roman"/>
                <w:b/>
              </w:rPr>
            </w:pPr>
            <w:r w:rsidRPr="00B83411">
              <w:rPr>
                <w:rFonts w:eastAsia="Times New Roman"/>
                <w:i/>
                <w:iCs/>
                <w:lang w:eastAsia="en-AU"/>
              </w:rPr>
              <w:t>When answering please be specific about the platform, service or product you are referring to. Please leave blank if you have no comment. </w:t>
            </w:r>
          </w:p>
        </w:tc>
      </w:tr>
    </w:tbl>
    <w:p w14:paraId="7E965927" w14:textId="77777777" w:rsidR="0055477A" w:rsidRPr="00B83411" w:rsidRDefault="0055477A" w:rsidP="0055477A">
      <w:pPr>
        <w:spacing w:before="0" w:line="240" w:lineRule="auto"/>
        <w:ind w:left="200" w:right="0"/>
        <w:rPr>
          <w:rFonts w:eastAsia="Times New Roman"/>
          <w:lang w:eastAsia="en-AU"/>
        </w:rPr>
      </w:pPr>
      <w:r w:rsidRPr="00B83411">
        <w:rPr>
          <w:rFonts w:eastAsia="Times New Roman"/>
          <w:lang w:eastAsia="en-AU"/>
        </w:rPr>
        <w:t>__________________________________________________________________</w:t>
      </w:r>
    </w:p>
    <w:p w14:paraId="68E7211E" w14:textId="77777777" w:rsidR="0055477A" w:rsidRPr="00B83411" w:rsidRDefault="0055477A" w:rsidP="0055477A">
      <w:pPr>
        <w:spacing w:before="0" w:line="240" w:lineRule="auto"/>
        <w:ind w:right="0"/>
        <w:rPr>
          <w:rFonts w:eastAsia="Times New Roman"/>
          <w:lang w:eastAsia="en-AU"/>
        </w:rPr>
      </w:pPr>
    </w:p>
    <w:tbl>
      <w:tblPr>
        <w:tblW w:w="5000" w:type="pct"/>
        <w:tblLook w:val="04A0" w:firstRow="1" w:lastRow="0" w:firstColumn="1" w:lastColumn="0" w:noHBand="0" w:noVBand="1"/>
      </w:tblPr>
      <w:tblGrid>
        <w:gridCol w:w="9631"/>
      </w:tblGrid>
      <w:tr w:rsidR="0055477A" w:rsidRPr="00B83411" w14:paraId="26C01E47" w14:textId="77777777">
        <w:tc>
          <w:tcPr>
            <w:tcW w:w="0" w:type="auto"/>
          </w:tcPr>
          <w:p w14:paraId="05EE6C5F" w14:textId="77777777" w:rsidR="0055477A" w:rsidRPr="00B83411" w:rsidRDefault="0055477A" w:rsidP="0055477A">
            <w:pPr>
              <w:spacing w:before="0" w:line="240" w:lineRule="auto"/>
              <w:ind w:right="0"/>
              <w:rPr>
                <w:rFonts w:eastAsia="Times New Roman"/>
                <w:b/>
              </w:rPr>
            </w:pPr>
            <w:r w:rsidRPr="00B83411">
              <w:rPr>
                <w:rFonts w:eastAsia="Times New Roman"/>
                <w:lang w:eastAsia="en-AU"/>
              </w:rPr>
              <w:t>How do you rate the Titles Administrator (NOPTA) on the following:</w:t>
            </w:r>
          </w:p>
        </w:tc>
      </w:tr>
    </w:tbl>
    <w:p w14:paraId="33565240" w14:textId="77777777" w:rsidR="0055477A" w:rsidRPr="00B83411" w:rsidRDefault="0055477A" w:rsidP="0055477A">
      <w:pPr>
        <w:spacing w:before="0" w:line="240" w:lineRule="auto"/>
        <w:ind w:right="0"/>
        <w:rPr>
          <w:rFonts w:eastAsia="Times New Roman"/>
          <w:lang w:eastAsia="en-AU"/>
        </w:rPr>
      </w:pPr>
    </w:p>
    <w:tbl>
      <w:tblPr>
        <w:tblW w:w="46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7"/>
        <w:gridCol w:w="940"/>
        <w:gridCol w:w="941"/>
        <w:gridCol w:w="941"/>
        <w:gridCol w:w="940"/>
        <w:gridCol w:w="941"/>
        <w:gridCol w:w="941"/>
      </w:tblGrid>
      <w:tr w:rsidR="0055477A" w:rsidRPr="00B83411" w14:paraId="4891DC36" w14:textId="77777777" w:rsidTr="0055477A">
        <w:tc>
          <w:tcPr>
            <w:tcW w:w="327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9E2D88" w14:textId="77777777" w:rsidR="0055477A" w:rsidRPr="00B83411" w:rsidRDefault="0055477A" w:rsidP="0055477A">
            <w:pPr>
              <w:spacing w:before="0" w:line="240" w:lineRule="auto"/>
              <w:ind w:left="200" w:right="0"/>
              <w:jc w:val="center"/>
              <w:rPr>
                <w:rFonts w:eastAsia="Times New Roman"/>
              </w:rPr>
            </w:pPr>
          </w:p>
        </w:tc>
        <w:tc>
          <w:tcPr>
            <w:tcW w:w="94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456A6F"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poor</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110EBA"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Poor</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6EA659" w14:textId="77777777" w:rsidR="0055477A" w:rsidRPr="00B83411" w:rsidRDefault="0055477A" w:rsidP="00B6637C">
            <w:pPr>
              <w:spacing w:before="0" w:line="240" w:lineRule="auto"/>
              <w:ind w:left="41" w:right="0"/>
              <w:jc w:val="center"/>
              <w:rPr>
                <w:rFonts w:eastAsia="Times New Roman"/>
              </w:rPr>
            </w:pPr>
            <w:r w:rsidRPr="00B83411">
              <w:rPr>
                <w:rFonts w:eastAsia="Times New Roman"/>
                <w:lang w:eastAsia="en-AU"/>
              </w:rPr>
              <w:t>Sometimes poor/ sometimes good</w:t>
            </w:r>
          </w:p>
        </w:tc>
        <w:tc>
          <w:tcPr>
            <w:tcW w:w="94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F087B1"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Good</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923F3C"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Very good</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590A188" w14:textId="77777777" w:rsidR="0055477A" w:rsidRPr="00B83411" w:rsidRDefault="0055477A" w:rsidP="0055477A">
            <w:pPr>
              <w:spacing w:before="0" w:line="240" w:lineRule="auto"/>
              <w:ind w:left="200" w:right="0"/>
              <w:jc w:val="center"/>
              <w:rPr>
                <w:rFonts w:eastAsia="Times New Roman"/>
              </w:rPr>
            </w:pPr>
            <w:r w:rsidRPr="00B83411">
              <w:rPr>
                <w:rFonts w:eastAsia="Times New Roman"/>
                <w:lang w:eastAsia="en-AU"/>
              </w:rPr>
              <w:t>Unsure / not enough info to answer</w:t>
            </w:r>
          </w:p>
        </w:tc>
      </w:tr>
      <w:tr w:rsidR="0055477A" w:rsidRPr="00B83411" w14:paraId="2F039413" w14:textId="77777777" w:rsidTr="0055477A">
        <w:tc>
          <w:tcPr>
            <w:tcW w:w="327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9DC8F"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Processing its applications to meet its published assessment timeframes</w:t>
            </w:r>
          </w:p>
        </w:tc>
        <w:tc>
          <w:tcPr>
            <w:tcW w:w="94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4F24BA"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40D80E"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AD3475" w14:textId="77777777" w:rsidR="0055477A" w:rsidRPr="00B83411" w:rsidRDefault="0055477A" w:rsidP="00B6637C">
            <w:pPr>
              <w:spacing w:before="0" w:line="240" w:lineRule="auto"/>
              <w:ind w:left="41" w:right="0"/>
              <w:jc w:val="center"/>
              <w:rPr>
                <w:rFonts w:eastAsia="Times New Roman"/>
              </w:rPr>
            </w:pPr>
            <w:r w:rsidRPr="00B83411">
              <w:rPr>
                <w:rFonts w:eastAsia="Wingdings 2" w:cs="Arial Nova"/>
              </w:rPr>
              <w:t>™</w:t>
            </w:r>
          </w:p>
        </w:tc>
        <w:tc>
          <w:tcPr>
            <w:tcW w:w="94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C215CB"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CAC37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c>
          <w:tcPr>
            <w:tcW w:w="941"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4B8C252" w14:textId="77777777" w:rsidR="0055477A" w:rsidRPr="00B83411" w:rsidRDefault="0055477A" w:rsidP="0055477A">
            <w:pPr>
              <w:spacing w:before="0" w:line="240" w:lineRule="auto"/>
              <w:ind w:left="200" w:right="0"/>
              <w:jc w:val="center"/>
              <w:rPr>
                <w:rFonts w:eastAsia="Times New Roman"/>
              </w:rPr>
            </w:pPr>
            <w:r w:rsidRPr="00B83411">
              <w:rPr>
                <w:rFonts w:eastAsia="Wingdings 2" w:cs="Arial Nova"/>
              </w:rPr>
              <w:t>™</w:t>
            </w:r>
          </w:p>
        </w:tc>
      </w:tr>
    </w:tbl>
    <w:p w14:paraId="37547BA6" w14:textId="77777777" w:rsidR="0055477A" w:rsidRPr="00B83411" w:rsidRDefault="0055477A" w:rsidP="0055477A">
      <w:pPr>
        <w:spacing w:before="0" w:line="240" w:lineRule="auto"/>
        <w:ind w:left="200" w:right="0"/>
        <w:jc w:val="center"/>
        <w:rPr>
          <w:rFonts w:eastAsia="Times New Roman"/>
          <w:lang w:eastAsia="en-AU"/>
        </w:rPr>
      </w:pPr>
    </w:p>
    <w:tbl>
      <w:tblPr>
        <w:tblW w:w="5000" w:type="pct"/>
        <w:tblLook w:val="04A0" w:firstRow="1" w:lastRow="0" w:firstColumn="1" w:lastColumn="0" w:noHBand="0" w:noVBand="1"/>
      </w:tblPr>
      <w:tblGrid>
        <w:gridCol w:w="9631"/>
      </w:tblGrid>
      <w:tr w:rsidR="0055477A" w:rsidRPr="00B83411" w14:paraId="279625DB" w14:textId="77777777">
        <w:tc>
          <w:tcPr>
            <w:tcW w:w="0" w:type="auto"/>
            <w:tcMar>
              <w:top w:w="80" w:type="dxa"/>
              <w:left w:w="40" w:type="dxa"/>
              <w:bottom w:w="80" w:type="dxa"/>
              <w:right w:w="40" w:type="dxa"/>
            </w:tcMar>
          </w:tcPr>
          <w:p w14:paraId="3F18703A" w14:textId="77777777" w:rsidR="0055477A" w:rsidRPr="00B83411" w:rsidRDefault="0055477A" w:rsidP="0055477A">
            <w:pPr>
              <w:spacing w:before="0" w:line="240" w:lineRule="auto"/>
              <w:ind w:right="0"/>
              <w:rPr>
                <w:rFonts w:eastAsia="Times New Roman"/>
                <w:b/>
              </w:rPr>
            </w:pPr>
            <w:r w:rsidRPr="00B83411">
              <w:rPr>
                <w:rFonts w:eastAsia="Times New Roman"/>
                <w:lang w:eastAsia="en-AU"/>
              </w:rPr>
              <w:t>Rate your level of trust in this organisation.</w:t>
            </w:r>
          </w:p>
        </w:tc>
      </w:tr>
    </w:tbl>
    <w:p w14:paraId="463712A8" w14:textId="77777777" w:rsidR="0055477A" w:rsidRPr="00B83411" w:rsidRDefault="0055477A" w:rsidP="0055477A">
      <w:pPr>
        <w:spacing w:before="0" w:line="240" w:lineRule="auto"/>
        <w:ind w:right="0"/>
        <w:rPr>
          <w:rFonts w:eastAsia="Times New Roman"/>
          <w:lang w:eastAsia="en-AU"/>
        </w:rPr>
      </w:pPr>
    </w:p>
    <w:tbl>
      <w:tblPr>
        <w:tblW w:w="46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1237"/>
        <w:gridCol w:w="1238"/>
        <w:gridCol w:w="1237"/>
        <w:gridCol w:w="1238"/>
        <w:gridCol w:w="1238"/>
      </w:tblGrid>
      <w:tr w:rsidR="0055477A" w:rsidRPr="00B83411" w14:paraId="09432BC6" w14:textId="77777777" w:rsidTr="0055477A">
        <w:tc>
          <w:tcPr>
            <w:tcW w:w="2733"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D3978A" w14:textId="77777777" w:rsidR="0055477A" w:rsidRPr="00B83411" w:rsidRDefault="0055477A" w:rsidP="0055477A">
            <w:pPr>
              <w:spacing w:before="0" w:line="240" w:lineRule="auto"/>
              <w:ind w:left="200" w:right="0"/>
              <w:jc w:val="center"/>
              <w:rPr>
                <w:rFonts w:eastAsia="Times New Roman"/>
              </w:rPr>
            </w:pPr>
          </w:p>
        </w:tc>
        <w:tc>
          <w:tcPr>
            <w:tcW w:w="123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69612C" w14:textId="77777777" w:rsidR="0055477A" w:rsidRPr="00B83411" w:rsidRDefault="0055477A" w:rsidP="00B6637C">
            <w:pPr>
              <w:spacing w:before="0" w:line="240" w:lineRule="auto"/>
              <w:ind w:right="0"/>
              <w:jc w:val="center"/>
              <w:rPr>
                <w:rFonts w:eastAsia="Times New Roman"/>
              </w:rPr>
            </w:pPr>
            <w:r w:rsidRPr="00B83411">
              <w:rPr>
                <w:rFonts w:eastAsia="Times New Roman"/>
                <w:lang w:eastAsia="en-AU"/>
              </w:rPr>
              <w:t>Not at all – No trust whatsoever</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C1BF3C" w14:textId="77777777" w:rsidR="0055477A" w:rsidRPr="00B83411" w:rsidRDefault="0055477A" w:rsidP="00B6637C">
            <w:pPr>
              <w:spacing w:before="0" w:line="240" w:lineRule="auto"/>
              <w:ind w:right="0"/>
              <w:jc w:val="center"/>
              <w:rPr>
                <w:rFonts w:eastAsia="Times New Roman"/>
              </w:rPr>
            </w:pPr>
            <w:r w:rsidRPr="00B83411">
              <w:rPr>
                <w:rFonts w:eastAsia="Times New Roman"/>
                <w:lang w:eastAsia="en-AU"/>
              </w:rPr>
              <w:t>A little – Minimal trust; only in very limited situations</w:t>
            </w:r>
          </w:p>
        </w:tc>
        <w:tc>
          <w:tcPr>
            <w:tcW w:w="123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D22A01" w14:textId="77777777" w:rsidR="0055477A" w:rsidRPr="00B83411" w:rsidRDefault="0055477A" w:rsidP="00B6637C">
            <w:pPr>
              <w:spacing w:before="0" w:line="240" w:lineRule="auto"/>
              <w:ind w:right="0"/>
              <w:jc w:val="center"/>
              <w:rPr>
                <w:rFonts w:eastAsia="Times New Roman"/>
              </w:rPr>
            </w:pPr>
            <w:r w:rsidRPr="00B83411">
              <w:rPr>
                <w:rFonts w:eastAsia="Times New Roman"/>
                <w:lang w:eastAsia="en-AU"/>
              </w:rPr>
              <w:t>A moderate amount – Some trust; in certain situations</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A22D99" w14:textId="77777777" w:rsidR="0055477A" w:rsidRPr="00B83411" w:rsidRDefault="0055477A" w:rsidP="00B6637C">
            <w:pPr>
              <w:spacing w:before="0" w:line="240" w:lineRule="auto"/>
              <w:ind w:right="0"/>
              <w:jc w:val="center"/>
              <w:rPr>
                <w:rFonts w:eastAsia="Times New Roman"/>
              </w:rPr>
            </w:pPr>
            <w:r w:rsidRPr="00B83411">
              <w:rPr>
                <w:rFonts w:eastAsia="Times New Roman"/>
                <w:lang w:eastAsia="en-AU"/>
              </w:rPr>
              <w:t>A lot – Strong trust; in most situations</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BC1A20" w14:textId="77777777" w:rsidR="0055477A" w:rsidRPr="00B83411" w:rsidRDefault="0055477A" w:rsidP="00B6637C">
            <w:pPr>
              <w:spacing w:before="0" w:line="240" w:lineRule="auto"/>
              <w:ind w:right="0"/>
              <w:jc w:val="center"/>
              <w:rPr>
                <w:rFonts w:eastAsia="Times New Roman"/>
              </w:rPr>
            </w:pPr>
            <w:r w:rsidRPr="00B83411">
              <w:rPr>
                <w:rFonts w:eastAsia="Times New Roman"/>
                <w:lang w:eastAsia="en-AU"/>
              </w:rPr>
              <w:t>A great deal – Very strong trust; in nearly all situations</w:t>
            </w:r>
          </w:p>
        </w:tc>
      </w:tr>
      <w:tr w:rsidR="0055477A" w:rsidRPr="00B83411" w14:paraId="10C6E155" w14:textId="77777777" w:rsidTr="0055477A">
        <w:tc>
          <w:tcPr>
            <w:tcW w:w="2733"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F2FEDA"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Overall, I trust NOPTA to administer the offshore petroleum and greenhouse gas framework in Australia's national interest</w:t>
            </w:r>
          </w:p>
        </w:tc>
        <w:tc>
          <w:tcPr>
            <w:tcW w:w="123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27ECAE"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7AF8FDF"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2F54DA"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D6E5D2"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3B6CB9"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r>
      <w:tr w:rsidR="0055477A" w:rsidRPr="00B83411" w14:paraId="1114AEA1" w14:textId="77777777" w:rsidTr="0055477A">
        <w:tc>
          <w:tcPr>
            <w:tcW w:w="2733"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BF317A" w14:textId="77777777" w:rsidR="0055477A" w:rsidRPr="00B83411" w:rsidRDefault="0055477A" w:rsidP="0055477A">
            <w:pPr>
              <w:spacing w:before="0" w:line="240" w:lineRule="auto"/>
              <w:ind w:left="200" w:right="0"/>
              <w:rPr>
                <w:rFonts w:eastAsia="Times New Roman"/>
              </w:rPr>
            </w:pPr>
            <w:r w:rsidRPr="00B83411">
              <w:rPr>
                <w:rFonts w:eastAsia="Times New Roman"/>
                <w:lang w:eastAsia="en-AU"/>
              </w:rPr>
              <w:t>Overall, I trust the Offshore Infrastructure Registrar to administer the offshore (electricity) infrastructure framework in Australia's national interest</w:t>
            </w:r>
          </w:p>
        </w:tc>
        <w:tc>
          <w:tcPr>
            <w:tcW w:w="123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D9E69F"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771184F"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7"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8BE7188"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163849"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c>
          <w:tcPr>
            <w:tcW w:w="123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7A261B" w14:textId="77777777" w:rsidR="0055477A" w:rsidRPr="00B83411" w:rsidRDefault="0055477A" w:rsidP="00B6637C">
            <w:pPr>
              <w:spacing w:before="0" w:line="240" w:lineRule="auto"/>
              <w:ind w:right="0"/>
              <w:jc w:val="center"/>
              <w:rPr>
                <w:rFonts w:eastAsia="Times New Roman"/>
              </w:rPr>
            </w:pPr>
            <w:r w:rsidRPr="00B83411">
              <w:rPr>
                <w:rFonts w:eastAsia="Wingdings 2" w:cs="Arial Nova"/>
              </w:rPr>
              <w:t>™</w:t>
            </w:r>
          </w:p>
        </w:tc>
      </w:tr>
    </w:tbl>
    <w:p w14:paraId="617C21A4" w14:textId="77777777" w:rsidR="0055477A" w:rsidRPr="00B83411" w:rsidRDefault="0055477A" w:rsidP="0055477A">
      <w:pPr>
        <w:spacing w:before="0" w:line="240" w:lineRule="auto"/>
        <w:ind w:left="200" w:right="0"/>
        <w:jc w:val="center"/>
        <w:rPr>
          <w:rFonts w:eastAsia="Times New Roman"/>
          <w:lang w:eastAsia="en-AU"/>
        </w:rPr>
      </w:pPr>
    </w:p>
    <w:p w14:paraId="72237188" w14:textId="77777777" w:rsidR="0055477A" w:rsidRPr="00B83411" w:rsidRDefault="0055477A" w:rsidP="0055477A">
      <w:pPr>
        <w:spacing w:before="0" w:line="240" w:lineRule="auto"/>
        <w:ind w:right="0"/>
        <w:rPr>
          <w:rFonts w:eastAsia="Times New Roman"/>
          <w:sz w:val="24"/>
          <w:szCs w:val="24"/>
          <w:lang w:eastAsia="en-AU"/>
        </w:rPr>
      </w:pPr>
      <w:r w:rsidRPr="00B83411">
        <w:rPr>
          <w:rFonts w:eastAsia="Times New Roman"/>
          <w:b/>
          <w:sz w:val="24"/>
          <w:szCs w:val="24"/>
          <w:lang w:eastAsia="en-AU"/>
        </w:rPr>
        <w:t>Suggestions</w:t>
      </w:r>
    </w:p>
    <w:tbl>
      <w:tblPr>
        <w:tblW w:w="5000" w:type="pct"/>
        <w:tblLook w:val="04A0" w:firstRow="1" w:lastRow="0" w:firstColumn="1" w:lastColumn="0" w:noHBand="0" w:noVBand="1"/>
      </w:tblPr>
      <w:tblGrid>
        <w:gridCol w:w="9631"/>
      </w:tblGrid>
      <w:tr w:rsidR="0055477A" w:rsidRPr="00B83411" w14:paraId="2F878AD3" w14:textId="77777777">
        <w:tc>
          <w:tcPr>
            <w:tcW w:w="0" w:type="auto"/>
            <w:tcMar>
              <w:top w:w="80" w:type="dxa"/>
              <w:left w:w="40" w:type="dxa"/>
              <w:bottom w:w="80" w:type="dxa"/>
              <w:right w:w="40" w:type="dxa"/>
            </w:tcMar>
          </w:tcPr>
          <w:p w14:paraId="54C77042"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 xml:space="preserve">What does the Titles Administrator / Offshore Electricity Infrastructure Registrar </w:t>
            </w:r>
            <w:r w:rsidRPr="00B83411">
              <w:rPr>
                <w:rFonts w:eastAsia="Times New Roman"/>
                <w:b/>
                <w:bCs/>
                <w:lang w:eastAsia="en-AU"/>
              </w:rPr>
              <w:t>do well and should keep doing?</w:t>
            </w:r>
          </w:p>
          <w:p w14:paraId="022A6594" w14:textId="77777777" w:rsidR="0055477A" w:rsidRPr="00B83411" w:rsidRDefault="0055477A" w:rsidP="0055477A">
            <w:pPr>
              <w:spacing w:before="0" w:line="240" w:lineRule="auto"/>
              <w:ind w:right="0"/>
              <w:rPr>
                <w:rFonts w:eastAsia="Times New Roman"/>
                <w:b/>
              </w:rPr>
            </w:pPr>
            <w:r w:rsidRPr="00B83411">
              <w:rPr>
                <w:rFonts w:eastAsia="Times New Roman"/>
                <w:i/>
                <w:iCs/>
                <w:lang w:eastAsia="en-AU"/>
              </w:rPr>
              <w:t>Please leave blank if you have no comment. </w:t>
            </w:r>
          </w:p>
        </w:tc>
      </w:tr>
    </w:tbl>
    <w:p w14:paraId="7DE592FF" w14:textId="77777777" w:rsidR="0055477A" w:rsidRPr="00B83411" w:rsidRDefault="0055477A" w:rsidP="0055477A">
      <w:pPr>
        <w:spacing w:before="0" w:line="240" w:lineRule="auto"/>
        <w:ind w:left="200" w:right="0"/>
        <w:rPr>
          <w:rFonts w:eastAsia="Times New Roman"/>
          <w:lang w:eastAsia="en-AU"/>
        </w:rPr>
      </w:pPr>
      <w:r w:rsidRPr="00B83411">
        <w:rPr>
          <w:rFonts w:eastAsia="Times New Roman"/>
          <w:lang w:eastAsia="en-AU"/>
        </w:rPr>
        <w:t>__________________________________________________________________</w:t>
      </w:r>
    </w:p>
    <w:p w14:paraId="6B454961" w14:textId="77777777" w:rsidR="0055477A" w:rsidRPr="00B83411" w:rsidRDefault="0055477A" w:rsidP="0055477A">
      <w:pPr>
        <w:spacing w:before="0" w:line="240" w:lineRule="auto"/>
        <w:ind w:right="0"/>
        <w:rPr>
          <w:rFonts w:eastAsia="Times New Roman"/>
          <w:lang w:eastAsia="en-AU"/>
        </w:rPr>
      </w:pPr>
    </w:p>
    <w:tbl>
      <w:tblPr>
        <w:tblW w:w="5000" w:type="pct"/>
        <w:tblLook w:val="04A0" w:firstRow="1" w:lastRow="0" w:firstColumn="1" w:lastColumn="0" w:noHBand="0" w:noVBand="1"/>
      </w:tblPr>
      <w:tblGrid>
        <w:gridCol w:w="9631"/>
      </w:tblGrid>
      <w:tr w:rsidR="0055477A" w:rsidRPr="00B83411" w14:paraId="74A978AC" w14:textId="77777777">
        <w:tc>
          <w:tcPr>
            <w:tcW w:w="0" w:type="auto"/>
          </w:tcPr>
          <w:p w14:paraId="5C1CFB1C" w14:textId="77777777" w:rsidR="0055477A" w:rsidRPr="00B83411" w:rsidRDefault="0055477A" w:rsidP="0055477A">
            <w:pPr>
              <w:spacing w:before="0" w:line="240" w:lineRule="auto"/>
              <w:ind w:right="0"/>
              <w:rPr>
                <w:rFonts w:eastAsia="Times New Roman"/>
                <w:lang w:eastAsia="en-AU"/>
              </w:rPr>
            </w:pPr>
            <w:r w:rsidRPr="00B83411">
              <w:rPr>
                <w:rFonts w:eastAsia="Times New Roman"/>
                <w:lang w:eastAsia="en-AU"/>
              </w:rPr>
              <w:t xml:space="preserve">What could the Titles Administrator / Offshore Electricity Infrastructure Registrar </w:t>
            </w:r>
            <w:r w:rsidRPr="00B83411">
              <w:rPr>
                <w:rFonts w:eastAsia="Times New Roman"/>
                <w:b/>
                <w:bCs/>
                <w:lang w:eastAsia="en-AU"/>
              </w:rPr>
              <w:t>improve on</w:t>
            </w:r>
            <w:r w:rsidRPr="00B83411">
              <w:rPr>
                <w:rFonts w:eastAsia="Times New Roman"/>
                <w:lang w:eastAsia="en-AU"/>
              </w:rPr>
              <w:t xml:space="preserve"> as an administrator / regulator?</w:t>
            </w:r>
          </w:p>
          <w:p w14:paraId="5EDA3829" w14:textId="77777777" w:rsidR="0055477A" w:rsidRPr="00B83411" w:rsidRDefault="0055477A" w:rsidP="0055477A">
            <w:pPr>
              <w:spacing w:before="0" w:line="240" w:lineRule="auto"/>
              <w:ind w:right="0"/>
              <w:rPr>
                <w:rFonts w:eastAsia="Times New Roman"/>
                <w:b/>
              </w:rPr>
            </w:pPr>
            <w:r w:rsidRPr="00B83411">
              <w:rPr>
                <w:rFonts w:eastAsia="Times New Roman"/>
                <w:i/>
                <w:iCs/>
                <w:lang w:eastAsia="en-AU"/>
              </w:rPr>
              <w:t>Please be as specific as possible. Please leave blank if you have no comment. </w:t>
            </w:r>
          </w:p>
        </w:tc>
      </w:tr>
    </w:tbl>
    <w:p w14:paraId="24876163" w14:textId="77777777" w:rsidR="0055477A" w:rsidRPr="00B83411" w:rsidRDefault="0055477A" w:rsidP="0055477A">
      <w:pPr>
        <w:spacing w:before="0" w:line="240" w:lineRule="auto"/>
        <w:ind w:left="200" w:right="0"/>
        <w:rPr>
          <w:rFonts w:eastAsia="Times New Roman"/>
          <w:lang w:eastAsia="en-AU"/>
        </w:rPr>
      </w:pPr>
      <w:r w:rsidRPr="00B83411">
        <w:rPr>
          <w:rFonts w:eastAsia="Times New Roman"/>
          <w:lang w:eastAsia="en-AU"/>
        </w:rPr>
        <w:t>__________________________________________________________________</w:t>
      </w:r>
    </w:p>
    <w:p w14:paraId="78AFD307" w14:textId="77777777" w:rsidR="0055477A" w:rsidRPr="00B83411" w:rsidRDefault="0055477A" w:rsidP="0055477A">
      <w:pPr>
        <w:spacing w:before="0" w:line="240" w:lineRule="auto"/>
        <w:ind w:right="0"/>
        <w:rPr>
          <w:rFonts w:eastAsia="Times New Roman"/>
          <w:lang w:eastAsia="en-AU"/>
        </w:rPr>
      </w:pPr>
    </w:p>
    <w:p w14:paraId="1C2019EA" w14:textId="77777777" w:rsidR="00F72A57" w:rsidRPr="00B83411" w:rsidRDefault="00F72A57" w:rsidP="007D2133">
      <w:pPr>
        <w:rPr>
          <w:highlight w:val="yellow"/>
        </w:rPr>
      </w:pPr>
      <w:r w:rsidRPr="00B83411">
        <w:rPr>
          <w:highlight w:val="yellow"/>
        </w:rPr>
        <w:br w:type="page"/>
      </w:r>
    </w:p>
    <w:p w14:paraId="09A41400" w14:textId="77777777" w:rsidR="000467B9" w:rsidRDefault="000467B9" w:rsidP="000467B9">
      <w:pPr>
        <w:pStyle w:val="Heading1"/>
      </w:pPr>
      <w:bookmarkStart w:id="46" w:name="_Toc213926365"/>
      <w:r w:rsidRPr="00B83411">
        <w:t>Appendix B: Suggestions: verbatim comments</w:t>
      </w:r>
      <w:bookmarkEnd w:id="46"/>
    </w:p>
    <w:p w14:paraId="45861D60" w14:textId="77777777" w:rsidR="003B580E" w:rsidRPr="003B580E" w:rsidRDefault="003B580E" w:rsidP="003B580E">
      <w:r w:rsidRPr="003B580E">
        <w:t>The format presented in Appendix B is based on an export of verbatim respondent comments extracted directly from the SurveyManager® platform.</w:t>
      </w:r>
    </w:p>
    <w:p w14:paraId="14A99909" w14:textId="1D3B9903" w:rsidR="00A2374C" w:rsidRPr="00B83411" w:rsidRDefault="00A2374C" w:rsidP="00A2374C">
      <w:pPr>
        <w:pStyle w:val="Heading2"/>
        <w:spacing w:after="120"/>
      </w:pPr>
      <w:bookmarkStart w:id="47" w:name="_Toc213926366"/>
      <w:r w:rsidRPr="00B83411">
        <w:t>Suggestions about NOPTA / OIR strengths</w:t>
      </w:r>
      <w:bookmarkEnd w:id="47"/>
    </w:p>
    <w:p w14:paraId="7195589C" w14:textId="350D1BB2" w:rsidR="000467B9" w:rsidRPr="00B83411" w:rsidRDefault="00A2374C" w:rsidP="006D6688">
      <w:r w:rsidRPr="00B83411">
        <w:t>A total of 33 respondents provided comments about what NOPTA / OIR do well and should continue doing.</w:t>
      </w:r>
      <w:r w:rsidR="006D6688" w:rsidRPr="00B83411">
        <w:t xml:space="preserve"> A number offered several suggestions to this question.</w:t>
      </w:r>
    </w:p>
    <w:p w14:paraId="1CBCB5F1" w14:textId="77777777" w:rsidR="00A2374C" w:rsidRPr="00B83411" w:rsidRDefault="00A2374C">
      <w:pPr>
        <w:spacing w:before="0" w:line="240" w:lineRule="auto"/>
        <w:ind w:right="0"/>
      </w:pPr>
    </w:p>
    <w:p w14:paraId="24E298D7" w14:textId="58C3E642" w:rsidR="00335E20" w:rsidRDefault="00335E20" w:rsidP="00611DAD">
      <w:pPr>
        <w:pStyle w:val="Caption"/>
        <w:keepNext/>
      </w:pPr>
      <w:r>
        <w:t xml:space="preserve">Table </w:t>
      </w:r>
      <w:r>
        <w:fldChar w:fldCharType="begin"/>
      </w:r>
      <w:r>
        <w:instrText xml:space="preserve"> SEQ Table \* ARABIC </w:instrText>
      </w:r>
      <w:r>
        <w:fldChar w:fldCharType="separate"/>
      </w:r>
      <w:r>
        <w:fldChar w:fldCharType="end"/>
      </w:r>
      <w:r w:rsidR="00210060">
        <w:t>20</w:t>
      </w:r>
      <w:r>
        <w:t>: Verbatim comments</w:t>
      </w:r>
    </w:p>
    <w:tbl>
      <w:tblPr>
        <w:tblW w:w="8931" w:type="dxa"/>
        <w:tblLook w:val="04A0" w:firstRow="1" w:lastRow="0" w:firstColumn="1" w:lastColumn="0" w:noHBand="0" w:noVBand="1"/>
      </w:tblPr>
      <w:tblGrid>
        <w:gridCol w:w="8931"/>
      </w:tblGrid>
      <w:tr w:rsidR="00A2374C" w:rsidRPr="00B83411" w14:paraId="3738BA49" w14:textId="77777777" w:rsidTr="00A2374C">
        <w:trPr>
          <w:trHeight w:val="255"/>
        </w:trPr>
        <w:tc>
          <w:tcPr>
            <w:tcW w:w="8931" w:type="dxa"/>
            <w:tcBorders>
              <w:top w:val="nil"/>
              <w:left w:val="nil"/>
              <w:bottom w:val="nil"/>
              <w:right w:val="nil"/>
            </w:tcBorders>
            <w:noWrap/>
            <w:vAlign w:val="bottom"/>
            <w:hideMark/>
          </w:tcPr>
          <w:p w14:paraId="55A50835"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All human interactions have been very successful and effective. The tracking of applications is also effective and useful.</w:t>
            </w:r>
          </w:p>
        </w:tc>
      </w:tr>
      <w:tr w:rsidR="00A2374C" w:rsidRPr="00B83411" w14:paraId="7EE19838" w14:textId="77777777" w:rsidTr="00A2374C">
        <w:trPr>
          <w:trHeight w:val="255"/>
        </w:trPr>
        <w:tc>
          <w:tcPr>
            <w:tcW w:w="8931" w:type="dxa"/>
            <w:tcBorders>
              <w:top w:val="nil"/>
              <w:left w:val="nil"/>
              <w:bottom w:val="nil"/>
              <w:right w:val="nil"/>
            </w:tcBorders>
            <w:noWrap/>
            <w:vAlign w:val="bottom"/>
            <w:hideMark/>
          </w:tcPr>
          <w:p w14:paraId="164F64FA"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Collaborate, being available to provide clarifications to Operators</w:t>
            </w:r>
          </w:p>
        </w:tc>
      </w:tr>
      <w:tr w:rsidR="00A2374C" w:rsidRPr="00B83411" w14:paraId="30FDF0B7" w14:textId="77777777" w:rsidTr="00A2374C">
        <w:trPr>
          <w:trHeight w:val="255"/>
        </w:trPr>
        <w:tc>
          <w:tcPr>
            <w:tcW w:w="8931" w:type="dxa"/>
            <w:tcBorders>
              <w:top w:val="nil"/>
              <w:left w:val="nil"/>
              <w:bottom w:val="nil"/>
              <w:right w:val="nil"/>
            </w:tcBorders>
            <w:noWrap/>
            <w:vAlign w:val="bottom"/>
            <w:hideMark/>
          </w:tcPr>
          <w:p w14:paraId="2F998E89"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Continue to be accessible.</w:t>
            </w:r>
          </w:p>
        </w:tc>
      </w:tr>
      <w:tr w:rsidR="00A2374C" w:rsidRPr="00B83411" w14:paraId="7520146A" w14:textId="77777777" w:rsidTr="00A2374C">
        <w:trPr>
          <w:trHeight w:val="255"/>
        </w:trPr>
        <w:tc>
          <w:tcPr>
            <w:tcW w:w="8931" w:type="dxa"/>
            <w:tcBorders>
              <w:top w:val="nil"/>
              <w:left w:val="nil"/>
              <w:bottom w:val="nil"/>
              <w:right w:val="nil"/>
            </w:tcBorders>
            <w:noWrap/>
            <w:vAlign w:val="bottom"/>
            <w:hideMark/>
          </w:tcPr>
          <w:p w14:paraId="1908793F"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Continue to support staff development, recognising that some team members are still new and may not yet be fully across all aspects of their role. I find NOPTA to be constructive and facilitative in its approach to applications, and I greatly value the expertise and willingness of experienced staff to collaborate closely with titleholders. This supportive attitude is sincerely appreciated.</w:t>
            </w:r>
          </w:p>
        </w:tc>
      </w:tr>
      <w:tr w:rsidR="00A2374C" w:rsidRPr="00B83411" w14:paraId="4DFDD31C" w14:textId="77777777" w:rsidTr="00A2374C">
        <w:trPr>
          <w:trHeight w:val="255"/>
        </w:trPr>
        <w:tc>
          <w:tcPr>
            <w:tcW w:w="8931" w:type="dxa"/>
            <w:tcBorders>
              <w:top w:val="nil"/>
              <w:left w:val="nil"/>
              <w:bottom w:val="nil"/>
              <w:right w:val="nil"/>
            </w:tcBorders>
            <w:noWrap/>
            <w:vAlign w:val="bottom"/>
            <w:hideMark/>
          </w:tcPr>
          <w:p w14:paraId="6ABC1EFD" w14:textId="69F586A4"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Engagement with Titleholders and providing advice, ie answering questions, providing insights, sharing lessons learned. </w:t>
            </w:r>
          </w:p>
        </w:tc>
      </w:tr>
      <w:tr w:rsidR="00A2374C" w:rsidRPr="00B83411" w14:paraId="0665E846" w14:textId="77777777" w:rsidTr="00A2374C">
        <w:trPr>
          <w:trHeight w:val="255"/>
        </w:trPr>
        <w:tc>
          <w:tcPr>
            <w:tcW w:w="8931" w:type="dxa"/>
            <w:tcBorders>
              <w:top w:val="nil"/>
              <w:left w:val="nil"/>
              <w:bottom w:val="nil"/>
              <w:right w:val="nil"/>
            </w:tcBorders>
            <w:noWrap/>
            <w:vAlign w:val="bottom"/>
            <w:hideMark/>
          </w:tcPr>
          <w:p w14:paraId="1D98B509"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Excellent interaction with my agency, willingness and availability to hold discussions and explore ideas, as well as collaborate/cooperate when appropriate.</w:t>
            </w:r>
          </w:p>
        </w:tc>
      </w:tr>
      <w:tr w:rsidR="00A2374C" w:rsidRPr="00B83411" w14:paraId="3E888822" w14:textId="77777777" w:rsidTr="00A2374C">
        <w:trPr>
          <w:trHeight w:val="255"/>
        </w:trPr>
        <w:tc>
          <w:tcPr>
            <w:tcW w:w="8931" w:type="dxa"/>
            <w:tcBorders>
              <w:top w:val="nil"/>
              <w:left w:val="nil"/>
              <w:bottom w:val="nil"/>
              <w:right w:val="nil"/>
            </w:tcBorders>
            <w:noWrap/>
            <w:vAlign w:val="bottom"/>
            <w:hideMark/>
          </w:tcPr>
          <w:p w14:paraId="0E8C7C48"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General communication and relationship with stakeholders. Trying to solve problems together, rather than being an adversarial relationship.</w:t>
            </w:r>
          </w:p>
        </w:tc>
      </w:tr>
      <w:tr w:rsidR="00A2374C" w:rsidRPr="00B83411" w14:paraId="7902F141" w14:textId="77777777" w:rsidTr="00A2374C">
        <w:trPr>
          <w:trHeight w:val="255"/>
        </w:trPr>
        <w:tc>
          <w:tcPr>
            <w:tcW w:w="8931" w:type="dxa"/>
            <w:tcBorders>
              <w:top w:val="nil"/>
              <w:left w:val="nil"/>
              <w:bottom w:val="nil"/>
              <w:right w:val="nil"/>
            </w:tcBorders>
            <w:noWrap/>
            <w:vAlign w:val="bottom"/>
            <w:hideMark/>
          </w:tcPr>
          <w:p w14:paraId="16DB601D"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Good communication, available to talk on the phone, friendly and knowledgeable staff.</w:t>
            </w:r>
          </w:p>
        </w:tc>
      </w:tr>
      <w:tr w:rsidR="00A2374C" w:rsidRPr="00B83411" w14:paraId="4DDC0693" w14:textId="77777777" w:rsidTr="00A2374C">
        <w:trPr>
          <w:trHeight w:val="255"/>
        </w:trPr>
        <w:tc>
          <w:tcPr>
            <w:tcW w:w="8931" w:type="dxa"/>
            <w:tcBorders>
              <w:top w:val="nil"/>
              <w:left w:val="nil"/>
              <w:bottom w:val="nil"/>
              <w:right w:val="nil"/>
            </w:tcBorders>
            <w:noWrap/>
            <w:vAlign w:val="bottom"/>
            <w:hideMark/>
          </w:tcPr>
          <w:p w14:paraId="00EE37B7"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Good people so this makes it easier to deal with.</w:t>
            </w:r>
          </w:p>
        </w:tc>
      </w:tr>
      <w:tr w:rsidR="00A2374C" w:rsidRPr="00B83411" w14:paraId="32872171" w14:textId="77777777" w:rsidTr="00A2374C">
        <w:trPr>
          <w:trHeight w:val="255"/>
        </w:trPr>
        <w:tc>
          <w:tcPr>
            <w:tcW w:w="8931" w:type="dxa"/>
            <w:tcBorders>
              <w:top w:val="nil"/>
              <w:left w:val="nil"/>
              <w:bottom w:val="nil"/>
              <w:right w:val="nil"/>
            </w:tcBorders>
            <w:noWrap/>
            <w:vAlign w:val="bottom"/>
            <w:hideMark/>
          </w:tcPr>
          <w:p w14:paraId="0CF51DDB"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I am always able to call a member of the team and speak to them directly to ask questions or discuss matters. They are always available for meetings, both formal and informal, and are happy to share updates and advice where possible.</w:t>
            </w:r>
          </w:p>
        </w:tc>
      </w:tr>
      <w:tr w:rsidR="00A2374C" w:rsidRPr="00B83411" w14:paraId="6E2F589F" w14:textId="77777777" w:rsidTr="00A2374C">
        <w:trPr>
          <w:trHeight w:val="255"/>
        </w:trPr>
        <w:tc>
          <w:tcPr>
            <w:tcW w:w="8931" w:type="dxa"/>
            <w:tcBorders>
              <w:top w:val="nil"/>
              <w:left w:val="nil"/>
              <w:bottom w:val="nil"/>
              <w:right w:val="nil"/>
            </w:tcBorders>
            <w:noWrap/>
            <w:vAlign w:val="bottom"/>
            <w:hideMark/>
          </w:tcPr>
          <w:p w14:paraId="051ABF73"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In terms of guidance towards decision making they provide valuable input that is useful and avoids documents being submitted that will be rejected due to small errors.</w:t>
            </w:r>
          </w:p>
        </w:tc>
      </w:tr>
      <w:tr w:rsidR="00A2374C" w:rsidRPr="00B83411" w14:paraId="099647B2" w14:textId="77777777" w:rsidTr="00A2374C">
        <w:trPr>
          <w:trHeight w:val="255"/>
        </w:trPr>
        <w:tc>
          <w:tcPr>
            <w:tcW w:w="8931" w:type="dxa"/>
            <w:tcBorders>
              <w:top w:val="nil"/>
              <w:left w:val="nil"/>
              <w:bottom w:val="nil"/>
              <w:right w:val="nil"/>
            </w:tcBorders>
            <w:noWrap/>
            <w:vAlign w:val="bottom"/>
            <w:hideMark/>
          </w:tcPr>
          <w:p w14:paraId="2967AE4B"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Information provision and active licence administration</w:t>
            </w:r>
          </w:p>
        </w:tc>
      </w:tr>
      <w:tr w:rsidR="00A2374C" w:rsidRPr="00B83411" w14:paraId="415C8905" w14:textId="77777777" w:rsidTr="00A2374C">
        <w:trPr>
          <w:trHeight w:val="255"/>
        </w:trPr>
        <w:tc>
          <w:tcPr>
            <w:tcW w:w="8931" w:type="dxa"/>
            <w:tcBorders>
              <w:top w:val="nil"/>
              <w:left w:val="nil"/>
              <w:bottom w:val="nil"/>
              <w:right w:val="nil"/>
            </w:tcBorders>
            <w:noWrap/>
            <w:vAlign w:val="bottom"/>
            <w:hideMark/>
          </w:tcPr>
          <w:p w14:paraId="65491FF9"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Maintain relevant communications and answers to inquiries where possible</w:t>
            </w:r>
          </w:p>
        </w:tc>
      </w:tr>
      <w:tr w:rsidR="00A2374C" w:rsidRPr="00B83411" w14:paraId="4D908517" w14:textId="77777777" w:rsidTr="00A2374C">
        <w:trPr>
          <w:trHeight w:val="255"/>
        </w:trPr>
        <w:tc>
          <w:tcPr>
            <w:tcW w:w="8931" w:type="dxa"/>
            <w:tcBorders>
              <w:top w:val="nil"/>
              <w:left w:val="nil"/>
              <w:bottom w:val="nil"/>
              <w:right w:val="nil"/>
            </w:tcBorders>
            <w:noWrap/>
            <w:vAlign w:val="bottom"/>
            <w:hideMark/>
          </w:tcPr>
          <w:p w14:paraId="16015E6F" w14:textId="0B3B24C9"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Maintaining excellent relationships with its key stakeholders, particularly in respect of timely advice and guidance when queries are raised regarding applications. </w:t>
            </w:r>
          </w:p>
        </w:tc>
      </w:tr>
      <w:tr w:rsidR="00A2374C" w:rsidRPr="00B83411" w14:paraId="30BA6446" w14:textId="77777777" w:rsidTr="00A2374C">
        <w:trPr>
          <w:trHeight w:val="255"/>
        </w:trPr>
        <w:tc>
          <w:tcPr>
            <w:tcW w:w="8931" w:type="dxa"/>
            <w:tcBorders>
              <w:top w:val="nil"/>
              <w:left w:val="nil"/>
              <w:bottom w:val="nil"/>
              <w:right w:val="nil"/>
            </w:tcBorders>
            <w:noWrap/>
            <w:vAlign w:val="bottom"/>
            <w:hideMark/>
          </w:tcPr>
          <w:p w14:paraId="3C4EA91C" w14:textId="48A62EAE"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Making data publicly available is invaluable. Even if it may sometimes be a bit of a journey to find information, </w:t>
            </w:r>
            <w:r w:rsidR="0068089E" w:rsidRPr="00B83411">
              <w:rPr>
                <w:rFonts w:eastAsia="Times New Roman" w:cs="Arial"/>
                <w:i/>
                <w:iCs/>
                <w:color w:val="000000"/>
                <w:lang w:eastAsia="en-AU"/>
              </w:rPr>
              <w:t>it’s</w:t>
            </w:r>
            <w:r w:rsidRPr="00B83411">
              <w:rPr>
                <w:rFonts w:eastAsia="Times New Roman" w:cs="Arial"/>
                <w:i/>
                <w:iCs/>
                <w:color w:val="000000"/>
                <w:lang w:eastAsia="en-AU"/>
              </w:rPr>
              <w:t xml:space="preserve"> worth having it semi-discoverable.</w:t>
            </w:r>
          </w:p>
        </w:tc>
      </w:tr>
      <w:tr w:rsidR="00A2374C" w:rsidRPr="00B83411" w14:paraId="63212DD1" w14:textId="77777777" w:rsidTr="00A2374C">
        <w:trPr>
          <w:trHeight w:val="255"/>
        </w:trPr>
        <w:tc>
          <w:tcPr>
            <w:tcW w:w="8931" w:type="dxa"/>
            <w:tcBorders>
              <w:top w:val="nil"/>
              <w:left w:val="nil"/>
              <w:bottom w:val="nil"/>
              <w:right w:val="nil"/>
            </w:tcBorders>
            <w:noWrap/>
            <w:vAlign w:val="bottom"/>
            <w:hideMark/>
          </w:tcPr>
          <w:p w14:paraId="79A5A7BE"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Meet government's expectations</w:t>
            </w:r>
          </w:p>
        </w:tc>
      </w:tr>
      <w:tr w:rsidR="00A2374C" w:rsidRPr="00B83411" w14:paraId="6F16A249" w14:textId="77777777" w:rsidTr="00A2374C">
        <w:trPr>
          <w:trHeight w:val="255"/>
        </w:trPr>
        <w:tc>
          <w:tcPr>
            <w:tcW w:w="8931" w:type="dxa"/>
            <w:tcBorders>
              <w:top w:val="nil"/>
              <w:left w:val="nil"/>
              <w:bottom w:val="nil"/>
              <w:right w:val="nil"/>
            </w:tcBorders>
            <w:noWrap/>
            <w:vAlign w:val="bottom"/>
            <w:hideMark/>
          </w:tcPr>
          <w:p w14:paraId="0AE78644"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NOPTA staff are the organization's best asset - knowledgeable and helpful with an attitude of trying to support the best outcomes.</w:t>
            </w:r>
          </w:p>
        </w:tc>
      </w:tr>
      <w:tr w:rsidR="00A2374C" w:rsidRPr="00B83411" w14:paraId="4BEE378F" w14:textId="77777777" w:rsidTr="00A2374C">
        <w:trPr>
          <w:trHeight w:val="255"/>
        </w:trPr>
        <w:tc>
          <w:tcPr>
            <w:tcW w:w="8931" w:type="dxa"/>
            <w:tcBorders>
              <w:top w:val="nil"/>
              <w:left w:val="nil"/>
              <w:bottom w:val="nil"/>
              <w:right w:val="nil"/>
            </w:tcBorders>
            <w:noWrap/>
            <w:vAlign w:val="bottom"/>
            <w:hideMark/>
          </w:tcPr>
          <w:p w14:paraId="525CC494"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Open to consultation and engagement with Titleholder/Owner</w:t>
            </w:r>
          </w:p>
        </w:tc>
      </w:tr>
      <w:tr w:rsidR="00A2374C" w:rsidRPr="00B83411" w14:paraId="12AD727B" w14:textId="77777777" w:rsidTr="00A2374C">
        <w:trPr>
          <w:trHeight w:val="255"/>
        </w:trPr>
        <w:tc>
          <w:tcPr>
            <w:tcW w:w="8931" w:type="dxa"/>
            <w:tcBorders>
              <w:top w:val="nil"/>
              <w:left w:val="nil"/>
              <w:bottom w:val="nil"/>
              <w:right w:val="nil"/>
            </w:tcBorders>
            <w:noWrap/>
            <w:vAlign w:val="bottom"/>
            <w:hideMark/>
          </w:tcPr>
          <w:p w14:paraId="0CD641F8" w14:textId="67C3B04A"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Pro-actively engage when new guidelines or documents are about to be released for information and seek comments.</w:t>
            </w:r>
          </w:p>
        </w:tc>
      </w:tr>
      <w:tr w:rsidR="00A2374C" w:rsidRPr="00B83411" w14:paraId="5AC0E750" w14:textId="77777777" w:rsidTr="00A2374C">
        <w:trPr>
          <w:trHeight w:val="255"/>
        </w:trPr>
        <w:tc>
          <w:tcPr>
            <w:tcW w:w="8931" w:type="dxa"/>
            <w:tcBorders>
              <w:top w:val="nil"/>
              <w:left w:val="nil"/>
              <w:bottom w:val="nil"/>
              <w:right w:val="nil"/>
            </w:tcBorders>
            <w:noWrap/>
            <w:vAlign w:val="bottom"/>
            <w:hideMark/>
          </w:tcPr>
          <w:p w14:paraId="230D92AE"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Productive engagement and offers of support to navigate regulatory processes / requirements</w:t>
            </w:r>
          </w:p>
        </w:tc>
      </w:tr>
      <w:tr w:rsidR="00A2374C" w:rsidRPr="00B83411" w14:paraId="2BAB420B" w14:textId="77777777" w:rsidTr="00A2374C">
        <w:trPr>
          <w:trHeight w:val="255"/>
        </w:trPr>
        <w:tc>
          <w:tcPr>
            <w:tcW w:w="8931" w:type="dxa"/>
            <w:tcBorders>
              <w:top w:val="nil"/>
              <w:left w:val="nil"/>
              <w:bottom w:val="nil"/>
              <w:right w:val="nil"/>
            </w:tcBorders>
            <w:noWrap/>
            <w:vAlign w:val="bottom"/>
            <w:hideMark/>
          </w:tcPr>
          <w:p w14:paraId="3576DA8E"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Provides good, consistent advice.</w:t>
            </w:r>
          </w:p>
        </w:tc>
      </w:tr>
      <w:tr w:rsidR="00A2374C" w:rsidRPr="00B83411" w14:paraId="0B738FD3" w14:textId="77777777" w:rsidTr="00A2374C">
        <w:trPr>
          <w:trHeight w:val="255"/>
        </w:trPr>
        <w:tc>
          <w:tcPr>
            <w:tcW w:w="8931" w:type="dxa"/>
            <w:tcBorders>
              <w:top w:val="nil"/>
              <w:left w:val="nil"/>
              <w:bottom w:val="nil"/>
              <w:right w:val="nil"/>
            </w:tcBorders>
            <w:noWrap/>
            <w:vAlign w:val="bottom"/>
            <w:hideMark/>
          </w:tcPr>
          <w:p w14:paraId="64116C45"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Responding to issues and questions in a timely manner with good and robust advice and supported reasoning.</w:t>
            </w:r>
          </w:p>
        </w:tc>
      </w:tr>
      <w:tr w:rsidR="00A2374C" w:rsidRPr="00B83411" w14:paraId="10211815" w14:textId="77777777" w:rsidTr="00A2374C">
        <w:trPr>
          <w:trHeight w:val="255"/>
        </w:trPr>
        <w:tc>
          <w:tcPr>
            <w:tcW w:w="8931" w:type="dxa"/>
            <w:tcBorders>
              <w:top w:val="nil"/>
              <w:left w:val="nil"/>
              <w:bottom w:val="nil"/>
              <w:right w:val="nil"/>
            </w:tcBorders>
            <w:noWrap/>
            <w:vAlign w:val="bottom"/>
            <w:hideMark/>
          </w:tcPr>
          <w:p w14:paraId="6B6155AF"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RFI's sent for permit related submissions are very clear. </w:t>
            </w:r>
          </w:p>
        </w:tc>
      </w:tr>
      <w:tr w:rsidR="00A2374C" w:rsidRPr="00B83411" w14:paraId="4C2C79ED" w14:textId="77777777" w:rsidTr="00A2374C">
        <w:trPr>
          <w:trHeight w:val="255"/>
        </w:trPr>
        <w:tc>
          <w:tcPr>
            <w:tcW w:w="8931" w:type="dxa"/>
            <w:tcBorders>
              <w:top w:val="nil"/>
              <w:left w:val="nil"/>
              <w:bottom w:val="nil"/>
              <w:right w:val="nil"/>
            </w:tcBorders>
            <w:noWrap/>
            <w:vAlign w:val="bottom"/>
            <w:hideMark/>
          </w:tcPr>
          <w:p w14:paraId="60A59AB2" w14:textId="2EB1C738"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Staff are readily available to discuss an issue and give guidance and advice. The guidance and advice is generally accurate and helpful. </w:t>
            </w:r>
          </w:p>
        </w:tc>
      </w:tr>
      <w:tr w:rsidR="00A2374C" w:rsidRPr="00B83411" w14:paraId="162F4316" w14:textId="77777777" w:rsidTr="00A2374C">
        <w:trPr>
          <w:trHeight w:val="255"/>
        </w:trPr>
        <w:tc>
          <w:tcPr>
            <w:tcW w:w="8931" w:type="dxa"/>
            <w:tcBorders>
              <w:top w:val="nil"/>
              <w:left w:val="nil"/>
              <w:bottom w:val="nil"/>
              <w:right w:val="nil"/>
            </w:tcBorders>
            <w:noWrap/>
            <w:vAlign w:val="bottom"/>
            <w:hideMark/>
          </w:tcPr>
          <w:p w14:paraId="614E5C14"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Strong engagement and relationship building with licence holders and generally clear in its communications with licence holders. </w:t>
            </w:r>
          </w:p>
        </w:tc>
      </w:tr>
      <w:tr w:rsidR="00A2374C" w:rsidRPr="00B83411" w14:paraId="1BAE9307" w14:textId="77777777" w:rsidTr="00A2374C">
        <w:trPr>
          <w:trHeight w:val="255"/>
        </w:trPr>
        <w:tc>
          <w:tcPr>
            <w:tcW w:w="8931" w:type="dxa"/>
            <w:tcBorders>
              <w:top w:val="nil"/>
              <w:left w:val="nil"/>
              <w:bottom w:val="nil"/>
              <w:right w:val="nil"/>
            </w:tcBorders>
            <w:noWrap/>
            <w:vAlign w:val="bottom"/>
            <w:hideMark/>
          </w:tcPr>
          <w:p w14:paraId="2E2D51F9"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The NOPTA Data Team, who we deal with regularly, do an excellent job of responding promptly to queries and providing data related advice. They are a very helpful team.</w:t>
            </w:r>
          </w:p>
        </w:tc>
      </w:tr>
      <w:tr w:rsidR="00A2374C" w:rsidRPr="00B83411" w14:paraId="47A2DFC7" w14:textId="77777777" w:rsidTr="00A2374C">
        <w:trPr>
          <w:trHeight w:val="255"/>
        </w:trPr>
        <w:tc>
          <w:tcPr>
            <w:tcW w:w="8931" w:type="dxa"/>
            <w:tcBorders>
              <w:top w:val="nil"/>
              <w:left w:val="nil"/>
              <w:bottom w:val="nil"/>
              <w:right w:val="nil"/>
            </w:tcBorders>
            <w:noWrap/>
            <w:vAlign w:val="bottom"/>
            <w:hideMark/>
          </w:tcPr>
          <w:p w14:paraId="134B37A8" w14:textId="6A011D7B"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The Titles Administrator is structured and has a very good, structured approach to licensing and titles management - and is clear to everyone.</w:t>
            </w:r>
            <w:r w:rsidRPr="00B83411">
              <w:rPr>
                <w:rFonts w:eastAsia="Times New Roman" w:cs="Arial"/>
                <w:i/>
                <w:iCs/>
                <w:color w:val="000000"/>
                <w:lang w:eastAsia="en-AU"/>
              </w:rPr>
              <w:br/>
              <w:t>They offer specialist knowledge and in very recent years have taken on more experienced and technically relevant specialists into their organization - this is an ever-changing landscape I like to see its kept relevant.</w:t>
            </w:r>
            <w:r w:rsidRPr="00B83411">
              <w:rPr>
                <w:rFonts w:eastAsia="Times New Roman" w:cs="Arial"/>
                <w:i/>
                <w:iCs/>
                <w:color w:val="000000"/>
                <w:lang w:eastAsia="en-AU"/>
              </w:rPr>
              <w:br/>
              <w:t>You support Carbon Capture and Storage which is key to New Energy development helping Aus to a low-emissions future. I very much like the fact that the departments of NOPTA work closely with DISR, DCCEEW and DFAT - that is an excellent collaboration - well done. Always willing to see us in Perth or Canberra and so easily contactable - keep it up</w:t>
            </w:r>
          </w:p>
        </w:tc>
      </w:tr>
      <w:tr w:rsidR="00A2374C" w:rsidRPr="00B83411" w14:paraId="2E6D73B7" w14:textId="77777777" w:rsidTr="00A2374C">
        <w:trPr>
          <w:trHeight w:val="255"/>
        </w:trPr>
        <w:tc>
          <w:tcPr>
            <w:tcW w:w="8931" w:type="dxa"/>
            <w:tcBorders>
              <w:top w:val="nil"/>
              <w:left w:val="nil"/>
              <w:bottom w:val="nil"/>
              <w:right w:val="nil"/>
            </w:tcBorders>
            <w:noWrap/>
            <w:vAlign w:val="bottom"/>
            <w:hideMark/>
          </w:tcPr>
          <w:p w14:paraId="4E6FB487"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The Titles Administrator staff are very knowledgeable and seek to have open discussion and provide guidance on how to ensure and maintain compliance. I have found them extremely helpful and friendly while still clearly and explicitly highlighting when they cannot advise to maintain their independence. They also do complete their activities within reasonable and expected timeframes, it is just unfortunate that the Joint Authority does not.</w:t>
            </w:r>
          </w:p>
        </w:tc>
      </w:tr>
      <w:tr w:rsidR="00A2374C" w:rsidRPr="00B83411" w14:paraId="7DAAC5DC" w14:textId="77777777" w:rsidTr="00A2374C">
        <w:trPr>
          <w:trHeight w:val="255"/>
        </w:trPr>
        <w:tc>
          <w:tcPr>
            <w:tcW w:w="8931" w:type="dxa"/>
            <w:tcBorders>
              <w:top w:val="nil"/>
              <w:left w:val="nil"/>
              <w:bottom w:val="nil"/>
              <w:right w:val="nil"/>
            </w:tcBorders>
            <w:noWrap/>
            <w:vAlign w:val="bottom"/>
            <w:hideMark/>
          </w:tcPr>
          <w:p w14:paraId="37FCF0B3"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They administer the Regulations and Act as they are written. </w:t>
            </w:r>
          </w:p>
        </w:tc>
      </w:tr>
      <w:tr w:rsidR="00A2374C" w:rsidRPr="00B83411" w14:paraId="073CE0D3" w14:textId="77777777" w:rsidTr="00A2374C">
        <w:trPr>
          <w:trHeight w:val="255"/>
        </w:trPr>
        <w:tc>
          <w:tcPr>
            <w:tcW w:w="8931" w:type="dxa"/>
            <w:tcBorders>
              <w:top w:val="nil"/>
              <w:left w:val="nil"/>
              <w:bottom w:val="nil"/>
              <w:right w:val="nil"/>
            </w:tcBorders>
            <w:noWrap/>
            <w:vAlign w:val="bottom"/>
            <w:hideMark/>
          </w:tcPr>
          <w:p w14:paraId="1B758A07"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Very consistent and trustworthy in its administration of the Act and regulations</w:t>
            </w:r>
          </w:p>
        </w:tc>
      </w:tr>
      <w:tr w:rsidR="00A2374C" w:rsidRPr="00B83411" w14:paraId="4DD4158C" w14:textId="77777777" w:rsidTr="00A2374C">
        <w:trPr>
          <w:trHeight w:val="255"/>
        </w:trPr>
        <w:tc>
          <w:tcPr>
            <w:tcW w:w="8931" w:type="dxa"/>
            <w:tcBorders>
              <w:top w:val="nil"/>
              <w:left w:val="nil"/>
              <w:bottom w:val="nil"/>
              <w:right w:val="nil"/>
            </w:tcBorders>
            <w:noWrap/>
            <w:vAlign w:val="bottom"/>
            <w:hideMark/>
          </w:tcPr>
          <w:p w14:paraId="4589AD8F"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Very helpful and professional staff in most instances</w:t>
            </w:r>
          </w:p>
        </w:tc>
      </w:tr>
      <w:tr w:rsidR="00A2374C" w:rsidRPr="00B83411" w14:paraId="590B61E0" w14:textId="77777777" w:rsidTr="00A2374C">
        <w:trPr>
          <w:trHeight w:val="255"/>
        </w:trPr>
        <w:tc>
          <w:tcPr>
            <w:tcW w:w="8931" w:type="dxa"/>
            <w:tcBorders>
              <w:top w:val="nil"/>
              <w:left w:val="nil"/>
              <w:bottom w:val="nil"/>
              <w:right w:val="nil"/>
            </w:tcBorders>
            <w:noWrap/>
            <w:vAlign w:val="bottom"/>
            <w:hideMark/>
          </w:tcPr>
          <w:p w14:paraId="5C4B8A74" w14:textId="7534862F"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Working collaboratively with other Commonwealth and State government agencies who have functions relating to the regulation of offshore energy projects. </w:t>
            </w:r>
          </w:p>
        </w:tc>
      </w:tr>
    </w:tbl>
    <w:p w14:paraId="1C65695D" w14:textId="77777777" w:rsidR="00A2374C" w:rsidRPr="00B83411" w:rsidRDefault="00A2374C" w:rsidP="00A2374C">
      <w:pPr>
        <w:pStyle w:val="Heading2"/>
        <w:spacing w:after="120"/>
      </w:pPr>
      <w:bookmarkStart w:id="48" w:name="_Toc213926367"/>
      <w:r w:rsidRPr="00B83411">
        <w:t>Suggestions for improvements</w:t>
      </w:r>
      <w:bookmarkEnd w:id="48"/>
    </w:p>
    <w:p w14:paraId="4E900426" w14:textId="176FA9AD" w:rsidR="00A2374C" w:rsidRPr="00B83411" w:rsidRDefault="00A2374C" w:rsidP="006D6688">
      <w:r w:rsidRPr="00B83411">
        <w:t>A total of 29 respondents provided comments about improvements.</w:t>
      </w:r>
      <w:r w:rsidR="006D6688" w:rsidRPr="00B83411">
        <w:t xml:space="preserve"> A number offered several suggestions to this question.</w:t>
      </w:r>
    </w:p>
    <w:p w14:paraId="1ECEDF40" w14:textId="77777777" w:rsidR="00A2374C" w:rsidRPr="00B83411" w:rsidRDefault="00A2374C">
      <w:pPr>
        <w:spacing w:before="0" w:line="240" w:lineRule="auto"/>
        <w:ind w:right="0"/>
      </w:pPr>
    </w:p>
    <w:p w14:paraId="290D668C" w14:textId="6E655FBE" w:rsidR="00C350E2" w:rsidRDefault="00C350E2" w:rsidP="00611DAD">
      <w:pPr>
        <w:pStyle w:val="Caption"/>
        <w:keepNext/>
      </w:pPr>
      <w:r>
        <w:t xml:space="preserve">Table </w:t>
      </w:r>
      <w:r w:rsidR="00583CB4">
        <w:t>21</w:t>
      </w:r>
      <w:r>
        <w:fldChar w:fldCharType="begin"/>
      </w:r>
      <w:r>
        <w:instrText xml:space="preserve"> SEQ Table \* ARABIC </w:instrText>
      </w:r>
      <w:r>
        <w:fldChar w:fldCharType="separate"/>
      </w:r>
      <w:r>
        <w:fldChar w:fldCharType="end"/>
      </w:r>
      <w:r>
        <w:t>: Comments about improvements</w:t>
      </w:r>
    </w:p>
    <w:tbl>
      <w:tblPr>
        <w:tblW w:w="9072" w:type="dxa"/>
        <w:tblLook w:val="04A0" w:firstRow="1" w:lastRow="0" w:firstColumn="1" w:lastColumn="0" w:noHBand="0" w:noVBand="1"/>
      </w:tblPr>
      <w:tblGrid>
        <w:gridCol w:w="9072"/>
      </w:tblGrid>
      <w:tr w:rsidR="00A2374C" w:rsidRPr="00B83411" w14:paraId="79150D11" w14:textId="77777777" w:rsidTr="00A2374C">
        <w:trPr>
          <w:trHeight w:val="255"/>
        </w:trPr>
        <w:tc>
          <w:tcPr>
            <w:tcW w:w="9072" w:type="dxa"/>
            <w:tcBorders>
              <w:top w:val="nil"/>
              <w:left w:val="nil"/>
              <w:bottom w:val="nil"/>
              <w:right w:val="nil"/>
            </w:tcBorders>
            <w:noWrap/>
            <w:vAlign w:val="bottom"/>
            <w:hideMark/>
          </w:tcPr>
          <w:p w14:paraId="65689B27" w14:textId="33E4F5FE"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1. Work to reduce the overlap between GHG approvals ie  RCM approves the proposed work-bid and then RCM (or delegate) needs to approve the KGO (SROSAI assessment) for an approved work-bid activity.  There are only a few activities that a SROSAI will arise ie injectivity test - so maybe there is an opportunity to streamline KGO.</w:t>
            </w:r>
            <w:r w:rsidRPr="00B83411">
              <w:rPr>
                <w:rFonts w:eastAsia="Times New Roman" w:cs="Arial"/>
                <w:i/>
                <w:iCs/>
                <w:color w:val="000000"/>
                <w:lang w:eastAsia="en-AU"/>
              </w:rPr>
              <w:br/>
              <w:t>2. Provide a standard ingress agreement form.  An ingress agreement is a requirement for the short-term title but different operators have different views on liabilities, and this negotiation can take way too long to formalise even though the Act and assignment of liability is relatively clear.</w:t>
            </w:r>
            <w:r w:rsidRPr="00B83411">
              <w:rPr>
                <w:rFonts w:eastAsia="Times New Roman" w:cs="Arial"/>
                <w:i/>
                <w:iCs/>
                <w:color w:val="000000"/>
                <w:lang w:eastAsia="en-AU"/>
              </w:rPr>
              <w:br/>
              <w:t>3. Better alignment between NOPSEMA and NOPTA approvals for instance NOPSEMA requires the short-term title application to be made prior to EP submission - meaning that short term title application must be submitted very early and therefore stakeholder consultation is early.  NOPTA have a view that the consultation must be undertaken closer to the activity, but this is not always possible as EP submission is very early due to the length of time for EP approval.</w:t>
            </w:r>
          </w:p>
        </w:tc>
      </w:tr>
      <w:tr w:rsidR="00A2374C" w:rsidRPr="00B83411" w14:paraId="0DD769EB" w14:textId="77777777" w:rsidTr="00A2374C">
        <w:trPr>
          <w:trHeight w:val="255"/>
        </w:trPr>
        <w:tc>
          <w:tcPr>
            <w:tcW w:w="9072" w:type="dxa"/>
            <w:tcBorders>
              <w:top w:val="nil"/>
              <w:left w:val="nil"/>
              <w:bottom w:val="nil"/>
              <w:right w:val="nil"/>
            </w:tcBorders>
            <w:noWrap/>
            <w:vAlign w:val="bottom"/>
            <w:hideMark/>
          </w:tcPr>
          <w:p w14:paraId="37A34694"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Appears to be an increasing burden of compliance through the RFI process related to many recent dealings with NOPTA. Questioning around financial competency and requirements to provide details cash flows, planned expenditures/commitments etc across the whole business (not just related to the project or permit in question) on multiple occasions.</w:t>
            </w:r>
          </w:p>
        </w:tc>
      </w:tr>
      <w:tr w:rsidR="00A2374C" w:rsidRPr="00B83411" w14:paraId="588FCBA1" w14:textId="77777777" w:rsidTr="00A2374C">
        <w:trPr>
          <w:trHeight w:val="255"/>
        </w:trPr>
        <w:tc>
          <w:tcPr>
            <w:tcW w:w="9072" w:type="dxa"/>
            <w:tcBorders>
              <w:top w:val="nil"/>
              <w:left w:val="nil"/>
              <w:bottom w:val="nil"/>
              <w:right w:val="nil"/>
            </w:tcBorders>
            <w:noWrap/>
            <w:vAlign w:val="bottom"/>
            <w:hideMark/>
          </w:tcPr>
          <w:p w14:paraId="1C072128"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Applications are managed promptly at the administrative stage; however, once escalated to the decision-maker, the process tends to break down. Any improvements that could provide greater line-of-sight and more consistent processing beyond the initial advice stage would be greatly appreciated.</w:t>
            </w:r>
          </w:p>
        </w:tc>
      </w:tr>
      <w:tr w:rsidR="00A2374C" w:rsidRPr="00B83411" w14:paraId="1C6971AE" w14:textId="77777777" w:rsidTr="00A2374C">
        <w:trPr>
          <w:trHeight w:val="255"/>
        </w:trPr>
        <w:tc>
          <w:tcPr>
            <w:tcW w:w="9072" w:type="dxa"/>
            <w:tcBorders>
              <w:top w:val="nil"/>
              <w:left w:val="nil"/>
              <w:bottom w:val="nil"/>
              <w:right w:val="nil"/>
            </w:tcBorders>
            <w:noWrap/>
            <w:vAlign w:val="bottom"/>
            <w:hideMark/>
          </w:tcPr>
          <w:p w14:paraId="1F83C000" w14:textId="1FE823E6"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Approximately four years between gazettal and award for 2021 offshore licence round</w:t>
            </w:r>
            <w:r w:rsidR="00371D5B" w:rsidRPr="00B83411">
              <w:rPr>
                <w:rFonts w:eastAsia="Times New Roman" w:cs="Arial"/>
                <w:i/>
                <w:iCs/>
                <w:color w:val="000000"/>
                <w:lang w:eastAsia="en-AU"/>
              </w:rPr>
              <w:t>.</w:t>
            </w:r>
            <w:r w:rsidRPr="00B83411">
              <w:rPr>
                <w:rFonts w:eastAsia="Times New Roman" w:cs="Arial"/>
                <w:i/>
                <w:iCs/>
                <w:color w:val="000000"/>
                <w:lang w:eastAsia="en-AU"/>
              </w:rPr>
              <w:br/>
              <w:t>No acreage releases for multiple years when country is barrelling towards an energy crisis and gas is a critical firming commodity for domestic energy; implies an appalling lack of accountability with regard to responsible management of Australian Resources</w:t>
            </w:r>
          </w:p>
        </w:tc>
      </w:tr>
      <w:tr w:rsidR="00A2374C" w:rsidRPr="00B83411" w14:paraId="324D5C4A" w14:textId="77777777" w:rsidTr="00A2374C">
        <w:trPr>
          <w:trHeight w:val="255"/>
        </w:trPr>
        <w:tc>
          <w:tcPr>
            <w:tcW w:w="9072" w:type="dxa"/>
            <w:tcBorders>
              <w:top w:val="nil"/>
              <w:left w:val="nil"/>
              <w:bottom w:val="nil"/>
              <w:right w:val="nil"/>
            </w:tcBorders>
            <w:noWrap/>
            <w:vAlign w:val="bottom"/>
            <w:hideMark/>
          </w:tcPr>
          <w:p w14:paraId="143AE419"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Be clear and succinct about its compliance responsibilities and relay that through the website.</w:t>
            </w:r>
          </w:p>
        </w:tc>
      </w:tr>
      <w:tr w:rsidR="00A2374C" w:rsidRPr="00B83411" w14:paraId="3D0D7A72" w14:textId="77777777" w:rsidTr="00A2374C">
        <w:trPr>
          <w:trHeight w:val="255"/>
        </w:trPr>
        <w:tc>
          <w:tcPr>
            <w:tcW w:w="9072" w:type="dxa"/>
            <w:tcBorders>
              <w:top w:val="nil"/>
              <w:left w:val="nil"/>
              <w:bottom w:val="nil"/>
              <w:right w:val="nil"/>
            </w:tcBorders>
            <w:noWrap/>
            <w:vAlign w:val="bottom"/>
            <w:hideMark/>
          </w:tcPr>
          <w:p w14:paraId="5CDA481D"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Be flexible/ adapt to project specifics</w:t>
            </w:r>
          </w:p>
        </w:tc>
      </w:tr>
      <w:tr w:rsidR="00A2374C" w:rsidRPr="00B83411" w14:paraId="4C626B74" w14:textId="77777777" w:rsidTr="00A2374C">
        <w:trPr>
          <w:trHeight w:val="255"/>
        </w:trPr>
        <w:tc>
          <w:tcPr>
            <w:tcW w:w="9072" w:type="dxa"/>
            <w:tcBorders>
              <w:top w:val="nil"/>
              <w:left w:val="nil"/>
              <w:bottom w:val="nil"/>
              <w:right w:val="nil"/>
            </w:tcBorders>
            <w:noWrap/>
            <w:vAlign w:val="bottom"/>
            <w:hideMark/>
          </w:tcPr>
          <w:p w14:paraId="491F2F32"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Be more clear and concise decision making and confidence in making the decisions. The decisions should be realistic in relation to the economic needs as well and while supporting the environment also supporting the needs of the community so there are no shortfalls in resourcing and employment due to overcomplicated targets that cannot really be achieved. It should be more evident that it is teamwork rather than a power struggle.</w:t>
            </w:r>
          </w:p>
        </w:tc>
      </w:tr>
      <w:tr w:rsidR="00A2374C" w:rsidRPr="00B83411" w14:paraId="687FC900" w14:textId="77777777" w:rsidTr="00A2374C">
        <w:trPr>
          <w:trHeight w:val="255"/>
        </w:trPr>
        <w:tc>
          <w:tcPr>
            <w:tcW w:w="9072" w:type="dxa"/>
            <w:tcBorders>
              <w:top w:val="nil"/>
              <w:left w:val="nil"/>
              <w:bottom w:val="nil"/>
              <w:right w:val="nil"/>
            </w:tcBorders>
            <w:noWrap/>
            <w:vAlign w:val="bottom"/>
            <w:hideMark/>
          </w:tcPr>
          <w:p w14:paraId="76C11642"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Better management of the approval timeframe from the joint authority.</w:t>
            </w:r>
          </w:p>
        </w:tc>
      </w:tr>
      <w:tr w:rsidR="00A2374C" w:rsidRPr="00B83411" w14:paraId="3622FD9A" w14:textId="77777777" w:rsidTr="00A2374C">
        <w:trPr>
          <w:trHeight w:val="255"/>
        </w:trPr>
        <w:tc>
          <w:tcPr>
            <w:tcW w:w="9072" w:type="dxa"/>
            <w:tcBorders>
              <w:top w:val="nil"/>
              <w:left w:val="nil"/>
              <w:bottom w:val="nil"/>
              <w:right w:val="nil"/>
            </w:tcBorders>
            <w:noWrap/>
            <w:vAlign w:val="bottom"/>
            <w:hideMark/>
          </w:tcPr>
          <w:p w14:paraId="094EFBEA" w14:textId="49B5C919"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Consistency of request / assessment (especially in relation to administrative requests).</w:t>
            </w:r>
            <w:r w:rsidRPr="00B83411">
              <w:rPr>
                <w:rFonts w:eastAsia="Times New Roman" w:cs="Arial"/>
                <w:i/>
                <w:iCs/>
                <w:color w:val="000000"/>
                <w:lang w:eastAsia="en-AU"/>
              </w:rPr>
              <w:br/>
              <w:t>Increase transparency of assessment/ decision / provide further explanation.</w:t>
            </w:r>
          </w:p>
        </w:tc>
      </w:tr>
      <w:tr w:rsidR="00A2374C" w:rsidRPr="00B83411" w14:paraId="61AE1C79" w14:textId="77777777" w:rsidTr="00A2374C">
        <w:trPr>
          <w:trHeight w:val="255"/>
        </w:trPr>
        <w:tc>
          <w:tcPr>
            <w:tcW w:w="9072" w:type="dxa"/>
            <w:tcBorders>
              <w:top w:val="nil"/>
              <w:left w:val="nil"/>
              <w:bottom w:val="nil"/>
              <w:right w:val="nil"/>
            </w:tcBorders>
            <w:noWrap/>
            <w:vAlign w:val="bottom"/>
            <w:hideMark/>
          </w:tcPr>
          <w:p w14:paraId="7767BC42"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Enabling industry to undertake its activities, particularly in newer areas or where legislation hasn't been tested all that thoroughly.  In some cases levels of information that are required to support decisions can be too onerous.</w:t>
            </w:r>
          </w:p>
        </w:tc>
      </w:tr>
      <w:tr w:rsidR="00A2374C" w:rsidRPr="00B83411" w14:paraId="2F258DBF" w14:textId="77777777" w:rsidTr="00A2374C">
        <w:trPr>
          <w:trHeight w:val="255"/>
        </w:trPr>
        <w:tc>
          <w:tcPr>
            <w:tcW w:w="9072" w:type="dxa"/>
            <w:tcBorders>
              <w:top w:val="nil"/>
              <w:left w:val="nil"/>
              <w:bottom w:val="nil"/>
              <w:right w:val="nil"/>
            </w:tcBorders>
            <w:noWrap/>
            <w:vAlign w:val="bottom"/>
            <w:hideMark/>
          </w:tcPr>
          <w:p w14:paraId="6F872865"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Ensure the risk of activities aligns with the level of regulation for the activity (e.g TIL for geotech activities may be excessive if we have EPBC referral conditions) and ensure offshore wind are no penalised for isses or mistakes made in the past by the oil and gas industry.</w:t>
            </w:r>
          </w:p>
        </w:tc>
      </w:tr>
      <w:tr w:rsidR="00A2374C" w:rsidRPr="00B83411" w14:paraId="1274A3F3" w14:textId="77777777" w:rsidTr="00A2374C">
        <w:trPr>
          <w:trHeight w:val="255"/>
        </w:trPr>
        <w:tc>
          <w:tcPr>
            <w:tcW w:w="9072" w:type="dxa"/>
            <w:tcBorders>
              <w:top w:val="nil"/>
              <w:left w:val="nil"/>
              <w:bottom w:val="nil"/>
              <w:right w:val="nil"/>
            </w:tcBorders>
            <w:noWrap/>
            <w:vAlign w:val="bottom"/>
            <w:hideMark/>
          </w:tcPr>
          <w:p w14:paraId="4EBBB752"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Ideally, better integration and data sharing with other APS departments, noting current legislative restrictions. </w:t>
            </w:r>
          </w:p>
        </w:tc>
      </w:tr>
      <w:tr w:rsidR="00A2374C" w:rsidRPr="00B83411" w14:paraId="01285486" w14:textId="77777777" w:rsidTr="00A2374C">
        <w:trPr>
          <w:trHeight w:val="255"/>
        </w:trPr>
        <w:tc>
          <w:tcPr>
            <w:tcW w:w="9072" w:type="dxa"/>
            <w:tcBorders>
              <w:top w:val="nil"/>
              <w:left w:val="nil"/>
              <w:bottom w:val="nil"/>
              <w:right w:val="nil"/>
            </w:tcBorders>
            <w:noWrap/>
            <w:vAlign w:val="bottom"/>
            <w:hideMark/>
          </w:tcPr>
          <w:p w14:paraId="1FC26EFB"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It would be extremely helpful to be able to nominate applications where titleholders are seeking initial review and comment in some circumstances and to receive feedback to be addressed which could reduce s258 requests. Alternatively, the s258 requests could refer to specific sections and communicate the issue(s) or concerns as they are not always clear on the gap the regulator is seeking to address. The current engagement process could be more helpful in improving industry performance in this way.  It could address the risks associated with rejection of applications due to errors or drafting and allow an element of due process and transparency to the recommendation process as while decisions sit with the Joint Authority, there is no insight as to the recommendation being made and no reliable line of sight to an outcome. </w:t>
            </w:r>
          </w:p>
        </w:tc>
      </w:tr>
      <w:tr w:rsidR="00A2374C" w:rsidRPr="00B83411" w14:paraId="30985257" w14:textId="77777777" w:rsidTr="00A2374C">
        <w:trPr>
          <w:trHeight w:val="255"/>
        </w:trPr>
        <w:tc>
          <w:tcPr>
            <w:tcW w:w="9072" w:type="dxa"/>
            <w:tcBorders>
              <w:top w:val="nil"/>
              <w:left w:val="nil"/>
              <w:bottom w:val="nil"/>
              <w:right w:val="nil"/>
            </w:tcBorders>
            <w:noWrap/>
            <w:vAlign w:val="bottom"/>
            <w:hideMark/>
          </w:tcPr>
          <w:p w14:paraId="033F5B25"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Look at ways of streamlining applications regarding titles, to reduce the administrative burden on both the title holder and the agency. For instance if the application checklists were live documents so you could download them and cross the boxes rather than having to create your own word document to do so. Further if there was a way of streamlining the financial and technical information for companies with numerous entities. </w:t>
            </w:r>
          </w:p>
        </w:tc>
      </w:tr>
      <w:tr w:rsidR="00A2374C" w:rsidRPr="00B83411" w14:paraId="1438C615" w14:textId="77777777" w:rsidTr="00A2374C">
        <w:trPr>
          <w:trHeight w:val="255"/>
        </w:trPr>
        <w:tc>
          <w:tcPr>
            <w:tcW w:w="9072" w:type="dxa"/>
            <w:tcBorders>
              <w:top w:val="nil"/>
              <w:left w:val="nil"/>
              <w:bottom w:val="nil"/>
              <w:right w:val="nil"/>
            </w:tcBorders>
            <w:noWrap/>
            <w:vAlign w:val="bottom"/>
            <w:hideMark/>
          </w:tcPr>
          <w:p w14:paraId="5E9BA5E9"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Many of the frustrations we have extend beyond the Titles Administrator, it seems that they don't have much influence over timeframes involved in decision making by the commonwealth. Since there is so much that is out of the Titles Administrator's hands it is difficult to understand the significant increase in fees that occurred last year. The fees are unreasonably high for applications and should be reviewed.</w:t>
            </w:r>
          </w:p>
        </w:tc>
      </w:tr>
      <w:tr w:rsidR="00A2374C" w:rsidRPr="00B83411" w14:paraId="51C9A5F3" w14:textId="77777777" w:rsidTr="00A2374C">
        <w:trPr>
          <w:trHeight w:val="255"/>
        </w:trPr>
        <w:tc>
          <w:tcPr>
            <w:tcW w:w="9072" w:type="dxa"/>
            <w:tcBorders>
              <w:top w:val="nil"/>
              <w:left w:val="nil"/>
              <w:bottom w:val="nil"/>
              <w:right w:val="nil"/>
            </w:tcBorders>
            <w:noWrap/>
            <w:vAlign w:val="bottom"/>
            <w:hideMark/>
          </w:tcPr>
          <w:p w14:paraId="6113DB1C"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Modernise systems to be more user friendly</w:t>
            </w:r>
          </w:p>
        </w:tc>
      </w:tr>
      <w:tr w:rsidR="00A2374C" w:rsidRPr="00B83411" w14:paraId="7EF5DD43" w14:textId="77777777" w:rsidTr="00A2374C">
        <w:trPr>
          <w:trHeight w:val="255"/>
        </w:trPr>
        <w:tc>
          <w:tcPr>
            <w:tcW w:w="9072" w:type="dxa"/>
            <w:tcBorders>
              <w:top w:val="nil"/>
              <w:left w:val="nil"/>
              <w:bottom w:val="nil"/>
              <w:right w:val="nil"/>
            </w:tcBorders>
            <w:noWrap/>
            <w:vAlign w:val="bottom"/>
            <w:hideMark/>
          </w:tcPr>
          <w:p w14:paraId="3FF040E1" w14:textId="25C8199C"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NEATS portal as per previous </w:t>
            </w:r>
            <w:r w:rsidR="006D6688" w:rsidRPr="00B83411">
              <w:rPr>
                <w:rFonts w:eastAsia="Times New Roman" w:cs="Arial"/>
                <w:i/>
                <w:iCs/>
                <w:color w:val="000000"/>
                <w:lang w:eastAsia="en-AU"/>
              </w:rPr>
              <w:t xml:space="preserve">suggestion </w:t>
            </w:r>
            <w:r w:rsidRPr="00B83411">
              <w:rPr>
                <w:rFonts w:eastAsia="Times New Roman" w:cs="Arial"/>
                <w:i/>
                <w:iCs/>
                <w:color w:val="000000"/>
                <w:lang w:eastAsia="en-AU"/>
              </w:rPr>
              <w:t xml:space="preserve">and issuance of guidance on future licences (ie, commercial licence). </w:t>
            </w:r>
          </w:p>
        </w:tc>
      </w:tr>
      <w:tr w:rsidR="00A2374C" w:rsidRPr="00B83411" w14:paraId="74E4E52B" w14:textId="77777777" w:rsidTr="00A2374C">
        <w:trPr>
          <w:trHeight w:val="255"/>
        </w:trPr>
        <w:tc>
          <w:tcPr>
            <w:tcW w:w="9072" w:type="dxa"/>
            <w:tcBorders>
              <w:top w:val="nil"/>
              <w:left w:val="nil"/>
              <w:bottom w:val="nil"/>
              <w:right w:val="nil"/>
            </w:tcBorders>
            <w:noWrap/>
            <w:vAlign w:val="bottom"/>
            <w:hideMark/>
          </w:tcPr>
          <w:p w14:paraId="39365843" w14:textId="1DD85DD6" w:rsidR="00A2374C" w:rsidRPr="00B83411" w:rsidRDefault="00A2374C" w:rsidP="006D6688">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Often too many people - like 10+ will join a teams call, few speak and often answers need to be returned later.</w:t>
            </w:r>
            <w:r w:rsidR="006D6688" w:rsidRPr="00B83411">
              <w:rPr>
                <w:rFonts w:eastAsia="Times New Roman" w:cs="Arial"/>
                <w:i/>
                <w:iCs/>
                <w:color w:val="000000"/>
                <w:lang w:eastAsia="en-AU"/>
              </w:rPr>
              <w:br/>
            </w:r>
            <w:r w:rsidRPr="00B83411">
              <w:rPr>
                <w:rFonts w:eastAsia="Times New Roman" w:cs="Arial"/>
                <w:i/>
                <w:iCs/>
                <w:color w:val="000000"/>
                <w:lang w:eastAsia="en-AU"/>
              </w:rPr>
              <w:t xml:space="preserve">Would be nice to have a client manager - always a different person replying to us. </w:t>
            </w:r>
          </w:p>
        </w:tc>
      </w:tr>
      <w:tr w:rsidR="00A2374C" w:rsidRPr="00B83411" w14:paraId="71670605" w14:textId="77777777" w:rsidTr="00A2374C">
        <w:trPr>
          <w:trHeight w:val="255"/>
        </w:trPr>
        <w:tc>
          <w:tcPr>
            <w:tcW w:w="9072" w:type="dxa"/>
            <w:tcBorders>
              <w:top w:val="nil"/>
              <w:left w:val="nil"/>
              <w:bottom w:val="nil"/>
              <w:right w:val="nil"/>
            </w:tcBorders>
            <w:noWrap/>
            <w:vAlign w:val="bottom"/>
            <w:hideMark/>
          </w:tcPr>
          <w:p w14:paraId="0C3892DE"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Provide more flexibility to support smaller operators of licences</w:t>
            </w:r>
          </w:p>
        </w:tc>
      </w:tr>
      <w:tr w:rsidR="00A2374C" w:rsidRPr="00B83411" w14:paraId="08745A78" w14:textId="77777777" w:rsidTr="00A2374C">
        <w:trPr>
          <w:trHeight w:val="255"/>
        </w:trPr>
        <w:tc>
          <w:tcPr>
            <w:tcW w:w="9072" w:type="dxa"/>
            <w:tcBorders>
              <w:top w:val="nil"/>
              <w:left w:val="nil"/>
              <w:bottom w:val="nil"/>
              <w:right w:val="nil"/>
            </w:tcBorders>
            <w:noWrap/>
            <w:vAlign w:val="bottom"/>
            <w:hideMark/>
          </w:tcPr>
          <w:p w14:paraId="185ED093" w14:textId="55B4856F"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providing decisions quicker</w:t>
            </w:r>
            <w:r w:rsidRPr="00B83411">
              <w:rPr>
                <w:rFonts w:eastAsia="Times New Roman" w:cs="Arial"/>
                <w:i/>
                <w:iCs/>
                <w:color w:val="000000"/>
                <w:lang w:eastAsia="en-AU"/>
              </w:rPr>
              <w:br/>
              <w:t>providing feedback in writing</w:t>
            </w:r>
          </w:p>
        </w:tc>
      </w:tr>
      <w:tr w:rsidR="00A2374C" w:rsidRPr="00B83411" w14:paraId="30807DCB" w14:textId="77777777" w:rsidTr="00A2374C">
        <w:trPr>
          <w:trHeight w:val="255"/>
        </w:trPr>
        <w:tc>
          <w:tcPr>
            <w:tcW w:w="9072" w:type="dxa"/>
            <w:tcBorders>
              <w:top w:val="nil"/>
              <w:left w:val="nil"/>
              <w:bottom w:val="nil"/>
              <w:right w:val="nil"/>
            </w:tcBorders>
            <w:noWrap/>
            <w:vAlign w:val="bottom"/>
            <w:hideMark/>
          </w:tcPr>
          <w:p w14:paraId="72BF5082"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Quicker feedback on permit decisions e.g S+E applications etc.</w:t>
            </w:r>
          </w:p>
        </w:tc>
      </w:tr>
      <w:tr w:rsidR="00A2374C" w:rsidRPr="00B83411" w14:paraId="18B7D404" w14:textId="77777777" w:rsidTr="00A2374C">
        <w:trPr>
          <w:trHeight w:val="255"/>
        </w:trPr>
        <w:tc>
          <w:tcPr>
            <w:tcW w:w="9072" w:type="dxa"/>
            <w:tcBorders>
              <w:top w:val="nil"/>
              <w:left w:val="nil"/>
              <w:bottom w:val="nil"/>
              <w:right w:val="nil"/>
            </w:tcBorders>
            <w:noWrap/>
            <w:vAlign w:val="bottom"/>
            <w:hideMark/>
          </w:tcPr>
          <w:p w14:paraId="4C66A43F"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Regulatory processes and timelines that better align with industry needs to capture value</w:t>
            </w:r>
          </w:p>
        </w:tc>
      </w:tr>
      <w:tr w:rsidR="00A2374C" w:rsidRPr="00B83411" w14:paraId="3312988D" w14:textId="77777777" w:rsidTr="00A2374C">
        <w:trPr>
          <w:trHeight w:val="255"/>
        </w:trPr>
        <w:tc>
          <w:tcPr>
            <w:tcW w:w="9072" w:type="dxa"/>
            <w:tcBorders>
              <w:top w:val="nil"/>
              <w:left w:val="nil"/>
              <w:bottom w:val="nil"/>
              <w:right w:val="nil"/>
            </w:tcBorders>
            <w:noWrap/>
            <w:vAlign w:val="bottom"/>
            <w:hideMark/>
          </w:tcPr>
          <w:p w14:paraId="5F4D49BC"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Significantly simplify its approach and area of focus (i.e. very basic licence compliance and licence administration only). Acknowledge other areas of government and what they Regulate (i.e. remove any focus on technical risk, commercial risk, schedule etc). For an industry with very low activity levels the Regulation and Governance burden on projects is significant and disproportional to the risk for the Government. </w:t>
            </w:r>
          </w:p>
        </w:tc>
      </w:tr>
      <w:tr w:rsidR="00A2374C" w:rsidRPr="00B83411" w14:paraId="3975ACC9" w14:textId="77777777" w:rsidTr="00A2374C">
        <w:trPr>
          <w:trHeight w:val="255"/>
        </w:trPr>
        <w:tc>
          <w:tcPr>
            <w:tcW w:w="9072" w:type="dxa"/>
            <w:tcBorders>
              <w:top w:val="nil"/>
              <w:left w:val="nil"/>
              <w:bottom w:val="nil"/>
              <w:right w:val="nil"/>
            </w:tcBorders>
            <w:noWrap/>
            <w:vAlign w:val="bottom"/>
            <w:hideMark/>
          </w:tcPr>
          <w:p w14:paraId="6B73183C"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They have a high number of attendees at meetings. This should be reviewed to determine the correct number to improve internal efficiencies. </w:t>
            </w:r>
          </w:p>
        </w:tc>
      </w:tr>
      <w:tr w:rsidR="00A2374C" w:rsidRPr="00B83411" w14:paraId="28C99253" w14:textId="77777777" w:rsidTr="00A2374C">
        <w:trPr>
          <w:trHeight w:val="255"/>
        </w:trPr>
        <w:tc>
          <w:tcPr>
            <w:tcW w:w="9072" w:type="dxa"/>
            <w:tcBorders>
              <w:top w:val="nil"/>
              <w:left w:val="nil"/>
              <w:bottom w:val="nil"/>
              <w:right w:val="nil"/>
            </w:tcBorders>
            <w:noWrap/>
            <w:vAlign w:val="bottom"/>
            <w:hideMark/>
          </w:tcPr>
          <w:p w14:paraId="72725F93"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To advocate for policies that maximize economic recovery with Government. The exploration industry, and by extension the rest of industry, is downtrending and Government can influence the upturn. </w:t>
            </w:r>
          </w:p>
        </w:tc>
      </w:tr>
      <w:tr w:rsidR="00A2374C" w:rsidRPr="00B83411" w14:paraId="76662A0D" w14:textId="77777777" w:rsidTr="00A2374C">
        <w:trPr>
          <w:trHeight w:val="255"/>
        </w:trPr>
        <w:tc>
          <w:tcPr>
            <w:tcW w:w="9072" w:type="dxa"/>
            <w:tcBorders>
              <w:top w:val="nil"/>
              <w:left w:val="nil"/>
              <w:bottom w:val="nil"/>
              <w:right w:val="nil"/>
            </w:tcBorders>
            <w:noWrap/>
            <w:vAlign w:val="bottom"/>
            <w:hideMark/>
          </w:tcPr>
          <w:p w14:paraId="57FF40CF"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Understand that some requests may appear to be easy to answer, but actually may result in significant work on the side of the companies.</w:t>
            </w:r>
          </w:p>
        </w:tc>
      </w:tr>
      <w:tr w:rsidR="00A2374C" w:rsidRPr="00B83411" w14:paraId="5DD21BBA" w14:textId="77777777" w:rsidTr="00A2374C">
        <w:trPr>
          <w:trHeight w:val="255"/>
        </w:trPr>
        <w:tc>
          <w:tcPr>
            <w:tcW w:w="9072" w:type="dxa"/>
            <w:tcBorders>
              <w:top w:val="nil"/>
              <w:left w:val="nil"/>
              <w:bottom w:val="nil"/>
              <w:right w:val="nil"/>
            </w:tcBorders>
            <w:noWrap/>
            <w:vAlign w:val="bottom"/>
            <w:hideMark/>
          </w:tcPr>
          <w:p w14:paraId="4868214B" w14:textId="77777777"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 xml:space="preserve">We have found that applications are taking increasingly longer to process over the last few years. </w:t>
            </w:r>
          </w:p>
        </w:tc>
      </w:tr>
      <w:tr w:rsidR="00A2374C" w:rsidRPr="00B83411" w14:paraId="7312C0FE" w14:textId="77777777" w:rsidTr="00A2374C">
        <w:trPr>
          <w:trHeight w:val="255"/>
        </w:trPr>
        <w:tc>
          <w:tcPr>
            <w:tcW w:w="9072" w:type="dxa"/>
            <w:tcBorders>
              <w:top w:val="nil"/>
              <w:left w:val="nil"/>
              <w:bottom w:val="nil"/>
              <w:right w:val="nil"/>
            </w:tcBorders>
            <w:noWrap/>
            <w:vAlign w:val="bottom"/>
            <w:hideMark/>
          </w:tcPr>
          <w:p w14:paraId="607E9479" w14:textId="1641875C" w:rsidR="00A2374C" w:rsidRPr="00B83411" w:rsidRDefault="00A2374C"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We have found that applications are taking increasingly longer to process over the last few years. In addition, we find the overlapping of petroleum and CCUS licen</w:t>
            </w:r>
            <w:r w:rsidR="007834D8" w:rsidRPr="00B83411">
              <w:rPr>
                <w:rFonts w:eastAsia="Times New Roman" w:cs="Arial"/>
                <w:i/>
                <w:iCs/>
                <w:color w:val="000000"/>
                <w:lang w:eastAsia="en-AU"/>
              </w:rPr>
              <w:t>c</w:t>
            </w:r>
            <w:r w:rsidRPr="00B83411">
              <w:rPr>
                <w:rFonts w:eastAsia="Times New Roman" w:cs="Arial"/>
                <w:i/>
                <w:iCs/>
                <w:color w:val="000000"/>
                <w:lang w:eastAsia="en-AU"/>
              </w:rPr>
              <w:t xml:space="preserve">es in the Petrel area very concerning given the proximity of the CCUS activities to known petroleum accumulations </w:t>
            </w:r>
          </w:p>
        </w:tc>
      </w:tr>
      <w:tr w:rsidR="00A2374C" w:rsidRPr="00B83411" w14:paraId="00C15E73" w14:textId="77777777" w:rsidTr="00A2374C">
        <w:trPr>
          <w:trHeight w:val="255"/>
        </w:trPr>
        <w:tc>
          <w:tcPr>
            <w:tcW w:w="9072" w:type="dxa"/>
            <w:tcBorders>
              <w:top w:val="nil"/>
              <w:left w:val="nil"/>
              <w:bottom w:val="nil"/>
              <w:right w:val="nil"/>
            </w:tcBorders>
            <w:noWrap/>
            <w:vAlign w:val="bottom"/>
            <w:hideMark/>
          </w:tcPr>
          <w:p w14:paraId="3182C4B7" w14:textId="44E450E5" w:rsidR="00A2374C" w:rsidRPr="00B83411" w:rsidRDefault="006D6688" w:rsidP="00A2374C">
            <w:pPr>
              <w:spacing w:before="0" w:after="120" w:line="240" w:lineRule="auto"/>
              <w:ind w:right="0"/>
              <w:rPr>
                <w:rFonts w:eastAsia="Times New Roman" w:cs="Arial"/>
                <w:i/>
                <w:iCs/>
                <w:color w:val="000000"/>
                <w:lang w:eastAsia="en-AU"/>
              </w:rPr>
            </w:pPr>
            <w:r w:rsidRPr="00B83411">
              <w:rPr>
                <w:rFonts w:eastAsia="Times New Roman" w:cs="Arial"/>
                <w:i/>
                <w:iCs/>
                <w:color w:val="000000"/>
                <w:lang w:eastAsia="en-AU"/>
              </w:rPr>
              <w:t>W</w:t>
            </w:r>
            <w:r w:rsidR="00A2374C" w:rsidRPr="00B83411">
              <w:rPr>
                <w:rFonts w:eastAsia="Times New Roman" w:cs="Arial"/>
                <w:i/>
                <w:iCs/>
                <w:color w:val="000000"/>
                <w:lang w:eastAsia="en-AU"/>
              </w:rPr>
              <w:t xml:space="preserve">hereas the relationships with key departments like DCCEEW etc. (see above) is first class - I am not feeling the same between NOPTA and NOPSEMA further developments here to cut down timing. </w:t>
            </w:r>
            <w:r w:rsidR="00A2374C" w:rsidRPr="00B83411">
              <w:rPr>
                <w:rFonts w:eastAsia="Times New Roman" w:cs="Arial"/>
                <w:i/>
                <w:iCs/>
                <w:color w:val="000000"/>
                <w:lang w:eastAsia="en-AU"/>
              </w:rPr>
              <w:br/>
              <w:t xml:space="preserve">With Science experts sitting in Canberra 'Geoscience Australia' I am not sure if there is the effective use of these solid scientists and academic experts in the field of Geoscience, Hydrocarbon Exploration, CC(U)S, New Energies and </w:t>
            </w:r>
            <w:r w:rsidR="0068089E" w:rsidRPr="00B83411">
              <w:rPr>
                <w:rFonts w:eastAsia="Times New Roman" w:cs="Arial"/>
                <w:i/>
                <w:iCs/>
                <w:color w:val="000000"/>
                <w:lang w:eastAsia="en-AU"/>
              </w:rPr>
              <w:t>decommissioning</w:t>
            </w:r>
            <w:r w:rsidR="00A2374C" w:rsidRPr="00B83411">
              <w:rPr>
                <w:rFonts w:eastAsia="Times New Roman" w:cs="Arial"/>
                <w:i/>
                <w:iCs/>
                <w:color w:val="000000"/>
                <w:lang w:eastAsia="en-AU"/>
              </w:rPr>
              <w:t>.</w:t>
            </w:r>
            <w:r w:rsidR="00A2374C" w:rsidRPr="00B83411">
              <w:rPr>
                <w:rFonts w:eastAsia="Times New Roman" w:cs="Arial"/>
                <w:i/>
                <w:iCs/>
                <w:color w:val="000000"/>
                <w:lang w:eastAsia="en-AU"/>
              </w:rPr>
              <w:br/>
              <w:t xml:space="preserve">More one on one meetings with Operators especially post submission of permit bids / work programs/ applications. A lot of time, effort, money and passion goes into work programs and bids it's important to present to the regulator - opportunity for both to understand the concepts and key objectives of the project, I think Australia is one of the few places in the world that </w:t>
            </w:r>
            <w:r w:rsidRPr="00B83411">
              <w:rPr>
                <w:rFonts w:eastAsia="Times New Roman" w:cs="Arial"/>
                <w:i/>
                <w:iCs/>
                <w:color w:val="000000"/>
                <w:lang w:eastAsia="en-AU"/>
              </w:rPr>
              <w:t>doesn’t</w:t>
            </w:r>
            <w:r w:rsidR="00A2374C" w:rsidRPr="00B83411">
              <w:rPr>
                <w:rFonts w:eastAsia="Times New Roman" w:cs="Arial"/>
                <w:i/>
                <w:iCs/>
                <w:color w:val="000000"/>
                <w:lang w:eastAsia="en-AU"/>
              </w:rPr>
              <w:t xml:space="preserve"> request this.   </w:t>
            </w:r>
          </w:p>
        </w:tc>
      </w:tr>
    </w:tbl>
    <w:p w14:paraId="2E465D3A" w14:textId="77777777" w:rsidR="00A2374C" w:rsidRPr="00B83411" w:rsidRDefault="00A2374C">
      <w:pPr>
        <w:spacing w:before="0" w:line="240" w:lineRule="auto"/>
        <w:ind w:right="0"/>
      </w:pPr>
    </w:p>
    <w:p w14:paraId="26A87DCF" w14:textId="769FF560" w:rsidR="000467B9" w:rsidRPr="00B83411" w:rsidRDefault="000467B9">
      <w:pPr>
        <w:spacing w:before="0" w:line="240" w:lineRule="auto"/>
        <w:ind w:right="0"/>
        <w:rPr>
          <w:b/>
          <w:color w:val="00376E"/>
          <w:kern w:val="32"/>
          <w:sz w:val="36"/>
          <w:szCs w:val="18"/>
        </w:rPr>
      </w:pPr>
      <w:r w:rsidRPr="00B83411">
        <w:br w:type="page"/>
      </w:r>
    </w:p>
    <w:p w14:paraId="0C828EFB" w14:textId="17D19B41" w:rsidR="00F72A57" w:rsidRPr="00B83411" w:rsidRDefault="00F72A57" w:rsidP="00F72A57">
      <w:pPr>
        <w:pStyle w:val="Heading1"/>
      </w:pPr>
      <w:bookmarkStart w:id="49" w:name="_Toc213926368"/>
      <w:r w:rsidRPr="00B83411">
        <w:t xml:space="preserve">Appendix </w:t>
      </w:r>
      <w:r w:rsidR="000467B9" w:rsidRPr="00B83411">
        <w:t>C</w:t>
      </w:r>
      <w:r w:rsidRPr="00B83411">
        <w:t xml:space="preserve">: </w:t>
      </w:r>
      <w:r w:rsidR="007C3A60" w:rsidRPr="00B83411">
        <w:t>Unsure / no answers</w:t>
      </w:r>
      <w:bookmarkEnd w:id="49"/>
    </w:p>
    <w:p w14:paraId="11B1496A" w14:textId="3B8A4D93" w:rsidR="007C3A60" w:rsidRPr="00B83411" w:rsidRDefault="007C3A60" w:rsidP="007C3A60">
      <w:r w:rsidRPr="00B83411">
        <w:t>While the overall response numbers were the highest since survey inception, not every respondent answered every question presented. For future survey design and, more importantly, for future focus of NOPTA’s communication activities, low valid responses to questions need to be considered. A valid answer to a question is where a rating scale option was selected</w:t>
      </w:r>
      <w:r w:rsidR="003038EE" w:rsidRPr="00B83411">
        <w:t xml:space="preserve"> as a response</w:t>
      </w:r>
      <w:r w:rsidRPr="00B83411">
        <w:t xml:space="preserve">. An invalid answer is </w:t>
      </w:r>
      <w:r w:rsidRPr="00B83411">
        <w:rPr>
          <w:i/>
          <w:iCs/>
        </w:rPr>
        <w:t>Unsure</w:t>
      </w:r>
      <w:r w:rsidRPr="00B83411">
        <w:t xml:space="preserve"> or where no answer was provided. Don’t know or not applicable are similar types of invalid answers.</w:t>
      </w:r>
    </w:p>
    <w:p w14:paraId="595A0F25" w14:textId="3C8BCF6D" w:rsidR="007C3A60" w:rsidRPr="00B83411" w:rsidRDefault="007C3A60" w:rsidP="007C3A60">
      <w:r w:rsidRPr="00B83411">
        <w:t xml:space="preserve">High unsure or no answer counts for a question indicate that a respondent does not have sufficient information to answer. This may be for several reasons: </w:t>
      </w:r>
      <w:r w:rsidR="00713C7B" w:rsidRPr="00B83411">
        <w:t xml:space="preserve">the respondent does not have </w:t>
      </w:r>
      <w:r w:rsidR="00BF317D" w:rsidRPr="00B83411">
        <w:t>a lot of</w:t>
      </w:r>
      <w:r w:rsidR="00713C7B" w:rsidRPr="00B83411">
        <w:t xml:space="preserve"> experience</w:t>
      </w:r>
      <w:r w:rsidR="00BF317D" w:rsidRPr="00B83411">
        <w:t xml:space="preserve"> with the subject-matter; they do not have enough information</w:t>
      </w:r>
      <w:r w:rsidR="005C1D34" w:rsidRPr="00B83411">
        <w:t xml:space="preserve"> to offer an informed view</w:t>
      </w:r>
      <w:r w:rsidR="00BF317D" w:rsidRPr="00B83411">
        <w:t>; or they do not and possibly will never have line-of-sight to gain information or experience</w:t>
      </w:r>
      <w:r w:rsidR="005C1D34" w:rsidRPr="00B83411">
        <w:t xml:space="preserve"> to offer an informed view</w:t>
      </w:r>
      <w:r w:rsidR="00BF317D" w:rsidRPr="00B83411">
        <w:t>.</w:t>
      </w:r>
      <w:r w:rsidR="005C1D34" w:rsidRPr="00B83411">
        <w:t xml:space="preserve"> Respondents in a government-focused stakeholder survey are unlikely to offer a view when they have no evidence to support an answer.</w:t>
      </w:r>
    </w:p>
    <w:p w14:paraId="4336BF9E" w14:textId="4C13D0E9" w:rsidR="00BF317D" w:rsidRPr="00B83411" w:rsidRDefault="00BF317D" w:rsidP="00BF317D">
      <w:pPr>
        <w:spacing w:after="120"/>
      </w:pPr>
      <w:r w:rsidRPr="00B83411">
        <w:t>All of these reasons point to a number of actions</w:t>
      </w:r>
      <w:r w:rsidR="005C1D34" w:rsidRPr="00B83411">
        <w:t xml:space="preserve"> around questions or concepts with a high proportion of invalid responses</w:t>
      </w:r>
      <w:r w:rsidRPr="00B83411">
        <w:t>:</w:t>
      </w:r>
    </w:p>
    <w:p w14:paraId="00AA72F2" w14:textId="45580A40" w:rsidR="00BF317D" w:rsidRPr="00B83411" w:rsidRDefault="00BF317D" w:rsidP="0068089E">
      <w:pPr>
        <w:pStyle w:val="ListParagraph"/>
        <w:numPr>
          <w:ilvl w:val="0"/>
          <w:numId w:val="16"/>
        </w:numPr>
      </w:pPr>
      <w:r w:rsidRPr="00B83411">
        <w:t>Providing more information about activities that the organisation</w:t>
      </w:r>
      <w:r w:rsidR="005C1D34" w:rsidRPr="00B83411">
        <w:t xml:space="preserve"> being</w:t>
      </w:r>
      <w:r w:rsidRPr="00B83411">
        <w:t xml:space="preserve"> </w:t>
      </w:r>
      <w:r w:rsidR="005C1D34" w:rsidRPr="00B83411">
        <w:t xml:space="preserve">surveyed </w:t>
      </w:r>
      <w:r w:rsidRPr="00B83411">
        <w:t>wants feedback about and also making this information easy to find or part of regular communication with stakeholders</w:t>
      </w:r>
    </w:p>
    <w:p w14:paraId="74F10B0E" w14:textId="080E46DD" w:rsidR="00BF317D" w:rsidRPr="00B83411" w:rsidRDefault="00BF317D" w:rsidP="0068089E">
      <w:pPr>
        <w:pStyle w:val="ListParagraph"/>
        <w:numPr>
          <w:ilvl w:val="0"/>
          <w:numId w:val="16"/>
        </w:numPr>
      </w:pPr>
      <w:r w:rsidRPr="00B83411">
        <w:t>Surveying people or screening out respondents who have more rather than less experience with the organisation</w:t>
      </w:r>
    </w:p>
    <w:p w14:paraId="16E4E2BD" w14:textId="1BBDAA22" w:rsidR="00BF317D" w:rsidRPr="00B83411" w:rsidRDefault="00BF317D" w:rsidP="0068089E">
      <w:pPr>
        <w:pStyle w:val="ListParagraph"/>
        <w:numPr>
          <w:ilvl w:val="0"/>
          <w:numId w:val="16"/>
        </w:numPr>
      </w:pPr>
      <w:r w:rsidRPr="00B83411">
        <w:t>Providing more examples</w:t>
      </w:r>
      <w:r w:rsidR="003038EE" w:rsidRPr="00B83411">
        <w:t xml:space="preserve"> of what a </w:t>
      </w:r>
      <w:r w:rsidR="00B6637C" w:rsidRPr="00B83411">
        <w:t xml:space="preserve">survey </w:t>
      </w:r>
      <w:r w:rsidR="003038EE" w:rsidRPr="00B83411">
        <w:t>question</w:t>
      </w:r>
      <w:r w:rsidR="00B6637C" w:rsidRPr="00B83411">
        <w:t xml:space="preserve"> or concept</w:t>
      </w:r>
      <w:r w:rsidR="003038EE" w:rsidRPr="00B83411">
        <w:t xml:space="preserve"> means or how respondents might experience a concept in everyday interactions</w:t>
      </w:r>
      <w:r w:rsidR="009A0D57" w:rsidRPr="00B83411">
        <w:t xml:space="preserve"> so that respondents are clearer about what to think about when answering.</w:t>
      </w:r>
    </w:p>
    <w:p w14:paraId="6F03DBA6" w14:textId="77777777" w:rsidR="007C3A60" w:rsidRPr="00B83411" w:rsidRDefault="007C3A60" w:rsidP="007C3A60"/>
    <w:p w14:paraId="020E6E03" w14:textId="076F67E4" w:rsidR="007C3A60" w:rsidRPr="00B83411" w:rsidRDefault="007C3A60" w:rsidP="007C3A60">
      <w:pPr>
        <w:pStyle w:val="Caption"/>
      </w:pPr>
      <w:r w:rsidRPr="00B83411">
        <w:t xml:space="preserve">Table </w:t>
      </w:r>
      <w:r w:rsidR="00C32D47">
        <w:fldChar w:fldCharType="begin"/>
      </w:r>
      <w:r w:rsidR="00C32D47">
        <w:instrText xml:space="preserve"> SEQ Table \* ARABIC </w:instrText>
      </w:r>
      <w:r w:rsidR="00C32D47">
        <w:fldChar w:fldCharType="separate"/>
      </w:r>
      <w:r w:rsidR="00583CB4">
        <w:rPr>
          <w:noProof/>
        </w:rPr>
        <w:t>22</w:t>
      </w:r>
      <w:r w:rsidR="00C32D47">
        <w:fldChar w:fldCharType="end"/>
      </w:r>
      <w:r w:rsidRPr="00B83411">
        <w:t>: Items with high unsure / no answer count</w:t>
      </w:r>
    </w:p>
    <w:tbl>
      <w:tblPr>
        <w:tblW w:w="8080" w:type="dxa"/>
        <w:tblLook w:val="04A0" w:firstRow="1" w:lastRow="0" w:firstColumn="1" w:lastColumn="0" w:noHBand="0" w:noVBand="1"/>
      </w:tblPr>
      <w:tblGrid>
        <w:gridCol w:w="4678"/>
        <w:gridCol w:w="1559"/>
        <w:gridCol w:w="1843"/>
      </w:tblGrid>
      <w:tr w:rsidR="007C3A60" w:rsidRPr="00B83411" w14:paraId="006B7AD3" w14:textId="77777777">
        <w:trPr>
          <w:trHeight w:val="285"/>
        </w:trPr>
        <w:tc>
          <w:tcPr>
            <w:tcW w:w="4678" w:type="dxa"/>
            <w:tcBorders>
              <w:top w:val="nil"/>
              <w:left w:val="nil"/>
              <w:bottom w:val="nil"/>
              <w:right w:val="nil"/>
            </w:tcBorders>
            <w:shd w:val="clear" w:color="auto" w:fill="003366"/>
            <w:vAlign w:val="center"/>
            <w:hideMark/>
          </w:tcPr>
          <w:p w14:paraId="7E9F228E" w14:textId="77777777" w:rsidR="007C3A60" w:rsidRPr="00B83411" w:rsidRDefault="007C3A60">
            <w:pPr>
              <w:spacing w:before="60" w:after="60" w:line="240" w:lineRule="auto"/>
              <w:ind w:right="0"/>
              <w:rPr>
                <w:rFonts w:eastAsia="Times New Roman" w:cs="Arial"/>
                <w:b/>
                <w:bCs/>
                <w:color w:val="FFFFFF" w:themeColor="background1"/>
                <w:sz w:val="22"/>
                <w:szCs w:val="22"/>
                <w:lang w:eastAsia="en-AU"/>
              </w:rPr>
            </w:pPr>
            <w:r w:rsidRPr="00B83411">
              <w:rPr>
                <w:rFonts w:eastAsia="Times New Roman" w:cs="Arial"/>
                <w:b/>
                <w:bCs/>
                <w:color w:val="FFFFFF" w:themeColor="background1"/>
                <w:sz w:val="22"/>
                <w:szCs w:val="22"/>
                <w:lang w:eastAsia="en-AU"/>
              </w:rPr>
              <w:t>Survey item</w:t>
            </w:r>
          </w:p>
        </w:tc>
        <w:tc>
          <w:tcPr>
            <w:tcW w:w="1559" w:type="dxa"/>
            <w:tcBorders>
              <w:top w:val="nil"/>
              <w:left w:val="nil"/>
              <w:bottom w:val="nil"/>
              <w:right w:val="nil"/>
            </w:tcBorders>
            <w:shd w:val="clear" w:color="auto" w:fill="003366"/>
            <w:noWrap/>
            <w:vAlign w:val="center"/>
            <w:hideMark/>
          </w:tcPr>
          <w:p w14:paraId="39FDAE01" w14:textId="77777777" w:rsidR="007C3A60" w:rsidRPr="00B83411" w:rsidRDefault="007C3A60">
            <w:pPr>
              <w:spacing w:before="60" w:after="60" w:line="240" w:lineRule="auto"/>
              <w:ind w:right="0"/>
              <w:jc w:val="center"/>
              <w:rPr>
                <w:rFonts w:eastAsia="Times New Roman" w:cs="Arial"/>
                <w:b/>
                <w:bCs/>
                <w:color w:val="FFFFFF" w:themeColor="background1"/>
                <w:sz w:val="22"/>
                <w:szCs w:val="22"/>
                <w:lang w:eastAsia="en-AU"/>
              </w:rPr>
            </w:pPr>
            <w:r w:rsidRPr="00B83411">
              <w:rPr>
                <w:rFonts w:eastAsia="Times New Roman" w:cs="Arial"/>
                <w:b/>
                <w:bCs/>
                <w:color w:val="FFFFFF" w:themeColor="background1"/>
                <w:sz w:val="22"/>
                <w:szCs w:val="22"/>
                <w:lang w:eastAsia="en-AU"/>
              </w:rPr>
              <w:t>Valid answer count</w:t>
            </w:r>
          </w:p>
        </w:tc>
        <w:tc>
          <w:tcPr>
            <w:tcW w:w="1843" w:type="dxa"/>
            <w:tcBorders>
              <w:top w:val="nil"/>
              <w:left w:val="nil"/>
              <w:bottom w:val="nil"/>
              <w:right w:val="nil"/>
            </w:tcBorders>
            <w:shd w:val="clear" w:color="auto" w:fill="003366"/>
            <w:noWrap/>
            <w:vAlign w:val="center"/>
            <w:hideMark/>
          </w:tcPr>
          <w:p w14:paraId="5409360D" w14:textId="77777777" w:rsidR="007C3A60" w:rsidRPr="00B83411" w:rsidRDefault="007C3A60">
            <w:pPr>
              <w:spacing w:before="60" w:after="60" w:line="240" w:lineRule="auto"/>
              <w:ind w:right="0"/>
              <w:jc w:val="center"/>
              <w:rPr>
                <w:rFonts w:eastAsia="Times New Roman" w:cs="Arial"/>
                <w:b/>
                <w:bCs/>
                <w:color w:val="FFFFFF" w:themeColor="background1"/>
                <w:sz w:val="22"/>
                <w:szCs w:val="22"/>
                <w:lang w:eastAsia="en-AU"/>
              </w:rPr>
            </w:pPr>
            <w:r w:rsidRPr="00B83411">
              <w:rPr>
                <w:rFonts w:eastAsia="Times New Roman" w:cs="Arial"/>
                <w:b/>
                <w:bCs/>
                <w:color w:val="FFFFFF" w:themeColor="background1"/>
                <w:sz w:val="22"/>
                <w:szCs w:val="22"/>
                <w:lang w:eastAsia="en-AU"/>
              </w:rPr>
              <w:t>Unsure / no answer count</w:t>
            </w:r>
          </w:p>
        </w:tc>
      </w:tr>
      <w:tr w:rsidR="007C3A60" w:rsidRPr="00B83411" w14:paraId="69F4998B" w14:textId="77777777">
        <w:trPr>
          <w:trHeight w:val="285"/>
        </w:trPr>
        <w:tc>
          <w:tcPr>
            <w:tcW w:w="4678" w:type="dxa"/>
            <w:tcBorders>
              <w:top w:val="nil"/>
              <w:left w:val="nil"/>
              <w:bottom w:val="nil"/>
              <w:right w:val="nil"/>
            </w:tcBorders>
            <w:vAlign w:val="center"/>
            <w:hideMark/>
          </w:tcPr>
          <w:p w14:paraId="3653ABEC"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NOPTA/OIR focus on continuous improvement</w:t>
            </w:r>
          </w:p>
        </w:tc>
        <w:tc>
          <w:tcPr>
            <w:tcW w:w="1559" w:type="dxa"/>
            <w:tcBorders>
              <w:top w:val="nil"/>
              <w:left w:val="nil"/>
              <w:bottom w:val="nil"/>
              <w:right w:val="nil"/>
            </w:tcBorders>
            <w:vAlign w:val="center"/>
            <w:hideMark/>
          </w:tcPr>
          <w:p w14:paraId="42F74A36"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57</w:t>
            </w:r>
          </w:p>
        </w:tc>
        <w:tc>
          <w:tcPr>
            <w:tcW w:w="1843" w:type="dxa"/>
            <w:tcBorders>
              <w:top w:val="nil"/>
              <w:left w:val="nil"/>
              <w:bottom w:val="nil"/>
              <w:right w:val="nil"/>
            </w:tcBorders>
            <w:vAlign w:val="center"/>
            <w:hideMark/>
          </w:tcPr>
          <w:p w14:paraId="23E6D7E1"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28</w:t>
            </w:r>
          </w:p>
        </w:tc>
      </w:tr>
      <w:tr w:rsidR="007C3A60" w:rsidRPr="00B83411" w14:paraId="3B6F0FCD" w14:textId="77777777">
        <w:trPr>
          <w:trHeight w:val="285"/>
        </w:trPr>
        <w:tc>
          <w:tcPr>
            <w:tcW w:w="4678" w:type="dxa"/>
            <w:tcBorders>
              <w:top w:val="nil"/>
              <w:left w:val="nil"/>
              <w:bottom w:val="nil"/>
              <w:right w:val="nil"/>
            </w:tcBorders>
            <w:shd w:val="clear" w:color="auto" w:fill="D9D9D9" w:themeFill="background1" w:themeFillShade="D9"/>
            <w:vAlign w:val="center"/>
            <w:hideMark/>
          </w:tcPr>
          <w:p w14:paraId="67B35C49"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The efficiency of NOPTA/OIR titles / licences administration</w:t>
            </w:r>
          </w:p>
        </w:tc>
        <w:tc>
          <w:tcPr>
            <w:tcW w:w="1559" w:type="dxa"/>
            <w:tcBorders>
              <w:top w:val="nil"/>
              <w:left w:val="nil"/>
              <w:bottom w:val="nil"/>
              <w:right w:val="nil"/>
            </w:tcBorders>
            <w:shd w:val="clear" w:color="auto" w:fill="D9D9D9" w:themeFill="background1" w:themeFillShade="D9"/>
            <w:vAlign w:val="center"/>
            <w:hideMark/>
          </w:tcPr>
          <w:p w14:paraId="66E840D9"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68</w:t>
            </w:r>
          </w:p>
        </w:tc>
        <w:tc>
          <w:tcPr>
            <w:tcW w:w="1843" w:type="dxa"/>
            <w:tcBorders>
              <w:top w:val="nil"/>
              <w:left w:val="nil"/>
              <w:bottom w:val="nil"/>
              <w:right w:val="nil"/>
            </w:tcBorders>
            <w:shd w:val="clear" w:color="auto" w:fill="D9D9D9" w:themeFill="background1" w:themeFillShade="D9"/>
            <w:vAlign w:val="center"/>
            <w:hideMark/>
          </w:tcPr>
          <w:p w14:paraId="770CA6FC"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17</w:t>
            </w:r>
          </w:p>
        </w:tc>
      </w:tr>
      <w:tr w:rsidR="007C3A60" w:rsidRPr="00B83411" w14:paraId="451C7D0F" w14:textId="77777777">
        <w:trPr>
          <w:trHeight w:val="570"/>
        </w:trPr>
        <w:tc>
          <w:tcPr>
            <w:tcW w:w="4678" w:type="dxa"/>
            <w:tcBorders>
              <w:top w:val="nil"/>
              <w:left w:val="nil"/>
              <w:bottom w:val="nil"/>
              <w:right w:val="nil"/>
            </w:tcBorders>
            <w:vAlign w:val="center"/>
            <w:hideMark/>
          </w:tcPr>
          <w:p w14:paraId="2EBE07DC"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Encouraging voluntary administrative compliance (title holder / licence only)</w:t>
            </w:r>
          </w:p>
        </w:tc>
        <w:tc>
          <w:tcPr>
            <w:tcW w:w="1559" w:type="dxa"/>
            <w:tcBorders>
              <w:top w:val="nil"/>
              <w:left w:val="nil"/>
              <w:bottom w:val="nil"/>
              <w:right w:val="nil"/>
            </w:tcBorders>
            <w:vAlign w:val="center"/>
            <w:hideMark/>
          </w:tcPr>
          <w:p w14:paraId="4B405B56"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45</w:t>
            </w:r>
          </w:p>
        </w:tc>
        <w:tc>
          <w:tcPr>
            <w:tcW w:w="1843" w:type="dxa"/>
            <w:tcBorders>
              <w:top w:val="nil"/>
              <w:left w:val="nil"/>
              <w:bottom w:val="nil"/>
              <w:right w:val="nil"/>
            </w:tcBorders>
            <w:vAlign w:val="center"/>
            <w:hideMark/>
          </w:tcPr>
          <w:p w14:paraId="7EFCD8F7"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17</w:t>
            </w:r>
          </w:p>
        </w:tc>
      </w:tr>
      <w:tr w:rsidR="007C3A60" w:rsidRPr="00B83411" w14:paraId="49DDA480" w14:textId="77777777">
        <w:trPr>
          <w:trHeight w:val="570"/>
        </w:trPr>
        <w:tc>
          <w:tcPr>
            <w:tcW w:w="4678" w:type="dxa"/>
            <w:tcBorders>
              <w:top w:val="nil"/>
              <w:left w:val="nil"/>
              <w:bottom w:val="nil"/>
              <w:right w:val="nil"/>
            </w:tcBorders>
            <w:shd w:val="clear" w:color="auto" w:fill="D9D9D9" w:themeFill="background1" w:themeFillShade="D9"/>
            <w:vAlign w:val="center"/>
            <w:hideMark/>
          </w:tcPr>
          <w:p w14:paraId="70F66FB4"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Supporting the responsible use of Australia’s offshore energy resources across the title / licensing lifecycle</w:t>
            </w:r>
          </w:p>
        </w:tc>
        <w:tc>
          <w:tcPr>
            <w:tcW w:w="1559" w:type="dxa"/>
            <w:tcBorders>
              <w:top w:val="nil"/>
              <w:left w:val="nil"/>
              <w:bottom w:val="nil"/>
              <w:right w:val="nil"/>
            </w:tcBorders>
            <w:shd w:val="clear" w:color="auto" w:fill="D9D9D9" w:themeFill="background1" w:themeFillShade="D9"/>
            <w:vAlign w:val="center"/>
            <w:hideMark/>
          </w:tcPr>
          <w:p w14:paraId="392842A1"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69</w:t>
            </w:r>
          </w:p>
        </w:tc>
        <w:tc>
          <w:tcPr>
            <w:tcW w:w="1843" w:type="dxa"/>
            <w:tcBorders>
              <w:top w:val="nil"/>
              <w:left w:val="nil"/>
              <w:bottom w:val="nil"/>
              <w:right w:val="nil"/>
            </w:tcBorders>
            <w:shd w:val="clear" w:color="auto" w:fill="D9D9D9" w:themeFill="background1" w:themeFillShade="D9"/>
            <w:vAlign w:val="center"/>
            <w:hideMark/>
          </w:tcPr>
          <w:p w14:paraId="5890E63D"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16</w:t>
            </w:r>
          </w:p>
        </w:tc>
      </w:tr>
      <w:tr w:rsidR="007C3A60" w:rsidRPr="00B83411" w14:paraId="08FAB45D" w14:textId="77777777">
        <w:trPr>
          <w:trHeight w:val="285"/>
        </w:trPr>
        <w:tc>
          <w:tcPr>
            <w:tcW w:w="4678" w:type="dxa"/>
            <w:tcBorders>
              <w:top w:val="nil"/>
              <w:left w:val="nil"/>
              <w:bottom w:val="nil"/>
              <w:right w:val="nil"/>
            </w:tcBorders>
            <w:vAlign w:val="center"/>
            <w:hideMark/>
          </w:tcPr>
          <w:p w14:paraId="56FCA362"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The effectiveness of NOPTA/OIR titles / licences administration</w:t>
            </w:r>
          </w:p>
        </w:tc>
        <w:tc>
          <w:tcPr>
            <w:tcW w:w="1559" w:type="dxa"/>
            <w:tcBorders>
              <w:top w:val="nil"/>
              <w:left w:val="nil"/>
              <w:bottom w:val="nil"/>
              <w:right w:val="nil"/>
            </w:tcBorders>
            <w:vAlign w:val="center"/>
            <w:hideMark/>
          </w:tcPr>
          <w:p w14:paraId="3514BB1F"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71</w:t>
            </w:r>
          </w:p>
        </w:tc>
        <w:tc>
          <w:tcPr>
            <w:tcW w:w="1843" w:type="dxa"/>
            <w:tcBorders>
              <w:top w:val="nil"/>
              <w:left w:val="nil"/>
              <w:bottom w:val="nil"/>
              <w:right w:val="nil"/>
            </w:tcBorders>
            <w:vAlign w:val="center"/>
            <w:hideMark/>
          </w:tcPr>
          <w:p w14:paraId="775B69E7"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14</w:t>
            </w:r>
          </w:p>
        </w:tc>
      </w:tr>
      <w:tr w:rsidR="007C3A60" w:rsidRPr="00B83411" w14:paraId="21C1F8B9" w14:textId="77777777">
        <w:trPr>
          <w:trHeight w:val="570"/>
        </w:trPr>
        <w:tc>
          <w:tcPr>
            <w:tcW w:w="4678" w:type="dxa"/>
            <w:tcBorders>
              <w:top w:val="nil"/>
              <w:left w:val="nil"/>
              <w:bottom w:val="nil"/>
              <w:right w:val="nil"/>
            </w:tcBorders>
            <w:shd w:val="clear" w:color="auto" w:fill="D9D9D9" w:themeFill="background1" w:themeFillShade="D9"/>
            <w:vAlign w:val="center"/>
            <w:hideMark/>
          </w:tcPr>
          <w:p w14:paraId="14E60790"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Transparency of its decisions about offshore titles / licences (title / licence holder only)</w:t>
            </w:r>
          </w:p>
        </w:tc>
        <w:tc>
          <w:tcPr>
            <w:tcW w:w="1559" w:type="dxa"/>
            <w:tcBorders>
              <w:top w:val="nil"/>
              <w:left w:val="nil"/>
              <w:bottom w:val="nil"/>
              <w:right w:val="nil"/>
            </w:tcBorders>
            <w:shd w:val="clear" w:color="auto" w:fill="D9D9D9" w:themeFill="background1" w:themeFillShade="D9"/>
            <w:noWrap/>
            <w:vAlign w:val="center"/>
            <w:hideMark/>
          </w:tcPr>
          <w:p w14:paraId="57BCE67E"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49</w:t>
            </w:r>
          </w:p>
        </w:tc>
        <w:tc>
          <w:tcPr>
            <w:tcW w:w="1843" w:type="dxa"/>
            <w:tcBorders>
              <w:top w:val="nil"/>
              <w:left w:val="nil"/>
              <w:bottom w:val="nil"/>
              <w:right w:val="nil"/>
            </w:tcBorders>
            <w:shd w:val="clear" w:color="auto" w:fill="D9D9D9" w:themeFill="background1" w:themeFillShade="D9"/>
            <w:vAlign w:val="center"/>
            <w:hideMark/>
          </w:tcPr>
          <w:p w14:paraId="04E35F0C"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13</w:t>
            </w:r>
          </w:p>
        </w:tc>
      </w:tr>
      <w:tr w:rsidR="007C3A60" w:rsidRPr="00B83411" w14:paraId="15CB2699" w14:textId="77777777">
        <w:trPr>
          <w:trHeight w:val="570"/>
        </w:trPr>
        <w:tc>
          <w:tcPr>
            <w:tcW w:w="4678" w:type="dxa"/>
            <w:tcBorders>
              <w:top w:val="nil"/>
              <w:left w:val="nil"/>
              <w:bottom w:val="nil"/>
              <w:right w:val="nil"/>
            </w:tcBorders>
            <w:vAlign w:val="center"/>
            <w:hideMark/>
          </w:tcPr>
          <w:p w14:paraId="296F8EE0"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Justification of its decisions made about offshore titles / licences (title / licence holder only)</w:t>
            </w:r>
          </w:p>
        </w:tc>
        <w:tc>
          <w:tcPr>
            <w:tcW w:w="1559" w:type="dxa"/>
            <w:tcBorders>
              <w:top w:val="nil"/>
              <w:left w:val="nil"/>
              <w:bottom w:val="nil"/>
              <w:right w:val="nil"/>
            </w:tcBorders>
            <w:noWrap/>
            <w:vAlign w:val="center"/>
            <w:hideMark/>
          </w:tcPr>
          <w:p w14:paraId="37C8EDA9"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50</w:t>
            </w:r>
          </w:p>
        </w:tc>
        <w:tc>
          <w:tcPr>
            <w:tcW w:w="1843" w:type="dxa"/>
            <w:tcBorders>
              <w:top w:val="nil"/>
              <w:left w:val="nil"/>
              <w:bottom w:val="nil"/>
              <w:right w:val="nil"/>
            </w:tcBorders>
            <w:vAlign w:val="center"/>
            <w:hideMark/>
          </w:tcPr>
          <w:p w14:paraId="32522E68"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12</w:t>
            </w:r>
          </w:p>
        </w:tc>
      </w:tr>
      <w:tr w:rsidR="007C3A60" w:rsidRPr="00B83411" w14:paraId="68DBEE4D" w14:textId="77777777">
        <w:trPr>
          <w:trHeight w:val="285"/>
        </w:trPr>
        <w:tc>
          <w:tcPr>
            <w:tcW w:w="4678" w:type="dxa"/>
            <w:tcBorders>
              <w:top w:val="nil"/>
              <w:left w:val="nil"/>
              <w:right w:val="nil"/>
            </w:tcBorders>
            <w:shd w:val="clear" w:color="auto" w:fill="D9D9D9" w:themeFill="background1" w:themeFillShade="D9"/>
            <w:vAlign w:val="center"/>
            <w:hideMark/>
          </w:tcPr>
          <w:p w14:paraId="2D9474C1"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Collaboration with stakeholders to improve administration</w:t>
            </w:r>
          </w:p>
        </w:tc>
        <w:tc>
          <w:tcPr>
            <w:tcW w:w="1559" w:type="dxa"/>
            <w:tcBorders>
              <w:top w:val="nil"/>
              <w:left w:val="nil"/>
              <w:right w:val="nil"/>
            </w:tcBorders>
            <w:shd w:val="clear" w:color="auto" w:fill="D9D9D9" w:themeFill="background1" w:themeFillShade="D9"/>
            <w:noWrap/>
            <w:vAlign w:val="center"/>
            <w:hideMark/>
          </w:tcPr>
          <w:p w14:paraId="334FDA4B"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74</w:t>
            </w:r>
          </w:p>
        </w:tc>
        <w:tc>
          <w:tcPr>
            <w:tcW w:w="1843" w:type="dxa"/>
            <w:tcBorders>
              <w:top w:val="nil"/>
              <w:left w:val="nil"/>
              <w:right w:val="nil"/>
            </w:tcBorders>
            <w:shd w:val="clear" w:color="auto" w:fill="D9D9D9" w:themeFill="background1" w:themeFillShade="D9"/>
            <w:vAlign w:val="center"/>
            <w:hideMark/>
          </w:tcPr>
          <w:p w14:paraId="19764258"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11</w:t>
            </w:r>
          </w:p>
        </w:tc>
      </w:tr>
      <w:tr w:rsidR="007C3A60" w:rsidRPr="00B83411" w14:paraId="1C8A40CB" w14:textId="77777777">
        <w:trPr>
          <w:trHeight w:val="285"/>
        </w:trPr>
        <w:tc>
          <w:tcPr>
            <w:tcW w:w="4678" w:type="dxa"/>
            <w:tcBorders>
              <w:top w:val="nil"/>
              <w:left w:val="nil"/>
              <w:bottom w:val="single" w:sz="4" w:space="0" w:color="auto"/>
              <w:right w:val="nil"/>
            </w:tcBorders>
            <w:vAlign w:val="center"/>
            <w:hideMark/>
          </w:tcPr>
          <w:p w14:paraId="5851F2FD" w14:textId="77777777" w:rsidR="007C3A60" w:rsidRPr="00B83411" w:rsidRDefault="007C3A60">
            <w:pPr>
              <w:spacing w:before="60" w:after="60" w:line="240" w:lineRule="auto"/>
              <w:ind w:right="0"/>
              <w:rPr>
                <w:rFonts w:eastAsia="Times New Roman" w:cs="Arial"/>
                <w:color w:val="000000"/>
                <w:lang w:eastAsia="en-AU"/>
              </w:rPr>
            </w:pPr>
            <w:r w:rsidRPr="00B83411">
              <w:rPr>
                <w:rFonts w:eastAsia="Times New Roman" w:cs="Arial"/>
                <w:color w:val="000000"/>
                <w:lang w:eastAsia="en-AU"/>
              </w:rPr>
              <w:t xml:space="preserve">Being risk-based (title holder / licence only) </w:t>
            </w:r>
          </w:p>
        </w:tc>
        <w:tc>
          <w:tcPr>
            <w:tcW w:w="1559" w:type="dxa"/>
            <w:tcBorders>
              <w:top w:val="nil"/>
              <w:left w:val="nil"/>
              <w:bottom w:val="single" w:sz="4" w:space="0" w:color="auto"/>
              <w:right w:val="nil"/>
            </w:tcBorders>
            <w:vAlign w:val="center"/>
            <w:hideMark/>
          </w:tcPr>
          <w:p w14:paraId="5AE3A6C8"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51</w:t>
            </w:r>
          </w:p>
        </w:tc>
        <w:tc>
          <w:tcPr>
            <w:tcW w:w="1843" w:type="dxa"/>
            <w:tcBorders>
              <w:top w:val="nil"/>
              <w:left w:val="nil"/>
              <w:bottom w:val="single" w:sz="4" w:space="0" w:color="auto"/>
              <w:right w:val="nil"/>
            </w:tcBorders>
            <w:vAlign w:val="center"/>
            <w:hideMark/>
          </w:tcPr>
          <w:p w14:paraId="6A821C72" w14:textId="77777777" w:rsidR="007C3A60" w:rsidRPr="00B83411" w:rsidRDefault="007C3A60">
            <w:pPr>
              <w:spacing w:before="0" w:line="240" w:lineRule="auto"/>
              <w:ind w:right="0"/>
              <w:jc w:val="center"/>
              <w:rPr>
                <w:rFonts w:eastAsia="Times New Roman" w:cs="Arial"/>
                <w:lang w:eastAsia="en-AU"/>
              </w:rPr>
            </w:pPr>
            <w:r w:rsidRPr="00B83411">
              <w:rPr>
                <w:rFonts w:eastAsia="Times New Roman" w:cs="Arial"/>
                <w:lang w:eastAsia="en-AU"/>
              </w:rPr>
              <w:t>11</w:t>
            </w:r>
          </w:p>
        </w:tc>
      </w:tr>
    </w:tbl>
    <w:p w14:paraId="179599EE" w14:textId="560A9164" w:rsidR="00490FFF" w:rsidRPr="00B83411" w:rsidRDefault="00490FFF" w:rsidP="009A0D57">
      <w:pPr>
        <w:spacing w:before="0" w:line="240" w:lineRule="auto"/>
        <w:ind w:right="0"/>
      </w:pPr>
    </w:p>
    <w:sectPr w:rsidR="00490FFF" w:rsidRPr="00B83411" w:rsidSect="00F375D2">
      <w:headerReference w:type="default" r:id="rId33"/>
      <w:footerReference w:type="default" r:id="rId34"/>
      <w:pgSz w:w="11899" w:h="16838" w:code="9"/>
      <w:pgMar w:top="1531" w:right="567" w:bottom="1134" w:left="1701" w:header="0" w:footer="45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1C7AD" w14:textId="77777777" w:rsidR="00850848" w:rsidRPr="00B83411" w:rsidRDefault="00850848" w:rsidP="007D2133">
      <w:r w:rsidRPr="00B83411">
        <w:separator/>
      </w:r>
    </w:p>
    <w:p w14:paraId="2455FBBC" w14:textId="77777777" w:rsidR="00850848" w:rsidRPr="00B83411" w:rsidRDefault="00850848" w:rsidP="007D2133"/>
  </w:endnote>
  <w:endnote w:type="continuationSeparator" w:id="0">
    <w:p w14:paraId="54302E19" w14:textId="77777777" w:rsidR="00850848" w:rsidRPr="00B83411" w:rsidRDefault="00850848" w:rsidP="007D2133">
      <w:r w:rsidRPr="00B83411">
        <w:continuationSeparator/>
      </w:r>
    </w:p>
    <w:p w14:paraId="576548A0" w14:textId="77777777" w:rsidR="00850848" w:rsidRPr="00B83411" w:rsidRDefault="00850848" w:rsidP="007D2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5498F" w14:textId="77777777" w:rsidR="00A25202" w:rsidRDefault="00A25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4C64" w14:textId="7945566E" w:rsidR="00FD643F" w:rsidRPr="00B83411" w:rsidRDefault="005D358F" w:rsidP="009B1075">
    <w:pPr>
      <w:pStyle w:val="Footer"/>
      <w:tabs>
        <w:tab w:val="right" w:pos="14175"/>
      </w:tabs>
      <w:rPr>
        <w:rFonts w:ascii="Arial Nova" w:hAnsi="Arial Nova"/>
        <w:sz w:val="16"/>
        <w:szCs w:val="22"/>
      </w:rPr>
    </w:pPr>
    <w:r w:rsidRPr="00B83411">
      <w:rPr>
        <w:rFonts w:ascii="Arial Nova" w:hAnsi="Arial Nova"/>
        <w:sz w:val="16"/>
        <w:szCs w:val="22"/>
      </w:rPr>
      <w:t>NOPTA Stakeholder Survey 2025</w:t>
    </w:r>
    <w:r w:rsidR="009B1075" w:rsidRPr="00B83411">
      <w:rPr>
        <w:rFonts w:ascii="Arial Nova" w:hAnsi="Arial Nova"/>
        <w:sz w:val="16"/>
        <w:szCs w:val="22"/>
      </w:rPr>
      <w:t xml:space="preserve"> </w:t>
    </w:r>
    <w:r w:rsidR="009B1075" w:rsidRPr="00D10221">
      <w:rPr>
        <w:rFonts w:ascii="Arial Nova" w:hAnsi="Arial Nova"/>
        <w:color w:val="1F497D" w:themeColor="text2"/>
        <w:sz w:val="16"/>
        <w:szCs w:val="22"/>
      </w:rPr>
      <w:t xml:space="preserve">report </w:t>
    </w:r>
    <w:r w:rsidR="009B1075" w:rsidRPr="00D10221">
      <w:rPr>
        <w:rFonts w:ascii="Arial Nova" w:hAnsi="Arial Nova"/>
        <w:color w:val="1F497D" w:themeColor="text2"/>
        <w:position w:val="1"/>
        <w:sz w:val="16"/>
        <w:szCs w:val="22"/>
      </w:rPr>
      <w:t>|</w:t>
    </w:r>
    <w:r w:rsidR="009B1075" w:rsidRPr="00D10221">
      <w:rPr>
        <w:rFonts w:ascii="Arial Nova" w:hAnsi="Arial Nova"/>
        <w:color w:val="1F497D" w:themeColor="text2"/>
        <w:sz w:val="16"/>
        <w:szCs w:val="22"/>
      </w:rPr>
      <w:t xml:space="preserve"> Produced by Australian Survey Research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2670" w14:textId="77777777" w:rsidR="00A25202" w:rsidRDefault="00A252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C92A" w14:textId="0B913C20" w:rsidR="00F375D2" w:rsidRPr="00B83411" w:rsidRDefault="00F26D21" w:rsidP="00F375D2">
    <w:pPr>
      <w:pStyle w:val="Footer"/>
      <w:tabs>
        <w:tab w:val="clear" w:pos="9639"/>
        <w:tab w:val="right" w:pos="9498"/>
        <w:tab w:val="right" w:pos="14175"/>
      </w:tabs>
      <w:rPr>
        <w:rFonts w:ascii="Arial Nova" w:hAnsi="Arial Nova"/>
        <w:sz w:val="16"/>
        <w:szCs w:val="24"/>
      </w:rPr>
    </w:pPr>
    <w:r w:rsidRPr="00B83411">
      <w:rPr>
        <w:rFonts w:ascii="Arial Nova" w:hAnsi="Arial Nova"/>
        <w:sz w:val="16"/>
        <w:szCs w:val="22"/>
      </w:rPr>
      <w:t xml:space="preserve">NOPTA </w:t>
    </w:r>
    <w:r w:rsidRPr="00B83411">
      <w:rPr>
        <w:rFonts w:ascii="Arial Nova" w:hAnsi="Arial Nova"/>
        <w:sz w:val="16"/>
        <w:szCs w:val="22"/>
      </w:rPr>
      <w:t xml:space="preserve">Stakeholder Survey 2025 </w:t>
    </w:r>
    <w:r w:rsidRPr="00337F58">
      <w:rPr>
        <w:rFonts w:ascii="Arial Nova" w:hAnsi="Arial Nova"/>
        <w:color w:val="1F497D" w:themeColor="text2"/>
        <w:sz w:val="16"/>
        <w:szCs w:val="22"/>
      </w:rPr>
      <w:t xml:space="preserve">report </w:t>
    </w:r>
    <w:r w:rsidR="00F375D2" w:rsidRPr="00337F58">
      <w:rPr>
        <w:rFonts w:ascii="Arial Nova" w:hAnsi="Arial Nova"/>
        <w:color w:val="1F497D" w:themeColor="text2"/>
        <w:position w:val="1"/>
        <w:sz w:val="16"/>
        <w:szCs w:val="22"/>
      </w:rPr>
      <w:t>|</w:t>
    </w:r>
    <w:r w:rsidR="00F375D2" w:rsidRPr="00337F58">
      <w:rPr>
        <w:rFonts w:ascii="Arial Nova" w:hAnsi="Arial Nova"/>
        <w:color w:val="1F497D" w:themeColor="text2"/>
        <w:sz w:val="16"/>
        <w:szCs w:val="22"/>
      </w:rPr>
      <w:t xml:space="preserve"> Produced by Australian Survey Research</w:t>
    </w:r>
    <w:r w:rsidR="00F375D2" w:rsidRPr="00B83411">
      <w:rPr>
        <w:rFonts w:ascii="Arial Nova" w:hAnsi="Arial Nova"/>
        <w:color w:val="569600"/>
        <w:sz w:val="16"/>
        <w:szCs w:val="2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71C0" w14:textId="39B3A49A" w:rsidR="00DC71FE" w:rsidRPr="00B83411" w:rsidRDefault="00DC71FE" w:rsidP="00F375D2">
    <w:pPr>
      <w:pStyle w:val="Footer"/>
      <w:tabs>
        <w:tab w:val="clear" w:pos="9639"/>
        <w:tab w:val="right" w:pos="9498"/>
        <w:tab w:val="right" w:pos="14175"/>
      </w:tabs>
      <w:rPr>
        <w:rFonts w:ascii="Arial Nova" w:hAnsi="Arial Nova"/>
        <w:sz w:val="16"/>
        <w:szCs w:val="24"/>
      </w:rPr>
    </w:pPr>
    <w:r w:rsidRPr="00B83411">
      <w:rPr>
        <w:rFonts w:ascii="Arial Nova" w:hAnsi="Arial Nova"/>
        <w:sz w:val="16"/>
        <w:szCs w:val="22"/>
      </w:rPr>
      <w:t xml:space="preserve">NOPTA </w:t>
    </w:r>
    <w:r w:rsidRPr="00B83411">
      <w:rPr>
        <w:rFonts w:ascii="Arial Nova" w:hAnsi="Arial Nova"/>
        <w:sz w:val="16"/>
        <w:szCs w:val="22"/>
      </w:rPr>
      <w:t xml:space="preserve">Stakeholder Survey 2025 </w:t>
    </w:r>
    <w:r w:rsidRPr="00337F58">
      <w:rPr>
        <w:rFonts w:ascii="Arial Nova" w:hAnsi="Arial Nova"/>
        <w:color w:val="1F497D" w:themeColor="text2"/>
        <w:sz w:val="16"/>
        <w:szCs w:val="22"/>
      </w:rPr>
      <w:t xml:space="preserve">report </w:t>
    </w:r>
    <w:r w:rsidRPr="00337F58">
      <w:rPr>
        <w:rFonts w:ascii="Arial Nova" w:hAnsi="Arial Nova"/>
        <w:color w:val="1F497D" w:themeColor="text2"/>
        <w:position w:val="1"/>
        <w:sz w:val="16"/>
        <w:szCs w:val="22"/>
      </w:rPr>
      <w:t>|</w:t>
    </w:r>
    <w:r w:rsidRPr="00337F58">
      <w:rPr>
        <w:rFonts w:ascii="Arial Nova" w:hAnsi="Arial Nova"/>
        <w:color w:val="1F497D" w:themeColor="text2"/>
        <w:sz w:val="16"/>
        <w:szCs w:val="22"/>
      </w:rPr>
      <w:t xml:space="preserve"> Produced by Australian Survey Research</w:t>
    </w:r>
    <w:r w:rsidRPr="00B83411">
      <w:rPr>
        <w:rFonts w:ascii="Arial Nova" w:hAnsi="Arial Nova"/>
        <w:color w:val="569600"/>
        <w:sz w:val="16"/>
        <w:szCs w:val="22"/>
      </w:rPr>
      <w:tab/>
    </w:r>
    <w:sdt>
      <w:sdtPr>
        <w:rPr>
          <w:rFonts w:ascii="Arial Nova" w:hAnsi="Arial Nova"/>
          <w:sz w:val="16"/>
          <w:szCs w:val="24"/>
        </w:rPr>
        <w:id w:val="-1664623265"/>
        <w:docPartObj>
          <w:docPartGallery w:val="Page Numbers (Bottom of Page)"/>
          <w:docPartUnique/>
        </w:docPartObj>
      </w:sdtPr>
      <w:sdtEndPr/>
      <w:sdtContent>
        <w:r w:rsidRPr="00B83411">
          <w:rPr>
            <w:rFonts w:ascii="Arial Nova" w:hAnsi="Arial Nova"/>
            <w:sz w:val="16"/>
            <w:szCs w:val="24"/>
          </w:rPr>
          <w:t xml:space="preserve">Page | </w:t>
        </w:r>
        <w:r w:rsidRPr="00B83411">
          <w:rPr>
            <w:rFonts w:ascii="Arial Nova" w:hAnsi="Arial Nova"/>
            <w:sz w:val="16"/>
            <w:szCs w:val="24"/>
          </w:rPr>
          <w:fldChar w:fldCharType="begin"/>
        </w:r>
        <w:r w:rsidRPr="00B83411">
          <w:rPr>
            <w:rFonts w:ascii="Arial Nova" w:hAnsi="Arial Nova"/>
            <w:sz w:val="16"/>
            <w:szCs w:val="24"/>
          </w:rPr>
          <w:instrText xml:space="preserve"> PAGE   \* MERGEFORMAT </w:instrText>
        </w:r>
        <w:r w:rsidRPr="00B83411">
          <w:rPr>
            <w:rFonts w:ascii="Arial Nova" w:hAnsi="Arial Nova"/>
            <w:sz w:val="16"/>
            <w:szCs w:val="24"/>
          </w:rPr>
          <w:fldChar w:fldCharType="separate"/>
        </w:r>
        <w:r w:rsidRPr="00B83411">
          <w:rPr>
            <w:rFonts w:ascii="Arial Nova" w:hAnsi="Arial Nova"/>
            <w:sz w:val="16"/>
            <w:szCs w:val="24"/>
          </w:rPr>
          <w:t>2</w:t>
        </w:r>
        <w:r w:rsidRPr="00B83411">
          <w:rPr>
            <w:rFonts w:ascii="Arial Nova" w:hAnsi="Arial Nova"/>
            <w:sz w:val="16"/>
            <w:szCs w:val="24"/>
          </w:rPr>
          <w:fldChar w:fldCharType="end"/>
        </w:r>
        <w:r w:rsidRPr="00B83411">
          <w:rPr>
            <w:rFonts w:ascii="Arial Nova" w:hAnsi="Arial Nova"/>
            <w:sz w:val="16"/>
            <w:szCs w:val="24"/>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333AE" w14:textId="77777777" w:rsidR="00850848" w:rsidRPr="00B83411" w:rsidRDefault="00850848" w:rsidP="007D2133">
      <w:r w:rsidRPr="00B83411">
        <w:separator/>
      </w:r>
    </w:p>
  </w:footnote>
  <w:footnote w:type="continuationSeparator" w:id="0">
    <w:p w14:paraId="2D9A3A5B" w14:textId="77777777" w:rsidR="00850848" w:rsidRPr="00B83411" w:rsidRDefault="00850848" w:rsidP="007D2133">
      <w:r w:rsidRPr="00B83411">
        <w:continuationSeparator/>
      </w:r>
    </w:p>
    <w:p w14:paraId="10BD8529" w14:textId="77777777" w:rsidR="00850848" w:rsidRPr="00B83411" w:rsidRDefault="00850848" w:rsidP="007D2133"/>
  </w:footnote>
  <w:footnote w:id="1">
    <w:p w14:paraId="1F4E9759" w14:textId="2CAE385C" w:rsidR="00605483" w:rsidRPr="00605483" w:rsidRDefault="00605483">
      <w:pPr>
        <w:pStyle w:val="FootnoteText"/>
        <w:rPr>
          <w:lang w:val="en-US"/>
        </w:rPr>
      </w:pPr>
      <w:r w:rsidRPr="00B83411">
        <w:rPr>
          <w:rStyle w:val="FootnoteReference"/>
        </w:rPr>
        <w:footnoteRef/>
      </w:r>
      <w:r w:rsidRPr="00B83411">
        <w:t xml:space="preserve"> https://www.apsreform.gov.au/resources/reports/trust-australian-public-services-2023-annual-report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80EB" w14:textId="77777777" w:rsidR="00A25202" w:rsidRDefault="00A25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6518" w14:textId="77777777" w:rsidR="00FD643F" w:rsidRPr="00B83411" w:rsidRDefault="00FD643F" w:rsidP="007D2133">
    <w:pPr>
      <w:pStyle w:val="Header"/>
    </w:pPr>
    <w:r w:rsidRPr="00B83411">
      <w:rPr>
        <w:noProof/>
      </w:rPr>
      <w:drawing>
        <wp:anchor distT="0" distB="0" distL="114300" distR="114300" simplePos="0" relativeHeight="251658241" behindDoc="1" locked="0" layoutInCell="1" allowOverlap="1" wp14:anchorId="56C44C9E" wp14:editId="43BC1CF2">
          <wp:simplePos x="0" y="0"/>
          <wp:positionH relativeFrom="page">
            <wp:posOffset>6461760</wp:posOffset>
          </wp:positionH>
          <wp:positionV relativeFrom="page">
            <wp:posOffset>257175</wp:posOffset>
          </wp:positionV>
          <wp:extent cx="748701" cy="465827"/>
          <wp:effectExtent l="19050" t="0" r="0" b="0"/>
          <wp:wrapNone/>
          <wp:docPr id="1137545235" name="Picture 1137545235"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48701" cy="465827"/>
                  </a:xfrm>
                  <a:prstGeom prst="rect">
                    <a:avLst/>
                  </a:prstGeom>
                  <a:noFill/>
                  <a:ln w="9525">
                    <a:noFill/>
                    <a:miter lim="800000"/>
                    <a:headEnd/>
                    <a:tailEnd/>
                  </a:ln>
                </pic:spPr>
              </pic:pic>
            </a:graphicData>
          </a:graphic>
        </wp:anchor>
      </w:drawing>
    </w:r>
    <w:r w:rsidRPr="00B83411">
      <w:rPr>
        <w:noProof/>
      </w:rPr>
      <w:drawing>
        <wp:anchor distT="0" distB="0" distL="114300" distR="114300" simplePos="0" relativeHeight="251658240" behindDoc="1" locked="0" layoutInCell="1" allowOverlap="1" wp14:anchorId="22AF37B3" wp14:editId="36F881F4">
          <wp:simplePos x="0" y="0"/>
          <wp:positionH relativeFrom="page">
            <wp:posOffset>8580120</wp:posOffset>
          </wp:positionH>
          <wp:positionV relativeFrom="page">
            <wp:posOffset>474345</wp:posOffset>
          </wp:positionV>
          <wp:extent cx="748701" cy="465827"/>
          <wp:effectExtent l="19050" t="0" r="0" b="0"/>
          <wp:wrapNone/>
          <wp:docPr id="1386822906" name="Picture 1386822906"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48701" cy="465827"/>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B9372" w14:textId="77777777" w:rsidR="00A25202" w:rsidRDefault="00A252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10C2E" w14:textId="688AF8BA" w:rsidR="00FD643F" w:rsidRPr="00B83411" w:rsidRDefault="00FD643F" w:rsidP="007D2133">
    <w:pPr>
      <w:pStyle w:val="Header"/>
    </w:pPr>
    <w:r w:rsidRPr="00B83411">
      <w:rPr>
        <w:noProof/>
      </w:rPr>
      <w:drawing>
        <wp:anchor distT="0" distB="0" distL="114300" distR="114300" simplePos="0" relativeHeight="251658242" behindDoc="1" locked="0" layoutInCell="1" allowOverlap="1" wp14:anchorId="0BA02C36" wp14:editId="08C5E7F9">
          <wp:simplePos x="0" y="0"/>
          <wp:positionH relativeFrom="page">
            <wp:posOffset>9418320</wp:posOffset>
          </wp:positionH>
          <wp:positionV relativeFrom="page">
            <wp:posOffset>369570</wp:posOffset>
          </wp:positionV>
          <wp:extent cx="748701" cy="465827"/>
          <wp:effectExtent l="19050" t="0" r="0" b="0"/>
          <wp:wrapNone/>
          <wp:docPr id="768921498" name="Picture 4"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48701" cy="465827"/>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BA11" w14:textId="77777777" w:rsidR="00DC71FE" w:rsidRPr="00B83411" w:rsidRDefault="00DC71FE" w:rsidP="007D2133">
    <w:pPr>
      <w:pStyle w:val="Header"/>
    </w:pPr>
    <w:r w:rsidRPr="00B83411">
      <w:rPr>
        <w:noProof/>
      </w:rPr>
      <w:drawing>
        <wp:anchor distT="0" distB="0" distL="114300" distR="114300" simplePos="0" relativeHeight="251658243" behindDoc="1" locked="0" layoutInCell="1" allowOverlap="1" wp14:anchorId="7AA59B1B" wp14:editId="3E3C55FE">
          <wp:simplePos x="0" y="0"/>
          <wp:positionH relativeFrom="page">
            <wp:posOffset>9418320</wp:posOffset>
          </wp:positionH>
          <wp:positionV relativeFrom="page">
            <wp:posOffset>369570</wp:posOffset>
          </wp:positionV>
          <wp:extent cx="748701" cy="465827"/>
          <wp:effectExtent l="19050" t="0" r="0" b="0"/>
          <wp:wrapNone/>
          <wp:docPr id="169182051" name="Picture 4"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48701" cy="465827"/>
                  </a:xfrm>
                  <a:prstGeom prst="rect">
                    <a:avLst/>
                  </a:prstGeom>
                  <a:noFill/>
                  <a:ln w="9525">
                    <a:noFill/>
                    <a:miter lim="800000"/>
                    <a:headEnd/>
                    <a:tailEnd/>
                  </a:ln>
                </pic:spPr>
              </pic:pic>
            </a:graphicData>
          </a:graphic>
        </wp:anchor>
      </w:drawing>
    </w:r>
  </w:p>
  <w:p w14:paraId="5D900F3E" w14:textId="77777777" w:rsidR="00DC71FE" w:rsidRPr="00B83411" w:rsidRDefault="00DC71FE" w:rsidP="007D2133">
    <w:r w:rsidRPr="00B83411">
      <w:rPr>
        <w:noProof/>
      </w:rPr>
      <w:drawing>
        <wp:anchor distT="0" distB="0" distL="114300" distR="114300" simplePos="0" relativeHeight="251658244" behindDoc="1" locked="0" layoutInCell="1" allowOverlap="1" wp14:anchorId="2BBBBC6E" wp14:editId="5C38828E">
          <wp:simplePos x="0" y="0"/>
          <wp:positionH relativeFrom="margin">
            <wp:posOffset>5262245</wp:posOffset>
          </wp:positionH>
          <wp:positionV relativeFrom="page">
            <wp:posOffset>323850</wp:posOffset>
          </wp:positionV>
          <wp:extent cx="748701" cy="465827"/>
          <wp:effectExtent l="0" t="0" r="0" b="0"/>
          <wp:wrapNone/>
          <wp:docPr id="949661361" name="Picture 949661361"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48701" cy="46582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9AD"/>
    <w:multiLevelType w:val="hybridMultilevel"/>
    <w:tmpl w:val="88C20A12"/>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3A61B0F"/>
    <w:multiLevelType w:val="hybridMultilevel"/>
    <w:tmpl w:val="7BB65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86872"/>
    <w:multiLevelType w:val="hybridMultilevel"/>
    <w:tmpl w:val="428E9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C7D64"/>
    <w:multiLevelType w:val="hybridMultilevel"/>
    <w:tmpl w:val="43801B98"/>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1A06C56"/>
    <w:multiLevelType w:val="hybridMultilevel"/>
    <w:tmpl w:val="F996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391324"/>
    <w:multiLevelType w:val="hybridMultilevel"/>
    <w:tmpl w:val="1A20AA54"/>
    <w:lvl w:ilvl="0" w:tplc="F9F61CA0">
      <w:start w:val="1"/>
      <w:numFmt w:val="bullet"/>
      <w:pStyle w:val="ListBullet3"/>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067442"/>
    <w:multiLevelType w:val="hybridMultilevel"/>
    <w:tmpl w:val="A6160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97E53"/>
    <w:multiLevelType w:val="hybridMultilevel"/>
    <w:tmpl w:val="39A609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AB94086"/>
    <w:multiLevelType w:val="hybridMultilevel"/>
    <w:tmpl w:val="5F42D570"/>
    <w:lvl w:ilvl="0" w:tplc="05722148">
      <w:start w:val="1"/>
      <w:numFmt w:val="bullet"/>
      <w:pStyle w:val="ListParagraph"/>
      <w:lvlText w:val=""/>
      <w:lvlJc w:val="left"/>
      <w:pPr>
        <w:ind w:left="433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3B2C77"/>
    <w:multiLevelType w:val="hybridMultilevel"/>
    <w:tmpl w:val="CE8A00E2"/>
    <w:lvl w:ilvl="0" w:tplc="5BF2B994">
      <w:start w:val="1"/>
      <w:numFmt w:val="bullet"/>
      <w:pStyle w:val="Bullet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AB04D2"/>
    <w:multiLevelType w:val="hybridMultilevel"/>
    <w:tmpl w:val="2DEA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563C28"/>
    <w:multiLevelType w:val="hybridMultilevel"/>
    <w:tmpl w:val="BCACB894"/>
    <w:lvl w:ilvl="0" w:tplc="B31478D6">
      <w:start w:val="1"/>
      <w:numFmt w:val="bullet"/>
      <w:pStyle w:val="Table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9A25F7"/>
    <w:multiLevelType w:val="hybridMultilevel"/>
    <w:tmpl w:val="7818A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4C48FE"/>
    <w:multiLevelType w:val="hybridMultilevel"/>
    <w:tmpl w:val="29005CC8"/>
    <w:lvl w:ilvl="0" w:tplc="5CD27EF0">
      <w:start w:val="1"/>
      <w:numFmt w:val="bullet"/>
      <w:pStyle w:val="Bullet2"/>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851FE9"/>
    <w:multiLevelType w:val="hybridMultilevel"/>
    <w:tmpl w:val="C114A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A412E7"/>
    <w:multiLevelType w:val="hybridMultilevel"/>
    <w:tmpl w:val="9216E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046412"/>
    <w:multiLevelType w:val="hybridMultilevel"/>
    <w:tmpl w:val="B606A1E6"/>
    <w:lvl w:ilvl="0" w:tplc="9FB220D2">
      <w:start w:val="1"/>
      <w:numFmt w:val="bullet"/>
      <w:lvlText w:val=""/>
      <w:lvlJc w:val="left"/>
      <w:pPr>
        <w:ind w:left="1440" w:hanging="360"/>
      </w:pPr>
      <w:rPr>
        <w:rFonts w:ascii="Symbol" w:hAnsi="Symbol"/>
      </w:rPr>
    </w:lvl>
    <w:lvl w:ilvl="1" w:tplc="8E5AAA5A">
      <w:start w:val="1"/>
      <w:numFmt w:val="bullet"/>
      <w:lvlText w:val=""/>
      <w:lvlJc w:val="left"/>
      <w:pPr>
        <w:ind w:left="1440" w:hanging="360"/>
      </w:pPr>
      <w:rPr>
        <w:rFonts w:ascii="Symbol" w:hAnsi="Symbol"/>
      </w:rPr>
    </w:lvl>
    <w:lvl w:ilvl="2" w:tplc="ED348572">
      <w:start w:val="1"/>
      <w:numFmt w:val="bullet"/>
      <w:lvlText w:val=""/>
      <w:lvlJc w:val="left"/>
      <w:pPr>
        <w:ind w:left="1440" w:hanging="360"/>
      </w:pPr>
      <w:rPr>
        <w:rFonts w:ascii="Symbol" w:hAnsi="Symbol"/>
      </w:rPr>
    </w:lvl>
    <w:lvl w:ilvl="3" w:tplc="D868C478">
      <w:start w:val="1"/>
      <w:numFmt w:val="bullet"/>
      <w:lvlText w:val=""/>
      <w:lvlJc w:val="left"/>
      <w:pPr>
        <w:ind w:left="1440" w:hanging="360"/>
      </w:pPr>
      <w:rPr>
        <w:rFonts w:ascii="Symbol" w:hAnsi="Symbol"/>
      </w:rPr>
    </w:lvl>
    <w:lvl w:ilvl="4" w:tplc="D8003516">
      <w:start w:val="1"/>
      <w:numFmt w:val="bullet"/>
      <w:lvlText w:val=""/>
      <w:lvlJc w:val="left"/>
      <w:pPr>
        <w:ind w:left="1440" w:hanging="360"/>
      </w:pPr>
      <w:rPr>
        <w:rFonts w:ascii="Symbol" w:hAnsi="Symbol"/>
      </w:rPr>
    </w:lvl>
    <w:lvl w:ilvl="5" w:tplc="EC6C9922">
      <w:start w:val="1"/>
      <w:numFmt w:val="bullet"/>
      <w:lvlText w:val=""/>
      <w:lvlJc w:val="left"/>
      <w:pPr>
        <w:ind w:left="1440" w:hanging="360"/>
      </w:pPr>
      <w:rPr>
        <w:rFonts w:ascii="Symbol" w:hAnsi="Symbol"/>
      </w:rPr>
    </w:lvl>
    <w:lvl w:ilvl="6" w:tplc="28B4F270">
      <w:start w:val="1"/>
      <w:numFmt w:val="bullet"/>
      <w:lvlText w:val=""/>
      <w:lvlJc w:val="left"/>
      <w:pPr>
        <w:ind w:left="1440" w:hanging="360"/>
      </w:pPr>
      <w:rPr>
        <w:rFonts w:ascii="Symbol" w:hAnsi="Symbol"/>
      </w:rPr>
    </w:lvl>
    <w:lvl w:ilvl="7" w:tplc="3A704B96">
      <w:start w:val="1"/>
      <w:numFmt w:val="bullet"/>
      <w:lvlText w:val=""/>
      <w:lvlJc w:val="left"/>
      <w:pPr>
        <w:ind w:left="1440" w:hanging="360"/>
      </w:pPr>
      <w:rPr>
        <w:rFonts w:ascii="Symbol" w:hAnsi="Symbol"/>
      </w:rPr>
    </w:lvl>
    <w:lvl w:ilvl="8" w:tplc="227C6872">
      <w:start w:val="1"/>
      <w:numFmt w:val="bullet"/>
      <w:lvlText w:val=""/>
      <w:lvlJc w:val="left"/>
      <w:pPr>
        <w:ind w:left="1440" w:hanging="360"/>
      </w:pPr>
      <w:rPr>
        <w:rFonts w:ascii="Symbol" w:hAnsi="Symbol"/>
      </w:rPr>
    </w:lvl>
  </w:abstractNum>
  <w:abstractNum w:abstractNumId="17" w15:restartNumberingAfterBreak="0">
    <w:nsid w:val="4F466E52"/>
    <w:multiLevelType w:val="singleLevel"/>
    <w:tmpl w:val="4338416C"/>
    <w:lvl w:ilvl="0">
      <w:start w:val="1"/>
      <w:numFmt w:val="bullet"/>
      <w:pStyle w:val="Tablebulletsmall"/>
      <w:lvlText w:val=""/>
      <w:lvlJc w:val="left"/>
      <w:pPr>
        <w:tabs>
          <w:tab w:val="num" w:pos="360"/>
        </w:tabs>
        <w:ind w:left="360" w:hanging="360"/>
      </w:pPr>
      <w:rPr>
        <w:rFonts w:ascii="Symbol" w:hAnsi="Symbol" w:hint="default"/>
      </w:rPr>
    </w:lvl>
  </w:abstractNum>
  <w:abstractNum w:abstractNumId="18" w15:restartNumberingAfterBreak="0">
    <w:nsid w:val="5F2C7240"/>
    <w:multiLevelType w:val="hybridMultilevel"/>
    <w:tmpl w:val="9AC29F38"/>
    <w:lvl w:ilvl="0" w:tplc="DDDE155C">
      <w:start w:val="1"/>
      <w:numFmt w:val="bullet"/>
      <w:pStyle w:val="Notebullet"/>
      <w:lvlText w:val=""/>
      <w:lvlJc w:val="left"/>
      <w:pPr>
        <w:tabs>
          <w:tab w:val="num" w:pos="890"/>
        </w:tabs>
        <w:ind w:left="890" w:hanging="360"/>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9" w15:restartNumberingAfterBreak="0">
    <w:nsid w:val="605C694A"/>
    <w:multiLevelType w:val="hybridMultilevel"/>
    <w:tmpl w:val="1A2EC9D4"/>
    <w:lvl w:ilvl="0" w:tplc="632AD732">
      <w:start w:val="1"/>
      <w:numFmt w:val="bullet"/>
      <w:lvlText w:val=""/>
      <w:lvlJc w:val="left"/>
      <w:pPr>
        <w:ind w:left="1440" w:hanging="360"/>
      </w:pPr>
      <w:rPr>
        <w:rFonts w:ascii="Symbol" w:hAnsi="Symbol"/>
      </w:rPr>
    </w:lvl>
    <w:lvl w:ilvl="1" w:tplc="33D28B34">
      <w:start w:val="1"/>
      <w:numFmt w:val="bullet"/>
      <w:lvlText w:val=""/>
      <w:lvlJc w:val="left"/>
      <w:pPr>
        <w:ind w:left="1440" w:hanging="360"/>
      </w:pPr>
      <w:rPr>
        <w:rFonts w:ascii="Symbol" w:hAnsi="Symbol"/>
      </w:rPr>
    </w:lvl>
    <w:lvl w:ilvl="2" w:tplc="D7FA3EE8">
      <w:start w:val="1"/>
      <w:numFmt w:val="bullet"/>
      <w:lvlText w:val=""/>
      <w:lvlJc w:val="left"/>
      <w:pPr>
        <w:ind w:left="1440" w:hanging="360"/>
      </w:pPr>
      <w:rPr>
        <w:rFonts w:ascii="Symbol" w:hAnsi="Symbol"/>
      </w:rPr>
    </w:lvl>
    <w:lvl w:ilvl="3" w:tplc="B2645598">
      <w:start w:val="1"/>
      <w:numFmt w:val="bullet"/>
      <w:lvlText w:val=""/>
      <w:lvlJc w:val="left"/>
      <w:pPr>
        <w:ind w:left="1440" w:hanging="360"/>
      </w:pPr>
      <w:rPr>
        <w:rFonts w:ascii="Symbol" w:hAnsi="Symbol"/>
      </w:rPr>
    </w:lvl>
    <w:lvl w:ilvl="4" w:tplc="415E39AC">
      <w:start w:val="1"/>
      <w:numFmt w:val="bullet"/>
      <w:lvlText w:val=""/>
      <w:lvlJc w:val="left"/>
      <w:pPr>
        <w:ind w:left="1440" w:hanging="360"/>
      </w:pPr>
      <w:rPr>
        <w:rFonts w:ascii="Symbol" w:hAnsi="Symbol"/>
      </w:rPr>
    </w:lvl>
    <w:lvl w:ilvl="5" w:tplc="F57AF776">
      <w:start w:val="1"/>
      <w:numFmt w:val="bullet"/>
      <w:lvlText w:val=""/>
      <w:lvlJc w:val="left"/>
      <w:pPr>
        <w:ind w:left="1440" w:hanging="360"/>
      </w:pPr>
      <w:rPr>
        <w:rFonts w:ascii="Symbol" w:hAnsi="Symbol"/>
      </w:rPr>
    </w:lvl>
    <w:lvl w:ilvl="6" w:tplc="EDB027A4">
      <w:start w:val="1"/>
      <w:numFmt w:val="bullet"/>
      <w:lvlText w:val=""/>
      <w:lvlJc w:val="left"/>
      <w:pPr>
        <w:ind w:left="1440" w:hanging="360"/>
      </w:pPr>
      <w:rPr>
        <w:rFonts w:ascii="Symbol" w:hAnsi="Symbol"/>
      </w:rPr>
    </w:lvl>
    <w:lvl w:ilvl="7" w:tplc="03EEFDB8">
      <w:start w:val="1"/>
      <w:numFmt w:val="bullet"/>
      <w:lvlText w:val=""/>
      <w:lvlJc w:val="left"/>
      <w:pPr>
        <w:ind w:left="1440" w:hanging="360"/>
      </w:pPr>
      <w:rPr>
        <w:rFonts w:ascii="Symbol" w:hAnsi="Symbol"/>
      </w:rPr>
    </w:lvl>
    <w:lvl w:ilvl="8" w:tplc="3E72F752">
      <w:start w:val="1"/>
      <w:numFmt w:val="bullet"/>
      <w:lvlText w:val=""/>
      <w:lvlJc w:val="left"/>
      <w:pPr>
        <w:ind w:left="1440" w:hanging="360"/>
      </w:pPr>
      <w:rPr>
        <w:rFonts w:ascii="Symbol" w:hAnsi="Symbol"/>
      </w:rPr>
    </w:lvl>
  </w:abstractNum>
  <w:abstractNum w:abstractNumId="20" w15:restartNumberingAfterBreak="0">
    <w:nsid w:val="622616CE"/>
    <w:multiLevelType w:val="hybridMultilevel"/>
    <w:tmpl w:val="168A0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1B40D6"/>
    <w:multiLevelType w:val="hybridMultilevel"/>
    <w:tmpl w:val="1A08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CA64DC"/>
    <w:multiLevelType w:val="hybridMultilevel"/>
    <w:tmpl w:val="CEF04B70"/>
    <w:lvl w:ilvl="0" w:tplc="8746EFDA">
      <w:start w:val="1"/>
      <w:numFmt w:val="bullet"/>
      <w:pStyle w:val="Bullet1"/>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9F7038"/>
    <w:multiLevelType w:val="hybridMultilevel"/>
    <w:tmpl w:val="BE8CA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E107B9"/>
    <w:multiLevelType w:val="hybridMultilevel"/>
    <w:tmpl w:val="EECA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1C6BA7"/>
    <w:multiLevelType w:val="hybridMultilevel"/>
    <w:tmpl w:val="48600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BE0B9D"/>
    <w:multiLevelType w:val="hybridMultilevel"/>
    <w:tmpl w:val="53F42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1212052">
    <w:abstractNumId w:val="13"/>
  </w:num>
  <w:num w:numId="2" w16cid:durableId="1196381610">
    <w:abstractNumId w:val="22"/>
  </w:num>
  <w:num w:numId="3" w16cid:durableId="947004035">
    <w:abstractNumId w:val="17"/>
  </w:num>
  <w:num w:numId="4" w16cid:durableId="1104957115">
    <w:abstractNumId w:val="11"/>
  </w:num>
  <w:num w:numId="5" w16cid:durableId="1955598584">
    <w:abstractNumId w:val="18"/>
  </w:num>
  <w:num w:numId="6" w16cid:durableId="1435704762">
    <w:abstractNumId w:val="5"/>
  </w:num>
  <w:num w:numId="7" w16cid:durableId="1675720706">
    <w:abstractNumId w:val="8"/>
  </w:num>
  <w:num w:numId="8" w16cid:durableId="217936717">
    <w:abstractNumId w:val="9"/>
  </w:num>
  <w:num w:numId="9" w16cid:durableId="201402048">
    <w:abstractNumId w:val="12"/>
  </w:num>
  <w:num w:numId="10" w16cid:durableId="1159737850">
    <w:abstractNumId w:val="4"/>
  </w:num>
  <w:num w:numId="11" w16cid:durableId="281419871">
    <w:abstractNumId w:val="6"/>
  </w:num>
  <w:num w:numId="12" w16cid:durableId="1958872289">
    <w:abstractNumId w:val="21"/>
  </w:num>
  <w:num w:numId="13" w16cid:durableId="2138908367">
    <w:abstractNumId w:val="26"/>
  </w:num>
  <w:num w:numId="14" w16cid:durableId="930703646">
    <w:abstractNumId w:val="23"/>
  </w:num>
  <w:num w:numId="15" w16cid:durableId="1363937049">
    <w:abstractNumId w:val="25"/>
  </w:num>
  <w:num w:numId="16" w16cid:durableId="419641565">
    <w:abstractNumId w:val="10"/>
  </w:num>
  <w:num w:numId="17" w16cid:durableId="1477799102">
    <w:abstractNumId w:val="1"/>
  </w:num>
  <w:num w:numId="18" w16cid:durableId="116263260">
    <w:abstractNumId w:val="14"/>
  </w:num>
  <w:num w:numId="19" w16cid:durableId="1845321498">
    <w:abstractNumId w:val="7"/>
  </w:num>
  <w:num w:numId="20" w16cid:durableId="1626429841">
    <w:abstractNumId w:val="15"/>
  </w:num>
  <w:num w:numId="21" w16cid:durableId="1653943327">
    <w:abstractNumId w:val="19"/>
  </w:num>
  <w:num w:numId="22" w16cid:durableId="704595844">
    <w:abstractNumId w:val="16"/>
  </w:num>
  <w:num w:numId="23" w16cid:durableId="1301035484">
    <w:abstractNumId w:val="24"/>
  </w:num>
  <w:num w:numId="24" w16cid:durableId="552153544">
    <w:abstractNumId w:val="2"/>
  </w:num>
  <w:num w:numId="25" w16cid:durableId="107044338">
    <w:abstractNumId w:val="20"/>
  </w:num>
  <w:num w:numId="26" w16cid:durableId="1244801409">
    <w:abstractNumId w:val="0"/>
  </w:num>
  <w:num w:numId="27" w16cid:durableId="97426005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0386e,#73c800,#c6eaa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B7275E1-CEE4-405F-B37F-3AE01F0B3A2C}"/>
    <w:docVar w:name="dgnword-eventsink" w:val="352099680"/>
  </w:docVars>
  <w:rsids>
    <w:rsidRoot w:val="00132378"/>
    <w:rsid w:val="0000016F"/>
    <w:rsid w:val="0000017F"/>
    <w:rsid w:val="0000042D"/>
    <w:rsid w:val="00000B02"/>
    <w:rsid w:val="00000E57"/>
    <w:rsid w:val="00000F68"/>
    <w:rsid w:val="0000107E"/>
    <w:rsid w:val="000015C6"/>
    <w:rsid w:val="00001821"/>
    <w:rsid w:val="00001D72"/>
    <w:rsid w:val="00001FA9"/>
    <w:rsid w:val="000023A2"/>
    <w:rsid w:val="00003C4B"/>
    <w:rsid w:val="00004183"/>
    <w:rsid w:val="0000426E"/>
    <w:rsid w:val="00004784"/>
    <w:rsid w:val="0000486C"/>
    <w:rsid w:val="00004F0B"/>
    <w:rsid w:val="0000503A"/>
    <w:rsid w:val="0000520F"/>
    <w:rsid w:val="00005814"/>
    <w:rsid w:val="000060C8"/>
    <w:rsid w:val="000065D8"/>
    <w:rsid w:val="00006D5C"/>
    <w:rsid w:val="00006DF7"/>
    <w:rsid w:val="00006E86"/>
    <w:rsid w:val="0000762F"/>
    <w:rsid w:val="000078FA"/>
    <w:rsid w:val="00007C71"/>
    <w:rsid w:val="00010019"/>
    <w:rsid w:val="00010023"/>
    <w:rsid w:val="00010636"/>
    <w:rsid w:val="0001073A"/>
    <w:rsid w:val="000109B7"/>
    <w:rsid w:val="00010FF6"/>
    <w:rsid w:val="0001104E"/>
    <w:rsid w:val="000114ED"/>
    <w:rsid w:val="00012163"/>
    <w:rsid w:val="00012365"/>
    <w:rsid w:val="000127BE"/>
    <w:rsid w:val="00012B0E"/>
    <w:rsid w:val="00013229"/>
    <w:rsid w:val="00013383"/>
    <w:rsid w:val="000136DB"/>
    <w:rsid w:val="00013848"/>
    <w:rsid w:val="00013ED5"/>
    <w:rsid w:val="00013F14"/>
    <w:rsid w:val="00014B32"/>
    <w:rsid w:val="000150E7"/>
    <w:rsid w:val="000151AF"/>
    <w:rsid w:val="00015AAC"/>
    <w:rsid w:val="00016102"/>
    <w:rsid w:val="00016266"/>
    <w:rsid w:val="00016659"/>
    <w:rsid w:val="00016A7D"/>
    <w:rsid w:val="00016CB5"/>
    <w:rsid w:val="0001716B"/>
    <w:rsid w:val="00017445"/>
    <w:rsid w:val="000176D8"/>
    <w:rsid w:val="00017866"/>
    <w:rsid w:val="000178F6"/>
    <w:rsid w:val="00017CF9"/>
    <w:rsid w:val="00020415"/>
    <w:rsid w:val="0002063F"/>
    <w:rsid w:val="000207D7"/>
    <w:rsid w:val="00020E09"/>
    <w:rsid w:val="00021DF0"/>
    <w:rsid w:val="00021F77"/>
    <w:rsid w:val="0002276E"/>
    <w:rsid w:val="00022C67"/>
    <w:rsid w:val="00022D7D"/>
    <w:rsid w:val="00022DDD"/>
    <w:rsid w:val="00023346"/>
    <w:rsid w:val="000237FF"/>
    <w:rsid w:val="00023924"/>
    <w:rsid w:val="00023C9A"/>
    <w:rsid w:val="000246A7"/>
    <w:rsid w:val="00024716"/>
    <w:rsid w:val="000249DA"/>
    <w:rsid w:val="00024E3B"/>
    <w:rsid w:val="00024EA8"/>
    <w:rsid w:val="0002566E"/>
    <w:rsid w:val="00025AB6"/>
    <w:rsid w:val="0002602C"/>
    <w:rsid w:val="00026725"/>
    <w:rsid w:val="00026750"/>
    <w:rsid w:val="00026A8B"/>
    <w:rsid w:val="00026B77"/>
    <w:rsid w:val="00027683"/>
    <w:rsid w:val="00030735"/>
    <w:rsid w:val="00030C05"/>
    <w:rsid w:val="00030F9A"/>
    <w:rsid w:val="00031186"/>
    <w:rsid w:val="00032CB9"/>
    <w:rsid w:val="00032EF8"/>
    <w:rsid w:val="00032F32"/>
    <w:rsid w:val="000335EC"/>
    <w:rsid w:val="000337FF"/>
    <w:rsid w:val="00033A39"/>
    <w:rsid w:val="00034537"/>
    <w:rsid w:val="000348AE"/>
    <w:rsid w:val="000349AF"/>
    <w:rsid w:val="00035347"/>
    <w:rsid w:val="000353D7"/>
    <w:rsid w:val="00035403"/>
    <w:rsid w:val="0003550B"/>
    <w:rsid w:val="00036356"/>
    <w:rsid w:val="0003677D"/>
    <w:rsid w:val="00036C66"/>
    <w:rsid w:val="000372D3"/>
    <w:rsid w:val="0003745B"/>
    <w:rsid w:val="000377B4"/>
    <w:rsid w:val="00037AC9"/>
    <w:rsid w:val="00037D57"/>
    <w:rsid w:val="00040574"/>
    <w:rsid w:val="0004089F"/>
    <w:rsid w:val="000409DA"/>
    <w:rsid w:val="000409ED"/>
    <w:rsid w:val="00040AA9"/>
    <w:rsid w:val="00040F2B"/>
    <w:rsid w:val="000411B6"/>
    <w:rsid w:val="00041635"/>
    <w:rsid w:val="00041935"/>
    <w:rsid w:val="00041A90"/>
    <w:rsid w:val="00041AFC"/>
    <w:rsid w:val="0004220B"/>
    <w:rsid w:val="00042614"/>
    <w:rsid w:val="000426DC"/>
    <w:rsid w:val="00042965"/>
    <w:rsid w:val="00042CD2"/>
    <w:rsid w:val="00043558"/>
    <w:rsid w:val="00043B76"/>
    <w:rsid w:val="000440D2"/>
    <w:rsid w:val="000440E9"/>
    <w:rsid w:val="00044792"/>
    <w:rsid w:val="00044817"/>
    <w:rsid w:val="00044DBB"/>
    <w:rsid w:val="00044EC5"/>
    <w:rsid w:val="00044F1C"/>
    <w:rsid w:val="00045403"/>
    <w:rsid w:val="00045B70"/>
    <w:rsid w:val="00045B91"/>
    <w:rsid w:val="00046418"/>
    <w:rsid w:val="000467B9"/>
    <w:rsid w:val="00046866"/>
    <w:rsid w:val="00050018"/>
    <w:rsid w:val="00050BF3"/>
    <w:rsid w:val="00050E0E"/>
    <w:rsid w:val="00051BBA"/>
    <w:rsid w:val="00052201"/>
    <w:rsid w:val="0005244B"/>
    <w:rsid w:val="0005335A"/>
    <w:rsid w:val="00053A41"/>
    <w:rsid w:val="00054007"/>
    <w:rsid w:val="00054043"/>
    <w:rsid w:val="0005475F"/>
    <w:rsid w:val="000549BF"/>
    <w:rsid w:val="00054CA5"/>
    <w:rsid w:val="00054E24"/>
    <w:rsid w:val="00054FA1"/>
    <w:rsid w:val="00055430"/>
    <w:rsid w:val="00055B39"/>
    <w:rsid w:val="00055FD8"/>
    <w:rsid w:val="000560D8"/>
    <w:rsid w:val="00056131"/>
    <w:rsid w:val="000561A8"/>
    <w:rsid w:val="00056217"/>
    <w:rsid w:val="000572F5"/>
    <w:rsid w:val="000573A8"/>
    <w:rsid w:val="00057591"/>
    <w:rsid w:val="00057D1A"/>
    <w:rsid w:val="00057F36"/>
    <w:rsid w:val="000601A8"/>
    <w:rsid w:val="000608A8"/>
    <w:rsid w:val="00060918"/>
    <w:rsid w:val="00060E4C"/>
    <w:rsid w:val="000611EC"/>
    <w:rsid w:val="000619DF"/>
    <w:rsid w:val="00061B2F"/>
    <w:rsid w:val="00061BE6"/>
    <w:rsid w:val="00061E80"/>
    <w:rsid w:val="000621E3"/>
    <w:rsid w:val="00062712"/>
    <w:rsid w:val="00062AD6"/>
    <w:rsid w:val="00063B2B"/>
    <w:rsid w:val="00063F92"/>
    <w:rsid w:val="000649D7"/>
    <w:rsid w:val="00064F21"/>
    <w:rsid w:val="00065160"/>
    <w:rsid w:val="000653C2"/>
    <w:rsid w:val="000658D9"/>
    <w:rsid w:val="000663F2"/>
    <w:rsid w:val="00067895"/>
    <w:rsid w:val="00067907"/>
    <w:rsid w:val="00070300"/>
    <w:rsid w:val="00070774"/>
    <w:rsid w:val="00070862"/>
    <w:rsid w:val="000708A2"/>
    <w:rsid w:val="00070B88"/>
    <w:rsid w:val="00070DF3"/>
    <w:rsid w:val="00070F47"/>
    <w:rsid w:val="00070FFA"/>
    <w:rsid w:val="000713A4"/>
    <w:rsid w:val="00071817"/>
    <w:rsid w:val="00071C6F"/>
    <w:rsid w:val="00071FD5"/>
    <w:rsid w:val="000726F3"/>
    <w:rsid w:val="00073148"/>
    <w:rsid w:val="00074254"/>
    <w:rsid w:val="00074530"/>
    <w:rsid w:val="0007468C"/>
    <w:rsid w:val="0007469C"/>
    <w:rsid w:val="00074BDE"/>
    <w:rsid w:val="00075515"/>
    <w:rsid w:val="000757B2"/>
    <w:rsid w:val="00075C1A"/>
    <w:rsid w:val="00075C67"/>
    <w:rsid w:val="00075D1A"/>
    <w:rsid w:val="00075E18"/>
    <w:rsid w:val="000760CC"/>
    <w:rsid w:val="0007676C"/>
    <w:rsid w:val="0007725B"/>
    <w:rsid w:val="000775D1"/>
    <w:rsid w:val="0007766B"/>
    <w:rsid w:val="000778A3"/>
    <w:rsid w:val="00077DB8"/>
    <w:rsid w:val="00077E06"/>
    <w:rsid w:val="00080248"/>
    <w:rsid w:val="00080293"/>
    <w:rsid w:val="000802D6"/>
    <w:rsid w:val="00081435"/>
    <w:rsid w:val="00081F4F"/>
    <w:rsid w:val="000827CC"/>
    <w:rsid w:val="00082A62"/>
    <w:rsid w:val="00082F7C"/>
    <w:rsid w:val="000844B5"/>
    <w:rsid w:val="00084A00"/>
    <w:rsid w:val="00085283"/>
    <w:rsid w:val="00085337"/>
    <w:rsid w:val="000853FF"/>
    <w:rsid w:val="00085584"/>
    <w:rsid w:val="00085624"/>
    <w:rsid w:val="000857D7"/>
    <w:rsid w:val="000858AC"/>
    <w:rsid w:val="0008598B"/>
    <w:rsid w:val="00085D9B"/>
    <w:rsid w:val="0008653C"/>
    <w:rsid w:val="00086929"/>
    <w:rsid w:val="00086A8D"/>
    <w:rsid w:val="0008754C"/>
    <w:rsid w:val="00087647"/>
    <w:rsid w:val="00090080"/>
    <w:rsid w:val="00090D44"/>
    <w:rsid w:val="00090F79"/>
    <w:rsid w:val="00091185"/>
    <w:rsid w:val="00091258"/>
    <w:rsid w:val="000918D7"/>
    <w:rsid w:val="000921A3"/>
    <w:rsid w:val="000925A2"/>
    <w:rsid w:val="00092671"/>
    <w:rsid w:val="00092A49"/>
    <w:rsid w:val="00092B06"/>
    <w:rsid w:val="00092C89"/>
    <w:rsid w:val="00092FAC"/>
    <w:rsid w:val="00093521"/>
    <w:rsid w:val="00093D18"/>
    <w:rsid w:val="000940CB"/>
    <w:rsid w:val="00094312"/>
    <w:rsid w:val="000944D3"/>
    <w:rsid w:val="0009455A"/>
    <w:rsid w:val="00094DDB"/>
    <w:rsid w:val="00094F7A"/>
    <w:rsid w:val="000964E7"/>
    <w:rsid w:val="000969A7"/>
    <w:rsid w:val="00096FAD"/>
    <w:rsid w:val="00097214"/>
    <w:rsid w:val="0009764B"/>
    <w:rsid w:val="00097765"/>
    <w:rsid w:val="00097A39"/>
    <w:rsid w:val="00097DC7"/>
    <w:rsid w:val="000A00AD"/>
    <w:rsid w:val="000A0144"/>
    <w:rsid w:val="000A0352"/>
    <w:rsid w:val="000A15F5"/>
    <w:rsid w:val="000A19AF"/>
    <w:rsid w:val="000A19EA"/>
    <w:rsid w:val="000A1C67"/>
    <w:rsid w:val="000A29CB"/>
    <w:rsid w:val="000A30AF"/>
    <w:rsid w:val="000A3340"/>
    <w:rsid w:val="000A3599"/>
    <w:rsid w:val="000A360D"/>
    <w:rsid w:val="000A3627"/>
    <w:rsid w:val="000A3B14"/>
    <w:rsid w:val="000A3C14"/>
    <w:rsid w:val="000A3ED8"/>
    <w:rsid w:val="000A4560"/>
    <w:rsid w:val="000A4C56"/>
    <w:rsid w:val="000A4EE0"/>
    <w:rsid w:val="000A5617"/>
    <w:rsid w:val="000A5DF3"/>
    <w:rsid w:val="000A5F91"/>
    <w:rsid w:val="000A6518"/>
    <w:rsid w:val="000A6BB8"/>
    <w:rsid w:val="000A6EF2"/>
    <w:rsid w:val="000A6FED"/>
    <w:rsid w:val="000A77EA"/>
    <w:rsid w:val="000A7947"/>
    <w:rsid w:val="000B02F4"/>
    <w:rsid w:val="000B0321"/>
    <w:rsid w:val="000B0403"/>
    <w:rsid w:val="000B0479"/>
    <w:rsid w:val="000B0D78"/>
    <w:rsid w:val="000B0EED"/>
    <w:rsid w:val="000B221B"/>
    <w:rsid w:val="000B247D"/>
    <w:rsid w:val="000B2510"/>
    <w:rsid w:val="000B2A95"/>
    <w:rsid w:val="000B3079"/>
    <w:rsid w:val="000B3A05"/>
    <w:rsid w:val="000B3C68"/>
    <w:rsid w:val="000B3C73"/>
    <w:rsid w:val="000B410C"/>
    <w:rsid w:val="000B4365"/>
    <w:rsid w:val="000B4539"/>
    <w:rsid w:val="000B4E06"/>
    <w:rsid w:val="000B4EAF"/>
    <w:rsid w:val="000B50F7"/>
    <w:rsid w:val="000B547D"/>
    <w:rsid w:val="000B5A80"/>
    <w:rsid w:val="000B5D0F"/>
    <w:rsid w:val="000B5EBC"/>
    <w:rsid w:val="000B6966"/>
    <w:rsid w:val="000B6EAE"/>
    <w:rsid w:val="000B6FFD"/>
    <w:rsid w:val="000B7358"/>
    <w:rsid w:val="000B79A3"/>
    <w:rsid w:val="000C0122"/>
    <w:rsid w:val="000C0633"/>
    <w:rsid w:val="000C07C7"/>
    <w:rsid w:val="000C0931"/>
    <w:rsid w:val="000C10AA"/>
    <w:rsid w:val="000C1633"/>
    <w:rsid w:val="000C16E3"/>
    <w:rsid w:val="000C1A69"/>
    <w:rsid w:val="000C1B87"/>
    <w:rsid w:val="000C206B"/>
    <w:rsid w:val="000C24A4"/>
    <w:rsid w:val="000C24B2"/>
    <w:rsid w:val="000C24B8"/>
    <w:rsid w:val="000C2891"/>
    <w:rsid w:val="000C29D9"/>
    <w:rsid w:val="000C2A69"/>
    <w:rsid w:val="000C3045"/>
    <w:rsid w:val="000C3112"/>
    <w:rsid w:val="000C36CB"/>
    <w:rsid w:val="000C3845"/>
    <w:rsid w:val="000C3885"/>
    <w:rsid w:val="000C3C08"/>
    <w:rsid w:val="000C3FF2"/>
    <w:rsid w:val="000C4105"/>
    <w:rsid w:val="000C4433"/>
    <w:rsid w:val="000C46C5"/>
    <w:rsid w:val="000C4931"/>
    <w:rsid w:val="000C502C"/>
    <w:rsid w:val="000C5037"/>
    <w:rsid w:val="000C53BF"/>
    <w:rsid w:val="000C5849"/>
    <w:rsid w:val="000C62DC"/>
    <w:rsid w:val="000C6311"/>
    <w:rsid w:val="000C664C"/>
    <w:rsid w:val="000C7F5B"/>
    <w:rsid w:val="000D011C"/>
    <w:rsid w:val="000D08EC"/>
    <w:rsid w:val="000D0AE5"/>
    <w:rsid w:val="000D0CE1"/>
    <w:rsid w:val="000D1559"/>
    <w:rsid w:val="000D163F"/>
    <w:rsid w:val="000D1975"/>
    <w:rsid w:val="000D1C38"/>
    <w:rsid w:val="000D273F"/>
    <w:rsid w:val="000D2FBC"/>
    <w:rsid w:val="000D359D"/>
    <w:rsid w:val="000D3AF2"/>
    <w:rsid w:val="000D42DC"/>
    <w:rsid w:val="000D4863"/>
    <w:rsid w:val="000D4A45"/>
    <w:rsid w:val="000D4E21"/>
    <w:rsid w:val="000D4F96"/>
    <w:rsid w:val="000D52B9"/>
    <w:rsid w:val="000D538D"/>
    <w:rsid w:val="000D5B8A"/>
    <w:rsid w:val="000D605D"/>
    <w:rsid w:val="000D614F"/>
    <w:rsid w:val="000D64E5"/>
    <w:rsid w:val="000D7E8A"/>
    <w:rsid w:val="000E07CA"/>
    <w:rsid w:val="000E1AD2"/>
    <w:rsid w:val="000E1F17"/>
    <w:rsid w:val="000E223B"/>
    <w:rsid w:val="000E2A3A"/>
    <w:rsid w:val="000E2E5F"/>
    <w:rsid w:val="000E320C"/>
    <w:rsid w:val="000E3443"/>
    <w:rsid w:val="000E39E3"/>
    <w:rsid w:val="000E49C4"/>
    <w:rsid w:val="000E50C1"/>
    <w:rsid w:val="000E52BA"/>
    <w:rsid w:val="000E59FC"/>
    <w:rsid w:val="000E5D47"/>
    <w:rsid w:val="000E6AC0"/>
    <w:rsid w:val="000E71C1"/>
    <w:rsid w:val="000E7499"/>
    <w:rsid w:val="000E7653"/>
    <w:rsid w:val="000F0254"/>
    <w:rsid w:val="000F0625"/>
    <w:rsid w:val="000F115B"/>
    <w:rsid w:val="000F11F9"/>
    <w:rsid w:val="000F1357"/>
    <w:rsid w:val="000F207B"/>
    <w:rsid w:val="000F21B8"/>
    <w:rsid w:val="000F2994"/>
    <w:rsid w:val="000F2AA3"/>
    <w:rsid w:val="000F33A5"/>
    <w:rsid w:val="000F36CF"/>
    <w:rsid w:val="000F40FE"/>
    <w:rsid w:val="000F43E8"/>
    <w:rsid w:val="000F44FE"/>
    <w:rsid w:val="000F4980"/>
    <w:rsid w:val="000F4A4B"/>
    <w:rsid w:val="000F4F51"/>
    <w:rsid w:val="000F5CA8"/>
    <w:rsid w:val="000F60CA"/>
    <w:rsid w:val="000F6D4B"/>
    <w:rsid w:val="000F6DD8"/>
    <w:rsid w:val="000F6FCA"/>
    <w:rsid w:val="000F7430"/>
    <w:rsid w:val="000F7783"/>
    <w:rsid w:val="000F7C51"/>
    <w:rsid w:val="000F7CD7"/>
    <w:rsid w:val="000F7D42"/>
    <w:rsid w:val="0010062F"/>
    <w:rsid w:val="00100D5A"/>
    <w:rsid w:val="00100D77"/>
    <w:rsid w:val="00100F24"/>
    <w:rsid w:val="00101960"/>
    <w:rsid w:val="001019D1"/>
    <w:rsid w:val="00101ED2"/>
    <w:rsid w:val="00101F96"/>
    <w:rsid w:val="0010222C"/>
    <w:rsid w:val="001024DB"/>
    <w:rsid w:val="00102AC5"/>
    <w:rsid w:val="001031D1"/>
    <w:rsid w:val="00103A57"/>
    <w:rsid w:val="00103E14"/>
    <w:rsid w:val="001045CB"/>
    <w:rsid w:val="001050D9"/>
    <w:rsid w:val="00105418"/>
    <w:rsid w:val="00105743"/>
    <w:rsid w:val="0010585E"/>
    <w:rsid w:val="00105C9A"/>
    <w:rsid w:val="00105D55"/>
    <w:rsid w:val="001060B1"/>
    <w:rsid w:val="001060FC"/>
    <w:rsid w:val="00106787"/>
    <w:rsid w:val="0010760F"/>
    <w:rsid w:val="001079FE"/>
    <w:rsid w:val="00107CAF"/>
    <w:rsid w:val="00107E37"/>
    <w:rsid w:val="00107EB1"/>
    <w:rsid w:val="00107F3A"/>
    <w:rsid w:val="00110281"/>
    <w:rsid w:val="00110322"/>
    <w:rsid w:val="00110582"/>
    <w:rsid w:val="001106B6"/>
    <w:rsid w:val="00110FE2"/>
    <w:rsid w:val="00111137"/>
    <w:rsid w:val="00111544"/>
    <w:rsid w:val="001124A1"/>
    <w:rsid w:val="001125AA"/>
    <w:rsid w:val="001133B6"/>
    <w:rsid w:val="0011399B"/>
    <w:rsid w:val="00113DCC"/>
    <w:rsid w:val="00113E42"/>
    <w:rsid w:val="00113F0F"/>
    <w:rsid w:val="0011419F"/>
    <w:rsid w:val="00115085"/>
    <w:rsid w:val="00115DFF"/>
    <w:rsid w:val="00116259"/>
    <w:rsid w:val="001167F7"/>
    <w:rsid w:val="001169C0"/>
    <w:rsid w:val="00116C15"/>
    <w:rsid w:val="00116CE0"/>
    <w:rsid w:val="00116E35"/>
    <w:rsid w:val="00116E5C"/>
    <w:rsid w:val="00117147"/>
    <w:rsid w:val="001177DB"/>
    <w:rsid w:val="00117FCF"/>
    <w:rsid w:val="00120866"/>
    <w:rsid w:val="0012086A"/>
    <w:rsid w:val="00120D41"/>
    <w:rsid w:val="001214B7"/>
    <w:rsid w:val="001214E0"/>
    <w:rsid w:val="00121955"/>
    <w:rsid w:val="00121C2E"/>
    <w:rsid w:val="0012249B"/>
    <w:rsid w:val="00122C1F"/>
    <w:rsid w:val="00122C9C"/>
    <w:rsid w:val="0012397D"/>
    <w:rsid w:val="00123D53"/>
    <w:rsid w:val="00123D7F"/>
    <w:rsid w:val="00123DA2"/>
    <w:rsid w:val="00123DA9"/>
    <w:rsid w:val="0012427C"/>
    <w:rsid w:val="0012434F"/>
    <w:rsid w:val="00124857"/>
    <w:rsid w:val="00124CEA"/>
    <w:rsid w:val="00124D9A"/>
    <w:rsid w:val="001257E5"/>
    <w:rsid w:val="00125A03"/>
    <w:rsid w:val="001263EF"/>
    <w:rsid w:val="00126C59"/>
    <w:rsid w:val="00126DD1"/>
    <w:rsid w:val="001270E8"/>
    <w:rsid w:val="001273C0"/>
    <w:rsid w:val="00127750"/>
    <w:rsid w:val="001277DA"/>
    <w:rsid w:val="00127A18"/>
    <w:rsid w:val="001303A0"/>
    <w:rsid w:val="00130412"/>
    <w:rsid w:val="00130541"/>
    <w:rsid w:val="0013106B"/>
    <w:rsid w:val="00131623"/>
    <w:rsid w:val="00131881"/>
    <w:rsid w:val="00131B08"/>
    <w:rsid w:val="00132378"/>
    <w:rsid w:val="001324B3"/>
    <w:rsid w:val="001327B0"/>
    <w:rsid w:val="00133294"/>
    <w:rsid w:val="00133DA5"/>
    <w:rsid w:val="00134016"/>
    <w:rsid w:val="0013404D"/>
    <w:rsid w:val="00134678"/>
    <w:rsid w:val="00134D84"/>
    <w:rsid w:val="00134E5D"/>
    <w:rsid w:val="001350C7"/>
    <w:rsid w:val="0013523E"/>
    <w:rsid w:val="0013529D"/>
    <w:rsid w:val="00135A75"/>
    <w:rsid w:val="00135B0F"/>
    <w:rsid w:val="00135D11"/>
    <w:rsid w:val="00136064"/>
    <w:rsid w:val="00136377"/>
    <w:rsid w:val="001366C2"/>
    <w:rsid w:val="0013680C"/>
    <w:rsid w:val="0013680E"/>
    <w:rsid w:val="00136AED"/>
    <w:rsid w:val="00136C6D"/>
    <w:rsid w:val="00137A17"/>
    <w:rsid w:val="00137B60"/>
    <w:rsid w:val="001403B1"/>
    <w:rsid w:val="001408B8"/>
    <w:rsid w:val="00140DDD"/>
    <w:rsid w:val="00142461"/>
    <w:rsid w:val="00142A54"/>
    <w:rsid w:val="00143579"/>
    <w:rsid w:val="00143625"/>
    <w:rsid w:val="0014379E"/>
    <w:rsid w:val="00143804"/>
    <w:rsid w:val="00143A30"/>
    <w:rsid w:val="00143E29"/>
    <w:rsid w:val="00144333"/>
    <w:rsid w:val="00144F5E"/>
    <w:rsid w:val="00145402"/>
    <w:rsid w:val="0014570B"/>
    <w:rsid w:val="00145B97"/>
    <w:rsid w:val="001464BD"/>
    <w:rsid w:val="001474FB"/>
    <w:rsid w:val="00147DA0"/>
    <w:rsid w:val="0015005E"/>
    <w:rsid w:val="00150390"/>
    <w:rsid w:val="00150597"/>
    <w:rsid w:val="001508C2"/>
    <w:rsid w:val="00150BA1"/>
    <w:rsid w:val="00150D41"/>
    <w:rsid w:val="00151025"/>
    <w:rsid w:val="001511AC"/>
    <w:rsid w:val="001518A7"/>
    <w:rsid w:val="00152675"/>
    <w:rsid w:val="001528D8"/>
    <w:rsid w:val="00152971"/>
    <w:rsid w:val="00153193"/>
    <w:rsid w:val="00153434"/>
    <w:rsid w:val="001536CC"/>
    <w:rsid w:val="001537EF"/>
    <w:rsid w:val="001543CC"/>
    <w:rsid w:val="00154AAF"/>
    <w:rsid w:val="00154E1F"/>
    <w:rsid w:val="00154EFD"/>
    <w:rsid w:val="001550E5"/>
    <w:rsid w:val="0015530D"/>
    <w:rsid w:val="0015595A"/>
    <w:rsid w:val="00156133"/>
    <w:rsid w:val="00156334"/>
    <w:rsid w:val="00156432"/>
    <w:rsid w:val="00156F99"/>
    <w:rsid w:val="00157882"/>
    <w:rsid w:val="001579DC"/>
    <w:rsid w:val="00157BA5"/>
    <w:rsid w:val="00160524"/>
    <w:rsid w:val="00160C71"/>
    <w:rsid w:val="001614E1"/>
    <w:rsid w:val="001615F5"/>
    <w:rsid w:val="001618B2"/>
    <w:rsid w:val="001619A0"/>
    <w:rsid w:val="00161F38"/>
    <w:rsid w:val="0016212D"/>
    <w:rsid w:val="001622EC"/>
    <w:rsid w:val="00163328"/>
    <w:rsid w:val="00163485"/>
    <w:rsid w:val="001636FB"/>
    <w:rsid w:val="00163D79"/>
    <w:rsid w:val="00164258"/>
    <w:rsid w:val="00164675"/>
    <w:rsid w:val="00164A2B"/>
    <w:rsid w:val="0016523D"/>
    <w:rsid w:val="001652BA"/>
    <w:rsid w:val="001655EE"/>
    <w:rsid w:val="001657DD"/>
    <w:rsid w:val="001658F2"/>
    <w:rsid w:val="00165BC5"/>
    <w:rsid w:val="00165D40"/>
    <w:rsid w:val="0016689E"/>
    <w:rsid w:val="00166B70"/>
    <w:rsid w:val="00166F9B"/>
    <w:rsid w:val="0016738B"/>
    <w:rsid w:val="001675E6"/>
    <w:rsid w:val="00167896"/>
    <w:rsid w:val="001678CF"/>
    <w:rsid w:val="00167996"/>
    <w:rsid w:val="00167A29"/>
    <w:rsid w:val="00167DCF"/>
    <w:rsid w:val="00167DF0"/>
    <w:rsid w:val="00167ECB"/>
    <w:rsid w:val="00170241"/>
    <w:rsid w:val="0017052A"/>
    <w:rsid w:val="001708D2"/>
    <w:rsid w:val="00170D90"/>
    <w:rsid w:val="00170E18"/>
    <w:rsid w:val="00171071"/>
    <w:rsid w:val="0017185D"/>
    <w:rsid w:val="001718D6"/>
    <w:rsid w:val="00171B96"/>
    <w:rsid w:val="00172A5D"/>
    <w:rsid w:val="00172DE9"/>
    <w:rsid w:val="0017507A"/>
    <w:rsid w:val="001754A8"/>
    <w:rsid w:val="0017597D"/>
    <w:rsid w:val="00175EFA"/>
    <w:rsid w:val="00176358"/>
    <w:rsid w:val="00176A4B"/>
    <w:rsid w:val="00176ABD"/>
    <w:rsid w:val="001775BD"/>
    <w:rsid w:val="00177642"/>
    <w:rsid w:val="001777B9"/>
    <w:rsid w:val="0017783B"/>
    <w:rsid w:val="001779C7"/>
    <w:rsid w:val="00177A7C"/>
    <w:rsid w:val="00177E7A"/>
    <w:rsid w:val="0018052D"/>
    <w:rsid w:val="00180C33"/>
    <w:rsid w:val="00181260"/>
    <w:rsid w:val="001814D8"/>
    <w:rsid w:val="0018223F"/>
    <w:rsid w:val="00182502"/>
    <w:rsid w:val="00182685"/>
    <w:rsid w:val="001838BA"/>
    <w:rsid w:val="00183DB5"/>
    <w:rsid w:val="00183F9E"/>
    <w:rsid w:val="00184510"/>
    <w:rsid w:val="0018527C"/>
    <w:rsid w:val="00185C76"/>
    <w:rsid w:val="00185F85"/>
    <w:rsid w:val="0018606D"/>
    <w:rsid w:val="001860EE"/>
    <w:rsid w:val="0018644B"/>
    <w:rsid w:val="00186474"/>
    <w:rsid w:val="001869DC"/>
    <w:rsid w:val="00186D6B"/>
    <w:rsid w:val="00186EEB"/>
    <w:rsid w:val="00187266"/>
    <w:rsid w:val="00187497"/>
    <w:rsid w:val="00187901"/>
    <w:rsid w:val="0019006D"/>
    <w:rsid w:val="0019067E"/>
    <w:rsid w:val="00190729"/>
    <w:rsid w:val="001907B5"/>
    <w:rsid w:val="00190867"/>
    <w:rsid w:val="0019091A"/>
    <w:rsid w:val="00191304"/>
    <w:rsid w:val="00191747"/>
    <w:rsid w:val="001919FC"/>
    <w:rsid w:val="00192285"/>
    <w:rsid w:val="00192392"/>
    <w:rsid w:val="0019274F"/>
    <w:rsid w:val="0019333C"/>
    <w:rsid w:val="00193BBC"/>
    <w:rsid w:val="0019415E"/>
    <w:rsid w:val="0019478D"/>
    <w:rsid w:val="00195102"/>
    <w:rsid w:val="001952F2"/>
    <w:rsid w:val="001953FD"/>
    <w:rsid w:val="001954DB"/>
    <w:rsid w:val="001956E1"/>
    <w:rsid w:val="001957B3"/>
    <w:rsid w:val="00195B20"/>
    <w:rsid w:val="00195BEA"/>
    <w:rsid w:val="00197219"/>
    <w:rsid w:val="0019777B"/>
    <w:rsid w:val="001977F6"/>
    <w:rsid w:val="00197914"/>
    <w:rsid w:val="00197F3D"/>
    <w:rsid w:val="001A0023"/>
    <w:rsid w:val="001A0536"/>
    <w:rsid w:val="001A0D3A"/>
    <w:rsid w:val="001A0FE4"/>
    <w:rsid w:val="001A1807"/>
    <w:rsid w:val="001A1C76"/>
    <w:rsid w:val="001A2161"/>
    <w:rsid w:val="001A2686"/>
    <w:rsid w:val="001A307B"/>
    <w:rsid w:val="001A335C"/>
    <w:rsid w:val="001A430F"/>
    <w:rsid w:val="001A454E"/>
    <w:rsid w:val="001A4564"/>
    <w:rsid w:val="001A47DB"/>
    <w:rsid w:val="001A4933"/>
    <w:rsid w:val="001A57A6"/>
    <w:rsid w:val="001A5FE4"/>
    <w:rsid w:val="001A6977"/>
    <w:rsid w:val="001A6B12"/>
    <w:rsid w:val="001A6D73"/>
    <w:rsid w:val="001A771C"/>
    <w:rsid w:val="001A79D9"/>
    <w:rsid w:val="001A7A20"/>
    <w:rsid w:val="001A7A6D"/>
    <w:rsid w:val="001B0083"/>
    <w:rsid w:val="001B04B8"/>
    <w:rsid w:val="001B0641"/>
    <w:rsid w:val="001B1ECB"/>
    <w:rsid w:val="001B22AA"/>
    <w:rsid w:val="001B274A"/>
    <w:rsid w:val="001B2834"/>
    <w:rsid w:val="001B2884"/>
    <w:rsid w:val="001B2891"/>
    <w:rsid w:val="001B2AD7"/>
    <w:rsid w:val="001B2FF1"/>
    <w:rsid w:val="001B38FF"/>
    <w:rsid w:val="001B39AD"/>
    <w:rsid w:val="001B3A06"/>
    <w:rsid w:val="001B3D1F"/>
    <w:rsid w:val="001B43FE"/>
    <w:rsid w:val="001B4683"/>
    <w:rsid w:val="001B4BD9"/>
    <w:rsid w:val="001B4E06"/>
    <w:rsid w:val="001B51AB"/>
    <w:rsid w:val="001B5239"/>
    <w:rsid w:val="001B582C"/>
    <w:rsid w:val="001B63BD"/>
    <w:rsid w:val="001B6472"/>
    <w:rsid w:val="001B6615"/>
    <w:rsid w:val="001B67BF"/>
    <w:rsid w:val="001B7673"/>
    <w:rsid w:val="001B76F2"/>
    <w:rsid w:val="001B7A13"/>
    <w:rsid w:val="001B7AB4"/>
    <w:rsid w:val="001C0207"/>
    <w:rsid w:val="001C048C"/>
    <w:rsid w:val="001C06B2"/>
    <w:rsid w:val="001C0721"/>
    <w:rsid w:val="001C09E0"/>
    <w:rsid w:val="001C09E2"/>
    <w:rsid w:val="001C10C5"/>
    <w:rsid w:val="001C1652"/>
    <w:rsid w:val="001C1A24"/>
    <w:rsid w:val="001C1AC2"/>
    <w:rsid w:val="001C24E1"/>
    <w:rsid w:val="001C3043"/>
    <w:rsid w:val="001C3121"/>
    <w:rsid w:val="001C37E1"/>
    <w:rsid w:val="001C3825"/>
    <w:rsid w:val="001C3AAB"/>
    <w:rsid w:val="001C403B"/>
    <w:rsid w:val="001C420E"/>
    <w:rsid w:val="001C4327"/>
    <w:rsid w:val="001C4871"/>
    <w:rsid w:val="001C4A49"/>
    <w:rsid w:val="001C4D2C"/>
    <w:rsid w:val="001C55E7"/>
    <w:rsid w:val="001C56FB"/>
    <w:rsid w:val="001C5EB7"/>
    <w:rsid w:val="001C6B46"/>
    <w:rsid w:val="001D0229"/>
    <w:rsid w:val="001D05C0"/>
    <w:rsid w:val="001D068B"/>
    <w:rsid w:val="001D0723"/>
    <w:rsid w:val="001D0726"/>
    <w:rsid w:val="001D0F6E"/>
    <w:rsid w:val="001D1261"/>
    <w:rsid w:val="001D1632"/>
    <w:rsid w:val="001D2005"/>
    <w:rsid w:val="001D20CE"/>
    <w:rsid w:val="001D2A2D"/>
    <w:rsid w:val="001D2BAC"/>
    <w:rsid w:val="001D2F0C"/>
    <w:rsid w:val="001D3009"/>
    <w:rsid w:val="001D30BB"/>
    <w:rsid w:val="001D31A9"/>
    <w:rsid w:val="001D33C5"/>
    <w:rsid w:val="001D388A"/>
    <w:rsid w:val="001D40AE"/>
    <w:rsid w:val="001D4613"/>
    <w:rsid w:val="001D48A9"/>
    <w:rsid w:val="001D49D1"/>
    <w:rsid w:val="001D49E6"/>
    <w:rsid w:val="001D4A69"/>
    <w:rsid w:val="001D4A70"/>
    <w:rsid w:val="001D4ADD"/>
    <w:rsid w:val="001D4B4F"/>
    <w:rsid w:val="001D4E97"/>
    <w:rsid w:val="001D544E"/>
    <w:rsid w:val="001D596C"/>
    <w:rsid w:val="001D5A3F"/>
    <w:rsid w:val="001D5ADC"/>
    <w:rsid w:val="001D5DD6"/>
    <w:rsid w:val="001D6200"/>
    <w:rsid w:val="001D63E8"/>
    <w:rsid w:val="001D680F"/>
    <w:rsid w:val="001D6920"/>
    <w:rsid w:val="001D69CA"/>
    <w:rsid w:val="001D6C57"/>
    <w:rsid w:val="001D6CC9"/>
    <w:rsid w:val="001D70D6"/>
    <w:rsid w:val="001D7427"/>
    <w:rsid w:val="001D753F"/>
    <w:rsid w:val="001D7ADC"/>
    <w:rsid w:val="001E039B"/>
    <w:rsid w:val="001E06AA"/>
    <w:rsid w:val="001E07C2"/>
    <w:rsid w:val="001E0DFD"/>
    <w:rsid w:val="001E10A9"/>
    <w:rsid w:val="001E1C09"/>
    <w:rsid w:val="001E1C74"/>
    <w:rsid w:val="001E1EBF"/>
    <w:rsid w:val="001E29C9"/>
    <w:rsid w:val="001E3201"/>
    <w:rsid w:val="001E3282"/>
    <w:rsid w:val="001E3664"/>
    <w:rsid w:val="001E3773"/>
    <w:rsid w:val="001E383B"/>
    <w:rsid w:val="001E3DF5"/>
    <w:rsid w:val="001E415B"/>
    <w:rsid w:val="001E4289"/>
    <w:rsid w:val="001E4627"/>
    <w:rsid w:val="001E4A9B"/>
    <w:rsid w:val="001E4AF7"/>
    <w:rsid w:val="001E4D10"/>
    <w:rsid w:val="001E551D"/>
    <w:rsid w:val="001E5527"/>
    <w:rsid w:val="001E5B6D"/>
    <w:rsid w:val="001E6211"/>
    <w:rsid w:val="001E67B5"/>
    <w:rsid w:val="001E6F0E"/>
    <w:rsid w:val="001E7279"/>
    <w:rsid w:val="001F01DC"/>
    <w:rsid w:val="001F07B9"/>
    <w:rsid w:val="001F0A7E"/>
    <w:rsid w:val="001F0D61"/>
    <w:rsid w:val="001F0D9B"/>
    <w:rsid w:val="001F125A"/>
    <w:rsid w:val="001F2287"/>
    <w:rsid w:val="001F2420"/>
    <w:rsid w:val="001F243F"/>
    <w:rsid w:val="001F2685"/>
    <w:rsid w:val="001F2809"/>
    <w:rsid w:val="001F2DC7"/>
    <w:rsid w:val="001F3236"/>
    <w:rsid w:val="001F33E9"/>
    <w:rsid w:val="001F34FB"/>
    <w:rsid w:val="001F3691"/>
    <w:rsid w:val="001F3D3A"/>
    <w:rsid w:val="001F418A"/>
    <w:rsid w:val="001F4852"/>
    <w:rsid w:val="001F4D85"/>
    <w:rsid w:val="001F5297"/>
    <w:rsid w:val="001F52BD"/>
    <w:rsid w:val="001F5463"/>
    <w:rsid w:val="001F6B7D"/>
    <w:rsid w:val="001F751B"/>
    <w:rsid w:val="001F7E0C"/>
    <w:rsid w:val="00200553"/>
    <w:rsid w:val="002011D8"/>
    <w:rsid w:val="002013BF"/>
    <w:rsid w:val="00201ADB"/>
    <w:rsid w:val="00201DCC"/>
    <w:rsid w:val="00201E05"/>
    <w:rsid w:val="00201F0F"/>
    <w:rsid w:val="00202172"/>
    <w:rsid w:val="002022F4"/>
    <w:rsid w:val="00202504"/>
    <w:rsid w:val="00202B33"/>
    <w:rsid w:val="0020300B"/>
    <w:rsid w:val="0020363F"/>
    <w:rsid w:val="00203B6A"/>
    <w:rsid w:val="00204291"/>
    <w:rsid w:val="00204831"/>
    <w:rsid w:val="00204CC7"/>
    <w:rsid w:val="002056AF"/>
    <w:rsid w:val="00205F20"/>
    <w:rsid w:val="00206426"/>
    <w:rsid w:val="0020690A"/>
    <w:rsid w:val="00207714"/>
    <w:rsid w:val="002078FC"/>
    <w:rsid w:val="00207CBA"/>
    <w:rsid w:val="00210060"/>
    <w:rsid w:val="002103E9"/>
    <w:rsid w:val="002107F0"/>
    <w:rsid w:val="0021115B"/>
    <w:rsid w:val="00211434"/>
    <w:rsid w:val="00211FE3"/>
    <w:rsid w:val="00212348"/>
    <w:rsid w:val="002128FA"/>
    <w:rsid w:val="00212A9A"/>
    <w:rsid w:val="002135BE"/>
    <w:rsid w:val="00214171"/>
    <w:rsid w:val="002143AF"/>
    <w:rsid w:val="00214965"/>
    <w:rsid w:val="00214A4C"/>
    <w:rsid w:val="00214F61"/>
    <w:rsid w:val="00215454"/>
    <w:rsid w:val="002154D0"/>
    <w:rsid w:val="00215907"/>
    <w:rsid w:val="00215F98"/>
    <w:rsid w:val="002162B0"/>
    <w:rsid w:val="00216501"/>
    <w:rsid w:val="00216618"/>
    <w:rsid w:val="00216B8F"/>
    <w:rsid w:val="00216D32"/>
    <w:rsid w:val="00216D4D"/>
    <w:rsid w:val="0021733B"/>
    <w:rsid w:val="002174AD"/>
    <w:rsid w:val="0021761A"/>
    <w:rsid w:val="0021792B"/>
    <w:rsid w:val="00217DE7"/>
    <w:rsid w:val="00220353"/>
    <w:rsid w:val="0022088F"/>
    <w:rsid w:val="00220A1D"/>
    <w:rsid w:val="002218B3"/>
    <w:rsid w:val="002218C3"/>
    <w:rsid w:val="00221A07"/>
    <w:rsid w:val="00221A86"/>
    <w:rsid w:val="00221AF2"/>
    <w:rsid w:val="00222A26"/>
    <w:rsid w:val="00222D44"/>
    <w:rsid w:val="0022335A"/>
    <w:rsid w:val="00223486"/>
    <w:rsid w:val="00223892"/>
    <w:rsid w:val="00223AB8"/>
    <w:rsid w:val="00223C07"/>
    <w:rsid w:val="00223CC2"/>
    <w:rsid w:val="0022416B"/>
    <w:rsid w:val="00224532"/>
    <w:rsid w:val="00224AFF"/>
    <w:rsid w:val="00224DF4"/>
    <w:rsid w:val="00224E16"/>
    <w:rsid w:val="00225983"/>
    <w:rsid w:val="00226A85"/>
    <w:rsid w:val="00226DEE"/>
    <w:rsid w:val="0022706F"/>
    <w:rsid w:val="002272FC"/>
    <w:rsid w:val="00227567"/>
    <w:rsid w:val="002279CB"/>
    <w:rsid w:val="00227AD2"/>
    <w:rsid w:val="00227BAE"/>
    <w:rsid w:val="00227BBA"/>
    <w:rsid w:val="002304F6"/>
    <w:rsid w:val="002308F7"/>
    <w:rsid w:val="0023167C"/>
    <w:rsid w:val="00231A35"/>
    <w:rsid w:val="00231D73"/>
    <w:rsid w:val="00232691"/>
    <w:rsid w:val="00232BBA"/>
    <w:rsid w:val="00232CEC"/>
    <w:rsid w:val="002332F2"/>
    <w:rsid w:val="00233401"/>
    <w:rsid w:val="002335D0"/>
    <w:rsid w:val="00233968"/>
    <w:rsid w:val="00233D3A"/>
    <w:rsid w:val="0023408E"/>
    <w:rsid w:val="00234CB6"/>
    <w:rsid w:val="00234E51"/>
    <w:rsid w:val="002357B8"/>
    <w:rsid w:val="00235B09"/>
    <w:rsid w:val="00235F17"/>
    <w:rsid w:val="00236E52"/>
    <w:rsid w:val="00236E87"/>
    <w:rsid w:val="00237117"/>
    <w:rsid w:val="002371BE"/>
    <w:rsid w:val="0023779C"/>
    <w:rsid w:val="00237DD7"/>
    <w:rsid w:val="002400C0"/>
    <w:rsid w:val="0024037D"/>
    <w:rsid w:val="00240D71"/>
    <w:rsid w:val="00240EBC"/>
    <w:rsid w:val="00241467"/>
    <w:rsid w:val="002414E7"/>
    <w:rsid w:val="0024188F"/>
    <w:rsid w:val="002420BA"/>
    <w:rsid w:val="002421C3"/>
    <w:rsid w:val="00242510"/>
    <w:rsid w:val="00242AF7"/>
    <w:rsid w:val="00242B5C"/>
    <w:rsid w:val="00242D67"/>
    <w:rsid w:val="00242FFE"/>
    <w:rsid w:val="0024396E"/>
    <w:rsid w:val="00243CDC"/>
    <w:rsid w:val="002440F8"/>
    <w:rsid w:val="00244966"/>
    <w:rsid w:val="00244D87"/>
    <w:rsid w:val="00244F37"/>
    <w:rsid w:val="00245DAE"/>
    <w:rsid w:val="00246A84"/>
    <w:rsid w:val="00246FA6"/>
    <w:rsid w:val="0024724C"/>
    <w:rsid w:val="00247426"/>
    <w:rsid w:val="002476EC"/>
    <w:rsid w:val="00247708"/>
    <w:rsid w:val="002477CB"/>
    <w:rsid w:val="002477D8"/>
    <w:rsid w:val="00247BAD"/>
    <w:rsid w:val="002508A9"/>
    <w:rsid w:val="002512F5"/>
    <w:rsid w:val="0025149A"/>
    <w:rsid w:val="0025155E"/>
    <w:rsid w:val="00251569"/>
    <w:rsid w:val="00251728"/>
    <w:rsid w:val="00251EE7"/>
    <w:rsid w:val="00251F49"/>
    <w:rsid w:val="0025247B"/>
    <w:rsid w:val="00252AC0"/>
    <w:rsid w:val="0025300E"/>
    <w:rsid w:val="00253A47"/>
    <w:rsid w:val="00253ECA"/>
    <w:rsid w:val="00253FA3"/>
    <w:rsid w:val="002540BA"/>
    <w:rsid w:val="00254201"/>
    <w:rsid w:val="0025427F"/>
    <w:rsid w:val="00254664"/>
    <w:rsid w:val="002546B3"/>
    <w:rsid w:val="0025513A"/>
    <w:rsid w:val="00255494"/>
    <w:rsid w:val="002556BE"/>
    <w:rsid w:val="00255C61"/>
    <w:rsid w:val="00256051"/>
    <w:rsid w:val="00256076"/>
    <w:rsid w:val="002560AB"/>
    <w:rsid w:val="002561F1"/>
    <w:rsid w:val="0025671C"/>
    <w:rsid w:val="00256B31"/>
    <w:rsid w:val="00256F94"/>
    <w:rsid w:val="00257197"/>
    <w:rsid w:val="00257484"/>
    <w:rsid w:val="0026050E"/>
    <w:rsid w:val="0026135D"/>
    <w:rsid w:val="002613FD"/>
    <w:rsid w:val="002615A2"/>
    <w:rsid w:val="002615B9"/>
    <w:rsid w:val="00261629"/>
    <w:rsid w:val="00262B6C"/>
    <w:rsid w:val="00262FE5"/>
    <w:rsid w:val="00263247"/>
    <w:rsid w:val="00263883"/>
    <w:rsid w:val="00263AC3"/>
    <w:rsid w:val="00263C2B"/>
    <w:rsid w:val="00263C59"/>
    <w:rsid w:val="0026454B"/>
    <w:rsid w:val="0026479C"/>
    <w:rsid w:val="00264EBE"/>
    <w:rsid w:val="00264F9E"/>
    <w:rsid w:val="00265697"/>
    <w:rsid w:val="00265843"/>
    <w:rsid w:val="00265869"/>
    <w:rsid w:val="00265DF9"/>
    <w:rsid w:val="00266046"/>
    <w:rsid w:val="00266281"/>
    <w:rsid w:val="0026648A"/>
    <w:rsid w:val="0026656A"/>
    <w:rsid w:val="0026668D"/>
    <w:rsid w:val="0026747E"/>
    <w:rsid w:val="002675C7"/>
    <w:rsid w:val="00267880"/>
    <w:rsid w:val="00267B31"/>
    <w:rsid w:val="00267E2D"/>
    <w:rsid w:val="002707A8"/>
    <w:rsid w:val="002707C5"/>
    <w:rsid w:val="00271D8B"/>
    <w:rsid w:val="002722B7"/>
    <w:rsid w:val="00272DB9"/>
    <w:rsid w:val="00273364"/>
    <w:rsid w:val="0027449B"/>
    <w:rsid w:val="00274602"/>
    <w:rsid w:val="00274699"/>
    <w:rsid w:val="00274720"/>
    <w:rsid w:val="002748F4"/>
    <w:rsid w:val="00274FC0"/>
    <w:rsid w:val="002750EC"/>
    <w:rsid w:val="002756C3"/>
    <w:rsid w:val="002757A3"/>
    <w:rsid w:val="002758B8"/>
    <w:rsid w:val="00275B7D"/>
    <w:rsid w:val="002769BC"/>
    <w:rsid w:val="00276F0C"/>
    <w:rsid w:val="00277A1E"/>
    <w:rsid w:val="00277B5B"/>
    <w:rsid w:val="00277E67"/>
    <w:rsid w:val="00277F23"/>
    <w:rsid w:val="00277F49"/>
    <w:rsid w:val="002806A7"/>
    <w:rsid w:val="00280C99"/>
    <w:rsid w:val="00281083"/>
    <w:rsid w:val="002810F3"/>
    <w:rsid w:val="002815E7"/>
    <w:rsid w:val="0028189C"/>
    <w:rsid w:val="00281B0F"/>
    <w:rsid w:val="00281DD5"/>
    <w:rsid w:val="00282007"/>
    <w:rsid w:val="00282133"/>
    <w:rsid w:val="002822A9"/>
    <w:rsid w:val="002823FA"/>
    <w:rsid w:val="00282492"/>
    <w:rsid w:val="002824FA"/>
    <w:rsid w:val="0028252B"/>
    <w:rsid w:val="00282A51"/>
    <w:rsid w:val="00282B34"/>
    <w:rsid w:val="00282D34"/>
    <w:rsid w:val="00282D99"/>
    <w:rsid w:val="00282F05"/>
    <w:rsid w:val="00283E5C"/>
    <w:rsid w:val="00284223"/>
    <w:rsid w:val="00284449"/>
    <w:rsid w:val="002851F5"/>
    <w:rsid w:val="00285261"/>
    <w:rsid w:val="002856E3"/>
    <w:rsid w:val="00285782"/>
    <w:rsid w:val="00285DCC"/>
    <w:rsid w:val="00285ED4"/>
    <w:rsid w:val="002866AF"/>
    <w:rsid w:val="00286FFD"/>
    <w:rsid w:val="0028739B"/>
    <w:rsid w:val="00287849"/>
    <w:rsid w:val="00287855"/>
    <w:rsid w:val="00287D70"/>
    <w:rsid w:val="00290207"/>
    <w:rsid w:val="002904F3"/>
    <w:rsid w:val="00290DD6"/>
    <w:rsid w:val="00291106"/>
    <w:rsid w:val="0029238E"/>
    <w:rsid w:val="0029327E"/>
    <w:rsid w:val="00293BCF"/>
    <w:rsid w:val="002941AC"/>
    <w:rsid w:val="0029434C"/>
    <w:rsid w:val="0029445D"/>
    <w:rsid w:val="00294905"/>
    <w:rsid w:val="00294B09"/>
    <w:rsid w:val="00294F6C"/>
    <w:rsid w:val="00295166"/>
    <w:rsid w:val="0029594E"/>
    <w:rsid w:val="00295C36"/>
    <w:rsid w:val="002966CD"/>
    <w:rsid w:val="00296B4D"/>
    <w:rsid w:val="00296DDA"/>
    <w:rsid w:val="002970E3"/>
    <w:rsid w:val="002972DF"/>
    <w:rsid w:val="002974D2"/>
    <w:rsid w:val="002978B3"/>
    <w:rsid w:val="00297C84"/>
    <w:rsid w:val="002A08B7"/>
    <w:rsid w:val="002A097F"/>
    <w:rsid w:val="002A0B7A"/>
    <w:rsid w:val="002A0E50"/>
    <w:rsid w:val="002A1445"/>
    <w:rsid w:val="002A14F0"/>
    <w:rsid w:val="002A1B6D"/>
    <w:rsid w:val="002A1D51"/>
    <w:rsid w:val="002A1F73"/>
    <w:rsid w:val="002A31B7"/>
    <w:rsid w:val="002A419F"/>
    <w:rsid w:val="002A4339"/>
    <w:rsid w:val="002A4A97"/>
    <w:rsid w:val="002A4FBD"/>
    <w:rsid w:val="002A5164"/>
    <w:rsid w:val="002A536D"/>
    <w:rsid w:val="002A53FF"/>
    <w:rsid w:val="002A5486"/>
    <w:rsid w:val="002A553B"/>
    <w:rsid w:val="002A5DE9"/>
    <w:rsid w:val="002A6022"/>
    <w:rsid w:val="002A6125"/>
    <w:rsid w:val="002A68A1"/>
    <w:rsid w:val="002A691A"/>
    <w:rsid w:val="002A6F4F"/>
    <w:rsid w:val="002A7528"/>
    <w:rsid w:val="002A75EA"/>
    <w:rsid w:val="002A7663"/>
    <w:rsid w:val="002A7A5C"/>
    <w:rsid w:val="002A7A62"/>
    <w:rsid w:val="002A7E4D"/>
    <w:rsid w:val="002A7EB1"/>
    <w:rsid w:val="002B00BC"/>
    <w:rsid w:val="002B0167"/>
    <w:rsid w:val="002B018B"/>
    <w:rsid w:val="002B127C"/>
    <w:rsid w:val="002B135E"/>
    <w:rsid w:val="002B1473"/>
    <w:rsid w:val="002B1A1E"/>
    <w:rsid w:val="002B210E"/>
    <w:rsid w:val="002B24BC"/>
    <w:rsid w:val="002B2A96"/>
    <w:rsid w:val="002B2FBA"/>
    <w:rsid w:val="002B37B8"/>
    <w:rsid w:val="002B3AF8"/>
    <w:rsid w:val="002B3CEC"/>
    <w:rsid w:val="002B511D"/>
    <w:rsid w:val="002B555A"/>
    <w:rsid w:val="002B55AA"/>
    <w:rsid w:val="002B581B"/>
    <w:rsid w:val="002B5B1D"/>
    <w:rsid w:val="002B644D"/>
    <w:rsid w:val="002B65FC"/>
    <w:rsid w:val="002B724A"/>
    <w:rsid w:val="002B7366"/>
    <w:rsid w:val="002C0661"/>
    <w:rsid w:val="002C0897"/>
    <w:rsid w:val="002C0BB7"/>
    <w:rsid w:val="002C0CD3"/>
    <w:rsid w:val="002C1039"/>
    <w:rsid w:val="002C149D"/>
    <w:rsid w:val="002C165A"/>
    <w:rsid w:val="002C1CCE"/>
    <w:rsid w:val="002C2031"/>
    <w:rsid w:val="002C25F2"/>
    <w:rsid w:val="002C2B64"/>
    <w:rsid w:val="002C3780"/>
    <w:rsid w:val="002C39DE"/>
    <w:rsid w:val="002C3A3E"/>
    <w:rsid w:val="002C3BA0"/>
    <w:rsid w:val="002C3E89"/>
    <w:rsid w:val="002C4806"/>
    <w:rsid w:val="002C6AE6"/>
    <w:rsid w:val="002C6D2B"/>
    <w:rsid w:val="002C70B3"/>
    <w:rsid w:val="002C73C2"/>
    <w:rsid w:val="002C741E"/>
    <w:rsid w:val="002C76D8"/>
    <w:rsid w:val="002C7872"/>
    <w:rsid w:val="002C7884"/>
    <w:rsid w:val="002C78F8"/>
    <w:rsid w:val="002D11F0"/>
    <w:rsid w:val="002D1AF4"/>
    <w:rsid w:val="002D1CD4"/>
    <w:rsid w:val="002D22AF"/>
    <w:rsid w:val="002D2684"/>
    <w:rsid w:val="002D2AFB"/>
    <w:rsid w:val="002D2E43"/>
    <w:rsid w:val="002D36B6"/>
    <w:rsid w:val="002D38BB"/>
    <w:rsid w:val="002D3E6C"/>
    <w:rsid w:val="002D41F3"/>
    <w:rsid w:val="002D4732"/>
    <w:rsid w:val="002D4887"/>
    <w:rsid w:val="002D48DB"/>
    <w:rsid w:val="002D4AE8"/>
    <w:rsid w:val="002D4F40"/>
    <w:rsid w:val="002D4F99"/>
    <w:rsid w:val="002D50BC"/>
    <w:rsid w:val="002D565E"/>
    <w:rsid w:val="002D581C"/>
    <w:rsid w:val="002D599A"/>
    <w:rsid w:val="002D59A7"/>
    <w:rsid w:val="002D5A72"/>
    <w:rsid w:val="002D5D06"/>
    <w:rsid w:val="002D5E58"/>
    <w:rsid w:val="002D60ED"/>
    <w:rsid w:val="002D618F"/>
    <w:rsid w:val="002D6246"/>
    <w:rsid w:val="002D66BA"/>
    <w:rsid w:val="002D67CF"/>
    <w:rsid w:val="002D6825"/>
    <w:rsid w:val="002D6E5A"/>
    <w:rsid w:val="002D70B8"/>
    <w:rsid w:val="002D72D9"/>
    <w:rsid w:val="002D7465"/>
    <w:rsid w:val="002D7639"/>
    <w:rsid w:val="002D7B49"/>
    <w:rsid w:val="002D7C32"/>
    <w:rsid w:val="002D7D55"/>
    <w:rsid w:val="002E00C6"/>
    <w:rsid w:val="002E059C"/>
    <w:rsid w:val="002E0E85"/>
    <w:rsid w:val="002E10E1"/>
    <w:rsid w:val="002E1282"/>
    <w:rsid w:val="002E1B9E"/>
    <w:rsid w:val="002E1CC5"/>
    <w:rsid w:val="002E23FF"/>
    <w:rsid w:val="002E2D48"/>
    <w:rsid w:val="002E2D64"/>
    <w:rsid w:val="002E34C9"/>
    <w:rsid w:val="002E3BB4"/>
    <w:rsid w:val="002E3BE1"/>
    <w:rsid w:val="002E3F26"/>
    <w:rsid w:val="002E47F5"/>
    <w:rsid w:val="002E489E"/>
    <w:rsid w:val="002E49C5"/>
    <w:rsid w:val="002E4A4A"/>
    <w:rsid w:val="002E504F"/>
    <w:rsid w:val="002E5680"/>
    <w:rsid w:val="002E5749"/>
    <w:rsid w:val="002E5F8B"/>
    <w:rsid w:val="002E6010"/>
    <w:rsid w:val="002E67BD"/>
    <w:rsid w:val="002E6914"/>
    <w:rsid w:val="002E6FB2"/>
    <w:rsid w:val="002E73BA"/>
    <w:rsid w:val="002E740E"/>
    <w:rsid w:val="002E7666"/>
    <w:rsid w:val="002F09BE"/>
    <w:rsid w:val="002F0B5E"/>
    <w:rsid w:val="002F0FEB"/>
    <w:rsid w:val="002F117A"/>
    <w:rsid w:val="002F11EC"/>
    <w:rsid w:val="002F19AA"/>
    <w:rsid w:val="002F2C87"/>
    <w:rsid w:val="002F3551"/>
    <w:rsid w:val="002F3B79"/>
    <w:rsid w:val="002F3C59"/>
    <w:rsid w:val="002F3E70"/>
    <w:rsid w:val="002F437A"/>
    <w:rsid w:val="002F46EA"/>
    <w:rsid w:val="002F4E5A"/>
    <w:rsid w:val="002F53F1"/>
    <w:rsid w:val="002F6332"/>
    <w:rsid w:val="002F6CBC"/>
    <w:rsid w:val="002F7475"/>
    <w:rsid w:val="002F77EF"/>
    <w:rsid w:val="002F7A18"/>
    <w:rsid w:val="003002A6"/>
    <w:rsid w:val="00300612"/>
    <w:rsid w:val="00300BD7"/>
    <w:rsid w:val="00300D08"/>
    <w:rsid w:val="00300E34"/>
    <w:rsid w:val="003010FD"/>
    <w:rsid w:val="0030163C"/>
    <w:rsid w:val="0030165D"/>
    <w:rsid w:val="003017AE"/>
    <w:rsid w:val="0030192A"/>
    <w:rsid w:val="00302DB7"/>
    <w:rsid w:val="003030E7"/>
    <w:rsid w:val="0030312A"/>
    <w:rsid w:val="0030313A"/>
    <w:rsid w:val="003038EE"/>
    <w:rsid w:val="00303902"/>
    <w:rsid w:val="00303BC4"/>
    <w:rsid w:val="00303CFE"/>
    <w:rsid w:val="00304431"/>
    <w:rsid w:val="00304BFC"/>
    <w:rsid w:val="003053C9"/>
    <w:rsid w:val="00305535"/>
    <w:rsid w:val="00305862"/>
    <w:rsid w:val="00305FBB"/>
    <w:rsid w:val="003066AB"/>
    <w:rsid w:val="00306733"/>
    <w:rsid w:val="00306932"/>
    <w:rsid w:val="003072B1"/>
    <w:rsid w:val="00307546"/>
    <w:rsid w:val="00310481"/>
    <w:rsid w:val="00310E96"/>
    <w:rsid w:val="003112C1"/>
    <w:rsid w:val="0031189A"/>
    <w:rsid w:val="00311D2C"/>
    <w:rsid w:val="00311FBF"/>
    <w:rsid w:val="00312357"/>
    <w:rsid w:val="0031285D"/>
    <w:rsid w:val="00312AE4"/>
    <w:rsid w:val="00312BB6"/>
    <w:rsid w:val="00313244"/>
    <w:rsid w:val="003134E5"/>
    <w:rsid w:val="003138B9"/>
    <w:rsid w:val="00313DD1"/>
    <w:rsid w:val="00314422"/>
    <w:rsid w:val="00314657"/>
    <w:rsid w:val="00314ED7"/>
    <w:rsid w:val="00315207"/>
    <w:rsid w:val="00315621"/>
    <w:rsid w:val="003159F5"/>
    <w:rsid w:val="00315B52"/>
    <w:rsid w:val="003165A2"/>
    <w:rsid w:val="00316887"/>
    <w:rsid w:val="003177E3"/>
    <w:rsid w:val="00317BF5"/>
    <w:rsid w:val="003205BC"/>
    <w:rsid w:val="00320637"/>
    <w:rsid w:val="00320B67"/>
    <w:rsid w:val="00320B94"/>
    <w:rsid w:val="00320D49"/>
    <w:rsid w:val="00320DF6"/>
    <w:rsid w:val="0032136C"/>
    <w:rsid w:val="00321454"/>
    <w:rsid w:val="003220DE"/>
    <w:rsid w:val="00322501"/>
    <w:rsid w:val="00322866"/>
    <w:rsid w:val="00323388"/>
    <w:rsid w:val="003237EE"/>
    <w:rsid w:val="00323961"/>
    <w:rsid w:val="00323CEC"/>
    <w:rsid w:val="00323DE0"/>
    <w:rsid w:val="00324741"/>
    <w:rsid w:val="00324BC8"/>
    <w:rsid w:val="00324FB0"/>
    <w:rsid w:val="0032540E"/>
    <w:rsid w:val="0032555D"/>
    <w:rsid w:val="00325561"/>
    <w:rsid w:val="00325953"/>
    <w:rsid w:val="00325CC9"/>
    <w:rsid w:val="00325FA1"/>
    <w:rsid w:val="003264D9"/>
    <w:rsid w:val="00326908"/>
    <w:rsid w:val="0032690D"/>
    <w:rsid w:val="00326A07"/>
    <w:rsid w:val="00326B80"/>
    <w:rsid w:val="0032705A"/>
    <w:rsid w:val="00327148"/>
    <w:rsid w:val="0032732E"/>
    <w:rsid w:val="003274F6"/>
    <w:rsid w:val="003275C9"/>
    <w:rsid w:val="00327A63"/>
    <w:rsid w:val="00330027"/>
    <w:rsid w:val="003306CF"/>
    <w:rsid w:val="00330837"/>
    <w:rsid w:val="00330E13"/>
    <w:rsid w:val="00330F48"/>
    <w:rsid w:val="00331023"/>
    <w:rsid w:val="00332894"/>
    <w:rsid w:val="003329A8"/>
    <w:rsid w:val="00333282"/>
    <w:rsid w:val="0033367B"/>
    <w:rsid w:val="0033383D"/>
    <w:rsid w:val="00333993"/>
    <w:rsid w:val="00333AE7"/>
    <w:rsid w:val="00334223"/>
    <w:rsid w:val="003345F5"/>
    <w:rsid w:val="003351DB"/>
    <w:rsid w:val="00335857"/>
    <w:rsid w:val="00335E20"/>
    <w:rsid w:val="00336351"/>
    <w:rsid w:val="00336740"/>
    <w:rsid w:val="0033686A"/>
    <w:rsid w:val="00336918"/>
    <w:rsid w:val="00336BD6"/>
    <w:rsid w:val="003371D3"/>
    <w:rsid w:val="00337239"/>
    <w:rsid w:val="00337335"/>
    <w:rsid w:val="00337F58"/>
    <w:rsid w:val="00340457"/>
    <w:rsid w:val="00340741"/>
    <w:rsid w:val="00340830"/>
    <w:rsid w:val="00340D9E"/>
    <w:rsid w:val="00340F8B"/>
    <w:rsid w:val="00341766"/>
    <w:rsid w:val="00341C9D"/>
    <w:rsid w:val="00341EB1"/>
    <w:rsid w:val="00341F98"/>
    <w:rsid w:val="00342052"/>
    <w:rsid w:val="003422A7"/>
    <w:rsid w:val="003422C3"/>
    <w:rsid w:val="00342770"/>
    <w:rsid w:val="00342C6B"/>
    <w:rsid w:val="0034382A"/>
    <w:rsid w:val="00344655"/>
    <w:rsid w:val="00344666"/>
    <w:rsid w:val="0034467D"/>
    <w:rsid w:val="00345208"/>
    <w:rsid w:val="00345579"/>
    <w:rsid w:val="0034563E"/>
    <w:rsid w:val="00345CA5"/>
    <w:rsid w:val="00345EB3"/>
    <w:rsid w:val="00346D51"/>
    <w:rsid w:val="003470B3"/>
    <w:rsid w:val="0034723F"/>
    <w:rsid w:val="00347309"/>
    <w:rsid w:val="00347872"/>
    <w:rsid w:val="0034799A"/>
    <w:rsid w:val="00347ADC"/>
    <w:rsid w:val="00347E3F"/>
    <w:rsid w:val="0035011C"/>
    <w:rsid w:val="00350196"/>
    <w:rsid w:val="003503E8"/>
    <w:rsid w:val="00350436"/>
    <w:rsid w:val="003506D0"/>
    <w:rsid w:val="003509A8"/>
    <w:rsid w:val="00350F7B"/>
    <w:rsid w:val="0035105F"/>
    <w:rsid w:val="003517D8"/>
    <w:rsid w:val="0035191E"/>
    <w:rsid w:val="00351C7D"/>
    <w:rsid w:val="00351F25"/>
    <w:rsid w:val="003522F3"/>
    <w:rsid w:val="00352634"/>
    <w:rsid w:val="00352B65"/>
    <w:rsid w:val="00352E7E"/>
    <w:rsid w:val="00352F04"/>
    <w:rsid w:val="00353254"/>
    <w:rsid w:val="00353285"/>
    <w:rsid w:val="003533CF"/>
    <w:rsid w:val="003534B3"/>
    <w:rsid w:val="00353A7E"/>
    <w:rsid w:val="00353BCA"/>
    <w:rsid w:val="00353C6F"/>
    <w:rsid w:val="00354B09"/>
    <w:rsid w:val="0035572D"/>
    <w:rsid w:val="0035622C"/>
    <w:rsid w:val="0035742E"/>
    <w:rsid w:val="00357919"/>
    <w:rsid w:val="00357CE1"/>
    <w:rsid w:val="003600E1"/>
    <w:rsid w:val="003603B9"/>
    <w:rsid w:val="0036108E"/>
    <w:rsid w:val="003614CB"/>
    <w:rsid w:val="003614D6"/>
    <w:rsid w:val="00361909"/>
    <w:rsid w:val="00361976"/>
    <w:rsid w:val="00361D58"/>
    <w:rsid w:val="00362060"/>
    <w:rsid w:val="00362930"/>
    <w:rsid w:val="0036348B"/>
    <w:rsid w:val="003634C6"/>
    <w:rsid w:val="00363A5D"/>
    <w:rsid w:val="00363B5F"/>
    <w:rsid w:val="00363E51"/>
    <w:rsid w:val="00363EE2"/>
    <w:rsid w:val="00364444"/>
    <w:rsid w:val="00364DC3"/>
    <w:rsid w:val="00364E67"/>
    <w:rsid w:val="0036522D"/>
    <w:rsid w:val="003657D4"/>
    <w:rsid w:val="003660D7"/>
    <w:rsid w:val="00366421"/>
    <w:rsid w:val="003679CB"/>
    <w:rsid w:val="00367F8E"/>
    <w:rsid w:val="003701E4"/>
    <w:rsid w:val="003702FD"/>
    <w:rsid w:val="003704C5"/>
    <w:rsid w:val="00370A9B"/>
    <w:rsid w:val="00370B95"/>
    <w:rsid w:val="00370C4F"/>
    <w:rsid w:val="00370C7E"/>
    <w:rsid w:val="00370C8B"/>
    <w:rsid w:val="0037112B"/>
    <w:rsid w:val="00371427"/>
    <w:rsid w:val="00371590"/>
    <w:rsid w:val="0037160E"/>
    <w:rsid w:val="00371942"/>
    <w:rsid w:val="00371D5B"/>
    <w:rsid w:val="0037244A"/>
    <w:rsid w:val="0037247B"/>
    <w:rsid w:val="0037256F"/>
    <w:rsid w:val="003728FC"/>
    <w:rsid w:val="00372A47"/>
    <w:rsid w:val="00373233"/>
    <w:rsid w:val="003734C9"/>
    <w:rsid w:val="00373847"/>
    <w:rsid w:val="0037384A"/>
    <w:rsid w:val="00373C56"/>
    <w:rsid w:val="003744E1"/>
    <w:rsid w:val="00374BC1"/>
    <w:rsid w:val="00374C14"/>
    <w:rsid w:val="00374CC3"/>
    <w:rsid w:val="00375613"/>
    <w:rsid w:val="003764C1"/>
    <w:rsid w:val="003764D3"/>
    <w:rsid w:val="003767B8"/>
    <w:rsid w:val="00376872"/>
    <w:rsid w:val="0037688A"/>
    <w:rsid w:val="00377E96"/>
    <w:rsid w:val="00380577"/>
    <w:rsid w:val="0038077E"/>
    <w:rsid w:val="00380C84"/>
    <w:rsid w:val="003810B4"/>
    <w:rsid w:val="00381705"/>
    <w:rsid w:val="00381A76"/>
    <w:rsid w:val="00382ED2"/>
    <w:rsid w:val="003830DF"/>
    <w:rsid w:val="00383768"/>
    <w:rsid w:val="00383802"/>
    <w:rsid w:val="00383F5F"/>
    <w:rsid w:val="00384169"/>
    <w:rsid w:val="00384383"/>
    <w:rsid w:val="00384B7C"/>
    <w:rsid w:val="003856F1"/>
    <w:rsid w:val="003857CA"/>
    <w:rsid w:val="00385F40"/>
    <w:rsid w:val="00386234"/>
    <w:rsid w:val="0038704C"/>
    <w:rsid w:val="00387342"/>
    <w:rsid w:val="003873B3"/>
    <w:rsid w:val="003874D2"/>
    <w:rsid w:val="0038799A"/>
    <w:rsid w:val="003879C5"/>
    <w:rsid w:val="00387A4A"/>
    <w:rsid w:val="00387A4D"/>
    <w:rsid w:val="00387DEB"/>
    <w:rsid w:val="00390B3F"/>
    <w:rsid w:val="00390D55"/>
    <w:rsid w:val="00391411"/>
    <w:rsid w:val="003917E2"/>
    <w:rsid w:val="00392712"/>
    <w:rsid w:val="00393374"/>
    <w:rsid w:val="003933D9"/>
    <w:rsid w:val="00393B4C"/>
    <w:rsid w:val="003941BF"/>
    <w:rsid w:val="00394A94"/>
    <w:rsid w:val="003955F5"/>
    <w:rsid w:val="00396253"/>
    <w:rsid w:val="00396703"/>
    <w:rsid w:val="00396756"/>
    <w:rsid w:val="00396B2B"/>
    <w:rsid w:val="00396D8F"/>
    <w:rsid w:val="00396DB4"/>
    <w:rsid w:val="00397346"/>
    <w:rsid w:val="00397B17"/>
    <w:rsid w:val="003A01FE"/>
    <w:rsid w:val="003A0C1D"/>
    <w:rsid w:val="003A0D6B"/>
    <w:rsid w:val="003A0DB3"/>
    <w:rsid w:val="003A12C1"/>
    <w:rsid w:val="003A1962"/>
    <w:rsid w:val="003A1DC3"/>
    <w:rsid w:val="003A1EA1"/>
    <w:rsid w:val="003A1F67"/>
    <w:rsid w:val="003A2471"/>
    <w:rsid w:val="003A24B4"/>
    <w:rsid w:val="003A263B"/>
    <w:rsid w:val="003A2754"/>
    <w:rsid w:val="003A2A5B"/>
    <w:rsid w:val="003A2CB4"/>
    <w:rsid w:val="003A2D12"/>
    <w:rsid w:val="003A2D24"/>
    <w:rsid w:val="003A37AE"/>
    <w:rsid w:val="003A53FC"/>
    <w:rsid w:val="003A5505"/>
    <w:rsid w:val="003A5B28"/>
    <w:rsid w:val="003A649F"/>
    <w:rsid w:val="003A6693"/>
    <w:rsid w:val="003A6963"/>
    <w:rsid w:val="003A6DC5"/>
    <w:rsid w:val="003A6E3F"/>
    <w:rsid w:val="003A70F2"/>
    <w:rsid w:val="003A73A0"/>
    <w:rsid w:val="003A792A"/>
    <w:rsid w:val="003B1391"/>
    <w:rsid w:val="003B18E3"/>
    <w:rsid w:val="003B1989"/>
    <w:rsid w:val="003B1C2E"/>
    <w:rsid w:val="003B1F67"/>
    <w:rsid w:val="003B217D"/>
    <w:rsid w:val="003B21D1"/>
    <w:rsid w:val="003B236C"/>
    <w:rsid w:val="003B26AF"/>
    <w:rsid w:val="003B2AD0"/>
    <w:rsid w:val="003B2D5F"/>
    <w:rsid w:val="003B2EF6"/>
    <w:rsid w:val="003B3821"/>
    <w:rsid w:val="003B3B38"/>
    <w:rsid w:val="003B3D6E"/>
    <w:rsid w:val="003B3DB8"/>
    <w:rsid w:val="003B4033"/>
    <w:rsid w:val="003B49E9"/>
    <w:rsid w:val="003B52F2"/>
    <w:rsid w:val="003B5580"/>
    <w:rsid w:val="003B580E"/>
    <w:rsid w:val="003B5E8F"/>
    <w:rsid w:val="003B5FDA"/>
    <w:rsid w:val="003B6159"/>
    <w:rsid w:val="003B6F60"/>
    <w:rsid w:val="003B7870"/>
    <w:rsid w:val="003B78A4"/>
    <w:rsid w:val="003B78F8"/>
    <w:rsid w:val="003C07CA"/>
    <w:rsid w:val="003C09E0"/>
    <w:rsid w:val="003C123C"/>
    <w:rsid w:val="003C1354"/>
    <w:rsid w:val="003C1AF8"/>
    <w:rsid w:val="003C1D8B"/>
    <w:rsid w:val="003C1E45"/>
    <w:rsid w:val="003C224A"/>
    <w:rsid w:val="003C2BCF"/>
    <w:rsid w:val="003C2C19"/>
    <w:rsid w:val="003C2D8F"/>
    <w:rsid w:val="003C3369"/>
    <w:rsid w:val="003C3B7C"/>
    <w:rsid w:val="003C483F"/>
    <w:rsid w:val="003C4B38"/>
    <w:rsid w:val="003C53AA"/>
    <w:rsid w:val="003C53C0"/>
    <w:rsid w:val="003C5836"/>
    <w:rsid w:val="003C5B50"/>
    <w:rsid w:val="003C5CD9"/>
    <w:rsid w:val="003C6271"/>
    <w:rsid w:val="003C66B9"/>
    <w:rsid w:val="003C6D65"/>
    <w:rsid w:val="003C7336"/>
    <w:rsid w:val="003C7D14"/>
    <w:rsid w:val="003D0C0B"/>
    <w:rsid w:val="003D0CB7"/>
    <w:rsid w:val="003D0EF0"/>
    <w:rsid w:val="003D10E0"/>
    <w:rsid w:val="003D13D4"/>
    <w:rsid w:val="003D1D0B"/>
    <w:rsid w:val="003D2253"/>
    <w:rsid w:val="003D2700"/>
    <w:rsid w:val="003D2EFA"/>
    <w:rsid w:val="003D3B25"/>
    <w:rsid w:val="003D4724"/>
    <w:rsid w:val="003D47B4"/>
    <w:rsid w:val="003D4B6C"/>
    <w:rsid w:val="003D4CA3"/>
    <w:rsid w:val="003D52E5"/>
    <w:rsid w:val="003D5CFB"/>
    <w:rsid w:val="003D5EE7"/>
    <w:rsid w:val="003D635D"/>
    <w:rsid w:val="003D6C5B"/>
    <w:rsid w:val="003D6E3B"/>
    <w:rsid w:val="003D6F07"/>
    <w:rsid w:val="003D6FE7"/>
    <w:rsid w:val="003D7568"/>
    <w:rsid w:val="003D769F"/>
    <w:rsid w:val="003D7762"/>
    <w:rsid w:val="003D786A"/>
    <w:rsid w:val="003D7A4D"/>
    <w:rsid w:val="003E0CEF"/>
    <w:rsid w:val="003E12F6"/>
    <w:rsid w:val="003E18D5"/>
    <w:rsid w:val="003E1EF7"/>
    <w:rsid w:val="003E2157"/>
    <w:rsid w:val="003E2B47"/>
    <w:rsid w:val="003E2D9C"/>
    <w:rsid w:val="003E3A48"/>
    <w:rsid w:val="003E3BD6"/>
    <w:rsid w:val="003E3DE2"/>
    <w:rsid w:val="003E41A6"/>
    <w:rsid w:val="003E4238"/>
    <w:rsid w:val="003E497B"/>
    <w:rsid w:val="003E4AD4"/>
    <w:rsid w:val="003E55C4"/>
    <w:rsid w:val="003E577C"/>
    <w:rsid w:val="003E59FB"/>
    <w:rsid w:val="003E5AFE"/>
    <w:rsid w:val="003E6307"/>
    <w:rsid w:val="003E7351"/>
    <w:rsid w:val="003E7E43"/>
    <w:rsid w:val="003E7F73"/>
    <w:rsid w:val="003F0ECF"/>
    <w:rsid w:val="003F1B55"/>
    <w:rsid w:val="003F1CE7"/>
    <w:rsid w:val="003F1F11"/>
    <w:rsid w:val="003F24EC"/>
    <w:rsid w:val="003F2F06"/>
    <w:rsid w:val="003F3B82"/>
    <w:rsid w:val="003F413B"/>
    <w:rsid w:val="003F44EC"/>
    <w:rsid w:val="003F4B5B"/>
    <w:rsid w:val="003F4E2F"/>
    <w:rsid w:val="003F4E8A"/>
    <w:rsid w:val="003F4FD1"/>
    <w:rsid w:val="003F58E2"/>
    <w:rsid w:val="003F5FEF"/>
    <w:rsid w:val="003F6283"/>
    <w:rsid w:val="003F655A"/>
    <w:rsid w:val="003F65D6"/>
    <w:rsid w:val="003F6AE0"/>
    <w:rsid w:val="003F6BA3"/>
    <w:rsid w:val="003F6E5F"/>
    <w:rsid w:val="003F6FD2"/>
    <w:rsid w:val="003F738F"/>
    <w:rsid w:val="003F743F"/>
    <w:rsid w:val="003F745D"/>
    <w:rsid w:val="003F7A1D"/>
    <w:rsid w:val="003F7A58"/>
    <w:rsid w:val="003F7E82"/>
    <w:rsid w:val="004001D4"/>
    <w:rsid w:val="00400336"/>
    <w:rsid w:val="00400DEA"/>
    <w:rsid w:val="004016F7"/>
    <w:rsid w:val="0040178F"/>
    <w:rsid w:val="00401E46"/>
    <w:rsid w:val="004023D7"/>
    <w:rsid w:val="004027AD"/>
    <w:rsid w:val="00402CED"/>
    <w:rsid w:val="00402F6E"/>
    <w:rsid w:val="004034E4"/>
    <w:rsid w:val="00403C72"/>
    <w:rsid w:val="00403E9E"/>
    <w:rsid w:val="004040E4"/>
    <w:rsid w:val="00404377"/>
    <w:rsid w:val="004050AB"/>
    <w:rsid w:val="0040541B"/>
    <w:rsid w:val="004054EC"/>
    <w:rsid w:val="004056ED"/>
    <w:rsid w:val="004059C5"/>
    <w:rsid w:val="00405D4F"/>
    <w:rsid w:val="00405FC0"/>
    <w:rsid w:val="004065BD"/>
    <w:rsid w:val="004065DD"/>
    <w:rsid w:val="004065F4"/>
    <w:rsid w:val="0040675C"/>
    <w:rsid w:val="00406851"/>
    <w:rsid w:val="00406960"/>
    <w:rsid w:val="004074F6"/>
    <w:rsid w:val="00407BF0"/>
    <w:rsid w:val="00407C59"/>
    <w:rsid w:val="0041106F"/>
    <w:rsid w:val="0041159D"/>
    <w:rsid w:val="0041175D"/>
    <w:rsid w:val="00411B11"/>
    <w:rsid w:val="00411BDD"/>
    <w:rsid w:val="00411E4A"/>
    <w:rsid w:val="00412AD9"/>
    <w:rsid w:val="00412E75"/>
    <w:rsid w:val="00413CFD"/>
    <w:rsid w:val="004143F2"/>
    <w:rsid w:val="004145B5"/>
    <w:rsid w:val="0041488C"/>
    <w:rsid w:val="00414DAD"/>
    <w:rsid w:val="00414E51"/>
    <w:rsid w:val="00414FC2"/>
    <w:rsid w:val="004157B7"/>
    <w:rsid w:val="004158EF"/>
    <w:rsid w:val="00416212"/>
    <w:rsid w:val="0041642B"/>
    <w:rsid w:val="00416B8A"/>
    <w:rsid w:val="00416BF2"/>
    <w:rsid w:val="00416E7E"/>
    <w:rsid w:val="00416F20"/>
    <w:rsid w:val="00416FFA"/>
    <w:rsid w:val="004172CE"/>
    <w:rsid w:val="004179E3"/>
    <w:rsid w:val="00417AF7"/>
    <w:rsid w:val="00417CB2"/>
    <w:rsid w:val="00420425"/>
    <w:rsid w:val="00420615"/>
    <w:rsid w:val="0042066D"/>
    <w:rsid w:val="0042066F"/>
    <w:rsid w:val="00420DB4"/>
    <w:rsid w:val="00420EC8"/>
    <w:rsid w:val="004211B1"/>
    <w:rsid w:val="00421234"/>
    <w:rsid w:val="004213CF"/>
    <w:rsid w:val="004214D0"/>
    <w:rsid w:val="0042194B"/>
    <w:rsid w:val="00422391"/>
    <w:rsid w:val="004223F6"/>
    <w:rsid w:val="00422C48"/>
    <w:rsid w:val="00422EB6"/>
    <w:rsid w:val="00422F7F"/>
    <w:rsid w:val="00423937"/>
    <w:rsid w:val="00423BA8"/>
    <w:rsid w:val="00424A17"/>
    <w:rsid w:val="00425035"/>
    <w:rsid w:val="0042507F"/>
    <w:rsid w:val="0042570D"/>
    <w:rsid w:val="00425E33"/>
    <w:rsid w:val="00425F68"/>
    <w:rsid w:val="00425F8A"/>
    <w:rsid w:val="0042612F"/>
    <w:rsid w:val="0042620D"/>
    <w:rsid w:val="00426DEC"/>
    <w:rsid w:val="004275F8"/>
    <w:rsid w:val="00427B15"/>
    <w:rsid w:val="00427FB9"/>
    <w:rsid w:val="0043007E"/>
    <w:rsid w:val="004302E3"/>
    <w:rsid w:val="0043065A"/>
    <w:rsid w:val="004306B2"/>
    <w:rsid w:val="00430787"/>
    <w:rsid w:val="004307CC"/>
    <w:rsid w:val="00430929"/>
    <w:rsid w:val="00430B67"/>
    <w:rsid w:val="0043122B"/>
    <w:rsid w:val="00431666"/>
    <w:rsid w:val="00431AB0"/>
    <w:rsid w:val="004333DC"/>
    <w:rsid w:val="00433BC1"/>
    <w:rsid w:val="00433D96"/>
    <w:rsid w:val="00434559"/>
    <w:rsid w:val="00434931"/>
    <w:rsid w:val="0043493C"/>
    <w:rsid w:val="00434AD7"/>
    <w:rsid w:val="00435351"/>
    <w:rsid w:val="004359AF"/>
    <w:rsid w:val="00435AD1"/>
    <w:rsid w:val="00435C34"/>
    <w:rsid w:val="00435DDC"/>
    <w:rsid w:val="00435E71"/>
    <w:rsid w:val="0043608E"/>
    <w:rsid w:val="00436580"/>
    <w:rsid w:val="004368A5"/>
    <w:rsid w:val="00436BC2"/>
    <w:rsid w:val="0043756E"/>
    <w:rsid w:val="004377C5"/>
    <w:rsid w:val="00437C39"/>
    <w:rsid w:val="00437CE9"/>
    <w:rsid w:val="00437E66"/>
    <w:rsid w:val="004410FC"/>
    <w:rsid w:val="004417CC"/>
    <w:rsid w:val="00442423"/>
    <w:rsid w:val="00442C9E"/>
    <w:rsid w:val="00442EE0"/>
    <w:rsid w:val="00442FF8"/>
    <w:rsid w:val="00444642"/>
    <w:rsid w:val="0044480D"/>
    <w:rsid w:val="004456D3"/>
    <w:rsid w:val="00445CDE"/>
    <w:rsid w:val="00446112"/>
    <w:rsid w:val="004461CB"/>
    <w:rsid w:val="00446C8A"/>
    <w:rsid w:val="00446F85"/>
    <w:rsid w:val="0044704C"/>
    <w:rsid w:val="00450ED0"/>
    <w:rsid w:val="00450F10"/>
    <w:rsid w:val="0045138C"/>
    <w:rsid w:val="004516A1"/>
    <w:rsid w:val="00451724"/>
    <w:rsid w:val="00451D25"/>
    <w:rsid w:val="00451D4B"/>
    <w:rsid w:val="004520EB"/>
    <w:rsid w:val="00452B69"/>
    <w:rsid w:val="00452C71"/>
    <w:rsid w:val="00453166"/>
    <w:rsid w:val="0045382C"/>
    <w:rsid w:val="00453D9F"/>
    <w:rsid w:val="00454733"/>
    <w:rsid w:val="00454CAD"/>
    <w:rsid w:val="00455154"/>
    <w:rsid w:val="004555AF"/>
    <w:rsid w:val="00455B24"/>
    <w:rsid w:val="00455CB4"/>
    <w:rsid w:val="00455EAF"/>
    <w:rsid w:val="00455F07"/>
    <w:rsid w:val="0045642B"/>
    <w:rsid w:val="004564D1"/>
    <w:rsid w:val="00456C68"/>
    <w:rsid w:val="00456E1D"/>
    <w:rsid w:val="0045709A"/>
    <w:rsid w:val="004577EA"/>
    <w:rsid w:val="00457DDB"/>
    <w:rsid w:val="004600F1"/>
    <w:rsid w:val="00460186"/>
    <w:rsid w:val="00460A92"/>
    <w:rsid w:val="00460CCF"/>
    <w:rsid w:val="00460FDF"/>
    <w:rsid w:val="0046165C"/>
    <w:rsid w:val="00461D19"/>
    <w:rsid w:val="00461EA4"/>
    <w:rsid w:val="004622F6"/>
    <w:rsid w:val="00462416"/>
    <w:rsid w:val="00462C97"/>
    <w:rsid w:val="00463433"/>
    <w:rsid w:val="00464382"/>
    <w:rsid w:val="0046465B"/>
    <w:rsid w:val="00464A76"/>
    <w:rsid w:val="00464B19"/>
    <w:rsid w:val="00464B77"/>
    <w:rsid w:val="00464CE8"/>
    <w:rsid w:val="00464E01"/>
    <w:rsid w:val="004650F4"/>
    <w:rsid w:val="0046524E"/>
    <w:rsid w:val="0046544B"/>
    <w:rsid w:val="004659A8"/>
    <w:rsid w:val="00465E8D"/>
    <w:rsid w:val="00466327"/>
    <w:rsid w:val="0046661A"/>
    <w:rsid w:val="00466C0E"/>
    <w:rsid w:val="00466E14"/>
    <w:rsid w:val="0046744F"/>
    <w:rsid w:val="0046756A"/>
    <w:rsid w:val="0046774C"/>
    <w:rsid w:val="004679E0"/>
    <w:rsid w:val="0047005F"/>
    <w:rsid w:val="00470603"/>
    <w:rsid w:val="00470624"/>
    <w:rsid w:val="004706D8"/>
    <w:rsid w:val="004715DC"/>
    <w:rsid w:val="004718C4"/>
    <w:rsid w:val="00471AA6"/>
    <w:rsid w:val="00471C9B"/>
    <w:rsid w:val="00472417"/>
    <w:rsid w:val="00472ABD"/>
    <w:rsid w:val="00472EE6"/>
    <w:rsid w:val="00473195"/>
    <w:rsid w:val="004735FE"/>
    <w:rsid w:val="004737DE"/>
    <w:rsid w:val="00473FDB"/>
    <w:rsid w:val="00474B94"/>
    <w:rsid w:val="00474C14"/>
    <w:rsid w:val="0047507B"/>
    <w:rsid w:val="004754ED"/>
    <w:rsid w:val="004761FE"/>
    <w:rsid w:val="0047640C"/>
    <w:rsid w:val="00477A2A"/>
    <w:rsid w:val="00480064"/>
    <w:rsid w:val="00480AFA"/>
    <w:rsid w:val="004814BF"/>
    <w:rsid w:val="00481E2F"/>
    <w:rsid w:val="0048222E"/>
    <w:rsid w:val="00482C2E"/>
    <w:rsid w:val="004830C8"/>
    <w:rsid w:val="004832E5"/>
    <w:rsid w:val="004836B2"/>
    <w:rsid w:val="00483820"/>
    <w:rsid w:val="00483942"/>
    <w:rsid w:val="004839E4"/>
    <w:rsid w:val="004840F6"/>
    <w:rsid w:val="00484DEE"/>
    <w:rsid w:val="004859D9"/>
    <w:rsid w:val="00485DC0"/>
    <w:rsid w:val="00485ECD"/>
    <w:rsid w:val="004869AB"/>
    <w:rsid w:val="00487304"/>
    <w:rsid w:val="0048747E"/>
    <w:rsid w:val="004875F8"/>
    <w:rsid w:val="00487E3B"/>
    <w:rsid w:val="004908C6"/>
    <w:rsid w:val="00490B75"/>
    <w:rsid w:val="00490FFF"/>
    <w:rsid w:val="00491E25"/>
    <w:rsid w:val="00492B87"/>
    <w:rsid w:val="00492CEA"/>
    <w:rsid w:val="00492D07"/>
    <w:rsid w:val="00493A7E"/>
    <w:rsid w:val="004945FF"/>
    <w:rsid w:val="00495771"/>
    <w:rsid w:val="00495E6A"/>
    <w:rsid w:val="00496109"/>
    <w:rsid w:val="00496653"/>
    <w:rsid w:val="00496768"/>
    <w:rsid w:val="00496874"/>
    <w:rsid w:val="00496A95"/>
    <w:rsid w:val="00496A99"/>
    <w:rsid w:val="00496D13"/>
    <w:rsid w:val="00496DED"/>
    <w:rsid w:val="00497B03"/>
    <w:rsid w:val="00497C55"/>
    <w:rsid w:val="00497CB1"/>
    <w:rsid w:val="004A020B"/>
    <w:rsid w:val="004A0446"/>
    <w:rsid w:val="004A098B"/>
    <w:rsid w:val="004A0E49"/>
    <w:rsid w:val="004A0EC1"/>
    <w:rsid w:val="004A1044"/>
    <w:rsid w:val="004A1234"/>
    <w:rsid w:val="004A1C80"/>
    <w:rsid w:val="004A2234"/>
    <w:rsid w:val="004A2EDE"/>
    <w:rsid w:val="004A3114"/>
    <w:rsid w:val="004A383B"/>
    <w:rsid w:val="004A3A73"/>
    <w:rsid w:val="004A3CB6"/>
    <w:rsid w:val="004A4092"/>
    <w:rsid w:val="004A48CD"/>
    <w:rsid w:val="004A52CB"/>
    <w:rsid w:val="004A5AFB"/>
    <w:rsid w:val="004A5CC9"/>
    <w:rsid w:val="004A5CFA"/>
    <w:rsid w:val="004A677B"/>
    <w:rsid w:val="004A6964"/>
    <w:rsid w:val="004A6C11"/>
    <w:rsid w:val="004A769C"/>
    <w:rsid w:val="004A79C5"/>
    <w:rsid w:val="004A7ED2"/>
    <w:rsid w:val="004A7F45"/>
    <w:rsid w:val="004B04AA"/>
    <w:rsid w:val="004B0839"/>
    <w:rsid w:val="004B0C70"/>
    <w:rsid w:val="004B1802"/>
    <w:rsid w:val="004B1E1A"/>
    <w:rsid w:val="004B2F44"/>
    <w:rsid w:val="004B38CB"/>
    <w:rsid w:val="004B419E"/>
    <w:rsid w:val="004B4263"/>
    <w:rsid w:val="004B431D"/>
    <w:rsid w:val="004B5129"/>
    <w:rsid w:val="004B5449"/>
    <w:rsid w:val="004B55CD"/>
    <w:rsid w:val="004B6089"/>
    <w:rsid w:val="004B62B4"/>
    <w:rsid w:val="004B7204"/>
    <w:rsid w:val="004B72E9"/>
    <w:rsid w:val="004B7509"/>
    <w:rsid w:val="004B7F9A"/>
    <w:rsid w:val="004C0092"/>
    <w:rsid w:val="004C046B"/>
    <w:rsid w:val="004C083A"/>
    <w:rsid w:val="004C0A3A"/>
    <w:rsid w:val="004C15D0"/>
    <w:rsid w:val="004C1910"/>
    <w:rsid w:val="004C27F3"/>
    <w:rsid w:val="004C28F8"/>
    <w:rsid w:val="004C2E05"/>
    <w:rsid w:val="004C37EE"/>
    <w:rsid w:val="004C42E1"/>
    <w:rsid w:val="004C4855"/>
    <w:rsid w:val="004C594D"/>
    <w:rsid w:val="004C5ED8"/>
    <w:rsid w:val="004C6125"/>
    <w:rsid w:val="004C6A0A"/>
    <w:rsid w:val="004C7370"/>
    <w:rsid w:val="004C7A4D"/>
    <w:rsid w:val="004D00E3"/>
    <w:rsid w:val="004D0587"/>
    <w:rsid w:val="004D09D5"/>
    <w:rsid w:val="004D0AC7"/>
    <w:rsid w:val="004D1233"/>
    <w:rsid w:val="004D1328"/>
    <w:rsid w:val="004D13B5"/>
    <w:rsid w:val="004D2130"/>
    <w:rsid w:val="004D22B1"/>
    <w:rsid w:val="004D267C"/>
    <w:rsid w:val="004D2D79"/>
    <w:rsid w:val="004D3C22"/>
    <w:rsid w:val="004D4589"/>
    <w:rsid w:val="004D49C7"/>
    <w:rsid w:val="004D4AE9"/>
    <w:rsid w:val="004D4BA8"/>
    <w:rsid w:val="004D5CEB"/>
    <w:rsid w:val="004D642E"/>
    <w:rsid w:val="004D6BBF"/>
    <w:rsid w:val="004D6D03"/>
    <w:rsid w:val="004E0562"/>
    <w:rsid w:val="004E07C2"/>
    <w:rsid w:val="004E0868"/>
    <w:rsid w:val="004E0AE3"/>
    <w:rsid w:val="004E0B7F"/>
    <w:rsid w:val="004E11E8"/>
    <w:rsid w:val="004E25ED"/>
    <w:rsid w:val="004E25F4"/>
    <w:rsid w:val="004E264C"/>
    <w:rsid w:val="004E285C"/>
    <w:rsid w:val="004E30D4"/>
    <w:rsid w:val="004E3296"/>
    <w:rsid w:val="004E32FF"/>
    <w:rsid w:val="004E3B5B"/>
    <w:rsid w:val="004E3D09"/>
    <w:rsid w:val="004E436A"/>
    <w:rsid w:val="004E4A46"/>
    <w:rsid w:val="004E4DDC"/>
    <w:rsid w:val="004E5209"/>
    <w:rsid w:val="004E54C4"/>
    <w:rsid w:val="004E552B"/>
    <w:rsid w:val="004E55DE"/>
    <w:rsid w:val="004E5BE9"/>
    <w:rsid w:val="004E6482"/>
    <w:rsid w:val="004E6706"/>
    <w:rsid w:val="004E68C7"/>
    <w:rsid w:val="004E691C"/>
    <w:rsid w:val="004E6DE9"/>
    <w:rsid w:val="004E6FDA"/>
    <w:rsid w:val="004E71A4"/>
    <w:rsid w:val="004E71E1"/>
    <w:rsid w:val="004E75AA"/>
    <w:rsid w:val="004F017F"/>
    <w:rsid w:val="004F0535"/>
    <w:rsid w:val="004F06E4"/>
    <w:rsid w:val="004F154A"/>
    <w:rsid w:val="004F1ECF"/>
    <w:rsid w:val="004F2111"/>
    <w:rsid w:val="004F247E"/>
    <w:rsid w:val="004F282D"/>
    <w:rsid w:val="004F28C0"/>
    <w:rsid w:val="004F2B25"/>
    <w:rsid w:val="004F2CF3"/>
    <w:rsid w:val="004F32CA"/>
    <w:rsid w:val="004F34AB"/>
    <w:rsid w:val="004F393E"/>
    <w:rsid w:val="004F3EF7"/>
    <w:rsid w:val="004F4E24"/>
    <w:rsid w:val="004F5139"/>
    <w:rsid w:val="004F5886"/>
    <w:rsid w:val="004F5AF6"/>
    <w:rsid w:val="004F5BAF"/>
    <w:rsid w:val="004F5C9E"/>
    <w:rsid w:val="004F5FC1"/>
    <w:rsid w:val="004F64AF"/>
    <w:rsid w:val="004F67B6"/>
    <w:rsid w:val="004F6D52"/>
    <w:rsid w:val="004F6D82"/>
    <w:rsid w:val="004F71BE"/>
    <w:rsid w:val="004F742C"/>
    <w:rsid w:val="004F7C16"/>
    <w:rsid w:val="0050041C"/>
    <w:rsid w:val="005010E8"/>
    <w:rsid w:val="005012E2"/>
    <w:rsid w:val="0050147B"/>
    <w:rsid w:val="00501570"/>
    <w:rsid w:val="00501E0A"/>
    <w:rsid w:val="005028F3"/>
    <w:rsid w:val="005029D4"/>
    <w:rsid w:val="0050319E"/>
    <w:rsid w:val="00503486"/>
    <w:rsid w:val="0050356E"/>
    <w:rsid w:val="005036BB"/>
    <w:rsid w:val="00503AB5"/>
    <w:rsid w:val="005040E9"/>
    <w:rsid w:val="005042CB"/>
    <w:rsid w:val="00504503"/>
    <w:rsid w:val="005045A5"/>
    <w:rsid w:val="005046B7"/>
    <w:rsid w:val="005047F9"/>
    <w:rsid w:val="00504DD3"/>
    <w:rsid w:val="005057D4"/>
    <w:rsid w:val="0050591C"/>
    <w:rsid w:val="005061DB"/>
    <w:rsid w:val="005061F7"/>
    <w:rsid w:val="00506ADB"/>
    <w:rsid w:val="005072D9"/>
    <w:rsid w:val="00507AB0"/>
    <w:rsid w:val="00507B0A"/>
    <w:rsid w:val="00510830"/>
    <w:rsid w:val="00510869"/>
    <w:rsid w:val="00512A52"/>
    <w:rsid w:val="00512AD4"/>
    <w:rsid w:val="005131B9"/>
    <w:rsid w:val="005136FA"/>
    <w:rsid w:val="00513827"/>
    <w:rsid w:val="00513929"/>
    <w:rsid w:val="0051475B"/>
    <w:rsid w:val="0051505C"/>
    <w:rsid w:val="00515064"/>
    <w:rsid w:val="0051523A"/>
    <w:rsid w:val="00515316"/>
    <w:rsid w:val="00515BCF"/>
    <w:rsid w:val="00515D20"/>
    <w:rsid w:val="005162CF"/>
    <w:rsid w:val="0051650D"/>
    <w:rsid w:val="00516664"/>
    <w:rsid w:val="00516683"/>
    <w:rsid w:val="00516811"/>
    <w:rsid w:val="00516E1C"/>
    <w:rsid w:val="00516ED1"/>
    <w:rsid w:val="00517263"/>
    <w:rsid w:val="0051776C"/>
    <w:rsid w:val="005177F3"/>
    <w:rsid w:val="00517D79"/>
    <w:rsid w:val="00517E58"/>
    <w:rsid w:val="00517E8A"/>
    <w:rsid w:val="005202F2"/>
    <w:rsid w:val="0052052A"/>
    <w:rsid w:val="00520968"/>
    <w:rsid w:val="00520AB4"/>
    <w:rsid w:val="00520C1C"/>
    <w:rsid w:val="00520F5B"/>
    <w:rsid w:val="0052178C"/>
    <w:rsid w:val="00521D04"/>
    <w:rsid w:val="00521D5E"/>
    <w:rsid w:val="0052212E"/>
    <w:rsid w:val="005222A5"/>
    <w:rsid w:val="00522868"/>
    <w:rsid w:val="00522B71"/>
    <w:rsid w:val="00522CE3"/>
    <w:rsid w:val="005234EF"/>
    <w:rsid w:val="00523707"/>
    <w:rsid w:val="00523990"/>
    <w:rsid w:val="00523C39"/>
    <w:rsid w:val="00523C72"/>
    <w:rsid w:val="00523EE0"/>
    <w:rsid w:val="00524454"/>
    <w:rsid w:val="0052452D"/>
    <w:rsid w:val="00524B99"/>
    <w:rsid w:val="00524DCE"/>
    <w:rsid w:val="00524EF6"/>
    <w:rsid w:val="00524F74"/>
    <w:rsid w:val="0052538E"/>
    <w:rsid w:val="005260CF"/>
    <w:rsid w:val="00526320"/>
    <w:rsid w:val="00526478"/>
    <w:rsid w:val="00526CC9"/>
    <w:rsid w:val="0052707A"/>
    <w:rsid w:val="00527C70"/>
    <w:rsid w:val="00527CE4"/>
    <w:rsid w:val="0053053C"/>
    <w:rsid w:val="005305C3"/>
    <w:rsid w:val="0053084C"/>
    <w:rsid w:val="00530FDA"/>
    <w:rsid w:val="005313C2"/>
    <w:rsid w:val="005315E9"/>
    <w:rsid w:val="00531868"/>
    <w:rsid w:val="00531C98"/>
    <w:rsid w:val="0053268B"/>
    <w:rsid w:val="0053269C"/>
    <w:rsid w:val="00532FF8"/>
    <w:rsid w:val="005333DF"/>
    <w:rsid w:val="0053379A"/>
    <w:rsid w:val="00533A00"/>
    <w:rsid w:val="00534D95"/>
    <w:rsid w:val="00534E19"/>
    <w:rsid w:val="00534FE0"/>
    <w:rsid w:val="0053637A"/>
    <w:rsid w:val="0053697F"/>
    <w:rsid w:val="00536993"/>
    <w:rsid w:val="00536E3A"/>
    <w:rsid w:val="00537252"/>
    <w:rsid w:val="00537948"/>
    <w:rsid w:val="00537CA7"/>
    <w:rsid w:val="005405DB"/>
    <w:rsid w:val="0054064E"/>
    <w:rsid w:val="00540D9E"/>
    <w:rsid w:val="00541E3B"/>
    <w:rsid w:val="00542597"/>
    <w:rsid w:val="00542FED"/>
    <w:rsid w:val="0054331C"/>
    <w:rsid w:val="005434BC"/>
    <w:rsid w:val="005436CA"/>
    <w:rsid w:val="00543B36"/>
    <w:rsid w:val="00544C03"/>
    <w:rsid w:val="00545A94"/>
    <w:rsid w:val="00546BE4"/>
    <w:rsid w:val="00546D96"/>
    <w:rsid w:val="00547EF7"/>
    <w:rsid w:val="00547F25"/>
    <w:rsid w:val="005502BC"/>
    <w:rsid w:val="00550D33"/>
    <w:rsid w:val="00551539"/>
    <w:rsid w:val="00551583"/>
    <w:rsid w:val="005516DD"/>
    <w:rsid w:val="00551C2A"/>
    <w:rsid w:val="00551E32"/>
    <w:rsid w:val="00552372"/>
    <w:rsid w:val="00552B63"/>
    <w:rsid w:val="00552BC5"/>
    <w:rsid w:val="00552C11"/>
    <w:rsid w:val="00552DD7"/>
    <w:rsid w:val="005535F5"/>
    <w:rsid w:val="0055477A"/>
    <w:rsid w:val="005549B4"/>
    <w:rsid w:val="00554C80"/>
    <w:rsid w:val="00554DA2"/>
    <w:rsid w:val="00555043"/>
    <w:rsid w:val="00555C67"/>
    <w:rsid w:val="00555D50"/>
    <w:rsid w:val="00555D88"/>
    <w:rsid w:val="00555FB4"/>
    <w:rsid w:val="00556854"/>
    <w:rsid w:val="00556CF9"/>
    <w:rsid w:val="00556D6F"/>
    <w:rsid w:val="00557BE3"/>
    <w:rsid w:val="00561190"/>
    <w:rsid w:val="005611DD"/>
    <w:rsid w:val="005613B3"/>
    <w:rsid w:val="00561573"/>
    <w:rsid w:val="005615AC"/>
    <w:rsid w:val="00561AB8"/>
    <w:rsid w:val="00561C85"/>
    <w:rsid w:val="00561FFE"/>
    <w:rsid w:val="0056201E"/>
    <w:rsid w:val="00562071"/>
    <w:rsid w:val="005621B3"/>
    <w:rsid w:val="00562289"/>
    <w:rsid w:val="005622CA"/>
    <w:rsid w:val="0056359C"/>
    <w:rsid w:val="00563703"/>
    <w:rsid w:val="00563A1E"/>
    <w:rsid w:val="00563C7D"/>
    <w:rsid w:val="00564D79"/>
    <w:rsid w:val="005651F6"/>
    <w:rsid w:val="00565B96"/>
    <w:rsid w:val="00565E86"/>
    <w:rsid w:val="00566B4D"/>
    <w:rsid w:val="005674A8"/>
    <w:rsid w:val="005674F6"/>
    <w:rsid w:val="00567A7A"/>
    <w:rsid w:val="00567BBB"/>
    <w:rsid w:val="005700B2"/>
    <w:rsid w:val="00570406"/>
    <w:rsid w:val="005706D2"/>
    <w:rsid w:val="0057081E"/>
    <w:rsid w:val="005708C8"/>
    <w:rsid w:val="00570BB0"/>
    <w:rsid w:val="0057155C"/>
    <w:rsid w:val="00571792"/>
    <w:rsid w:val="005719A2"/>
    <w:rsid w:val="0057225B"/>
    <w:rsid w:val="005723FE"/>
    <w:rsid w:val="00572B39"/>
    <w:rsid w:val="00572BA7"/>
    <w:rsid w:val="0057362B"/>
    <w:rsid w:val="00574127"/>
    <w:rsid w:val="00574840"/>
    <w:rsid w:val="00574964"/>
    <w:rsid w:val="00574A0D"/>
    <w:rsid w:val="00574EE3"/>
    <w:rsid w:val="00575559"/>
    <w:rsid w:val="005758F2"/>
    <w:rsid w:val="00575C72"/>
    <w:rsid w:val="00575E2A"/>
    <w:rsid w:val="00576027"/>
    <w:rsid w:val="0057604C"/>
    <w:rsid w:val="005761FE"/>
    <w:rsid w:val="005767E5"/>
    <w:rsid w:val="00576884"/>
    <w:rsid w:val="00576BA6"/>
    <w:rsid w:val="00576CA6"/>
    <w:rsid w:val="00576D2F"/>
    <w:rsid w:val="00576FED"/>
    <w:rsid w:val="00577037"/>
    <w:rsid w:val="005771BE"/>
    <w:rsid w:val="005774B8"/>
    <w:rsid w:val="005775CC"/>
    <w:rsid w:val="00577EDB"/>
    <w:rsid w:val="0058150D"/>
    <w:rsid w:val="005817F9"/>
    <w:rsid w:val="00581E75"/>
    <w:rsid w:val="00581F06"/>
    <w:rsid w:val="00581F8D"/>
    <w:rsid w:val="0058255A"/>
    <w:rsid w:val="00582BB0"/>
    <w:rsid w:val="00582E69"/>
    <w:rsid w:val="00583071"/>
    <w:rsid w:val="00583303"/>
    <w:rsid w:val="005833D2"/>
    <w:rsid w:val="00583758"/>
    <w:rsid w:val="00583CB4"/>
    <w:rsid w:val="00583D5F"/>
    <w:rsid w:val="00583DA1"/>
    <w:rsid w:val="00584192"/>
    <w:rsid w:val="0058435A"/>
    <w:rsid w:val="00584444"/>
    <w:rsid w:val="005848C5"/>
    <w:rsid w:val="00585162"/>
    <w:rsid w:val="00585290"/>
    <w:rsid w:val="005852FF"/>
    <w:rsid w:val="005856B5"/>
    <w:rsid w:val="00585A1E"/>
    <w:rsid w:val="00585A5A"/>
    <w:rsid w:val="00585E5F"/>
    <w:rsid w:val="005871C2"/>
    <w:rsid w:val="00587867"/>
    <w:rsid w:val="00587926"/>
    <w:rsid w:val="00587A3C"/>
    <w:rsid w:val="00587ED8"/>
    <w:rsid w:val="00590379"/>
    <w:rsid w:val="005904C2"/>
    <w:rsid w:val="0059075E"/>
    <w:rsid w:val="00590B91"/>
    <w:rsid w:val="00590DBE"/>
    <w:rsid w:val="00590ED5"/>
    <w:rsid w:val="0059106B"/>
    <w:rsid w:val="005914F7"/>
    <w:rsid w:val="00591628"/>
    <w:rsid w:val="00591C36"/>
    <w:rsid w:val="00591CFA"/>
    <w:rsid w:val="00591E9E"/>
    <w:rsid w:val="00592AB6"/>
    <w:rsid w:val="00592D8B"/>
    <w:rsid w:val="00592F70"/>
    <w:rsid w:val="0059361A"/>
    <w:rsid w:val="00593837"/>
    <w:rsid w:val="0059394C"/>
    <w:rsid w:val="0059395F"/>
    <w:rsid w:val="00593CDF"/>
    <w:rsid w:val="00593E79"/>
    <w:rsid w:val="00594098"/>
    <w:rsid w:val="00594351"/>
    <w:rsid w:val="00594647"/>
    <w:rsid w:val="005946F6"/>
    <w:rsid w:val="00594924"/>
    <w:rsid w:val="00594B07"/>
    <w:rsid w:val="00594DCC"/>
    <w:rsid w:val="00594EF7"/>
    <w:rsid w:val="00594F14"/>
    <w:rsid w:val="0059511F"/>
    <w:rsid w:val="0059535C"/>
    <w:rsid w:val="00596044"/>
    <w:rsid w:val="00596179"/>
    <w:rsid w:val="005961E7"/>
    <w:rsid w:val="00596CE5"/>
    <w:rsid w:val="0059749B"/>
    <w:rsid w:val="00597DAB"/>
    <w:rsid w:val="005A05FC"/>
    <w:rsid w:val="005A09C7"/>
    <w:rsid w:val="005A0C8A"/>
    <w:rsid w:val="005A0D9B"/>
    <w:rsid w:val="005A0E05"/>
    <w:rsid w:val="005A183E"/>
    <w:rsid w:val="005A2D15"/>
    <w:rsid w:val="005A2DE3"/>
    <w:rsid w:val="005A2EED"/>
    <w:rsid w:val="005A31F1"/>
    <w:rsid w:val="005A3507"/>
    <w:rsid w:val="005A3A40"/>
    <w:rsid w:val="005A3A47"/>
    <w:rsid w:val="005A3F62"/>
    <w:rsid w:val="005A4581"/>
    <w:rsid w:val="005A45E1"/>
    <w:rsid w:val="005A4E5C"/>
    <w:rsid w:val="005A5F6E"/>
    <w:rsid w:val="005A7445"/>
    <w:rsid w:val="005A74C6"/>
    <w:rsid w:val="005A78F5"/>
    <w:rsid w:val="005A79DD"/>
    <w:rsid w:val="005A7AB3"/>
    <w:rsid w:val="005B074E"/>
    <w:rsid w:val="005B0916"/>
    <w:rsid w:val="005B1177"/>
    <w:rsid w:val="005B132B"/>
    <w:rsid w:val="005B1539"/>
    <w:rsid w:val="005B16E5"/>
    <w:rsid w:val="005B1872"/>
    <w:rsid w:val="005B1E0F"/>
    <w:rsid w:val="005B1E98"/>
    <w:rsid w:val="005B22AA"/>
    <w:rsid w:val="005B22D1"/>
    <w:rsid w:val="005B22E3"/>
    <w:rsid w:val="005B2381"/>
    <w:rsid w:val="005B28BA"/>
    <w:rsid w:val="005B290E"/>
    <w:rsid w:val="005B2F1E"/>
    <w:rsid w:val="005B3520"/>
    <w:rsid w:val="005B4033"/>
    <w:rsid w:val="005B4461"/>
    <w:rsid w:val="005B44C3"/>
    <w:rsid w:val="005B466D"/>
    <w:rsid w:val="005B495C"/>
    <w:rsid w:val="005B4A5E"/>
    <w:rsid w:val="005B4D9F"/>
    <w:rsid w:val="005B5027"/>
    <w:rsid w:val="005B5368"/>
    <w:rsid w:val="005B550A"/>
    <w:rsid w:val="005B6145"/>
    <w:rsid w:val="005B65BC"/>
    <w:rsid w:val="005B6936"/>
    <w:rsid w:val="005B6AC4"/>
    <w:rsid w:val="005B759A"/>
    <w:rsid w:val="005B7AD0"/>
    <w:rsid w:val="005C00A6"/>
    <w:rsid w:val="005C0474"/>
    <w:rsid w:val="005C0758"/>
    <w:rsid w:val="005C0BDC"/>
    <w:rsid w:val="005C1554"/>
    <w:rsid w:val="005C1D34"/>
    <w:rsid w:val="005C1E51"/>
    <w:rsid w:val="005C1F45"/>
    <w:rsid w:val="005C21C4"/>
    <w:rsid w:val="005C30CF"/>
    <w:rsid w:val="005C30D4"/>
    <w:rsid w:val="005C3813"/>
    <w:rsid w:val="005C38AE"/>
    <w:rsid w:val="005C40D9"/>
    <w:rsid w:val="005C4AFC"/>
    <w:rsid w:val="005C50D2"/>
    <w:rsid w:val="005C5FE6"/>
    <w:rsid w:val="005C6265"/>
    <w:rsid w:val="005C635A"/>
    <w:rsid w:val="005C69A0"/>
    <w:rsid w:val="005C6A31"/>
    <w:rsid w:val="005C7276"/>
    <w:rsid w:val="005C7488"/>
    <w:rsid w:val="005D0D2A"/>
    <w:rsid w:val="005D139F"/>
    <w:rsid w:val="005D2177"/>
    <w:rsid w:val="005D21EA"/>
    <w:rsid w:val="005D26E9"/>
    <w:rsid w:val="005D289B"/>
    <w:rsid w:val="005D2CC1"/>
    <w:rsid w:val="005D331F"/>
    <w:rsid w:val="005D358F"/>
    <w:rsid w:val="005D4CC1"/>
    <w:rsid w:val="005D5E76"/>
    <w:rsid w:val="005D5F43"/>
    <w:rsid w:val="005D6002"/>
    <w:rsid w:val="005D6296"/>
    <w:rsid w:val="005D6D71"/>
    <w:rsid w:val="005D6DBF"/>
    <w:rsid w:val="005D6F31"/>
    <w:rsid w:val="005D7094"/>
    <w:rsid w:val="005D7302"/>
    <w:rsid w:val="005D73BC"/>
    <w:rsid w:val="005D7DD6"/>
    <w:rsid w:val="005E075F"/>
    <w:rsid w:val="005E0823"/>
    <w:rsid w:val="005E0E09"/>
    <w:rsid w:val="005E0E38"/>
    <w:rsid w:val="005E13D2"/>
    <w:rsid w:val="005E153C"/>
    <w:rsid w:val="005E170C"/>
    <w:rsid w:val="005E1D3D"/>
    <w:rsid w:val="005E261A"/>
    <w:rsid w:val="005E275D"/>
    <w:rsid w:val="005E287F"/>
    <w:rsid w:val="005E28D4"/>
    <w:rsid w:val="005E2964"/>
    <w:rsid w:val="005E2B72"/>
    <w:rsid w:val="005E2D2C"/>
    <w:rsid w:val="005E2D9E"/>
    <w:rsid w:val="005E2DC2"/>
    <w:rsid w:val="005E4A71"/>
    <w:rsid w:val="005E4B0B"/>
    <w:rsid w:val="005E5335"/>
    <w:rsid w:val="005E5AD3"/>
    <w:rsid w:val="005E5BDE"/>
    <w:rsid w:val="005E5F47"/>
    <w:rsid w:val="005E605C"/>
    <w:rsid w:val="005E6435"/>
    <w:rsid w:val="005E644B"/>
    <w:rsid w:val="005E6BFC"/>
    <w:rsid w:val="005E7081"/>
    <w:rsid w:val="005E7FD9"/>
    <w:rsid w:val="005F02A2"/>
    <w:rsid w:val="005F0F7A"/>
    <w:rsid w:val="005F1513"/>
    <w:rsid w:val="005F1A7F"/>
    <w:rsid w:val="005F1C94"/>
    <w:rsid w:val="005F1CD1"/>
    <w:rsid w:val="005F21F8"/>
    <w:rsid w:val="005F23C0"/>
    <w:rsid w:val="005F3774"/>
    <w:rsid w:val="005F3804"/>
    <w:rsid w:val="005F3B69"/>
    <w:rsid w:val="005F40DA"/>
    <w:rsid w:val="005F40E4"/>
    <w:rsid w:val="005F4844"/>
    <w:rsid w:val="005F53B6"/>
    <w:rsid w:val="005F6114"/>
    <w:rsid w:val="005F67FE"/>
    <w:rsid w:val="005F68C2"/>
    <w:rsid w:val="005F7064"/>
    <w:rsid w:val="005F7330"/>
    <w:rsid w:val="005F792F"/>
    <w:rsid w:val="00600251"/>
    <w:rsid w:val="006005B5"/>
    <w:rsid w:val="006008C8"/>
    <w:rsid w:val="006009AD"/>
    <w:rsid w:val="00600ED5"/>
    <w:rsid w:val="00600F2F"/>
    <w:rsid w:val="00601317"/>
    <w:rsid w:val="006013B9"/>
    <w:rsid w:val="0060187C"/>
    <w:rsid w:val="00601B21"/>
    <w:rsid w:val="00601F2F"/>
    <w:rsid w:val="0060223B"/>
    <w:rsid w:val="00602CC8"/>
    <w:rsid w:val="00602FFC"/>
    <w:rsid w:val="00603AC3"/>
    <w:rsid w:val="00603BE4"/>
    <w:rsid w:val="00604003"/>
    <w:rsid w:val="00604185"/>
    <w:rsid w:val="00604B06"/>
    <w:rsid w:val="00605302"/>
    <w:rsid w:val="00605483"/>
    <w:rsid w:val="00605716"/>
    <w:rsid w:val="006057FB"/>
    <w:rsid w:val="00605A13"/>
    <w:rsid w:val="00605DD2"/>
    <w:rsid w:val="00605E47"/>
    <w:rsid w:val="00605E8A"/>
    <w:rsid w:val="00606631"/>
    <w:rsid w:val="00606A21"/>
    <w:rsid w:val="00606ECB"/>
    <w:rsid w:val="00607311"/>
    <w:rsid w:val="0060740D"/>
    <w:rsid w:val="0060750E"/>
    <w:rsid w:val="00607EC1"/>
    <w:rsid w:val="006101BD"/>
    <w:rsid w:val="0061031D"/>
    <w:rsid w:val="00610A43"/>
    <w:rsid w:val="00610BAE"/>
    <w:rsid w:val="00610D36"/>
    <w:rsid w:val="00611DAD"/>
    <w:rsid w:val="00611F5F"/>
    <w:rsid w:val="00612F6A"/>
    <w:rsid w:val="0061306B"/>
    <w:rsid w:val="00613122"/>
    <w:rsid w:val="006135D3"/>
    <w:rsid w:val="00613613"/>
    <w:rsid w:val="006139F1"/>
    <w:rsid w:val="00613DBA"/>
    <w:rsid w:val="00613E2F"/>
    <w:rsid w:val="0061409A"/>
    <w:rsid w:val="00614726"/>
    <w:rsid w:val="0061488E"/>
    <w:rsid w:val="00614BD4"/>
    <w:rsid w:val="00615358"/>
    <w:rsid w:val="00615746"/>
    <w:rsid w:val="00615758"/>
    <w:rsid w:val="00615F09"/>
    <w:rsid w:val="00615FB5"/>
    <w:rsid w:val="006161EB"/>
    <w:rsid w:val="0061638E"/>
    <w:rsid w:val="00616F2F"/>
    <w:rsid w:val="006177EF"/>
    <w:rsid w:val="0062009D"/>
    <w:rsid w:val="00620507"/>
    <w:rsid w:val="00620631"/>
    <w:rsid w:val="00620AB9"/>
    <w:rsid w:val="00620CB4"/>
    <w:rsid w:val="00620F2E"/>
    <w:rsid w:val="00620FBF"/>
    <w:rsid w:val="00621C14"/>
    <w:rsid w:val="0062222A"/>
    <w:rsid w:val="00622526"/>
    <w:rsid w:val="00622621"/>
    <w:rsid w:val="0062265B"/>
    <w:rsid w:val="006226F2"/>
    <w:rsid w:val="00623548"/>
    <w:rsid w:val="00623ED5"/>
    <w:rsid w:val="00624E41"/>
    <w:rsid w:val="006251A9"/>
    <w:rsid w:val="00625358"/>
    <w:rsid w:val="00625732"/>
    <w:rsid w:val="00625B0D"/>
    <w:rsid w:val="0062646F"/>
    <w:rsid w:val="00626B98"/>
    <w:rsid w:val="006270A1"/>
    <w:rsid w:val="00627471"/>
    <w:rsid w:val="00630084"/>
    <w:rsid w:val="0063031A"/>
    <w:rsid w:val="00630EC8"/>
    <w:rsid w:val="00631483"/>
    <w:rsid w:val="006315BF"/>
    <w:rsid w:val="00632536"/>
    <w:rsid w:val="00632BE9"/>
    <w:rsid w:val="00633593"/>
    <w:rsid w:val="00633AA1"/>
    <w:rsid w:val="00633D78"/>
    <w:rsid w:val="00633FD6"/>
    <w:rsid w:val="0063401F"/>
    <w:rsid w:val="00634241"/>
    <w:rsid w:val="00634484"/>
    <w:rsid w:val="00634993"/>
    <w:rsid w:val="00634E45"/>
    <w:rsid w:val="00634EC9"/>
    <w:rsid w:val="0063554E"/>
    <w:rsid w:val="006356D6"/>
    <w:rsid w:val="00636D8E"/>
    <w:rsid w:val="0063762A"/>
    <w:rsid w:val="006377C2"/>
    <w:rsid w:val="00637CEB"/>
    <w:rsid w:val="00637E13"/>
    <w:rsid w:val="00640127"/>
    <w:rsid w:val="00640DAA"/>
    <w:rsid w:val="006413E0"/>
    <w:rsid w:val="00642114"/>
    <w:rsid w:val="00642722"/>
    <w:rsid w:val="006427AF"/>
    <w:rsid w:val="00642D9E"/>
    <w:rsid w:val="006431C7"/>
    <w:rsid w:val="00643369"/>
    <w:rsid w:val="006435EE"/>
    <w:rsid w:val="00643BDA"/>
    <w:rsid w:val="00643E77"/>
    <w:rsid w:val="006446EB"/>
    <w:rsid w:val="00644C11"/>
    <w:rsid w:val="0064520E"/>
    <w:rsid w:val="006452B1"/>
    <w:rsid w:val="00645A2D"/>
    <w:rsid w:val="006463E4"/>
    <w:rsid w:val="006463F0"/>
    <w:rsid w:val="00646527"/>
    <w:rsid w:val="00646570"/>
    <w:rsid w:val="006466F0"/>
    <w:rsid w:val="00646B20"/>
    <w:rsid w:val="00646BF5"/>
    <w:rsid w:val="00646C23"/>
    <w:rsid w:val="00646F16"/>
    <w:rsid w:val="00646F99"/>
    <w:rsid w:val="0064733A"/>
    <w:rsid w:val="00650895"/>
    <w:rsid w:val="00650C74"/>
    <w:rsid w:val="00651A22"/>
    <w:rsid w:val="00651D7D"/>
    <w:rsid w:val="00651F71"/>
    <w:rsid w:val="00652646"/>
    <w:rsid w:val="00652710"/>
    <w:rsid w:val="00652961"/>
    <w:rsid w:val="00652FFD"/>
    <w:rsid w:val="00653173"/>
    <w:rsid w:val="00653722"/>
    <w:rsid w:val="0065385C"/>
    <w:rsid w:val="00653CAF"/>
    <w:rsid w:val="00653D38"/>
    <w:rsid w:val="006540C0"/>
    <w:rsid w:val="0065414C"/>
    <w:rsid w:val="00654481"/>
    <w:rsid w:val="00654984"/>
    <w:rsid w:val="006549F9"/>
    <w:rsid w:val="00654B25"/>
    <w:rsid w:val="00654B39"/>
    <w:rsid w:val="00654C27"/>
    <w:rsid w:val="006551CA"/>
    <w:rsid w:val="00655425"/>
    <w:rsid w:val="00655652"/>
    <w:rsid w:val="006557A8"/>
    <w:rsid w:val="00655A5B"/>
    <w:rsid w:val="00656B49"/>
    <w:rsid w:val="006571CF"/>
    <w:rsid w:val="006572D6"/>
    <w:rsid w:val="0065777B"/>
    <w:rsid w:val="00657C6A"/>
    <w:rsid w:val="006606C5"/>
    <w:rsid w:val="0066077B"/>
    <w:rsid w:val="006609F0"/>
    <w:rsid w:val="00660C9D"/>
    <w:rsid w:val="00660E17"/>
    <w:rsid w:val="006614E7"/>
    <w:rsid w:val="0066209A"/>
    <w:rsid w:val="006620C4"/>
    <w:rsid w:val="00662520"/>
    <w:rsid w:val="00662626"/>
    <w:rsid w:val="00662BAD"/>
    <w:rsid w:val="00662F09"/>
    <w:rsid w:val="006633F5"/>
    <w:rsid w:val="00663BF4"/>
    <w:rsid w:val="00663E33"/>
    <w:rsid w:val="00664240"/>
    <w:rsid w:val="00664C38"/>
    <w:rsid w:val="00665479"/>
    <w:rsid w:val="00665DD3"/>
    <w:rsid w:val="00665E85"/>
    <w:rsid w:val="006664BB"/>
    <w:rsid w:val="006667B5"/>
    <w:rsid w:val="0067022E"/>
    <w:rsid w:val="0067076C"/>
    <w:rsid w:val="00670D56"/>
    <w:rsid w:val="006710C7"/>
    <w:rsid w:val="0067138B"/>
    <w:rsid w:val="0067232E"/>
    <w:rsid w:val="00672788"/>
    <w:rsid w:val="00672792"/>
    <w:rsid w:val="00672DF7"/>
    <w:rsid w:val="0067324F"/>
    <w:rsid w:val="00673286"/>
    <w:rsid w:val="00673700"/>
    <w:rsid w:val="00673862"/>
    <w:rsid w:val="00673ABB"/>
    <w:rsid w:val="006740BA"/>
    <w:rsid w:val="006741B3"/>
    <w:rsid w:val="006741F7"/>
    <w:rsid w:val="00674C9D"/>
    <w:rsid w:val="0067506D"/>
    <w:rsid w:val="00675D4B"/>
    <w:rsid w:val="0067615E"/>
    <w:rsid w:val="0067618C"/>
    <w:rsid w:val="006768A6"/>
    <w:rsid w:val="00676C31"/>
    <w:rsid w:val="0067720B"/>
    <w:rsid w:val="0067752C"/>
    <w:rsid w:val="00677A96"/>
    <w:rsid w:val="00677BB5"/>
    <w:rsid w:val="00680085"/>
    <w:rsid w:val="0068014D"/>
    <w:rsid w:val="0068089E"/>
    <w:rsid w:val="00680B67"/>
    <w:rsid w:val="006812CB"/>
    <w:rsid w:val="006815D9"/>
    <w:rsid w:val="00681641"/>
    <w:rsid w:val="006816DF"/>
    <w:rsid w:val="00681A3C"/>
    <w:rsid w:val="00681BF3"/>
    <w:rsid w:val="00681D31"/>
    <w:rsid w:val="00682238"/>
    <w:rsid w:val="00682B89"/>
    <w:rsid w:val="00682D6B"/>
    <w:rsid w:val="00683325"/>
    <w:rsid w:val="00683DD1"/>
    <w:rsid w:val="006840F5"/>
    <w:rsid w:val="006841C2"/>
    <w:rsid w:val="00684313"/>
    <w:rsid w:val="0068468E"/>
    <w:rsid w:val="00684BCE"/>
    <w:rsid w:val="00684EEF"/>
    <w:rsid w:val="0068538E"/>
    <w:rsid w:val="006855E6"/>
    <w:rsid w:val="00685A47"/>
    <w:rsid w:val="00685EDA"/>
    <w:rsid w:val="00685F29"/>
    <w:rsid w:val="00686F61"/>
    <w:rsid w:val="00687691"/>
    <w:rsid w:val="00687881"/>
    <w:rsid w:val="006907EC"/>
    <w:rsid w:val="00690C06"/>
    <w:rsid w:val="00690E86"/>
    <w:rsid w:val="00690FD0"/>
    <w:rsid w:val="00691037"/>
    <w:rsid w:val="00691E1D"/>
    <w:rsid w:val="006925A7"/>
    <w:rsid w:val="00692B23"/>
    <w:rsid w:val="006934BF"/>
    <w:rsid w:val="006937B4"/>
    <w:rsid w:val="00693A6A"/>
    <w:rsid w:val="00693ACA"/>
    <w:rsid w:val="00693C1D"/>
    <w:rsid w:val="00694422"/>
    <w:rsid w:val="00694F59"/>
    <w:rsid w:val="0069509B"/>
    <w:rsid w:val="0069586D"/>
    <w:rsid w:val="006968C2"/>
    <w:rsid w:val="00696D04"/>
    <w:rsid w:val="006971E0"/>
    <w:rsid w:val="006975D9"/>
    <w:rsid w:val="00697CD0"/>
    <w:rsid w:val="006A0307"/>
    <w:rsid w:val="006A0C0F"/>
    <w:rsid w:val="006A12A2"/>
    <w:rsid w:val="006A1434"/>
    <w:rsid w:val="006A19D8"/>
    <w:rsid w:val="006A21F4"/>
    <w:rsid w:val="006A27E7"/>
    <w:rsid w:val="006A2D7E"/>
    <w:rsid w:val="006A330C"/>
    <w:rsid w:val="006A396B"/>
    <w:rsid w:val="006A4411"/>
    <w:rsid w:val="006A4ADF"/>
    <w:rsid w:val="006A573A"/>
    <w:rsid w:val="006A6147"/>
    <w:rsid w:val="006A61E9"/>
    <w:rsid w:val="006A6491"/>
    <w:rsid w:val="006A6C54"/>
    <w:rsid w:val="006A6F6A"/>
    <w:rsid w:val="006A6FD2"/>
    <w:rsid w:val="006A7F2C"/>
    <w:rsid w:val="006B09F9"/>
    <w:rsid w:val="006B1139"/>
    <w:rsid w:val="006B11FF"/>
    <w:rsid w:val="006B146A"/>
    <w:rsid w:val="006B1D19"/>
    <w:rsid w:val="006B2ABB"/>
    <w:rsid w:val="006B324A"/>
    <w:rsid w:val="006B3353"/>
    <w:rsid w:val="006B36EE"/>
    <w:rsid w:val="006B4098"/>
    <w:rsid w:val="006B4278"/>
    <w:rsid w:val="006B43B3"/>
    <w:rsid w:val="006B488C"/>
    <w:rsid w:val="006B5562"/>
    <w:rsid w:val="006B5ADA"/>
    <w:rsid w:val="006B6C65"/>
    <w:rsid w:val="006B7285"/>
    <w:rsid w:val="006B7AE9"/>
    <w:rsid w:val="006B7D34"/>
    <w:rsid w:val="006C1204"/>
    <w:rsid w:val="006C1824"/>
    <w:rsid w:val="006C1DC8"/>
    <w:rsid w:val="006C2A62"/>
    <w:rsid w:val="006C2BBD"/>
    <w:rsid w:val="006C34FE"/>
    <w:rsid w:val="006C43C1"/>
    <w:rsid w:val="006C43C8"/>
    <w:rsid w:val="006C4E28"/>
    <w:rsid w:val="006C57B2"/>
    <w:rsid w:val="006C585C"/>
    <w:rsid w:val="006C5899"/>
    <w:rsid w:val="006C5C3E"/>
    <w:rsid w:val="006C5DAF"/>
    <w:rsid w:val="006C620D"/>
    <w:rsid w:val="006C71C9"/>
    <w:rsid w:val="006C72E9"/>
    <w:rsid w:val="006C7A3C"/>
    <w:rsid w:val="006C7BB4"/>
    <w:rsid w:val="006C7F06"/>
    <w:rsid w:val="006D0085"/>
    <w:rsid w:val="006D0333"/>
    <w:rsid w:val="006D04F1"/>
    <w:rsid w:val="006D095D"/>
    <w:rsid w:val="006D0E79"/>
    <w:rsid w:val="006D0FA5"/>
    <w:rsid w:val="006D1E5C"/>
    <w:rsid w:val="006D2333"/>
    <w:rsid w:val="006D3B65"/>
    <w:rsid w:val="006D41B9"/>
    <w:rsid w:val="006D583F"/>
    <w:rsid w:val="006D58FF"/>
    <w:rsid w:val="006D5CB2"/>
    <w:rsid w:val="006D5D93"/>
    <w:rsid w:val="006D5F37"/>
    <w:rsid w:val="006D6109"/>
    <w:rsid w:val="006D61BD"/>
    <w:rsid w:val="006D63DE"/>
    <w:rsid w:val="006D6688"/>
    <w:rsid w:val="006D7939"/>
    <w:rsid w:val="006D7F68"/>
    <w:rsid w:val="006E08CD"/>
    <w:rsid w:val="006E0A85"/>
    <w:rsid w:val="006E0C6C"/>
    <w:rsid w:val="006E0D7C"/>
    <w:rsid w:val="006E0EEA"/>
    <w:rsid w:val="006E1197"/>
    <w:rsid w:val="006E1742"/>
    <w:rsid w:val="006E19E3"/>
    <w:rsid w:val="006E20AB"/>
    <w:rsid w:val="006E264B"/>
    <w:rsid w:val="006E2715"/>
    <w:rsid w:val="006E2DB9"/>
    <w:rsid w:val="006E2F67"/>
    <w:rsid w:val="006E2FAF"/>
    <w:rsid w:val="006E36D9"/>
    <w:rsid w:val="006E3823"/>
    <w:rsid w:val="006E393C"/>
    <w:rsid w:val="006E4E44"/>
    <w:rsid w:val="006E5098"/>
    <w:rsid w:val="006E5134"/>
    <w:rsid w:val="006E5240"/>
    <w:rsid w:val="006E52E2"/>
    <w:rsid w:val="006E53C6"/>
    <w:rsid w:val="006E57D3"/>
    <w:rsid w:val="006E5AE4"/>
    <w:rsid w:val="006E631C"/>
    <w:rsid w:val="006E6349"/>
    <w:rsid w:val="006E70A4"/>
    <w:rsid w:val="006E79CA"/>
    <w:rsid w:val="006F0416"/>
    <w:rsid w:val="006F0C23"/>
    <w:rsid w:val="006F107E"/>
    <w:rsid w:val="006F193A"/>
    <w:rsid w:val="006F1CE1"/>
    <w:rsid w:val="006F1E01"/>
    <w:rsid w:val="006F20D3"/>
    <w:rsid w:val="006F271A"/>
    <w:rsid w:val="006F3C88"/>
    <w:rsid w:val="006F3D5F"/>
    <w:rsid w:val="006F3E04"/>
    <w:rsid w:val="006F4865"/>
    <w:rsid w:val="006F48D8"/>
    <w:rsid w:val="006F4AC1"/>
    <w:rsid w:val="006F4BCF"/>
    <w:rsid w:val="006F560B"/>
    <w:rsid w:val="006F6126"/>
    <w:rsid w:val="006F7163"/>
    <w:rsid w:val="006F73C9"/>
    <w:rsid w:val="006F7D15"/>
    <w:rsid w:val="006F7FCE"/>
    <w:rsid w:val="007000EA"/>
    <w:rsid w:val="0070099E"/>
    <w:rsid w:val="00700F7D"/>
    <w:rsid w:val="00701044"/>
    <w:rsid w:val="00701A98"/>
    <w:rsid w:val="00701DF4"/>
    <w:rsid w:val="007021E1"/>
    <w:rsid w:val="00702263"/>
    <w:rsid w:val="007024E4"/>
    <w:rsid w:val="00703EA6"/>
    <w:rsid w:val="007040AB"/>
    <w:rsid w:val="007048AE"/>
    <w:rsid w:val="00704938"/>
    <w:rsid w:val="00704B26"/>
    <w:rsid w:val="00704CB1"/>
    <w:rsid w:val="0070522F"/>
    <w:rsid w:val="0070567F"/>
    <w:rsid w:val="007057C2"/>
    <w:rsid w:val="0070597D"/>
    <w:rsid w:val="00705B43"/>
    <w:rsid w:val="00705E99"/>
    <w:rsid w:val="00706401"/>
    <w:rsid w:val="0070640B"/>
    <w:rsid w:val="007066ED"/>
    <w:rsid w:val="00706704"/>
    <w:rsid w:val="0070681C"/>
    <w:rsid w:val="00706850"/>
    <w:rsid w:val="007069C5"/>
    <w:rsid w:val="00707FDF"/>
    <w:rsid w:val="00710352"/>
    <w:rsid w:val="00710373"/>
    <w:rsid w:val="007110C9"/>
    <w:rsid w:val="00711962"/>
    <w:rsid w:val="00711BFE"/>
    <w:rsid w:val="00711CB7"/>
    <w:rsid w:val="007122B8"/>
    <w:rsid w:val="00712353"/>
    <w:rsid w:val="007124D7"/>
    <w:rsid w:val="00712B80"/>
    <w:rsid w:val="00712B9A"/>
    <w:rsid w:val="00712BB8"/>
    <w:rsid w:val="00712D8B"/>
    <w:rsid w:val="00712DC0"/>
    <w:rsid w:val="0071301A"/>
    <w:rsid w:val="0071304E"/>
    <w:rsid w:val="00713C7B"/>
    <w:rsid w:val="00713D81"/>
    <w:rsid w:val="00713EA9"/>
    <w:rsid w:val="00714472"/>
    <w:rsid w:val="007146C3"/>
    <w:rsid w:val="007149EA"/>
    <w:rsid w:val="007151E9"/>
    <w:rsid w:val="00715427"/>
    <w:rsid w:val="007156C8"/>
    <w:rsid w:val="0071586D"/>
    <w:rsid w:val="00715BF3"/>
    <w:rsid w:val="00716760"/>
    <w:rsid w:val="007169C1"/>
    <w:rsid w:val="00716A2A"/>
    <w:rsid w:val="00717066"/>
    <w:rsid w:val="00717702"/>
    <w:rsid w:val="00717F28"/>
    <w:rsid w:val="00717F38"/>
    <w:rsid w:val="0072094D"/>
    <w:rsid w:val="00720A38"/>
    <w:rsid w:val="00720EDA"/>
    <w:rsid w:val="00721045"/>
    <w:rsid w:val="00721140"/>
    <w:rsid w:val="00721B0C"/>
    <w:rsid w:val="00721B4D"/>
    <w:rsid w:val="00721DED"/>
    <w:rsid w:val="007220FD"/>
    <w:rsid w:val="00722918"/>
    <w:rsid w:val="0072300F"/>
    <w:rsid w:val="00723574"/>
    <w:rsid w:val="007238EE"/>
    <w:rsid w:val="00723911"/>
    <w:rsid w:val="007239EF"/>
    <w:rsid w:val="00723E8E"/>
    <w:rsid w:val="00723F53"/>
    <w:rsid w:val="00724AB9"/>
    <w:rsid w:val="00724BCE"/>
    <w:rsid w:val="00724D54"/>
    <w:rsid w:val="007251C5"/>
    <w:rsid w:val="00725526"/>
    <w:rsid w:val="007257F9"/>
    <w:rsid w:val="00725D44"/>
    <w:rsid w:val="0072635A"/>
    <w:rsid w:val="00726644"/>
    <w:rsid w:val="007267E6"/>
    <w:rsid w:val="00726CD8"/>
    <w:rsid w:val="00727529"/>
    <w:rsid w:val="00727544"/>
    <w:rsid w:val="00727BEB"/>
    <w:rsid w:val="00727C11"/>
    <w:rsid w:val="007304E9"/>
    <w:rsid w:val="00730FE5"/>
    <w:rsid w:val="007315B7"/>
    <w:rsid w:val="007319DC"/>
    <w:rsid w:val="00731FD3"/>
    <w:rsid w:val="00732895"/>
    <w:rsid w:val="007331CA"/>
    <w:rsid w:val="00733D1A"/>
    <w:rsid w:val="00733EF2"/>
    <w:rsid w:val="00734176"/>
    <w:rsid w:val="00734E0F"/>
    <w:rsid w:val="00734E9E"/>
    <w:rsid w:val="00734EA7"/>
    <w:rsid w:val="0073542B"/>
    <w:rsid w:val="0073548E"/>
    <w:rsid w:val="0073556E"/>
    <w:rsid w:val="007356EE"/>
    <w:rsid w:val="00735E26"/>
    <w:rsid w:val="00735EE0"/>
    <w:rsid w:val="00735FA0"/>
    <w:rsid w:val="00736105"/>
    <w:rsid w:val="0073627F"/>
    <w:rsid w:val="00736310"/>
    <w:rsid w:val="0073669A"/>
    <w:rsid w:val="0073735A"/>
    <w:rsid w:val="007375BB"/>
    <w:rsid w:val="00737E66"/>
    <w:rsid w:val="00740AB8"/>
    <w:rsid w:val="00740CAE"/>
    <w:rsid w:val="00740D59"/>
    <w:rsid w:val="0074122C"/>
    <w:rsid w:val="007414B3"/>
    <w:rsid w:val="0074197C"/>
    <w:rsid w:val="00741D71"/>
    <w:rsid w:val="00741EC0"/>
    <w:rsid w:val="00742485"/>
    <w:rsid w:val="007425E3"/>
    <w:rsid w:val="007426C7"/>
    <w:rsid w:val="00743234"/>
    <w:rsid w:val="0074326A"/>
    <w:rsid w:val="00743613"/>
    <w:rsid w:val="00743786"/>
    <w:rsid w:val="007438FB"/>
    <w:rsid w:val="00743976"/>
    <w:rsid w:val="00743986"/>
    <w:rsid w:val="00743E6F"/>
    <w:rsid w:val="0074420B"/>
    <w:rsid w:val="007443F8"/>
    <w:rsid w:val="0074451E"/>
    <w:rsid w:val="007450F1"/>
    <w:rsid w:val="00745532"/>
    <w:rsid w:val="007469E1"/>
    <w:rsid w:val="00746ADE"/>
    <w:rsid w:val="00746ED0"/>
    <w:rsid w:val="00747018"/>
    <w:rsid w:val="0074724B"/>
    <w:rsid w:val="00747299"/>
    <w:rsid w:val="0074759E"/>
    <w:rsid w:val="00750251"/>
    <w:rsid w:val="0075073E"/>
    <w:rsid w:val="007508B1"/>
    <w:rsid w:val="00750C0D"/>
    <w:rsid w:val="00751573"/>
    <w:rsid w:val="007516E5"/>
    <w:rsid w:val="007517AB"/>
    <w:rsid w:val="00751A89"/>
    <w:rsid w:val="00751BCE"/>
    <w:rsid w:val="00751C87"/>
    <w:rsid w:val="00752151"/>
    <w:rsid w:val="00752259"/>
    <w:rsid w:val="00752D73"/>
    <w:rsid w:val="00753147"/>
    <w:rsid w:val="0075347E"/>
    <w:rsid w:val="0075348B"/>
    <w:rsid w:val="0075368A"/>
    <w:rsid w:val="00753F3D"/>
    <w:rsid w:val="00754540"/>
    <w:rsid w:val="007545C3"/>
    <w:rsid w:val="00754B11"/>
    <w:rsid w:val="00754B73"/>
    <w:rsid w:val="00755658"/>
    <w:rsid w:val="007556FD"/>
    <w:rsid w:val="0075650A"/>
    <w:rsid w:val="007568CE"/>
    <w:rsid w:val="00756A91"/>
    <w:rsid w:val="00757B68"/>
    <w:rsid w:val="00757E03"/>
    <w:rsid w:val="00757F4E"/>
    <w:rsid w:val="00760F9C"/>
    <w:rsid w:val="00761117"/>
    <w:rsid w:val="007615C6"/>
    <w:rsid w:val="00761A0E"/>
    <w:rsid w:val="00761E3A"/>
    <w:rsid w:val="007620BD"/>
    <w:rsid w:val="00762B7E"/>
    <w:rsid w:val="00763FD5"/>
    <w:rsid w:val="007641CC"/>
    <w:rsid w:val="00764C92"/>
    <w:rsid w:val="00765123"/>
    <w:rsid w:val="007656D8"/>
    <w:rsid w:val="00765A79"/>
    <w:rsid w:val="00765C14"/>
    <w:rsid w:val="00765CFE"/>
    <w:rsid w:val="0076680E"/>
    <w:rsid w:val="007674BE"/>
    <w:rsid w:val="007675DF"/>
    <w:rsid w:val="007678D5"/>
    <w:rsid w:val="00770749"/>
    <w:rsid w:val="00770C60"/>
    <w:rsid w:val="007710DB"/>
    <w:rsid w:val="0077112A"/>
    <w:rsid w:val="007714DD"/>
    <w:rsid w:val="007717F8"/>
    <w:rsid w:val="00771F29"/>
    <w:rsid w:val="00771F83"/>
    <w:rsid w:val="00771FEE"/>
    <w:rsid w:val="007722F2"/>
    <w:rsid w:val="007729DC"/>
    <w:rsid w:val="00772AD4"/>
    <w:rsid w:val="00772D5F"/>
    <w:rsid w:val="0077301B"/>
    <w:rsid w:val="007733E1"/>
    <w:rsid w:val="007734B4"/>
    <w:rsid w:val="00774D7F"/>
    <w:rsid w:val="00774E5A"/>
    <w:rsid w:val="0077573D"/>
    <w:rsid w:val="00775A1E"/>
    <w:rsid w:val="00776B8F"/>
    <w:rsid w:val="00776E53"/>
    <w:rsid w:val="00777E08"/>
    <w:rsid w:val="007811E7"/>
    <w:rsid w:val="007815D5"/>
    <w:rsid w:val="00782C14"/>
    <w:rsid w:val="007834D8"/>
    <w:rsid w:val="0078387B"/>
    <w:rsid w:val="00783A2D"/>
    <w:rsid w:val="00783C16"/>
    <w:rsid w:val="007841C4"/>
    <w:rsid w:val="007847CA"/>
    <w:rsid w:val="00784E40"/>
    <w:rsid w:val="00784E41"/>
    <w:rsid w:val="0078529C"/>
    <w:rsid w:val="00785568"/>
    <w:rsid w:val="00785B35"/>
    <w:rsid w:val="00785E0F"/>
    <w:rsid w:val="00785F84"/>
    <w:rsid w:val="00786553"/>
    <w:rsid w:val="007868E8"/>
    <w:rsid w:val="00787485"/>
    <w:rsid w:val="00787691"/>
    <w:rsid w:val="00787E75"/>
    <w:rsid w:val="00790190"/>
    <w:rsid w:val="007902D1"/>
    <w:rsid w:val="0079079D"/>
    <w:rsid w:val="00791B52"/>
    <w:rsid w:val="00791B96"/>
    <w:rsid w:val="00792006"/>
    <w:rsid w:val="0079401D"/>
    <w:rsid w:val="007940D6"/>
    <w:rsid w:val="007951A8"/>
    <w:rsid w:val="00795B76"/>
    <w:rsid w:val="0079695D"/>
    <w:rsid w:val="00796FA3"/>
    <w:rsid w:val="0079719C"/>
    <w:rsid w:val="0079748D"/>
    <w:rsid w:val="007975C4"/>
    <w:rsid w:val="007979BE"/>
    <w:rsid w:val="00797BE8"/>
    <w:rsid w:val="007A0701"/>
    <w:rsid w:val="007A0F6E"/>
    <w:rsid w:val="007A1565"/>
    <w:rsid w:val="007A162C"/>
    <w:rsid w:val="007A1C1E"/>
    <w:rsid w:val="007A1CAC"/>
    <w:rsid w:val="007A26D6"/>
    <w:rsid w:val="007A27B6"/>
    <w:rsid w:val="007A2952"/>
    <w:rsid w:val="007A29A0"/>
    <w:rsid w:val="007A2D60"/>
    <w:rsid w:val="007A2D66"/>
    <w:rsid w:val="007A2E63"/>
    <w:rsid w:val="007A362C"/>
    <w:rsid w:val="007A3794"/>
    <w:rsid w:val="007A385D"/>
    <w:rsid w:val="007A3872"/>
    <w:rsid w:val="007A392D"/>
    <w:rsid w:val="007A3AE2"/>
    <w:rsid w:val="007A3FAF"/>
    <w:rsid w:val="007A43AC"/>
    <w:rsid w:val="007A4806"/>
    <w:rsid w:val="007A52A4"/>
    <w:rsid w:val="007A557A"/>
    <w:rsid w:val="007A5B41"/>
    <w:rsid w:val="007A6040"/>
    <w:rsid w:val="007A653D"/>
    <w:rsid w:val="007A68F7"/>
    <w:rsid w:val="007A6D32"/>
    <w:rsid w:val="007A733F"/>
    <w:rsid w:val="007A7CB9"/>
    <w:rsid w:val="007B0453"/>
    <w:rsid w:val="007B098A"/>
    <w:rsid w:val="007B11E5"/>
    <w:rsid w:val="007B134D"/>
    <w:rsid w:val="007B21CE"/>
    <w:rsid w:val="007B2380"/>
    <w:rsid w:val="007B39F6"/>
    <w:rsid w:val="007B3C3E"/>
    <w:rsid w:val="007B3C76"/>
    <w:rsid w:val="007B4CBB"/>
    <w:rsid w:val="007B5A8A"/>
    <w:rsid w:val="007B617D"/>
    <w:rsid w:val="007B6659"/>
    <w:rsid w:val="007B6E29"/>
    <w:rsid w:val="007B7082"/>
    <w:rsid w:val="007B72E2"/>
    <w:rsid w:val="007C0CF1"/>
    <w:rsid w:val="007C1B7B"/>
    <w:rsid w:val="007C1B97"/>
    <w:rsid w:val="007C2443"/>
    <w:rsid w:val="007C25B3"/>
    <w:rsid w:val="007C2672"/>
    <w:rsid w:val="007C289A"/>
    <w:rsid w:val="007C2D7C"/>
    <w:rsid w:val="007C30D5"/>
    <w:rsid w:val="007C329F"/>
    <w:rsid w:val="007C35B8"/>
    <w:rsid w:val="007C3924"/>
    <w:rsid w:val="007C3A25"/>
    <w:rsid w:val="007C3A60"/>
    <w:rsid w:val="007C3C41"/>
    <w:rsid w:val="007C3E2A"/>
    <w:rsid w:val="007C40D0"/>
    <w:rsid w:val="007C4197"/>
    <w:rsid w:val="007C4629"/>
    <w:rsid w:val="007C52F1"/>
    <w:rsid w:val="007C548E"/>
    <w:rsid w:val="007C56FB"/>
    <w:rsid w:val="007C62DE"/>
    <w:rsid w:val="007C633B"/>
    <w:rsid w:val="007C6923"/>
    <w:rsid w:val="007C7946"/>
    <w:rsid w:val="007C7AEA"/>
    <w:rsid w:val="007D01AB"/>
    <w:rsid w:val="007D01E1"/>
    <w:rsid w:val="007D06F1"/>
    <w:rsid w:val="007D0843"/>
    <w:rsid w:val="007D08C3"/>
    <w:rsid w:val="007D141A"/>
    <w:rsid w:val="007D15A2"/>
    <w:rsid w:val="007D2133"/>
    <w:rsid w:val="007D2376"/>
    <w:rsid w:val="007D2E38"/>
    <w:rsid w:val="007D3B89"/>
    <w:rsid w:val="007D3F11"/>
    <w:rsid w:val="007D42C2"/>
    <w:rsid w:val="007D470A"/>
    <w:rsid w:val="007D4BC3"/>
    <w:rsid w:val="007D4F86"/>
    <w:rsid w:val="007D50A5"/>
    <w:rsid w:val="007D605C"/>
    <w:rsid w:val="007D6276"/>
    <w:rsid w:val="007D65DC"/>
    <w:rsid w:val="007D7934"/>
    <w:rsid w:val="007D7A9A"/>
    <w:rsid w:val="007D7E34"/>
    <w:rsid w:val="007D7F4E"/>
    <w:rsid w:val="007E01FA"/>
    <w:rsid w:val="007E0AD0"/>
    <w:rsid w:val="007E0CD7"/>
    <w:rsid w:val="007E0E1C"/>
    <w:rsid w:val="007E138C"/>
    <w:rsid w:val="007E1933"/>
    <w:rsid w:val="007E1D39"/>
    <w:rsid w:val="007E28A4"/>
    <w:rsid w:val="007E2A79"/>
    <w:rsid w:val="007E310D"/>
    <w:rsid w:val="007E3135"/>
    <w:rsid w:val="007E35A5"/>
    <w:rsid w:val="007E376F"/>
    <w:rsid w:val="007E4EDD"/>
    <w:rsid w:val="007E525A"/>
    <w:rsid w:val="007E6BC1"/>
    <w:rsid w:val="007E6D48"/>
    <w:rsid w:val="007E6DB1"/>
    <w:rsid w:val="007E6E59"/>
    <w:rsid w:val="007E70DC"/>
    <w:rsid w:val="007E75D7"/>
    <w:rsid w:val="007E76E2"/>
    <w:rsid w:val="007F00E5"/>
    <w:rsid w:val="007F0431"/>
    <w:rsid w:val="007F084E"/>
    <w:rsid w:val="007F0979"/>
    <w:rsid w:val="007F0ADF"/>
    <w:rsid w:val="007F0DAE"/>
    <w:rsid w:val="007F15D8"/>
    <w:rsid w:val="007F180E"/>
    <w:rsid w:val="007F1C51"/>
    <w:rsid w:val="007F2423"/>
    <w:rsid w:val="007F2517"/>
    <w:rsid w:val="007F2754"/>
    <w:rsid w:val="007F2C33"/>
    <w:rsid w:val="007F2E85"/>
    <w:rsid w:val="007F3288"/>
    <w:rsid w:val="007F35A6"/>
    <w:rsid w:val="007F39FD"/>
    <w:rsid w:val="007F40DF"/>
    <w:rsid w:val="007F4A32"/>
    <w:rsid w:val="007F4A57"/>
    <w:rsid w:val="007F5143"/>
    <w:rsid w:val="007F52B3"/>
    <w:rsid w:val="007F5B67"/>
    <w:rsid w:val="007F5BEA"/>
    <w:rsid w:val="007F5DBA"/>
    <w:rsid w:val="007F5F0A"/>
    <w:rsid w:val="007F5F8C"/>
    <w:rsid w:val="007F63B9"/>
    <w:rsid w:val="007F64FA"/>
    <w:rsid w:val="008003C5"/>
    <w:rsid w:val="0080046B"/>
    <w:rsid w:val="008008FF"/>
    <w:rsid w:val="00800E02"/>
    <w:rsid w:val="00801808"/>
    <w:rsid w:val="00801C6E"/>
    <w:rsid w:val="00801CCC"/>
    <w:rsid w:val="00801D73"/>
    <w:rsid w:val="00802328"/>
    <w:rsid w:val="00802435"/>
    <w:rsid w:val="00802B57"/>
    <w:rsid w:val="00803190"/>
    <w:rsid w:val="00803B29"/>
    <w:rsid w:val="008042D3"/>
    <w:rsid w:val="00804316"/>
    <w:rsid w:val="008046D1"/>
    <w:rsid w:val="0080489E"/>
    <w:rsid w:val="00804DFC"/>
    <w:rsid w:val="0080512E"/>
    <w:rsid w:val="008057EE"/>
    <w:rsid w:val="00805AC1"/>
    <w:rsid w:val="00805D6E"/>
    <w:rsid w:val="00805F34"/>
    <w:rsid w:val="0080621F"/>
    <w:rsid w:val="00806393"/>
    <w:rsid w:val="008063B6"/>
    <w:rsid w:val="00806EEB"/>
    <w:rsid w:val="0081012D"/>
    <w:rsid w:val="0081022B"/>
    <w:rsid w:val="00810779"/>
    <w:rsid w:val="00810CC4"/>
    <w:rsid w:val="00810DD2"/>
    <w:rsid w:val="00810E64"/>
    <w:rsid w:val="00811212"/>
    <w:rsid w:val="008113A9"/>
    <w:rsid w:val="00811629"/>
    <w:rsid w:val="008117AF"/>
    <w:rsid w:val="00811D11"/>
    <w:rsid w:val="00812810"/>
    <w:rsid w:val="008133C3"/>
    <w:rsid w:val="00813B69"/>
    <w:rsid w:val="00814374"/>
    <w:rsid w:val="008145E1"/>
    <w:rsid w:val="00814730"/>
    <w:rsid w:val="00814965"/>
    <w:rsid w:val="00814BF8"/>
    <w:rsid w:val="00815081"/>
    <w:rsid w:val="00816198"/>
    <w:rsid w:val="008163E6"/>
    <w:rsid w:val="00816407"/>
    <w:rsid w:val="00816727"/>
    <w:rsid w:val="008170AA"/>
    <w:rsid w:val="00817837"/>
    <w:rsid w:val="008178C9"/>
    <w:rsid w:val="00817DC1"/>
    <w:rsid w:val="00817EB6"/>
    <w:rsid w:val="00820138"/>
    <w:rsid w:val="00820164"/>
    <w:rsid w:val="00820B3F"/>
    <w:rsid w:val="00820E21"/>
    <w:rsid w:val="0082105A"/>
    <w:rsid w:val="00821575"/>
    <w:rsid w:val="00822028"/>
    <w:rsid w:val="0082224B"/>
    <w:rsid w:val="008224B0"/>
    <w:rsid w:val="00822ABC"/>
    <w:rsid w:val="00822B03"/>
    <w:rsid w:val="0082321F"/>
    <w:rsid w:val="00823918"/>
    <w:rsid w:val="00823C45"/>
    <w:rsid w:val="00824012"/>
    <w:rsid w:val="008240FB"/>
    <w:rsid w:val="0082429C"/>
    <w:rsid w:val="00824ED4"/>
    <w:rsid w:val="008250FD"/>
    <w:rsid w:val="00825110"/>
    <w:rsid w:val="00825BE0"/>
    <w:rsid w:val="00825C5F"/>
    <w:rsid w:val="008261F5"/>
    <w:rsid w:val="008265F0"/>
    <w:rsid w:val="0082673C"/>
    <w:rsid w:val="00826B7D"/>
    <w:rsid w:val="00826CA1"/>
    <w:rsid w:val="00826DFE"/>
    <w:rsid w:val="00826FD2"/>
    <w:rsid w:val="00827266"/>
    <w:rsid w:val="0082775E"/>
    <w:rsid w:val="008278DD"/>
    <w:rsid w:val="00827F36"/>
    <w:rsid w:val="00830011"/>
    <w:rsid w:val="0083083E"/>
    <w:rsid w:val="008308F5"/>
    <w:rsid w:val="00830C41"/>
    <w:rsid w:val="0083136F"/>
    <w:rsid w:val="008313AD"/>
    <w:rsid w:val="00832B8F"/>
    <w:rsid w:val="00832DF7"/>
    <w:rsid w:val="00833332"/>
    <w:rsid w:val="00833A5E"/>
    <w:rsid w:val="00833BD6"/>
    <w:rsid w:val="008340E1"/>
    <w:rsid w:val="0083410A"/>
    <w:rsid w:val="00834AFD"/>
    <w:rsid w:val="008356DE"/>
    <w:rsid w:val="00836663"/>
    <w:rsid w:val="008368ED"/>
    <w:rsid w:val="00836AE4"/>
    <w:rsid w:val="008378AB"/>
    <w:rsid w:val="00837924"/>
    <w:rsid w:val="00837AB1"/>
    <w:rsid w:val="008405AC"/>
    <w:rsid w:val="00840AE0"/>
    <w:rsid w:val="00840D69"/>
    <w:rsid w:val="00840E7F"/>
    <w:rsid w:val="00840FDB"/>
    <w:rsid w:val="00841439"/>
    <w:rsid w:val="008418B0"/>
    <w:rsid w:val="00841A3F"/>
    <w:rsid w:val="0084209C"/>
    <w:rsid w:val="00842736"/>
    <w:rsid w:val="0084274F"/>
    <w:rsid w:val="00843004"/>
    <w:rsid w:val="0084338A"/>
    <w:rsid w:val="008433F6"/>
    <w:rsid w:val="00843F33"/>
    <w:rsid w:val="0084482E"/>
    <w:rsid w:val="00845179"/>
    <w:rsid w:val="008457B0"/>
    <w:rsid w:val="008461B0"/>
    <w:rsid w:val="00846356"/>
    <w:rsid w:val="0084641B"/>
    <w:rsid w:val="00846B4F"/>
    <w:rsid w:val="00846D27"/>
    <w:rsid w:val="00847154"/>
    <w:rsid w:val="00850439"/>
    <w:rsid w:val="00850848"/>
    <w:rsid w:val="008508C0"/>
    <w:rsid w:val="008508DE"/>
    <w:rsid w:val="00850FCC"/>
    <w:rsid w:val="0085165B"/>
    <w:rsid w:val="00851BA8"/>
    <w:rsid w:val="00851D97"/>
    <w:rsid w:val="00851E17"/>
    <w:rsid w:val="00852477"/>
    <w:rsid w:val="008525B4"/>
    <w:rsid w:val="008527EE"/>
    <w:rsid w:val="00852985"/>
    <w:rsid w:val="00852BAA"/>
    <w:rsid w:val="00852EC2"/>
    <w:rsid w:val="008530F6"/>
    <w:rsid w:val="008537B2"/>
    <w:rsid w:val="0085395B"/>
    <w:rsid w:val="00853E19"/>
    <w:rsid w:val="00854879"/>
    <w:rsid w:val="00854904"/>
    <w:rsid w:val="00854C0B"/>
    <w:rsid w:val="00854D8E"/>
    <w:rsid w:val="0085538E"/>
    <w:rsid w:val="00855433"/>
    <w:rsid w:val="00855571"/>
    <w:rsid w:val="008555BF"/>
    <w:rsid w:val="00856119"/>
    <w:rsid w:val="008561F1"/>
    <w:rsid w:val="0085679C"/>
    <w:rsid w:val="00856CD6"/>
    <w:rsid w:val="0085772E"/>
    <w:rsid w:val="00857E82"/>
    <w:rsid w:val="0086051E"/>
    <w:rsid w:val="008605C0"/>
    <w:rsid w:val="008606F4"/>
    <w:rsid w:val="00861528"/>
    <w:rsid w:val="0086155A"/>
    <w:rsid w:val="00861BDD"/>
    <w:rsid w:val="00861EE1"/>
    <w:rsid w:val="0086230E"/>
    <w:rsid w:val="00862754"/>
    <w:rsid w:val="00862940"/>
    <w:rsid w:val="0086348D"/>
    <w:rsid w:val="00863DCA"/>
    <w:rsid w:val="008654BB"/>
    <w:rsid w:val="00865893"/>
    <w:rsid w:val="00866480"/>
    <w:rsid w:val="00866D69"/>
    <w:rsid w:val="00867B60"/>
    <w:rsid w:val="00867B6B"/>
    <w:rsid w:val="00867EF9"/>
    <w:rsid w:val="0087036A"/>
    <w:rsid w:val="008703FB"/>
    <w:rsid w:val="008712E7"/>
    <w:rsid w:val="008713EA"/>
    <w:rsid w:val="00871E3B"/>
    <w:rsid w:val="0087233E"/>
    <w:rsid w:val="008724EE"/>
    <w:rsid w:val="00872A44"/>
    <w:rsid w:val="00872B33"/>
    <w:rsid w:val="00872E20"/>
    <w:rsid w:val="008738BB"/>
    <w:rsid w:val="00873905"/>
    <w:rsid w:val="00873EED"/>
    <w:rsid w:val="008740B9"/>
    <w:rsid w:val="00874873"/>
    <w:rsid w:val="00874AC1"/>
    <w:rsid w:val="00874C59"/>
    <w:rsid w:val="00874CCF"/>
    <w:rsid w:val="008754EC"/>
    <w:rsid w:val="0087580F"/>
    <w:rsid w:val="00875900"/>
    <w:rsid w:val="00875A50"/>
    <w:rsid w:val="00876B41"/>
    <w:rsid w:val="00876FB5"/>
    <w:rsid w:val="008773DF"/>
    <w:rsid w:val="00877877"/>
    <w:rsid w:val="00877925"/>
    <w:rsid w:val="0087794F"/>
    <w:rsid w:val="00877B16"/>
    <w:rsid w:val="00877E4D"/>
    <w:rsid w:val="00877F9A"/>
    <w:rsid w:val="008802CE"/>
    <w:rsid w:val="00880861"/>
    <w:rsid w:val="008810B0"/>
    <w:rsid w:val="0088154D"/>
    <w:rsid w:val="00881611"/>
    <w:rsid w:val="008816D2"/>
    <w:rsid w:val="00881739"/>
    <w:rsid w:val="00881A1F"/>
    <w:rsid w:val="00881B3F"/>
    <w:rsid w:val="00881F7B"/>
    <w:rsid w:val="0088218F"/>
    <w:rsid w:val="0088267B"/>
    <w:rsid w:val="00882D8D"/>
    <w:rsid w:val="008831AA"/>
    <w:rsid w:val="008838A3"/>
    <w:rsid w:val="00883AF1"/>
    <w:rsid w:val="00883FA2"/>
    <w:rsid w:val="008842DB"/>
    <w:rsid w:val="00884761"/>
    <w:rsid w:val="00884CAB"/>
    <w:rsid w:val="008850BC"/>
    <w:rsid w:val="00885595"/>
    <w:rsid w:val="00885753"/>
    <w:rsid w:val="008858A1"/>
    <w:rsid w:val="0088607D"/>
    <w:rsid w:val="008860A3"/>
    <w:rsid w:val="00886652"/>
    <w:rsid w:val="00886939"/>
    <w:rsid w:val="008870FE"/>
    <w:rsid w:val="00887290"/>
    <w:rsid w:val="0088781E"/>
    <w:rsid w:val="00887AD3"/>
    <w:rsid w:val="00887F71"/>
    <w:rsid w:val="00890432"/>
    <w:rsid w:val="00891130"/>
    <w:rsid w:val="0089171E"/>
    <w:rsid w:val="00891F3B"/>
    <w:rsid w:val="00892254"/>
    <w:rsid w:val="0089229E"/>
    <w:rsid w:val="008924A2"/>
    <w:rsid w:val="00892579"/>
    <w:rsid w:val="008928FC"/>
    <w:rsid w:val="00892C3A"/>
    <w:rsid w:val="00892CC5"/>
    <w:rsid w:val="008930F4"/>
    <w:rsid w:val="008932EE"/>
    <w:rsid w:val="0089331F"/>
    <w:rsid w:val="00893C47"/>
    <w:rsid w:val="00893D4F"/>
    <w:rsid w:val="0089408D"/>
    <w:rsid w:val="00894792"/>
    <w:rsid w:val="008947FA"/>
    <w:rsid w:val="00895029"/>
    <w:rsid w:val="0089533F"/>
    <w:rsid w:val="00895709"/>
    <w:rsid w:val="00895C23"/>
    <w:rsid w:val="00895F19"/>
    <w:rsid w:val="00896220"/>
    <w:rsid w:val="008963DA"/>
    <w:rsid w:val="008969E4"/>
    <w:rsid w:val="008974A9"/>
    <w:rsid w:val="008976AC"/>
    <w:rsid w:val="00897DEA"/>
    <w:rsid w:val="008A0182"/>
    <w:rsid w:val="008A0886"/>
    <w:rsid w:val="008A0888"/>
    <w:rsid w:val="008A0C3C"/>
    <w:rsid w:val="008A0F6A"/>
    <w:rsid w:val="008A1018"/>
    <w:rsid w:val="008A16A2"/>
    <w:rsid w:val="008A2637"/>
    <w:rsid w:val="008A2954"/>
    <w:rsid w:val="008A29AC"/>
    <w:rsid w:val="008A3285"/>
    <w:rsid w:val="008A3CFB"/>
    <w:rsid w:val="008A4480"/>
    <w:rsid w:val="008A4560"/>
    <w:rsid w:val="008A4F9F"/>
    <w:rsid w:val="008A539B"/>
    <w:rsid w:val="008A5669"/>
    <w:rsid w:val="008A57B1"/>
    <w:rsid w:val="008A594E"/>
    <w:rsid w:val="008A59E9"/>
    <w:rsid w:val="008A5BBB"/>
    <w:rsid w:val="008A60DA"/>
    <w:rsid w:val="008A6100"/>
    <w:rsid w:val="008A65E7"/>
    <w:rsid w:val="008A65F9"/>
    <w:rsid w:val="008A6F85"/>
    <w:rsid w:val="008A76B4"/>
    <w:rsid w:val="008A78FA"/>
    <w:rsid w:val="008A7CBB"/>
    <w:rsid w:val="008A7F30"/>
    <w:rsid w:val="008B00E3"/>
    <w:rsid w:val="008B020A"/>
    <w:rsid w:val="008B0A4C"/>
    <w:rsid w:val="008B0B6F"/>
    <w:rsid w:val="008B17D5"/>
    <w:rsid w:val="008B1B55"/>
    <w:rsid w:val="008B21B1"/>
    <w:rsid w:val="008B2217"/>
    <w:rsid w:val="008B28AF"/>
    <w:rsid w:val="008B35B2"/>
    <w:rsid w:val="008B39EA"/>
    <w:rsid w:val="008B42D4"/>
    <w:rsid w:val="008B49BC"/>
    <w:rsid w:val="008B4BB6"/>
    <w:rsid w:val="008B4BC5"/>
    <w:rsid w:val="008B4F8F"/>
    <w:rsid w:val="008B5521"/>
    <w:rsid w:val="008B573C"/>
    <w:rsid w:val="008B65E9"/>
    <w:rsid w:val="008B662C"/>
    <w:rsid w:val="008B693A"/>
    <w:rsid w:val="008B6DEE"/>
    <w:rsid w:val="008B711B"/>
    <w:rsid w:val="008B7520"/>
    <w:rsid w:val="008B7671"/>
    <w:rsid w:val="008B78BC"/>
    <w:rsid w:val="008B7E49"/>
    <w:rsid w:val="008B7E69"/>
    <w:rsid w:val="008C0CB1"/>
    <w:rsid w:val="008C0E88"/>
    <w:rsid w:val="008C1E0A"/>
    <w:rsid w:val="008C22CB"/>
    <w:rsid w:val="008C2404"/>
    <w:rsid w:val="008C2801"/>
    <w:rsid w:val="008C2812"/>
    <w:rsid w:val="008C28FA"/>
    <w:rsid w:val="008C2D7B"/>
    <w:rsid w:val="008C2E11"/>
    <w:rsid w:val="008C34C7"/>
    <w:rsid w:val="008C3724"/>
    <w:rsid w:val="008C3B58"/>
    <w:rsid w:val="008C3C6D"/>
    <w:rsid w:val="008C3FFB"/>
    <w:rsid w:val="008C48EF"/>
    <w:rsid w:val="008C4ED0"/>
    <w:rsid w:val="008C5394"/>
    <w:rsid w:val="008C55A1"/>
    <w:rsid w:val="008C56CA"/>
    <w:rsid w:val="008C5899"/>
    <w:rsid w:val="008C58AD"/>
    <w:rsid w:val="008C6104"/>
    <w:rsid w:val="008C6AEE"/>
    <w:rsid w:val="008C6BD7"/>
    <w:rsid w:val="008C7F8D"/>
    <w:rsid w:val="008D0433"/>
    <w:rsid w:val="008D0C9C"/>
    <w:rsid w:val="008D0E74"/>
    <w:rsid w:val="008D0FE3"/>
    <w:rsid w:val="008D12A2"/>
    <w:rsid w:val="008D19DB"/>
    <w:rsid w:val="008D1A4B"/>
    <w:rsid w:val="008D1B2C"/>
    <w:rsid w:val="008D1BD8"/>
    <w:rsid w:val="008D1D13"/>
    <w:rsid w:val="008D1F95"/>
    <w:rsid w:val="008D2079"/>
    <w:rsid w:val="008D215B"/>
    <w:rsid w:val="008D22DD"/>
    <w:rsid w:val="008D2C11"/>
    <w:rsid w:val="008D2CCF"/>
    <w:rsid w:val="008D3493"/>
    <w:rsid w:val="008D38E5"/>
    <w:rsid w:val="008D39B8"/>
    <w:rsid w:val="008D3A6A"/>
    <w:rsid w:val="008D3D7A"/>
    <w:rsid w:val="008D3F0C"/>
    <w:rsid w:val="008D400D"/>
    <w:rsid w:val="008D4027"/>
    <w:rsid w:val="008D412D"/>
    <w:rsid w:val="008D4DED"/>
    <w:rsid w:val="008D5091"/>
    <w:rsid w:val="008D6953"/>
    <w:rsid w:val="008D6DD6"/>
    <w:rsid w:val="008D7871"/>
    <w:rsid w:val="008D7AFB"/>
    <w:rsid w:val="008E00A6"/>
    <w:rsid w:val="008E00D1"/>
    <w:rsid w:val="008E033F"/>
    <w:rsid w:val="008E1327"/>
    <w:rsid w:val="008E1A52"/>
    <w:rsid w:val="008E1A94"/>
    <w:rsid w:val="008E3601"/>
    <w:rsid w:val="008E3639"/>
    <w:rsid w:val="008E3863"/>
    <w:rsid w:val="008E4035"/>
    <w:rsid w:val="008E42A7"/>
    <w:rsid w:val="008E4403"/>
    <w:rsid w:val="008E4723"/>
    <w:rsid w:val="008E515E"/>
    <w:rsid w:val="008E5899"/>
    <w:rsid w:val="008E616C"/>
    <w:rsid w:val="008E65AA"/>
    <w:rsid w:val="008E65E6"/>
    <w:rsid w:val="008E69D4"/>
    <w:rsid w:val="008E6BB9"/>
    <w:rsid w:val="008E6CBF"/>
    <w:rsid w:val="008E7254"/>
    <w:rsid w:val="008E7D6D"/>
    <w:rsid w:val="008E7DE2"/>
    <w:rsid w:val="008F019B"/>
    <w:rsid w:val="008F0611"/>
    <w:rsid w:val="008F071B"/>
    <w:rsid w:val="008F0AC1"/>
    <w:rsid w:val="008F1364"/>
    <w:rsid w:val="008F1984"/>
    <w:rsid w:val="008F1D9D"/>
    <w:rsid w:val="008F1F5B"/>
    <w:rsid w:val="008F2144"/>
    <w:rsid w:val="008F216E"/>
    <w:rsid w:val="008F2337"/>
    <w:rsid w:val="008F23E4"/>
    <w:rsid w:val="008F27BF"/>
    <w:rsid w:val="008F323A"/>
    <w:rsid w:val="008F3A0B"/>
    <w:rsid w:val="008F412C"/>
    <w:rsid w:val="008F434B"/>
    <w:rsid w:val="008F43F0"/>
    <w:rsid w:val="008F4A74"/>
    <w:rsid w:val="008F4F9B"/>
    <w:rsid w:val="008F5374"/>
    <w:rsid w:val="008F59A2"/>
    <w:rsid w:val="008F5BEE"/>
    <w:rsid w:val="008F5FEB"/>
    <w:rsid w:val="008F73D9"/>
    <w:rsid w:val="008F749D"/>
    <w:rsid w:val="008F760D"/>
    <w:rsid w:val="008F7706"/>
    <w:rsid w:val="008F783D"/>
    <w:rsid w:val="008F7A17"/>
    <w:rsid w:val="008F7C4E"/>
    <w:rsid w:val="008F7E2F"/>
    <w:rsid w:val="0090048A"/>
    <w:rsid w:val="00900BBD"/>
    <w:rsid w:val="00901211"/>
    <w:rsid w:val="00901366"/>
    <w:rsid w:val="00901B74"/>
    <w:rsid w:val="009023F0"/>
    <w:rsid w:val="0090240E"/>
    <w:rsid w:val="009034A3"/>
    <w:rsid w:val="0090370E"/>
    <w:rsid w:val="00903899"/>
    <w:rsid w:val="009038D0"/>
    <w:rsid w:val="009040A3"/>
    <w:rsid w:val="009047A1"/>
    <w:rsid w:val="00905207"/>
    <w:rsid w:val="00905BE4"/>
    <w:rsid w:val="00905FA2"/>
    <w:rsid w:val="0090621B"/>
    <w:rsid w:val="0090630F"/>
    <w:rsid w:val="00907316"/>
    <w:rsid w:val="009078CD"/>
    <w:rsid w:val="0090798B"/>
    <w:rsid w:val="00907C0C"/>
    <w:rsid w:val="009104B3"/>
    <w:rsid w:val="009107F2"/>
    <w:rsid w:val="00911DD5"/>
    <w:rsid w:val="009120E5"/>
    <w:rsid w:val="00913259"/>
    <w:rsid w:val="009134D7"/>
    <w:rsid w:val="0091360F"/>
    <w:rsid w:val="00913B48"/>
    <w:rsid w:val="009140BA"/>
    <w:rsid w:val="00914365"/>
    <w:rsid w:val="0091441D"/>
    <w:rsid w:val="0091447F"/>
    <w:rsid w:val="00914880"/>
    <w:rsid w:val="00915424"/>
    <w:rsid w:val="009157BC"/>
    <w:rsid w:val="009158A1"/>
    <w:rsid w:val="00915C80"/>
    <w:rsid w:val="00915FFE"/>
    <w:rsid w:val="0091676B"/>
    <w:rsid w:val="00916973"/>
    <w:rsid w:val="00916C72"/>
    <w:rsid w:val="00916D8C"/>
    <w:rsid w:val="00916E29"/>
    <w:rsid w:val="00917370"/>
    <w:rsid w:val="00917844"/>
    <w:rsid w:val="00917A0E"/>
    <w:rsid w:val="00920653"/>
    <w:rsid w:val="009207E3"/>
    <w:rsid w:val="00920C1E"/>
    <w:rsid w:val="00920E77"/>
    <w:rsid w:val="009212E2"/>
    <w:rsid w:val="00921A1A"/>
    <w:rsid w:val="00921AAF"/>
    <w:rsid w:val="00922366"/>
    <w:rsid w:val="0092295C"/>
    <w:rsid w:val="00922980"/>
    <w:rsid w:val="009232B4"/>
    <w:rsid w:val="00923606"/>
    <w:rsid w:val="00923D93"/>
    <w:rsid w:val="00924488"/>
    <w:rsid w:val="009247D1"/>
    <w:rsid w:val="00924C47"/>
    <w:rsid w:val="00924E38"/>
    <w:rsid w:val="00925483"/>
    <w:rsid w:val="009260B0"/>
    <w:rsid w:val="00926183"/>
    <w:rsid w:val="00926314"/>
    <w:rsid w:val="00926D88"/>
    <w:rsid w:val="00927701"/>
    <w:rsid w:val="00931324"/>
    <w:rsid w:val="009315A7"/>
    <w:rsid w:val="00931893"/>
    <w:rsid w:val="00931AAD"/>
    <w:rsid w:val="00931F77"/>
    <w:rsid w:val="00932D0F"/>
    <w:rsid w:val="00933279"/>
    <w:rsid w:val="009334CF"/>
    <w:rsid w:val="0093367E"/>
    <w:rsid w:val="00933B51"/>
    <w:rsid w:val="00933C5E"/>
    <w:rsid w:val="00933EE6"/>
    <w:rsid w:val="00934240"/>
    <w:rsid w:val="009354FB"/>
    <w:rsid w:val="00935677"/>
    <w:rsid w:val="00935768"/>
    <w:rsid w:val="00935808"/>
    <w:rsid w:val="009359E4"/>
    <w:rsid w:val="00936123"/>
    <w:rsid w:val="0093616A"/>
    <w:rsid w:val="00936210"/>
    <w:rsid w:val="0093675B"/>
    <w:rsid w:val="009367F6"/>
    <w:rsid w:val="00936BBB"/>
    <w:rsid w:val="00936F8F"/>
    <w:rsid w:val="0093718C"/>
    <w:rsid w:val="009375A4"/>
    <w:rsid w:val="0093760B"/>
    <w:rsid w:val="00937C03"/>
    <w:rsid w:val="00937CE0"/>
    <w:rsid w:val="00940C58"/>
    <w:rsid w:val="00940E24"/>
    <w:rsid w:val="0094148B"/>
    <w:rsid w:val="00941526"/>
    <w:rsid w:val="00942112"/>
    <w:rsid w:val="00942585"/>
    <w:rsid w:val="009426E3"/>
    <w:rsid w:val="00942F75"/>
    <w:rsid w:val="009432E3"/>
    <w:rsid w:val="009436A6"/>
    <w:rsid w:val="0094377A"/>
    <w:rsid w:val="009439D4"/>
    <w:rsid w:val="0094439F"/>
    <w:rsid w:val="00944427"/>
    <w:rsid w:val="00944531"/>
    <w:rsid w:val="0094460A"/>
    <w:rsid w:val="0094462E"/>
    <w:rsid w:val="00944971"/>
    <w:rsid w:val="00944EEF"/>
    <w:rsid w:val="009450AE"/>
    <w:rsid w:val="009452F5"/>
    <w:rsid w:val="00945872"/>
    <w:rsid w:val="009464E7"/>
    <w:rsid w:val="0094662E"/>
    <w:rsid w:val="009467D6"/>
    <w:rsid w:val="009467EC"/>
    <w:rsid w:val="00946D2A"/>
    <w:rsid w:val="00946F32"/>
    <w:rsid w:val="009473DE"/>
    <w:rsid w:val="009473FD"/>
    <w:rsid w:val="00947455"/>
    <w:rsid w:val="009474D2"/>
    <w:rsid w:val="009479B2"/>
    <w:rsid w:val="00947E26"/>
    <w:rsid w:val="009500BE"/>
    <w:rsid w:val="009501D2"/>
    <w:rsid w:val="0095065A"/>
    <w:rsid w:val="009508A6"/>
    <w:rsid w:val="00950CE5"/>
    <w:rsid w:val="009518F6"/>
    <w:rsid w:val="00951B6E"/>
    <w:rsid w:val="00951BB0"/>
    <w:rsid w:val="00951C21"/>
    <w:rsid w:val="00952E9E"/>
    <w:rsid w:val="0095323F"/>
    <w:rsid w:val="009533E9"/>
    <w:rsid w:val="00953C55"/>
    <w:rsid w:val="00953CB4"/>
    <w:rsid w:val="00953D93"/>
    <w:rsid w:val="00953FDC"/>
    <w:rsid w:val="0095417A"/>
    <w:rsid w:val="00954E71"/>
    <w:rsid w:val="00954F08"/>
    <w:rsid w:val="00956100"/>
    <w:rsid w:val="00956C9A"/>
    <w:rsid w:val="009574E8"/>
    <w:rsid w:val="00957553"/>
    <w:rsid w:val="009577F6"/>
    <w:rsid w:val="00957DB3"/>
    <w:rsid w:val="00960C80"/>
    <w:rsid w:val="00960D73"/>
    <w:rsid w:val="0096158F"/>
    <w:rsid w:val="0096165A"/>
    <w:rsid w:val="00961CB8"/>
    <w:rsid w:val="00961DA2"/>
    <w:rsid w:val="0096213D"/>
    <w:rsid w:val="00962587"/>
    <w:rsid w:val="00962839"/>
    <w:rsid w:val="00962C70"/>
    <w:rsid w:val="00962ED9"/>
    <w:rsid w:val="009630D9"/>
    <w:rsid w:val="0096428B"/>
    <w:rsid w:val="0096454C"/>
    <w:rsid w:val="00964F51"/>
    <w:rsid w:val="00965584"/>
    <w:rsid w:val="009655EF"/>
    <w:rsid w:val="00965705"/>
    <w:rsid w:val="00966101"/>
    <w:rsid w:val="00966172"/>
    <w:rsid w:val="00966B2A"/>
    <w:rsid w:val="0096716A"/>
    <w:rsid w:val="00967667"/>
    <w:rsid w:val="00967797"/>
    <w:rsid w:val="00967E94"/>
    <w:rsid w:val="00970194"/>
    <w:rsid w:val="009709DB"/>
    <w:rsid w:val="00970CF2"/>
    <w:rsid w:val="00970E2F"/>
    <w:rsid w:val="0097132F"/>
    <w:rsid w:val="00971A37"/>
    <w:rsid w:val="00971A96"/>
    <w:rsid w:val="00971D4E"/>
    <w:rsid w:val="0097268C"/>
    <w:rsid w:val="009726F3"/>
    <w:rsid w:val="0097278D"/>
    <w:rsid w:val="009746EF"/>
    <w:rsid w:val="009747BC"/>
    <w:rsid w:val="00975A36"/>
    <w:rsid w:val="009768DE"/>
    <w:rsid w:val="00977569"/>
    <w:rsid w:val="0097766F"/>
    <w:rsid w:val="009801CE"/>
    <w:rsid w:val="009804E0"/>
    <w:rsid w:val="00980A02"/>
    <w:rsid w:val="00981485"/>
    <w:rsid w:val="00981CF7"/>
    <w:rsid w:val="00981EE1"/>
    <w:rsid w:val="0098201B"/>
    <w:rsid w:val="00982449"/>
    <w:rsid w:val="009828A9"/>
    <w:rsid w:val="00982916"/>
    <w:rsid w:val="00982B1F"/>
    <w:rsid w:val="00982CDA"/>
    <w:rsid w:val="0098364A"/>
    <w:rsid w:val="009836C7"/>
    <w:rsid w:val="009838ED"/>
    <w:rsid w:val="00983A3E"/>
    <w:rsid w:val="00983C2A"/>
    <w:rsid w:val="00983C3A"/>
    <w:rsid w:val="0098407A"/>
    <w:rsid w:val="009846C5"/>
    <w:rsid w:val="00984807"/>
    <w:rsid w:val="00984862"/>
    <w:rsid w:val="00984A00"/>
    <w:rsid w:val="00984B44"/>
    <w:rsid w:val="00984BBA"/>
    <w:rsid w:val="009851DD"/>
    <w:rsid w:val="00985315"/>
    <w:rsid w:val="0098564E"/>
    <w:rsid w:val="00985A60"/>
    <w:rsid w:val="00985B04"/>
    <w:rsid w:val="00985C45"/>
    <w:rsid w:val="00985F96"/>
    <w:rsid w:val="009861F1"/>
    <w:rsid w:val="00986B50"/>
    <w:rsid w:val="0098706D"/>
    <w:rsid w:val="00987787"/>
    <w:rsid w:val="00987947"/>
    <w:rsid w:val="00987BF0"/>
    <w:rsid w:val="00987DA2"/>
    <w:rsid w:val="00987EA2"/>
    <w:rsid w:val="00990700"/>
    <w:rsid w:val="00990A87"/>
    <w:rsid w:val="00990CEB"/>
    <w:rsid w:val="0099103B"/>
    <w:rsid w:val="0099107C"/>
    <w:rsid w:val="0099122C"/>
    <w:rsid w:val="0099166A"/>
    <w:rsid w:val="009928FA"/>
    <w:rsid w:val="009929F8"/>
    <w:rsid w:val="00992A65"/>
    <w:rsid w:val="00992A8C"/>
    <w:rsid w:val="00992AD9"/>
    <w:rsid w:val="00993245"/>
    <w:rsid w:val="0099352E"/>
    <w:rsid w:val="0099363C"/>
    <w:rsid w:val="00993DFF"/>
    <w:rsid w:val="00993EC8"/>
    <w:rsid w:val="0099430A"/>
    <w:rsid w:val="0099476A"/>
    <w:rsid w:val="00994807"/>
    <w:rsid w:val="00994F27"/>
    <w:rsid w:val="00994F34"/>
    <w:rsid w:val="009969F9"/>
    <w:rsid w:val="009976FB"/>
    <w:rsid w:val="0099787A"/>
    <w:rsid w:val="00997ACF"/>
    <w:rsid w:val="00997D37"/>
    <w:rsid w:val="009A0D57"/>
    <w:rsid w:val="009A0E7F"/>
    <w:rsid w:val="009A125A"/>
    <w:rsid w:val="009A1D1A"/>
    <w:rsid w:val="009A255B"/>
    <w:rsid w:val="009A2C0E"/>
    <w:rsid w:val="009A2E5A"/>
    <w:rsid w:val="009A2F58"/>
    <w:rsid w:val="009A34C0"/>
    <w:rsid w:val="009A37C4"/>
    <w:rsid w:val="009A3CE6"/>
    <w:rsid w:val="009A3F5A"/>
    <w:rsid w:val="009A49C7"/>
    <w:rsid w:val="009A4B2C"/>
    <w:rsid w:val="009A5280"/>
    <w:rsid w:val="009A6422"/>
    <w:rsid w:val="009A6922"/>
    <w:rsid w:val="009A6D61"/>
    <w:rsid w:val="009A6EA8"/>
    <w:rsid w:val="009A70B8"/>
    <w:rsid w:val="009A7251"/>
    <w:rsid w:val="009A7727"/>
    <w:rsid w:val="009A77B8"/>
    <w:rsid w:val="009A7B4E"/>
    <w:rsid w:val="009B003D"/>
    <w:rsid w:val="009B079E"/>
    <w:rsid w:val="009B096B"/>
    <w:rsid w:val="009B0BFD"/>
    <w:rsid w:val="009B0F70"/>
    <w:rsid w:val="009B1035"/>
    <w:rsid w:val="009B1075"/>
    <w:rsid w:val="009B1375"/>
    <w:rsid w:val="009B164B"/>
    <w:rsid w:val="009B1A8E"/>
    <w:rsid w:val="009B1C79"/>
    <w:rsid w:val="009B1FE1"/>
    <w:rsid w:val="009B20DF"/>
    <w:rsid w:val="009B21C7"/>
    <w:rsid w:val="009B23C6"/>
    <w:rsid w:val="009B2AE4"/>
    <w:rsid w:val="009B2C18"/>
    <w:rsid w:val="009B36D0"/>
    <w:rsid w:val="009B38D2"/>
    <w:rsid w:val="009B421B"/>
    <w:rsid w:val="009B44BC"/>
    <w:rsid w:val="009B514C"/>
    <w:rsid w:val="009B55CB"/>
    <w:rsid w:val="009B5EBE"/>
    <w:rsid w:val="009B6438"/>
    <w:rsid w:val="009B69FE"/>
    <w:rsid w:val="009B7575"/>
    <w:rsid w:val="009B78CE"/>
    <w:rsid w:val="009B7D06"/>
    <w:rsid w:val="009C003E"/>
    <w:rsid w:val="009C0151"/>
    <w:rsid w:val="009C024D"/>
    <w:rsid w:val="009C1786"/>
    <w:rsid w:val="009C17AE"/>
    <w:rsid w:val="009C1913"/>
    <w:rsid w:val="009C1CEB"/>
    <w:rsid w:val="009C223A"/>
    <w:rsid w:val="009C25AB"/>
    <w:rsid w:val="009C26D9"/>
    <w:rsid w:val="009C2701"/>
    <w:rsid w:val="009C2D32"/>
    <w:rsid w:val="009C2FB0"/>
    <w:rsid w:val="009C325B"/>
    <w:rsid w:val="009C3267"/>
    <w:rsid w:val="009C37E5"/>
    <w:rsid w:val="009C3BCC"/>
    <w:rsid w:val="009C3F9F"/>
    <w:rsid w:val="009C3FDC"/>
    <w:rsid w:val="009C436F"/>
    <w:rsid w:val="009C4595"/>
    <w:rsid w:val="009C45DC"/>
    <w:rsid w:val="009C4BC0"/>
    <w:rsid w:val="009C56DB"/>
    <w:rsid w:val="009C5B33"/>
    <w:rsid w:val="009C5E39"/>
    <w:rsid w:val="009C642E"/>
    <w:rsid w:val="009C64D1"/>
    <w:rsid w:val="009C73D9"/>
    <w:rsid w:val="009C783E"/>
    <w:rsid w:val="009D0F30"/>
    <w:rsid w:val="009D12B2"/>
    <w:rsid w:val="009D1498"/>
    <w:rsid w:val="009D17FD"/>
    <w:rsid w:val="009D181C"/>
    <w:rsid w:val="009D199A"/>
    <w:rsid w:val="009D26B3"/>
    <w:rsid w:val="009D2A89"/>
    <w:rsid w:val="009D2BC8"/>
    <w:rsid w:val="009D2D12"/>
    <w:rsid w:val="009D2F48"/>
    <w:rsid w:val="009D32F8"/>
    <w:rsid w:val="009D33A0"/>
    <w:rsid w:val="009D3AB8"/>
    <w:rsid w:val="009D3B7B"/>
    <w:rsid w:val="009D3CA5"/>
    <w:rsid w:val="009D3EA1"/>
    <w:rsid w:val="009D4142"/>
    <w:rsid w:val="009D4324"/>
    <w:rsid w:val="009D44F6"/>
    <w:rsid w:val="009D463C"/>
    <w:rsid w:val="009D4C27"/>
    <w:rsid w:val="009D4C4D"/>
    <w:rsid w:val="009D5CFE"/>
    <w:rsid w:val="009D66C0"/>
    <w:rsid w:val="009D6A11"/>
    <w:rsid w:val="009D6B89"/>
    <w:rsid w:val="009D6EC1"/>
    <w:rsid w:val="009D720A"/>
    <w:rsid w:val="009D7511"/>
    <w:rsid w:val="009D756D"/>
    <w:rsid w:val="009D78AA"/>
    <w:rsid w:val="009D7913"/>
    <w:rsid w:val="009D7E7A"/>
    <w:rsid w:val="009E0993"/>
    <w:rsid w:val="009E0F33"/>
    <w:rsid w:val="009E0F6D"/>
    <w:rsid w:val="009E1590"/>
    <w:rsid w:val="009E15C5"/>
    <w:rsid w:val="009E15E2"/>
    <w:rsid w:val="009E1653"/>
    <w:rsid w:val="009E1667"/>
    <w:rsid w:val="009E1CC1"/>
    <w:rsid w:val="009E1DC3"/>
    <w:rsid w:val="009E1E4E"/>
    <w:rsid w:val="009E23AE"/>
    <w:rsid w:val="009E2A44"/>
    <w:rsid w:val="009E2FBE"/>
    <w:rsid w:val="009E308E"/>
    <w:rsid w:val="009E376B"/>
    <w:rsid w:val="009E3F05"/>
    <w:rsid w:val="009E4A23"/>
    <w:rsid w:val="009E4B67"/>
    <w:rsid w:val="009E4BA0"/>
    <w:rsid w:val="009E4F6C"/>
    <w:rsid w:val="009E4F82"/>
    <w:rsid w:val="009E54FA"/>
    <w:rsid w:val="009E56A3"/>
    <w:rsid w:val="009E574A"/>
    <w:rsid w:val="009E5C83"/>
    <w:rsid w:val="009E613D"/>
    <w:rsid w:val="009E634B"/>
    <w:rsid w:val="009E6394"/>
    <w:rsid w:val="009E66F8"/>
    <w:rsid w:val="009E6988"/>
    <w:rsid w:val="009E700A"/>
    <w:rsid w:val="009E7209"/>
    <w:rsid w:val="009E732A"/>
    <w:rsid w:val="009E761B"/>
    <w:rsid w:val="009E76D1"/>
    <w:rsid w:val="009E7A05"/>
    <w:rsid w:val="009E7AB8"/>
    <w:rsid w:val="009E7BA4"/>
    <w:rsid w:val="009F0029"/>
    <w:rsid w:val="009F0245"/>
    <w:rsid w:val="009F0689"/>
    <w:rsid w:val="009F0A42"/>
    <w:rsid w:val="009F0C45"/>
    <w:rsid w:val="009F0E56"/>
    <w:rsid w:val="009F1F7D"/>
    <w:rsid w:val="009F290E"/>
    <w:rsid w:val="009F2BD1"/>
    <w:rsid w:val="009F2F62"/>
    <w:rsid w:val="009F39E0"/>
    <w:rsid w:val="009F43FF"/>
    <w:rsid w:val="009F4C57"/>
    <w:rsid w:val="009F51FD"/>
    <w:rsid w:val="009F547A"/>
    <w:rsid w:val="009F5DA0"/>
    <w:rsid w:val="009F6180"/>
    <w:rsid w:val="009F68BA"/>
    <w:rsid w:val="009F6C75"/>
    <w:rsid w:val="009F6E9B"/>
    <w:rsid w:val="009F7753"/>
    <w:rsid w:val="009F7764"/>
    <w:rsid w:val="00A019F7"/>
    <w:rsid w:val="00A01AE9"/>
    <w:rsid w:val="00A01DCA"/>
    <w:rsid w:val="00A02324"/>
    <w:rsid w:val="00A023FF"/>
    <w:rsid w:val="00A02939"/>
    <w:rsid w:val="00A02CD1"/>
    <w:rsid w:val="00A0341C"/>
    <w:rsid w:val="00A035C7"/>
    <w:rsid w:val="00A03761"/>
    <w:rsid w:val="00A03CD0"/>
    <w:rsid w:val="00A0413C"/>
    <w:rsid w:val="00A0417F"/>
    <w:rsid w:val="00A04192"/>
    <w:rsid w:val="00A041C5"/>
    <w:rsid w:val="00A04625"/>
    <w:rsid w:val="00A04CFA"/>
    <w:rsid w:val="00A05811"/>
    <w:rsid w:val="00A05D55"/>
    <w:rsid w:val="00A0613D"/>
    <w:rsid w:val="00A065BA"/>
    <w:rsid w:val="00A06951"/>
    <w:rsid w:val="00A06C05"/>
    <w:rsid w:val="00A07589"/>
    <w:rsid w:val="00A07636"/>
    <w:rsid w:val="00A079EF"/>
    <w:rsid w:val="00A10BF6"/>
    <w:rsid w:val="00A10D7C"/>
    <w:rsid w:val="00A10DDC"/>
    <w:rsid w:val="00A114F8"/>
    <w:rsid w:val="00A11881"/>
    <w:rsid w:val="00A118F4"/>
    <w:rsid w:val="00A11ABA"/>
    <w:rsid w:val="00A11F2C"/>
    <w:rsid w:val="00A12217"/>
    <w:rsid w:val="00A12426"/>
    <w:rsid w:val="00A12B67"/>
    <w:rsid w:val="00A12CD3"/>
    <w:rsid w:val="00A12F21"/>
    <w:rsid w:val="00A1359B"/>
    <w:rsid w:val="00A136B4"/>
    <w:rsid w:val="00A14113"/>
    <w:rsid w:val="00A14BB7"/>
    <w:rsid w:val="00A14CF1"/>
    <w:rsid w:val="00A153C6"/>
    <w:rsid w:val="00A1545D"/>
    <w:rsid w:val="00A1591A"/>
    <w:rsid w:val="00A15F2A"/>
    <w:rsid w:val="00A162BC"/>
    <w:rsid w:val="00A168C8"/>
    <w:rsid w:val="00A16C42"/>
    <w:rsid w:val="00A16EFE"/>
    <w:rsid w:val="00A16F63"/>
    <w:rsid w:val="00A16F97"/>
    <w:rsid w:val="00A1764D"/>
    <w:rsid w:val="00A17CD5"/>
    <w:rsid w:val="00A17F75"/>
    <w:rsid w:val="00A209FF"/>
    <w:rsid w:val="00A20F24"/>
    <w:rsid w:val="00A21115"/>
    <w:rsid w:val="00A21667"/>
    <w:rsid w:val="00A216E1"/>
    <w:rsid w:val="00A21C77"/>
    <w:rsid w:val="00A21DEF"/>
    <w:rsid w:val="00A221CA"/>
    <w:rsid w:val="00A22612"/>
    <w:rsid w:val="00A22817"/>
    <w:rsid w:val="00A22827"/>
    <w:rsid w:val="00A22AB6"/>
    <w:rsid w:val="00A22C39"/>
    <w:rsid w:val="00A22D87"/>
    <w:rsid w:val="00A22E7C"/>
    <w:rsid w:val="00A23177"/>
    <w:rsid w:val="00A2374C"/>
    <w:rsid w:val="00A24250"/>
    <w:rsid w:val="00A24573"/>
    <w:rsid w:val="00A2476F"/>
    <w:rsid w:val="00A2482E"/>
    <w:rsid w:val="00A24C8E"/>
    <w:rsid w:val="00A24DDD"/>
    <w:rsid w:val="00A25202"/>
    <w:rsid w:val="00A253FF"/>
    <w:rsid w:val="00A256C2"/>
    <w:rsid w:val="00A258F9"/>
    <w:rsid w:val="00A26543"/>
    <w:rsid w:val="00A26618"/>
    <w:rsid w:val="00A26D2E"/>
    <w:rsid w:val="00A30157"/>
    <w:rsid w:val="00A30A04"/>
    <w:rsid w:val="00A31253"/>
    <w:rsid w:val="00A31580"/>
    <w:rsid w:val="00A318C6"/>
    <w:rsid w:val="00A320A2"/>
    <w:rsid w:val="00A333FF"/>
    <w:rsid w:val="00A335A2"/>
    <w:rsid w:val="00A3367E"/>
    <w:rsid w:val="00A336F7"/>
    <w:rsid w:val="00A3390D"/>
    <w:rsid w:val="00A33A7C"/>
    <w:rsid w:val="00A33C8A"/>
    <w:rsid w:val="00A34C53"/>
    <w:rsid w:val="00A35AC8"/>
    <w:rsid w:val="00A35C6E"/>
    <w:rsid w:val="00A35D03"/>
    <w:rsid w:val="00A3611A"/>
    <w:rsid w:val="00A36FAB"/>
    <w:rsid w:val="00A40668"/>
    <w:rsid w:val="00A406F0"/>
    <w:rsid w:val="00A40CBE"/>
    <w:rsid w:val="00A4199C"/>
    <w:rsid w:val="00A41EFF"/>
    <w:rsid w:val="00A42D14"/>
    <w:rsid w:val="00A42DFF"/>
    <w:rsid w:val="00A42E87"/>
    <w:rsid w:val="00A42EC6"/>
    <w:rsid w:val="00A42EED"/>
    <w:rsid w:val="00A42F53"/>
    <w:rsid w:val="00A433D5"/>
    <w:rsid w:val="00A438B5"/>
    <w:rsid w:val="00A43F92"/>
    <w:rsid w:val="00A44193"/>
    <w:rsid w:val="00A441F1"/>
    <w:rsid w:val="00A448E5"/>
    <w:rsid w:val="00A44C6B"/>
    <w:rsid w:val="00A44CDD"/>
    <w:rsid w:val="00A44E21"/>
    <w:rsid w:val="00A45332"/>
    <w:rsid w:val="00A45551"/>
    <w:rsid w:val="00A458E7"/>
    <w:rsid w:val="00A462A3"/>
    <w:rsid w:val="00A462B9"/>
    <w:rsid w:val="00A469B3"/>
    <w:rsid w:val="00A46B9F"/>
    <w:rsid w:val="00A47DCE"/>
    <w:rsid w:val="00A5007C"/>
    <w:rsid w:val="00A501D6"/>
    <w:rsid w:val="00A504F9"/>
    <w:rsid w:val="00A50843"/>
    <w:rsid w:val="00A510FC"/>
    <w:rsid w:val="00A5192C"/>
    <w:rsid w:val="00A51E59"/>
    <w:rsid w:val="00A51F06"/>
    <w:rsid w:val="00A52336"/>
    <w:rsid w:val="00A526B2"/>
    <w:rsid w:val="00A52EF2"/>
    <w:rsid w:val="00A53088"/>
    <w:rsid w:val="00A5308C"/>
    <w:rsid w:val="00A53290"/>
    <w:rsid w:val="00A54028"/>
    <w:rsid w:val="00A542C6"/>
    <w:rsid w:val="00A55194"/>
    <w:rsid w:val="00A551D1"/>
    <w:rsid w:val="00A555F3"/>
    <w:rsid w:val="00A555FE"/>
    <w:rsid w:val="00A559D3"/>
    <w:rsid w:val="00A55D0F"/>
    <w:rsid w:val="00A55D5F"/>
    <w:rsid w:val="00A56610"/>
    <w:rsid w:val="00A566C9"/>
    <w:rsid w:val="00A56A83"/>
    <w:rsid w:val="00A56A89"/>
    <w:rsid w:val="00A56C70"/>
    <w:rsid w:val="00A56CC4"/>
    <w:rsid w:val="00A5738A"/>
    <w:rsid w:val="00A57BA3"/>
    <w:rsid w:val="00A6004A"/>
    <w:rsid w:val="00A60218"/>
    <w:rsid w:val="00A604A4"/>
    <w:rsid w:val="00A60962"/>
    <w:rsid w:val="00A60C2D"/>
    <w:rsid w:val="00A62392"/>
    <w:rsid w:val="00A625D6"/>
    <w:rsid w:val="00A62E0F"/>
    <w:rsid w:val="00A62EC5"/>
    <w:rsid w:val="00A63C3C"/>
    <w:rsid w:val="00A63CB5"/>
    <w:rsid w:val="00A63EA2"/>
    <w:rsid w:val="00A63F7E"/>
    <w:rsid w:val="00A64273"/>
    <w:rsid w:val="00A64357"/>
    <w:rsid w:val="00A64B19"/>
    <w:rsid w:val="00A64C03"/>
    <w:rsid w:val="00A65113"/>
    <w:rsid w:val="00A65E68"/>
    <w:rsid w:val="00A66123"/>
    <w:rsid w:val="00A66280"/>
    <w:rsid w:val="00A665CB"/>
    <w:rsid w:val="00A666D7"/>
    <w:rsid w:val="00A66B9B"/>
    <w:rsid w:val="00A66BEE"/>
    <w:rsid w:val="00A670AD"/>
    <w:rsid w:val="00A67900"/>
    <w:rsid w:val="00A6790B"/>
    <w:rsid w:val="00A67F74"/>
    <w:rsid w:val="00A700ED"/>
    <w:rsid w:val="00A70599"/>
    <w:rsid w:val="00A70E1A"/>
    <w:rsid w:val="00A71010"/>
    <w:rsid w:val="00A71037"/>
    <w:rsid w:val="00A711A8"/>
    <w:rsid w:val="00A717E1"/>
    <w:rsid w:val="00A7194F"/>
    <w:rsid w:val="00A71961"/>
    <w:rsid w:val="00A72F30"/>
    <w:rsid w:val="00A73565"/>
    <w:rsid w:val="00A7382C"/>
    <w:rsid w:val="00A73B44"/>
    <w:rsid w:val="00A7487E"/>
    <w:rsid w:val="00A750FE"/>
    <w:rsid w:val="00A753D8"/>
    <w:rsid w:val="00A75471"/>
    <w:rsid w:val="00A7569E"/>
    <w:rsid w:val="00A75A3E"/>
    <w:rsid w:val="00A7691E"/>
    <w:rsid w:val="00A76AFE"/>
    <w:rsid w:val="00A76EB0"/>
    <w:rsid w:val="00A772C2"/>
    <w:rsid w:val="00A77B7C"/>
    <w:rsid w:val="00A77FFC"/>
    <w:rsid w:val="00A80182"/>
    <w:rsid w:val="00A805DA"/>
    <w:rsid w:val="00A808D8"/>
    <w:rsid w:val="00A8094A"/>
    <w:rsid w:val="00A80A16"/>
    <w:rsid w:val="00A80AC6"/>
    <w:rsid w:val="00A819DE"/>
    <w:rsid w:val="00A81E9C"/>
    <w:rsid w:val="00A81F85"/>
    <w:rsid w:val="00A821DC"/>
    <w:rsid w:val="00A8226E"/>
    <w:rsid w:val="00A82850"/>
    <w:rsid w:val="00A832AB"/>
    <w:rsid w:val="00A83371"/>
    <w:rsid w:val="00A83B60"/>
    <w:rsid w:val="00A84166"/>
    <w:rsid w:val="00A841B7"/>
    <w:rsid w:val="00A84536"/>
    <w:rsid w:val="00A8651D"/>
    <w:rsid w:val="00A868FE"/>
    <w:rsid w:val="00A86A8E"/>
    <w:rsid w:val="00A872BB"/>
    <w:rsid w:val="00A87448"/>
    <w:rsid w:val="00A87534"/>
    <w:rsid w:val="00A8798B"/>
    <w:rsid w:val="00A87F0D"/>
    <w:rsid w:val="00A901D9"/>
    <w:rsid w:val="00A9048E"/>
    <w:rsid w:val="00A90E86"/>
    <w:rsid w:val="00A90ECA"/>
    <w:rsid w:val="00A91213"/>
    <w:rsid w:val="00A914CC"/>
    <w:rsid w:val="00A9196A"/>
    <w:rsid w:val="00A920B1"/>
    <w:rsid w:val="00A92291"/>
    <w:rsid w:val="00A9258E"/>
    <w:rsid w:val="00A937CE"/>
    <w:rsid w:val="00A93C76"/>
    <w:rsid w:val="00A93E73"/>
    <w:rsid w:val="00A93EC3"/>
    <w:rsid w:val="00A9432C"/>
    <w:rsid w:val="00A94653"/>
    <w:rsid w:val="00A94940"/>
    <w:rsid w:val="00A94A10"/>
    <w:rsid w:val="00A94C6E"/>
    <w:rsid w:val="00A94D3D"/>
    <w:rsid w:val="00A94D46"/>
    <w:rsid w:val="00A94FBA"/>
    <w:rsid w:val="00A95329"/>
    <w:rsid w:val="00A955B5"/>
    <w:rsid w:val="00A96167"/>
    <w:rsid w:val="00A96728"/>
    <w:rsid w:val="00A96ABF"/>
    <w:rsid w:val="00A970B5"/>
    <w:rsid w:val="00A975E7"/>
    <w:rsid w:val="00A97C51"/>
    <w:rsid w:val="00A97DAE"/>
    <w:rsid w:val="00A97EE0"/>
    <w:rsid w:val="00AA0662"/>
    <w:rsid w:val="00AA1039"/>
    <w:rsid w:val="00AA1899"/>
    <w:rsid w:val="00AA21F6"/>
    <w:rsid w:val="00AA2418"/>
    <w:rsid w:val="00AA272A"/>
    <w:rsid w:val="00AA2781"/>
    <w:rsid w:val="00AA2911"/>
    <w:rsid w:val="00AA2AB4"/>
    <w:rsid w:val="00AA5005"/>
    <w:rsid w:val="00AA5230"/>
    <w:rsid w:val="00AA535C"/>
    <w:rsid w:val="00AA6025"/>
    <w:rsid w:val="00AA61A7"/>
    <w:rsid w:val="00AA6492"/>
    <w:rsid w:val="00AA64CC"/>
    <w:rsid w:val="00AA7430"/>
    <w:rsid w:val="00AA77F0"/>
    <w:rsid w:val="00AA7BAF"/>
    <w:rsid w:val="00AA7D34"/>
    <w:rsid w:val="00AB03DB"/>
    <w:rsid w:val="00AB082F"/>
    <w:rsid w:val="00AB099A"/>
    <w:rsid w:val="00AB0A22"/>
    <w:rsid w:val="00AB114A"/>
    <w:rsid w:val="00AB215D"/>
    <w:rsid w:val="00AB22A9"/>
    <w:rsid w:val="00AB3262"/>
    <w:rsid w:val="00AB3527"/>
    <w:rsid w:val="00AB3542"/>
    <w:rsid w:val="00AB3C70"/>
    <w:rsid w:val="00AB3DEA"/>
    <w:rsid w:val="00AB3F93"/>
    <w:rsid w:val="00AB41C8"/>
    <w:rsid w:val="00AB49DF"/>
    <w:rsid w:val="00AB5AE9"/>
    <w:rsid w:val="00AB5B0E"/>
    <w:rsid w:val="00AB5F95"/>
    <w:rsid w:val="00AB612E"/>
    <w:rsid w:val="00AB7413"/>
    <w:rsid w:val="00AB749E"/>
    <w:rsid w:val="00AB7AE8"/>
    <w:rsid w:val="00AC0260"/>
    <w:rsid w:val="00AC0923"/>
    <w:rsid w:val="00AC0A6A"/>
    <w:rsid w:val="00AC1D2B"/>
    <w:rsid w:val="00AC2BB8"/>
    <w:rsid w:val="00AC2D5E"/>
    <w:rsid w:val="00AC30ED"/>
    <w:rsid w:val="00AC4273"/>
    <w:rsid w:val="00AC429E"/>
    <w:rsid w:val="00AC44B0"/>
    <w:rsid w:val="00AC4967"/>
    <w:rsid w:val="00AC4C14"/>
    <w:rsid w:val="00AC4D29"/>
    <w:rsid w:val="00AC5289"/>
    <w:rsid w:val="00AC52AD"/>
    <w:rsid w:val="00AC57C1"/>
    <w:rsid w:val="00AC5832"/>
    <w:rsid w:val="00AC5984"/>
    <w:rsid w:val="00AC5AD5"/>
    <w:rsid w:val="00AC64DF"/>
    <w:rsid w:val="00AC6609"/>
    <w:rsid w:val="00AC67F9"/>
    <w:rsid w:val="00AC7171"/>
    <w:rsid w:val="00AC76B0"/>
    <w:rsid w:val="00AC78F2"/>
    <w:rsid w:val="00AD02A0"/>
    <w:rsid w:val="00AD1134"/>
    <w:rsid w:val="00AD2008"/>
    <w:rsid w:val="00AD2099"/>
    <w:rsid w:val="00AD2460"/>
    <w:rsid w:val="00AD246A"/>
    <w:rsid w:val="00AD2634"/>
    <w:rsid w:val="00AD2AE3"/>
    <w:rsid w:val="00AD2B08"/>
    <w:rsid w:val="00AD2D2C"/>
    <w:rsid w:val="00AD2DEF"/>
    <w:rsid w:val="00AD348F"/>
    <w:rsid w:val="00AD3F0A"/>
    <w:rsid w:val="00AD41E4"/>
    <w:rsid w:val="00AD46B2"/>
    <w:rsid w:val="00AD4B20"/>
    <w:rsid w:val="00AD4B81"/>
    <w:rsid w:val="00AD5B32"/>
    <w:rsid w:val="00AD5E0C"/>
    <w:rsid w:val="00AD5F7D"/>
    <w:rsid w:val="00AD62DE"/>
    <w:rsid w:val="00AD642A"/>
    <w:rsid w:val="00AD6EA0"/>
    <w:rsid w:val="00AD7870"/>
    <w:rsid w:val="00AD7BD6"/>
    <w:rsid w:val="00AE02C7"/>
    <w:rsid w:val="00AE0B35"/>
    <w:rsid w:val="00AE0B98"/>
    <w:rsid w:val="00AE0F56"/>
    <w:rsid w:val="00AE1001"/>
    <w:rsid w:val="00AE1430"/>
    <w:rsid w:val="00AE1539"/>
    <w:rsid w:val="00AE176D"/>
    <w:rsid w:val="00AE1859"/>
    <w:rsid w:val="00AE1B0C"/>
    <w:rsid w:val="00AE20A6"/>
    <w:rsid w:val="00AE2CD5"/>
    <w:rsid w:val="00AE3021"/>
    <w:rsid w:val="00AE33D5"/>
    <w:rsid w:val="00AE3912"/>
    <w:rsid w:val="00AE3958"/>
    <w:rsid w:val="00AE3C45"/>
    <w:rsid w:val="00AE3DAA"/>
    <w:rsid w:val="00AE412B"/>
    <w:rsid w:val="00AE4439"/>
    <w:rsid w:val="00AE44AD"/>
    <w:rsid w:val="00AE4655"/>
    <w:rsid w:val="00AE49BF"/>
    <w:rsid w:val="00AE5070"/>
    <w:rsid w:val="00AE5260"/>
    <w:rsid w:val="00AE53AC"/>
    <w:rsid w:val="00AE57D9"/>
    <w:rsid w:val="00AE611A"/>
    <w:rsid w:val="00AE6160"/>
    <w:rsid w:val="00AE6444"/>
    <w:rsid w:val="00AE6608"/>
    <w:rsid w:val="00AE6891"/>
    <w:rsid w:val="00AE6B6E"/>
    <w:rsid w:val="00AE6DBC"/>
    <w:rsid w:val="00AE6FF9"/>
    <w:rsid w:val="00AE7A8E"/>
    <w:rsid w:val="00AF0ADA"/>
    <w:rsid w:val="00AF1433"/>
    <w:rsid w:val="00AF1714"/>
    <w:rsid w:val="00AF192E"/>
    <w:rsid w:val="00AF19D0"/>
    <w:rsid w:val="00AF2138"/>
    <w:rsid w:val="00AF237F"/>
    <w:rsid w:val="00AF267C"/>
    <w:rsid w:val="00AF2E4F"/>
    <w:rsid w:val="00AF3167"/>
    <w:rsid w:val="00AF35C2"/>
    <w:rsid w:val="00AF3656"/>
    <w:rsid w:val="00AF36B5"/>
    <w:rsid w:val="00AF3896"/>
    <w:rsid w:val="00AF398F"/>
    <w:rsid w:val="00AF3A95"/>
    <w:rsid w:val="00AF473B"/>
    <w:rsid w:val="00AF4796"/>
    <w:rsid w:val="00AF48E0"/>
    <w:rsid w:val="00AF5356"/>
    <w:rsid w:val="00AF5423"/>
    <w:rsid w:val="00AF57F3"/>
    <w:rsid w:val="00AF60E6"/>
    <w:rsid w:val="00AF6510"/>
    <w:rsid w:val="00AF725F"/>
    <w:rsid w:val="00B00084"/>
    <w:rsid w:val="00B00109"/>
    <w:rsid w:val="00B002E9"/>
    <w:rsid w:val="00B005B8"/>
    <w:rsid w:val="00B008F0"/>
    <w:rsid w:val="00B00C16"/>
    <w:rsid w:val="00B00DA1"/>
    <w:rsid w:val="00B01269"/>
    <w:rsid w:val="00B015C3"/>
    <w:rsid w:val="00B018D9"/>
    <w:rsid w:val="00B01BDC"/>
    <w:rsid w:val="00B01D3B"/>
    <w:rsid w:val="00B02769"/>
    <w:rsid w:val="00B04181"/>
    <w:rsid w:val="00B041C3"/>
    <w:rsid w:val="00B04264"/>
    <w:rsid w:val="00B048A4"/>
    <w:rsid w:val="00B050A4"/>
    <w:rsid w:val="00B051C5"/>
    <w:rsid w:val="00B05A41"/>
    <w:rsid w:val="00B05DFE"/>
    <w:rsid w:val="00B06642"/>
    <w:rsid w:val="00B069AA"/>
    <w:rsid w:val="00B06AA2"/>
    <w:rsid w:val="00B06B03"/>
    <w:rsid w:val="00B06E59"/>
    <w:rsid w:val="00B07099"/>
    <w:rsid w:val="00B07BC9"/>
    <w:rsid w:val="00B07EBC"/>
    <w:rsid w:val="00B1030A"/>
    <w:rsid w:val="00B10592"/>
    <w:rsid w:val="00B10A2B"/>
    <w:rsid w:val="00B10C0F"/>
    <w:rsid w:val="00B11308"/>
    <w:rsid w:val="00B114D4"/>
    <w:rsid w:val="00B119D6"/>
    <w:rsid w:val="00B122C0"/>
    <w:rsid w:val="00B125DE"/>
    <w:rsid w:val="00B1271A"/>
    <w:rsid w:val="00B12D0E"/>
    <w:rsid w:val="00B13401"/>
    <w:rsid w:val="00B13410"/>
    <w:rsid w:val="00B13577"/>
    <w:rsid w:val="00B13AE5"/>
    <w:rsid w:val="00B13B71"/>
    <w:rsid w:val="00B13DC5"/>
    <w:rsid w:val="00B14D9A"/>
    <w:rsid w:val="00B14FC5"/>
    <w:rsid w:val="00B15794"/>
    <w:rsid w:val="00B163A3"/>
    <w:rsid w:val="00B163C6"/>
    <w:rsid w:val="00B175EA"/>
    <w:rsid w:val="00B17AFD"/>
    <w:rsid w:val="00B20E02"/>
    <w:rsid w:val="00B211CA"/>
    <w:rsid w:val="00B212C6"/>
    <w:rsid w:val="00B224D4"/>
    <w:rsid w:val="00B231BA"/>
    <w:rsid w:val="00B2322C"/>
    <w:rsid w:val="00B2356D"/>
    <w:rsid w:val="00B23B1D"/>
    <w:rsid w:val="00B23B4D"/>
    <w:rsid w:val="00B23DF1"/>
    <w:rsid w:val="00B242E6"/>
    <w:rsid w:val="00B24561"/>
    <w:rsid w:val="00B2460A"/>
    <w:rsid w:val="00B247CF"/>
    <w:rsid w:val="00B2515E"/>
    <w:rsid w:val="00B2519B"/>
    <w:rsid w:val="00B256A9"/>
    <w:rsid w:val="00B25728"/>
    <w:rsid w:val="00B2602D"/>
    <w:rsid w:val="00B2608B"/>
    <w:rsid w:val="00B2708B"/>
    <w:rsid w:val="00B2766A"/>
    <w:rsid w:val="00B27AC6"/>
    <w:rsid w:val="00B300BA"/>
    <w:rsid w:val="00B30704"/>
    <w:rsid w:val="00B30AC7"/>
    <w:rsid w:val="00B30B5A"/>
    <w:rsid w:val="00B31176"/>
    <w:rsid w:val="00B3221C"/>
    <w:rsid w:val="00B326ED"/>
    <w:rsid w:val="00B32DC9"/>
    <w:rsid w:val="00B330D0"/>
    <w:rsid w:val="00B33785"/>
    <w:rsid w:val="00B3397D"/>
    <w:rsid w:val="00B33C19"/>
    <w:rsid w:val="00B342DB"/>
    <w:rsid w:val="00B3453F"/>
    <w:rsid w:val="00B34C53"/>
    <w:rsid w:val="00B355FC"/>
    <w:rsid w:val="00B35841"/>
    <w:rsid w:val="00B35A32"/>
    <w:rsid w:val="00B35F29"/>
    <w:rsid w:val="00B36634"/>
    <w:rsid w:val="00B379C1"/>
    <w:rsid w:val="00B37EDA"/>
    <w:rsid w:val="00B40348"/>
    <w:rsid w:val="00B403B8"/>
    <w:rsid w:val="00B403D2"/>
    <w:rsid w:val="00B404EF"/>
    <w:rsid w:val="00B4068D"/>
    <w:rsid w:val="00B409C7"/>
    <w:rsid w:val="00B417FE"/>
    <w:rsid w:val="00B4226B"/>
    <w:rsid w:val="00B424C8"/>
    <w:rsid w:val="00B42850"/>
    <w:rsid w:val="00B429D0"/>
    <w:rsid w:val="00B42FB3"/>
    <w:rsid w:val="00B4347F"/>
    <w:rsid w:val="00B43548"/>
    <w:rsid w:val="00B43713"/>
    <w:rsid w:val="00B438AE"/>
    <w:rsid w:val="00B43CA8"/>
    <w:rsid w:val="00B44BEB"/>
    <w:rsid w:val="00B452F0"/>
    <w:rsid w:val="00B454EE"/>
    <w:rsid w:val="00B45914"/>
    <w:rsid w:val="00B45FAC"/>
    <w:rsid w:val="00B4639E"/>
    <w:rsid w:val="00B46481"/>
    <w:rsid w:val="00B468C8"/>
    <w:rsid w:val="00B4695D"/>
    <w:rsid w:val="00B46CF3"/>
    <w:rsid w:val="00B46E9B"/>
    <w:rsid w:val="00B470ED"/>
    <w:rsid w:val="00B4769D"/>
    <w:rsid w:val="00B47D45"/>
    <w:rsid w:val="00B50011"/>
    <w:rsid w:val="00B5084F"/>
    <w:rsid w:val="00B50B1F"/>
    <w:rsid w:val="00B517B4"/>
    <w:rsid w:val="00B51A61"/>
    <w:rsid w:val="00B51AA9"/>
    <w:rsid w:val="00B51F13"/>
    <w:rsid w:val="00B52276"/>
    <w:rsid w:val="00B52737"/>
    <w:rsid w:val="00B52B0F"/>
    <w:rsid w:val="00B52C01"/>
    <w:rsid w:val="00B52C0F"/>
    <w:rsid w:val="00B52C74"/>
    <w:rsid w:val="00B52C79"/>
    <w:rsid w:val="00B53094"/>
    <w:rsid w:val="00B53246"/>
    <w:rsid w:val="00B53284"/>
    <w:rsid w:val="00B53568"/>
    <w:rsid w:val="00B535AA"/>
    <w:rsid w:val="00B53F48"/>
    <w:rsid w:val="00B53F7F"/>
    <w:rsid w:val="00B5414A"/>
    <w:rsid w:val="00B54307"/>
    <w:rsid w:val="00B5441A"/>
    <w:rsid w:val="00B5450F"/>
    <w:rsid w:val="00B54589"/>
    <w:rsid w:val="00B546B4"/>
    <w:rsid w:val="00B547E9"/>
    <w:rsid w:val="00B54E5B"/>
    <w:rsid w:val="00B551AB"/>
    <w:rsid w:val="00B553BC"/>
    <w:rsid w:val="00B5577E"/>
    <w:rsid w:val="00B55847"/>
    <w:rsid w:val="00B55985"/>
    <w:rsid w:val="00B559C5"/>
    <w:rsid w:val="00B56FA1"/>
    <w:rsid w:val="00B57237"/>
    <w:rsid w:val="00B57437"/>
    <w:rsid w:val="00B5754F"/>
    <w:rsid w:val="00B57733"/>
    <w:rsid w:val="00B57A40"/>
    <w:rsid w:val="00B57D8D"/>
    <w:rsid w:val="00B6034C"/>
    <w:rsid w:val="00B60658"/>
    <w:rsid w:val="00B60D08"/>
    <w:rsid w:val="00B61A27"/>
    <w:rsid w:val="00B61E24"/>
    <w:rsid w:val="00B622F9"/>
    <w:rsid w:val="00B629E1"/>
    <w:rsid w:val="00B632A7"/>
    <w:rsid w:val="00B634C6"/>
    <w:rsid w:val="00B6369C"/>
    <w:rsid w:val="00B63DCA"/>
    <w:rsid w:val="00B6409B"/>
    <w:rsid w:val="00B6417E"/>
    <w:rsid w:val="00B64643"/>
    <w:rsid w:val="00B648EE"/>
    <w:rsid w:val="00B64A4E"/>
    <w:rsid w:val="00B651B1"/>
    <w:rsid w:val="00B652FB"/>
    <w:rsid w:val="00B65636"/>
    <w:rsid w:val="00B65689"/>
    <w:rsid w:val="00B657DF"/>
    <w:rsid w:val="00B65EA9"/>
    <w:rsid w:val="00B66284"/>
    <w:rsid w:val="00B6637C"/>
    <w:rsid w:val="00B66496"/>
    <w:rsid w:val="00B665ED"/>
    <w:rsid w:val="00B667AA"/>
    <w:rsid w:val="00B6688A"/>
    <w:rsid w:val="00B66E52"/>
    <w:rsid w:val="00B675ED"/>
    <w:rsid w:val="00B67BB5"/>
    <w:rsid w:val="00B67E1E"/>
    <w:rsid w:val="00B70A6B"/>
    <w:rsid w:val="00B71337"/>
    <w:rsid w:val="00B71506"/>
    <w:rsid w:val="00B7154B"/>
    <w:rsid w:val="00B71BEE"/>
    <w:rsid w:val="00B71F35"/>
    <w:rsid w:val="00B724F9"/>
    <w:rsid w:val="00B7275A"/>
    <w:rsid w:val="00B728BC"/>
    <w:rsid w:val="00B734FA"/>
    <w:rsid w:val="00B745A7"/>
    <w:rsid w:val="00B746C9"/>
    <w:rsid w:val="00B74B1D"/>
    <w:rsid w:val="00B750F3"/>
    <w:rsid w:val="00B755DB"/>
    <w:rsid w:val="00B764D3"/>
    <w:rsid w:val="00B76CF1"/>
    <w:rsid w:val="00B76D4E"/>
    <w:rsid w:val="00B77166"/>
    <w:rsid w:val="00B772D9"/>
    <w:rsid w:val="00B7738E"/>
    <w:rsid w:val="00B77880"/>
    <w:rsid w:val="00B77E11"/>
    <w:rsid w:val="00B80493"/>
    <w:rsid w:val="00B80872"/>
    <w:rsid w:val="00B809FE"/>
    <w:rsid w:val="00B80A27"/>
    <w:rsid w:val="00B80F59"/>
    <w:rsid w:val="00B80FA2"/>
    <w:rsid w:val="00B81C19"/>
    <w:rsid w:val="00B81F16"/>
    <w:rsid w:val="00B82285"/>
    <w:rsid w:val="00B8230F"/>
    <w:rsid w:val="00B82638"/>
    <w:rsid w:val="00B8271E"/>
    <w:rsid w:val="00B829D4"/>
    <w:rsid w:val="00B82DEC"/>
    <w:rsid w:val="00B83411"/>
    <w:rsid w:val="00B835D6"/>
    <w:rsid w:val="00B83DF2"/>
    <w:rsid w:val="00B840EF"/>
    <w:rsid w:val="00B84459"/>
    <w:rsid w:val="00B848D9"/>
    <w:rsid w:val="00B85D23"/>
    <w:rsid w:val="00B85EEF"/>
    <w:rsid w:val="00B867AE"/>
    <w:rsid w:val="00B86BCE"/>
    <w:rsid w:val="00B878A9"/>
    <w:rsid w:val="00B90346"/>
    <w:rsid w:val="00B90A7A"/>
    <w:rsid w:val="00B90B85"/>
    <w:rsid w:val="00B90C59"/>
    <w:rsid w:val="00B90EDF"/>
    <w:rsid w:val="00B91E99"/>
    <w:rsid w:val="00B92BDB"/>
    <w:rsid w:val="00B93005"/>
    <w:rsid w:val="00B9314D"/>
    <w:rsid w:val="00B9354E"/>
    <w:rsid w:val="00B93C51"/>
    <w:rsid w:val="00B9408E"/>
    <w:rsid w:val="00B94265"/>
    <w:rsid w:val="00B942C8"/>
    <w:rsid w:val="00B94804"/>
    <w:rsid w:val="00B94B08"/>
    <w:rsid w:val="00B94C09"/>
    <w:rsid w:val="00B94C0E"/>
    <w:rsid w:val="00B950E4"/>
    <w:rsid w:val="00B9538D"/>
    <w:rsid w:val="00B95472"/>
    <w:rsid w:val="00B958A9"/>
    <w:rsid w:val="00B95C14"/>
    <w:rsid w:val="00B95C75"/>
    <w:rsid w:val="00B95F56"/>
    <w:rsid w:val="00B95FA5"/>
    <w:rsid w:val="00B966DA"/>
    <w:rsid w:val="00B97A96"/>
    <w:rsid w:val="00BA0157"/>
    <w:rsid w:val="00BA0228"/>
    <w:rsid w:val="00BA11C9"/>
    <w:rsid w:val="00BA25FD"/>
    <w:rsid w:val="00BA2E9C"/>
    <w:rsid w:val="00BA3113"/>
    <w:rsid w:val="00BA3BD5"/>
    <w:rsid w:val="00BA3E33"/>
    <w:rsid w:val="00BA42A9"/>
    <w:rsid w:val="00BA4E2A"/>
    <w:rsid w:val="00BA5808"/>
    <w:rsid w:val="00BA596A"/>
    <w:rsid w:val="00BA5D97"/>
    <w:rsid w:val="00BA6837"/>
    <w:rsid w:val="00BA6E9F"/>
    <w:rsid w:val="00BA6F8D"/>
    <w:rsid w:val="00BA7153"/>
    <w:rsid w:val="00BA7491"/>
    <w:rsid w:val="00BA78A5"/>
    <w:rsid w:val="00BA79EE"/>
    <w:rsid w:val="00BA7B25"/>
    <w:rsid w:val="00BA7C66"/>
    <w:rsid w:val="00BA7FB7"/>
    <w:rsid w:val="00BB03E3"/>
    <w:rsid w:val="00BB0B1A"/>
    <w:rsid w:val="00BB0E82"/>
    <w:rsid w:val="00BB1169"/>
    <w:rsid w:val="00BB145C"/>
    <w:rsid w:val="00BB15E9"/>
    <w:rsid w:val="00BB16EB"/>
    <w:rsid w:val="00BB1ED6"/>
    <w:rsid w:val="00BB1F21"/>
    <w:rsid w:val="00BB2407"/>
    <w:rsid w:val="00BB2DA2"/>
    <w:rsid w:val="00BB3117"/>
    <w:rsid w:val="00BB3341"/>
    <w:rsid w:val="00BB3343"/>
    <w:rsid w:val="00BB34E2"/>
    <w:rsid w:val="00BB4265"/>
    <w:rsid w:val="00BB4914"/>
    <w:rsid w:val="00BB4CFE"/>
    <w:rsid w:val="00BB573B"/>
    <w:rsid w:val="00BB575E"/>
    <w:rsid w:val="00BB589A"/>
    <w:rsid w:val="00BB5BC7"/>
    <w:rsid w:val="00BB5F00"/>
    <w:rsid w:val="00BB6628"/>
    <w:rsid w:val="00BB67FD"/>
    <w:rsid w:val="00BB6FA0"/>
    <w:rsid w:val="00BB7222"/>
    <w:rsid w:val="00BB7A55"/>
    <w:rsid w:val="00BC0BA1"/>
    <w:rsid w:val="00BC0D91"/>
    <w:rsid w:val="00BC11A6"/>
    <w:rsid w:val="00BC141C"/>
    <w:rsid w:val="00BC1A3B"/>
    <w:rsid w:val="00BC29D0"/>
    <w:rsid w:val="00BC2A2E"/>
    <w:rsid w:val="00BC2C69"/>
    <w:rsid w:val="00BC3C38"/>
    <w:rsid w:val="00BC3E5E"/>
    <w:rsid w:val="00BC4181"/>
    <w:rsid w:val="00BC4683"/>
    <w:rsid w:val="00BC5C74"/>
    <w:rsid w:val="00BC5D6A"/>
    <w:rsid w:val="00BC61FF"/>
    <w:rsid w:val="00BC72C0"/>
    <w:rsid w:val="00BC77BC"/>
    <w:rsid w:val="00BC783C"/>
    <w:rsid w:val="00BC7C19"/>
    <w:rsid w:val="00BC7DA9"/>
    <w:rsid w:val="00BD0182"/>
    <w:rsid w:val="00BD03EB"/>
    <w:rsid w:val="00BD1271"/>
    <w:rsid w:val="00BD16A3"/>
    <w:rsid w:val="00BD1817"/>
    <w:rsid w:val="00BD1AB1"/>
    <w:rsid w:val="00BD1D6A"/>
    <w:rsid w:val="00BD1EED"/>
    <w:rsid w:val="00BD252B"/>
    <w:rsid w:val="00BD25B0"/>
    <w:rsid w:val="00BD3662"/>
    <w:rsid w:val="00BD3B4B"/>
    <w:rsid w:val="00BD43A3"/>
    <w:rsid w:val="00BD4505"/>
    <w:rsid w:val="00BD4FF0"/>
    <w:rsid w:val="00BD5367"/>
    <w:rsid w:val="00BD5770"/>
    <w:rsid w:val="00BD58C7"/>
    <w:rsid w:val="00BD5A19"/>
    <w:rsid w:val="00BD5BE6"/>
    <w:rsid w:val="00BD5C8F"/>
    <w:rsid w:val="00BD66D3"/>
    <w:rsid w:val="00BD6AA5"/>
    <w:rsid w:val="00BD6D61"/>
    <w:rsid w:val="00BD6E6F"/>
    <w:rsid w:val="00BD7287"/>
    <w:rsid w:val="00BE0EEC"/>
    <w:rsid w:val="00BE115A"/>
    <w:rsid w:val="00BE146F"/>
    <w:rsid w:val="00BE186B"/>
    <w:rsid w:val="00BE1FCD"/>
    <w:rsid w:val="00BE21F6"/>
    <w:rsid w:val="00BE2D83"/>
    <w:rsid w:val="00BE3A20"/>
    <w:rsid w:val="00BE3B31"/>
    <w:rsid w:val="00BE3D5C"/>
    <w:rsid w:val="00BE3F20"/>
    <w:rsid w:val="00BE4073"/>
    <w:rsid w:val="00BE442A"/>
    <w:rsid w:val="00BE45F0"/>
    <w:rsid w:val="00BE45F9"/>
    <w:rsid w:val="00BE48C3"/>
    <w:rsid w:val="00BE49AE"/>
    <w:rsid w:val="00BE4B68"/>
    <w:rsid w:val="00BE5058"/>
    <w:rsid w:val="00BE53F1"/>
    <w:rsid w:val="00BE592E"/>
    <w:rsid w:val="00BE5CAF"/>
    <w:rsid w:val="00BE66A6"/>
    <w:rsid w:val="00BE66B9"/>
    <w:rsid w:val="00BE6889"/>
    <w:rsid w:val="00BE6F00"/>
    <w:rsid w:val="00BE7139"/>
    <w:rsid w:val="00BE7447"/>
    <w:rsid w:val="00BE7803"/>
    <w:rsid w:val="00BE78A1"/>
    <w:rsid w:val="00BE7995"/>
    <w:rsid w:val="00BE7BB8"/>
    <w:rsid w:val="00BE7BE0"/>
    <w:rsid w:val="00BE7C78"/>
    <w:rsid w:val="00BE7DA6"/>
    <w:rsid w:val="00BF0354"/>
    <w:rsid w:val="00BF0449"/>
    <w:rsid w:val="00BF0838"/>
    <w:rsid w:val="00BF0A36"/>
    <w:rsid w:val="00BF0BFE"/>
    <w:rsid w:val="00BF0FF3"/>
    <w:rsid w:val="00BF14A3"/>
    <w:rsid w:val="00BF17CA"/>
    <w:rsid w:val="00BF1BD1"/>
    <w:rsid w:val="00BF273B"/>
    <w:rsid w:val="00BF2829"/>
    <w:rsid w:val="00BF317D"/>
    <w:rsid w:val="00BF318D"/>
    <w:rsid w:val="00BF3663"/>
    <w:rsid w:val="00BF3BB0"/>
    <w:rsid w:val="00BF4240"/>
    <w:rsid w:val="00BF464E"/>
    <w:rsid w:val="00BF5008"/>
    <w:rsid w:val="00BF512D"/>
    <w:rsid w:val="00BF5744"/>
    <w:rsid w:val="00BF58E5"/>
    <w:rsid w:val="00BF5A56"/>
    <w:rsid w:val="00BF5C1F"/>
    <w:rsid w:val="00BF5D0B"/>
    <w:rsid w:val="00BF70FC"/>
    <w:rsid w:val="00BF73E6"/>
    <w:rsid w:val="00BF75BF"/>
    <w:rsid w:val="00BF7A83"/>
    <w:rsid w:val="00BF7F5B"/>
    <w:rsid w:val="00C00074"/>
    <w:rsid w:val="00C00273"/>
    <w:rsid w:val="00C003B2"/>
    <w:rsid w:val="00C00469"/>
    <w:rsid w:val="00C00B4D"/>
    <w:rsid w:val="00C00BCE"/>
    <w:rsid w:val="00C01A32"/>
    <w:rsid w:val="00C01B59"/>
    <w:rsid w:val="00C02874"/>
    <w:rsid w:val="00C02D7F"/>
    <w:rsid w:val="00C02DC0"/>
    <w:rsid w:val="00C03437"/>
    <w:rsid w:val="00C0374E"/>
    <w:rsid w:val="00C03808"/>
    <w:rsid w:val="00C0426E"/>
    <w:rsid w:val="00C045E8"/>
    <w:rsid w:val="00C045EB"/>
    <w:rsid w:val="00C04B9B"/>
    <w:rsid w:val="00C04E43"/>
    <w:rsid w:val="00C04F92"/>
    <w:rsid w:val="00C05076"/>
    <w:rsid w:val="00C05294"/>
    <w:rsid w:val="00C054E1"/>
    <w:rsid w:val="00C0590B"/>
    <w:rsid w:val="00C05B79"/>
    <w:rsid w:val="00C0652A"/>
    <w:rsid w:val="00C06D6E"/>
    <w:rsid w:val="00C071D5"/>
    <w:rsid w:val="00C07827"/>
    <w:rsid w:val="00C07889"/>
    <w:rsid w:val="00C07DA8"/>
    <w:rsid w:val="00C10197"/>
    <w:rsid w:val="00C1062D"/>
    <w:rsid w:val="00C10A6B"/>
    <w:rsid w:val="00C10B48"/>
    <w:rsid w:val="00C10C4B"/>
    <w:rsid w:val="00C10CDA"/>
    <w:rsid w:val="00C10EBC"/>
    <w:rsid w:val="00C11149"/>
    <w:rsid w:val="00C1157E"/>
    <w:rsid w:val="00C11D96"/>
    <w:rsid w:val="00C11E43"/>
    <w:rsid w:val="00C11FB1"/>
    <w:rsid w:val="00C120D1"/>
    <w:rsid w:val="00C121BC"/>
    <w:rsid w:val="00C1251E"/>
    <w:rsid w:val="00C12A07"/>
    <w:rsid w:val="00C12F14"/>
    <w:rsid w:val="00C13231"/>
    <w:rsid w:val="00C132CB"/>
    <w:rsid w:val="00C13D13"/>
    <w:rsid w:val="00C14AD8"/>
    <w:rsid w:val="00C158E1"/>
    <w:rsid w:val="00C15B23"/>
    <w:rsid w:val="00C15E75"/>
    <w:rsid w:val="00C15E97"/>
    <w:rsid w:val="00C15EC3"/>
    <w:rsid w:val="00C1600E"/>
    <w:rsid w:val="00C1641C"/>
    <w:rsid w:val="00C16EB9"/>
    <w:rsid w:val="00C17197"/>
    <w:rsid w:val="00C17456"/>
    <w:rsid w:val="00C2018D"/>
    <w:rsid w:val="00C20599"/>
    <w:rsid w:val="00C2064C"/>
    <w:rsid w:val="00C20897"/>
    <w:rsid w:val="00C20B80"/>
    <w:rsid w:val="00C20C8B"/>
    <w:rsid w:val="00C210B3"/>
    <w:rsid w:val="00C21137"/>
    <w:rsid w:val="00C21201"/>
    <w:rsid w:val="00C2151B"/>
    <w:rsid w:val="00C21959"/>
    <w:rsid w:val="00C21AB4"/>
    <w:rsid w:val="00C21C4C"/>
    <w:rsid w:val="00C22098"/>
    <w:rsid w:val="00C2250C"/>
    <w:rsid w:val="00C2263B"/>
    <w:rsid w:val="00C22D43"/>
    <w:rsid w:val="00C22F20"/>
    <w:rsid w:val="00C230C4"/>
    <w:rsid w:val="00C232CF"/>
    <w:rsid w:val="00C2385C"/>
    <w:rsid w:val="00C23F88"/>
    <w:rsid w:val="00C2472A"/>
    <w:rsid w:val="00C2476B"/>
    <w:rsid w:val="00C24938"/>
    <w:rsid w:val="00C24C73"/>
    <w:rsid w:val="00C25B01"/>
    <w:rsid w:val="00C25C11"/>
    <w:rsid w:val="00C25CD3"/>
    <w:rsid w:val="00C25E8C"/>
    <w:rsid w:val="00C25F6C"/>
    <w:rsid w:val="00C26083"/>
    <w:rsid w:val="00C26171"/>
    <w:rsid w:val="00C26871"/>
    <w:rsid w:val="00C26D7B"/>
    <w:rsid w:val="00C26DDE"/>
    <w:rsid w:val="00C27019"/>
    <w:rsid w:val="00C27121"/>
    <w:rsid w:val="00C27698"/>
    <w:rsid w:val="00C300B8"/>
    <w:rsid w:val="00C3028F"/>
    <w:rsid w:val="00C30415"/>
    <w:rsid w:val="00C30F6F"/>
    <w:rsid w:val="00C314D5"/>
    <w:rsid w:val="00C31930"/>
    <w:rsid w:val="00C31980"/>
    <w:rsid w:val="00C31E25"/>
    <w:rsid w:val="00C327DF"/>
    <w:rsid w:val="00C32A4F"/>
    <w:rsid w:val="00C32C8D"/>
    <w:rsid w:val="00C32D47"/>
    <w:rsid w:val="00C32E65"/>
    <w:rsid w:val="00C33775"/>
    <w:rsid w:val="00C33A40"/>
    <w:rsid w:val="00C33D6F"/>
    <w:rsid w:val="00C349D2"/>
    <w:rsid w:val="00C350E2"/>
    <w:rsid w:val="00C35290"/>
    <w:rsid w:val="00C353AF"/>
    <w:rsid w:val="00C3550B"/>
    <w:rsid w:val="00C35ED6"/>
    <w:rsid w:val="00C36330"/>
    <w:rsid w:val="00C364C6"/>
    <w:rsid w:val="00C36613"/>
    <w:rsid w:val="00C3712F"/>
    <w:rsid w:val="00C3747F"/>
    <w:rsid w:val="00C3791E"/>
    <w:rsid w:val="00C37D4D"/>
    <w:rsid w:val="00C40398"/>
    <w:rsid w:val="00C403D2"/>
    <w:rsid w:val="00C4074F"/>
    <w:rsid w:val="00C40B02"/>
    <w:rsid w:val="00C40BF4"/>
    <w:rsid w:val="00C4168C"/>
    <w:rsid w:val="00C41B8C"/>
    <w:rsid w:val="00C41BAE"/>
    <w:rsid w:val="00C41F0B"/>
    <w:rsid w:val="00C4230B"/>
    <w:rsid w:val="00C423FA"/>
    <w:rsid w:val="00C4316B"/>
    <w:rsid w:val="00C4331C"/>
    <w:rsid w:val="00C43CF3"/>
    <w:rsid w:val="00C43CFF"/>
    <w:rsid w:val="00C43D08"/>
    <w:rsid w:val="00C43D94"/>
    <w:rsid w:val="00C44262"/>
    <w:rsid w:val="00C445C4"/>
    <w:rsid w:val="00C44B77"/>
    <w:rsid w:val="00C44CB7"/>
    <w:rsid w:val="00C44D5D"/>
    <w:rsid w:val="00C45161"/>
    <w:rsid w:val="00C45FBF"/>
    <w:rsid w:val="00C463F1"/>
    <w:rsid w:val="00C464DE"/>
    <w:rsid w:val="00C4774E"/>
    <w:rsid w:val="00C477F3"/>
    <w:rsid w:val="00C47898"/>
    <w:rsid w:val="00C47953"/>
    <w:rsid w:val="00C47F42"/>
    <w:rsid w:val="00C50938"/>
    <w:rsid w:val="00C510D7"/>
    <w:rsid w:val="00C511FC"/>
    <w:rsid w:val="00C5137D"/>
    <w:rsid w:val="00C520EC"/>
    <w:rsid w:val="00C52A44"/>
    <w:rsid w:val="00C52A6B"/>
    <w:rsid w:val="00C53BB4"/>
    <w:rsid w:val="00C53C41"/>
    <w:rsid w:val="00C54657"/>
    <w:rsid w:val="00C54CBD"/>
    <w:rsid w:val="00C54F6E"/>
    <w:rsid w:val="00C5501D"/>
    <w:rsid w:val="00C552F8"/>
    <w:rsid w:val="00C554FD"/>
    <w:rsid w:val="00C55674"/>
    <w:rsid w:val="00C557D9"/>
    <w:rsid w:val="00C55A3B"/>
    <w:rsid w:val="00C56342"/>
    <w:rsid w:val="00C5634E"/>
    <w:rsid w:val="00C563DB"/>
    <w:rsid w:val="00C565FB"/>
    <w:rsid w:val="00C5689B"/>
    <w:rsid w:val="00C57395"/>
    <w:rsid w:val="00C579D9"/>
    <w:rsid w:val="00C57FFC"/>
    <w:rsid w:val="00C60062"/>
    <w:rsid w:val="00C601CD"/>
    <w:rsid w:val="00C60943"/>
    <w:rsid w:val="00C60B69"/>
    <w:rsid w:val="00C60BB9"/>
    <w:rsid w:val="00C61444"/>
    <w:rsid w:val="00C6171D"/>
    <w:rsid w:val="00C6214E"/>
    <w:rsid w:val="00C6224D"/>
    <w:rsid w:val="00C62644"/>
    <w:rsid w:val="00C6280B"/>
    <w:rsid w:val="00C62FA6"/>
    <w:rsid w:val="00C6380E"/>
    <w:rsid w:val="00C639E1"/>
    <w:rsid w:val="00C63A26"/>
    <w:rsid w:val="00C63B99"/>
    <w:rsid w:val="00C63BB7"/>
    <w:rsid w:val="00C6455D"/>
    <w:rsid w:val="00C64655"/>
    <w:rsid w:val="00C648F3"/>
    <w:rsid w:val="00C64F89"/>
    <w:rsid w:val="00C651BF"/>
    <w:rsid w:val="00C65792"/>
    <w:rsid w:val="00C65BC6"/>
    <w:rsid w:val="00C65D46"/>
    <w:rsid w:val="00C66616"/>
    <w:rsid w:val="00C66B68"/>
    <w:rsid w:val="00C66E63"/>
    <w:rsid w:val="00C67D82"/>
    <w:rsid w:val="00C67E9E"/>
    <w:rsid w:val="00C7034C"/>
    <w:rsid w:val="00C70FDF"/>
    <w:rsid w:val="00C71922"/>
    <w:rsid w:val="00C71F34"/>
    <w:rsid w:val="00C71F7C"/>
    <w:rsid w:val="00C723C9"/>
    <w:rsid w:val="00C7293C"/>
    <w:rsid w:val="00C72A76"/>
    <w:rsid w:val="00C72DFA"/>
    <w:rsid w:val="00C72F39"/>
    <w:rsid w:val="00C73248"/>
    <w:rsid w:val="00C7393F"/>
    <w:rsid w:val="00C74276"/>
    <w:rsid w:val="00C74576"/>
    <w:rsid w:val="00C74D68"/>
    <w:rsid w:val="00C752D8"/>
    <w:rsid w:val="00C7591C"/>
    <w:rsid w:val="00C762A7"/>
    <w:rsid w:val="00C76548"/>
    <w:rsid w:val="00C765FF"/>
    <w:rsid w:val="00C7670F"/>
    <w:rsid w:val="00C76D11"/>
    <w:rsid w:val="00C7758A"/>
    <w:rsid w:val="00C776E2"/>
    <w:rsid w:val="00C77750"/>
    <w:rsid w:val="00C77B1E"/>
    <w:rsid w:val="00C77DAD"/>
    <w:rsid w:val="00C77F26"/>
    <w:rsid w:val="00C800C5"/>
    <w:rsid w:val="00C8012C"/>
    <w:rsid w:val="00C808DC"/>
    <w:rsid w:val="00C80BFB"/>
    <w:rsid w:val="00C8104C"/>
    <w:rsid w:val="00C81D5F"/>
    <w:rsid w:val="00C81E2F"/>
    <w:rsid w:val="00C827E2"/>
    <w:rsid w:val="00C82881"/>
    <w:rsid w:val="00C82914"/>
    <w:rsid w:val="00C829CC"/>
    <w:rsid w:val="00C83232"/>
    <w:rsid w:val="00C83538"/>
    <w:rsid w:val="00C83751"/>
    <w:rsid w:val="00C83E48"/>
    <w:rsid w:val="00C844DC"/>
    <w:rsid w:val="00C8454D"/>
    <w:rsid w:val="00C84586"/>
    <w:rsid w:val="00C84A3F"/>
    <w:rsid w:val="00C84C6D"/>
    <w:rsid w:val="00C84C9F"/>
    <w:rsid w:val="00C85D94"/>
    <w:rsid w:val="00C85FB1"/>
    <w:rsid w:val="00C861FE"/>
    <w:rsid w:val="00C8626D"/>
    <w:rsid w:val="00C867C5"/>
    <w:rsid w:val="00C87213"/>
    <w:rsid w:val="00C87BB2"/>
    <w:rsid w:val="00C908B7"/>
    <w:rsid w:val="00C91563"/>
    <w:rsid w:val="00C91631"/>
    <w:rsid w:val="00C91818"/>
    <w:rsid w:val="00C91967"/>
    <w:rsid w:val="00C91CDB"/>
    <w:rsid w:val="00C91D6A"/>
    <w:rsid w:val="00C91FF0"/>
    <w:rsid w:val="00C921BC"/>
    <w:rsid w:val="00C928AF"/>
    <w:rsid w:val="00C92D11"/>
    <w:rsid w:val="00C9309E"/>
    <w:rsid w:val="00C93956"/>
    <w:rsid w:val="00C93B4C"/>
    <w:rsid w:val="00C93D42"/>
    <w:rsid w:val="00C93DF0"/>
    <w:rsid w:val="00C94BFE"/>
    <w:rsid w:val="00C9506C"/>
    <w:rsid w:val="00C95958"/>
    <w:rsid w:val="00C95AD0"/>
    <w:rsid w:val="00C95B99"/>
    <w:rsid w:val="00C95FD8"/>
    <w:rsid w:val="00C9616D"/>
    <w:rsid w:val="00C96835"/>
    <w:rsid w:val="00C96992"/>
    <w:rsid w:val="00C969EF"/>
    <w:rsid w:val="00CA05B9"/>
    <w:rsid w:val="00CA0770"/>
    <w:rsid w:val="00CA0A5B"/>
    <w:rsid w:val="00CA0FB6"/>
    <w:rsid w:val="00CA14CA"/>
    <w:rsid w:val="00CA14D6"/>
    <w:rsid w:val="00CA1D66"/>
    <w:rsid w:val="00CA23EC"/>
    <w:rsid w:val="00CA2604"/>
    <w:rsid w:val="00CA2B6A"/>
    <w:rsid w:val="00CA2BE5"/>
    <w:rsid w:val="00CA318B"/>
    <w:rsid w:val="00CA359E"/>
    <w:rsid w:val="00CA4735"/>
    <w:rsid w:val="00CA4796"/>
    <w:rsid w:val="00CA47DA"/>
    <w:rsid w:val="00CA49CF"/>
    <w:rsid w:val="00CA5342"/>
    <w:rsid w:val="00CA576D"/>
    <w:rsid w:val="00CA5E2A"/>
    <w:rsid w:val="00CA6044"/>
    <w:rsid w:val="00CA624A"/>
    <w:rsid w:val="00CA64CE"/>
    <w:rsid w:val="00CA65D8"/>
    <w:rsid w:val="00CA6DD9"/>
    <w:rsid w:val="00CA72FF"/>
    <w:rsid w:val="00CA738A"/>
    <w:rsid w:val="00CA7767"/>
    <w:rsid w:val="00CA789C"/>
    <w:rsid w:val="00CA78DC"/>
    <w:rsid w:val="00CA7D5B"/>
    <w:rsid w:val="00CB01F4"/>
    <w:rsid w:val="00CB0502"/>
    <w:rsid w:val="00CB0E46"/>
    <w:rsid w:val="00CB165A"/>
    <w:rsid w:val="00CB27EA"/>
    <w:rsid w:val="00CB2A86"/>
    <w:rsid w:val="00CB32A1"/>
    <w:rsid w:val="00CB35F4"/>
    <w:rsid w:val="00CB39E3"/>
    <w:rsid w:val="00CB3C0F"/>
    <w:rsid w:val="00CB3C77"/>
    <w:rsid w:val="00CB4050"/>
    <w:rsid w:val="00CB42FF"/>
    <w:rsid w:val="00CB4713"/>
    <w:rsid w:val="00CB4A78"/>
    <w:rsid w:val="00CB4F25"/>
    <w:rsid w:val="00CB519E"/>
    <w:rsid w:val="00CB588A"/>
    <w:rsid w:val="00CB5A24"/>
    <w:rsid w:val="00CB62A9"/>
    <w:rsid w:val="00CB63AC"/>
    <w:rsid w:val="00CB6DD7"/>
    <w:rsid w:val="00CB7128"/>
    <w:rsid w:val="00CB74BD"/>
    <w:rsid w:val="00CB75B6"/>
    <w:rsid w:val="00CB7B7D"/>
    <w:rsid w:val="00CB7C58"/>
    <w:rsid w:val="00CB7C9E"/>
    <w:rsid w:val="00CC0FC9"/>
    <w:rsid w:val="00CC10AB"/>
    <w:rsid w:val="00CC1CD1"/>
    <w:rsid w:val="00CC1DD2"/>
    <w:rsid w:val="00CC2585"/>
    <w:rsid w:val="00CC2EF0"/>
    <w:rsid w:val="00CC3BCA"/>
    <w:rsid w:val="00CC3E10"/>
    <w:rsid w:val="00CC3E64"/>
    <w:rsid w:val="00CC454A"/>
    <w:rsid w:val="00CC4BA9"/>
    <w:rsid w:val="00CC4C7B"/>
    <w:rsid w:val="00CC5339"/>
    <w:rsid w:val="00CC5368"/>
    <w:rsid w:val="00CC54CC"/>
    <w:rsid w:val="00CC5732"/>
    <w:rsid w:val="00CC6057"/>
    <w:rsid w:val="00CC6781"/>
    <w:rsid w:val="00CC6CD7"/>
    <w:rsid w:val="00CC7465"/>
    <w:rsid w:val="00CC75E8"/>
    <w:rsid w:val="00CC7817"/>
    <w:rsid w:val="00CC7837"/>
    <w:rsid w:val="00CC78C7"/>
    <w:rsid w:val="00CC7BB1"/>
    <w:rsid w:val="00CC7E4C"/>
    <w:rsid w:val="00CC7F72"/>
    <w:rsid w:val="00CD0500"/>
    <w:rsid w:val="00CD0C1A"/>
    <w:rsid w:val="00CD174B"/>
    <w:rsid w:val="00CD1A09"/>
    <w:rsid w:val="00CD1AB8"/>
    <w:rsid w:val="00CD22EB"/>
    <w:rsid w:val="00CD26DE"/>
    <w:rsid w:val="00CD27A3"/>
    <w:rsid w:val="00CD3C2B"/>
    <w:rsid w:val="00CD41AE"/>
    <w:rsid w:val="00CD4428"/>
    <w:rsid w:val="00CD5790"/>
    <w:rsid w:val="00CD591D"/>
    <w:rsid w:val="00CD5B2B"/>
    <w:rsid w:val="00CD5EF6"/>
    <w:rsid w:val="00CD643B"/>
    <w:rsid w:val="00CD69D3"/>
    <w:rsid w:val="00CD79C3"/>
    <w:rsid w:val="00CE03C5"/>
    <w:rsid w:val="00CE0663"/>
    <w:rsid w:val="00CE120B"/>
    <w:rsid w:val="00CE1E47"/>
    <w:rsid w:val="00CE2166"/>
    <w:rsid w:val="00CE225D"/>
    <w:rsid w:val="00CE27EC"/>
    <w:rsid w:val="00CE2ACB"/>
    <w:rsid w:val="00CE3C9D"/>
    <w:rsid w:val="00CE3E0E"/>
    <w:rsid w:val="00CE3E88"/>
    <w:rsid w:val="00CE43A0"/>
    <w:rsid w:val="00CE4561"/>
    <w:rsid w:val="00CE4563"/>
    <w:rsid w:val="00CE4665"/>
    <w:rsid w:val="00CE466B"/>
    <w:rsid w:val="00CE4A6C"/>
    <w:rsid w:val="00CE57E5"/>
    <w:rsid w:val="00CE5A9F"/>
    <w:rsid w:val="00CE5ACC"/>
    <w:rsid w:val="00CE5E94"/>
    <w:rsid w:val="00CE601F"/>
    <w:rsid w:val="00CE6028"/>
    <w:rsid w:val="00CE6262"/>
    <w:rsid w:val="00CE6CEA"/>
    <w:rsid w:val="00CE6EA1"/>
    <w:rsid w:val="00CE7208"/>
    <w:rsid w:val="00CE760F"/>
    <w:rsid w:val="00CE78A4"/>
    <w:rsid w:val="00CE7D33"/>
    <w:rsid w:val="00CE7FCE"/>
    <w:rsid w:val="00CF0587"/>
    <w:rsid w:val="00CF07CA"/>
    <w:rsid w:val="00CF0D78"/>
    <w:rsid w:val="00CF0E8B"/>
    <w:rsid w:val="00CF1F5F"/>
    <w:rsid w:val="00CF206F"/>
    <w:rsid w:val="00CF231F"/>
    <w:rsid w:val="00CF24E9"/>
    <w:rsid w:val="00CF250F"/>
    <w:rsid w:val="00CF3A5A"/>
    <w:rsid w:val="00CF3D89"/>
    <w:rsid w:val="00CF3D98"/>
    <w:rsid w:val="00CF3DEE"/>
    <w:rsid w:val="00CF4C2F"/>
    <w:rsid w:val="00CF4CDC"/>
    <w:rsid w:val="00CF509C"/>
    <w:rsid w:val="00CF509F"/>
    <w:rsid w:val="00CF5108"/>
    <w:rsid w:val="00CF52E5"/>
    <w:rsid w:val="00CF54DA"/>
    <w:rsid w:val="00CF576E"/>
    <w:rsid w:val="00CF5F39"/>
    <w:rsid w:val="00CF6019"/>
    <w:rsid w:val="00CF62C9"/>
    <w:rsid w:val="00CF637C"/>
    <w:rsid w:val="00CF66C9"/>
    <w:rsid w:val="00CF7299"/>
    <w:rsid w:val="00CF73D1"/>
    <w:rsid w:val="00CF7CFD"/>
    <w:rsid w:val="00CF7E9E"/>
    <w:rsid w:val="00D01168"/>
    <w:rsid w:val="00D011D1"/>
    <w:rsid w:val="00D019BE"/>
    <w:rsid w:val="00D01B3A"/>
    <w:rsid w:val="00D01E8A"/>
    <w:rsid w:val="00D01F98"/>
    <w:rsid w:val="00D021F4"/>
    <w:rsid w:val="00D0252E"/>
    <w:rsid w:val="00D02B89"/>
    <w:rsid w:val="00D03013"/>
    <w:rsid w:val="00D0336E"/>
    <w:rsid w:val="00D03626"/>
    <w:rsid w:val="00D0381E"/>
    <w:rsid w:val="00D03942"/>
    <w:rsid w:val="00D04289"/>
    <w:rsid w:val="00D0466D"/>
    <w:rsid w:val="00D04728"/>
    <w:rsid w:val="00D04C57"/>
    <w:rsid w:val="00D04CD9"/>
    <w:rsid w:val="00D04D75"/>
    <w:rsid w:val="00D059F2"/>
    <w:rsid w:val="00D06234"/>
    <w:rsid w:val="00D06768"/>
    <w:rsid w:val="00D07088"/>
    <w:rsid w:val="00D07125"/>
    <w:rsid w:val="00D072B9"/>
    <w:rsid w:val="00D07476"/>
    <w:rsid w:val="00D10221"/>
    <w:rsid w:val="00D10230"/>
    <w:rsid w:val="00D10366"/>
    <w:rsid w:val="00D10A9E"/>
    <w:rsid w:val="00D10F27"/>
    <w:rsid w:val="00D10FA0"/>
    <w:rsid w:val="00D11874"/>
    <w:rsid w:val="00D11948"/>
    <w:rsid w:val="00D11DB5"/>
    <w:rsid w:val="00D11E41"/>
    <w:rsid w:val="00D12706"/>
    <w:rsid w:val="00D12A35"/>
    <w:rsid w:val="00D12B7A"/>
    <w:rsid w:val="00D12DED"/>
    <w:rsid w:val="00D13B38"/>
    <w:rsid w:val="00D13FA5"/>
    <w:rsid w:val="00D14090"/>
    <w:rsid w:val="00D14958"/>
    <w:rsid w:val="00D14992"/>
    <w:rsid w:val="00D14F7B"/>
    <w:rsid w:val="00D15134"/>
    <w:rsid w:val="00D15DAE"/>
    <w:rsid w:val="00D16601"/>
    <w:rsid w:val="00D1744D"/>
    <w:rsid w:val="00D17E7B"/>
    <w:rsid w:val="00D21062"/>
    <w:rsid w:val="00D2129F"/>
    <w:rsid w:val="00D21816"/>
    <w:rsid w:val="00D21851"/>
    <w:rsid w:val="00D219A7"/>
    <w:rsid w:val="00D21FAE"/>
    <w:rsid w:val="00D22450"/>
    <w:rsid w:val="00D224FA"/>
    <w:rsid w:val="00D235EC"/>
    <w:rsid w:val="00D23613"/>
    <w:rsid w:val="00D23761"/>
    <w:rsid w:val="00D238EE"/>
    <w:rsid w:val="00D23BE1"/>
    <w:rsid w:val="00D24584"/>
    <w:rsid w:val="00D24A91"/>
    <w:rsid w:val="00D24E94"/>
    <w:rsid w:val="00D2501F"/>
    <w:rsid w:val="00D257FA"/>
    <w:rsid w:val="00D2599D"/>
    <w:rsid w:val="00D25A3D"/>
    <w:rsid w:val="00D26A6E"/>
    <w:rsid w:val="00D26F11"/>
    <w:rsid w:val="00D26F2F"/>
    <w:rsid w:val="00D2717E"/>
    <w:rsid w:val="00D27780"/>
    <w:rsid w:val="00D277AD"/>
    <w:rsid w:val="00D300BE"/>
    <w:rsid w:val="00D30132"/>
    <w:rsid w:val="00D301DD"/>
    <w:rsid w:val="00D308C5"/>
    <w:rsid w:val="00D31909"/>
    <w:rsid w:val="00D31EA7"/>
    <w:rsid w:val="00D32018"/>
    <w:rsid w:val="00D320A5"/>
    <w:rsid w:val="00D328AD"/>
    <w:rsid w:val="00D32CBD"/>
    <w:rsid w:val="00D32D03"/>
    <w:rsid w:val="00D3374E"/>
    <w:rsid w:val="00D33AB9"/>
    <w:rsid w:val="00D341E8"/>
    <w:rsid w:val="00D34B9A"/>
    <w:rsid w:val="00D352CB"/>
    <w:rsid w:val="00D35B00"/>
    <w:rsid w:val="00D36031"/>
    <w:rsid w:val="00D36A91"/>
    <w:rsid w:val="00D36CFA"/>
    <w:rsid w:val="00D36EFA"/>
    <w:rsid w:val="00D36FD7"/>
    <w:rsid w:val="00D370CC"/>
    <w:rsid w:val="00D374A4"/>
    <w:rsid w:val="00D37A7E"/>
    <w:rsid w:val="00D37CB2"/>
    <w:rsid w:val="00D40110"/>
    <w:rsid w:val="00D40DD7"/>
    <w:rsid w:val="00D412A3"/>
    <w:rsid w:val="00D415DA"/>
    <w:rsid w:val="00D4161C"/>
    <w:rsid w:val="00D42392"/>
    <w:rsid w:val="00D423C4"/>
    <w:rsid w:val="00D42504"/>
    <w:rsid w:val="00D425DB"/>
    <w:rsid w:val="00D42CD2"/>
    <w:rsid w:val="00D42FAB"/>
    <w:rsid w:val="00D43BD3"/>
    <w:rsid w:val="00D43F3D"/>
    <w:rsid w:val="00D445A3"/>
    <w:rsid w:val="00D44F70"/>
    <w:rsid w:val="00D4577D"/>
    <w:rsid w:val="00D45788"/>
    <w:rsid w:val="00D45AF1"/>
    <w:rsid w:val="00D45CD9"/>
    <w:rsid w:val="00D476B5"/>
    <w:rsid w:val="00D47D2B"/>
    <w:rsid w:val="00D47D93"/>
    <w:rsid w:val="00D5036D"/>
    <w:rsid w:val="00D50403"/>
    <w:rsid w:val="00D50BE7"/>
    <w:rsid w:val="00D50EF9"/>
    <w:rsid w:val="00D515CF"/>
    <w:rsid w:val="00D51C0A"/>
    <w:rsid w:val="00D5211B"/>
    <w:rsid w:val="00D52A16"/>
    <w:rsid w:val="00D532D0"/>
    <w:rsid w:val="00D53890"/>
    <w:rsid w:val="00D545B8"/>
    <w:rsid w:val="00D54651"/>
    <w:rsid w:val="00D549BD"/>
    <w:rsid w:val="00D549BF"/>
    <w:rsid w:val="00D54D90"/>
    <w:rsid w:val="00D55906"/>
    <w:rsid w:val="00D55A0F"/>
    <w:rsid w:val="00D55C43"/>
    <w:rsid w:val="00D55DA9"/>
    <w:rsid w:val="00D56032"/>
    <w:rsid w:val="00D56CCD"/>
    <w:rsid w:val="00D57039"/>
    <w:rsid w:val="00D57BC7"/>
    <w:rsid w:val="00D57C31"/>
    <w:rsid w:val="00D60005"/>
    <w:rsid w:val="00D6078C"/>
    <w:rsid w:val="00D61268"/>
    <w:rsid w:val="00D61AB8"/>
    <w:rsid w:val="00D61EBC"/>
    <w:rsid w:val="00D62767"/>
    <w:rsid w:val="00D62C6A"/>
    <w:rsid w:val="00D62E1B"/>
    <w:rsid w:val="00D63660"/>
    <w:rsid w:val="00D64252"/>
    <w:rsid w:val="00D65722"/>
    <w:rsid w:val="00D65A89"/>
    <w:rsid w:val="00D65C66"/>
    <w:rsid w:val="00D65CF1"/>
    <w:rsid w:val="00D668AE"/>
    <w:rsid w:val="00D6723D"/>
    <w:rsid w:val="00D6733C"/>
    <w:rsid w:val="00D674F5"/>
    <w:rsid w:val="00D67BC1"/>
    <w:rsid w:val="00D67F6B"/>
    <w:rsid w:val="00D70290"/>
    <w:rsid w:val="00D7031A"/>
    <w:rsid w:val="00D70B04"/>
    <w:rsid w:val="00D70F82"/>
    <w:rsid w:val="00D71109"/>
    <w:rsid w:val="00D715BB"/>
    <w:rsid w:val="00D71929"/>
    <w:rsid w:val="00D71FF6"/>
    <w:rsid w:val="00D72BF9"/>
    <w:rsid w:val="00D72D9A"/>
    <w:rsid w:val="00D72E57"/>
    <w:rsid w:val="00D737B4"/>
    <w:rsid w:val="00D738AB"/>
    <w:rsid w:val="00D751A0"/>
    <w:rsid w:val="00D75489"/>
    <w:rsid w:val="00D754AF"/>
    <w:rsid w:val="00D76614"/>
    <w:rsid w:val="00D76AEB"/>
    <w:rsid w:val="00D76E27"/>
    <w:rsid w:val="00D76E54"/>
    <w:rsid w:val="00D7742D"/>
    <w:rsid w:val="00D7756A"/>
    <w:rsid w:val="00D77945"/>
    <w:rsid w:val="00D77CB4"/>
    <w:rsid w:val="00D80061"/>
    <w:rsid w:val="00D805ED"/>
    <w:rsid w:val="00D81132"/>
    <w:rsid w:val="00D8165B"/>
    <w:rsid w:val="00D81BF9"/>
    <w:rsid w:val="00D81FA2"/>
    <w:rsid w:val="00D82333"/>
    <w:rsid w:val="00D828EF"/>
    <w:rsid w:val="00D82A85"/>
    <w:rsid w:val="00D837D4"/>
    <w:rsid w:val="00D8391C"/>
    <w:rsid w:val="00D83DAB"/>
    <w:rsid w:val="00D83E87"/>
    <w:rsid w:val="00D84427"/>
    <w:rsid w:val="00D8476A"/>
    <w:rsid w:val="00D84770"/>
    <w:rsid w:val="00D84903"/>
    <w:rsid w:val="00D84BAB"/>
    <w:rsid w:val="00D84DC1"/>
    <w:rsid w:val="00D85296"/>
    <w:rsid w:val="00D8534B"/>
    <w:rsid w:val="00D85364"/>
    <w:rsid w:val="00D85ABF"/>
    <w:rsid w:val="00D85D93"/>
    <w:rsid w:val="00D87507"/>
    <w:rsid w:val="00D87720"/>
    <w:rsid w:val="00D87B70"/>
    <w:rsid w:val="00D87F8D"/>
    <w:rsid w:val="00D900A7"/>
    <w:rsid w:val="00D90562"/>
    <w:rsid w:val="00D905A4"/>
    <w:rsid w:val="00D906EE"/>
    <w:rsid w:val="00D90722"/>
    <w:rsid w:val="00D90A6B"/>
    <w:rsid w:val="00D912CC"/>
    <w:rsid w:val="00D91521"/>
    <w:rsid w:val="00D91694"/>
    <w:rsid w:val="00D916E5"/>
    <w:rsid w:val="00D92325"/>
    <w:rsid w:val="00D92BB9"/>
    <w:rsid w:val="00D92E38"/>
    <w:rsid w:val="00D92E99"/>
    <w:rsid w:val="00D932ED"/>
    <w:rsid w:val="00D936C4"/>
    <w:rsid w:val="00D93A0B"/>
    <w:rsid w:val="00D93AB6"/>
    <w:rsid w:val="00D93B15"/>
    <w:rsid w:val="00D93C11"/>
    <w:rsid w:val="00D93C48"/>
    <w:rsid w:val="00D9422A"/>
    <w:rsid w:val="00D94EAE"/>
    <w:rsid w:val="00D95089"/>
    <w:rsid w:val="00D95BF3"/>
    <w:rsid w:val="00D95D2C"/>
    <w:rsid w:val="00D968AB"/>
    <w:rsid w:val="00D96995"/>
    <w:rsid w:val="00D971A2"/>
    <w:rsid w:val="00D97218"/>
    <w:rsid w:val="00D975C4"/>
    <w:rsid w:val="00D97701"/>
    <w:rsid w:val="00DA00DE"/>
    <w:rsid w:val="00DA05F6"/>
    <w:rsid w:val="00DA0719"/>
    <w:rsid w:val="00DA08A9"/>
    <w:rsid w:val="00DA1099"/>
    <w:rsid w:val="00DA1218"/>
    <w:rsid w:val="00DA125F"/>
    <w:rsid w:val="00DA1AB8"/>
    <w:rsid w:val="00DA2093"/>
    <w:rsid w:val="00DA2119"/>
    <w:rsid w:val="00DA2563"/>
    <w:rsid w:val="00DA3295"/>
    <w:rsid w:val="00DA3661"/>
    <w:rsid w:val="00DA39F1"/>
    <w:rsid w:val="00DA3CC1"/>
    <w:rsid w:val="00DA4033"/>
    <w:rsid w:val="00DA4D5E"/>
    <w:rsid w:val="00DA4E83"/>
    <w:rsid w:val="00DA4EAB"/>
    <w:rsid w:val="00DA524D"/>
    <w:rsid w:val="00DA58AE"/>
    <w:rsid w:val="00DA61EC"/>
    <w:rsid w:val="00DA6AC2"/>
    <w:rsid w:val="00DA6B12"/>
    <w:rsid w:val="00DA6D4B"/>
    <w:rsid w:val="00DA6F6D"/>
    <w:rsid w:val="00DA79A9"/>
    <w:rsid w:val="00DA79E9"/>
    <w:rsid w:val="00DA7B05"/>
    <w:rsid w:val="00DA7D49"/>
    <w:rsid w:val="00DB0DA1"/>
    <w:rsid w:val="00DB0FF2"/>
    <w:rsid w:val="00DB12AD"/>
    <w:rsid w:val="00DB1378"/>
    <w:rsid w:val="00DB2432"/>
    <w:rsid w:val="00DB26DF"/>
    <w:rsid w:val="00DB277F"/>
    <w:rsid w:val="00DB2AE1"/>
    <w:rsid w:val="00DB2C3F"/>
    <w:rsid w:val="00DB349D"/>
    <w:rsid w:val="00DB3764"/>
    <w:rsid w:val="00DB37C9"/>
    <w:rsid w:val="00DB3D1F"/>
    <w:rsid w:val="00DB43BE"/>
    <w:rsid w:val="00DB45D0"/>
    <w:rsid w:val="00DB493A"/>
    <w:rsid w:val="00DB4955"/>
    <w:rsid w:val="00DB4DBC"/>
    <w:rsid w:val="00DB570C"/>
    <w:rsid w:val="00DB59A9"/>
    <w:rsid w:val="00DB5D2D"/>
    <w:rsid w:val="00DB67F2"/>
    <w:rsid w:val="00DB6862"/>
    <w:rsid w:val="00DB6B70"/>
    <w:rsid w:val="00DB6D1B"/>
    <w:rsid w:val="00DB73A2"/>
    <w:rsid w:val="00DB74AE"/>
    <w:rsid w:val="00DB7CB1"/>
    <w:rsid w:val="00DC0391"/>
    <w:rsid w:val="00DC03F6"/>
    <w:rsid w:val="00DC0671"/>
    <w:rsid w:val="00DC0B00"/>
    <w:rsid w:val="00DC0DE0"/>
    <w:rsid w:val="00DC16FF"/>
    <w:rsid w:val="00DC1CC1"/>
    <w:rsid w:val="00DC202E"/>
    <w:rsid w:val="00DC2AA5"/>
    <w:rsid w:val="00DC2C19"/>
    <w:rsid w:val="00DC32E9"/>
    <w:rsid w:val="00DC42B8"/>
    <w:rsid w:val="00DC42D5"/>
    <w:rsid w:val="00DC4EE5"/>
    <w:rsid w:val="00DC4EFE"/>
    <w:rsid w:val="00DC508C"/>
    <w:rsid w:val="00DC5211"/>
    <w:rsid w:val="00DC5602"/>
    <w:rsid w:val="00DC5CBC"/>
    <w:rsid w:val="00DC61F8"/>
    <w:rsid w:val="00DC62BB"/>
    <w:rsid w:val="00DC64C1"/>
    <w:rsid w:val="00DC6822"/>
    <w:rsid w:val="00DC7160"/>
    <w:rsid w:val="00DC71FE"/>
    <w:rsid w:val="00DC75FB"/>
    <w:rsid w:val="00DC7CDE"/>
    <w:rsid w:val="00DC7FE8"/>
    <w:rsid w:val="00DD0A2F"/>
    <w:rsid w:val="00DD0D0A"/>
    <w:rsid w:val="00DD1629"/>
    <w:rsid w:val="00DD1C3D"/>
    <w:rsid w:val="00DD1E5E"/>
    <w:rsid w:val="00DD285B"/>
    <w:rsid w:val="00DD2D8C"/>
    <w:rsid w:val="00DD37DD"/>
    <w:rsid w:val="00DD3991"/>
    <w:rsid w:val="00DD4870"/>
    <w:rsid w:val="00DD48B3"/>
    <w:rsid w:val="00DD4B39"/>
    <w:rsid w:val="00DD4C58"/>
    <w:rsid w:val="00DD5356"/>
    <w:rsid w:val="00DD5653"/>
    <w:rsid w:val="00DD5E4B"/>
    <w:rsid w:val="00DD6262"/>
    <w:rsid w:val="00DD67DC"/>
    <w:rsid w:val="00DD6982"/>
    <w:rsid w:val="00DD6B43"/>
    <w:rsid w:val="00DD7132"/>
    <w:rsid w:val="00DD758C"/>
    <w:rsid w:val="00DD7BB6"/>
    <w:rsid w:val="00DE02C7"/>
    <w:rsid w:val="00DE046F"/>
    <w:rsid w:val="00DE0619"/>
    <w:rsid w:val="00DE156A"/>
    <w:rsid w:val="00DE1ABE"/>
    <w:rsid w:val="00DE1F65"/>
    <w:rsid w:val="00DE215F"/>
    <w:rsid w:val="00DE2DF3"/>
    <w:rsid w:val="00DE3D12"/>
    <w:rsid w:val="00DE3D30"/>
    <w:rsid w:val="00DE40EE"/>
    <w:rsid w:val="00DE4975"/>
    <w:rsid w:val="00DE4C07"/>
    <w:rsid w:val="00DE4D0F"/>
    <w:rsid w:val="00DE4D36"/>
    <w:rsid w:val="00DE4FFD"/>
    <w:rsid w:val="00DE53E0"/>
    <w:rsid w:val="00DE732B"/>
    <w:rsid w:val="00DE77CA"/>
    <w:rsid w:val="00DE7F7B"/>
    <w:rsid w:val="00DF03B5"/>
    <w:rsid w:val="00DF03F9"/>
    <w:rsid w:val="00DF06DD"/>
    <w:rsid w:val="00DF0874"/>
    <w:rsid w:val="00DF0CEB"/>
    <w:rsid w:val="00DF1B90"/>
    <w:rsid w:val="00DF1D00"/>
    <w:rsid w:val="00DF1E0B"/>
    <w:rsid w:val="00DF2193"/>
    <w:rsid w:val="00DF2258"/>
    <w:rsid w:val="00DF27EE"/>
    <w:rsid w:val="00DF299F"/>
    <w:rsid w:val="00DF2A4F"/>
    <w:rsid w:val="00DF2B9B"/>
    <w:rsid w:val="00DF302A"/>
    <w:rsid w:val="00DF375F"/>
    <w:rsid w:val="00DF37B5"/>
    <w:rsid w:val="00DF3C69"/>
    <w:rsid w:val="00DF4402"/>
    <w:rsid w:val="00DF4545"/>
    <w:rsid w:val="00DF4CDC"/>
    <w:rsid w:val="00DF5314"/>
    <w:rsid w:val="00DF5DCB"/>
    <w:rsid w:val="00DF628B"/>
    <w:rsid w:val="00DF667F"/>
    <w:rsid w:val="00DF67AF"/>
    <w:rsid w:val="00DF68D9"/>
    <w:rsid w:val="00DF69D3"/>
    <w:rsid w:val="00DF6A00"/>
    <w:rsid w:val="00DF73EC"/>
    <w:rsid w:val="00DF764D"/>
    <w:rsid w:val="00DF778F"/>
    <w:rsid w:val="00DF780A"/>
    <w:rsid w:val="00DF7CED"/>
    <w:rsid w:val="00DF7D12"/>
    <w:rsid w:val="00E00344"/>
    <w:rsid w:val="00E008DA"/>
    <w:rsid w:val="00E00F58"/>
    <w:rsid w:val="00E01660"/>
    <w:rsid w:val="00E016A8"/>
    <w:rsid w:val="00E017AF"/>
    <w:rsid w:val="00E01A0A"/>
    <w:rsid w:val="00E024F4"/>
    <w:rsid w:val="00E02678"/>
    <w:rsid w:val="00E02739"/>
    <w:rsid w:val="00E02802"/>
    <w:rsid w:val="00E02A82"/>
    <w:rsid w:val="00E02B63"/>
    <w:rsid w:val="00E02C00"/>
    <w:rsid w:val="00E031AB"/>
    <w:rsid w:val="00E031DA"/>
    <w:rsid w:val="00E03769"/>
    <w:rsid w:val="00E03A0B"/>
    <w:rsid w:val="00E04062"/>
    <w:rsid w:val="00E049F0"/>
    <w:rsid w:val="00E053DC"/>
    <w:rsid w:val="00E0578D"/>
    <w:rsid w:val="00E05C2D"/>
    <w:rsid w:val="00E071CC"/>
    <w:rsid w:val="00E07D6B"/>
    <w:rsid w:val="00E07DE4"/>
    <w:rsid w:val="00E10AE0"/>
    <w:rsid w:val="00E10DC1"/>
    <w:rsid w:val="00E1104A"/>
    <w:rsid w:val="00E11488"/>
    <w:rsid w:val="00E116D0"/>
    <w:rsid w:val="00E11B52"/>
    <w:rsid w:val="00E11FD4"/>
    <w:rsid w:val="00E121EC"/>
    <w:rsid w:val="00E124A4"/>
    <w:rsid w:val="00E127A9"/>
    <w:rsid w:val="00E13374"/>
    <w:rsid w:val="00E13416"/>
    <w:rsid w:val="00E1348F"/>
    <w:rsid w:val="00E134F9"/>
    <w:rsid w:val="00E13C1E"/>
    <w:rsid w:val="00E1428E"/>
    <w:rsid w:val="00E142D2"/>
    <w:rsid w:val="00E1436F"/>
    <w:rsid w:val="00E143BB"/>
    <w:rsid w:val="00E143C5"/>
    <w:rsid w:val="00E14720"/>
    <w:rsid w:val="00E149DB"/>
    <w:rsid w:val="00E14AB7"/>
    <w:rsid w:val="00E14CF6"/>
    <w:rsid w:val="00E14D35"/>
    <w:rsid w:val="00E150C8"/>
    <w:rsid w:val="00E154FD"/>
    <w:rsid w:val="00E15C5F"/>
    <w:rsid w:val="00E1622A"/>
    <w:rsid w:val="00E173CF"/>
    <w:rsid w:val="00E17467"/>
    <w:rsid w:val="00E1752B"/>
    <w:rsid w:val="00E17547"/>
    <w:rsid w:val="00E17A11"/>
    <w:rsid w:val="00E17FE0"/>
    <w:rsid w:val="00E20171"/>
    <w:rsid w:val="00E2019E"/>
    <w:rsid w:val="00E208FC"/>
    <w:rsid w:val="00E20A53"/>
    <w:rsid w:val="00E21271"/>
    <w:rsid w:val="00E217EC"/>
    <w:rsid w:val="00E21A8F"/>
    <w:rsid w:val="00E22ACC"/>
    <w:rsid w:val="00E22CC2"/>
    <w:rsid w:val="00E22E4A"/>
    <w:rsid w:val="00E2447B"/>
    <w:rsid w:val="00E24759"/>
    <w:rsid w:val="00E255F3"/>
    <w:rsid w:val="00E259C3"/>
    <w:rsid w:val="00E25DDD"/>
    <w:rsid w:val="00E25DF0"/>
    <w:rsid w:val="00E260F6"/>
    <w:rsid w:val="00E265C4"/>
    <w:rsid w:val="00E26C6A"/>
    <w:rsid w:val="00E26D88"/>
    <w:rsid w:val="00E26E49"/>
    <w:rsid w:val="00E273EE"/>
    <w:rsid w:val="00E3065D"/>
    <w:rsid w:val="00E306B6"/>
    <w:rsid w:val="00E30D4A"/>
    <w:rsid w:val="00E30DDD"/>
    <w:rsid w:val="00E30E1F"/>
    <w:rsid w:val="00E3112F"/>
    <w:rsid w:val="00E31B8E"/>
    <w:rsid w:val="00E31D4B"/>
    <w:rsid w:val="00E32098"/>
    <w:rsid w:val="00E336F3"/>
    <w:rsid w:val="00E33A72"/>
    <w:rsid w:val="00E33AEC"/>
    <w:rsid w:val="00E34400"/>
    <w:rsid w:val="00E3453B"/>
    <w:rsid w:val="00E34C08"/>
    <w:rsid w:val="00E34D0C"/>
    <w:rsid w:val="00E350AA"/>
    <w:rsid w:val="00E354B8"/>
    <w:rsid w:val="00E35784"/>
    <w:rsid w:val="00E35978"/>
    <w:rsid w:val="00E363A2"/>
    <w:rsid w:val="00E364E4"/>
    <w:rsid w:val="00E36ADB"/>
    <w:rsid w:val="00E37B4B"/>
    <w:rsid w:val="00E40103"/>
    <w:rsid w:val="00E40442"/>
    <w:rsid w:val="00E404E9"/>
    <w:rsid w:val="00E40C51"/>
    <w:rsid w:val="00E40E96"/>
    <w:rsid w:val="00E413A1"/>
    <w:rsid w:val="00E41903"/>
    <w:rsid w:val="00E419D6"/>
    <w:rsid w:val="00E41D38"/>
    <w:rsid w:val="00E41F43"/>
    <w:rsid w:val="00E42056"/>
    <w:rsid w:val="00E42191"/>
    <w:rsid w:val="00E425DB"/>
    <w:rsid w:val="00E42E58"/>
    <w:rsid w:val="00E42FF6"/>
    <w:rsid w:val="00E43174"/>
    <w:rsid w:val="00E4361C"/>
    <w:rsid w:val="00E43CCF"/>
    <w:rsid w:val="00E440D2"/>
    <w:rsid w:val="00E441C3"/>
    <w:rsid w:val="00E44389"/>
    <w:rsid w:val="00E44507"/>
    <w:rsid w:val="00E4452C"/>
    <w:rsid w:val="00E4474E"/>
    <w:rsid w:val="00E452C8"/>
    <w:rsid w:val="00E453C1"/>
    <w:rsid w:val="00E456BA"/>
    <w:rsid w:val="00E45BDB"/>
    <w:rsid w:val="00E471A1"/>
    <w:rsid w:val="00E47612"/>
    <w:rsid w:val="00E4783C"/>
    <w:rsid w:val="00E47AD7"/>
    <w:rsid w:val="00E504C4"/>
    <w:rsid w:val="00E507D6"/>
    <w:rsid w:val="00E50DEE"/>
    <w:rsid w:val="00E5159D"/>
    <w:rsid w:val="00E5170A"/>
    <w:rsid w:val="00E51AA0"/>
    <w:rsid w:val="00E51D7C"/>
    <w:rsid w:val="00E5203B"/>
    <w:rsid w:val="00E525B1"/>
    <w:rsid w:val="00E52DD7"/>
    <w:rsid w:val="00E52EA6"/>
    <w:rsid w:val="00E52F03"/>
    <w:rsid w:val="00E52FFD"/>
    <w:rsid w:val="00E532BB"/>
    <w:rsid w:val="00E536A2"/>
    <w:rsid w:val="00E537FC"/>
    <w:rsid w:val="00E53D07"/>
    <w:rsid w:val="00E5433C"/>
    <w:rsid w:val="00E54388"/>
    <w:rsid w:val="00E549A2"/>
    <w:rsid w:val="00E54BA8"/>
    <w:rsid w:val="00E54F9A"/>
    <w:rsid w:val="00E55034"/>
    <w:rsid w:val="00E5535F"/>
    <w:rsid w:val="00E554B2"/>
    <w:rsid w:val="00E554D6"/>
    <w:rsid w:val="00E55528"/>
    <w:rsid w:val="00E55C8C"/>
    <w:rsid w:val="00E56008"/>
    <w:rsid w:val="00E566AB"/>
    <w:rsid w:val="00E566F5"/>
    <w:rsid w:val="00E56C6D"/>
    <w:rsid w:val="00E56CF5"/>
    <w:rsid w:val="00E570A0"/>
    <w:rsid w:val="00E5797E"/>
    <w:rsid w:val="00E6017F"/>
    <w:rsid w:val="00E605FB"/>
    <w:rsid w:val="00E6065F"/>
    <w:rsid w:val="00E60C62"/>
    <w:rsid w:val="00E61724"/>
    <w:rsid w:val="00E621CD"/>
    <w:rsid w:val="00E6226B"/>
    <w:rsid w:val="00E62420"/>
    <w:rsid w:val="00E6289F"/>
    <w:rsid w:val="00E62A68"/>
    <w:rsid w:val="00E62B09"/>
    <w:rsid w:val="00E62B21"/>
    <w:rsid w:val="00E6304C"/>
    <w:rsid w:val="00E636EE"/>
    <w:rsid w:val="00E638DE"/>
    <w:rsid w:val="00E6396F"/>
    <w:rsid w:val="00E63A29"/>
    <w:rsid w:val="00E6475A"/>
    <w:rsid w:val="00E648A3"/>
    <w:rsid w:val="00E64935"/>
    <w:rsid w:val="00E64DF2"/>
    <w:rsid w:val="00E64EF7"/>
    <w:rsid w:val="00E65220"/>
    <w:rsid w:val="00E657B6"/>
    <w:rsid w:val="00E657E5"/>
    <w:rsid w:val="00E65A53"/>
    <w:rsid w:val="00E65B05"/>
    <w:rsid w:val="00E65BDB"/>
    <w:rsid w:val="00E65D2A"/>
    <w:rsid w:val="00E65F4B"/>
    <w:rsid w:val="00E66ACB"/>
    <w:rsid w:val="00E66EF8"/>
    <w:rsid w:val="00E66FA1"/>
    <w:rsid w:val="00E673BE"/>
    <w:rsid w:val="00E67DF5"/>
    <w:rsid w:val="00E7197B"/>
    <w:rsid w:val="00E71BE3"/>
    <w:rsid w:val="00E72138"/>
    <w:rsid w:val="00E72481"/>
    <w:rsid w:val="00E72576"/>
    <w:rsid w:val="00E73393"/>
    <w:rsid w:val="00E73E87"/>
    <w:rsid w:val="00E740DA"/>
    <w:rsid w:val="00E748FA"/>
    <w:rsid w:val="00E7520E"/>
    <w:rsid w:val="00E75504"/>
    <w:rsid w:val="00E76338"/>
    <w:rsid w:val="00E76625"/>
    <w:rsid w:val="00E76BD8"/>
    <w:rsid w:val="00E76E4C"/>
    <w:rsid w:val="00E7724E"/>
    <w:rsid w:val="00E7799A"/>
    <w:rsid w:val="00E7799D"/>
    <w:rsid w:val="00E805E6"/>
    <w:rsid w:val="00E805ED"/>
    <w:rsid w:val="00E8089C"/>
    <w:rsid w:val="00E80E4F"/>
    <w:rsid w:val="00E816C9"/>
    <w:rsid w:val="00E81B37"/>
    <w:rsid w:val="00E81F21"/>
    <w:rsid w:val="00E82090"/>
    <w:rsid w:val="00E821FB"/>
    <w:rsid w:val="00E82698"/>
    <w:rsid w:val="00E82892"/>
    <w:rsid w:val="00E828CF"/>
    <w:rsid w:val="00E82EE8"/>
    <w:rsid w:val="00E83547"/>
    <w:rsid w:val="00E84112"/>
    <w:rsid w:val="00E844BD"/>
    <w:rsid w:val="00E85906"/>
    <w:rsid w:val="00E859E1"/>
    <w:rsid w:val="00E85A76"/>
    <w:rsid w:val="00E85D10"/>
    <w:rsid w:val="00E86491"/>
    <w:rsid w:val="00E86619"/>
    <w:rsid w:val="00E8668A"/>
    <w:rsid w:val="00E870E0"/>
    <w:rsid w:val="00E87281"/>
    <w:rsid w:val="00E8747B"/>
    <w:rsid w:val="00E87D15"/>
    <w:rsid w:val="00E87FDE"/>
    <w:rsid w:val="00E903BC"/>
    <w:rsid w:val="00E915B3"/>
    <w:rsid w:val="00E91B19"/>
    <w:rsid w:val="00E92C84"/>
    <w:rsid w:val="00E9313E"/>
    <w:rsid w:val="00E93336"/>
    <w:rsid w:val="00E93728"/>
    <w:rsid w:val="00E93A38"/>
    <w:rsid w:val="00E93F10"/>
    <w:rsid w:val="00E93FD4"/>
    <w:rsid w:val="00E94791"/>
    <w:rsid w:val="00E947F2"/>
    <w:rsid w:val="00E94E06"/>
    <w:rsid w:val="00E9508A"/>
    <w:rsid w:val="00E958EE"/>
    <w:rsid w:val="00E95FFD"/>
    <w:rsid w:val="00E963D6"/>
    <w:rsid w:val="00E968C6"/>
    <w:rsid w:val="00E96E07"/>
    <w:rsid w:val="00E97942"/>
    <w:rsid w:val="00E97FCE"/>
    <w:rsid w:val="00EA05A2"/>
    <w:rsid w:val="00EA0813"/>
    <w:rsid w:val="00EA0D58"/>
    <w:rsid w:val="00EA0D59"/>
    <w:rsid w:val="00EA0D6D"/>
    <w:rsid w:val="00EA16F9"/>
    <w:rsid w:val="00EA175F"/>
    <w:rsid w:val="00EA1772"/>
    <w:rsid w:val="00EA198A"/>
    <w:rsid w:val="00EA1A40"/>
    <w:rsid w:val="00EA1CF0"/>
    <w:rsid w:val="00EA1D81"/>
    <w:rsid w:val="00EA26CA"/>
    <w:rsid w:val="00EA28DD"/>
    <w:rsid w:val="00EA2925"/>
    <w:rsid w:val="00EA2EDE"/>
    <w:rsid w:val="00EA3660"/>
    <w:rsid w:val="00EA3908"/>
    <w:rsid w:val="00EA3B2B"/>
    <w:rsid w:val="00EA3C62"/>
    <w:rsid w:val="00EA3D1F"/>
    <w:rsid w:val="00EA3FF5"/>
    <w:rsid w:val="00EA4BBD"/>
    <w:rsid w:val="00EA517C"/>
    <w:rsid w:val="00EA529C"/>
    <w:rsid w:val="00EA5385"/>
    <w:rsid w:val="00EA59F8"/>
    <w:rsid w:val="00EA5AB4"/>
    <w:rsid w:val="00EA5ADF"/>
    <w:rsid w:val="00EA5F1B"/>
    <w:rsid w:val="00EA60AF"/>
    <w:rsid w:val="00EA665A"/>
    <w:rsid w:val="00EA74D7"/>
    <w:rsid w:val="00EA77C6"/>
    <w:rsid w:val="00EA77E1"/>
    <w:rsid w:val="00EA79CE"/>
    <w:rsid w:val="00EA7D99"/>
    <w:rsid w:val="00EA7DEC"/>
    <w:rsid w:val="00EB003B"/>
    <w:rsid w:val="00EB0100"/>
    <w:rsid w:val="00EB0130"/>
    <w:rsid w:val="00EB0550"/>
    <w:rsid w:val="00EB08F9"/>
    <w:rsid w:val="00EB0A70"/>
    <w:rsid w:val="00EB0B05"/>
    <w:rsid w:val="00EB12D2"/>
    <w:rsid w:val="00EB168F"/>
    <w:rsid w:val="00EB1AD3"/>
    <w:rsid w:val="00EB1C55"/>
    <w:rsid w:val="00EB266D"/>
    <w:rsid w:val="00EB2975"/>
    <w:rsid w:val="00EB2DD8"/>
    <w:rsid w:val="00EB2F5D"/>
    <w:rsid w:val="00EB2F78"/>
    <w:rsid w:val="00EB32C1"/>
    <w:rsid w:val="00EB3F8F"/>
    <w:rsid w:val="00EB4621"/>
    <w:rsid w:val="00EB47FA"/>
    <w:rsid w:val="00EB5639"/>
    <w:rsid w:val="00EB5F92"/>
    <w:rsid w:val="00EB5FCC"/>
    <w:rsid w:val="00EB61E3"/>
    <w:rsid w:val="00EB6C76"/>
    <w:rsid w:val="00EB72AF"/>
    <w:rsid w:val="00EB7503"/>
    <w:rsid w:val="00EC0420"/>
    <w:rsid w:val="00EC06EB"/>
    <w:rsid w:val="00EC0AB9"/>
    <w:rsid w:val="00EC0C15"/>
    <w:rsid w:val="00EC1A54"/>
    <w:rsid w:val="00EC1EAF"/>
    <w:rsid w:val="00EC2086"/>
    <w:rsid w:val="00EC281B"/>
    <w:rsid w:val="00EC2A41"/>
    <w:rsid w:val="00EC3051"/>
    <w:rsid w:val="00EC35ED"/>
    <w:rsid w:val="00EC36E5"/>
    <w:rsid w:val="00EC3A52"/>
    <w:rsid w:val="00EC3FAB"/>
    <w:rsid w:val="00EC4619"/>
    <w:rsid w:val="00EC4705"/>
    <w:rsid w:val="00EC4741"/>
    <w:rsid w:val="00EC5AB8"/>
    <w:rsid w:val="00EC613B"/>
    <w:rsid w:val="00EC66EC"/>
    <w:rsid w:val="00EC670B"/>
    <w:rsid w:val="00EC6D66"/>
    <w:rsid w:val="00EC6EEB"/>
    <w:rsid w:val="00EC70D6"/>
    <w:rsid w:val="00EC7834"/>
    <w:rsid w:val="00EC7AD2"/>
    <w:rsid w:val="00ED008B"/>
    <w:rsid w:val="00ED036F"/>
    <w:rsid w:val="00ED054F"/>
    <w:rsid w:val="00ED0EDA"/>
    <w:rsid w:val="00ED1B0E"/>
    <w:rsid w:val="00ED1C86"/>
    <w:rsid w:val="00ED1E07"/>
    <w:rsid w:val="00ED1E5E"/>
    <w:rsid w:val="00ED2093"/>
    <w:rsid w:val="00ED315E"/>
    <w:rsid w:val="00ED352B"/>
    <w:rsid w:val="00ED366A"/>
    <w:rsid w:val="00ED3927"/>
    <w:rsid w:val="00ED4290"/>
    <w:rsid w:val="00ED438F"/>
    <w:rsid w:val="00ED447C"/>
    <w:rsid w:val="00ED44B5"/>
    <w:rsid w:val="00ED5132"/>
    <w:rsid w:val="00ED5181"/>
    <w:rsid w:val="00ED5654"/>
    <w:rsid w:val="00ED5DDC"/>
    <w:rsid w:val="00ED5F63"/>
    <w:rsid w:val="00ED6280"/>
    <w:rsid w:val="00ED63B8"/>
    <w:rsid w:val="00ED67C3"/>
    <w:rsid w:val="00ED681A"/>
    <w:rsid w:val="00ED6B67"/>
    <w:rsid w:val="00ED6B70"/>
    <w:rsid w:val="00ED6CE5"/>
    <w:rsid w:val="00ED74A4"/>
    <w:rsid w:val="00ED758F"/>
    <w:rsid w:val="00ED7747"/>
    <w:rsid w:val="00ED7F9B"/>
    <w:rsid w:val="00EE0051"/>
    <w:rsid w:val="00EE04DD"/>
    <w:rsid w:val="00EE11ED"/>
    <w:rsid w:val="00EE1330"/>
    <w:rsid w:val="00EE15A6"/>
    <w:rsid w:val="00EE16DE"/>
    <w:rsid w:val="00EE19E1"/>
    <w:rsid w:val="00EE353B"/>
    <w:rsid w:val="00EE35A2"/>
    <w:rsid w:val="00EE35BF"/>
    <w:rsid w:val="00EE379A"/>
    <w:rsid w:val="00EE37BA"/>
    <w:rsid w:val="00EE3E4C"/>
    <w:rsid w:val="00EE4474"/>
    <w:rsid w:val="00EE4599"/>
    <w:rsid w:val="00EE481D"/>
    <w:rsid w:val="00EE4AC5"/>
    <w:rsid w:val="00EE4B3A"/>
    <w:rsid w:val="00EE51D2"/>
    <w:rsid w:val="00EE56BF"/>
    <w:rsid w:val="00EE59AE"/>
    <w:rsid w:val="00EE5F07"/>
    <w:rsid w:val="00EE61B2"/>
    <w:rsid w:val="00EE6770"/>
    <w:rsid w:val="00EE6879"/>
    <w:rsid w:val="00EE69B4"/>
    <w:rsid w:val="00EE6D5B"/>
    <w:rsid w:val="00EE6E86"/>
    <w:rsid w:val="00EE74B9"/>
    <w:rsid w:val="00EE758D"/>
    <w:rsid w:val="00EE75F9"/>
    <w:rsid w:val="00EE7C33"/>
    <w:rsid w:val="00EE7EDF"/>
    <w:rsid w:val="00EF020B"/>
    <w:rsid w:val="00EF0301"/>
    <w:rsid w:val="00EF06A1"/>
    <w:rsid w:val="00EF07BB"/>
    <w:rsid w:val="00EF095E"/>
    <w:rsid w:val="00EF0AC4"/>
    <w:rsid w:val="00EF0F88"/>
    <w:rsid w:val="00EF130D"/>
    <w:rsid w:val="00EF17DA"/>
    <w:rsid w:val="00EF20F9"/>
    <w:rsid w:val="00EF29F3"/>
    <w:rsid w:val="00EF2D3D"/>
    <w:rsid w:val="00EF31DF"/>
    <w:rsid w:val="00EF3526"/>
    <w:rsid w:val="00EF35AF"/>
    <w:rsid w:val="00EF38DF"/>
    <w:rsid w:val="00EF3ED2"/>
    <w:rsid w:val="00EF4464"/>
    <w:rsid w:val="00EF469F"/>
    <w:rsid w:val="00EF4D31"/>
    <w:rsid w:val="00EF4ED7"/>
    <w:rsid w:val="00EF5631"/>
    <w:rsid w:val="00EF5DAF"/>
    <w:rsid w:val="00EF62DD"/>
    <w:rsid w:val="00EF6AED"/>
    <w:rsid w:val="00EF6BA1"/>
    <w:rsid w:val="00F0148B"/>
    <w:rsid w:val="00F01E2C"/>
    <w:rsid w:val="00F0219C"/>
    <w:rsid w:val="00F02367"/>
    <w:rsid w:val="00F02470"/>
    <w:rsid w:val="00F02AA1"/>
    <w:rsid w:val="00F02D34"/>
    <w:rsid w:val="00F03149"/>
    <w:rsid w:val="00F03181"/>
    <w:rsid w:val="00F0363D"/>
    <w:rsid w:val="00F0422C"/>
    <w:rsid w:val="00F0448F"/>
    <w:rsid w:val="00F04A98"/>
    <w:rsid w:val="00F04EFF"/>
    <w:rsid w:val="00F05E3F"/>
    <w:rsid w:val="00F06D8C"/>
    <w:rsid w:val="00F07141"/>
    <w:rsid w:val="00F0765F"/>
    <w:rsid w:val="00F07727"/>
    <w:rsid w:val="00F078D7"/>
    <w:rsid w:val="00F078FF"/>
    <w:rsid w:val="00F07C7D"/>
    <w:rsid w:val="00F100A9"/>
    <w:rsid w:val="00F10629"/>
    <w:rsid w:val="00F117CE"/>
    <w:rsid w:val="00F1192F"/>
    <w:rsid w:val="00F12211"/>
    <w:rsid w:val="00F12740"/>
    <w:rsid w:val="00F12E95"/>
    <w:rsid w:val="00F13299"/>
    <w:rsid w:val="00F14078"/>
    <w:rsid w:val="00F1458A"/>
    <w:rsid w:val="00F14C59"/>
    <w:rsid w:val="00F14F21"/>
    <w:rsid w:val="00F14F49"/>
    <w:rsid w:val="00F15274"/>
    <w:rsid w:val="00F15688"/>
    <w:rsid w:val="00F158BC"/>
    <w:rsid w:val="00F17DDB"/>
    <w:rsid w:val="00F17EED"/>
    <w:rsid w:val="00F20604"/>
    <w:rsid w:val="00F20866"/>
    <w:rsid w:val="00F216CD"/>
    <w:rsid w:val="00F21C6C"/>
    <w:rsid w:val="00F21FB5"/>
    <w:rsid w:val="00F2236C"/>
    <w:rsid w:val="00F22CB5"/>
    <w:rsid w:val="00F2316C"/>
    <w:rsid w:val="00F234E0"/>
    <w:rsid w:val="00F236BB"/>
    <w:rsid w:val="00F23EDB"/>
    <w:rsid w:val="00F24387"/>
    <w:rsid w:val="00F2459A"/>
    <w:rsid w:val="00F24773"/>
    <w:rsid w:val="00F24830"/>
    <w:rsid w:val="00F24C33"/>
    <w:rsid w:val="00F24E72"/>
    <w:rsid w:val="00F2537E"/>
    <w:rsid w:val="00F253AE"/>
    <w:rsid w:val="00F2580B"/>
    <w:rsid w:val="00F2599A"/>
    <w:rsid w:val="00F25AC7"/>
    <w:rsid w:val="00F25DC5"/>
    <w:rsid w:val="00F25FE2"/>
    <w:rsid w:val="00F26AE8"/>
    <w:rsid w:val="00F26B32"/>
    <w:rsid w:val="00F26BDD"/>
    <w:rsid w:val="00F26D21"/>
    <w:rsid w:val="00F26F35"/>
    <w:rsid w:val="00F273E4"/>
    <w:rsid w:val="00F2740F"/>
    <w:rsid w:val="00F274DB"/>
    <w:rsid w:val="00F27589"/>
    <w:rsid w:val="00F2760D"/>
    <w:rsid w:val="00F27BF0"/>
    <w:rsid w:val="00F27C18"/>
    <w:rsid w:val="00F27CDA"/>
    <w:rsid w:val="00F27E6A"/>
    <w:rsid w:val="00F30FDB"/>
    <w:rsid w:val="00F310BE"/>
    <w:rsid w:val="00F31164"/>
    <w:rsid w:val="00F31930"/>
    <w:rsid w:val="00F31BD6"/>
    <w:rsid w:val="00F31CAE"/>
    <w:rsid w:val="00F32368"/>
    <w:rsid w:val="00F325D0"/>
    <w:rsid w:val="00F326F8"/>
    <w:rsid w:val="00F32769"/>
    <w:rsid w:val="00F32B16"/>
    <w:rsid w:val="00F32D28"/>
    <w:rsid w:val="00F33750"/>
    <w:rsid w:val="00F34350"/>
    <w:rsid w:val="00F34452"/>
    <w:rsid w:val="00F3496C"/>
    <w:rsid w:val="00F34BC9"/>
    <w:rsid w:val="00F34E26"/>
    <w:rsid w:val="00F3543E"/>
    <w:rsid w:val="00F3544C"/>
    <w:rsid w:val="00F355D6"/>
    <w:rsid w:val="00F35ABA"/>
    <w:rsid w:val="00F364C7"/>
    <w:rsid w:val="00F366F6"/>
    <w:rsid w:val="00F36EA5"/>
    <w:rsid w:val="00F36FDF"/>
    <w:rsid w:val="00F3729E"/>
    <w:rsid w:val="00F375D2"/>
    <w:rsid w:val="00F37DAA"/>
    <w:rsid w:val="00F40167"/>
    <w:rsid w:val="00F40297"/>
    <w:rsid w:val="00F4034C"/>
    <w:rsid w:val="00F403EF"/>
    <w:rsid w:val="00F41237"/>
    <w:rsid w:val="00F41E66"/>
    <w:rsid w:val="00F41F5C"/>
    <w:rsid w:val="00F421CC"/>
    <w:rsid w:val="00F425A2"/>
    <w:rsid w:val="00F427B4"/>
    <w:rsid w:val="00F42C93"/>
    <w:rsid w:val="00F42CD9"/>
    <w:rsid w:val="00F42EE2"/>
    <w:rsid w:val="00F430C3"/>
    <w:rsid w:val="00F4336C"/>
    <w:rsid w:val="00F434C7"/>
    <w:rsid w:val="00F4430D"/>
    <w:rsid w:val="00F444B5"/>
    <w:rsid w:val="00F4464F"/>
    <w:rsid w:val="00F44904"/>
    <w:rsid w:val="00F44AEB"/>
    <w:rsid w:val="00F44D23"/>
    <w:rsid w:val="00F44FFF"/>
    <w:rsid w:val="00F45044"/>
    <w:rsid w:val="00F453F3"/>
    <w:rsid w:val="00F458AE"/>
    <w:rsid w:val="00F45BB7"/>
    <w:rsid w:val="00F45C3F"/>
    <w:rsid w:val="00F46695"/>
    <w:rsid w:val="00F4696A"/>
    <w:rsid w:val="00F46A4F"/>
    <w:rsid w:val="00F46D46"/>
    <w:rsid w:val="00F474C2"/>
    <w:rsid w:val="00F47C6A"/>
    <w:rsid w:val="00F47DF7"/>
    <w:rsid w:val="00F47E4E"/>
    <w:rsid w:val="00F50D97"/>
    <w:rsid w:val="00F5107E"/>
    <w:rsid w:val="00F51132"/>
    <w:rsid w:val="00F5127A"/>
    <w:rsid w:val="00F512D8"/>
    <w:rsid w:val="00F5160B"/>
    <w:rsid w:val="00F5162B"/>
    <w:rsid w:val="00F51788"/>
    <w:rsid w:val="00F51818"/>
    <w:rsid w:val="00F51978"/>
    <w:rsid w:val="00F51CE7"/>
    <w:rsid w:val="00F51DD7"/>
    <w:rsid w:val="00F52605"/>
    <w:rsid w:val="00F52F68"/>
    <w:rsid w:val="00F52FB5"/>
    <w:rsid w:val="00F532F8"/>
    <w:rsid w:val="00F538CE"/>
    <w:rsid w:val="00F53C31"/>
    <w:rsid w:val="00F53F52"/>
    <w:rsid w:val="00F542B4"/>
    <w:rsid w:val="00F54328"/>
    <w:rsid w:val="00F54C21"/>
    <w:rsid w:val="00F55046"/>
    <w:rsid w:val="00F553C6"/>
    <w:rsid w:val="00F55B05"/>
    <w:rsid w:val="00F56581"/>
    <w:rsid w:val="00F56757"/>
    <w:rsid w:val="00F568F5"/>
    <w:rsid w:val="00F56D73"/>
    <w:rsid w:val="00F579A5"/>
    <w:rsid w:val="00F579B6"/>
    <w:rsid w:val="00F57B09"/>
    <w:rsid w:val="00F57BCC"/>
    <w:rsid w:val="00F605F2"/>
    <w:rsid w:val="00F607A5"/>
    <w:rsid w:val="00F60AEB"/>
    <w:rsid w:val="00F61218"/>
    <w:rsid w:val="00F61531"/>
    <w:rsid w:val="00F6195F"/>
    <w:rsid w:val="00F619F6"/>
    <w:rsid w:val="00F61AA8"/>
    <w:rsid w:val="00F61E1B"/>
    <w:rsid w:val="00F62562"/>
    <w:rsid w:val="00F62B2F"/>
    <w:rsid w:val="00F63129"/>
    <w:rsid w:val="00F63D8E"/>
    <w:rsid w:val="00F64090"/>
    <w:rsid w:val="00F64977"/>
    <w:rsid w:val="00F64CE9"/>
    <w:rsid w:val="00F64E54"/>
    <w:rsid w:val="00F6501C"/>
    <w:rsid w:val="00F658DB"/>
    <w:rsid w:val="00F65AEE"/>
    <w:rsid w:val="00F6629A"/>
    <w:rsid w:val="00F66957"/>
    <w:rsid w:val="00F67355"/>
    <w:rsid w:val="00F67464"/>
    <w:rsid w:val="00F675A0"/>
    <w:rsid w:val="00F70830"/>
    <w:rsid w:val="00F708B5"/>
    <w:rsid w:val="00F70CB8"/>
    <w:rsid w:val="00F70D90"/>
    <w:rsid w:val="00F70DF3"/>
    <w:rsid w:val="00F71595"/>
    <w:rsid w:val="00F71775"/>
    <w:rsid w:val="00F71B20"/>
    <w:rsid w:val="00F71DE0"/>
    <w:rsid w:val="00F7259D"/>
    <w:rsid w:val="00F726D7"/>
    <w:rsid w:val="00F72A57"/>
    <w:rsid w:val="00F72DDF"/>
    <w:rsid w:val="00F73018"/>
    <w:rsid w:val="00F73820"/>
    <w:rsid w:val="00F73986"/>
    <w:rsid w:val="00F739A1"/>
    <w:rsid w:val="00F73A71"/>
    <w:rsid w:val="00F73EA7"/>
    <w:rsid w:val="00F7416E"/>
    <w:rsid w:val="00F7420D"/>
    <w:rsid w:val="00F7431E"/>
    <w:rsid w:val="00F74515"/>
    <w:rsid w:val="00F747AF"/>
    <w:rsid w:val="00F74FBA"/>
    <w:rsid w:val="00F757F5"/>
    <w:rsid w:val="00F76797"/>
    <w:rsid w:val="00F76C1F"/>
    <w:rsid w:val="00F7728D"/>
    <w:rsid w:val="00F77424"/>
    <w:rsid w:val="00F7792A"/>
    <w:rsid w:val="00F77F6A"/>
    <w:rsid w:val="00F8000F"/>
    <w:rsid w:val="00F800A7"/>
    <w:rsid w:val="00F801C1"/>
    <w:rsid w:val="00F81272"/>
    <w:rsid w:val="00F81300"/>
    <w:rsid w:val="00F81890"/>
    <w:rsid w:val="00F8198D"/>
    <w:rsid w:val="00F81B0E"/>
    <w:rsid w:val="00F81C6F"/>
    <w:rsid w:val="00F8280B"/>
    <w:rsid w:val="00F82FCB"/>
    <w:rsid w:val="00F832AD"/>
    <w:rsid w:val="00F8361B"/>
    <w:rsid w:val="00F83730"/>
    <w:rsid w:val="00F839C7"/>
    <w:rsid w:val="00F839CC"/>
    <w:rsid w:val="00F842D0"/>
    <w:rsid w:val="00F84582"/>
    <w:rsid w:val="00F84C80"/>
    <w:rsid w:val="00F853EF"/>
    <w:rsid w:val="00F85980"/>
    <w:rsid w:val="00F86376"/>
    <w:rsid w:val="00F86635"/>
    <w:rsid w:val="00F86C89"/>
    <w:rsid w:val="00F879F5"/>
    <w:rsid w:val="00F90500"/>
    <w:rsid w:val="00F90BDF"/>
    <w:rsid w:val="00F90D9A"/>
    <w:rsid w:val="00F91123"/>
    <w:rsid w:val="00F911DE"/>
    <w:rsid w:val="00F91CA2"/>
    <w:rsid w:val="00F922E9"/>
    <w:rsid w:val="00F92390"/>
    <w:rsid w:val="00F92414"/>
    <w:rsid w:val="00F92FC4"/>
    <w:rsid w:val="00F932F2"/>
    <w:rsid w:val="00F934CB"/>
    <w:rsid w:val="00F9472D"/>
    <w:rsid w:val="00F94794"/>
    <w:rsid w:val="00F95934"/>
    <w:rsid w:val="00F9653C"/>
    <w:rsid w:val="00F96B8F"/>
    <w:rsid w:val="00F96CF3"/>
    <w:rsid w:val="00F979B9"/>
    <w:rsid w:val="00F97EAD"/>
    <w:rsid w:val="00FA013A"/>
    <w:rsid w:val="00FA026A"/>
    <w:rsid w:val="00FA0BEC"/>
    <w:rsid w:val="00FA0F78"/>
    <w:rsid w:val="00FA10C7"/>
    <w:rsid w:val="00FA17BB"/>
    <w:rsid w:val="00FA1E46"/>
    <w:rsid w:val="00FA206A"/>
    <w:rsid w:val="00FA20E3"/>
    <w:rsid w:val="00FA29D4"/>
    <w:rsid w:val="00FA2E66"/>
    <w:rsid w:val="00FA3143"/>
    <w:rsid w:val="00FA3196"/>
    <w:rsid w:val="00FA3753"/>
    <w:rsid w:val="00FA390E"/>
    <w:rsid w:val="00FA3FE0"/>
    <w:rsid w:val="00FA41A3"/>
    <w:rsid w:val="00FA4223"/>
    <w:rsid w:val="00FA4DC9"/>
    <w:rsid w:val="00FA4F08"/>
    <w:rsid w:val="00FA5E30"/>
    <w:rsid w:val="00FA62F8"/>
    <w:rsid w:val="00FA6493"/>
    <w:rsid w:val="00FA6CE2"/>
    <w:rsid w:val="00FA71CB"/>
    <w:rsid w:val="00FA7363"/>
    <w:rsid w:val="00FA78E6"/>
    <w:rsid w:val="00FA7AA7"/>
    <w:rsid w:val="00FA7BEE"/>
    <w:rsid w:val="00FA7F07"/>
    <w:rsid w:val="00FB036D"/>
    <w:rsid w:val="00FB0BB2"/>
    <w:rsid w:val="00FB0C3C"/>
    <w:rsid w:val="00FB0C56"/>
    <w:rsid w:val="00FB0E0E"/>
    <w:rsid w:val="00FB13E4"/>
    <w:rsid w:val="00FB18EF"/>
    <w:rsid w:val="00FB288C"/>
    <w:rsid w:val="00FB2C22"/>
    <w:rsid w:val="00FB2D30"/>
    <w:rsid w:val="00FB2D34"/>
    <w:rsid w:val="00FB3306"/>
    <w:rsid w:val="00FB374E"/>
    <w:rsid w:val="00FB3996"/>
    <w:rsid w:val="00FB3B8C"/>
    <w:rsid w:val="00FB4322"/>
    <w:rsid w:val="00FB46AA"/>
    <w:rsid w:val="00FB4B1F"/>
    <w:rsid w:val="00FB4E10"/>
    <w:rsid w:val="00FB5763"/>
    <w:rsid w:val="00FB5CF1"/>
    <w:rsid w:val="00FB6519"/>
    <w:rsid w:val="00FB66C0"/>
    <w:rsid w:val="00FB6B75"/>
    <w:rsid w:val="00FB72B4"/>
    <w:rsid w:val="00FB7409"/>
    <w:rsid w:val="00FB7599"/>
    <w:rsid w:val="00FB79F1"/>
    <w:rsid w:val="00FB7DF8"/>
    <w:rsid w:val="00FB7E1C"/>
    <w:rsid w:val="00FC0338"/>
    <w:rsid w:val="00FC0441"/>
    <w:rsid w:val="00FC0565"/>
    <w:rsid w:val="00FC0D0E"/>
    <w:rsid w:val="00FC124D"/>
    <w:rsid w:val="00FC14DA"/>
    <w:rsid w:val="00FC1E11"/>
    <w:rsid w:val="00FC240C"/>
    <w:rsid w:val="00FC2723"/>
    <w:rsid w:val="00FC3FB1"/>
    <w:rsid w:val="00FC4B6F"/>
    <w:rsid w:val="00FC4BBE"/>
    <w:rsid w:val="00FC50B3"/>
    <w:rsid w:val="00FC5BD0"/>
    <w:rsid w:val="00FC5C5E"/>
    <w:rsid w:val="00FC5CD7"/>
    <w:rsid w:val="00FC5EEE"/>
    <w:rsid w:val="00FC6408"/>
    <w:rsid w:val="00FC65F5"/>
    <w:rsid w:val="00FC67C6"/>
    <w:rsid w:val="00FC6A17"/>
    <w:rsid w:val="00FC6C38"/>
    <w:rsid w:val="00FC6E51"/>
    <w:rsid w:val="00FC7527"/>
    <w:rsid w:val="00FC7690"/>
    <w:rsid w:val="00FC7715"/>
    <w:rsid w:val="00FC78D7"/>
    <w:rsid w:val="00FC7A91"/>
    <w:rsid w:val="00FC7D8B"/>
    <w:rsid w:val="00FC7D93"/>
    <w:rsid w:val="00FC7DC4"/>
    <w:rsid w:val="00FD09C4"/>
    <w:rsid w:val="00FD1349"/>
    <w:rsid w:val="00FD1598"/>
    <w:rsid w:val="00FD15F5"/>
    <w:rsid w:val="00FD1BF4"/>
    <w:rsid w:val="00FD1D88"/>
    <w:rsid w:val="00FD1F65"/>
    <w:rsid w:val="00FD24B3"/>
    <w:rsid w:val="00FD24DF"/>
    <w:rsid w:val="00FD265B"/>
    <w:rsid w:val="00FD29F6"/>
    <w:rsid w:val="00FD37D3"/>
    <w:rsid w:val="00FD37F0"/>
    <w:rsid w:val="00FD3A76"/>
    <w:rsid w:val="00FD4ED1"/>
    <w:rsid w:val="00FD5F9D"/>
    <w:rsid w:val="00FD6004"/>
    <w:rsid w:val="00FD643F"/>
    <w:rsid w:val="00FD664E"/>
    <w:rsid w:val="00FD7046"/>
    <w:rsid w:val="00FD735B"/>
    <w:rsid w:val="00FD7411"/>
    <w:rsid w:val="00FE02FA"/>
    <w:rsid w:val="00FE0307"/>
    <w:rsid w:val="00FE06C2"/>
    <w:rsid w:val="00FE0B15"/>
    <w:rsid w:val="00FE0B5D"/>
    <w:rsid w:val="00FE0F7E"/>
    <w:rsid w:val="00FE19DF"/>
    <w:rsid w:val="00FE1D43"/>
    <w:rsid w:val="00FE21D7"/>
    <w:rsid w:val="00FE33E0"/>
    <w:rsid w:val="00FE3946"/>
    <w:rsid w:val="00FE3ABC"/>
    <w:rsid w:val="00FE4019"/>
    <w:rsid w:val="00FE4244"/>
    <w:rsid w:val="00FE43FE"/>
    <w:rsid w:val="00FE4802"/>
    <w:rsid w:val="00FE4BE2"/>
    <w:rsid w:val="00FE4D5F"/>
    <w:rsid w:val="00FE4D64"/>
    <w:rsid w:val="00FE4DEE"/>
    <w:rsid w:val="00FE5B43"/>
    <w:rsid w:val="00FE5D9A"/>
    <w:rsid w:val="00FE5F9C"/>
    <w:rsid w:val="00FE61BB"/>
    <w:rsid w:val="00FE62A9"/>
    <w:rsid w:val="00FE698B"/>
    <w:rsid w:val="00FE69BD"/>
    <w:rsid w:val="00FE6ABE"/>
    <w:rsid w:val="00FE71F9"/>
    <w:rsid w:val="00FE74BD"/>
    <w:rsid w:val="00FF01A2"/>
    <w:rsid w:val="00FF0390"/>
    <w:rsid w:val="00FF0FFF"/>
    <w:rsid w:val="00FF102F"/>
    <w:rsid w:val="00FF15A2"/>
    <w:rsid w:val="00FF1763"/>
    <w:rsid w:val="00FF2025"/>
    <w:rsid w:val="00FF2291"/>
    <w:rsid w:val="00FF25DE"/>
    <w:rsid w:val="00FF2943"/>
    <w:rsid w:val="00FF2DF5"/>
    <w:rsid w:val="00FF2ED5"/>
    <w:rsid w:val="00FF2F1A"/>
    <w:rsid w:val="00FF3408"/>
    <w:rsid w:val="00FF4786"/>
    <w:rsid w:val="00FF49FB"/>
    <w:rsid w:val="00FF4D76"/>
    <w:rsid w:val="00FF4EFD"/>
    <w:rsid w:val="00FF4F78"/>
    <w:rsid w:val="00FF564D"/>
    <w:rsid w:val="00FF567F"/>
    <w:rsid w:val="00FF5CE2"/>
    <w:rsid w:val="00FF5CEC"/>
    <w:rsid w:val="00FF5E47"/>
    <w:rsid w:val="00FF6634"/>
    <w:rsid w:val="00FF6645"/>
    <w:rsid w:val="00FF6EA9"/>
    <w:rsid w:val="00FF6F1A"/>
    <w:rsid w:val="00FF71BB"/>
    <w:rsid w:val="00FF731A"/>
    <w:rsid w:val="00FF7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386e,#73c800,#c6eaa8"/>
    </o:shapedefaults>
    <o:shapelayout v:ext="edit">
      <o:idmap v:ext="edit" data="2"/>
    </o:shapelayout>
  </w:shapeDefaults>
  <w:decimalSymbol w:val="."/>
  <w:listSeparator w:val=","/>
  <w14:docId w14:val="1883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2133"/>
    <w:pPr>
      <w:spacing w:before="120" w:line="240" w:lineRule="atLeast"/>
      <w:ind w:right="1077"/>
    </w:pPr>
    <w:rPr>
      <w:rFonts w:ascii="Arial Nova" w:hAnsi="Arial Nova"/>
      <w:lang w:eastAsia="en-US"/>
    </w:rPr>
  </w:style>
  <w:style w:type="paragraph" w:styleId="Heading1">
    <w:name w:val="heading 1"/>
    <w:next w:val="Normal"/>
    <w:link w:val="Heading1Char"/>
    <w:qFormat/>
    <w:rsid w:val="00655425"/>
    <w:pPr>
      <w:spacing w:after="240" w:line="240" w:lineRule="atLeast"/>
      <w:outlineLvl w:val="0"/>
    </w:pPr>
    <w:rPr>
      <w:rFonts w:ascii="Arial Nova" w:hAnsi="Arial Nova"/>
      <w:b/>
      <w:color w:val="00376E"/>
      <w:kern w:val="32"/>
      <w:sz w:val="36"/>
      <w:szCs w:val="18"/>
      <w:lang w:eastAsia="en-US"/>
    </w:rPr>
  </w:style>
  <w:style w:type="paragraph" w:styleId="Heading2">
    <w:name w:val="heading 2"/>
    <w:next w:val="Normal"/>
    <w:link w:val="Heading2Char"/>
    <w:qFormat/>
    <w:rsid w:val="001952F2"/>
    <w:pPr>
      <w:keepNext/>
      <w:spacing w:before="360" w:after="60" w:line="300" w:lineRule="atLeast"/>
      <w:outlineLvl w:val="1"/>
    </w:pPr>
    <w:rPr>
      <w:rFonts w:ascii="Arial" w:hAnsi="Arial"/>
      <w:color w:val="00376E"/>
      <w:sz w:val="28"/>
      <w:lang w:eastAsia="en-US"/>
    </w:rPr>
  </w:style>
  <w:style w:type="paragraph" w:styleId="Heading3">
    <w:name w:val="heading 3"/>
    <w:next w:val="Normal"/>
    <w:link w:val="Heading3Char"/>
    <w:qFormat/>
    <w:rsid w:val="00966B2A"/>
    <w:pPr>
      <w:keepNext/>
      <w:spacing w:before="240" w:after="120" w:line="240" w:lineRule="atLeast"/>
      <w:outlineLvl w:val="2"/>
    </w:pPr>
    <w:rPr>
      <w:rFonts w:ascii="Arial Nova" w:hAnsi="Arial Nova" w:cs="Arial"/>
      <w:i/>
      <w:iCs/>
      <w:color w:val="00376E"/>
      <w:sz w:val="24"/>
      <w:szCs w:val="26"/>
      <w:lang w:eastAsia="en-US"/>
    </w:rPr>
  </w:style>
  <w:style w:type="paragraph" w:styleId="Heading4">
    <w:name w:val="heading 4"/>
    <w:basedOn w:val="Heading3"/>
    <w:next w:val="Normal"/>
    <w:link w:val="Heading4Char"/>
    <w:qFormat/>
    <w:rsid w:val="0019274F"/>
    <w:pPr>
      <w:spacing w:after="60"/>
      <w:ind w:left="720"/>
      <w:outlineLvl w:val="3"/>
    </w:pPr>
    <w:rPr>
      <w:b/>
      <w:bCs/>
      <w:i w:val="0"/>
      <w:sz w:val="20"/>
      <w:szCs w:val="32"/>
      <w:lang w:eastAsia="en-AU"/>
    </w:rPr>
  </w:style>
  <w:style w:type="paragraph" w:styleId="Heading5">
    <w:name w:val="heading 5"/>
    <w:basedOn w:val="Normal"/>
    <w:next w:val="Normal"/>
    <w:qFormat/>
    <w:rsid w:val="00AD7870"/>
    <w:pPr>
      <w:spacing w:before="240" w:after="60"/>
      <w:outlineLvl w:val="4"/>
    </w:pPr>
    <w:rPr>
      <w:b/>
      <w:bCs/>
      <w:i/>
      <w:iCs/>
      <w:szCs w:val="26"/>
    </w:rPr>
  </w:style>
  <w:style w:type="paragraph" w:styleId="Heading6">
    <w:name w:val="heading 6"/>
    <w:basedOn w:val="Normal"/>
    <w:next w:val="Normal"/>
    <w:qFormat/>
    <w:rsid w:val="00AD7870"/>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952F2"/>
    <w:rPr>
      <w:rFonts w:ascii="Arial" w:hAnsi="Arial"/>
      <w:color w:val="00376E"/>
      <w:sz w:val="28"/>
      <w:lang w:eastAsia="en-US"/>
    </w:rPr>
  </w:style>
  <w:style w:type="character" w:customStyle="1" w:styleId="Heading3Char">
    <w:name w:val="Heading 3 Char"/>
    <w:basedOn w:val="DefaultParagraphFont"/>
    <w:link w:val="Heading3"/>
    <w:rsid w:val="00966B2A"/>
    <w:rPr>
      <w:rFonts w:ascii="Arial Nova" w:hAnsi="Arial Nova" w:cs="Arial"/>
      <w:i/>
      <w:iCs/>
      <w:color w:val="00376E"/>
      <w:sz w:val="24"/>
      <w:szCs w:val="26"/>
      <w:lang w:eastAsia="en-US"/>
    </w:rPr>
  </w:style>
  <w:style w:type="paragraph" w:styleId="TOC1">
    <w:name w:val="toc 1"/>
    <w:basedOn w:val="Normal"/>
    <w:next w:val="Normal"/>
    <w:uiPriority w:val="39"/>
    <w:rsid w:val="002A31B7"/>
    <w:pPr>
      <w:tabs>
        <w:tab w:val="right" w:leader="dot" w:pos="8789"/>
      </w:tabs>
      <w:ind w:left="1411" w:right="0"/>
    </w:pPr>
    <w:rPr>
      <w:color w:val="163758"/>
      <w:szCs w:val="36"/>
    </w:rPr>
  </w:style>
  <w:style w:type="paragraph" w:customStyle="1" w:styleId="Title-green">
    <w:name w:val="Title-green"/>
    <w:rsid w:val="00AD7870"/>
    <w:pPr>
      <w:spacing w:line="520" w:lineRule="exact"/>
    </w:pPr>
    <w:rPr>
      <w:rFonts w:ascii="Trebuchet MS" w:hAnsi="Trebuchet MS"/>
      <w:b/>
      <w:color w:val="72C800"/>
      <w:sz w:val="40"/>
      <w:lang w:eastAsia="en-US"/>
    </w:rPr>
  </w:style>
  <w:style w:type="paragraph" w:styleId="Header">
    <w:name w:val="header"/>
    <w:basedOn w:val="Normal"/>
    <w:rsid w:val="00043558"/>
    <w:pPr>
      <w:tabs>
        <w:tab w:val="center" w:pos="4153"/>
        <w:tab w:val="right" w:pos="8306"/>
      </w:tabs>
      <w:spacing w:before="0" w:line="240" w:lineRule="auto"/>
      <w:ind w:right="0"/>
    </w:pPr>
    <w:rPr>
      <w:rFonts w:ascii="Times New Roman" w:eastAsia="Times New Roman" w:hAnsi="Times New Roman"/>
      <w:sz w:val="24"/>
      <w:szCs w:val="24"/>
      <w:lang w:eastAsia="en-AU"/>
    </w:rPr>
  </w:style>
  <w:style w:type="paragraph" w:styleId="Footer">
    <w:name w:val="footer"/>
    <w:link w:val="FooterChar"/>
    <w:uiPriority w:val="99"/>
    <w:rsid w:val="00AD7870"/>
    <w:pPr>
      <w:tabs>
        <w:tab w:val="center" w:pos="4320"/>
        <w:tab w:val="right" w:pos="9639"/>
      </w:tabs>
      <w:spacing w:line="180" w:lineRule="atLeast"/>
    </w:pPr>
    <w:rPr>
      <w:rFonts w:ascii="Verdana" w:hAnsi="Verdana"/>
      <w:color w:val="00376E"/>
      <w:sz w:val="13"/>
      <w:lang w:eastAsia="en-US"/>
    </w:rPr>
  </w:style>
  <w:style w:type="paragraph" w:customStyle="1" w:styleId="Title-white">
    <w:name w:val="Title-white"/>
    <w:rsid w:val="00AD7870"/>
    <w:pPr>
      <w:spacing w:line="520" w:lineRule="exact"/>
    </w:pPr>
    <w:rPr>
      <w:rFonts w:ascii="Trebuchet MS" w:hAnsi="Trebuchet MS"/>
      <w:b/>
      <w:color w:val="FFFFFF"/>
      <w:sz w:val="40"/>
      <w:lang w:eastAsia="en-US"/>
    </w:rPr>
  </w:style>
  <w:style w:type="paragraph" w:customStyle="1" w:styleId="Tendernumber">
    <w:name w:val="Tender number"/>
    <w:rsid w:val="00AD7870"/>
    <w:pPr>
      <w:spacing w:before="380"/>
    </w:pPr>
    <w:rPr>
      <w:rFonts w:ascii="Trebuchet MS" w:hAnsi="Trebuchet MS"/>
      <w:caps/>
      <w:color w:val="FFFFFF"/>
      <w:sz w:val="24"/>
      <w:lang w:eastAsia="en-US"/>
    </w:rPr>
  </w:style>
  <w:style w:type="paragraph" w:customStyle="1" w:styleId="Reference">
    <w:name w:val="Reference"/>
    <w:rsid w:val="00AD7870"/>
    <w:pPr>
      <w:spacing w:line="240" w:lineRule="atLeast"/>
      <w:ind w:right="1077"/>
    </w:pPr>
    <w:rPr>
      <w:rFonts w:ascii="Verdana" w:hAnsi="Verdana"/>
      <w:i/>
      <w:sz w:val="14"/>
      <w:lang w:eastAsia="en-US"/>
    </w:rPr>
  </w:style>
  <w:style w:type="paragraph" w:customStyle="1" w:styleId="Heading1-continue">
    <w:name w:val="Heading 1-continue"/>
    <w:rsid w:val="00AD7870"/>
    <w:pPr>
      <w:pBdr>
        <w:bottom w:val="single" w:sz="4" w:space="16" w:color="00376E"/>
      </w:pBdr>
      <w:spacing w:before="240" w:after="680" w:line="300" w:lineRule="atLeast"/>
    </w:pPr>
    <w:rPr>
      <w:rFonts w:ascii="Trebuchet MS" w:hAnsi="Trebuchet MS"/>
      <w:color w:val="163758"/>
      <w:sz w:val="24"/>
      <w:lang w:eastAsia="en-US"/>
    </w:rPr>
  </w:style>
  <w:style w:type="paragraph" w:customStyle="1" w:styleId="Note">
    <w:name w:val="Note"/>
    <w:link w:val="NoteChar"/>
    <w:uiPriority w:val="99"/>
    <w:rsid w:val="00AD7870"/>
    <w:pPr>
      <w:widowControl w:val="0"/>
      <w:pBdr>
        <w:top w:val="single" w:sz="4" w:space="8" w:color="C6EAA8"/>
        <w:left w:val="single" w:sz="4" w:space="8" w:color="C6EAA8"/>
        <w:bottom w:val="single" w:sz="4" w:space="8" w:color="C6EAA8"/>
        <w:right w:val="single" w:sz="4" w:space="8" w:color="C6EAA8"/>
      </w:pBdr>
      <w:shd w:val="clear" w:color="auto" w:fill="C6EAA8"/>
      <w:autoSpaceDE w:val="0"/>
      <w:autoSpaceDN w:val="0"/>
      <w:adjustRightInd w:val="0"/>
      <w:spacing w:before="120" w:line="240" w:lineRule="atLeast"/>
      <w:ind w:left="170" w:right="1077"/>
      <w:textAlignment w:val="center"/>
    </w:pPr>
    <w:rPr>
      <w:rFonts w:ascii="Verdana" w:eastAsia="Times New Roman" w:hAnsi="Verdana"/>
      <w:sz w:val="18"/>
      <w:lang w:val="en-GB" w:eastAsia="en-US"/>
    </w:rPr>
  </w:style>
  <w:style w:type="character" w:customStyle="1" w:styleId="NoteChar">
    <w:name w:val="Note Char"/>
    <w:basedOn w:val="DefaultParagraphFont"/>
    <w:link w:val="Note"/>
    <w:uiPriority w:val="99"/>
    <w:rsid w:val="00587ED8"/>
    <w:rPr>
      <w:rFonts w:ascii="Verdana" w:eastAsia="Times New Roman" w:hAnsi="Verdana"/>
      <w:sz w:val="18"/>
      <w:shd w:val="clear" w:color="auto" w:fill="C6EAA8"/>
      <w:lang w:val="en-GB" w:eastAsia="en-US" w:bidi="ar-SA"/>
    </w:rPr>
  </w:style>
  <w:style w:type="paragraph" w:customStyle="1" w:styleId="Frontpagebottom">
    <w:name w:val="Frontpagebottom"/>
    <w:rsid w:val="00AD7870"/>
    <w:pPr>
      <w:jc w:val="right"/>
    </w:pPr>
    <w:rPr>
      <w:rFonts w:ascii="Verdana" w:hAnsi="Verdana"/>
      <w:color w:val="00376E"/>
      <w:sz w:val="18"/>
      <w:lang w:eastAsia="en-US"/>
    </w:rPr>
  </w:style>
  <w:style w:type="paragraph" w:customStyle="1" w:styleId="Noteheading">
    <w:name w:val="Noteheading"/>
    <w:basedOn w:val="Note"/>
    <w:rsid w:val="00AD7870"/>
    <w:rPr>
      <w:color w:val="00376E"/>
    </w:rPr>
  </w:style>
  <w:style w:type="paragraph" w:styleId="FootnoteText">
    <w:name w:val="footnote text"/>
    <w:basedOn w:val="Normal"/>
    <w:link w:val="FootnoteTextChar"/>
    <w:uiPriority w:val="99"/>
    <w:semiHidden/>
    <w:rsid w:val="005D6F31"/>
  </w:style>
  <w:style w:type="paragraph" w:styleId="TOC3">
    <w:name w:val="toc 3"/>
    <w:basedOn w:val="Normal"/>
    <w:next w:val="Normal"/>
    <w:uiPriority w:val="39"/>
    <w:rsid w:val="002A31B7"/>
    <w:pPr>
      <w:tabs>
        <w:tab w:val="right" w:leader="dot" w:pos="8789"/>
      </w:tabs>
      <w:spacing w:before="0"/>
      <w:ind w:left="2304" w:right="1080"/>
    </w:pPr>
    <w:rPr>
      <w:noProof/>
      <w:color w:val="000000" w:themeColor="text1"/>
    </w:rPr>
  </w:style>
  <w:style w:type="paragraph" w:styleId="TOC4">
    <w:name w:val="toc 4"/>
    <w:basedOn w:val="Normal"/>
    <w:next w:val="Normal"/>
    <w:autoRedefine/>
    <w:uiPriority w:val="39"/>
    <w:rsid w:val="00AD7870"/>
    <w:pPr>
      <w:ind w:left="540"/>
    </w:pPr>
  </w:style>
  <w:style w:type="paragraph" w:styleId="TOC5">
    <w:name w:val="toc 5"/>
    <w:basedOn w:val="Normal"/>
    <w:next w:val="Normal"/>
    <w:autoRedefine/>
    <w:semiHidden/>
    <w:rsid w:val="00AD7870"/>
    <w:pPr>
      <w:ind w:left="720"/>
    </w:pPr>
  </w:style>
  <w:style w:type="paragraph" w:styleId="TOC6">
    <w:name w:val="toc 6"/>
    <w:basedOn w:val="Normal"/>
    <w:next w:val="Normal"/>
    <w:autoRedefine/>
    <w:semiHidden/>
    <w:rsid w:val="00AD7870"/>
    <w:pPr>
      <w:ind w:left="900"/>
    </w:pPr>
  </w:style>
  <w:style w:type="paragraph" w:styleId="DocumentMap">
    <w:name w:val="Document Map"/>
    <w:basedOn w:val="Normal"/>
    <w:semiHidden/>
    <w:rsid w:val="00AD7870"/>
    <w:pPr>
      <w:shd w:val="clear" w:color="auto" w:fill="000080"/>
    </w:pPr>
    <w:rPr>
      <w:rFonts w:ascii="Tahoma" w:hAnsi="Tahoma" w:cs="Tahoma"/>
    </w:rPr>
  </w:style>
  <w:style w:type="paragraph" w:customStyle="1" w:styleId="Notereference">
    <w:name w:val="Notereference"/>
    <w:basedOn w:val="Note"/>
    <w:rsid w:val="00AD7870"/>
    <w:rPr>
      <w:i/>
      <w:sz w:val="14"/>
    </w:rPr>
  </w:style>
  <w:style w:type="paragraph" w:customStyle="1" w:styleId="Tabletext">
    <w:name w:val="Tabletext"/>
    <w:rsid w:val="000560D8"/>
    <w:pPr>
      <w:spacing w:before="40" w:after="40"/>
    </w:pPr>
    <w:rPr>
      <w:rFonts w:ascii="Verdana" w:hAnsi="Verdana"/>
      <w:sz w:val="16"/>
      <w:lang w:val="en-GB" w:eastAsia="en-US"/>
    </w:rPr>
  </w:style>
  <w:style w:type="paragraph" w:customStyle="1" w:styleId="Tableheading">
    <w:name w:val="Tableheading"/>
    <w:rsid w:val="00EB003B"/>
    <w:pPr>
      <w:spacing w:before="40" w:after="40"/>
    </w:pPr>
    <w:rPr>
      <w:rFonts w:ascii="Verdana" w:hAnsi="Verdana"/>
      <w:caps/>
      <w:color w:val="FFFFFF"/>
      <w:sz w:val="18"/>
      <w:lang w:eastAsia="en-US"/>
    </w:rPr>
  </w:style>
  <w:style w:type="paragraph" w:customStyle="1" w:styleId="Tableheading-Centre">
    <w:name w:val="Tableheading-Centre"/>
    <w:basedOn w:val="Tableheading"/>
    <w:rsid w:val="00AD7870"/>
    <w:pPr>
      <w:jc w:val="center"/>
    </w:pPr>
  </w:style>
  <w:style w:type="paragraph" w:styleId="TOC7">
    <w:name w:val="toc 7"/>
    <w:basedOn w:val="Normal"/>
    <w:next w:val="Normal"/>
    <w:autoRedefine/>
    <w:semiHidden/>
    <w:rsid w:val="00AD7870"/>
    <w:pPr>
      <w:ind w:left="1080"/>
    </w:pPr>
  </w:style>
  <w:style w:type="paragraph" w:styleId="TOC8">
    <w:name w:val="toc 8"/>
    <w:basedOn w:val="Normal"/>
    <w:next w:val="Normal"/>
    <w:autoRedefine/>
    <w:semiHidden/>
    <w:rsid w:val="00AD7870"/>
    <w:pPr>
      <w:ind w:left="1260"/>
    </w:pPr>
  </w:style>
  <w:style w:type="paragraph" w:styleId="TOC9">
    <w:name w:val="toc 9"/>
    <w:basedOn w:val="Normal"/>
    <w:next w:val="Normal"/>
    <w:autoRedefine/>
    <w:semiHidden/>
    <w:rsid w:val="00AD7870"/>
    <w:pPr>
      <w:ind w:left="1440"/>
    </w:pPr>
  </w:style>
  <w:style w:type="paragraph" w:customStyle="1" w:styleId="Front">
    <w:name w:val="Front"/>
    <w:basedOn w:val="Heading1"/>
    <w:rsid w:val="0018606D"/>
    <w:pPr>
      <w:spacing w:before="240" w:after="680" w:line="300" w:lineRule="atLeast"/>
      <w:outlineLvl w:val="8"/>
    </w:pPr>
    <w:rPr>
      <w:color w:val="163758"/>
    </w:rPr>
  </w:style>
  <w:style w:type="character" w:styleId="Hyperlink">
    <w:name w:val="Hyperlink"/>
    <w:basedOn w:val="DefaultParagraphFont"/>
    <w:uiPriority w:val="99"/>
    <w:rsid w:val="00AD7870"/>
    <w:rPr>
      <w:color w:val="0000FF"/>
      <w:u w:val="single"/>
    </w:rPr>
  </w:style>
  <w:style w:type="paragraph" w:customStyle="1" w:styleId="Normalsmall">
    <w:name w:val="Normalsmall"/>
    <w:basedOn w:val="Normal"/>
    <w:rsid w:val="00AD7870"/>
    <w:pPr>
      <w:spacing w:before="0" w:line="240" w:lineRule="auto"/>
      <w:ind w:right="0"/>
    </w:pPr>
    <w:rPr>
      <w:rFonts w:eastAsia="Times New Roman"/>
    </w:rPr>
  </w:style>
  <w:style w:type="paragraph" w:customStyle="1" w:styleId="Tablebulletsmall">
    <w:name w:val="Tablebulletsmall"/>
    <w:basedOn w:val="Normal"/>
    <w:rsid w:val="00AD7870"/>
    <w:pPr>
      <w:numPr>
        <w:numId w:val="3"/>
      </w:numPr>
      <w:tabs>
        <w:tab w:val="clear" w:pos="360"/>
        <w:tab w:val="num" w:pos="142"/>
      </w:tabs>
      <w:spacing w:before="0" w:line="240" w:lineRule="auto"/>
      <w:ind w:left="142" w:right="0" w:hanging="142"/>
    </w:pPr>
    <w:rPr>
      <w:rFonts w:eastAsia="Times New Roman"/>
      <w:sz w:val="14"/>
    </w:rPr>
  </w:style>
  <w:style w:type="paragraph" w:customStyle="1" w:styleId="Bullet1">
    <w:name w:val="Bullet1"/>
    <w:basedOn w:val="Normal"/>
    <w:rsid w:val="00AD7870"/>
    <w:pPr>
      <w:numPr>
        <w:numId w:val="2"/>
      </w:numPr>
    </w:pPr>
  </w:style>
  <w:style w:type="paragraph" w:customStyle="1" w:styleId="Bullet2">
    <w:name w:val="Bullet2"/>
    <w:basedOn w:val="Bullet1"/>
    <w:rsid w:val="003D0C0B"/>
    <w:pPr>
      <w:numPr>
        <w:numId w:val="1"/>
      </w:numPr>
    </w:pPr>
  </w:style>
  <w:style w:type="paragraph" w:customStyle="1" w:styleId="Bullet3">
    <w:name w:val="Bullet3"/>
    <w:basedOn w:val="Bullet2"/>
    <w:rsid w:val="00AD7870"/>
    <w:pPr>
      <w:spacing w:before="60"/>
      <w:ind w:left="567"/>
    </w:pPr>
  </w:style>
  <w:style w:type="table" w:styleId="TableGrid">
    <w:name w:val="Table Grid"/>
    <w:basedOn w:val="TableNormal"/>
    <w:uiPriority w:val="39"/>
    <w:rsid w:val="000560D8"/>
    <w:pPr>
      <w:spacing w:before="120" w:line="240" w:lineRule="atLeast"/>
      <w:ind w:right="107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mall">
    <w:name w:val="Tableheadingsmall"/>
    <w:basedOn w:val="Tableheading"/>
    <w:rsid w:val="00AD7870"/>
    <w:pPr>
      <w:ind w:left="57"/>
    </w:pPr>
    <w:rPr>
      <w:rFonts w:eastAsia="Times New Roman" w:cs="Arial"/>
      <w:b/>
      <w:bCs/>
      <w:caps w:val="0"/>
      <w:color w:val="auto"/>
      <w:sz w:val="14"/>
    </w:rPr>
  </w:style>
  <w:style w:type="character" w:styleId="FootnoteReference">
    <w:name w:val="footnote reference"/>
    <w:basedOn w:val="DefaultParagraphFont"/>
    <w:semiHidden/>
    <w:rsid w:val="005D6F31"/>
    <w:rPr>
      <w:vertAlign w:val="superscript"/>
    </w:rPr>
  </w:style>
  <w:style w:type="paragraph" w:customStyle="1" w:styleId="Tabletxtsmall-R">
    <w:name w:val="Tabletxtsmall-R"/>
    <w:basedOn w:val="Tabletext"/>
    <w:rsid w:val="00AD7870"/>
    <w:pPr>
      <w:spacing w:before="20"/>
      <w:jc w:val="right"/>
    </w:pPr>
    <w:rPr>
      <w:rFonts w:eastAsia="Times New Roman"/>
      <w:sz w:val="14"/>
      <w:lang w:val="en-AU"/>
    </w:rPr>
  </w:style>
  <w:style w:type="character" w:styleId="PageNumber">
    <w:name w:val="page number"/>
    <w:basedOn w:val="DefaultParagraphFont"/>
    <w:rsid w:val="00CE601F"/>
  </w:style>
  <w:style w:type="paragraph" w:customStyle="1" w:styleId="Tabletextsmall">
    <w:name w:val="Tabletextsmall"/>
    <w:rsid w:val="00AD7870"/>
    <w:rPr>
      <w:rFonts w:ascii="Verdana" w:hAnsi="Verdana"/>
      <w:sz w:val="14"/>
      <w:lang w:eastAsia="en-US"/>
    </w:rPr>
  </w:style>
  <w:style w:type="paragraph" w:customStyle="1" w:styleId="Tablebullet">
    <w:name w:val="Tablebullet"/>
    <w:basedOn w:val="Tabletext"/>
    <w:rsid w:val="00AD7870"/>
    <w:pPr>
      <w:numPr>
        <w:numId w:val="4"/>
      </w:numPr>
      <w:tabs>
        <w:tab w:val="clear" w:pos="3600"/>
      </w:tabs>
      <w:ind w:left="284" w:hanging="218"/>
    </w:pPr>
  </w:style>
  <w:style w:type="paragraph" w:customStyle="1" w:styleId="Notebullet">
    <w:name w:val="Note bullet"/>
    <w:basedOn w:val="Note"/>
    <w:rsid w:val="0088218F"/>
    <w:pPr>
      <w:numPr>
        <w:numId w:val="5"/>
      </w:numPr>
    </w:pPr>
  </w:style>
  <w:style w:type="paragraph" w:styleId="BalloonText">
    <w:name w:val="Balloon Text"/>
    <w:basedOn w:val="Normal"/>
    <w:semiHidden/>
    <w:rsid w:val="006005B5"/>
    <w:rPr>
      <w:rFonts w:ascii="Tahoma" w:hAnsi="Tahoma" w:cs="Tahoma"/>
      <w:szCs w:val="16"/>
    </w:rPr>
  </w:style>
  <w:style w:type="character" w:styleId="FollowedHyperlink">
    <w:name w:val="FollowedHyperlink"/>
    <w:basedOn w:val="DefaultParagraphFont"/>
    <w:uiPriority w:val="99"/>
    <w:rsid w:val="007E35A5"/>
    <w:rPr>
      <w:color w:val="800080"/>
      <w:u w:val="single"/>
    </w:rPr>
  </w:style>
  <w:style w:type="paragraph" w:styleId="ListBullet3">
    <w:name w:val="List Bullet 3"/>
    <w:basedOn w:val="Normal"/>
    <w:rsid w:val="003D10E0"/>
    <w:pPr>
      <w:numPr>
        <w:numId w:val="6"/>
      </w:numPr>
    </w:pPr>
  </w:style>
  <w:style w:type="paragraph" w:styleId="ListParagraph">
    <w:name w:val="List Paragraph"/>
    <w:basedOn w:val="Normal"/>
    <w:link w:val="ListParagraphChar"/>
    <w:uiPriority w:val="34"/>
    <w:qFormat/>
    <w:rsid w:val="00EE4599"/>
    <w:pPr>
      <w:numPr>
        <w:numId w:val="7"/>
      </w:numPr>
      <w:spacing w:before="0" w:after="120"/>
      <w:ind w:right="851"/>
    </w:pPr>
    <w:rPr>
      <w:rFonts w:eastAsia="Times New Roman"/>
      <w:color w:val="000000"/>
      <w:szCs w:val="22"/>
      <w:lang w:eastAsia="en-AU"/>
    </w:rPr>
  </w:style>
  <w:style w:type="character" w:styleId="CommentReference">
    <w:name w:val="annotation reference"/>
    <w:basedOn w:val="DefaultParagraphFont"/>
    <w:uiPriority w:val="99"/>
    <w:rsid w:val="0023167C"/>
    <w:rPr>
      <w:sz w:val="16"/>
      <w:szCs w:val="16"/>
    </w:rPr>
  </w:style>
  <w:style w:type="paragraph" w:styleId="CommentText">
    <w:name w:val="annotation text"/>
    <w:basedOn w:val="Normal"/>
    <w:link w:val="CommentTextChar"/>
    <w:rsid w:val="0023167C"/>
    <w:pPr>
      <w:spacing w:line="240" w:lineRule="auto"/>
    </w:pPr>
  </w:style>
  <w:style w:type="character" w:customStyle="1" w:styleId="CommentTextChar">
    <w:name w:val="Comment Text Char"/>
    <w:basedOn w:val="DefaultParagraphFont"/>
    <w:link w:val="CommentText"/>
    <w:rsid w:val="0023167C"/>
    <w:rPr>
      <w:rFonts w:ascii="Verdana" w:hAnsi="Verdana"/>
      <w:lang w:eastAsia="en-US"/>
    </w:rPr>
  </w:style>
  <w:style w:type="paragraph" w:styleId="CommentSubject">
    <w:name w:val="annotation subject"/>
    <w:basedOn w:val="CommentText"/>
    <w:next w:val="CommentText"/>
    <w:link w:val="CommentSubjectChar"/>
    <w:rsid w:val="0023167C"/>
    <w:rPr>
      <w:b/>
      <w:bCs/>
    </w:rPr>
  </w:style>
  <w:style w:type="character" w:customStyle="1" w:styleId="CommentSubjectChar">
    <w:name w:val="Comment Subject Char"/>
    <w:basedOn w:val="CommentTextChar"/>
    <w:link w:val="CommentSubject"/>
    <w:rsid w:val="0023167C"/>
    <w:rPr>
      <w:rFonts w:ascii="Verdana" w:hAnsi="Verdana"/>
      <w:b/>
      <w:bCs/>
      <w:lang w:eastAsia="en-US"/>
    </w:rPr>
  </w:style>
  <w:style w:type="paragraph" w:styleId="Subtitle">
    <w:name w:val="Subtitle"/>
    <w:basedOn w:val="Normal"/>
    <w:next w:val="Normal"/>
    <w:link w:val="SubtitleChar"/>
    <w:qFormat/>
    <w:rsid w:val="00394A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94A94"/>
    <w:rPr>
      <w:rFonts w:asciiTheme="majorHAnsi" w:eastAsiaTheme="majorEastAsia" w:hAnsiTheme="majorHAnsi" w:cstheme="majorBidi"/>
      <w:i/>
      <w:iCs/>
      <w:color w:val="4F81BD" w:themeColor="accent1"/>
      <w:spacing w:val="15"/>
      <w:sz w:val="24"/>
      <w:szCs w:val="24"/>
      <w:lang w:eastAsia="en-US"/>
    </w:rPr>
  </w:style>
  <w:style w:type="character" w:styleId="Emphasis">
    <w:name w:val="Emphasis"/>
    <w:basedOn w:val="DefaultParagraphFont"/>
    <w:qFormat/>
    <w:rsid w:val="00B300BA"/>
    <w:rPr>
      <w:i/>
      <w:iCs/>
    </w:rPr>
  </w:style>
  <w:style w:type="paragraph" w:styleId="NormalWeb">
    <w:name w:val="Normal (Web)"/>
    <w:basedOn w:val="Normal"/>
    <w:uiPriority w:val="99"/>
    <w:unhideWhenUsed/>
    <w:rsid w:val="00DE4D0F"/>
    <w:pPr>
      <w:spacing w:before="100" w:beforeAutospacing="1" w:after="100" w:afterAutospacing="1" w:line="240" w:lineRule="auto"/>
      <w:ind w:right="0"/>
    </w:pPr>
    <w:rPr>
      <w:rFonts w:ascii="Times New Roman" w:eastAsia="Times New Roman" w:hAnsi="Times New Roman"/>
      <w:sz w:val="24"/>
      <w:szCs w:val="24"/>
      <w:lang w:eastAsia="en-AU"/>
    </w:rPr>
  </w:style>
  <w:style w:type="paragraph" w:styleId="Revision">
    <w:name w:val="Revision"/>
    <w:hidden/>
    <w:uiPriority w:val="99"/>
    <w:semiHidden/>
    <w:rsid w:val="00A335A2"/>
    <w:rPr>
      <w:rFonts w:ascii="Verdana" w:hAnsi="Verdana"/>
      <w:sz w:val="18"/>
      <w:lang w:eastAsia="en-US"/>
    </w:rPr>
  </w:style>
  <w:style w:type="paragraph" w:customStyle="1" w:styleId="xl99">
    <w:name w:val="xl99"/>
    <w:basedOn w:val="Normal"/>
    <w:rsid w:val="00876FB5"/>
    <w:pPr>
      <w:spacing w:before="100" w:beforeAutospacing="1" w:after="100" w:afterAutospacing="1" w:line="240" w:lineRule="auto"/>
      <w:ind w:right="0"/>
    </w:pPr>
    <w:rPr>
      <w:rFonts w:ascii="Times New Roman" w:eastAsia="Times New Roman" w:hAnsi="Times New Roman"/>
      <w:sz w:val="24"/>
      <w:szCs w:val="24"/>
      <w:lang w:eastAsia="en-AU"/>
    </w:rPr>
  </w:style>
  <w:style w:type="paragraph" w:customStyle="1" w:styleId="xl100">
    <w:name w:val="xl100"/>
    <w:basedOn w:val="Normal"/>
    <w:rsid w:val="00876FB5"/>
    <w:pPr>
      <w:shd w:val="clear" w:color="000000" w:fill="004B71"/>
      <w:spacing w:before="100" w:beforeAutospacing="1" w:after="100" w:afterAutospacing="1" w:line="240" w:lineRule="auto"/>
      <w:ind w:right="0"/>
      <w:jc w:val="center"/>
    </w:pPr>
    <w:rPr>
      <w:rFonts w:eastAsia="Times New Roman"/>
      <w:b/>
      <w:bCs/>
      <w:color w:val="FFFFFF"/>
      <w:sz w:val="16"/>
      <w:szCs w:val="16"/>
      <w:lang w:eastAsia="en-AU"/>
    </w:rPr>
  </w:style>
  <w:style w:type="paragraph" w:customStyle="1" w:styleId="xl101">
    <w:name w:val="xl101"/>
    <w:basedOn w:val="Normal"/>
    <w:rsid w:val="00876FB5"/>
    <w:pPr>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2">
    <w:name w:val="xl102"/>
    <w:basedOn w:val="Normal"/>
    <w:rsid w:val="00876FB5"/>
    <w:pPr>
      <w:shd w:val="clear" w:color="000000" w:fill="E4E4E4"/>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3">
    <w:name w:val="xl103"/>
    <w:basedOn w:val="Normal"/>
    <w:rsid w:val="00876FB5"/>
    <w:pPr>
      <w:shd w:val="clear" w:color="000000" w:fill="E4E4E4"/>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4">
    <w:name w:val="xl104"/>
    <w:basedOn w:val="Normal"/>
    <w:rsid w:val="00876FB5"/>
    <w:pPr>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5">
    <w:name w:val="xl105"/>
    <w:basedOn w:val="Normal"/>
    <w:rsid w:val="00876FB5"/>
    <w:pPr>
      <w:shd w:val="clear" w:color="000000" w:fill="FABF8F"/>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6">
    <w:name w:val="xl106"/>
    <w:basedOn w:val="Normal"/>
    <w:rsid w:val="00876FB5"/>
    <w:pPr>
      <w:shd w:val="clear" w:color="000000" w:fill="FABF8F"/>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7">
    <w:name w:val="xl107"/>
    <w:basedOn w:val="Normal"/>
    <w:rsid w:val="00876FB5"/>
    <w:pPr>
      <w:shd w:val="clear" w:color="000000" w:fill="C4D79B"/>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8">
    <w:name w:val="xl108"/>
    <w:basedOn w:val="Normal"/>
    <w:rsid w:val="00876FB5"/>
    <w:pPr>
      <w:shd w:val="clear" w:color="000000" w:fill="C4D79B"/>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09">
    <w:name w:val="xl109"/>
    <w:basedOn w:val="Normal"/>
    <w:rsid w:val="00876FB5"/>
    <w:pPr>
      <w:shd w:val="clear" w:color="000000" w:fill="C4D79B"/>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10">
    <w:name w:val="xl110"/>
    <w:basedOn w:val="Normal"/>
    <w:rsid w:val="00876FB5"/>
    <w:pPr>
      <w:shd w:val="clear" w:color="000000" w:fill="FABF8F"/>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11">
    <w:name w:val="xl111"/>
    <w:basedOn w:val="Normal"/>
    <w:rsid w:val="00876FB5"/>
    <w:pPr>
      <w:shd w:val="clear" w:color="000000" w:fill="C4D79B"/>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12">
    <w:name w:val="xl112"/>
    <w:basedOn w:val="Normal"/>
    <w:rsid w:val="00876FB5"/>
    <w:pPr>
      <w:shd w:val="clear" w:color="000000" w:fill="FABF8F"/>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13">
    <w:name w:val="xl113"/>
    <w:basedOn w:val="Normal"/>
    <w:rsid w:val="00876FB5"/>
    <w:pPr>
      <w:shd w:val="clear" w:color="000000" w:fill="C4D79B"/>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14">
    <w:name w:val="xl114"/>
    <w:basedOn w:val="Normal"/>
    <w:rsid w:val="00876FB5"/>
    <w:pPr>
      <w:shd w:val="clear" w:color="000000" w:fill="FABF8F"/>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15">
    <w:name w:val="xl115"/>
    <w:basedOn w:val="Normal"/>
    <w:rsid w:val="00876FB5"/>
    <w:pPr>
      <w:shd w:val="clear" w:color="000000" w:fill="004B71"/>
      <w:spacing w:before="100" w:beforeAutospacing="1" w:after="100" w:afterAutospacing="1" w:line="240" w:lineRule="auto"/>
      <w:ind w:right="0"/>
    </w:pPr>
    <w:rPr>
      <w:rFonts w:eastAsia="Times New Roman"/>
      <w:b/>
      <w:bCs/>
      <w:color w:val="FFFFFF"/>
      <w:sz w:val="16"/>
      <w:szCs w:val="16"/>
      <w:lang w:eastAsia="en-AU"/>
    </w:rPr>
  </w:style>
  <w:style w:type="paragraph" w:customStyle="1" w:styleId="xl116">
    <w:name w:val="xl116"/>
    <w:basedOn w:val="Normal"/>
    <w:rsid w:val="00876FB5"/>
    <w:pPr>
      <w:spacing w:before="100" w:beforeAutospacing="1" w:after="100" w:afterAutospacing="1" w:line="240" w:lineRule="auto"/>
      <w:ind w:right="0"/>
      <w:textAlignment w:val="center"/>
    </w:pPr>
    <w:rPr>
      <w:rFonts w:eastAsia="Times New Roman"/>
      <w:color w:val="000000"/>
      <w:szCs w:val="18"/>
      <w:lang w:eastAsia="en-AU"/>
    </w:rPr>
  </w:style>
  <w:style w:type="paragraph" w:customStyle="1" w:styleId="xl117">
    <w:name w:val="xl117"/>
    <w:basedOn w:val="Normal"/>
    <w:rsid w:val="00876FB5"/>
    <w:pPr>
      <w:shd w:val="clear" w:color="000000" w:fill="E4E4E4"/>
      <w:spacing w:before="100" w:beforeAutospacing="1" w:after="100" w:afterAutospacing="1" w:line="240" w:lineRule="auto"/>
      <w:ind w:right="0"/>
      <w:textAlignment w:val="center"/>
    </w:pPr>
    <w:rPr>
      <w:rFonts w:eastAsia="Times New Roman"/>
      <w:color w:val="000000"/>
      <w:szCs w:val="18"/>
      <w:lang w:eastAsia="en-AU"/>
    </w:rPr>
  </w:style>
  <w:style w:type="paragraph" w:customStyle="1" w:styleId="xl118">
    <w:name w:val="xl118"/>
    <w:basedOn w:val="Normal"/>
    <w:rsid w:val="00876FB5"/>
    <w:pPr>
      <w:spacing w:before="100" w:beforeAutospacing="1" w:after="100" w:afterAutospacing="1" w:line="240" w:lineRule="auto"/>
      <w:ind w:right="0"/>
      <w:textAlignment w:val="center"/>
    </w:pPr>
    <w:rPr>
      <w:rFonts w:eastAsia="Times New Roman"/>
      <w:color w:val="000000"/>
      <w:szCs w:val="18"/>
      <w:lang w:eastAsia="en-AU"/>
    </w:rPr>
  </w:style>
  <w:style w:type="paragraph" w:customStyle="1" w:styleId="xl119">
    <w:name w:val="xl119"/>
    <w:basedOn w:val="Normal"/>
    <w:rsid w:val="00876FB5"/>
    <w:pPr>
      <w:shd w:val="clear" w:color="000000" w:fill="E4E4E4"/>
      <w:spacing w:before="100" w:beforeAutospacing="1" w:after="100" w:afterAutospacing="1" w:line="240" w:lineRule="auto"/>
      <w:ind w:right="0"/>
      <w:textAlignment w:val="center"/>
    </w:pPr>
    <w:rPr>
      <w:rFonts w:eastAsia="Times New Roman"/>
      <w:color w:val="000000"/>
      <w:szCs w:val="18"/>
      <w:lang w:eastAsia="en-AU"/>
    </w:rPr>
  </w:style>
  <w:style w:type="paragraph" w:customStyle="1" w:styleId="xl120">
    <w:name w:val="xl120"/>
    <w:basedOn w:val="Normal"/>
    <w:rsid w:val="00876FB5"/>
    <w:pPr>
      <w:spacing w:before="100" w:beforeAutospacing="1" w:after="100" w:afterAutospacing="1" w:line="240" w:lineRule="auto"/>
      <w:ind w:right="0"/>
    </w:pPr>
    <w:rPr>
      <w:rFonts w:ascii="Times New Roman" w:eastAsia="Times New Roman" w:hAnsi="Times New Roman"/>
      <w:sz w:val="24"/>
      <w:szCs w:val="24"/>
      <w:lang w:eastAsia="en-AU"/>
    </w:rPr>
  </w:style>
  <w:style w:type="paragraph" w:customStyle="1" w:styleId="xl121">
    <w:name w:val="xl121"/>
    <w:basedOn w:val="Normal"/>
    <w:rsid w:val="00876FB5"/>
    <w:pPr>
      <w:pBdr>
        <w:top w:val="single" w:sz="4" w:space="0" w:color="auto"/>
      </w:pBdr>
      <w:spacing w:before="100" w:beforeAutospacing="1" w:after="100" w:afterAutospacing="1" w:line="240" w:lineRule="auto"/>
      <w:ind w:right="0"/>
      <w:textAlignment w:val="center"/>
    </w:pPr>
    <w:rPr>
      <w:rFonts w:eastAsia="Times New Roman"/>
      <w:color w:val="000000"/>
      <w:szCs w:val="18"/>
      <w:lang w:eastAsia="en-AU"/>
    </w:rPr>
  </w:style>
  <w:style w:type="paragraph" w:customStyle="1" w:styleId="xl122">
    <w:name w:val="xl122"/>
    <w:basedOn w:val="Normal"/>
    <w:rsid w:val="00876FB5"/>
    <w:pPr>
      <w:pBdr>
        <w:top w:val="single" w:sz="4" w:space="0" w:color="auto"/>
      </w:pBdr>
      <w:spacing w:before="100" w:beforeAutospacing="1" w:after="100" w:afterAutospacing="1" w:line="240" w:lineRule="auto"/>
      <w:ind w:right="0"/>
      <w:jc w:val="center"/>
      <w:textAlignment w:val="center"/>
    </w:pPr>
    <w:rPr>
      <w:rFonts w:eastAsia="Times New Roman"/>
      <w:color w:val="000000"/>
      <w:szCs w:val="18"/>
      <w:lang w:eastAsia="en-AU"/>
    </w:rPr>
  </w:style>
  <w:style w:type="paragraph" w:customStyle="1" w:styleId="xl123">
    <w:name w:val="xl123"/>
    <w:basedOn w:val="Normal"/>
    <w:rsid w:val="00876FB5"/>
    <w:pPr>
      <w:shd w:val="clear" w:color="000000" w:fill="C5D9F1"/>
      <w:spacing w:before="100" w:beforeAutospacing="1" w:after="100" w:afterAutospacing="1" w:line="240" w:lineRule="auto"/>
      <w:ind w:right="0"/>
      <w:textAlignment w:val="center"/>
    </w:pPr>
    <w:rPr>
      <w:rFonts w:eastAsia="Times New Roman"/>
      <w:b/>
      <w:bCs/>
      <w:color w:val="000000"/>
      <w:szCs w:val="18"/>
      <w:lang w:eastAsia="en-AU"/>
    </w:rPr>
  </w:style>
  <w:style w:type="paragraph" w:customStyle="1" w:styleId="xl124">
    <w:name w:val="xl124"/>
    <w:basedOn w:val="Normal"/>
    <w:rsid w:val="00876FB5"/>
    <w:pPr>
      <w:shd w:val="clear" w:color="000000" w:fill="C5D9F1"/>
      <w:spacing w:before="100" w:beforeAutospacing="1" w:after="100" w:afterAutospacing="1" w:line="240" w:lineRule="auto"/>
      <w:ind w:right="0"/>
      <w:jc w:val="center"/>
      <w:textAlignment w:val="center"/>
    </w:pPr>
    <w:rPr>
      <w:rFonts w:eastAsia="Times New Roman"/>
      <w:b/>
      <w:bCs/>
      <w:color w:val="000000"/>
      <w:szCs w:val="18"/>
      <w:lang w:eastAsia="en-AU"/>
    </w:rPr>
  </w:style>
  <w:style w:type="paragraph" w:customStyle="1" w:styleId="xl125">
    <w:name w:val="xl125"/>
    <w:basedOn w:val="Normal"/>
    <w:rsid w:val="00876FB5"/>
    <w:pPr>
      <w:spacing w:before="100" w:beforeAutospacing="1" w:after="100" w:afterAutospacing="1" w:line="240" w:lineRule="auto"/>
      <w:ind w:right="0"/>
      <w:textAlignment w:val="center"/>
    </w:pPr>
    <w:rPr>
      <w:rFonts w:eastAsia="Times New Roman"/>
      <w:b/>
      <w:bCs/>
      <w:color w:val="FFFFFF"/>
      <w:sz w:val="16"/>
      <w:szCs w:val="16"/>
      <w:lang w:eastAsia="en-AU"/>
    </w:rPr>
  </w:style>
  <w:style w:type="paragraph" w:customStyle="1" w:styleId="xl126">
    <w:name w:val="xl126"/>
    <w:basedOn w:val="Normal"/>
    <w:rsid w:val="00876FB5"/>
    <w:pPr>
      <w:spacing w:before="100" w:beforeAutospacing="1" w:after="100" w:afterAutospacing="1" w:line="240" w:lineRule="auto"/>
      <w:ind w:right="0"/>
      <w:jc w:val="center"/>
    </w:pPr>
    <w:rPr>
      <w:rFonts w:eastAsia="Times New Roman"/>
      <w:b/>
      <w:bCs/>
      <w:color w:val="FFFFFF"/>
      <w:szCs w:val="18"/>
      <w:lang w:eastAsia="en-AU"/>
    </w:rPr>
  </w:style>
  <w:style w:type="character" w:customStyle="1" w:styleId="msodel0">
    <w:name w:val="msodel"/>
    <w:basedOn w:val="DefaultParagraphFont"/>
    <w:rsid w:val="00605302"/>
  </w:style>
  <w:style w:type="character" w:customStyle="1" w:styleId="msoins0">
    <w:name w:val="msoins"/>
    <w:basedOn w:val="DefaultParagraphFont"/>
    <w:rsid w:val="00605302"/>
  </w:style>
  <w:style w:type="character" w:styleId="Strong">
    <w:name w:val="Strong"/>
    <w:basedOn w:val="DefaultParagraphFont"/>
    <w:uiPriority w:val="22"/>
    <w:qFormat/>
    <w:rsid w:val="00430787"/>
    <w:rPr>
      <w:b/>
      <w:bCs/>
    </w:rPr>
  </w:style>
  <w:style w:type="paragraph" w:customStyle="1" w:styleId="Tableheader">
    <w:name w:val="Table header"/>
    <w:basedOn w:val="Caption"/>
    <w:link w:val="TableheaderChar"/>
    <w:qFormat/>
    <w:rsid w:val="00F6195F"/>
    <w:pPr>
      <w:keepNext/>
      <w:spacing w:before="120" w:after="60" w:line="240" w:lineRule="atLeast"/>
      <w:ind w:right="567"/>
    </w:pPr>
    <w:rPr>
      <w:rFonts w:cs="Arial"/>
      <w:color w:val="auto"/>
    </w:rPr>
  </w:style>
  <w:style w:type="character" w:customStyle="1" w:styleId="TableheaderChar">
    <w:name w:val="Table header Char"/>
    <w:basedOn w:val="DefaultParagraphFont"/>
    <w:link w:val="Tableheader"/>
    <w:rsid w:val="00F6195F"/>
    <w:rPr>
      <w:rFonts w:ascii="Arial" w:hAnsi="Arial" w:cs="Arial"/>
      <w:i/>
      <w:iCs/>
      <w:sz w:val="18"/>
      <w:szCs w:val="18"/>
      <w:lang w:eastAsia="en-US"/>
    </w:rPr>
  </w:style>
  <w:style w:type="paragraph" w:styleId="Caption">
    <w:name w:val="caption"/>
    <w:basedOn w:val="Normal"/>
    <w:next w:val="Normal"/>
    <w:unhideWhenUsed/>
    <w:qFormat/>
    <w:rsid w:val="00DF1E0B"/>
    <w:pPr>
      <w:spacing w:before="0" w:after="120" w:line="240" w:lineRule="auto"/>
    </w:pPr>
    <w:rPr>
      <w:color w:val="1F497D" w:themeColor="text2"/>
    </w:rPr>
  </w:style>
  <w:style w:type="paragraph" w:customStyle="1" w:styleId="Tablefooter">
    <w:name w:val="Table footer"/>
    <w:basedOn w:val="Normal"/>
    <w:link w:val="TablefooterChar"/>
    <w:qFormat/>
    <w:rsid w:val="00ED4290"/>
    <w:pPr>
      <w:spacing w:before="60" w:line="240" w:lineRule="auto"/>
    </w:pPr>
    <w:rPr>
      <w:rFonts w:cs="Arial"/>
      <w:i/>
      <w:iCs/>
      <w:sz w:val="16"/>
      <w:szCs w:val="16"/>
    </w:rPr>
  </w:style>
  <w:style w:type="character" w:customStyle="1" w:styleId="TablefooterChar">
    <w:name w:val="Table footer Char"/>
    <w:basedOn w:val="DefaultParagraphFont"/>
    <w:link w:val="Tablefooter"/>
    <w:rsid w:val="00ED4290"/>
    <w:rPr>
      <w:rFonts w:ascii="Arial" w:hAnsi="Arial" w:cs="Arial"/>
      <w:i/>
      <w:iCs/>
      <w:sz w:val="16"/>
      <w:szCs w:val="16"/>
      <w:lang w:eastAsia="en-US"/>
    </w:rPr>
  </w:style>
  <w:style w:type="character" w:customStyle="1" w:styleId="FootnoteTextChar">
    <w:name w:val="Footnote Text Char"/>
    <w:basedOn w:val="DefaultParagraphFont"/>
    <w:link w:val="FootnoteText"/>
    <w:uiPriority w:val="99"/>
    <w:semiHidden/>
    <w:rsid w:val="00D47D2B"/>
    <w:rPr>
      <w:rFonts w:ascii="Arial" w:hAnsi="Arial"/>
      <w:lang w:eastAsia="en-US"/>
    </w:rPr>
  </w:style>
  <w:style w:type="paragraph" w:customStyle="1" w:styleId="Bullett">
    <w:name w:val="Bullett"/>
    <w:basedOn w:val="ListParagraph"/>
    <w:link w:val="BullettChar"/>
    <w:qFormat/>
    <w:rsid w:val="00497C55"/>
    <w:pPr>
      <w:numPr>
        <w:numId w:val="8"/>
      </w:numPr>
      <w:spacing w:before="120"/>
    </w:pPr>
  </w:style>
  <w:style w:type="character" w:customStyle="1" w:styleId="ListParagraphChar">
    <w:name w:val="List Paragraph Char"/>
    <w:basedOn w:val="DefaultParagraphFont"/>
    <w:link w:val="ListParagraph"/>
    <w:uiPriority w:val="34"/>
    <w:rsid w:val="00501570"/>
    <w:rPr>
      <w:rFonts w:ascii="Arial Nova" w:eastAsia="Times New Roman" w:hAnsi="Arial Nova"/>
      <w:color w:val="000000"/>
      <w:szCs w:val="22"/>
    </w:rPr>
  </w:style>
  <w:style w:type="character" w:customStyle="1" w:styleId="BullettChar">
    <w:name w:val="Bullett Char"/>
    <w:basedOn w:val="ListParagraphChar"/>
    <w:link w:val="Bullett"/>
    <w:rsid w:val="00497C55"/>
    <w:rPr>
      <w:rFonts w:ascii="Arial Nova" w:eastAsia="Times New Roman" w:hAnsi="Arial Nova"/>
      <w:color w:val="000000"/>
      <w:szCs w:val="22"/>
    </w:rPr>
  </w:style>
  <w:style w:type="character" w:customStyle="1" w:styleId="title-text">
    <w:name w:val="title-text"/>
    <w:basedOn w:val="DefaultParagraphFont"/>
    <w:rsid w:val="00DE2DF3"/>
  </w:style>
  <w:style w:type="paragraph" w:customStyle="1" w:styleId="Default">
    <w:name w:val="Default"/>
    <w:rsid w:val="00F31CAE"/>
    <w:pPr>
      <w:autoSpaceDE w:val="0"/>
      <w:autoSpaceDN w:val="0"/>
      <w:adjustRightInd w:val="0"/>
    </w:pPr>
    <w:rPr>
      <w:rFonts w:ascii="Segoe UI" w:hAnsi="Segoe UI" w:cs="Segoe UI"/>
      <w:color w:val="000000"/>
      <w:sz w:val="24"/>
      <w:szCs w:val="24"/>
    </w:rPr>
  </w:style>
  <w:style w:type="character" w:customStyle="1" w:styleId="Heading1Char">
    <w:name w:val="Heading 1 Char"/>
    <w:basedOn w:val="DefaultParagraphFont"/>
    <w:link w:val="Heading1"/>
    <w:rsid w:val="00AF3A95"/>
    <w:rPr>
      <w:rFonts w:ascii="Arial Nova" w:hAnsi="Arial Nova"/>
      <w:b/>
      <w:color w:val="00376E"/>
      <w:kern w:val="32"/>
      <w:sz w:val="36"/>
      <w:szCs w:val="18"/>
      <w:lang w:eastAsia="en-US"/>
    </w:rPr>
  </w:style>
  <w:style w:type="character" w:customStyle="1" w:styleId="Heading4Char">
    <w:name w:val="Heading 4 Char"/>
    <w:basedOn w:val="DefaultParagraphFont"/>
    <w:link w:val="Heading4"/>
    <w:rsid w:val="009464E7"/>
    <w:rPr>
      <w:rFonts w:ascii="Arial Nova" w:hAnsi="Arial Nova" w:cs="Arial"/>
      <w:b/>
      <w:bCs/>
      <w:iCs/>
      <w:color w:val="00376E"/>
      <w:szCs w:val="32"/>
    </w:rPr>
  </w:style>
  <w:style w:type="character" w:customStyle="1" w:styleId="FooterChar">
    <w:name w:val="Footer Char"/>
    <w:basedOn w:val="DefaultParagraphFont"/>
    <w:link w:val="Footer"/>
    <w:uiPriority w:val="99"/>
    <w:rsid w:val="00F375D2"/>
    <w:rPr>
      <w:rFonts w:ascii="Verdana" w:hAnsi="Verdana"/>
      <w:color w:val="00376E"/>
      <w:sz w:val="13"/>
      <w:lang w:eastAsia="en-US"/>
    </w:rPr>
  </w:style>
  <w:style w:type="paragraph" w:styleId="TOC2">
    <w:name w:val="toc 2"/>
    <w:basedOn w:val="Normal"/>
    <w:next w:val="Normal"/>
    <w:autoRedefine/>
    <w:uiPriority w:val="39"/>
    <w:unhideWhenUsed/>
    <w:rsid w:val="002A31B7"/>
    <w:pPr>
      <w:tabs>
        <w:tab w:val="right" w:leader="dot" w:pos="8789"/>
        <w:tab w:val="right" w:leader="dot" w:pos="9621"/>
      </w:tabs>
      <w:spacing w:after="100"/>
      <w:ind w:left="1843"/>
    </w:pPr>
  </w:style>
  <w:style w:type="character" w:styleId="UnresolvedMention">
    <w:name w:val="Unresolved Mention"/>
    <w:basedOn w:val="DefaultParagraphFont"/>
    <w:uiPriority w:val="99"/>
    <w:semiHidden/>
    <w:unhideWhenUsed/>
    <w:rsid w:val="00F71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159">
      <w:bodyDiv w:val="1"/>
      <w:marLeft w:val="0"/>
      <w:marRight w:val="0"/>
      <w:marTop w:val="0"/>
      <w:marBottom w:val="0"/>
      <w:divBdr>
        <w:top w:val="none" w:sz="0" w:space="0" w:color="auto"/>
        <w:left w:val="none" w:sz="0" w:space="0" w:color="auto"/>
        <w:bottom w:val="none" w:sz="0" w:space="0" w:color="auto"/>
        <w:right w:val="none" w:sz="0" w:space="0" w:color="auto"/>
      </w:divBdr>
    </w:div>
    <w:div w:id="8023799">
      <w:bodyDiv w:val="1"/>
      <w:marLeft w:val="0"/>
      <w:marRight w:val="0"/>
      <w:marTop w:val="0"/>
      <w:marBottom w:val="0"/>
      <w:divBdr>
        <w:top w:val="none" w:sz="0" w:space="0" w:color="auto"/>
        <w:left w:val="none" w:sz="0" w:space="0" w:color="auto"/>
        <w:bottom w:val="none" w:sz="0" w:space="0" w:color="auto"/>
        <w:right w:val="none" w:sz="0" w:space="0" w:color="auto"/>
      </w:divBdr>
    </w:div>
    <w:div w:id="12807957">
      <w:bodyDiv w:val="1"/>
      <w:marLeft w:val="0"/>
      <w:marRight w:val="0"/>
      <w:marTop w:val="0"/>
      <w:marBottom w:val="0"/>
      <w:divBdr>
        <w:top w:val="none" w:sz="0" w:space="0" w:color="auto"/>
        <w:left w:val="none" w:sz="0" w:space="0" w:color="auto"/>
        <w:bottom w:val="none" w:sz="0" w:space="0" w:color="auto"/>
        <w:right w:val="none" w:sz="0" w:space="0" w:color="auto"/>
      </w:divBdr>
    </w:div>
    <w:div w:id="13310491">
      <w:bodyDiv w:val="1"/>
      <w:marLeft w:val="0"/>
      <w:marRight w:val="0"/>
      <w:marTop w:val="0"/>
      <w:marBottom w:val="0"/>
      <w:divBdr>
        <w:top w:val="none" w:sz="0" w:space="0" w:color="auto"/>
        <w:left w:val="none" w:sz="0" w:space="0" w:color="auto"/>
        <w:bottom w:val="none" w:sz="0" w:space="0" w:color="auto"/>
        <w:right w:val="none" w:sz="0" w:space="0" w:color="auto"/>
      </w:divBdr>
    </w:div>
    <w:div w:id="17508496">
      <w:bodyDiv w:val="1"/>
      <w:marLeft w:val="0"/>
      <w:marRight w:val="0"/>
      <w:marTop w:val="0"/>
      <w:marBottom w:val="0"/>
      <w:divBdr>
        <w:top w:val="none" w:sz="0" w:space="0" w:color="auto"/>
        <w:left w:val="none" w:sz="0" w:space="0" w:color="auto"/>
        <w:bottom w:val="none" w:sz="0" w:space="0" w:color="auto"/>
        <w:right w:val="none" w:sz="0" w:space="0" w:color="auto"/>
      </w:divBdr>
    </w:div>
    <w:div w:id="23790331">
      <w:bodyDiv w:val="1"/>
      <w:marLeft w:val="0"/>
      <w:marRight w:val="0"/>
      <w:marTop w:val="0"/>
      <w:marBottom w:val="0"/>
      <w:divBdr>
        <w:top w:val="none" w:sz="0" w:space="0" w:color="auto"/>
        <w:left w:val="none" w:sz="0" w:space="0" w:color="auto"/>
        <w:bottom w:val="none" w:sz="0" w:space="0" w:color="auto"/>
        <w:right w:val="none" w:sz="0" w:space="0" w:color="auto"/>
      </w:divBdr>
    </w:div>
    <w:div w:id="24522524">
      <w:bodyDiv w:val="1"/>
      <w:marLeft w:val="0"/>
      <w:marRight w:val="0"/>
      <w:marTop w:val="0"/>
      <w:marBottom w:val="0"/>
      <w:divBdr>
        <w:top w:val="none" w:sz="0" w:space="0" w:color="auto"/>
        <w:left w:val="none" w:sz="0" w:space="0" w:color="auto"/>
        <w:bottom w:val="none" w:sz="0" w:space="0" w:color="auto"/>
        <w:right w:val="none" w:sz="0" w:space="0" w:color="auto"/>
      </w:divBdr>
    </w:div>
    <w:div w:id="25763563">
      <w:bodyDiv w:val="1"/>
      <w:marLeft w:val="0"/>
      <w:marRight w:val="0"/>
      <w:marTop w:val="0"/>
      <w:marBottom w:val="0"/>
      <w:divBdr>
        <w:top w:val="none" w:sz="0" w:space="0" w:color="auto"/>
        <w:left w:val="none" w:sz="0" w:space="0" w:color="auto"/>
        <w:bottom w:val="none" w:sz="0" w:space="0" w:color="auto"/>
        <w:right w:val="none" w:sz="0" w:space="0" w:color="auto"/>
      </w:divBdr>
    </w:div>
    <w:div w:id="26299971">
      <w:bodyDiv w:val="1"/>
      <w:marLeft w:val="0"/>
      <w:marRight w:val="0"/>
      <w:marTop w:val="0"/>
      <w:marBottom w:val="0"/>
      <w:divBdr>
        <w:top w:val="none" w:sz="0" w:space="0" w:color="auto"/>
        <w:left w:val="none" w:sz="0" w:space="0" w:color="auto"/>
        <w:bottom w:val="none" w:sz="0" w:space="0" w:color="auto"/>
        <w:right w:val="none" w:sz="0" w:space="0" w:color="auto"/>
      </w:divBdr>
    </w:div>
    <w:div w:id="30689259">
      <w:bodyDiv w:val="1"/>
      <w:marLeft w:val="0"/>
      <w:marRight w:val="0"/>
      <w:marTop w:val="0"/>
      <w:marBottom w:val="0"/>
      <w:divBdr>
        <w:top w:val="none" w:sz="0" w:space="0" w:color="auto"/>
        <w:left w:val="none" w:sz="0" w:space="0" w:color="auto"/>
        <w:bottom w:val="none" w:sz="0" w:space="0" w:color="auto"/>
        <w:right w:val="none" w:sz="0" w:space="0" w:color="auto"/>
      </w:divBdr>
    </w:div>
    <w:div w:id="33891150">
      <w:bodyDiv w:val="1"/>
      <w:marLeft w:val="0"/>
      <w:marRight w:val="0"/>
      <w:marTop w:val="0"/>
      <w:marBottom w:val="0"/>
      <w:divBdr>
        <w:top w:val="none" w:sz="0" w:space="0" w:color="auto"/>
        <w:left w:val="none" w:sz="0" w:space="0" w:color="auto"/>
        <w:bottom w:val="none" w:sz="0" w:space="0" w:color="auto"/>
        <w:right w:val="none" w:sz="0" w:space="0" w:color="auto"/>
      </w:divBdr>
    </w:div>
    <w:div w:id="36586050">
      <w:bodyDiv w:val="1"/>
      <w:marLeft w:val="0"/>
      <w:marRight w:val="0"/>
      <w:marTop w:val="0"/>
      <w:marBottom w:val="0"/>
      <w:divBdr>
        <w:top w:val="none" w:sz="0" w:space="0" w:color="auto"/>
        <w:left w:val="none" w:sz="0" w:space="0" w:color="auto"/>
        <w:bottom w:val="none" w:sz="0" w:space="0" w:color="auto"/>
        <w:right w:val="none" w:sz="0" w:space="0" w:color="auto"/>
      </w:divBdr>
    </w:div>
    <w:div w:id="41711452">
      <w:bodyDiv w:val="1"/>
      <w:marLeft w:val="0"/>
      <w:marRight w:val="0"/>
      <w:marTop w:val="0"/>
      <w:marBottom w:val="0"/>
      <w:divBdr>
        <w:top w:val="none" w:sz="0" w:space="0" w:color="auto"/>
        <w:left w:val="none" w:sz="0" w:space="0" w:color="auto"/>
        <w:bottom w:val="none" w:sz="0" w:space="0" w:color="auto"/>
        <w:right w:val="none" w:sz="0" w:space="0" w:color="auto"/>
      </w:divBdr>
    </w:div>
    <w:div w:id="46344550">
      <w:bodyDiv w:val="1"/>
      <w:marLeft w:val="0"/>
      <w:marRight w:val="0"/>
      <w:marTop w:val="0"/>
      <w:marBottom w:val="0"/>
      <w:divBdr>
        <w:top w:val="none" w:sz="0" w:space="0" w:color="auto"/>
        <w:left w:val="none" w:sz="0" w:space="0" w:color="auto"/>
        <w:bottom w:val="none" w:sz="0" w:space="0" w:color="auto"/>
        <w:right w:val="none" w:sz="0" w:space="0" w:color="auto"/>
      </w:divBdr>
    </w:div>
    <w:div w:id="48043888">
      <w:bodyDiv w:val="1"/>
      <w:marLeft w:val="0"/>
      <w:marRight w:val="0"/>
      <w:marTop w:val="0"/>
      <w:marBottom w:val="0"/>
      <w:divBdr>
        <w:top w:val="none" w:sz="0" w:space="0" w:color="auto"/>
        <w:left w:val="none" w:sz="0" w:space="0" w:color="auto"/>
        <w:bottom w:val="none" w:sz="0" w:space="0" w:color="auto"/>
        <w:right w:val="none" w:sz="0" w:space="0" w:color="auto"/>
      </w:divBdr>
    </w:div>
    <w:div w:id="48959404">
      <w:bodyDiv w:val="1"/>
      <w:marLeft w:val="0"/>
      <w:marRight w:val="0"/>
      <w:marTop w:val="0"/>
      <w:marBottom w:val="0"/>
      <w:divBdr>
        <w:top w:val="none" w:sz="0" w:space="0" w:color="auto"/>
        <w:left w:val="none" w:sz="0" w:space="0" w:color="auto"/>
        <w:bottom w:val="none" w:sz="0" w:space="0" w:color="auto"/>
        <w:right w:val="none" w:sz="0" w:space="0" w:color="auto"/>
      </w:divBdr>
    </w:div>
    <w:div w:id="51276338">
      <w:bodyDiv w:val="1"/>
      <w:marLeft w:val="0"/>
      <w:marRight w:val="0"/>
      <w:marTop w:val="0"/>
      <w:marBottom w:val="0"/>
      <w:divBdr>
        <w:top w:val="none" w:sz="0" w:space="0" w:color="auto"/>
        <w:left w:val="none" w:sz="0" w:space="0" w:color="auto"/>
        <w:bottom w:val="none" w:sz="0" w:space="0" w:color="auto"/>
        <w:right w:val="none" w:sz="0" w:space="0" w:color="auto"/>
      </w:divBdr>
    </w:div>
    <w:div w:id="56904009">
      <w:bodyDiv w:val="1"/>
      <w:marLeft w:val="0"/>
      <w:marRight w:val="0"/>
      <w:marTop w:val="0"/>
      <w:marBottom w:val="0"/>
      <w:divBdr>
        <w:top w:val="none" w:sz="0" w:space="0" w:color="auto"/>
        <w:left w:val="none" w:sz="0" w:space="0" w:color="auto"/>
        <w:bottom w:val="none" w:sz="0" w:space="0" w:color="auto"/>
        <w:right w:val="none" w:sz="0" w:space="0" w:color="auto"/>
      </w:divBdr>
    </w:div>
    <w:div w:id="57630224">
      <w:bodyDiv w:val="1"/>
      <w:marLeft w:val="0"/>
      <w:marRight w:val="0"/>
      <w:marTop w:val="0"/>
      <w:marBottom w:val="0"/>
      <w:divBdr>
        <w:top w:val="none" w:sz="0" w:space="0" w:color="auto"/>
        <w:left w:val="none" w:sz="0" w:space="0" w:color="auto"/>
        <w:bottom w:val="none" w:sz="0" w:space="0" w:color="auto"/>
        <w:right w:val="none" w:sz="0" w:space="0" w:color="auto"/>
      </w:divBdr>
    </w:div>
    <w:div w:id="58331215">
      <w:bodyDiv w:val="1"/>
      <w:marLeft w:val="0"/>
      <w:marRight w:val="0"/>
      <w:marTop w:val="0"/>
      <w:marBottom w:val="0"/>
      <w:divBdr>
        <w:top w:val="none" w:sz="0" w:space="0" w:color="auto"/>
        <w:left w:val="none" w:sz="0" w:space="0" w:color="auto"/>
        <w:bottom w:val="none" w:sz="0" w:space="0" w:color="auto"/>
        <w:right w:val="none" w:sz="0" w:space="0" w:color="auto"/>
      </w:divBdr>
    </w:div>
    <w:div w:id="84503126">
      <w:bodyDiv w:val="1"/>
      <w:marLeft w:val="0"/>
      <w:marRight w:val="0"/>
      <w:marTop w:val="0"/>
      <w:marBottom w:val="0"/>
      <w:divBdr>
        <w:top w:val="none" w:sz="0" w:space="0" w:color="auto"/>
        <w:left w:val="none" w:sz="0" w:space="0" w:color="auto"/>
        <w:bottom w:val="none" w:sz="0" w:space="0" w:color="auto"/>
        <w:right w:val="none" w:sz="0" w:space="0" w:color="auto"/>
      </w:divBdr>
    </w:div>
    <w:div w:id="86776260">
      <w:bodyDiv w:val="1"/>
      <w:marLeft w:val="0"/>
      <w:marRight w:val="0"/>
      <w:marTop w:val="0"/>
      <w:marBottom w:val="0"/>
      <w:divBdr>
        <w:top w:val="none" w:sz="0" w:space="0" w:color="auto"/>
        <w:left w:val="none" w:sz="0" w:space="0" w:color="auto"/>
        <w:bottom w:val="none" w:sz="0" w:space="0" w:color="auto"/>
        <w:right w:val="none" w:sz="0" w:space="0" w:color="auto"/>
      </w:divBdr>
    </w:div>
    <w:div w:id="96872416">
      <w:bodyDiv w:val="1"/>
      <w:marLeft w:val="0"/>
      <w:marRight w:val="0"/>
      <w:marTop w:val="0"/>
      <w:marBottom w:val="0"/>
      <w:divBdr>
        <w:top w:val="none" w:sz="0" w:space="0" w:color="auto"/>
        <w:left w:val="none" w:sz="0" w:space="0" w:color="auto"/>
        <w:bottom w:val="none" w:sz="0" w:space="0" w:color="auto"/>
        <w:right w:val="none" w:sz="0" w:space="0" w:color="auto"/>
      </w:divBdr>
    </w:div>
    <w:div w:id="101195597">
      <w:bodyDiv w:val="1"/>
      <w:marLeft w:val="0"/>
      <w:marRight w:val="0"/>
      <w:marTop w:val="0"/>
      <w:marBottom w:val="0"/>
      <w:divBdr>
        <w:top w:val="none" w:sz="0" w:space="0" w:color="auto"/>
        <w:left w:val="none" w:sz="0" w:space="0" w:color="auto"/>
        <w:bottom w:val="none" w:sz="0" w:space="0" w:color="auto"/>
        <w:right w:val="none" w:sz="0" w:space="0" w:color="auto"/>
      </w:divBdr>
    </w:div>
    <w:div w:id="103423391">
      <w:bodyDiv w:val="1"/>
      <w:marLeft w:val="0"/>
      <w:marRight w:val="0"/>
      <w:marTop w:val="0"/>
      <w:marBottom w:val="0"/>
      <w:divBdr>
        <w:top w:val="none" w:sz="0" w:space="0" w:color="auto"/>
        <w:left w:val="none" w:sz="0" w:space="0" w:color="auto"/>
        <w:bottom w:val="none" w:sz="0" w:space="0" w:color="auto"/>
        <w:right w:val="none" w:sz="0" w:space="0" w:color="auto"/>
      </w:divBdr>
    </w:div>
    <w:div w:id="108741371">
      <w:bodyDiv w:val="1"/>
      <w:marLeft w:val="0"/>
      <w:marRight w:val="0"/>
      <w:marTop w:val="0"/>
      <w:marBottom w:val="0"/>
      <w:divBdr>
        <w:top w:val="none" w:sz="0" w:space="0" w:color="auto"/>
        <w:left w:val="none" w:sz="0" w:space="0" w:color="auto"/>
        <w:bottom w:val="none" w:sz="0" w:space="0" w:color="auto"/>
        <w:right w:val="none" w:sz="0" w:space="0" w:color="auto"/>
      </w:divBdr>
    </w:div>
    <w:div w:id="111827250">
      <w:bodyDiv w:val="1"/>
      <w:marLeft w:val="0"/>
      <w:marRight w:val="0"/>
      <w:marTop w:val="0"/>
      <w:marBottom w:val="0"/>
      <w:divBdr>
        <w:top w:val="none" w:sz="0" w:space="0" w:color="auto"/>
        <w:left w:val="none" w:sz="0" w:space="0" w:color="auto"/>
        <w:bottom w:val="none" w:sz="0" w:space="0" w:color="auto"/>
        <w:right w:val="none" w:sz="0" w:space="0" w:color="auto"/>
      </w:divBdr>
    </w:div>
    <w:div w:id="113716116">
      <w:bodyDiv w:val="1"/>
      <w:marLeft w:val="0"/>
      <w:marRight w:val="0"/>
      <w:marTop w:val="0"/>
      <w:marBottom w:val="0"/>
      <w:divBdr>
        <w:top w:val="none" w:sz="0" w:space="0" w:color="auto"/>
        <w:left w:val="none" w:sz="0" w:space="0" w:color="auto"/>
        <w:bottom w:val="none" w:sz="0" w:space="0" w:color="auto"/>
        <w:right w:val="none" w:sz="0" w:space="0" w:color="auto"/>
      </w:divBdr>
    </w:div>
    <w:div w:id="116805278">
      <w:bodyDiv w:val="1"/>
      <w:marLeft w:val="0"/>
      <w:marRight w:val="0"/>
      <w:marTop w:val="0"/>
      <w:marBottom w:val="0"/>
      <w:divBdr>
        <w:top w:val="none" w:sz="0" w:space="0" w:color="auto"/>
        <w:left w:val="none" w:sz="0" w:space="0" w:color="auto"/>
        <w:bottom w:val="none" w:sz="0" w:space="0" w:color="auto"/>
        <w:right w:val="none" w:sz="0" w:space="0" w:color="auto"/>
      </w:divBdr>
    </w:div>
    <w:div w:id="126507604">
      <w:bodyDiv w:val="1"/>
      <w:marLeft w:val="0"/>
      <w:marRight w:val="0"/>
      <w:marTop w:val="0"/>
      <w:marBottom w:val="0"/>
      <w:divBdr>
        <w:top w:val="none" w:sz="0" w:space="0" w:color="auto"/>
        <w:left w:val="none" w:sz="0" w:space="0" w:color="auto"/>
        <w:bottom w:val="none" w:sz="0" w:space="0" w:color="auto"/>
        <w:right w:val="none" w:sz="0" w:space="0" w:color="auto"/>
      </w:divBdr>
    </w:div>
    <w:div w:id="128983370">
      <w:bodyDiv w:val="1"/>
      <w:marLeft w:val="0"/>
      <w:marRight w:val="0"/>
      <w:marTop w:val="0"/>
      <w:marBottom w:val="0"/>
      <w:divBdr>
        <w:top w:val="none" w:sz="0" w:space="0" w:color="auto"/>
        <w:left w:val="none" w:sz="0" w:space="0" w:color="auto"/>
        <w:bottom w:val="none" w:sz="0" w:space="0" w:color="auto"/>
        <w:right w:val="none" w:sz="0" w:space="0" w:color="auto"/>
      </w:divBdr>
    </w:div>
    <w:div w:id="133986760">
      <w:bodyDiv w:val="1"/>
      <w:marLeft w:val="0"/>
      <w:marRight w:val="0"/>
      <w:marTop w:val="0"/>
      <w:marBottom w:val="0"/>
      <w:divBdr>
        <w:top w:val="none" w:sz="0" w:space="0" w:color="auto"/>
        <w:left w:val="none" w:sz="0" w:space="0" w:color="auto"/>
        <w:bottom w:val="none" w:sz="0" w:space="0" w:color="auto"/>
        <w:right w:val="none" w:sz="0" w:space="0" w:color="auto"/>
      </w:divBdr>
    </w:div>
    <w:div w:id="134419276">
      <w:bodyDiv w:val="1"/>
      <w:marLeft w:val="0"/>
      <w:marRight w:val="0"/>
      <w:marTop w:val="0"/>
      <w:marBottom w:val="0"/>
      <w:divBdr>
        <w:top w:val="none" w:sz="0" w:space="0" w:color="auto"/>
        <w:left w:val="none" w:sz="0" w:space="0" w:color="auto"/>
        <w:bottom w:val="none" w:sz="0" w:space="0" w:color="auto"/>
        <w:right w:val="none" w:sz="0" w:space="0" w:color="auto"/>
      </w:divBdr>
    </w:div>
    <w:div w:id="136774006">
      <w:bodyDiv w:val="1"/>
      <w:marLeft w:val="0"/>
      <w:marRight w:val="0"/>
      <w:marTop w:val="0"/>
      <w:marBottom w:val="0"/>
      <w:divBdr>
        <w:top w:val="none" w:sz="0" w:space="0" w:color="auto"/>
        <w:left w:val="none" w:sz="0" w:space="0" w:color="auto"/>
        <w:bottom w:val="none" w:sz="0" w:space="0" w:color="auto"/>
        <w:right w:val="none" w:sz="0" w:space="0" w:color="auto"/>
      </w:divBdr>
    </w:div>
    <w:div w:id="137960895">
      <w:bodyDiv w:val="1"/>
      <w:marLeft w:val="0"/>
      <w:marRight w:val="0"/>
      <w:marTop w:val="0"/>
      <w:marBottom w:val="0"/>
      <w:divBdr>
        <w:top w:val="none" w:sz="0" w:space="0" w:color="auto"/>
        <w:left w:val="none" w:sz="0" w:space="0" w:color="auto"/>
        <w:bottom w:val="none" w:sz="0" w:space="0" w:color="auto"/>
        <w:right w:val="none" w:sz="0" w:space="0" w:color="auto"/>
      </w:divBdr>
    </w:div>
    <w:div w:id="142746648">
      <w:bodyDiv w:val="1"/>
      <w:marLeft w:val="0"/>
      <w:marRight w:val="0"/>
      <w:marTop w:val="0"/>
      <w:marBottom w:val="0"/>
      <w:divBdr>
        <w:top w:val="none" w:sz="0" w:space="0" w:color="auto"/>
        <w:left w:val="none" w:sz="0" w:space="0" w:color="auto"/>
        <w:bottom w:val="none" w:sz="0" w:space="0" w:color="auto"/>
        <w:right w:val="none" w:sz="0" w:space="0" w:color="auto"/>
      </w:divBdr>
    </w:div>
    <w:div w:id="146242266">
      <w:bodyDiv w:val="1"/>
      <w:marLeft w:val="0"/>
      <w:marRight w:val="0"/>
      <w:marTop w:val="0"/>
      <w:marBottom w:val="0"/>
      <w:divBdr>
        <w:top w:val="none" w:sz="0" w:space="0" w:color="auto"/>
        <w:left w:val="none" w:sz="0" w:space="0" w:color="auto"/>
        <w:bottom w:val="none" w:sz="0" w:space="0" w:color="auto"/>
        <w:right w:val="none" w:sz="0" w:space="0" w:color="auto"/>
      </w:divBdr>
    </w:div>
    <w:div w:id="153181590">
      <w:bodyDiv w:val="1"/>
      <w:marLeft w:val="0"/>
      <w:marRight w:val="0"/>
      <w:marTop w:val="0"/>
      <w:marBottom w:val="0"/>
      <w:divBdr>
        <w:top w:val="none" w:sz="0" w:space="0" w:color="auto"/>
        <w:left w:val="none" w:sz="0" w:space="0" w:color="auto"/>
        <w:bottom w:val="none" w:sz="0" w:space="0" w:color="auto"/>
        <w:right w:val="none" w:sz="0" w:space="0" w:color="auto"/>
      </w:divBdr>
    </w:div>
    <w:div w:id="155608368">
      <w:bodyDiv w:val="1"/>
      <w:marLeft w:val="0"/>
      <w:marRight w:val="0"/>
      <w:marTop w:val="0"/>
      <w:marBottom w:val="0"/>
      <w:divBdr>
        <w:top w:val="none" w:sz="0" w:space="0" w:color="auto"/>
        <w:left w:val="none" w:sz="0" w:space="0" w:color="auto"/>
        <w:bottom w:val="none" w:sz="0" w:space="0" w:color="auto"/>
        <w:right w:val="none" w:sz="0" w:space="0" w:color="auto"/>
      </w:divBdr>
    </w:div>
    <w:div w:id="161161266">
      <w:bodyDiv w:val="1"/>
      <w:marLeft w:val="0"/>
      <w:marRight w:val="0"/>
      <w:marTop w:val="0"/>
      <w:marBottom w:val="0"/>
      <w:divBdr>
        <w:top w:val="none" w:sz="0" w:space="0" w:color="auto"/>
        <w:left w:val="none" w:sz="0" w:space="0" w:color="auto"/>
        <w:bottom w:val="none" w:sz="0" w:space="0" w:color="auto"/>
        <w:right w:val="none" w:sz="0" w:space="0" w:color="auto"/>
      </w:divBdr>
    </w:div>
    <w:div w:id="171141309">
      <w:bodyDiv w:val="1"/>
      <w:marLeft w:val="0"/>
      <w:marRight w:val="0"/>
      <w:marTop w:val="0"/>
      <w:marBottom w:val="0"/>
      <w:divBdr>
        <w:top w:val="none" w:sz="0" w:space="0" w:color="auto"/>
        <w:left w:val="none" w:sz="0" w:space="0" w:color="auto"/>
        <w:bottom w:val="none" w:sz="0" w:space="0" w:color="auto"/>
        <w:right w:val="none" w:sz="0" w:space="0" w:color="auto"/>
      </w:divBdr>
    </w:div>
    <w:div w:id="175391954">
      <w:bodyDiv w:val="1"/>
      <w:marLeft w:val="0"/>
      <w:marRight w:val="0"/>
      <w:marTop w:val="0"/>
      <w:marBottom w:val="0"/>
      <w:divBdr>
        <w:top w:val="none" w:sz="0" w:space="0" w:color="auto"/>
        <w:left w:val="none" w:sz="0" w:space="0" w:color="auto"/>
        <w:bottom w:val="none" w:sz="0" w:space="0" w:color="auto"/>
        <w:right w:val="none" w:sz="0" w:space="0" w:color="auto"/>
      </w:divBdr>
    </w:div>
    <w:div w:id="177820402">
      <w:bodyDiv w:val="1"/>
      <w:marLeft w:val="0"/>
      <w:marRight w:val="0"/>
      <w:marTop w:val="0"/>
      <w:marBottom w:val="0"/>
      <w:divBdr>
        <w:top w:val="none" w:sz="0" w:space="0" w:color="auto"/>
        <w:left w:val="none" w:sz="0" w:space="0" w:color="auto"/>
        <w:bottom w:val="none" w:sz="0" w:space="0" w:color="auto"/>
        <w:right w:val="none" w:sz="0" w:space="0" w:color="auto"/>
      </w:divBdr>
    </w:div>
    <w:div w:id="181163568">
      <w:bodyDiv w:val="1"/>
      <w:marLeft w:val="0"/>
      <w:marRight w:val="0"/>
      <w:marTop w:val="0"/>
      <w:marBottom w:val="0"/>
      <w:divBdr>
        <w:top w:val="none" w:sz="0" w:space="0" w:color="auto"/>
        <w:left w:val="none" w:sz="0" w:space="0" w:color="auto"/>
        <w:bottom w:val="none" w:sz="0" w:space="0" w:color="auto"/>
        <w:right w:val="none" w:sz="0" w:space="0" w:color="auto"/>
      </w:divBdr>
    </w:div>
    <w:div w:id="182717727">
      <w:bodyDiv w:val="1"/>
      <w:marLeft w:val="0"/>
      <w:marRight w:val="0"/>
      <w:marTop w:val="0"/>
      <w:marBottom w:val="0"/>
      <w:divBdr>
        <w:top w:val="none" w:sz="0" w:space="0" w:color="auto"/>
        <w:left w:val="none" w:sz="0" w:space="0" w:color="auto"/>
        <w:bottom w:val="none" w:sz="0" w:space="0" w:color="auto"/>
        <w:right w:val="none" w:sz="0" w:space="0" w:color="auto"/>
      </w:divBdr>
    </w:div>
    <w:div w:id="189337685">
      <w:bodyDiv w:val="1"/>
      <w:marLeft w:val="0"/>
      <w:marRight w:val="0"/>
      <w:marTop w:val="0"/>
      <w:marBottom w:val="0"/>
      <w:divBdr>
        <w:top w:val="none" w:sz="0" w:space="0" w:color="auto"/>
        <w:left w:val="none" w:sz="0" w:space="0" w:color="auto"/>
        <w:bottom w:val="none" w:sz="0" w:space="0" w:color="auto"/>
        <w:right w:val="none" w:sz="0" w:space="0" w:color="auto"/>
      </w:divBdr>
    </w:div>
    <w:div w:id="192570987">
      <w:bodyDiv w:val="1"/>
      <w:marLeft w:val="0"/>
      <w:marRight w:val="0"/>
      <w:marTop w:val="0"/>
      <w:marBottom w:val="0"/>
      <w:divBdr>
        <w:top w:val="none" w:sz="0" w:space="0" w:color="auto"/>
        <w:left w:val="none" w:sz="0" w:space="0" w:color="auto"/>
        <w:bottom w:val="none" w:sz="0" w:space="0" w:color="auto"/>
        <w:right w:val="none" w:sz="0" w:space="0" w:color="auto"/>
      </w:divBdr>
      <w:divsChild>
        <w:div w:id="167719964">
          <w:marLeft w:val="0"/>
          <w:marRight w:val="0"/>
          <w:marTop w:val="0"/>
          <w:marBottom w:val="0"/>
          <w:divBdr>
            <w:top w:val="none" w:sz="0" w:space="0" w:color="auto"/>
            <w:left w:val="none" w:sz="0" w:space="0" w:color="auto"/>
            <w:bottom w:val="none" w:sz="0" w:space="0" w:color="auto"/>
            <w:right w:val="none" w:sz="0" w:space="0" w:color="auto"/>
          </w:divBdr>
        </w:div>
        <w:div w:id="231045280">
          <w:marLeft w:val="0"/>
          <w:marRight w:val="0"/>
          <w:marTop w:val="0"/>
          <w:marBottom w:val="0"/>
          <w:divBdr>
            <w:top w:val="none" w:sz="0" w:space="0" w:color="auto"/>
            <w:left w:val="none" w:sz="0" w:space="0" w:color="auto"/>
            <w:bottom w:val="none" w:sz="0" w:space="0" w:color="auto"/>
            <w:right w:val="none" w:sz="0" w:space="0" w:color="auto"/>
          </w:divBdr>
        </w:div>
        <w:div w:id="277565405">
          <w:marLeft w:val="0"/>
          <w:marRight w:val="0"/>
          <w:marTop w:val="0"/>
          <w:marBottom w:val="0"/>
          <w:divBdr>
            <w:top w:val="none" w:sz="0" w:space="0" w:color="auto"/>
            <w:left w:val="none" w:sz="0" w:space="0" w:color="auto"/>
            <w:bottom w:val="none" w:sz="0" w:space="0" w:color="auto"/>
            <w:right w:val="none" w:sz="0" w:space="0" w:color="auto"/>
          </w:divBdr>
        </w:div>
        <w:div w:id="335034564">
          <w:marLeft w:val="0"/>
          <w:marRight w:val="0"/>
          <w:marTop w:val="0"/>
          <w:marBottom w:val="0"/>
          <w:divBdr>
            <w:top w:val="none" w:sz="0" w:space="0" w:color="auto"/>
            <w:left w:val="none" w:sz="0" w:space="0" w:color="auto"/>
            <w:bottom w:val="none" w:sz="0" w:space="0" w:color="auto"/>
            <w:right w:val="none" w:sz="0" w:space="0" w:color="auto"/>
          </w:divBdr>
        </w:div>
        <w:div w:id="346517176">
          <w:marLeft w:val="0"/>
          <w:marRight w:val="0"/>
          <w:marTop w:val="0"/>
          <w:marBottom w:val="0"/>
          <w:divBdr>
            <w:top w:val="none" w:sz="0" w:space="0" w:color="auto"/>
            <w:left w:val="none" w:sz="0" w:space="0" w:color="auto"/>
            <w:bottom w:val="none" w:sz="0" w:space="0" w:color="auto"/>
            <w:right w:val="none" w:sz="0" w:space="0" w:color="auto"/>
          </w:divBdr>
        </w:div>
        <w:div w:id="458450126">
          <w:marLeft w:val="0"/>
          <w:marRight w:val="0"/>
          <w:marTop w:val="0"/>
          <w:marBottom w:val="0"/>
          <w:divBdr>
            <w:top w:val="none" w:sz="0" w:space="0" w:color="auto"/>
            <w:left w:val="none" w:sz="0" w:space="0" w:color="auto"/>
            <w:bottom w:val="none" w:sz="0" w:space="0" w:color="auto"/>
            <w:right w:val="none" w:sz="0" w:space="0" w:color="auto"/>
          </w:divBdr>
        </w:div>
        <w:div w:id="504829802">
          <w:marLeft w:val="0"/>
          <w:marRight w:val="0"/>
          <w:marTop w:val="0"/>
          <w:marBottom w:val="0"/>
          <w:divBdr>
            <w:top w:val="none" w:sz="0" w:space="0" w:color="auto"/>
            <w:left w:val="none" w:sz="0" w:space="0" w:color="auto"/>
            <w:bottom w:val="none" w:sz="0" w:space="0" w:color="auto"/>
            <w:right w:val="none" w:sz="0" w:space="0" w:color="auto"/>
          </w:divBdr>
        </w:div>
        <w:div w:id="577442774">
          <w:marLeft w:val="0"/>
          <w:marRight w:val="0"/>
          <w:marTop w:val="0"/>
          <w:marBottom w:val="0"/>
          <w:divBdr>
            <w:top w:val="none" w:sz="0" w:space="0" w:color="auto"/>
            <w:left w:val="none" w:sz="0" w:space="0" w:color="auto"/>
            <w:bottom w:val="none" w:sz="0" w:space="0" w:color="auto"/>
            <w:right w:val="none" w:sz="0" w:space="0" w:color="auto"/>
          </w:divBdr>
        </w:div>
        <w:div w:id="662004248">
          <w:marLeft w:val="0"/>
          <w:marRight w:val="0"/>
          <w:marTop w:val="0"/>
          <w:marBottom w:val="0"/>
          <w:divBdr>
            <w:top w:val="none" w:sz="0" w:space="0" w:color="auto"/>
            <w:left w:val="none" w:sz="0" w:space="0" w:color="auto"/>
            <w:bottom w:val="none" w:sz="0" w:space="0" w:color="auto"/>
            <w:right w:val="none" w:sz="0" w:space="0" w:color="auto"/>
          </w:divBdr>
        </w:div>
        <w:div w:id="696584745">
          <w:marLeft w:val="0"/>
          <w:marRight w:val="0"/>
          <w:marTop w:val="0"/>
          <w:marBottom w:val="0"/>
          <w:divBdr>
            <w:top w:val="none" w:sz="0" w:space="0" w:color="auto"/>
            <w:left w:val="none" w:sz="0" w:space="0" w:color="auto"/>
            <w:bottom w:val="none" w:sz="0" w:space="0" w:color="auto"/>
            <w:right w:val="none" w:sz="0" w:space="0" w:color="auto"/>
          </w:divBdr>
        </w:div>
        <w:div w:id="712463003">
          <w:marLeft w:val="0"/>
          <w:marRight w:val="0"/>
          <w:marTop w:val="0"/>
          <w:marBottom w:val="0"/>
          <w:divBdr>
            <w:top w:val="none" w:sz="0" w:space="0" w:color="auto"/>
            <w:left w:val="none" w:sz="0" w:space="0" w:color="auto"/>
            <w:bottom w:val="none" w:sz="0" w:space="0" w:color="auto"/>
            <w:right w:val="none" w:sz="0" w:space="0" w:color="auto"/>
          </w:divBdr>
        </w:div>
        <w:div w:id="713113266">
          <w:marLeft w:val="0"/>
          <w:marRight w:val="0"/>
          <w:marTop w:val="0"/>
          <w:marBottom w:val="0"/>
          <w:divBdr>
            <w:top w:val="none" w:sz="0" w:space="0" w:color="auto"/>
            <w:left w:val="none" w:sz="0" w:space="0" w:color="auto"/>
            <w:bottom w:val="none" w:sz="0" w:space="0" w:color="auto"/>
            <w:right w:val="none" w:sz="0" w:space="0" w:color="auto"/>
          </w:divBdr>
        </w:div>
        <w:div w:id="887885297">
          <w:marLeft w:val="0"/>
          <w:marRight w:val="0"/>
          <w:marTop w:val="0"/>
          <w:marBottom w:val="0"/>
          <w:divBdr>
            <w:top w:val="none" w:sz="0" w:space="0" w:color="auto"/>
            <w:left w:val="none" w:sz="0" w:space="0" w:color="auto"/>
            <w:bottom w:val="none" w:sz="0" w:space="0" w:color="auto"/>
            <w:right w:val="none" w:sz="0" w:space="0" w:color="auto"/>
          </w:divBdr>
        </w:div>
        <w:div w:id="960114698">
          <w:marLeft w:val="0"/>
          <w:marRight w:val="0"/>
          <w:marTop w:val="0"/>
          <w:marBottom w:val="0"/>
          <w:divBdr>
            <w:top w:val="none" w:sz="0" w:space="0" w:color="auto"/>
            <w:left w:val="none" w:sz="0" w:space="0" w:color="auto"/>
            <w:bottom w:val="none" w:sz="0" w:space="0" w:color="auto"/>
            <w:right w:val="none" w:sz="0" w:space="0" w:color="auto"/>
          </w:divBdr>
        </w:div>
        <w:div w:id="1053651224">
          <w:marLeft w:val="0"/>
          <w:marRight w:val="0"/>
          <w:marTop w:val="0"/>
          <w:marBottom w:val="0"/>
          <w:divBdr>
            <w:top w:val="none" w:sz="0" w:space="0" w:color="auto"/>
            <w:left w:val="none" w:sz="0" w:space="0" w:color="auto"/>
            <w:bottom w:val="none" w:sz="0" w:space="0" w:color="auto"/>
            <w:right w:val="none" w:sz="0" w:space="0" w:color="auto"/>
          </w:divBdr>
        </w:div>
        <w:div w:id="1055424236">
          <w:marLeft w:val="0"/>
          <w:marRight w:val="0"/>
          <w:marTop w:val="0"/>
          <w:marBottom w:val="0"/>
          <w:divBdr>
            <w:top w:val="none" w:sz="0" w:space="0" w:color="auto"/>
            <w:left w:val="none" w:sz="0" w:space="0" w:color="auto"/>
            <w:bottom w:val="none" w:sz="0" w:space="0" w:color="auto"/>
            <w:right w:val="none" w:sz="0" w:space="0" w:color="auto"/>
          </w:divBdr>
        </w:div>
        <w:div w:id="1105881141">
          <w:marLeft w:val="0"/>
          <w:marRight w:val="0"/>
          <w:marTop w:val="0"/>
          <w:marBottom w:val="0"/>
          <w:divBdr>
            <w:top w:val="none" w:sz="0" w:space="0" w:color="auto"/>
            <w:left w:val="none" w:sz="0" w:space="0" w:color="auto"/>
            <w:bottom w:val="none" w:sz="0" w:space="0" w:color="auto"/>
            <w:right w:val="none" w:sz="0" w:space="0" w:color="auto"/>
          </w:divBdr>
        </w:div>
        <w:div w:id="1108087659">
          <w:marLeft w:val="0"/>
          <w:marRight w:val="0"/>
          <w:marTop w:val="0"/>
          <w:marBottom w:val="0"/>
          <w:divBdr>
            <w:top w:val="none" w:sz="0" w:space="0" w:color="auto"/>
            <w:left w:val="none" w:sz="0" w:space="0" w:color="auto"/>
            <w:bottom w:val="none" w:sz="0" w:space="0" w:color="auto"/>
            <w:right w:val="none" w:sz="0" w:space="0" w:color="auto"/>
          </w:divBdr>
        </w:div>
        <w:div w:id="1120339613">
          <w:marLeft w:val="0"/>
          <w:marRight w:val="0"/>
          <w:marTop w:val="0"/>
          <w:marBottom w:val="0"/>
          <w:divBdr>
            <w:top w:val="none" w:sz="0" w:space="0" w:color="auto"/>
            <w:left w:val="none" w:sz="0" w:space="0" w:color="auto"/>
            <w:bottom w:val="none" w:sz="0" w:space="0" w:color="auto"/>
            <w:right w:val="none" w:sz="0" w:space="0" w:color="auto"/>
          </w:divBdr>
        </w:div>
        <w:div w:id="1138301729">
          <w:marLeft w:val="0"/>
          <w:marRight w:val="0"/>
          <w:marTop w:val="0"/>
          <w:marBottom w:val="0"/>
          <w:divBdr>
            <w:top w:val="none" w:sz="0" w:space="0" w:color="auto"/>
            <w:left w:val="none" w:sz="0" w:space="0" w:color="auto"/>
            <w:bottom w:val="none" w:sz="0" w:space="0" w:color="auto"/>
            <w:right w:val="none" w:sz="0" w:space="0" w:color="auto"/>
          </w:divBdr>
        </w:div>
        <w:div w:id="1151947702">
          <w:marLeft w:val="0"/>
          <w:marRight w:val="0"/>
          <w:marTop w:val="0"/>
          <w:marBottom w:val="0"/>
          <w:divBdr>
            <w:top w:val="none" w:sz="0" w:space="0" w:color="auto"/>
            <w:left w:val="none" w:sz="0" w:space="0" w:color="auto"/>
            <w:bottom w:val="none" w:sz="0" w:space="0" w:color="auto"/>
            <w:right w:val="none" w:sz="0" w:space="0" w:color="auto"/>
          </w:divBdr>
        </w:div>
        <w:div w:id="1261062450">
          <w:marLeft w:val="0"/>
          <w:marRight w:val="0"/>
          <w:marTop w:val="0"/>
          <w:marBottom w:val="0"/>
          <w:divBdr>
            <w:top w:val="none" w:sz="0" w:space="0" w:color="auto"/>
            <w:left w:val="none" w:sz="0" w:space="0" w:color="auto"/>
            <w:bottom w:val="none" w:sz="0" w:space="0" w:color="auto"/>
            <w:right w:val="none" w:sz="0" w:space="0" w:color="auto"/>
          </w:divBdr>
        </w:div>
        <w:div w:id="1292634744">
          <w:marLeft w:val="0"/>
          <w:marRight w:val="0"/>
          <w:marTop w:val="0"/>
          <w:marBottom w:val="0"/>
          <w:divBdr>
            <w:top w:val="none" w:sz="0" w:space="0" w:color="auto"/>
            <w:left w:val="none" w:sz="0" w:space="0" w:color="auto"/>
            <w:bottom w:val="none" w:sz="0" w:space="0" w:color="auto"/>
            <w:right w:val="none" w:sz="0" w:space="0" w:color="auto"/>
          </w:divBdr>
        </w:div>
        <w:div w:id="1305424750">
          <w:marLeft w:val="0"/>
          <w:marRight w:val="0"/>
          <w:marTop w:val="0"/>
          <w:marBottom w:val="0"/>
          <w:divBdr>
            <w:top w:val="none" w:sz="0" w:space="0" w:color="auto"/>
            <w:left w:val="none" w:sz="0" w:space="0" w:color="auto"/>
            <w:bottom w:val="none" w:sz="0" w:space="0" w:color="auto"/>
            <w:right w:val="none" w:sz="0" w:space="0" w:color="auto"/>
          </w:divBdr>
        </w:div>
        <w:div w:id="1323507334">
          <w:marLeft w:val="0"/>
          <w:marRight w:val="0"/>
          <w:marTop w:val="0"/>
          <w:marBottom w:val="0"/>
          <w:divBdr>
            <w:top w:val="none" w:sz="0" w:space="0" w:color="auto"/>
            <w:left w:val="none" w:sz="0" w:space="0" w:color="auto"/>
            <w:bottom w:val="none" w:sz="0" w:space="0" w:color="auto"/>
            <w:right w:val="none" w:sz="0" w:space="0" w:color="auto"/>
          </w:divBdr>
        </w:div>
        <w:div w:id="1340159704">
          <w:marLeft w:val="0"/>
          <w:marRight w:val="0"/>
          <w:marTop w:val="0"/>
          <w:marBottom w:val="0"/>
          <w:divBdr>
            <w:top w:val="none" w:sz="0" w:space="0" w:color="auto"/>
            <w:left w:val="none" w:sz="0" w:space="0" w:color="auto"/>
            <w:bottom w:val="none" w:sz="0" w:space="0" w:color="auto"/>
            <w:right w:val="none" w:sz="0" w:space="0" w:color="auto"/>
          </w:divBdr>
        </w:div>
        <w:div w:id="1348941859">
          <w:marLeft w:val="0"/>
          <w:marRight w:val="0"/>
          <w:marTop w:val="0"/>
          <w:marBottom w:val="0"/>
          <w:divBdr>
            <w:top w:val="none" w:sz="0" w:space="0" w:color="auto"/>
            <w:left w:val="none" w:sz="0" w:space="0" w:color="auto"/>
            <w:bottom w:val="none" w:sz="0" w:space="0" w:color="auto"/>
            <w:right w:val="none" w:sz="0" w:space="0" w:color="auto"/>
          </w:divBdr>
        </w:div>
        <w:div w:id="1390374935">
          <w:marLeft w:val="0"/>
          <w:marRight w:val="0"/>
          <w:marTop w:val="0"/>
          <w:marBottom w:val="0"/>
          <w:divBdr>
            <w:top w:val="none" w:sz="0" w:space="0" w:color="auto"/>
            <w:left w:val="none" w:sz="0" w:space="0" w:color="auto"/>
            <w:bottom w:val="none" w:sz="0" w:space="0" w:color="auto"/>
            <w:right w:val="none" w:sz="0" w:space="0" w:color="auto"/>
          </w:divBdr>
        </w:div>
        <w:div w:id="1406877118">
          <w:marLeft w:val="0"/>
          <w:marRight w:val="0"/>
          <w:marTop w:val="0"/>
          <w:marBottom w:val="0"/>
          <w:divBdr>
            <w:top w:val="none" w:sz="0" w:space="0" w:color="auto"/>
            <w:left w:val="none" w:sz="0" w:space="0" w:color="auto"/>
            <w:bottom w:val="none" w:sz="0" w:space="0" w:color="auto"/>
            <w:right w:val="none" w:sz="0" w:space="0" w:color="auto"/>
          </w:divBdr>
        </w:div>
        <w:div w:id="1492982271">
          <w:marLeft w:val="0"/>
          <w:marRight w:val="0"/>
          <w:marTop w:val="0"/>
          <w:marBottom w:val="0"/>
          <w:divBdr>
            <w:top w:val="none" w:sz="0" w:space="0" w:color="auto"/>
            <w:left w:val="none" w:sz="0" w:space="0" w:color="auto"/>
            <w:bottom w:val="none" w:sz="0" w:space="0" w:color="auto"/>
            <w:right w:val="none" w:sz="0" w:space="0" w:color="auto"/>
          </w:divBdr>
        </w:div>
        <w:div w:id="1493175806">
          <w:marLeft w:val="0"/>
          <w:marRight w:val="0"/>
          <w:marTop w:val="0"/>
          <w:marBottom w:val="0"/>
          <w:divBdr>
            <w:top w:val="none" w:sz="0" w:space="0" w:color="auto"/>
            <w:left w:val="none" w:sz="0" w:space="0" w:color="auto"/>
            <w:bottom w:val="none" w:sz="0" w:space="0" w:color="auto"/>
            <w:right w:val="none" w:sz="0" w:space="0" w:color="auto"/>
          </w:divBdr>
        </w:div>
        <w:div w:id="1513178659">
          <w:marLeft w:val="0"/>
          <w:marRight w:val="0"/>
          <w:marTop w:val="0"/>
          <w:marBottom w:val="0"/>
          <w:divBdr>
            <w:top w:val="none" w:sz="0" w:space="0" w:color="auto"/>
            <w:left w:val="none" w:sz="0" w:space="0" w:color="auto"/>
            <w:bottom w:val="none" w:sz="0" w:space="0" w:color="auto"/>
            <w:right w:val="none" w:sz="0" w:space="0" w:color="auto"/>
          </w:divBdr>
        </w:div>
        <w:div w:id="1765684066">
          <w:marLeft w:val="0"/>
          <w:marRight w:val="0"/>
          <w:marTop w:val="0"/>
          <w:marBottom w:val="0"/>
          <w:divBdr>
            <w:top w:val="none" w:sz="0" w:space="0" w:color="auto"/>
            <w:left w:val="none" w:sz="0" w:space="0" w:color="auto"/>
            <w:bottom w:val="none" w:sz="0" w:space="0" w:color="auto"/>
            <w:right w:val="none" w:sz="0" w:space="0" w:color="auto"/>
          </w:divBdr>
        </w:div>
        <w:div w:id="1838034556">
          <w:marLeft w:val="0"/>
          <w:marRight w:val="0"/>
          <w:marTop w:val="0"/>
          <w:marBottom w:val="0"/>
          <w:divBdr>
            <w:top w:val="none" w:sz="0" w:space="0" w:color="auto"/>
            <w:left w:val="none" w:sz="0" w:space="0" w:color="auto"/>
            <w:bottom w:val="none" w:sz="0" w:space="0" w:color="auto"/>
            <w:right w:val="none" w:sz="0" w:space="0" w:color="auto"/>
          </w:divBdr>
        </w:div>
        <w:div w:id="1860505718">
          <w:marLeft w:val="0"/>
          <w:marRight w:val="0"/>
          <w:marTop w:val="0"/>
          <w:marBottom w:val="0"/>
          <w:divBdr>
            <w:top w:val="none" w:sz="0" w:space="0" w:color="auto"/>
            <w:left w:val="none" w:sz="0" w:space="0" w:color="auto"/>
            <w:bottom w:val="none" w:sz="0" w:space="0" w:color="auto"/>
            <w:right w:val="none" w:sz="0" w:space="0" w:color="auto"/>
          </w:divBdr>
        </w:div>
        <w:div w:id="1877614859">
          <w:marLeft w:val="0"/>
          <w:marRight w:val="0"/>
          <w:marTop w:val="0"/>
          <w:marBottom w:val="0"/>
          <w:divBdr>
            <w:top w:val="none" w:sz="0" w:space="0" w:color="auto"/>
            <w:left w:val="none" w:sz="0" w:space="0" w:color="auto"/>
            <w:bottom w:val="none" w:sz="0" w:space="0" w:color="auto"/>
            <w:right w:val="none" w:sz="0" w:space="0" w:color="auto"/>
          </w:divBdr>
        </w:div>
      </w:divsChild>
    </w:div>
    <w:div w:id="193932819">
      <w:bodyDiv w:val="1"/>
      <w:marLeft w:val="0"/>
      <w:marRight w:val="0"/>
      <w:marTop w:val="0"/>
      <w:marBottom w:val="0"/>
      <w:divBdr>
        <w:top w:val="none" w:sz="0" w:space="0" w:color="auto"/>
        <w:left w:val="none" w:sz="0" w:space="0" w:color="auto"/>
        <w:bottom w:val="none" w:sz="0" w:space="0" w:color="auto"/>
        <w:right w:val="none" w:sz="0" w:space="0" w:color="auto"/>
      </w:divBdr>
    </w:div>
    <w:div w:id="202207384">
      <w:bodyDiv w:val="1"/>
      <w:marLeft w:val="0"/>
      <w:marRight w:val="0"/>
      <w:marTop w:val="0"/>
      <w:marBottom w:val="0"/>
      <w:divBdr>
        <w:top w:val="none" w:sz="0" w:space="0" w:color="auto"/>
        <w:left w:val="none" w:sz="0" w:space="0" w:color="auto"/>
        <w:bottom w:val="none" w:sz="0" w:space="0" w:color="auto"/>
        <w:right w:val="none" w:sz="0" w:space="0" w:color="auto"/>
      </w:divBdr>
    </w:div>
    <w:div w:id="202332013">
      <w:bodyDiv w:val="1"/>
      <w:marLeft w:val="0"/>
      <w:marRight w:val="0"/>
      <w:marTop w:val="0"/>
      <w:marBottom w:val="0"/>
      <w:divBdr>
        <w:top w:val="none" w:sz="0" w:space="0" w:color="auto"/>
        <w:left w:val="none" w:sz="0" w:space="0" w:color="auto"/>
        <w:bottom w:val="none" w:sz="0" w:space="0" w:color="auto"/>
        <w:right w:val="none" w:sz="0" w:space="0" w:color="auto"/>
      </w:divBdr>
    </w:div>
    <w:div w:id="208108139">
      <w:bodyDiv w:val="1"/>
      <w:marLeft w:val="0"/>
      <w:marRight w:val="0"/>
      <w:marTop w:val="0"/>
      <w:marBottom w:val="0"/>
      <w:divBdr>
        <w:top w:val="none" w:sz="0" w:space="0" w:color="auto"/>
        <w:left w:val="none" w:sz="0" w:space="0" w:color="auto"/>
        <w:bottom w:val="none" w:sz="0" w:space="0" w:color="auto"/>
        <w:right w:val="none" w:sz="0" w:space="0" w:color="auto"/>
      </w:divBdr>
    </w:div>
    <w:div w:id="209847350">
      <w:bodyDiv w:val="1"/>
      <w:marLeft w:val="0"/>
      <w:marRight w:val="0"/>
      <w:marTop w:val="0"/>
      <w:marBottom w:val="0"/>
      <w:divBdr>
        <w:top w:val="none" w:sz="0" w:space="0" w:color="auto"/>
        <w:left w:val="none" w:sz="0" w:space="0" w:color="auto"/>
        <w:bottom w:val="none" w:sz="0" w:space="0" w:color="auto"/>
        <w:right w:val="none" w:sz="0" w:space="0" w:color="auto"/>
      </w:divBdr>
    </w:div>
    <w:div w:id="213082848">
      <w:bodyDiv w:val="1"/>
      <w:marLeft w:val="0"/>
      <w:marRight w:val="0"/>
      <w:marTop w:val="0"/>
      <w:marBottom w:val="0"/>
      <w:divBdr>
        <w:top w:val="none" w:sz="0" w:space="0" w:color="auto"/>
        <w:left w:val="none" w:sz="0" w:space="0" w:color="auto"/>
        <w:bottom w:val="none" w:sz="0" w:space="0" w:color="auto"/>
        <w:right w:val="none" w:sz="0" w:space="0" w:color="auto"/>
      </w:divBdr>
    </w:div>
    <w:div w:id="215824642">
      <w:bodyDiv w:val="1"/>
      <w:marLeft w:val="0"/>
      <w:marRight w:val="0"/>
      <w:marTop w:val="0"/>
      <w:marBottom w:val="0"/>
      <w:divBdr>
        <w:top w:val="none" w:sz="0" w:space="0" w:color="auto"/>
        <w:left w:val="none" w:sz="0" w:space="0" w:color="auto"/>
        <w:bottom w:val="none" w:sz="0" w:space="0" w:color="auto"/>
        <w:right w:val="none" w:sz="0" w:space="0" w:color="auto"/>
      </w:divBdr>
    </w:div>
    <w:div w:id="217009852">
      <w:bodyDiv w:val="1"/>
      <w:marLeft w:val="0"/>
      <w:marRight w:val="0"/>
      <w:marTop w:val="0"/>
      <w:marBottom w:val="0"/>
      <w:divBdr>
        <w:top w:val="none" w:sz="0" w:space="0" w:color="auto"/>
        <w:left w:val="none" w:sz="0" w:space="0" w:color="auto"/>
        <w:bottom w:val="none" w:sz="0" w:space="0" w:color="auto"/>
        <w:right w:val="none" w:sz="0" w:space="0" w:color="auto"/>
      </w:divBdr>
    </w:div>
    <w:div w:id="225725790">
      <w:bodyDiv w:val="1"/>
      <w:marLeft w:val="0"/>
      <w:marRight w:val="0"/>
      <w:marTop w:val="0"/>
      <w:marBottom w:val="0"/>
      <w:divBdr>
        <w:top w:val="none" w:sz="0" w:space="0" w:color="auto"/>
        <w:left w:val="none" w:sz="0" w:space="0" w:color="auto"/>
        <w:bottom w:val="none" w:sz="0" w:space="0" w:color="auto"/>
        <w:right w:val="none" w:sz="0" w:space="0" w:color="auto"/>
      </w:divBdr>
    </w:div>
    <w:div w:id="232199421">
      <w:bodyDiv w:val="1"/>
      <w:marLeft w:val="0"/>
      <w:marRight w:val="0"/>
      <w:marTop w:val="0"/>
      <w:marBottom w:val="0"/>
      <w:divBdr>
        <w:top w:val="none" w:sz="0" w:space="0" w:color="auto"/>
        <w:left w:val="none" w:sz="0" w:space="0" w:color="auto"/>
        <w:bottom w:val="none" w:sz="0" w:space="0" w:color="auto"/>
        <w:right w:val="none" w:sz="0" w:space="0" w:color="auto"/>
      </w:divBdr>
    </w:div>
    <w:div w:id="234247856">
      <w:bodyDiv w:val="1"/>
      <w:marLeft w:val="0"/>
      <w:marRight w:val="0"/>
      <w:marTop w:val="0"/>
      <w:marBottom w:val="0"/>
      <w:divBdr>
        <w:top w:val="none" w:sz="0" w:space="0" w:color="auto"/>
        <w:left w:val="none" w:sz="0" w:space="0" w:color="auto"/>
        <w:bottom w:val="none" w:sz="0" w:space="0" w:color="auto"/>
        <w:right w:val="none" w:sz="0" w:space="0" w:color="auto"/>
      </w:divBdr>
    </w:div>
    <w:div w:id="236593395">
      <w:bodyDiv w:val="1"/>
      <w:marLeft w:val="0"/>
      <w:marRight w:val="0"/>
      <w:marTop w:val="0"/>
      <w:marBottom w:val="0"/>
      <w:divBdr>
        <w:top w:val="none" w:sz="0" w:space="0" w:color="auto"/>
        <w:left w:val="none" w:sz="0" w:space="0" w:color="auto"/>
        <w:bottom w:val="none" w:sz="0" w:space="0" w:color="auto"/>
        <w:right w:val="none" w:sz="0" w:space="0" w:color="auto"/>
      </w:divBdr>
    </w:div>
    <w:div w:id="241107144">
      <w:bodyDiv w:val="1"/>
      <w:marLeft w:val="0"/>
      <w:marRight w:val="0"/>
      <w:marTop w:val="0"/>
      <w:marBottom w:val="0"/>
      <w:divBdr>
        <w:top w:val="none" w:sz="0" w:space="0" w:color="auto"/>
        <w:left w:val="none" w:sz="0" w:space="0" w:color="auto"/>
        <w:bottom w:val="none" w:sz="0" w:space="0" w:color="auto"/>
        <w:right w:val="none" w:sz="0" w:space="0" w:color="auto"/>
      </w:divBdr>
    </w:div>
    <w:div w:id="243497265">
      <w:bodyDiv w:val="1"/>
      <w:marLeft w:val="0"/>
      <w:marRight w:val="0"/>
      <w:marTop w:val="0"/>
      <w:marBottom w:val="0"/>
      <w:divBdr>
        <w:top w:val="none" w:sz="0" w:space="0" w:color="auto"/>
        <w:left w:val="none" w:sz="0" w:space="0" w:color="auto"/>
        <w:bottom w:val="none" w:sz="0" w:space="0" w:color="auto"/>
        <w:right w:val="none" w:sz="0" w:space="0" w:color="auto"/>
      </w:divBdr>
    </w:div>
    <w:div w:id="243884543">
      <w:bodyDiv w:val="1"/>
      <w:marLeft w:val="0"/>
      <w:marRight w:val="0"/>
      <w:marTop w:val="0"/>
      <w:marBottom w:val="0"/>
      <w:divBdr>
        <w:top w:val="none" w:sz="0" w:space="0" w:color="auto"/>
        <w:left w:val="none" w:sz="0" w:space="0" w:color="auto"/>
        <w:bottom w:val="none" w:sz="0" w:space="0" w:color="auto"/>
        <w:right w:val="none" w:sz="0" w:space="0" w:color="auto"/>
      </w:divBdr>
    </w:div>
    <w:div w:id="252515272">
      <w:bodyDiv w:val="1"/>
      <w:marLeft w:val="0"/>
      <w:marRight w:val="0"/>
      <w:marTop w:val="0"/>
      <w:marBottom w:val="0"/>
      <w:divBdr>
        <w:top w:val="none" w:sz="0" w:space="0" w:color="auto"/>
        <w:left w:val="none" w:sz="0" w:space="0" w:color="auto"/>
        <w:bottom w:val="none" w:sz="0" w:space="0" w:color="auto"/>
        <w:right w:val="none" w:sz="0" w:space="0" w:color="auto"/>
      </w:divBdr>
    </w:div>
    <w:div w:id="252671383">
      <w:bodyDiv w:val="1"/>
      <w:marLeft w:val="0"/>
      <w:marRight w:val="0"/>
      <w:marTop w:val="0"/>
      <w:marBottom w:val="0"/>
      <w:divBdr>
        <w:top w:val="none" w:sz="0" w:space="0" w:color="auto"/>
        <w:left w:val="none" w:sz="0" w:space="0" w:color="auto"/>
        <w:bottom w:val="none" w:sz="0" w:space="0" w:color="auto"/>
        <w:right w:val="none" w:sz="0" w:space="0" w:color="auto"/>
      </w:divBdr>
    </w:div>
    <w:div w:id="255018089">
      <w:bodyDiv w:val="1"/>
      <w:marLeft w:val="0"/>
      <w:marRight w:val="0"/>
      <w:marTop w:val="0"/>
      <w:marBottom w:val="0"/>
      <w:divBdr>
        <w:top w:val="none" w:sz="0" w:space="0" w:color="auto"/>
        <w:left w:val="none" w:sz="0" w:space="0" w:color="auto"/>
        <w:bottom w:val="none" w:sz="0" w:space="0" w:color="auto"/>
        <w:right w:val="none" w:sz="0" w:space="0" w:color="auto"/>
      </w:divBdr>
    </w:div>
    <w:div w:id="264269185">
      <w:bodyDiv w:val="1"/>
      <w:marLeft w:val="0"/>
      <w:marRight w:val="0"/>
      <w:marTop w:val="0"/>
      <w:marBottom w:val="0"/>
      <w:divBdr>
        <w:top w:val="none" w:sz="0" w:space="0" w:color="auto"/>
        <w:left w:val="none" w:sz="0" w:space="0" w:color="auto"/>
        <w:bottom w:val="none" w:sz="0" w:space="0" w:color="auto"/>
        <w:right w:val="none" w:sz="0" w:space="0" w:color="auto"/>
      </w:divBdr>
    </w:div>
    <w:div w:id="267741782">
      <w:bodyDiv w:val="1"/>
      <w:marLeft w:val="0"/>
      <w:marRight w:val="0"/>
      <w:marTop w:val="0"/>
      <w:marBottom w:val="0"/>
      <w:divBdr>
        <w:top w:val="none" w:sz="0" w:space="0" w:color="auto"/>
        <w:left w:val="none" w:sz="0" w:space="0" w:color="auto"/>
        <w:bottom w:val="none" w:sz="0" w:space="0" w:color="auto"/>
        <w:right w:val="none" w:sz="0" w:space="0" w:color="auto"/>
      </w:divBdr>
    </w:div>
    <w:div w:id="275068889">
      <w:bodyDiv w:val="1"/>
      <w:marLeft w:val="0"/>
      <w:marRight w:val="0"/>
      <w:marTop w:val="0"/>
      <w:marBottom w:val="0"/>
      <w:divBdr>
        <w:top w:val="none" w:sz="0" w:space="0" w:color="auto"/>
        <w:left w:val="none" w:sz="0" w:space="0" w:color="auto"/>
        <w:bottom w:val="none" w:sz="0" w:space="0" w:color="auto"/>
        <w:right w:val="none" w:sz="0" w:space="0" w:color="auto"/>
      </w:divBdr>
    </w:div>
    <w:div w:id="276760861">
      <w:bodyDiv w:val="1"/>
      <w:marLeft w:val="0"/>
      <w:marRight w:val="0"/>
      <w:marTop w:val="0"/>
      <w:marBottom w:val="0"/>
      <w:divBdr>
        <w:top w:val="none" w:sz="0" w:space="0" w:color="auto"/>
        <w:left w:val="none" w:sz="0" w:space="0" w:color="auto"/>
        <w:bottom w:val="none" w:sz="0" w:space="0" w:color="auto"/>
        <w:right w:val="none" w:sz="0" w:space="0" w:color="auto"/>
      </w:divBdr>
    </w:div>
    <w:div w:id="280384163">
      <w:bodyDiv w:val="1"/>
      <w:marLeft w:val="0"/>
      <w:marRight w:val="0"/>
      <w:marTop w:val="0"/>
      <w:marBottom w:val="0"/>
      <w:divBdr>
        <w:top w:val="none" w:sz="0" w:space="0" w:color="auto"/>
        <w:left w:val="none" w:sz="0" w:space="0" w:color="auto"/>
        <w:bottom w:val="none" w:sz="0" w:space="0" w:color="auto"/>
        <w:right w:val="none" w:sz="0" w:space="0" w:color="auto"/>
      </w:divBdr>
    </w:div>
    <w:div w:id="286595022">
      <w:bodyDiv w:val="1"/>
      <w:marLeft w:val="0"/>
      <w:marRight w:val="0"/>
      <w:marTop w:val="0"/>
      <w:marBottom w:val="0"/>
      <w:divBdr>
        <w:top w:val="none" w:sz="0" w:space="0" w:color="auto"/>
        <w:left w:val="none" w:sz="0" w:space="0" w:color="auto"/>
        <w:bottom w:val="none" w:sz="0" w:space="0" w:color="auto"/>
        <w:right w:val="none" w:sz="0" w:space="0" w:color="auto"/>
      </w:divBdr>
    </w:div>
    <w:div w:id="287206968">
      <w:bodyDiv w:val="1"/>
      <w:marLeft w:val="0"/>
      <w:marRight w:val="0"/>
      <w:marTop w:val="0"/>
      <w:marBottom w:val="0"/>
      <w:divBdr>
        <w:top w:val="none" w:sz="0" w:space="0" w:color="auto"/>
        <w:left w:val="none" w:sz="0" w:space="0" w:color="auto"/>
        <w:bottom w:val="none" w:sz="0" w:space="0" w:color="auto"/>
        <w:right w:val="none" w:sz="0" w:space="0" w:color="auto"/>
      </w:divBdr>
    </w:div>
    <w:div w:id="287470964">
      <w:bodyDiv w:val="1"/>
      <w:marLeft w:val="0"/>
      <w:marRight w:val="0"/>
      <w:marTop w:val="0"/>
      <w:marBottom w:val="0"/>
      <w:divBdr>
        <w:top w:val="none" w:sz="0" w:space="0" w:color="auto"/>
        <w:left w:val="none" w:sz="0" w:space="0" w:color="auto"/>
        <w:bottom w:val="none" w:sz="0" w:space="0" w:color="auto"/>
        <w:right w:val="none" w:sz="0" w:space="0" w:color="auto"/>
      </w:divBdr>
    </w:div>
    <w:div w:id="289558664">
      <w:bodyDiv w:val="1"/>
      <w:marLeft w:val="0"/>
      <w:marRight w:val="0"/>
      <w:marTop w:val="0"/>
      <w:marBottom w:val="0"/>
      <w:divBdr>
        <w:top w:val="none" w:sz="0" w:space="0" w:color="auto"/>
        <w:left w:val="none" w:sz="0" w:space="0" w:color="auto"/>
        <w:bottom w:val="none" w:sz="0" w:space="0" w:color="auto"/>
        <w:right w:val="none" w:sz="0" w:space="0" w:color="auto"/>
      </w:divBdr>
    </w:div>
    <w:div w:id="295765197">
      <w:bodyDiv w:val="1"/>
      <w:marLeft w:val="0"/>
      <w:marRight w:val="0"/>
      <w:marTop w:val="0"/>
      <w:marBottom w:val="0"/>
      <w:divBdr>
        <w:top w:val="none" w:sz="0" w:space="0" w:color="auto"/>
        <w:left w:val="none" w:sz="0" w:space="0" w:color="auto"/>
        <w:bottom w:val="none" w:sz="0" w:space="0" w:color="auto"/>
        <w:right w:val="none" w:sz="0" w:space="0" w:color="auto"/>
      </w:divBdr>
    </w:div>
    <w:div w:id="296378408">
      <w:bodyDiv w:val="1"/>
      <w:marLeft w:val="0"/>
      <w:marRight w:val="0"/>
      <w:marTop w:val="0"/>
      <w:marBottom w:val="0"/>
      <w:divBdr>
        <w:top w:val="none" w:sz="0" w:space="0" w:color="auto"/>
        <w:left w:val="none" w:sz="0" w:space="0" w:color="auto"/>
        <w:bottom w:val="none" w:sz="0" w:space="0" w:color="auto"/>
        <w:right w:val="none" w:sz="0" w:space="0" w:color="auto"/>
      </w:divBdr>
    </w:div>
    <w:div w:id="296841174">
      <w:bodyDiv w:val="1"/>
      <w:marLeft w:val="0"/>
      <w:marRight w:val="0"/>
      <w:marTop w:val="0"/>
      <w:marBottom w:val="0"/>
      <w:divBdr>
        <w:top w:val="none" w:sz="0" w:space="0" w:color="auto"/>
        <w:left w:val="none" w:sz="0" w:space="0" w:color="auto"/>
        <w:bottom w:val="none" w:sz="0" w:space="0" w:color="auto"/>
        <w:right w:val="none" w:sz="0" w:space="0" w:color="auto"/>
      </w:divBdr>
    </w:div>
    <w:div w:id="297106043">
      <w:bodyDiv w:val="1"/>
      <w:marLeft w:val="0"/>
      <w:marRight w:val="0"/>
      <w:marTop w:val="0"/>
      <w:marBottom w:val="0"/>
      <w:divBdr>
        <w:top w:val="none" w:sz="0" w:space="0" w:color="auto"/>
        <w:left w:val="none" w:sz="0" w:space="0" w:color="auto"/>
        <w:bottom w:val="none" w:sz="0" w:space="0" w:color="auto"/>
        <w:right w:val="none" w:sz="0" w:space="0" w:color="auto"/>
      </w:divBdr>
    </w:div>
    <w:div w:id="305478342">
      <w:bodyDiv w:val="1"/>
      <w:marLeft w:val="0"/>
      <w:marRight w:val="0"/>
      <w:marTop w:val="0"/>
      <w:marBottom w:val="0"/>
      <w:divBdr>
        <w:top w:val="none" w:sz="0" w:space="0" w:color="auto"/>
        <w:left w:val="none" w:sz="0" w:space="0" w:color="auto"/>
        <w:bottom w:val="none" w:sz="0" w:space="0" w:color="auto"/>
        <w:right w:val="none" w:sz="0" w:space="0" w:color="auto"/>
      </w:divBdr>
      <w:divsChild>
        <w:div w:id="167714444">
          <w:marLeft w:val="0"/>
          <w:marRight w:val="0"/>
          <w:marTop w:val="0"/>
          <w:marBottom w:val="0"/>
          <w:divBdr>
            <w:top w:val="none" w:sz="0" w:space="0" w:color="auto"/>
            <w:left w:val="none" w:sz="0" w:space="0" w:color="auto"/>
            <w:bottom w:val="none" w:sz="0" w:space="0" w:color="auto"/>
            <w:right w:val="none" w:sz="0" w:space="0" w:color="auto"/>
          </w:divBdr>
        </w:div>
        <w:div w:id="200479626">
          <w:marLeft w:val="0"/>
          <w:marRight w:val="0"/>
          <w:marTop w:val="0"/>
          <w:marBottom w:val="0"/>
          <w:divBdr>
            <w:top w:val="none" w:sz="0" w:space="0" w:color="auto"/>
            <w:left w:val="none" w:sz="0" w:space="0" w:color="auto"/>
            <w:bottom w:val="none" w:sz="0" w:space="0" w:color="auto"/>
            <w:right w:val="none" w:sz="0" w:space="0" w:color="auto"/>
          </w:divBdr>
        </w:div>
        <w:div w:id="268128460">
          <w:marLeft w:val="0"/>
          <w:marRight w:val="0"/>
          <w:marTop w:val="0"/>
          <w:marBottom w:val="0"/>
          <w:divBdr>
            <w:top w:val="none" w:sz="0" w:space="0" w:color="auto"/>
            <w:left w:val="none" w:sz="0" w:space="0" w:color="auto"/>
            <w:bottom w:val="none" w:sz="0" w:space="0" w:color="auto"/>
            <w:right w:val="none" w:sz="0" w:space="0" w:color="auto"/>
          </w:divBdr>
        </w:div>
        <w:div w:id="393740767">
          <w:marLeft w:val="0"/>
          <w:marRight w:val="0"/>
          <w:marTop w:val="0"/>
          <w:marBottom w:val="0"/>
          <w:divBdr>
            <w:top w:val="none" w:sz="0" w:space="0" w:color="auto"/>
            <w:left w:val="none" w:sz="0" w:space="0" w:color="auto"/>
            <w:bottom w:val="none" w:sz="0" w:space="0" w:color="auto"/>
            <w:right w:val="none" w:sz="0" w:space="0" w:color="auto"/>
          </w:divBdr>
        </w:div>
        <w:div w:id="444233720">
          <w:marLeft w:val="0"/>
          <w:marRight w:val="0"/>
          <w:marTop w:val="0"/>
          <w:marBottom w:val="0"/>
          <w:divBdr>
            <w:top w:val="none" w:sz="0" w:space="0" w:color="auto"/>
            <w:left w:val="none" w:sz="0" w:space="0" w:color="auto"/>
            <w:bottom w:val="none" w:sz="0" w:space="0" w:color="auto"/>
            <w:right w:val="none" w:sz="0" w:space="0" w:color="auto"/>
          </w:divBdr>
        </w:div>
        <w:div w:id="497886668">
          <w:marLeft w:val="0"/>
          <w:marRight w:val="0"/>
          <w:marTop w:val="0"/>
          <w:marBottom w:val="0"/>
          <w:divBdr>
            <w:top w:val="none" w:sz="0" w:space="0" w:color="auto"/>
            <w:left w:val="none" w:sz="0" w:space="0" w:color="auto"/>
            <w:bottom w:val="none" w:sz="0" w:space="0" w:color="auto"/>
            <w:right w:val="none" w:sz="0" w:space="0" w:color="auto"/>
          </w:divBdr>
        </w:div>
        <w:div w:id="680621662">
          <w:marLeft w:val="0"/>
          <w:marRight w:val="0"/>
          <w:marTop w:val="0"/>
          <w:marBottom w:val="0"/>
          <w:divBdr>
            <w:top w:val="none" w:sz="0" w:space="0" w:color="auto"/>
            <w:left w:val="none" w:sz="0" w:space="0" w:color="auto"/>
            <w:bottom w:val="none" w:sz="0" w:space="0" w:color="auto"/>
            <w:right w:val="none" w:sz="0" w:space="0" w:color="auto"/>
          </w:divBdr>
        </w:div>
        <w:div w:id="986398641">
          <w:marLeft w:val="0"/>
          <w:marRight w:val="0"/>
          <w:marTop w:val="0"/>
          <w:marBottom w:val="0"/>
          <w:divBdr>
            <w:top w:val="none" w:sz="0" w:space="0" w:color="auto"/>
            <w:left w:val="none" w:sz="0" w:space="0" w:color="auto"/>
            <w:bottom w:val="none" w:sz="0" w:space="0" w:color="auto"/>
            <w:right w:val="none" w:sz="0" w:space="0" w:color="auto"/>
          </w:divBdr>
        </w:div>
        <w:div w:id="1168132687">
          <w:marLeft w:val="0"/>
          <w:marRight w:val="0"/>
          <w:marTop w:val="0"/>
          <w:marBottom w:val="0"/>
          <w:divBdr>
            <w:top w:val="none" w:sz="0" w:space="0" w:color="auto"/>
            <w:left w:val="none" w:sz="0" w:space="0" w:color="auto"/>
            <w:bottom w:val="none" w:sz="0" w:space="0" w:color="auto"/>
            <w:right w:val="none" w:sz="0" w:space="0" w:color="auto"/>
          </w:divBdr>
        </w:div>
        <w:div w:id="1273707941">
          <w:marLeft w:val="0"/>
          <w:marRight w:val="0"/>
          <w:marTop w:val="0"/>
          <w:marBottom w:val="0"/>
          <w:divBdr>
            <w:top w:val="none" w:sz="0" w:space="0" w:color="auto"/>
            <w:left w:val="none" w:sz="0" w:space="0" w:color="auto"/>
            <w:bottom w:val="none" w:sz="0" w:space="0" w:color="auto"/>
            <w:right w:val="none" w:sz="0" w:space="0" w:color="auto"/>
          </w:divBdr>
        </w:div>
        <w:div w:id="1398358041">
          <w:marLeft w:val="0"/>
          <w:marRight w:val="0"/>
          <w:marTop w:val="0"/>
          <w:marBottom w:val="0"/>
          <w:divBdr>
            <w:top w:val="none" w:sz="0" w:space="0" w:color="auto"/>
            <w:left w:val="none" w:sz="0" w:space="0" w:color="auto"/>
            <w:bottom w:val="none" w:sz="0" w:space="0" w:color="auto"/>
            <w:right w:val="none" w:sz="0" w:space="0" w:color="auto"/>
          </w:divBdr>
        </w:div>
        <w:div w:id="1486818320">
          <w:marLeft w:val="0"/>
          <w:marRight w:val="0"/>
          <w:marTop w:val="0"/>
          <w:marBottom w:val="0"/>
          <w:divBdr>
            <w:top w:val="none" w:sz="0" w:space="0" w:color="auto"/>
            <w:left w:val="none" w:sz="0" w:space="0" w:color="auto"/>
            <w:bottom w:val="none" w:sz="0" w:space="0" w:color="auto"/>
            <w:right w:val="none" w:sz="0" w:space="0" w:color="auto"/>
          </w:divBdr>
        </w:div>
        <w:div w:id="1683898374">
          <w:marLeft w:val="0"/>
          <w:marRight w:val="0"/>
          <w:marTop w:val="0"/>
          <w:marBottom w:val="0"/>
          <w:divBdr>
            <w:top w:val="none" w:sz="0" w:space="0" w:color="auto"/>
            <w:left w:val="none" w:sz="0" w:space="0" w:color="auto"/>
            <w:bottom w:val="none" w:sz="0" w:space="0" w:color="auto"/>
            <w:right w:val="none" w:sz="0" w:space="0" w:color="auto"/>
          </w:divBdr>
        </w:div>
        <w:div w:id="1773552562">
          <w:marLeft w:val="0"/>
          <w:marRight w:val="0"/>
          <w:marTop w:val="0"/>
          <w:marBottom w:val="0"/>
          <w:divBdr>
            <w:top w:val="none" w:sz="0" w:space="0" w:color="auto"/>
            <w:left w:val="none" w:sz="0" w:space="0" w:color="auto"/>
            <w:bottom w:val="none" w:sz="0" w:space="0" w:color="auto"/>
            <w:right w:val="none" w:sz="0" w:space="0" w:color="auto"/>
          </w:divBdr>
        </w:div>
      </w:divsChild>
    </w:div>
    <w:div w:id="306859077">
      <w:bodyDiv w:val="1"/>
      <w:marLeft w:val="0"/>
      <w:marRight w:val="0"/>
      <w:marTop w:val="0"/>
      <w:marBottom w:val="0"/>
      <w:divBdr>
        <w:top w:val="none" w:sz="0" w:space="0" w:color="auto"/>
        <w:left w:val="none" w:sz="0" w:space="0" w:color="auto"/>
        <w:bottom w:val="none" w:sz="0" w:space="0" w:color="auto"/>
        <w:right w:val="none" w:sz="0" w:space="0" w:color="auto"/>
      </w:divBdr>
    </w:div>
    <w:div w:id="306863743">
      <w:bodyDiv w:val="1"/>
      <w:marLeft w:val="0"/>
      <w:marRight w:val="0"/>
      <w:marTop w:val="0"/>
      <w:marBottom w:val="0"/>
      <w:divBdr>
        <w:top w:val="none" w:sz="0" w:space="0" w:color="auto"/>
        <w:left w:val="none" w:sz="0" w:space="0" w:color="auto"/>
        <w:bottom w:val="none" w:sz="0" w:space="0" w:color="auto"/>
        <w:right w:val="none" w:sz="0" w:space="0" w:color="auto"/>
      </w:divBdr>
    </w:div>
    <w:div w:id="317465366">
      <w:bodyDiv w:val="1"/>
      <w:marLeft w:val="0"/>
      <w:marRight w:val="0"/>
      <w:marTop w:val="0"/>
      <w:marBottom w:val="0"/>
      <w:divBdr>
        <w:top w:val="none" w:sz="0" w:space="0" w:color="auto"/>
        <w:left w:val="none" w:sz="0" w:space="0" w:color="auto"/>
        <w:bottom w:val="none" w:sz="0" w:space="0" w:color="auto"/>
        <w:right w:val="none" w:sz="0" w:space="0" w:color="auto"/>
      </w:divBdr>
    </w:div>
    <w:div w:id="318853061">
      <w:bodyDiv w:val="1"/>
      <w:marLeft w:val="0"/>
      <w:marRight w:val="0"/>
      <w:marTop w:val="0"/>
      <w:marBottom w:val="0"/>
      <w:divBdr>
        <w:top w:val="none" w:sz="0" w:space="0" w:color="auto"/>
        <w:left w:val="none" w:sz="0" w:space="0" w:color="auto"/>
        <w:bottom w:val="none" w:sz="0" w:space="0" w:color="auto"/>
        <w:right w:val="none" w:sz="0" w:space="0" w:color="auto"/>
      </w:divBdr>
    </w:div>
    <w:div w:id="319695347">
      <w:bodyDiv w:val="1"/>
      <w:marLeft w:val="0"/>
      <w:marRight w:val="0"/>
      <w:marTop w:val="0"/>
      <w:marBottom w:val="0"/>
      <w:divBdr>
        <w:top w:val="none" w:sz="0" w:space="0" w:color="auto"/>
        <w:left w:val="none" w:sz="0" w:space="0" w:color="auto"/>
        <w:bottom w:val="none" w:sz="0" w:space="0" w:color="auto"/>
        <w:right w:val="none" w:sz="0" w:space="0" w:color="auto"/>
      </w:divBdr>
    </w:div>
    <w:div w:id="324825699">
      <w:bodyDiv w:val="1"/>
      <w:marLeft w:val="0"/>
      <w:marRight w:val="0"/>
      <w:marTop w:val="0"/>
      <w:marBottom w:val="0"/>
      <w:divBdr>
        <w:top w:val="none" w:sz="0" w:space="0" w:color="auto"/>
        <w:left w:val="none" w:sz="0" w:space="0" w:color="auto"/>
        <w:bottom w:val="none" w:sz="0" w:space="0" w:color="auto"/>
        <w:right w:val="none" w:sz="0" w:space="0" w:color="auto"/>
      </w:divBdr>
    </w:div>
    <w:div w:id="325981230">
      <w:bodyDiv w:val="1"/>
      <w:marLeft w:val="0"/>
      <w:marRight w:val="0"/>
      <w:marTop w:val="0"/>
      <w:marBottom w:val="0"/>
      <w:divBdr>
        <w:top w:val="none" w:sz="0" w:space="0" w:color="auto"/>
        <w:left w:val="none" w:sz="0" w:space="0" w:color="auto"/>
        <w:bottom w:val="none" w:sz="0" w:space="0" w:color="auto"/>
        <w:right w:val="none" w:sz="0" w:space="0" w:color="auto"/>
      </w:divBdr>
    </w:div>
    <w:div w:id="326248648">
      <w:bodyDiv w:val="1"/>
      <w:marLeft w:val="0"/>
      <w:marRight w:val="0"/>
      <w:marTop w:val="0"/>
      <w:marBottom w:val="0"/>
      <w:divBdr>
        <w:top w:val="none" w:sz="0" w:space="0" w:color="auto"/>
        <w:left w:val="none" w:sz="0" w:space="0" w:color="auto"/>
        <w:bottom w:val="none" w:sz="0" w:space="0" w:color="auto"/>
        <w:right w:val="none" w:sz="0" w:space="0" w:color="auto"/>
      </w:divBdr>
    </w:div>
    <w:div w:id="330790516">
      <w:bodyDiv w:val="1"/>
      <w:marLeft w:val="0"/>
      <w:marRight w:val="0"/>
      <w:marTop w:val="0"/>
      <w:marBottom w:val="0"/>
      <w:divBdr>
        <w:top w:val="none" w:sz="0" w:space="0" w:color="auto"/>
        <w:left w:val="none" w:sz="0" w:space="0" w:color="auto"/>
        <w:bottom w:val="none" w:sz="0" w:space="0" w:color="auto"/>
        <w:right w:val="none" w:sz="0" w:space="0" w:color="auto"/>
      </w:divBdr>
    </w:div>
    <w:div w:id="332729718">
      <w:bodyDiv w:val="1"/>
      <w:marLeft w:val="0"/>
      <w:marRight w:val="0"/>
      <w:marTop w:val="0"/>
      <w:marBottom w:val="0"/>
      <w:divBdr>
        <w:top w:val="none" w:sz="0" w:space="0" w:color="auto"/>
        <w:left w:val="none" w:sz="0" w:space="0" w:color="auto"/>
        <w:bottom w:val="none" w:sz="0" w:space="0" w:color="auto"/>
        <w:right w:val="none" w:sz="0" w:space="0" w:color="auto"/>
      </w:divBdr>
    </w:div>
    <w:div w:id="338239046">
      <w:bodyDiv w:val="1"/>
      <w:marLeft w:val="0"/>
      <w:marRight w:val="0"/>
      <w:marTop w:val="0"/>
      <w:marBottom w:val="0"/>
      <w:divBdr>
        <w:top w:val="none" w:sz="0" w:space="0" w:color="auto"/>
        <w:left w:val="none" w:sz="0" w:space="0" w:color="auto"/>
        <w:bottom w:val="none" w:sz="0" w:space="0" w:color="auto"/>
        <w:right w:val="none" w:sz="0" w:space="0" w:color="auto"/>
      </w:divBdr>
    </w:div>
    <w:div w:id="338849317">
      <w:bodyDiv w:val="1"/>
      <w:marLeft w:val="0"/>
      <w:marRight w:val="0"/>
      <w:marTop w:val="0"/>
      <w:marBottom w:val="0"/>
      <w:divBdr>
        <w:top w:val="none" w:sz="0" w:space="0" w:color="auto"/>
        <w:left w:val="none" w:sz="0" w:space="0" w:color="auto"/>
        <w:bottom w:val="none" w:sz="0" w:space="0" w:color="auto"/>
        <w:right w:val="none" w:sz="0" w:space="0" w:color="auto"/>
      </w:divBdr>
    </w:div>
    <w:div w:id="338891437">
      <w:bodyDiv w:val="1"/>
      <w:marLeft w:val="0"/>
      <w:marRight w:val="0"/>
      <w:marTop w:val="0"/>
      <w:marBottom w:val="0"/>
      <w:divBdr>
        <w:top w:val="none" w:sz="0" w:space="0" w:color="auto"/>
        <w:left w:val="none" w:sz="0" w:space="0" w:color="auto"/>
        <w:bottom w:val="none" w:sz="0" w:space="0" w:color="auto"/>
        <w:right w:val="none" w:sz="0" w:space="0" w:color="auto"/>
      </w:divBdr>
    </w:div>
    <w:div w:id="339352918">
      <w:bodyDiv w:val="1"/>
      <w:marLeft w:val="0"/>
      <w:marRight w:val="0"/>
      <w:marTop w:val="0"/>
      <w:marBottom w:val="0"/>
      <w:divBdr>
        <w:top w:val="none" w:sz="0" w:space="0" w:color="auto"/>
        <w:left w:val="none" w:sz="0" w:space="0" w:color="auto"/>
        <w:bottom w:val="none" w:sz="0" w:space="0" w:color="auto"/>
        <w:right w:val="none" w:sz="0" w:space="0" w:color="auto"/>
      </w:divBdr>
    </w:div>
    <w:div w:id="343168086">
      <w:bodyDiv w:val="1"/>
      <w:marLeft w:val="0"/>
      <w:marRight w:val="0"/>
      <w:marTop w:val="0"/>
      <w:marBottom w:val="0"/>
      <w:divBdr>
        <w:top w:val="none" w:sz="0" w:space="0" w:color="auto"/>
        <w:left w:val="none" w:sz="0" w:space="0" w:color="auto"/>
        <w:bottom w:val="none" w:sz="0" w:space="0" w:color="auto"/>
        <w:right w:val="none" w:sz="0" w:space="0" w:color="auto"/>
      </w:divBdr>
    </w:div>
    <w:div w:id="344749805">
      <w:bodyDiv w:val="1"/>
      <w:marLeft w:val="0"/>
      <w:marRight w:val="0"/>
      <w:marTop w:val="0"/>
      <w:marBottom w:val="0"/>
      <w:divBdr>
        <w:top w:val="none" w:sz="0" w:space="0" w:color="auto"/>
        <w:left w:val="none" w:sz="0" w:space="0" w:color="auto"/>
        <w:bottom w:val="none" w:sz="0" w:space="0" w:color="auto"/>
        <w:right w:val="none" w:sz="0" w:space="0" w:color="auto"/>
      </w:divBdr>
    </w:div>
    <w:div w:id="346323502">
      <w:bodyDiv w:val="1"/>
      <w:marLeft w:val="0"/>
      <w:marRight w:val="0"/>
      <w:marTop w:val="0"/>
      <w:marBottom w:val="0"/>
      <w:divBdr>
        <w:top w:val="none" w:sz="0" w:space="0" w:color="auto"/>
        <w:left w:val="none" w:sz="0" w:space="0" w:color="auto"/>
        <w:bottom w:val="none" w:sz="0" w:space="0" w:color="auto"/>
        <w:right w:val="none" w:sz="0" w:space="0" w:color="auto"/>
      </w:divBdr>
    </w:div>
    <w:div w:id="346445285">
      <w:bodyDiv w:val="1"/>
      <w:marLeft w:val="0"/>
      <w:marRight w:val="0"/>
      <w:marTop w:val="0"/>
      <w:marBottom w:val="0"/>
      <w:divBdr>
        <w:top w:val="none" w:sz="0" w:space="0" w:color="auto"/>
        <w:left w:val="none" w:sz="0" w:space="0" w:color="auto"/>
        <w:bottom w:val="none" w:sz="0" w:space="0" w:color="auto"/>
        <w:right w:val="none" w:sz="0" w:space="0" w:color="auto"/>
      </w:divBdr>
    </w:div>
    <w:div w:id="347870794">
      <w:bodyDiv w:val="1"/>
      <w:marLeft w:val="0"/>
      <w:marRight w:val="0"/>
      <w:marTop w:val="0"/>
      <w:marBottom w:val="0"/>
      <w:divBdr>
        <w:top w:val="none" w:sz="0" w:space="0" w:color="auto"/>
        <w:left w:val="none" w:sz="0" w:space="0" w:color="auto"/>
        <w:bottom w:val="none" w:sz="0" w:space="0" w:color="auto"/>
        <w:right w:val="none" w:sz="0" w:space="0" w:color="auto"/>
      </w:divBdr>
    </w:div>
    <w:div w:id="351614891">
      <w:bodyDiv w:val="1"/>
      <w:marLeft w:val="0"/>
      <w:marRight w:val="0"/>
      <w:marTop w:val="0"/>
      <w:marBottom w:val="0"/>
      <w:divBdr>
        <w:top w:val="none" w:sz="0" w:space="0" w:color="auto"/>
        <w:left w:val="none" w:sz="0" w:space="0" w:color="auto"/>
        <w:bottom w:val="none" w:sz="0" w:space="0" w:color="auto"/>
        <w:right w:val="none" w:sz="0" w:space="0" w:color="auto"/>
      </w:divBdr>
    </w:div>
    <w:div w:id="353505433">
      <w:bodyDiv w:val="1"/>
      <w:marLeft w:val="0"/>
      <w:marRight w:val="0"/>
      <w:marTop w:val="0"/>
      <w:marBottom w:val="0"/>
      <w:divBdr>
        <w:top w:val="none" w:sz="0" w:space="0" w:color="auto"/>
        <w:left w:val="none" w:sz="0" w:space="0" w:color="auto"/>
        <w:bottom w:val="none" w:sz="0" w:space="0" w:color="auto"/>
        <w:right w:val="none" w:sz="0" w:space="0" w:color="auto"/>
      </w:divBdr>
    </w:div>
    <w:div w:id="361825506">
      <w:bodyDiv w:val="1"/>
      <w:marLeft w:val="0"/>
      <w:marRight w:val="0"/>
      <w:marTop w:val="0"/>
      <w:marBottom w:val="0"/>
      <w:divBdr>
        <w:top w:val="none" w:sz="0" w:space="0" w:color="auto"/>
        <w:left w:val="none" w:sz="0" w:space="0" w:color="auto"/>
        <w:bottom w:val="none" w:sz="0" w:space="0" w:color="auto"/>
        <w:right w:val="none" w:sz="0" w:space="0" w:color="auto"/>
      </w:divBdr>
    </w:div>
    <w:div w:id="375859167">
      <w:bodyDiv w:val="1"/>
      <w:marLeft w:val="0"/>
      <w:marRight w:val="0"/>
      <w:marTop w:val="0"/>
      <w:marBottom w:val="0"/>
      <w:divBdr>
        <w:top w:val="none" w:sz="0" w:space="0" w:color="auto"/>
        <w:left w:val="none" w:sz="0" w:space="0" w:color="auto"/>
        <w:bottom w:val="none" w:sz="0" w:space="0" w:color="auto"/>
        <w:right w:val="none" w:sz="0" w:space="0" w:color="auto"/>
      </w:divBdr>
    </w:div>
    <w:div w:id="375860963">
      <w:bodyDiv w:val="1"/>
      <w:marLeft w:val="0"/>
      <w:marRight w:val="0"/>
      <w:marTop w:val="0"/>
      <w:marBottom w:val="0"/>
      <w:divBdr>
        <w:top w:val="none" w:sz="0" w:space="0" w:color="auto"/>
        <w:left w:val="none" w:sz="0" w:space="0" w:color="auto"/>
        <w:bottom w:val="none" w:sz="0" w:space="0" w:color="auto"/>
        <w:right w:val="none" w:sz="0" w:space="0" w:color="auto"/>
      </w:divBdr>
    </w:div>
    <w:div w:id="377317214">
      <w:bodyDiv w:val="1"/>
      <w:marLeft w:val="0"/>
      <w:marRight w:val="0"/>
      <w:marTop w:val="0"/>
      <w:marBottom w:val="0"/>
      <w:divBdr>
        <w:top w:val="none" w:sz="0" w:space="0" w:color="auto"/>
        <w:left w:val="none" w:sz="0" w:space="0" w:color="auto"/>
        <w:bottom w:val="none" w:sz="0" w:space="0" w:color="auto"/>
        <w:right w:val="none" w:sz="0" w:space="0" w:color="auto"/>
      </w:divBdr>
    </w:div>
    <w:div w:id="379785210">
      <w:bodyDiv w:val="1"/>
      <w:marLeft w:val="0"/>
      <w:marRight w:val="0"/>
      <w:marTop w:val="0"/>
      <w:marBottom w:val="0"/>
      <w:divBdr>
        <w:top w:val="none" w:sz="0" w:space="0" w:color="auto"/>
        <w:left w:val="none" w:sz="0" w:space="0" w:color="auto"/>
        <w:bottom w:val="none" w:sz="0" w:space="0" w:color="auto"/>
        <w:right w:val="none" w:sz="0" w:space="0" w:color="auto"/>
      </w:divBdr>
    </w:div>
    <w:div w:id="380328458">
      <w:bodyDiv w:val="1"/>
      <w:marLeft w:val="0"/>
      <w:marRight w:val="0"/>
      <w:marTop w:val="0"/>
      <w:marBottom w:val="0"/>
      <w:divBdr>
        <w:top w:val="none" w:sz="0" w:space="0" w:color="auto"/>
        <w:left w:val="none" w:sz="0" w:space="0" w:color="auto"/>
        <w:bottom w:val="none" w:sz="0" w:space="0" w:color="auto"/>
        <w:right w:val="none" w:sz="0" w:space="0" w:color="auto"/>
      </w:divBdr>
    </w:div>
    <w:div w:id="382023086">
      <w:bodyDiv w:val="1"/>
      <w:marLeft w:val="0"/>
      <w:marRight w:val="0"/>
      <w:marTop w:val="0"/>
      <w:marBottom w:val="0"/>
      <w:divBdr>
        <w:top w:val="none" w:sz="0" w:space="0" w:color="auto"/>
        <w:left w:val="none" w:sz="0" w:space="0" w:color="auto"/>
        <w:bottom w:val="none" w:sz="0" w:space="0" w:color="auto"/>
        <w:right w:val="none" w:sz="0" w:space="0" w:color="auto"/>
      </w:divBdr>
      <w:divsChild>
        <w:div w:id="281494707">
          <w:marLeft w:val="0"/>
          <w:marRight w:val="0"/>
          <w:marTop w:val="0"/>
          <w:marBottom w:val="0"/>
          <w:divBdr>
            <w:top w:val="none" w:sz="0" w:space="0" w:color="auto"/>
            <w:left w:val="none" w:sz="0" w:space="0" w:color="auto"/>
            <w:bottom w:val="none" w:sz="0" w:space="0" w:color="auto"/>
            <w:right w:val="none" w:sz="0" w:space="0" w:color="auto"/>
          </w:divBdr>
        </w:div>
        <w:div w:id="541138187">
          <w:marLeft w:val="0"/>
          <w:marRight w:val="0"/>
          <w:marTop w:val="0"/>
          <w:marBottom w:val="0"/>
          <w:divBdr>
            <w:top w:val="none" w:sz="0" w:space="0" w:color="auto"/>
            <w:left w:val="none" w:sz="0" w:space="0" w:color="auto"/>
            <w:bottom w:val="none" w:sz="0" w:space="0" w:color="auto"/>
            <w:right w:val="none" w:sz="0" w:space="0" w:color="auto"/>
          </w:divBdr>
        </w:div>
        <w:div w:id="563610653">
          <w:marLeft w:val="0"/>
          <w:marRight w:val="0"/>
          <w:marTop w:val="0"/>
          <w:marBottom w:val="0"/>
          <w:divBdr>
            <w:top w:val="none" w:sz="0" w:space="0" w:color="auto"/>
            <w:left w:val="none" w:sz="0" w:space="0" w:color="auto"/>
            <w:bottom w:val="none" w:sz="0" w:space="0" w:color="auto"/>
            <w:right w:val="none" w:sz="0" w:space="0" w:color="auto"/>
          </w:divBdr>
        </w:div>
        <w:div w:id="596402603">
          <w:marLeft w:val="0"/>
          <w:marRight w:val="0"/>
          <w:marTop w:val="0"/>
          <w:marBottom w:val="0"/>
          <w:divBdr>
            <w:top w:val="none" w:sz="0" w:space="0" w:color="auto"/>
            <w:left w:val="none" w:sz="0" w:space="0" w:color="auto"/>
            <w:bottom w:val="none" w:sz="0" w:space="0" w:color="auto"/>
            <w:right w:val="none" w:sz="0" w:space="0" w:color="auto"/>
          </w:divBdr>
        </w:div>
        <w:div w:id="1009942217">
          <w:marLeft w:val="0"/>
          <w:marRight w:val="0"/>
          <w:marTop w:val="0"/>
          <w:marBottom w:val="0"/>
          <w:divBdr>
            <w:top w:val="none" w:sz="0" w:space="0" w:color="auto"/>
            <w:left w:val="none" w:sz="0" w:space="0" w:color="auto"/>
            <w:bottom w:val="none" w:sz="0" w:space="0" w:color="auto"/>
            <w:right w:val="none" w:sz="0" w:space="0" w:color="auto"/>
          </w:divBdr>
        </w:div>
        <w:div w:id="1402365136">
          <w:marLeft w:val="0"/>
          <w:marRight w:val="0"/>
          <w:marTop w:val="0"/>
          <w:marBottom w:val="0"/>
          <w:divBdr>
            <w:top w:val="none" w:sz="0" w:space="0" w:color="auto"/>
            <w:left w:val="none" w:sz="0" w:space="0" w:color="auto"/>
            <w:bottom w:val="none" w:sz="0" w:space="0" w:color="auto"/>
            <w:right w:val="none" w:sz="0" w:space="0" w:color="auto"/>
          </w:divBdr>
        </w:div>
        <w:div w:id="1796413776">
          <w:marLeft w:val="0"/>
          <w:marRight w:val="0"/>
          <w:marTop w:val="0"/>
          <w:marBottom w:val="0"/>
          <w:divBdr>
            <w:top w:val="none" w:sz="0" w:space="0" w:color="auto"/>
            <w:left w:val="none" w:sz="0" w:space="0" w:color="auto"/>
            <w:bottom w:val="none" w:sz="0" w:space="0" w:color="auto"/>
            <w:right w:val="none" w:sz="0" w:space="0" w:color="auto"/>
          </w:divBdr>
        </w:div>
      </w:divsChild>
    </w:div>
    <w:div w:id="385184494">
      <w:bodyDiv w:val="1"/>
      <w:marLeft w:val="0"/>
      <w:marRight w:val="0"/>
      <w:marTop w:val="0"/>
      <w:marBottom w:val="0"/>
      <w:divBdr>
        <w:top w:val="none" w:sz="0" w:space="0" w:color="auto"/>
        <w:left w:val="none" w:sz="0" w:space="0" w:color="auto"/>
        <w:bottom w:val="none" w:sz="0" w:space="0" w:color="auto"/>
        <w:right w:val="none" w:sz="0" w:space="0" w:color="auto"/>
      </w:divBdr>
    </w:div>
    <w:div w:id="386075509">
      <w:bodyDiv w:val="1"/>
      <w:marLeft w:val="0"/>
      <w:marRight w:val="0"/>
      <w:marTop w:val="0"/>
      <w:marBottom w:val="0"/>
      <w:divBdr>
        <w:top w:val="none" w:sz="0" w:space="0" w:color="auto"/>
        <w:left w:val="none" w:sz="0" w:space="0" w:color="auto"/>
        <w:bottom w:val="none" w:sz="0" w:space="0" w:color="auto"/>
        <w:right w:val="none" w:sz="0" w:space="0" w:color="auto"/>
      </w:divBdr>
    </w:div>
    <w:div w:id="395006468">
      <w:bodyDiv w:val="1"/>
      <w:marLeft w:val="0"/>
      <w:marRight w:val="0"/>
      <w:marTop w:val="0"/>
      <w:marBottom w:val="0"/>
      <w:divBdr>
        <w:top w:val="none" w:sz="0" w:space="0" w:color="auto"/>
        <w:left w:val="none" w:sz="0" w:space="0" w:color="auto"/>
        <w:bottom w:val="none" w:sz="0" w:space="0" w:color="auto"/>
        <w:right w:val="none" w:sz="0" w:space="0" w:color="auto"/>
      </w:divBdr>
    </w:div>
    <w:div w:id="395863456">
      <w:bodyDiv w:val="1"/>
      <w:marLeft w:val="0"/>
      <w:marRight w:val="0"/>
      <w:marTop w:val="0"/>
      <w:marBottom w:val="0"/>
      <w:divBdr>
        <w:top w:val="none" w:sz="0" w:space="0" w:color="auto"/>
        <w:left w:val="none" w:sz="0" w:space="0" w:color="auto"/>
        <w:bottom w:val="none" w:sz="0" w:space="0" w:color="auto"/>
        <w:right w:val="none" w:sz="0" w:space="0" w:color="auto"/>
      </w:divBdr>
    </w:div>
    <w:div w:id="404184599">
      <w:bodyDiv w:val="1"/>
      <w:marLeft w:val="0"/>
      <w:marRight w:val="0"/>
      <w:marTop w:val="0"/>
      <w:marBottom w:val="0"/>
      <w:divBdr>
        <w:top w:val="none" w:sz="0" w:space="0" w:color="auto"/>
        <w:left w:val="none" w:sz="0" w:space="0" w:color="auto"/>
        <w:bottom w:val="none" w:sz="0" w:space="0" w:color="auto"/>
        <w:right w:val="none" w:sz="0" w:space="0" w:color="auto"/>
      </w:divBdr>
    </w:div>
    <w:div w:id="408357007">
      <w:bodyDiv w:val="1"/>
      <w:marLeft w:val="0"/>
      <w:marRight w:val="0"/>
      <w:marTop w:val="0"/>
      <w:marBottom w:val="0"/>
      <w:divBdr>
        <w:top w:val="none" w:sz="0" w:space="0" w:color="auto"/>
        <w:left w:val="none" w:sz="0" w:space="0" w:color="auto"/>
        <w:bottom w:val="none" w:sz="0" w:space="0" w:color="auto"/>
        <w:right w:val="none" w:sz="0" w:space="0" w:color="auto"/>
      </w:divBdr>
    </w:div>
    <w:div w:id="410129209">
      <w:bodyDiv w:val="1"/>
      <w:marLeft w:val="0"/>
      <w:marRight w:val="0"/>
      <w:marTop w:val="0"/>
      <w:marBottom w:val="0"/>
      <w:divBdr>
        <w:top w:val="none" w:sz="0" w:space="0" w:color="auto"/>
        <w:left w:val="none" w:sz="0" w:space="0" w:color="auto"/>
        <w:bottom w:val="none" w:sz="0" w:space="0" w:color="auto"/>
        <w:right w:val="none" w:sz="0" w:space="0" w:color="auto"/>
      </w:divBdr>
    </w:div>
    <w:div w:id="410543954">
      <w:bodyDiv w:val="1"/>
      <w:marLeft w:val="0"/>
      <w:marRight w:val="0"/>
      <w:marTop w:val="0"/>
      <w:marBottom w:val="0"/>
      <w:divBdr>
        <w:top w:val="none" w:sz="0" w:space="0" w:color="auto"/>
        <w:left w:val="none" w:sz="0" w:space="0" w:color="auto"/>
        <w:bottom w:val="none" w:sz="0" w:space="0" w:color="auto"/>
        <w:right w:val="none" w:sz="0" w:space="0" w:color="auto"/>
      </w:divBdr>
    </w:div>
    <w:div w:id="413741339">
      <w:bodyDiv w:val="1"/>
      <w:marLeft w:val="0"/>
      <w:marRight w:val="0"/>
      <w:marTop w:val="0"/>
      <w:marBottom w:val="0"/>
      <w:divBdr>
        <w:top w:val="none" w:sz="0" w:space="0" w:color="auto"/>
        <w:left w:val="none" w:sz="0" w:space="0" w:color="auto"/>
        <w:bottom w:val="none" w:sz="0" w:space="0" w:color="auto"/>
        <w:right w:val="none" w:sz="0" w:space="0" w:color="auto"/>
      </w:divBdr>
    </w:div>
    <w:div w:id="415633726">
      <w:bodyDiv w:val="1"/>
      <w:marLeft w:val="0"/>
      <w:marRight w:val="0"/>
      <w:marTop w:val="0"/>
      <w:marBottom w:val="0"/>
      <w:divBdr>
        <w:top w:val="none" w:sz="0" w:space="0" w:color="auto"/>
        <w:left w:val="none" w:sz="0" w:space="0" w:color="auto"/>
        <w:bottom w:val="none" w:sz="0" w:space="0" w:color="auto"/>
        <w:right w:val="none" w:sz="0" w:space="0" w:color="auto"/>
      </w:divBdr>
    </w:div>
    <w:div w:id="420835770">
      <w:bodyDiv w:val="1"/>
      <w:marLeft w:val="0"/>
      <w:marRight w:val="0"/>
      <w:marTop w:val="0"/>
      <w:marBottom w:val="0"/>
      <w:divBdr>
        <w:top w:val="none" w:sz="0" w:space="0" w:color="auto"/>
        <w:left w:val="none" w:sz="0" w:space="0" w:color="auto"/>
        <w:bottom w:val="none" w:sz="0" w:space="0" w:color="auto"/>
        <w:right w:val="none" w:sz="0" w:space="0" w:color="auto"/>
      </w:divBdr>
    </w:div>
    <w:div w:id="422142042">
      <w:bodyDiv w:val="1"/>
      <w:marLeft w:val="0"/>
      <w:marRight w:val="0"/>
      <w:marTop w:val="0"/>
      <w:marBottom w:val="0"/>
      <w:divBdr>
        <w:top w:val="none" w:sz="0" w:space="0" w:color="auto"/>
        <w:left w:val="none" w:sz="0" w:space="0" w:color="auto"/>
        <w:bottom w:val="none" w:sz="0" w:space="0" w:color="auto"/>
        <w:right w:val="none" w:sz="0" w:space="0" w:color="auto"/>
      </w:divBdr>
    </w:div>
    <w:div w:id="429161880">
      <w:bodyDiv w:val="1"/>
      <w:marLeft w:val="0"/>
      <w:marRight w:val="0"/>
      <w:marTop w:val="0"/>
      <w:marBottom w:val="0"/>
      <w:divBdr>
        <w:top w:val="none" w:sz="0" w:space="0" w:color="auto"/>
        <w:left w:val="none" w:sz="0" w:space="0" w:color="auto"/>
        <w:bottom w:val="none" w:sz="0" w:space="0" w:color="auto"/>
        <w:right w:val="none" w:sz="0" w:space="0" w:color="auto"/>
      </w:divBdr>
    </w:div>
    <w:div w:id="440760702">
      <w:bodyDiv w:val="1"/>
      <w:marLeft w:val="0"/>
      <w:marRight w:val="0"/>
      <w:marTop w:val="0"/>
      <w:marBottom w:val="0"/>
      <w:divBdr>
        <w:top w:val="none" w:sz="0" w:space="0" w:color="auto"/>
        <w:left w:val="none" w:sz="0" w:space="0" w:color="auto"/>
        <w:bottom w:val="none" w:sz="0" w:space="0" w:color="auto"/>
        <w:right w:val="none" w:sz="0" w:space="0" w:color="auto"/>
      </w:divBdr>
    </w:div>
    <w:div w:id="444496933">
      <w:bodyDiv w:val="1"/>
      <w:marLeft w:val="0"/>
      <w:marRight w:val="0"/>
      <w:marTop w:val="0"/>
      <w:marBottom w:val="0"/>
      <w:divBdr>
        <w:top w:val="none" w:sz="0" w:space="0" w:color="auto"/>
        <w:left w:val="none" w:sz="0" w:space="0" w:color="auto"/>
        <w:bottom w:val="none" w:sz="0" w:space="0" w:color="auto"/>
        <w:right w:val="none" w:sz="0" w:space="0" w:color="auto"/>
      </w:divBdr>
    </w:div>
    <w:div w:id="445468962">
      <w:bodyDiv w:val="1"/>
      <w:marLeft w:val="0"/>
      <w:marRight w:val="0"/>
      <w:marTop w:val="0"/>
      <w:marBottom w:val="0"/>
      <w:divBdr>
        <w:top w:val="none" w:sz="0" w:space="0" w:color="auto"/>
        <w:left w:val="none" w:sz="0" w:space="0" w:color="auto"/>
        <w:bottom w:val="none" w:sz="0" w:space="0" w:color="auto"/>
        <w:right w:val="none" w:sz="0" w:space="0" w:color="auto"/>
      </w:divBdr>
    </w:div>
    <w:div w:id="459736439">
      <w:bodyDiv w:val="1"/>
      <w:marLeft w:val="0"/>
      <w:marRight w:val="0"/>
      <w:marTop w:val="0"/>
      <w:marBottom w:val="0"/>
      <w:divBdr>
        <w:top w:val="none" w:sz="0" w:space="0" w:color="auto"/>
        <w:left w:val="none" w:sz="0" w:space="0" w:color="auto"/>
        <w:bottom w:val="none" w:sz="0" w:space="0" w:color="auto"/>
        <w:right w:val="none" w:sz="0" w:space="0" w:color="auto"/>
      </w:divBdr>
    </w:div>
    <w:div w:id="465052004">
      <w:bodyDiv w:val="1"/>
      <w:marLeft w:val="0"/>
      <w:marRight w:val="0"/>
      <w:marTop w:val="0"/>
      <w:marBottom w:val="0"/>
      <w:divBdr>
        <w:top w:val="none" w:sz="0" w:space="0" w:color="auto"/>
        <w:left w:val="none" w:sz="0" w:space="0" w:color="auto"/>
        <w:bottom w:val="none" w:sz="0" w:space="0" w:color="auto"/>
        <w:right w:val="none" w:sz="0" w:space="0" w:color="auto"/>
      </w:divBdr>
    </w:div>
    <w:div w:id="465391858">
      <w:bodyDiv w:val="1"/>
      <w:marLeft w:val="0"/>
      <w:marRight w:val="0"/>
      <w:marTop w:val="0"/>
      <w:marBottom w:val="0"/>
      <w:divBdr>
        <w:top w:val="none" w:sz="0" w:space="0" w:color="auto"/>
        <w:left w:val="none" w:sz="0" w:space="0" w:color="auto"/>
        <w:bottom w:val="none" w:sz="0" w:space="0" w:color="auto"/>
        <w:right w:val="none" w:sz="0" w:space="0" w:color="auto"/>
      </w:divBdr>
    </w:div>
    <w:div w:id="468940437">
      <w:bodyDiv w:val="1"/>
      <w:marLeft w:val="0"/>
      <w:marRight w:val="0"/>
      <w:marTop w:val="0"/>
      <w:marBottom w:val="0"/>
      <w:divBdr>
        <w:top w:val="none" w:sz="0" w:space="0" w:color="auto"/>
        <w:left w:val="none" w:sz="0" w:space="0" w:color="auto"/>
        <w:bottom w:val="none" w:sz="0" w:space="0" w:color="auto"/>
        <w:right w:val="none" w:sz="0" w:space="0" w:color="auto"/>
      </w:divBdr>
    </w:div>
    <w:div w:id="473062651">
      <w:bodyDiv w:val="1"/>
      <w:marLeft w:val="0"/>
      <w:marRight w:val="0"/>
      <w:marTop w:val="0"/>
      <w:marBottom w:val="0"/>
      <w:divBdr>
        <w:top w:val="none" w:sz="0" w:space="0" w:color="auto"/>
        <w:left w:val="none" w:sz="0" w:space="0" w:color="auto"/>
        <w:bottom w:val="none" w:sz="0" w:space="0" w:color="auto"/>
        <w:right w:val="none" w:sz="0" w:space="0" w:color="auto"/>
      </w:divBdr>
    </w:div>
    <w:div w:id="476413398">
      <w:bodyDiv w:val="1"/>
      <w:marLeft w:val="0"/>
      <w:marRight w:val="0"/>
      <w:marTop w:val="0"/>
      <w:marBottom w:val="0"/>
      <w:divBdr>
        <w:top w:val="none" w:sz="0" w:space="0" w:color="auto"/>
        <w:left w:val="none" w:sz="0" w:space="0" w:color="auto"/>
        <w:bottom w:val="none" w:sz="0" w:space="0" w:color="auto"/>
        <w:right w:val="none" w:sz="0" w:space="0" w:color="auto"/>
      </w:divBdr>
    </w:div>
    <w:div w:id="477379262">
      <w:bodyDiv w:val="1"/>
      <w:marLeft w:val="0"/>
      <w:marRight w:val="0"/>
      <w:marTop w:val="0"/>
      <w:marBottom w:val="0"/>
      <w:divBdr>
        <w:top w:val="none" w:sz="0" w:space="0" w:color="auto"/>
        <w:left w:val="none" w:sz="0" w:space="0" w:color="auto"/>
        <w:bottom w:val="none" w:sz="0" w:space="0" w:color="auto"/>
        <w:right w:val="none" w:sz="0" w:space="0" w:color="auto"/>
      </w:divBdr>
    </w:div>
    <w:div w:id="480926108">
      <w:bodyDiv w:val="1"/>
      <w:marLeft w:val="0"/>
      <w:marRight w:val="0"/>
      <w:marTop w:val="0"/>
      <w:marBottom w:val="0"/>
      <w:divBdr>
        <w:top w:val="none" w:sz="0" w:space="0" w:color="auto"/>
        <w:left w:val="none" w:sz="0" w:space="0" w:color="auto"/>
        <w:bottom w:val="none" w:sz="0" w:space="0" w:color="auto"/>
        <w:right w:val="none" w:sz="0" w:space="0" w:color="auto"/>
      </w:divBdr>
    </w:div>
    <w:div w:id="484471362">
      <w:bodyDiv w:val="1"/>
      <w:marLeft w:val="0"/>
      <w:marRight w:val="0"/>
      <w:marTop w:val="0"/>
      <w:marBottom w:val="0"/>
      <w:divBdr>
        <w:top w:val="none" w:sz="0" w:space="0" w:color="auto"/>
        <w:left w:val="none" w:sz="0" w:space="0" w:color="auto"/>
        <w:bottom w:val="none" w:sz="0" w:space="0" w:color="auto"/>
        <w:right w:val="none" w:sz="0" w:space="0" w:color="auto"/>
      </w:divBdr>
    </w:div>
    <w:div w:id="487331575">
      <w:bodyDiv w:val="1"/>
      <w:marLeft w:val="0"/>
      <w:marRight w:val="0"/>
      <w:marTop w:val="0"/>
      <w:marBottom w:val="0"/>
      <w:divBdr>
        <w:top w:val="none" w:sz="0" w:space="0" w:color="auto"/>
        <w:left w:val="none" w:sz="0" w:space="0" w:color="auto"/>
        <w:bottom w:val="none" w:sz="0" w:space="0" w:color="auto"/>
        <w:right w:val="none" w:sz="0" w:space="0" w:color="auto"/>
      </w:divBdr>
    </w:div>
    <w:div w:id="493306020">
      <w:bodyDiv w:val="1"/>
      <w:marLeft w:val="0"/>
      <w:marRight w:val="0"/>
      <w:marTop w:val="0"/>
      <w:marBottom w:val="0"/>
      <w:divBdr>
        <w:top w:val="none" w:sz="0" w:space="0" w:color="auto"/>
        <w:left w:val="none" w:sz="0" w:space="0" w:color="auto"/>
        <w:bottom w:val="none" w:sz="0" w:space="0" w:color="auto"/>
        <w:right w:val="none" w:sz="0" w:space="0" w:color="auto"/>
      </w:divBdr>
    </w:div>
    <w:div w:id="496383522">
      <w:bodyDiv w:val="1"/>
      <w:marLeft w:val="0"/>
      <w:marRight w:val="0"/>
      <w:marTop w:val="0"/>
      <w:marBottom w:val="0"/>
      <w:divBdr>
        <w:top w:val="none" w:sz="0" w:space="0" w:color="auto"/>
        <w:left w:val="none" w:sz="0" w:space="0" w:color="auto"/>
        <w:bottom w:val="none" w:sz="0" w:space="0" w:color="auto"/>
        <w:right w:val="none" w:sz="0" w:space="0" w:color="auto"/>
      </w:divBdr>
    </w:div>
    <w:div w:id="496845675">
      <w:bodyDiv w:val="1"/>
      <w:marLeft w:val="0"/>
      <w:marRight w:val="0"/>
      <w:marTop w:val="0"/>
      <w:marBottom w:val="0"/>
      <w:divBdr>
        <w:top w:val="none" w:sz="0" w:space="0" w:color="auto"/>
        <w:left w:val="none" w:sz="0" w:space="0" w:color="auto"/>
        <w:bottom w:val="none" w:sz="0" w:space="0" w:color="auto"/>
        <w:right w:val="none" w:sz="0" w:space="0" w:color="auto"/>
      </w:divBdr>
    </w:div>
    <w:div w:id="497886635">
      <w:bodyDiv w:val="1"/>
      <w:marLeft w:val="0"/>
      <w:marRight w:val="0"/>
      <w:marTop w:val="0"/>
      <w:marBottom w:val="0"/>
      <w:divBdr>
        <w:top w:val="none" w:sz="0" w:space="0" w:color="auto"/>
        <w:left w:val="none" w:sz="0" w:space="0" w:color="auto"/>
        <w:bottom w:val="none" w:sz="0" w:space="0" w:color="auto"/>
        <w:right w:val="none" w:sz="0" w:space="0" w:color="auto"/>
      </w:divBdr>
    </w:div>
    <w:div w:id="500655922">
      <w:bodyDiv w:val="1"/>
      <w:marLeft w:val="0"/>
      <w:marRight w:val="0"/>
      <w:marTop w:val="0"/>
      <w:marBottom w:val="0"/>
      <w:divBdr>
        <w:top w:val="none" w:sz="0" w:space="0" w:color="auto"/>
        <w:left w:val="none" w:sz="0" w:space="0" w:color="auto"/>
        <w:bottom w:val="none" w:sz="0" w:space="0" w:color="auto"/>
        <w:right w:val="none" w:sz="0" w:space="0" w:color="auto"/>
      </w:divBdr>
    </w:div>
    <w:div w:id="513692715">
      <w:bodyDiv w:val="1"/>
      <w:marLeft w:val="0"/>
      <w:marRight w:val="0"/>
      <w:marTop w:val="0"/>
      <w:marBottom w:val="0"/>
      <w:divBdr>
        <w:top w:val="none" w:sz="0" w:space="0" w:color="auto"/>
        <w:left w:val="none" w:sz="0" w:space="0" w:color="auto"/>
        <w:bottom w:val="none" w:sz="0" w:space="0" w:color="auto"/>
        <w:right w:val="none" w:sz="0" w:space="0" w:color="auto"/>
      </w:divBdr>
    </w:div>
    <w:div w:id="517232038">
      <w:bodyDiv w:val="1"/>
      <w:marLeft w:val="0"/>
      <w:marRight w:val="0"/>
      <w:marTop w:val="0"/>
      <w:marBottom w:val="0"/>
      <w:divBdr>
        <w:top w:val="none" w:sz="0" w:space="0" w:color="auto"/>
        <w:left w:val="none" w:sz="0" w:space="0" w:color="auto"/>
        <w:bottom w:val="none" w:sz="0" w:space="0" w:color="auto"/>
        <w:right w:val="none" w:sz="0" w:space="0" w:color="auto"/>
      </w:divBdr>
    </w:div>
    <w:div w:id="521360549">
      <w:bodyDiv w:val="1"/>
      <w:marLeft w:val="0"/>
      <w:marRight w:val="0"/>
      <w:marTop w:val="0"/>
      <w:marBottom w:val="0"/>
      <w:divBdr>
        <w:top w:val="none" w:sz="0" w:space="0" w:color="auto"/>
        <w:left w:val="none" w:sz="0" w:space="0" w:color="auto"/>
        <w:bottom w:val="none" w:sz="0" w:space="0" w:color="auto"/>
        <w:right w:val="none" w:sz="0" w:space="0" w:color="auto"/>
      </w:divBdr>
    </w:div>
    <w:div w:id="523520622">
      <w:bodyDiv w:val="1"/>
      <w:marLeft w:val="0"/>
      <w:marRight w:val="0"/>
      <w:marTop w:val="0"/>
      <w:marBottom w:val="0"/>
      <w:divBdr>
        <w:top w:val="none" w:sz="0" w:space="0" w:color="auto"/>
        <w:left w:val="none" w:sz="0" w:space="0" w:color="auto"/>
        <w:bottom w:val="none" w:sz="0" w:space="0" w:color="auto"/>
        <w:right w:val="none" w:sz="0" w:space="0" w:color="auto"/>
      </w:divBdr>
    </w:div>
    <w:div w:id="527260805">
      <w:bodyDiv w:val="1"/>
      <w:marLeft w:val="0"/>
      <w:marRight w:val="0"/>
      <w:marTop w:val="0"/>
      <w:marBottom w:val="0"/>
      <w:divBdr>
        <w:top w:val="none" w:sz="0" w:space="0" w:color="auto"/>
        <w:left w:val="none" w:sz="0" w:space="0" w:color="auto"/>
        <w:bottom w:val="none" w:sz="0" w:space="0" w:color="auto"/>
        <w:right w:val="none" w:sz="0" w:space="0" w:color="auto"/>
      </w:divBdr>
    </w:div>
    <w:div w:id="535044673">
      <w:bodyDiv w:val="1"/>
      <w:marLeft w:val="0"/>
      <w:marRight w:val="0"/>
      <w:marTop w:val="0"/>
      <w:marBottom w:val="0"/>
      <w:divBdr>
        <w:top w:val="none" w:sz="0" w:space="0" w:color="auto"/>
        <w:left w:val="none" w:sz="0" w:space="0" w:color="auto"/>
        <w:bottom w:val="none" w:sz="0" w:space="0" w:color="auto"/>
        <w:right w:val="none" w:sz="0" w:space="0" w:color="auto"/>
      </w:divBdr>
    </w:div>
    <w:div w:id="535392771">
      <w:bodyDiv w:val="1"/>
      <w:marLeft w:val="0"/>
      <w:marRight w:val="0"/>
      <w:marTop w:val="0"/>
      <w:marBottom w:val="0"/>
      <w:divBdr>
        <w:top w:val="none" w:sz="0" w:space="0" w:color="auto"/>
        <w:left w:val="none" w:sz="0" w:space="0" w:color="auto"/>
        <w:bottom w:val="none" w:sz="0" w:space="0" w:color="auto"/>
        <w:right w:val="none" w:sz="0" w:space="0" w:color="auto"/>
      </w:divBdr>
    </w:div>
    <w:div w:id="537358571">
      <w:bodyDiv w:val="1"/>
      <w:marLeft w:val="0"/>
      <w:marRight w:val="0"/>
      <w:marTop w:val="0"/>
      <w:marBottom w:val="0"/>
      <w:divBdr>
        <w:top w:val="none" w:sz="0" w:space="0" w:color="auto"/>
        <w:left w:val="none" w:sz="0" w:space="0" w:color="auto"/>
        <w:bottom w:val="none" w:sz="0" w:space="0" w:color="auto"/>
        <w:right w:val="none" w:sz="0" w:space="0" w:color="auto"/>
      </w:divBdr>
    </w:div>
    <w:div w:id="552666662">
      <w:bodyDiv w:val="1"/>
      <w:marLeft w:val="0"/>
      <w:marRight w:val="0"/>
      <w:marTop w:val="0"/>
      <w:marBottom w:val="0"/>
      <w:divBdr>
        <w:top w:val="none" w:sz="0" w:space="0" w:color="auto"/>
        <w:left w:val="none" w:sz="0" w:space="0" w:color="auto"/>
        <w:bottom w:val="none" w:sz="0" w:space="0" w:color="auto"/>
        <w:right w:val="none" w:sz="0" w:space="0" w:color="auto"/>
      </w:divBdr>
    </w:div>
    <w:div w:id="555435893">
      <w:bodyDiv w:val="1"/>
      <w:marLeft w:val="0"/>
      <w:marRight w:val="0"/>
      <w:marTop w:val="0"/>
      <w:marBottom w:val="0"/>
      <w:divBdr>
        <w:top w:val="none" w:sz="0" w:space="0" w:color="auto"/>
        <w:left w:val="none" w:sz="0" w:space="0" w:color="auto"/>
        <w:bottom w:val="none" w:sz="0" w:space="0" w:color="auto"/>
        <w:right w:val="none" w:sz="0" w:space="0" w:color="auto"/>
      </w:divBdr>
    </w:div>
    <w:div w:id="567038947">
      <w:bodyDiv w:val="1"/>
      <w:marLeft w:val="0"/>
      <w:marRight w:val="0"/>
      <w:marTop w:val="0"/>
      <w:marBottom w:val="0"/>
      <w:divBdr>
        <w:top w:val="none" w:sz="0" w:space="0" w:color="auto"/>
        <w:left w:val="none" w:sz="0" w:space="0" w:color="auto"/>
        <w:bottom w:val="none" w:sz="0" w:space="0" w:color="auto"/>
        <w:right w:val="none" w:sz="0" w:space="0" w:color="auto"/>
      </w:divBdr>
    </w:div>
    <w:div w:id="570581493">
      <w:bodyDiv w:val="1"/>
      <w:marLeft w:val="0"/>
      <w:marRight w:val="0"/>
      <w:marTop w:val="0"/>
      <w:marBottom w:val="0"/>
      <w:divBdr>
        <w:top w:val="none" w:sz="0" w:space="0" w:color="auto"/>
        <w:left w:val="none" w:sz="0" w:space="0" w:color="auto"/>
        <w:bottom w:val="none" w:sz="0" w:space="0" w:color="auto"/>
        <w:right w:val="none" w:sz="0" w:space="0" w:color="auto"/>
      </w:divBdr>
    </w:div>
    <w:div w:id="571233254">
      <w:bodyDiv w:val="1"/>
      <w:marLeft w:val="0"/>
      <w:marRight w:val="0"/>
      <w:marTop w:val="0"/>
      <w:marBottom w:val="0"/>
      <w:divBdr>
        <w:top w:val="none" w:sz="0" w:space="0" w:color="auto"/>
        <w:left w:val="none" w:sz="0" w:space="0" w:color="auto"/>
        <w:bottom w:val="none" w:sz="0" w:space="0" w:color="auto"/>
        <w:right w:val="none" w:sz="0" w:space="0" w:color="auto"/>
      </w:divBdr>
    </w:div>
    <w:div w:id="575017058">
      <w:bodyDiv w:val="1"/>
      <w:marLeft w:val="0"/>
      <w:marRight w:val="0"/>
      <w:marTop w:val="0"/>
      <w:marBottom w:val="0"/>
      <w:divBdr>
        <w:top w:val="none" w:sz="0" w:space="0" w:color="auto"/>
        <w:left w:val="none" w:sz="0" w:space="0" w:color="auto"/>
        <w:bottom w:val="none" w:sz="0" w:space="0" w:color="auto"/>
        <w:right w:val="none" w:sz="0" w:space="0" w:color="auto"/>
      </w:divBdr>
    </w:div>
    <w:div w:id="580605634">
      <w:bodyDiv w:val="1"/>
      <w:marLeft w:val="0"/>
      <w:marRight w:val="0"/>
      <w:marTop w:val="0"/>
      <w:marBottom w:val="0"/>
      <w:divBdr>
        <w:top w:val="none" w:sz="0" w:space="0" w:color="auto"/>
        <w:left w:val="none" w:sz="0" w:space="0" w:color="auto"/>
        <w:bottom w:val="none" w:sz="0" w:space="0" w:color="auto"/>
        <w:right w:val="none" w:sz="0" w:space="0" w:color="auto"/>
      </w:divBdr>
    </w:div>
    <w:div w:id="581380279">
      <w:bodyDiv w:val="1"/>
      <w:marLeft w:val="0"/>
      <w:marRight w:val="0"/>
      <w:marTop w:val="0"/>
      <w:marBottom w:val="0"/>
      <w:divBdr>
        <w:top w:val="none" w:sz="0" w:space="0" w:color="auto"/>
        <w:left w:val="none" w:sz="0" w:space="0" w:color="auto"/>
        <w:bottom w:val="none" w:sz="0" w:space="0" w:color="auto"/>
        <w:right w:val="none" w:sz="0" w:space="0" w:color="auto"/>
      </w:divBdr>
    </w:div>
    <w:div w:id="582185375">
      <w:bodyDiv w:val="1"/>
      <w:marLeft w:val="0"/>
      <w:marRight w:val="0"/>
      <w:marTop w:val="0"/>
      <w:marBottom w:val="0"/>
      <w:divBdr>
        <w:top w:val="none" w:sz="0" w:space="0" w:color="auto"/>
        <w:left w:val="none" w:sz="0" w:space="0" w:color="auto"/>
        <w:bottom w:val="none" w:sz="0" w:space="0" w:color="auto"/>
        <w:right w:val="none" w:sz="0" w:space="0" w:color="auto"/>
      </w:divBdr>
    </w:div>
    <w:div w:id="584538541">
      <w:bodyDiv w:val="1"/>
      <w:marLeft w:val="0"/>
      <w:marRight w:val="0"/>
      <w:marTop w:val="0"/>
      <w:marBottom w:val="0"/>
      <w:divBdr>
        <w:top w:val="none" w:sz="0" w:space="0" w:color="auto"/>
        <w:left w:val="none" w:sz="0" w:space="0" w:color="auto"/>
        <w:bottom w:val="none" w:sz="0" w:space="0" w:color="auto"/>
        <w:right w:val="none" w:sz="0" w:space="0" w:color="auto"/>
      </w:divBdr>
    </w:div>
    <w:div w:id="586381867">
      <w:bodyDiv w:val="1"/>
      <w:marLeft w:val="0"/>
      <w:marRight w:val="0"/>
      <w:marTop w:val="0"/>
      <w:marBottom w:val="0"/>
      <w:divBdr>
        <w:top w:val="none" w:sz="0" w:space="0" w:color="auto"/>
        <w:left w:val="none" w:sz="0" w:space="0" w:color="auto"/>
        <w:bottom w:val="none" w:sz="0" w:space="0" w:color="auto"/>
        <w:right w:val="none" w:sz="0" w:space="0" w:color="auto"/>
      </w:divBdr>
    </w:div>
    <w:div w:id="587078024">
      <w:bodyDiv w:val="1"/>
      <w:marLeft w:val="0"/>
      <w:marRight w:val="0"/>
      <w:marTop w:val="0"/>
      <w:marBottom w:val="0"/>
      <w:divBdr>
        <w:top w:val="none" w:sz="0" w:space="0" w:color="auto"/>
        <w:left w:val="none" w:sz="0" w:space="0" w:color="auto"/>
        <w:bottom w:val="none" w:sz="0" w:space="0" w:color="auto"/>
        <w:right w:val="none" w:sz="0" w:space="0" w:color="auto"/>
      </w:divBdr>
    </w:div>
    <w:div w:id="593635333">
      <w:bodyDiv w:val="1"/>
      <w:marLeft w:val="0"/>
      <w:marRight w:val="0"/>
      <w:marTop w:val="0"/>
      <w:marBottom w:val="0"/>
      <w:divBdr>
        <w:top w:val="none" w:sz="0" w:space="0" w:color="auto"/>
        <w:left w:val="none" w:sz="0" w:space="0" w:color="auto"/>
        <w:bottom w:val="none" w:sz="0" w:space="0" w:color="auto"/>
        <w:right w:val="none" w:sz="0" w:space="0" w:color="auto"/>
      </w:divBdr>
    </w:div>
    <w:div w:id="594486305">
      <w:bodyDiv w:val="1"/>
      <w:marLeft w:val="0"/>
      <w:marRight w:val="0"/>
      <w:marTop w:val="0"/>
      <w:marBottom w:val="0"/>
      <w:divBdr>
        <w:top w:val="none" w:sz="0" w:space="0" w:color="auto"/>
        <w:left w:val="none" w:sz="0" w:space="0" w:color="auto"/>
        <w:bottom w:val="none" w:sz="0" w:space="0" w:color="auto"/>
        <w:right w:val="none" w:sz="0" w:space="0" w:color="auto"/>
      </w:divBdr>
    </w:div>
    <w:div w:id="599264877">
      <w:bodyDiv w:val="1"/>
      <w:marLeft w:val="0"/>
      <w:marRight w:val="0"/>
      <w:marTop w:val="0"/>
      <w:marBottom w:val="0"/>
      <w:divBdr>
        <w:top w:val="none" w:sz="0" w:space="0" w:color="auto"/>
        <w:left w:val="none" w:sz="0" w:space="0" w:color="auto"/>
        <w:bottom w:val="none" w:sz="0" w:space="0" w:color="auto"/>
        <w:right w:val="none" w:sz="0" w:space="0" w:color="auto"/>
      </w:divBdr>
    </w:div>
    <w:div w:id="611862920">
      <w:bodyDiv w:val="1"/>
      <w:marLeft w:val="0"/>
      <w:marRight w:val="0"/>
      <w:marTop w:val="0"/>
      <w:marBottom w:val="0"/>
      <w:divBdr>
        <w:top w:val="none" w:sz="0" w:space="0" w:color="auto"/>
        <w:left w:val="none" w:sz="0" w:space="0" w:color="auto"/>
        <w:bottom w:val="none" w:sz="0" w:space="0" w:color="auto"/>
        <w:right w:val="none" w:sz="0" w:space="0" w:color="auto"/>
      </w:divBdr>
    </w:div>
    <w:div w:id="613828654">
      <w:bodyDiv w:val="1"/>
      <w:marLeft w:val="0"/>
      <w:marRight w:val="0"/>
      <w:marTop w:val="0"/>
      <w:marBottom w:val="0"/>
      <w:divBdr>
        <w:top w:val="none" w:sz="0" w:space="0" w:color="auto"/>
        <w:left w:val="none" w:sz="0" w:space="0" w:color="auto"/>
        <w:bottom w:val="none" w:sz="0" w:space="0" w:color="auto"/>
        <w:right w:val="none" w:sz="0" w:space="0" w:color="auto"/>
      </w:divBdr>
    </w:div>
    <w:div w:id="614947260">
      <w:bodyDiv w:val="1"/>
      <w:marLeft w:val="0"/>
      <w:marRight w:val="0"/>
      <w:marTop w:val="0"/>
      <w:marBottom w:val="0"/>
      <w:divBdr>
        <w:top w:val="none" w:sz="0" w:space="0" w:color="auto"/>
        <w:left w:val="none" w:sz="0" w:space="0" w:color="auto"/>
        <w:bottom w:val="none" w:sz="0" w:space="0" w:color="auto"/>
        <w:right w:val="none" w:sz="0" w:space="0" w:color="auto"/>
      </w:divBdr>
    </w:div>
    <w:div w:id="623271390">
      <w:bodyDiv w:val="1"/>
      <w:marLeft w:val="0"/>
      <w:marRight w:val="0"/>
      <w:marTop w:val="0"/>
      <w:marBottom w:val="0"/>
      <w:divBdr>
        <w:top w:val="none" w:sz="0" w:space="0" w:color="auto"/>
        <w:left w:val="none" w:sz="0" w:space="0" w:color="auto"/>
        <w:bottom w:val="none" w:sz="0" w:space="0" w:color="auto"/>
        <w:right w:val="none" w:sz="0" w:space="0" w:color="auto"/>
      </w:divBdr>
    </w:div>
    <w:div w:id="633171840">
      <w:bodyDiv w:val="1"/>
      <w:marLeft w:val="0"/>
      <w:marRight w:val="0"/>
      <w:marTop w:val="0"/>
      <w:marBottom w:val="0"/>
      <w:divBdr>
        <w:top w:val="none" w:sz="0" w:space="0" w:color="auto"/>
        <w:left w:val="none" w:sz="0" w:space="0" w:color="auto"/>
        <w:bottom w:val="none" w:sz="0" w:space="0" w:color="auto"/>
        <w:right w:val="none" w:sz="0" w:space="0" w:color="auto"/>
      </w:divBdr>
    </w:div>
    <w:div w:id="634456129">
      <w:bodyDiv w:val="1"/>
      <w:marLeft w:val="0"/>
      <w:marRight w:val="0"/>
      <w:marTop w:val="0"/>
      <w:marBottom w:val="0"/>
      <w:divBdr>
        <w:top w:val="none" w:sz="0" w:space="0" w:color="auto"/>
        <w:left w:val="none" w:sz="0" w:space="0" w:color="auto"/>
        <w:bottom w:val="none" w:sz="0" w:space="0" w:color="auto"/>
        <w:right w:val="none" w:sz="0" w:space="0" w:color="auto"/>
      </w:divBdr>
    </w:div>
    <w:div w:id="636103401">
      <w:bodyDiv w:val="1"/>
      <w:marLeft w:val="0"/>
      <w:marRight w:val="0"/>
      <w:marTop w:val="0"/>
      <w:marBottom w:val="0"/>
      <w:divBdr>
        <w:top w:val="none" w:sz="0" w:space="0" w:color="auto"/>
        <w:left w:val="none" w:sz="0" w:space="0" w:color="auto"/>
        <w:bottom w:val="none" w:sz="0" w:space="0" w:color="auto"/>
        <w:right w:val="none" w:sz="0" w:space="0" w:color="auto"/>
      </w:divBdr>
    </w:div>
    <w:div w:id="636380472">
      <w:bodyDiv w:val="1"/>
      <w:marLeft w:val="0"/>
      <w:marRight w:val="0"/>
      <w:marTop w:val="0"/>
      <w:marBottom w:val="0"/>
      <w:divBdr>
        <w:top w:val="none" w:sz="0" w:space="0" w:color="auto"/>
        <w:left w:val="none" w:sz="0" w:space="0" w:color="auto"/>
        <w:bottom w:val="none" w:sz="0" w:space="0" w:color="auto"/>
        <w:right w:val="none" w:sz="0" w:space="0" w:color="auto"/>
      </w:divBdr>
    </w:div>
    <w:div w:id="637415253">
      <w:bodyDiv w:val="1"/>
      <w:marLeft w:val="0"/>
      <w:marRight w:val="0"/>
      <w:marTop w:val="0"/>
      <w:marBottom w:val="0"/>
      <w:divBdr>
        <w:top w:val="none" w:sz="0" w:space="0" w:color="auto"/>
        <w:left w:val="none" w:sz="0" w:space="0" w:color="auto"/>
        <w:bottom w:val="none" w:sz="0" w:space="0" w:color="auto"/>
        <w:right w:val="none" w:sz="0" w:space="0" w:color="auto"/>
      </w:divBdr>
    </w:div>
    <w:div w:id="639187362">
      <w:bodyDiv w:val="1"/>
      <w:marLeft w:val="0"/>
      <w:marRight w:val="0"/>
      <w:marTop w:val="0"/>
      <w:marBottom w:val="0"/>
      <w:divBdr>
        <w:top w:val="none" w:sz="0" w:space="0" w:color="auto"/>
        <w:left w:val="none" w:sz="0" w:space="0" w:color="auto"/>
        <w:bottom w:val="none" w:sz="0" w:space="0" w:color="auto"/>
        <w:right w:val="none" w:sz="0" w:space="0" w:color="auto"/>
      </w:divBdr>
    </w:div>
    <w:div w:id="645550163">
      <w:bodyDiv w:val="1"/>
      <w:marLeft w:val="0"/>
      <w:marRight w:val="0"/>
      <w:marTop w:val="0"/>
      <w:marBottom w:val="0"/>
      <w:divBdr>
        <w:top w:val="none" w:sz="0" w:space="0" w:color="auto"/>
        <w:left w:val="none" w:sz="0" w:space="0" w:color="auto"/>
        <w:bottom w:val="none" w:sz="0" w:space="0" w:color="auto"/>
        <w:right w:val="none" w:sz="0" w:space="0" w:color="auto"/>
      </w:divBdr>
    </w:div>
    <w:div w:id="646393868">
      <w:bodyDiv w:val="1"/>
      <w:marLeft w:val="0"/>
      <w:marRight w:val="0"/>
      <w:marTop w:val="0"/>
      <w:marBottom w:val="0"/>
      <w:divBdr>
        <w:top w:val="none" w:sz="0" w:space="0" w:color="auto"/>
        <w:left w:val="none" w:sz="0" w:space="0" w:color="auto"/>
        <w:bottom w:val="none" w:sz="0" w:space="0" w:color="auto"/>
        <w:right w:val="none" w:sz="0" w:space="0" w:color="auto"/>
      </w:divBdr>
    </w:div>
    <w:div w:id="647786075">
      <w:bodyDiv w:val="1"/>
      <w:marLeft w:val="0"/>
      <w:marRight w:val="0"/>
      <w:marTop w:val="0"/>
      <w:marBottom w:val="0"/>
      <w:divBdr>
        <w:top w:val="none" w:sz="0" w:space="0" w:color="auto"/>
        <w:left w:val="none" w:sz="0" w:space="0" w:color="auto"/>
        <w:bottom w:val="none" w:sz="0" w:space="0" w:color="auto"/>
        <w:right w:val="none" w:sz="0" w:space="0" w:color="auto"/>
      </w:divBdr>
    </w:div>
    <w:div w:id="652368938">
      <w:bodyDiv w:val="1"/>
      <w:marLeft w:val="0"/>
      <w:marRight w:val="0"/>
      <w:marTop w:val="0"/>
      <w:marBottom w:val="0"/>
      <w:divBdr>
        <w:top w:val="none" w:sz="0" w:space="0" w:color="auto"/>
        <w:left w:val="none" w:sz="0" w:space="0" w:color="auto"/>
        <w:bottom w:val="none" w:sz="0" w:space="0" w:color="auto"/>
        <w:right w:val="none" w:sz="0" w:space="0" w:color="auto"/>
      </w:divBdr>
    </w:div>
    <w:div w:id="654070009">
      <w:bodyDiv w:val="1"/>
      <w:marLeft w:val="0"/>
      <w:marRight w:val="0"/>
      <w:marTop w:val="0"/>
      <w:marBottom w:val="0"/>
      <w:divBdr>
        <w:top w:val="none" w:sz="0" w:space="0" w:color="auto"/>
        <w:left w:val="none" w:sz="0" w:space="0" w:color="auto"/>
        <w:bottom w:val="none" w:sz="0" w:space="0" w:color="auto"/>
        <w:right w:val="none" w:sz="0" w:space="0" w:color="auto"/>
      </w:divBdr>
    </w:div>
    <w:div w:id="654142401">
      <w:bodyDiv w:val="1"/>
      <w:marLeft w:val="0"/>
      <w:marRight w:val="0"/>
      <w:marTop w:val="0"/>
      <w:marBottom w:val="0"/>
      <w:divBdr>
        <w:top w:val="none" w:sz="0" w:space="0" w:color="auto"/>
        <w:left w:val="none" w:sz="0" w:space="0" w:color="auto"/>
        <w:bottom w:val="none" w:sz="0" w:space="0" w:color="auto"/>
        <w:right w:val="none" w:sz="0" w:space="0" w:color="auto"/>
      </w:divBdr>
    </w:div>
    <w:div w:id="663240277">
      <w:bodyDiv w:val="1"/>
      <w:marLeft w:val="0"/>
      <w:marRight w:val="0"/>
      <w:marTop w:val="0"/>
      <w:marBottom w:val="0"/>
      <w:divBdr>
        <w:top w:val="none" w:sz="0" w:space="0" w:color="auto"/>
        <w:left w:val="none" w:sz="0" w:space="0" w:color="auto"/>
        <w:bottom w:val="none" w:sz="0" w:space="0" w:color="auto"/>
        <w:right w:val="none" w:sz="0" w:space="0" w:color="auto"/>
      </w:divBdr>
    </w:div>
    <w:div w:id="672992550">
      <w:bodyDiv w:val="1"/>
      <w:marLeft w:val="0"/>
      <w:marRight w:val="0"/>
      <w:marTop w:val="0"/>
      <w:marBottom w:val="0"/>
      <w:divBdr>
        <w:top w:val="none" w:sz="0" w:space="0" w:color="auto"/>
        <w:left w:val="none" w:sz="0" w:space="0" w:color="auto"/>
        <w:bottom w:val="none" w:sz="0" w:space="0" w:color="auto"/>
        <w:right w:val="none" w:sz="0" w:space="0" w:color="auto"/>
      </w:divBdr>
    </w:div>
    <w:div w:id="678116993">
      <w:bodyDiv w:val="1"/>
      <w:marLeft w:val="0"/>
      <w:marRight w:val="0"/>
      <w:marTop w:val="0"/>
      <w:marBottom w:val="0"/>
      <w:divBdr>
        <w:top w:val="none" w:sz="0" w:space="0" w:color="auto"/>
        <w:left w:val="none" w:sz="0" w:space="0" w:color="auto"/>
        <w:bottom w:val="none" w:sz="0" w:space="0" w:color="auto"/>
        <w:right w:val="none" w:sz="0" w:space="0" w:color="auto"/>
      </w:divBdr>
    </w:div>
    <w:div w:id="686716913">
      <w:bodyDiv w:val="1"/>
      <w:marLeft w:val="0"/>
      <w:marRight w:val="0"/>
      <w:marTop w:val="0"/>
      <w:marBottom w:val="0"/>
      <w:divBdr>
        <w:top w:val="none" w:sz="0" w:space="0" w:color="auto"/>
        <w:left w:val="none" w:sz="0" w:space="0" w:color="auto"/>
        <w:bottom w:val="none" w:sz="0" w:space="0" w:color="auto"/>
        <w:right w:val="none" w:sz="0" w:space="0" w:color="auto"/>
      </w:divBdr>
    </w:div>
    <w:div w:id="706834620">
      <w:bodyDiv w:val="1"/>
      <w:marLeft w:val="0"/>
      <w:marRight w:val="0"/>
      <w:marTop w:val="0"/>
      <w:marBottom w:val="0"/>
      <w:divBdr>
        <w:top w:val="none" w:sz="0" w:space="0" w:color="auto"/>
        <w:left w:val="none" w:sz="0" w:space="0" w:color="auto"/>
        <w:bottom w:val="none" w:sz="0" w:space="0" w:color="auto"/>
        <w:right w:val="none" w:sz="0" w:space="0" w:color="auto"/>
      </w:divBdr>
    </w:div>
    <w:div w:id="707149024">
      <w:bodyDiv w:val="1"/>
      <w:marLeft w:val="0"/>
      <w:marRight w:val="0"/>
      <w:marTop w:val="0"/>
      <w:marBottom w:val="0"/>
      <w:divBdr>
        <w:top w:val="none" w:sz="0" w:space="0" w:color="auto"/>
        <w:left w:val="none" w:sz="0" w:space="0" w:color="auto"/>
        <w:bottom w:val="none" w:sz="0" w:space="0" w:color="auto"/>
        <w:right w:val="none" w:sz="0" w:space="0" w:color="auto"/>
      </w:divBdr>
    </w:div>
    <w:div w:id="713891338">
      <w:bodyDiv w:val="1"/>
      <w:marLeft w:val="0"/>
      <w:marRight w:val="0"/>
      <w:marTop w:val="0"/>
      <w:marBottom w:val="0"/>
      <w:divBdr>
        <w:top w:val="none" w:sz="0" w:space="0" w:color="auto"/>
        <w:left w:val="none" w:sz="0" w:space="0" w:color="auto"/>
        <w:bottom w:val="none" w:sz="0" w:space="0" w:color="auto"/>
        <w:right w:val="none" w:sz="0" w:space="0" w:color="auto"/>
      </w:divBdr>
    </w:div>
    <w:div w:id="717708721">
      <w:bodyDiv w:val="1"/>
      <w:marLeft w:val="0"/>
      <w:marRight w:val="0"/>
      <w:marTop w:val="0"/>
      <w:marBottom w:val="0"/>
      <w:divBdr>
        <w:top w:val="none" w:sz="0" w:space="0" w:color="auto"/>
        <w:left w:val="none" w:sz="0" w:space="0" w:color="auto"/>
        <w:bottom w:val="none" w:sz="0" w:space="0" w:color="auto"/>
        <w:right w:val="none" w:sz="0" w:space="0" w:color="auto"/>
      </w:divBdr>
    </w:div>
    <w:div w:id="721517554">
      <w:bodyDiv w:val="1"/>
      <w:marLeft w:val="0"/>
      <w:marRight w:val="0"/>
      <w:marTop w:val="0"/>
      <w:marBottom w:val="0"/>
      <w:divBdr>
        <w:top w:val="none" w:sz="0" w:space="0" w:color="auto"/>
        <w:left w:val="none" w:sz="0" w:space="0" w:color="auto"/>
        <w:bottom w:val="none" w:sz="0" w:space="0" w:color="auto"/>
        <w:right w:val="none" w:sz="0" w:space="0" w:color="auto"/>
      </w:divBdr>
    </w:div>
    <w:div w:id="722876378">
      <w:bodyDiv w:val="1"/>
      <w:marLeft w:val="0"/>
      <w:marRight w:val="0"/>
      <w:marTop w:val="0"/>
      <w:marBottom w:val="0"/>
      <w:divBdr>
        <w:top w:val="none" w:sz="0" w:space="0" w:color="auto"/>
        <w:left w:val="none" w:sz="0" w:space="0" w:color="auto"/>
        <w:bottom w:val="none" w:sz="0" w:space="0" w:color="auto"/>
        <w:right w:val="none" w:sz="0" w:space="0" w:color="auto"/>
      </w:divBdr>
    </w:div>
    <w:div w:id="723870582">
      <w:bodyDiv w:val="1"/>
      <w:marLeft w:val="0"/>
      <w:marRight w:val="0"/>
      <w:marTop w:val="0"/>
      <w:marBottom w:val="0"/>
      <w:divBdr>
        <w:top w:val="none" w:sz="0" w:space="0" w:color="auto"/>
        <w:left w:val="none" w:sz="0" w:space="0" w:color="auto"/>
        <w:bottom w:val="none" w:sz="0" w:space="0" w:color="auto"/>
        <w:right w:val="none" w:sz="0" w:space="0" w:color="auto"/>
      </w:divBdr>
    </w:div>
    <w:div w:id="727611461">
      <w:bodyDiv w:val="1"/>
      <w:marLeft w:val="0"/>
      <w:marRight w:val="0"/>
      <w:marTop w:val="0"/>
      <w:marBottom w:val="0"/>
      <w:divBdr>
        <w:top w:val="none" w:sz="0" w:space="0" w:color="auto"/>
        <w:left w:val="none" w:sz="0" w:space="0" w:color="auto"/>
        <w:bottom w:val="none" w:sz="0" w:space="0" w:color="auto"/>
        <w:right w:val="none" w:sz="0" w:space="0" w:color="auto"/>
      </w:divBdr>
    </w:div>
    <w:div w:id="727873445">
      <w:bodyDiv w:val="1"/>
      <w:marLeft w:val="0"/>
      <w:marRight w:val="0"/>
      <w:marTop w:val="0"/>
      <w:marBottom w:val="0"/>
      <w:divBdr>
        <w:top w:val="none" w:sz="0" w:space="0" w:color="auto"/>
        <w:left w:val="none" w:sz="0" w:space="0" w:color="auto"/>
        <w:bottom w:val="none" w:sz="0" w:space="0" w:color="auto"/>
        <w:right w:val="none" w:sz="0" w:space="0" w:color="auto"/>
      </w:divBdr>
    </w:div>
    <w:div w:id="730084008">
      <w:bodyDiv w:val="1"/>
      <w:marLeft w:val="0"/>
      <w:marRight w:val="0"/>
      <w:marTop w:val="0"/>
      <w:marBottom w:val="0"/>
      <w:divBdr>
        <w:top w:val="none" w:sz="0" w:space="0" w:color="auto"/>
        <w:left w:val="none" w:sz="0" w:space="0" w:color="auto"/>
        <w:bottom w:val="none" w:sz="0" w:space="0" w:color="auto"/>
        <w:right w:val="none" w:sz="0" w:space="0" w:color="auto"/>
      </w:divBdr>
    </w:div>
    <w:div w:id="730156626">
      <w:bodyDiv w:val="1"/>
      <w:marLeft w:val="0"/>
      <w:marRight w:val="0"/>
      <w:marTop w:val="0"/>
      <w:marBottom w:val="0"/>
      <w:divBdr>
        <w:top w:val="none" w:sz="0" w:space="0" w:color="auto"/>
        <w:left w:val="none" w:sz="0" w:space="0" w:color="auto"/>
        <w:bottom w:val="none" w:sz="0" w:space="0" w:color="auto"/>
        <w:right w:val="none" w:sz="0" w:space="0" w:color="auto"/>
      </w:divBdr>
    </w:div>
    <w:div w:id="731849508">
      <w:bodyDiv w:val="1"/>
      <w:marLeft w:val="0"/>
      <w:marRight w:val="0"/>
      <w:marTop w:val="0"/>
      <w:marBottom w:val="0"/>
      <w:divBdr>
        <w:top w:val="none" w:sz="0" w:space="0" w:color="auto"/>
        <w:left w:val="none" w:sz="0" w:space="0" w:color="auto"/>
        <w:bottom w:val="none" w:sz="0" w:space="0" w:color="auto"/>
        <w:right w:val="none" w:sz="0" w:space="0" w:color="auto"/>
      </w:divBdr>
    </w:div>
    <w:div w:id="731972860">
      <w:bodyDiv w:val="1"/>
      <w:marLeft w:val="0"/>
      <w:marRight w:val="0"/>
      <w:marTop w:val="0"/>
      <w:marBottom w:val="0"/>
      <w:divBdr>
        <w:top w:val="none" w:sz="0" w:space="0" w:color="auto"/>
        <w:left w:val="none" w:sz="0" w:space="0" w:color="auto"/>
        <w:bottom w:val="none" w:sz="0" w:space="0" w:color="auto"/>
        <w:right w:val="none" w:sz="0" w:space="0" w:color="auto"/>
      </w:divBdr>
    </w:div>
    <w:div w:id="734354668">
      <w:bodyDiv w:val="1"/>
      <w:marLeft w:val="0"/>
      <w:marRight w:val="0"/>
      <w:marTop w:val="0"/>
      <w:marBottom w:val="0"/>
      <w:divBdr>
        <w:top w:val="none" w:sz="0" w:space="0" w:color="auto"/>
        <w:left w:val="none" w:sz="0" w:space="0" w:color="auto"/>
        <w:bottom w:val="none" w:sz="0" w:space="0" w:color="auto"/>
        <w:right w:val="none" w:sz="0" w:space="0" w:color="auto"/>
      </w:divBdr>
    </w:div>
    <w:div w:id="737553591">
      <w:bodyDiv w:val="1"/>
      <w:marLeft w:val="0"/>
      <w:marRight w:val="0"/>
      <w:marTop w:val="0"/>
      <w:marBottom w:val="0"/>
      <w:divBdr>
        <w:top w:val="none" w:sz="0" w:space="0" w:color="auto"/>
        <w:left w:val="none" w:sz="0" w:space="0" w:color="auto"/>
        <w:bottom w:val="none" w:sz="0" w:space="0" w:color="auto"/>
        <w:right w:val="none" w:sz="0" w:space="0" w:color="auto"/>
      </w:divBdr>
    </w:div>
    <w:div w:id="738216237">
      <w:bodyDiv w:val="1"/>
      <w:marLeft w:val="0"/>
      <w:marRight w:val="0"/>
      <w:marTop w:val="0"/>
      <w:marBottom w:val="0"/>
      <w:divBdr>
        <w:top w:val="none" w:sz="0" w:space="0" w:color="auto"/>
        <w:left w:val="none" w:sz="0" w:space="0" w:color="auto"/>
        <w:bottom w:val="none" w:sz="0" w:space="0" w:color="auto"/>
        <w:right w:val="none" w:sz="0" w:space="0" w:color="auto"/>
      </w:divBdr>
    </w:div>
    <w:div w:id="744490856">
      <w:bodyDiv w:val="1"/>
      <w:marLeft w:val="0"/>
      <w:marRight w:val="0"/>
      <w:marTop w:val="0"/>
      <w:marBottom w:val="0"/>
      <w:divBdr>
        <w:top w:val="none" w:sz="0" w:space="0" w:color="auto"/>
        <w:left w:val="none" w:sz="0" w:space="0" w:color="auto"/>
        <w:bottom w:val="none" w:sz="0" w:space="0" w:color="auto"/>
        <w:right w:val="none" w:sz="0" w:space="0" w:color="auto"/>
      </w:divBdr>
    </w:div>
    <w:div w:id="753626666">
      <w:bodyDiv w:val="1"/>
      <w:marLeft w:val="0"/>
      <w:marRight w:val="0"/>
      <w:marTop w:val="0"/>
      <w:marBottom w:val="0"/>
      <w:divBdr>
        <w:top w:val="none" w:sz="0" w:space="0" w:color="auto"/>
        <w:left w:val="none" w:sz="0" w:space="0" w:color="auto"/>
        <w:bottom w:val="none" w:sz="0" w:space="0" w:color="auto"/>
        <w:right w:val="none" w:sz="0" w:space="0" w:color="auto"/>
      </w:divBdr>
    </w:div>
    <w:div w:id="754664898">
      <w:bodyDiv w:val="1"/>
      <w:marLeft w:val="0"/>
      <w:marRight w:val="0"/>
      <w:marTop w:val="0"/>
      <w:marBottom w:val="0"/>
      <w:divBdr>
        <w:top w:val="none" w:sz="0" w:space="0" w:color="auto"/>
        <w:left w:val="none" w:sz="0" w:space="0" w:color="auto"/>
        <w:bottom w:val="none" w:sz="0" w:space="0" w:color="auto"/>
        <w:right w:val="none" w:sz="0" w:space="0" w:color="auto"/>
      </w:divBdr>
    </w:div>
    <w:div w:id="763306465">
      <w:bodyDiv w:val="1"/>
      <w:marLeft w:val="0"/>
      <w:marRight w:val="0"/>
      <w:marTop w:val="0"/>
      <w:marBottom w:val="0"/>
      <w:divBdr>
        <w:top w:val="none" w:sz="0" w:space="0" w:color="auto"/>
        <w:left w:val="none" w:sz="0" w:space="0" w:color="auto"/>
        <w:bottom w:val="none" w:sz="0" w:space="0" w:color="auto"/>
        <w:right w:val="none" w:sz="0" w:space="0" w:color="auto"/>
      </w:divBdr>
    </w:div>
    <w:div w:id="775642037">
      <w:bodyDiv w:val="1"/>
      <w:marLeft w:val="0"/>
      <w:marRight w:val="0"/>
      <w:marTop w:val="0"/>
      <w:marBottom w:val="0"/>
      <w:divBdr>
        <w:top w:val="none" w:sz="0" w:space="0" w:color="auto"/>
        <w:left w:val="none" w:sz="0" w:space="0" w:color="auto"/>
        <w:bottom w:val="none" w:sz="0" w:space="0" w:color="auto"/>
        <w:right w:val="none" w:sz="0" w:space="0" w:color="auto"/>
      </w:divBdr>
    </w:div>
    <w:div w:id="781845795">
      <w:bodyDiv w:val="1"/>
      <w:marLeft w:val="0"/>
      <w:marRight w:val="0"/>
      <w:marTop w:val="0"/>
      <w:marBottom w:val="0"/>
      <w:divBdr>
        <w:top w:val="none" w:sz="0" w:space="0" w:color="auto"/>
        <w:left w:val="none" w:sz="0" w:space="0" w:color="auto"/>
        <w:bottom w:val="none" w:sz="0" w:space="0" w:color="auto"/>
        <w:right w:val="none" w:sz="0" w:space="0" w:color="auto"/>
      </w:divBdr>
    </w:div>
    <w:div w:id="784348208">
      <w:bodyDiv w:val="1"/>
      <w:marLeft w:val="0"/>
      <w:marRight w:val="0"/>
      <w:marTop w:val="0"/>
      <w:marBottom w:val="0"/>
      <w:divBdr>
        <w:top w:val="none" w:sz="0" w:space="0" w:color="auto"/>
        <w:left w:val="none" w:sz="0" w:space="0" w:color="auto"/>
        <w:bottom w:val="none" w:sz="0" w:space="0" w:color="auto"/>
        <w:right w:val="none" w:sz="0" w:space="0" w:color="auto"/>
      </w:divBdr>
    </w:div>
    <w:div w:id="786582944">
      <w:bodyDiv w:val="1"/>
      <w:marLeft w:val="0"/>
      <w:marRight w:val="0"/>
      <w:marTop w:val="0"/>
      <w:marBottom w:val="0"/>
      <w:divBdr>
        <w:top w:val="none" w:sz="0" w:space="0" w:color="auto"/>
        <w:left w:val="none" w:sz="0" w:space="0" w:color="auto"/>
        <w:bottom w:val="none" w:sz="0" w:space="0" w:color="auto"/>
        <w:right w:val="none" w:sz="0" w:space="0" w:color="auto"/>
      </w:divBdr>
    </w:div>
    <w:div w:id="786774768">
      <w:bodyDiv w:val="1"/>
      <w:marLeft w:val="0"/>
      <w:marRight w:val="0"/>
      <w:marTop w:val="0"/>
      <w:marBottom w:val="0"/>
      <w:divBdr>
        <w:top w:val="none" w:sz="0" w:space="0" w:color="auto"/>
        <w:left w:val="none" w:sz="0" w:space="0" w:color="auto"/>
        <w:bottom w:val="none" w:sz="0" w:space="0" w:color="auto"/>
        <w:right w:val="none" w:sz="0" w:space="0" w:color="auto"/>
      </w:divBdr>
    </w:div>
    <w:div w:id="791705166">
      <w:bodyDiv w:val="1"/>
      <w:marLeft w:val="0"/>
      <w:marRight w:val="0"/>
      <w:marTop w:val="0"/>
      <w:marBottom w:val="0"/>
      <w:divBdr>
        <w:top w:val="none" w:sz="0" w:space="0" w:color="auto"/>
        <w:left w:val="none" w:sz="0" w:space="0" w:color="auto"/>
        <w:bottom w:val="none" w:sz="0" w:space="0" w:color="auto"/>
        <w:right w:val="none" w:sz="0" w:space="0" w:color="auto"/>
      </w:divBdr>
    </w:div>
    <w:div w:id="793712024">
      <w:bodyDiv w:val="1"/>
      <w:marLeft w:val="0"/>
      <w:marRight w:val="0"/>
      <w:marTop w:val="0"/>
      <w:marBottom w:val="0"/>
      <w:divBdr>
        <w:top w:val="none" w:sz="0" w:space="0" w:color="auto"/>
        <w:left w:val="none" w:sz="0" w:space="0" w:color="auto"/>
        <w:bottom w:val="none" w:sz="0" w:space="0" w:color="auto"/>
        <w:right w:val="none" w:sz="0" w:space="0" w:color="auto"/>
      </w:divBdr>
    </w:div>
    <w:div w:id="794327506">
      <w:bodyDiv w:val="1"/>
      <w:marLeft w:val="0"/>
      <w:marRight w:val="0"/>
      <w:marTop w:val="0"/>
      <w:marBottom w:val="0"/>
      <w:divBdr>
        <w:top w:val="none" w:sz="0" w:space="0" w:color="auto"/>
        <w:left w:val="none" w:sz="0" w:space="0" w:color="auto"/>
        <w:bottom w:val="none" w:sz="0" w:space="0" w:color="auto"/>
        <w:right w:val="none" w:sz="0" w:space="0" w:color="auto"/>
      </w:divBdr>
    </w:div>
    <w:div w:id="797527101">
      <w:bodyDiv w:val="1"/>
      <w:marLeft w:val="0"/>
      <w:marRight w:val="0"/>
      <w:marTop w:val="0"/>
      <w:marBottom w:val="0"/>
      <w:divBdr>
        <w:top w:val="none" w:sz="0" w:space="0" w:color="auto"/>
        <w:left w:val="none" w:sz="0" w:space="0" w:color="auto"/>
        <w:bottom w:val="none" w:sz="0" w:space="0" w:color="auto"/>
        <w:right w:val="none" w:sz="0" w:space="0" w:color="auto"/>
      </w:divBdr>
    </w:div>
    <w:div w:id="802886779">
      <w:bodyDiv w:val="1"/>
      <w:marLeft w:val="0"/>
      <w:marRight w:val="0"/>
      <w:marTop w:val="0"/>
      <w:marBottom w:val="0"/>
      <w:divBdr>
        <w:top w:val="none" w:sz="0" w:space="0" w:color="auto"/>
        <w:left w:val="none" w:sz="0" w:space="0" w:color="auto"/>
        <w:bottom w:val="none" w:sz="0" w:space="0" w:color="auto"/>
        <w:right w:val="none" w:sz="0" w:space="0" w:color="auto"/>
      </w:divBdr>
    </w:div>
    <w:div w:id="810944359">
      <w:bodyDiv w:val="1"/>
      <w:marLeft w:val="0"/>
      <w:marRight w:val="0"/>
      <w:marTop w:val="0"/>
      <w:marBottom w:val="0"/>
      <w:divBdr>
        <w:top w:val="none" w:sz="0" w:space="0" w:color="auto"/>
        <w:left w:val="none" w:sz="0" w:space="0" w:color="auto"/>
        <w:bottom w:val="none" w:sz="0" w:space="0" w:color="auto"/>
        <w:right w:val="none" w:sz="0" w:space="0" w:color="auto"/>
      </w:divBdr>
    </w:div>
    <w:div w:id="811101499">
      <w:bodyDiv w:val="1"/>
      <w:marLeft w:val="0"/>
      <w:marRight w:val="0"/>
      <w:marTop w:val="0"/>
      <w:marBottom w:val="0"/>
      <w:divBdr>
        <w:top w:val="none" w:sz="0" w:space="0" w:color="auto"/>
        <w:left w:val="none" w:sz="0" w:space="0" w:color="auto"/>
        <w:bottom w:val="none" w:sz="0" w:space="0" w:color="auto"/>
        <w:right w:val="none" w:sz="0" w:space="0" w:color="auto"/>
      </w:divBdr>
    </w:div>
    <w:div w:id="812798503">
      <w:bodyDiv w:val="1"/>
      <w:marLeft w:val="0"/>
      <w:marRight w:val="0"/>
      <w:marTop w:val="0"/>
      <w:marBottom w:val="0"/>
      <w:divBdr>
        <w:top w:val="none" w:sz="0" w:space="0" w:color="auto"/>
        <w:left w:val="none" w:sz="0" w:space="0" w:color="auto"/>
        <w:bottom w:val="none" w:sz="0" w:space="0" w:color="auto"/>
        <w:right w:val="none" w:sz="0" w:space="0" w:color="auto"/>
      </w:divBdr>
    </w:div>
    <w:div w:id="815269550">
      <w:bodyDiv w:val="1"/>
      <w:marLeft w:val="0"/>
      <w:marRight w:val="0"/>
      <w:marTop w:val="0"/>
      <w:marBottom w:val="0"/>
      <w:divBdr>
        <w:top w:val="none" w:sz="0" w:space="0" w:color="auto"/>
        <w:left w:val="none" w:sz="0" w:space="0" w:color="auto"/>
        <w:bottom w:val="none" w:sz="0" w:space="0" w:color="auto"/>
        <w:right w:val="none" w:sz="0" w:space="0" w:color="auto"/>
      </w:divBdr>
    </w:div>
    <w:div w:id="818376030">
      <w:bodyDiv w:val="1"/>
      <w:marLeft w:val="0"/>
      <w:marRight w:val="0"/>
      <w:marTop w:val="0"/>
      <w:marBottom w:val="0"/>
      <w:divBdr>
        <w:top w:val="none" w:sz="0" w:space="0" w:color="auto"/>
        <w:left w:val="none" w:sz="0" w:space="0" w:color="auto"/>
        <w:bottom w:val="none" w:sz="0" w:space="0" w:color="auto"/>
        <w:right w:val="none" w:sz="0" w:space="0" w:color="auto"/>
      </w:divBdr>
    </w:div>
    <w:div w:id="819886920">
      <w:bodyDiv w:val="1"/>
      <w:marLeft w:val="0"/>
      <w:marRight w:val="0"/>
      <w:marTop w:val="0"/>
      <w:marBottom w:val="0"/>
      <w:divBdr>
        <w:top w:val="none" w:sz="0" w:space="0" w:color="auto"/>
        <w:left w:val="none" w:sz="0" w:space="0" w:color="auto"/>
        <w:bottom w:val="none" w:sz="0" w:space="0" w:color="auto"/>
        <w:right w:val="none" w:sz="0" w:space="0" w:color="auto"/>
      </w:divBdr>
    </w:div>
    <w:div w:id="826168212">
      <w:bodyDiv w:val="1"/>
      <w:marLeft w:val="0"/>
      <w:marRight w:val="0"/>
      <w:marTop w:val="0"/>
      <w:marBottom w:val="0"/>
      <w:divBdr>
        <w:top w:val="none" w:sz="0" w:space="0" w:color="auto"/>
        <w:left w:val="none" w:sz="0" w:space="0" w:color="auto"/>
        <w:bottom w:val="none" w:sz="0" w:space="0" w:color="auto"/>
        <w:right w:val="none" w:sz="0" w:space="0" w:color="auto"/>
      </w:divBdr>
    </w:div>
    <w:div w:id="826751219">
      <w:bodyDiv w:val="1"/>
      <w:marLeft w:val="0"/>
      <w:marRight w:val="0"/>
      <w:marTop w:val="0"/>
      <w:marBottom w:val="0"/>
      <w:divBdr>
        <w:top w:val="none" w:sz="0" w:space="0" w:color="auto"/>
        <w:left w:val="none" w:sz="0" w:space="0" w:color="auto"/>
        <w:bottom w:val="none" w:sz="0" w:space="0" w:color="auto"/>
        <w:right w:val="none" w:sz="0" w:space="0" w:color="auto"/>
      </w:divBdr>
    </w:div>
    <w:div w:id="831682837">
      <w:bodyDiv w:val="1"/>
      <w:marLeft w:val="0"/>
      <w:marRight w:val="0"/>
      <w:marTop w:val="0"/>
      <w:marBottom w:val="0"/>
      <w:divBdr>
        <w:top w:val="none" w:sz="0" w:space="0" w:color="auto"/>
        <w:left w:val="none" w:sz="0" w:space="0" w:color="auto"/>
        <w:bottom w:val="none" w:sz="0" w:space="0" w:color="auto"/>
        <w:right w:val="none" w:sz="0" w:space="0" w:color="auto"/>
      </w:divBdr>
    </w:div>
    <w:div w:id="834225548">
      <w:bodyDiv w:val="1"/>
      <w:marLeft w:val="0"/>
      <w:marRight w:val="0"/>
      <w:marTop w:val="0"/>
      <w:marBottom w:val="0"/>
      <w:divBdr>
        <w:top w:val="none" w:sz="0" w:space="0" w:color="auto"/>
        <w:left w:val="none" w:sz="0" w:space="0" w:color="auto"/>
        <w:bottom w:val="none" w:sz="0" w:space="0" w:color="auto"/>
        <w:right w:val="none" w:sz="0" w:space="0" w:color="auto"/>
      </w:divBdr>
    </w:div>
    <w:div w:id="834686005">
      <w:bodyDiv w:val="1"/>
      <w:marLeft w:val="0"/>
      <w:marRight w:val="0"/>
      <w:marTop w:val="0"/>
      <w:marBottom w:val="0"/>
      <w:divBdr>
        <w:top w:val="none" w:sz="0" w:space="0" w:color="auto"/>
        <w:left w:val="none" w:sz="0" w:space="0" w:color="auto"/>
        <w:bottom w:val="none" w:sz="0" w:space="0" w:color="auto"/>
        <w:right w:val="none" w:sz="0" w:space="0" w:color="auto"/>
      </w:divBdr>
    </w:div>
    <w:div w:id="836307157">
      <w:bodyDiv w:val="1"/>
      <w:marLeft w:val="0"/>
      <w:marRight w:val="0"/>
      <w:marTop w:val="0"/>
      <w:marBottom w:val="0"/>
      <w:divBdr>
        <w:top w:val="none" w:sz="0" w:space="0" w:color="auto"/>
        <w:left w:val="none" w:sz="0" w:space="0" w:color="auto"/>
        <w:bottom w:val="none" w:sz="0" w:space="0" w:color="auto"/>
        <w:right w:val="none" w:sz="0" w:space="0" w:color="auto"/>
      </w:divBdr>
    </w:div>
    <w:div w:id="836462351">
      <w:bodyDiv w:val="1"/>
      <w:marLeft w:val="0"/>
      <w:marRight w:val="0"/>
      <w:marTop w:val="0"/>
      <w:marBottom w:val="0"/>
      <w:divBdr>
        <w:top w:val="none" w:sz="0" w:space="0" w:color="auto"/>
        <w:left w:val="none" w:sz="0" w:space="0" w:color="auto"/>
        <w:bottom w:val="none" w:sz="0" w:space="0" w:color="auto"/>
        <w:right w:val="none" w:sz="0" w:space="0" w:color="auto"/>
      </w:divBdr>
    </w:div>
    <w:div w:id="840195700">
      <w:bodyDiv w:val="1"/>
      <w:marLeft w:val="0"/>
      <w:marRight w:val="0"/>
      <w:marTop w:val="0"/>
      <w:marBottom w:val="0"/>
      <w:divBdr>
        <w:top w:val="none" w:sz="0" w:space="0" w:color="auto"/>
        <w:left w:val="none" w:sz="0" w:space="0" w:color="auto"/>
        <w:bottom w:val="none" w:sz="0" w:space="0" w:color="auto"/>
        <w:right w:val="none" w:sz="0" w:space="0" w:color="auto"/>
      </w:divBdr>
    </w:div>
    <w:div w:id="851141427">
      <w:bodyDiv w:val="1"/>
      <w:marLeft w:val="0"/>
      <w:marRight w:val="0"/>
      <w:marTop w:val="0"/>
      <w:marBottom w:val="0"/>
      <w:divBdr>
        <w:top w:val="none" w:sz="0" w:space="0" w:color="auto"/>
        <w:left w:val="none" w:sz="0" w:space="0" w:color="auto"/>
        <w:bottom w:val="none" w:sz="0" w:space="0" w:color="auto"/>
        <w:right w:val="none" w:sz="0" w:space="0" w:color="auto"/>
      </w:divBdr>
    </w:div>
    <w:div w:id="861557668">
      <w:bodyDiv w:val="1"/>
      <w:marLeft w:val="0"/>
      <w:marRight w:val="0"/>
      <w:marTop w:val="0"/>
      <w:marBottom w:val="0"/>
      <w:divBdr>
        <w:top w:val="none" w:sz="0" w:space="0" w:color="auto"/>
        <w:left w:val="none" w:sz="0" w:space="0" w:color="auto"/>
        <w:bottom w:val="none" w:sz="0" w:space="0" w:color="auto"/>
        <w:right w:val="none" w:sz="0" w:space="0" w:color="auto"/>
      </w:divBdr>
    </w:div>
    <w:div w:id="874274114">
      <w:bodyDiv w:val="1"/>
      <w:marLeft w:val="0"/>
      <w:marRight w:val="0"/>
      <w:marTop w:val="0"/>
      <w:marBottom w:val="0"/>
      <w:divBdr>
        <w:top w:val="none" w:sz="0" w:space="0" w:color="auto"/>
        <w:left w:val="none" w:sz="0" w:space="0" w:color="auto"/>
        <w:bottom w:val="none" w:sz="0" w:space="0" w:color="auto"/>
        <w:right w:val="none" w:sz="0" w:space="0" w:color="auto"/>
      </w:divBdr>
    </w:div>
    <w:div w:id="875704247">
      <w:bodyDiv w:val="1"/>
      <w:marLeft w:val="0"/>
      <w:marRight w:val="0"/>
      <w:marTop w:val="0"/>
      <w:marBottom w:val="0"/>
      <w:divBdr>
        <w:top w:val="none" w:sz="0" w:space="0" w:color="auto"/>
        <w:left w:val="none" w:sz="0" w:space="0" w:color="auto"/>
        <w:bottom w:val="none" w:sz="0" w:space="0" w:color="auto"/>
        <w:right w:val="none" w:sz="0" w:space="0" w:color="auto"/>
      </w:divBdr>
    </w:div>
    <w:div w:id="886144087">
      <w:bodyDiv w:val="1"/>
      <w:marLeft w:val="0"/>
      <w:marRight w:val="0"/>
      <w:marTop w:val="0"/>
      <w:marBottom w:val="0"/>
      <w:divBdr>
        <w:top w:val="none" w:sz="0" w:space="0" w:color="auto"/>
        <w:left w:val="none" w:sz="0" w:space="0" w:color="auto"/>
        <w:bottom w:val="none" w:sz="0" w:space="0" w:color="auto"/>
        <w:right w:val="none" w:sz="0" w:space="0" w:color="auto"/>
      </w:divBdr>
    </w:div>
    <w:div w:id="896205096">
      <w:bodyDiv w:val="1"/>
      <w:marLeft w:val="0"/>
      <w:marRight w:val="0"/>
      <w:marTop w:val="0"/>
      <w:marBottom w:val="0"/>
      <w:divBdr>
        <w:top w:val="none" w:sz="0" w:space="0" w:color="auto"/>
        <w:left w:val="none" w:sz="0" w:space="0" w:color="auto"/>
        <w:bottom w:val="none" w:sz="0" w:space="0" w:color="auto"/>
        <w:right w:val="none" w:sz="0" w:space="0" w:color="auto"/>
      </w:divBdr>
    </w:div>
    <w:div w:id="898589473">
      <w:bodyDiv w:val="1"/>
      <w:marLeft w:val="0"/>
      <w:marRight w:val="0"/>
      <w:marTop w:val="0"/>
      <w:marBottom w:val="0"/>
      <w:divBdr>
        <w:top w:val="none" w:sz="0" w:space="0" w:color="auto"/>
        <w:left w:val="none" w:sz="0" w:space="0" w:color="auto"/>
        <w:bottom w:val="none" w:sz="0" w:space="0" w:color="auto"/>
        <w:right w:val="none" w:sz="0" w:space="0" w:color="auto"/>
      </w:divBdr>
    </w:div>
    <w:div w:id="901211331">
      <w:bodyDiv w:val="1"/>
      <w:marLeft w:val="0"/>
      <w:marRight w:val="0"/>
      <w:marTop w:val="0"/>
      <w:marBottom w:val="0"/>
      <w:divBdr>
        <w:top w:val="none" w:sz="0" w:space="0" w:color="auto"/>
        <w:left w:val="none" w:sz="0" w:space="0" w:color="auto"/>
        <w:bottom w:val="none" w:sz="0" w:space="0" w:color="auto"/>
        <w:right w:val="none" w:sz="0" w:space="0" w:color="auto"/>
      </w:divBdr>
    </w:div>
    <w:div w:id="905577740">
      <w:bodyDiv w:val="1"/>
      <w:marLeft w:val="0"/>
      <w:marRight w:val="0"/>
      <w:marTop w:val="0"/>
      <w:marBottom w:val="0"/>
      <w:divBdr>
        <w:top w:val="none" w:sz="0" w:space="0" w:color="auto"/>
        <w:left w:val="none" w:sz="0" w:space="0" w:color="auto"/>
        <w:bottom w:val="none" w:sz="0" w:space="0" w:color="auto"/>
        <w:right w:val="none" w:sz="0" w:space="0" w:color="auto"/>
      </w:divBdr>
    </w:div>
    <w:div w:id="907300133">
      <w:bodyDiv w:val="1"/>
      <w:marLeft w:val="0"/>
      <w:marRight w:val="0"/>
      <w:marTop w:val="0"/>
      <w:marBottom w:val="0"/>
      <w:divBdr>
        <w:top w:val="none" w:sz="0" w:space="0" w:color="auto"/>
        <w:left w:val="none" w:sz="0" w:space="0" w:color="auto"/>
        <w:bottom w:val="none" w:sz="0" w:space="0" w:color="auto"/>
        <w:right w:val="none" w:sz="0" w:space="0" w:color="auto"/>
      </w:divBdr>
    </w:div>
    <w:div w:id="909190500">
      <w:bodyDiv w:val="1"/>
      <w:marLeft w:val="0"/>
      <w:marRight w:val="0"/>
      <w:marTop w:val="0"/>
      <w:marBottom w:val="0"/>
      <w:divBdr>
        <w:top w:val="none" w:sz="0" w:space="0" w:color="auto"/>
        <w:left w:val="none" w:sz="0" w:space="0" w:color="auto"/>
        <w:bottom w:val="none" w:sz="0" w:space="0" w:color="auto"/>
        <w:right w:val="none" w:sz="0" w:space="0" w:color="auto"/>
      </w:divBdr>
    </w:div>
    <w:div w:id="915939395">
      <w:bodyDiv w:val="1"/>
      <w:marLeft w:val="0"/>
      <w:marRight w:val="0"/>
      <w:marTop w:val="0"/>
      <w:marBottom w:val="0"/>
      <w:divBdr>
        <w:top w:val="none" w:sz="0" w:space="0" w:color="auto"/>
        <w:left w:val="none" w:sz="0" w:space="0" w:color="auto"/>
        <w:bottom w:val="none" w:sz="0" w:space="0" w:color="auto"/>
        <w:right w:val="none" w:sz="0" w:space="0" w:color="auto"/>
      </w:divBdr>
    </w:div>
    <w:div w:id="922569960">
      <w:bodyDiv w:val="1"/>
      <w:marLeft w:val="0"/>
      <w:marRight w:val="0"/>
      <w:marTop w:val="0"/>
      <w:marBottom w:val="0"/>
      <w:divBdr>
        <w:top w:val="none" w:sz="0" w:space="0" w:color="auto"/>
        <w:left w:val="none" w:sz="0" w:space="0" w:color="auto"/>
        <w:bottom w:val="none" w:sz="0" w:space="0" w:color="auto"/>
        <w:right w:val="none" w:sz="0" w:space="0" w:color="auto"/>
      </w:divBdr>
    </w:div>
    <w:div w:id="925531463">
      <w:bodyDiv w:val="1"/>
      <w:marLeft w:val="0"/>
      <w:marRight w:val="0"/>
      <w:marTop w:val="0"/>
      <w:marBottom w:val="0"/>
      <w:divBdr>
        <w:top w:val="none" w:sz="0" w:space="0" w:color="auto"/>
        <w:left w:val="none" w:sz="0" w:space="0" w:color="auto"/>
        <w:bottom w:val="none" w:sz="0" w:space="0" w:color="auto"/>
        <w:right w:val="none" w:sz="0" w:space="0" w:color="auto"/>
      </w:divBdr>
    </w:div>
    <w:div w:id="941036987">
      <w:bodyDiv w:val="1"/>
      <w:marLeft w:val="0"/>
      <w:marRight w:val="0"/>
      <w:marTop w:val="0"/>
      <w:marBottom w:val="0"/>
      <w:divBdr>
        <w:top w:val="none" w:sz="0" w:space="0" w:color="auto"/>
        <w:left w:val="none" w:sz="0" w:space="0" w:color="auto"/>
        <w:bottom w:val="none" w:sz="0" w:space="0" w:color="auto"/>
        <w:right w:val="none" w:sz="0" w:space="0" w:color="auto"/>
      </w:divBdr>
    </w:div>
    <w:div w:id="944652497">
      <w:bodyDiv w:val="1"/>
      <w:marLeft w:val="0"/>
      <w:marRight w:val="0"/>
      <w:marTop w:val="0"/>
      <w:marBottom w:val="0"/>
      <w:divBdr>
        <w:top w:val="none" w:sz="0" w:space="0" w:color="auto"/>
        <w:left w:val="none" w:sz="0" w:space="0" w:color="auto"/>
        <w:bottom w:val="none" w:sz="0" w:space="0" w:color="auto"/>
        <w:right w:val="none" w:sz="0" w:space="0" w:color="auto"/>
      </w:divBdr>
    </w:div>
    <w:div w:id="944732650">
      <w:bodyDiv w:val="1"/>
      <w:marLeft w:val="0"/>
      <w:marRight w:val="0"/>
      <w:marTop w:val="0"/>
      <w:marBottom w:val="0"/>
      <w:divBdr>
        <w:top w:val="none" w:sz="0" w:space="0" w:color="auto"/>
        <w:left w:val="none" w:sz="0" w:space="0" w:color="auto"/>
        <w:bottom w:val="none" w:sz="0" w:space="0" w:color="auto"/>
        <w:right w:val="none" w:sz="0" w:space="0" w:color="auto"/>
      </w:divBdr>
    </w:div>
    <w:div w:id="945234339">
      <w:bodyDiv w:val="1"/>
      <w:marLeft w:val="0"/>
      <w:marRight w:val="0"/>
      <w:marTop w:val="0"/>
      <w:marBottom w:val="0"/>
      <w:divBdr>
        <w:top w:val="none" w:sz="0" w:space="0" w:color="auto"/>
        <w:left w:val="none" w:sz="0" w:space="0" w:color="auto"/>
        <w:bottom w:val="none" w:sz="0" w:space="0" w:color="auto"/>
        <w:right w:val="none" w:sz="0" w:space="0" w:color="auto"/>
      </w:divBdr>
    </w:div>
    <w:div w:id="945384381">
      <w:bodyDiv w:val="1"/>
      <w:marLeft w:val="0"/>
      <w:marRight w:val="0"/>
      <w:marTop w:val="0"/>
      <w:marBottom w:val="0"/>
      <w:divBdr>
        <w:top w:val="none" w:sz="0" w:space="0" w:color="auto"/>
        <w:left w:val="none" w:sz="0" w:space="0" w:color="auto"/>
        <w:bottom w:val="none" w:sz="0" w:space="0" w:color="auto"/>
        <w:right w:val="none" w:sz="0" w:space="0" w:color="auto"/>
      </w:divBdr>
    </w:div>
    <w:div w:id="946305091">
      <w:bodyDiv w:val="1"/>
      <w:marLeft w:val="0"/>
      <w:marRight w:val="0"/>
      <w:marTop w:val="0"/>
      <w:marBottom w:val="0"/>
      <w:divBdr>
        <w:top w:val="none" w:sz="0" w:space="0" w:color="auto"/>
        <w:left w:val="none" w:sz="0" w:space="0" w:color="auto"/>
        <w:bottom w:val="none" w:sz="0" w:space="0" w:color="auto"/>
        <w:right w:val="none" w:sz="0" w:space="0" w:color="auto"/>
      </w:divBdr>
    </w:div>
    <w:div w:id="953361547">
      <w:bodyDiv w:val="1"/>
      <w:marLeft w:val="0"/>
      <w:marRight w:val="0"/>
      <w:marTop w:val="0"/>
      <w:marBottom w:val="0"/>
      <w:divBdr>
        <w:top w:val="none" w:sz="0" w:space="0" w:color="auto"/>
        <w:left w:val="none" w:sz="0" w:space="0" w:color="auto"/>
        <w:bottom w:val="none" w:sz="0" w:space="0" w:color="auto"/>
        <w:right w:val="none" w:sz="0" w:space="0" w:color="auto"/>
      </w:divBdr>
    </w:div>
    <w:div w:id="959603534">
      <w:bodyDiv w:val="1"/>
      <w:marLeft w:val="0"/>
      <w:marRight w:val="0"/>
      <w:marTop w:val="0"/>
      <w:marBottom w:val="0"/>
      <w:divBdr>
        <w:top w:val="none" w:sz="0" w:space="0" w:color="auto"/>
        <w:left w:val="none" w:sz="0" w:space="0" w:color="auto"/>
        <w:bottom w:val="none" w:sz="0" w:space="0" w:color="auto"/>
        <w:right w:val="none" w:sz="0" w:space="0" w:color="auto"/>
      </w:divBdr>
    </w:div>
    <w:div w:id="969625746">
      <w:bodyDiv w:val="1"/>
      <w:marLeft w:val="0"/>
      <w:marRight w:val="0"/>
      <w:marTop w:val="0"/>
      <w:marBottom w:val="0"/>
      <w:divBdr>
        <w:top w:val="none" w:sz="0" w:space="0" w:color="auto"/>
        <w:left w:val="none" w:sz="0" w:space="0" w:color="auto"/>
        <w:bottom w:val="none" w:sz="0" w:space="0" w:color="auto"/>
        <w:right w:val="none" w:sz="0" w:space="0" w:color="auto"/>
      </w:divBdr>
    </w:div>
    <w:div w:id="994652544">
      <w:bodyDiv w:val="1"/>
      <w:marLeft w:val="0"/>
      <w:marRight w:val="0"/>
      <w:marTop w:val="0"/>
      <w:marBottom w:val="0"/>
      <w:divBdr>
        <w:top w:val="none" w:sz="0" w:space="0" w:color="auto"/>
        <w:left w:val="none" w:sz="0" w:space="0" w:color="auto"/>
        <w:bottom w:val="none" w:sz="0" w:space="0" w:color="auto"/>
        <w:right w:val="none" w:sz="0" w:space="0" w:color="auto"/>
      </w:divBdr>
    </w:div>
    <w:div w:id="995189121">
      <w:bodyDiv w:val="1"/>
      <w:marLeft w:val="0"/>
      <w:marRight w:val="0"/>
      <w:marTop w:val="0"/>
      <w:marBottom w:val="0"/>
      <w:divBdr>
        <w:top w:val="none" w:sz="0" w:space="0" w:color="auto"/>
        <w:left w:val="none" w:sz="0" w:space="0" w:color="auto"/>
        <w:bottom w:val="none" w:sz="0" w:space="0" w:color="auto"/>
        <w:right w:val="none" w:sz="0" w:space="0" w:color="auto"/>
      </w:divBdr>
    </w:div>
    <w:div w:id="996766621">
      <w:bodyDiv w:val="1"/>
      <w:marLeft w:val="0"/>
      <w:marRight w:val="0"/>
      <w:marTop w:val="0"/>
      <w:marBottom w:val="0"/>
      <w:divBdr>
        <w:top w:val="none" w:sz="0" w:space="0" w:color="auto"/>
        <w:left w:val="none" w:sz="0" w:space="0" w:color="auto"/>
        <w:bottom w:val="none" w:sz="0" w:space="0" w:color="auto"/>
        <w:right w:val="none" w:sz="0" w:space="0" w:color="auto"/>
      </w:divBdr>
    </w:div>
    <w:div w:id="1002317647">
      <w:bodyDiv w:val="1"/>
      <w:marLeft w:val="0"/>
      <w:marRight w:val="0"/>
      <w:marTop w:val="0"/>
      <w:marBottom w:val="0"/>
      <w:divBdr>
        <w:top w:val="none" w:sz="0" w:space="0" w:color="auto"/>
        <w:left w:val="none" w:sz="0" w:space="0" w:color="auto"/>
        <w:bottom w:val="none" w:sz="0" w:space="0" w:color="auto"/>
        <w:right w:val="none" w:sz="0" w:space="0" w:color="auto"/>
      </w:divBdr>
    </w:div>
    <w:div w:id="1003818630">
      <w:bodyDiv w:val="1"/>
      <w:marLeft w:val="0"/>
      <w:marRight w:val="0"/>
      <w:marTop w:val="0"/>
      <w:marBottom w:val="0"/>
      <w:divBdr>
        <w:top w:val="none" w:sz="0" w:space="0" w:color="auto"/>
        <w:left w:val="none" w:sz="0" w:space="0" w:color="auto"/>
        <w:bottom w:val="none" w:sz="0" w:space="0" w:color="auto"/>
        <w:right w:val="none" w:sz="0" w:space="0" w:color="auto"/>
      </w:divBdr>
    </w:div>
    <w:div w:id="1005089869">
      <w:bodyDiv w:val="1"/>
      <w:marLeft w:val="0"/>
      <w:marRight w:val="0"/>
      <w:marTop w:val="0"/>
      <w:marBottom w:val="0"/>
      <w:divBdr>
        <w:top w:val="none" w:sz="0" w:space="0" w:color="auto"/>
        <w:left w:val="none" w:sz="0" w:space="0" w:color="auto"/>
        <w:bottom w:val="none" w:sz="0" w:space="0" w:color="auto"/>
        <w:right w:val="none" w:sz="0" w:space="0" w:color="auto"/>
      </w:divBdr>
    </w:div>
    <w:div w:id="1006055334">
      <w:bodyDiv w:val="1"/>
      <w:marLeft w:val="0"/>
      <w:marRight w:val="0"/>
      <w:marTop w:val="0"/>
      <w:marBottom w:val="0"/>
      <w:divBdr>
        <w:top w:val="none" w:sz="0" w:space="0" w:color="auto"/>
        <w:left w:val="none" w:sz="0" w:space="0" w:color="auto"/>
        <w:bottom w:val="none" w:sz="0" w:space="0" w:color="auto"/>
        <w:right w:val="none" w:sz="0" w:space="0" w:color="auto"/>
      </w:divBdr>
    </w:div>
    <w:div w:id="1011302021">
      <w:bodyDiv w:val="1"/>
      <w:marLeft w:val="0"/>
      <w:marRight w:val="0"/>
      <w:marTop w:val="0"/>
      <w:marBottom w:val="0"/>
      <w:divBdr>
        <w:top w:val="none" w:sz="0" w:space="0" w:color="auto"/>
        <w:left w:val="none" w:sz="0" w:space="0" w:color="auto"/>
        <w:bottom w:val="none" w:sz="0" w:space="0" w:color="auto"/>
        <w:right w:val="none" w:sz="0" w:space="0" w:color="auto"/>
      </w:divBdr>
    </w:div>
    <w:div w:id="1017855173">
      <w:bodyDiv w:val="1"/>
      <w:marLeft w:val="0"/>
      <w:marRight w:val="0"/>
      <w:marTop w:val="0"/>
      <w:marBottom w:val="0"/>
      <w:divBdr>
        <w:top w:val="none" w:sz="0" w:space="0" w:color="auto"/>
        <w:left w:val="none" w:sz="0" w:space="0" w:color="auto"/>
        <w:bottom w:val="none" w:sz="0" w:space="0" w:color="auto"/>
        <w:right w:val="none" w:sz="0" w:space="0" w:color="auto"/>
      </w:divBdr>
    </w:div>
    <w:div w:id="1026980058">
      <w:bodyDiv w:val="1"/>
      <w:marLeft w:val="0"/>
      <w:marRight w:val="0"/>
      <w:marTop w:val="0"/>
      <w:marBottom w:val="0"/>
      <w:divBdr>
        <w:top w:val="none" w:sz="0" w:space="0" w:color="auto"/>
        <w:left w:val="none" w:sz="0" w:space="0" w:color="auto"/>
        <w:bottom w:val="none" w:sz="0" w:space="0" w:color="auto"/>
        <w:right w:val="none" w:sz="0" w:space="0" w:color="auto"/>
      </w:divBdr>
    </w:div>
    <w:div w:id="1037007512">
      <w:bodyDiv w:val="1"/>
      <w:marLeft w:val="0"/>
      <w:marRight w:val="0"/>
      <w:marTop w:val="0"/>
      <w:marBottom w:val="0"/>
      <w:divBdr>
        <w:top w:val="none" w:sz="0" w:space="0" w:color="auto"/>
        <w:left w:val="none" w:sz="0" w:space="0" w:color="auto"/>
        <w:bottom w:val="none" w:sz="0" w:space="0" w:color="auto"/>
        <w:right w:val="none" w:sz="0" w:space="0" w:color="auto"/>
      </w:divBdr>
    </w:div>
    <w:div w:id="1037314954">
      <w:bodyDiv w:val="1"/>
      <w:marLeft w:val="0"/>
      <w:marRight w:val="0"/>
      <w:marTop w:val="0"/>
      <w:marBottom w:val="0"/>
      <w:divBdr>
        <w:top w:val="none" w:sz="0" w:space="0" w:color="auto"/>
        <w:left w:val="none" w:sz="0" w:space="0" w:color="auto"/>
        <w:bottom w:val="none" w:sz="0" w:space="0" w:color="auto"/>
        <w:right w:val="none" w:sz="0" w:space="0" w:color="auto"/>
      </w:divBdr>
    </w:div>
    <w:div w:id="1041588876">
      <w:bodyDiv w:val="1"/>
      <w:marLeft w:val="0"/>
      <w:marRight w:val="0"/>
      <w:marTop w:val="0"/>
      <w:marBottom w:val="0"/>
      <w:divBdr>
        <w:top w:val="none" w:sz="0" w:space="0" w:color="auto"/>
        <w:left w:val="none" w:sz="0" w:space="0" w:color="auto"/>
        <w:bottom w:val="none" w:sz="0" w:space="0" w:color="auto"/>
        <w:right w:val="none" w:sz="0" w:space="0" w:color="auto"/>
      </w:divBdr>
    </w:div>
    <w:div w:id="1054623758">
      <w:bodyDiv w:val="1"/>
      <w:marLeft w:val="0"/>
      <w:marRight w:val="0"/>
      <w:marTop w:val="0"/>
      <w:marBottom w:val="0"/>
      <w:divBdr>
        <w:top w:val="none" w:sz="0" w:space="0" w:color="auto"/>
        <w:left w:val="none" w:sz="0" w:space="0" w:color="auto"/>
        <w:bottom w:val="none" w:sz="0" w:space="0" w:color="auto"/>
        <w:right w:val="none" w:sz="0" w:space="0" w:color="auto"/>
      </w:divBdr>
    </w:div>
    <w:div w:id="1056515609">
      <w:bodyDiv w:val="1"/>
      <w:marLeft w:val="0"/>
      <w:marRight w:val="0"/>
      <w:marTop w:val="0"/>
      <w:marBottom w:val="0"/>
      <w:divBdr>
        <w:top w:val="none" w:sz="0" w:space="0" w:color="auto"/>
        <w:left w:val="none" w:sz="0" w:space="0" w:color="auto"/>
        <w:bottom w:val="none" w:sz="0" w:space="0" w:color="auto"/>
        <w:right w:val="none" w:sz="0" w:space="0" w:color="auto"/>
      </w:divBdr>
    </w:div>
    <w:div w:id="1057045116">
      <w:bodyDiv w:val="1"/>
      <w:marLeft w:val="0"/>
      <w:marRight w:val="0"/>
      <w:marTop w:val="0"/>
      <w:marBottom w:val="0"/>
      <w:divBdr>
        <w:top w:val="none" w:sz="0" w:space="0" w:color="auto"/>
        <w:left w:val="none" w:sz="0" w:space="0" w:color="auto"/>
        <w:bottom w:val="none" w:sz="0" w:space="0" w:color="auto"/>
        <w:right w:val="none" w:sz="0" w:space="0" w:color="auto"/>
      </w:divBdr>
    </w:div>
    <w:div w:id="1058554368">
      <w:bodyDiv w:val="1"/>
      <w:marLeft w:val="0"/>
      <w:marRight w:val="0"/>
      <w:marTop w:val="0"/>
      <w:marBottom w:val="0"/>
      <w:divBdr>
        <w:top w:val="none" w:sz="0" w:space="0" w:color="auto"/>
        <w:left w:val="none" w:sz="0" w:space="0" w:color="auto"/>
        <w:bottom w:val="none" w:sz="0" w:space="0" w:color="auto"/>
        <w:right w:val="none" w:sz="0" w:space="0" w:color="auto"/>
      </w:divBdr>
    </w:div>
    <w:div w:id="1063717984">
      <w:bodyDiv w:val="1"/>
      <w:marLeft w:val="0"/>
      <w:marRight w:val="0"/>
      <w:marTop w:val="0"/>
      <w:marBottom w:val="0"/>
      <w:divBdr>
        <w:top w:val="none" w:sz="0" w:space="0" w:color="auto"/>
        <w:left w:val="none" w:sz="0" w:space="0" w:color="auto"/>
        <w:bottom w:val="none" w:sz="0" w:space="0" w:color="auto"/>
        <w:right w:val="none" w:sz="0" w:space="0" w:color="auto"/>
      </w:divBdr>
    </w:div>
    <w:div w:id="1069423962">
      <w:bodyDiv w:val="1"/>
      <w:marLeft w:val="0"/>
      <w:marRight w:val="0"/>
      <w:marTop w:val="0"/>
      <w:marBottom w:val="0"/>
      <w:divBdr>
        <w:top w:val="none" w:sz="0" w:space="0" w:color="auto"/>
        <w:left w:val="none" w:sz="0" w:space="0" w:color="auto"/>
        <w:bottom w:val="none" w:sz="0" w:space="0" w:color="auto"/>
        <w:right w:val="none" w:sz="0" w:space="0" w:color="auto"/>
      </w:divBdr>
    </w:div>
    <w:div w:id="1082524874">
      <w:bodyDiv w:val="1"/>
      <w:marLeft w:val="0"/>
      <w:marRight w:val="0"/>
      <w:marTop w:val="0"/>
      <w:marBottom w:val="0"/>
      <w:divBdr>
        <w:top w:val="none" w:sz="0" w:space="0" w:color="auto"/>
        <w:left w:val="none" w:sz="0" w:space="0" w:color="auto"/>
        <w:bottom w:val="none" w:sz="0" w:space="0" w:color="auto"/>
        <w:right w:val="none" w:sz="0" w:space="0" w:color="auto"/>
      </w:divBdr>
    </w:div>
    <w:div w:id="1084061951">
      <w:bodyDiv w:val="1"/>
      <w:marLeft w:val="0"/>
      <w:marRight w:val="0"/>
      <w:marTop w:val="0"/>
      <w:marBottom w:val="0"/>
      <w:divBdr>
        <w:top w:val="none" w:sz="0" w:space="0" w:color="auto"/>
        <w:left w:val="none" w:sz="0" w:space="0" w:color="auto"/>
        <w:bottom w:val="none" w:sz="0" w:space="0" w:color="auto"/>
        <w:right w:val="none" w:sz="0" w:space="0" w:color="auto"/>
      </w:divBdr>
    </w:div>
    <w:div w:id="1085613010">
      <w:bodyDiv w:val="1"/>
      <w:marLeft w:val="0"/>
      <w:marRight w:val="0"/>
      <w:marTop w:val="0"/>
      <w:marBottom w:val="0"/>
      <w:divBdr>
        <w:top w:val="none" w:sz="0" w:space="0" w:color="auto"/>
        <w:left w:val="none" w:sz="0" w:space="0" w:color="auto"/>
        <w:bottom w:val="none" w:sz="0" w:space="0" w:color="auto"/>
        <w:right w:val="none" w:sz="0" w:space="0" w:color="auto"/>
      </w:divBdr>
    </w:div>
    <w:div w:id="1086194854">
      <w:bodyDiv w:val="1"/>
      <w:marLeft w:val="0"/>
      <w:marRight w:val="0"/>
      <w:marTop w:val="0"/>
      <w:marBottom w:val="0"/>
      <w:divBdr>
        <w:top w:val="none" w:sz="0" w:space="0" w:color="auto"/>
        <w:left w:val="none" w:sz="0" w:space="0" w:color="auto"/>
        <w:bottom w:val="none" w:sz="0" w:space="0" w:color="auto"/>
        <w:right w:val="none" w:sz="0" w:space="0" w:color="auto"/>
      </w:divBdr>
    </w:div>
    <w:div w:id="1086534712">
      <w:bodyDiv w:val="1"/>
      <w:marLeft w:val="0"/>
      <w:marRight w:val="0"/>
      <w:marTop w:val="0"/>
      <w:marBottom w:val="0"/>
      <w:divBdr>
        <w:top w:val="none" w:sz="0" w:space="0" w:color="auto"/>
        <w:left w:val="none" w:sz="0" w:space="0" w:color="auto"/>
        <w:bottom w:val="none" w:sz="0" w:space="0" w:color="auto"/>
        <w:right w:val="none" w:sz="0" w:space="0" w:color="auto"/>
      </w:divBdr>
    </w:div>
    <w:div w:id="1091660770">
      <w:bodyDiv w:val="1"/>
      <w:marLeft w:val="0"/>
      <w:marRight w:val="0"/>
      <w:marTop w:val="0"/>
      <w:marBottom w:val="0"/>
      <w:divBdr>
        <w:top w:val="none" w:sz="0" w:space="0" w:color="auto"/>
        <w:left w:val="none" w:sz="0" w:space="0" w:color="auto"/>
        <w:bottom w:val="none" w:sz="0" w:space="0" w:color="auto"/>
        <w:right w:val="none" w:sz="0" w:space="0" w:color="auto"/>
      </w:divBdr>
    </w:div>
    <w:div w:id="1092896660">
      <w:bodyDiv w:val="1"/>
      <w:marLeft w:val="0"/>
      <w:marRight w:val="0"/>
      <w:marTop w:val="0"/>
      <w:marBottom w:val="0"/>
      <w:divBdr>
        <w:top w:val="none" w:sz="0" w:space="0" w:color="auto"/>
        <w:left w:val="none" w:sz="0" w:space="0" w:color="auto"/>
        <w:bottom w:val="none" w:sz="0" w:space="0" w:color="auto"/>
        <w:right w:val="none" w:sz="0" w:space="0" w:color="auto"/>
      </w:divBdr>
    </w:div>
    <w:div w:id="1097868316">
      <w:bodyDiv w:val="1"/>
      <w:marLeft w:val="0"/>
      <w:marRight w:val="0"/>
      <w:marTop w:val="0"/>
      <w:marBottom w:val="0"/>
      <w:divBdr>
        <w:top w:val="none" w:sz="0" w:space="0" w:color="auto"/>
        <w:left w:val="none" w:sz="0" w:space="0" w:color="auto"/>
        <w:bottom w:val="none" w:sz="0" w:space="0" w:color="auto"/>
        <w:right w:val="none" w:sz="0" w:space="0" w:color="auto"/>
      </w:divBdr>
    </w:div>
    <w:div w:id="1108700375">
      <w:bodyDiv w:val="1"/>
      <w:marLeft w:val="0"/>
      <w:marRight w:val="0"/>
      <w:marTop w:val="0"/>
      <w:marBottom w:val="0"/>
      <w:divBdr>
        <w:top w:val="none" w:sz="0" w:space="0" w:color="auto"/>
        <w:left w:val="none" w:sz="0" w:space="0" w:color="auto"/>
        <w:bottom w:val="none" w:sz="0" w:space="0" w:color="auto"/>
        <w:right w:val="none" w:sz="0" w:space="0" w:color="auto"/>
      </w:divBdr>
    </w:div>
    <w:div w:id="1115095745">
      <w:bodyDiv w:val="1"/>
      <w:marLeft w:val="0"/>
      <w:marRight w:val="0"/>
      <w:marTop w:val="0"/>
      <w:marBottom w:val="0"/>
      <w:divBdr>
        <w:top w:val="none" w:sz="0" w:space="0" w:color="auto"/>
        <w:left w:val="none" w:sz="0" w:space="0" w:color="auto"/>
        <w:bottom w:val="none" w:sz="0" w:space="0" w:color="auto"/>
        <w:right w:val="none" w:sz="0" w:space="0" w:color="auto"/>
      </w:divBdr>
    </w:div>
    <w:div w:id="1115636819">
      <w:bodyDiv w:val="1"/>
      <w:marLeft w:val="0"/>
      <w:marRight w:val="0"/>
      <w:marTop w:val="0"/>
      <w:marBottom w:val="0"/>
      <w:divBdr>
        <w:top w:val="none" w:sz="0" w:space="0" w:color="auto"/>
        <w:left w:val="none" w:sz="0" w:space="0" w:color="auto"/>
        <w:bottom w:val="none" w:sz="0" w:space="0" w:color="auto"/>
        <w:right w:val="none" w:sz="0" w:space="0" w:color="auto"/>
      </w:divBdr>
    </w:div>
    <w:div w:id="1123304472">
      <w:bodyDiv w:val="1"/>
      <w:marLeft w:val="0"/>
      <w:marRight w:val="0"/>
      <w:marTop w:val="0"/>
      <w:marBottom w:val="0"/>
      <w:divBdr>
        <w:top w:val="none" w:sz="0" w:space="0" w:color="auto"/>
        <w:left w:val="none" w:sz="0" w:space="0" w:color="auto"/>
        <w:bottom w:val="none" w:sz="0" w:space="0" w:color="auto"/>
        <w:right w:val="none" w:sz="0" w:space="0" w:color="auto"/>
      </w:divBdr>
    </w:div>
    <w:div w:id="1129586203">
      <w:bodyDiv w:val="1"/>
      <w:marLeft w:val="0"/>
      <w:marRight w:val="0"/>
      <w:marTop w:val="0"/>
      <w:marBottom w:val="0"/>
      <w:divBdr>
        <w:top w:val="none" w:sz="0" w:space="0" w:color="auto"/>
        <w:left w:val="none" w:sz="0" w:space="0" w:color="auto"/>
        <w:bottom w:val="none" w:sz="0" w:space="0" w:color="auto"/>
        <w:right w:val="none" w:sz="0" w:space="0" w:color="auto"/>
      </w:divBdr>
    </w:div>
    <w:div w:id="1130365601">
      <w:bodyDiv w:val="1"/>
      <w:marLeft w:val="0"/>
      <w:marRight w:val="0"/>
      <w:marTop w:val="0"/>
      <w:marBottom w:val="0"/>
      <w:divBdr>
        <w:top w:val="none" w:sz="0" w:space="0" w:color="auto"/>
        <w:left w:val="none" w:sz="0" w:space="0" w:color="auto"/>
        <w:bottom w:val="none" w:sz="0" w:space="0" w:color="auto"/>
        <w:right w:val="none" w:sz="0" w:space="0" w:color="auto"/>
      </w:divBdr>
    </w:div>
    <w:div w:id="1131166744">
      <w:bodyDiv w:val="1"/>
      <w:marLeft w:val="0"/>
      <w:marRight w:val="0"/>
      <w:marTop w:val="0"/>
      <w:marBottom w:val="0"/>
      <w:divBdr>
        <w:top w:val="none" w:sz="0" w:space="0" w:color="auto"/>
        <w:left w:val="none" w:sz="0" w:space="0" w:color="auto"/>
        <w:bottom w:val="none" w:sz="0" w:space="0" w:color="auto"/>
        <w:right w:val="none" w:sz="0" w:space="0" w:color="auto"/>
      </w:divBdr>
    </w:div>
    <w:div w:id="1131510390">
      <w:bodyDiv w:val="1"/>
      <w:marLeft w:val="0"/>
      <w:marRight w:val="0"/>
      <w:marTop w:val="0"/>
      <w:marBottom w:val="0"/>
      <w:divBdr>
        <w:top w:val="none" w:sz="0" w:space="0" w:color="auto"/>
        <w:left w:val="none" w:sz="0" w:space="0" w:color="auto"/>
        <w:bottom w:val="none" w:sz="0" w:space="0" w:color="auto"/>
        <w:right w:val="none" w:sz="0" w:space="0" w:color="auto"/>
      </w:divBdr>
    </w:div>
    <w:div w:id="1143276830">
      <w:bodyDiv w:val="1"/>
      <w:marLeft w:val="0"/>
      <w:marRight w:val="0"/>
      <w:marTop w:val="0"/>
      <w:marBottom w:val="0"/>
      <w:divBdr>
        <w:top w:val="none" w:sz="0" w:space="0" w:color="auto"/>
        <w:left w:val="none" w:sz="0" w:space="0" w:color="auto"/>
        <w:bottom w:val="none" w:sz="0" w:space="0" w:color="auto"/>
        <w:right w:val="none" w:sz="0" w:space="0" w:color="auto"/>
      </w:divBdr>
    </w:div>
    <w:div w:id="1144733539">
      <w:bodyDiv w:val="1"/>
      <w:marLeft w:val="0"/>
      <w:marRight w:val="0"/>
      <w:marTop w:val="0"/>
      <w:marBottom w:val="0"/>
      <w:divBdr>
        <w:top w:val="none" w:sz="0" w:space="0" w:color="auto"/>
        <w:left w:val="none" w:sz="0" w:space="0" w:color="auto"/>
        <w:bottom w:val="none" w:sz="0" w:space="0" w:color="auto"/>
        <w:right w:val="none" w:sz="0" w:space="0" w:color="auto"/>
      </w:divBdr>
    </w:div>
    <w:div w:id="1148865688">
      <w:bodyDiv w:val="1"/>
      <w:marLeft w:val="0"/>
      <w:marRight w:val="0"/>
      <w:marTop w:val="0"/>
      <w:marBottom w:val="0"/>
      <w:divBdr>
        <w:top w:val="none" w:sz="0" w:space="0" w:color="auto"/>
        <w:left w:val="none" w:sz="0" w:space="0" w:color="auto"/>
        <w:bottom w:val="none" w:sz="0" w:space="0" w:color="auto"/>
        <w:right w:val="none" w:sz="0" w:space="0" w:color="auto"/>
      </w:divBdr>
    </w:div>
    <w:div w:id="1150053487">
      <w:bodyDiv w:val="1"/>
      <w:marLeft w:val="0"/>
      <w:marRight w:val="0"/>
      <w:marTop w:val="0"/>
      <w:marBottom w:val="0"/>
      <w:divBdr>
        <w:top w:val="none" w:sz="0" w:space="0" w:color="auto"/>
        <w:left w:val="none" w:sz="0" w:space="0" w:color="auto"/>
        <w:bottom w:val="none" w:sz="0" w:space="0" w:color="auto"/>
        <w:right w:val="none" w:sz="0" w:space="0" w:color="auto"/>
      </w:divBdr>
    </w:div>
    <w:div w:id="1158695659">
      <w:bodyDiv w:val="1"/>
      <w:marLeft w:val="0"/>
      <w:marRight w:val="0"/>
      <w:marTop w:val="0"/>
      <w:marBottom w:val="0"/>
      <w:divBdr>
        <w:top w:val="none" w:sz="0" w:space="0" w:color="auto"/>
        <w:left w:val="none" w:sz="0" w:space="0" w:color="auto"/>
        <w:bottom w:val="none" w:sz="0" w:space="0" w:color="auto"/>
        <w:right w:val="none" w:sz="0" w:space="0" w:color="auto"/>
      </w:divBdr>
    </w:div>
    <w:div w:id="1159464077">
      <w:bodyDiv w:val="1"/>
      <w:marLeft w:val="0"/>
      <w:marRight w:val="0"/>
      <w:marTop w:val="0"/>
      <w:marBottom w:val="0"/>
      <w:divBdr>
        <w:top w:val="none" w:sz="0" w:space="0" w:color="auto"/>
        <w:left w:val="none" w:sz="0" w:space="0" w:color="auto"/>
        <w:bottom w:val="none" w:sz="0" w:space="0" w:color="auto"/>
        <w:right w:val="none" w:sz="0" w:space="0" w:color="auto"/>
      </w:divBdr>
    </w:div>
    <w:div w:id="1167868868">
      <w:bodyDiv w:val="1"/>
      <w:marLeft w:val="0"/>
      <w:marRight w:val="0"/>
      <w:marTop w:val="0"/>
      <w:marBottom w:val="0"/>
      <w:divBdr>
        <w:top w:val="none" w:sz="0" w:space="0" w:color="auto"/>
        <w:left w:val="none" w:sz="0" w:space="0" w:color="auto"/>
        <w:bottom w:val="none" w:sz="0" w:space="0" w:color="auto"/>
        <w:right w:val="none" w:sz="0" w:space="0" w:color="auto"/>
      </w:divBdr>
    </w:div>
    <w:div w:id="1171529042">
      <w:bodyDiv w:val="1"/>
      <w:marLeft w:val="0"/>
      <w:marRight w:val="0"/>
      <w:marTop w:val="0"/>
      <w:marBottom w:val="0"/>
      <w:divBdr>
        <w:top w:val="none" w:sz="0" w:space="0" w:color="auto"/>
        <w:left w:val="none" w:sz="0" w:space="0" w:color="auto"/>
        <w:bottom w:val="none" w:sz="0" w:space="0" w:color="auto"/>
        <w:right w:val="none" w:sz="0" w:space="0" w:color="auto"/>
      </w:divBdr>
    </w:div>
    <w:div w:id="1173422197">
      <w:bodyDiv w:val="1"/>
      <w:marLeft w:val="0"/>
      <w:marRight w:val="0"/>
      <w:marTop w:val="0"/>
      <w:marBottom w:val="0"/>
      <w:divBdr>
        <w:top w:val="none" w:sz="0" w:space="0" w:color="auto"/>
        <w:left w:val="none" w:sz="0" w:space="0" w:color="auto"/>
        <w:bottom w:val="none" w:sz="0" w:space="0" w:color="auto"/>
        <w:right w:val="none" w:sz="0" w:space="0" w:color="auto"/>
      </w:divBdr>
    </w:div>
    <w:div w:id="1183789322">
      <w:bodyDiv w:val="1"/>
      <w:marLeft w:val="0"/>
      <w:marRight w:val="0"/>
      <w:marTop w:val="0"/>
      <w:marBottom w:val="0"/>
      <w:divBdr>
        <w:top w:val="none" w:sz="0" w:space="0" w:color="auto"/>
        <w:left w:val="none" w:sz="0" w:space="0" w:color="auto"/>
        <w:bottom w:val="none" w:sz="0" w:space="0" w:color="auto"/>
        <w:right w:val="none" w:sz="0" w:space="0" w:color="auto"/>
      </w:divBdr>
    </w:div>
    <w:div w:id="1185512161">
      <w:bodyDiv w:val="1"/>
      <w:marLeft w:val="0"/>
      <w:marRight w:val="0"/>
      <w:marTop w:val="0"/>
      <w:marBottom w:val="0"/>
      <w:divBdr>
        <w:top w:val="none" w:sz="0" w:space="0" w:color="auto"/>
        <w:left w:val="none" w:sz="0" w:space="0" w:color="auto"/>
        <w:bottom w:val="none" w:sz="0" w:space="0" w:color="auto"/>
        <w:right w:val="none" w:sz="0" w:space="0" w:color="auto"/>
      </w:divBdr>
    </w:div>
    <w:div w:id="1196506666">
      <w:bodyDiv w:val="1"/>
      <w:marLeft w:val="0"/>
      <w:marRight w:val="0"/>
      <w:marTop w:val="0"/>
      <w:marBottom w:val="0"/>
      <w:divBdr>
        <w:top w:val="none" w:sz="0" w:space="0" w:color="auto"/>
        <w:left w:val="none" w:sz="0" w:space="0" w:color="auto"/>
        <w:bottom w:val="none" w:sz="0" w:space="0" w:color="auto"/>
        <w:right w:val="none" w:sz="0" w:space="0" w:color="auto"/>
      </w:divBdr>
    </w:div>
    <w:div w:id="1199732675">
      <w:bodyDiv w:val="1"/>
      <w:marLeft w:val="0"/>
      <w:marRight w:val="0"/>
      <w:marTop w:val="0"/>
      <w:marBottom w:val="0"/>
      <w:divBdr>
        <w:top w:val="none" w:sz="0" w:space="0" w:color="auto"/>
        <w:left w:val="none" w:sz="0" w:space="0" w:color="auto"/>
        <w:bottom w:val="none" w:sz="0" w:space="0" w:color="auto"/>
        <w:right w:val="none" w:sz="0" w:space="0" w:color="auto"/>
      </w:divBdr>
    </w:div>
    <w:div w:id="1199853065">
      <w:bodyDiv w:val="1"/>
      <w:marLeft w:val="0"/>
      <w:marRight w:val="0"/>
      <w:marTop w:val="0"/>
      <w:marBottom w:val="0"/>
      <w:divBdr>
        <w:top w:val="none" w:sz="0" w:space="0" w:color="auto"/>
        <w:left w:val="none" w:sz="0" w:space="0" w:color="auto"/>
        <w:bottom w:val="none" w:sz="0" w:space="0" w:color="auto"/>
        <w:right w:val="none" w:sz="0" w:space="0" w:color="auto"/>
      </w:divBdr>
    </w:div>
    <w:div w:id="1203638711">
      <w:bodyDiv w:val="1"/>
      <w:marLeft w:val="0"/>
      <w:marRight w:val="0"/>
      <w:marTop w:val="0"/>
      <w:marBottom w:val="0"/>
      <w:divBdr>
        <w:top w:val="none" w:sz="0" w:space="0" w:color="auto"/>
        <w:left w:val="none" w:sz="0" w:space="0" w:color="auto"/>
        <w:bottom w:val="none" w:sz="0" w:space="0" w:color="auto"/>
        <w:right w:val="none" w:sz="0" w:space="0" w:color="auto"/>
      </w:divBdr>
    </w:div>
    <w:div w:id="1205410421">
      <w:bodyDiv w:val="1"/>
      <w:marLeft w:val="0"/>
      <w:marRight w:val="0"/>
      <w:marTop w:val="0"/>
      <w:marBottom w:val="0"/>
      <w:divBdr>
        <w:top w:val="none" w:sz="0" w:space="0" w:color="auto"/>
        <w:left w:val="none" w:sz="0" w:space="0" w:color="auto"/>
        <w:bottom w:val="none" w:sz="0" w:space="0" w:color="auto"/>
        <w:right w:val="none" w:sz="0" w:space="0" w:color="auto"/>
      </w:divBdr>
    </w:div>
    <w:div w:id="1209489523">
      <w:bodyDiv w:val="1"/>
      <w:marLeft w:val="0"/>
      <w:marRight w:val="0"/>
      <w:marTop w:val="0"/>
      <w:marBottom w:val="0"/>
      <w:divBdr>
        <w:top w:val="none" w:sz="0" w:space="0" w:color="auto"/>
        <w:left w:val="none" w:sz="0" w:space="0" w:color="auto"/>
        <w:bottom w:val="none" w:sz="0" w:space="0" w:color="auto"/>
        <w:right w:val="none" w:sz="0" w:space="0" w:color="auto"/>
      </w:divBdr>
    </w:div>
    <w:div w:id="1219047787">
      <w:bodyDiv w:val="1"/>
      <w:marLeft w:val="0"/>
      <w:marRight w:val="0"/>
      <w:marTop w:val="0"/>
      <w:marBottom w:val="0"/>
      <w:divBdr>
        <w:top w:val="none" w:sz="0" w:space="0" w:color="auto"/>
        <w:left w:val="none" w:sz="0" w:space="0" w:color="auto"/>
        <w:bottom w:val="none" w:sz="0" w:space="0" w:color="auto"/>
        <w:right w:val="none" w:sz="0" w:space="0" w:color="auto"/>
      </w:divBdr>
    </w:div>
    <w:div w:id="1220631351">
      <w:bodyDiv w:val="1"/>
      <w:marLeft w:val="0"/>
      <w:marRight w:val="0"/>
      <w:marTop w:val="0"/>
      <w:marBottom w:val="0"/>
      <w:divBdr>
        <w:top w:val="none" w:sz="0" w:space="0" w:color="auto"/>
        <w:left w:val="none" w:sz="0" w:space="0" w:color="auto"/>
        <w:bottom w:val="none" w:sz="0" w:space="0" w:color="auto"/>
        <w:right w:val="none" w:sz="0" w:space="0" w:color="auto"/>
      </w:divBdr>
    </w:div>
    <w:div w:id="1224173536">
      <w:bodyDiv w:val="1"/>
      <w:marLeft w:val="0"/>
      <w:marRight w:val="0"/>
      <w:marTop w:val="0"/>
      <w:marBottom w:val="0"/>
      <w:divBdr>
        <w:top w:val="none" w:sz="0" w:space="0" w:color="auto"/>
        <w:left w:val="none" w:sz="0" w:space="0" w:color="auto"/>
        <w:bottom w:val="none" w:sz="0" w:space="0" w:color="auto"/>
        <w:right w:val="none" w:sz="0" w:space="0" w:color="auto"/>
      </w:divBdr>
    </w:div>
    <w:div w:id="1230117955">
      <w:bodyDiv w:val="1"/>
      <w:marLeft w:val="0"/>
      <w:marRight w:val="0"/>
      <w:marTop w:val="0"/>
      <w:marBottom w:val="0"/>
      <w:divBdr>
        <w:top w:val="none" w:sz="0" w:space="0" w:color="auto"/>
        <w:left w:val="none" w:sz="0" w:space="0" w:color="auto"/>
        <w:bottom w:val="none" w:sz="0" w:space="0" w:color="auto"/>
        <w:right w:val="none" w:sz="0" w:space="0" w:color="auto"/>
      </w:divBdr>
    </w:div>
    <w:div w:id="1242988446">
      <w:bodyDiv w:val="1"/>
      <w:marLeft w:val="0"/>
      <w:marRight w:val="0"/>
      <w:marTop w:val="0"/>
      <w:marBottom w:val="0"/>
      <w:divBdr>
        <w:top w:val="none" w:sz="0" w:space="0" w:color="auto"/>
        <w:left w:val="none" w:sz="0" w:space="0" w:color="auto"/>
        <w:bottom w:val="none" w:sz="0" w:space="0" w:color="auto"/>
        <w:right w:val="none" w:sz="0" w:space="0" w:color="auto"/>
      </w:divBdr>
    </w:div>
    <w:div w:id="1244490638">
      <w:bodyDiv w:val="1"/>
      <w:marLeft w:val="0"/>
      <w:marRight w:val="0"/>
      <w:marTop w:val="0"/>
      <w:marBottom w:val="0"/>
      <w:divBdr>
        <w:top w:val="none" w:sz="0" w:space="0" w:color="auto"/>
        <w:left w:val="none" w:sz="0" w:space="0" w:color="auto"/>
        <w:bottom w:val="none" w:sz="0" w:space="0" w:color="auto"/>
        <w:right w:val="none" w:sz="0" w:space="0" w:color="auto"/>
      </w:divBdr>
    </w:div>
    <w:div w:id="1248074257">
      <w:bodyDiv w:val="1"/>
      <w:marLeft w:val="0"/>
      <w:marRight w:val="0"/>
      <w:marTop w:val="0"/>
      <w:marBottom w:val="0"/>
      <w:divBdr>
        <w:top w:val="none" w:sz="0" w:space="0" w:color="auto"/>
        <w:left w:val="none" w:sz="0" w:space="0" w:color="auto"/>
        <w:bottom w:val="none" w:sz="0" w:space="0" w:color="auto"/>
        <w:right w:val="none" w:sz="0" w:space="0" w:color="auto"/>
      </w:divBdr>
      <w:divsChild>
        <w:div w:id="1128402323">
          <w:marLeft w:val="0"/>
          <w:marRight w:val="0"/>
          <w:marTop w:val="0"/>
          <w:marBottom w:val="0"/>
          <w:divBdr>
            <w:top w:val="none" w:sz="0" w:space="0" w:color="auto"/>
            <w:left w:val="none" w:sz="0" w:space="0" w:color="auto"/>
            <w:bottom w:val="none" w:sz="0" w:space="0" w:color="auto"/>
            <w:right w:val="none" w:sz="0" w:space="0" w:color="auto"/>
          </w:divBdr>
          <w:divsChild>
            <w:div w:id="302393384">
              <w:marLeft w:val="0"/>
              <w:marRight w:val="0"/>
              <w:marTop w:val="0"/>
              <w:marBottom w:val="0"/>
              <w:divBdr>
                <w:top w:val="none" w:sz="0" w:space="0" w:color="auto"/>
                <w:left w:val="none" w:sz="0" w:space="0" w:color="auto"/>
                <w:bottom w:val="none" w:sz="0" w:space="0" w:color="auto"/>
                <w:right w:val="none" w:sz="0" w:space="0" w:color="auto"/>
              </w:divBdr>
            </w:div>
            <w:div w:id="328101873">
              <w:marLeft w:val="0"/>
              <w:marRight w:val="0"/>
              <w:marTop w:val="0"/>
              <w:marBottom w:val="0"/>
              <w:divBdr>
                <w:top w:val="none" w:sz="0" w:space="0" w:color="auto"/>
                <w:left w:val="none" w:sz="0" w:space="0" w:color="auto"/>
                <w:bottom w:val="none" w:sz="0" w:space="0" w:color="auto"/>
                <w:right w:val="none" w:sz="0" w:space="0" w:color="auto"/>
              </w:divBdr>
            </w:div>
            <w:div w:id="396512923">
              <w:marLeft w:val="0"/>
              <w:marRight w:val="0"/>
              <w:marTop w:val="0"/>
              <w:marBottom w:val="0"/>
              <w:divBdr>
                <w:top w:val="none" w:sz="0" w:space="0" w:color="auto"/>
                <w:left w:val="none" w:sz="0" w:space="0" w:color="auto"/>
                <w:bottom w:val="none" w:sz="0" w:space="0" w:color="auto"/>
                <w:right w:val="none" w:sz="0" w:space="0" w:color="auto"/>
              </w:divBdr>
            </w:div>
            <w:div w:id="560603339">
              <w:marLeft w:val="0"/>
              <w:marRight w:val="0"/>
              <w:marTop w:val="0"/>
              <w:marBottom w:val="0"/>
              <w:divBdr>
                <w:top w:val="none" w:sz="0" w:space="0" w:color="auto"/>
                <w:left w:val="none" w:sz="0" w:space="0" w:color="auto"/>
                <w:bottom w:val="none" w:sz="0" w:space="0" w:color="auto"/>
                <w:right w:val="none" w:sz="0" w:space="0" w:color="auto"/>
              </w:divBdr>
            </w:div>
            <w:div w:id="570384954">
              <w:marLeft w:val="0"/>
              <w:marRight w:val="0"/>
              <w:marTop w:val="0"/>
              <w:marBottom w:val="0"/>
              <w:divBdr>
                <w:top w:val="none" w:sz="0" w:space="0" w:color="auto"/>
                <w:left w:val="none" w:sz="0" w:space="0" w:color="auto"/>
                <w:bottom w:val="none" w:sz="0" w:space="0" w:color="auto"/>
                <w:right w:val="none" w:sz="0" w:space="0" w:color="auto"/>
              </w:divBdr>
            </w:div>
            <w:div w:id="647900687">
              <w:marLeft w:val="0"/>
              <w:marRight w:val="0"/>
              <w:marTop w:val="0"/>
              <w:marBottom w:val="0"/>
              <w:divBdr>
                <w:top w:val="none" w:sz="0" w:space="0" w:color="auto"/>
                <w:left w:val="none" w:sz="0" w:space="0" w:color="auto"/>
                <w:bottom w:val="none" w:sz="0" w:space="0" w:color="auto"/>
                <w:right w:val="none" w:sz="0" w:space="0" w:color="auto"/>
              </w:divBdr>
            </w:div>
            <w:div w:id="752315852">
              <w:marLeft w:val="0"/>
              <w:marRight w:val="0"/>
              <w:marTop w:val="0"/>
              <w:marBottom w:val="0"/>
              <w:divBdr>
                <w:top w:val="none" w:sz="0" w:space="0" w:color="auto"/>
                <w:left w:val="none" w:sz="0" w:space="0" w:color="auto"/>
                <w:bottom w:val="none" w:sz="0" w:space="0" w:color="auto"/>
                <w:right w:val="none" w:sz="0" w:space="0" w:color="auto"/>
              </w:divBdr>
            </w:div>
            <w:div w:id="1196313211">
              <w:marLeft w:val="0"/>
              <w:marRight w:val="0"/>
              <w:marTop w:val="0"/>
              <w:marBottom w:val="0"/>
              <w:divBdr>
                <w:top w:val="none" w:sz="0" w:space="0" w:color="auto"/>
                <w:left w:val="none" w:sz="0" w:space="0" w:color="auto"/>
                <w:bottom w:val="none" w:sz="0" w:space="0" w:color="auto"/>
                <w:right w:val="none" w:sz="0" w:space="0" w:color="auto"/>
              </w:divBdr>
            </w:div>
            <w:div w:id="1206017736">
              <w:marLeft w:val="0"/>
              <w:marRight w:val="0"/>
              <w:marTop w:val="0"/>
              <w:marBottom w:val="0"/>
              <w:divBdr>
                <w:top w:val="none" w:sz="0" w:space="0" w:color="auto"/>
                <w:left w:val="none" w:sz="0" w:space="0" w:color="auto"/>
                <w:bottom w:val="none" w:sz="0" w:space="0" w:color="auto"/>
                <w:right w:val="none" w:sz="0" w:space="0" w:color="auto"/>
              </w:divBdr>
            </w:div>
            <w:div w:id="1253930334">
              <w:marLeft w:val="0"/>
              <w:marRight w:val="0"/>
              <w:marTop w:val="0"/>
              <w:marBottom w:val="0"/>
              <w:divBdr>
                <w:top w:val="none" w:sz="0" w:space="0" w:color="auto"/>
                <w:left w:val="none" w:sz="0" w:space="0" w:color="auto"/>
                <w:bottom w:val="none" w:sz="0" w:space="0" w:color="auto"/>
                <w:right w:val="none" w:sz="0" w:space="0" w:color="auto"/>
              </w:divBdr>
            </w:div>
            <w:div w:id="1334450259">
              <w:marLeft w:val="0"/>
              <w:marRight w:val="0"/>
              <w:marTop w:val="0"/>
              <w:marBottom w:val="0"/>
              <w:divBdr>
                <w:top w:val="none" w:sz="0" w:space="0" w:color="auto"/>
                <w:left w:val="none" w:sz="0" w:space="0" w:color="auto"/>
                <w:bottom w:val="none" w:sz="0" w:space="0" w:color="auto"/>
                <w:right w:val="none" w:sz="0" w:space="0" w:color="auto"/>
              </w:divBdr>
            </w:div>
            <w:div w:id="1382704885">
              <w:marLeft w:val="0"/>
              <w:marRight w:val="0"/>
              <w:marTop w:val="0"/>
              <w:marBottom w:val="0"/>
              <w:divBdr>
                <w:top w:val="none" w:sz="0" w:space="0" w:color="auto"/>
                <w:left w:val="none" w:sz="0" w:space="0" w:color="auto"/>
                <w:bottom w:val="none" w:sz="0" w:space="0" w:color="auto"/>
                <w:right w:val="none" w:sz="0" w:space="0" w:color="auto"/>
              </w:divBdr>
            </w:div>
            <w:div w:id="1440028107">
              <w:marLeft w:val="0"/>
              <w:marRight w:val="0"/>
              <w:marTop w:val="0"/>
              <w:marBottom w:val="0"/>
              <w:divBdr>
                <w:top w:val="none" w:sz="0" w:space="0" w:color="auto"/>
                <w:left w:val="none" w:sz="0" w:space="0" w:color="auto"/>
                <w:bottom w:val="none" w:sz="0" w:space="0" w:color="auto"/>
                <w:right w:val="none" w:sz="0" w:space="0" w:color="auto"/>
              </w:divBdr>
            </w:div>
            <w:div w:id="1537111354">
              <w:marLeft w:val="0"/>
              <w:marRight w:val="0"/>
              <w:marTop w:val="0"/>
              <w:marBottom w:val="0"/>
              <w:divBdr>
                <w:top w:val="none" w:sz="0" w:space="0" w:color="auto"/>
                <w:left w:val="none" w:sz="0" w:space="0" w:color="auto"/>
                <w:bottom w:val="none" w:sz="0" w:space="0" w:color="auto"/>
                <w:right w:val="none" w:sz="0" w:space="0" w:color="auto"/>
              </w:divBdr>
            </w:div>
            <w:div w:id="1546137875">
              <w:marLeft w:val="0"/>
              <w:marRight w:val="0"/>
              <w:marTop w:val="0"/>
              <w:marBottom w:val="0"/>
              <w:divBdr>
                <w:top w:val="none" w:sz="0" w:space="0" w:color="auto"/>
                <w:left w:val="none" w:sz="0" w:space="0" w:color="auto"/>
                <w:bottom w:val="none" w:sz="0" w:space="0" w:color="auto"/>
                <w:right w:val="none" w:sz="0" w:space="0" w:color="auto"/>
              </w:divBdr>
            </w:div>
            <w:div w:id="1549414672">
              <w:marLeft w:val="0"/>
              <w:marRight w:val="0"/>
              <w:marTop w:val="0"/>
              <w:marBottom w:val="0"/>
              <w:divBdr>
                <w:top w:val="none" w:sz="0" w:space="0" w:color="auto"/>
                <w:left w:val="none" w:sz="0" w:space="0" w:color="auto"/>
                <w:bottom w:val="none" w:sz="0" w:space="0" w:color="auto"/>
                <w:right w:val="none" w:sz="0" w:space="0" w:color="auto"/>
              </w:divBdr>
            </w:div>
            <w:div w:id="1566066088">
              <w:marLeft w:val="0"/>
              <w:marRight w:val="0"/>
              <w:marTop w:val="0"/>
              <w:marBottom w:val="0"/>
              <w:divBdr>
                <w:top w:val="none" w:sz="0" w:space="0" w:color="auto"/>
                <w:left w:val="none" w:sz="0" w:space="0" w:color="auto"/>
                <w:bottom w:val="none" w:sz="0" w:space="0" w:color="auto"/>
                <w:right w:val="none" w:sz="0" w:space="0" w:color="auto"/>
              </w:divBdr>
            </w:div>
            <w:div w:id="1855652655">
              <w:marLeft w:val="0"/>
              <w:marRight w:val="0"/>
              <w:marTop w:val="0"/>
              <w:marBottom w:val="0"/>
              <w:divBdr>
                <w:top w:val="none" w:sz="0" w:space="0" w:color="auto"/>
                <w:left w:val="none" w:sz="0" w:space="0" w:color="auto"/>
                <w:bottom w:val="none" w:sz="0" w:space="0" w:color="auto"/>
                <w:right w:val="none" w:sz="0" w:space="0" w:color="auto"/>
              </w:divBdr>
            </w:div>
            <w:div w:id="2121027929">
              <w:marLeft w:val="0"/>
              <w:marRight w:val="0"/>
              <w:marTop w:val="0"/>
              <w:marBottom w:val="0"/>
              <w:divBdr>
                <w:top w:val="none" w:sz="0" w:space="0" w:color="auto"/>
                <w:left w:val="none" w:sz="0" w:space="0" w:color="auto"/>
                <w:bottom w:val="none" w:sz="0" w:space="0" w:color="auto"/>
                <w:right w:val="none" w:sz="0" w:space="0" w:color="auto"/>
              </w:divBdr>
            </w:div>
            <w:div w:id="21243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360">
      <w:bodyDiv w:val="1"/>
      <w:marLeft w:val="0"/>
      <w:marRight w:val="0"/>
      <w:marTop w:val="0"/>
      <w:marBottom w:val="0"/>
      <w:divBdr>
        <w:top w:val="none" w:sz="0" w:space="0" w:color="auto"/>
        <w:left w:val="none" w:sz="0" w:space="0" w:color="auto"/>
        <w:bottom w:val="none" w:sz="0" w:space="0" w:color="auto"/>
        <w:right w:val="none" w:sz="0" w:space="0" w:color="auto"/>
      </w:divBdr>
    </w:div>
    <w:div w:id="1253974076">
      <w:bodyDiv w:val="1"/>
      <w:marLeft w:val="0"/>
      <w:marRight w:val="0"/>
      <w:marTop w:val="0"/>
      <w:marBottom w:val="0"/>
      <w:divBdr>
        <w:top w:val="none" w:sz="0" w:space="0" w:color="auto"/>
        <w:left w:val="none" w:sz="0" w:space="0" w:color="auto"/>
        <w:bottom w:val="none" w:sz="0" w:space="0" w:color="auto"/>
        <w:right w:val="none" w:sz="0" w:space="0" w:color="auto"/>
      </w:divBdr>
    </w:div>
    <w:div w:id="1255700107">
      <w:bodyDiv w:val="1"/>
      <w:marLeft w:val="0"/>
      <w:marRight w:val="0"/>
      <w:marTop w:val="0"/>
      <w:marBottom w:val="0"/>
      <w:divBdr>
        <w:top w:val="none" w:sz="0" w:space="0" w:color="auto"/>
        <w:left w:val="none" w:sz="0" w:space="0" w:color="auto"/>
        <w:bottom w:val="none" w:sz="0" w:space="0" w:color="auto"/>
        <w:right w:val="none" w:sz="0" w:space="0" w:color="auto"/>
      </w:divBdr>
    </w:div>
    <w:div w:id="1260136900">
      <w:bodyDiv w:val="1"/>
      <w:marLeft w:val="0"/>
      <w:marRight w:val="0"/>
      <w:marTop w:val="0"/>
      <w:marBottom w:val="0"/>
      <w:divBdr>
        <w:top w:val="none" w:sz="0" w:space="0" w:color="auto"/>
        <w:left w:val="none" w:sz="0" w:space="0" w:color="auto"/>
        <w:bottom w:val="none" w:sz="0" w:space="0" w:color="auto"/>
        <w:right w:val="none" w:sz="0" w:space="0" w:color="auto"/>
      </w:divBdr>
    </w:div>
    <w:div w:id="1272514287">
      <w:bodyDiv w:val="1"/>
      <w:marLeft w:val="0"/>
      <w:marRight w:val="0"/>
      <w:marTop w:val="0"/>
      <w:marBottom w:val="0"/>
      <w:divBdr>
        <w:top w:val="none" w:sz="0" w:space="0" w:color="auto"/>
        <w:left w:val="none" w:sz="0" w:space="0" w:color="auto"/>
        <w:bottom w:val="none" w:sz="0" w:space="0" w:color="auto"/>
        <w:right w:val="none" w:sz="0" w:space="0" w:color="auto"/>
      </w:divBdr>
    </w:div>
    <w:div w:id="1280330972">
      <w:bodyDiv w:val="1"/>
      <w:marLeft w:val="0"/>
      <w:marRight w:val="0"/>
      <w:marTop w:val="0"/>
      <w:marBottom w:val="0"/>
      <w:divBdr>
        <w:top w:val="none" w:sz="0" w:space="0" w:color="auto"/>
        <w:left w:val="none" w:sz="0" w:space="0" w:color="auto"/>
        <w:bottom w:val="none" w:sz="0" w:space="0" w:color="auto"/>
        <w:right w:val="none" w:sz="0" w:space="0" w:color="auto"/>
      </w:divBdr>
    </w:div>
    <w:div w:id="1284648934">
      <w:bodyDiv w:val="1"/>
      <w:marLeft w:val="0"/>
      <w:marRight w:val="0"/>
      <w:marTop w:val="0"/>
      <w:marBottom w:val="0"/>
      <w:divBdr>
        <w:top w:val="none" w:sz="0" w:space="0" w:color="auto"/>
        <w:left w:val="none" w:sz="0" w:space="0" w:color="auto"/>
        <w:bottom w:val="none" w:sz="0" w:space="0" w:color="auto"/>
        <w:right w:val="none" w:sz="0" w:space="0" w:color="auto"/>
      </w:divBdr>
    </w:div>
    <w:div w:id="1284731020">
      <w:bodyDiv w:val="1"/>
      <w:marLeft w:val="0"/>
      <w:marRight w:val="0"/>
      <w:marTop w:val="0"/>
      <w:marBottom w:val="0"/>
      <w:divBdr>
        <w:top w:val="none" w:sz="0" w:space="0" w:color="auto"/>
        <w:left w:val="none" w:sz="0" w:space="0" w:color="auto"/>
        <w:bottom w:val="none" w:sz="0" w:space="0" w:color="auto"/>
        <w:right w:val="none" w:sz="0" w:space="0" w:color="auto"/>
      </w:divBdr>
    </w:div>
    <w:div w:id="1285621337">
      <w:bodyDiv w:val="1"/>
      <w:marLeft w:val="0"/>
      <w:marRight w:val="0"/>
      <w:marTop w:val="0"/>
      <w:marBottom w:val="0"/>
      <w:divBdr>
        <w:top w:val="none" w:sz="0" w:space="0" w:color="auto"/>
        <w:left w:val="none" w:sz="0" w:space="0" w:color="auto"/>
        <w:bottom w:val="none" w:sz="0" w:space="0" w:color="auto"/>
        <w:right w:val="none" w:sz="0" w:space="0" w:color="auto"/>
      </w:divBdr>
    </w:div>
    <w:div w:id="1291519293">
      <w:bodyDiv w:val="1"/>
      <w:marLeft w:val="0"/>
      <w:marRight w:val="0"/>
      <w:marTop w:val="0"/>
      <w:marBottom w:val="0"/>
      <w:divBdr>
        <w:top w:val="none" w:sz="0" w:space="0" w:color="auto"/>
        <w:left w:val="none" w:sz="0" w:space="0" w:color="auto"/>
        <w:bottom w:val="none" w:sz="0" w:space="0" w:color="auto"/>
        <w:right w:val="none" w:sz="0" w:space="0" w:color="auto"/>
      </w:divBdr>
    </w:div>
    <w:div w:id="1296183036">
      <w:bodyDiv w:val="1"/>
      <w:marLeft w:val="0"/>
      <w:marRight w:val="0"/>
      <w:marTop w:val="0"/>
      <w:marBottom w:val="0"/>
      <w:divBdr>
        <w:top w:val="none" w:sz="0" w:space="0" w:color="auto"/>
        <w:left w:val="none" w:sz="0" w:space="0" w:color="auto"/>
        <w:bottom w:val="none" w:sz="0" w:space="0" w:color="auto"/>
        <w:right w:val="none" w:sz="0" w:space="0" w:color="auto"/>
      </w:divBdr>
    </w:div>
    <w:div w:id="1298956246">
      <w:bodyDiv w:val="1"/>
      <w:marLeft w:val="0"/>
      <w:marRight w:val="0"/>
      <w:marTop w:val="0"/>
      <w:marBottom w:val="0"/>
      <w:divBdr>
        <w:top w:val="none" w:sz="0" w:space="0" w:color="auto"/>
        <w:left w:val="none" w:sz="0" w:space="0" w:color="auto"/>
        <w:bottom w:val="none" w:sz="0" w:space="0" w:color="auto"/>
        <w:right w:val="none" w:sz="0" w:space="0" w:color="auto"/>
      </w:divBdr>
    </w:div>
    <w:div w:id="1301348942">
      <w:bodyDiv w:val="1"/>
      <w:marLeft w:val="0"/>
      <w:marRight w:val="0"/>
      <w:marTop w:val="0"/>
      <w:marBottom w:val="0"/>
      <w:divBdr>
        <w:top w:val="none" w:sz="0" w:space="0" w:color="auto"/>
        <w:left w:val="none" w:sz="0" w:space="0" w:color="auto"/>
        <w:bottom w:val="none" w:sz="0" w:space="0" w:color="auto"/>
        <w:right w:val="none" w:sz="0" w:space="0" w:color="auto"/>
      </w:divBdr>
    </w:div>
    <w:div w:id="1303727943">
      <w:bodyDiv w:val="1"/>
      <w:marLeft w:val="0"/>
      <w:marRight w:val="0"/>
      <w:marTop w:val="0"/>
      <w:marBottom w:val="0"/>
      <w:divBdr>
        <w:top w:val="none" w:sz="0" w:space="0" w:color="auto"/>
        <w:left w:val="none" w:sz="0" w:space="0" w:color="auto"/>
        <w:bottom w:val="none" w:sz="0" w:space="0" w:color="auto"/>
        <w:right w:val="none" w:sz="0" w:space="0" w:color="auto"/>
      </w:divBdr>
    </w:div>
    <w:div w:id="1303927899">
      <w:bodyDiv w:val="1"/>
      <w:marLeft w:val="0"/>
      <w:marRight w:val="0"/>
      <w:marTop w:val="0"/>
      <w:marBottom w:val="0"/>
      <w:divBdr>
        <w:top w:val="none" w:sz="0" w:space="0" w:color="auto"/>
        <w:left w:val="none" w:sz="0" w:space="0" w:color="auto"/>
        <w:bottom w:val="none" w:sz="0" w:space="0" w:color="auto"/>
        <w:right w:val="none" w:sz="0" w:space="0" w:color="auto"/>
      </w:divBdr>
    </w:div>
    <w:div w:id="1306277351">
      <w:bodyDiv w:val="1"/>
      <w:marLeft w:val="0"/>
      <w:marRight w:val="0"/>
      <w:marTop w:val="0"/>
      <w:marBottom w:val="0"/>
      <w:divBdr>
        <w:top w:val="none" w:sz="0" w:space="0" w:color="auto"/>
        <w:left w:val="none" w:sz="0" w:space="0" w:color="auto"/>
        <w:bottom w:val="none" w:sz="0" w:space="0" w:color="auto"/>
        <w:right w:val="none" w:sz="0" w:space="0" w:color="auto"/>
      </w:divBdr>
    </w:div>
    <w:div w:id="1307050467">
      <w:bodyDiv w:val="1"/>
      <w:marLeft w:val="0"/>
      <w:marRight w:val="0"/>
      <w:marTop w:val="0"/>
      <w:marBottom w:val="0"/>
      <w:divBdr>
        <w:top w:val="none" w:sz="0" w:space="0" w:color="auto"/>
        <w:left w:val="none" w:sz="0" w:space="0" w:color="auto"/>
        <w:bottom w:val="none" w:sz="0" w:space="0" w:color="auto"/>
        <w:right w:val="none" w:sz="0" w:space="0" w:color="auto"/>
      </w:divBdr>
    </w:div>
    <w:div w:id="1309363539">
      <w:bodyDiv w:val="1"/>
      <w:marLeft w:val="0"/>
      <w:marRight w:val="0"/>
      <w:marTop w:val="0"/>
      <w:marBottom w:val="0"/>
      <w:divBdr>
        <w:top w:val="none" w:sz="0" w:space="0" w:color="auto"/>
        <w:left w:val="none" w:sz="0" w:space="0" w:color="auto"/>
        <w:bottom w:val="none" w:sz="0" w:space="0" w:color="auto"/>
        <w:right w:val="none" w:sz="0" w:space="0" w:color="auto"/>
      </w:divBdr>
    </w:div>
    <w:div w:id="1311906074">
      <w:bodyDiv w:val="1"/>
      <w:marLeft w:val="0"/>
      <w:marRight w:val="0"/>
      <w:marTop w:val="0"/>
      <w:marBottom w:val="0"/>
      <w:divBdr>
        <w:top w:val="none" w:sz="0" w:space="0" w:color="auto"/>
        <w:left w:val="none" w:sz="0" w:space="0" w:color="auto"/>
        <w:bottom w:val="none" w:sz="0" w:space="0" w:color="auto"/>
        <w:right w:val="none" w:sz="0" w:space="0" w:color="auto"/>
      </w:divBdr>
    </w:div>
    <w:div w:id="1313218117">
      <w:bodyDiv w:val="1"/>
      <w:marLeft w:val="0"/>
      <w:marRight w:val="0"/>
      <w:marTop w:val="0"/>
      <w:marBottom w:val="0"/>
      <w:divBdr>
        <w:top w:val="none" w:sz="0" w:space="0" w:color="auto"/>
        <w:left w:val="none" w:sz="0" w:space="0" w:color="auto"/>
        <w:bottom w:val="none" w:sz="0" w:space="0" w:color="auto"/>
        <w:right w:val="none" w:sz="0" w:space="0" w:color="auto"/>
      </w:divBdr>
    </w:div>
    <w:div w:id="1314524446">
      <w:bodyDiv w:val="1"/>
      <w:marLeft w:val="0"/>
      <w:marRight w:val="0"/>
      <w:marTop w:val="0"/>
      <w:marBottom w:val="0"/>
      <w:divBdr>
        <w:top w:val="none" w:sz="0" w:space="0" w:color="auto"/>
        <w:left w:val="none" w:sz="0" w:space="0" w:color="auto"/>
        <w:bottom w:val="none" w:sz="0" w:space="0" w:color="auto"/>
        <w:right w:val="none" w:sz="0" w:space="0" w:color="auto"/>
      </w:divBdr>
    </w:div>
    <w:div w:id="1321346446">
      <w:bodyDiv w:val="1"/>
      <w:marLeft w:val="0"/>
      <w:marRight w:val="0"/>
      <w:marTop w:val="0"/>
      <w:marBottom w:val="0"/>
      <w:divBdr>
        <w:top w:val="none" w:sz="0" w:space="0" w:color="auto"/>
        <w:left w:val="none" w:sz="0" w:space="0" w:color="auto"/>
        <w:bottom w:val="none" w:sz="0" w:space="0" w:color="auto"/>
        <w:right w:val="none" w:sz="0" w:space="0" w:color="auto"/>
      </w:divBdr>
    </w:div>
    <w:div w:id="1335379424">
      <w:bodyDiv w:val="1"/>
      <w:marLeft w:val="0"/>
      <w:marRight w:val="0"/>
      <w:marTop w:val="0"/>
      <w:marBottom w:val="0"/>
      <w:divBdr>
        <w:top w:val="none" w:sz="0" w:space="0" w:color="auto"/>
        <w:left w:val="none" w:sz="0" w:space="0" w:color="auto"/>
        <w:bottom w:val="none" w:sz="0" w:space="0" w:color="auto"/>
        <w:right w:val="none" w:sz="0" w:space="0" w:color="auto"/>
      </w:divBdr>
    </w:div>
    <w:div w:id="1339772833">
      <w:bodyDiv w:val="1"/>
      <w:marLeft w:val="0"/>
      <w:marRight w:val="0"/>
      <w:marTop w:val="0"/>
      <w:marBottom w:val="0"/>
      <w:divBdr>
        <w:top w:val="none" w:sz="0" w:space="0" w:color="auto"/>
        <w:left w:val="none" w:sz="0" w:space="0" w:color="auto"/>
        <w:bottom w:val="none" w:sz="0" w:space="0" w:color="auto"/>
        <w:right w:val="none" w:sz="0" w:space="0" w:color="auto"/>
      </w:divBdr>
    </w:div>
    <w:div w:id="1343312585">
      <w:bodyDiv w:val="1"/>
      <w:marLeft w:val="0"/>
      <w:marRight w:val="0"/>
      <w:marTop w:val="0"/>
      <w:marBottom w:val="0"/>
      <w:divBdr>
        <w:top w:val="none" w:sz="0" w:space="0" w:color="auto"/>
        <w:left w:val="none" w:sz="0" w:space="0" w:color="auto"/>
        <w:bottom w:val="none" w:sz="0" w:space="0" w:color="auto"/>
        <w:right w:val="none" w:sz="0" w:space="0" w:color="auto"/>
      </w:divBdr>
    </w:div>
    <w:div w:id="1348478549">
      <w:bodyDiv w:val="1"/>
      <w:marLeft w:val="0"/>
      <w:marRight w:val="0"/>
      <w:marTop w:val="0"/>
      <w:marBottom w:val="0"/>
      <w:divBdr>
        <w:top w:val="none" w:sz="0" w:space="0" w:color="auto"/>
        <w:left w:val="none" w:sz="0" w:space="0" w:color="auto"/>
        <w:bottom w:val="none" w:sz="0" w:space="0" w:color="auto"/>
        <w:right w:val="none" w:sz="0" w:space="0" w:color="auto"/>
      </w:divBdr>
    </w:div>
    <w:div w:id="1351252670">
      <w:bodyDiv w:val="1"/>
      <w:marLeft w:val="0"/>
      <w:marRight w:val="0"/>
      <w:marTop w:val="0"/>
      <w:marBottom w:val="0"/>
      <w:divBdr>
        <w:top w:val="none" w:sz="0" w:space="0" w:color="auto"/>
        <w:left w:val="none" w:sz="0" w:space="0" w:color="auto"/>
        <w:bottom w:val="none" w:sz="0" w:space="0" w:color="auto"/>
        <w:right w:val="none" w:sz="0" w:space="0" w:color="auto"/>
      </w:divBdr>
    </w:div>
    <w:div w:id="1352098937">
      <w:bodyDiv w:val="1"/>
      <w:marLeft w:val="0"/>
      <w:marRight w:val="0"/>
      <w:marTop w:val="0"/>
      <w:marBottom w:val="0"/>
      <w:divBdr>
        <w:top w:val="none" w:sz="0" w:space="0" w:color="auto"/>
        <w:left w:val="none" w:sz="0" w:space="0" w:color="auto"/>
        <w:bottom w:val="none" w:sz="0" w:space="0" w:color="auto"/>
        <w:right w:val="none" w:sz="0" w:space="0" w:color="auto"/>
      </w:divBdr>
    </w:div>
    <w:div w:id="1361666513">
      <w:bodyDiv w:val="1"/>
      <w:marLeft w:val="0"/>
      <w:marRight w:val="0"/>
      <w:marTop w:val="0"/>
      <w:marBottom w:val="0"/>
      <w:divBdr>
        <w:top w:val="none" w:sz="0" w:space="0" w:color="auto"/>
        <w:left w:val="none" w:sz="0" w:space="0" w:color="auto"/>
        <w:bottom w:val="none" w:sz="0" w:space="0" w:color="auto"/>
        <w:right w:val="none" w:sz="0" w:space="0" w:color="auto"/>
      </w:divBdr>
    </w:div>
    <w:div w:id="1363819390">
      <w:bodyDiv w:val="1"/>
      <w:marLeft w:val="0"/>
      <w:marRight w:val="0"/>
      <w:marTop w:val="0"/>
      <w:marBottom w:val="0"/>
      <w:divBdr>
        <w:top w:val="none" w:sz="0" w:space="0" w:color="auto"/>
        <w:left w:val="none" w:sz="0" w:space="0" w:color="auto"/>
        <w:bottom w:val="none" w:sz="0" w:space="0" w:color="auto"/>
        <w:right w:val="none" w:sz="0" w:space="0" w:color="auto"/>
      </w:divBdr>
    </w:div>
    <w:div w:id="1370911114">
      <w:bodyDiv w:val="1"/>
      <w:marLeft w:val="0"/>
      <w:marRight w:val="0"/>
      <w:marTop w:val="0"/>
      <w:marBottom w:val="0"/>
      <w:divBdr>
        <w:top w:val="none" w:sz="0" w:space="0" w:color="auto"/>
        <w:left w:val="none" w:sz="0" w:space="0" w:color="auto"/>
        <w:bottom w:val="none" w:sz="0" w:space="0" w:color="auto"/>
        <w:right w:val="none" w:sz="0" w:space="0" w:color="auto"/>
      </w:divBdr>
    </w:div>
    <w:div w:id="1382364045">
      <w:bodyDiv w:val="1"/>
      <w:marLeft w:val="0"/>
      <w:marRight w:val="0"/>
      <w:marTop w:val="0"/>
      <w:marBottom w:val="0"/>
      <w:divBdr>
        <w:top w:val="none" w:sz="0" w:space="0" w:color="auto"/>
        <w:left w:val="none" w:sz="0" w:space="0" w:color="auto"/>
        <w:bottom w:val="none" w:sz="0" w:space="0" w:color="auto"/>
        <w:right w:val="none" w:sz="0" w:space="0" w:color="auto"/>
      </w:divBdr>
    </w:div>
    <w:div w:id="1390691997">
      <w:bodyDiv w:val="1"/>
      <w:marLeft w:val="0"/>
      <w:marRight w:val="0"/>
      <w:marTop w:val="0"/>
      <w:marBottom w:val="0"/>
      <w:divBdr>
        <w:top w:val="none" w:sz="0" w:space="0" w:color="auto"/>
        <w:left w:val="none" w:sz="0" w:space="0" w:color="auto"/>
        <w:bottom w:val="none" w:sz="0" w:space="0" w:color="auto"/>
        <w:right w:val="none" w:sz="0" w:space="0" w:color="auto"/>
      </w:divBdr>
      <w:divsChild>
        <w:div w:id="831871318">
          <w:marLeft w:val="0"/>
          <w:marRight w:val="0"/>
          <w:marTop w:val="0"/>
          <w:marBottom w:val="0"/>
          <w:divBdr>
            <w:top w:val="none" w:sz="0" w:space="0" w:color="auto"/>
            <w:left w:val="none" w:sz="0" w:space="0" w:color="auto"/>
            <w:bottom w:val="none" w:sz="0" w:space="0" w:color="auto"/>
            <w:right w:val="none" w:sz="0" w:space="0" w:color="auto"/>
          </w:divBdr>
        </w:div>
        <w:div w:id="2047025089">
          <w:marLeft w:val="0"/>
          <w:marRight w:val="0"/>
          <w:marTop w:val="0"/>
          <w:marBottom w:val="0"/>
          <w:divBdr>
            <w:top w:val="none" w:sz="0" w:space="0" w:color="auto"/>
            <w:left w:val="none" w:sz="0" w:space="0" w:color="auto"/>
            <w:bottom w:val="none" w:sz="0" w:space="0" w:color="auto"/>
            <w:right w:val="none" w:sz="0" w:space="0" w:color="auto"/>
          </w:divBdr>
          <w:divsChild>
            <w:div w:id="1938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452">
      <w:bodyDiv w:val="1"/>
      <w:marLeft w:val="0"/>
      <w:marRight w:val="0"/>
      <w:marTop w:val="0"/>
      <w:marBottom w:val="0"/>
      <w:divBdr>
        <w:top w:val="none" w:sz="0" w:space="0" w:color="auto"/>
        <w:left w:val="none" w:sz="0" w:space="0" w:color="auto"/>
        <w:bottom w:val="none" w:sz="0" w:space="0" w:color="auto"/>
        <w:right w:val="none" w:sz="0" w:space="0" w:color="auto"/>
      </w:divBdr>
    </w:div>
    <w:div w:id="1397582038">
      <w:bodyDiv w:val="1"/>
      <w:marLeft w:val="0"/>
      <w:marRight w:val="0"/>
      <w:marTop w:val="0"/>
      <w:marBottom w:val="0"/>
      <w:divBdr>
        <w:top w:val="none" w:sz="0" w:space="0" w:color="auto"/>
        <w:left w:val="none" w:sz="0" w:space="0" w:color="auto"/>
        <w:bottom w:val="none" w:sz="0" w:space="0" w:color="auto"/>
        <w:right w:val="none" w:sz="0" w:space="0" w:color="auto"/>
      </w:divBdr>
    </w:div>
    <w:div w:id="1400205947">
      <w:bodyDiv w:val="1"/>
      <w:marLeft w:val="0"/>
      <w:marRight w:val="0"/>
      <w:marTop w:val="0"/>
      <w:marBottom w:val="0"/>
      <w:divBdr>
        <w:top w:val="none" w:sz="0" w:space="0" w:color="auto"/>
        <w:left w:val="none" w:sz="0" w:space="0" w:color="auto"/>
        <w:bottom w:val="none" w:sz="0" w:space="0" w:color="auto"/>
        <w:right w:val="none" w:sz="0" w:space="0" w:color="auto"/>
      </w:divBdr>
    </w:div>
    <w:div w:id="1402409457">
      <w:bodyDiv w:val="1"/>
      <w:marLeft w:val="0"/>
      <w:marRight w:val="0"/>
      <w:marTop w:val="0"/>
      <w:marBottom w:val="0"/>
      <w:divBdr>
        <w:top w:val="none" w:sz="0" w:space="0" w:color="auto"/>
        <w:left w:val="none" w:sz="0" w:space="0" w:color="auto"/>
        <w:bottom w:val="none" w:sz="0" w:space="0" w:color="auto"/>
        <w:right w:val="none" w:sz="0" w:space="0" w:color="auto"/>
      </w:divBdr>
    </w:div>
    <w:div w:id="1403404160">
      <w:bodyDiv w:val="1"/>
      <w:marLeft w:val="0"/>
      <w:marRight w:val="0"/>
      <w:marTop w:val="0"/>
      <w:marBottom w:val="0"/>
      <w:divBdr>
        <w:top w:val="none" w:sz="0" w:space="0" w:color="auto"/>
        <w:left w:val="none" w:sz="0" w:space="0" w:color="auto"/>
        <w:bottom w:val="none" w:sz="0" w:space="0" w:color="auto"/>
        <w:right w:val="none" w:sz="0" w:space="0" w:color="auto"/>
      </w:divBdr>
    </w:div>
    <w:div w:id="1408727699">
      <w:bodyDiv w:val="1"/>
      <w:marLeft w:val="0"/>
      <w:marRight w:val="0"/>
      <w:marTop w:val="0"/>
      <w:marBottom w:val="0"/>
      <w:divBdr>
        <w:top w:val="none" w:sz="0" w:space="0" w:color="auto"/>
        <w:left w:val="none" w:sz="0" w:space="0" w:color="auto"/>
        <w:bottom w:val="none" w:sz="0" w:space="0" w:color="auto"/>
        <w:right w:val="none" w:sz="0" w:space="0" w:color="auto"/>
      </w:divBdr>
    </w:div>
    <w:div w:id="1410930420">
      <w:bodyDiv w:val="1"/>
      <w:marLeft w:val="0"/>
      <w:marRight w:val="0"/>
      <w:marTop w:val="0"/>
      <w:marBottom w:val="0"/>
      <w:divBdr>
        <w:top w:val="none" w:sz="0" w:space="0" w:color="auto"/>
        <w:left w:val="none" w:sz="0" w:space="0" w:color="auto"/>
        <w:bottom w:val="none" w:sz="0" w:space="0" w:color="auto"/>
        <w:right w:val="none" w:sz="0" w:space="0" w:color="auto"/>
      </w:divBdr>
    </w:div>
    <w:div w:id="1415512590">
      <w:bodyDiv w:val="1"/>
      <w:marLeft w:val="0"/>
      <w:marRight w:val="0"/>
      <w:marTop w:val="0"/>
      <w:marBottom w:val="0"/>
      <w:divBdr>
        <w:top w:val="none" w:sz="0" w:space="0" w:color="auto"/>
        <w:left w:val="none" w:sz="0" w:space="0" w:color="auto"/>
        <w:bottom w:val="none" w:sz="0" w:space="0" w:color="auto"/>
        <w:right w:val="none" w:sz="0" w:space="0" w:color="auto"/>
      </w:divBdr>
    </w:div>
    <w:div w:id="1417049879">
      <w:bodyDiv w:val="1"/>
      <w:marLeft w:val="0"/>
      <w:marRight w:val="0"/>
      <w:marTop w:val="0"/>
      <w:marBottom w:val="0"/>
      <w:divBdr>
        <w:top w:val="none" w:sz="0" w:space="0" w:color="auto"/>
        <w:left w:val="none" w:sz="0" w:space="0" w:color="auto"/>
        <w:bottom w:val="none" w:sz="0" w:space="0" w:color="auto"/>
        <w:right w:val="none" w:sz="0" w:space="0" w:color="auto"/>
      </w:divBdr>
    </w:div>
    <w:div w:id="1417284224">
      <w:bodyDiv w:val="1"/>
      <w:marLeft w:val="0"/>
      <w:marRight w:val="0"/>
      <w:marTop w:val="0"/>
      <w:marBottom w:val="0"/>
      <w:divBdr>
        <w:top w:val="none" w:sz="0" w:space="0" w:color="auto"/>
        <w:left w:val="none" w:sz="0" w:space="0" w:color="auto"/>
        <w:bottom w:val="none" w:sz="0" w:space="0" w:color="auto"/>
        <w:right w:val="none" w:sz="0" w:space="0" w:color="auto"/>
      </w:divBdr>
    </w:div>
    <w:div w:id="1427388476">
      <w:bodyDiv w:val="1"/>
      <w:marLeft w:val="0"/>
      <w:marRight w:val="0"/>
      <w:marTop w:val="0"/>
      <w:marBottom w:val="0"/>
      <w:divBdr>
        <w:top w:val="none" w:sz="0" w:space="0" w:color="auto"/>
        <w:left w:val="none" w:sz="0" w:space="0" w:color="auto"/>
        <w:bottom w:val="none" w:sz="0" w:space="0" w:color="auto"/>
        <w:right w:val="none" w:sz="0" w:space="0" w:color="auto"/>
      </w:divBdr>
    </w:div>
    <w:div w:id="1432505922">
      <w:bodyDiv w:val="1"/>
      <w:marLeft w:val="0"/>
      <w:marRight w:val="0"/>
      <w:marTop w:val="0"/>
      <w:marBottom w:val="0"/>
      <w:divBdr>
        <w:top w:val="none" w:sz="0" w:space="0" w:color="auto"/>
        <w:left w:val="none" w:sz="0" w:space="0" w:color="auto"/>
        <w:bottom w:val="none" w:sz="0" w:space="0" w:color="auto"/>
        <w:right w:val="none" w:sz="0" w:space="0" w:color="auto"/>
      </w:divBdr>
    </w:div>
    <w:div w:id="1439327300">
      <w:bodyDiv w:val="1"/>
      <w:marLeft w:val="0"/>
      <w:marRight w:val="0"/>
      <w:marTop w:val="0"/>
      <w:marBottom w:val="0"/>
      <w:divBdr>
        <w:top w:val="none" w:sz="0" w:space="0" w:color="auto"/>
        <w:left w:val="none" w:sz="0" w:space="0" w:color="auto"/>
        <w:bottom w:val="none" w:sz="0" w:space="0" w:color="auto"/>
        <w:right w:val="none" w:sz="0" w:space="0" w:color="auto"/>
      </w:divBdr>
    </w:div>
    <w:div w:id="1442454581">
      <w:bodyDiv w:val="1"/>
      <w:marLeft w:val="0"/>
      <w:marRight w:val="0"/>
      <w:marTop w:val="0"/>
      <w:marBottom w:val="0"/>
      <w:divBdr>
        <w:top w:val="none" w:sz="0" w:space="0" w:color="auto"/>
        <w:left w:val="none" w:sz="0" w:space="0" w:color="auto"/>
        <w:bottom w:val="none" w:sz="0" w:space="0" w:color="auto"/>
        <w:right w:val="none" w:sz="0" w:space="0" w:color="auto"/>
      </w:divBdr>
    </w:div>
    <w:div w:id="1443038971">
      <w:bodyDiv w:val="1"/>
      <w:marLeft w:val="0"/>
      <w:marRight w:val="0"/>
      <w:marTop w:val="0"/>
      <w:marBottom w:val="0"/>
      <w:divBdr>
        <w:top w:val="none" w:sz="0" w:space="0" w:color="auto"/>
        <w:left w:val="none" w:sz="0" w:space="0" w:color="auto"/>
        <w:bottom w:val="none" w:sz="0" w:space="0" w:color="auto"/>
        <w:right w:val="none" w:sz="0" w:space="0" w:color="auto"/>
      </w:divBdr>
    </w:div>
    <w:div w:id="1458647133">
      <w:bodyDiv w:val="1"/>
      <w:marLeft w:val="0"/>
      <w:marRight w:val="0"/>
      <w:marTop w:val="0"/>
      <w:marBottom w:val="0"/>
      <w:divBdr>
        <w:top w:val="none" w:sz="0" w:space="0" w:color="auto"/>
        <w:left w:val="none" w:sz="0" w:space="0" w:color="auto"/>
        <w:bottom w:val="none" w:sz="0" w:space="0" w:color="auto"/>
        <w:right w:val="none" w:sz="0" w:space="0" w:color="auto"/>
      </w:divBdr>
    </w:div>
    <w:div w:id="1458987485">
      <w:bodyDiv w:val="1"/>
      <w:marLeft w:val="0"/>
      <w:marRight w:val="0"/>
      <w:marTop w:val="0"/>
      <w:marBottom w:val="0"/>
      <w:divBdr>
        <w:top w:val="none" w:sz="0" w:space="0" w:color="auto"/>
        <w:left w:val="none" w:sz="0" w:space="0" w:color="auto"/>
        <w:bottom w:val="none" w:sz="0" w:space="0" w:color="auto"/>
        <w:right w:val="none" w:sz="0" w:space="0" w:color="auto"/>
      </w:divBdr>
    </w:div>
    <w:div w:id="1463616389">
      <w:bodyDiv w:val="1"/>
      <w:marLeft w:val="0"/>
      <w:marRight w:val="0"/>
      <w:marTop w:val="0"/>
      <w:marBottom w:val="0"/>
      <w:divBdr>
        <w:top w:val="none" w:sz="0" w:space="0" w:color="auto"/>
        <w:left w:val="none" w:sz="0" w:space="0" w:color="auto"/>
        <w:bottom w:val="none" w:sz="0" w:space="0" w:color="auto"/>
        <w:right w:val="none" w:sz="0" w:space="0" w:color="auto"/>
      </w:divBdr>
    </w:div>
    <w:div w:id="1467894235">
      <w:bodyDiv w:val="1"/>
      <w:marLeft w:val="0"/>
      <w:marRight w:val="0"/>
      <w:marTop w:val="0"/>
      <w:marBottom w:val="0"/>
      <w:divBdr>
        <w:top w:val="none" w:sz="0" w:space="0" w:color="auto"/>
        <w:left w:val="none" w:sz="0" w:space="0" w:color="auto"/>
        <w:bottom w:val="none" w:sz="0" w:space="0" w:color="auto"/>
        <w:right w:val="none" w:sz="0" w:space="0" w:color="auto"/>
      </w:divBdr>
    </w:div>
    <w:div w:id="1477726743">
      <w:bodyDiv w:val="1"/>
      <w:marLeft w:val="0"/>
      <w:marRight w:val="0"/>
      <w:marTop w:val="0"/>
      <w:marBottom w:val="0"/>
      <w:divBdr>
        <w:top w:val="none" w:sz="0" w:space="0" w:color="auto"/>
        <w:left w:val="none" w:sz="0" w:space="0" w:color="auto"/>
        <w:bottom w:val="none" w:sz="0" w:space="0" w:color="auto"/>
        <w:right w:val="none" w:sz="0" w:space="0" w:color="auto"/>
      </w:divBdr>
    </w:div>
    <w:div w:id="1479299835">
      <w:bodyDiv w:val="1"/>
      <w:marLeft w:val="0"/>
      <w:marRight w:val="0"/>
      <w:marTop w:val="0"/>
      <w:marBottom w:val="0"/>
      <w:divBdr>
        <w:top w:val="none" w:sz="0" w:space="0" w:color="auto"/>
        <w:left w:val="none" w:sz="0" w:space="0" w:color="auto"/>
        <w:bottom w:val="none" w:sz="0" w:space="0" w:color="auto"/>
        <w:right w:val="none" w:sz="0" w:space="0" w:color="auto"/>
      </w:divBdr>
    </w:div>
    <w:div w:id="1483543737">
      <w:bodyDiv w:val="1"/>
      <w:marLeft w:val="0"/>
      <w:marRight w:val="0"/>
      <w:marTop w:val="0"/>
      <w:marBottom w:val="0"/>
      <w:divBdr>
        <w:top w:val="none" w:sz="0" w:space="0" w:color="auto"/>
        <w:left w:val="none" w:sz="0" w:space="0" w:color="auto"/>
        <w:bottom w:val="none" w:sz="0" w:space="0" w:color="auto"/>
        <w:right w:val="none" w:sz="0" w:space="0" w:color="auto"/>
      </w:divBdr>
    </w:div>
    <w:div w:id="1487161416">
      <w:bodyDiv w:val="1"/>
      <w:marLeft w:val="0"/>
      <w:marRight w:val="0"/>
      <w:marTop w:val="0"/>
      <w:marBottom w:val="0"/>
      <w:divBdr>
        <w:top w:val="none" w:sz="0" w:space="0" w:color="auto"/>
        <w:left w:val="none" w:sz="0" w:space="0" w:color="auto"/>
        <w:bottom w:val="none" w:sz="0" w:space="0" w:color="auto"/>
        <w:right w:val="none" w:sz="0" w:space="0" w:color="auto"/>
      </w:divBdr>
    </w:div>
    <w:div w:id="1495297469">
      <w:bodyDiv w:val="1"/>
      <w:marLeft w:val="0"/>
      <w:marRight w:val="0"/>
      <w:marTop w:val="0"/>
      <w:marBottom w:val="0"/>
      <w:divBdr>
        <w:top w:val="none" w:sz="0" w:space="0" w:color="auto"/>
        <w:left w:val="none" w:sz="0" w:space="0" w:color="auto"/>
        <w:bottom w:val="none" w:sz="0" w:space="0" w:color="auto"/>
        <w:right w:val="none" w:sz="0" w:space="0" w:color="auto"/>
      </w:divBdr>
    </w:div>
    <w:div w:id="1499882513">
      <w:bodyDiv w:val="1"/>
      <w:marLeft w:val="0"/>
      <w:marRight w:val="0"/>
      <w:marTop w:val="0"/>
      <w:marBottom w:val="0"/>
      <w:divBdr>
        <w:top w:val="none" w:sz="0" w:space="0" w:color="auto"/>
        <w:left w:val="none" w:sz="0" w:space="0" w:color="auto"/>
        <w:bottom w:val="none" w:sz="0" w:space="0" w:color="auto"/>
        <w:right w:val="none" w:sz="0" w:space="0" w:color="auto"/>
      </w:divBdr>
    </w:div>
    <w:div w:id="1503007353">
      <w:bodyDiv w:val="1"/>
      <w:marLeft w:val="0"/>
      <w:marRight w:val="0"/>
      <w:marTop w:val="0"/>
      <w:marBottom w:val="0"/>
      <w:divBdr>
        <w:top w:val="none" w:sz="0" w:space="0" w:color="auto"/>
        <w:left w:val="none" w:sz="0" w:space="0" w:color="auto"/>
        <w:bottom w:val="none" w:sz="0" w:space="0" w:color="auto"/>
        <w:right w:val="none" w:sz="0" w:space="0" w:color="auto"/>
      </w:divBdr>
    </w:div>
    <w:div w:id="1513227930">
      <w:bodyDiv w:val="1"/>
      <w:marLeft w:val="0"/>
      <w:marRight w:val="0"/>
      <w:marTop w:val="0"/>
      <w:marBottom w:val="0"/>
      <w:divBdr>
        <w:top w:val="none" w:sz="0" w:space="0" w:color="auto"/>
        <w:left w:val="none" w:sz="0" w:space="0" w:color="auto"/>
        <w:bottom w:val="none" w:sz="0" w:space="0" w:color="auto"/>
        <w:right w:val="none" w:sz="0" w:space="0" w:color="auto"/>
      </w:divBdr>
    </w:div>
    <w:div w:id="1515849646">
      <w:bodyDiv w:val="1"/>
      <w:marLeft w:val="0"/>
      <w:marRight w:val="0"/>
      <w:marTop w:val="0"/>
      <w:marBottom w:val="0"/>
      <w:divBdr>
        <w:top w:val="none" w:sz="0" w:space="0" w:color="auto"/>
        <w:left w:val="none" w:sz="0" w:space="0" w:color="auto"/>
        <w:bottom w:val="none" w:sz="0" w:space="0" w:color="auto"/>
        <w:right w:val="none" w:sz="0" w:space="0" w:color="auto"/>
      </w:divBdr>
    </w:div>
    <w:div w:id="1518807973">
      <w:bodyDiv w:val="1"/>
      <w:marLeft w:val="0"/>
      <w:marRight w:val="0"/>
      <w:marTop w:val="0"/>
      <w:marBottom w:val="0"/>
      <w:divBdr>
        <w:top w:val="none" w:sz="0" w:space="0" w:color="auto"/>
        <w:left w:val="none" w:sz="0" w:space="0" w:color="auto"/>
        <w:bottom w:val="none" w:sz="0" w:space="0" w:color="auto"/>
        <w:right w:val="none" w:sz="0" w:space="0" w:color="auto"/>
      </w:divBdr>
    </w:div>
    <w:div w:id="1520698928">
      <w:bodyDiv w:val="1"/>
      <w:marLeft w:val="0"/>
      <w:marRight w:val="0"/>
      <w:marTop w:val="0"/>
      <w:marBottom w:val="0"/>
      <w:divBdr>
        <w:top w:val="none" w:sz="0" w:space="0" w:color="auto"/>
        <w:left w:val="none" w:sz="0" w:space="0" w:color="auto"/>
        <w:bottom w:val="none" w:sz="0" w:space="0" w:color="auto"/>
        <w:right w:val="none" w:sz="0" w:space="0" w:color="auto"/>
      </w:divBdr>
    </w:div>
    <w:div w:id="1524589913">
      <w:bodyDiv w:val="1"/>
      <w:marLeft w:val="0"/>
      <w:marRight w:val="0"/>
      <w:marTop w:val="0"/>
      <w:marBottom w:val="0"/>
      <w:divBdr>
        <w:top w:val="none" w:sz="0" w:space="0" w:color="auto"/>
        <w:left w:val="none" w:sz="0" w:space="0" w:color="auto"/>
        <w:bottom w:val="none" w:sz="0" w:space="0" w:color="auto"/>
        <w:right w:val="none" w:sz="0" w:space="0" w:color="auto"/>
      </w:divBdr>
    </w:div>
    <w:div w:id="1528761918">
      <w:bodyDiv w:val="1"/>
      <w:marLeft w:val="0"/>
      <w:marRight w:val="0"/>
      <w:marTop w:val="0"/>
      <w:marBottom w:val="0"/>
      <w:divBdr>
        <w:top w:val="none" w:sz="0" w:space="0" w:color="auto"/>
        <w:left w:val="none" w:sz="0" w:space="0" w:color="auto"/>
        <w:bottom w:val="none" w:sz="0" w:space="0" w:color="auto"/>
        <w:right w:val="none" w:sz="0" w:space="0" w:color="auto"/>
      </w:divBdr>
    </w:div>
    <w:div w:id="1531841083">
      <w:bodyDiv w:val="1"/>
      <w:marLeft w:val="0"/>
      <w:marRight w:val="0"/>
      <w:marTop w:val="0"/>
      <w:marBottom w:val="0"/>
      <w:divBdr>
        <w:top w:val="none" w:sz="0" w:space="0" w:color="auto"/>
        <w:left w:val="none" w:sz="0" w:space="0" w:color="auto"/>
        <w:bottom w:val="none" w:sz="0" w:space="0" w:color="auto"/>
        <w:right w:val="none" w:sz="0" w:space="0" w:color="auto"/>
      </w:divBdr>
    </w:div>
    <w:div w:id="1535582621">
      <w:bodyDiv w:val="1"/>
      <w:marLeft w:val="0"/>
      <w:marRight w:val="0"/>
      <w:marTop w:val="0"/>
      <w:marBottom w:val="0"/>
      <w:divBdr>
        <w:top w:val="none" w:sz="0" w:space="0" w:color="auto"/>
        <w:left w:val="none" w:sz="0" w:space="0" w:color="auto"/>
        <w:bottom w:val="none" w:sz="0" w:space="0" w:color="auto"/>
        <w:right w:val="none" w:sz="0" w:space="0" w:color="auto"/>
      </w:divBdr>
    </w:div>
    <w:div w:id="1540623735">
      <w:bodyDiv w:val="1"/>
      <w:marLeft w:val="0"/>
      <w:marRight w:val="0"/>
      <w:marTop w:val="0"/>
      <w:marBottom w:val="0"/>
      <w:divBdr>
        <w:top w:val="none" w:sz="0" w:space="0" w:color="auto"/>
        <w:left w:val="none" w:sz="0" w:space="0" w:color="auto"/>
        <w:bottom w:val="none" w:sz="0" w:space="0" w:color="auto"/>
        <w:right w:val="none" w:sz="0" w:space="0" w:color="auto"/>
      </w:divBdr>
    </w:div>
    <w:div w:id="1544056706">
      <w:bodyDiv w:val="1"/>
      <w:marLeft w:val="0"/>
      <w:marRight w:val="0"/>
      <w:marTop w:val="0"/>
      <w:marBottom w:val="0"/>
      <w:divBdr>
        <w:top w:val="none" w:sz="0" w:space="0" w:color="auto"/>
        <w:left w:val="none" w:sz="0" w:space="0" w:color="auto"/>
        <w:bottom w:val="none" w:sz="0" w:space="0" w:color="auto"/>
        <w:right w:val="none" w:sz="0" w:space="0" w:color="auto"/>
      </w:divBdr>
    </w:div>
    <w:div w:id="1553729364">
      <w:bodyDiv w:val="1"/>
      <w:marLeft w:val="0"/>
      <w:marRight w:val="0"/>
      <w:marTop w:val="0"/>
      <w:marBottom w:val="0"/>
      <w:divBdr>
        <w:top w:val="none" w:sz="0" w:space="0" w:color="auto"/>
        <w:left w:val="none" w:sz="0" w:space="0" w:color="auto"/>
        <w:bottom w:val="none" w:sz="0" w:space="0" w:color="auto"/>
        <w:right w:val="none" w:sz="0" w:space="0" w:color="auto"/>
      </w:divBdr>
    </w:div>
    <w:div w:id="1554586470">
      <w:bodyDiv w:val="1"/>
      <w:marLeft w:val="0"/>
      <w:marRight w:val="0"/>
      <w:marTop w:val="0"/>
      <w:marBottom w:val="0"/>
      <w:divBdr>
        <w:top w:val="none" w:sz="0" w:space="0" w:color="auto"/>
        <w:left w:val="none" w:sz="0" w:space="0" w:color="auto"/>
        <w:bottom w:val="none" w:sz="0" w:space="0" w:color="auto"/>
        <w:right w:val="none" w:sz="0" w:space="0" w:color="auto"/>
      </w:divBdr>
    </w:div>
    <w:div w:id="1555774118">
      <w:bodyDiv w:val="1"/>
      <w:marLeft w:val="0"/>
      <w:marRight w:val="0"/>
      <w:marTop w:val="0"/>
      <w:marBottom w:val="0"/>
      <w:divBdr>
        <w:top w:val="none" w:sz="0" w:space="0" w:color="auto"/>
        <w:left w:val="none" w:sz="0" w:space="0" w:color="auto"/>
        <w:bottom w:val="none" w:sz="0" w:space="0" w:color="auto"/>
        <w:right w:val="none" w:sz="0" w:space="0" w:color="auto"/>
      </w:divBdr>
    </w:div>
    <w:div w:id="1557549068">
      <w:bodyDiv w:val="1"/>
      <w:marLeft w:val="0"/>
      <w:marRight w:val="0"/>
      <w:marTop w:val="0"/>
      <w:marBottom w:val="0"/>
      <w:divBdr>
        <w:top w:val="none" w:sz="0" w:space="0" w:color="auto"/>
        <w:left w:val="none" w:sz="0" w:space="0" w:color="auto"/>
        <w:bottom w:val="none" w:sz="0" w:space="0" w:color="auto"/>
        <w:right w:val="none" w:sz="0" w:space="0" w:color="auto"/>
      </w:divBdr>
    </w:div>
    <w:div w:id="1557625899">
      <w:bodyDiv w:val="1"/>
      <w:marLeft w:val="0"/>
      <w:marRight w:val="0"/>
      <w:marTop w:val="0"/>
      <w:marBottom w:val="0"/>
      <w:divBdr>
        <w:top w:val="none" w:sz="0" w:space="0" w:color="auto"/>
        <w:left w:val="none" w:sz="0" w:space="0" w:color="auto"/>
        <w:bottom w:val="none" w:sz="0" w:space="0" w:color="auto"/>
        <w:right w:val="none" w:sz="0" w:space="0" w:color="auto"/>
      </w:divBdr>
    </w:div>
    <w:div w:id="1569728724">
      <w:bodyDiv w:val="1"/>
      <w:marLeft w:val="0"/>
      <w:marRight w:val="0"/>
      <w:marTop w:val="0"/>
      <w:marBottom w:val="0"/>
      <w:divBdr>
        <w:top w:val="none" w:sz="0" w:space="0" w:color="auto"/>
        <w:left w:val="none" w:sz="0" w:space="0" w:color="auto"/>
        <w:bottom w:val="none" w:sz="0" w:space="0" w:color="auto"/>
        <w:right w:val="none" w:sz="0" w:space="0" w:color="auto"/>
      </w:divBdr>
    </w:div>
    <w:div w:id="1570379984">
      <w:bodyDiv w:val="1"/>
      <w:marLeft w:val="0"/>
      <w:marRight w:val="0"/>
      <w:marTop w:val="0"/>
      <w:marBottom w:val="0"/>
      <w:divBdr>
        <w:top w:val="none" w:sz="0" w:space="0" w:color="auto"/>
        <w:left w:val="none" w:sz="0" w:space="0" w:color="auto"/>
        <w:bottom w:val="none" w:sz="0" w:space="0" w:color="auto"/>
        <w:right w:val="none" w:sz="0" w:space="0" w:color="auto"/>
      </w:divBdr>
    </w:div>
    <w:div w:id="1573806605">
      <w:bodyDiv w:val="1"/>
      <w:marLeft w:val="0"/>
      <w:marRight w:val="0"/>
      <w:marTop w:val="0"/>
      <w:marBottom w:val="0"/>
      <w:divBdr>
        <w:top w:val="none" w:sz="0" w:space="0" w:color="auto"/>
        <w:left w:val="none" w:sz="0" w:space="0" w:color="auto"/>
        <w:bottom w:val="none" w:sz="0" w:space="0" w:color="auto"/>
        <w:right w:val="none" w:sz="0" w:space="0" w:color="auto"/>
      </w:divBdr>
    </w:div>
    <w:div w:id="1574509222">
      <w:bodyDiv w:val="1"/>
      <w:marLeft w:val="0"/>
      <w:marRight w:val="0"/>
      <w:marTop w:val="0"/>
      <w:marBottom w:val="0"/>
      <w:divBdr>
        <w:top w:val="none" w:sz="0" w:space="0" w:color="auto"/>
        <w:left w:val="none" w:sz="0" w:space="0" w:color="auto"/>
        <w:bottom w:val="none" w:sz="0" w:space="0" w:color="auto"/>
        <w:right w:val="none" w:sz="0" w:space="0" w:color="auto"/>
      </w:divBdr>
    </w:div>
    <w:div w:id="1580868682">
      <w:bodyDiv w:val="1"/>
      <w:marLeft w:val="0"/>
      <w:marRight w:val="0"/>
      <w:marTop w:val="0"/>
      <w:marBottom w:val="0"/>
      <w:divBdr>
        <w:top w:val="none" w:sz="0" w:space="0" w:color="auto"/>
        <w:left w:val="none" w:sz="0" w:space="0" w:color="auto"/>
        <w:bottom w:val="none" w:sz="0" w:space="0" w:color="auto"/>
        <w:right w:val="none" w:sz="0" w:space="0" w:color="auto"/>
      </w:divBdr>
    </w:div>
    <w:div w:id="1590038101">
      <w:bodyDiv w:val="1"/>
      <w:marLeft w:val="0"/>
      <w:marRight w:val="0"/>
      <w:marTop w:val="0"/>
      <w:marBottom w:val="0"/>
      <w:divBdr>
        <w:top w:val="none" w:sz="0" w:space="0" w:color="auto"/>
        <w:left w:val="none" w:sz="0" w:space="0" w:color="auto"/>
        <w:bottom w:val="none" w:sz="0" w:space="0" w:color="auto"/>
        <w:right w:val="none" w:sz="0" w:space="0" w:color="auto"/>
      </w:divBdr>
    </w:div>
    <w:div w:id="1595479745">
      <w:bodyDiv w:val="1"/>
      <w:marLeft w:val="0"/>
      <w:marRight w:val="0"/>
      <w:marTop w:val="0"/>
      <w:marBottom w:val="0"/>
      <w:divBdr>
        <w:top w:val="none" w:sz="0" w:space="0" w:color="auto"/>
        <w:left w:val="none" w:sz="0" w:space="0" w:color="auto"/>
        <w:bottom w:val="none" w:sz="0" w:space="0" w:color="auto"/>
        <w:right w:val="none" w:sz="0" w:space="0" w:color="auto"/>
      </w:divBdr>
    </w:div>
    <w:div w:id="1605842904">
      <w:bodyDiv w:val="1"/>
      <w:marLeft w:val="0"/>
      <w:marRight w:val="0"/>
      <w:marTop w:val="0"/>
      <w:marBottom w:val="0"/>
      <w:divBdr>
        <w:top w:val="none" w:sz="0" w:space="0" w:color="auto"/>
        <w:left w:val="none" w:sz="0" w:space="0" w:color="auto"/>
        <w:bottom w:val="none" w:sz="0" w:space="0" w:color="auto"/>
        <w:right w:val="none" w:sz="0" w:space="0" w:color="auto"/>
      </w:divBdr>
    </w:div>
    <w:div w:id="1618020803">
      <w:bodyDiv w:val="1"/>
      <w:marLeft w:val="0"/>
      <w:marRight w:val="0"/>
      <w:marTop w:val="0"/>
      <w:marBottom w:val="0"/>
      <w:divBdr>
        <w:top w:val="none" w:sz="0" w:space="0" w:color="auto"/>
        <w:left w:val="none" w:sz="0" w:space="0" w:color="auto"/>
        <w:bottom w:val="none" w:sz="0" w:space="0" w:color="auto"/>
        <w:right w:val="none" w:sz="0" w:space="0" w:color="auto"/>
      </w:divBdr>
    </w:div>
    <w:div w:id="1619677922">
      <w:bodyDiv w:val="1"/>
      <w:marLeft w:val="0"/>
      <w:marRight w:val="0"/>
      <w:marTop w:val="0"/>
      <w:marBottom w:val="0"/>
      <w:divBdr>
        <w:top w:val="none" w:sz="0" w:space="0" w:color="auto"/>
        <w:left w:val="none" w:sz="0" w:space="0" w:color="auto"/>
        <w:bottom w:val="none" w:sz="0" w:space="0" w:color="auto"/>
        <w:right w:val="none" w:sz="0" w:space="0" w:color="auto"/>
      </w:divBdr>
    </w:div>
    <w:div w:id="1622762427">
      <w:bodyDiv w:val="1"/>
      <w:marLeft w:val="0"/>
      <w:marRight w:val="0"/>
      <w:marTop w:val="0"/>
      <w:marBottom w:val="0"/>
      <w:divBdr>
        <w:top w:val="none" w:sz="0" w:space="0" w:color="auto"/>
        <w:left w:val="none" w:sz="0" w:space="0" w:color="auto"/>
        <w:bottom w:val="none" w:sz="0" w:space="0" w:color="auto"/>
        <w:right w:val="none" w:sz="0" w:space="0" w:color="auto"/>
      </w:divBdr>
    </w:div>
    <w:div w:id="1624116739">
      <w:bodyDiv w:val="1"/>
      <w:marLeft w:val="0"/>
      <w:marRight w:val="0"/>
      <w:marTop w:val="0"/>
      <w:marBottom w:val="0"/>
      <w:divBdr>
        <w:top w:val="none" w:sz="0" w:space="0" w:color="auto"/>
        <w:left w:val="none" w:sz="0" w:space="0" w:color="auto"/>
        <w:bottom w:val="none" w:sz="0" w:space="0" w:color="auto"/>
        <w:right w:val="none" w:sz="0" w:space="0" w:color="auto"/>
      </w:divBdr>
    </w:div>
    <w:div w:id="1628664307">
      <w:bodyDiv w:val="1"/>
      <w:marLeft w:val="0"/>
      <w:marRight w:val="0"/>
      <w:marTop w:val="0"/>
      <w:marBottom w:val="0"/>
      <w:divBdr>
        <w:top w:val="none" w:sz="0" w:space="0" w:color="auto"/>
        <w:left w:val="none" w:sz="0" w:space="0" w:color="auto"/>
        <w:bottom w:val="none" w:sz="0" w:space="0" w:color="auto"/>
        <w:right w:val="none" w:sz="0" w:space="0" w:color="auto"/>
      </w:divBdr>
    </w:div>
    <w:div w:id="1628782287">
      <w:bodyDiv w:val="1"/>
      <w:marLeft w:val="0"/>
      <w:marRight w:val="0"/>
      <w:marTop w:val="0"/>
      <w:marBottom w:val="0"/>
      <w:divBdr>
        <w:top w:val="none" w:sz="0" w:space="0" w:color="auto"/>
        <w:left w:val="none" w:sz="0" w:space="0" w:color="auto"/>
        <w:bottom w:val="none" w:sz="0" w:space="0" w:color="auto"/>
        <w:right w:val="none" w:sz="0" w:space="0" w:color="auto"/>
      </w:divBdr>
    </w:div>
    <w:div w:id="1633515942">
      <w:bodyDiv w:val="1"/>
      <w:marLeft w:val="0"/>
      <w:marRight w:val="0"/>
      <w:marTop w:val="0"/>
      <w:marBottom w:val="0"/>
      <w:divBdr>
        <w:top w:val="none" w:sz="0" w:space="0" w:color="auto"/>
        <w:left w:val="none" w:sz="0" w:space="0" w:color="auto"/>
        <w:bottom w:val="none" w:sz="0" w:space="0" w:color="auto"/>
        <w:right w:val="none" w:sz="0" w:space="0" w:color="auto"/>
      </w:divBdr>
    </w:div>
    <w:div w:id="1633561582">
      <w:bodyDiv w:val="1"/>
      <w:marLeft w:val="0"/>
      <w:marRight w:val="0"/>
      <w:marTop w:val="0"/>
      <w:marBottom w:val="0"/>
      <w:divBdr>
        <w:top w:val="none" w:sz="0" w:space="0" w:color="auto"/>
        <w:left w:val="none" w:sz="0" w:space="0" w:color="auto"/>
        <w:bottom w:val="none" w:sz="0" w:space="0" w:color="auto"/>
        <w:right w:val="none" w:sz="0" w:space="0" w:color="auto"/>
      </w:divBdr>
    </w:div>
    <w:div w:id="1634362515">
      <w:bodyDiv w:val="1"/>
      <w:marLeft w:val="0"/>
      <w:marRight w:val="0"/>
      <w:marTop w:val="0"/>
      <w:marBottom w:val="0"/>
      <w:divBdr>
        <w:top w:val="none" w:sz="0" w:space="0" w:color="auto"/>
        <w:left w:val="none" w:sz="0" w:space="0" w:color="auto"/>
        <w:bottom w:val="none" w:sz="0" w:space="0" w:color="auto"/>
        <w:right w:val="none" w:sz="0" w:space="0" w:color="auto"/>
      </w:divBdr>
    </w:div>
    <w:div w:id="1656058930">
      <w:bodyDiv w:val="1"/>
      <w:marLeft w:val="0"/>
      <w:marRight w:val="0"/>
      <w:marTop w:val="0"/>
      <w:marBottom w:val="0"/>
      <w:divBdr>
        <w:top w:val="none" w:sz="0" w:space="0" w:color="auto"/>
        <w:left w:val="none" w:sz="0" w:space="0" w:color="auto"/>
        <w:bottom w:val="none" w:sz="0" w:space="0" w:color="auto"/>
        <w:right w:val="none" w:sz="0" w:space="0" w:color="auto"/>
      </w:divBdr>
    </w:div>
    <w:div w:id="1656104900">
      <w:bodyDiv w:val="1"/>
      <w:marLeft w:val="0"/>
      <w:marRight w:val="0"/>
      <w:marTop w:val="0"/>
      <w:marBottom w:val="0"/>
      <w:divBdr>
        <w:top w:val="none" w:sz="0" w:space="0" w:color="auto"/>
        <w:left w:val="none" w:sz="0" w:space="0" w:color="auto"/>
        <w:bottom w:val="none" w:sz="0" w:space="0" w:color="auto"/>
        <w:right w:val="none" w:sz="0" w:space="0" w:color="auto"/>
      </w:divBdr>
    </w:div>
    <w:div w:id="1656377388">
      <w:bodyDiv w:val="1"/>
      <w:marLeft w:val="0"/>
      <w:marRight w:val="0"/>
      <w:marTop w:val="0"/>
      <w:marBottom w:val="0"/>
      <w:divBdr>
        <w:top w:val="none" w:sz="0" w:space="0" w:color="auto"/>
        <w:left w:val="none" w:sz="0" w:space="0" w:color="auto"/>
        <w:bottom w:val="none" w:sz="0" w:space="0" w:color="auto"/>
        <w:right w:val="none" w:sz="0" w:space="0" w:color="auto"/>
      </w:divBdr>
    </w:div>
    <w:div w:id="1672950473">
      <w:bodyDiv w:val="1"/>
      <w:marLeft w:val="0"/>
      <w:marRight w:val="0"/>
      <w:marTop w:val="0"/>
      <w:marBottom w:val="0"/>
      <w:divBdr>
        <w:top w:val="none" w:sz="0" w:space="0" w:color="auto"/>
        <w:left w:val="none" w:sz="0" w:space="0" w:color="auto"/>
        <w:bottom w:val="none" w:sz="0" w:space="0" w:color="auto"/>
        <w:right w:val="none" w:sz="0" w:space="0" w:color="auto"/>
      </w:divBdr>
    </w:div>
    <w:div w:id="1676107884">
      <w:bodyDiv w:val="1"/>
      <w:marLeft w:val="0"/>
      <w:marRight w:val="0"/>
      <w:marTop w:val="0"/>
      <w:marBottom w:val="0"/>
      <w:divBdr>
        <w:top w:val="none" w:sz="0" w:space="0" w:color="auto"/>
        <w:left w:val="none" w:sz="0" w:space="0" w:color="auto"/>
        <w:bottom w:val="none" w:sz="0" w:space="0" w:color="auto"/>
        <w:right w:val="none" w:sz="0" w:space="0" w:color="auto"/>
      </w:divBdr>
    </w:div>
    <w:div w:id="1679457402">
      <w:bodyDiv w:val="1"/>
      <w:marLeft w:val="0"/>
      <w:marRight w:val="0"/>
      <w:marTop w:val="0"/>
      <w:marBottom w:val="0"/>
      <w:divBdr>
        <w:top w:val="none" w:sz="0" w:space="0" w:color="auto"/>
        <w:left w:val="none" w:sz="0" w:space="0" w:color="auto"/>
        <w:bottom w:val="none" w:sz="0" w:space="0" w:color="auto"/>
        <w:right w:val="none" w:sz="0" w:space="0" w:color="auto"/>
      </w:divBdr>
    </w:div>
    <w:div w:id="1679650665">
      <w:bodyDiv w:val="1"/>
      <w:marLeft w:val="0"/>
      <w:marRight w:val="0"/>
      <w:marTop w:val="0"/>
      <w:marBottom w:val="0"/>
      <w:divBdr>
        <w:top w:val="none" w:sz="0" w:space="0" w:color="auto"/>
        <w:left w:val="none" w:sz="0" w:space="0" w:color="auto"/>
        <w:bottom w:val="none" w:sz="0" w:space="0" w:color="auto"/>
        <w:right w:val="none" w:sz="0" w:space="0" w:color="auto"/>
      </w:divBdr>
    </w:div>
    <w:div w:id="1695690461">
      <w:bodyDiv w:val="1"/>
      <w:marLeft w:val="0"/>
      <w:marRight w:val="0"/>
      <w:marTop w:val="0"/>
      <w:marBottom w:val="0"/>
      <w:divBdr>
        <w:top w:val="none" w:sz="0" w:space="0" w:color="auto"/>
        <w:left w:val="none" w:sz="0" w:space="0" w:color="auto"/>
        <w:bottom w:val="none" w:sz="0" w:space="0" w:color="auto"/>
        <w:right w:val="none" w:sz="0" w:space="0" w:color="auto"/>
      </w:divBdr>
    </w:div>
    <w:div w:id="1704552667">
      <w:bodyDiv w:val="1"/>
      <w:marLeft w:val="0"/>
      <w:marRight w:val="0"/>
      <w:marTop w:val="0"/>
      <w:marBottom w:val="0"/>
      <w:divBdr>
        <w:top w:val="none" w:sz="0" w:space="0" w:color="auto"/>
        <w:left w:val="none" w:sz="0" w:space="0" w:color="auto"/>
        <w:bottom w:val="none" w:sz="0" w:space="0" w:color="auto"/>
        <w:right w:val="none" w:sz="0" w:space="0" w:color="auto"/>
      </w:divBdr>
    </w:div>
    <w:div w:id="1704791578">
      <w:bodyDiv w:val="1"/>
      <w:marLeft w:val="0"/>
      <w:marRight w:val="0"/>
      <w:marTop w:val="0"/>
      <w:marBottom w:val="0"/>
      <w:divBdr>
        <w:top w:val="none" w:sz="0" w:space="0" w:color="auto"/>
        <w:left w:val="none" w:sz="0" w:space="0" w:color="auto"/>
        <w:bottom w:val="none" w:sz="0" w:space="0" w:color="auto"/>
        <w:right w:val="none" w:sz="0" w:space="0" w:color="auto"/>
      </w:divBdr>
    </w:div>
    <w:div w:id="1707638300">
      <w:bodyDiv w:val="1"/>
      <w:marLeft w:val="0"/>
      <w:marRight w:val="0"/>
      <w:marTop w:val="0"/>
      <w:marBottom w:val="0"/>
      <w:divBdr>
        <w:top w:val="none" w:sz="0" w:space="0" w:color="auto"/>
        <w:left w:val="none" w:sz="0" w:space="0" w:color="auto"/>
        <w:bottom w:val="none" w:sz="0" w:space="0" w:color="auto"/>
        <w:right w:val="none" w:sz="0" w:space="0" w:color="auto"/>
      </w:divBdr>
    </w:div>
    <w:div w:id="1709378412">
      <w:bodyDiv w:val="1"/>
      <w:marLeft w:val="0"/>
      <w:marRight w:val="0"/>
      <w:marTop w:val="0"/>
      <w:marBottom w:val="0"/>
      <w:divBdr>
        <w:top w:val="none" w:sz="0" w:space="0" w:color="auto"/>
        <w:left w:val="none" w:sz="0" w:space="0" w:color="auto"/>
        <w:bottom w:val="none" w:sz="0" w:space="0" w:color="auto"/>
        <w:right w:val="none" w:sz="0" w:space="0" w:color="auto"/>
      </w:divBdr>
    </w:div>
    <w:div w:id="1711491231">
      <w:bodyDiv w:val="1"/>
      <w:marLeft w:val="0"/>
      <w:marRight w:val="0"/>
      <w:marTop w:val="0"/>
      <w:marBottom w:val="0"/>
      <w:divBdr>
        <w:top w:val="none" w:sz="0" w:space="0" w:color="auto"/>
        <w:left w:val="none" w:sz="0" w:space="0" w:color="auto"/>
        <w:bottom w:val="none" w:sz="0" w:space="0" w:color="auto"/>
        <w:right w:val="none" w:sz="0" w:space="0" w:color="auto"/>
      </w:divBdr>
    </w:div>
    <w:div w:id="1712268729">
      <w:bodyDiv w:val="1"/>
      <w:marLeft w:val="0"/>
      <w:marRight w:val="0"/>
      <w:marTop w:val="0"/>
      <w:marBottom w:val="0"/>
      <w:divBdr>
        <w:top w:val="none" w:sz="0" w:space="0" w:color="auto"/>
        <w:left w:val="none" w:sz="0" w:space="0" w:color="auto"/>
        <w:bottom w:val="none" w:sz="0" w:space="0" w:color="auto"/>
        <w:right w:val="none" w:sz="0" w:space="0" w:color="auto"/>
      </w:divBdr>
    </w:div>
    <w:div w:id="1713454707">
      <w:bodyDiv w:val="1"/>
      <w:marLeft w:val="0"/>
      <w:marRight w:val="0"/>
      <w:marTop w:val="0"/>
      <w:marBottom w:val="0"/>
      <w:divBdr>
        <w:top w:val="none" w:sz="0" w:space="0" w:color="auto"/>
        <w:left w:val="none" w:sz="0" w:space="0" w:color="auto"/>
        <w:bottom w:val="none" w:sz="0" w:space="0" w:color="auto"/>
        <w:right w:val="none" w:sz="0" w:space="0" w:color="auto"/>
      </w:divBdr>
    </w:div>
    <w:div w:id="1715961594">
      <w:bodyDiv w:val="1"/>
      <w:marLeft w:val="0"/>
      <w:marRight w:val="0"/>
      <w:marTop w:val="0"/>
      <w:marBottom w:val="0"/>
      <w:divBdr>
        <w:top w:val="none" w:sz="0" w:space="0" w:color="auto"/>
        <w:left w:val="none" w:sz="0" w:space="0" w:color="auto"/>
        <w:bottom w:val="none" w:sz="0" w:space="0" w:color="auto"/>
        <w:right w:val="none" w:sz="0" w:space="0" w:color="auto"/>
      </w:divBdr>
    </w:div>
    <w:div w:id="1716350013">
      <w:bodyDiv w:val="1"/>
      <w:marLeft w:val="0"/>
      <w:marRight w:val="0"/>
      <w:marTop w:val="0"/>
      <w:marBottom w:val="0"/>
      <w:divBdr>
        <w:top w:val="none" w:sz="0" w:space="0" w:color="auto"/>
        <w:left w:val="none" w:sz="0" w:space="0" w:color="auto"/>
        <w:bottom w:val="none" w:sz="0" w:space="0" w:color="auto"/>
        <w:right w:val="none" w:sz="0" w:space="0" w:color="auto"/>
      </w:divBdr>
    </w:div>
    <w:div w:id="1720543979">
      <w:bodyDiv w:val="1"/>
      <w:marLeft w:val="0"/>
      <w:marRight w:val="0"/>
      <w:marTop w:val="0"/>
      <w:marBottom w:val="0"/>
      <w:divBdr>
        <w:top w:val="none" w:sz="0" w:space="0" w:color="auto"/>
        <w:left w:val="none" w:sz="0" w:space="0" w:color="auto"/>
        <w:bottom w:val="none" w:sz="0" w:space="0" w:color="auto"/>
        <w:right w:val="none" w:sz="0" w:space="0" w:color="auto"/>
      </w:divBdr>
    </w:div>
    <w:div w:id="1722511328">
      <w:bodyDiv w:val="1"/>
      <w:marLeft w:val="0"/>
      <w:marRight w:val="0"/>
      <w:marTop w:val="0"/>
      <w:marBottom w:val="0"/>
      <w:divBdr>
        <w:top w:val="none" w:sz="0" w:space="0" w:color="auto"/>
        <w:left w:val="none" w:sz="0" w:space="0" w:color="auto"/>
        <w:bottom w:val="none" w:sz="0" w:space="0" w:color="auto"/>
        <w:right w:val="none" w:sz="0" w:space="0" w:color="auto"/>
      </w:divBdr>
    </w:div>
    <w:div w:id="1725715616">
      <w:bodyDiv w:val="1"/>
      <w:marLeft w:val="0"/>
      <w:marRight w:val="0"/>
      <w:marTop w:val="0"/>
      <w:marBottom w:val="0"/>
      <w:divBdr>
        <w:top w:val="none" w:sz="0" w:space="0" w:color="auto"/>
        <w:left w:val="none" w:sz="0" w:space="0" w:color="auto"/>
        <w:bottom w:val="none" w:sz="0" w:space="0" w:color="auto"/>
        <w:right w:val="none" w:sz="0" w:space="0" w:color="auto"/>
      </w:divBdr>
    </w:div>
    <w:div w:id="1729114109">
      <w:bodyDiv w:val="1"/>
      <w:marLeft w:val="0"/>
      <w:marRight w:val="0"/>
      <w:marTop w:val="0"/>
      <w:marBottom w:val="0"/>
      <w:divBdr>
        <w:top w:val="none" w:sz="0" w:space="0" w:color="auto"/>
        <w:left w:val="none" w:sz="0" w:space="0" w:color="auto"/>
        <w:bottom w:val="none" w:sz="0" w:space="0" w:color="auto"/>
        <w:right w:val="none" w:sz="0" w:space="0" w:color="auto"/>
      </w:divBdr>
    </w:div>
    <w:div w:id="1729917999">
      <w:bodyDiv w:val="1"/>
      <w:marLeft w:val="0"/>
      <w:marRight w:val="0"/>
      <w:marTop w:val="0"/>
      <w:marBottom w:val="0"/>
      <w:divBdr>
        <w:top w:val="none" w:sz="0" w:space="0" w:color="auto"/>
        <w:left w:val="none" w:sz="0" w:space="0" w:color="auto"/>
        <w:bottom w:val="none" w:sz="0" w:space="0" w:color="auto"/>
        <w:right w:val="none" w:sz="0" w:space="0" w:color="auto"/>
      </w:divBdr>
    </w:div>
    <w:div w:id="1732344808">
      <w:bodyDiv w:val="1"/>
      <w:marLeft w:val="0"/>
      <w:marRight w:val="0"/>
      <w:marTop w:val="0"/>
      <w:marBottom w:val="0"/>
      <w:divBdr>
        <w:top w:val="none" w:sz="0" w:space="0" w:color="auto"/>
        <w:left w:val="none" w:sz="0" w:space="0" w:color="auto"/>
        <w:bottom w:val="none" w:sz="0" w:space="0" w:color="auto"/>
        <w:right w:val="none" w:sz="0" w:space="0" w:color="auto"/>
      </w:divBdr>
    </w:div>
    <w:div w:id="1736394534">
      <w:bodyDiv w:val="1"/>
      <w:marLeft w:val="0"/>
      <w:marRight w:val="0"/>
      <w:marTop w:val="0"/>
      <w:marBottom w:val="0"/>
      <w:divBdr>
        <w:top w:val="none" w:sz="0" w:space="0" w:color="auto"/>
        <w:left w:val="none" w:sz="0" w:space="0" w:color="auto"/>
        <w:bottom w:val="none" w:sz="0" w:space="0" w:color="auto"/>
        <w:right w:val="none" w:sz="0" w:space="0" w:color="auto"/>
      </w:divBdr>
    </w:div>
    <w:div w:id="1744645617">
      <w:bodyDiv w:val="1"/>
      <w:marLeft w:val="0"/>
      <w:marRight w:val="0"/>
      <w:marTop w:val="0"/>
      <w:marBottom w:val="0"/>
      <w:divBdr>
        <w:top w:val="none" w:sz="0" w:space="0" w:color="auto"/>
        <w:left w:val="none" w:sz="0" w:space="0" w:color="auto"/>
        <w:bottom w:val="none" w:sz="0" w:space="0" w:color="auto"/>
        <w:right w:val="none" w:sz="0" w:space="0" w:color="auto"/>
      </w:divBdr>
    </w:div>
    <w:div w:id="1747605630">
      <w:bodyDiv w:val="1"/>
      <w:marLeft w:val="0"/>
      <w:marRight w:val="0"/>
      <w:marTop w:val="0"/>
      <w:marBottom w:val="0"/>
      <w:divBdr>
        <w:top w:val="none" w:sz="0" w:space="0" w:color="auto"/>
        <w:left w:val="none" w:sz="0" w:space="0" w:color="auto"/>
        <w:bottom w:val="none" w:sz="0" w:space="0" w:color="auto"/>
        <w:right w:val="none" w:sz="0" w:space="0" w:color="auto"/>
      </w:divBdr>
    </w:div>
    <w:div w:id="1748501443">
      <w:bodyDiv w:val="1"/>
      <w:marLeft w:val="0"/>
      <w:marRight w:val="0"/>
      <w:marTop w:val="0"/>
      <w:marBottom w:val="0"/>
      <w:divBdr>
        <w:top w:val="none" w:sz="0" w:space="0" w:color="auto"/>
        <w:left w:val="none" w:sz="0" w:space="0" w:color="auto"/>
        <w:bottom w:val="none" w:sz="0" w:space="0" w:color="auto"/>
        <w:right w:val="none" w:sz="0" w:space="0" w:color="auto"/>
      </w:divBdr>
    </w:div>
    <w:div w:id="1762796242">
      <w:bodyDiv w:val="1"/>
      <w:marLeft w:val="0"/>
      <w:marRight w:val="0"/>
      <w:marTop w:val="0"/>
      <w:marBottom w:val="0"/>
      <w:divBdr>
        <w:top w:val="none" w:sz="0" w:space="0" w:color="auto"/>
        <w:left w:val="none" w:sz="0" w:space="0" w:color="auto"/>
        <w:bottom w:val="none" w:sz="0" w:space="0" w:color="auto"/>
        <w:right w:val="none" w:sz="0" w:space="0" w:color="auto"/>
      </w:divBdr>
    </w:div>
    <w:div w:id="1765807752">
      <w:bodyDiv w:val="1"/>
      <w:marLeft w:val="0"/>
      <w:marRight w:val="0"/>
      <w:marTop w:val="0"/>
      <w:marBottom w:val="0"/>
      <w:divBdr>
        <w:top w:val="none" w:sz="0" w:space="0" w:color="auto"/>
        <w:left w:val="none" w:sz="0" w:space="0" w:color="auto"/>
        <w:bottom w:val="none" w:sz="0" w:space="0" w:color="auto"/>
        <w:right w:val="none" w:sz="0" w:space="0" w:color="auto"/>
      </w:divBdr>
    </w:div>
    <w:div w:id="1768888936">
      <w:bodyDiv w:val="1"/>
      <w:marLeft w:val="0"/>
      <w:marRight w:val="0"/>
      <w:marTop w:val="0"/>
      <w:marBottom w:val="0"/>
      <w:divBdr>
        <w:top w:val="none" w:sz="0" w:space="0" w:color="auto"/>
        <w:left w:val="none" w:sz="0" w:space="0" w:color="auto"/>
        <w:bottom w:val="none" w:sz="0" w:space="0" w:color="auto"/>
        <w:right w:val="none" w:sz="0" w:space="0" w:color="auto"/>
      </w:divBdr>
    </w:div>
    <w:div w:id="1768890108">
      <w:bodyDiv w:val="1"/>
      <w:marLeft w:val="0"/>
      <w:marRight w:val="0"/>
      <w:marTop w:val="0"/>
      <w:marBottom w:val="0"/>
      <w:divBdr>
        <w:top w:val="none" w:sz="0" w:space="0" w:color="auto"/>
        <w:left w:val="none" w:sz="0" w:space="0" w:color="auto"/>
        <w:bottom w:val="none" w:sz="0" w:space="0" w:color="auto"/>
        <w:right w:val="none" w:sz="0" w:space="0" w:color="auto"/>
      </w:divBdr>
    </w:div>
    <w:div w:id="1769352043">
      <w:bodyDiv w:val="1"/>
      <w:marLeft w:val="0"/>
      <w:marRight w:val="0"/>
      <w:marTop w:val="0"/>
      <w:marBottom w:val="0"/>
      <w:divBdr>
        <w:top w:val="none" w:sz="0" w:space="0" w:color="auto"/>
        <w:left w:val="none" w:sz="0" w:space="0" w:color="auto"/>
        <w:bottom w:val="none" w:sz="0" w:space="0" w:color="auto"/>
        <w:right w:val="none" w:sz="0" w:space="0" w:color="auto"/>
      </w:divBdr>
    </w:div>
    <w:div w:id="1770926312">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9445004">
      <w:bodyDiv w:val="1"/>
      <w:marLeft w:val="0"/>
      <w:marRight w:val="0"/>
      <w:marTop w:val="0"/>
      <w:marBottom w:val="0"/>
      <w:divBdr>
        <w:top w:val="none" w:sz="0" w:space="0" w:color="auto"/>
        <w:left w:val="none" w:sz="0" w:space="0" w:color="auto"/>
        <w:bottom w:val="none" w:sz="0" w:space="0" w:color="auto"/>
        <w:right w:val="none" w:sz="0" w:space="0" w:color="auto"/>
      </w:divBdr>
    </w:div>
    <w:div w:id="1789229248">
      <w:bodyDiv w:val="1"/>
      <w:marLeft w:val="0"/>
      <w:marRight w:val="0"/>
      <w:marTop w:val="0"/>
      <w:marBottom w:val="0"/>
      <w:divBdr>
        <w:top w:val="none" w:sz="0" w:space="0" w:color="auto"/>
        <w:left w:val="none" w:sz="0" w:space="0" w:color="auto"/>
        <w:bottom w:val="none" w:sz="0" w:space="0" w:color="auto"/>
        <w:right w:val="none" w:sz="0" w:space="0" w:color="auto"/>
      </w:divBdr>
    </w:div>
    <w:div w:id="1803572668">
      <w:bodyDiv w:val="1"/>
      <w:marLeft w:val="0"/>
      <w:marRight w:val="0"/>
      <w:marTop w:val="0"/>
      <w:marBottom w:val="0"/>
      <w:divBdr>
        <w:top w:val="none" w:sz="0" w:space="0" w:color="auto"/>
        <w:left w:val="none" w:sz="0" w:space="0" w:color="auto"/>
        <w:bottom w:val="none" w:sz="0" w:space="0" w:color="auto"/>
        <w:right w:val="none" w:sz="0" w:space="0" w:color="auto"/>
      </w:divBdr>
    </w:div>
    <w:div w:id="1805152847">
      <w:bodyDiv w:val="1"/>
      <w:marLeft w:val="0"/>
      <w:marRight w:val="0"/>
      <w:marTop w:val="0"/>
      <w:marBottom w:val="0"/>
      <w:divBdr>
        <w:top w:val="none" w:sz="0" w:space="0" w:color="auto"/>
        <w:left w:val="none" w:sz="0" w:space="0" w:color="auto"/>
        <w:bottom w:val="none" w:sz="0" w:space="0" w:color="auto"/>
        <w:right w:val="none" w:sz="0" w:space="0" w:color="auto"/>
      </w:divBdr>
    </w:div>
    <w:div w:id="1807624694">
      <w:bodyDiv w:val="1"/>
      <w:marLeft w:val="0"/>
      <w:marRight w:val="0"/>
      <w:marTop w:val="0"/>
      <w:marBottom w:val="0"/>
      <w:divBdr>
        <w:top w:val="none" w:sz="0" w:space="0" w:color="auto"/>
        <w:left w:val="none" w:sz="0" w:space="0" w:color="auto"/>
        <w:bottom w:val="none" w:sz="0" w:space="0" w:color="auto"/>
        <w:right w:val="none" w:sz="0" w:space="0" w:color="auto"/>
      </w:divBdr>
    </w:div>
    <w:div w:id="1810702455">
      <w:bodyDiv w:val="1"/>
      <w:marLeft w:val="0"/>
      <w:marRight w:val="0"/>
      <w:marTop w:val="0"/>
      <w:marBottom w:val="0"/>
      <w:divBdr>
        <w:top w:val="none" w:sz="0" w:space="0" w:color="auto"/>
        <w:left w:val="none" w:sz="0" w:space="0" w:color="auto"/>
        <w:bottom w:val="none" w:sz="0" w:space="0" w:color="auto"/>
        <w:right w:val="none" w:sz="0" w:space="0" w:color="auto"/>
      </w:divBdr>
    </w:div>
    <w:div w:id="1818299616">
      <w:bodyDiv w:val="1"/>
      <w:marLeft w:val="0"/>
      <w:marRight w:val="0"/>
      <w:marTop w:val="0"/>
      <w:marBottom w:val="0"/>
      <w:divBdr>
        <w:top w:val="none" w:sz="0" w:space="0" w:color="auto"/>
        <w:left w:val="none" w:sz="0" w:space="0" w:color="auto"/>
        <w:bottom w:val="none" w:sz="0" w:space="0" w:color="auto"/>
        <w:right w:val="none" w:sz="0" w:space="0" w:color="auto"/>
      </w:divBdr>
    </w:div>
    <w:div w:id="1826969904">
      <w:bodyDiv w:val="1"/>
      <w:marLeft w:val="0"/>
      <w:marRight w:val="0"/>
      <w:marTop w:val="0"/>
      <w:marBottom w:val="0"/>
      <w:divBdr>
        <w:top w:val="none" w:sz="0" w:space="0" w:color="auto"/>
        <w:left w:val="none" w:sz="0" w:space="0" w:color="auto"/>
        <w:bottom w:val="none" w:sz="0" w:space="0" w:color="auto"/>
        <w:right w:val="none" w:sz="0" w:space="0" w:color="auto"/>
      </w:divBdr>
    </w:div>
    <w:div w:id="1833913879">
      <w:bodyDiv w:val="1"/>
      <w:marLeft w:val="0"/>
      <w:marRight w:val="0"/>
      <w:marTop w:val="0"/>
      <w:marBottom w:val="0"/>
      <w:divBdr>
        <w:top w:val="none" w:sz="0" w:space="0" w:color="auto"/>
        <w:left w:val="none" w:sz="0" w:space="0" w:color="auto"/>
        <w:bottom w:val="none" w:sz="0" w:space="0" w:color="auto"/>
        <w:right w:val="none" w:sz="0" w:space="0" w:color="auto"/>
      </w:divBdr>
    </w:div>
    <w:div w:id="1833986747">
      <w:bodyDiv w:val="1"/>
      <w:marLeft w:val="0"/>
      <w:marRight w:val="0"/>
      <w:marTop w:val="0"/>
      <w:marBottom w:val="0"/>
      <w:divBdr>
        <w:top w:val="none" w:sz="0" w:space="0" w:color="auto"/>
        <w:left w:val="none" w:sz="0" w:space="0" w:color="auto"/>
        <w:bottom w:val="none" w:sz="0" w:space="0" w:color="auto"/>
        <w:right w:val="none" w:sz="0" w:space="0" w:color="auto"/>
      </w:divBdr>
    </w:div>
    <w:div w:id="1835559894">
      <w:bodyDiv w:val="1"/>
      <w:marLeft w:val="0"/>
      <w:marRight w:val="0"/>
      <w:marTop w:val="0"/>
      <w:marBottom w:val="0"/>
      <w:divBdr>
        <w:top w:val="none" w:sz="0" w:space="0" w:color="auto"/>
        <w:left w:val="none" w:sz="0" w:space="0" w:color="auto"/>
        <w:bottom w:val="none" w:sz="0" w:space="0" w:color="auto"/>
        <w:right w:val="none" w:sz="0" w:space="0" w:color="auto"/>
      </w:divBdr>
    </w:div>
    <w:div w:id="1845123596">
      <w:bodyDiv w:val="1"/>
      <w:marLeft w:val="0"/>
      <w:marRight w:val="0"/>
      <w:marTop w:val="0"/>
      <w:marBottom w:val="0"/>
      <w:divBdr>
        <w:top w:val="none" w:sz="0" w:space="0" w:color="auto"/>
        <w:left w:val="none" w:sz="0" w:space="0" w:color="auto"/>
        <w:bottom w:val="none" w:sz="0" w:space="0" w:color="auto"/>
        <w:right w:val="none" w:sz="0" w:space="0" w:color="auto"/>
      </w:divBdr>
    </w:div>
    <w:div w:id="1846170185">
      <w:bodyDiv w:val="1"/>
      <w:marLeft w:val="0"/>
      <w:marRight w:val="0"/>
      <w:marTop w:val="0"/>
      <w:marBottom w:val="0"/>
      <w:divBdr>
        <w:top w:val="none" w:sz="0" w:space="0" w:color="auto"/>
        <w:left w:val="none" w:sz="0" w:space="0" w:color="auto"/>
        <w:bottom w:val="none" w:sz="0" w:space="0" w:color="auto"/>
        <w:right w:val="none" w:sz="0" w:space="0" w:color="auto"/>
      </w:divBdr>
    </w:div>
    <w:div w:id="1847281280">
      <w:bodyDiv w:val="1"/>
      <w:marLeft w:val="0"/>
      <w:marRight w:val="0"/>
      <w:marTop w:val="0"/>
      <w:marBottom w:val="0"/>
      <w:divBdr>
        <w:top w:val="none" w:sz="0" w:space="0" w:color="auto"/>
        <w:left w:val="none" w:sz="0" w:space="0" w:color="auto"/>
        <w:bottom w:val="none" w:sz="0" w:space="0" w:color="auto"/>
        <w:right w:val="none" w:sz="0" w:space="0" w:color="auto"/>
      </w:divBdr>
    </w:div>
    <w:div w:id="1849172999">
      <w:bodyDiv w:val="1"/>
      <w:marLeft w:val="0"/>
      <w:marRight w:val="0"/>
      <w:marTop w:val="0"/>
      <w:marBottom w:val="0"/>
      <w:divBdr>
        <w:top w:val="none" w:sz="0" w:space="0" w:color="auto"/>
        <w:left w:val="none" w:sz="0" w:space="0" w:color="auto"/>
        <w:bottom w:val="none" w:sz="0" w:space="0" w:color="auto"/>
        <w:right w:val="none" w:sz="0" w:space="0" w:color="auto"/>
      </w:divBdr>
    </w:div>
    <w:div w:id="1860385406">
      <w:bodyDiv w:val="1"/>
      <w:marLeft w:val="0"/>
      <w:marRight w:val="0"/>
      <w:marTop w:val="0"/>
      <w:marBottom w:val="0"/>
      <w:divBdr>
        <w:top w:val="none" w:sz="0" w:space="0" w:color="auto"/>
        <w:left w:val="none" w:sz="0" w:space="0" w:color="auto"/>
        <w:bottom w:val="none" w:sz="0" w:space="0" w:color="auto"/>
        <w:right w:val="none" w:sz="0" w:space="0" w:color="auto"/>
      </w:divBdr>
    </w:div>
    <w:div w:id="1871647655">
      <w:bodyDiv w:val="1"/>
      <w:marLeft w:val="0"/>
      <w:marRight w:val="0"/>
      <w:marTop w:val="0"/>
      <w:marBottom w:val="0"/>
      <w:divBdr>
        <w:top w:val="none" w:sz="0" w:space="0" w:color="auto"/>
        <w:left w:val="none" w:sz="0" w:space="0" w:color="auto"/>
        <w:bottom w:val="none" w:sz="0" w:space="0" w:color="auto"/>
        <w:right w:val="none" w:sz="0" w:space="0" w:color="auto"/>
      </w:divBdr>
    </w:div>
    <w:div w:id="1874685753">
      <w:bodyDiv w:val="1"/>
      <w:marLeft w:val="0"/>
      <w:marRight w:val="0"/>
      <w:marTop w:val="0"/>
      <w:marBottom w:val="0"/>
      <w:divBdr>
        <w:top w:val="none" w:sz="0" w:space="0" w:color="auto"/>
        <w:left w:val="none" w:sz="0" w:space="0" w:color="auto"/>
        <w:bottom w:val="none" w:sz="0" w:space="0" w:color="auto"/>
        <w:right w:val="none" w:sz="0" w:space="0" w:color="auto"/>
      </w:divBdr>
    </w:div>
    <w:div w:id="1874687078">
      <w:bodyDiv w:val="1"/>
      <w:marLeft w:val="0"/>
      <w:marRight w:val="0"/>
      <w:marTop w:val="0"/>
      <w:marBottom w:val="0"/>
      <w:divBdr>
        <w:top w:val="none" w:sz="0" w:space="0" w:color="auto"/>
        <w:left w:val="none" w:sz="0" w:space="0" w:color="auto"/>
        <w:bottom w:val="none" w:sz="0" w:space="0" w:color="auto"/>
        <w:right w:val="none" w:sz="0" w:space="0" w:color="auto"/>
      </w:divBdr>
    </w:div>
    <w:div w:id="1877154917">
      <w:bodyDiv w:val="1"/>
      <w:marLeft w:val="0"/>
      <w:marRight w:val="0"/>
      <w:marTop w:val="0"/>
      <w:marBottom w:val="0"/>
      <w:divBdr>
        <w:top w:val="none" w:sz="0" w:space="0" w:color="auto"/>
        <w:left w:val="none" w:sz="0" w:space="0" w:color="auto"/>
        <w:bottom w:val="none" w:sz="0" w:space="0" w:color="auto"/>
        <w:right w:val="none" w:sz="0" w:space="0" w:color="auto"/>
      </w:divBdr>
    </w:div>
    <w:div w:id="1877737893">
      <w:bodyDiv w:val="1"/>
      <w:marLeft w:val="0"/>
      <w:marRight w:val="0"/>
      <w:marTop w:val="0"/>
      <w:marBottom w:val="0"/>
      <w:divBdr>
        <w:top w:val="none" w:sz="0" w:space="0" w:color="auto"/>
        <w:left w:val="none" w:sz="0" w:space="0" w:color="auto"/>
        <w:bottom w:val="none" w:sz="0" w:space="0" w:color="auto"/>
        <w:right w:val="none" w:sz="0" w:space="0" w:color="auto"/>
      </w:divBdr>
    </w:div>
    <w:div w:id="1878620040">
      <w:bodyDiv w:val="1"/>
      <w:marLeft w:val="0"/>
      <w:marRight w:val="0"/>
      <w:marTop w:val="0"/>
      <w:marBottom w:val="0"/>
      <w:divBdr>
        <w:top w:val="none" w:sz="0" w:space="0" w:color="auto"/>
        <w:left w:val="none" w:sz="0" w:space="0" w:color="auto"/>
        <w:bottom w:val="none" w:sz="0" w:space="0" w:color="auto"/>
        <w:right w:val="none" w:sz="0" w:space="0" w:color="auto"/>
      </w:divBdr>
    </w:div>
    <w:div w:id="1879857605">
      <w:bodyDiv w:val="1"/>
      <w:marLeft w:val="0"/>
      <w:marRight w:val="0"/>
      <w:marTop w:val="0"/>
      <w:marBottom w:val="0"/>
      <w:divBdr>
        <w:top w:val="none" w:sz="0" w:space="0" w:color="auto"/>
        <w:left w:val="none" w:sz="0" w:space="0" w:color="auto"/>
        <w:bottom w:val="none" w:sz="0" w:space="0" w:color="auto"/>
        <w:right w:val="none" w:sz="0" w:space="0" w:color="auto"/>
      </w:divBdr>
    </w:div>
    <w:div w:id="1880044016">
      <w:bodyDiv w:val="1"/>
      <w:marLeft w:val="0"/>
      <w:marRight w:val="0"/>
      <w:marTop w:val="0"/>
      <w:marBottom w:val="0"/>
      <w:divBdr>
        <w:top w:val="none" w:sz="0" w:space="0" w:color="auto"/>
        <w:left w:val="none" w:sz="0" w:space="0" w:color="auto"/>
        <w:bottom w:val="none" w:sz="0" w:space="0" w:color="auto"/>
        <w:right w:val="none" w:sz="0" w:space="0" w:color="auto"/>
      </w:divBdr>
    </w:div>
    <w:div w:id="1880585227">
      <w:bodyDiv w:val="1"/>
      <w:marLeft w:val="0"/>
      <w:marRight w:val="0"/>
      <w:marTop w:val="0"/>
      <w:marBottom w:val="0"/>
      <w:divBdr>
        <w:top w:val="none" w:sz="0" w:space="0" w:color="auto"/>
        <w:left w:val="none" w:sz="0" w:space="0" w:color="auto"/>
        <w:bottom w:val="none" w:sz="0" w:space="0" w:color="auto"/>
        <w:right w:val="none" w:sz="0" w:space="0" w:color="auto"/>
      </w:divBdr>
    </w:div>
    <w:div w:id="1882159958">
      <w:bodyDiv w:val="1"/>
      <w:marLeft w:val="0"/>
      <w:marRight w:val="0"/>
      <w:marTop w:val="0"/>
      <w:marBottom w:val="0"/>
      <w:divBdr>
        <w:top w:val="none" w:sz="0" w:space="0" w:color="auto"/>
        <w:left w:val="none" w:sz="0" w:space="0" w:color="auto"/>
        <w:bottom w:val="none" w:sz="0" w:space="0" w:color="auto"/>
        <w:right w:val="none" w:sz="0" w:space="0" w:color="auto"/>
      </w:divBdr>
    </w:div>
    <w:div w:id="1882858281">
      <w:bodyDiv w:val="1"/>
      <w:marLeft w:val="0"/>
      <w:marRight w:val="0"/>
      <w:marTop w:val="0"/>
      <w:marBottom w:val="0"/>
      <w:divBdr>
        <w:top w:val="none" w:sz="0" w:space="0" w:color="auto"/>
        <w:left w:val="none" w:sz="0" w:space="0" w:color="auto"/>
        <w:bottom w:val="none" w:sz="0" w:space="0" w:color="auto"/>
        <w:right w:val="none" w:sz="0" w:space="0" w:color="auto"/>
      </w:divBdr>
    </w:div>
    <w:div w:id="1883664767">
      <w:bodyDiv w:val="1"/>
      <w:marLeft w:val="0"/>
      <w:marRight w:val="0"/>
      <w:marTop w:val="0"/>
      <w:marBottom w:val="0"/>
      <w:divBdr>
        <w:top w:val="none" w:sz="0" w:space="0" w:color="auto"/>
        <w:left w:val="none" w:sz="0" w:space="0" w:color="auto"/>
        <w:bottom w:val="none" w:sz="0" w:space="0" w:color="auto"/>
        <w:right w:val="none" w:sz="0" w:space="0" w:color="auto"/>
      </w:divBdr>
    </w:div>
    <w:div w:id="1886596147">
      <w:bodyDiv w:val="1"/>
      <w:marLeft w:val="0"/>
      <w:marRight w:val="0"/>
      <w:marTop w:val="0"/>
      <w:marBottom w:val="0"/>
      <w:divBdr>
        <w:top w:val="none" w:sz="0" w:space="0" w:color="auto"/>
        <w:left w:val="none" w:sz="0" w:space="0" w:color="auto"/>
        <w:bottom w:val="none" w:sz="0" w:space="0" w:color="auto"/>
        <w:right w:val="none" w:sz="0" w:space="0" w:color="auto"/>
      </w:divBdr>
    </w:div>
    <w:div w:id="1889993552">
      <w:bodyDiv w:val="1"/>
      <w:marLeft w:val="0"/>
      <w:marRight w:val="0"/>
      <w:marTop w:val="0"/>
      <w:marBottom w:val="0"/>
      <w:divBdr>
        <w:top w:val="none" w:sz="0" w:space="0" w:color="auto"/>
        <w:left w:val="none" w:sz="0" w:space="0" w:color="auto"/>
        <w:bottom w:val="none" w:sz="0" w:space="0" w:color="auto"/>
        <w:right w:val="none" w:sz="0" w:space="0" w:color="auto"/>
      </w:divBdr>
    </w:div>
    <w:div w:id="1892686037">
      <w:bodyDiv w:val="1"/>
      <w:marLeft w:val="0"/>
      <w:marRight w:val="0"/>
      <w:marTop w:val="0"/>
      <w:marBottom w:val="0"/>
      <w:divBdr>
        <w:top w:val="none" w:sz="0" w:space="0" w:color="auto"/>
        <w:left w:val="none" w:sz="0" w:space="0" w:color="auto"/>
        <w:bottom w:val="none" w:sz="0" w:space="0" w:color="auto"/>
        <w:right w:val="none" w:sz="0" w:space="0" w:color="auto"/>
      </w:divBdr>
    </w:div>
    <w:div w:id="1896770577">
      <w:bodyDiv w:val="1"/>
      <w:marLeft w:val="0"/>
      <w:marRight w:val="0"/>
      <w:marTop w:val="0"/>
      <w:marBottom w:val="0"/>
      <w:divBdr>
        <w:top w:val="none" w:sz="0" w:space="0" w:color="auto"/>
        <w:left w:val="none" w:sz="0" w:space="0" w:color="auto"/>
        <w:bottom w:val="none" w:sz="0" w:space="0" w:color="auto"/>
        <w:right w:val="none" w:sz="0" w:space="0" w:color="auto"/>
      </w:divBdr>
    </w:div>
    <w:div w:id="1898205164">
      <w:bodyDiv w:val="1"/>
      <w:marLeft w:val="0"/>
      <w:marRight w:val="0"/>
      <w:marTop w:val="0"/>
      <w:marBottom w:val="0"/>
      <w:divBdr>
        <w:top w:val="none" w:sz="0" w:space="0" w:color="auto"/>
        <w:left w:val="none" w:sz="0" w:space="0" w:color="auto"/>
        <w:bottom w:val="none" w:sz="0" w:space="0" w:color="auto"/>
        <w:right w:val="none" w:sz="0" w:space="0" w:color="auto"/>
      </w:divBdr>
    </w:div>
    <w:div w:id="1901362955">
      <w:bodyDiv w:val="1"/>
      <w:marLeft w:val="0"/>
      <w:marRight w:val="0"/>
      <w:marTop w:val="0"/>
      <w:marBottom w:val="0"/>
      <w:divBdr>
        <w:top w:val="none" w:sz="0" w:space="0" w:color="auto"/>
        <w:left w:val="none" w:sz="0" w:space="0" w:color="auto"/>
        <w:bottom w:val="none" w:sz="0" w:space="0" w:color="auto"/>
        <w:right w:val="none" w:sz="0" w:space="0" w:color="auto"/>
      </w:divBdr>
    </w:div>
    <w:div w:id="1904633722">
      <w:bodyDiv w:val="1"/>
      <w:marLeft w:val="0"/>
      <w:marRight w:val="0"/>
      <w:marTop w:val="0"/>
      <w:marBottom w:val="0"/>
      <w:divBdr>
        <w:top w:val="none" w:sz="0" w:space="0" w:color="auto"/>
        <w:left w:val="none" w:sz="0" w:space="0" w:color="auto"/>
        <w:bottom w:val="none" w:sz="0" w:space="0" w:color="auto"/>
        <w:right w:val="none" w:sz="0" w:space="0" w:color="auto"/>
      </w:divBdr>
    </w:div>
    <w:div w:id="1912694768">
      <w:bodyDiv w:val="1"/>
      <w:marLeft w:val="0"/>
      <w:marRight w:val="0"/>
      <w:marTop w:val="0"/>
      <w:marBottom w:val="0"/>
      <w:divBdr>
        <w:top w:val="none" w:sz="0" w:space="0" w:color="auto"/>
        <w:left w:val="none" w:sz="0" w:space="0" w:color="auto"/>
        <w:bottom w:val="none" w:sz="0" w:space="0" w:color="auto"/>
        <w:right w:val="none" w:sz="0" w:space="0" w:color="auto"/>
      </w:divBdr>
    </w:div>
    <w:div w:id="1920553185">
      <w:bodyDiv w:val="1"/>
      <w:marLeft w:val="0"/>
      <w:marRight w:val="0"/>
      <w:marTop w:val="0"/>
      <w:marBottom w:val="0"/>
      <w:divBdr>
        <w:top w:val="none" w:sz="0" w:space="0" w:color="auto"/>
        <w:left w:val="none" w:sz="0" w:space="0" w:color="auto"/>
        <w:bottom w:val="none" w:sz="0" w:space="0" w:color="auto"/>
        <w:right w:val="none" w:sz="0" w:space="0" w:color="auto"/>
      </w:divBdr>
    </w:div>
    <w:div w:id="1925802194">
      <w:bodyDiv w:val="1"/>
      <w:marLeft w:val="0"/>
      <w:marRight w:val="0"/>
      <w:marTop w:val="0"/>
      <w:marBottom w:val="0"/>
      <w:divBdr>
        <w:top w:val="none" w:sz="0" w:space="0" w:color="auto"/>
        <w:left w:val="none" w:sz="0" w:space="0" w:color="auto"/>
        <w:bottom w:val="none" w:sz="0" w:space="0" w:color="auto"/>
        <w:right w:val="none" w:sz="0" w:space="0" w:color="auto"/>
      </w:divBdr>
    </w:div>
    <w:div w:id="1937522081">
      <w:bodyDiv w:val="1"/>
      <w:marLeft w:val="0"/>
      <w:marRight w:val="0"/>
      <w:marTop w:val="0"/>
      <w:marBottom w:val="0"/>
      <w:divBdr>
        <w:top w:val="none" w:sz="0" w:space="0" w:color="auto"/>
        <w:left w:val="none" w:sz="0" w:space="0" w:color="auto"/>
        <w:bottom w:val="none" w:sz="0" w:space="0" w:color="auto"/>
        <w:right w:val="none" w:sz="0" w:space="0" w:color="auto"/>
      </w:divBdr>
    </w:div>
    <w:div w:id="1938370587">
      <w:bodyDiv w:val="1"/>
      <w:marLeft w:val="0"/>
      <w:marRight w:val="0"/>
      <w:marTop w:val="0"/>
      <w:marBottom w:val="0"/>
      <w:divBdr>
        <w:top w:val="none" w:sz="0" w:space="0" w:color="auto"/>
        <w:left w:val="none" w:sz="0" w:space="0" w:color="auto"/>
        <w:bottom w:val="none" w:sz="0" w:space="0" w:color="auto"/>
        <w:right w:val="none" w:sz="0" w:space="0" w:color="auto"/>
      </w:divBdr>
    </w:div>
    <w:div w:id="1939869451">
      <w:bodyDiv w:val="1"/>
      <w:marLeft w:val="0"/>
      <w:marRight w:val="0"/>
      <w:marTop w:val="0"/>
      <w:marBottom w:val="0"/>
      <w:divBdr>
        <w:top w:val="none" w:sz="0" w:space="0" w:color="auto"/>
        <w:left w:val="none" w:sz="0" w:space="0" w:color="auto"/>
        <w:bottom w:val="none" w:sz="0" w:space="0" w:color="auto"/>
        <w:right w:val="none" w:sz="0" w:space="0" w:color="auto"/>
      </w:divBdr>
    </w:div>
    <w:div w:id="1949506582">
      <w:bodyDiv w:val="1"/>
      <w:marLeft w:val="0"/>
      <w:marRight w:val="0"/>
      <w:marTop w:val="0"/>
      <w:marBottom w:val="0"/>
      <w:divBdr>
        <w:top w:val="none" w:sz="0" w:space="0" w:color="auto"/>
        <w:left w:val="none" w:sz="0" w:space="0" w:color="auto"/>
        <w:bottom w:val="none" w:sz="0" w:space="0" w:color="auto"/>
        <w:right w:val="none" w:sz="0" w:space="0" w:color="auto"/>
      </w:divBdr>
    </w:div>
    <w:div w:id="1952391819">
      <w:bodyDiv w:val="1"/>
      <w:marLeft w:val="0"/>
      <w:marRight w:val="0"/>
      <w:marTop w:val="0"/>
      <w:marBottom w:val="0"/>
      <w:divBdr>
        <w:top w:val="none" w:sz="0" w:space="0" w:color="auto"/>
        <w:left w:val="none" w:sz="0" w:space="0" w:color="auto"/>
        <w:bottom w:val="none" w:sz="0" w:space="0" w:color="auto"/>
        <w:right w:val="none" w:sz="0" w:space="0" w:color="auto"/>
      </w:divBdr>
    </w:div>
    <w:div w:id="1953317462">
      <w:bodyDiv w:val="1"/>
      <w:marLeft w:val="0"/>
      <w:marRight w:val="0"/>
      <w:marTop w:val="0"/>
      <w:marBottom w:val="0"/>
      <w:divBdr>
        <w:top w:val="none" w:sz="0" w:space="0" w:color="auto"/>
        <w:left w:val="none" w:sz="0" w:space="0" w:color="auto"/>
        <w:bottom w:val="none" w:sz="0" w:space="0" w:color="auto"/>
        <w:right w:val="none" w:sz="0" w:space="0" w:color="auto"/>
      </w:divBdr>
    </w:div>
    <w:div w:id="1953895471">
      <w:bodyDiv w:val="1"/>
      <w:marLeft w:val="0"/>
      <w:marRight w:val="0"/>
      <w:marTop w:val="0"/>
      <w:marBottom w:val="0"/>
      <w:divBdr>
        <w:top w:val="none" w:sz="0" w:space="0" w:color="auto"/>
        <w:left w:val="none" w:sz="0" w:space="0" w:color="auto"/>
        <w:bottom w:val="none" w:sz="0" w:space="0" w:color="auto"/>
        <w:right w:val="none" w:sz="0" w:space="0" w:color="auto"/>
      </w:divBdr>
    </w:div>
    <w:div w:id="1953974488">
      <w:bodyDiv w:val="1"/>
      <w:marLeft w:val="0"/>
      <w:marRight w:val="0"/>
      <w:marTop w:val="0"/>
      <w:marBottom w:val="0"/>
      <w:divBdr>
        <w:top w:val="none" w:sz="0" w:space="0" w:color="auto"/>
        <w:left w:val="none" w:sz="0" w:space="0" w:color="auto"/>
        <w:bottom w:val="none" w:sz="0" w:space="0" w:color="auto"/>
        <w:right w:val="none" w:sz="0" w:space="0" w:color="auto"/>
      </w:divBdr>
    </w:div>
    <w:div w:id="1955552911">
      <w:bodyDiv w:val="1"/>
      <w:marLeft w:val="0"/>
      <w:marRight w:val="0"/>
      <w:marTop w:val="0"/>
      <w:marBottom w:val="0"/>
      <w:divBdr>
        <w:top w:val="none" w:sz="0" w:space="0" w:color="auto"/>
        <w:left w:val="none" w:sz="0" w:space="0" w:color="auto"/>
        <w:bottom w:val="none" w:sz="0" w:space="0" w:color="auto"/>
        <w:right w:val="none" w:sz="0" w:space="0" w:color="auto"/>
      </w:divBdr>
    </w:div>
    <w:div w:id="1957059803">
      <w:bodyDiv w:val="1"/>
      <w:marLeft w:val="0"/>
      <w:marRight w:val="0"/>
      <w:marTop w:val="0"/>
      <w:marBottom w:val="0"/>
      <w:divBdr>
        <w:top w:val="none" w:sz="0" w:space="0" w:color="auto"/>
        <w:left w:val="none" w:sz="0" w:space="0" w:color="auto"/>
        <w:bottom w:val="none" w:sz="0" w:space="0" w:color="auto"/>
        <w:right w:val="none" w:sz="0" w:space="0" w:color="auto"/>
      </w:divBdr>
    </w:div>
    <w:div w:id="1961916031">
      <w:bodyDiv w:val="1"/>
      <w:marLeft w:val="0"/>
      <w:marRight w:val="0"/>
      <w:marTop w:val="0"/>
      <w:marBottom w:val="0"/>
      <w:divBdr>
        <w:top w:val="none" w:sz="0" w:space="0" w:color="auto"/>
        <w:left w:val="none" w:sz="0" w:space="0" w:color="auto"/>
        <w:bottom w:val="none" w:sz="0" w:space="0" w:color="auto"/>
        <w:right w:val="none" w:sz="0" w:space="0" w:color="auto"/>
      </w:divBdr>
    </w:div>
    <w:div w:id="1965501347">
      <w:bodyDiv w:val="1"/>
      <w:marLeft w:val="0"/>
      <w:marRight w:val="0"/>
      <w:marTop w:val="0"/>
      <w:marBottom w:val="0"/>
      <w:divBdr>
        <w:top w:val="none" w:sz="0" w:space="0" w:color="auto"/>
        <w:left w:val="none" w:sz="0" w:space="0" w:color="auto"/>
        <w:bottom w:val="none" w:sz="0" w:space="0" w:color="auto"/>
        <w:right w:val="none" w:sz="0" w:space="0" w:color="auto"/>
      </w:divBdr>
    </w:div>
    <w:div w:id="1971857890">
      <w:bodyDiv w:val="1"/>
      <w:marLeft w:val="0"/>
      <w:marRight w:val="0"/>
      <w:marTop w:val="0"/>
      <w:marBottom w:val="0"/>
      <w:divBdr>
        <w:top w:val="none" w:sz="0" w:space="0" w:color="auto"/>
        <w:left w:val="none" w:sz="0" w:space="0" w:color="auto"/>
        <w:bottom w:val="none" w:sz="0" w:space="0" w:color="auto"/>
        <w:right w:val="none" w:sz="0" w:space="0" w:color="auto"/>
      </w:divBdr>
    </w:div>
    <w:div w:id="1974746481">
      <w:bodyDiv w:val="1"/>
      <w:marLeft w:val="0"/>
      <w:marRight w:val="0"/>
      <w:marTop w:val="0"/>
      <w:marBottom w:val="0"/>
      <w:divBdr>
        <w:top w:val="none" w:sz="0" w:space="0" w:color="auto"/>
        <w:left w:val="none" w:sz="0" w:space="0" w:color="auto"/>
        <w:bottom w:val="none" w:sz="0" w:space="0" w:color="auto"/>
        <w:right w:val="none" w:sz="0" w:space="0" w:color="auto"/>
      </w:divBdr>
    </w:div>
    <w:div w:id="1978486993">
      <w:bodyDiv w:val="1"/>
      <w:marLeft w:val="0"/>
      <w:marRight w:val="0"/>
      <w:marTop w:val="0"/>
      <w:marBottom w:val="0"/>
      <w:divBdr>
        <w:top w:val="none" w:sz="0" w:space="0" w:color="auto"/>
        <w:left w:val="none" w:sz="0" w:space="0" w:color="auto"/>
        <w:bottom w:val="none" w:sz="0" w:space="0" w:color="auto"/>
        <w:right w:val="none" w:sz="0" w:space="0" w:color="auto"/>
      </w:divBdr>
    </w:div>
    <w:div w:id="1979410732">
      <w:bodyDiv w:val="1"/>
      <w:marLeft w:val="0"/>
      <w:marRight w:val="0"/>
      <w:marTop w:val="0"/>
      <w:marBottom w:val="0"/>
      <w:divBdr>
        <w:top w:val="none" w:sz="0" w:space="0" w:color="auto"/>
        <w:left w:val="none" w:sz="0" w:space="0" w:color="auto"/>
        <w:bottom w:val="none" w:sz="0" w:space="0" w:color="auto"/>
        <w:right w:val="none" w:sz="0" w:space="0" w:color="auto"/>
      </w:divBdr>
    </w:div>
    <w:div w:id="1983725738">
      <w:bodyDiv w:val="1"/>
      <w:marLeft w:val="0"/>
      <w:marRight w:val="0"/>
      <w:marTop w:val="0"/>
      <w:marBottom w:val="0"/>
      <w:divBdr>
        <w:top w:val="none" w:sz="0" w:space="0" w:color="auto"/>
        <w:left w:val="none" w:sz="0" w:space="0" w:color="auto"/>
        <w:bottom w:val="none" w:sz="0" w:space="0" w:color="auto"/>
        <w:right w:val="none" w:sz="0" w:space="0" w:color="auto"/>
      </w:divBdr>
    </w:div>
    <w:div w:id="1987470908">
      <w:bodyDiv w:val="1"/>
      <w:marLeft w:val="0"/>
      <w:marRight w:val="0"/>
      <w:marTop w:val="0"/>
      <w:marBottom w:val="0"/>
      <w:divBdr>
        <w:top w:val="none" w:sz="0" w:space="0" w:color="auto"/>
        <w:left w:val="none" w:sz="0" w:space="0" w:color="auto"/>
        <w:bottom w:val="none" w:sz="0" w:space="0" w:color="auto"/>
        <w:right w:val="none" w:sz="0" w:space="0" w:color="auto"/>
      </w:divBdr>
    </w:div>
    <w:div w:id="1990162639">
      <w:bodyDiv w:val="1"/>
      <w:marLeft w:val="0"/>
      <w:marRight w:val="0"/>
      <w:marTop w:val="0"/>
      <w:marBottom w:val="0"/>
      <w:divBdr>
        <w:top w:val="none" w:sz="0" w:space="0" w:color="auto"/>
        <w:left w:val="none" w:sz="0" w:space="0" w:color="auto"/>
        <w:bottom w:val="none" w:sz="0" w:space="0" w:color="auto"/>
        <w:right w:val="none" w:sz="0" w:space="0" w:color="auto"/>
      </w:divBdr>
    </w:div>
    <w:div w:id="2000694852">
      <w:bodyDiv w:val="1"/>
      <w:marLeft w:val="0"/>
      <w:marRight w:val="0"/>
      <w:marTop w:val="0"/>
      <w:marBottom w:val="0"/>
      <w:divBdr>
        <w:top w:val="none" w:sz="0" w:space="0" w:color="auto"/>
        <w:left w:val="none" w:sz="0" w:space="0" w:color="auto"/>
        <w:bottom w:val="none" w:sz="0" w:space="0" w:color="auto"/>
        <w:right w:val="none" w:sz="0" w:space="0" w:color="auto"/>
      </w:divBdr>
    </w:div>
    <w:div w:id="2007635034">
      <w:bodyDiv w:val="1"/>
      <w:marLeft w:val="0"/>
      <w:marRight w:val="0"/>
      <w:marTop w:val="0"/>
      <w:marBottom w:val="0"/>
      <w:divBdr>
        <w:top w:val="none" w:sz="0" w:space="0" w:color="auto"/>
        <w:left w:val="none" w:sz="0" w:space="0" w:color="auto"/>
        <w:bottom w:val="none" w:sz="0" w:space="0" w:color="auto"/>
        <w:right w:val="none" w:sz="0" w:space="0" w:color="auto"/>
      </w:divBdr>
    </w:div>
    <w:div w:id="2011173359">
      <w:bodyDiv w:val="1"/>
      <w:marLeft w:val="0"/>
      <w:marRight w:val="0"/>
      <w:marTop w:val="0"/>
      <w:marBottom w:val="0"/>
      <w:divBdr>
        <w:top w:val="none" w:sz="0" w:space="0" w:color="auto"/>
        <w:left w:val="none" w:sz="0" w:space="0" w:color="auto"/>
        <w:bottom w:val="none" w:sz="0" w:space="0" w:color="auto"/>
        <w:right w:val="none" w:sz="0" w:space="0" w:color="auto"/>
      </w:divBdr>
    </w:div>
    <w:div w:id="2023119514">
      <w:bodyDiv w:val="1"/>
      <w:marLeft w:val="0"/>
      <w:marRight w:val="0"/>
      <w:marTop w:val="0"/>
      <w:marBottom w:val="0"/>
      <w:divBdr>
        <w:top w:val="none" w:sz="0" w:space="0" w:color="auto"/>
        <w:left w:val="none" w:sz="0" w:space="0" w:color="auto"/>
        <w:bottom w:val="none" w:sz="0" w:space="0" w:color="auto"/>
        <w:right w:val="none" w:sz="0" w:space="0" w:color="auto"/>
      </w:divBdr>
    </w:div>
    <w:div w:id="2028675476">
      <w:bodyDiv w:val="1"/>
      <w:marLeft w:val="0"/>
      <w:marRight w:val="0"/>
      <w:marTop w:val="0"/>
      <w:marBottom w:val="0"/>
      <w:divBdr>
        <w:top w:val="none" w:sz="0" w:space="0" w:color="auto"/>
        <w:left w:val="none" w:sz="0" w:space="0" w:color="auto"/>
        <w:bottom w:val="none" w:sz="0" w:space="0" w:color="auto"/>
        <w:right w:val="none" w:sz="0" w:space="0" w:color="auto"/>
      </w:divBdr>
    </w:div>
    <w:div w:id="2037001774">
      <w:bodyDiv w:val="1"/>
      <w:marLeft w:val="0"/>
      <w:marRight w:val="0"/>
      <w:marTop w:val="0"/>
      <w:marBottom w:val="0"/>
      <w:divBdr>
        <w:top w:val="none" w:sz="0" w:space="0" w:color="auto"/>
        <w:left w:val="none" w:sz="0" w:space="0" w:color="auto"/>
        <w:bottom w:val="none" w:sz="0" w:space="0" w:color="auto"/>
        <w:right w:val="none" w:sz="0" w:space="0" w:color="auto"/>
      </w:divBdr>
    </w:div>
    <w:div w:id="2048292405">
      <w:bodyDiv w:val="1"/>
      <w:marLeft w:val="0"/>
      <w:marRight w:val="0"/>
      <w:marTop w:val="0"/>
      <w:marBottom w:val="0"/>
      <w:divBdr>
        <w:top w:val="none" w:sz="0" w:space="0" w:color="auto"/>
        <w:left w:val="none" w:sz="0" w:space="0" w:color="auto"/>
        <w:bottom w:val="none" w:sz="0" w:space="0" w:color="auto"/>
        <w:right w:val="none" w:sz="0" w:space="0" w:color="auto"/>
      </w:divBdr>
    </w:div>
    <w:div w:id="2052345410">
      <w:bodyDiv w:val="1"/>
      <w:marLeft w:val="0"/>
      <w:marRight w:val="0"/>
      <w:marTop w:val="0"/>
      <w:marBottom w:val="0"/>
      <w:divBdr>
        <w:top w:val="none" w:sz="0" w:space="0" w:color="auto"/>
        <w:left w:val="none" w:sz="0" w:space="0" w:color="auto"/>
        <w:bottom w:val="none" w:sz="0" w:space="0" w:color="auto"/>
        <w:right w:val="none" w:sz="0" w:space="0" w:color="auto"/>
      </w:divBdr>
    </w:div>
    <w:div w:id="2063286215">
      <w:bodyDiv w:val="1"/>
      <w:marLeft w:val="0"/>
      <w:marRight w:val="0"/>
      <w:marTop w:val="0"/>
      <w:marBottom w:val="0"/>
      <w:divBdr>
        <w:top w:val="none" w:sz="0" w:space="0" w:color="auto"/>
        <w:left w:val="none" w:sz="0" w:space="0" w:color="auto"/>
        <w:bottom w:val="none" w:sz="0" w:space="0" w:color="auto"/>
        <w:right w:val="none" w:sz="0" w:space="0" w:color="auto"/>
      </w:divBdr>
    </w:div>
    <w:div w:id="2064743851">
      <w:bodyDiv w:val="1"/>
      <w:marLeft w:val="0"/>
      <w:marRight w:val="0"/>
      <w:marTop w:val="0"/>
      <w:marBottom w:val="0"/>
      <w:divBdr>
        <w:top w:val="none" w:sz="0" w:space="0" w:color="auto"/>
        <w:left w:val="none" w:sz="0" w:space="0" w:color="auto"/>
        <w:bottom w:val="none" w:sz="0" w:space="0" w:color="auto"/>
        <w:right w:val="none" w:sz="0" w:space="0" w:color="auto"/>
      </w:divBdr>
    </w:div>
    <w:div w:id="2071808117">
      <w:bodyDiv w:val="1"/>
      <w:marLeft w:val="0"/>
      <w:marRight w:val="0"/>
      <w:marTop w:val="0"/>
      <w:marBottom w:val="0"/>
      <w:divBdr>
        <w:top w:val="none" w:sz="0" w:space="0" w:color="auto"/>
        <w:left w:val="none" w:sz="0" w:space="0" w:color="auto"/>
        <w:bottom w:val="none" w:sz="0" w:space="0" w:color="auto"/>
        <w:right w:val="none" w:sz="0" w:space="0" w:color="auto"/>
      </w:divBdr>
    </w:div>
    <w:div w:id="2084716375">
      <w:bodyDiv w:val="1"/>
      <w:marLeft w:val="0"/>
      <w:marRight w:val="0"/>
      <w:marTop w:val="0"/>
      <w:marBottom w:val="0"/>
      <w:divBdr>
        <w:top w:val="none" w:sz="0" w:space="0" w:color="auto"/>
        <w:left w:val="none" w:sz="0" w:space="0" w:color="auto"/>
        <w:bottom w:val="none" w:sz="0" w:space="0" w:color="auto"/>
        <w:right w:val="none" w:sz="0" w:space="0" w:color="auto"/>
      </w:divBdr>
    </w:div>
    <w:div w:id="2086100427">
      <w:bodyDiv w:val="1"/>
      <w:marLeft w:val="0"/>
      <w:marRight w:val="0"/>
      <w:marTop w:val="0"/>
      <w:marBottom w:val="0"/>
      <w:divBdr>
        <w:top w:val="none" w:sz="0" w:space="0" w:color="auto"/>
        <w:left w:val="none" w:sz="0" w:space="0" w:color="auto"/>
        <w:bottom w:val="none" w:sz="0" w:space="0" w:color="auto"/>
        <w:right w:val="none" w:sz="0" w:space="0" w:color="auto"/>
      </w:divBdr>
    </w:div>
    <w:div w:id="2097362385">
      <w:bodyDiv w:val="1"/>
      <w:marLeft w:val="0"/>
      <w:marRight w:val="0"/>
      <w:marTop w:val="0"/>
      <w:marBottom w:val="0"/>
      <w:divBdr>
        <w:top w:val="none" w:sz="0" w:space="0" w:color="auto"/>
        <w:left w:val="none" w:sz="0" w:space="0" w:color="auto"/>
        <w:bottom w:val="none" w:sz="0" w:space="0" w:color="auto"/>
        <w:right w:val="none" w:sz="0" w:space="0" w:color="auto"/>
      </w:divBdr>
    </w:div>
    <w:div w:id="2100254718">
      <w:bodyDiv w:val="1"/>
      <w:marLeft w:val="0"/>
      <w:marRight w:val="0"/>
      <w:marTop w:val="0"/>
      <w:marBottom w:val="0"/>
      <w:divBdr>
        <w:top w:val="none" w:sz="0" w:space="0" w:color="auto"/>
        <w:left w:val="none" w:sz="0" w:space="0" w:color="auto"/>
        <w:bottom w:val="none" w:sz="0" w:space="0" w:color="auto"/>
        <w:right w:val="none" w:sz="0" w:space="0" w:color="auto"/>
      </w:divBdr>
    </w:div>
    <w:div w:id="2101950690">
      <w:bodyDiv w:val="1"/>
      <w:marLeft w:val="0"/>
      <w:marRight w:val="0"/>
      <w:marTop w:val="0"/>
      <w:marBottom w:val="0"/>
      <w:divBdr>
        <w:top w:val="none" w:sz="0" w:space="0" w:color="auto"/>
        <w:left w:val="none" w:sz="0" w:space="0" w:color="auto"/>
        <w:bottom w:val="none" w:sz="0" w:space="0" w:color="auto"/>
        <w:right w:val="none" w:sz="0" w:space="0" w:color="auto"/>
      </w:divBdr>
    </w:div>
    <w:div w:id="2108580239">
      <w:bodyDiv w:val="1"/>
      <w:marLeft w:val="0"/>
      <w:marRight w:val="0"/>
      <w:marTop w:val="0"/>
      <w:marBottom w:val="0"/>
      <w:divBdr>
        <w:top w:val="none" w:sz="0" w:space="0" w:color="auto"/>
        <w:left w:val="none" w:sz="0" w:space="0" w:color="auto"/>
        <w:bottom w:val="none" w:sz="0" w:space="0" w:color="auto"/>
        <w:right w:val="none" w:sz="0" w:space="0" w:color="auto"/>
      </w:divBdr>
    </w:div>
    <w:div w:id="2109420188">
      <w:bodyDiv w:val="1"/>
      <w:marLeft w:val="0"/>
      <w:marRight w:val="0"/>
      <w:marTop w:val="0"/>
      <w:marBottom w:val="0"/>
      <w:divBdr>
        <w:top w:val="none" w:sz="0" w:space="0" w:color="auto"/>
        <w:left w:val="none" w:sz="0" w:space="0" w:color="auto"/>
        <w:bottom w:val="none" w:sz="0" w:space="0" w:color="auto"/>
        <w:right w:val="none" w:sz="0" w:space="0" w:color="auto"/>
      </w:divBdr>
    </w:div>
    <w:div w:id="2119257564">
      <w:bodyDiv w:val="1"/>
      <w:marLeft w:val="0"/>
      <w:marRight w:val="0"/>
      <w:marTop w:val="0"/>
      <w:marBottom w:val="0"/>
      <w:divBdr>
        <w:top w:val="none" w:sz="0" w:space="0" w:color="auto"/>
        <w:left w:val="none" w:sz="0" w:space="0" w:color="auto"/>
        <w:bottom w:val="none" w:sz="0" w:space="0" w:color="auto"/>
        <w:right w:val="none" w:sz="0" w:space="0" w:color="auto"/>
      </w:divBdr>
    </w:div>
    <w:div w:id="2120835962">
      <w:bodyDiv w:val="1"/>
      <w:marLeft w:val="0"/>
      <w:marRight w:val="0"/>
      <w:marTop w:val="0"/>
      <w:marBottom w:val="0"/>
      <w:divBdr>
        <w:top w:val="none" w:sz="0" w:space="0" w:color="auto"/>
        <w:left w:val="none" w:sz="0" w:space="0" w:color="auto"/>
        <w:bottom w:val="none" w:sz="0" w:space="0" w:color="auto"/>
        <w:right w:val="none" w:sz="0" w:space="0" w:color="auto"/>
      </w:divBdr>
    </w:div>
    <w:div w:id="2124886299">
      <w:bodyDiv w:val="1"/>
      <w:marLeft w:val="0"/>
      <w:marRight w:val="0"/>
      <w:marTop w:val="0"/>
      <w:marBottom w:val="0"/>
      <w:divBdr>
        <w:top w:val="none" w:sz="0" w:space="0" w:color="auto"/>
        <w:left w:val="none" w:sz="0" w:space="0" w:color="auto"/>
        <w:bottom w:val="none" w:sz="0" w:space="0" w:color="auto"/>
        <w:right w:val="none" w:sz="0" w:space="0" w:color="auto"/>
      </w:divBdr>
    </w:div>
    <w:div w:id="2126655925">
      <w:bodyDiv w:val="1"/>
      <w:marLeft w:val="0"/>
      <w:marRight w:val="0"/>
      <w:marTop w:val="0"/>
      <w:marBottom w:val="0"/>
      <w:divBdr>
        <w:top w:val="none" w:sz="0" w:space="0" w:color="auto"/>
        <w:left w:val="none" w:sz="0" w:space="0" w:color="auto"/>
        <w:bottom w:val="none" w:sz="0" w:space="0" w:color="auto"/>
        <w:right w:val="none" w:sz="0" w:space="0" w:color="auto"/>
      </w:divBdr>
    </w:div>
    <w:div w:id="2129273629">
      <w:bodyDiv w:val="1"/>
      <w:marLeft w:val="0"/>
      <w:marRight w:val="0"/>
      <w:marTop w:val="0"/>
      <w:marBottom w:val="0"/>
      <w:divBdr>
        <w:top w:val="none" w:sz="0" w:space="0" w:color="auto"/>
        <w:left w:val="none" w:sz="0" w:space="0" w:color="auto"/>
        <w:bottom w:val="none" w:sz="0" w:space="0" w:color="auto"/>
        <w:right w:val="none" w:sz="0" w:space="0" w:color="auto"/>
      </w:divBdr>
    </w:div>
    <w:div w:id="2135248198">
      <w:bodyDiv w:val="1"/>
      <w:marLeft w:val="0"/>
      <w:marRight w:val="0"/>
      <w:marTop w:val="0"/>
      <w:marBottom w:val="0"/>
      <w:divBdr>
        <w:top w:val="none" w:sz="0" w:space="0" w:color="auto"/>
        <w:left w:val="none" w:sz="0" w:space="0" w:color="auto"/>
        <w:bottom w:val="none" w:sz="0" w:space="0" w:color="auto"/>
        <w:right w:val="none" w:sz="0" w:space="0" w:color="auto"/>
      </w:divBdr>
    </w:div>
    <w:div w:id="2141334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10.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DCFSD\Fileserver\Asr_Business\B.%20MARKET%20RESEARCH\NOPTA%20Stakeholder%202025\Report\CHARTS%20NOPTA%20stakeholder%20survey%2023Oct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cfsd\fileserver\asr_business\B.%20MARKET%20RESEARCH\NOPTA%20Stakeholder%202025\Analysis\CHARTS%20NOPTA%20stakeholder%20survey%2023Oct20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DATA\ASR_Workstuff\NOPTA\2025%20report\CHARTS%20NOPTA%20stakeholder%20survey%2023Oct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ATA\ASR_Workstuff\NOPTA\2025%20report\CHARTS%20NOPTA%20stakeholder%20survey%2023Oct20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ATA\ASR_Workstuff\NOPTA\2025%20report\CHARTS%20NOPTA%20stakeholder%20survey%2023Oct202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DATA\ASR_Workstuff\NOPTA\2025%20report\CHARTS%20NOPTA%20stakeholder%20survey%2023Oct202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CFSD\Fileserver\Asr_Business\B.%20MARKET%20RESEARCH\NOPTA%20Stakeholder%202025\Report\CHARTS%20NOPTA%20stakeholder%20survey%2023Oct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CFSD\Fileserver\Asr_Business\B.%20MARKET%20RESEARCH\NOPTA%20Stakeholder%202025\Report\CHARTS%20NOPTA%20stakeholder%20survey%2023Oct202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CFSD\Fileserver\Asr_Business\B.%20MARKET%20RESEARCH\NOPTA%20Stakeholder%202025\Report\CHARTS%20NOPTA%20stakeholder%20survey%2023Oct202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DATA\ASR_Workstuff\NOPTA\2025%20report\CHARTS%20NOPTA%20stakeholder%20survey%2023Oct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0" i="0" u="none" strike="noStrike" kern="1200" spc="0" baseline="0">
                <a:solidFill>
                  <a:schemeClr val="tx1"/>
                </a:solidFill>
                <a:latin typeface="Arial Nova" panose="020B0504020202020204" pitchFamily="34" charset="0"/>
                <a:ea typeface="+mn-ea"/>
                <a:cs typeface="+mn-cs"/>
              </a:defRPr>
            </a:pPr>
            <a:r>
              <a:rPr lang="en-US" sz="1050"/>
              <a:t>Number of interactions with NOPTA / OIR in past 6 to 12 months</a:t>
            </a:r>
            <a:r>
              <a:rPr lang="en-US" sz="1050" baseline="0"/>
              <a:t> (</a:t>
            </a:r>
            <a:r>
              <a:rPr lang="en-US" sz="1050"/>
              <a:t>% of each category) n=82</a:t>
            </a:r>
          </a:p>
        </c:rich>
      </c:tx>
      <c:layout>
        <c:manualLayout>
          <c:xMode val="edge"/>
          <c:yMode val="edge"/>
          <c:x val="0.10818114123884914"/>
          <c:y val="1.4134994319739882E-2"/>
        </c:manualLayout>
      </c:layout>
      <c:overlay val="0"/>
      <c:spPr>
        <a:noFill/>
        <a:ln>
          <a:noFill/>
        </a:ln>
        <a:effectLst/>
      </c:spPr>
      <c:txPr>
        <a:bodyPr rot="0" spcFirstLastPara="1" vertOverflow="ellipsis" vert="horz" wrap="square" anchor="ctr" anchorCtr="1"/>
        <a:lstStyle/>
        <a:p>
          <a:pPr algn="ctr">
            <a:defRPr sz="1050" b="0" i="0" u="none" strike="noStrike" kern="1200" spc="0" baseline="0">
              <a:solidFill>
                <a:schemeClr val="tx1"/>
              </a:solidFill>
              <a:latin typeface="Arial Nova" panose="020B0504020202020204" pitchFamily="34" charset="0"/>
              <a:ea typeface="+mn-ea"/>
              <a:cs typeface="+mn-cs"/>
            </a:defRPr>
          </a:pPr>
          <a:endParaRPr lang="en-US"/>
        </a:p>
      </c:txPr>
    </c:title>
    <c:autoTitleDeleted val="0"/>
    <c:plotArea>
      <c:layout/>
      <c:doughnutChart>
        <c:varyColors val="1"/>
        <c:ser>
          <c:idx val="0"/>
          <c:order val="0"/>
          <c:tx>
            <c:strRef>
              <c:f>Overall!$E$10</c:f>
              <c:strCache>
                <c:ptCount val="1"/>
                <c:pt idx="0">
                  <c:v>Percent</c:v>
                </c:pt>
              </c:strCache>
            </c:strRef>
          </c:tx>
          <c:spPr>
            <a:solidFill>
              <a:srgbClr val="FA991F"/>
            </a:solidFill>
          </c:spPr>
          <c:dPt>
            <c:idx val="0"/>
            <c:bubble3D val="0"/>
            <c:spPr>
              <a:solidFill>
                <a:srgbClr val="5B9BD4"/>
              </a:solidFill>
              <a:ln w="19050">
                <a:solidFill>
                  <a:schemeClr val="lt1"/>
                </a:solidFill>
              </a:ln>
              <a:effectLst/>
            </c:spPr>
            <c:extLst>
              <c:ext xmlns:c16="http://schemas.microsoft.com/office/drawing/2014/chart" uri="{C3380CC4-5D6E-409C-BE32-E72D297353CC}">
                <c16:uniqueId val="{00000001-70F6-4E68-9DF0-6471B28E4850}"/>
              </c:ext>
            </c:extLst>
          </c:dPt>
          <c:dPt>
            <c:idx val="1"/>
            <c:bubble3D val="0"/>
            <c:spPr>
              <a:solidFill>
                <a:srgbClr val="FA991F"/>
              </a:solidFill>
              <a:ln w="19050">
                <a:solidFill>
                  <a:schemeClr val="lt1"/>
                </a:solidFill>
              </a:ln>
              <a:effectLst/>
            </c:spPr>
            <c:extLst>
              <c:ext xmlns:c16="http://schemas.microsoft.com/office/drawing/2014/chart" uri="{C3380CC4-5D6E-409C-BE32-E72D297353CC}">
                <c16:uniqueId val="{00000003-70F6-4E68-9DF0-6471B28E4850}"/>
              </c:ext>
            </c:extLst>
          </c:dPt>
          <c:dPt>
            <c:idx val="2"/>
            <c:bubble3D val="0"/>
            <c:spPr>
              <a:solidFill>
                <a:srgbClr val="6FAC46"/>
              </a:solidFill>
              <a:ln w="19050">
                <a:solidFill>
                  <a:schemeClr val="lt1"/>
                </a:solidFill>
              </a:ln>
              <a:effectLst/>
            </c:spPr>
            <c:extLst>
              <c:ext xmlns:c16="http://schemas.microsoft.com/office/drawing/2014/chart" uri="{C3380CC4-5D6E-409C-BE32-E72D297353CC}">
                <c16:uniqueId val="{00000005-70F6-4E68-9DF0-6471B28E4850}"/>
              </c:ext>
            </c:extLst>
          </c:dPt>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Overall!$C$12:$C$14</c:f>
              <c:strCache>
                <c:ptCount val="3"/>
                <c:pt idx="0">
                  <c:v>1 to 10</c:v>
                </c:pt>
                <c:pt idx="1">
                  <c:v>11 to 30</c:v>
                </c:pt>
                <c:pt idx="2">
                  <c:v>More than 30</c:v>
                </c:pt>
              </c:strCache>
            </c:strRef>
          </c:cat>
          <c:val>
            <c:numRef>
              <c:f>Overall!$E$12:$E$14</c:f>
              <c:numCache>
                <c:formatCode>###0</c:formatCode>
                <c:ptCount val="3"/>
                <c:pt idx="0">
                  <c:v>40</c:v>
                </c:pt>
                <c:pt idx="1">
                  <c:v>30.588235294117649</c:v>
                </c:pt>
                <c:pt idx="2">
                  <c:v>25.882352941176475</c:v>
                </c:pt>
              </c:numCache>
            </c:numRef>
          </c:val>
          <c:extLst>
            <c:ext xmlns:c16="http://schemas.microsoft.com/office/drawing/2014/chart" uri="{C3380CC4-5D6E-409C-BE32-E72D297353CC}">
              <c16:uniqueId val="{00000006-70F6-4E68-9DF0-6471B28E485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Nova" panose="020B05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Using OIR's website </a:t>
            </a:r>
            <a:r>
              <a:rPr lang="en-AU" baseline="0">
                <a:solidFill>
                  <a:sysClr val="windowText" lastClr="000000"/>
                </a:solidFill>
              </a:rPr>
              <a:t>(%)</a:t>
            </a:r>
          </a:p>
          <a:p>
            <a:pPr>
              <a:defRPr>
                <a:solidFill>
                  <a:sysClr val="windowText" lastClr="000000"/>
                </a:solidFill>
              </a:defRPr>
            </a:pPr>
            <a:r>
              <a:rPr lang="en-AU" sz="1050" i="1" baseline="0">
                <a:solidFill>
                  <a:sysClr val="windowText" lastClr="000000"/>
                </a:solidFill>
              </a:rPr>
              <a:t>n=21</a:t>
            </a:r>
            <a:endParaRPr lang="en-AU" sz="1050" i="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barChart>
        <c:barDir val="bar"/>
        <c:grouping val="percentStacked"/>
        <c:varyColors val="0"/>
        <c:ser>
          <c:idx val="0"/>
          <c:order val="0"/>
          <c:tx>
            <c:strRef>
              <c:f>Overall!$D$97</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Overall!$C$98:$C$101</c:f>
              <c:strCache>
                <c:ptCount val="4"/>
                <c:pt idx="0">
                  <c:v>Clear</c:v>
                </c:pt>
                <c:pt idx="1">
                  <c:v>Relevant</c:v>
                </c:pt>
                <c:pt idx="2">
                  <c:v>Easy to find information</c:v>
                </c:pt>
                <c:pt idx="3">
                  <c:v>Concise</c:v>
                </c:pt>
              </c:strCache>
            </c:strRef>
          </c:cat>
          <c:val>
            <c:numRef>
              <c:f>Overall!$D$98:$D$101</c:f>
              <c:numCache>
                <c:formatCode>###0</c:formatCode>
                <c:ptCount val="4"/>
                <c:pt idx="0">
                  <c:v>9.5238095238095237</c:v>
                </c:pt>
                <c:pt idx="1">
                  <c:v>14.285714285714286</c:v>
                </c:pt>
                <c:pt idx="2">
                  <c:v>14.285714285714286</c:v>
                </c:pt>
                <c:pt idx="3">
                  <c:v>9.5238095238095237</c:v>
                </c:pt>
              </c:numCache>
            </c:numRef>
          </c:val>
          <c:extLst>
            <c:ext xmlns:c16="http://schemas.microsoft.com/office/drawing/2014/chart" uri="{C3380CC4-5D6E-409C-BE32-E72D297353CC}">
              <c16:uniqueId val="{00000000-2789-4E41-9815-41A23EF2B55A}"/>
            </c:ext>
          </c:extLst>
        </c:ser>
        <c:ser>
          <c:idx val="1"/>
          <c:order val="1"/>
          <c:tx>
            <c:strRef>
              <c:f>Overall!$E$97</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Overall!$C$98:$C$101</c:f>
              <c:strCache>
                <c:ptCount val="4"/>
                <c:pt idx="0">
                  <c:v>Clear</c:v>
                </c:pt>
                <c:pt idx="1">
                  <c:v>Relevant</c:v>
                </c:pt>
                <c:pt idx="2">
                  <c:v>Easy to find information</c:v>
                </c:pt>
                <c:pt idx="3">
                  <c:v>Concise</c:v>
                </c:pt>
              </c:strCache>
            </c:strRef>
          </c:cat>
          <c:val>
            <c:numRef>
              <c:f>Overall!$E$98:$E$101</c:f>
              <c:numCache>
                <c:formatCode>###0</c:formatCode>
                <c:ptCount val="4"/>
                <c:pt idx="0">
                  <c:v>80.952380952380949</c:v>
                </c:pt>
                <c:pt idx="1">
                  <c:v>76.19047619047619</c:v>
                </c:pt>
                <c:pt idx="2">
                  <c:v>76.19047619047619</c:v>
                </c:pt>
                <c:pt idx="3">
                  <c:v>80.952380952380949</c:v>
                </c:pt>
              </c:numCache>
            </c:numRef>
          </c:val>
          <c:extLst>
            <c:ext xmlns:c16="http://schemas.microsoft.com/office/drawing/2014/chart" uri="{C3380CC4-5D6E-409C-BE32-E72D297353CC}">
              <c16:uniqueId val="{00000001-2789-4E41-9815-41A23EF2B55A}"/>
            </c:ext>
          </c:extLst>
        </c:ser>
        <c:ser>
          <c:idx val="2"/>
          <c:order val="2"/>
          <c:tx>
            <c:strRef>
              <c:f>Overall!$F$97</c:f>
              <c:strCache>
                <c:ptCount val="1"/>
                <c:pt idx="0">
                  <c:v>Sometimes poor/ sometimes good</c:v>
                </c:pt>
              </c:strCache>
            </c:strRef>
          </c:tx>
          <c:spPr>
            <a:solidFill>
              <a:srgbClr val="FA991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Overall!$C$98:$C$101</c:f>
              <c:strCache>
                <c:ptCount val="4"/>
                <c:pt idx="0">
                  <c:v>Clear</c:v>
                </c:pt>
                <c:pt idx="1">
                  <c:v>Relevant</c:v>
                </c:pt>
                <c:pt idx="2">
                  <c:v>Easy to find information</c:v>
                </c:pt>
                <c:pt idx="3">
                  <c:v>Concise</c:v>
                </c:pt>
              </c:strCache>
            </c:strRef>
          </c:cat>
          <c:val>
            <c:numRef>
              <c:f>Overall!$F$98:$F$101</c:f>
              <c:numCache>
                <c:formatCode>###0</c:formatCode>
                <c:ptCount val="4"/>
                <c:pt idx="0">
                  <c:v>9.5238095238095237</c:v>
                </c:pt>
                <c:pt idx="1">
                  <c:v>9.5238095238095237</c:v>
                </c:pt>
                <c:pt idx="2">
                  <c:v>4.7619047619047619</c:v>
                </c:pt>
                <c:pt idx="3">
                  <c:v>4.7619047619047619</c:v>
                </c:pt>
              </c:numCache>
            </c:numRef>
          </c:val>
          <c:extLst>
            <c:ext xmlns:c16="http://schemas.microsoft.com/office/drawing/2014/chart" uri="{C3380CC4-5D6E-409C-BE32-E72D297353CC}">
              <c16:uniqueId val="{00000002-2789-4E41-9815-41A23EF2B55A}"/>
            </c:ext>
          </c:extLst>
        </c:ser>
        <c:ser>
          <c:idx val="3"/>
          <c:order val="3"/>
          <c:tx>
            <c:strRef>
              <c:f>Overall!$G$97</c:f>
              <c:strCache>
                <c:ptCount val="1"/>
                <c:pt idx="0">
                  <c:v>Poor</c:v>
                </c:pt>
              </c:strCache>
            </c:strRef>
          </c:tx>
          <c:spPr>
            <a:solidFill>
              <a:srgbClr val="5B9BD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89-4E41-9815-41A23EF2B55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89-4E41-9815-41A23EF2B5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Overall!$C$98:$C$101</c:f>
              <c:strCache>
                <c:ptCount val="4"/>
                <c:pt idx="0">
                  <c:v>Clear</c:v>
                </c:pt>
                <c:pt idx="1">
                  <c:v>Relevant</c:v>
                </c:pt>
                <c:pt idx="2">
                  <c:v>Easy to find information</c:v>
                </c:pt>
                <c:pt idx="3">
                  <c:v>Concise</c:v>
                </c:pt>
              </c:strCache>
            </c:strRef>
          </c:cat>
          <c:val>
            <c:numRef>
              <c:f>Overall!$G$98:$G$101</c:f>
              <c:numCache>
                <c:formatCode>###0</c:formatCode>
                <c:ptCount val="4"/>
                <c:pt idx="0">
                  <c:v>0</c:v>
                </c:pt>
                <c:pt idx="1">
                  <c:v>0</c:v>
                </c:pt>
                <c:pt idx="2">
                  <c:v>4.7619047619047619</c:v>
                </c:pt>
                <c:pt idx="3">
                  <c:v>4.7619047619047619</c:v>
                </c:pt>
              </c:numCache>
            </c:numRef>
          </c:val>
          <c:extLst>
            <c:ext xmlns:c16="http://schemas.microsoft.com/office/drawing/2014/chart" uri="{C3380CC4-5D6E-409C-BE32-E72D297353CC}">
              <c16:uniqueId val="{00000005-2789-4E41-9815-41A23EF2B55A}"/>
            </c:ext>
          </c:extLst>
        </c:ser>
        <c:ser>
          <c:idx val="4"/>
          <c:order val="4"/>
          <c:tx>
            <c:strRef>
              <c:f>Overall!$H$97</c:f>
              <c:strCache>
                <c:ptCount val="1"/>
                <c:pt idx="0">
                  <c:v>Very poor</c:v>
                </c:pt>
              </c:strCache>
            </c:strRef>
          </c:tx>
          <c:spPr>
            <a:solidFill>
              <a:schemeClr val="tx1">
                <a:lumMod val="65000"/>
                <a:lumOff val="35000"/>
              </a:schemeClr>
            </a:solidFill>
            <a:ln>
              <a:noFill/>
            </a:ln>
            <a:effectLst/>
          </c:spPr>
          <c:invertIfNegative val="0"/>
          <c:cat>
            <c:strRef>
              <c:f>Overall!$C$98:$C$101</c:f>
              <c:strCache>
                <c:ptCount val="4"/>
                <c:pt idx="0">
                  <c:v>Clear</c:v>
                </c:pt>
                <c:pt idx="1">
                  <c:v>Relevant</c:v>
                </c:pt>
                <c:pt idx="2">
                  <c:v>Easy to find information</c:v>
                </c:pt>
                <c:pt idx="3">
                  <c:v>Concise</c:v>
                </c:pt>
              </c:strCache>
            </c:strRef>
          </c:cat>
          <c:val>
            <c:numRef>
              <c:f>Overall!$H$98:$H$101</c:f>
              <c:numCache>
                <c:formatCode>###0</c:formatCode>
                <c:ptCount val="4"/>
                <c:pt idx="0">
                  <c:v>0</c:v>
                </c:pt>
                <c:pt idx="1">
                  <c:v>0</c:v>
                </c:pt>
                <c:pt idx="2">
                  <c:v>0</c:v>
                </c:pt>
                <c:pt idx="3">
                  <c:v>0</c:v>
                </c:pt>
              </c:numCache>
            </c:numRef>
          </c:val>
          <c:extLst>
            <c:ext xmlns:c16="http://schemas.microsoft.com/office/drawing/2014/chart" uri="{C3380CC4-5D6E-409C-BE32-E72D297353CC}">
              <c16:uniqueId val="{00000006-2789-4E41-9815-41A23EF2B55A}"/>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valAx>
      <c:spPr>
        <a:noFill/>
        <a:ln>
          <a:noFill/>
        </a:ln>
        <a:effectLst/>
      </c:spPr>
    </c:plotArea>
    <c:legend>
      <c:legendPos val="b"/>
      <c:layout>
        <c:manualLayout>
          <c:xMode val="edge"/>
          <c:yMode val="edge"/>
          <c:x val="8.4835595937729477E-2"/>
          <c:y val="0.90822543994081273"/>
          <c:w val="0.86649372119869339"/>
          <c:h val="8.44527823283834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Interactions with NOPTA or OIR (%)</a:t>
            </a:r>
            <a:br>
              <a:rPr lang="en-AU">
                <a:solidFill>
                  <a:sysClr val="windowText" lastClr="000000"/>
                </a:solidFill>
              </a:rPr>
            </a:br>
            <a:r>
              <a:rPr lang="en-AU" sz="1050" i="1">
                <a:solidFill>
                  <a:sysClr val="windowText" lastClr="000000"/>
                </a:solidFill>
              </a:rPr>
              <a:t>n count varies between items and displayed in label  </a:t>
            </a:r>
            <a:endParaRPr lang="en-AU" i="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barChart>
        <c:barDir val="bar"/>
        <c:grouping val="percentStacked"/>
        <c:varyColors val="0"/>
        <c:ser>
          <c:idx val="0"/>
          <c:order val="0"/>
          <c:tx>
            <c:strRef>
              <c:f>Overall!$D$18</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Overall!$C$20:$C$25</c:f>
              <c:strCache>
                <c:ptCount val="6"/>
                <c:pt idx="0">
                  <c:v>Technical expertise of staff n=79</c:v>
                </c:pt>
                <c:pt idx="1">
                  <c:v>Helpfulness of staff n=80</c:v>
                </c:pt>
                <c:pt idx="2">
                  <c:v>Building cooperative relationships with your company and industry (title / licence holder only) n=57</c:v>
                </c:pt>
                <c:pt idx="3">
                  <c:v>Building cooperative relationships with government decision makers / your agency  (govt agency only) n=22</c:v>
                </c:pt>
                <c:pt idx="4">
                  <c:v>Collaboration with stakeholders to improve administration n=74</c:v>
                </c:pt>
                <c:pt idx="5">
                  <c:v>Working with other government agencies and authorities to provide a consistent, whole of government approach to offshore electricity infrastructure (OIR sector only) n=15</c:v>
                </c:pt>
              </c:strCache>
            </c:strRef>
          </c:cat>
          <c:val>
            <c:numRef>
              <c:f>Overall!$D$20:$D$25</c:f>
              <c:numCache>
                <c:formatCode>###0</c:formatCode>
                <c:ptCount val="6"/>
                <c:pt idx="0">
                  <c:v>75.949367088607602</c:v>
                </c:pt>
                <c:pt idx="1">
                  <c:v>72.5</c:v>
                </c:pt>
                <c:pt idx="2">
                  <c:v>77.192982456140356</c:v>
                </c:pt>
                <c:pt idx="3">
                  <c:v>63.636363636363633</c:v>
                </c:pt>
                <c:pt idx="4">
                  <c:v>51.351351351351354</c:v>
                </c:pt>
                <c:pt idx="5">
                  <c:v>26.666666666666668</c:v>
                </c:pt>
              </c:numCache>
            </c:numRef>
          </c:val>
          <c:extLst>
            <c:ext xmlns:c16="http://schemas.microsoft.com/office/drawing/2014/chart" uri="{C3380CC4-5D6E-409C-BE32-E72D297353CC}">
              <c16:uniqueId val="{00000000-FC33-4831-8C2B-2A690C28833D}"/>
            </c:ext>
          </c:extLst>
        </c:ser>
        <c:ser>
          <c:idx val="1"/>
          <c:order val="1"/>
          <c:tx>
            <c:strRef>
              <c:f>Overall!$E$18</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Overall!$C$20:$C$25</c:f>
              <c:strCache>
                <c:ptCount val="6"/>
                <c:pt idx="0">
                  <c:v>Technical expertise of staff n=79</c:v>
                </c:pt>
                <c:pt idx="1">
                  <c:v>Helpfulness of staff n=80</c:v>
                </c:pt>
                <c:pt idx="2">
                  <c:v>Building cooperative relationships with your company and industry (title / licence holder only) n=57</c:v>
                </c:pt>
                <c:pt idx="3">
                  <c:v>Building cooperative relationships with government decision makers / your agency  (govt agency only) n=22</c:v>
                </c:pt>
                <c:pt idx="4">
                  <c:v>Collaboration with stakeholders to improve administration n=74</c:v>
                </c:pt>
                <c:pt idx="5">
                  <c:v>Working with other government agencies and authorities to provide a consistent, whole of government approach to offshore electricity infrastructure (OIR sector only) n=15</c:v>
                </c:pt>
              </c:strCache>
            </c:strRef>
          </c:cat>
          <c:val>
            <c:numRef>
              <c:f>Overall!$E$20:$E$25</c:f>
              <c:numCache>
                <c:formatCode>###0</c:formatCode>
                <c:ptCount val="6"/>
                <c:pt idx="0">
                  <c:v>20.253164556962027</c:v>
                </c:pt>
                <c:pt idx="1">
                  <c:v>25</c:v>
                </c:pt>
                <c:pt idx="2">
                  <c:v>22.807017543859651</c:v>
                </c:pt>
                <c:pt idx="3">
                  <c:v>36.363636363636367</c:v>
                </c:pt>
                <c:pt idx="4">
                  <c:v>41.891891891891895</c:v>
                </c:pt>
                <c:pt idx="5">
                  <c:v>53.333333333333336</c:v>
                </c:pt>
              </c:numCache>
            </c:numRef>
          </c:val>
          <c:extLst>
            <c:ext xmlns:c16="http://schemas.microsoft.com/office/drawing/2014/chart" uri="{C3380CC4-5D6E-409C-BE32-E72D297353CC}">
              <c16:uniqueId val="{00000001-FC33-4831-8C2B-2A690C28833D}"/>
            </c:ext>
          </c:extLst>
        </c:ser>
        <c:ser>
          <c:idx val="2"/>
          <c:order val="2"/>
          <c:tx>
            <c:strRef>
              <c:f>Overall!$F$18</c:f>
              <c:strCache>
                <c:ptCount val="1"/>
                <c:pt idx="0">
                  <c:v>Sometimes poor / sometimes good</c:v>
                </c:pt>
              </c:strCache>
            </c:strRef>
          </c:tx>
          <c:spPr>
            <a:solidFill>
              <a:srgbClr val="FA991F"/>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FC33-4831-8C2B-2A690C28833D}"/>
                </c:ext>
              </c:extLst>
            </c:dLbl>
            <c:dLbl>
              <c:idx val="3"/>
              <c:delete val="1"/>
              <c:extLst>
                <c:ext xmlns:c15="http://schemas.microsoft.com/office/drawing/2012/chart" uri="{CE6537A1-D6FC-4f65-9D91-7224C49458BB}"/>
                <c:ext xmlns:c16="http://schemas.microsoft.com/office/drawing/2014/chart" uri="{C3380CC4-5D6E-409C-BE32-E72D297353CC}">
                  <c16:uniqueId val="{00000000-E141-40C9-B048-3327697E8F8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Overall!$C$20:$C$25</c:f>
              <c:strCache>
                <c:ptCount val="6"/>
                <c:pt idx="0">
                  <c:v>Technical expertise of staff n=79</c:v>
                </c:pt>
                <c:pt idx="1">
                  <c:v>Helpfulness of staff n=80</c:v>
                </c:pt>
                <c:pt idx="2">
                  <c:v>Building cooperative relationships with your company and industry (title / licence holder only) n=57</c:v>
                </c:pt>
                <c:pt idx="3">
                  <c:v>Building cooperative relationships with government decision makers / your agency  (govt agency only) n=22</c:v>
                </c:pt>
                <c:pt idx="4">
                  <c:v>Collaboration with stakeholders to improve administration n=74</c:v>
                </c:pt>
                <c:pt idx="5">
                  <c:v>Working with other government agencies and authorities to provide a consistent, whole of government approach to offshore electricity infrastructure (OIR sector only) n=15</c:v>
                </c:pt>
              </c:strCache>
            </c:strRef>
          </c:cat>
          <c:val>
            <c:numRef>
              <c:f>Overall!$F$20:$F$25</c:f>
              <c:numCache>
                <c:formatCode>###0</c:formatCode>
                <c:ptCount val="6"/>
                <c:pt idx="0">
                  <c:v>3.7974683544303796</c:v>
                </c:pt>
                <c:pt idx="1">
                  <c:v>2.5</c:v>
                </c:pt>
                <c:pt idx="2">
                  <c:v>0</c:v>
                </c:pt>
                <c:pt idx="3">
                  <c:v>0</c:v>
                </c:pt>
                <c:pt idx="4">
                  <c:v>5.4054054054054053</c:v>
                </c:pt>
                <c:pt idx="5">
                  <c:v>13.333333333333334</c:v>
                </c:pt>
              </c:numCache>
            </c:numRef>
          </c:val>
          <c:extLst>
            <c:ext xmlns:c16="http://schemas.microsoft.com/office/drawing/2014/chart" uri="{C3380CC4-5D6E-409C-BE32-E72D297353CC}">
              <c16:uniqueId val="{00000002-FC33-4831-8C2B-2A690C28833D}"/>
            </c:ext>
          </c:extLst>
        </c:ser>
        <c:ser>
          <c:idx val="3"/>
          <c:order val="3"/>
          <c:tx>
            <c:strRef>
              <c:f>Overall!$G$18</c:f>
              <c:strCache>
                <c:ptCount val="1"/>
                <c:pt idx="0">
                  <c:v>Poor</c:v>
                </c:pt>
              </c:strCache>
            </c:strRef>
          </c:tx>
          <c:spPr>
            <a:solidFill>
              <a:srgbClr val="5B9BD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C33-4831-8C2B-2A690C28833D}"/>
                </c:ext>
              </c:extLst>
            </c:dLbl>
            <c:dLbl>
              <c:idx val="1"/>
              <c:delete val="1"/>
              <c:extLst>
                <c:ext xmlns:c15="http://schemas.microsoft.com/office/drawing/2012/chart" uri="{CE6537A1-D6FC-4f65-9D91-7224C49458BB}"/>
                <c:ext xmlns:c16="http://schemas.microsoft.com/office/drawing/2014/chart" uri="{C3380CC4-5D6E-409C-BE32-E72D297353CC}">
                  <c16:uniqueId val="{00000006-FC33-4831-8C2B-2A690C28833D}"/>
                </c:ext>
              </c:extLst>
            </c:dLbl>
            <c:dLbl>
              <c:idx val="2"/>
              <c:delete val="1"/>
              <c:extLst>
                <c:ext xmlns:c15="http://schemas.microsoft.com/office/drawing/2012/chart" uri="{CE6537A1-D6FC-4f65-9D91-7224C49458BB}"/>
                <c:ext xmlns:c16="http://schemas.microsoft.com/office/drawing/2014/chart" uri="{C3380CC4-5D6E-409C-BE32-E72D297353CC}">
                  <c16:uniqueId val="{00000007-FC33-4831-8C2B-2A690C28833D}"/>
                </c:ext>
              </c:extLst>
            </c:dLbl>
            <c:dLbl>
              <c:idx val="3"/>
              <c:delete val="1"/>
              <c:extLst>
                <c:ext xmlns:c15="http://schemas.microsoft.com/office/drawing/2012/chart" uri="{CE6537A1-D6FC-4f65-9D91-7224C49458BB}"/>
                <c:ext xmlns:c16="http://schemas.microsoft.com/office/drawing/2014/chart" uri="{C3380CC4-5D6E-409C-BE32-E72D297353CC}">
                  <c16:uniqueId val="{00000009-FC33-4831-8C2B-2A690C28833D}"/>
                </c:ext>
              </c:extLst>
            </c:dLbl>
            <c:dLbl>
              <c:idx val="4"/>
              <c:layout>
                <c:manualLayout>
                  <c:x val="1.3245033112582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33-4831-8C2B-2A690C28833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Overall!$C$20:$C$25</c:f>
              <c:strCache>
                <c:ptCount val="6"/>
                <c:pt idx="0">
                  <c:v>Technical expertise of staff n=79</c:v>
                </c:pt>
                <c:pt idx="1">
                  <c:v>Helpfulness of staff n=80</c:v>
                </c:pt>
                <c:pt idx="2">
                  <c:v>Building cooperative relationships with your company and industry (title / licence holder only) n=57</c:v>
                </c:pt>
                <c:pt idx="3">
                  <c:v>Building cooperative relationships with government decision makers / your agency  (govt agency only) n=22</c:v>
                </c:pt>
                <c:pt idx="4">
                  <c:v>Collaboration with stakeholders to improve administration n=74</c:v>
                </c:pt>
                <c:pt idx="5">
                  <c:v>Working with other government agencies and authorities to provide a consistent, whole of government approach to offshore electricity infrastructure (OIR sector only) n=15</c:v>
                </c:pt>
              </c:strCache>
            </c:strRef>
          </c:cat>
          <c:val>
            <c:numRef>
              <c:f>Overall!$G$20:$G$25</c:f>
              <c:numCache>
                <c:formatCode>###0</c:formatCode>
                <c:ptCount val="6"/>
                <c:pt idx="0">
                  <c:v>0</c:v>
                </c:pt>
                <c:pt idx="1">
                  <c:v>0</c:v>
                </c:pt>
                <c:pt idx="2">
                  <c:v>0</c:v>
                </c:pt>
                <c:pt idx="3">
                  <c:v>0</c:v>
                </c:pt>
                <c:pt idx="4">
                  <c:v>1.3513513513513513</c:v>
                </c:pt>
                <c:pt idx="5">
                  <c:v>6.666666666666667</c:v>
                </c:pt>
              </c:numCache>
            </c:numRef>
          </c:val>
          <c:extLst>
            <c:ext xmlns:c16="http://schemas.microsoft.com/office/drawing/2014/chart" uri="{C3380CC4-5D6E-409C-BE32-E72D297353CC}">
              <c16:uniqueId val="{00000003-FC33-4831-8C2B-2A690C28833D}"/>
            </c:ext>
          </c:extLst>
        </c:ser>
        <c:ser>
          <c:idx val="4"/>
          <c:order val="4"/>
          <c:tx>
            <c:strRef>
              <c:f>Overall!$H$18</c:f>
              <c:strCache>
                <c:ptCount val="1"/>
                <c:pt idx="0">
                  <c:v>Very poor</c:v>
                </c:pt>
              </c:strCache>
            </c:strRef>
          </c:tx>
          <c:spPr>
            <a:solidFill>
              <a:schemeClr val="tx1">
                <a:lumMod val="65000"/>
                <a:lumOff val="35000"/>
              </a:schemeClr>
            </a:solidFill>
            <a:ln>
              <a:noFill/>
            </a:ln>
            <a:effectLst/>
          </c:spPr>
          <c:invertIfNegative val="0"/>
          <c:cat>
            <c:strRef>
              <c:f>Overall!$C$20:$C$25</c:f>
              <c:strCache>
                <c:ptCount val="6"/>
                <c:pt idx="0">
                  <c:v>Technical expertise of staff n=79</c:v>
                </c:pt>
                <c:pt idx="1">
                  <c:v>Helpfulness of staff n=80</c:v>
                </c:pt>
                <c:pt idx="2">
                  <c:v>Building cooperative relationships with your company and industry (title / licence holder only) n=57</c:v>
                </c:pt>
                <c:pt idx="3">
                  <c:v>Building cooperative relationships with government decision makers / your agency  (govt agency only) n=22</c:v>
                </c:pt>
                <c:pt idx="4">
                  <c:v>Collaboration with stakeholders to improve administration n=74</c:v>
                </c:pt>
                <c:pt idx="5">
                  <c:v>Working with other government agencies and authorities to provide a consistent, whole of government approach to offshore electricity infrastructure (OIR sector only) n=15</c:v>
                </c:pt>
              </c:strCache>
            </c:strRef>
          </c:cat>
          <c:val>
            <c:numRef>
              <c:f>Overall!$H$20:$H$25</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FC33-4831-8C2B-2A690C28833D}"/>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2.1462689680346245E-2"/>
          <c:y val="0.95137014485306093"/>
          <c:w val="0.95363004293337506"/>
          <c:h val="3.65142474458645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Arial Nova" panose="020B0504020202020204" pitchFamily="34" charset="0"/>
                <a:ea typeface="+mn-ea"/>
                <a:cs typeface="+mn-cs"/>
              </a:defRPr>
            </a:pPr>
            <a:r>
              <a:rPr lang="en-AU">
                <a:solidFill>
                  <a:schemeClr val="tx1"/>
                </a:solidFill>
              </a:rPr>
              <a:t>Information</a:t>
            </a:r>
            <a:r>
              <a:rPr lang="en-AU" baseline="0">
                <a:solidFill>
                  <a:schemeClr val="tx1"/>
                </a:solidFill>
              </a:rPr>
              <a:t> and advice </a:t>
            </a:r>
            <a:r>
              <a:rPr lang="en-AU">
                <a:solidFill>
                  <a:schemeClr val="tx1"/>
                </a:solidFill>
              </a:rPr>
              <a:t>(%)</a:t>
            </a:r>
            <a:br>
              <a:rPr lang="en-AU">
                <a:solidFill>
                  <a:schemeClr val="tx1"/>
                </a:solidFill>
              </a:rPr>
            </a:br>
            <a:r>
              <a:rPr lang="en-AU" sz="1000" i="1">
                <a:solidFill>
                  <a:schemeClr val="tx1"/>
                </a:solidFill>
              </a:rPr>
              <a:t>n count varies between items and displayed in label  </a:t>
            </a:r>
            <a:endParaRPr lang="en-AU" i="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Nova" panose="020B0504020202020204" pitchFamily="34" charset="0"/>
              <a:ea typeface="+mn-ea"/>
              <a:cs typeface="+mn-cs"/>
            </a:defRPr>
          </a:pPr>
          <a:endParaRPr lang="en-AU"/>
        </a:p>
      </c:txPr>
    </c:title>
    <c:autoTitleDeleted val="0"/>
    <c:plotArea>
      <c:layout/>
      <c:barChart>
        <c:barDir val="bar"/>
        <c:grouping val="percentStacked"/>
        <c:varyColors val="0"/>
        <c:ser>
          <c:idx val="0"/>
          <c:order val="0"/>
          <c:tx>
            <c:strRef>
              <c:f>Overall!$D$29</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Overall!$C$31:$C$39</c:f>
              <c:strCache>
                <c:ptCount val="9"/>
                <c:pt idx="0">
                  <c:v>Accuracy of the information it provides (title / licence holder only) n=58</c:v>
                </c:pt>
                <c:pt idx="1">
                  <c:v>Clarity of information it provides (title / licence holder only) n=58</c:v>
                </c:pt>
                <c:pt idx="2">
                  <c:v>Accuracy of advice it provides (govt agency only) n=22</c:v>
                </c:pt>
                <c:pt idx="3">
                  <c:v>Clarity of advice it provides (govt agency only) n=22</c:v>
                </c:pt>
                <c:pt idx="4">
                  <c:v>Justification of its decisions made about offshore titles / licences (title / licence holder only) n=50</c:v>
                </c:pt>
                <c:pt idx="5">
                  <c:v>Justification of its recommendations made about offshore titles / licences  (govt agency only) n=7</c:v>
                </c:pt>
                <c:pt idx="6">
                  <c:v>Consistency of its information (title / licence holder only) n=52</c:v>
                </c:pt>
                <c:pt idx="7">
                  <c:v>Consistency of its advice / recommendations  (govt agency only) n=8</c:v>
                </c:pt>
                <c:pt idx="8">
                  <c:v>Transparency of its decisions about offshore titles / licences (title / licence holder only) n=49</c:v>
                </c:pt>
              </c:strCache>
            </c:strRef>
          </c:cat>
          <c:val>
            <c:numRef>
              <c:f>Overall!$D$31:$D$39</c:f>
              <c:numCache>
                <c:formatCode>###0</c:formatCode>
                <c:ptCount val="9"/>
                <c:pt idx="0">
                  <c:v>60.344827586206897</c:v>
                </c:pt>
                <c:pt idx="1">
                  <c:v>43.103448275862071</c:v>
                </c:pt>
                <c:pt idx="2">
                  <c:v>86.36363636363636</c:v>
                </c:pt>
                <c:pt idx="3">
                  <c:v>77.272727272727266</c:v>
                </c:pt>
                <c:pt idx="4">
                  <c:v>36</c:v>
                </c:pt>
                <c:pt idx="5">
                  <c:v>100</c:v>
                </c:pt>
                <c:pt idx="6">
                  <c:v>38.46153846153846</c:v>
                </c:pt>
                <c:pt idx="7">
                  <c:v>87.5</c:v>
                </c:pt>
                <c:pt idx="8">
                  <c:v>40.816326530612244</c:v>
                </c:pt>
              </c:numCache>
            </c:numRef>
          </c:val>
          <c:extLst>
            <c:ext xmlns:c16="http://schemas.microsoft.com/office/drawing/2014/chart" uri="{C3380CC4-5D6E-409C-BE32-E72D297353CC}">
              <c16:uniqueId val="{00000000-F6F6-44F5-9A0C-0B3B7C03EEA1}"/>
            </c:ext>
          </c:extLst>
        </c:ser>
        <c:ser>
          <c:idx val="1"/>
          <c:order val="1"/>
          <c:tx>
            <c:strRef>
              <c:f>Overall!$E$29</c:f>
              <c:strCache>
                <c:ptCount val="1"/>
                <c:pt idx="0">
                  <c:v>Good</c:v>
                </c:pt>
              </c:strCache>
            </c:strRef>
          </c:tx>
          <c:spPr>
            <a:solidFill>
              <a:srgbClr val="FFC000"/>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F6F6-44F5-9A0C-0B3B7C03EEA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Overall!$C$31:$C$39</c:f>
              <c:strCache>
                <c:ptCount val="9"/>
                <c:pt idx="0">
                  <c:v>Accuracy of the information it provides (title / licence holder only) n=58</c:v>
                </c:pt>
                <c:pt idx="1">
                  <c:v>Clarity of information it provides (title / licence holder only) n=58</c:v>
                </c:pt>
                <c:pt idx="2">
                  <c:v>Accuracy of advice it provides (govt agency only) n=22</c:v>
                </c:pt>
                <c:pt idx="3">
                  <c:v>Clarity of advice it provides (govt agency only) n=22</c:v>
                </c:pt>
                <c:pt idx="4">
                  <c:v>Justification of its decisions made about offshore titles / licences (title / licence holder only) n=50</c:v>
                </c:pt>
                <c:pt idx="5">
                  <c:v>Justification of its recommendations made about offshore titles / licences  (govt agency only) n=7</c:v>
                </c:pt>
                <c:pt idx="6">
                  <c:v>Consistency of its information (title / licence holder only) n=52</c:v>
                </c:pt>
                <c:pt idx="7">
                  <c:v>Consistency of its advice / recommendations  (govt agency only) n=8</c:v>
                </c:pt>
                <c:pt idx="8">
                  <c:v>Transparency of its decisions about offshore titles / licences (title / licence holder only) n=49</c:v>
                </c:pt>
              </c:strCache>
            </c:strRef>
          </c:cat>
          <c:val>
            <c:numRef>
              <c:f>Overall!$E$31:$E$39</c:f>
              <c:numCache>
                <c:formatCode>###0</c:formatCode>
                <c:ptCount val="9"/>
                <c:pt idx="0">
                  <c:v>37.931034482758619</c:v>
                </c:pt>
                <c:pt idx="1">
                  <c:v>50</c:v>
                </c:pt>
                <c:pt idx="2">
                  <c:v>13.636363636363637</c:v>
                </c:pt>
                <c:pt idx="3">
                  <c:v>22.727272727272727</c:v>
                </c:pt>
                <c:pt idx="4">
                  <c:v>42</c:v>
                </c:pt>
                <c:pt idx="5">
                  <c:v>0</c:v>
                </c:pt>
                <c:pt idx="6">
                  <c:v>51.92307692307692</c:v>
                </c:pt>
                <c:pt idx="7">
                  <c:v>12.5</c:v>
                </c:pt>
                <c:pt idx="8">
                  <c:v>32.653061224489797</c:v>
                </c:pt>
              </c:numCache>
            </c:numRef>
          </c:val>
          <c:extLst>
            <c:ext xmlns:c16="http://schemas.microsoft.com/office/drawing/2014/chart" uri="{C3380CC4-5D6E-409C-BE32-E72D297353CC}">
              <c16:uniqueId val="{00000002-F6F6-44F5-9A0C-0B3B7C03EEA1}"/>
            </c:ext>
          </c:extLst>
        </c:ser>
        <c:ser>
          <c:idx val="2"/>
          <c:order val="2"/>
          <c:tx>
            <c:strRef>
              <c:f>Overall!$F$29</c:f>
              <c:strCache>
                <c:ptCount val="1"/>
                <c:pt idx="0">
                  <c:v>Sometimes poor / sometimes good</c:v>
                </c:pt>
              </c:strCache>
            </c:strRef>
          </c:tx>
          <c:spPr>
            <a:solidFill>
              <a:srgbClr val="FA991F"/>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F6F6-44F5-9A0C-0B3B7C03EEA1}"/>
                </c:ext>
              </c:extLst>
            </c:dLbl>
            <c:dLbl>
              <c:idx val="3"/>
              <c:delete val="1"/>
              <c:extLst>
                <c:ext xmlns:c15="http://schemas.microsoft.com/office/drawing/2012/chart" uri="{CE6537A1-D6FC-4f65-9D91-7224C49458BB}"/>
                <c:ext xmlns:c16="http://schemas.microsoft.com/office/drawing/2014/chart" uri="{C3380CC4-5D6E-409C-BE32-E72D297353CC}">
                  <c16:uniqueId val="{00000004-F6F6-44F5-9A0C-0B3B7C03EEA1}"/>
                </c:ext>
              </c:extLst>
            </c:dLbl>
            <c:dLbl>
              <c:idx val="5"/>
              <c:delete val="1"/>
              <c:extLst>
                <c:ext xmlns:c15="http://schemas.microsoft.com/office/drawing/2012/chart" uri="{CE6537A1-D6FC-4f65-9D91-7224C49458BB}"/>
                <c:ext xmlns:c16="http://schemas.microsoft.com/office/drawing/2014/chart" uri="{C3380CC4-5D6E-409C-BE32-E72D297353CC}">
                  <c16:uniqueId val="{00000005-F6F6-44F5-9A0C-0B3B7C03EEA1}"/>
                </c:ext>
              </c:extLst>
            </c:dLbl>
            <c:dLbl>
              <c:idx val="7"/>
              <c:delete val="1"/>
              <c:extLst>
                <c:ext xmlns:c15="http://schemas.microsoft.com/office/drawing/2012/chart" uri="{CE6537A1-D6FC-4f65-9D91-7224C49458BB}"/>
                <c:ext xmlns:c16="http://schemas.microsoft.com/office/drawing/2014/chart" uri="{C3380CC4-5D6E-409C-BE32-E72D297353CC}">
                  <c16:uniqueId val="{00000006-F6F6-44F5-9A0C-0B3B7C03EEA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Overall!$C$31:$C$39</c:f>
              <c:strCache>
                <c:ptCount val="9"/>
                <c:pt idx="0">
                  <c:v>Accuracy of the information it provides (title / licence holder only) n=58</c:v>
                </c:pt>
                <c:pt idx="1">
                  <c:v>Clarity of information it provides (title / licence holder only) n=58</c:v>
                </c:pt>
                <c:pt idx="2">
                  <c:v>Accuracy of advice it provides (govt agency only) n=22</c:v>
                </c:pt>
                <c:pt idx="3">
                  <c:v>Clarity of advice it provides (govt agency only) n=22</c:v>
                </c:pt>
                <c:pt idx="4">
                  <c:v>Justification of its decisions made about offshore titles / licences (title / licence holder only) n=50</c:v>
                </c:pt>
                <c:pt idx="5">
                  <c:v>Justification of its recommendations made about offshore titles / licences  (govt agency only) n=7</c:v>
                </c:pt>
                <c:pt idx="6">
                  <c:v>Consistency of its information (title / licence holder only) n=52</c:v>
                </c:pt>
                <c:pt idx="7">
                  <c:v>Consistency of its advice / recommendations  (govt agency only) n=8</c:v>
                </c:pt>
                <c:pt idx="8">
                  <c:v>Transparency of its decisions about offshore titles / licences (title / licence holder only) n=49</c:v>
                </c:pt>
              </c:strCache>
            </c:strRef>
          </c:cat>
          <c:val>
            <c:numRef>
              <c:f>Overall!$F$31:$F$39</c:f>
              <c:numCache>
                <c:formatCode>###0</c:formatCode>
                <c:ptCount val="9"/>
                <c:pt idx="0">
                  <c:v>1.7241379310344827</c:v>
                </c:pt>
                <c:pt idx="1">
                  <c:v>3.4482758620689653</c:v>
                </c:pt>
                <c:pt idx="2">
                  <c:v>0</c:v>
                </c:pt>
                <c:pt idx="3">
                  <c:v>0</c:v>
                </c:pt>
                <c:pt idx="4">
                  <c:v>18</c:v>
                </c:pt>
                <c:pt idx="5">
                  <c:v>0</c:v>
                </c:pt>
                <c:pt idx="6">
                  <c:v>9.615384615384615</c:v>
                </c:pt>
                <c:pt idx="7">
                  <c:v>0</c:v>
                </c:pt>
                <c:pt idx="8">
                  <c:v>16.326530612244898</c:v>
                </c:pt>
              </c:numCache>
            </c:numRef>
          </c:val>
          <c:extLst>
            <c:ext xmlns:c16="http://schemas.microsoft.com/office/drawing/2014/chart" uri="{C3380CC4-5D6E-409C-BE32-E72D297353CC}">
              <c16:uniqueId val="{00000007-F6F6-44F5-9A0C-0B3B7C03EEA1}"/>
            </c:ext>
          </c:extLst>
        </c:ser>
        <c:ser>
          <c:idx val="3"/>
          <c:order val="3"/>
          <c:tx>
            <c:strRef>
              <c:f>Overall!$G$29</c:f>
              <c:strCache>
                <c:ptCount val="1"/>
                <c:pt idx="0">
                  <c:v>Poor</c:v>
                </c:pt>
              </c:strCache>
            </c:strRef>
          </c:tx>
          <c:spPr>
            <a:solidFill>
              <a:srgbClr val="5B9BD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F6F6-44F5-9A0C-0B3B7C03EEA1}"/>
                </c:ext>
              </c:extLst>
            </c:dLbl>
            <c:dLbl>
              <c:idx val="2"/>
              <c:delete val="1"/>
              <c:extLst>
                <c:ext xmlns:c15="http://schemas.microsoft.com/office/drawing/2012/chart" uri="{CE6537A1-D6FC-4f65-9D91-7224C49458BB}"/>
                <c:ext xmlns:c16="http://schemas.microsoft.com/office/drawing/2014/chart" uri="{C3380CC4-5D6E-409C-BE32-E72D297353CC}">
                  <c16:uniqueId val="{00000009-F6F6-44F5-9A0C-0B3B7C03EEA1}"/>
                </c:ext>
              </c:extLst>
            </c:dLbl>
            <c:dLbl>
              <c:idx val="3"/>
              <c:delete val="1"/>
              <c:extLst>
                <c:ext xmlns:c15="http://schemas.microsoft.com/office/drawing/2012/chart" uri="{CE6537A1-D6FC-4f65-9D91-7224C49458BB}"/>
                <c:ext xmlns:c16="http://schemas.microsoft.com/office/drawing/2014/chart" uri="{C3380CC4-5D6E-409C-BE32-E72D297353CC}">
                  <c16:uniqueId val="{0000000A-F6F6-44F5-9A0C-0B3B7C03EEA1}"/>
                </c:ext>
              </c:extLst>
            </c:dLbl>
            <c:dLbl>
              <c:idx val="5"/>
              <c:delete val="1"/>
              <c:extLst>
                <c:ext xmlns:c15="http://schemas.microsoft.com/office/drawing/2012/chart" uri="{CE6537A1-D6FC-4f65-9D91-7224C49458BB}"/>
                <c:ext xmlns:c16="http://schemas.microsoft.com/office/drawing/2014/chart" uri="{C3380CC4-5D6E-409C-BE32-E72D297353CC}">
                  <c16:uniqueId val="{0000000B-F6F6-44F5-9A0C-0B3B7C03EEA1}"/>
                </c:ext>
              </c:extLst>
            </c:dLbl>
            <c:dLbl>
              <c:idx val="6"/>
              <c:delete val="1"/>
              <c:extLst>
                <c:ext xmlns:c15="http://schemas.microsoft.com/office/drawing/2012/chart" uri="{CE6537A1-D6FC-4f65-9D91-7224C49458BB}"/>
                <c:ext xmlns:c16="http://schemas.microsoft.com/office/drawing/2014/chart" uri="{C3380CC4-5D6E-409C-BE32-E72D297353CC}">
                  <c16:uniqueId val="{0000000C-F6F6-44F5-9A0C-0B3B7C03EEA1}"/>
                </c:ext>
              </c:extLst>
            </c:dLbl>
            <c:dLbl>
              <c:idx val="7"/>
              <c:delete val="1"/>
              <c:extLst>
                <c:ext xmlns:c15="http://schemas.microsoft.com/office/drawing/2012/chart" uri="{CE6537A1-D6FC-4f65-9D91-7224C49458BB}"/>
                <c:ext xmlns:c16="http://schemas.microsoft.com/office/drawing/2014/chart" uri="{C3380CC4-5D6E-409C-BE32-E72D297353CC}">
                  <c16:uniqueId val="{0000000D-F6F6-44F5-9A0C-0B3B7C03EEA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Overall!$C$31:$C$39</c:f>
              <c:strCache>
                <c:ptCount val="9"/>
                <c:pt idx="0">
                  <c:v>Accuracy of the information it provides (title / licence holder only) n=58</c:v>
                </c:pt>
                <c:pt idx="1">
                  <c:v>Clarity of information it provides (title / licence holder only) n=58</c:v>
                </c:pt>
                <c:pt idx="2">
                  <c:v>Accuracy of advice it provides (govt agency only) n=22</c:v>
                </c:pt>
                <c:pt idx="3">
                  <c:v>Clarity of advice it provides (govt agency only) n=22</c:v>
                </c:pt>
                <c:pt idx="4">
                  <c:v>Justification of its decisions made about offshore titles / licences (title / licence holder only) n=50</c:v>
                </c:pt>
                <c:pt idx="5">
                  <c:v>Justification of its recommendations made about offshore titles / licences  (govt agency only) n=7</c:v>
                </c:pt>
                <c:pt idx="6">
                  <c:v>Consistency of its information (title / licence holder only) n=52</c:v>
                </c:pt>
                <c:pt idx="7">
                  <c:v>Consistency of its advice / recommendations  (govt agency only) n=8</c:v>
                </c:pt>
                <c:pt idx="8">
                  <c:v>Transparency of its decisions about offshore titles / licences (title / licence holder only) n=49</c:v>
                </c:pt>
              </c:strCache>
            </c:strRef>
          </c:cat>
          <c:val>
            <c:numRef>
              <c:f>Overall!$G$31:$G$39</c:f>
              <c:numCache>
                <c:formatCode>###0</c:formatCode>
                <c:ptCount val="9"/>
                <c:pt idx="0">
                  <c:v>0</c:v>
                </c:pt>
                <c:pt idx="1">
                  <c:v>3.4482758620689653</c:v>
                </c:pt>
                <c:pt idx="2">
                  <c:v>0</c:v>
                </c:pt>
                <c:pt idx="3">
                  <c:v>0</c:v>
                </c:pt>
                <c:pt idx="4">
                  <c:v>2</c:v>
                </c:pt>
                <c:pt idx="5">
                  <c:v>0</c:v>
                </c:pt>
                <c:pt idx="6">
                  <c:v>0</c:v>
                </c:pt>
                <c:pt idx="7">
                  <c:v>0</c:v>
                </c:pt>
                <c:pt idx="8">
                  <c:v>8.1632653061224492</c:v>
                </c:pt>
              </c:numCache>
            </c:numRef>
          </c:val>
          <c:extLst>
            <c:ext xmlns:c16="http://schemas.microsoft.com/office/drawing/2014/chart" uri="{C3380CC4-5D6E-409C-BE32-E72D297353CC}">
              <c16:uniqueId val="{0000000E-F6F6-44F5-9A0C-0B3B7C03EEA1}"/>
            </c:ext>
          </c:extLst>
        </c:ser>
        <c:ser>
          <c:idx val="4"/>
          <c:order val="4"/>
          <c:tx>
            <c:strRef>
              <c:f>Overall!$H$29</c:f>
              <c:strCache>
                <c:ptCount val="1"/>
                <c:pt idx="0">
                  <c:v>Very poor</c:v>
                </c:pt>
              </c:strCache>
            </c:strRef>
          </c:tx>
          <c:spPr>
            <a:solidFill>
              <a:schemeClr val="tx1">
                <a:lumMod val="65000"/>
                <a:lumOff val="3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F6F6-44F5-9A0C-0B3B7C03EEA1}"/>
                </c:ext>
              </c:extLst>
            </c:dLbl>
            <c:dLbl>
              <c:idx val="1"/>
              <c:delete val="1"/>
              <c:extLst>
                <c:ext xmlns:c15="http://schemas.microsoft.com/office/drawing/2012/chart" uri="{CE6537A1-D6FC-4f65-9D91-7224C49458BB}"/>
                <c:ext xmlns:c16="http://schemas.microsoft.com/office/drawing/2014/chart" uri="{C3380CC4-5D6E-409C-BE32-E72D297353CC}">
                  <c16:uniqueId val="{00000010-F6F6-44F5-9A0C-0B3B7C03EEA1}"/>
                </c:ext>
              </c:extLst>
            </c:dLbl>
            <c:dLbl>
              <c:idx val="2"/>
              <c:delete val="1"/>
              <c:extLst>
                <c:ext xmlns:c15="http://schemas.microsoft.com/office/drawing/2012/chart" uri="{CE6537A1-D6FC-4f65-9D91-7224C49458BB}"/>
                <c:ext xmlns:c16="http://schemas.microsoft.com/office/drawing/2014/chart" uri="{C3380CC4-5D6E-409C-BE32-E72D297353CC}">
                  <c16:uniqueId val="{00000011-F6F6-44F5-9A0C-0B3B7C03EEA1}"/>
                </c:ext>
              </c:extLst>
            </c:dLbl>
            <c:dLbl>
              <c:idx val="3"/>
              <c:delete val="1"/>
              <c:extLst>
                <c:ext xmlns:c15="http://schemas.microsoft.com/office/drawing/2012/chart" uri="{CE6537A1-D6FC-4f65-9D91-7224C49458BB}"/>
                <c:ext xmlns:c16="http://schemas.microsoft.com/office/drawing/2014/chart" uri="{C3380CC4-5D6E-409C-BE32-E72D297353CC}">
                  <c16:uniqueId val="{00000012-F6F6-44F5-9A0C-0B3B7C03EEA1}"/>
                </c:ext>
              </c:extLst>
            </c:dLbl>
            <c:dLbl>
              <c:idx val="4"/>
              <c:layout>
                <c:manualLayout>
                  <c:x val="1.4665547004117439E-3"/>
                  <c:y val="7.40389695354060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6F6-44F5-9A0C-0B3B7C03EEA1}"/>
                </c:ext>
              </c:extLst>
            </c:dLbl>
            <c:dLbl>
              <c:idx val="5"/>
              <c:delete val="1"/>
              <c:extLst>
                <c:ext xmlns:c15="http://schemas.microsoft.com/office/drawing/2012/chart" uri="{CE6537A1-D6FC-4f65-9D91-7224C49458BB}"/>
                <c:ext xmlns:c16="http://schemas.microsoft.com/office/drawing/2014/chart" uri="{C3380CC4-5D6E-409C-BE32-E72D297353CC}">
                  <c16:uniqueId val="{00000014-F6F6-44F5-9A0C-0B3B7C03EEA1}"/>
                </c:ext>
              </c:extLst>
            </c:dLbl>
            <c:dLbl>
              <c:idx val="6"/>
              <c:delete val="1"/>
              <c:extLst>
                <c:ext xmlns:c15="http://schemas.microsoft.com/office/drawing/2012/chart" uri="{CE6537A1-D6FC-4f65-9D91-7224C49458BB}"/>
                <c:ext xmlns:c16="http://schemas.microsoft.com/office/drawing/2014/chart" uri="{C3380CC4-5D6E-409C-BE32-E72D297353CC}">
                  <c16:uniqueId val="{00000015-F6F6-44F5-9A0C-0B3B7C03EEA1}"/>
                </c:ext>
              </c:extLst>
            </c:dLbl>
            <c:dLbl>
              <c:idx val="7"/>
              <c:delete val="1"/>
              <c:extLst>
                <c:ext xmlns:c15="http://schemas.microsoft.com/office/drawing/2012/chart" uri="{CE6537A1-D6FC-4f65-9D91-7224C49458BB}"/>
                <c:ext xmlns:c16="http://schemas.microsoft.com/office/drawing/2014/chart" uri="{C3380CC4-5D6E-409C-BE32-E72D297353CC}">
                  <c16:uniqueId val="{00000016-F6F6-44F5-9A0C-0B3B7C03EEA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Overall!$C$31:$C$39</c:f>
              <c:strCache>
                <c:ptCount val="9"/>
                <c:pt idx="0">
                  <c:v>Accuracy of the information it provides (title / licence holder only) n=58</c:v>
                </c:pt>
                <c:pt idx="1">
                  <c:v>Clarity of information it provides (title / licence holder only) n=58</c:v>
                </c:pt>
                <c:pt idx="2">
                  <c:v>Accuracy of advice it provides (govt agency only) n=22</c:v>
                </c:pt>
                <c:pt idx="3">
                  <c:v>Clarity of advice it provides (govt agency only) n=22</c:v>
                </c:pt>
                <c:pt idx="4">
                  <c:v>Justification of its decisions made about offshore titles / licences (title / licence holder only) n=50</c:v>
                </c:pt>
                <c:pt idx="5">
                  <c:v>Justification of its recommendations made about offshore titles / licences  (govt agency only) n=7</c:v>
                </c:pt>
                <c:pt idx="6">
                  <c:v>Consistency of its information (title / licence holder only) n=52</c:v>
                </c:pt>
                <c:pt idx="7">
                  <c:v>Consistency of its advice / recommendations  (govt agency only) n=8</c:v>
                </c:pt>
                <c:pt idx="8">
                  <c:v>Transparency of its decisions about offshore titles / licences (title / licence holder only) n=49</c:v>
                </c:pt>
              </c:strCache>
            </c:strRef>
          </c:cat>
          <c:val>
            <c:numRef>
              <c:f>Overall!$H$31:$H$39</c:f>
              <c:numCache>
                <c:formatCode>###0</c:formatCode>
                <c:ptCount val="9"/>
                <c:pt idx="0">
                  <c:v>0</c:v>
                </c:pt>
                <c:pt idx="1">
                  <c:v>0</c:v>
                </c:pt>
                <c:pt idx="2">
                  <c:v>0</c:v>
                </c:pt>
                <c:pt idx="3">
                  <c:v>0</c:v>
                </c:pt>
                <c:pt idx="4">
                  <c:v>2</c:v>
                </c:pt>
                <c:pt idx="5">
                  <c:v>0</c:v>
                </c:pt>
                <c:pt idx="6">
                  <c:v>0</c:v>
                </c:pt>
                <c:pt idx="7">
                  <c:v>0</c:v>
                </c:pt>
                <c:pt idx="8">
                  <c:v>2.0408163265306123</c:v>
                </c:pt>
              </c:numCache>
            </c:numRef>
          </c:val>
          <c:extLst>
            <c:ext xmlns:c16="http://schemas.microsoft.com/office/drawing/2014/chart" uri="{C3380CC4-5D6E-409C-BE32-E72D297353CC}">
              <c16:uniqueId val="{00000017-F6F6-44F5-9A0C-0B3B7C03EEA1}"/>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3.5841774061286663E-2"/>
          <c:y val="0.93133867280755034"/>
          <c:w val="0.90494294588423052"/>
          <c:h val="5.65457755325297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NOPTA</a:t>
            </a:r>
            <a:r>
              <a:rPr lang="en-AU" baseline="0">
                <a:solidFill>
                  <a:sysClr val="windowText" lastClr="000000"/>
                </a:solidFill>
              </a:rPr>
              <a:t> / OIR performance and stakeholder effort dimensions (%)</a:t>
            </a:r>
          </a:p>
          <a:p>
            <a:pPr>
              <a:defRPr>
                <a:solidFill>
                  <a:sysClr val="windowText" lastClr="000000"/>
                </a:solidFill>
              </a:defRPr>
            </a:pPr>
            <a:r>
              <a:rPr lang="en-AU" sz="1050" i="1" baseline="0">
                <a:solidFill>
                  <a:sysClr val="windowText" lastClr="000000"/>
                </a:solidFill>
              </a:rPr>
              <a:t>n count varies and displayed in labels</a:t>
            </a:r>
            <a:endParaRPr lang="en-AU" sz="1050" i="1">
              <a:solidFill>
                <a:sysClr val="windowText" lastClr="000000"/>
              </a:solidFill>
            </a:endParaRPr>
          </a:p>
        </c:rich>
      </c:tx>
      <c:layout>
        <c:manualLayout>
          <c:xMode val="edge"/>
          <c:yMode val="edge"/>
          <c:x val="0.15665828643380678"/>
          <c:y val="6.7156162441720099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manualLayout>
          <c:layoutTarget val="inner"/>
          <c:xMode val="edge"/>
          <c:yMode val="edge"/>
          <c:x val="0.48991283707040673"/>
          <c:y val="0.18544128373450036"/>
          <c:w val="0.46181055569026319"/>
          <c:h val="0.67670612289437559"/>
        </c:manualLayout>
      </c:layout>
      <c:barChart>
        <c:barDir val="bar"/>
        <c:grouping val="percentStacked"/>
        <c:varyColors val="0"/>
        <c:ser>
          <c:idx val="0"/>
          <c:order val="0"/>
          <c:tx>
            <c:strRef>
              <c:f>Overall!$D$42</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Overall!$C$44:$C$49</c:f>
              <c:strCache>
                <c:ptCount val="6"/>
                <c:pt idx="0">
                  <c:v>The efficiency of NOPTA/OIR titles / licences administration n=68</c:v>
                </c:pt>
                <c:pt idx="1">
                  <c:v>The effectiveness of NOPTA/OIR titles / licences administration n=71</c:v>
                </c:pt>
                <c:pt idx="2">
                  <c:v>Processing NOPTA applications to meet its published assessment timeframes (title holder only) n=45</c:v>
                </c:pt>
                <c:pt idx="3">
                  <c:v>Balancing administrative and compliance effort with outcomes (title holder / licence only) n=55</c:v>
                </c:pt>
                <c:pt idx="4">
                  <c:v>Balancing administrative effort with outcomes (govt agency only) n=17</c:v>
                </c:pt>
                <c:pt idx="5">
                  <c:v>Encouraging voluntary administrative compliance (title holder / licence only) n=45</c:v>
                </c:pt>
              </c:strCache>
            </c:strRef>
          </c:cat>
          <c:val>
            <c:numRef>
              <c:f>Overall!$D$44:$D$49</c:f>
              <c:numCache>
                <c:formatCode>###0</c:formatCode>
                <c:ptCount val="6"/>
                <c:pt idx="0">
                  <c:v>27.941176470588236</c:v>
                </c:pt>
                <c:pt idx="1">
                  <c:v>36.619718309859152</c:v>
                </c:pt>
                <c:pt idx="2">
                  <c:v>20</c:v>
                </c:pt>
                <c:pt idx="3">
                  <c:v>34.545454545454547</c:v>
                </c:pt>
                <c:pt idx="4">
                  <c:v>35.294117647058826</c:v>
                </c:pt>
                <c:pt idx="5">
                  <c:v>40</c:v>
                </c:pt>
              </c:numCache>
            </c:numRef>
          </c:val>
          <c:extLst>
            <c:ext xmlns:c16="http://schemas.microsoft.com/office/drawing/2014/chart" uri="{C3380CC4-5D6E-409C-BE32-E72D297353CC}">
              <c16:uniqueId val="{00000000-65BB-4BE3-BC03-7557A3DA0E1B}"/>
            </c:ext>
          </c:extLst>
        </c:ser>
        <c:ser>
          <c:idx val="1"/>
          <c:order val="1"/>
          <c:tx>
            <c:strRef>
              <c:f>Overall!$E$42</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Overall!$C$44:$C$49</c:f>
              <c:strCache>
                <c:ptCount val="6"/>
                <c:pt idx="0">
                  <c:v>The efficiency of NOPTA/OIR titles / licences administration n=68</c:v>
                </c:pt>
                <c:pt idx="1">
                  <c:v>The effectiveness of NOPTA/OIR titles / licences administration n=71</c:v>
                </c:pt>
                <c:pt idx="2">
                  <c:v>Processing NOPTA applications to meet its published assessment timeframes (title holder only) n=45</c:v>
                </c:pt>
                <c:pt idx="3">
                  <c:v>Balancing administrative and compliance effort with outcomes (title holder / licence only) n=55</c:v>
                </c:pt>
                <c:pt idx="4">
                  <c:v>Balancing administrative effort with outcomes (govt agency only) n=17</c:v>
                </c:pt>
                <c:pt idx="5">
                  <c:v>Encouraging voluntary administrative compliance (title holder / licence only) n=45</c:v>
                </c:pt>
              </c:strCache>
            </c:strRef>
          </c:cat>
          <c:val>
            <c:numRef>
              <c:f>Overall!$E$44:$E$49</c:f>
              <c:numCache>
                <c:formatCode>###0</c:formatCode>
                <c:ptCount val="6"/>
                <c:pt idx="0">
                  <c:v>39.705882352941174</c:v>
                </c:pt>
                <c:pt idx="1">
                  <c:v>50.70422535211268</c:v>
                </c:pt>
                <c:pt idx="2">
                  <c:v>37.777777777777779</c:v>
                </c:pt>
                <c:pt idx="3">
                  <c:v>40</c:v>
                </c:pt>
                <c:pt idx="4">
                  <c:v>64.705882352941174</c:v>
                </c:pt>
                <c:pt idx="5">
                  <c:v>46.666666666666664</c:v>
                </c:pt>
              </c:numCache>
            </c:numRef>
          </c:val>
          <c:extLst>
            <c:ext xmlns:c16="http://schemas.microsoft.com/office/drawing/2014/chart" uri="{C3380CC4-5D6E-409C-BE32-E72D297353CC}">
              <c16:uniqueId val="{00000001-65BB-4BE3-BC03-7557A3DA0E1B}"/>
            </c:ext>
          </c:extLst>
        </c:ser>
        <c:ser>
          <c:idx val="2"/>
          <c:order val="2"/>
          <c:tx>
            <c:strRef>
              <c:f>Overall!$F$42</c:f>
              <c:strCache>
                <c:ptCount val="1"/>
                <c:pt idx="0">
                  <c:v>Sometimes poor / sometimes good</c:v>
                </c:pt>
              </c:strCache>
            </c:strRef>
          </c:tx>
          <c:spPr>
            <a:solidFill>
              <a:srgbClr val="FA991F"/>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65BB-4BE3-BC03-7557A3DA0E1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Overall!$C$44:$C$49</c:f>
              <c:strCache>
                <c:ptCount val="6"/>
                <c:pt idx="0">
                  <c:v>The efficiency of NOPTA/OIR titles / licences administration n=68</c:v>
                </c:pt>
                <c:pt idx="1">
                  <c:v>The effectiveness of NOPTA/OIR titles / licences administration n=71</c:v>
                </c:pt>
                <c:pt idx="2">
                  <c:v>Processing NOPTA applications to meet its published assessment timeframes (title holder only) n=45</c:v>
                </c:pt>
                <c:pt idx="3">
                  <c:v>Balancing administrative and compliance effort with outcomes (title holder / licence only) n=55</c:v>
                </c:pt>
                <c:pt idx="4">
                  <c:v>Balancing administrative effort with outcomes (govt agency only) n=17</c:v>
                </c:pt>
                <c:pt idx="5">
                  <c:v>Encouraging voluntary administrative compliance (title holder / licence only) n=45</c:v>
                </c:pt>
              </c:strCache>
            </c:strRef>
          </c:cat>
          <c:val>
            <c:numRef>
              <c:f>Overall!$F$44:$F$49</c:f>
              <c:numCache>
                <c:formatCode>###0</c:formatCode>
                <c:ptCount val="6"/>
                <c:pt idx="0">
                  <c:v>25</c:v>
                </c:pt>
                <c:pt idx="1">
                  <c:v>9.8591549295774641</c:v>
                </c:pt>
                <c:pt idx="2">
                  <c:v>31.111111111111111</c:v>
                </c:pt>
                <c:pt idx="3">
                  <c:v>23.636363636363637</c:v>
                </c:pt>
                <c:pt idx="4">
                  <c:v>0</c:v>
                </c:pt>
                <c:pt idx="5">
                  <c:v>8.8888888888888893</c:v>
                </c:pt>
              </c:numCache>
            </c:numRef>
          </c:val>
          <c:extLst>
            <c:ext xmlns:c16="http://schemas.microsoft.com/office/drawing/2014/chart" uri="{C3380CC4-5D6E-409C-BE32-E72D297353CC}">
              <c16:uniqueId val="{00000003-65BB-4BE3-BC03-7557A3DA0E1B}"/>
            </c:ext>
          </c:extLst>
        </c:ser>
        <c:ser>
          <c:idx val="3"/>
          <c:order val="3"/>
          <c:tx>
            <c:strRef>
              <c:f>Overall!$G$42</c:f>
              <c:strCache>
                <c:ptCount val="1"/>
                <c:pt idx="0">
                  <c:v>Poor</c:v>
                </c:pt>
              </c:strCache>
            </c:strRef>
          </c:tx>
          <c:spPr>
            <a:solidFill>
              <a:srgbClr val="5B9BD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65BB-4BE3-BC03-7557A3DA0E1B}"/>
                </c:ext>
              </c:extLst>
            </c:dLbl>
            <c:dLbl>
              <c:idx val="4"/>
              <c:delete val="1"/>
              <c:extLst>
                <c:ext xmlns:c15="http://schemas.microsoft.com/office/drawing/2012/chart" uri="{CE6537A1-D6FC-4f65-9D91-7224C49458BB}"/>
                <c:ext xmlns:c16="http://schemas.microsoft.com/office/drawing/2014/chart" uri="{C3380CC4-5D6E-409C-BE32-E72D297353CC}">
                  <c16:uniqueId val="{00000005-65BB-4BE3-BC03-7557A3DA0E1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Overall!$C$44:$C$49</c:f>
              <c:strCache>
                <c:ptCount val="6"/>
                <c:pt idx="0">
                  <c:v>The efficiency of NOPTA/OIR titles / licences administration n=68</c:v>
                </c:pt>
                <c:pt idx="1">
                  <c:v>The effectiveness of NOPTA/OIR titles / licences administration n=71</c:v>
                </c:pt>
                <c:pt idx="2">
                  <c:v>Processing NOPTA applications to meet its published assessment timeframes (title holder only) n=45</c:v>
                </c:pt>
                <c:pt idx="3">
                  <c:v>Balancing administrative and compliance effort with outcomes (title holder / licence only) n=55</c:v>
                </c:pt>
                <c:pt idx="4">
                  <c:v>Balancing administrative effort with outcomes (govt agency only) n=17</c:v>
                </c:pt>
                <c:pt idx="5">
                  <c:v>Encouraging voluntary administrative compliance (title holder / licence only) n=45</c:v>
                </c:pt>
              </c:strCache>
            </c:strRef>
          </c:cat>
          <c:val>
            <c:numRef>
              <c:f>Overall!$G$44:$G$49</c:f>
              <c:numCache>
                <c:formatCode>###0</c:formatCode>
                <c:ptCount val="6"/>
                <c:pt idx="0">
                  <c:v>2.9411764705882355</c:v>
                </c:pt>
                <c:pt idx="1">
                  <c:v>0</c:v>
                </c:pt>
                <c:pt idx="2">
                  <c:v>8.8888888888888893</c:v>
                </c:pt>
                <c:pt idx="3">
                  <c:v>1.8181818181818181</c:v>
                </c:pt>
                <c:pt idx="4">
                  <c:v>0</c:v>
                </c:pt>
                <c:pt idx="5">
                  <c:v>4.4444444444444446</c:v>
                </c:pt>
              </c:numCache>
            </c:numRef>
          </c:val>
          <c:extLst>
            <c:ext xmlns:c16="http://schemas.microsoft.com/office/drawing/2014/chart" uri="{C3380CC4-5D6E-409C-BE32-E72D297353CC}">
              <c16:uniqueId val="{00000006-65BB-4BE3-BC03-7557A3DA0E1B}"/>
            </c:ext>
          </c:extLst>
        </c:ser>
        <c:ser>
          <c:idx val="4"/>
          <c:order val="4"/>
          <c:tx>
            <c:strRef>
              <c:f>Overall!$H$42</c:f>
              <c:strCache>
                <c:ptCount val="1"/>
                <c:pt idx="0">
                  <c:v>Very poor</c:v>
                </c:pt>
              </c:strCache>
            </c:strRef>
          </c:tx>
          <c:spPr>
            <a:solidFill>
              <a:schemeClr val="tx1">
                <a:lumMod val="65000"/>
                <a:lumOff val="35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7-65BB-4BE3-BC03-7557A3DA0E1B}"/>
                </c:ext>
              </c:extLst>
            </c:dLbl>
            <c:dLbl>
              <c:idx val="4"/>
              <c:delete val="1"/>
              <c:extLst>
                <c:ext xmlns:c15="http://schemas.microsoft.com/office/drawing/2012/chart" uri="{CE6537A1-D6FC-4f65-9D91-7224C49458BB}"/>
                <c:ext xmlns:c16="http://schemas.microsoft.com/office/drawing/2014/chart" uri="{C3380CC4-5D6E-409C-BE32-E72D297353CC}">
                  <c16:uniqueId val="{00000008-65BB-4BE3-BC03-7557A3DA0E1B}"/>
                </c:ext>
              </c:extLst>
            </c:dLbl>
            <c:dLbl>
              <c:idx val="5"/>
              <c:delete val="1"/>
              <c:extLst>
                <c:ext xmlns:c15="http://schemas.microsoft.com/office/drawing/2012/chart" uri="{CE6537A1-D6FC-4f65-9D91-7224C49458BB}"/>
                <c:ext xmlns:c16="http://schemas.microsoft.com/office/drawing/2014/chart" uri="{C3380CC4-5D6E-409C-BE32-E72D297353CC}">
                  <c16:uniqueId val="{00000009-65BB-4BE3-BC03-7557A3DA0E1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Overall!$C$44:$C$49</c:f>
              <c:strCache>
                <c:ptCount val="6"/>
                <c:pt idx="0">
                  <c:v>The efficiency of NOPTA/OIR titles / licences administration n=68</c:v>
                </c:pt>
                <c:pt idx="1">
                  <c:v>The effectiveness of NOPTA/OIR titles / licences administration n=71</c:v>
                </c:pt>
                <c:pt idx="2">
                  <c:v>Processing NOPTA applications to meet its published assessment timeframes (title holder only) n=45</c:v>
                </c:pt>
                <c:pt idx="3">
                  <c:v>Balancing administrative and compliance effort with outcomes (title holder / licence only) n=55</c:v>
                </c:pt>
                <c:pt idx="4">
                  <c:v>Balancing administrative effort with outcomes (govt agency only) n=17</c:v>
                </c:pt>
                <c:pt idx="5">
                  <c:v>Encouraging voluntary administrative compliance (title holder / licence only) n=45</c:v>
                </c:pt>
              </c:strCache>
            </c:strRef>
          </c:cat>
          <c:val>
            <c:numRef>
              <c:f>Overall!$H$44:$H$49</c:f>
              <c:numCache>
                <c:formatCode>###0</c:formatCode>
                <c:ptCount val="6"/>
                <c:pt idx="0">
                  <c:v>4.4117647058823533</c:v>
                </c:pt>
                <c:pt idx="1">
                  <c:v>2.816901408450704</c:v>
                </c:pt>
                <c:pt idx="2">
                  <c:v>2.2222222222222223</c:v>
                </c:pt>
                <c:pt idx="3">
                  <c:v>0</c:v>
                </c:pt>
                <c:pt idx="4">
                  <c:v>0</c:v>
                </c:pt>
                <c:pt idx="5">
                  <c:v>0</c:v>
                </c:pt>
              </c:numCache>
            </c:numRef>
          </c:val>
          <c:extLst>
            <c:ext xmlns:c16="http://schemas.microsoft.com/office/drawing/2014/chart" uri="{C3380CC4-5D6E-409C-BE32-E72D297353CC}">
              <c16:uniqueId val="{0000000A-65BB-4BE3-BC03-7557A3DA0E1B}"/>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valAx>
      <c:spPr>
        <a:noFill/>
        <a:ln>
          <a:noFill/>
        </a:ln>
        <a:effectLst/>
      </c:spPr>
    </c:plotArea>
    <c:legend>
      <c:legendPos val="b"/>
      <c:layout>
        <c:manualLayout>
          <c:xMode val="edge"/>
          <c:yMode val="edge"/>
          <c:x val="2.3673604818846592E-2"/>
          <c:y val="0.95137014485306093"/>
          <c:w val="0.92146556234765631"/>
          <c:h val="3.65142474458645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Demonstration of key values </a:t>
            </a:r>
            <a:r>
              <a:rPr lang="en-AU" baseline="0">
                <a:solidFill>
                  <a:sysClr val="windowText" lastClr="000000"/>
                </a:solidFill>
              </a:rPr>
              <a:t>(%)</a:t>
            </a:r>
          </a:p>
          <a:p>
            <a:pPr>
              <a:defRPr>
                <a:solidFill>
                  <a:sysClr val="windowText" lastClr="000000"/>
                </a:solidFill>
              </a:defRPr>
            </a:pPr>
            <a:r>
              <a:rPr lang="en-AU" sz="1050" i="1" baseline="0">
                <a:solidFill>
                  <a:sysClr val="windowText" lastClr="000000"/>
                </a:solidFill>
              </a:rPr>
              <a:t>n count varies and displayed in labels</a:t>
            </a:r>
            <a:endParaRPr lang="en-AU" sz="1050" i="1">
              <a:solidFill>
                <a:sysClr val="windowText" lastClr="000000"/>
              </a:solidFill>
            </a:endParaRPr>
          </a:p>
        </c:rich>
      </c:tx>
      <c:layout>
        <c:manualLayout>
          <c:xMode val="edge"/>
          <c:yMode val="edge"/>
          <c:x val="0.2581092714879854"/>
          <c:y val="1.52817574021012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barChart>
        <c:barDir val="bar"/>
        <c:grouping val="percentStacked"/>
        <c:varyColors val="0"/>
        <c:ser>
          <c:idx val="0"/>
          <c:order val="0"/>
          <c:tx>
            <c:strRef>
              <c:f>Overall!$D$52</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Overall!$C$53:$C$56</c:f>
              <c:strCache>
                <c:ptCount val="4"/>
                <c:pt idx="0">
                  <c:v>NOPTA/OIR focus on continuous improvement n=57</c:v>
                </c:pt>
                <c:pt idx="1">
                  <c:v>Supporting the responsible use of Australia’s offshore energy resources across the title / licensing lifecycle n=69</c:v>
                </c:pt>
                <c:pt idx="2">
                  <c:v>Behaving ethically
 n=76</c:v>
                </c:pt>
                <c:pt idx="3">
                  <c:v>Being risk-based (title holder / licence only) n=51</c:v>
                </c:pt>
              </c:strCache>
            </c:strRef>
          </c:cat>
          <c:val>
            <c:numRef>
              <c:f>Overall!$D$53:$D$56</c:f>
              <c:numCache>
                <c:formatCode>###0</c:formatCode>
                <c:ptCount val="4"/>
                <c:pt idx="0" formatCode="0">
                  <c:v>22.807017543859651</c:v>
                </c:pt>
                <c:pt idx="1">
                  <c:v>31.884057971014492</c:v>
                </c:pt>
                <c:pt idx="2">
                  <c:v>78.94736842105263</c:v>
                </c:pt>
                <c:pt idx="3">
                  <c:v>29.411764705882351</c:v>
                </c:pt>
              </c:numCache>
            </c:numRef>
          </c:val>
          <c:extLst>
            <c:ext xmlns:c16="http://schemas.microsoft.com/office/drawing/2014/chart" uri="{C3380CC4-5D6E-409C-BE32-E72D297353CC}">
              <c16:uniqueId val="{00000000-5CFA-45B1-8033-BA026592B8B9}"/>
            </c:ext>
          </c:extLst>
        </c:ser>
        <c:ser>
          <c:idx val="1"/>
          <c:order val="1"/>
          <c:tx>
            <c:strRef>
              <c:f>Overall!$E$52</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Overall!$C$53:$C$56</c:f>
              <c:strCache>
                <c:ptCount val="4"/>
                <c:pt idx="0">
                  <c:v>NOPTA/OIR focus on continuous improvement n=57</c:v>
                </c:pt>
                <c:pt idx="1">
                  <c:v>Supporting the responsible use of Australia’s offshore energy resources across the title / licensing lifecycle n=69</c:v>
                </c:pt>
                <c:pt idx="2">
                  <c:v>Behaving ethically
 n=76</c:v>
                </c:pt>
                <c:pt idx="3">
                  <c:v>Being risk-based (title holder / licence only) n=51</c:v>
                </c:pt>
              </c:strCache>
            </c:strRef>
          </c:cat>
          <c:val>
            <c:numRef>
              <c:f>Overall!$E$53:$E$56</c:f>
              <c:numCache>
                <c:formatCode>###0</c:formatCode>
                <c:ptCount val="4"/>
                <c:pt idx="0" formatCode="0">
                  <c:v>63.157894736842103</c:v>
                </c:pt>
                <c:pt idx="1">
                  <c:v>56.521739130434781</c:v>
                </c:pt>
                <c:pt idx="2">
                  <c:v>21.05263157894737</c:v>
                </c:pt>
                <c:pt idx="3">
                  <c:v>47.058823529411768</c:v>
                </c:pt>
              </c:numCache>
            </c:numRef>
          </c:val>
          <c:extLst>
            <c:ext xmlns:c16="http://schemas.microsoft.com/office/drawing/2014/chart" uri="{C3380CC4-5D6E-409C-BE32-E72D297353CC}">
              <c16:uniqueId val="{00000001-5CFA-45B1-8033-BA026592B8B9}"/>
            </c:ext>
          </c:extLst>
        </c:ser>
        <c:ser>
          <c:idx val="2"/>
          <c:order val="2"/>
          <c:tx>
            <c:strRef>
              <c:f>Overall!$F$52</c:f>
              <c:strCache>
                <c:ptCount val="1"/>
                <c:pt idx="0">
                  <c:v>Sometimes poor / sometimes good</c:v>
                </c:pt>
              </c:strCache>
            </c:strRef>
          </c:tx>
          <c:spPr>
            <a:solidFill>
              <a:srgbClr val="FA991F"/>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5CFA-45B1-8033-BA026592B8B9}"/>
                </c:ext>
              </c:extLst>
            </c:dLbl>
            <c:dLbl>
              <c:idx val="4"/>
              <c:delete val="1"/>
              <c:extLst>
                <c:ext xmlns:c15="http://schemas.microsoft.com/office/drawing/2012/chart" uri="{CE6537A1-D6FC-4f65-9D91-7224C49458BB}"/>
                <c:ext xmlns:c16="http://schemas.microsoft.com/office/drawing/2014/chart" uri="{C3380CC4-5D6E-409C-BE32-E72D297353CC}">
                  <c16:uniqueId val="{00000003-5CFA-45B1-8033-BA026592B8B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Overall!$C$53:$C$56</c:f>
              <c:strCache>
                <c:ptCount val="4"/>
                <c:pt idx="0">
                  <c:v>NOPTA/OIR focus on continuous improvement n=57</c:v>
                </c:pt>
                <c:pt idx="1">
                  <c:v>Supporting the responsible use of Australia’s offshore energy resources across the title / licensing lifecycle n=69</c:v>
                </c:pt>
                <c:pt idx="2">
                  <c:v>Behaving ethically
 n=76</c:v>
                </c:pt>
                <c:pt idx="3">
                  <c:v>Being risk-based (title holder / licence only) n=51</c:v>
                </c:pt>
              </c:strCache>
            </c:strRef>
          </c:cat>
          <c:val>
            <c:numRef>
              <c:f>Overall!$F$53:$F$56</c:f>
              <c:numCache>
                <c:formatCode>###0</c:formatCode>
                <c:ptCount val="4"/>
                <c:pt idx="0" formatCode="0">
                  <c:v>7.0175438596491224</c:v>
                </c:pt>
                <c:pt idx="1">
                  <c:v>8.695652173913043</c:v>
                </c:pt>
                <c:pt idx="2">
                  <c:v>0</c:v>
                </c:pt>
                <c:pt idx="3">
                  <c:v>19.607843137254903</c:v>
                </c:pt>
              </c:numCache>
            </c:numRef>
          </c:val>
          <c:extLst>
            <c:ext xmlns:c16="http://schemas.microsoft.com/office/drawing/2014/chart" uri="{C3380CC4-5D6E-409C-BE32-E72D297353CC}">
              <c16:uniqueId val="{00000004-5CFA-45B1-8033-BA026592B8B9}"/>
            </c:ext>
          </c:extLst>
        </c:ser>
        <c:ser>
          <c:idx val="3"/>
          <c:order val="3"/>
          <c:tx>
            <c:strRef>
              <c:f>Overall!$G$52</c:f>
              <c:strCache>
                <c:ptCount val="1"/>
                <c:pt idx="0">
                  <c:v>Poor</c:v>
                </c:pt>
              </c:strCache>
            </c:strRef>
          </c:tx>
          <c:spPr>
            <a:solidFill>
              <a:srgbClr val="5B9BD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5CFA-45B1-8033-BA026592B8B9}"/>
                </c:ext>
              </c:extLst>
            </c:dLbl>
            <c:dLbl>
              <c:idx val="2"/>
              <c:delete val="1"/>
              <c:extLst>
                <c:ext xmlns:c15="http://schemas.microsoft.com/office/drawing/2012/chart" uri="{CE6537A1-D6FC-4f65-9D91-7224C49458BB}"/>
                <c:ext xmlns:c16="http://schemas.microsoft.com/office/drawing/2014/chart" uri="{C3380CC4-5D6E-409C-BE32-E72D297353CC}">
                  <c16:uniqueId val="{00000006-5CFA-45B1-8033-BA026592B8B9}"/>
                </c:ext>
              </c:extLst>
            </c:dLbl>
            <c:dLbl>
              <c:idx val="4"/>
              <c:delete val="1"/>
              <c:extLst>
                <c:ext xmlns:c15="http://schemas.microsoft.com/office/drawing/2012/chart" uri="{CE6537A1-D6FC-4f65-9D91-7224C49458BB}"/>
                <c:ext xmlns:c16="http://schemas.microsoft.com/office/drawing/2014/chart" uri="{C3380CC4-5D6E-409C-BE32-E72D297353CC}">
                  <c16:uniqueId val="{00000007-5CFA-45B1-8033-BA026592B8B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Overall!$C$53:$C$56</c:f>
              <c:strCache>
                <c:ptCount val="4"/>
                <c:pt idx="0">
                  <c:v>NOPTA/OIR focus on continuous improvement n=57</c:v>
                </c:pt>
                <c:pt idx="1">
                  <c:v>Supporting the responsible use of Australia’s offshore energy resources across the title / licensing lifecycle n=69</c:v>
                </c:pt>
                <c:pt idx="2">
                  <c:v>Behaving ethically
 n=76</c:v>
                </c:pt>
                <c:pt idx="3">
                  <c:v>Being risk-based (title holder / licence only) n=51</c:v>
                </c:pt>
              </c:strCache>
            </c:strRef>
          </c:cat>
          <c:val>
            <c:numRef>
              <c:f>Overall!$G$53:$G$56</c:f>
              <c:numCache>
                <c:formatCode>###0</c:formatCode>
                <c:ptCount val="4"/>
                <c:pt idx="0" formatCode="0">
                  <c:v>5.2631578947368425</c:v>
                </c:pt>
                <c:pt idx="1">
                  <c:v>0</c:v>
                </c:pt>
                <c:pt idx="2">
                  <c:v>0</c:v>
                </c:pt>
                <c:pt idx="3">
                  <c:v>1.9607843137254901</c:v>
                </c:pt>
              </c:numCache>
            </c:numRef>
          </c:val>
          <c:extLst>
            <c:ext xmlns:c16="http://schemas.microsoft.com/office/drawing/2014/chart" uri="{C3380CC4-5D6E-409C-BE32-E72D297353CC}">
              <c16:uniqueId val="{00000008-5CFA-45B1-8033-BA026592B8B9}"/>
            </c:ext>
          </c:extLst>
        </c:ser>
        <c:ser>
          <c:idx val="4"/>
          <c:order val="4"/>
          <c:tx>
            <c:strRef>
              <c:f>Overall!$H$52</c:f>
              <c:strCache>
                <c:ptCount val="1"/>
                <c:pt idx="0">
                  <c:v>Very poor</c:v>
                </c:pt>
              </c:strCache>
            </c:strRef>
          </c:tx>
          <c:spPr>
            <a:solidFill>
              <a:schemeClr val="tx1">
                <a:lumMod val="65000"/>
                <a:lumOff val="3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5CFA-45B1-8033-BA026592B8B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Overall!$C$53:$C$56</c:f>
              <c:strCache>
                <c:ptCount val="4"/>
                <c:pt idx="0">
                  <c:v>NOPTA/OIR focus on continuous improvement n=57</c:v>
                </c:pt>
                <c:pt idx="1">
                  <c:v>Supporting the responsible use of Australia’s offshore energy resources across the title / licensing lifecycle n=69</c:v>
                </c:pt>
                <c:pt idx="2">
                  <c:v>Behaving ethically
 n=76</c:v>
                </c:pt>
                <c:pt idx="3">
                  <c:v>Being risk-based (title holder / licence only) n=51</c:v>
                </c:pt>
              </c:strCache>
            </c:strRef>
          </c:cat>
          <c:val>
            <c:numRef>
              <c:f>Overall!$H$53:$H$56</c:f>
              <c:numCache>
                <c:formatCode>###0</c:formatCode>
                <c:ptCount val="4"/>
                <c:pt idx="0" formatCode="0">
                  <c:v>1.7543859649122806</c:v>
                </c:pt>
                <c:pt idx="1">
                  <c:v>2.8985507246376812</c:v>
                </c:pt>
                <c:pt idx="2">
                  <c:v>0</c:v>
                </c:pt>
                <c:pt idx="3">
                  <c:v>1.9607843137254901</c:v>
                </c:pt>
              </c:numCache>
            </c:numRef>
          </c:val>
          <c:extLst>
            <c:ext xmlns:c16="http://schemas.microsoft.com/office/drawing/2014/chart" uri="{C3380CC4-5D6E-409C-BE32-E72D297353CC}">
              <c16:uniqueId val="{0000000A-5CFA-45B1-8033-BA026592B8B9}"/>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3.9995029174982037E-2"/>
          <c:y val="0.9284770330879909"/>
          <c:w val="0.92778584900955496"/>
          <c:h val="5.94074152520890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Trust in NOPTA or OIR </a:t>
            </a:r>
            <a:r>
              <a:rPr lang="en-AU" baseline="0">
                <a:solidFill>
                  <a:sysClr val="windowText" lastClr="000000"/>
                </a:solidFill>
              </a:rPr>
              <a:t>(%)</a:t>
            </a:r>
          </a:p>
          <a:p>
            <a:pPr>
              <a:defRPr>
                <a:solidFill>
                  <a:sysClr val="windowText" lastClr="000000"/>
                </a:solidFill>
              </a:defRPr>
            </a:pPr>
            <a:r>
              <a:rPr lang="en-AU" sz="1000" i="1" baseline="0">
                <a:solidFill>
                  <a:sysClr val="windowText" lastClr="000000"/>
                </a:solidFill>
              </a:rPr>
              <a:t>As rated by relevant stakeholders within an industry sector</a:t>
            </a:r>
          </a:p>
        </c:rich>
      </c:tx>
      <c:layout>
        <c:manualLayout>
          <c:xMode val="edge"/>
          <c:yMode val="edge"/>
          <c:x val="0.22175013919127623"/>
          <c:y val="2.790349836407436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manualLayout>
          <c:layoutTarget val="inner"/>
          <c:xMode val="edge"/>
          <c:yMode val="edge"/>
          <c:x val="0.48288114615595229"/>
          <c:y val="0.17012048932479931"/>
          <c:w val="0.48438350746271241"/>
          <c:h val="0.42521895289404615"/>
        </c:manualLayout>
      </c:layout>
      <c:barChart>
        <c:barDir val="bar"/>
        <c:grouping val="percentStacked"/>
        <c:varyColors val="0"/>
        <c:ser>
          <c:idx val="0"/>
          <c:order val="0"/>
          <c:tx>
            <c:strRef>
              <c:f>Overall!$D$108</c:f>
              <c:strCache>
                <c:ptCount val="1"/>
                <c:pt idx="0">
                  <c:v>A great deal – Very strong trust; in nearly all situations</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Overall!$C$109:$C$110</c:f>
              <c:strCache>
                <c:ptCount val="2"/>
                <c:pt idx="0">
                  <c:v>Overall, I trust NOPTA to administer the offshore petroleum and greenhouse gas framework in Australia's national interest n=58</c:v>
                </c:pt>
                <c:pt idx="1">
                  <c:v>Overall, I trust the Offshore Infrastructure Registrar to administer the offshore (electricity) infrastructure framework in Australia's national interest n=18</c:v>
                </c:pt>
              </c:strCache>
            </c:strRef>
          </c:cat>
          <c:val>
            <c:numRef>
              <c:f>Overall!$D$109:$D$110</c:f>
              <c:numCache>
                <c:formatCode>###0</c:formatCode>
                <c:ptCount val="2"/>
                <c:pt idx="0">
                  <c:v>29.310344827586206</c:v>
                </c:pt>
                <c:pt idx="1">
                  <c:v>22.222222222222221</c:v>
                </c:pt>
              </c:numCache>
            </c:numRef>
          </c:val>
          <c:extLst>
            <c:ext xmlns:c16="http://schemas.microsoft.com/office/drawing/2014/chart" uri="{C3380CC4-5D6E-409C-BE32-E72D297353CC}">
              <c16:uniqueId val="{00000000-27AD-4E81-B5AC-A91A4A7A1E8E}"/>
            </c:ext>
          </c:extLst>
        </c:ser>
        <c:ser>
          <c:idx val="1"/>
          <c:order val="1"/>
          <c:tx>
            <c:strRef>
              <c:f>Overall!$E$108</c:f>
              <c:strCache>
                <c:ptCount val="1"/>
                <c:pt idx="0">
                  <c:v>A lot – Strong trust; in most situations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Overall!$C$109:$C$110</c:f>
              <c:strCache>
                <c:ptCount val="2"/>
                <c:pt idx="0">
                  <c:v>Overall, I trust NOPTA to administer the offshore petroleum and greenhouse gas framework in Australia's national interest n=58</c:v>
                </c:pt>
                <c:pt idx="1">
                  <c:v>Overall, I trust the Offshore Infrastructure Registrar to administer the offshore (electricity) infrastructure framework in Australia's national interest n=18</c:v>
                </c:pt>
              </c:strCache>
            </c:strRef>
          </c:cat>
          <c:val>
            <c:numRef>
              <c:f>Overall!$E$109:$E$110</c:f>
              <c:numCache>
                <c:formatCode>###0</c:formatCode>
                <c:ptCount val="2"/>
                <c:pt idx="0">
                  <c:v>63.793103448275865</c:v>
                </c:pt>
                <c:pt idx="1">
                  <c:v>72.222222222222229</c:v>
                </c:pt>
              </c:numCache>
            </c:numRef>
          </c:val>
          <c:extLst>
            <c:ext xmlns:c16="http://schemas.microsoft.com/office/drawing/2014/chart" uri="{C3380CC4-5D6E-409C-BE32-E72D297353CC}">
              <c16:uniqueId val="{00000001-27AD-4E81-B5AC-A91A4A7A1E8E}"/>
            </c:ext>
          </c:extLst>
        </c:ser>
        <c:ser>
          <c:idx val="2"/>
          <c:order val="2"/>
          <c:tx>
            <c:strRef>
              <c:f>Overall!$F$108</c:f>
              <c:strCache>
                <c:ptCount val="1"/>
                <c:pt idx="0">
                  <c:v>A moderate amount – Some trust; in certain situations</c:v>
                </c:pt>
              </c:strCache>
            </c:strRef>
          </c:tx>
          <c:spPr>
            <a:solidFill>
              <a:srgbClr val="FA991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27AD-4E81-B5AC-A91A4A7A1E8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Overall!$C$109:$C$110</c:f>
              <c:strCache>
                <c:ptCount val="2"/>
                <c:pt idx="0">
                  <c:v>Overall, I trust NOPTA to administer the offshore petroleum and greenhouse gas framework in Australia's national interest n=58</c:v>
                </c:pt>
                <c:pt idx="1">
                  <c:v>Overall, I trust the Offshore Infrastructure Registrar to administer the offshore (electricity) infrastructure framework in Australia's national interest n=18</c:v>
                </c:pt>
              </c:strCache>
            </c:strRef>
          </c:cat>
          <c:val>
            <c:numRef>
              <c:f>Overall!$F$109:$F$110</c:f>
              <c:numCache>
                <c:formatCode>###0</c:formatCode>
                <c:ptCount val="2"/>
                <c:pt idx="0">
                  <c:v>6.8965517241379306</c:v>
                </c:pt>
                <c:pt idx="1">
                  <c:v>0</c:v>
                </c:pt>
              </c:numCache>
            </c:numRef>
          </c:val>
          <c:extLst>
            <c:ext xmlns:c16="http://schemas.microsoft.com/office/drawing/2014/chart" uri="{C3380CC4-5D6E-409C-BE32-E72D297353CC}">
              <c16:uniqueId val="{00000003-27AD-4E81-B5AC-A91A4A7A1E8E}"/>
            </c:ext>
          </c:extLst>
        </c:ser>
        <c:ser>
          <c:idx val="3"/>
          <c:order val="3"/>
          <c:tx>
            <c:strRef>
              <c:f>Overall!$G$108</c:f>
              <c:strCache>
                <c:ptCount val="1"/>
                <c:pt idx="0">
                  <c:v>A little – Minimal trust; only in very limited situations</c:v>
                </c:pt>
              </c:strCache>
            </c:strRef>
          </c:tx>
          <c:spPr>
            <a:solidFill>
              <a:srgbClr val="5B9BD4"/>
            </a:solidFill>
            <a:ln>
              <a:noFill/>
            </a:ln>
            <a:effectLst/>
          </c:spPr>
          <c:invertIfNegative val="0"/>
          <c:cat>
            <c:strRef>
              <c:f>Overall!$C$109:$C$110</c:f>
              <c:strCache>
                <c:ptCount val="2"/>
                <c:pt idx="0">
                  <c:v>Overall, I trust NOPTA to administer the offshore petroleum and greenhouse gas framework in Australia's national interest n=58</c:v>
                </c:pt>
                <c:pt idx="1">
                  <c:v>Overall, I trust the Offshore Infrastructure Registrar to administer the offshore (electricity) infrastructure framework in Australia's national interest n=18</c:v>
                </c:pt>
              </c:strCache>
            </c:strRef>
          </c:cat>
          <c:val>
            <c:numRef>
              <c:f>Overall!$G$109:$G$110</c:f>
              <c:numCache>
                <c:formatCode>###0</c:formatCode>
                <c:ptCount val="2"/>
                <c:pt idx="0">
                  <c:v>0</c:v>
                </c:pt>
                <c:pt idx="1">
                  <c:v>0</c:v>
                </c:pt>
              </c:numCache>
            </c:numRef>
          </c:val>
          <c:extLst>
            <c:ext xmlns:c16="http://schemas.microsoft.com/office/drawing/2014/chart" uri="{C3380CC4-5D6E-409C-BE32-E72D297353CC}">
              <c16:uniqueId val="{00000004-27AD-4E81-B5AC-A91A4A7A1E8E}"/>
            </c:ext>
          </c:extLst>
        </c:ser>
        <c:ser>
          <c:idx val="4"/>
          <c:order val="4"/>
          <c:tx>
            <c:strRef>
              <c:f>Overall!$H$108</c:f>
              <c:strCache>
                <c:ptCount val="1"/>
                <c:pt idx="0">
                  <c:v>Not at all – No trust whatsoever</c:v>
                </c:pt>
              </c:strCache>
            </c:strRef>
          </c:tx>
          <c:spPr>
            <a:solidFill>
              <a:schemeClr val="tx1">
                <a:lumMod val="65000"/>
                <a:lumOff val="3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27AD-4E81-B5AC-A91A4A7A1E8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Overall!$C$109:$C$110</c:f>
              <c:strCache>
                <c:ptCount val="2"/>
                <c:pt idx="0">
                  <c:v>Overall, I trust NOPTA to administer the offshore petroleum and greenhouse gas framework in Australia's national interest n=58</c:v>
                </c:pt>
                <c:pt idx="1">
                  <c:v>Overall, I trust the Offshore Infrastructure Registrar to administer the offshore (electricity) infrastructure framework in Australia's national interest n=18</c:v>
                </c:pt>
              </c:strCache>
            </c:strRef>
          </c:cat>
          <c:val>
            <c:numRef>
              <c:f>Overall!$H$109:$H$110</c:f>
              <c:numCache>
                <c:formatCode>###0</c:formatCode>
                <c:ptCount val="2"/>
                <c:pt idx="0">
                  <c:v>0</c:v>
                </c:pt>
                <c:pt idx="1">
                  <c:v>5.5555555555555554</c:v>
                </c:pt>
              </c:numCache>
            </c:numRef>
          </c:val>
          <c:extLst>
            <c:ext xmlns:c16="http://schemas.microsoft.com/office/drawing/2014/chart" uri="{C3380CC4-5D6E-409C-BE32-E72D297353CC}">
              <c16:uniqueId val="{00000006-27AD-4E81-B5AC-A91A4A7A1E8E}"/>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0.19256143915796603"/>
          <c:y val="0.70678877096884629"/>
          <c:w val="0.61663498344540546"/>
          <c:h val="0.250819068812050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Using NEATS </a:t>
            </a:r>
            <a:r>
              <a:rPr lang="en-AU" baseline="0">
                <a:solidFill>
                  <a:sysClr val="windowText" lastClr="000000"/>
                </a:solidFill>
              </a:rPr>
              <a:t>(%)</a:t>
            </a:r>
          </a:p>
          <a:p>
            <a:pPr>
              <a:defRPr>
                <a:solidFill>
                  <a:sysClr val="windowText" lastClr="000000"/>
                </a:solidFill>
              </a:defRPr>
            </a:pPr>
            <a:r>
              <a:rPr lang="en-AU" sz="1050" i="1" baseline="0">
                <a:solidFill>
                  <a:sysClr val="windowText" lastClr="000000"/>
                </a:solidFill>
              </a:rPr>
              <a:t>n=69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manualLayout>
          <c:layoutTarget val="inner"/>
          <c:xMode val="edge"/>
          <c:yMode val="edge"/>
          <c:x val="0.31325752895245357"/>
          <c:y val="0.18423116615067084"/>
          <c:w val="0.63701514773090762"/>
          <c:h val="0.62072661969885334"/>
        </c:manualLayout>
      </c:layout>
      <c:barChart>
        <c:barDir val="bar"/>
        <c:grouping val="percentStacked"/>
        <c:varyColors val="0"/>
        <c:ser>
          <c:idx val="0"/>
          <c:order val="0"/>
          <c:tx>
            <c:strRef>
              <c:f>Overall!$D$72</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Overall!$C$73:$C$77</c:f>
              <c:strCache>
                <c:ptCount val="5"/>
                <c:pt idx="0">
                  <c:v>Clear instructions / workflow</c:v>
                </c:pt>
                <c:pt idx="1">
                  <c:v>Integrated functionality</c:v>
                </c:pt>
                <c:pt idx="2">
                  <c:v>Easy to find information</c:v>
                </c:pt>
                <c:pt idx="3">
                  <c:v>Continuous improvement</c:v>
                </c:pt>
                <c:pt idx="4">
                  <c:v>Fit for purpose</c:v>
                </c:pt>
              </c:strCache>
            </c:strRef>
          </c:cat>
          <c:val>
            <c:numRef>
              <c:f>Overall!$D$73:$D$77</c:f>
              <c:numCache>
                <c:formatCode>###0</c:formatCode>
                <c:ptCount val="5"/>
                <c:pt idx="0">
                  <c:v>17.391304347826086</c:v>
                </c:pt>
                <c:pt idx="1">
                  <c:v>14.492753623188406</c:v>
                </c:pt>
                <c:pt idx="2">
                  <c:v>17.391304347826086</c:v>
                </c:pt>
                <c:pt idx="3">
                  <c:v>13.043478260869565</c:v>
                </c:pt>
                <c:pt idx="4">
                  <c:v>21.739130434782609</c:v>
                </c:pt>
              </c:numCache>
            </c:numRef>
          </c:val>
          <c:extLst>
            <c:ext xmlns:c16="http://schemas.microsoft.com/office/drawing/2014/chart" uri="{C3380CC4-5D6E-409C-BE32-E72D297353CC}">
              <c16:uniqueId val="{00000000-8F19-4D87-B7D3-7BD0A2B13A5D}"/>
            </c:ext>
          </c:extLst>
        </c:ser>
        <c:ser>
          <c:idx val="1"/>
          <c:order val="1"/>
          <c:tx>
            <c:strRef>
              <c:f>Overall!$E$72</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Overall!$C$73:$C$77</c:f>
              <c:strCache>
                <c:ptCount val="5"/>
                <c:pt idx="0">
                  <c:v>Clear instructions / workflow</c:v>
                </c:pt>
                <c:pt idx="1">
                  <c:v>Integrated functionality</c:v>
                </c:pt>
                <c:pt idx="2">
                  <c:v>Easy to find information</c:v>
                </c:pt>
                <c:pt idx="3">
                  <c:v>Continuous improvement</c:v>
                </c:pt>
                <c:pt idx="4">
                  <c:v>Fit for purpose</c:v>
                </c:pt>
              </c:strCache>
            </c:strRef>
          </c:cat>
          <c:val>
            <c:numRef>
              <c:f>Overall!$E$73:$E$77</c:f>
              <c:numCache>
                <c:formatCode>###0</c:formatCode>
                <c:ptCount val="5"/>
                <c:pt idx="0">
                  <c:v>56.521739130434781</c:v>
                </c:pt>
                <c:pt idx="1">
                  <c:v>60.869565217391305</c:v>
                </c:pt>
                <c:pt idx="2">
                  <c:v>47.826086956521742</c:v>
                </c:pt>
                <c:pt idx="3">
                  <c:v>47.826086956521742</c:v>
                </c:pt>
                <c:pt idx="4">
                  <c:v>55.072463768115945</c:v>
                </c:pt>
              </c:numCache>
            </c:numRef>
          </c:val>
          <c:extLst>
            <c:ext xmlns:c16="http://schemas.microsoft.com/office/drawing/2014/chart" uri="{C3380CC4-5D6E-409C-BE32-E72D297353CC}">
              <c16:uniqueId val="{00000001-8F19-4D87-B7D3-7BD0A2B13A5D}"/>
            </c:ext>
          </c:extLst>
        </c:ser>
        <c:ser>
          <c:idx val="2"/>
          <c:order val="2"/>
          <c:tx>
            <c:strRef>
              <c:f>Overall!$F$72</c:f>
              <c:strCache>
                <c:ptCount val="1"/>
                <c:pt idx="0">
                  <c:v>Sometimes poor / sometimes good</c:v>
                </c:pt>
              </c:strCache>
            </c:strRef>
          </c:tx>
          <c:spPr>
            <a:solidFill>
              <a:srgbClr val="FA991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Overall!$C$73:$C$77</c:f>
              <c:strCache>
                <c:ptCount val="5"/>
                <c:pt idx="0">
                  <c:v>Clear instructions / workflow</c:v>
                </c:pt>
                <c:pt idx="1">
                  <c:v>Integrated functionality</c:v>
                </c:pt>
                <c:pt idx="2">
                  <c:v>Easy to find information</c:v>
                </c:pt>
                <c:pt idx="3">
                  <c:v>Continuous improvement</c:v>
                </c:pt>
                <c:pt idx="4">
                  <c:v>Fit for purpose</c:v>
                </c:pt>
              </c:strCache>
            </c:strRef>
          </c:cat>
          <c:val>
            <c:numRef>
              <c:f>Overall!$F$73:$F$77</c:f>
              <c:numCache>
                <c:formatCode>###0</c:formatCode>
                <c:ptCount val="5"/>
                <c:pt idx="0">
                  <c:v>14.492753623188406</c:v>
                </c:pt>
                <c:pt idx="1">
                  <c:v>18.840579710144926</c:v>
                </c:pt>
                <c:pt idx="2">
                  <c:v>28.985507246376812</c:v>
                </c:pt>
                <c:pt idx="3">
                  <c:v>28.985507246376812</c:v>
                </c:pt>
                <c:pt idx="4">
                  <c:v>13.043478260869565</c:v>
                </c:pt>
              </c:numCache>
            </c:numRef>
          </c:val>
          <c:extLst>
            <c:ext xmlns:c16="http://schemas.microsoft.com/office/drawing/2014/chart" uri="{C3380CC4-5D6E-409C-BE32-E72D297353CC}">
              <c16:uniqueId val="{00000002-8F19-4D87-B7D3-7BD0A2B13A5D}"/>
            </c:ext>
          </c:extLst>
        </c:ser>
        <c:ser>
          <c:idx val="3"/>
          <c:order val="3"/>
          <c:tx>
            <c:strRef>
              <c:f>Overall!$G$72</c:f>
              <c:strCache>
                <c:ptCount val="1"/>
                <c:pt idx="0">
                  <c:v>Poor</c:v>
                </c:pt>
              </c:strCache>
            </c:strRef>
          </c:tx>
          <c:spPr>
            <a:solidFill>
              <a:srgbClr val="5B9B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Overall!$C$73:$C$77</c:f>
              <c:strCache>
                <c:ptCount val="5"/>
                <c:pt idx="0">
                  <c:v>Clear instructions / workflow</c:v>
                </c:pt>
                <c:pt idx="1">
                  <c:v>Integrated functionality</c:v>
                </c:pt>
                <c:pt idx="2">
                  <c:v>Easy to find information</c:v>
                </c:pt>
                <c:pt idx="3">
                  <c:v>Continuous improvement</c:v>
                </c:pt>
                <c:pt idx="4">
                  <c:v>Fit for purpose</c:v>
                </c:pt>
              </c:strCache>
            </c:strRef>
          </c:cat>
          <c:val>
            <c:numRef>
              <c:f>Overall!$G$73:$G$77</c:f>
              <c:numCache>
                <c:formatCode>###0</c:formatCode>
                <c:ptCount val="5"/>
                <c:pt idx="0">
                  <c:v>10.144927536231885</c:v>
                </c:pt>
                <c:pt idx="1">
                  <c:v>4.3478260869565215</c:v>
                </c:pt>
                <c:pt idx="2">
                  <c:v>2.8985507246376812</c:v>
                </c:pt>
                <c:pt idx="3">
                  <c:v>5.7971014492753623</c:v>
                </c:pt>
                <c:pt idx="4">
                  <c:v>7.2463768115942031</c:v>
                </c:pt>
              </c:numCache>
            </c:numRef>
          </c:val>
          <c:extLst>
            <c:ext xmlns:c16="http://schemas.microsoft.com/office/drawing/2014/chart" uri="{C3380CC4-5D6E-409C-BE32-E72D297353CC}">
              <c16:uniqueId val="{00000003-8F19-4D87-B7D3-7BD0A2B13A5D}"/>
            </c:ext>
          </c:extLst>
        </c:ser>
        <c:ser>
          <c:idx val="4"/>
          <c:order val="4"/>
          <c:tx>
            <c:strRef>
              <c:f>Overall!$H$72</c:f>
              <c:strCache>
                <c:ptCount val="1"/>
                <c:pt idx="0">
                  <c:v>Very poor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Overall!$C$73:$C$77</c:f>
              <c:strCache>
                <c:ptCount val="5"/>
                <c:pt idx="0">
                  <c:v>Clear instructions / workflow</c:v>
                </c:pt>
                <c:pt idx="1">
                  <c:v>Integrated functionality</c:v>
                </c:pt>
                <c:pt idx="2">
                  <c:v>Easy to find information</c:v>
                </c:pt>
                <c:pt idx="3">
                  <c:v>Continuous improvement</c:v>
                </c:pt>
                <c:pt idx="4">
                  <c:v>Fit for purpose</c:v>
                </c:pt>
              </c:strCache>
            </c:strRef>
          </c:cat>
          <c:val>
            <c:numRef>
              <c:f>Overall!$H$73:$H$77</c:f>
              <c:numCache>
                <c:formatCode>###0</c:formatCode>
                <c:ptCount val="5"/>
                <c:pt idx="0">
                  <c:v>1.4492753623188406</c:v>
                </c:pt>
                <c:pt idx="1">
                  <c:v>1.4492753623188406</c:v>
                </c:pt>
                <c:pt idx="2">
                  <c:v>2.8985507246376812</c:v>
                </c:pt>
                <c:pt idx="3">
                  <c:v>4.3478260869565215</c:v>
                </c:pt>
                <c:pt idx="4">
                  <c:v>2.8985507246376812</c:v>
                </c:pt>
              </c:numCache>
            </c:numRef>
          </c:val>
          <c:extLst>
            <c:ext xmlns:c16="http://schemas.microsoft.com/office/drawing/2014/chart" uri="{C3380CC4-5D6E-409C-BE32-E72D297353CC}">
              <c16:uniqueId val="{00000004-8F19-4D87-B7D3-7BD0A2B13A5D}"/>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3.9763910980242664E-2"/>
          <c:y val="0.91834653795210586"/>
          <c:w val="0.93161393223175981"/>
          <c:h val="7.779397544347205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Using NOPIMS </a:t>
            </a:r>
            <a:r>
              <a:rPr lang="en-AU" baseline="0">
                <a:solidFill>
                  <a:sysClr val="windowText" lastClr="000000"/>
                </a:solidFill>
              </a:rPr>
              <a:t>(%)</a:t>
            </a:r>
          </a:p>
          <a:p>
            <a:pPr>
              <a:defRPr>
                <a:solidFill>
                  <a:sysClr val="windowText" lastClr="000000"/>
                </a:solidFill>
              </a:defRPr>
            </a:pPr>
            <a:r>
              <a:rPr lang="en-AU" sz="1050" i="1" baseline="0">
                <a:solidFill>
                  <a:sysClr val="windowText" lastClr="000000"/>
                </a:solidFill>
              </a:rPr>
              <a:t>n=42</a:t>
            </a:r>
            <a:endParaRPr lang="en-AU" sz="1050" i="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manualLayout>
          <c:layoutTarget val="inner"/>
          <c:xMode val="edge"/>
          <c:yMode val="edge"/>
          <c:x val="0.30906896205362017"/>
          <c:y val="0.1877181913774974"/>
          <c:w val="0.64136919657089453"/>
          <c:h val="0.61354794373100829"/>
        </c:manualLayout>
      </c:layout>
      <c:barChart>
        <c:barDir val="bar"/>
        <c:grouping val="percentStacked"/>
        <c:varyColors val="0"/>
        <c:ser>
          <c:idx val="0"/>
          <c:order val="0"/>
          <c:tx>
            <c:strRef>
              <c:f>Overall!$D$80</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Overall!$C$81:$C$85</c:f>
              <c:strCache>
                <c:ptCount val="5"/>
                <c:pt idx="0">
                  <c:v>Clear instructions</c:v>
                </c:pt>
                <c:pt idx="1">
                  <c:v>Integrated functionality</c:v>
                </c:pt>
                <c:pt idx="2">
                  <c:v>Easy to find information</c:v>
                </c:pt>
                <c:pt idx="3">
                  <c:v>Continuous improvement</c:v>
                </c:pt>
                <c:pt idx="4">
                  <c:v>Fit for purpose</c:v>
                </c:pt>
              </c:strCache>
            </c:strRef>
          </c:cat>
          <c:val>
            <c:numRef>
              <c:f>Overall!$D$81:$D$85</c:f>
              <c:numCache>
                <c:formatCode>###0</c:formatCode>
                <c:ptCount val="5"/>
                <c:pt idx="0">
                  <c:v>4.7619047619047619</c:v>
                </c:pt>
                <c:pt idx="1">
                  <c:v>9.5238095238095237</c:v>
                </c:pt>
                <c:pt idx="2">
                  <c:v>4.7619047619047619</c:v>
                </c:pt>
                <c:pt idx="3">
                  <c:v>7.1428571428571432</c:v>
                </c:pt>
                <c:pt idx="4">
                  <c:v>7.1428571428571432</c:v>
                </c:pt>
              </c:numCache>
            </c:numRef>
          </c:val>
          <c:extLst>
            <c:ext xmlns:c16="http://schemas.microsoft.com/office/drawing/2014/chart" uri="{C3380CC4-5D6E-409C-BE32-E72D297353CC}">
              <c16:uniqueId val="{00000000-18D6-4DFF-ABAF-35BB1AC24C39}"/>
            </c:ext>
          </c:extLst>
        </c:ser>
        <c:ser>
          <c:idx val="1"/>
          <c:order val="1"/>
          <c:tx>
            <c:strRef>
              <c:f>Overall!$E$80</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Overall!$C$81:$C$85</c:f>
              <c:strCache>
                <c:ptCount val="5"/>
                <c:pt idx="0">
                  <c:v>Clear instructions</c:v>
                </c:pt>
                <c:pt idx="1">
                  <c:v>Integrated functionality</c:v>
                </c:pt>
                <c:pt idx="2">
                  <c:v>Easy to find information</c:v>
                </c:pt>
                <c:pt idx="3">
                  <c:v>Continuous improvement</c:v>
                </c:pt>
                <c:pt idx="4">
                  <c:v>Fit for purpose</c:v>
                </c:pt>
              </c:strCache>
            </c:strRef>
          </c:cat>
          <c:val>
            <c:numRef>
              <c:f>Overall!$E$81:$E$85</c:f>
              <c:numCache>
                <c:formatCode>###0</c:formatCode>
                <c:ptCount val="5"/>
                <c:pt idx="0">
                  <c:v>57.142857142857146</c:v>
                </c:pt>
                <c:pt idx="1">
                  <c:v>59.523809523809526</c:v>
                </c:pt>
                <c:pt idx="2">
                  <c:v>42.857142857142854</c:v>
                </c:pt>
                <c:pt idx="3">
                  <c:v>38.095238095238095</c:v>
                </c:pt>
                <c:pt idx="4">
                  <c:v>69.047619047619051</c:v>
                </c:pt>
              </c:numCache>
            </c:numRef>
          </c:val>
          <c:extLst>
            <c:ext xmlns:c16="http://schemas.microsoft.com/office/drawing/2014/chart" uri="{C3380CC4-5D6E-409C-BE32-E72D297353CC}">
              <c16:uniqueId val="{00000001-18D6-4DFF-ABAF-35BB1AC24C39}"/>
            </c:ext>
          </c:extLst>
        </c:ser>
        <c:ser>
          <c:idx val="2"/>
          <c:order val="2"/>
          <c:tx>
            <c:strRef>
              <c:f>Overall!$F$80</c:f>
              <c:strCache>
                <c:ptCount val="1"/>
                <c:pt idx="0">
                  <c:v>Sometimes poor / sometimes good</c:v>
                </c:pt>
              </c:strCache>
            </c:strRef>
          </c:tx>
          <c:spPr>
            <a:solidFill>
              <a:srgbClr val="FA991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Overall!$C$81:$C$85</c:f>
              <c:strCache>
                <c:ptCount val="5"/>
                <c:pt idx="0">
                  <c:v>Clear instructions</c:v>
                </c:pt>
                <c:pt idx="1">
                  <c:v>Integrated functionality</c:v>
                </c:pt>
                <c:pt idx="2">
                  <c:v>Easy to find information</c:v>
                </c:pt>
                <c:pt idx="3">
                  <c:v>Continuous improvement</c:v>
                </c:pt>
                <c:pt idx="4">
                  <c:v>Fit for purpose</c:v>
                </c:pt>
              </c:strCache>
            </c:strRef>
          </c:cat>
          <c:val>
            <c:numRef>
              <c:f>Overall!$F$81:$F$85</c:f>
              <c:numCache>
                <c:formatCode>###0</c:formatCode>
                <c:ptCount val="5"/>
                <c:pt idx="0">
                  <c:v>30.952380952380953</c:v>
                </c:pt>
                <c:pt idx="1">
                  <c:v>26.19047619047619</c:v>
                </c:pt>
                <c:pt idx="2">
                  <c:v>47.61904761904762</c:v>
                </c:pt>
                <c:pt idx="3">
                  <c:v>47.61904761904762</c:v>
                </c:pt>
                <c:pt idx="4">
                  <c:v>16.666666666666668</c:v>
                </c:pt>
              </c:numCache>
            </c:numRef>
          </c:val>
          <c:extLst>
            <c:ext xmlns:c16="http://schemas.microsoft.com/office/drawing/2014/chart" uri="{C3380CC4-5D6E-409C-BE32-E72D297353CC}">
              <c16:uniqueId val="{00000002-18D6-4DFF-ABAF-35BB1AC24C39}"/>
            </c:ext>
          </c:extLst>
        </c:ser>
        <c:ser>
          <c:idx val="3"/>
          <c:order val="3"/>
          <c:tx>
            <c:strRef>
              <c:f>Overall!$G$80</c:f>
              <c:strCache>
                <c:ptCount val="1"/>
                <c:pt idx="0">
                  <c:v>Poor</c:v>
                </c:pt>
              </c:strCache>
            </c:strRef>
          </c:tx>
          <c:spPr>
            <a:solidFill>
              <a:srgbClr val="5B9BD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Overall!$C$81:$C$85</c:f>
              <c:strCache>
                <c:ptCount val="5"/>
                <c:pt idx="0">
                  <c:v>Clear instructions</c:v>
                </c:pt>
                <c:pt idx="1">
                  <c:v>Integrated functionality</c:v>
                </c:pt>
                <c:pt idx="2">
                  <c:v>Easy to find information</c:v>
                </c:pt>
                <c:pt idx="3">
                  <c:v>Continuous improvement</c:v>
                </c:pt>
                <c:pt idx="4">
                  <c:v>Fit for purpose</c:v>
                </c:pt>
              </c:strCache>
            </c:strRef>
          </c:cat>
          <c:val>
            <c:numRef>
              <c:f>Overall!$G$81:$G$85</c:f>
              <c:numCache>
                <c:formatCode>###0</c:formatCode>
                <c:ptCount val="5"/>
                <c:pt idx="0">
                  <c:v>4.7619047619047619</c:v>
                </c:pt>
                <c:pt idx="1">
                  <c:v>2.3809523809523809</c:v>
                </c:pt>
                <c:pt idx="2">
                  <c:v>2.3809523809523809</c:v>
                </c:pt>
                <c:pt idx="3">
                  <c:v>4.7619047619047619</c:v>
                </c:pt>
                <c:pt idx="4">
                  <c:v>4.7619047619047619</c:v>
                </c:pt>
              </c:numCache>
            </c:numRef>
          </c:val>
          <c:extLst>
            <c:ext xmlns:c16="http://schemas.microsoft.com/office/drawing/2014/chart" uri="{C3380CC4-5D6E-409C-BE32-E72D297353CC}">
              <c16:uniqueId val="{00000003-18D6-4DFF-ABAF-35BB1AC24C39}"/>
            </c:ext>
          </c:extLst>
        </c:ser>
        <c:ser>
          <c:idx val="4"/>
          <c:order val="4"/>
          <c:tx>
            <c:strRef>
              <c:f>Overall!$H$80</c:f>
              <c:strCache>
                <c:ptCount val="1"/>
                <c:pt idx="0">
                  <c:v>Very poor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Overall!$C$81:$C$85</c:f>
              <c:strCache>
                <c:ptCount val="5"/>
                <c:pt idx="0">
                  <c:v>Clear instructions</c:v>
                </c:pt>
                <c:pt idx="1">
                  <c:v>Integrated functionality</c:v>
                </c:pt>
                <c:pt idx="2">
                  <c:v>Easy to find information</c:v>
                </c:pt>
                <c:pt idx="3">
                  <c:v>Continuous improvement</c:v>
                </c:pt>
                <c:pt idx="4">
                  <c:v>Fit for purpose</c:v>
                </c:pt>
              </c:strCache>
            </c:strRef>
          </c:cat>
          <c:val>
            <c:numRef>
              <c:f>Overall!$H$81:$H$85</c:f>
              <c:numCache>
                <c:formatCode>###0</c:formatCode>
                <c:ptCount val="5"/>
                <c:pt idx="0">
                  <c:v>2.3809523809523809</c:v>
                </c:pt>
                <c:pt idx="1">
                  <c:v>2.3809523809523809</c:v>
                </c:pt>
                <c:pt idx="2">
                  <c:v>2.3809523809523809</c:v>
                </c:pt>
                <c:pt idx="3">
                  <c:v>2.3809523809523809</c:v>
                </c:pt>
                <c:pt idx="4">
                  <c:v>2.3809523809523809</c:v>
                </c:pt>
              </c:numCache>
            </c:numRef>
          </c:val>
          <c:extLst>
            <c:ext xmlns:c16="http://schemas.microsoft.com/office/drawing/2014/chart" uri="{C3380CC4-5D6E-409C-BE32-E72D297353CC}">
              <c16:uniqueId val="{00000004-18D6-4DFF-ABAF-35BB1AC24C39}"/>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7.5543211008773647E-2"/>
          <c:y val="0.93540195200150877"/>
          <c:w val="0.86005668592590656"/>
          <c:h val="6.445848460559196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r>
              <a:rPr lang="en-AU">
                <a:solidFill>
                  <a:sysClr val="windowText" lastClr="000000"/>
                </a:solidFill>
              </a:rPr>
              <a:t>Using NOPTA's website </a:t>
            </a:r>
            <a:r>
              <a:rPr lang="en-AU" baseline="0">
                <a:solidFill>
                  <a:sysClr val="windowText" lastClr="000000"/>
                </a:solidFill>
              </a:rPr>
              <a:t>(%)</a:t>
            </a:r>
          </a:p>
          <a:p>
            <a:pPr>
              <a:defRPr>
                <a:solidFill>
                  <a:sysClr val="windowText" lastClr="000000"/>
                </a:solidFill>
              </a:defRPr>
            </a:pPr>
            <a:r>
              <a:rPr lang="en-AU" sz="1050" i="1" baseline="0">
                <a:solidFill>
                  <a:sysClr val="windowText" lastClr="000000"/>
                </a:solidFill>
              </a:rPr>
              <a:t>n=69</a:t>
            </a:r>
            <a:endParaRPr lang="en-AU" sz="1050" i="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ova" panose="020B0504020202020204" pitchFamily="34" charset="0"/>
              <a:ea typeface="+mn-ea"/>
              <a:cs typeface="+mn-cs"/>
            </a:defRPr>
          </a:pPr>
          <a:endParaRPr lang="en-AU"/>
        </a:p>
      </c:txPr>
    </c:title>
    <c:autoTitleDeleted val="0"/>
    <c:plotArea>
      <c:layout>
        <c:manualLayout>
          <c:layoutTarget val="inner"/>
          <c:xMode val="edge"/>
          <c:yMode val="edge"/>
          <c:x val="0.25805706215410268"/>
          <c:y val="0.20925659472422062"/>
          <c:w val="0.69366633060656724"/>
          <c:h val="0.56412960969806836"/>
        </c:manualLayout>
      </c:layout>
      <c:barChart>
        <c:barDir val="bar"/>
        <c:grouping val="percentStacked"/>
        <c:varyColors val="0"/>
        <c:ser>
          <c:idx val="0"/>
          <c:order val="0"/>
          <c:tx>
            <c:strRef>
              <c:f>Overall!$D$89</c:f>
              <c:strCache>
                <c:ptCount val="1"/>
                <c:pt idx="0">
                  <c:v>Very good</c:v>
                </c:pt>
              </c:strCache>
            </c:strRef>
          </c:tx>
          <c:spPr>
            <a:solidFill>
              <a:srgbClr val="6FAC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Overall!$C$90:$C$93</c:f>
              <c:strCache>
                <c:ptCount val="4"/>
                <c:pt idx="0">
                  <c:v>Clear</c:v>
                </c:pt>
                <c:pt idx="1">
                  <c:v>Relevant</c:v>
                </c:pt>
                <c:pt idx="2">
                  <c:v>Easy to find information</c:v>
                </c:pt>
                <c:pt idx="3">
                  <c:v>Concise</c:v>
                </c:pt>
              </c:strCache>
            </c:strRef>
          </c:cat>
          <c:val>
            <c:numRef>
              <c:f>Overall!$D$90:$D$93</c:f>
              <c:numCache>
                <c:formatCode>###0</c:formatCode>
                <c:ptCount val="4"/>
                <c:pt idx="0">
                  <c:v>15.942028985507246</c:v>
                </c:pt>
                <c:pt idx="1">
                  <c:v>28.985507246376812</c:v>
                </c:pt>
                <c:pt idx="2">
                  <c:v>17.391304347826086</c:v>
                </c:pt>
                <c:pt idx="3">
                  <c:v>21.739130434782609</c:v>
                </c:pt>
              </c:numCache>
            </c:numRef>
          </c:val>
          <c:extLst>
            <c:ext xmlns:c16="http://schemas.microsoft.com/office/drawing/2014/chart" uri="{C3380CC4-5D6E-409C-BE32-E72D297353CC}">
              <c16:uniqueId val="{00000000-91E8-470C-AADA-66D91E505B9C}"/>
            </c:ext>
          </c:extLst>
        </c:ser>
        <c:ser>
          <c:idx val="1"/>
          <c:order val="1"/>
          <c:tx>
            <c:strRef>
              <c:f>Overall!$E$89</c:f>
              <c:strCache>
                <c:ptCount val="1"/>
                <c:pt idx="0">
                  <c:v>Good</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Overall!$C$90:$C$93</c:f>
              <c:strCache>
                <c:ptCount val="4"/>
                <c:pt idx="0">
                  <c:v>Clear</c:v>
                </c:pt>
                <c:pt idx="1">
                  <c:v>Relevant</c:v>
                </c:pt>
                <c:pt idx="2">
                  <c:v>Easy to find information</c:v>
                </c:pt>
                <c:pt idx="3">
                  <c:v>Concise</c:v>
                </c:pt>
              </c:strCache>
            </c:strRef>
          </c:cat>
          <c:val>
            <c:numRef>
              <c:f>Overall!$E$90:$E$93</c:f>
              <c:numCache>
                <c:formatCode>###0</c:formatCode>
                <c:ptCount val="4"/>
                <c:pt idx="0">
                  <c:v>69.565217391304344</c:v>
                </c:pt>
                <c:pt idx="1">
                  <c:v>66.666666666666671</c:v>
                </c:pt>
                <c:pt idx="2">
                  <c:v>53.623188405797102</c:v>
                </c:pt>
                <c:pt idx="3">
                  <c:v>60.869565217391305</c:v>
                </c:pt>
              </c:numCache>
            </c:numRef>
          </c:val>
          <c:extLst>
            <c:ext xmlns:c16="http://schemas.microsoft.com/office/drawing/2014/chart" uri="{C3380CC4-5D6E-409C-BE32-E72D297353CC}">
              <c16:uniqueId val="{00000001-91E8-470C-AADA-66D91E505B9C}"/>
            </c:ext>
          </c:extLst>
        </c:ser>
        <c:ser>
          <c:idx val="2"/>
          <c:order val="2"/>
          <c:tx>
            <c:strRef>
              <c:f>Overall!$F$89</c:f>
              <c:strCache>
                <c:ptCount val="1"/>
                <c:pt idx="0">
                  <c:v>Sometimes poor / sometimes good</c:v>
                </c:pt>
              </c:strCache>
            </c:strRef>
          </c:tx>
          <c:spPr>
            <a:solidFill>
              <a:srgbClr val="FA991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Overall!$C$90:$C$93</c:f>
              <c:strCache>
                <c:ptCount val="4"/>
                <c:pt idx="0">
                  <c:v>Clear</c:v>
                </c:pt>
                <c:pt idx="1">
                  <c:v>Relevant</c:v>
                </c:pt>
                <c:pt idx="2">
                  <c:v>Easy to find information</c:v>
                </c:pt>
                <c:pt idx="3">
                  <c:v>Concise</c:v>
                </c:pt>
              </c:strCache>
            </c:strRef>
          </c:cat>
          <c:val>
            <c:numRef>
              <c:f>Overall!$F$90:$F$93</c:f>
              <c:numCache>
                <c:formatCode>###0</c:formatCode>
                <c:ptCount val="4"/>
                <c:pt idx="0">
                  <c:v>14.492753623188406</c:v>
                </c:pt>
                <c:pt idx="1">
                  <c:v>4.3478260869565215</c:v>
                </c:pt>
                <c:pt idx="2">
                  <c:v>26.086956521739129</c:v>
                </c:pt>
                <c:pt idx="3">
                  <c:v>17.391304347826086</c:v>
                </c:pt>
              </c:numCache>
            </c:numRef>
          </c:val>
          <c:extLst>
            <c:ext xmlns:c16="http://schemas.microsoft.com/office/drawing/2014/chart" uri="{C3380CC4-5D6E-409C-BE32-E72D297353CC}">
              <c16:uniqueId val="{00000002-91E8-470C-AADA-66D91E505B9C}"/>
            </c:ext>
          </c:extLst>
        </c:ser>
        <c:ser>
          <c:idx val="3"/>
          <c:order val="3"/>
          <c:tx>
            <c:strRef>
              <c:f>Overall!$G$89</c:f>
              <c:strCache>
                <c:ptCount val="1"/>
                <c:pt idx="0">
                  <c:v>Poor</c:v>
                </c:pt>
              </c:strCache>
            </c:strRef>
          </c:tx>
          <c:spPr>
            <a:solidFill>
              <a:srgbClr val="5B9BD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AE-42B0-BD28-A0BEEBAAF53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Overall!$C$90:$C$93</c:f>
              <c:strCache>
                <c:ptCount val="4"/>
                <c:pt idx="0">
                  <c:v>Clear</c:v>
                </c:pt>
                <c:pt idx="1">
                  <c:v>Relevant</c:v>
                </c:pt>
                <c:pt idx="2">
                  <c:v>Easy to find information</c:v>
                </c:pt>
                <c:pt idx="3">
                  <c:v>Concise</c:v>
                </c:pt>
              </c:strCache>
            </c:strRef>
          </c:cat>
          <c:val>
            <c:numRef>
              <c:f>Overall!$G$90:$G$93</c:f>
              <c:numCache>
                <c:formatCode>###0</c:formatCode>
                <c:ptCount val="4"/>
                <c:pt idx="0">
                  <c:v>0</c:v>
                </c:pt>
                <c:pt idx="1">
                  <c:v>0</c:v>
                </c:pt>
                <c:pt idx="2">
                  <c:v>2.8985507246376812</c:v>
                </c:pt>
                <c:pt idx="3">
                  <c:v>0</c:v>
                </c:pt>
              </c:numCache>
            </c:numRef>
          </c:val>
          <c:extLst>
            <c:ext xmlns:c16="http://schemas.microsoft.com/office/drawing/2014/chart" uri="{C3380CC4-5D6E-409C-BE32-E72D297353CC}">
              <c16:uniqueId val="{00000003-91E8-470C-AADA-66D91E505B9C}"/>
            </c:ext>
          </c:extLst>
        </c:ser>
        <c:ser>
          <c:idx val="4"/>
          <c:order val="4"/>
          <c:tx>
            <c:strRef>
              <c:f>Overall!$H$89</c:f>
              <c:strCache>
                <c:ptCount val="1"/>
                <c:pt idx="0">
                  <c:v>Very poor</c:v>
                </c:pt>
              </c:strCache>
            </c:strRef>
          </c:tx>
          <c:spPr>
            <a:solidFill>
              <a:schemeClr val="tx1">
                <a:lumMod val="65000"/>
                <a:lumOff val="35000"/>
              </a:schemeClr>
            </a:solidFill>
            <a:ln>
              <a:noFill/>
            </a:ln>
            <a:effectLst/>
          </c:spPr>
          <c:invertIfNegative val="0"/>
          <c:cat>
            <c:strRef>
              <c:f>Overall!$C$90:$C$93</c:f>
              <c:strCache>
                <c:ptCount val="4"/>
                <c:pt idx="0">
                  <c:v>Clear</c:v>
                </c:pt>
                <c:pt idx="1">
                  <c:v>Relevant</c:v>
                </c:pt>
                <c:pt idx="2">
                  <c:v>Easy to find information</c:v>
                </c:pt>
                <c:pt idx="3">
                  <c:v>Concise</c:v>
                </c:pt>
              </c:strCache>
            </c:strRef>
          </c:cat>
          <c:val>
            <c:numRef>
              <c:f>Overall!$H$90:$H$93</c:f>
              <c:numCache>
                <c:formatCode>###0</c:formatCode>
                <c:ptCount val="4"/>
                <c:pt idx="0">
                  <c:v>0</c:v>
                </c:pt>
                <c:pt idx="1">
                  <c:v>0</c:v>
                </c:pt>
                <c:pt idx="2">
                  <c:v>0</c:v>
                </c:pt>
                <c:pt idx="3">
                  <c:v>0</c:v>
                </c:pt>
              </c:numCache>
            </c:numRef>
          </c:val>
          <c:extLst>
            <c:ext xmlns:c16="http://schemas.microsoft.com/office/drawing/2014/chart" uri="{C3380CC4-5D6E-409C-BE32-E72D297353CC}">
              <c16:uniqueId val="{00000004-91E8-470C-AADA-66D91E505B9C}"/>
            </c:ext>
          </c:extLst>
        </c:ser>
        <c:dLbls>
          <c:showLegendKey val="0"/>
          <c:showVal val="0"/>
          <c:showCatName val="0"/>
          <c:showSerName val="0"/>
          <c:showPercent val="0"/>
          <c:showBubbleSize val="0"/>
        </c:dLbls>
        <c:gapWidth val="90"/>
        <c:overlap val="100"/>
        <c:axId val="853722911"/>
        <c:axId val="853723871"/>
      </c:barChart>
      <c:catAx>
        <c:axId val="85372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crossAx val="853723871"/>
        <c:crossesAt val="0"/>
        <c:auto val="1"/>
        <c:lblAlgn val="ctr"/>
        <c:lblOffset val="100"/>
        <c:noMultiLvlLbl val="0"/>
      </c:catAx>
      <c:valAx>
        <c:axId val="85372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ova" panose="020B0504020202020204" pitchFamily="34" charset="0"/>
                <a:ea typeface="+mn-ea"/>
                <a:cs typeface="+mn-cs"/>
              </a:defRPr>
            </a:pPr>
            <a:endParaRPr lang="en-US"/>
          </a:p>
        </c:txPr>
        <c:crossAx val="853722911"/>
        <c:crosses val="max"/>
        <c:crossBetween val="between"/>
        <c:majorUnit val="0.2"/>
      </c:valAx>
      <c:spPr>
        <a:noFill/>
        <a:ln>
          <a:noFill/>
        </a:ln>
        <a:effectLst/>
      </c:spPr>
    </c:plotArea>
    <c:legend>
      <c:legendPos val="b"/>
      <c:layout>
        <c:manualLayout>
          <c:xMode val="edge"/>
          <c:yMode val="edge"/>
          <c:x val="8.3604207868783295E-2"/>
          <c:y val="0.91907473503528325"/>
          <c:w val="0.83226098139456173"/>
          <c:h val="7.803685438974107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6403a9b-65ea-4625-b445-e8cdeaaafbb3">NOPTANET-1352818822-4361</_dlc_DocId>
    <TaxKeywordTaxHTField xmlns="16403a9b-65ea-4625-b445-e8cdeaaafbb3">
      <Terms xmlns="http://schemas.microsoft.com/office/infopath/2007/PartnerControls"/>
    </TaxKeywordTaxHTField>
    <Of_x0020_National_x0020_Significance xmlns="16403a9b-65ea-4625-b445-e8cdeaaafbb3">No</Of_x0020_National_x0020_Significance>
    <Security_x0020_Classification xmlns="16403a9b-65ea-4625-b445-e8cdeaaafbb3">OFFICIAL</Security_x0020_Classification>
    <_dlc_DocIdUrl xmlns="16403a9b-65ea-4625-b445-e8cdeaaafbb3">
      <Url>https://nopta.sharepoint.com/teams/ComplianceAssurancePerformance/_layouts/15/DocIdRedir.aspx?ID=NOPTANET-1352818822-4361</Url>
      <Description>NOPTANET-1352818822-4361</Description>
    </_dlc_DocIdUrl>
    <lcf76f155ced4ddcb4097134ff3c332f xmlns="d2a48fc8-bb8e-4915-9d47-15fef584cc6c">
      <Terms xmlns="http://schemas.microsoft.com/office/infopath/2007/PartnerControls"/>
    </lcf76f155ced4ddcb4097134ff3c332f>
    <TaxCatchAll xmlns="16403a9b-65ea-4625-b445-e8cdeaaafb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6DA90692A89B4ABA7F789C3761BE80" ma:contentTypeVersion="19" ma:contentTypeDescription="Create a new document." ma:contentTypeScope="" ma:versionID="fdef99e4e5e3af94aab96d4dd43ecaf5">
  <xsd:schema xmlns:xsd="http://www.w3.org/2001/XMLSchema" xmlns:xs="http://www.w3.org/2001/XMLSchema" xmlns:p="http://schemas.microsoft.com/office/2006/metadata/properties" xmlns:ns2="16403a9b-65ea-4625-b445-e8cdeaaafbb3" xmlns:ns3="d2a48fc8-bb8e-4915-9d47-15fef584cc6c" targetNamespace="http://schemas.microsoft.com/office/2006/metadata/properties" ma:root="true" ma:fieldsID="53a8b0abb8e1a02883903bddbc4a812a" ns2:_="" ns3:_="">
    <xsd:import namespace="16403a9b-65ea-4625-b445-e8cdeaaafbb3"/>
    <xsd:import namespace="d2a48fc8-bb8e-4915-9d47-15fef584cc6c"/>
    <xsd:element name="properties">
      <xsd:complexType>
        <xsd:sequence>
          <xsd:element name="documentManagement">
            <xsd:complexType>
              <xsd:all>
                <xsd:element ref="ns2:_dlc_DocId" minOccurs="0"/>
                <xsd:element ref="ns2:_dlc_DocIdUrl" minOccurs="0"/>
                <xsd:element ref="ns2:_dlc_DocIdPersistId" minOccurs="0"/>
                <xsd:element ref="ns2:Of_x0020_National_x0020_Significance" minOccurs="0"/>
                <xsd:element ref="ns2:Security_x0020_Classification" minOccurs="0"/>
                <xsd:element ref="ns3:MediaServiceMetadata" minOccurs="0"/>
                <xsd:element ref="ns3:MediaServiceFastMetadata" minOccurs="0"/>
                <xsd:element ref="ns2:TaxKeywordTaxHTField" minOccurs="0"/>
                <xsd:element ref="ns2:TaxCatchAll"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ServiceLocation" minOccurs="0"/>
                <xsd:element ref="ns2:SharedWithUsers" minOccurs="0"/>
                <xsd:element ref="ns2:SharedWithDetail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03a9b-65ea-4625-b445-e8cdeaaafbb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f_x0020_National_x0020_Significance" ma:index="11" nillable="true" ma:displayName="Of National Significance" ma:default="No" ma:format="Dropdown" ma:internalName="Of_x0020_National_x0020_Significance">
      <xsd:simpleType>
        <xsd:restriction base="dms:Choice">
          <xsd:enumeration value="Yes"/>
          <xsd:enumeration value="No"/>
        </xsd:restriction>
      </xsd:simpleType>
    </xsd:element>
    <xsd:element name="Security_x0020_Classification" ma:index="12" nillable="true" ma:displayName="Security Classification" ma:default="OFFICIAL: Sensitive" ma:format="Dropdown" ma:internalName="Security_x0020_Classification">
      <xsd:simpleType>
        <xsd:restriction base="dms:Choice">
          <xsd:enumeration value="UNOFFICIAL"/>
          <xsd:enumeration value="OFFICIAL"/>
          <xsd:enumeration value="OFFICIAL: Sensitive"/>
        </xsd:restriction>
      </xsd:simpleType>
    </xsd:element>
    <xsd:element name="TaxKeywordTaxHTField" ma:index="16" nillable="true" ma:taxonomy="true" ma:internalName="TaxKeywordTaxHTField" ma:taxonomyFieldName="TaxKeyword" ma:displayName="Enterprise Keywords" ma:fieldId="{23f27201-bee3-471e-b2e7-b64fd8b7ca38}" ma:taxonomyMulti="true" ma:sspId="bce47a14-5049-44f5-9725-de9c3b17a93b" ma:termSetId="00000000-0000-0000-0000-000000000000" ma:anchorId="00000000-0000-0000-0000-000000000000" ma:open="true" ma:isKeyword="true">
      <xsd:complexType>
        <xsd:sequence>
          <xsd:element ref="pc:Terms" minOccurs="0" maxOccurs="1"/>
        </xsd:sequence>
      </xsd:complexType>
    </xsd:element>
    <xsd:element name="TaxCatchAll" ma:index="17" nillable="true" ma:displayName="Taxonomy Catch All Column" ma:hidden="true" ma:list="{80a3c428-94ce-443d-b8cf-cf6e20b2fee6}" ma:internalName="TaxCatchAll" ma:showField="CatchAllData" ma:web="16403a9b-65ea-4625-b445-e8cdeaaafbb3">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a48fc8-bb8e-4915-9d47-15fef584cc6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ce47a14-5049-44f5-9725-de9c3b17a93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90CABF5-D852-4991-9A22-43F7BA184A87}">
  <ds:schemaRefs>
    <ds:schemaRef ds:uri="http://schemas.microsoft.com/office/2006/documentManagement/types"/>
    <ds:schemaRef ds:uri="http://purl.org/dc/elements/1.1/"/>
    <ds:schemaRef ds:uri="16403a9b-65ea-4625-b445-e8cdeaaafbb3"/>
    <ds:schemaRef ds:uri="http://schemas.microsoft.com/office/infopath/2007/PartnerControls"/>
    <ds:schemaRef ds:uri="http://purl.org/dc/terms/"/>
    <ds:schemaRef ds:uri="http://schemas.openxmlformats.org/package/2006/metadata/core-properties"/>
    <ds:schemaRef ds:uri="http://www.w3.org/XML/1998/namespace"/>
    <ds:schemaRef ds:uri="d2a48fc8-bb8e-4915-9d47-15fef584cc6c"/>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E50AD971-483C-442E-A5F7-5EDA8761E865}">
  <ds:schemaRefs>
    <ds:schemaRef ds:uri="http://schemas.microsoft.com/sharepoint/v3/contenttype/forms"/>
  </ds:schemaRefs>
</ds:datastoreItem>
</file>

<file path=customXml/itemProps3.xml><?xml version="1.0" encoding="utf-8"?>
<ds:datastoreItem xmlns:ds="http://schemas.openxmlformats.org/officeDocument/2006/customXml" ds:itemID="{C9BDB495-AD7D-477D-A8E1-E1F319F12C80}">
  <ds:schemaRefs>
    <ds:schemaRef ds:uri="http://schemas.openxmlformats.org/officeDocument/2006/bibliography"/>
  </ds:schemaRefs>
</ds:datastoreItem>
</file>

<file path=customXml/itemProps4.xml><?xml version="1.0" encoding="utf-8"?>
<ds:datastoreItem xmlns:ds="http://schemas.openxmlformats.org/officeDocument/2006/customXml" ds:itemID="{4BBE21C4-8B8B-4735-9C1A-629DF36A5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403a9b-65ea-4625-b445-e8cdeaaafbb3"/>
    <ds:schemaRef ds:uri="d2a48fc8-bb8e-4915-9d47-15fef584c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97E8ED-5F59-4B92-8C56-F6B5E8A23B8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11334</Words>
  <Characters>65290</Characters>
  <Application>Microsoft Office Word</Application>
  <DocSecurity>0</DocSecurity>
  <Lines>1978</Lines>
  <Paragraphs>1665</Paragraphs>
  <ScaleCrop>false</ScaleCrop>
  <Company/>
  <LinksUpToDate>false</LinksUpToDate>
  <CharactersWithSpaces>74959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2025-12-17T10:11:00Z</dcterms:created>
  <dcterms:modified xsi:type="dcterms:W3CDTF">2025-12-17T10:11:00Z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cd4f2a-0040-47df-a467-7cba635d669c_Enabled">
    <vt:lpwstr>true</vt:lpwstr>
  </property>
  <property fmtid="{D5CDD505-2E9C-101B-9397-08002B2CF9AE}" pid="3" name="MSIP_Label_93cd4f2a-0040-47df-a467-7cba635d669c_SetDate">
    <vt:lpwstr>2025-12-17T00:29:33Z</vt:lpwstr>
  </property>
  <property fmtid="{D5CDD505-2E9C-101B-9397-08002B2CF9AE}" pid="4" name="MSIP_Label_93cd4f2a-0040-47df-a467-7cba635d669c_Method">
    <vt:lpwstr>Standard</vt:lpwstr>
  </property>
  <property fmtid="{D5CDD505-2E9C-101B-9397-08002B2CF9AE}" pid="5" name="MSIP_Label_93cd4f2a-0040-47df-a467-7cba635d669c_Name">
    <vt:lpwstr>OFFICIAL - NOPTA</vt:lpwstr>
  </property>
  <property fmtid="{D5CDD505-2E9C-101B-9397-08002B2CF9AE}" pid="6" name="MSIP_Label_93cd4f2a-0040-47df-a467-7cba635d669c_SiteId">
    <vt:lpwstr>2940859f-ee86-4ee3-848f-02ac9eba62b2</vt:lpwstr>
  </property>
  <property fmtid="{D5CDD505-2E9C-101B-9397-08002B2CF9AE}" pid="7" name="MSIP_Label_93cd4f2a-0040-47df-a467-7cba635d669c_ActionId">
    <vt:lpwstr>53429712-8e9e-4925-b43e-adfb6f55c733</vt:lpwstr>
  </property>
  <property fmtid="{D5CDD505-2E9C-101B-9397-08002B2CF9AE}" pid="8" name="MSIP_Label_93cd4f2a-0040-47df-a467-7cba635d669c_ContentBits">
    <vt:lpwstr>0</vt:lpwstr>
  </property>
  <property fmtid="{D5CDD505-2E9C-101B-9397-08002B2CF9AE}" pid="9" name="MSIP_Label_93cd4f2a-0040-47df-a467-7cba635d669c_Tag">
    <vt:lpwstr>10, 3, 0, 1</vt:lpwstr>
  </property>
  <property fmtid="{D5CDD505-2E9C-101B-9397-08002B2CF9AE}" pid="10" name="MSIP_Label_4d21c534-c43d-4b8b-9b02-fbffa69409a2_SetDate">
    <vt:lpwstr>2023-11-10T04:13:03Z</vt:lpwstr>
  </property>
  <property fmtid="{D5CDD505-2E9C-101B-9397-08002B2CF9AE}" pid="11" name="TaxKeyword">
    <vt:lpwstr/>
  </property>
  <property fmtid="{D5CDD505-2E9C-101B-9397-08002B2CF9AE}" pid="12" name="MSIP_Label_4d21c534-c43d-4b8b-9b02-fbffa69409a2_SiteId">
    <vt:lpwstr>96dcaf09-aabd-4705-81c9-ea3467b5a3df</vt:lpwstr>
  </property>
  <property fmtid="{D5CDD505-2E9C-101B-9397-08002B2CF9AE}" pid="13" name="MediaServiceImageTags">
    <vt:lpwstr/>
  </property>
  <property fmtid="{D5CDD505-2E9C-101B-9397-08002B2CF9AE}" pid="14" name="MSIP_Label_4d21c534-c43d-4b8b-9b02-fbffa69409a2_Method">
    <vt:lpwstr>Standard</vt:lpwstr>
  </property>
  <property fmtid="{D5CDD505-2E9C-101B-9397-08002B2CF9AE}" pid="15" name="ContentTypeId">
    <vt:lpwstr>0x0101006E6DA90692A89B4ABA7F789C3761BE80</vt:lpwstr>
  </property>
  <property fmtid="{D5CDD505-2E9C-101B-9397-08002B2CF9AE}" pid="16" name="_dlc_DocIdItemGuid">
    <vt:lpwstr>5bcabfac-a7d6-41c8-9f93-ff94ad3b1ba7</vt:lpwstr>
  </property>
  <property fmtid="{D5CDD505-2E9C-101B-9397-08002B2CF9AE}" pid="17" name="MSIP_Label_4d21c534-c43d-4b8b-9b02-fbffa69409a2_Enabled">
    <vt:lpwstr>true</vt:lpwstr>
  </property>
  <property fmtid="{D5CDD505-2E9C-101B-9397-08002B2CF9AE}" pid="18" name="MSIP_Label_4d21c534-c43d-4b8b-9b02-fbffa69409a2_Name">
    <vt:lpwstr>defa4170-0d19-0005-0004-bc88714345d2</vt:lpwstr>
  </property>
  <property fmtid="{D5CDD505-2E9C-101B-9397-08002B2CF9AE}" pid="19" name="MSIP_Label_4d21c534-c43d-4b8b-9b02-fbffa69409a2_ContentBits">
    <vt:lpwstr>0</vt:lpwstr>
  </property>
  <property fmtid="{D5CDD505-2E9C-101B-9397-08002B2CF9AE}" pid="20" name="MSIP_Label_4d21c534-c43d-4b8b-9b02-fbffa69409a2_ActionId">
    <vt:lpwstr>d6a34ed0-ee0f-4197-83bb-f2edd4f07efd</vt:lpwstr>
  </property>
</Properties>
</file>