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B58A" w14:textId="77777777" w:rsidR="005253CB" w:rsidRDefault="005253CB" w:rsidP="008B679D">
      <w:pPr>
        <w:pStyle w:val="Pa12"/>
        <w:jc w:val="center"/>
        <w:rPr>
          <w:rFonts w:ascii="Times New Roman" w:hAnsi="Times New Roman" w:cs="Times New Roman"/>
          <w:b/>
          <w:bCs/>
          <w:sz w:val="32"/>
          <w:szCs w:val="32"/>
          <w:lang w:val="en-AU"/>
        </w:rPr>
      </w:pPr>
    </w:p>
    <w:p w14:paraId="24644394" w14:textId="77777777" w:rsidR="008B679D" w:rsidRPr="00AB20F0" w:rsidRDefault="004D2BB0" w:rsidP="008B679D">
      <w:pPr>
        <w:pStyle w:val="Pa12"/>
        <w:jc w:val="center"/>
        <w:rPr>
          <w:rFonts w:ascii="Times New Roman" w:hAnsi="Times New Roman" w:cs="Times New Roman"/>
          <w:b/>
          <w:bCs/>
          <w:sz w:val="32"/>
          <w:szCs w:val="32"/>
          <w:lang w:val="en-AU"/>
        </w:rPr>
      </w:pPr>
      <w:r>
        <w:rPr>
          <w:rFonts w:ascii="Times New Roman" w:hAnsi="Times New Roman" w:cs="Times New Roman"/>
          <w:b/>
          <w:bCs/>
          <w:noProof/>
          <w:sz w:val="32"/>
          <w:szCs w:val="32"/>
          <w:lang w:val="en-AU" w:eastAsia="en-AU"/>
        </w:rPr>
        <mc:AlternateContent>
          <mc:Choice Requires="wpg">
            <w:drawing>
              <wp:anchor distT="0" distB="0" distL="114300" distR="114300" simplePos="0" relativeHeight="251670528" behindDoc="0" locked="0" layoutInCell="1" allowOverlap="1" wp14:anchorId="59EF243E" wp14:editId="769A53A1">
                <wp:simplePos x="0" y="0"/>
                <wp:positionH relativeFrom="column">
                  <wp:posOffset>11927</wp:posOffset>
                </wp:positionH>
                <wp:positionV relativeFrom="paragraph">
                  <wp:posOffset>66261</wp:posOffset>
                </wp:positionV>
                <wp:extent cx="5216056" cy="1057523"/>
                <wp:effectExtent l="0" t="0" r="3810" b="952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6056" cy="1057523"/>
                          <a:chOff x="441" y="544"/>
                          <a:chExt cx="5553" cy="1048"/>
                        </a:xfrm>
                      </wpg:grpSpPr>
                      <pic:pic xmlns:pic="http://schemas.openxmlformats.org/drawingml/2006/picture">
                        <pic:nvPicPr>
                          <pic:cNvPr id="12"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821" y="692"/>
                            <a:ext cx="4173"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780"/>
                              </w:tblGrid>
                              <w:tr w:rsidR="00B06D2B" w:rsidRPr="00E6260A" w14:paraId="0FFB2712" w14:textId="77777777" w:rsidTr="002D0D01">
                                <w:trPr>
                                  <w:trHeight w:hRule="exact" w:val="363"/>
                                </w:trPr>
                                <w:tc>
                                  <w:tcPr>
                                    <w:tcW w:w="5780" w:type="dxa"/>
                                    <w:tcBorders>
                                      <w:top w:val="nil"/>
                                      <w:left w:val="nil"/>
                                      <w:right w:val="nil"/>
                                    </w:tcBorders>
                                  </w:tcPr>
                                  <w:p w14:paraId="5CCF18E6" w14:textId="5D0E864B" w:rsidR="00B06D2B" w:rsidRPr="00727004" w:rsidRDefault="00B06D2B" w:rsidP="00727004">
                                    <w:pPr>
                                      <w:jc w:val="center"/>
                                      <w:rPr>
                                        <w:b/>
                                        <w:bCs/>
                                        <w:sz w:val="22"/>
                                        <w:szCs w:val="22"/>
                                      </w:rPr>
                                    </w:pPr>
                                    <w:r w:rsidRPr="00727004">
                                      <w:rPr>
                                        <w:b/>
                                        <w:bCs/>
                                        <w:sz w:val="22"/>
                                        <w:szCs w:val="22"/>
                                      </w:rPr>
                                      <w:t>Australian Government</w:t>
                                    </w:r>
                                  </w:p>
                                </w:tc>
                              </w:tr>
                              <w:tr w:rsidR="00B06D2B" w:rsidRPr="00573115" w14:paraId="48254AE1" w14:textId="77777777" w:rsidTr="002D0D01">
                                <w:trPr>
                                  <w:trHeight w:hRule="exact" w:val="402"/>
                                </w:trPr>
                                <w:tc>
                                  <w:tcPr>
                                    <w:tcW w:w="5780" w:type="dxa"/>
                                    <w:tcBorders>
                                      <w:left w:val="nil"/>
                                      <w:bottom w:val="nil"/>
                                      <w:right w:val="nil"/>
                                    </w:tcBorders>
                                  </w:tcPr>
                                  <w:p w14:paraId="31168627" w14:textId="716DF984" w:rsidR="00B06D2B" w:rsidRPr="00727004" w:rsidRDefault="00B06D2B" w:rsidP="00727004">
                                    <w:pPr>
                                      <w:jc w:val="center"/>
                                      <w:rPr>
                                        <w:b/>
                                        <w:bCs/>
                                        <w:sz w:val="22"/>
                                        <w:szCs w:val="22"/>
                                      </w:rPr>
                                    </w:pPr>
                                    <w:r w:rsidRPr="00727004">
                                      <w:rPr>
                                        <w:b/>
                                        <w:bCs/>
                                        <w:sz w:val="22"/>
                                        <w:szCs w:val="22"/>
                                      </w:rPr>
                                      <w:t>Department of Industry, Science, Energy and Resources</w:t>
                                    </w:r>
                                  </w:p>
                                </w:tc>
                              </w:tr>
                            </w:tbl>
                            <w:p w14:paraId="59B662DE" w14:textId="144F3ADF" w:rsidR="00B06D2B" w:rsidRPr="00727004" w:rsidRDefault="00B06D2B" w:rsidP="00727004">
                              <w:pPr>
                                <w:jc w:val="center"/>
                                <w:rPr>
                                  <w:b/>
                                  <w:bCs/>
                                  <w:sz w:val="22"/>
                                  <w:szCs w:val="22"/>
                                </w:rPr>
                              </w:pPr>
                              <w:r w:rsidRPr="00727004">
                                <w:rPr>
                                  <w:b/>
                                  <w:bCs/>
                                  <w:sz w:val="22"/>
                                  <w:szCs w:val="22"/>
                                </w:rPr>
                                <w:t>National Offshore Petroleum Titles Administrator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F243E" id="Group 12" o:spid="_x0000_s1026" style="position:absolute;left:0;text-align:left;margin-left:.95pt;margin-top:5.2pt;width:410.7pt;height:83.25pt;z-index:251670528" coordorigin="441,544" coordsize="5553,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14" o:spid="_x0000_s1028" type="#_x0000_t202" style="position:absolute;left:1821;top:692;width:417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780"/>
                        </w:tblGrid>
                        <w:tr w:rsidR="00B06D2B" w:rsidRPr="00E6260A" w14:paraId="0FFB2712" w14:textId="77777777" w:rsidTr="002D0D01">
                          <w:trPr>
                            <w:trHeight w:hRule="exact" w:val="363"/>
                          </w:trPr>
                          <w:tc>
                            <w:tcPr>
                              <w:tcW w:w="5780" w:type="dxa"/>
                              <w:tcBorders>
                                <w:top w:val="nil"/>
                                <w:left w:val="nil"/>
                                <w:right w:val="nil"/>
                              </w:tcBorders>
                            </w:tcPr>
                            <w:p w14:paraId="5CCF18E6" w14:textId="5D0E864B" w:rsidR="00B06D2B" w:rsidRPr="00727004" w:rsidRDefault="00B06D2B" w:rsidP="00727004">
                              <w:pPr>
                                <w:jc w:val="center"/>
                                <w:rPr>
                                  <w:b/>
                                  <w:bCs/>
                                  <w:sz w:val="22"/>
                                  <w:szCs w:val="22"/>
                                </w:rPr>
                              </w:pPr>
                              <w:r w:rsidRPr="00727004">
                                <w:rPr>
                                  <w:b/>
                                  <w:bCs/>
                                  <w:sz w:val="22"/>
                                  <w:szCs w:val="22"/>
                                </w:rPr>
                                <w:t>Australian Government</w:t>
                              </w:r>
                            </w:p>
                          </w:tc>
                        </w:tr>
                        <w:tr w:rsidR="00B06D2B" w:rsidRPr="00573115" w14:paraId="48254AE1" w14:textId="77777777" w:rsidTr="002D0D01">
                          <w:trPr>
                            <w:trHeight w:hRule="exact" w:val="402"/>
                          </w:trPr>
                          <w:tc>
                            <w:tcPr>
                              <w:tcW w:w="5780" w:type="dxa"/>
                              <w:tcBorders>
                                <w:left w:val="nil"/>
                                <w:bottom w:val="nil"/>
                                <w:right w:val="nil"/>
                              </w:tcBorders>
                            </w:tcPr>
                            <w:p w14:paraId="31168627" w14:textId="716DF984" w:rsidR="00B06D2B" w:rsidRPr="00727004" w:rsidRDefault="00B06D2B" w:rsidP="00727004">
                              <w:pPr>
                                <w:jc w:val="center"/>
                                <w:rPr>
                                  <w:b/>
                                  <w:bCs/>
                                  <w:sz w:val="22"/>
                                  <w:szCs w:val="22"/>
                                </w:rPr>
                              </w:pPr>
                              <w:r w:rsidRPr="00727004">
                                <w:rPr>
                                  <w:b/>
                                  <w:bCs/>
                                  <w:sz w:val="22"/>
                                  <w:szCs w:val="22"/>
                                </w:rPr>
                                <w:t>Department of Industry, Science, Energy and Resources</w:t>
                              </w:r>
                            </w:p>
                          </w:tc>
                        </w:tr>
                      </w:tbl>
                      <w:p w14:paraId="59B662DE" w14:textId="144F3ADF" w:rsidR="00B06D2B" w:rsidRPr="00727004" w:rsidRDefault="00B06D2B" w:rsidP="00727004">
                        <w:pPr>
                          <w:jc w:val="center"/>
                          <w:rPr>
                            <w:b/>
                            <w:bCs/>
                            <w:sz w:val="22"/>
                            <w:szCs w:val="22"/>
                          </w:rPr>
                        </w:pPr>
                        <w:r w:rsidRPr="00727004">
                          <w:rPr>
                            <w:b/>
                            <w:bCs/>
                            <w:sz w:val="22"/>
                            <w:szCs w:val="22"/>
                          </w:rPr>
                          <w:t>National Offshore Petroleum Titles Administrator</w:t>
                        </w:r>
                      </w:p>
                    </w:txbxContent>
                  </v:textbox>
                </v:shape>
              </v:group>
            </w:pict>
          </mc:Fallback>
        </mc:AlternateContent>
      </w:r>
    </w:p>
    <w:p w14:paraId="35815371" w14:textId="77777777" w:rsidR="008B679D" w:rsidRPr="00AB20F0" w:rsidRDefault="008B679D" w:rsidP="008B679D"/>
    <w:p w14:paraId="3D6AE540" w14:textId="77777777" w:rsidR="008B679D" w:rsidRPr="00AB20F0" w:rsidRDefault="008B679D" w:rsidP="008B679D"/>
    <w:p w14:paraId="48E9A1DD" w14:textId="77777777" w:rsidR="008B679D" w:rsidRPr="00AB20F0" w:rsidRDefault="008B679D" w:rsidP="008B679D">
      <w:pPr>
        <w:rPr>
          <w:rFonts w:asciiTheme="minorHAnsi" w:hAnsiTheme="minorHAnsi"/>
        </w:rPr>
      </w:pPr>
    </w:p>
    <w:p w14:paraId="45F37E6A" w14:textId="77777777" w:rsidR="005253CB" w:rsidRDefault="005253CB" w:rsidP="008B679D">
      <w:pPr>
        <w:pStyle w:val="Pa12"/>
        <w:jc w:val="center"/>
        <w:rPr>
          <w:rFonts w:asciiTheme="minorHAnsi" w:hAnsiTheme="minorHAnsi" w:cs="Times New Roman"/>
          <w:b/>
          <w:bCs/>
          <w:sz w:val="32"/>
          <w:szCs w:val="32"/>
          <w:lang w:val="en-AU"/>
        </w:rPr>
      </w:pPr>
      <w:bookmarkStart w:id="0" w:name="OLE_LINK4"/>
      <w:bookmarkStart w:id="1" w:name="OLE_LINK5"/>
    </w:p>
    <w:p w14:paraId="09C65E5F" w14:textId="77777777" w:rsidR="005253CB" w:rsidRDefault="005253CB" w:rsidP="008B679D">
      <w:pPr>
        <w:pStyle w:val="Pa12"/>
        <w:jc w:val="center"/>
        <w:rPr>
          <w:rFonts w:asciiTheme="minorHAnsi" w:hAnsiTheme="minorHAnsi" w:cs="Times New Roman"/>
          <w:b/>
          <w:bCs/>
          <w:sz w:val="32"/>
          <w:szCs w:val="32"/>
          <w:lang w:val="en-AU"/>
        </w:rPr>
      </w:pPr>
    </w:p>
    <w:p w14:paraId="1A1F1F95" w14:textId="77777777" w:rsidR="008B679D" w:rsidRPr="0049314F" w:rsidRDefault="008B679D" w:rsidP="008B679D">
      <w:pPr>
        <w:pStyle w:val="Pa12"/>
        <w:jc w:val="center"/>
        <w:rPr>
          <w:rFonts w:asciiTheme="minorHAnsi" w:hAnsiTheme="minorHAnsi" w:cs="Times New Roman"/>
          <w:i/>
          <w:iCs/>
          <w:u w:val="single"/>
          <w:lang w:val="en-AU"/>
        </w:rPr>
      </w:pPr>
      <w:r w:rsidRPr="0049314F">
        <w:rPr>
          <w:rFonts w:asciiTheme="minorHAnsi" w:hAnsiTheme="minorHAnsi" w:cs="Times New Roman"/>
          <w:b/>
          <w:bCs/>
          <w:sz w:val="32"/>
          <w:szCs w:val="32"/>
          <w:lang w:val="en-AU"/>
        </w:rPr>
        <w:t>COST RECOVERY IMPLEMENTATION STATEMENT</w:t>
      </w:r>
    </w:p>
    <w:bookmarkEnd w:id="0"/>
    <w:bookmarkEnd w:id="1"/>
    <w:p w14:paraId="1732AD65" w14:textId="77777777" w:rsidR="0052017F" w:rsidRDefault="0052017F" w:rsidP="002D0D01">
      <w:pPr>
        <w:pStyle w:val="Title"/>
        <w:jc w:val="center"/>
      </w:pPr>
      <w:r>
        <w:t>Titles Administration</w:t>
      </w:r>
    </w:p>
    <w:p w14:paraId="370B4C07" w14:textId="61FB555C" w:rsidR="008B679D" w:rsidRPr="002D0D01" w:rsidRDefault="002D0D01" w:rsidP="002D0D01">
      <w:pPr>
        <w:pStyle w:val="Title"/>
        <w:jc w:val="center"/>
      </w:pPr>
      <w:r w:rsidRPr="008369ED">
        <w:rPr>
          <w:i/>
          <w:iCs/>
        </w:rPr>
        <w:t>Offshore Petroleum and Greenhouse Gas Storage</w:t>
      </w:r>
      <w:r w:rsidR="0052017F" w:rsidRPr="008369ED">
        <w:rPr>
          <w:i/>
          <w:iCs/>
        </w:rPr>
        <w:t xml:space="preserve"> Act 2006</w:t>
      </w:r>
      <w:r>
        <w:t xml:space="preserve"> </w:t>
      </w:r>
    </w:p>
    <w:p w14:paraId="47708B86" w14:textId="5C7C28FE" w:rsidR="008B679D" w:rsidRPr="00573115" w:rsidRDefault="008B679D" w:rsidP="008B679D">
      <w:pPr>
        <w:pStyle w:val="Pa4"/>
        <w:widowControl/>
        <w:autoSpaceDE/>
        <w:autoSpaceDN/>
        <w:adjustRightInd/>
        <w:spacing w:after="0" w:line="240" w:lineRule="auto"/>
        <w:jc w:val="center"/>
        <w:rPr>
          <w:rFonts w:asciiTheme="minorHAnsi" w:hAnsiTheme="minorHAnsi"/>
          <w:b/>
          <w:i/>
          <w:sz w:val="32"/>
          <w:szCs w:val="32"/>
          <w:lang w:val="en-AU"/>
        </w:rPr>
      </w:pPr>
      <w:r w:rsidRPr="0049314F">
        <w:rPr>
          <w:rFonts w:asciiTheme="minorHAnsi" w:hAnsiTheme="minorHAnsi"/>
          <w:b/>
          <w:sz w:val="32"/>
          <w:szCs w:val="32"/>
          <w:lang w:val="en-AU"/>
        </w:rPr>
        <w:t xml:space="preserve"> </w:t>
      </w:r>
      <w:r w:rsidR="002D0D01" w:rsidRPr="00841288">
        <w:rPr>
          <w:rFonts w:asciiTheme="minorHAnsi" w:hAnsiTheme="minorHAnsi"/>
          <w:b/>
          <w:sz w:val="32"/>
          <w:szCs w:val="32"/>
          <w:lang w:val="en-AU"/>
        </w:rPr>
        <w:t>20</w:t>
      </w:r>
      <w:r w:rsidR="00526D03">
        <w:rPr>
          <w:rFonts w:asciiTheme="minorHAnsi" w:hAnsiTheme="minorHAnsi"/>
          <w:b/>
          <w:sz w:val="32"/>
          <w:szCs w:val="32"/>
          <w:lang w:val="en-AU"/>
        </w:rPr>
        <w:t>22</w:t>
      </w:r>
    </w:p>
    <w:p w14:paraId="43A56B7F" w14:textId="77777777" w:rsidR="00344E86" w:rsidRPr="005253CB" w:rsidRDefault="00344E86" w:rsidP="005253CB">
      <w:pPr>
        <w:pStyle w:val="Pa12"/>
        <w:jc w:val="center"/>
        <w:rPr>
          <w:rFonts w:asciiTheme="minorHAnsi" w:hAnsiTheme="minorHAnsi"/>
          <w:b/>
          <w:sz w:val="32"/>
          <w:szCs w:val="32"/>
          <w:lang w:val="en-AU"/>
        </w:rPr>
      </w:pPr>
    </w:p>
    <w:tbl>
      <w:tblPr>
        <w:tblStyle w:val="TableGrid"/>
        <w:tblW w:w="0" w:type="auto"/>
        <w:tblInd w:w="279" w:type="dxa"/>
        <w:tblBorders>
          <w:insideH w:val="none" w:sz="0" w:space="0" w:color="auto"/>
          <w:insideV w:val="none" w:sz="0" w:space="0" w:color="auto"/>
        </w:tblBorders>
        <w:tblLook w:val="04A0" w:firstRow="1" w:lastRow="0" w:firstColumn="1" w:lastColumn="0" w:noHBand="0" w:noVBand="1"/>
      </w:tblPr>
      <w:tblGrid>
        <w:gridCol w:w="9209"/>
      </w:tblGrid>
      <w:tr w:rsidR="008B679D" w:rsidRPr="00AB20F0" w14:paraId="42609040" w14:textId="77777777" w:rsidTr="00FD6A1B">
        <w:tc>
          <w:tcPr>
            <w:tcW w:w="9639" w:type="dxa"/>
          </w:tcPr>
          <w:p w14:paraId="3C19BC7B" w14:textId="77777777" w:rsidR="00314066" w:rsidRPr="003D6A7A" w:rsidRDefault="00344E86" w:rsidP="00FF5110">
            <w:pPr>
              <w:spacing w:before="120" w:after="120"/>
              <w:rPr>
                <w:rFonts w:asciiTheme="minorHAnsi" w:eastAsia="SimSun" w:hAnsiTheme="minorHAnsi" w:cstheme="minorHAnsi"/>
              </w:rPr>
            </w:pPr>
            <w:r w:rsidRPr="00D8784E">
              <w:rPr>
                <w:rFonts w:asciiTheme="minorHAnsi" w:eastAsia="SimSun" w:hAnsiTheme="minorHAnsi" w:cstheme="minorHAnsi"/>
              </w:rPr>
              <w:t xml:space="preserve">Cost recovery involves government entities charging individuals or non-government organisations some or all of the efficient costs of a </w:t>
            </w:r>
            <w:r w:rsidR="00FF5110" w:rsidRPr="00D8784E">
              <w:rPr>
                <w:rFonts w:asciiTheme="minorHAnsi" w:eastAsia="SimSun" w:hAnsiTheme="minorHAnsi" w:cstheme="minorHAnsi"/>
              </w:rPr>
              <w:t>regulatory</w:t>
            </w:r>
            <w:r w:rsidRPr="00D8784E">
              <w:rPr>
                <w:rFonts w:asciiTheme="minorHAnsi" w:eastAsia="SimSun" w:hAnsiTheme="minorHAnsi" w:cstheme="minorHAnsi"/>
              </w:rPr>
              <w:t xml:space="preserve"> activity. This may include goods, services or regulation, or a combination of the</w:t>
            </w:r>
            <w:r w:rsidR="00101163" w:rsidRPr="00D8784E">
              <w:rPr>
                <w:rFonts w:asciiTheme="minorHAnsi" w:eastAsia="SimSun" w:hAnsiTheme="minorHAnsi" w:cstheme="minorHAnsi"/>
              </w:rPr>
              <w:t>m</w:t>
            </w:r>
            <w:r w:rsidRPr="00D8784E">
              <w:rPr>
                <w:rFonts w:asciiTheme="minorHAnsi" w:eastAsia="SimSun" w:hAnsiTheme="minorHAnsi" w:cstheme="minorHAnsi"/>
              </w:rPr>
              <w:t xml:space="preserve">. The </w:t>
            </w:r>
            <w:r w:rsidR="009A6F94" w:rsidRPr="00D8784E">
              <w:rPr>
                <w:rFonts w:asciiTheme="minorHAnsi" w:eastAsia="SimSun" w:hAnsiTheme="minorHAnsi" w:cstheme="minorHAnsi"/>
              </w:rPr>
              <w:t>Australian Government</w:t>
            </w:r>
            <w:r w:rsidR="00FF5110" w:rsidRPr="00D8784E">
              <w:rPr>
                <w:rFonts w:asciiTheme="minorHAnsi" w:eastAsia="SimSun" w:hAnsiTheme="minorHAnsi" w:cstheme="minorHAnsi"/>
              </w:rPr>
              <w:t xml:space="preserve"> Charging Framework, which incorporates the</w:t>
            </w:r>
            <w:r w:rsidR="009A6F94" w:rsidRPr="00D8784E">
              <w:rPr>
                <w:rFonts w:asciiTheme="minorHAnsi" w:eastAsia="SimSun" w:hAnsiTheme="minorHAnsi" w:cstheme="minorHAnsi"/>
              </w:rPr>
              <w:t xml:space="preserve"> Cost Recovery Guidelines (</w:t>
            </w:r>
            <w:r w:rsidR="00FC07E0" w:rsidRPr="00D8784E">
              <w:rPr>
                <w:rFonts w:asciiTheme="minorHAnsi" w:eastAsia="SimSun" w:hAnsiTheme="minorHAnsi" w:cstheme="minorHAnsi"/>
              </w:rPr>
              <w:t xml:space="preserve">the </w:t>
            </w:r>
            <w:r w:rsidR="009A6F94" w:rsidRPr="00D8784E">
              <w:rPr>
                <w:rFonts w:asciiTheme="minorHAnsi" w:eastAsia="SimSun" w:hAnsiTheme="minorHAnsi" w:cstheme="minorHAnsi"/>
              </w:rPr>
              <w:t>CRGs)</w:t>
            </w:r>
            <w:r w:rsidRPr="00721210">
              <w:rPr>
                <w:rFonts w:asciiTheme="minorHAnsi" w:eastAsia="SimSun" w:hAnsiTheme="minorHAnsi" w:cstheme="minorHAnsi"/>
                <w:vertAlign w:val="superscript"/>
              </w:rPr>
              <w:footnoteReference w:id="1"/>
            </w:r>
            <w:r w:rsidR="00773EA9" w:rsidRPr="00D8784E">
              <w:rPr>
                <w:rFonts w:asciiTheme="minorHAnsi" w:eastAsia="SimSun" w:hAnsiTheme="minorHAnsi" w:cstheme="minorHAnsi"/>
              </w:rPr>
              <w:t>,</w:t>
            </w:r>
            <w:r w:rsidRPr="00D8784E">
              <w:rPr>
                <w:rFonts w:asciiTheme="minorHAnsi" w:eastAsia="SimSun" w:hAnsiTheme="minorHAnsi" w:cstheme="minorHAnsi"/>
              </w:rPr>
              <w:t xml:space="preserve"> set</w:t>
            </w:r>
            <w:r w:rsidR="00773EA9" w:rsidRPr="00D8784E">
              <w:rPr>
                <w:rFonts w:asciiTheme="minorHAnsi" w:eastAsia="SimSun" w:hAnsiTheme="minorHAnsi" w:cstheme="minorHAnsi"/>
              </w:rPr>
              <w:t>s</w:t>
            </w:r>
            <w:r w:rsidRPr="00D8784E">
              <w:rPr>
                <w:rFonts w:asciiTheme="minorHAnsi" w:eastAsia="SimSun" w:hAnsiTheme="minorHAnsi" w:cstheme="minorHAnsi"/>
              </w:rPr>
              <w:t xml:space="preserve"> out the framework under which government entities design, implement and review </w:t>
            </w:r>
            <w:r w:rsidR="00803D1B" w:rsidRPr="002A241E">
              <w:rPr>
                <w:rFonts w:asciiTheme="minorHAnsi" w:eastAsia="SimSun" w:hAnsiTheme="minorHAnsi" w:cstheme="minorHAnsi"/>
              </w:rPr>
              <w:t>regulatory charging</w:t>
            </w:r>
            <w:r w:rsidRPr="002A241E">
              <w:rPr>
                <w:rFonts w:asciiTheme="minorHAnsi" w:eastAsia="SimSun" w:hAnsiTheme="minorHAnsi" w:cstheme="minorHAnsi"/>
              </w:rPr>
              <w:t xml:space="preserve"> activities.</w:t>
            </w:r>
          </w:p>
        </w:tc>
      </w:tr>
    </w:tbl>
    <w:p w14:paraId="74B81DF8" w14:textId="77777777" w:rsidR="00727004" w:rsidRDefault="00727004" w:rsidP="008B679D">
      <w:pPr>
        <w:spacing w:line="480" w:lineRule="auto"/>
        <w:rPr>
          <w:rFonts w:asciiTheme="minorHAnsi" w:hAnsiTheme="minorHAnsi"/>
        </w:rPr>
        <w:sectPr w:rsidR="00727004" w:rsidSect="00107D3F">
          <w:headerReference w:type="even" r:id="rId13"/>
          <w:headerReference w:type="default" r:id="rId14"/>
          <w:footerReference w:type="even" r:id="rId15"/>
          <w:footerReference w:type="default" r:id="rId16"/>
          <w:headerReference w:type="first" r:id="rId17"/>
          <w:footerReference w:type="first" r:id="rId18"/>
          <w:pgSz w:w="11906" w:h="16838"/>
          <w:pgMar w:top="720" w:right="1274" w:bottom="720" w:left="1134" w:header="708" w:footer="708" w:gutter="0"/>
          <w:cols w:space="708"/>
          <w:docGrid w:linePitch="360"/>
        </w:sectPr>
      </w:pPr>
    </w:p>
    <w:sdt>
      <w:sdtPr>
        <w:rPr>
          <w:rFonts w:ascii="Times New Roman" w:eastAsia="Times New Roman" w:hAnsi="Times New Roman" w:cs="Times New Roman"/>
          <w:color w:val="auto"/>
          <w:sz w:val="24"/>
          <w:szCs w:val="24"/>
          <w:lang w:val="en-AU"/>
        </w:rPr>
        <w:id w:val="-1497331534"/>
        <w:docPartObj>
          <w:docPartGallery w:val="Table of Contents"/>
          <w:docPartUnique/>
        </w:docPartObj>
      </w:sdtPr>
      <w:sdtEndPr>
        <w:rPr>
          <w:b/>
          <w:bCs/>
          <w:noProof/>
        </w:rPr>
      </w:sdtEndPr>
      <w:sdtContent>
        <w:p w14:paraId="494E45A5" w14:textId="63A7C854" w:rsidR="00727004" w:rsidRPr="0023148E" w:rsidRDefault="00814B19">
          <w:pPr>
            <w:pStyle w:val="TOCHeading"/>
            <w:rPr>
              <w:rFonts w:asciiTheme="minorHAnsi" w:hAnsiTheme="minorHAnsi" w:cstheme="minorHAnsi"/>
              <w:b/>
              <w:bCs/>
            </w:rPr>
          </w:pPr>
          <w:r w:rsidRPr="0023148E">
            <w:rPr>
              <w:rFonts w:asciiTheme="minorHAnsi" w:hAnsiTheme="minorHAnsi" w:cstheme="minorHAnsi"/>
              <w:b/>
              <w:bCs/>
            </w:rPr>
            <w:t>CONTENTS</w:t>
          </w:r>
        </w:p>
        <w:p w14:paraId="645337E4" w14:textId="6CB02825" w:rsidR="00914739" w:rsidRPr="00914739" w:rsidRDefault="00727004">
          <w:pPr>
            <w:pStyle w:val="TOC1"/>
            <w:rPr>
              <w:rFonts w:asciiTheme="minorHAnsi" w:eastAsiaTheme="minorEastAsia" w:hAnsiTheme="minorHAnsi" w:cstheme="minorHAnsi"/>
              <w:noProof/>
              <w:sz w:val="22"/>
              <w:szCs w:val="22"/>
              <w:lang w:eastAsia="en-AU"/>
            </w:rPr>
          </w:pPr>
          <w:r w:rsidRPr="0023148E">
            <w:rPr>
              <w:rFonts w:asciiTheme="minorHAnsi" w:hAnsiTheme="minorHAnsi" w:cstheme="minorHAnsi"/>
            </w:rPr>
            <w:fldChar w:fldCharType="begin"/>
          </w:r>
          <w:r w:rsidRPr="0023148E">
            <w:rPr>
              <w:rFonts w:asciiTheme="minorHAnsi" w:hAnsiTheme="minorHAnsi" w:cstheme="minorHAnsi"/>
            </w:rPr>
            <w:instrText xml:space="preserve"> TOC \o "1-3" \h \z \u </w:instrText>
          </w:r>
          <w:r w:rsidRPr="0023148E">
            <w:rPr>
              <w:rFonts w:asciiTheme="minorHAnsi" w:hAnsiTheme="minorHAnsi" w:cstheme="minorHAnsi"/>
            </w:rPr>
            <w:fldChar w:fldCharType="separate"/>
          </w:r>
          <w:hyperlink w:anchor="_Toc84844711" w:history="1">
            <w:r w:rsidR="00914739" w:rsidRPr="00914739">
              <w:rPr>
                <w:rStyle w:val="Hyperlink"/>
                <w:rFonts w:asciiTheme="minorHAnsi" w:hAnsiTheme="minorHAnsi" w:cstheme="minorHAnsi"/>
                <w:b/>
                <w:bCs/>
                <w:noProof/>
              </w:rPr>
              <w:t>1</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b/>
                <w:bCs/>
                <w:noProof/>
              </w:rPr>
              <w:t>INTRODUCTION</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_Toc84844711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3</w:t>
            </w:r>
            <w:r w:rsidR="00914739" w:rsidRPr="00914739">
              <w:rPr>
                <w:rFonts w:asciiTheme="minorHAnsi" w:hAnsiTheme="minorHAnsi" w:cstheme="minorHAnsi"/>
                <w:noProof/>
                <w:webHidden/>
              </w:rPr>
              <w:fldChar w:fldCharType="end"/>
            </w:r>
          </w:hyperlink>
        </w:p>
        <w:p w14:paraId="6794024A" w14:textId="6AAF5177" w:rsidR="00914739" w:rsidRPr="00914739" w:rsidRDefault="00B364FB">
          <w:pPr>
            <w:pStyle w:val="TOC2"/>
            <w:tabs>
              <w:tab w:val="left" w:pos="880"/>
              <w:tab w:val="right" w:leader="dot" w:pos="9771"/>
            </w:tabs>
            <w:rPr>
              <w:rFonts w:asciiTheme="minorHAnsi" w:eastAsiaTheme="minorEastAsia" w:hAnsiTheme="minorHAnsi" w:cstheme="minorHAnsi"/>
              <w:noProof/>
              <w:sz w:val="22"/>
              <w:szCs w:val="22"/>
              <w:lang w:eastAsia="en-AU"/>
            </w:rPr>
          </w:pPr>
          <w:hyperlink w:anchor="_Toc84844712" w:history="1">
            <w:r w:rsidR="00914739" w:rsidRPr="00914739">
              <w:rPr>
                <w:rStyle w:val="Hyperlink"/>
                <w:rFonts w:asciiTheme="minorHAnsi" w:hAnsiTheme="minorHAnsi" w:cstheme="minorHAnsi"/>
                <w:noProof/>
              </w:rPr>
              <w:t>1.1</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noProof/>
              </w:rPr>
              <w:t>Purpose of the CRIS</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_Toc84844712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3</w:t>
            </w:r>
            <w:r w:rsidR="00914739" w:rsidRPr="00914739">
              <w:rPr>
                <w:rFonts w:asciiTheme="minorHAnsi" w:hAnsiTheme="minorHAnsi" w:cstheme="minorHAnsi"/>
                <w:noProof/>
                <w:webHidden/>
              </w:rPr>
              <w:fldChar w:fldCharType="end"/>
            </w:r>
          </w:hyperlink>
        </w:p>
        <w:p w14:paraId="3428B044" w14:textId="28DE5F75" w:rsidR="00914739" w:rsidRPr="00914739" w:rsidRDefault="00B364FB">
          <w:pPr>
            <w:pStyle w:val="TOC2"/>
            <w:tabs>
              <w:tab w:val="left" w:pos="880"/>
              <w:tab w:val="right" w:leader="dot" w:pos="9771"/>
            </w:tabs>
            <w:rPr>
              <w:rFonts w:asciiTheme="minorHAnsi" w:eastAsiaTheme="minorEastAsia" w:hAnsiTheme="minorHAnsi" w:cstheme="minorHAnsi"/>
              <w:noProof/>
              <w:sz w:val="22"/>
              <w:szCs w:val="22"/>
              <w:lang w:eastAsia="en-AU"/>
            </w:rPr>
          </w:pPr>
          <w:hyperlink w:anchor="_Toc84844713" w:history="1">
            <w:r w:rsidR="00914739" w:rsidRPr="00914739">
              <w:rPr>
                <w:rStyle w:val="Hyperlink"/>
                <w:rFonts w:asciiTheme="minorHAnsi" w:hAnsiTheme="minorHAnsi" w:cstheme="minorHAnsi"/>
                <w:noProof/>
              </w:rPr>
              <w:t>1.2</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noProof/>
              </w:rPr>
              <w:t>Description of the regulatory charging activity</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_Toc84844713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3</w:t>
            </w:r>
            <w:r w:rsidR="00914739" w:rsidRPr="00914739">
              <w:rPr>
                <w:rFonts w:asciiTheme="minorHAnsi" w:hAnsiTheme="minorHAnsi" w:cstheme="minorHAnsi"/>
                <w:noProof/>
                <w:webHidden/>
              </w:rPr>
              <w:fldChar w:fldCharType="end"/>
            </w:r>
          </w:hyperlink>
        </w:p>
        <w:p w14:paraId="17FF0350" w14:textId="187CF466" w:rsidR="00914739" w:rsidRPr="00914739" w:rsidRDefault="00B364FB">
          <w:pPr>
            <w:pStyle w:val="TOC3"/>
            <w:tabs>
              <w:tab w:val="right" w:leader="dot" w:pos="9771"/>
            </w:tabs>
            <w:rPr>
              <w:rFonts w:asciiTheme="minorHAnsi" w:eastAsiaTheme="minorEastAsia" w:hAnsiTheme="minorHAnsi" w:cstheme="minorHAnsi"/>
              <w:noProof/>
              <w:sz w:val="22"/>
              <w:szCs w:val="22"/>
              <w:lang w:eastAsia="en-AU"/>
            </w:rPr>
          </w:pPr>
          <w:hyperlink w:anchor="_Toc84844714" w:history="1">
            <w:r w:rsidR="00914739" w:rsidRPr="00914739">
              <w:rPr>
                <w:rStyle w:val="Hyperlink"/>
                <w:rFonts w:asciiTheme="minorHAnsi" w:hAnsiTheme="minorHAnsi" w:cstheme="minorHAnsi"/>
                <w:noProof/>
              </w:rPr>
              <w:t>Operational cost drivers</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_Toc84844714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4</w:t>
            </w:r>
            <w:r w:rsidR="00914739" w:rsidRPr="00914739">
              <w:rPr>
                <w:rFonts w:asciiTheme="minorHAnsi" w:hAnsiTheme="minorHAnsi" w:cstheme="minorHAnsi"/>
                <w:noProof/>
                <w:webHidden/>
              </w:rPr>
              <w:fldChar w:fldCharType="end"/>
            </w:r>
          </w:hyperlink>
        </w:p>
        <w:p w14:paraId="2D2EC90A" w14:textId="221B9145" w:rsidR="00914739" w:rsidRPr="00914739" w:rsidRDefault="00B364FB">
          <w:pPr>
            <w:pStyle w:val="TOC3"/>
            <w:tabs>
              <w:tab w:val="right" w:leader="dot" w:pos="9771"/>
            </w:tabs>
            <w:rPr>
              <w:rFonts w:asciiTheme="minorHAnsi" w:eastAsiaTheme="minorEastAsia" w:hAnsiTheme="minorHAnsi" w:cstheme="minorHAnsi"/>
              <w:noProof/>
              <w:sz w:val="22"/>
              <w:szCs w:val="22"/>
              <w:lang w:eastAsia="en-AU"/>
            </w:rPr>
          </w:pPr>
          <w:hyperlink w:anchor="_Toc84844715" w:history="1">
            <w:r w:rsidR="00914739" w:rsidRPr="00914739">
              <w:rPr>
                <w:rStyle w:val="Hyperlink"/>
                <w:rFonts w:asciiTheme="minorHAnsi" w:hAnsiTheme="minorHAnsi" w:cstheme="minorHAnsi"/>
                <w:i/>
                <w:iCs/>
                <w:noProof/>
              </w:rPr>
              <w:t>Enhanced titles administration framework</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_Toc84844715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5</w:t>
            </w:r>
            <w:r w:rsidR="00914739" w:rsidRPr="00914739">
              <w:rPr>
                <w:rFonts w:asciiTheme="minorHAnsi" w:hAnsiTheme="minorHAnsi" w:cstheme="minorHAnsi"/>
                <w:noProof/>
                <w:webHidden/>
              </w:rPr>
              <w:fldChar w:fldCharType="end"/>
            </w:r>
          </w:hyperlink>
        </w:p>
        <w:p w14:paraId="76E34837" w14:textId="31770119" w:rsidR="00914739" w:rsidRPr="00914739" w:rsidRDefault="00B364FB">
          <w:pPr>
            <w:pStyle w:val="TOC1"/>
            <w:rPr>
              <w:rFonts w:asciiTheme="minorHAnsi" w:eastAsiaTheme="minorEastAsia" w:hAnsiTheme="minorHAnsi" w:cstheme="minorHAnsi"/>
              <w:noProof/>
              <w:sz w:val="22"/>
              <w:szCs w:val="22"/>
              <w:lang w:eastAsia="en-AU"/>
            </w:rPr>
          </w:pPr>
          <w:hyperlink w:anchor="_Toc84844716" w:history="1">
            <w:r w:rsidR="00914739" w:rsidRPr="00914739">
              <w:rPr>
                <w:rStyle w:val="Hyperlink"/>
                <w:rFonts w:asciiTheme="minorHAnsi" w:hAnsiTheme="minorHAnsi" w:cstheme="minorHAnsi"/>
                <w:b/>
                <w:bCs/>
                <w:noProof/>
              </w:rPr>
              <w:t>2</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b/>
                <w:bCs/>
                <w:noProof/>
              </w:rPr>
              <w:t>POLICY AND STATUTORY AUTHORITY TO COST RECOVER</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_Toc84844716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7</w:t>
            </w:r>
            <w:r w:rsidR="00914739" w:rsidRPr="00914739">
              <w:rPr>
                <w:rFonts w:asciiTheme="minorHAnsi" w:hAnsiTheme="minorHAnsi" w:cstheme="minorHAnsi"/>
                <w:noProof/>
                <w:webHidden/>
              </w:rPr>
              <w:fldChar w:fldCharType="end"/>
            </w:r>
          </w:hyperlink>
        </w:p>
        <w:p w14:paraId="0856600B" w14:textId="54341B9A" w:rsidR="00914739" w:rsidRPr="00914739" w:rsidRDefault="00B364FB">
          <w:pPr>
            <w:pStyle w:val="TOC2"/>
            <w:tabs>
              <w:tab w:val="left" w:pos="880"/>
              <w:tab w:val="right" w:leader="dot" w:pos="9771"/>
            </w:tabs>
            <w:rPr>
              <w:rFonts w:asciiTheme="minorHAnsi" w:eastAsiaTheme="minorEastAsia" w:hAnsiTheme="minorHAnsi" w:cstheme="minorHAnsi"/>
              <w:noProof/>
              <w:sz w:val="22"/>
              <w:szCs w:val="22"/>
              <w:lang w:eastAsia="en-AU"/>
            </w:rPr>
          </w:pPr>
          <w:hyperlink w:anchor="_Toc84844717" w:history="1">
            <w:r w:rsidR="00914739" w:rsidRPr="00914739">
              <w:rPr>
                <w:rStyle w:val="Hyperlink"/>
                <w:rFonts w:asciiTheme="minorHAnsi" w:hAnsiTheme="minorHAnsi" w:cstheme="minorHAnsi"/>
                <w:noProof/>
              </w:rPr>
              <w:t>2.1</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noProof/>
              </w:rPr>
              <w:t>Government policy approval to cost recover the regulatory activity</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_Toc84844717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7</w:t>
            </w:r>
            <w:r w:rsidR="00914739" w:rsidRPr="00914739">
              <w:rPr>
                <w:rFonts w:asciiTheme="minorHAnsi" w:hAnsiTheme="minorHAnsi" w:cstheme="minorHAnsi"/>
                <w:noProof/>
                <w:webHidden/>
              </w:rPr>
              <w:fldChar w:fldCharType="end"/>
            </w:r>
          </w:hyperlink>
        </w:p>
        <w:p w14:paraId="74AF356C" w14:textId="057AC57D" w:rsidR="00914739" w:rsidRPr="00914739" w:rsidRDefault="00B364FB">
          <w:pPr>
            <w:pStyle w:val="TOC2"/>
            <w:tabs>
              <w:tab w:val="left" w:pos="880"/>
              <w:tab w:val="right" w:leader="dot" w:pos="9771"/>
            </w:tabs>
            <w:rPr>
              <w:rFonts w:asciiTheme="minorHAnsi" w:eastAsiaTheme="minorEastAsia" w:hAnsiTheme="minorHAnsi" w:cstheme="minorHAnsi"/>
              <w:noProof/>
              <w:sz w:val="22"/>
              <w:szCs w:val="22"/>
              <w:lang w:eastAsia="en-AU"/>
            </w:rPr>
          </w:pPr>
          <w:hyperlink w:anchor="_Toc84844718" w:history="1">
            <w:r w:rsidR="00914739" w:rsidRPr="00914739">
              <w:rPr>
                <w:rStyle w:val="Hyperlink"/>
                <w:rFonts w:asciiTheme="minorHAnsi" w:hAnsiTheme="minorHAnsi" w:cstheme="minorHAnsi"/>
                <w:noProof/>
              </w:rPr>
              <w:t>2.2</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noProof/>
              </w:rPr>
              <w:t>Statutory authority to charge</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_Toc84844718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7</w:t>
            </w:r>
            <w:r w:rsidR="00914739" w:rsidRPr="00914739">
              <w:rPr>
                <w:rFonts w:asciiTheme="minorHAnsi" w:hAnsiTheme="minorHAnsi" w:cstheme="minorHAnsi"/>
                <w:noProof/>
                <w:webHidden/>
              </w:rPr>
              <w:fldChar w:fldCharType="end"/>
            </w:r>
          </w:hyperlink>
        </w:p>
        <w:p w14:paraId="00A16F9E" w14:textId="0D78657C" w:rsidR="00914739" w:rsidRPr="00914739" w:rsidRDefault="00B364FB">
          <w:pPr>
            <w:pStyle w:val="TOC1"/>
            <w:rPr>
              <w:rFonts w:asciiTheme="minorHAnsi" w:eastAsiaTheme="minorEastAsia" w:hAnsiTheme="minorHAnsi" w:cstheme="minorHAnsi"/>
              <w:noProof/>
              <w:sz w:val="22"/>
              <w:szCs w:val="22"/>
              <w:lang w:eastAsia="en-AU"/>
            </w:rPr>
          </w:pPr>
          <w:hyperlink w:anchor="_Toc84844719" w:history="1">
            <w:r w:rsidR="00914739" w:rsidRPr="00914739">
              <w:rPr>
                <w:rStyle w:val="Hyperlink"/>
                <w:rFonts w:asciiTheme="minorHAnsi" w:hAnsiTheme="minorHAnsi" w:cstheme="minorHAnsi"/>
                <w:b/>
                <w:bCs/>
                <w:noProof/>
              </w:rPr>
              <w:t>3</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b/>
                <w:bCs/>
                <w:noProof/>
              </w:rPr>
              <w:t>COST RECOVERY MODEL</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_Toc84844719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7</w:t>
            </w:r>
            <w:r w:rsidR="00914739" w:rsidRPr="00914739">
              <w:rPr>
                <w:rFonts w:asciiTheme="minorHAnsi" w:hAnsiTheme="minorHAnsi" w:cstheme="minorHAnsi"/>
                <w:noProof/>
                <w:webHidden/>
              </w:rPr>
              <w:fldChar w:fldCharType="end"/>
            </w:r>
          </w:hyperlink>
        </w:p>
        <w:p w14:paraId="4C43ABC8" w14:textId="695231DA" w:rsidR="00914739" w:rsidRPr="00914739" w:rsidRDefault="00B364FB">
          <w:pPr>
            <w:pStyle w:val="TOC2"/>
            <w:tabs>
              <w:tab w:val="left" w:pos="880"/>
              <w:tab w:val="right" w:leader="dot" w:pos="9771"/>
            </w:tabs>
            <w:rPr>
              <w:rFonts w:asciiTheme="minorHAnsi" w:eastAsiaTheme="minorEastAsia" w:hAnsiTheme="minorHAnsi" w:cstheme="minorHAnsi"/>
              <w:noProof/>
              <w:sz w:val="22"/>
              <w:szCs w:val="22"/>
              <w:lang w:eastAsia="en-AU"/>
            </w:rPr>
          </w:pPr>
          <w:hyperlink w:anchor="_Toc84844720" w:history="1">
            <w:r w:rsidR="00914739" w:rsidRPr="00914739">
              <w:rPr>
                <w:rStyle w:val="Hyperlink"/>
                <w:rFonts w:asciiTheme="minorHAnsi" w:hAnsiTheme="minorHAnsi" w:cstheme="minorHAnsi"/>
                <w:noProof/>
              </w:rPr>
              <w:t>3.1</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noProof/>
              </w:rPr>
              <w:t>Outputs and business processes of the regulatory charging activity</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_Toc84844720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7</w:t>
            </w:r>
            <w:r w:rsidR="00914739" w:rsidRPr="00914739">
              <w:rPr>
                <w:rFonts w:asciiTheme="minorHAnsi" w:hAnsiTheme="minorHAnsi" w:cstheme="minorHAnsi"/>
                <w:noProof/>
                <w:webHidden/>
              </w:rPr>
              <w:fldChar w:fldCharType="end"/>
            </w:r>
          </w:hyperlink>
        </w:p>
        <w:p w14:paraId="5B21F804" w14:textId="2EF347F0" w:rsidR="00914739" w:rsidRPr="00914739" w:rsidRDefault="00B364FB">
          <w:pPr>
            <w:pStyle w:val="TOC2"/>
            <w:tabs>
              <w:tab w:val="left" w:pos="880"/>
              <w:tab w:val="right" w:leader="dot" w:pos="9771"/>
            </w:tabs>
            <w:rPr>
              <w:rFonts w:asciiTheme="minorHAnsi" w:eastAsiaTheme="minorEastAsia" w:hAnsiTheme="minorHAnsi" w:cstheme="minorHAnsi"/>
              <w:noProof/>
              <w:sz w:val="22"/>
              <w:szCs w:val="22"/>
              <w:lang w:eastAsia="en-AU"/>
            </w:rPr>
          </w:pPr>
          <w:hyperlink w:anchor="_Toc84844721" w:history="1">
            <w:r w:rsidR="00914739" w:rsidRPr="00914739">
              <w:rPr>
                <w:rStyle w:val="Hyperlink"/>
                <w:rFonts w:asciiTheme="minorHAnsi" w:hAnsiTheme="minorHAnsi" w:cstheme="minorHAnsi"/>
                <w:noProof/>
              </w:rPr>
              <w:t>3.2</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noProof/>
              </w:rPr>
              <w:t>Outputs and business processes</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_Toc84844721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9</w:t>
            </w:r>
            <w:r w:rsidR="00914739" w:rsidRPr="00914739">
              <w:rPr>
                <w:rFonts w:asciiTheme="minorHAnsi" w:hAnsiTheme="minorHAnsi" w:cstheme="minorHAnsi"/>
                <w:noProof/>
                <w:webHidden/>
              </w:rPr>
              <w:fldChar w:fldCharType="end"/>
            </w:r>
          </w:hyperlink>
        </w:p>
        <w:p w14:paraId="41348706" w14:textId="29F8E457" w:rsidR="00914739" w:rsidRPr="00914739" w:rsidRDefault="00B364FB">
          <w:pPr>
            <w:pStyle w:val="TOC2"/>
            <w:tabs>
              <w:tab w:val="left" w:pos="880"/>
              <w:tab w:val="right" w:leader="dot" w:pos="9771"/>
            </w:tabs>
            <w:rPr>
              <w:rFonts w:asciiTheme="minorHAnsi" w:eastAsiaTheme="minorEastAsia" w:hAnsiTheme="minorHAnsi" w:cstheme="minorHAnsi"/>
              <w:noProof/>
              <w:sz w:val="22"/>
              <w:szCs w:val="22"/>
              <w:lang w:eastAsia="en-AU"/>
            </w:rPr>
          </w:pPr>
          <w:hyperlink w:anchor="_Toc84844722" w:history="1">
            <w:r w:rsidR="00914739" w:rsidRPr="00914739">
              <w:rPr>
                <w:rStyle w:val="Hyperlink"/>
                <w:rFonts w:asciiTheme="minorHAnsi" w:hAnsiTheme="minorHAnsi" w:cstheme="minorHAnsi"/>
                <w:noProof/>
              </w:rPr>
              <w:t>3.3</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noProof/>
              </w:rPr>
              <w:t>Costs of the regulatory charging activity</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_Toc84844722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12</w:t>
            </w:r>
            <w:r w:rsidR="00914739" w:rsidRPr="00914739">
              <w:rPr>
                <w:rFonts w:asciiTheme="minorHAnsi" w:hAnsiTheme="minorHAnsi" w:cstheme="minorHAnsi"/>
                <w:noProof/>
                <w:webHidden/>
              </w:rPr>
              <w:fldChar w:fldCharType="end"/>
            </w:r>
          </w:hyperlink>
        </w:p>
        <w:p w14:paraId="172CB54B" w14:textId="1A2A76C8" w:rsidR="00914739" w:rsidRPr="00914739" w:rsidRDefault="00B364FB">
          <w:pPr>
            <w:pStyle w:val="TOC2"/>
            <w:tabs>
              <w:tab w:val="left" w:pos="880"/>
              <w:tab w:val="right" w:leader="dot" w:pos="9771"/>
            </w:tabs>
            <w:rPr>
              <w:rFonts w:asciiTheme="minorHAnsi" w:eastAsiaTheme="minorEastAsia" w:hAnsiTheme="minorHAnsi" w:cstheme="minorHAnsi"/>
              <w:noProof/>
              <w:sz w:val="22"/>
              <w:szCs w:val="22"/>
              <w:lang w:eastAsia="en-AU"/>
            </w:rPr>
          </w:pPr>
          <w:hyperlink w:anchor="_Toc84844723" w:history="1">
            <w:r w:rsidR="00914739" w:rsidRPr="00914739">
              <w:rPr>
                <w:rStyle w:val="Hyperlink"/>
                <w:rFonts w:asciiTheme="minorHAnsi" w:hAnsiTheme="minorHAnsi" w:cstheme="minorHAnsi"/>
                <w:noProof/>
              </w:rPr>
              <w:t>3.4</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noProof/>
              </w:rPr>
              <w:t>Costs of the activity</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_Toc84844723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12</w:t>
            </w:r>
            <w:r w:rsidR="00914739" w:rsidRPr="00914739">
              <w:rPr>
                <w:rFonts w:asciiTheme="minorHAnsi" w:hAnsiTheme="minorHAnsi" w:cstheme="minorHAnsi"/>
                <w:noProof/>
                <w:webHidden/>
              </w:rPr>
              <w:fldChar w:fldCharType="end"/>
            </w:r>
          </w:hyperlink>
        </w:p>
        <w:p w14:paraId="2933B5FF" w14:textId="3E91C062" w:rsidR="00914739" w:rsidRPr="00914739" w:rsidRDefault="00B364FB">
          <w:pPr>
            <w:pStyle w:val="TOC2"/>
            <w:tabs>
              <w:tab w:val="left" w:pos="880"/>
              <w:tab w:val="right" w:leader="dot" w:pos="9771"/>
            </w:tabs>
            <w:rPr>
              <w:rFonts w:asciiTheme="minorHAnsi" w:eastAsiaTheme="minorEastAsia" w:hAnsiTheme="minorHAnsi" w:cstheme="minorHAnsi"/>
              <w:noProof/>
              <w:sz w:val="22"/>
              <w:szCs w:val="22"/>
              <w:lang w:eastAsia="en-AU"/>
            </w:rPr>
          </w:pPr>
          <w:hyperlink w:anchor="_Toc84844724" w:history="1">
            <w:r w:rsidR="00914739" w:rsidRPr="00914739">
              <w:rPr>
                <w:rStyle w:val="Hyperlink"/>
                <w:rFonts w:asciiTheme="minorHAnsi" w:hAnsiTheme="minorHAnsi" w:cstheme="minorHAnsi"/>
                <w:noProof/>
              </w:rPr>
              <w:t>3.5</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noProof/>
              </w:rPr>
              <w:t>Design of regulatory charges</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_Toc84844724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14</w:t>
            </w:r>
            <w:r w:rsidR="00914739" w:rsidRPr="00914739">
              <w:rPr>
                <w:rFonts w:asciiTheme="minorHAnsi" w:hAnsiTheme="minorHAnsi" w:cstheme="minorHAnsi"/>
                <w:noProof/>
                <w:webHidden/>
              </w:rPr>
              <w:fldChar w:fldCharType="end"/>
            </w:r>
          </w:hyperlink>
        </w:p>
        <w:p w14:paraId="3FD9B082" w14:textId="077BB084" w:rsidR="00914739" w:rsidRPr="00914739" w:rsidRDefault="00B364FB">
          <w:pPr>
            <w:pStyle w:val="TOC2"/>
            <w:tabs>
              <w:tab w:val="left" w:pos="880"/>
              <w:tab w:val="right" w:leader="dot" w:pos="9771"/>
            </w:tabs>
            <w:rPr>
              <w:rFonts w:asciiTheme="minorHAnsi" w:eastAsiaTheme="minorEastAsia" w:hAnsiTheme="minorHAnsi" w:cstheme="minorHAnsi"/>
              <w:noProof/>
              <w:sz w:val="22"/>
              <w:szCs w:val="22"/>
              <w:lang w:eastAsia="en-AU"/>
            </w:rPr>
          </w:pPr>
          <w:hyperlink w:anchor="_Toc84844725" w:history="1">
            <w:r w:rsidR="00914739" w:rsidRPr="00914739">
              <w:rPr>
                <w:rStyle w:val="Hyperlink"/>
                <w:rFonts w:asciiTheme="minorHAnsi" w:hAnsiTheme="minorHAnsi" w:cstheme="minorHAnsi"/>
                <w:noProof/>
              </w:rPr>
              <w:t>3.6</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noProof/>
              </w:rPr>
              <w:t>Cost recovery levy</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_Toc84844725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14</w:t>
            </w:r>
            <w:r w:rsidR="00914739" w:rsidRPr="00914739">
              <w:rPr>
                <w:rFonts w:asciiTheme="minorHAnsi" w:hAnsiTheme="minorHAnsi" w:cstheme="minorHAnsi"/>
                <w:noProof/>
                <w:webHidden/>
              </w:rPr>
              <w:fldChar w:fldCharType="end"/>
            </w:r>
          </w:hyperlink>
        </w:p>
        <w:p w14:paraId="1D553FE6" w14:textId="4B6113CD" w:rsidR="00914739" w:rsidRPr="00914739" w:rsidRDefault="00B364FB">
          <w:pPr>
            <w:pStyle w:val="TOC2"/>
            <w:tabs>
              <w:tab w:val="left" w:pos="880"/>
              <w:tab w:val="right" w:leader="dot" w:pos="9771"/>
            </w:tabs>
            <w:rPr>
              <w:rFonts w:asciiTheme="minorHAnsi" w:eastAsiaTheme="minorEastAsia" w:hAnsiTheme="minorHAnsi" w:cstheme="minorHAnsi"/>
              <w:noProof/>
              <w:sz w:val="22"/>
              <w:szCs w:val="22"/>
              <w:lang w:eastAsia="en-AU"/>
            </w:rPr>
          </w:pPr>
          <w:hyperlink w:anchor="_Toc84844726" w:history="1">
            <w:r w:rsidR="00914739" w:rsidRPr="00914739">
              <w:rPr>
                <w:rStyle w:val="Hyperlink"/>
                <w:rFonts w:asciiTheme="minorHAnsi" w:hAnsiTheme="minorHAnsi" w:cstheme="minorHAnsi"/>
                <w:noProof/>
              </w:rPr>
              <w:t>3.7</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noProof/>
              </w:rPr>
              <w:t>Cost recovery fees</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_Toc84844726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16</w:t>
            </w:r>
            <w:r w:rsidR="00914739" w:rsidRPr="00914739">
              <w:rPr>
                <w:rFonts w:asciiTheme="minorHAnsi" w:hAnsiTheme="minorHAnsi" w:cstheme="minorHAnsi"/>
                <w:noProof/>
                <w:webHidden/>
              </w:rPr>
              <w:fldChar w:fldCharType="end"/>
            </w:r>
          </w:hyperlink>
        </w:p>
        <w:p w14:paraId="6A8117C5" w14:textId="7AEE6BAD" w:rsidR="00914739" w:rsidRPr="00914739" w:rsidRDefault="00B364FB">
          <w:pPr>
            <w:pStyle w:val="TOC1"/>
            <w:rPr>
              <w:rFonts w:asciiTheme="minorHAnsi" w:eastAsiaTheme="minorEastAsia" w:hAnsiTheme="minorHAnsi" w:cstheme="minorHAnsi"/>
              <w:noProof/>
              <w:sz w:val="22"/>
              <w:szCs w:val="22"/>
              <w:lang w:eastAsia="en-AU"/>
            </w:rPr>
          </w:pPr>
          <w:hyperlink w:anchor="_Toc84844727" w:history="1">
            <w:r w:rsidR="00914739" w:rsidRPr="00914739">
              <w:rPr>
                <w:rStyle w:val="Hyperlink"/>
                <w:rFonts w:asciiTheme="minorHAnsi" w:hAnsiTheme="minorHAnsi" w:cstheme="minorHAnsi"/>
                <w:b/>
                <w:bCs/>
                <w:noProof/>
              </w:rPr>
              <w:t>4</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b/>
                <w:bCs/>
                <w:noProof/>
              </w:rPr>
              <w:t>RISK ASSESSMENT</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_Toc84844727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19</w:t>
            </w:r>
            <w:r w:rsidR="00914739" w:rsidRPr="00914739">
              <w:rPr>
                <w:rFonts w:asciiTheme="minorHAnsi" w:hAnsiTheme="minorHAnsi" w:cstheme="minorHAnsi"/>
                <w:noProof/>
                <w:webHidden/>
              </w:rPr>
              <w:fldChar w:fldCharType="end"/>
            </w:r>
          </w:hyperlink>
        </w:p>
        <w:p w14:paraId="7579C9C3" w14:textId="1E9D5FF4" w:rsidR="00914739" w:rsidRPr="00914739" w:rsidRDefault="00B364FB">
          <w:pPr>
            <w:pStyle w:val="TOC1"/>
            <w:rPr>
              <w:rFonts w:asciiTheme="minorHAnsi" w:eastAsiaTheme="minorEastAsia" w:hAnsiTheme="minorHAnsi" w:cstheme="minorHAnsi"/>
              <w:noProof/>
              <w:sz w:val="22"/>
              <w:szCs w:val="22"/>
              <w:lang w:eastAsia="en-AU"/>
            </w:rPr>
          </w:pPr>
          <w:hyperlink w:anchor="_Toc84844728" w:history="1">
            <w:r w:rsidR="00914739" w:rsidRPr="00914739">
              <w:rPr>
                <w:rStyle w:val="Hyperlink"/>
                <w:rFonts w:asciiTheme="minorHAnsi" w:hAnsiTheme="minorHAnsi" w:cstheme="minorHAnsi"/>
                <w:b/>
                <w:bCs/>
                <w:noProof/>
              </w:rPr>
              <w:t>5</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b/>
                <w:bCs/>
                <w:noProof/>
              </w:rPr>
              <w:t>STAKEHOLDER ENGAGEMENT</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_Toc84844728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20</w:t>
            </w:r>
            <w:r w:rsidR="00914739" w:rsidRPr="00914739">
              <w:rPr>
                <w:rFonts w:asciiTheme="minorHAnsi" w:hAnsiTheme="minorHAnsi" w:cstheme="minorHAnsi"/>
                <w:noProof/>
                <w:webHidden/>
              </w:rPr>
              <w:fldChar w:fldCharType="end"/>
            </w:r>
          </w:hyperlink>
        </w:p>
        <w:p w14:paraId="5C3E3EF1" w14:textId="6A030A8E" w:rsidR="00914739" w:rsidRPr="00914739" w:rsidRDefault="00B364FB">
          <w:pPr>
            <w:pStyle w:val="TOC3"/>
            <w:tabs>
              <w:tab w:val="right" w:leader="dot" w:pos="9771"/>
            </w:tabs>
            <w:rPr>
              <w:rFonts w:asciiTheme="minorHAnsi" w:eastAsiaTheme="minorEastAsia" w:hAnsiTheme="minorHAnsi" w:cstheme="minorHAnsi"/>
              <w:noProof/>
              <w:sz w:val="22"/>
              <w:szCs w:val="22"/>
              <w:lang w:eastAsia="en-AU"/>
            </w:rPr>
          </w:pPr>
          <w:hyperlink w:anchor="_Toc84844729" w:history="1">
            <w:r w:rsidR="00914739" w:rsidRPr="00914739">
              <w:rPr>
                <w:rStyle w:val="Hyperlink"/>
                <w:rFonts w:asciiTheme="minorHAnsi" w:hAnsiTheme="minorHAnsi" w:cstheme="minorHAnsi"/>
                <w:i/>
                <w:iCs/>
                <w:noProof/>
              </w:rPr>
              <w:t>Cost recovery consultation</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_Toc84844729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20</w:t>
            </w:r>
            <w:r w:rsidR="00914739" w:rsidRPr="00914739">
              <w:rPr>
                <w:rFonts w:asciiTheme="minorHAnsi" w:hAnsiTheme="minorHAnsi" w:cstheme="minorHAnsi"/>
                <w:noProof/>
                <w:webHidden/>
              </w:rPr>
              <w:fldChar w:fldCharType="end"/>
            </w:r>
          </w:hyperlink>
        </w:p>
        <w:p w14:paraId="5B017C31" w14:textId="79C34C08" w:rsidR="00914739" w:rsidRPr="00914739" w:rsidRDefault="00B364FB">
          <w:pPr>
            <w:pStyle w:val="TOC3"/>
            <w:tabs>
              <w:tab w:val="right" w:leader="dot" w:pos="9771"/>
            </w:tabs>
            <w:rPr>
              <w:rFonts w:asciiTheme="minorHAnsi" w:eastAsiaTheme="minorEastAsia" w:hAnsiTheme="minorHAnsi" w:cstheme="minorHAnsi"/>
              <w:noProof/>
              <w:sz w:val="22"/>
              <w:szCs w:val="22"/>
              <w:lang w:eastAsia="en-AU"/>
            </w:rPr>
          </w:pPr>
          <w:hyperlink w:anchor="_Toc84844730" w:history="1">
            <w:r w:rsidR="00914739" w:rsidRPr="00914739">
              <w:rPr>
                <w:rStyle w:val="Hyperlink"/>
                <w:rFonts w:asciiTheme="minorHAnsi" w:hAnsiTheme="minorHAnsi" w:cstheme="minorHAnsi"/>
                <w:i/>
                <w:iCs/>
                <w:noProof/>
              </w:rPr>
              <w:t>NOPTA international benchmarking</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_Toc84844730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20</w:t>
            </w:r>
            <w:r w:rsidR="00914739" w:rsidRPr="00914739">
              <w:rPr>
                <w:rFonts w:asciiTheme="minorHAnsi" w:hAnsiTheme="minorHAnsi" w:cstheme="minorHAnsi"/>
                <w:noProof/>
                <w:webHidden/>
              </w:rPr>
              <w:fldChar w:fldCharType="end"/>
            </w:r>
          </w:hyperlink>
        </w:p>
        <w:p w14:paraId="63063911" w14:textId="07556179" w:rsidR="00914739" w:rsidRPr="00914739" w:rsidRDefault="00B364FB">
          <w:pPr>
            <w:pStyle w:val="TOC1"/>
            <w:rPr>
              <w:rFonts w:asciiTheme="minorHAnsi" w:eastAsiaTheme="minorEastAsia" w:hAnsiTheme="minorHAnsi" w:cstheme="minorHAnsi"/>
              <w:noProof/>
              <w:sz w:val="22"/>
              <w:szCs w:val="22"/>
              <w:lang w:eastAsia="en-AU"/>
            </w:rPr>
          </w:pPr>
          <w:hyperlink w:anchor="_Toc84844731" w:history="1">
            <w:r w:rsidR="00914739" w:rsidRPr="00914739">
              <w:rPr>
                <w:rStyle w:val="Hyperlink"/>
                <w:rFonts w:asciiTheme="minorHAnsi" w:hAnsiTheme="minorHAnsi" w:cstheme="minorHAnsi"/>
                <w:b/>
                <w:bCs/>
                <w:noProof/>
              </w:rPr>
              <w:t>6</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b/>
                <w:bCs/>
                <w:noProof/>
              </w:rPr>
              <w:t>FINANCIAL ESTIMATES</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_Toc84844731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21</w:t>
            </w:r>
            <w:r w:rsidR="00914739" w:rsidRPr="00914739">
              <w:rPr>
                <w:rFonts w:asciiTheme="minorHAnsi" w:hAnsiTheme="minorHAnsi" w:cstheme="minorHAnsi"/>
                <w:noProof/>
                <w:webHidden/>
              </w:rPr>
              <w:fldChar w:fldCharType="end"/>
            </w:r>
          </w:hyperlink>
        </w:p>
        <w:p w14:paraId="00C83625" w14:textId="32E29A81" w:rsidR="00914739" w:rsidRPr="00914739" w:rsidRDefault="00B364FB">
          <w:pPr>
            <w:pStyle w:val="TOC1"/>
            <w:rPr>
              <w:rFonts w:asciiTheme="minorHAnsi" w:eastAsiaTheme="minorEastAsia" w:hAnsiTheme="minorHAnsi" w:cstheme="minorHAnsi"/>
              <w:noProof/>
              <w:sz w:val="22"/>
              <w:szCs w:val="22"/>
              <w:lang w:eastAsia="en-AU"/>
            </w:rPr>
          </w:pPr>
          <w:hyperlink w:anchor="_Toc84844732" w:history="1">
            <w:r w:rsidR="00914739" w:rsidRPr="00914739">
              <w:rPr>
                <w:rStyle w:val="Hyperlink"/>
                <w:rFonts w:asciiTheme="minorHAnsi" w:hAnsiTheme="minorHAnsi" w:cstheme="minorHAnsi"/>
                <w:b/>
                <w:bCs/>
                <w:noProof/>
              </w:rPr>
              <w:t>7</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b/>
                <w:bCs/>
                <w:noProof/>
              </w:rPr>
              <w:t>FINANCIAL PERFORMANCE</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_Toc84844732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21</w:t>
            </w:r>
            <w:r w:rsidR="00914739" w:rsidRPr="00914739">
              <w:rPr>
                <w:rFonts w:asciiTheme="minorHAnsi" w:hAnsiTheme="minorHAnsi" w:cstheme="minorHAnsi"/>
                <w:noProof/>
                <w:webHidden/>
              </w:rPr>
              <w:fldChar w:fldCharType="end"/>
            </w:r>
          </w:hyperlink>
        </w:p>
        <w:p w14:paraId="1BD1CB50" w14:textId="62CDA51D" w:rsidR="00914739" w:rsidRPr="00914739" w:rsidRDefault="00B364FB">
          <w:pPr>
            <w:pStyle w:val="TOC1"/>
            <w:rPr>
              <w:rFonts w:asciiTheme="minorHAnsi" w:eastAsiaTheme="minorEastAsia" w:hAnsiTheme="minorHAnsi" w:cstheme="minorHAnsi"/>
              <w:noProof/>
              <w:sz w:val="22"/>
              <w:szCs w:val="22"/>
              <w:lang w:eastAsia="en-AU"/>
            </w:rPr>
          </w:pPr>
          <w:hyperlink w:anchor="_Toc84844733" w:history="1">
            <w:r w:rsidR="00914739" w:rsidRPr="00914739">
              <w:rPr>
                <w:rStyle w:val="Hyperlink"/>
                <w:rFonts w:asciiTheme="minorHAnsi" w:hAnsiTheme="minorHAnsi" w:cstheme="minorHAnsi"/>
                <w:b/>
                <w:bCs/>
                <w:noProof/>
              </w:rPr>
              <w:t>8</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b/>
                <w:bCs/>
                <w:noProof/>
              </w:rPr>
              <w:t>NON-FINANCIAL PERFORMANCE</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_Toc84844733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21</w:t>
            </w:r>
            <w:r w:rsidR="00914739" w:rsidRPr="00914739">
              <w:rPr>
                <w:rFonts w:asciiTheme="minorHAnsi" w:hAnsiTheme="minorHAnsi" w:cstheme="minorHAnsi"/>
                <w:noProof/>
                <w:webHidden/>
              </w:rPr>
              <w:fldChar w:fldCharType="end"/>
            </w:r>
          </w:hyperlink>
        </w:p>
        <w:p w14:paraId="5A71736F" w14:textId="7F52E871" w:rsidR="00914739" w:rsidRPr="00914739" w:rsidRDefault="00B364FB">
          <w:pPr>
            <w:pStyle w:val="TOC3"/>
            <w:tabs>
              <w:tab w:val="right" w:leader="dot" w:pos="9771"/>
            </w:tabs>
            <w:rPr>
              <w:rFonts w:asciiTheme="minorHAnsi" w:eastAsiaTheme="minorEastAsia" w:hAnsiTheme="minorHAnsi" w:cstheme="minorHAnsi"/>
              <w:noProof/>
              <w:sz w:val="22"/>
              <w:szCs w:val="22"/>
              <w:lang w:eastAsia="en-AU"/>
            </w:rPr>
          </w:pPr>
          <w:hyperlink w:anchor="_Toc84844734" w:history="1">
            <w:r w:rsidR="00914739" w:rsidRPr="00914739">
              <w:rPr>
                <w:rStyle w:val="Hyperlink"/>
                <w:rFonts w:asciiTheme="minorHAnsi" w:hAnsiTheme="minorHAnsi" w:cstheme="minorHAnsi"/>
                <w:i/>
                <w:iCs/>
                <w:noProof/>
              </w:rPr>
              <w:t>NOPTA stakeholder survey</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_Toc84844734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22</w:t>
            </w:r>
            <w:r w:rsidR="00914739" w:rsidRPr="00914739">
              <w:rPr>
                <w:rFonts w:asciiTheme="minorHAnsi" w:hAnsiTheme="minorHAnsi" w:cstheme="minorHAnsi"/>
                <w:noProof/>
                <w:webHidden/>
              </w:rPr>
              <w:fldChar w:fldCharType="end"/>
            </w:r>
          </w:hyperlink>
        </w:p>
        <w:p w14:paraId="4D665795" w14:textId="286C716B" w:rsidR="00914739" w:rsidRPr="00914739" w:rsidRDefault="00B364FB">
          <w:pPr>
            <w:pStyle w:val="TOC1"/>
            <w:rPr>
              <w:rFonts w:asciiTheme="minorHAnsi" w:eastAsiaTheme="minorEastAsia" w:hAnsiTheme="minorHAnsi" w:cstheme="minorHAnsi"/>
              <w:noProof/>
              <w:sz w:val="22"/>
              <w:szCs w:val="22"/>
              <w:lang w:eastAsia="en-AU"/>
            </w:rPr>
          </w:pPr>
          <w:hyperlink w:anchor="_Toc84844735" w:history="1">
            <w:r w:rsidR="00914739" w:rsidRPr="00914739">
              <w:rPr>
                <w:rStyle w:val="Hyperlink"/>
                <w:rFonts w:asciiTheme="minorHAnsi" w:hAnsiTheme="minorHAnsi" w:cstheme="minorHAnsi"/>
                <w:b/>
                <w:bCs/>
                <w:noProof/>
              </w:rPr>
              <w:t>9</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b/>
                <w:bCs/>
                <w:noProof/>
              </w:rPr>
              <w:t>KEY FORWARD DATES AND EVENTS</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_Toc84844735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22</w:t>
            </w:r>
            <w:r w:rsidR="00914739" w:rsidRPr="00914739">
              <w:rPr>
                <w:rFonts w:asciiTheme="minorHAnsi" w:hAnsiTheme="minorHAnsi" w:cstheme="minorHAnsi"/>
                <w:noProof/>
                <w:webHidden/>
              </w:rPr>
              <w:fldChar w:fldCharType="end"/>
            </w:r>
          </w:hyperlink>
        </w:p>
        <w:p w14:paraId="6A3AC0A6" w14:textId="5787E486" w:rsidR="00914739" w:rsidRPr="00914739" w:rsidRDefault="00B364FB">
          <w:pPr>
            <w:pStyle w:val="TOC1"/>
            <w:rPr>
              <w:rFonts w:asciiTheme="minorHAnsi" w:eastAsiaTheme="minorEastAsia" w:hAnsiTheme="minorHAnsi" w:cstheme="minorHAnsi"/>
              <w:noProof/>
              <w:sz w:val="22"/>
              <w:szCs w:val="22"/>
              <w:lang w:eastAsia="en-AU"/>
            </w:rPr>
          </w:pPr>
          <w:hyperlink w:anchor="_Toc84844736" w:history="1">
            <w:r w:rsidR="00914739" w:rsidRPr="00914739">
              <w:rPr>
                <w:rStyle w:val="Hyperlink"/>
                <w:rFonts w:asciiTheme="minorHAnsi" w:hAnsiTheme="minorHAnsi" w:cstheme="minorHAnsi"/>
                <w:b/>
                <w:bCs/>
                <w:noProof/>
              </w:rPr>
              <w:t>10</w:t>
            </w:r>
            <w:r w:rsidR="00914739" w:rsidRPr="00914739">
              <w:rPr>
                <w:rFonts w:asciiTheme="minorHAnsi" w:eastAsiaTheme="minorEastAsia" w:hAnsiTheme="minorHAnsi" w:cstheme="minorHAnsi"/>
                <w:noProof/>
                <w:sz w:val="22"/>
                <w:szCs w:val="22"/>
                <w:lang w:eastAsia="en-AU"/>
              </w:rPr>
              <w:tab/>
            </w:r>
            <w:r w:rsidR="00914739" w:rsidRPr="00914739">
              <w:rPr>
                <w:rStyle w:val="Hyperlink"/>
                <w:rFonts w:asciiTheme="minorHAnsi" w:hAnsiTheme="minorHAnsi" w:cstheme="minorHAnsi"/>
                <w:b/>
                <w:bCs/>
                <w:noProof/>
              </w:rPr>
              <w:t>CRIS APPROVAL AND CHANGE REGISTER</w:t>
            </w:r>
            <w:r w:rsidR="00914739" w:rsidRPr="00914739">
              <w:rPr>
                <w:rFonts w:asciiTheme="minorHAnsi" w:hAnsiTheme="minorHAnsi" w:cstheme="minorHAnsi"/>
                <w:noProof/>
                <w:webHidden/>
              </w:rPr>
              <w:tab/>
            </w:r>
            <w:r w:rsidR="00914739" w:rsidRPr="00914739">
              <w:rPr>
                <w:rFonts w:asciiTheme="minorHAnsi" w:hAnsiTheme="minorHAnsi" w:cstheme="minorHAnsi"/>
                <w:noProof/>
                <w:webHidden/>
              </w:rPr>
              <w:fldChar w:fldCharType="begin"/>
            </w:r>
            <w:r w:rsidR="00914739" w:rsidRPr="00914739">
              <w:rPr>
                <w:rFonts w:asciiTheme="minorHAnsi" w:hAnsiTheme="minorHAnsi" w:cstheme="minorHAnsi"/>
                <w:noProof/>
                <w:webHidden/>
              </w:rPr>
              <w:instrText xml:space="preserve"> PAGEREF _Toc84844736 \h </w:instrText>
            </w:r>
            <w:r w:rsidR="00914739" w:rsidRPr="00914739">
              <w:rPr>
                <w:rFonts w:asciiTheme="minorHAnsi" w:hAnsiTheme="minorHAnsi" w:cstheme="minorHAnsi"/>
                <w:noProof/>
                <w:webHidden/>
              </w:rPr>
            </w:r>
            <w:r w:rsidR="00914739" w:rsidRPr="00914739">
              <w:rPr>
                <w:rFonts w:asciiTheme="minorHAnsi" w:hAnsiTheme="minorHAnsi" w:cstheme="minorHAnsi"/>
                <w:noProof/>
                <w:webHidden/>
              </w:rPr>
              <w:fldChar w:fldCharType="separate"/>
            </w:r>
            <w:r w:rsidR="00FC07C5">
              <w:rPr>
                <w:rFonts w:asciiTheme="minorHAnsi" w:hAnsiTheme="minorHAnsi" w:cstheme="minorHAnsi"/>
                <w:noProof/>
                <w:webHidden/>
              </w:rPr>
              <w:t>22</w:t>
            </w:r>
            <w:r w:rsidR="00914739" w:rsidRPr="00914739">
              <w:rPr>
                <w:rFonts w:asciiTheme="minorHAnsi" w:hAnsiTheme="minorHAnsi" w:cstheme="minorHAnsi"/>
                <w:noProof/>
                <w:webHidden/>
              </w:rPr>
              <w:fldChar w:fldCharType="end"/>
            </w:r>
          </w:hyperlink>
        </w:p>
        <w:p w14:paraId="5AD2A54E" w14:textId="6AFD921E" w:rsidR="00727004" w:rsidRDefault="00727004">
          <w:r w:rsidRPr="0023148E">
            <w:rPr>
              <w:rFonts w:asciiTheme="minorHAnsi" w:hAnsiTheme="minorHAnsi" w:cstheme="minorHAnsi"/>
              <w:b/>
              <w:bCs/>
              <w:noProof/>
            </w:rPr>
            <w:fldChar w:fldCharType="end"/>
          </w:r>
        </w:p>
      </w:sdtContent>
    </w:sdt>
    <w:p w14:paraId="4CD08F23" w14:textId="77777777" w:rsidR="00727004" w:rsidRDefault="00727004" w:rsidP="008B679D">
      <w:pPr>
        <w:spacing w:line="480" w:lineRule="auto"/>
        <w:rPr>
          <w:rFonts w:asciiTheme="minorHAnsi" w:hAnsiTheme="minorHAnsi"/>
        </w:rPr>
      </w:pPr>
    </w:p>
    <w:p w14:paraId="59F2392B" w14:textId="781009C1" w:rsidR="00727004" w:rsidRDefault="00727004" w:rsidP="008B679D">
      <w:pPr>
        <w:spacing w:line="480" w:lineRule="auto"/>
        <w:rPr>
          <w:rFonts w:asciiTheme="minorHAnsi" w:hAnsiTheme="minorHAnsi"/>
        </w:rPr>
        <w:sectPr w:rsidR="00727004" w:rsidSect="00107D3F">
          <w:pgSz w:w="11906" w:h="16838"/>
          <w:pgMar w:top="720" w:right="991" w:bottom="720" w:left="1134" w:header="708" w:footer="708" w:gutter="0"/>
          <w:cols w:space="708"/>
          <w:docGrid w:linePitch="360"/>
        </w:sectPr>
      </w:pPr>
    </w:p>
    <w:p w14:paraId="1A001239" w14:textId="7FC8EB27" w:rsidR="00C244BC" w:rsidRDefault="00C244BC" w:rsidP="008B679D">
      <w:pPr>
        <w:spacing w:line="480" w:lineRule="auto"/>
        <w:rPr>
          <w:rFonts w:asciiTheme="minorHAnsi" w:hAnsiTheme="minorHAnsi"/>
        </w:rPr>
      </w:pPr>
    </w:p>
    <w:p w14:paraId="0FC7E303" w14:textId="1BC679A2" w:rsidR="008B679D" w:rsidRDefault="008B679D" w:rsidP="00F2024B">
      <w:pPr>
        <w:pStyle w:val="Heading1"/>
        <w:tabs>
          <w:tab w:val="clear" w:pos="432"/>
          <w:tab w:val="num" w:pos="709"/>
        </w:tabs>
        <w:ind w:left="709" w:hanging="709"/>
        <w:jc w:val="left"/>
        <w:rPr>
          <w:rFonts w:asciiTheme="minorHAnsi" w:hAnsiTheme="minorHAnsi" w:cstheme="minorHAnsi"/>
          <w:b/>
          <w:bCs/>
          <w:i w:val="0"/>
          <w:iCs w:val="0"/>
          <w:sz w:val="32"/>
          <w:szCs w:val="32"/>
        </w:rPr>
      </w:pPr>
      <w:bookmarkStart w:id="2" w:name="_Toc84844711"/>
      <w:r w:rsidRPr="00727004">
        <w:rPr>
          <w:rFonts w:asciiTheme="minorHAnsi" w:hAnsiTheme="minorHAnsi" w:cstheme="minorHAnsi"/>
          <w:b/>
          <w:bCs/>
          <w:i w:val="0"/>
          <w:iCs w:val="0"/>
          <w:sz w:val="32"/>
          <w:szCs w:val="32"/>
        </w:rPr>
        <w:t>INTRODUCTION</w:t>
      </w:r>
      <w:bookmarkEnd w:id="2"/>
    </w:p>
    <w:p w14:paraId="2834FE77" w14:textId="1412E111" w:rsidR="00D212A5" w:rsidRDefault="00D212A5" w:rsidP="00D212A5">
      <w:pPr>
        <w:rPr>
          <w:lang w:val="en-US"/>
        </w:rPr>
      </w:pPr>
    </w:p>
    <w:p w14:paraId="7AC57B69" w14:textId="77777777" w:rsidR="00D212A5" w:rsidRPr="00F2024B" w:rsidRDefault="00D212A5" w:rsidP="00F2024B">
      <w:pPr>
        <w:pStyle w:val="Heading2"/>
        <w:tabs>
          <w:tab w:val="clear" w:pos="576"/>
          <w:tab w:val="num" w:pos="709"/>
        </w:tabs>
        <w:ind w:left="709" w:hanging="709"/>
        <w:rPr>
          <w:rFonts w:asciiTheme="minorHAnsi" w:hAnsiTheme="minorHAnsi" w:cstheme="minorHAnsi"/>
          <w:i w:val="0"/>
          <w:iCs w:val="0"/>
        </w:rPr>
      </w:pPr>
      <w:bookmarkStart w:id="3" w:name="_Toc84844712"/>
      <w:r w:rsidRPr="00F2024B">
        <w:rPr>
          <w:rFonts w:asciiTheme="minorHAnsi" w:hAnsiTheme="minorHAnsi" w:cstheme="minorHAnsi"/>
          <w:i w:val="0"/>
          <w:iCs w:val="0"/>
        </w:rPr>
        <w:t>Purpose of the CRIS</w:t>
      </w:r>
      <w:bookmarkEnd w:id="3"/>
      <w:r w:rsidRPr="00F2024B">
        <w:rPr>
          <w:rFonts w:asciiTheme="minorHAnsi" w:eastAsia="SimSun" w:hAnsiTheme="minorHAnsi" w:cstheme="minorHAnsi"/>
          <w:i w:val="0"/>
          <w:iCs w:val="0"/>
        </w:rPr>
        <w:t xml:space="preserve"> </w:t>
      </w:r>
    </w:p>
    <w:p w14:paraId="275C8AA0" w14:textId="4C67AEE2" w:rsidR="0025229D" w:rsidRDefault="00D212A5" w:rsidP="00D212A5">
      <w:pPr>
        <w:rPr>
          <w:rFonts w:asciiTheme="minorHAnsi" w:hAnsiTheme="minorHAnsi"/>
          <w:iCs/>
        </w:rPr>
      </w:pPr>
      <w:r w:rsidRPr="00AB20F0">
        <w:rPr>
          <w:rFonts w:asciiTheme="minorHAnsi" w:hAnsiTheme="minorHAnsi"/>
          <w:iCs/>
        </w:rPr>
        <w:t xml:space="preserve">This </w:t>
      </w:r>
      <w:r>
        <w:rPr>
          <w:rFonts w:asciiTheme="minorHAnsi" w:hAnsiTheme="minorHAnsi"/>
          <w:iCs/>
        </w:rPr>
        <w:t>Cost Recovery Implementation Statement (</w:t>
      </w:r>
      <w:r w:rsidRPr="00AB20F0">
        <w:rPr>
          <w:rFonts w:asciiTheme="minorHAnsi" w:hAnsiTheme="minorHAnsi"/>
          <w:iCs/>
        </w:rPr>
        <w:t>CRIS</w:t>
      </w:r>
      <w:r>
        <w:rPr>
          <w:rFonts w:asciiTheme="minorHAnsi" w:hAnsiTheme="minorHAnsi"/>
          <w:iCs/>
        </w:rPr>
        <w:t>)</w:t>
      </w:r>
      <w:r w:rsidRPr="00AB20F0">
        <w:rPr>
          <w:rFonts w:asciiTheme="minorHAnsi" w:hAnsiTheme="minorHAnsi"/>
          <w:iCs/>
        </w:rPr>
        <w:t xml:space="preserve"> provides information on how </w:t>
      </w:r>
      <w:r>
        <w:rPr>
          <w:rFonts w:asciiTheme="minorHAnsi" w:hAnsiTheme="minorHAnsi"/>
          <w:iCs/>
        </w:rPr>
        <w:t>the National Offshore Petroleum Titles Administrator (</w:t>
      </w:r>
      <w:r>
        <w:rPr>
          <w:rFonts w:asciiTheme="minorHAnsi" w:hAnsiTheme="minorHAnsi"/>
        </w:rPr>
        <w:t>NOPTA)</w:t>
      </w:r>
      <w:r w:rsidRPr="00AB20F0">
        <w:rPr>
          <w:rFonts w:asciiTheme="minorHAnsi" w:hAnsiTheme="minorHAnsi"/>
          <w:iCs/>
        </w:rPr>
        <w:t xml:space="preserve"> implements cost recovery for</w:t>
      </w:r>
      <w:r>
        <w:rPr>
          <w:rFonts w:asciiTheme="minorHAnsi" w:hAnsiTheme="minorHAnsi"/>
          <w:iCs/>
        </w:rPr>
        <w:t xml:space="preserve"> the administration of offshore petroleum and greenhouse gas</w:t>
      </w:r>
      <w:r w:rsidR="00DF461B">
        <w:rPr>
          <w:rFonts w:asciiTheme="minorHAnsi" w:hAnsiTheme="minorHAnsi"/>
          <w:iCs/>
        </w:rPr>
        <w:t xml:space="preserve"> (GHG)</w:t>
      </w:r>
      <w:r>
        <w:rPr>
          <w:rFonts w:asciiTheme="minorHAnsi" w:hAnsiTheme="minorHAnsi"/>
          <w:iCs/>
        </w:rPr>
        <w:t xml:space="preserve"> storage titles (titles administration) under the </w:t>
      </w:r>
      <w:r w:rsidRPr="00D8784E">
        <w:rPr>
          <w:rFonts w:asciiTheme="minorHAnsi" w:hAnsiTheme="minorHAnsi"/>
          <w:i/>
        </w:rPr>
        <w:t>Offshore Petroleum and Greenhouse Gas Storage Act 2006</w:t>
      </w:r>
      <w:r>
        <w:rPr>
          <w:rFonts w:asciiTheme="minorHAnsi" w:hAnsiTheme="minorHAnsi"/>
          <w:iCs/>
        </w:rPr>
        <w:t xml:space="preserve"> (the </w:t>
      </w:r>
      <w:r w:rsidR="005827AF">
        <w:rPr>
          <w:rFonts w:asciiTheme="minorHAnsi" w:hAnsiTheme="minorHAnsi"/>
          <w:iCs/>
        </w:rPr>
        <w:t>OPGGS Act</w:t>
      </w:r>
      <w:r>
        <w:rPr>
          <w:rFonts w:asciiTheme="minorHAnsi" w:hAnsiTheme="minorHAnsi"/>
          <w:iCs/>
        </w:rPr>
        <w:t>)</w:t>
      </w:r>
      <w:r w:rsidR="00BA4B5A">
        <w:rPr>
          <w:rFonts w:asciiTheme="minorHAnsi" w:hAnsiTheme="minorHAnsi"/>
          <w:iCs/>
        </w:rPr>
        <w:t xml:space="preserve">, </w:t>
      </w:r>
      <w:r w:rsidR="00831470">
        <w:rPr>
          <w:rFonts w:asciiTheme="minorHAnsi" w:hAnsiTheme="minorHAnsi"/>
          <w:iCs/>
        </w:rPr>
        <w:t>the</w:t>
      </w:r>
      <w:r w:rsidR="00BA4B5A">
        <w:rPr>
          <w:rFonts w:asciiTheme="minorHAnsi" w:hAnsiTheme="minorHAnsi"/>
          <w:iCs/>
        </w:rPr>
        <w:t xml:space="preserve"> </w:t>
      </w:r>
      <w:r w:rsidR="00BA4B5A" w:rsidRPr="007D7A99">
        <w:rPr>
          <w:rFonts w:asciiTheme="minorHAnsi" w:hAnsiTheme="minorHAnsi" w:cstheme="minorHAnsi"/>
          <w:i/>
        </w:rPr>
        <w:t>Offshore Petroleum and Greenhouse Gas Storage (Regulatory Levies) Act 2003</w:t>
      </w:r>
      <w:r w:rsidR="00D65996">
        <w:rPr>
          <w:rFonts w:asciiTheme="minorHAnsi" w:hAnsiTheme="minorHAnsi"/>
          <w:iCs/>
        </w:rPr>
        <w:t xml:space="preserve"> </w:t>
      </w:r>
      <w:r w:rsidR="00831470">
        <w:rPr>
          <w:rFonts w:asciiTheme="minorHAnsi" w:hAnsiTheme="minorHAnsi"/>
          <w:iCs/>
        </w:rPr>
        <w:t xml:space="preserve">(the Levies Act), </w:t>
      </w:r>
      <w:r w:rsidR="00D65996">
        <w:rPr>
          <w:rFonts w:asciiTheme="minorHAnsi" w:hAnsiTheme="minorHAnsi"/>
          <w:iCs/>
        </w:rPr>
        <w:t xml:space="preserve">and associated </w:t>
      </w:r>
      <w:r w:rsidR="00831470">
        <w:rPr>
          <w:rFonts w:asciiTheme="minorHAnsi" w:hAnsiTheme="minorHAnsi"/>
          <w:iCs/>
        </w:rPr>
        <w:t>regulations</w:t>
      </w:r>
      <w:r w:rsidRPr="00AB20F0">
        <w:rPr>
          <w:rFonts w:asciiTheme="minorHAnsi" w:hAnsiTheme="minorHAnsi"/>
          <w:iCs/>
        </w:rPr>
        <w:t>. It also reports financial and non</w:t>
      </w:r>
      <w:r>
        <w:rPr>
          <w:rFonts w:asciiTheme="minorHAnsi" w:hAnsiTheme="minorHAnsi"/>
          <w:iCs/>
        </w:rPr>
        <w:noBreakHyphen/>
      </w:r>
      <w:r w:rsidRPr="00AB20F0">
        <w:rPr>
          <w:rFonts w:asciiTheme="minorHAnsi" w:hAnsiTheme="minorHAnsi"/>
          <w:iCs/>
        </w:rPr>
        <w:t>financial performance</w:t>
      </w:r>
      <w:r>
        <w:rPr>
          <w:rFonts w:asciiTheme="minorHAnsi" w:hAnsiTheme="minorHAnsi"/>
          <w:iCs/>
        </w:rPr>
        <w:t xml:space="preserve"> information</w:t>
      </w:r>
      <w:r w:rsidRPr="00AB20F0">
        <w:rPr>
          <w:rFonts w:asciiTheme="minorHAnsi" w:hAnsiTheme="minorHAnsi"/>
          <w:iCs/>
        </w:rPr>
        <w:t xml:space="preserve"> for </w:t>
      </w:r>
      <w:r>
        <w:rPr>
          <w:rFonts w:asciiTheme="minorHAnsi" w:hAnsiTheme="minorHAnsi"/>
        </w:rPr>
        <w:t>titles administration</w:t>
      </w:r>
      <w:r w:rsidRPr="00AB20F0">
        <w:rPr>
          <w:rFonts w:asciiTheme="minorHAnsi" w:hAnsiTheme="minorHAnsi"/>
          <w:i/>
          <w:color w:val="595959" w:themeColor="text1" w:themeTint="A6"/>
        </w:rPr>
        <w:t xml:space="preserve"> </w:t>
      </w:r>
      <w:r w:rsidRPr="00AB20F0">
        <w:rPr>
          <w:rFonts w:asciiTheme="minorHAnsi" w:hAnsiTheme="minorHAnsi"/>
          <w:iCs/>
        </w:rPr>
        <w:t xml:space="preserve">and contains financial forecasts. </w:t>
      </w:r>
      <w:r>
        <w:rPr>
          <w:rFonts w:asciiTheme="minorHAnsi" w:hAnsiTheme="minorHAnsi"/>
          <w:iCs/>
        </w:rPr>
        <w:t>NOPTA</w:t>
      </w:r>
      <w:r w:rsidRPr="00AB20F0">
        <w:rPr>
          <w:rFonts w:asciiTheme="minorHAnsi" w:hAnsiTheme="minorHAnsi"/>
          <w:iCs/>
        </w:rPr>
        <w:t xml:space="preserve"> will maintain the CRIS until the activity or cost recovery for the activity has been discontinued.</w:t>
      </w:r>
      <w:r w:rsidR="0025229D">
        <w:rPr>
          <w:rFonts w:asciiTheme="minorHAnsi" w:hAnsiTheme="minorHAnsi"/>
          <w:iCs/>
        </w:rPr>
        <w:t xml:space="preserve"> </w:t>
      </w:r>
    </w:p>
    <w:p w14:paraId="260D769D" w14:textId="77777777" w:rsidR="00D212A5" w:rsidRPr="00F2024B" w:rsidRDefault="00D212A5" w:rsidP="00F2024B">
      <w:pPr>
        <w:pStyle w:val="Heading2"/>
        <w:tabs>
          <w:tab w:val="clear" w:pos="576"/>
          <w:tab w:val="num" w:pos="709"/>
        </w:tabs>
        <w:ind w:left="709" w:hanging="709"/>
        <w:rPr>
          <w:rFonts w:asciiTheme="minorHAnsi" w:hAnsiTheme="minorHAnsi" w:cstheme="minorHAnsi"/>
          <w:i w:val="0"/>
          <w:iCs w:val="0"/>
        </w:rPr>
      </w:pPr>
      <w:bookmarkStart w:id="4" w:name="_Toc84844713"/>
      <w:r w:rsidRPr="00F2024B">
        <w:rPr>
          <w:rFonts w:asciiTheme="minorHAnsi" w:hAnsiTheme="minorHAnsi" w:cstheme="minorHAnsi"/>
          <w:i w:val="0"/>
          <w:iCs w:val="0"/>
        </w:rPr>
        <w:t>Description of the regulatory charging activity</w:t>
      </w:r>
      <w:bookmarkEnd w:id="4"/>
    </w:p>
    <w:p w14:paraId="51D0A1FE" w14:textId="40AD04A5" w:rsidR="009D19A4" w:rsidRPr="00DE0836" w:rsidRDefault="009D19A4" w:rsidP="00D212A5">
      <w:pPr>
        <w:rPr>
          <w:rFonts w:asciiTheme="minorHAnsi" w:hAnsiTheme="minorHAnsi" w:cstheme="minorHAnsi"/>
        </w:rPr>
      </w:pPr>
      <w:r w:rsidRPr="002C7B40">
        <w:rPr>
          <w:rFonts w:asciiTheme="minorHAnsi" w:hAnsiTheme="minorHAnsi" w:cstheme="minorHAnsi"/>
        </w:rPr>
        <w:t xml:space="preserve">NOPTA was established on 1 January 2012 </w:t>
      </w:r>
      <w:r w:rsidR="00DF461B">
        <w:rPr>
          <w:rFonts w:asciiTheme="minorHAnsi" w:hAnsiTheme="minorHAnsi" w:cstheme="minorHAnsi"/>
        </w:rPr>
        <w:t>and is a</w:t>
      </w:r>
      <w:r w:rsidRPr="002C7B40">
        <w:rPr>
          <w:rFonts w:asciiTheme="minorHAnsi" w:hAnsiTheme="minorHAnsi" w:cstheme="minorHAnsi"/>
        </w:rPr>
        <w:t xml:space="preserve"> Branch within the Department of Industry, Science, Energy and Resources (DISER). The General Manager of NOPTA is the Titles Administrator, a statutory position under the </w:t>
      </w:r>
      <w:r w:rsidR="005827AF">
        <w:rPr>
          <w:rFonts w:asciiTheme="minorHAnsi" w:hAnsiTheme="minorHAnsi" w:cstheme="minorHAnsi"/>
        </w:rPr>
        <w:t>OPGGS Act</w:t>
      </w:r>
      <w:r>
        <w:rPr>
          <w:rFonts w:asciiTheme="minorHAnsi" w:hAnsiTheme="minorHAnsi" w:cstheme="minorHAnsi"/>
        </w:rPr>
        <w:t>.</w:t>
      </w:r>
    </w:p>
    <w:p w14:paraId="36AE5C0F" w14:textId="77777777" w:rsidR="00D212A5" w:rsidRPr="009339CD" w:rsidRDefault="00D212A5" w:rsidP="00D212A5">
      <w:pPr>
        <w:rPr>
          <w:rFonts w:asciiTheme="minorHAnsi" w:hAnsiTheme="minorHAnsi" w:cstheme="minorHAnsi"/>
        </w:rPr>
      </w:pPr>
    </w:p>
    <w:p w14:paraId="5A0E7CE5" w14:textId="2018E669" w:rsidR="00D212A5" w:rsidRPr="009339CD" w:rsidRDefault="00D212A5" w:rsidP="00D212A5">
      <w:pPr>
        <w:rPr>
          <w:rFonts w:asciiTheme="minorHAnsi" w:hAnsiTheme="minorHAnsi" w:cstheme="minorHAnsi"/>
        </w:rPr>
      </w:pPr>
      <w:r w:rsidRPr="009339CD">
        <w:rPr>
          <w:rFonts w:asciiTheme="minorHAnsi" w:hAnsiTheme="minorHAnsi" w:cstheme="minorHAnsi"/>
        </w:rPr>
        <w:t xml:space="preserve">Prior to 1 January 2012, the Australian offshore petroleum regulatory framework was administered at </w:t>
      </w:r>
      <w:r>
        <w:rPr>
          <w:rFonts w:asciiTheme="minorHAnsi" w:hAnsiTheme="minorHAnsi" w:cstheme="minorHAnsi"/>
        </w:rPr>
        <w:t xml:space="preserve">a </w:t>
      </w:r>
      <w:r w:rsidRPr="009339CD">
        <w:rPr>
          <w:rFonts w:asciiTheme="minorHAnsi" w:hAnsiTheme="minorHAnsi" w:cstheme="minorHAnsi"/>
        </w:rPr>
        <w:t>State or Territory level</w:t>
      </w:r>
      <w:r w:rsidR="006163EE">
        <w:rPr>
          <w:rFonts w:asciiTheme="minorHAnsi" w:hAnsiTheme="minorHAnsi" w:cstheme="minorHAnsi"/>
        </w:rPr>
        <w:t xml:space="preserve"> (</w:t>
      </w:r>
      <w:r w:rsidR="00B00D27">
        <w:rPr>
          <w:rFonts w:asciiTheme="minorHAnsi" w:hAnsiTheme="minorHAnsi" w:cstheme="minorHAnsi"/>
        </w:rPr>
        <w:t>referred</w:t>
      </w:r>
      <w:r w:rsidR="006163EE">
        <w:rPr>
          <w:rFonts w:asciiTheme="minorHAnsi" w:hAnsiTheme="minorHAnsi" w:cstheme="minorHAnsi"/>
        </w:rPr>
        <w:t xml:space="preserve"> to as the Designated Authorities)</w:t>
      </w:r>
      <w:r w:rsidRPr="009339CD">
        <w:rPr>
          <w:rFonts w:asciiTheme="minorHAnsi" w:hAnsiTheme="minorHAnsi" w:cstheme="minorHAnsi"/>
        </w:rPr>
        <w:t>. A Productivity Commission Review</w:t>
      </w:r>
      <w:r w:rsidRPr="009339CD">
        <w:rPr>
          <w:rStyle w:val="FootnoteReference"/>
          <w:rFonts w:cstheme="minorHAnsi"/>
          <w:color w:val="auto"/>
        </w:rPr>
        <w:footnoteReference w:id="2"/>
      </w:r>
      <w:r w:rsidRPr="009339CD">
        <w:rPr>
          <w:rFonts w:asciiTheme="minorHAnsi" w:hAnsiTheme="minorHAnsi" w:cstheme="minorHAnsi"/>
        </w:rPr>
        <w:t xml:space="preserve"> (the Review) found that this resulted in duplication and overlap that was potentially diminishing the present value of petroleum resource extraction in Australia. The Review found that there was ‘significant unnecessary regulatory burden’ on the offshore petroleum sector. </w:t>
      </w:r>
      <w:r>
        <w:rPr>
          <w:rFonts w:asciiTheme="minorHAnsi" w:hAnsiTheme="minorHAnsi" w:cstheme="minorHAnsi"/>
        </w:rPr>
        <w:t>T</w:t>
      </w:r>
      <w:r w:rsidRPr="009339CD">
        <w:rPr>
          <w:rFonts w:asciiTheme="minorHAnsi" w:hAnsiTheme="minorHAnsi" w:cstheme="minorHAnsi"/>
        </w:rPr>
        <w:t>he Review</w:t>
      </w:r>
      <w:r>
        <w:rPr>
          <w:rFonts w:asciiTheme="minorHAnsi" w:hAnsiTheme="minorHAnsi" w:cstheme="minorHAnsi"/>
        </w:rPr>
        <w:t xml:space="preserve"> recommended </w:t>
      </w:r>
      <w:r w:rsidRPr="009339CD">
        <w:rPr>
          <w:rFonts w:asciiTheme="minorHAnsi" w:hAnsiTheme="minorHAnsi" w:cstheme="minorHAnsi"/>
        </w:rPr>
        <w:t xml:space="preserve">the creation of a national offshore petroleum regulator that would ease regulatory burden. </w:t>
      </w:r>
    </w:p>
    <w:p w14:paraId="78DA4809" w14:textId="77777777" w:rsidR="00D212A5" w:rsidRPr="009339CD" w:rsidRDefault="00D212A5" w:rsidP="00D212A5">
      <w:pPr>
        <w:rPr>
          <w:rFonts w:asciiTheme="minorHAnsi" w:hAnsiTheme="minorHAnsi" w:cstheme="minorHAnsi"/>
        </w:rPr>
      </w:pPr>
    </w:p>
    <w:p w14:paraId="690A8238" w14:textId="77777777" w:rsidR="00D212A5" w:rsidRDefault="00D212A5" w:rsidP="00D212A5">
      <w:pPr>
        <w:rPr>
          <w:rFonts w:asciiTheme="minorHAnsi" w:hAnsiTheme="minorHAnsi" w:cstheme="minorHAnsi"/>
        </w:rPr>
      </w:pPr>
      <w:r w:rsidRPr="009339CD">
        <w:rPr>
          <w:rFonts w:asciiTheme="minorHAnsi" w:hAnsiTheme="minorHAnsi" w:cstheme="minorHAnsi"/>
        </w:rPr>
        <w:t xml:space="preserve">In response to the review, the </w:t>
      </w:r>
      <w:r>
        <w:rPr>
          <w:rFonts w:asciiTheme="minorHAnsi" w:hAnsiTheme="minorHAnsi" w:cstheme="minorHAnsi"/>
        </w:rPr>
        <w:t>Australian</w:t>
      </w:r>
      <w:r w:rsidRPr="009339CD">
        <w:rPr>
          <w:rFonts w:asciiTheme="minorHAnsi" w:hAnsiTheme="minorHAnsi" w:cstheme="minorHAnsi"/>
        </w:rPr>
        <w:t xml:space="preserve"> Government adopted a national model for the regulation of the upstream petroleum sector in Commonwealth waters following extensive consultation with state governments, the Northern Territory Government and industry, and consideration of the outcomes of the Montara Commission of Inquiry</w:t>
      </w:r>
      <w:r w:rsidRPr="009339CD">
        <w:rPr>
          <w:rStyle w:val="FootnoteReference"/>
          <w:rFonts w:cstheme="minorHAnsi"/>
          <w:color w:val="auto"/>
        </w:rPr>
        <w:footnoteReference w:id="3"/>
      </w:r>
      <w:r w:rsidRPr="009339CD">
        <w:rPr>
          <w:rFonts w:asciiTheme="minorHAnsi" w:hAnsiTheme="minorHAnsi" w:cstheme="minorHAnsi"/>
        </w:rPr>
        <w:t>. In addition to NOPTA, the Government established the National Offshore Petroleum Safety and Environmental Management Authority (NOPSEMA), which is responsible for regulation of well integrity, environment plans and occupational health and safety.</w:t>
      </w:r>
    </w:p>
    <w:p w14:paraId="53328F69" w14:textId="77777777" w:rsidR="00D212A5" w:rsidRDefault="00D212A5" w:rsidP="00D212A5">
      <w:pPr>
        <w:rPr>
          <w:rFonts w:asciiTheme="minorHAnsi" w:hAnsiTheme="minorHAnsi" w:cstheme="minorHAnsi"/>
        </w:rPr>
      </w:pPr>
    </w:p>
    <w:p w14:paraId="72AF359E" w14:textId="3EA16037" w:rsidR="00B00D27" w:rsidRPr="00DF461B" w:rsidRDefault="00D212A5" w:rsidP="00B00D27">
      <w:pPr>
        <w:pStyle w:val="CommentText"/>
        <w:rPr>
          <w:rFonts w:asciiTheme="minorHAnsi" w:hAnsiTheme="minorHAnsi" w:cstheme="minorHAnsi"/>
          <w:sz w:val="24"/>
          <w:szCs w:val="24"/>
        </w:rPr>
      </w:pPr>
      <w:r w:rsidRPr="00DF461B">
        <w:rPr>
          <w:rFonts w:asciiTheme="minorHAnsi" w:hAnsiTheme="minorHAnsi" w:cstheme="minorHAnsi"/>
          <w:sz w:val="24"/>
          <w:szCs w:val="24"/>
        </w:rPr>
        <w:t>NOPTA’s purpose</w:t>
      </w:r>
      <w:r w:rsidR="00B00D27">
        <w:rPr>
          <w:rFonts w:asciiTheme="minorHAnsi" w:hAnsiTheme="minorHAnsi" w:cstheme="minorHAnsi"/>
          <w:sz w:val="24"/>
          <w:szCs w:val="24"/>
        </w:rPr>
        <w:t xml:space="preserve"> is to</w:t>
      </w:r>
      <w:r w:rsidRPr="00DF461B">
        <w:rPr>
          <w:rFonts w:asciiTheme="minorHAnsi" w:hAnsiTheme="minorHAnsi" w:cstheme="minorHAnsi"/>
          <w:sz w:val="24"/>
          <w:szCs w:val="24"/>
        </w:rPr>
        <w:t xml:space="preserve"> </w:t>
      </w:r>
      <w:r w:rsidR="00B00D27" w:rsidRPr="00DF461B">
        <w:rPr>
          <w:rFonts w:asciiTheme="minorHAnsi" w:hAnsiTheme="minorHAnsi" w:cstheme="minorHAnsi"/>
          <w:sz w:val="24"/>
          <w:szCs w:val="24"/>
        </w:rPr>
        <w:t xml:space="preserve">administer titles and data management for petroleum and GHG titles in Australian Commonwealth waters. NOPTA supports the management of the offshore petroleum and GHG titles by providing expert advice, administration, compliance monitoring and data management in accordance with the </w:t>
      </w:r>
      <w:r w:rsidR="005827AF">
        <w:rPr>
          <w:rFonts w:asciiTheme="minorHAnsi" w:hAnsiTheme="minorHAnsi" w:cstheme="minorHAnsi"/>
          <w:sz w:val="24"/>
          <w:szCs w:val="24"/>
        </w:rPr>
        <w:t>OPGGS Act</w:t>
      </w:r>
      <w:r w:rsidR="00B00D27" w:rsidRPr="00DF461B">
        <w:rPr>
          <w:rFonts w:asciiTheme="minorHAnsi" w:hAnsiTheme="minorHAnsi" w:cstheme="minorHAnsi"/>
          <w:sz w:val="24"/>
          <w:szCs w:val="24"/>
        </w:rPr>
        <w:t>.</w:t>
      </w:r>
    </w:p>
    <w:p w14:paraId="55B48CA7" w14:textId="4EC40EDA" w:rsidR="00D212A5" w:rsidRPr="009339CD" w:rsidRDefault="00D212A5" w:rsidP="00D212A5">
      <w:pPr>
        <w:rPr>
          <w:rFonts w:asciiTheme="minorHAnsi" w:hAnsiTheme="minorHAnsi" w:cstheme="minorHAnsi"/>
        </w:rPr>
      </w:pPr>
    </w:p>
    <w:p w14:paraId="25346B61" w14:textId="4FF4FC17" w:rsidR="00D212A5" w:rsidRPr="004018CA" w:rsidRDefault="00D212A5" w:rsidP="00D212A5">
      <w:pPr>
        <w:rPr>
          <w:rFonts w:asciiTheme="minorHAnsi" w:hAnsiTheme="minorHAnsi" w:cstheme="minorHAnsi"/>
          <w:color w:val="000000"/>
        </w:rPr>
      </w:pPr>
      <w:r w:rsidRPr="004018CA">
        <w:rPr>
          <w:rFonts w:asciiTheme="minorHAnsi" w:hAnsiTheme="minorHAnsi" w:cstheme="minorHAnsi"/>
          <w:color w:val="000000"/>
        </w:rPr>
        <w:t xml:space="preserve">Under the </w:t>
      </w:r>
      <w:r w:rsidR="005827AF">
        <w:rPr>
          <w:rFonts w:asciiTheme="minorHAnsi" w:hAnsiTheme="minorHAnsi" w:cstheme="minorHAnsi"/>
          <w:color w:val="000000"/>
        </w:rPr>
        <w:t>OPGGS Act</w:t>
      </w:r>
      <w:r w:rsidRPr="004018CA">
        <w:rPr>
          <w:rFonts w:asciiTheme="minorHAnsi" w:hAnsiTheme="minorHAnsi" w:cstheme="minorHAnsi"/>
          <w:color w:val="000000"/>
        </w:rPr>
        <w:t xml:space="preserve"> and associated regulations, NOPTA's functions include:</w:t>
      </w:r>
    </w:p>
    <w:p w14:paraId="67082275" w14:textId="0477DD98" w:rsidR="00D212A5" w:rsidRPr="00BF4B3C" w:rsidRDefault="00D212A5" w:rsidP="00A174D5">
      <w:pPr>
        <w:numPr>
          <w:ilvl w:val="0"/>
          <w:numId w:val="4"/>
        </w:numPr>
        <w:rPr>
          <w:rFonts w:asciiTheme="minorHAnsi" w:hAnsiTheme="minorHAnsi" w:cstheme="minorHAnsi"/>
          <w:color w:val="000000"/>
        </w:rPr>
      </w:pPr>
      <w:r w:rsidRPr="00BF4B3C">
        <w:rPr>
          <w:rFonts w:asciiTheme="minorHAnsi" w:hAnsiTheme="minorHAnsi" w:cstheme="minorHAnsi"/>
          <w:color w:val="000000"/>
        </w:rPr>
        <w:t xml:space="preserve">Providing information, assessments, analysis, reports, advice and recommendations to the </w:t>
      </w:r>
      <w:r w:rsidR="006163EE">
        <w:rPr>
          <w:rFonts w:asciiTheme="minorHAnsi" w:hAnsiTheme="minorHAnsi" w:cstheme="minorHAnsi"/>
          <w:color w:val="000000"/>
        </w:rPr>
        <w:t xml:space="preserve">relevant decision makers under the </w:t>
      </w:r>
      <w:r w:rsidR="005827AF">
        <w:rPr>
          <w:rFonts w:asciiTheme="minorHAnsi" w:hAnsiTheme="minorHAnsi" w:cstheme="minorHAnsi"/>
          <w:color w:val="000000"/>
        </w:rPr>
        <w:t>OPGGS Act</w:t>
      </w:r>
      <w:r w:rsidR="006163EE">
        <w:rPr>
          <w:rFonts w:asciiTheme="minorHAnsi" w:hAnsiTheme="minorHAnsi" w:cstheme="minorHAnsi"/>
          <w:color w:val="000000"/>
        </w:rPr>
        <w:t>.</w:t>
      </w:r>
    </w:p>
    <w:p w14:paraId="3E1EC183" w14:textId="44443DD2" w:rsidR="00D212A5" w:rsidRPr="00BF4B3C" w:rsidRDefault="006163EE" w:rsidP="00A174D5">
      <w:pPr>
        <w:numPr>
          <w:ilvl w:val="0"/>
          <w:numId w:val="4"/>
        </w:numPr>
        <w:rPr>
          <w:rFonts w:asciiTheme="minorHAnsi" w:hAnsiTheme="minorHAnsi" w:cstheme="minorHAnsi"/>
          <w:color w:val="000000"/>
        </w:rPr>
      </w:pPr>
      <w:r>
        <w:rPr>
          <w:rFonts w:asciiTheme="minorHAnsi" w:hAnsiTheme="minorHAnsi" w:cstheme="minorHAnsi"/>
          <w:color w:val="000000"/>
        </w:rPr>
        <w:t>Decisions on g</w:t>
      </w:r>
      <w:r w:rsidR="00D212A5" w:rsidRPr="00BF4B3C">
        <w:rPr>
          <w:rFonts w:asciiTheme="minorHAnsi" w:hAnsiTheme="minorHAnsi" w:cstheme="minorHAnsi"/>
          <w:color w:val="000000"/>
        </w:rPr>
        <w:t>ranting short-term titles (petroleum access authority and petroleum special prospecting authority) and decisions on the registration of transfers and dealings</w:t>
      </w:r>
      <w:r>
        <w:rPr>
          <w:rFonts w:asciiTheme="minorHAnsi" w:hAnsiTheme="minorHAnsi" w:cstheme="minorHAnsi"/>
          <w:color w:val="000000"/>
        </w:rPr>
        <w:t>.</w:t>
      </w:r>
    </w:p>
    <w:p w14:paraId="3CF2A4B8" w14:textId="47168CD2" w:rsidR="00D212A5" w:rsidRPr="00BF4B3C" w:rsidRDefault="00D212A5" w:rsidP="00A174D5">
      <w:pPr>
        <w:numPr>
          <w:ilvl w:val="0"/>
          <w:numId w:val="4"/>
        </w:numPr>
        <w:rPr>
          <w:rFonts w:asciiTheme="minorHAnsi" w:hAnsiTheme="minorHAnsi" w:cstheme="minorHAnsi"/>
          <w:color w:val="000000"/>
        </w:rPr>
      </w:pPr>
      <w:r w:rsidRPr="00BF4B3C">
        <w:rPr>
          <w:rFonts w:asciiTheme="minorHAnsi" w:hAnsiTheme="minorHAnsi" w:cstheme="minorHAnsi"/>
          <w:color w:val="000000"/>
        </w:rPr>
        <w:lastRenderedPageBreak/>
        <w:t>Facilitating life of title administration, including compliance monitoring</w:t>
      </w:r>
      <w:r w:rsidR="000F1259">
        <w:rPr>
          <w:rFonts w:asciiTheme="minorHAnsi" w:hAnsiTheme="minorHAnsi" w:cstheme="minorHAnsi"/>
          <w:color w:val="000000"/>
        </w:rPr>
        <w:t>.</w:t>
      </w:r>
      <w:r w:rsidRPr="00BF4B3C">
        <w:rPr>
          <w:rFonts w:asciiTheme="minorHAnsi" w:hAnsiTheme="minorHAnsi" w:cstheme="minorHAnsi"/>
          <w:color w:val="000000"/>
        </w:rPr>
        <w:t xml:space="preserve"> </w:t>
      </w:r>
    </w:p>
    <w:p w14:paraId="43A5F06C" w14:textId="472539D1" w:rsidR="00D212A5" w:rsidRDefault="00D212A5" w:rsidP="00A174D5">
      <w:pPr>
        <w:numPr>
          <w:ilvl w:val="0"/>
          <w:numId w:val="4"/>
        </w:numPr>
        <w:rPr>
          <w:rFonts w:asciiTheme="minorHAnsi" w:hAnsiTheme="minorHAnsi" w:cstheme="minorHAnsi"/>
          <w:color w:val="000000"/>
        </w:rPr>
      </w:pPr>
      <w:r w:rsidRPr="00BF4B3C">
        <w:rPr>
          <w:rFonts w:asciiTheme="minorHAnsi" w:hAnsiTheme="minorHAnsi" w:cstheme="minorHAnsi"/>
          <w:color w:val="000000"/>
        </w:rPr>
        <w:t xml:space="preserve">Managing the </w:t>
      </w:r>
      <w:r w:rsidR="006163EE">
        <w:rPr>
          <w:rFonts w:asciiTheme="minorHAnsi" w:hAnsiTheme="minorHAnsi" w:cstheme="minorHAnsi"/>
          <w:color w:val="000000"/>
        </w:rPr>
        <w:t>submission and</w:t>
      </w:r>
      <w:r w:rsidRPr="00BF4B3C">
        <w:rPr>
          <w:rFonts w:asciiTheme="minorHAnsi" w:hAnsiTheme="minorHAnsi" w:cstheme="minorHAnsi"/>
          <w:color w:val="000000"/>
        </w:rPr>
        <w:t xml:space="preserve"> release of data</w:t>
      </w:r>
      <w:r w:rsidR="000F1259">
        <w:rPr>
          <w:rFonts w:asciiTheme="minorHAnsi" w:hAnsiTheme="minorHAnsi" w:cstheme="minorHAnsi"/>
          <w:color w:val="000000"/>
        </w:rPr>
        <w:t>.</w:t>
      </w:r>
      <w:r w:rsidRPr="00BF4B3C">
        <w:rPr>
          <w:rFonts w:asciiTheme="minorHAnsi" w:hAnsiTheme="minorHAnsi" w:cstheme="minorHAnsi"/>
          <w:color w:val="000000"/>
        </w:rPr>
        <w:t xml:space="preserve"> </w:t>
      </w:r>
    </w:p>
    <w:p w14:paraId="06BF4AA5" w14:textId="7E1DCF81" w:rsidR="00B00D27" w:rsidRPr="00DF461B" w:rsidRDefault="00B00D27" w:rsidP="00A174D5">
      <w:pPr>
        <w:numPr>
          <w:ilvl w:val="0"/>
          <w:numId w:val="4"/>
        </w:numPr>
        <w:rPr>
          <w:rFonts w:asciiTheme="minorHAnsi" w:hAnsiTheme="minorHAnsi" w:cstheme="minorHAnsi"/>
          <w:color w:val="000000"/>
        </w:rPr>
      </w:pPr>
      <w:r w:rsidRPr="00DF461B">
        <w:rPr>
          <w:rFonts w:asciiTheme="minorHAnsi" w:hAnsiTheme="minorHAnsi" w:cstheme="minorHAnsi"/>
          <w:color w:val="000000"/>
        </w:rPr>
        <w:t xml:space="preserve">Engaging with titleholders on their performance in meeting regulatory obligations and expectations. </w:t>
      </w:r>
    </w:p>
    <w:p w14:paraId="3D0DEE8A" w14:textId="0D2AE4B2" w:rsidR="006163EE" w:rsidRPr="00DF461B" w:rsidRDefault="006163EE" w:rsidP="00A174D5">
      <w:pPr>
        <w:numPr>
          <w:ilvl w:val="0"/>
          <w:numId w:val="4"/>
        </w:numPr>
        <w:rPr>
          <w:rFonts w:asciiTheme="minorHAnsi" w:hAnsiTheme="minorHAnsi" w:cstheme="minorHAnsi"/>
          <w:color w:val="000000"/>
        </w:rPr>
      </w:pPr>
      <w:r w:rsidRPr="00DF461B">
        <w:rPr>
          <w:rFonts w:asciiTheme="minorHAnsi" w:hAnsiTheme="minorHAnsi" w:cstheme="minorHAnsi"/>
          <w:color w:val="000000"/>
        </w:rPr>
        <w:t xml:space="preserve">Maintain the public registers of offshore petroleum and </w:t>
      </w:r>
      <w:r w:rsidR="00DF461B">
        <w:rPr>
          <w:rFonts w:asciiTheme="minorHAnsi" w:hAnsiTheme="minorHAnsi" w:cstheme="minorHAnsi"/>
          <w:color w:val="000000"/>
        </w:rPr>
        <w:t>GHG</w:t>
      </w:r>
      <w:r w:rsidRPr="00DF461B">
        <w:rPr>
          <w:rFonts w:asciiTheme="minorHAnsi" w:hAnsiTheme="minorHAnsi" w:cstheme="minorHAnsi"/>
          <w:color w:val="000000"/>
        </w:rPr>
        <w:t xml:space="preserve"> titles.</w:t>
      </w:r>
    </w:p>
    <w:p w14:paraId="758D8700" w14:textId="7A27E57B" w:rsidR="00D212A5" w:rsidRPr="00BF4B3C" w:rsidRDefault="00D212A5" w:rsidP="00A174D5">
      <w:pPr>
        <w:numPr>
          <w:ilvl w:val="0"/>
          <w:numId w:val="4"/>
        </w:numPr>
        <w:rPr>
          <w:rFonts w:asciiTheme="minorHAnsi" w:hAnsiTheme="minorHAnsi" w:cstheme="minorHAnsi"/>
          <w:color w:val="000000"/>
        </w:rPr>
      </w:pPr>
      <w:r w:rsidRPr="00BF4B3C">
        <w:rPr>
          <w:rFonts w:asciiTheme="minorHAnsi" w:hAnsiTheme="minorHAnsi" w:cstheme="minorHAnsi"/>
          <w:color w:val="000000"/>
        </w:rPr>
        <w:t>Ensuring petroleum resource management is undertaken in accordance with the principles of good oil field practice</w:t>
      </w:r>
      <w:r w:rsidR="000F1259">
        <w:rPr>
          <w:rFonts w:asciiTheme="minorHAnsi" w:hAnsiTheme="minorHAnsi" w:cstheme="minorHAnsi"/>
          <w:color w:val="000000"/>
        </w:rPr>
        <w:t>.</w:t>
      </w:r>
    </w:p>
    <w:p w14:paraId="247C0801" w14:textId="77777777" w:rsidR="00B00D27" w:rsidRPr="00DF461B" w:rsidRDefault="00B00D27" w:rsidP="00A174D5">
      <w:pPr>
        <w:numPr>
          <w:ilvl w:val="0"/>
          <w:numId w:val="4"/>
        </w:numPr>
        <w:rPr>
          <w:rFonts w:asciiTheme="minorHAnsi" w:hAnsiTheme="minorHAnsi" w:cstheme="minorHAnsi"/>
          <w:color w:val="000000"/>
        </w:rPr>
      </w:pPr>
      <w:r w:rsidRPr="00DF461B">
        <w:rPr>
          <w:rFonts w:asciiTheme="minorHAnsi" w:hAnsiTheme="minorHAnsi" w:cstheme="minorHAnsi"/>
          <w:color w:val="000000"/>
        </w:rPr>
        <w:t xml:space="preserve">Implementing effective field performance monitoring strategies in order to secure optimum long term petroleum recovery.  </w:t>
      </w:r>
    </w:p>
    <w:p w14:paraId="6172267A" w14:textId="057CBE87" w:rsidR="00B00D27" w:rsidRPr="00DF461B" w:rsidRDefault="00B00D27" w:rsidP="00A174D5">
      <w:pPr>
        <w:numPr>
          <w:ilvl w:val="0"/>
          <w:numId w:val="4"/>
        </w:numPr>
        <w:rPr>
          <w:rFonts w:asciiTheme="minorHAnsi" w:hAnsiTheme="minorHAnsi" w:cstheme="minorHAnsi"/>
          <w:color w:val="000000"/>
        </w:rPr>
      </w:pPr>
      <w:r w:rsidRPr="00DF461B">
        <w:rPr>
          <w:rFonts w:asciiTheme="minorHAnsi" w:hAnsiTheme="minorHAnsi" w:cstheme="minorHAnsi"/>
          <w:color w:val="000000"/>
        </w:rPr>
        <w:t>Cooperat</w:t>
      </w:r>
      <w:r>
        <w:rPr>
          <w:rFonts w:asciiTheme="minorHAnsi" w:hAnsiTheme="minorHAnsi" w:cstheme="minorHAnsi"/>
          <w:color w:val="000000"/>
        </w:rPr>
        <w:t>ing</w:t>
      </w:r>
      <w:r w:rsidRPr="00DF461B">
        <w:rPr>
          <w:rFonts w:asciiTheme="minorHAnsi" w:hAnsiTheme="minorHAnsi" w:cstheme="minorHAnsi"/>
          <w:color w:val="000000"/>
        </w:rPr>
        <w:t xml:space="preserve"> with NOPSEMA on matters relating to the administration and enforcement of the </w:t>
      </w:r>
      <w:r w:rsidR="005827AF">
        <w:rPr>
          <w:rFonts w:asciiTheme="minorHAnsi" w:hAnsiTheme="minorHAnsi" w:cstheme="minorHAnsi"/>
          <w:color w:val="000000"/>
        </w:rPr>
        <w:t>OPGGS Act</w:t>
      </w:r>
      <w:r w:rsidRPr="00DF461B">
        <w:rPr>
          <w:rFonts w:asciiTheme="minorHAnsi" w:hAnsiTheme="minorHAnsi" w:cstheme="minorHAnsi"/>
          <w:color w:val="000000"/>
        </w:rPr>
        <w:t xml:space="preserve"> and regulations. </w:t>
      </w:r>
    </w:p>
    <w:p w14:paraId="1031D1B6" w14:textId="77777777" w:rsidR="00D212A5" w:rsidRPr="00BF4B3C" w:rsidRDefault="00D212A5" w:rsidP="00D212A5">
      <w:pPr>
        <w:rPr>
          <w:rFonts w:asciiTheme="minorHAnsi" w:hAnsiTheme="minorHAnsi" w:cstheme="minorHAnsi"/>
          <w:color w:val="000000"/>
        </w:rPr>
      </w:pPr>
    </w:p>
    <w:p w14:paraId="6A0A8D1F" w14:textId="1DA5FE43" w:rsidR="009D19A4" w:rsidRDefault="00E105BD" w:rsidP="00D212A5">
      <w:pPr>
        <w:rPr>
          <w:rFonts w:asciiTheme="minorHAnsi" w:hAnsiTheme="minorHAnsi" w:cstheme="minorHAnsi"/>
          <w:color w:val="000000"/>
        </w:rPr>
      </w:pPr>
      <w:r>
        <w:rPr>
          <w:rFonts w:asciiTheme="minorHAnsi" w:hAnsiTheme="minorHAnsi" w:cstheme="minorHAnsi"/>
          <w:color w:val="000000"/>
        </w:rPr>
        <w:t xml:space="preserve">The </w:t>
      </w:r>
      <w:r w:rsidR="00560BE3" w:rsidRPr="00BF4B3C">
        <w:rPr>
          <w:rFonts w:asciiTheme="minorHAnsi" w:hAnsiTheme="minorHAnsi" w:cstheme="minorHAnsi"/>
          <w:color w:val="000000"/>
        </w:rPr>
        <w:t xml:space="preserve">Offshore Resources Branch </w:t>
      </w:r>
      <w:r w:rsidR="00DF461B">
        <w:rPr>
          <w:rFonts w:asciiTheme="minorHAnsi" w:hAnsiTheme="minorHAnsi" w:cstheme="minorHAnsi"/>
          <w:color w:val="000000"/>
        </w:rPr>
        <w:t>(</w:t>
      </w:r>
      <w:r w:rsidR="00560BE3" w:rsidRPr="00BF4B3C">
        <w:rPr>
          <w:rFonts w:asciiTheme="minorHAnsi" w:hAnsiTheme="minorHAnsi" w:cstheme="minorHAnsi"/>
          <w:color w:val="000000"/>
        </w:rPr>
        <w:t>ORB</w:t>
      </w:r>
      <w:r w:rsidR="00DF461B">
        <w:rPr>
          <w:rFonts w:asciiTheme="minorHAnsi" w:hAnsiTheme="minorHAnsi" w:cstheme="minorHAnsi"/>
          <w:color w:val="000000"/>
        </w:rPr>
        <w:t>)</w:t>
      </w:r>
      <w:r w:rsidR="00560BE3" w:rsidRPr="00BF4B3C">
        <w:rPr>
          <w:rFonts w:asciiTheme="minorHAnsi" w:hAnsiTheme="minorHAnsi" w:cstheme="minorHAnsi"/>
          <w:color w:val="000000"/>
        </w:rPr>
        <w:t xml:space="preserve"> </w:t>
      </w:r>
      <w:r w:rsidR="009D19A4">
        <w:rPr>
          <w:rFonts w:asciiTheme="minorHAnsi" w:hAnsiTheme="minorHAnsi" w:cstheme="minorHAnsi"/>
          <w:color w:val="000000"/>
        </w:rPr>
        <w:t>within</w:t>
      </w:r>
      <w:r w:rsidR="00560BE3">
        <w:rPr>
          <w:rFonts w:asciiTheme="minorHAnsi" w:hAnsiTheme="minorHAnsi" w:cstheme="minorHAnsi"/>
          <w:color w:val="000000"/>
        </w:rPr>
        <w:t xml:space="preserve"> DISER </w:t>
      </w:r>
      <w:r w:rsidR="00560BE3" w:rsidRPr="00BF4B3C">
        <w:rPr>
          <w:rFonts w:asciiTheme="minorHAnsi" w:hAnsiTheme="minorHAnsi" w:cstheme="minorHAnsi"/>
          <w:color w:val="000000"/>
        </w:rPr>
        <w:t>provides the Australian Government with policy related advice</w:t>
      </w:r>
      <w:r w:rsidR="00560BE3">
        <w:rPr>
          <w:rFonts w:asciiTheme="minorHAnsi" w:hAnsiTheme="minorHAnsi" w:cstheme="minorHAnsi"/>
          <w:color w:val="000000"/>
        </w:rPr>
        <w:t xml:space="preserve"> and is responsible for maintaining the </w:t>
      </w:r>
      <w:r w:rsidR="005827AF">
        <w:rPr>
          <w:rFonts w:asciiTheme="minorHAnsi" w:hAnsiTheme="minorHAnsi" w:cstheme="minorHAnsi"/>
          <w:color w:val="000000"/>
        </w:rPr>
        <w:t>OPGGS Act</w:t>
      </w:r>
      <w:r w:rsidR="00560BE3">
        <w:rPr>
          <w:rFonts w:asciiTheme="minorHAnsi" w:hAnsiTheme="minorHAnsi" w:cstheme="minorHAnsi"/>
          <w:color w:val="000000"/>
        </w:rPr>
        <w:t>.</w:t>
      </w:r>
      <w:r w:rsidR="00560BE3" w:rsidRPr="00BF4B3C">
        <w:rPr>
          <w:rFonts w:asciiTheme="minorHAnsi" w:hAnsiTheme="minorHAnsi" w:cstheme="minorHAnsi"/>
          <w:color w:val="000000"/>
        </w:rPr>
        <w:t xml:space="preserve"> </w:t>
      </w:r>
      <w:r w:rsidR="00D212A5" w:rsidRPr="00BF4B3C">
        <w:rPr>
          <w:rFonts w:asciiTheme="minorHAnsi" w:hAnsiTheme="minorHAnsi" w:cstheme="minorHAnsi"/>
          <w:color w:val="000000"/>
        </w:rPr>
        <w:t xml:space="preserve">NOPTA utilises its technical and administrative experience to contribute to the development of guidance and legislation through the ORB. </w:t>
      </w:r>
    </w:p>
    <w:p w14:paraId="57C0C798" w14:textId="77777777" w:rsidR="00D212A5" w:rsidRPr="00BF4B3C" w:rsidRDefault="00D212A5" w:rsidP="00D212A5">
      <w:pPr>
        <w:rPr>
          <w:rFonts w:asciiTheme="minorHAnsi" w:hAnsiTheme="minorHAnsi" w:cstheme="minorHAnsi"/>
          <w:color w:val="000000"/>
        </w:rPr>
      </w:pPr>
    </w:p>
    <w:p w14:paraId="19B5EBC3" w14:textId="514BA01A" w:rsidR="00D212A5" w:rsidRDefault="00D212A5" w:rsidP="00D212A5">
      <w:pPr>
        <w:rPr>
          <w:rFonts w:asciiTheme="minorHAnsi" w:hAnsiTheme="minorHAnsi" w:cstheme="minorHAnsi"/>
          <w:color w:val="000000"/>
        </w:rPr>
      </w:pPr>
      <w:r w:rsidRPr="00BF4B3C">
        <w:rPr>
          <w:rFonts w:asciiTheme="minorHAnsi" w:hAnsiTheme="minorHAnsi" w:cstheme="minorHAnsi"/>
          <w:color w:val="000000"/>
        </w:rPr>
        <w:t xml:space="preserve">NOPTA's offices are located in Perth and Melbourne. </w:t>
      </w:r>
    </w:p>
    <w:p w14:paraId="5D49DB16" w14:textId="77777777" w:rsidR="00205982" w:rsidRDefault="00205982" w:rsidP="00D212A5">
      <w:pPr>
        <w:rPr>
          <w:rFonts w:asciiTheme="minorHAnsi" w:hAnsiTheme="minorHAnsi" w:cstheme="minorHAnsi"/>
          <w:color w:val="000000"/>
        </w:rPr>
      </w:pPr>
    </w:p>
    <w:p w14:paraId="0DC3F3B1" w14:textId="3865A941" w:rsidR="00C52647" w:rsidRPr="00986621" w:rsidRDefault="00C52647" w:rsidP="00110E56">
      <w:pPr>
        <w:pStyle w:val="Heading3"/>
        <w:numPr>
          <w:ilvl w:val="0"/>
          <w:numId w:val="0"/>
        </w:numPr>
        <w:spacing w:before="0" w:after="0"/>
        <w:ind w:left="720" w:hanging="720"/>
        <w:rPr>
          <w:rFonts w:asciiTheme="minorHAnsi" w:hAnsiTheme="minorHAnsi" w:cstheme="minorHAnsi"/>
        </w:rPr>
      </w:pPr>
      <w:bookmarkStart w:id="5" w:name="_Toc84844714"/>
      <w:r w:rsidRPr="00110E56">
        <w:rPr>
          <w:rFonts w:asciiTheme="minorHAnsi" w:hAnsiTheme="minorHAnsi" w:cstheme="minorHAnsi"/>
          <w:sz w:val="24"/>
          <w:szCs w:val="24"/>
        </w:rPr>
        <w:t>Operational cost drivers</w:t>
      </w:r>
      <w:bookmarkEnd w:id="5"/>
    </w:p>
    <w:p w14:paraId="6C61EC7C" w14:textId="6A421CF6" w:rsidR="00C52647" w:rsidRDefault="00C52647" w:rsidP="00D212A5">
      <w:pPr>
        <w:rPr>
          <w:rFonts w:asciiTheme="minorHAnsi" w:hAnsiTheme="minorHAnsi" w:cstheme="minorHAnsi"/>
        </w:rPr>
      </w:pPr>
      <w:r w:rsidRPr="00C52647">
        <w:rPr>
          <w:rFonts w:asciiTheme="minorHAnsi" w:hAnsiTheme="minorHAnsi" w:cstheme="minorHAnsi"/>
        </w:rPr>
        <w:t xml:space="preserve">On 1 January 2012, NOPTA began operations on a full cost recovery basis. A CRIS for the interim period and establishment costs for NOPTA was developed in July 2011. NOPTA’s CRIS has since been updated in 2013-14, 2015-16 (updated in line with revised Australian Government Cost Recovery Guidelines) and in 2016-17, when the </w:t>
      </w:r>
      <w:r w:rsidR="00103BC4">
        <w:rPr>
          <w:rFonts w:asciiTheme="minorHAnsi" w:hAnsiTheme="minorHAnsi" w:cstheme="minorHAnsi"/>
        </w:rPr>
        <w:t>previous</w:t>
      </w:r>
      <w:r w:rsidRPr="00C52647">
        <w:rPr>
          <w:rFonts w:asciiTheme="minorHAnsi" w:hAnsiTheme="minorHAnsi" w:cstheme="minorHAnsi"/>
        </w:rPr>
        <w:t xml:space="preserve"> CRIS was published (2016-17 CRIS).</w:t>
      </w:r>
      <w:r w:rsidR="00103BC4">
        <w:rPr>
          <w:rFonts w:asciiTheme="minorHAnsi" w:hAnsiTheme="minorHAnsi" w:cstheme="minorHAnsi"/>
        </w:rPr>
        <w:t xml:space="preserve"> The 2016-17 CRIS was intended to be in place for </w:t>
      </w:r>
      <w:r w:rsidR="00B93272">
        <w:rPr>
          <w:rFonts w:asciiTheme="minorHAnsi" w:hAnsiTheme="minorHAnsi" w:cstheme="minorHAnsi"/>
        </w:rPr>
        <w:t xml:space="preserve">3 </w:t>
      </w:r>
      <w:r w:rsidR="00103BC4">
        <w:rPr>
          <w:rFonts w:asciiTheme="minorHAnsi" w:hAnsiTheme="minorHAnsi" w:cstheme="minorHAnsi"/>
        </w:rPr>
        <w:t xml:space="preserve">years. </w:t>
      </w:r>
    </w:p>
    <w:p w14:paraId="1967E87E" w14:textId="77777777" w:rsidR="00C52647" w:rsidRDefault="00C52647" w:rsidP="00D212A5">
      <w:pPr>
        <w:rPr>
          <w:rFonts w:asciiTheme="minorHAnsi" w:hAnsiTheme="minorHAnsi" w:cstheme="minorHAnsi"/>
        </w:rPr>
      </w:pPr>
    </w:p>
    <w:p w14:paraId="5201E128" w14:textId="0418132E" w:rsidR="00D212A5" w:rsidRPr="00BF4B3C" w:rsidRDefault="00ED2F9B" w:rsidP="00D212A5">
      <w:pPr>
        <w:rPr>
          <w:rFonts w:asciiTheme="minorHAnsi" w:hAnsiTheme="minorHAnsi" w:cstheme="minorHAnsi"/>
        </w:rPr>
      </w:pPr>
      <w:r w:rsidRPr="00BF4B3C">
        <w:rPr>
          <w:rFonts w:asciiTheme="minorHAnsi" w:hAnsiTheme="minorHAnsi" w:cstheme="minorHAnsi"/>
        </w:rPr>
        <w:t xml:space="preserve">NOPTA’s ability to effectively administer and discharge its functions under the </w:t>
      </w:r>
      <w:r w:rsidR="005827AF">
        <w:rPr>
          <w:rFonts w:asciiTheme="minorHAnsi" w:hAnsiTheme="minorHAnsi" w:cstheme="minorHAnsi"/>
        </w:rPr>
        <w:t>OPGGS Act</w:t>
      </w:r>
      <w:r>
        <w:rPr>
          <w:rFonts w:asciiTheme="minorHAnsi" w:hAnsiTheme="minorHAnsi" w:cstheme="minorHAnsi"/>
        </w:rPr>
        <w:t xml:space="preserve"> and to meet the expectations of the responsible Commonwealth Minister</w:t>
      </w:r>
      <w:r w:rsidRPr="004D3913">
        <w:rPr>
          <w:rStyle w:val="FootnoteReference"/>
          <w:rFonts w:cstheme="minorHAnsi"/>
          <w:color w:val="auto"/>
        </w:rPr>
        <w:footnoteReference w:id="4"/>
      </w:r>
      <w:r>
        <w:rPr>
          <w:rFonts w:asciiTheme="minorHAnsi" w:hAnsiTheme="minorHAnsi" w:cstheme="minorHAnsi"/>
        </w:rPr>
        <w:t>,</w:t>
      </w:r>
      <w:r w:rsidRPr="00BF4B3C">
        <w:rPr>
          <w:rFonts w:asciiTheme="minorHAnsi" w:hAnsiTheme="minorHAnsi" w:cstheme="minorHAnsi"/>
        </w:rPr>
        <w:t xml:space="preserve"> is underpinned by </w:t>
      </w:r>
      <w:r>
        <w:rPr>
          <w:rFonts w:asciiTheme="minorHAnsi" w:hAnsiTheme="minorHAnsi" w:cstheme="minorHAnsi"/>
        </w:rPr>
        <w:t xml:space="preserve">access to </w:t>
      </w:r>
      <w:r w:rsidRPr="00BF4B3C">
        <w:rPr>
          <w:rFonts w:asciiTheme="minorHAnsi" w:hAnsiTheme="minorHAnsi" w:cstheme="minorHAnsi"/>
        </w:rPr>
        <w:t xml:space="preserve">sufficient resources, capacity, and qualified personnel. </w:t>
      </w:r>
      <w:r w:rsidR="00103BC4">
        <w:rPr>
          <w:rFonts w:asciiTheme="minorHAnsi" w:hAnsiTheme="minorHAnsi" w:cstheme="minorHAnsi"/>
        </w:rPr>
        <w:t>Since the 2016-17</w:t>
      </w:r>
      <w:r w:rsidR="00442030">
        <w:rPr>
          <w:rFonts w:asciiTheme="minorHAnsi" w:hAnsiTheme="minorHAnsi" w:cstheme="minorHAnsi"/>
        </w:rPr>
        <w:t xml:space="preserve"> CRIS</w:t>
      </w:r>
      <w:r w:rsidR="00103BC4">
        <w:rPr>
          <w:rFonts w:asciiTheme="minorHAnsi" w:hAnsiTheme="minorHAnsi" w:cstheme="minorHAnsi"/>
        </w:rPr>
        <w:t xml:space="preserve">, </w:t>
      </w:r>
      <w:r w:rsidR="00D212A5" w:rsidRPr="00BF4B3C">
        <w:rPr>
          <w:rFonts w:asciiTheme="minorHAnsi" w:hAnsiTheme="minorHAnsi" w:cstheme="minorHAnsi"/>
        </w:rPr>
        <w:t>NOPTA has been operationally efficient in delivering its activities</w:t>
      </w:r>
      <w:r w:rsidR="00103BC4">
        <w:rPr>
          <w:rFonts w:asciiTheme="minorHAnsi" w:hAnsiTheme="minorHAnsi" w:cstheme="minorHAnsi"/>
        </w:rPr>
        <w:t xml:space="preserve"> and has</w:t>
      </w:r>
      <w:r w:rsidR="00D212A5" w:rsidRPr="00BF4B3C">
        <w:rPr>
          <w:rFonts w:asciiTheme="minorHAnsi" w:hAnsiTheme="minorHAnsi" w:cstheme="minorHAnsi"/>
        </w:rPr>
        <w:t xml:space="preserve"> </w:t>
      </w:r>
      <w:r w:rsidR="00103BC4">
        <w:rPr>
          <w:rFonts w:asciiTheme="minorHAnsi" w:hAnsiTheme="minorHAnsi" w:cstheme="minorHAnsi"/>
        </w:rPr>
        <w:t xml:space="preserve">minimised </w:t>
      </w:r>
      <w:r w:rsidR="00D212A5" w:rsidRPr="00BF4B3C">
        <w:rPr>
          <w:rFonts w:asciiTheme="minorHAnsi" w:hAnsiTheme="minorHAnsi" w:cstheme="minorHAnsi"/>
        </w:rPr>
        <w:t xml:space="preserve">the need to adjust levies and fees </w:t>
      </w:r>
      <w:r w:rsidR="00C90F01">
        <w:rPr>
          <w:rFonts w:asciiTheme="minorHAnsi" w:hAnsiTheme="minorHAnsi" w:cstheme="minorHAnsi"/>
        </w:rPr>
        <w:t>over this time</w:t>
      </w:r>
      <w:r w:rsidR="00D212A5" w:rsidRPr="00BF4B3C">
        <w:rPr>
          <w:rFonts w:asciiTheme="minorHAnsi" w:hAnsiTheme="minorHAnsi" w:cstheme="minorHAnsi"/>
        </w:rPr>
        <w:t xml:space="preserve">. However, while charging amounts have remained steady, NOPTA’s operational costs have </w:t>
      </w:r>
      <w:r>
        <w:rPr>
          <w:rFonts w:asciiTheme="minorHAnsi" w:hAnsiTheme="minorHAnsi" w:cstheme="minorHAnsi"/>
        </w:rPr>
        <w:t>continued</w:t>
      </w:r>
      <w:r w:rsidR="00960D48">
        <w:rPr>
          <w:rFonts w:asciiTheme="minorHAnsi" w:hAnsiTheme="minorHAnsi" w:cstheme="minorHAnsi"/>
        </w:rPr>
        <w:t xml:space="preserve"> to </w:t>
      </w:r>
      <w:r w:rsidR="00D212A5" w:rsidRPr="00BF4B3C">
        <w:rPr>
          <w:rFonts w:asciiTheme="minorHAnsi" w:hAnsiTheme="minorHAnsi" w:cstheme="minorHAnsi"/>
        </w:rPr>
        <w:t xml:space="preserve">increase due </w:t>
      </w:r>
      <w:r>
        <w:rPr>
          <w:rFonts w:asciiTheme="minorHAnsi" w:hAnsiTheme="minorHAnsi" w:cstheme="minorHAnsi"/>
        </w:rPr>
        <w:t>to a range of internal and external factors</w:t>
      </w:r>
      <w:r w:rsidR="003C31F1">
        <w:rPr>
          <w:rFonts w:asciiTheme="minorHAnsi" w:hAnsiTheme="minorHAnsi" w:cstheme="minorHAnsi"/>
        </w:rPr>
        <w:t xml:space="preserve"> discussed below</w:t>
      </w:r>
      <w:r>
        <w:rPr>
          <w:rFonts w:asciiTheme="minorHAnsi" w:hAnsiTheme="minorHAnsi" w:cstheme="minorHAnsi"/>
        </w:rPr>
        <w:t>.</w:t>
      </w:r>
    </w:p>
    <w:p w14:paraId="19DEBF0D" w14:textId="77777777" w:rsidR="00D212A5" w:rsidRPr="00BF4B3C" w:rsidRDefault="00D212A5" w:rsidP="00D212A5">
      <w:pPr>
        <w:pStyle w:val="ListParagraph"/>
        <w:contextualSpacing w:val="0"/>
        <w:rPr>
          <w:rFonts w:asciiTheme="minorHAnsi" w:hAnsiTheme="minorHAnsi" w:cstheme="minorHAnsi"/>
        </w:rPr>
      </w:pPr>
    </w:p>
    <w:p w14:paraId="0A4745A8" w14:textId="0C2A8B79" w:rsidR="00ED2F9B" w:rsidRPr="00110E56" w:rsidRDefault="00ED2F9B" w:rsidP="008F3A94">
      <w:pPr>
        <w:widowControl w:val="0"/>
        <w:rPr>
          <w:rFonts w:asciiTheme="minorHAnsi" w:hAnsiTheme="minorHAnsi" w:cstheme="minorHAnsi"/>
          <w:i/>
          <w:iCs/>
        </w:rPr>
      </w:pPr>
      <w:r w:rsidRPr="00110E56">
        <w:rPr>
          <w:rFonts w:asciiTheme="minorHAnsi" w:hAnsiTheme="minorHAnsi" w:cstheme="minorHAnsi"/>
          <w:i/>
          <w:iCs/>
        </w:rPr>
        <w:t>Administrative complexity of titles</w:t>
      </w:r>
    </w:p>
    <w:p w14:paraId="4FF1AB1E" w14:textId="2AA48016" w:rsidR="008F3A94" w:rsidRPr="00BF4B3C" w:rsidRDefault="008F3A94" w:rsidP="008F3A94">
      <w:pPr>
        <w:widowControl w:val="0"/>
        <w:rPr>
          <w:rFonts w:asciiTheme="minorHAnsi" w:eastAsia="Verdana" w:hAnsiTheme="minorHAnsi" w:cstheme="minorHAnsi"/>
        </w:rPr>
      </w:pPr>
      <w:r w:rsidRPr="00BF4B3C">
        <w:rPr>
          <w:rFonts w:asciiTheme="minorHAnsi" w:hAnsiTheme="minorHAnsi" w:cstheme="minorHAnsi"/>
        </w:rPr>
        <w:t xml:space="preserve">As </w:t>
      </w:r>
      <w:r w:rsidRPr="00BF4B3C">
        <w:rPr>
          <w:rFonts w:asciiTheme="minorHAnsi" w:eastAsia="Verdana" w:hAnsiTheme="minorHAnsi" w:cstheme="minorHAnsi"/>
        </w:rPr>
        <w:t xml:space="preserve">industry activity volumes have fallen, the complexity of NOPTA’s activities has increased. </w:t>
      </w:r>
      <w:r w:rsidR="002F58D0">
        <w:rPr>
          <w:rFonts w:asciiTheme="minorHAnsi" w:eastAsia="Verdana" w:hAnsiTheme="minorHAnsi" w:cstheme="minorHAnsi"/>
        </w:rPr>
        <w:t xml:space="preserve">For example, </w:t>
      </w:r>
      <w:r w:rsidR="007C5199">
        <w:rPr>
          <w:rFonts w:asciiTheme="minorHAnsi" w:eastAsia="Verdana" w:hAnsiTheme="minorHAnsi" w:cstheme="minorHAnsi"/>
        </w:rPr>
        <w:t>since the 2016-17 CRIS there has been a notable shift in the complexity of title applications which require more in-depth commercial and technical analysis, as well as additional requests for information</w:t>
      </w:r>
      <w:r w:rsidR="00BC462F">
        <w:rPr>
          <w:rFonts w:asciiTheme="minorHAnsi" w:eastAsia="Verdana" w:hAnsiTheme="minorHAnsi" w:cstheme="minorHAnsi"/>
        </w:rPr>
        <w:t xml:space="preserve"> from titleholders to support applications</w:t>
      </w:r>
      <w:r w:rsidR="007C5199">
        <w:rPr>
          <w:rFonts w:asciiTheme="minorHAnsi" w:eastAsia="Verdana" w:hAnsiTheme="minorHAnsi" w:cstheme="minorHAnsi"/>
        </w:rPr>
        <w:t xml:space="preserve">. </w:t>
      </w:r>
      <w:r w:rsidR="00960D48">
        <w:rPr>
          <w:rFonts w:asciiTheme="minorHAnsi" w:eastAsia="Verdana" w:hAnsiTheme="minorHAnsi" w:cstheme="minorHAnsi"/>
        </w:rPr>
        <w:t xml:space="preserve">An increase in administrative complexity </w:t>
      </w:r>
      <w:r w:rsidRPr="00BF4B3C">
        <w:rPr>
          <w:rFonts w:asciiTheme="minorHAnsi" w:eastAsia="Verdana" w:hAnsiTheme="minorHAnsi" w:cstheme="minorHAnsi"/>
        </w:rPr>
        <w:t>is consistent with what is expected from a maturing industry (</w:t>
      </w:r>
      <w:r w:rsidR="005827AF" w:rsidRPr="00BF4B3C">
        <w:rPr>
          <w:rFonts w:asciiTheme="minorHAnsi" w:eastAsia="Verdana" w:hAnsiTheme="minorHAnsi" w:cstheme="minorHAnsi"/>
        </w:rPr>
        <w:t>e.g.,</w:t>
      </w:r>
      <w:r w:rsidRPr="00BF4B3C">
        <w:rPr>
          <w:rFonts w:asciiTheme="minorHAnsi" w:eastAsia="Verdana" w:hAnsiTheme="minorHAnsi" w:cstheme="minorHAnsi"/>
        </w:rPr>
        <w:t xml:space="preserve"> more complex operations and challenges from managing declining and marginal fields) and </w:t>
      </w:r>
      <w:r w:rsidR="00960D48">
        <w:rPr>
          <w:rFonts w:asciiTheme="minorHAnsi" w:eastAsia="Verdana" w:hAnsiTheme="minorHAnsi" w:cstheme="minorHAnsi"/>
        </w:rPr>
        <w:t xml:space="preserve">NOPTA </w:t>
      </w:r>
      <w:r w:rsidR="002C5D62">
        <w:rPr>
          <w:rFonts w:asciiTheme="minorHAnsi" w:eastAsia="Verdana" w:hAnsiTheme="minorHAnsi" w:cstheme="minorHAnsi"/>
        </w:rPr>
        <w:t>anticipates</w:t>
      </w:r>
      <w:r w:rsidR="00960D48">
        <w:rPr>
          <w:rFonts w:asciiTheme="minorHAnsi" w:eastAsia="Verdana" w:hAnsiTheme="minorHAnsi" w:cstheme="minorHAnsi"/>
        </w:rPr>
        <w:t xml:space="preserve"> </w:t>
      </w:r>
      <w:r w:rsidRPr="00BF4B3C">
        <w:rPr>
          <w:rFonts w:asciiTheme="minorHAnsi" w:eastAsia="Verdana" w:hAnsiTheme="minorHAnsi" w:cstheme="minorHAnsi"/>
        </w:rPr>
        <w:t xml:space="preserve">this trend to continue. </w:t>
      </w:r>
      <w:r w:rsidRPr="00423EAD">
        <w:rPr>
          <w:rFonts w:asciiTheme="minorHAnsi" w:hAnsiTheme="minorHAnsi" w:cstheme="minorHAnsi"/>
        </w:rPr>
        <w:t xml:space="preserve">This will </w:t>
      </w:r>
      <w:r w:rsidRPr="004729A7">
        <w:rPr>
          <w:rFonts w:asciiTheme="minorHAnsi" w:hAnsiTheme="minorHAnsi" w:cstheme="minorHAnsi"/>
        </w:rPr>
        <w:t xml:space="preserve">have an impact on the way NOPTA engages with the industry, including its internal resourcing and capacity.  </w:t>
      </w:r>
    </w:p>
    <w:p w14:paraId="053E7545" w14:textId="77777777" w:rsidR="008F3A94" w:rsidRPr="00BF4B3C" w:rsidRDefault="008F3A94" w:rsidP="008F3A94">
      <w:pPr>
        <w:widowControl w:val="0"/>
        <w:rPr>
          <w:rFonts w:asciiTheme="minorHAnsi" w:hAnsiTheme="minorHAnsi" w:cstheme="minorHAnsi"/>
        </w:rPr>
      </w:pPr>
    </w:p>
    <w:p w14:paraId="3CCAEA42" w14:textId="77777777" w:rsidR="002C5D62" w:rsidRDefault="002C5D62" w:rsidP="002C5D62">
      <w:pPr>
        <w:widowControl w:val="0"/>
        <w:rPr>
          <w:rFonts w:asciiTheme="minorHAnsi" w:hAnsiTheme="minorHAnsi" w:cstheme="minorHAnsi"/>
        </w:rPr>
      </w:pPr>
      <w:r w:rsidRPr="003C31F1">
        <w:rPr>
          <w:rFonts w:asciiTheme="minorHAnsi" w:hAnsiTheme="minorHAnsi" w:cstheme="minorHAnsi"/>
          <w:i/>
          <w:iCs/>
        </w:rPr>
        <w:t>Increased costs of employee benefits (inclusive of salary costs)</w:t>
      </w:r>
    </w:p>
    <w:p w14:paraId="34B00CDE" w14:textId="7D6AC4F5" w:rsidR="00686FDE" w:rsidRDefault="00686FDE" w:rsidP="00686FDE">
      <w:pPr>
        <w:widowControl w:val="0"/>
        <w:rPr>
          <w:rFonts w:asciiTheme="minorHAnsi" w:hAnsiTheme="minorHAnsi" w:cstheme="minorHAnsi"/>
        </w:rPr>
      </w:pPr>
      <w:r>
        <w:rPr>
          <w:rFonts w:asciiTheme="minorHAnsi" w:hAnsiTheme="minorHAnsi" w:cstheme="minorHAnsi"/>
        </w:rPr>
        <w:t xml:space="preserve">Since </w:t>
      </w:r>
      <w:r w:rsidR="008F503F">
        <w:rPr>
          <w:rFonts w:asciiTheme="minorHAnsi" w:hAnsiTheme="minorHAnsi" w:cstheme="minorHAnsi"/>
        </w:rPr>
        <w:t xml:space="preserve">30 June </w:t>
      </w:r>
      <w:r>
        <w:rPr>
          <w:rFonts w:asciiTheme="minorHAnsi" w:hAnsiTheme="minorHAnsi" w:cstheme="minorHAnsi"/>
        </w:rPr>
        <w:t>2016</w:t>
      </w:r>
      <w:r w:rsidRPr="00FC07B0">
        <w:rPr>
          <w:rFonts w:asciiTheme="minorHAnsi" w:hAnsiTheme="minorHAnsi" w:cstheme="minorHAnsi"/>
        </w:rPr>
        <w:t xml:space="preserve">, NOPTA’s personnel levels </w:t>
      </w:r>
      <w:r w:rsidR="008F503F">
        <w:rPr>
          <w:rFonts w:asciiTheme="minorHAnsi" w:hAnsiTheme="minorHAnsi" w:cstheme="minorHAnsi"/>
        </w:rPr>
        <w:t>(</w:t>
      </w:r>
      <w:r w:rsidRPr="00FC07B0">
        <w:rPr>
          <w:rFonts w:asciiTheme="minorHAnsi" w:hAnsiTheme="minorHAnsi" w:cstheme="minorHAnsi"/>
        </w:rPr>
        <w:t>inclusive of contractors</w:t>
      </w:r>
      <w:r w:rsidR="008F503F">
        <w:rPr>
          <w:rFonts w:asciiTheme="minorHAnsi" w:hAnsiTheme="minorHAnsi" w:cstheme="minorHAnsi"/>
        </w:rPr>
        <w:t>) has</w:t>
      </w:r>
      <w:r w:rsidRPr="00FC07B0">
        <w:rPr>
          <w:rFonts w:asciiTheme="minorHAnsi" w:hAnsiTheme="minorHAnsi" w:cstheme="minorHAnsi"/>
        </w:rPr>
        <w:t xml:space="preserve"> increased from 51 FTE to </w:t>
      </w:r>
      <w:r w:rsidRPr="008E2A32">
        <w:rPr>
          <w:rFonts w:asciiTheme="minorHAnsi" w:hAnsiTheme="minorHAnsi" w:cstheme="minorHAnsi"/>
        </w:rPr>
        <w:t>57.6 FTE as of 30 June 2020. The</w:t>
      </w:r>
      <w:r w:rsidRPr="00BF4B3C">
        <w:rPr>
          <w:rFonts w:asciiTheme="minorHAnsi" w:hAnsiTheme="minorHAnsi" w:cstheme="minorHAnsi"/>
        </w:rPr>
        <w:t xml:space="preserve"> increase was driven by the recruitment of additional staff in the areas of commercial analysis, geology, reservoir </w:t>
      </w:r>
      <w:r w:rsidRPr="00423EAD">
        <w:rPr>
          <w:rFonts w:asciiTheme="minorHAnsi" w:hAnsiTheme="minorHAnsi" w:cstheme="minorHAnsi"/>
        </w:rPr>
        <w:t xml:space="preserve">engineering and geophysics to fill known skill gaps </w:t>
      </w:r>
      <w:r w:rsidRPr="00423EAD">
        <w:rPr>
          <w:rFonts w:asciiTheme="minorHAnsi" w:hAnsiTheme="minorHAnsi" w:cstheme="minorHAnsi"/>
        </w:rPr>
        <w:lastRenderedPageBreak/>
        <w:t>as identified in the 2015 Operational Review of NOPTA</w:t>
      </w:r>
      <w:r w:rsidRPr="00423EAD">
        <w:rPr>
          <w:rStyle w:val="FootnoteReference"/>
          <w:rFonts w:cstheme="minorHAnsi"/>
          <w:color w:val="auto"/>
        </w:rPr>
        <w:footnoteReference w:id="5"/>
      </w:r>
      <w:r w:rsidR="002E2287">
        <w:rPr>
          <w:rFonts w:asciiTheme="minorHAnsi" w:hAnsiTheme="minorHAnsi" w:cstheme="minorHAnsi"/>
        </w:rPr>
        <w:t xml:space="preserve"> and to </w:t>
      </w:r>
      <w:r w:rsidR="003C31F1">
        <w:rPr>
          <w:rFonts w:asciiTheme="minorHAnsi" w:hAnsiTheme="minorHAnsi" w:cstheme="minorHAnsi"/>
        </w:rPr>
        <w:t xml:space="preserve">more closely </w:t>
      </w:r>
      <w:r w:rsidR="002E2287">
        <w:rPr>
          <w:rFonts w:asciiTheme="minorHAnsi" w:hAnsiTheme="minorHAnsi" w:cstheme="minorHAnsi"/>
        </w:rPr>
        <w:t>align with the Minister’s statement of expectations for NOPTA</w:t>
      </w:r>
      <w:r w:rsidRPr="00423EAD">
        <w:rPr>
          <w:rFonts w:asciiTheme="minorHAnsi" w:hAnsiTheme="minorHAnsi" w:cstheme="minorHAnsi"/>
        </w:rPr>
        <w:t>. Over this time staff salaries have increased in-line with the DISER 2016-2019</w:t>
      </w:r>
      <w:r w:rsidRPr="00423EAD">
        <w:rPr>
          <w:rStyle w:val="FootnoteReference"/>
          <w:rFonts w:cstheme="minorHAnsi"/>
          <w:color w:val="auto"/>
        </w:rPr>
        <w:footnoteReference w:id="6"/>
      </w:r>
      <w:r w:rsidRPr="00423EAD">
        <w:rPr>
          <w:rFonts w:asciiTheme="minorHAnsi" w:hAnsiTheme="minorHAnsi" w:cstheme="minorHAnsi"/>
        </w:rPr>
        <w:t xml:space="preserve"> and 2019-2022</w:t>
      </w:r>
      <w:r w:rsidRPr="00423EAD">
        <w:rPr>
          <w:rStyle w:val="FootnoteReference"/>
          <w:rFonts w:cstheme="minorHAnsi"/>
          <w:color w:val="auto"/>
        </w:rPr>
        <w:footnoteReference w:id="7"/>
      </w:r>
      <w:r w:rsidRPr="00423EAD">
        <w:rPr>
          <w:rFonts w:asciiTheme="minorHAnsi" w:hAnsiTheme="minorHAnsi" w:cstheme="minorHAnsi"/>
        </w:rPr>
        <w:t xml:space="preserve"> enterprise agreement</w:t>
      </w:r>
      <w:r w:rsidRPr="004C2690">
        <w:rPr>
          <w:rFonts w:asciiTheme="minorHAnsi" w:hAnsiTheme="minorHAnsi" w:cstheme="minorHAnsi"/>
        </w:rPr>
        <w:t>s</w:t>
      </w:r>
      <w:r w:rsidRPr="00E71AD0">
        <w:rPr>
          <w:rFonts w:asciiTheme="minorHAnsi" w:hAnsiTheme="minorHAnsi" w:cstheme="minorHAnsi"/>
        </w:rPr>
        <w:t xml:space="preserve">. </w:t>
      </w:r>
      <w:r>
        <w:rPr>
          <w:rFonts w:asciiTheme="minorHAnsi" w:hAnsiTheme="minorHAnsi" w:cstheme="minorHAnsi"/>
        </w:rPr>
        <w:t xml:space="preserve">Service and supplier costs have also continued to increase in line with consumer price index (CPI). </w:t>
      </w:r>
    </w:p>
    <w:p w14:paraId="0C37012C" w14:textId="78E1CDB7" w:rsidR="00686FDE" w:rsidRDefault="00686FDE" w:rsidP="00686FDE">
      <w:pPr>
        <w:widowControl w:val="0"/>
        <w:rPr>
          <w:rFonts w:asciiTheme="minorHAnsi" w:hAnsiTheme="minorHAnsi" w:cstheme="minorHAnsi"/>
        </w:rPr>
      </w:pPr>
    </w:p>
    <w:p w14:paraId="6882B921" w14:textId="3D47663E" w:rsidR="003C31F1" w:rsidRPr="00BF4B3C" w:rsidRDefault="003C31F1" w:rsidP="003C31F1">
      <w:pPr>
        <w:widowControl w:val="0"/>
        <w:rPr>
          <w:rFonts w:asciiTheme="minorHAnsi" w:hAnsiTheme="minorHAnsi" w:cstheme="minorHAnsi"/>
        </w:rPr>
      </w:pPr>
      <w:r w:rsidRPr="00BF4B3C">
        <w:rPr>
          <w:rFonts w:asciiTheme="minorHAnsi" w:hAnsiTheme="minorHAnsi" w:cstheme="minorHAnsi"/>
        </w:rPr>
        <w:t>NOPTA has been proactive in managing risks arising from internal capacity constraints</w:t>
      </w:r>
      <w:r w:rsidRPr="004D3913">
        <w:rPr>
          <w:rFonts w:asciiTheme="minorHAnsi" w:hAnsiTheme="minorHAnsi" w:cstheme="minorHAnsi"/>
        </w:rPr>
        <w:t xml:space="preserve">. Initiatives </w:t>
      </w:r>
      <w:r w:rsidRPr="00BF4B3C">
        <w:rPr>
          <w:rFonts w:asciiTheme="minorHAnsi" w:hAnsiTheme="minorHAnsi" w:cstheme="minorHAnsi"/>
        </w:rPr>
        <w:t xml:space="preserve">include </w:t>
      </w:r>
      <w:r>
        <w:rPr>
          <w:rFonts w:asciiTheme="minorHAnsi" w:hAnsiTheme="minorHAnsi" w:cstheme="minorHAnsi"/>
        </w:rPr>
        <w:t xml:space="preserve">the introduction of a matrix style organisational structure, </w:t>
      </w:r>
      <w:r w:rsidRPr="00BF4B3C">
        <w:rPr>
          <w:rFonts w:asciiTheme="minorHAnsi" w:hAnsiTheme="minorHAnsi" w:cstheme="minorHAnsi"/>
        </w:rPr>
        <w:t>the use of fixed</w:t>
      </w:r>
      <w:r>
        <w:rPr>
          <w:rFonts w:asciiTheme="minorHAnsi" w:hAnsiTheme="minorHAnsi" w:cstheme="minorHAnsi"/>
        </w:rPr>
        <w:t>-</w:t>
      </w:r>
      <w:r w:rsidRPr="00BF4B3C">
        <w:rPr>
          <w:rFonts w:asciiTheme="minorHAnsi" w:hAnsiTheme="minorHAnsi" w:cstheme="minorHAnsi"/>
        </w:rPr>
        <w:t xml:space="preserve">term contracts, flexible and part-time work arrangements, </w:t>
      </w:r>
      <w:r>
        <w:rPr>
          <w:rFonts w:asciiTheme="minorHAnsi" w:hAnsiTheme="minorHAnsi" w:cstheme="minorHAnsi"/>
        </w:rPr>
        <w:t>outsourcing arrangements for</w:t>
      </w:r>
      <w:r w:rsidR="0018637A">
        <w:rPr>
          <w:rFonts w:asciiTheme="minorHAnsi" w:hAnsiTheme="minorHAnsi" w:cstheme="minorHAnsi"/>
        </w:rPr>
        <w:t xml:space="preserve"> information communication and technology</w:t>
      </w:r>
      <w:r>
        <w:rPr>
          <w:rFonts w:asciiTheme="minorHAnsi" w:hAnsiTheme="minorHAnsi" w:cstheme="minorHAnsi"/>
        </w:rPr>
        <w:t xml:space="preserve"> </w:t>
      </w:r>
      <w:r w:rsidR="0018637A">
        <w:rPr>
          <w:rFonts w:asciiTheme="minorHAnsi" w:hAnsiTheme="minorHAnsi" w:cstheme="minorHAnsi"/>
        </w:rPr>
        <w:t>(</w:t>
      </w:r>
      <w:r w:rsidR="00381170">
        <w:rPr>
          <w:rFonts w:asciiTheme="minorHAnsi" w:hAnsiTheme="minorHAnsi" w:cstheme="minorHAnsi"/>
        </w:rPr>
        <w:t>ICT</w:t>
      </w:r>
      <w:r w:rsidR="0018637A">
        <w:rPr>
          <w:rFonts w:asciiTheme="minorHAnsi" w:hAnsiTheme="minorHAnsi" w:cstheme="minorHAnsi"/>
        </w:rPr>
        <w:t>)</w:t>
      </w:r>
      <w:r w:rsidR="00381170">
        <w:rPr>
          <w:rFonts w:asciiTheme="minorHAnsi" w:hAnsiTheme="minorHAnsi" w:cstheme="minorHAnsi"/>
        </w:rPr>
        <w:t xml:space="preserve"> </w:t>
      </w:r>
      <w:r>
        <w:rPr>
          <w:rFonts w:asciiTheme="minorHAnsi" w:hAnsiTheme="minorHAnsi" w:cstheme="minorHAnsi"/>
        </w:rPr>
        <w:t xml:space="preserve">application and infrastructure services, </w:t>
      </w:r>
      <w:r w:rsidRPr="00BF4B3C">
        <w:rPr>
          <w:rFonts w:asciiTheme="minorHAnsi" w:hAnsiTheme="minorHAnsi" w:cstheme="minorHAnsi"/>
        </w:rPr>
        <w:t xml:space="preserve">and ongoing improvements to operating efficiency through technology-driven developments. </w:t>
      </w:r>
      <w:r>
        <w:rPr>
          <w:rFonts w:asciiTheme="minorHAnsi" w:hAnsiTheme="minorHAnsi" w:cstheme="minorHAnsi"/>
        </w:rPr>
        <w:t>While NOPTA intends to continue these arrangements moving forward, these initiatives are not sufficient to prevent the need to increase fees and levies at this time.</w:t>
      </w:r>
    </w:p>
    <w:p w14:paraId="623672E0" w14:textId="77777777" w:rsidR="008F3A94" w:rsidRPr="00BF4B3C" w:rsidRDefault="008F3A94" w:rsidP="008F3A94">
      <w:pPr>
        <w:widowControl w:val="0"/>
        <w:rPr>
          <w:rFonts w:asciiTheme="minorHAnsi" w:hAnsiTheme="minorHAnsi" w:cstheme="minorHAnsi"/>
        </w:rPr>
      </w:pPr>
    </w:p>
    <w:p w14:paraId="10CFB31E" w14:textId="01EBC08E" w:rsidR="003C31F1" w:rsidRPr="003C31F1" w:rsidRDefault="003C31F1" w:rsidP="003C31F1">
      <w:pPr>
        <w:widowControl w:val="0"/>
        <w:rPr>
          <w:rFonts w:asciiTheme="minorHAnsi" w:hAnsiTheme="minorHAnsi" w:cstheme="minorHAnsi"/>
          <w:i/>
          <w:iCs/>
        </w:rPr>
      </w:pPr>
      <w:r w:rsidRPr="003C31F1">
        <w:rPr>
          <w:rFonts w:asciiTheme="minorHAnsi" w:hAnsiTheme="minorHAnsi" w:cstheme="minorHAnsi"/>
          <w:i/>
          <w:iCs/>
        </w:rPr>
        <w:t>Increased investment in ICT</w:t>
      </w:r>
    </w:p>
    <w:p w14:paraId="11540E5F" w14:textId="4C46BC8F" w:rsidR="00D212A5" w:rsidRDefault="003C31F1" w:rsidP="00D212A5">
      <w:pPr>
        <w:rPr>
          <w:rFonts w:asciiTheme="minorHAnsi" w:hAnsiTheme="minorHAnsi" w:cstheme="minorHAnsi"/>
        </w:rPr>
      </w:pPr>
      <w:r>
        <w:rPr>
          <w:rFonts w:asciiTheme="minorHAnsi" w:hAnsiTheme="minorHAnsi" w:cstheme="minorHAnsi"/>
        </w:rPr>
        <w:t>O</w:t>
      </w:r>
      <w:r w:rsidR="00D212A5" w:rsidRPr="00BF4B3C">
        <w:rPr>
          <w:rFonts w:asciiTheme="minorHAnsi" w:hAnsiTheme="minorHAnsi" w:cstheme="minorHAnsi"/>
        </w:rPr>
        <w:t xml:space="preserve">ver the past five years NOPTA has been steadily </w:t>
      </w:r>
      <w:r w:rsidR="00E105BD">
        <w:rPr>
          <w:rFonts w:asciiTheme="minorHAnsi" w:hAnsiTheme="minorHAnsi" w:cstheme="minorHAnsi"/>
        </w:rPr>
        <w:t>developing</w:t>
      </w:r>
      <w:r w:rsidR="00E105BD" w:rsidRPr="00BF4B3C">
        <w:rPr>
          <w:rFonts w:asciiTheme="minorHAnsi" w:hAnsiTheme="minorHAnsi" w:cstheme="minorHAnsi"/>
        </w:rPr>
        <w:t xml:space="preserve"> </w:t>
      </w:r>
      <w:r w:rsidR="00D212A5" w:rsidRPr="00BF4B3C">
        <w:rPr>
          <w:rFonts w:asciiTheme="minorHAnsi" w:hAnsiTheme="minorHAnsi" w:cstheme="minorHAnsi"/>
        </w:rPr>
        <w:t xml:space="preserve">its </w:t>
      </w:r>
      <w:r w:rsidR="0018637A">
        <w:rPr>
          <w:rFonts w:asciiTheme="minorHAnsi" w:hAnsiTheme="minorHAnsi" w:cstheme="minorHAnsi"/>
        </w:rPr>
        <w:t xml:space="preserve">ICT </w:t>
      </w:r>
      <w:r w:rsidR="00D212A5" w:rsidRPr="00BF4B3C">
        <w:rPr>
          <w:rFonts w:asciiTheme="minorHAnsi" w:hAnsiTheme="minorHAnsi" w:cstheme="minorHAnsi"/>
        </w:rPr>
        <w:t xml:space="preserve">capabilities. NOPTA’s ongoing investment in technology is aimed at embracing digital solutions to improve efficiency and streamline </w:t>
      </w:r>
      <w:r w:rsidR="00E105BD">
        <w:rPr>
          <w:rFonts w:asciiTheme="minorHAnsi" w:hAnsiTheme="minorHAnsi" w:cstheme="minorHAnsi"/>
        </w:rPr>
        <w:t>its</w:t>
      </w:r>
      <w:r w:rsidR="00E105BD" w:rsidRPr="00BF4B3C">
        <w:rPr>
          <w:rFonts w:asciiTheme="minorHAnsi" w:hAnsiTheme="minorHAnsi" w:cstheme="minorHAnsi"/>
        </w:rPr>
        <w:t xml:space="preserve"> </w:t>
      </w:r>
      <w:r w:rsidR="00D212A5" w:rsidRPr="00BF4B3C">
        <w:rPr>
          <w:rFonts w:asciiTheme="minorHAnsi" w:hAnsiTheme="minorHAnsi" w:cstheme="minorHAnsi"/>
        </w:rPr>
        <w:t xml:space="preserve">processes </w:t>
      </w:r>
      <w:r w:rsidR="00D212A5">
        <w:rPr>
          <w:rFonts w:asciiTheme="minorHAnsi" w:hAnsiTheme="minorHAnsi" w:cstheme="minorHAnsi"/>
        </w:rPr>
        <w:t>and</w:t>
      </w:r>
      <w:r w:rsidR="00D212A5" w:rsidRPr="00BF4B3C">
        <w:rPr>
          <w:rFonts w:asciiTheme="minorHAnsi" w:hAnsiTheme="minorHAnsi" w:cstheme="minorHAnsi"/>
        </w:rPr>
        <w:t xml:space="preserve"> making it easier for stakeholders to engage. </w:t>
      </w:r>
      <w:r w:rsidR="00D212A5" w:rsidRPr="00E71AD0">
        <w:rPr>
          <w:rFonts w:asciiTheme="minorHAnsi" w:hAnsiTheme="minorHAnsi" w:cstheme="minorHAnsi"/>
        </w:rPr>
        <w:t>NOPTA’s systems for supporting the delivery of titles administration activities are primarily delivered through outsourcing arrangements with service providers, covering application managed services and infrastructure managed services</w:t>
      </w:r>
      <w:r w:rsidR="00D212A5">
        <w:rPr>
          <w:rFonts w:asciiTheme="minorHAnsi" w:hAnsiTheme="minorHAnsi" w:cstheme="minorHAnsi"/>
        </w:rPr>
        <w:t xml:space="preserve">. </w:t>
      </w:r>
    </w:p>
    <w:p w14:paraId="60B81246" w14:textId="77777777" w:rsidR="00D212A5" w:rsidRDefault="00D212A5" w:rsidP="00D212A5">
      <w:pPr>
        <w:rPr>
          <w:rFonts w:asciiTheme="minorHAnsi" w:hAnsiTheme="minorHAnsi" w:cstheme="minorHAnsi"/>
        </w:rPr>
      </w:pPr>
    </w:p>
    <w:p w14:paraId="10A1F760" w14:textId="639F483D" w:rsidR="00D212A5" w:rsidRPr="00BF4B3C" w:rsidRDefault="00D212A5" w:rsidP="00D212A5">
      <w:pPr>
        <w:autoSpaceDE w:val="0"/>
        <w:autoSpaceDN w:val="0"/>
        <w:adjustRightInd w:val="0"/>
        <w:rPr>
          <w:rFonts w:asciiTheme="minorHAnsi" w:hAnsiTheme="minorHAnsi" w:cstheme="minorHAnsi"/>
        </w:rPr>
      </w:pPr>
      <w:r>
        <w:rPr>
          <w:rFonts w:asciiTheme="minorHAnsi" w:hAnsiTheme="minorHAnsi" w:cstheme="minorHAnsi"/>
        </w:rPr>
        <w:t>A</w:t>
      </w:r>
      <w:r w:rsidRPr="00BF4B3C">
        <w:rPr>
          <w:rFonts w:asciiTheme="minorHAnsi" w:hAnsiTheme="minorHAnsi" w:cstheme="minorHAnsi"/>
        </w:rPr>
        <w:t xml:space="preserve"> key </w:t>
      </w:r>
      <w:r>
        <w:rPr>
          <w:rFonts w:asciiTheme="minorHAnsi" w:hAnsiTheme="minorHAnsi" w:cstheme="minorHAnsi"/>
        </w:rPr>
        <w:t>example</w:t>
      </w:r>
      <w:r w:rsidRPr="00BF4B3C">
        <w:rPr>
          <w:rFonts w:asciiTheme="minorHAnsi" w:hAnsiTheme="minorHAnsi" w:cstheme="minorHAnsi"/>
        </w:rPr>
        <w:t xml:space="preserve"> of </w:t>
      </w:r>
      <w:r>
        <w:rPr>
          <w:rFonts w:asciiTheme="minorHAnsi" w:hAnsiTheme="minorHAnsi" w:cstheme="minorHAnsi"/>
        </w:rPr>
        <w:t>NOPTA’s outsourced model for ICT infrastructure is</w:t>
      </w:r>
      <w:r w:rsidRPr="00BF4B3C">
        <w:rPr>
          <w:rFonts w:asciiTheme="minorHAnsi" w:hAnsiTheme="minorHAnsi" w:cstheme="minorHAnsi"/>
        </w:rPr>
        <w:t xml:space="preserve"> the transition </w:t>
      </w:r>
      <w:r>
        <w:rPr>
          <w:rFonts w:asciiTheme="minorHAnsi" w:hAnsiTheme="minorHAnsi" w:cstheme="minorHAnsi"/>
        </w:rPr>
        <w:t xml:space="preserve">from in-house servers </w:t>
      </w:r>
      <w:r w:rsidRPr="00BF4B3C">
        <w:rPr>
          <w:rFonts w:asciiTheme="minorHAnsi" w:hAnsiTheme="minorHAnsi" w:cstheme="minorHAnsi"/>
        </w:rPr>
        <w:t xml:space="preserve">to the </w:t>
      </w:r>
      <w:r>
        <w:rPr>
          <w:rFonts w:asciiTheme="minorHAnsi" w:hAnsiTheme="minorHAnsi" w:cstheme="minorHAnsi"/>
        </w:rPr>
        <w:t xml:space="preserve">Microsoft </w:t>
      </w:r>
      <w:r w:rsidRPr="00BF4B3C">
        <w:rPr>
          <w:rFonts w:asciiTheme="minorHAnsi" w:hAnsiTheme="minorHAnsi" w:cstheme="minorHAnsi"/>
        </w:rPr>
        <w:t>Azure cloud-based environment in 2019. This has provided NOPTA with a national reach via related cloud technologies and has improved business continuity</w:t>
      </w:r>
      <w:r>
        <w:rPr>
          <w:rFonts w:asciiTheme="minorHAnsi" w:hAnsiTheme="minorHAnsi" w:cstheme="minorHAnsi"/>
        </w:rPr>
        <w:t xml:space="preserve"> – which was critical during COVID-19 related restrictions</w:t>
      </w:r>
      <w:r w:rsidRPr="00BF4B3C">
        <w:rPr>
          <w:rFonts w:asciiTheme="minorHAnsi" w:hAnsiTheme="minorHAnsi" w:cstheme="minorHAnsi"/>
        </w:rPr>
        <w:t xml:space="preserve">. Technological upgrades have also been made to NOPTA’s internal systems which has significantly improved NOPTA’s ability to collect, </w:t>
      </w:r>
      <w:r w:rsidR="00045CA2">
        <w:rPr>
          <w:rFonts w:asciiTheme="minorHAnsi" w:hAnsiTheme="minorHAnsi" w:cstheme="minorHAnsi"/>
        </w:rPr>
        <w:t>store</w:t>
      </w:r>
      <w:r w:rsidRPr="00BF4B3C">
        <w:rPr>
          <w:rFonts w:asciiTheme="minorHAnsi" w:hAnsiTheme="minorHAnsi" w:cstheme="minorHAnsi"/>
        </w:rPr>
        <w:t xml:space="preserve"> and analyse information. </w:t>
      </w:r>
    </w:p>
    <w:p w14:paraId="309BDF97" w14:textId="77777777" w:rsidR="00D212A5" w:rsidRPr="00BF4B3C" w:rsidRDefault="00D212A5" w:rsidP="00D212A5">
      <w:pPr>
        <w:rPr>
          <w:rFonts w:asciiTheme="minorHAnsi" w:hAnsiTheme="minorHAnsi" w:cstheme="minorHAnsi"/>
        </w:rPr>
      </w:pPr>
    </w:p>
    <w:p w14:paraId="5623F5C3" w14:textId="6FE89940" w:rsidR="00D212A5" w:rsidRDefault="00D212A5" w:rsidP="00D212A5">
      <w:pPr>
        <w:rPr>
          <w:rFonts w:asciiTheme="minorHAnsi" w:hAnsiTheme="minorHAnsi" w:cstheme="minorHAnsi"/>
        </w:rPr>
      </w:pPr>
      <w:r>
        <w:rPr>
          <w:rFonts w:asciiTheme="minorHAnsi" w:hAnsiTheme="minorHAnsi" w:cstheme="minorHAnsi"/>
        </w:rPr>
        <w:t xml:space="preserve">Technological upgrades have laid the foundation for </w:t>
      </w:r>
      <w:r w:rsidRPr="00BF4B3C">
        <w:rPr>
          <w:rFonts w:asciiTheme="minorHAnsi" w:hAnsiTheme="minorHAnsi" w:cstheme="minorHAnsi"/>
        </w:rPr>
        <w:t xml:space="preserve">a range of practical initiatives designed to improve the National Electronic Approvals Tracking System (NEATS), including the redevelopment of the NEATS external website (launched 2 February 2021), and </w:t>
      </w:r>
      <w:r w:rsidR="00057AC9">
        <w:rPr>
          <w:rFonts w:asciiTheme="minorHAnsi" w:hAnsiTheme="minorHAnsi" w:cstheme="minorHAnsi"/>
        </w:rPr>
        <w:t xml:space="preserve">digital </w:t>
      </w:r>
      <w:r w:rsidRPr="00BF4B3C">
        <w:rPr>
          <w:rFonts w:asciiTheme="minorHAnsi" w:hAnsiTheme="minorHAnsi" w:cstheme="minorHAnsi"/>
        </w:rPr>
        <w:t>enhance</w:t>
      </w:r>
      <w:r>
        <w:rPr>
          <w:rFonts w:asciiTheme="minorHAnsi" w:hAnsiTheme="minorHAnsi" w:cstheme="minorHAnsi"/>
        </w:rPr>
        <w:t>ments</w:t>
      </w:r>
      <w:r w:rsidRPr="00BF4B3C">
        <w:rPr>
          <w:rFonts w:asciiTheme="minorHAnsi" w:hAnsiTheme="minorHAnsi" w:cstheme="minorHAnsi"/>
        </w:rPr>
        <w:t xml:space="preserve"> </w:t>
      </w:r>
      <w:r w:rsidR="00057AC9">
        <w:rPr>
          <w:rFonts w:asciiTheme="minorHAnsi" w:hAnsiTheme="minorHAnsi" w:cstheme="minorHAnsi"/>
        </w:rPr>
        <w:t xml:space="preserve">(in progress) </w:t>
      </w:r>
      <w:r w:rsidRPr="00BF4B3C">
        <w:rPr>
          <w:rFonts w:asciiTheme="minorHAnsi" w:hAnsiTheme="minorHAnsi" w:cstheme="minorHAnsi"/>
        </w:rPr>
        <w:t xml:space="preserve">to facilitate </w:t>
      </w:r>
      <w:r w:rsidR="00045CA2">
        <w:rPr>
          <w:rFonts w:asciiTheme="minorHAnsi" w:hAnsiTheme="minorHAnsi" w:cstheme="minorHAnsi"/>
        </w:rPr>
        <w:t xml:space="preserve">the </w:t>
      </w:r>
      <w:r w:rsidRPr="00BF4B3C">
        <w:rPr>
          <w:rFonts w:asciiTheme="minorHAnsi" w:hAnsiTheme="minorHAnsi" w:cstheme="minorHAnsi"/>
        </w:rPr>
        <w:t xml:space="preserve">online submission </w:t>
      </w:r>
      <w:r w:rsidR="00045CA2">
        <w:rPr>
          <w:rFonts w:asciiTheme="minorHAnsi" w:hAnsiTheme="minorHAnsi" w:cstheme="minorHAnsi"/>
        </w:rPr>
        <w:t>of applications</w:t>
      </w:r>
      <w:r w:rsidR="00057AC9">
        <w:rPr>
          <w:rFonts w:asciiTheme="minorHAnsi" w:hAnsiTheme="minorHAnsi" w:cstheme="minorHAnsi"/>
        </w:rPr>
        <w:t xml:space="preserve"> through the NEATS Industry Portal</w:t>
      </w:r>
      <w:r w:rsidRPr="00BF4B3C">
        <w:rPr>
          <w:rFonts w:asciiTheme="minorHAnsi" w:hAnsiTheme="minorHAnsi" w:cstheme="minorHAnsi"/>
        </w:rPr>
        <w:t xml:space="preserve">. Moving forward, NOPTA intends to </w:t>
      </w:r>
      <w:r w:rsidR="00057AC9">
        <w:rPr>
          <w:rFonts w:asciiTheme="minorHAnsi" w:hAnsiTheme="minorHAnsi" w:cstheme="minorHAnsi"/>
        </w:rPr>
        <w:t xml:space="preserve">expand the </w:t>
      </w:r>
      <w:r w:rsidR="0018637A">
        <w:rPr>
          <w:rFonts w:asciiTheme="minorHAnsi" w:hAnsiTheme="minorHAnsi" w:cstheme="minorHAnsi"/>
        </w:rPr>
        <w:t>NEATS I</w:t>
      </w:r>
      <w:r w:rsidR="00057AC9">
        <w:rPr>
          <w:rFonts w:asciiTheme="minorHAnsi" w:hAnsiTheme="minorHAnsi" w:cstheme="minorHAnsi"/>
        </w:rPr>
        <w:t xml:space="preserve">ndustry </w:t>
      </w:r>
      <w:r w:rsidR="0018637A">
        <w:rPr>
          <w:rFonts w:asciiTheme="minorHAnsi" w:hAnsiTheme="minorHAnsi" w:cstheme="minorHAnsi"/>
        </w:rPr>
        <w:t>P</w:t>
      </w:r>
      <w:r w:rsidR="00057AC9">
        <w:rPr>
          <w:rFonts w:asciiTheme="minorHAnsi" w:hAnsiTheme="minorHAnsi" w:cstheme="minorHAnsi"/>
        </w:rPr>
        <w:t xml:space="preserve">ortal to include online submission of reporting requirements, to </w:t>
      </w:r>
      <w:r w:rsidRPr="00BF4B3C">
        <w:rPr>
          <w:rFonts w:asciiTheme="minorHAnsi" w:hAnsiTheme="minorHAnsi" w:cstheme="minorHAnsi"/>
        </w:rPr>
        <w:t xml:space="preserve">develop a </w:t>
      </w:r>
      <w:r w:rsidRPr="00BF4B3C">
        <w:rPr>
          <w:rFonts w:asciiTheme="minorHAnsi" w:eastAsia="Verdana" w:hAnsiTheme="minorHAnsi" w:cstheme="minorHAnsi"/>
        </w:rPr>
        <w:t xml:space="preserve">portal for Joint Authority delegates </w:t>
      </w:r>
      <w:r w:rsidR="005C0C8B">
        <w:rPr>
          <w:rFonts w:asciiTheme="minorHAnsi" w:eastAsia="Verdana" w:hAnsiTheme="minorHAnsi" w:cstheme="minorHAnsi"/>
        </w:rPr>
        <w:t>(</w:t>
      </w:r>
      <w:r w:rsidRPr="00BF4B3C">
        <w:rPr>
          <w:rFonts w:asciiTheme="minorHAnsi" w:eastAsia="Verdana" w:hAnsiTheme="minorHAnsi" w:cstheme="minorHAnsi"/>
        </w:rPr>
        <w:t>to reduce manual handling of approvals</w:t>
      </w:r>
      <w:r w:rsidR="005C0C8B">
        <w:rPr>
          <w:rFonts w:asciiTheme="minorHAnsi" w:eastAsia="Verdana" w:hAnsiTheme="minorHAnsi" w:cstheme="minorHAnsi"/>
        </w:rPr>
        <w:t>)</w:t>
      </w:r>
      <w:r w:rsidRPr="00BF4B3C">
        <w:rPr>
          <w:rFonts w:asciiTheme="minorHAnsi" w:eastAsia="Verdana" w:hAnsiTheme="minorHAnsi" w:cstheme="minorHAnsi"/>
        </w:rPr>
        <w:t xml:space="preserve">, as well as </w:t>
      </w:r>
      <w:r w:rsidR="0018637A">
        <w:rPr>
          <w:rFonts w:asciiTheme="minorHAnsi" w:eastAsia="Verdana" w:hAnsiTheme="minorHAnsi" w:cstheme="minorHAnsi"/>
        </w:rPr>
        <w:t xml:space="preserve">a </w:t>
      </w:r>
      <w:r w:rsidRPr="00BF4B3C">
        <w:rPr>
          <w:rFonts w:asciiTheme="minorHAnsi" w:eastAsia="Verdana" w:hAnsiTheme="minorHAnsi" w:cstheme="minorHAnsi"/>
        </w:rPr>
        <w:t xml:space="preserve">tailored portal </w:t>
      </w:r>
      <w:r w:rsidR="005C0C8B">
        <w:rPr>
          <w:rFonts w:asciiTheme="minorHAnsi" w:eastAsia="Verdana" w:hAnsiTheme="minorHAnsi" w:cstheme="minorHAnsi"/>
        </w:rPr>
        <w:t xml:space="preserve">for </w:t>
      </w:r>
      <w:r w:rsidRPr="00BF4B3C">
        <w:rPr>
          <w:rFonts w:asciiTheme="minorHAnsi" w:eastAsia="Verdana" w:hAnsiTheme="minorHAnsi" w:cstheme="minorHAnsi"/>
        </w:rPr>
        <w:t xml:space="preserve">NOPTA and NOPSEMA </w:t>
      </w:r>
      <w:r w:rsidR="005C0C8B">
        <w:rPr>
          <w:rFonts w:asciiTheme="minorHAnsi" w:eastAsia="Verdana" w:hAnsiTheme="minorHAnsi" w:cstheme="minorHAnsi"/>
        </w:rPr>
        <w:t>communications</w:t>
      </w:r>
      <w:r w:rsidRPr="00BF4B3C">
        <w:rPr>
          <w:rFonts w:asciiTheme="minorHAnsi" w:eastAsia="Verdana" w:hAnsiTheme="minorHAnsi" w:cstheme="minorHAnsi"/>
        </w:rPr>
        <w:t xml:space="preserve">. These initiatives are </w:t>
      </w:r>
      <w:r w:rsidR="00BC462F">
        <w:rPr>
          <w:rFonts w:asciiTheme="minorHAnsi" w:eastAsia="Verdana" w:hAnsiTheme="minorHAnsi" w:cstheme="minorHAnsi"/>
        </w:rPr>
        <w:t>to</w:t>
      </w:r>
      <w:r w:rsidRPr="00BF4B3C">
        <w:rPr>
          <w:rFonts w:asciiTheme="minorHAnsi" w:eastAsia="Verdana" w:hAnsiTheme="minorHAnsi" w:cstheme="minorHAnsi"/>
        </w:rPr>
        <w:t xml:space="preserve"> </w:t>
      </w:r>
      <w:r w:rsidRPr="00BF4B3C">
        <w:rPr>
          <w:rFonts w:asciiTheme="minorHAnsi" w:hAnsiTheme="minorHAnsi" w:cstheme="minorHAnsi"/>
        </w:rPr>
        <w:t xml:space="preserve">streamline interactions and reduce administrative burden for </w:t>
      </w:r>
      <w:r w:rsidR="0018637A">
        <w:rPr>
          <w:rFonts w:asciiTheme="minorHAnsi" w:hAnsiTheme="minorHAnsi" w:cstheme="minorHAnsi"/>
        </w:rPr>
        <w:t xml:space="preserve">our </w:t>
      </w:r>
      <w:r w:rsidRPr="00BF4B3C">
        <w:rPr>
          <w:rFonts w:asciiTheme="minorHAnsi" w:hAnsiTheme="minorHAnsi" w:cstheme="minorHAnsi"/>
        </w:rPr>
        <w:t>key stakeholders.</w:t>
      </w:r>
      <w:r>
        <w:rPr>
          <w:rFonts w:asciiTheme="minorHAnsi" w:hAnsiTheme="minorHAnsi" w:cstheme="minorHAnsi"/>
        </w:rPr>
        <w:t xml:space="preserve"> </w:t>
      </w:r>
    </w:p>
    <w:p w14:paraId="1800BFF4" w14:textId="77777777" w:rsidR="00D212A5" w:rsidRPr="004729A7" w:rsidRDefault="00D212A5" w:rsidP="00D212A5">
      <w:pPr>
        <w:widowControl w:val="0"/>
        <w:rPr>
          <w:rFonts w:asciiTheme="minorHAnsi" w:hAnsiTheme="minorHAnsi" w:cstheme="minorHAnsi"/>
        </w:rPr>
      </w:pPr>
    </w:p>
    <w:p w14:paraId="0D044B55" w14:textId="29E4597B" w:rsidR="00D212A5" w:rsidRPr="00814B19" w:rsidRDefault="00205982" w:rsidP="00814B19">
      <w:pPr>
        <w:pStyle w:val="Heading3"/>
        <w:numPr>
          <w:ilvl w:val="0"/>
          <w:numId w:val="0"/>
        </w:numPr>
        <w:spacing w:before="0" w:after="0"/>
        <w:ind w:left="720" w:hanging="720"/>
        <w:rPr>
          <w:rFonts w:asciiTheme="minorHAnsi" w:hAnsiTheme="minorHAnsi" w:cstheme="minorHAnsi"/>
          <w:i/>
          <w:iCs/>
          <w:sz w:val="24"/>
          <w:szCs w:val="24"/>
        </w:rPr>
      </w:pPr>
      <w:bookmarkStart w:id="6" w:name="_Toc84844715"/>
      <w:r w:rsidRPr="00814B19">
        <w:rPr>
          <w:rFonts w:asciiTheme="minorHAnsi" w:hAnsiTheme="minorHAnsi" w:cstheme="minorHAnsi"/>
          <w:i/>
          <w:iCs/>
          <w:sz w:val="24"/>
          <w:szCs w:val="24"/>
        </w:rPr>
        <w:t>E</w:t>
      </w:r>
      <w:r w:rsidR="00D212A5" w:rsidRPr="00814B19">
        <w:rPr>
          <w:rFonts w:asciiTheme="minorHAnsi" w:hAnsiTheme="minorHAnsi" w:cstheme="minorHAnsi"/>
          <w:i/>
          <w:iCs/>
          <w:sz w:val="24"/>
          <w:szCs w:val="24"/>
        </w:rPr>
        <w:t xml:space="preserve">nhanced </w:t>
      </w:r>
      <w:r w:rsidRPr="00814B19">
        <w:rPr>
          <w:rFonts w:asciiTheme="minorHAnsi" w:hAnsiTheme="minorHAnsi" w:cstheme="minorHAnsi"/>
          <w:i/>
          <w:iCs/>
          <w:sz w:val="24"/>
          <w:szCs w:val="24"/>
        </w:rPr>
        <w:t xml:space="preserve">titles administration </w:t>
      </w:r>
      <w:r w:rsidR="00D212A5" w:rsidRPr="00814B19">
        <w:rPr>
          <w:rFonts w:asciiTheme="minorHAnsi" w:hAnsiTheme="minorHAnsi" w:cstheme="minorHAnsi"/>
          <w:i/>
          <w:iCs/>
          <w:sz w:val="24"/>
          <w:szCs w:val="24"/>
        </w:rPr>
        <w:t>framework</w:t>
      </w:r>
      <w:bookmarkEnd w:id="6"/>
    </w:p>
    <w:p w14:paraId="12292E12" w14:textId="28AC10D8" w:rsidR="00D212A5" w:rsidRPr="00EC7173" w:rsidRDefault="00EC06C3" w:rsidP="00EC7173">
      <w:pPr>
        <w:rPr>
          <w:rFonts w:asciiTheme="minorHAnsi" w:hAnsiTheme="minorHAnsi" w:cstheme="minorHAnsi"/>
        </w:rPr>
      </w:pPr>
      <w:r w:rsidRPr="007E304E">
        <w:rPr>
          <w:rFonts w:asciiTheme="minorHAnsi" w:hAnsiTheme="minorHAnsi" w:cstheme="minorHAnsi"/>
        </w:rPr>
        <w:t>I</w:t>
      </w:r>
      <w:r w:rsidR="00D212A5" w:rsidRPr="007E304E">
        <w:rPr>
          <w:rFonts w:asciiTheme="minorHAnsi" w:hAnsiTheme="minorHAnsi" w:cstheme="minorHAnsi"/>
        </w:rPr>
        <w:t xml:space="preserve">n </w:t>
      </w:r>
      <w:r w:rsidR="00D212A5" w:rsidRPr="00DF461B">
        <w:rPr>
          <w:rFonts w:asciiTheme="minorHAnsi" w:hAnsiTheme="minorHAnsi" w:cstheme="minorHAnsi"/>
        </w:rPr>
        <w:t>2021</w:t>
      </w:r>
      <w:r w:rsidR="00532D24">
        <w:rPr>
          <w:rFonts w:asciiTheme="minorHAnsi" w:hAnsiTheme="minorHAnsi" w:cstheme="minorHAnsi"/>
        </w:rPr>
        <w:t xml:space="preserve">, following a review of </w:t>
      </w:r>
      <w:r w:rsidR="00532D24" w:rsidRPr="00EC7173">
        <w:rPr>
          <w:rFonts w:asciiTheme="minorHAnsi" w:hAnsiTheme="minorHAnsi" w:cstheme="minorHAnsi"/>
        </w:rPr>
        <w:t>existing legislati</w:t>
      </w:r>
      <w:r w:rsidR="00532D24">
        <w:rPr>
          <w:rFonts w:asciiTheme="minorHAnsi" w:hAnsiTheme="minorHAnsi" w:cstheme="minorHAnsi"/>
        </w:rPr>
        <w:t>on and</w:t>
      </w:r>
      <w:r w:rsidR="00532D24" w:rsidRPr="00EC7173">
        <w:rPr>
          <w:rFonts w:asciiTheme="minorHAnsi" w:hAnsiTheme="minorHAnsi" w:cstheme="minorHAnsi"/>
        </w:rPr>
        <w:t xml:space="preserve"> policy</w:t>
      </w:r>
      <w:r w:rsidR="00532D24">
        <w:rPr>
          <w:rFonts w:asciiTheme="minorHAnsi" w:hAnsiTheme="minorHAnsi" w:cstheme="minorHAnsi"/>
        </w:rPr>
        <w:t xml:space="preserve">, </w:t>
      </w:r>
      <w:r w:rsidR="00C353A0">
        <w:rPr>
          <w:rFonts w:asciiTheme="minorHAnsi" w:hAnsiTheme="minorHAnsi" w:cstheme="minorHAnsi"/>
        </w:rPr>
        <w:t xml:space="preserve">the </w:t>
      </w:r>
      <w:r w:rsidR="00532D24">
        <w:rPr>
          <w:rFonts w:asciiTheme="minorHAnsi" w:hAnsiTheme="minorHAnsi" w:cstheme="minorHAnsi"/>
        </w:rPr>
        <w:t>government endorsed an enhanced offshore oil and gas decommissioning framework</w:t>
      </w:r>
      <w:r w:rsidR="00D212A5" w:rsidRPr="00EC7173">
        <w:rPr>
          <w:rStyle w:val="FootnoteReference"/>
          <w:rFonts w:cstheme="minorHAnsi"/>
          <w:color w:val="auto"/>
        </w:rPr>
        <w:footnoteReference w:id="8"/>
      </w:r>
      <w:r w:rsidR="00B93272">
        <w:rPr>
          <w:rFonts w:asciiTheme="minorHAnsi" w:hAnsiTheme="minorHAnsi" w:cstheme="minorHAnsi"/>
        </w:rPr>
        <w:t>.</w:t>
      </w:r>
      <w:r w:rsidR="00D212A5" w:rsidRPr="00EC7173">
        <w:rPr>
          <w:rFonts w:asciiTheme="minorHAnsi" w:hAnsiTheme="minorHAnsi" w:cstheme="minorHAnsi"/>
        </w:rPr>
        <w:t xml:space="preserve"> The review </w:t>
      </w:r>
      <w:r w:rsidR="007E304E">
        <w:rPr>
          <w:rFonts w:asciiTheme="minorHAnsi" w:hAnsiTheme="minorHAnsi" w:cstheme="minorHAnsi"/>
        </w:rPr>
        <w:t>took</w:t>
      </w:r>
      <w:r w:rsidR="007E304E" w:rsidRPr="00EC7173">
        <w:rPr>
          <w:rFonts w:asciiTheme="minorHAnsi" w:hAnsiTheme="minorHAnsi" w:cstheme="minorHAnsi"/>
        </w:rPr>
        <w:t xml:space="preserve"> </w:t>
      </w:r>
      <w:r w:rsidR="00D212A5" w:rsidRPr="00EC7173">
        <w:rPr>
          <w:rFonts w:asciiTheme="minorHAnsi" w:hAnsiTheme="minorHAnsi" w:cstheme="minorHAnsi"/>
        </w:rPr>
        <w:t xml:space="preserve">into account the outcomes from </w:t>
      </w:r>
      <w:r w:rsidR="00D212A5" w:rsidRPr="00EC7173">
        <w:rPr>
          <w:rFonts w:asciiTheme="minorHAnsi" w:hAnsiTheme="minorHAnsi" w:cstheme="minorHAnsi"/>
        </w:rPr>
        <w:lastRenderedPageBreak/>
        <w:t xml:space="preserve">the </w:t>
      </w:r>
      <w:r w:rsidR="00D212A5" w:rsidRPr="00EC7173">
        <w:rPr>
          <w:rFonts w:asciiTheme="minorHAnsi" w:hAnsiTheme="minorHAnsi" w:cstheme="minorHAnsi"/>
          <w:i/>
          <w:iCs/>
        </w:rPr>
        <w:t>Independent review into the circumstances leading to the administration and liquidation of Northern Oil and Gas Australia</w:t>
      </w:r>
      <w:r w:rsidR="00D212A5" w:rsidRPr="00EC7173">
        <w:rPr>
          <w:rStyle w:val="FootnoteReference"/>
          <w:rFonts w:cstheme="minorHAnsi"/>
          <w:color w:val="auto"/>
        </w:rPr>
        <w:footnoteReference w:id="9"/>
      </w:r>
      <w:r w:rsidR="00D212A5" w:rsidRPr="00EC7173">
        <w:rPr>
          <w:rFonts w:asciiTheme="minorHAnsi" w:hAnsiTheme="minorHAnsi" w:cstheme="minorHAnsi"/>
        </w:rPr>
        <w:t>, led by Steve Walker (the Walker Review).</w:t>
      </w:r>
    </w:p>
    <w:p w14:paraId="50D925C1" w14:textId="56292ED7" w:rsidR="00D212A5" w:rsidRDefault="00D212A5" w:rsidP="00EC7173">
      <w:pPr>
        <w:rPr>
          <w:rFonts w:asciiTheme="minorHAnsi" w:hAnsiTheme="minorHAnsi" w:cstheme="minorHAnsi"/>
        </w:rPr>
      </w:pPr>
    </w:p>
    <w:p w14:paraId="5D0243C2" w14:textId="1C6EAA9F" w:rsidR="007E304E" w:rsidRPr="00DF461B" w:rsidRDefault="002B7BB1" w:rsidP="00DF461B">
      <w:pPr>
        <w:shd w:val="clear" w:color="auto" w:fill="FFFFFF"/>
        <w:rPr>
          <w:rFonts w:asciiTheme="minorHAnsi" w:hAnsiTheme="minorHAnsi" w:cstheme="minorHAnsi"/>
        </w:rPr>
      </w:pPr>
      <w:r>
        <w:rPr>
          <w:rFonts w:asciiTheme="minorHAnsi" w:hAnsiTheme="minorHAnsi" w:cstheme="minorHAnsi"/>
        </w:rPr>
        <w:t>On 2 September 2021, t</w:t>
      </w:r>
      <w:r w:rsidR="007E304E" w:rsidRPr="00DF461B">
        <w:rPr>
          <w:rFonts w:asciiTheme="minorHAnsi" w:hAnsiTheme="minorHAnsi" w:cstheme="minorHAnsi"/>
        </w:rPr>
        <w:t xml:space="preserve">he </w:t>
      </w:r>
      <w:r w:rsidR="0023148E" w:rsidRPr="0023148E">
        <w:rPr>
          <w:rFonts w:asciiTheme="minorHAnsi" w:hAnsiTheme="minorHAnsi" w:cstheme="minorHAnsi"/>
          <w:i/>
        </w:rPr>
        <w:t>Offshore Petroleum and Greenhouse Gas Storage Amendment (Titles Administration and Other Measures) Act 2021</w:t>
      </w:r>
      <w:r w:rsidR="0023148E" w:rsidRPr="0023148E">
        <w:rPr>
          <w:rFonts w:asciiTheme="minorHAnsi" w:hAnsiTheme="minorHAnsi" w:cstheme="minorHAnsi"/>
        </w:rPr>
        <w:t xml:space="preserve"> </w:t>
      </w:r>
      <w:r w:rsidR="007E304E" w:rsidRPr="00DF461B">
        <w:rPr>
          <w:rFonts w:asciiTheme="minorHAnsi" w:hAnsiTheme="minorHAnsi" w:cstheme="minorHAnsi"/>
        </w:rPr>
        <w:t xml:space="preserve">(the </w:t>
      </w:r>
      <w:r>
        <w:rPr>
          <w:rFonts w:asciiTheme="minorHAnsi" w:hAnsiTheme="minorHAnsi" w:cstheme="minorHAnsi"/>
        </w:rPr>
        <w:t>Amendment Act</w:t>
      </w:r>
      <w:r w:rsidR="007E304E" w:rsidRPr="00DF461B">
        <w:rPr>
          <w:rFonts w:asciiTheme="minorHAnsi" w:hAnsiTheme="minorHAnsi" w:cstheme="minorHAnsi"/>
        </w:rPr>
        <w:t>)</w:t>
      </w:r>
      <w:r w:rsidR="00D830B4">
        <w:rPr>
          <w:rFonts w:asciiTheme="minorHAnsi" w:hAnsiTheme="minorHAnsi" w:cstheme="minorHAnsi"/>
        </w:rPr>
        <w:t xml:space="preserve"> </w:t>
      </w:r>
      <w:r>
        <w:rPr>
          <w:rFonts w:asciiTheme="minorHAnsi" w:hAnsiTheme="minorHAnsi" w:cstheme="minorHAnsi"/>
        </w:rPr>
        <w:t>received Royal Assent</w:t>
      </w:r>
      <w:r w:rsidR="005827AF">
        <w:rPr>
          <w:rStyle w:val="FootnoteReference"/>
          <w:rFonts w:cstheme="minorHAnsi"/>
        </w:rPr>
        <w:footnoteReference w:id="10"/>
      </w:r>
      <w:r w:rsidR="00D830B4">
        <w:rPr>
          <w:rFonts w:asciiTheme="minorHAnsi" w:hAnsiTheme="minorHAnsi" w:cstheme="minorHAnsi"/>
        </w:rPr>
        <w:t xml:space="preserve"> and</w:t>
      </w:r>
      <w:r w:rsidR="007E304E" w:rsidRPr="009F4CCC">
        <w:rPr>
          <w:rFonts w:asciiTheme="minorHAnsi" w:hAnsiTheme="minorHAnsi" w:cstheme="minorHAnsi"/>
        </w:rPr>
        <w:t xml:space="preserve"> </w:t>
      </w:r>
      <w:r w:rsidR="00D830B4">
        <w:rPr>
          <w:rFonts w:asciiTheme="minorHAnsi" w:hAnsiTheme="minorHAnsi" w:cstheme="minorHAnsi"/>
        </w:rPr>
        <w:t xml:space="preserve">imposes the </w:t>
      </w:r>
      <w:r w:rsidR="007E304E" w:rsidRPr="00DF461B">
        <w:rPr>
          <w:rFonts w:asciiTheme="minorHAnsi" w:hAnsiTheme="minorHAnsi" w:cstheme="minorHAnsi"/>
        </w:rPr>
        <w:t>legislative changes necessary to give effect to the enhanced framework</w:t>
      </w:r>
      <w:r w:rsidR="00076460">
        <w:rPr>
          <w:rFonts w:asciiTheme="minorHAnsi" w:hAnsiTheme="minorHAnsi" w:cstheme="minorHAnsi"/>
        </w:rPr>
        <w:t xml:space="preserve"> arising from the review</w:t>
      </w:r>
      <w:r w:rsidR="007E304E" w:rsidRPr="00DF461B">
        <w:rPr>
          <w:rFonts w:asciiTheme="minorHAnsi" w:hAnsiTheme="minorHAnsi" w:cstheme="minorHAnsi"/>
        </w:rPr>
        <w:t xml:space="preserve">. </w:t>
      </w:r>
    </w:p>
    <w:p w14:paraId="44006F5B" w14:textId="77777777" w:rsidR="009F07B9" w:rsidRDefault="009F07B9" w:rsidP="00DF461B">
      <w:pPr>
        <w:pStyle w:val="NormalWeb"/>
        <w:shd w:val="clear" w:color="auto" w:fill="FFFFFF"/>
        <w:spacing w:before="0" w:beforeAutospacing="0" w:after="0" w:afterAutospacing="0"/>
        <w:rPr>
          <w:rFonts w:asciiTheme="minorHAnsi" w:hAnsiTheme="minorHAnsi" w:cstheme="minorHAnsi"/>
          <w:lang w:eastAsia="en-US"/>
        </w:rPr>
      </w:pPr>
    </w:p>
    <w:p w14:paraId="7D8BE126" w14:textId="5C945C88" w:rsidR="00DB7327" w:rsidRPr="00DF461B" w:rsidRDefault="00DB7327" w:rsidP="001F1734">
      <w:pPr>
        <w:pStyle w:val="NormalWeb"/>
        <w:shd w:val="clear" w:color="auto" w:fill="FFFFFF"/>
        <w:spacing w:before="0" w:beforeAutospacing="0" w:after="0" w:afterAutospacing="0"/>
        <w:rPr>
          <w:rFonts w:asciiTheme="minorHAnsi" w:hAnsiTheme="minorHAnsi" w:cstheme="minorHAnsi"/>
          <w:lang w:eastAsia="en-US"/>
        </w:rPr>
      </w:pPr>
      <w:r w:rsidRPr="00DF461B">
        <w:rPr>
          <w:rFonts w:asciiTheme="minorHAnsi" w:hAnsiTheme="minorHAnsi" w:cstheme="minorHAnsi"/>
          <w:lang w:eastAsia="en-US"/>
        </w:rPr>
        <w:t xml:space="preserve">The </w:t>
      </w:r>
      <w:r w:rsidR="002B7BB1">
        <w:rPr>
          <w:rFonts w:asciiTheme="minorHAnsi" w:hAnsiTheme="minorHAnsi" w:cstheme="minorHAnsi"/>
          <w:lang w:eastAsia="en-US"/>
        </w:rPr>
        <w:t xml:space="preserve">new </w:t>
      </w:r>
      <w:r w:rsidRPr="00DF461B">
        <w:rPr>
          <w:rFonts w:asciiTheme="minorHAnsi" w:hAnsiTheme="minorHAnsi" w:cstheme="minorHAnsi"/>
          <w:lang w:eastAsia="en-US"/>
        </w:rPr>
        <w:t xml:space="preserve">legislative measures </w:t>
      </w:r>
      <w:r w:rsidR="009F07B9" w:rsidRPr="00DE0836">
        <w:rPr>
          <w:rFonts w:asciiTheme="minorHAnsi" w:hAnsiTheme="minorHAnsi" w:cstheme="minorHAnsi"/>
          <w:lang w:eastAsia="en-US"/>
        </w:rPr>
        <w:t>include:</w:t>
      </w:r>
    </w:p>
    <w:p w14:paraId="30F09FE1" w14:textId="77777777" w:rsidR="001F1734" w:rsidRPr="001F1734" w:rsidRDefault="001F1734" w:rsidP="00A174D5">
      <w:pPr>
        <w:numPr>
          <w:ilvl w:val="0"/>
          <w:numId w:val="12"/>
        </w:numPr>
        <w:shd w:val="clear" w:color="auto" w:fill="FFFFFF"/>
        <w:ind w:left="714" w:hanging="357"/>
        <w:rPr>
          <w:rFonts w:asciiTheme="minorHAnsi" w:hAnsiTheme="minorHAnsi" w:cstheme="minorHAnsi"/>
        </w:rPr>
      </w:pPr>
      <w:r w:rsidRPr="001F1734">
        <w:rPr>
          <w:rFonts w:asciiTheme="minorHAnsi" w:hAnsiTheme="minorHAnsi" w:cstheme="minorHAnsi"/>
          <w:b/>
          <w:bCs/>
        </w:rPr>
        <w:t>Changes in company control:</w:t>
      </w:r>
      <w:r w:rsidRPr="001F1734">
        <w:rPr>
          <w:rFonts w:asciiTheme="minorHAnsi" w:hAnsiTheme="minorHAnsi" w:cstheme="minorHAnsi"/>
        </w:rPr>
        <w:t xml:space="preserve"> expanding the types of transactions requiring government assessment and approval to include changes in ownership or control of a titleholder entity, such as through a corporate merger, acquisition or takeover.</w:t>
      </w:r>
    </w:p>
    <w:p w14:paraId="1A3251BC" w14:textId="77777777" w:rsidR="001F1734" w:rsidRPr="001F1734" w:rsidRDefault="001F1734" w:rsidP="00A174D5">
      <w:pPr>
        <w:numPr>
          <w:ilvl w:val="0"/>
          <w:numId w:val="12"/>
        </w:numPr>
        <w:shd w:val="clear" w:color="auto" w:fill="FFFFFF"/>
        <w:rPr>
          <w:rFonts w:asciiTheme="minorHAnsi" w:hAnsiTheme="minorHAnsi" w:cstheme="minorHAnsi"/>
        </w:rPr>
      </w:pPr>
      <w:r w:rsidRPr="001F1734">
        <w:rPr>
          <w:rFonts w:asciiTheme="minorHAnsi" w:hAnsiTheme="minorHAnsi" w:cstheme="minorHAnsi"/>
          <w:b/>
          <w:bCs/>
        </w:rPr>
        <w:t>Trailing liability:</w:t>
      </w:r>
      <w:r w:rsidRPr="001F1734">
        <w:rPr>
          <w:rFonts w:asciiTheme="minorHAnsi" w:hAnsiTheme="minorHAnsi" w:cstheme="minorHAnsi"/>
        </w:rPr>
        <w:t xml:space="preserve"> expanding the circumstances where a previous titleholder can be ‘called back’ to remediate the title areas or conduct other activities where the current titleholder is unable to do so and introducing the concept of a ‘related person’.</w:t>
      </w:r>
    </w:p>
    <w:p w14:paraId="1776485B" w14:textId="55C61667" w:rsidR="001F1734" w:rsidRPr="001F1734" w:rsidRDefault="001F1734" w:rsidP="00A174D5">
      <w:pPr>
        <w:numPr>
          <w:ilvl w:val="0"/>
          <w:numId w:val="12"/>
        </w:numPr>
        <w:shd w:val="clear" w:color="auto" w:fill="FFFFFF"/>
        <w:rPr>
          <w:rFonts w:asciiTheme="minorHAnsi" w:hAnsiTheme="minorHAnsi" w:cstheme="minorHAnsi"/>
        </w:rPr>
      </w:pPr>
      <w:r w:rsidRPr="001F1734">
        <w:rPr>
          <w:rFonts w:asciiTheme="minorHAnsi" w:hAnsiTheme="minorHAnsi" w:cstheme="minorHAnsi"/>
          <w:b/>
          <w:bCs/>
        </w:rPr>
        <w:t>Suitability:</w:t>
      </w:r>
      <w:r w:rsidRPr="001F1734">
        <w:rPr>
          <w:rFonts w:asciiTheme="minorHAnsi" w:hAnsiTheme="minorHAnsi" w:cstheme="minorHAnsi"/>
        </w:rPr>
        <w:t xml:space="preserve"> inclusion of decision-making criteria within the legislation to assess competency and suitability of entities applying to operate in Australia’s offshore regime. These assessments at key decision points include financial capacity, technical capability, history of compliance and corporate governance arrangements.</w:t>
      </w:r>
    </w:p>
    <w:p w14:paraId="485FAE76" w14:textId="42AEA988" w:rsidR="001F1734" w:rsidRDefault="001F1734" w:rsidP="00A174D5">
      <w:pPr>
        <w:numPr>
          <w:ilvl w:val="0"/>
          <w:numId w:val="12"/>
        </w:numPr>
        <w:shd w:val="clear" w:color="auto" w:fill="FFFFFF"/>
        <w:rPr>
          <w:rFonts w:asciiTheme="minorHAnsi" w:hAnsiTheme="minorHAnsi" w:cstheme="minorHAnsi"/>
        </w:rPr>
      </w:pPr>
      <w:r w:rsidRPr="001F1734">
        <w:rPr>
          <w:rFonts w:asciiTheme="minorHAnsi" w:hAnsiTheme="minorHAnsi" w:cstheme="minorHAnsi"/>
          <w:b/>
          <w:bCs/>
        </w:rPr>
        <w:t>Other measures:</w:t>
      </w:r>
      <w:r w:rsidRPr="001F1734">
        <w:rPr>
          <w:rFonts w:asciiTheme="minorHAnsi" w:hAnsiTheme="minorHAnsi" w:cstheme="minorHAnsi"/>
        </w:rPr>
        <w:t xml:space="preserve"> minor and technical amendments to improve the operation of the </w:t>
      </w:r>
      <w:r w:rsidR="005827AF">
        <w:rPr>
          <w:rFonts w:asciiTheme="minorHAnsi" w:hAnsiTheme="minorHAnsi" w:cstheme="minorHAnsi"/>
        </w:rPr>
        <w:t>OPGGS Act</w:t>
      </w:r>
      <w:r w:rsidRPr="001F1734">
        <w:rPr>
          <w:rFonts w:asciiTheme="minorHAnsi" w:hAnsiTheme="minorHAnsi" w:cstheme="minorHAnsi"/>
        </w:rPr>
        <w:t xml:space="preserve">, including the facilitation of electronic submission of all documents that accompany an application for a transfer or dealing of a petroleum or greenhouse gas title. The </w:t>
      </w:r>
      <w:r w:rsidR="0023148E">
        <w:rPr>
          <w:rFonts w:asciiTheme="minorHAnsi" w:hAnsiTheme="minorHAnsi" w:cstheme="minorHAnsi"/>
        </w:rPr>
        <w:t>Amendment Act</w:t>
      </w:r>
      <w:r w:rsidRPr="001F1734">
        <w:rPr>
          <w:rFonts w:asciiTheme="minorHAnsi" w:hAnsiTheme="minorHAnsi" w:cstheme="minorHAnsi"/>
        </w:rPr>
        <w:t xml:space="preserve"> removes the requirement to provide additional copies of documents that accompany an application, reducing the administrative burden on industry and streamlining the application process.  </w:t>
      </w:r>
    </w:p>
    <w:p w14:paraId="2F34DD58" w14:textId="77777777" w:rsidR="001F1734" w:rsidRDefault="001F1734" w:rsidP="001F1734">
      <w:pPr>
        <w:rPr>
          <w:rFonts w:asciiTheme="minorHAnsi" w:hAnsiTheme="minorHAnsi" w:cstheme="minorHAnsi"/>
        </w:rPr>
      </w:pPr>
    </w:p>
    <w:p w14:paraId="066EAD29" w14:textId="50A11112" w:rsidR="00DB7327" w:rsidRPr="00DF461B" w:rsidRDefault="00DB7327" w:rsidP="001F1734">
      <w:pPr>
        <w:rPr>
          <w:rFonts w:asciiTheme="minorHAnsi" w:hAnsiTheme="minorHAnsi" w:cstheme="minorHAnsi"/>
        </w:rPr>
      </w:pPr>
      <w:r w:rsidRPr="00DF461B">
        <w:rPr>
          <w:rFonts w:asciiTheme="minorHAnsi" w:hAnsiTheme="minorHAnsi" w:cstheme="minorHAnsi"/>
        </w:rPr>
        <w:t xml:space="preserve">The </w:t>
      </w:r>
      <w:r w:rsidR="002B7BB1">
        <w:rPr>
          <w:rFonts w:asciiTheme="minorHAnsi" w:hAnsiTheme="minorHAnsi" w:cstheme="minorHAnsi"/>
        </w:rPr>
        <w:t>Amendment Act</w:t>
      </w:r>
      <w:r w:rsidR="002B7BB1" w:rsidRPr="00DF461B">
        <w:rPr>
          <w:rFonts w:asciiTheme="minorHAnsi" w:hAnsiTheme="minorHAnsi" w:cstheme="minorHAnsi"/>
        </w:rPr>
        <w:t xml:space="preserve"> </w:t>
      </w:r>
      <w:r w:rsidR="002B7BB1">
        <w:rPr>
          <w:rFonts w:asciiTheme="minorHAnsi" w:hAnsiTheme="minorHAnsi" w:cstheme="minorHAnsi"/>
        </w:rPr>
        <w:t xml:space="preserve">imposes </w:t>
      </w:r>
      <w:r w:rsidRPr="00DF461B">
        <w:rPr>
          <w:rFonts w:asciiTheme="minorHAnsi" w:hAnsiTheme="minorHAnsi" w:cstheme="minorHAnsi"/>
        </w:rPr>
        <w:t xml:space="preserve">new administrative requirements on NOPTA, </w:t>
      </w:r>
      <w:bookmarkStart w:id="7" w:name="_Hlk71031715"/>
      <w:r w:rsidR="00076460">
        <w:rPr>
          <w:rFonts w:asciiTheme="minorHAnsi" w:hAnsiTheme="minorHAnsi" w:cstheme="minorHAnsi"/>
        </w:rPr>
        <w:t>including</w:t>
      </w:r>
      <w:r w:rsidRPr="00DF461B">
        <w:rPr>
          <w:rFonts w:asciiTheme="minorHAnsi" w:hAnsiTheme="minorHAnsi" w:cstheme="minorHAnsi"/>
        </w:rPr>
        <w:t xml:space="preserve"> </w:t>
      </w:r>
      <w:r w:rsidR="00532D24">
        <w:rPr>
          <w:rFonts w:asciiTheme="minorHAnsi" w:hAnsiTheme="minorHAnsi" w:cstheme="minorHAnsi"/>
        </w:rPr>
        <w:t>widening</w:t>
      </w:r>
      <w:r w:rsidRPr="00DF461B">
        <w:rPr>
          <w:rFonts w:asciiTheme="minorHAnsi" w:hAnsiTheme="minorHAnsi" w:cstheme="minorHAnsi"/>
        </w:rPr>
        <w:t xml:space="preserve"> </w:t>
      </w:r>
      <w:r w:rsidR="00076460">
        <w:rPr>
          <w:rFonts w:asciiTheme="minorHAnsi" w:hAnsiTheme="minorHAnsi" w:cstheme="minorHAnsi"/>
        </w:rPr>
        <w:t xml:space="preserve">the applications to which an </w:t>
      </w:r>
      <w:r w:rsidRPr="00DF461B">
        <w:rPr>
          <w:rFonts w:asciiTheme="minorHAnsi" w:hAnsiTheme="minorHAnsi" w:cstheme="minorHAnsi"/>
        </w:rPr>
        <w:t xml:space="preserve">assessment of </w:t>
      </w:r>
      <w:r w:rsidR="00076460">
        <w:rPr>
          <w:rFonts w:asciiTheme="minorHAnsi" w:hAnsiTheme="minorHAnsi" w:cstheme="minorHAnsi"/>
        </w:rPr>
        <w:t xml:space="preserve">the applicant’s </w:t>
      </w:r>
      <w:r w:rsidRPr="00DF461B">
        <w:rPr>
          <w:rFonts w:asciiTheme="minorHAnsi" w:hAnsiTheme="minorHAnsi" w:cstheme="minorHAnsi"/>
        </w:rPr>
        <w:t>financial and technical capacity</w:t>
      </w:r>
      <w:r w:rsidR="00076460">
        <w:rPr>
          <w:rFonts w:asciiTheme="minorHAnsi" w:hAnsiTheme="minorHAnsi" w:cstheme="minorHAnsi"/>
        </w:rPr>
        <w:t xml:space="preserve"> applies</w:t>
      </w:r>
      <w:r w:rsidRPr="00DF461B">
        <w:rPr>
          <w:rFonts w:asciiTheme="minorHAnsi" w:hAnsiTheme="minorHAnsi" w:cstheme="minorHAnsi"/>
        </w:rPr>
        <w:t xml:space="preserve">, </w:t>
      </w:r>
      <w:r w:rsidR="00076460">
        <w:rPr>
          <w:rFonts w:asciiTheme="minorHAnsi" w:hAnsiTheme="minorHAnsi" w:cstheme="minorHAnsi"/>
        </w:rPr>
        <w:t>creating new</w:t>
      </w:r>
      <w:r w:rsidRPr="00DF461B">
        <w:rPr>
          <w:rFonts w:asciiTheme="minorHAnsi" w:hAnsiTheme="minorHAnsi" w:cstheme="minorHAnsi"/>
        </w:rPr>
        <w:t xml:space="preserve"> </w:t>
      </w:r>
      <w:r w:rsidR="00D74E09">
        <w:rPr>
          <w:rFonts w:asciiTheme="minorHAnsi" w:hAnsiTheme="minorHAnsi" w:cstheme="minorHAnsi"/>
        </w:rPr>
        <w:t xml:space="preserve">extended </w:t>
      </w:r>
      <w:r w:rsidR="00076460">
        <w:rPr>
          <w:rFonts w:asciiTheme="minorHAnsi" w:hAnsiTheme="minorHAnsi" w:cstheme="minorHAnsi"/>
        </w:rPr>
        <w:t>decision-making</w:t>
      </w:r>
      <w:r w:rsidRPr="00DF461B">
        <w:rPr>
          <w:rFonts w:asciiTheme="minorHAnsi" w:hAnsiTheme="minorHAnsi" w:cstheme="minorHAnsi"/>
        </w:rPr>
        <w:t xml:space="preserve"> criteria for </w:t>
      </w:r>
      <w:r w:rsidR="00D74E09">
        <w:rPr>
          <w:rFonts w:asciiTheme="minorHAnsi" w:hAnsiTheme="minorHAnsi" w:cstheme="minorHAnsi"/>
        </w:rPr>
        <w:t>the initial grant of permits, the grant of pipeline and infrastructure licences and decisions for transfers and change of control</w:t>
      </w:r>
      <w:r w:rsidRPr="00DF461B">
        <w:rPr>
          <w:rFonts w:asciiTheme="minorHAnsi" w:hAnsiTheme="minorHAnsi" w:cstheme="minorHAnsi"/>
        </w:rPr>
        <w:t xml:space="preserve"> </w:t>
      </w:r>
      <w:r w:rsidR="009F07B9">
        <w:rPr>
          <w:rFonts w:asciiTheme="minorHAnsi" w:hAnsiTheme="minorHAnsi" w:cstheme="minorHAnsi"/>
        </w:rPr>
        <w:t xml:space="preserve">(section 695YB and 695YC) </w:t>
      </w:r>
      <w:r w:rsidRPr="00DF461B">
        <w:rPr>
          <w:rFonts w:asciiTheme="minorHAnsi" w:hAnsiTheme="minorHAnsi" w:cstheme="minorHAnsi"/>
        </w:rPr>
        <w:t>and a new change of company control application</w:t>
      </w:r>
      <w:r w:rsidR="00076460">
        <w:rPr>
          <w:rFonts w:asciiTheme="minorHAnsi" w:hAnsiTheme="minorHAnsi" w:cstheme="minorHAnsi"/>
        </w:rPr>
        <w:t xml:space="preserve"> </w:t>
      </w:r>
      <w:bookmarkEnd w:id="7"/>
      <w:r w:rsidR="00076460">
        <w:rPr>
          <w:rFonts w:asciiTheme="minorHAnsi" w:hAnsiTheme="minorHAnsi" w:cstheme="minorHAnsi"/>
        </w:rPr>
        <w:t>(refer to the table in section 3.2 for further details)</w:t>
      </w:r>
      <w:r w:rsidRPr="00DF461B">
        <w:rPr>
          <w:rFonts w:asciiTheme="minorHAnsi" w:hAnsiTheme="minorHAnsi" w:cstheme="minorHAnsi"/>
        </w:rPr>
        <w:t xml:space="preserve">. </w:t>
      </w:r>
    </w:p>
    <w:p w14:paraId="45F7E629" w14:textId="77777777" w:rsidR="00076460" w:rsidRDefault="00076460" w:rsidP="001F1734">
      <w:pPr>
        <w:rPr>
          <w:rFonts w:asciiTheme="minorHAnsi" w:hAnsiTheme="minorHAnsi" w:cstheme="minorHAnsi"/>
        </w:rPr>
      </w:pPr>
    </w:p>
    <w:p w14:paraId="7625D586" w14:textId="08397542" w:rsidR="00727004" w:rsidRPr="00EC7173" w:rsidRDefault="00D212A5" w:rsidP="00EC7173">
      <w:pPr>
        <w:rPr>
          <w:rFonts w:asciiTheme="minorHAnsi" w:hAnsiTheme="minorHAnsi"/>
          <w:lang w:val="en-US"/>
        </w:rPr>
      </w:pPr>
      <w:r w:rsidRPr="00EC7173">
        <w:rPr>
          <w:rFonts w:asciiTheme="minorHAnsi" w:hAnsiTheme="minorHAnsi" w:cstheme="minorHAnsi"/>
        </w:rPr>
        <w:t>NOPTA</w:t>
      </w:r>
      <w:r w:rsidR="00B612FD">
        <w:rPr>
          <w:rFonts w:asciiTheme="minorHAnsi" w:hAnsiTheme="minorHAnsi" w:cstheme="minorHAnsi"/>
        </w:rPr>
        <w:t>, currently,</w:t>
      </w:r>
      <w:r w:rsidRPr="00EC7173">
        <w:rPr>
          <w:rFonts w:asciiTheme="minorHAnsi" w:hAnsiTheme="minorHAnsi" w:cstheme="minorHAnsi"/>
        </w:rPr>
        <w:t xml:space="preserve"> does not have sufficient internal technical capacity to discharge these new functions consistent with the expected volume and in a manner that is aligned with best practice. It </w:t>
      </w:r>
      <w:r w:rsidR="00E55AFA">
        <w:rPr>
          <w:rFonts w:asciiTheme="minorHAnsi" w:hAnsiTheme="minorHAnsi" w:cstheme="minorHAnsi"/>
        </w:rPr>
        <w:t xml:space="preserve">is </w:t>
      </w:r>
      <w:r w:rsidRPr="00EC7173">
        <w:rPr>
          <w:rFonts w:asciiTheme="minorHAnsi" w:hAnsiTheme="minorHAnsi" w:cstheme="minorHAnsi"/>
        </w:rPr>
        <w:t xml:space="preserve">therefore necessary that NOPTA adjusts its fees and levies to allow for the adequate recovery of costs relating to the recruitment of additional staff, as well as </w:t>
      </w:r>
      <w:r w:rsidR="00B612FD">
        <w:rPr>
          <w:rFonts w:asciiTheme="minorHAnsi" w:hAnsiTheme="minorHAnsi" w:cstheme="minorHAnsi"/>
        </w:rPr>
        <w:t>enhancing i</w:t>
      </w:r>
      <w:r w:rsidRPr="00EC7173">
        <w:rPr>
          <w:rFonts w:asciiTheme="minorHAnsi" w:hAnsiTheme="minorHAnsi" w:cstheme="minorHAnsi"/>
        </w:rPr>
        <w:t xml:space="preserve">nternal systems to </w:t>
      </w:r>
      <w:r w:rsidR="00B612FD">
        <w:rPr>
          <w:rFonts w:asciiTheme="minorHAnsi" w:hAnsiTheme="minorHAnsi" w:cstheme="minorHAnsi"/>
        </w:rPr>
        <w:t xml:space="preserve">efficiently </w:t>
      </w:r>
      <w:r w:rsidRPr="00EC7173">
        <w:rPr>
          <w:rFonts w:asciiTheme="minorHAnsi" w:hAnsiTheme="minorHAnsi" w:cstheme="minorHAnsi"/>
        </w:rPr>
        <w:t>facilitate</w:t>
      </w:r>
      <w:r w:rsidR="00B612FD">
        <w:rPr>
          <w:rFonts w:asciiTheme="minorHAnsi" w:hAnsiTheme="minorHAnsi" w:cstheme="minorHAnsi"/>
        </w:rPr>
        <w:t xml:space="preserve"> the new functions.</w:t>
      </w:r>
      <w:r w:rsidRPr="00EC7173">
        <w:rPr>
          <w:rFonts w:asciiTheme="minorHAnsi" w:hAnsiTheme="minorHAnsi" w:cstheme="majorHAnsi"/>
        </w:rPr>
        <w:t xml:space="preserve">  </w:t>
      </w:r>
    </w:p>
    <w:p w14:paraId="1C0732CB" w14:textId="6EDCAB5E" w:rsidR="009F4CCC" w:rsidRDefault="009F4CCC">
      <w:pPr>
        <w:spacing w:after="200" w:line="276" w:lineRule="auto"/>
        <w:rPr>
          <w:rFonts w:asciiTheme="minorHAnsi" w:hAnsiTheme="minorHAnsi"/>
          <w:bCs/>
        </w:rPr>
      </w:pPr>
      <w:r>
        <w:rPr>
          <w:rFonts w:asciiTheme="minorHAnsi" w:hAnsiTheme="minorHAnsi"/>
          <w:bCs/>
        </w:rPr>
        <w:br w:type="page"/>
      </w:r>
    </w:p>
    <w:p w14:paraId="015399D2" w14:textId="689C22FA" w:rsidR="008B679D" w:rsidRDefault="008B679D" w:rsidP="00F2024B">
      <w:pPr>
        <w:pStyle w:val="Heading1"/>
        <w:tabs>
          <w:tab w:val="clear" w:pos="432"/>
          <w:tab w:val="num" w:pos="709"/>
        </w:tabs>
        <w:ind w:left="709" w:hanging="709"/>
        <w:jc w:val="left"/>
        <w:rPr>
          <w:rFonts w:asciiTheme="minorHAnsi" w:hAnsiTheme="minorHAnsi" w:cstheme="minorHAnsi"/>
          <w:b/>
          <w:bCs/>
          <w:i w:val="0"/>
          <w:iCs w:val="0"/>
          <w:sz w:val="32"/>
          <w:szCs w:val="32"/>
        </w:rPr>
      </w:pPr>
      <w:bookmarkStart w:id="8" w:name="_Toc84844716"/>
      <w:r w:rsidRPr="00727004">
        <w:rPr>
          <w:rFonts w:asciiTheme="minorHAnsi" w:hAnsiTheme="minorHAnsi" w:cstheme="minorHAnsi"/>
          <w:b/>
          <w:bCs/>
          <w:i w:val="0"/>
          <w:iCs w:val="0"/>
          <w:sz w:val="32"/>
          <w:szCs w:val="32"/>
        </w:rPr>
        <w:lastRenderedPageBreak/>
        <w:t>POLICY AND STATUTORY AUTHORITY TO COST RECOVER</w:t>
      </w:r>
      <w:bookmarkEnd w:id="8"/>
    </w:p>
    <w:p w14:paraId="1DDACA0F" w14:textId="0345AF62" w:rsidR="00D212A5" w:rsidRDefault="00D212A5" w:rsidP="00D212A5">
      <w:pPr>
        <w:rPr>
          <w:lang w:val="en-US"/>
        </w:rPr>
      </w:pPr>
    </w:p>
    <w:p w14:paraId="196A7145" w14:textId="77777777" w:rsidR="00D212A5" w:rsidRPr="00F2024B" w:rsidRDefault="00D212A5" w:rsidP="00F2024B">
      <w:pPr>
        <w:pStyle w:val="Heading2"/>
        <w:tabs>
          <w:tab w:val="clear" w:pos="576"/>
          <w:tab w:val="num" w:pos="709"/>
        </w:tabs>
        <w:ind w:left="709" w:hanging="709"/>
        <w:rPr>
          <w:rFonts w:asciiTheme="minorHAnsi" w:hAnsiTheme="minorHAnsi" w:cstheme="minorHAnsi"/>
          <w:i w:val="0"/>
          <w:iCs w:val="0"/>
        </w:rPr>
      </w:pPr>
      <w:bookmarkStart w:id="9" w:name="_Toc84844717"/>
      <w:r w:rsidRPr="00F2024B">
        <w:rPr>
          <w:rFonts w:asciiTheme="minorHAnsi" w:hAnsiTheme="minorHAnsi" w:cstheme="minorHAnsi"/>
          <w:i w:val="0"/>
          <w:iCs w:val="0"/>
        </w:rPr>
        <w:t>Government policy approval to cost recover the regulatory activity</w:t>
      </w:r>
      <w:bookmarkEnd w:id="9"/>
    </w:p>
    <w:p w14:paraId="2365F4BB" w14:textId="2C3DC347" w:rsidR="00D212A5" w:rsidRPr="00814B19" w:rsidRDefault="00D212A5" w:rsidP="00D212A5">
      <w:pPr>
        <w:rPr>
          <w:rFonts w:asciiTheme="minorHAnsi" w:hAnsiTheme="minorHAnsi" w:cstheme="minorHAnsi"/>
        </w:rPr>
      </w:pPr>
      <w:r w:rsidRPr="007B268A">
        <w:rPr>
          <w:rFonts w:asciiTheme="minorHAnsi" w:hAnsiTheme="minorHAnsi" w:cstheme="minorHAnsi"/>
        </w:rPr>
        <w:t xml:space="preserve">In its report </w:t>
      </w:r>
      <w:r w:rsidRPr="007B268A">
        <w:rPr>
          <w:rFonts w:asciiTheme="minorHAnsi" w:hAnsiTheme="minorHAnsi" w:cstheme="minorHAnsi"/>
          <w:i/>
        </w:rPr>
        <w:t>Review of Regulatory Burden on the Upstream Petroleum (Oil &amp; Gas) Sector</w:t>
      </w:r>
      <w:r w:rsidRPr="007B268A">
        <w:rPr>
          <w:rFonts w:asciiTheme="minorHAnsi" w:hAnsiTheme="minorHAnsi" w:cstheme="minorHAnsi"/>
        </w:rPr>
        <w:t xml:space="preserve"> (released on 30 April 2009), the Productivity Commission recommended establishing a national offshore petroleum regulator funded through full cost recovery. As part of the 2011</w:t>
      </w:r>
      <w:r w:rsidRPr="007B268A">
        <w:rPr>
          <w:rFonts w:asciiTheme="minorHAnsi" w:hAnsiTheme="minorHAnsi" w:cstheme="minorHAnsi"/>
          <w:bCs/>
        </w:rPr>
        <w:t>–</w:t>
      </w:r>
      <w:r w:rsidRPr="007B268A">
        <w:rPr>
          <w:rFonts w:asciiTheme="minorHAnsi" w:hAnsiTheme="minorHAnsi" w:cstheme="minorHAnsi"/>
        </w:rPr>
        <w:t>12 Budget, the Australian Government adopted a revised model for the regulation of the upstream petroleum sector in Commonwealth waters by establishing NOPSEMA and NOPTA instead of a single regulator</w:t>
      </w:r>
      <w:r w:rsidRPr="007B268A">
        <w:rPr>
          <w:rStyle w:val="FootnoteReference"/>
          <w:rFonts w:cstheme="minorHAnsi"/>
          <w:color w:val="auto"/>
        </w:rPr>
        <w:footnoteReference w:id="11"/>
      </w:r>
      <w:r>
        <w:rPr>
          <w:rFonts w:asciiTheme="minorHAnsi" w:hAnsiTheme="minorHAnsi" w:cstheme="minorHAnsi"/>
        </w:rPr>
        <w:t>.</w:t>
      </w:r>
      <w:r w:rsidRPr="007B268A">
        <w:rPr>
          <w:rFonts w:asciiTheme="minorHAnsi" w:hAnsiTheme="minorHAnsi" w:cstheme="minorHAnsi"/>
        </w:rPr>
        <w:t xml:space="preserve"> Both entities were to operate on a full cost recovery basis from 1 January 2012</w:t>
      </w:r>
      <w:r>
        <w:rPr>
          <w:rFonts w:asciiTheme="minorHAnsi" w:hAnsiTheme="minorHAnsi" w:cstheme="minorHAnsi"/>
        </w:rPr>
        <w:t>,</w:t>
      </w:r>
      <w:r w:rsidRPr="007B268A">
        <w:rPr>
          <w:rFonts w:asciiTheme="minorHAnsi" w:hAnsiTheme="minorHAnsi" w:cstheme="minorHAnsi"/>
        </w:rPr>
        <w:t xml:space="preserve"> with the revenue from registration fees payable by the industry under the </w:t>
      </w:r>
      <w:r w:rsidRPr="007B268A">
        <w:rPr>
          <w:rFonts w:asciiTheme="minorHAnsi" w:hAnsiTheme="minorHAnsi" w:cstheme="minorHAnsi"/>
          <w:i/>
          <w:iCs/>
        </w:rPr>
        <w:t>Offshore Petroleum and Greenhouse Gas Storage (Registration Fees) Act 2006</w:t>
      </w:r>
      <w:r>
        <w:rPr>
          <w:rFonts w:asciiTheme="minorHAnsi" w:hAnsiTheme="minorHAnsi" w:cstheme="minorHAnsi"/>
        </w:rPr>
        <w:t>,</w:t>
      </w:r>
      <w:r w:rsidRPr="007B268A">
        <w:rPr>
          <w:rFonts w:asciiTheme="minorHAnsi" w:hAnsiTheme="minorHAnsi" w:cstheme="minorHAnsi"/>
        </w:rPr>
        <w:t xml:space="preserve"> retained by the Government for an initial two-year period from 1 July 2011 to meet the establishment costs.</w:t>
      </w:r>
    </w:p>
    <w:p w14:paraId="6EDC588A" w14:textId="77777777" w:rsidR="00D212A5" w:rsidRPr="00F2024B" w:rsidRDefault="00D212A5" w:rsidP="00F2024B">
      <w:pPr>
        <w:pStyle w:val="Heading2"/>
        <w:tabs>
          <w:tab w:val="clear" w:pos="576"/>
          <w:tab w:val="num" w:pos="709"/>
        </w:tabs>
        <w:ind w:left="709" w:hanging="709"/>
        <w:rPr>
          <w:rFonts w:asciiTheme="minorHAnsi" w:hAnsiTheme="minorHAnsi" w:cstheme="minorHAnsi"/>
          <w:i w:val="0"/>
          <w:iCs w:val="0"/>
        </w:rPr>
      </w:pPr>
      <w:bookmarkStart w:id="10" w:name="_Toc84844718"/>
      <w:r w:rsidRPr="00F2024B">
        <w:rPr>
          <w:rFonts w:asciiTheme="minorHAnsi" w:hAnsiTheme="minorHAnsi" w:cstheme="minorHAnsi"/>
          <w:i w:val="0"/>
          <w:iCs w:val="0"/>
        </w:rPr>
        <w:t>Statutory authority to charge</w:t>
      </w:r>
      <w:bookmarkEnd w:id="10"/>
    </w:p>
    <w:p w14:paraId="1D6E0C1B" w14:textId="42FFD040" w:rsidR="00D212A5" w:rsidRPr="007D7A99" w:rsidRDefault="00D212A5" w:rsidP="00D212A5">
      <w:pPr>
        <w:rPr>
          <w:rFonts w:asciiTheme="minorHAnsi" w:hAnsiTheme="minorHAnsi" w:cstheme="minorHAnsi"/>
        </w:rPr>
      </w:pPr>
      <w:r w:rsidRPr="007D7A99">
        <w:rPr>
          <w:rFonts w:asciiTheme="minorHAnsi" w:hAnsiTheme="minorHAnsi" w:cstheme="minorHAnsi"/>
        </w:rPr>
        <w:t xml:space="preserve">The legal authority to impose the Annual Titles Administration Levy is contained in Part 4C of the </w:t>
      </w:r>
      <w:r w:rsidR="002A3657">
        <w:rPr>
          <w:rFonts w:asciiTheme="minorHAnsi" w:hAnsiTheme="minorHAnsi" w:cstheme="minorHAnsi"/>
          <w:iCs/>
        </w:rPr>
        <w:t>L</w:t>
      </w:r>
      <w:r w:rsidR="002A3657" w:rsidRPr="00C353A0">
        <w:rPr>
          <w:rFonts w:asciiTheme="minorHAnsi" w:hAnsiTheme="minorHAnsi" w:cstheme="minorHAnsi"/>
          <w:iCs/>
        </w:rPr>
        <w:t>evies Act</w:t>
      </w:r>
      <w:r w:rsidRPr="007D7A99">
        <w:rPr>
          <w:rFonts w:asciiTheme="minorHAnsi" w:hAnsiTheme="minorHAnsi" w:cstheme="minorHAnsi"/>
        </w:rPr>
        <w:t xml:space="preserve">. The amounts are prescribed in the </w:t>
      </w:r>
      <w:r w:rsidRPr="007D7A99">
        <w:rPr>
          <w:rFonts w:asciiTheme="minorHAnsi" w:hAnsiTheme="minorHAnsi" w:cstheme="minorHAnsi"/>
          <w:i/>
        </w:rPr>
        <w:t>Offshore Petroleum and Greenhouse Gas Storage (Regulatory Levies) Regulations 2004</w:t>
      </w:r>
      <w:r w:rsidRPr="007D7A99">
        <w:rPr>
          <w:rFonts w:asciiTheme="minorHAnsi" w:hAnsiTheme="minorHAnsi" w:cstheme="minorHAnsi"/>
        </w:rPr>
        <w:t>.</w:t>
      </w:r>
      <w:r w:rsidR="00EC7173">
        <w:rPr>
          <w:rFonts w:asciiTheme="minorHAnsi" w:hAnsiTheme="minorHAnsi" w:cstheme="minorHAnsi"/>
        </w:rPr>
        <w:t xml:space="preserve"> </w:t>
      </w:r>
      <w:r w:rsidRPr="007D7A99">
        <w:rPr>
          <w:rFonts w:asciiTheme="minorHAnsi" w:hAnsiTheme="minorHAnsi" w:cstheme="minorHAnsi"/>
        </w:rPr>
        <w:t xml:space="preserve">The legal authority to prescribe application fees can be found in </w:t>
      </w:r>
      <w:r w:rsidR="00045EE6">
        <w:rPr>
          <w:rFonts w:asciiTheme="minorHAnsi" w:hAnsiTheme="minorHAnsi" w:cstheme="minorHAnsi"/>
        </w:rPr>
        <w:t>Chapter</w:t>
      </w:r>
      <w:r w:rsidR="00045EE6" w:rsidRPr="007D7A99">
        <w:rPr>
          <w:rFonts w:asciiTheme="minorHAnsi" w:hAnsiTheme="minorHAnsi" w:cstheme="minorHAnsi"/>
        </w:rPr>
        <w:t xml:space="preserve"> </w:t>
      </w:r>
      <w:r w:rsidRPr="007D7A99">
        <w:rPr>
          <w:rFonts w:asciiTheme="minorHAnsi" w:hAnsiTheme="minorHAnsi" w:cstheme="minorHAnsi"/>
        </w:rPr>
        <w:t xml:space="preserve">2, </w:t>
      </w:r>
      <w:r w:rsidR="00045EE6">
        <w:rPr>
          <w:rFonts w:asciiTheme="minorHAnsi" w:hAnsiTheme="minorHAnsi" w:cstheme="minorHAnsi"/>
        </w:rPr>
        <w:t>Chapter</w:t>
      </w:r>
      <w:r w:rsidR="00045EE6" w:rsidRPr="007D7A99">
        <w:rPr>
          <w:rFonts w:asciiTheme="minorHAnsi" w:hAnsiTheme="minorHAnsi" w:cstheme="minorHAnsi"/>
        </w:rPr>
        <w:t xml:space="preserve"> </w:t>
      </w:r>
      <w:r w:rsidR="00B612FD">
        <w:rPr>
          <w:rFonts w:asciiTheme="minorHAnsi" w:hAnsiTheme="minorHAnsi" w:cstheme="minorHAnsi"/>
        </w:rPr>
        <w:t xml:space="preserve">3, </w:t>
      </w:r>
      <w:r w:rsidR="00045EE6">
        <w:rPr>
          <w:rFonts w:asciiTheme="minorHAnsi" w:hAnsiTheme="minorHAnsi" w:cstheme="minorHAnsi"/>
        </w:rPr>
        <w:t>Chapter</w:t>
      </w:r>
      <w:r w:rsidR="00045EE6" w:rsidRPr="007D7A99">
        <w:rPr>
          <w:rFonts w:asciiTheme="minorHAnsi" w:hAnsiTheme="minorHAnsi" w:cstheme="minorHAnsi"/>
        </w:rPr>
        <w:t xml:space="preserve"> </w:t>
      </w:r>
      <w:r w:rsidRPr="007D7A99">
        <w:rPr>
          <w:rFonts w:asciiTheme="minorHAnsi" w:hAnsiTheme="minorHAnsi" w:cstheme="minorHAnsi"/>
        </w:rPr>
        <w:t>4,</w:t>
      </w:r>
      <w:r w:rsidR="00B612FD">
        <w:rPr>
          <w:rFonts w:asciiTheme="minorHAnsi" w:hAnsiTheme="minorHAnsi" w:cstheme="minorHAnsi"/>
        </w:rPr>
        <w:t xml:space="preserve"> </w:t>
      </w:r>
      <w:r w:rsidR="00045EE6">
        <w:rPr>
          <w:rFonts w:asciiTheme="minorHAnsi" w:hAnsiTheme="minorHAnsi" w:cstheme="minorHAnsi"/>
        </w:rPr>
        <w:t>Chapter</w:t>
      </w:r>
      <w:r w:rsidR="00045EE6" w:rsidRPr="007D7A99">
        <w:rPr>
          <w:rFonts w:asciiTheme="minorHAnsi" w:hAnsiTheme="minorHAnsi" w:cstheme="minorHAnsi"/>
        </w:rPr>
        <w:t xml:space="preserve"> </w:t>
      </w:r>
      <w:r w:rsidR="00B612FD">
        <w:rPr>
          <w:rFonts w:asciiTheme="minorHAnsi" w:hAnsiTheme="minorHAnsi" w:cstheme="minorHAnsi"/>
        </w:rPr>
        <w:t>5</w:t>
      </w:r>
      <w:r w:rsidR="00E450AC">
        <w:rPr>
          <w:rFonts w:asciiTheme="minorHAnsi" w:hAnsiTheme="minorHAnsi" w:cstheme="minorHAnsi"/>
        </w:rPr>
        <w:t>,</w:t>
      </w:r>
      <w:r w:rsidR="00B612FD">
        <w:rPr>
          <w:rFonts w:asciiTheme="minorHAnsi" w:hAnsiTheme="minorHAnsi" w:cstheme="minorHAnsi"/>
        </w:rPr>
        <w:t xml:space="preserve"> and</w:t>
      </w:r>
      <w:r w:rsidRPr="007D7A99">
        <w:rPr>
          <w:rFonts w:asciiTheme="minorHAnsi" w:hAnsiTheme="minorHAnsi" w:cstheme="minorHAnsi"/>
        </w:rPr>
        <w:t xml:space="preserve"> </w:t>
      </w:r>
      <w:r w:rsidR="00045EE6">
        <w:rPr>
          <w:rFonts w:asciiTheme="minorHAnsi" w:hAnsiTheme="minorHAnsi" w:cstheme="minorHAnsi"/>
        </w:rPr>
        <w:t>Chapter</w:t>
      </w:r>
      <w:r w:rsidR="00045EE6" w:rsidRPr="007D7A99">
        <w:rPr>
          <w:rFonts w:asciiTheme="minorHAnsi" w:hAnsiTheme="minorHAnsi" w:cstheme="minorHAnsi"/>
        </w:rPr>
        <w:t xml:space="preserve"> </w:t>
      </w:r>
      <w:r w:rsidRPr="007D7A99">
        <w:rPr>
          <w:rFonts w:asciiTheme="minorHAnsi" w:hAnsiTheme="minorHAnsi" w:cstheme="minorHAnsi"/>
        </w:rPr>
        <w:t xml:space="preserve">6 of the </w:t>
      </w:r>
      <w:r w:rsidR="005827AF">
        <w:rPr>
          <w:rFonts w:asciiTheme="minorHAnsi" w:hAnsiTheme="minorHAnsi" w:cstheme="minorHAnsi"/>
        </w:rPr>
        <w:t>OPGGS Act</w:t>
      </w:r>
      <w:r w:rsidRPr="007D7A99">
        <w:rPr>
          <w:rFonts w:asciiTheme="minorHAnsi" w:hAnsiTheme="minorHAnsi" w:cstheme="minorHAnsi"/>
        </w:rPr>
        <w:t xml:space="preserve">. The fees are prescribed in the </w:t>
      </w:r>
      <w:r w:rsidRPr="007D7A99">
        <w:rPr>
          <w:rFonts w:asciiTheme="minorHAnsi" w:hAnsiTheme="minorHAnsi" w:cstheme="minorHAnsi"/>
          <w:i/>
          <w:iCs/>
        </w:rPr>
        <w:t>Offshore Petroleum and Greenhouse Gas Storage (Resource Management and Administration) Regulations 2011</w:t>
      </w:r>
      <w:r w:rsidRPr="007D7A99">
        <w:rPr>
          <w:rFonts w:asciiTheme="minorHAnsi" w:hAnsiTheme="minorHAnsi" w:cstheme="minorHAnsi"/>
        </w:rPr>
        <w:t>.</w:t>
      </w:r>
    </w:p>
    <w:p w14:paraId="21D32720" w14:textId="77777777" w:rsidR="00D212A5" w:rsidRPr="007D7A99" w:rsidRDefault="00D212A5" w:rsidP="00D212A5">
      <w:pPr>
        <w:rPr>
          <w:rFonts w:asciiTheme="minorHAnsi" w:hAnsiTheme="minorHAnsi" w:cstheme="minorHAnsi"/>
        </w:rPr>
      </w:pPr>
    </w:p>
    <w:p w14:paraId="7F40B61F" w14:textId="3DA3887D" w:rsidR="008B679D" w:rsidRPr="00814B19" w:rsidRDefault="00D212A5" w:rsidP="00814B19">
      <w:pPr>
        <w:rPr>
          <w:rFonts w:asciiTheme="minorHAnsi" w:hAnsiTheme="minorHAnsi" w:cstheme="minorHAnsi"/>
        </w:rPr>
      </w:pPr>
      <w:r w:rsidRPr="007D7A99">
        <w:rPr>
          <w:rFonts w:asciiTheme="minorHAnsi" w:hAnsiTheme="minorHAnsi" w:cstheme="minorHAnsi"/>
        </w:rPr>
        <w:t>NOPTA is fully funded through the cost recovery charges imposed under this legislation</w:t>
      </w:r>
      <w:r>
        <w:rPr>
          <w:rFonts w:asciiTheme="minorHAnsi" w:hAnsiTheme="minorHAnsi" w:cstheme="minorHAnsi"/>
        </w:rPr>
        <w:t xml:space="preserve"> </w:t>
      </w:r>
      <w:r w:rsidR="00B53F0F">
        <w:rPr>
          <w:rFonts w:asciiTheme="minorHAnsi" w:hAnsiTheme="minorHAnsi" w:cstheme="minorHAnsi"/>
        </w:rPr>
        <w:t xml:space="preserve">managing the funds through </w:t>
      </w:r>
      <w:r w:rsidRPr="007D7A99">
        <w:rPr>
          <w:rFonts w:asciiTheme="minorHAnsi" w:hAnsiTheme="minorHAnsi" w:cstheme="minorHAnsi"/>
        </w:rPr>
        <w:t>an administered Special Account. NOPTA does not receive an annual departmental appropriation.</w:t>
      </w:r>
      <w:r w:rsidR="00EC7173">
        <w:rPr>
          <w:rFonts w:asciiTheme="minorHAnsi" w:hAnsiTheme="minorHAnsi" w:cstheme="minorHAnsi"/>
        </w:rPr>
        <w:t xml:space="preserve"> </w:t>
      </w:r>
      <w:r w:rsidRPr="009339CD">
        <w:rPr>
          <w:rFonts w:asciiTheme="minorHAnsi" w:hAnsiTheme="minorHAnsi" w:cstheme="minorHAnsi"/>
        </w:rPr>
        <w:t xml:space="preserve">NOPTA recovers its costs via application fees and the Annual Titles Administration </w:t>
      </w:r>
      <w:r w:rsidRPr="00DA48FF">
        <w:rPr>
          <w:rFonts w:asciiTheme="minorHAnsi" w:hAnsiTheme="minorHAnsi" w:cstheme="minorHAnsi"/>
        </w:rPr>
        <w:t>Levy</w:t>
      </w:r>
      <w:r w:rsidRPr="00DA48FF">
        <w:rPr>
          <w:rStyle w:val="FootnoteReference"/>
          <w:rFonts w:cstheme="minorHAnsi"/>
          <w:color w:val="auto"/>
        </w:rPr>
        <w:footnoteReference w:id="12"/>
      </w:r>
      <w:r>
        <w:rPr>
          <w:rFonts w:asciiTheme="minorHAnsi" w:hAnsiTheme="minorHAnsi" w:cstheme="minorHAnsi"/>
        </w:rPr>
        <w:t>.</w:t>
      </w:r>
      <w:r w:rsidRPr="009339CD">
        <w:rPr>
          <w:rFonts w:asciiTheme="minorHAnsi" w:hAnsiTheme="minorHAnsi" w:cstheme="minorHAnsi"/>
        </w:rPr>
        <w:t xml:space="preserve"> </w:t>
      </w:r>
    </w:p>
    <w:p w14:paraId="0A0745F3" w14:textId="003737AF" w:rsidR="005C7164" w:rsidRDefault="005C7164" w:rsidP="00814B19">
      <w:pPr>
        <w:rPr>
          <w:rFonts w:asciiTheme="minorHAnsi" w:hAnsiTheme="minorHAnsi"/>
          <w:b/>
        </w:rPr>
      </w:pPr>
    </w:p>
    <w:p w14:paraId="615FE4FA" w14:textId="77777777" w:rsidR="00EC7173" w:rsidRPr="00814B19" w:rsidRDefault="00EC7173" w:rsidP="00814B19">
      <w:pPr>
        <w:rPr>
          <w:rFonts w:asciiTheme="minorHAnsi" w:hAnsiTheme="minorHAnsi"/>
          <w:b/>
        </w:rPr>
      </w:pPr>
    </w:p>
    <w:p w14:paraId="54133DBD" w14:textId="00B1041B" w:rsidR="008B679D" w:rsidRDefault="008B679D" w:rsidP="00814B19">
      <w:pPr>
        <w:pStyle w:val="Heading1"/>
        <w:tabs>
          <w:tab w:val="clear" w:pos="432"/>
          <w:tab w:val="num" w:pos="709"/>
        </w:tabs>
        <w:ind w:left="709" w:hanging="709"/>
        <w:jc w:val="left"/>
        <w:rPr>
          <w:rFonts w:asciiTheme="minorHAnsi" w:hAnsiTheme="minorHAnsi" w:cstheme="minorHAnsi"/>
          <w:b/>
          <w:bCs/>
          <w:i w:val="0"/>
          <w:iCs w:val="0"/>
          <w:sz w:val="32"/>
          <w:szCs w:val="32"/>
        </w:rPr>
      </w:pPr>
      <w:bookmarkStart w:id="11" w:name="_Toc84844719"/>
      <w:r w:rsidRPr="00727004">
        <w:rPr>
          <w:rFonts w:asciiTheme="minorHAnsi" w:hAnsiTheme="minorHAnsi" w:cstheme="minorHAnsi"/>
          <w:b/>
          <w:bCs/>
          <w:i w:val="0"/>
          <w:iCs w:val="0"/>
          <w:sz w:val="32"/>
          <w:szCs w:val="32"/>
        </w:rPr>
        <w:t>COST RECOVERY MODEL</w:t>
      </w:r>
      <w:bookmarkEnd w:id="11"/>
    </w:p>
    <w:p w14:paraId="64A5E54F" w14:textId="77777777" w:rsidR="00D212A5" w:rsidRPr="00F2024B" w:rsidRDefault="00D212A5" w:rsidP="00F2024B">
      <w:pPr>
        <w:pStyle w:val="Heading2"/>
        <w:tabs>
          <w:tab w:val="clear" w:pos="576"/>
          <w:tab w:val="num" w:pos="709"/>
        </w:tabs>
        <w:ind w:left="709" w:hanging="709"/>
        <w:rPr>
          <w:rFonts w:asciiTheme="minorHAnsi" w:hAnsiTheme="minorHAnsi" w:cstheme="minorHAnsi"/>
          <w:i w:val="0"/>
          <w:iCs w:val="0"/>
        </w:rPr>
      </w:pPr>
      <w:bookmarkStart w:id="12" w:name="_Toc84844720"/>
      <w:bookmarkStart w:id="13" w:name="OLE_LINK2"/>
      <w:bookmarkStart w:id="14" w:name="OLE_LINK3"/>
      <w:bookmarkStart w:id="15" w:name="_Hlk35940655"/>
      <w:r w:rsidRPr="00F2024B">
        <w:rPr>
          <w:rFonts w:asciiTheme="minorHAnsi" w:hAnsiTheme="minorHAnsi" w:cstheme="minorHAnsi"/>
          <w:i w:val="0"/>
          <w:iCs w:val="0"/>
        </w:rPr>
        <w:t>Outputs and business processes of the regulatory charging activity</w:t>
      </w:r>
      <w:bookmarkEnd w:id="12"/>
      <w:r w:rsidRPr="00F2024B">
        <w:rPr>
          <w:rFonts w:asciiTheme="minorHAnsi" w:hAnsiTheme="minorHAnsi" w:cstheme="minorHAnsi"/>
          <w:i w:val="0"/>
          <w:iCs w:val="0"/>
        </w:rPr>
        <w:t xml:space="preserve"> </w:t>
      </w:r>
      <w:bookmarkEnd w:id="13"/>
      <w:bookmarkEnd w:id="14"/>
    </w:p>
    <w:p w14:paraId="2A4EE67A" w14:textId="0DD087B4" w:rsidR="00A174D5" w:rsidRDefault="00A174D5" w:rsidP="00A174D5">
      <w:pPr>
        <w:rPr>
          <w:rFonts w:asciiTheme="minorHAnsi" w:hAnsiTheme="minorHAnsi" w:cstheme="minorHAnsi"/>
        </w:rPr>
      </w:pPr>
      <w:r w:rsidRPr="00010A00">
        <w:rPr>
          <w:rFonts w:asciiTheme="minorHAnsi" w:hAnsiTheme="minorHAnsi" w:cstheme="minorHAnsi"/>
        </w:rPr>
        <w:t>As at 30 June 2021, NOPTA will have 60.2 Full Time Equivalent (FTE) staff (including contractors), that includes 44.4 FTE in seven</w:t>
      </w:r>
      <w:r w:rsidR="00457BBC">
        <w:rPr>
          <w:rFonts w:asciiTheme="minorHAnsi" w:hAnsiTheme="minorHAnsi" w:cstheme="minorHAnsi"/>
        </w:rPr>
        <w:t xml:space="preserve"> specialised</w:t>
      </w:r>
      <w:r w:rsidRPr="00010A00">
        <w:rPr>
          <w:rFonts w:asciiTheme="minorHAnsi" w:hAnsiTheme="minorHAnsi" w:cstheme="minorHAnsi"/>
        </w:rPr>
        <w:t xml:space="preserve"> teams employed to deliver its legislated functions:</w:t>
      </w:r>
    </w:p>
    <w:p w14:paraId="676B4BCC" w14:textId="77777777" w:rsidR="00A174D5" w:rsidRPr="00010A00" w:rsidRDefault="00A174D5" w:rsidP="00A174D5">
      <w:pPr>
        <w:rPr>
          <w:rFonts w:asciiTheme="minorHAnsi" w:hAnsiTheme="minorHAnsi" w:cstheme="minorHAnsi"/>
        </w:rPr>
      </w:pPr>
    </w:p>
    <w:p w14:paraId="2FECA333" w14:textId="77777777" w:rsidR="00A174D5" w:rsidRPr="00010A00" w:rsidRDefault="00A174D5" w:rsidP="00A174D5">
      <w:pPr>
        <w:pStyle w:val="ListParagraph"/>
        <w:numPr>
          <w:ilvl w:val="0"/>
          <w:numId w:val="13"/>
        </w:numPr>
        <w:rPr>
          <w:rFonts w:asciiTheme="minorHAnsi" w:hAnsiTheme="minorHAnsi" w:cstheme="minorHAnsi"/>
        </w:rPr>
      </w:pPr>
      <w:r w:rsidRPr="00010A00">
        <w:rPr>
          <w:rFonts w:asciiTheme="minorHAnsi" w:hAnsiTheme="minorHAnsi" w:cstheme="minorHAnsi"/>
        </w:rPr>
        <w:t xml:space="preserve">Titles Exploration (6.6 FTE) </w:t>
      </w:r>
    </w:p>
    <w:p w14:paraId="243D9CF1" w14:textId="77777777" w:rsidR="00A174D5" w:rsidRPr="00010A00" w:rsidRDefault="00A174D5" w:rsidP="00A174D5">
      <w:pPr>
        <w:pStyle w:val="ListParagraph"/>
        <w:numPr>
          <w:ilvl w:val="0"/>
          <w:numId w:val="13"/>
        </w:numPr>
        <w:rPr>
          <w:rFonts w:asciiTheme="minorHAnsi" w:hAnsiTheme="minorHAnsi" w:cstheme="minorHAnsi"/>
        </w:rPr>
      </w:pPr>
      <w:r w:rsidRPr="00010A00">
        <w:rPr>
          <w:rFonts w:asciiTheme="minorHAnsi" w:hAnsiTheme="minorHAnsi" w:cstheme="minorHAnsi"/>
        </w:rPr>
        <w:t xml:space="preserve">Titles Development (5.6 FTE) </w:t>
      </w:r>
    </w:p>
    <w:p w14:paraId="6ABA92FA" w14:textId="77777777" w:rsidR="00A174D5" w:rsidRPr="00010A00" w:rsidRDefault="00A174D5" w:rsidP="00A174D5">
      <w:pPr>
        <w:pStyle w:val="ListParagraph"/>
        <w:numPr>
          <w:ilvl w:val="0"/>
          <w:numId w:val="13"/>
        </w:numPr>
        <w:rPr>
          <w:rFonts w:asciiTheme="minorHAnsi" w:hAnsiTheme="minorHAnsi" w:cstheme="minorHAnsi"/>
        </w:rPr>
      </w:pPr>
      <w:r w:rsidRPr="00010A00">
        <w:rPr>
          <w:rFonts w:asciiTheme="minorHAnsi" w:hAnsiTheme="minorHAnsi" w:cstheme="minorHAnsi"/>
        </w:rPr>
        <w:t>Technical Exploration (4.6 FTE)</w:t>
      </w:r>
    </w:p>
    <w:p w14:paraId="12A58153" w14:textId="77777777" w:rsidR="00A174D5" w:rsidRPr="00010A00" w:rsidRDefault="00A174D5" w:rsidP="00A174D5">
      <w:pPr>
        <w:pStyle w:val="ListParagraph"/>
        <w:numPr>
          <w:ilvl w:val="0"/>
          <w:numId w:val="13"/>
        </w:numPr>
        <w:rPr>
          <w:rFonts w:asciiTheme="minorHAnsi" w:hAnsiTheme="minorHAnsi" w:cstheme="minorHAnsi"/>
        </w:rPr>
      </w:pPr>
      <w:r w:rsidRPr="00010A00">
        <w:rPr>
          <w:rFonts w:asciiTheme="minorHAnsi" w:hAnsiTheme="minorHAnsi" w:cstheme="minorHAnsi"/>
        </w:rPr>
        <w:t xml:space="preserve">Technical Development (5.6 FTE) </w:t>
      </w:r>
    </w:p>
    <w:p w14:paraId="725F1455" w14:textId="77777777" w:rsidR="00A174D5" w:rsidRPr="00010A00" w:rsidRDefault="00A174D5" w:rsidP="00A174D5">
      <w:pPr>
        <w:pStyle w:val="ListParagraph"/>
        <w:numPr>
          <w:ilvl w:val="0"/>
          <w:numId w:val="13"/>
        </w:numPr>
        <w:rPr>
          <w:rFonts w:asciiTheme="minorHAnsi" w:hAnsiTheme="minorHAnsi" w:cstheme="minorHAnsi"/>
        </w:rPr>
      </w:pPr>
      <w:r w:rsidRPr="00010A00">
        <w:rPr>
          <w:rFonts w:asciiTheme="minorHAnsi" w:hAnsiTheme="minorHAnsi" w:cstheme="minorHAnsi"/>
        </w:rPr>
        <w:t xml:space="preserve">Technical Commercial (5.6 FTE) </w:t>
      </w:r>
    </w:p>
    <w:p w14:paraId="449BF026" w14:textId="77777777" w:rsidR="00A174D5" w:rsidRPr="00010A00" w:rsidRDefault="00A174D5" w:rsidP="00A174D5">
      <w:pPr>
        <w:pStyle w:val="ListParagraph"/>
        <w:numPr>
          <w:ilvl w:val="0"/>
          <w:numId w:val="13"/>
        </w:numPr>
        <w:rPr>
          <w:rFonts w:asciiTheme="minorHAnsi" w:hAnsiTheme="minorHAnsi" w:cstheme="minorHAnsi"/>
        </w:rPr>
      </w:pPr>
      <w:r w:rsidRPr="00010A00">
        <w:rPr>
          <w:rFonts w:asciiTheme="minorHAnsi" w:hAnsiTheme="minorHAnsi" w:cstheme="minorHAnsi"/>
        </w:rPr>
        <w:t xml:space="preserve">Data Management (8.6 FTE) </w:t>
      </w:r>
    </w:p>
    <w:p w14:paraId="2D58B19B" w14:textId="77777777" w:rsidR="00A174D5" w:rsidRPr="00010A00" w:rsidRDefault="00A174D5" w:rsidP="00A174D5">
      <w:pPr>
        <w:pStyle w:val="ListParagraph"/>
        <w:numPr>
          <w:ilvl w:val="0"/>
          <w:numId w:val="13"/>
        </w:numPr>
        <w:rPr>
          <w:rFonts w:asciiTheme="minorHAnsi" w:hAnsiTheme="minorHAnsi" w:cstheme="minorHAnsi"/>
        </w:rPr>
      </w:pPr>
      <w:r w:rsidRPr="00010A00">
        <w:rPr>
          <w:rFonts w:asciiTheme="minorHAnsi" w:hAnsiTheme="minorHAnsi" w:cstheme="minorHAnsi"/>
        </w:rPr>
        <w:t>Legislative and Compliance (7.8 FTE)</w:t>
      </w:r>
    </w:p>
    <w:p w14:paraId="3EA24BF1" w14:textId="77777777" w:rsidR="00A174D5" w:rsidRPr="00010A00" w:rsidRDefault="00A174D5" w:rsidP="00A174D5">
      <w:pPr>
        <w:rPr>
          <w:rFonts w:asciiTheme="minorHAnsi" w:hAnsiTheme="minorHAnsi" w:cstheme="minorHAnsi"/>
          <w:highlight w:val="yellow"/>
        </w:rPr>
      </w:pPr>
    </w:p>
    <w:p w14:paraId="73484513" w14:textId="77777777" w:rsidR="00A174D5" w:rsidRPr="00010A00" w:rsidRDefault="00A174D5" w:rsidP="00A174D5">
      <w:pPr>
        <w:rPr>
          <w:rFonts w:asciiTheme="minorHAnsi" w:hAnsiTheme="minorHAnsi" w:cstheme="minorHAnsi"/>
        </w:rPr>
      </w:pPr>
      <w:r w:rsidRPr="00010A00">
        <w:rPr>
          <w:rFonts w:asciiTheme="minorHAnsi" w:hAnsiTheme="minorHAnsi" w:cstheme="minorHAnsi"/>
        </w:rPr>
        <w:t xml:space="preserve">These teams are supported by three teams: </w:t>
      </w:r>
    </w:p>
    <w:p w14:paraId="368ED2A7" w14:textId="77777777" w:rsidR="00A174D5" w:rsidRPr="00010A00" w:rsidRDefault="00A174D5" w:rsidP="00A174D5">
      <w:pPr>
        <w:pStyle w:val="ListParagraph"/>
        <w:numPr>
          <w:ilvl w:val="0"/>
          <w:numId w:val="14"/>
        </w:numPr>
        <w:rPr>
          <w:rFonts w:asciiTheme="minorHAnsi" w:hAnsiTheme="minorHAnsi" w:cstheme="minorHAnsi"/>
        </w:rPr>
      </w:pPr>
      <w:r w:rsidRPr="00010A00">
        <w:rPr>
          <w:rFonts w:asciiTheme="minorHAnsi" w:hAnsiTheme="minorHAnsi" w:cstheme="minorHAnsi"/>
        </w:rPr>
        <w:t>Technology, Information and Geospatial Support (TIGS) (6</w:t>
      </w:r>
      <w:r>
        <w:rPr>
          <w:rFonts w:asciiTheme="minorHAnsi" w:hAnsiTheme="minorHAnsi" w:cstheme="minorHAnsi"/>
        </w:rPr>
        <w:t>.0</w:t>
      </w:r>
      <w:r w:rsidRPr="00010A00">
        <w:rPr>
          <w:rFonts w:asciiTheme="minorHAnsi" w:hAnsiTheme="minorHAnsi" w:cstheme="minorHAnsi"/>
        </w:rPr>
        <w:t xml:space="preserve"> FTE) </w:t>
      </w:r>
    </w:p>
    <w:p w14:paraId="2034281D" w14:textId="77777777" w:rsidR="00A174D5" w:rsidRPr="00010A00" w:rsidRDefault="00A174D5" w:rsidP="00A174D5">
      <w:pPr>
        <w:pStyle w:val="ListParagraph"/>
        <w:numPr>
          <w:ilvl w:val="0"/>
          <w:numId w:val="14"/>
        </w:numPr>
        <w:rPr>
          <w:rFonts w:asciiTheme="minorHAnsi" w:hAnsiTheme="minorHAnsi" w:cstheme="minorHAnsi"/>
        </w:rPr>
      </w:pPr>
      <w:r w:rsidRPr="00010A00">
        <w:rPr>
          <w:rFonts w:asciiTheme="minorHAnsi" w:hAnsiTheme="minorHAnsi" w:cstheme="minorHAnsi"/>
        </w:rPr>
        <w:t>Business Support Unit (BSU) (6.8 FTE)</w:t>
      </w:r>
    </w:p>
    <w:p w14:paraId="0BF3930A" w14:textId="77777777" w:rsidR="00A174D5" w:rsidRPr="00010A00" w:rsidRDefault="00A174D5" w:rsidP="00A174D5">
      <w:pPr>
        <w:pStyle w:val="ListParagraph"/>
        <w:numPr>
          <w:ilvl w:val="0"/>
          <w:numId w:val="14"/>
        </w:numPr>
        <w:rPr>
          <w:rFonts w:asciiTheme="minorHAnsi" w:hAnsiTheme="minorHAnsi" w:cstheme="minorHAnsi"/>
        </w:rPr>
      </w:pPr>
      <w:r w:rsidRPr="00010A00">
        <w:rPr>
          <w:rFonts w:asciiTheme="minorHAnsi" w:hAnsiTheme="minorHAnsi" w:cstheme="minorHAnsi"/>
        </w:rPr>
        <w:t>Senior Leadership Group (3</w:t>
      </w:r>
      <w:r>
        <w:rPr>
          <w:rFonts w:asciiTheme="minorHAnsi" w:hAnsiTheme="minorHAnsi" w:cstheme="minorHAnsi"/>
        </w:rPr>
        <w:t>.0</w:t>
      </w:r>
      <w:r w:rsidRPr="00010A00">
        <w:rPr>
          <w:rFonts w:asciiTheme="minorHAnsi" w:hAnsiTheme="minorHAnsi" w:cstheme="minorHAnsi"/>
        </w:rPr>
        <w:t xml:space="preserve"> FTE)</w:t>
      </w:r>
    </w:p>
    <w:p w14:paraId="293259DD" w14:textId="77777777" w:rsidR="00D212A5" w:rsidRDefault="00D212A5" w:rsidP="00D212A5">
      <w:pPr>
        <w:rPr>
          <w:rFonts w:asciiTheme="minorHAnsi" w:hAnsiTheme="minorHAnsi" w:cstheme="minorHAnsi"/>
        </w:rPr>
      </w:pPr>
    </w:p>
    <w:p w14:paraId="6C007F51" w14:textId="2AC8A7B4" w:rsidR="00D212A5" w:rsidRDefault="00D212A5" w:rsidP="00D212A5">
      <w:pPr>
        <w:rPr>
          <w:rFonts w:asciiTheme="minorHAnsi" w:hAnsiTheme="minorHAnsi" w:cstheme="minorHAnsi"/>
        </w:rPr>
      </w:pPr>
      <w:r w:rsidRPr="004029F0">
        <w:rPr>
          <w:rFonts w:asciiTheme="minorHAnsi" w:hAnsiTheme="minorHAnsi" w:cstheme="minorHAnsi"/>
        </w:rPr>
        <w:t xml:space="preserve">NOPTA’s </w:t>
      </w:r>
      <w:r w:rsidR="007862BE">
        <w:rPr>
          <w:rFonts w:asciiTheme="minorHAnsi" w:hAnsiTheme="minorHAnsi" w:cstheme="minorHAnsi"/>
        </w:rPr>
        <w:t>S</w:t>
      </w:r>
      <w:r w:rsidR="00A50CF8">
        <w:rPr>
          <w:rFonts w:asciiTheme="minorHAnsi" w:hAnsiTheme="minorHAnsi" w:cstheme="minorHAnsi"/>
        </w:rPr>
        <w:t xml:space="preserve">enior </w:t>
      </w:r>
      <w:r w:rsidR="007862BE">
        <w:rPr>
          <w:rFonts w:asciiTheme="minorHAnsi" w:hAnsiTheme="minorHAnsi" w:cstheme="minorHAnsi"/>
        </w:rPr>
        <w:t>L</w:t>
      </w:r>
      <w:r w:rsidR="00A50CF8">
        <w:rPr>
          <w:rFonts w:asciiTheme="minorHAnsi" w:hAnsiTheme="minorHAnsi" w:cstheme="minorHAnsi"/>
        </w:rPr>
        <w:t>eadership</w:t>
      </w:r>
      <w:r w:rsidR="00A50CF8" w:rsidRPr="004029F0">
        <w:rPr>
          <w:rFonts w:asciiTheme="minorHAnsi" w:hAnsiTheme="minorHAnsi" w:cstheme="minorHAnsi"/>
        </w:rPr>
        <w:t xml:space="preserve"> </w:t>
      </w:r>
      <w:r w:rsidR="007862BE">
        <w:rPr>
          <w:rFonts w:asciiTheme="minorHAnsi" w:hAnsiTheme="minorHAnsi" w:cstheme="minorHAnsi"/>
        </w:rPr>
        <w:t>Group</w:t>
      </w:r>
      <w:r w:rsidRPr="004029F0">
        <w:rPr>
          <w:rFonts w:asciiTheme="minorHAnsi" w:hAnsiTheme="minorHAnsi" w:cstheme="minorHAnsi"/>
        </w:rPr>
        <w:t xml:space="preserve"> is made up of </w:t>
      </w:r>
      <w:r w:rsidR="0025229D">
        <w:rPr>
          <w:rFonts w:asciiTheme="minorHAnsi" w:hAnsiTheme="minorHAnsi" w:cstheme="minorHAnsi"/>
        </w:rPr>
        <w:t>the</w:t>
      </w:r>
      <w:r w:rsidR="0025229D" w:rsidRPr="004029F0">
        <w:rPr>
          <w:rFonts w:asciiTheme="minorHAnsi" w:hAnsiTheme="minorHAnsi" w:cstheme="minorHAnsi"/>
        </w:rPr>
        <w:t xml:space="preserve"> </w:t>
      </w:r>
      <w:r w:rsidR="001024DE">
        <w:rPr>
          <w:rFonts w:asciiTheme="minorHAnsi" w:hAnsiTheme="minorHAnsi" w:cstheme="minorHAnsi"/>
        </w:rPr>
        <w:t>Titles Administrator</w:t>
      </w:r>
      <w:r>
        <w:rPr>
          <w:rFonts w:asciiTheme="minorHAnsi" w:hAnsiTheme="minorHAnsi" w:cstheme="minorHAnsi"/>
        </w:rPr>
        <w:t xml:space="preserve">, </w:t>
      </w:r>
      <w:r w:rsidR="0025229D">
        <w:rPr>
          <w:rFonts w:asciiTheme="minorHAnsi" w:hAnsiTheme="minorHAnsi" w:cstheme="minorHAnsi"/>
        </w:rPr>
        <w:t xml:space="preserve">an </w:t>
      </w:r>
      <w:r>
        <w:rPr>
          <w:rFonts w:asciiTheme="minorHAnsi" w:hAnsiTheme="minorHAnsi" w:cstheme="minorHAnsi"/>
        </w:rPr>
        <w:t>Operations Manager, and a Strategy and Governance Manager</w:t>
      </w:r>
      <w:r w:rsidRPr="004029F0">
        <w:rPr>
          <w:rFonts w:asciiTheme="minorHAnsi" w:hAnsiTheme="minorHAnsi" w:cstheme="minorHAnsi"/>
        </w:rPr>
        <w:t xml:space="preserve">. </w:t>
      </w:r>
      <w:r w:rsidR="00457BBC">
        <w:rPr>
          <w:rFonts w:asciiTheme="minorHAnsi" w:hAnsiTheme="minorHAnsi" w:cstheme="minorHAnsi"/>
        </w:rPr>
        <w:t xml:space="preserve">The costs of the Senior Leadership Group and TIGS is allocated across NOPTA’s activities based on estimations of effort. </w:t>
      </w:r>
      <w:r w:rsidRPr="004029F0">
        <w:rPr>
          <w:rFonts w:asciiTheme="minorHAnsi" w:hAnsiTheme="minorHAnsi" w:cstheme="minorHAnsi"/>
        </w:rPr>
        <w:t xml:space="preserve">The cost of the </w:t>
      </w:r>
      <w:r>
        <w:rPr>
          <w:rFonts w:asciiTheme="minorHAnsi" w:hAnsiTheme="minorHAnsi" w:cstheme="minorHAnsi"/>
        </w:rPr>
        <w:t>BSU</w:t>
      </w:r>
      <w:r w:rsidRPr="004029F0">
        <w:rPr>
          <w:rFonts w:asciiTheme="minorHAnsi" w:hAnsiTheme="minorHAnsi" w:cstheme="minorHAnsi"/>
        </w:rPr>
        <w:t xml:space="preserve"> team </w:t>
      </w:r>
      <w:r>
        <w:rPr>
          <w:rFonts w:asciiTheme="minorHAnsi" w:hAnsiTheme="minorHAnsi" w:cstheme="minorHAnsi"/>
        </w:rPr>
        <w:t>is</w:t>
      </w:r>
      <w:r w:rsidRPr="004029F0">
        <w:rPr>
          <w:rFonts w:asciiTheme="minorHAnsi" w:hAnsiTheme="minorHAnsi" w:cstheme="minorHAnsi"/>
        </w:rPr>
        <w:t xml:space="preserve"> treated as an indirect cost and apportioned to each </w:t>
      </w:r>
      <w:r w:rsidR="00457BBC">
        <w:rPr>
          <w:rFonts w:asciiTheme="minorHAnsi" w:hAnsiTheme="minorHAnsi" w:cstheme="minorHAnsi"/>
        </w:rPr>
        <w:t xml:space="preserve">specialised </w:t>
      </w:r>
      <w:r w:rsidRPr="004029F0">
        <w:rPr>
          <w:rFonts w:asciiTheme="minorHAnsi" w:hAnsiTheme="minorHAnsi" w:cstheme="minorHAnsi"/>
        </w:rPr>
        <w:t>team based on the number of FTE employees in each of these teams.</w:t>
      </w:r>
      <w:r w:rsidR="00336F6F">
        <w:rPr>
          <w:rFonts w:asciiTheme="minorHAnsi" w:hAnsiTheme="minorHAnsi" w:cstheme="minorHAnsi"/>
        </w:rPr>
        <w:t xml:space="preserve"> See </w:t>
      </w:r>
      <w:r w:rsidR="00336F6F" w:rsidRPr="00C353A0">
        <w:rPr>
          <w:rFonts w:asciiTheme="minorHAnsi" w:hAnsiTheme="minorHAnsi" w:cstheme="minorHAnsi"/>
          <w:b/>
          <w:bCs/>
        </w:rPr>
        <w:t>Section 3.3</w:t>
      </w:r>
      <w:r w:rsidR="00336F6F">
        <w:rPr>
          <w:rFonts w:asciiTheme="minorHAnsi" w:hAnsiTheme="minorHAnsi" w:cstheme="minorHAnsi"/>
        </w:rPr>
        <w:t xml:space="preserve"> for a breakdown of direct and indirect costs.</w:t>
      </w:r>
    </w:p>
    <w:p w14:paraId="14837B02" w14:textId="64E8CF51" w:rsidR="00D212A5" w:rsidRDefault="00D212A5" w:rsidP="00D212A5">
      <w:pPr>
        <w:rPr>
          <w:rFonts w:asciiTheme="minorHAnsi" w:hAnsiTheme="minorHAnsi" w:cstheme="minorHAnsi"/>
        </w:rPr>
      </w:pPr>
    </w:p>
    <w:p w14:paraId="52665355" w14:textId="016A8918" w:rsidR="005D7243" w:rsidRPr="001024DE" w:rsidRDefault="005D7243" w:rsidP="00D212A5">
      <w:pPr>
        <w:rPr>
          <w:rFonts w:asciiTheme="minorHAnsi" w:hAnsiTheme="minorHAnsi" w:cstheme="minorHAnsi"/>
          <w:i/>
          <w:iCs/>
        </w:rPr>
      </w:pPr>
      <w:r w:rsidRPr="001024DE">
        <w:rPr>
          <w:rFonts w:asciiTheme="minorHAnsi" w:hAnsiTheme="minorHAnsi" w:cstheme="minorHAnsi"/>
          <w:i/>
          <w:iCs/>
        </w:rPr>
        <w:t>Departmental Overheads</w:t>
      </w:r>
    </w:p>
    <w:p w14:paraId="19D03CEA" w14:textId="6AE4F9F8" w:rsidR="005D7243" w:rsidRDefault="005D7243" w:rsidP="00D212A5">
      <w:pPr>
        <w:rPr>
          <w:rFonts w:asciiTheme="minorHAnsi" w:hAnsiTheme="minorHAnsi" w:cstheme="minorHAnsi"/>
        </w:rPr>
      </w:pPr>
      <w:r>
        <w:rPr>
          <w:rFonts w:asciiTheme="minorHAnsi" w:hAnsiTheme="minorHAnsi" w:cstheme="minorHAnsi"/>
        </w:rPr>
        <w:t xml:space="preserve">As NOPTA only undertakes the functions legislated to it under the </w:t>
      </w:r>
      <w:r w:rsidR="005827AF">
        <w:rPr>
          <w:rFonts w:asciiTheme="minorHAnsi" w:hAnsiTheme="minorHAnsi" w:cstheme="minorHAnsi"/>
        </w:rPr>
        <w:t>OPGGS Act</w:t>
      </w:r>
      <w:r>
        <w:rPr>
          <w:rFonts w:asciiTheme="minorHAnsi" w:hAnsiTheme="minorHAnsi" w:cstheme="minorHAnsi"/>
        </w:rPr>
        <w:t>, including support functions</w:t>
      </w:r>
      <w:r w:rsidR="00D212A5" w:rsidRPr="004029F0">
        <w:rPr>
          <w:rFonts w:asciiTheme="minorHAnsi" w:hAnsiTheme="minorHAnsi" w:cstheme="minorHAnsi"/>
        </w:rPr>
        <w:t xml:space="preserve">, </w:t>
      </w:r>
      <w:r>
        <w:rPr>
          <w:rFonts w:asciiTheme="minorHAnsi" w:hAnsiTheme="minorHAnsi" w:cstheme="minorHAnsi"/>
        </w:rPr>
        <w:t>this</w:t>
      </w:r>
      <w:r w:rsidRPr="004029F0">
        <w:rPr>
          <w:rFonts w:asciiTheme="minorHAnsi" w:hAnsiTheme="minorHAnsi" w:cstheme="minorHAnsi"/>
        </w:rPr>
        <w:t xml:space="preserve"> </w:t>
      </w:r>
      <w:r w:rsidR="00D212A5" w:rsidRPr="004029F0">
        <w:rPr>
          <w:rFonts w:asciiTheme="minorHAnsi" w:hAnsiTheme="minorHAnsi" w:cstheme="minorHAnsi"/>
        </w:rPr>
        <w:t>allows for easy identification of the costs</w:t>
      </w:r>
      <w:r>
        <w:rPr>
          <w:rFonts w:asciiTheme="minorHAnsi" w:hAnsiTheme="minorHAnsi" w:cstheme="minorHAnsi"/>
        </w:rPr>
        <w:t xml:space="preserve"> incurred by DISER</w:t>
      </w:r>
      <w:r w:rsidR="00D212A5" w:rsidRPr="004029F0">
        <w:rPr>
          <w:rFonts w:asciiTheme="minorHAnsi" w:hAnsiTheme="minorHAnsi" w:cstheme="minorHAnsi"/>
        </w:rPr>
        <w:t xml:space="preserve"> attributable to cost recovered activities. </w:t>
      </w:r>
    </w:p>
    <w:p w14:paraId="5925C228" w14:textId="77777777" w:rsidR="005D7243" w:rsidRDefault="005D7243" w:rsidP="00D212A5">
      <w:pPr>
        <w:rPr>
          <w:rFonts w:asciiTheme="minorHAnsi" w:hAnsiTheme="minorHAnsi" w:cstheme="minorHAnsi"/>
        </w:rPr>
      </w:pPr>
    </w:p>
    <w:p w14:paraId="738CAFE1" w14:textId="3D2EA390" w:rsidR="005D7243" w:rsidRDefault="00D212A5" w:rsidP="00D212A5">
      <w:pPr>
        <w:rPr>
          <w:rFonts w:asciiTheme="minorHAnsi" w:hAnsiTheme="minorHAnsi" w:cstheme="minorHAnsi"/>
        </w:rPr>
      </w:pPr>
      <w:r>
        <w:rPr>
          <w:rFonts w:asciiTheme="minorHAnsi" w:hAnsiTheme="minorHAnsi" w:cstheme="minorHAnsi"/>
        </w:rPr>
        <w:t>DISER</w:t>
      </w:r>
      <w:r w:rsidR="005D7243">
        <w:rPr>
          <w:rFonts w:asciiTheme="minorHAnsi" w:hAnsiTheme="minorHAnsi" w:cstheme="minorHAnsi"/>
        </w:rPr>
        <w:t xml:space="preserve"> </w:t>
      </w:r>
      <w:r w:rsidRPr="004029F0">
        <w:rPr>
          <w:rFonts w:asciiTheme="minorHAnsi" w:hAnsiTheme="minorHAnsi" w:cstheme="minorHAnsi"/>
        </w:rPr>
        <w:t xml:space="preserve">provides the governance structure, access to corporate support and systems, workers compensation and other insurance coverage and allocates these costs to NOPTA. </w:t>
      </w:r>
    </w:p>
    <w:p w14:paraId="121E4FC0" w14:textId="77777777" w:rsidR="005D7243" w:rsidRDefault="005D7243" w:rsidP="00D212A5">
      <w:pPr>
        <w:rPr>
          <w:rFonts w:asciiTheme="minorHAnsi" w:hAnsiTheme="minorHAnsi" w:cstheme="minorHAnsi"/>
        </w:rPr>
      </w:pPr>
    </w:p>
    <w:p w14:paraId="7FCCB2F6" w14:textId="64793B73" w:rsidR="00D212A5" w:rsidRDefault="00D212A5" w:rsidP="00D212A5">
      <w:pPr>
        <w:rPr>
          <w:rFonts w:asciiTheme="minorHAnsi" w:hAnsiTheme="minorHAnsi" w:cstheme="minorHAnsi"/>
        </w:rPr>
      </w:pPr>
      <w:r w:rsidRPr="004029F0">
        <w:rPr>
          <w:rFonts w:asciiTheme="minorHAnsi" w:hAnsiTheme="minorHAnsi" w:cstheme="minorHAnsi"/>
        </w:rPr>
        <w:t>These costs</w:t>
      </w:r>
      <w:r w:rsidR="004044FD" w:rsidRPr="007862BE">
        <w:rPr>
          <w:rStyle w:val="FootnoteReference"/>
          <w:rFonts w:cstheme="minorHAnsi"/>
          <w:color w:val="auto"/>
        </w:rPr>
        <w:footnoteReference w:id="13"/>
      </w:r>
      <w:r w:rsidRPr="004029F0">
        <w:rPr>
          <w:rFonts w:asciiTheme="minorHAnsi" w:hAnsiTheme="minorHAnsi" w:cstheme="minorHAnsi"/>
        </w:rPr>
        <w:t xml:space="preserve"> consist of:</w:t>
      </w:r>
    </w:p>
    <w:p w14:paraId="6AFA908F" w14:textId="77777777" w:rsidR="00D212A5" w:rsidRPr="00881BB9" w:rsidRDefault="00D212A5" w:rsidP="00A174D5">
      <w:pPr>
        <w:pStyle w:val="ListParagraph"/>
        <w:numPr>
          <w:ilvl w:val="0"/>
          <w:numId w:val="3"/>
        </w:numPr>
        <w:ind w:left="748" w:hanging="425"/>
        <w:rPr>
          <w:rFonts w:asciiTheme="minorHAnsi" w:hAnsiTheme="minorHAnsi" w:cstheme="minorHAnsi"/>
        </w:rPr>
      </w:pPr>
      <w:r w:rsidRPr="00881BB9">
        <w:rPr>
          <w:rFonts w:asciiTheme="minorHAnsi" w:hAnsiTheme="minorHAnsi" w:cstheme="minorHAnsi"/>
        </w:rPr>
        <w:t xml:space="preserve">Workers compensation insurance premium </w:t>
      </w:r>
      <w:r>
        <w:rPr>
          <w:rFonts w:asciiTheme="minorHAnsi" w:hAnsiTheme="minorHAnsi" w:cstheme="minorHAnsi"/>
        </w:rPr>
        <w:t>$26,000</w:t>
      </w:r>
    </w:p>
    <w:p w14:paraId="2988AE45" w14:textId="77777777" w:rsidR="00D212A5" w:rsidRPr="00881BB9" w:rsidRDefault="00D212A5" w:rsidP="00A174D5">
      <w:pPr>
        <w:pStyle w:val="ListParagraph"/>
        <w:numPr>
          <w:ilvl w:val="0"/>
          <w:numId w:val="3"/>
        </w:numPr>
        <w:ind w:left="748" w:hanging="425"/>
        <w:rPr>
          <w:rFonts w:asciiTheme="minorHAnsi" w:hAnsiTheme="minorHAnsi" w:cstheme="minorHAnsi"/>
        </w:rPr>
      </w:pPr>
      <w:r w:rsidRPr="00881BB9">
        <w:rPr>
          <w:rFonts w:asciiTheme="minorHAnsi" w:hAnsiTheme="minorHAnsi" w:cstheme="minorHAnsi"/>
        </w:rPr>
        <w:t xml:space="preserve">Property and general liability insurance premium </w:t>
      </w:r>
      <w:r>
        <w:rPr>
          <w:rFonts w:asciiTheme="minorHAnsi" w:hAnsiTheme="minorHAnsi" w:cstheme="minorHAnsi"/>
        </w:rPr>
        <w:t>$16,000</w:t>
      </w:r>
    </w:p>
    <w:p w14:paraId="7B924B54" w14:textId="77777777" w:rsidR="00D212A5" w:rsidRPr="00881BB9" w:rsidRDefault="00D212A5" w:rsidP="00A174D5">
      <w:pPr>
        <w:pStyle w:val="ListParagraph"/>
        <w:numPr>
          <w:ilvl w:val="0"/>
          <w:numId w:val="3"/>
        </w:numPr>
        <w:ind w:left="748" w:hanging="425"/>
        <w:rPr>
          <w:rFonts w:asciiTheme="minorHAnsi" w:hAnsiTheme="minorHAnsi" w:cstheme="minorHAnsi"/>
        </w:rPr>
      </w:pPr>
      <w:r w:rsidRPr="00881BB9">
        <w:rPr>
          <w:rFonts w:asciiTheme="minorHAnsi" w:hAnsiTheme="minorHAnsi" w:cstheme="minorHAnsi"/>
        </w:rPr>
        <w:t xml:space="preserve">Depreciation of NOPTA office fit-outs </w:t>
      </w:r>
      <w:r>
        <w:rPr>
          <w:rFonts w:asciiTheme="minorHAnsi" w:hAnsiTheme="minorHAnsi" w:cstheme="minorHAnsi"/>
        </w:rPr>
        <w:t>$110,000</w:t>
      </w:r>
    </w:p>
    <w:p w14:paraId="3660D38C" w14:textId="77777777" w:rsidR="00D212A5" w:rsidRPr="00881BB9" w:rsidRDefault="00D212A5" w:rsidP="00A174D5">
      <w:pPr>
        <w:pStyle w:val="ListParagraph"/>
        <w:numPr>
          <w:ilvl w:val="0"/>
          <w:numId w:val="3"/>
        </w:numPr>
        <w:ind w:left="748" w:hanging="425"/>
        <w:rPr>
          <w:rFonts w:asciiTheme="minorHAnsi" w:hAnsiTheme="minorHAnsi" w:cstheme="minorHAnsi"/>
        </w:rPr>
      </w:pPr>
      <w:r w:rsidRPr="00881BB9">
        <w:rPr>
          <w:rFonts w:asciiTheme="minorHAnsi" w:hAnsiTheme="minorHAnsi" w:cstheme="minorHAnsi"/>
        </w:rPr>
        <w:t xml:space="preserve">Governance structure (Accountable Authority instructions, delegations, departmental policies), mandatory training, financial and other departmental systems, corporate support </w:t>
      </w:r>
      <w:r>
        <w:rPr>
          <w:rFonts w:asciiTheme="minorHAnsi" w:hAnsiTheme="minorHAnsi" w:cstheme="minorHAnsi"/>
        </w:rPr>
        <w:t>$100,000</w:t>
      </w:r>
    </w:p>
    <w:p w14:paraId="3BA0696B" w14:textId="77777777" w:rsidR="00D212A5" w:rsidRPr="00881BB9" w:rsidRDefault="00D212A5" w:rsidP="00A174D5">
      <w:pPr>
        <w:pStyle w:val="ListParagraph"/>
        <w:numPr>
          <w:ilvl w:val="0"/>
          <w:numId w:val="3"/>
        </w:numPr>
        <w:ind w:left="748" w:hanging="425"/>
        <w:rPr>
          <w:rFonts w:asciiTheme="minorHAnsi" w:hAnsiTheme="minorHAnsi" w:cstheme="minorHAnsi"/>
        </w:rPr>
      </w:pPr>
      <w:r>
        <w:rPr>
          <w:rFonts w:asciiTheme="minorHAnsi" w:hAnsiTheme="minorHAnsi" w:cstheme="minorHAnsi"/>
        </w:rPr>
        <w:t>Standard Protected Desktop Offering</w:t>
      </w:r>
      <w:r w:rsidRPr="00881BB9">
        <w:rPr>
          <w:rFonts w:asciiTheme="minorHAnsi" w:hAnsiTheme="minorHAnsi" w:cstheme="minorHAnsi"/>
        </w:rPr>
        <w:t xml:space="preserve"> </w:t>
      </w:r>
      <w:r>
        <w:rPr>
          <w:rFonts w:asciiTheme="minorHAnsi" w:hAnsiTheme="minorHAnsi" w:cstheme="minorHAnsi"/>
        </w:rPr>
        <w:t>$106,000</w:t>
      </w:r>
    </w:p>
    <w:p w14:paraId="13F8F342" w14:textId="77777777" w:rsidR="00D212A5" w:rsidRPr="00881BB9" w:rsidRDefault="00D212A5" w:rsidP="00A174D5">
      <w:pPr>
        <w:pStyle w:val="ListParagraph"/>
        <w:numPr>
          <w:ilvl w:val="0"/>
          <w:numId w:val="3"/>
        </w:numPr>
        <w:ind w:left="748" w:hanging="425"/>
        <w:rPr>
          <w:rFonts w:asciiTheme="minorHAnsi" w:hAnsiTheme="minorHAnsi" w:cstheme="minorHAnsi"/>
        </w:rPr>
      </w:pPr>
      <w:r w:rsidRPr="00881BB9">
        <w:rPr>
          <w:rFonts w:asciiTheme="minorHAnsi" w:hAnsiTheme="minorHAnsi" w:cstheme="minorHAnsi"/>
        </w:rPr>
        <w:t xml:space="preserve">Human Resources support and payroll processing </w:t>
      </w:r>
      <w:r>
        <w:rPr>
          <w:rFonts w:asciiTheme="minorHAnsi" w:hAnsiTheme="minorHAnsi" w:cstheme="minorHAnsi"/>
        </w:rPr>
        <w:t>$67,000</w:t>
      </w:r>
    </w:p>
    <w:p w14:paraId="5098E618" w14:textId="77777777" w:rsidR="00D212A5" w:rsidRPr="004029F0" w:rsidRDefault="00D212A5" w:rsidP="00D212A5">
      <w:pPr>
        <w:rPr>
          <w:rFonts w:asciiTheme="minorHAnsi" w:hAnsiTheme="minorHAnsi" w:cstheme="minorHAnsi"/>
        </w:rPr>
      </w:pPr>
    </w:p>
    <w:p w14:paraId="14C00CA0" w14:textId="41459AE3" w:rsidR="00D212A5" w:rsidRDefault="00D212A5" w:rsidP="00D212A5">
      <w:pPr>
        <w:rPr>
          <w:rFonts w:asciiTheme="minorHAnsi" w:hAnsiTheme="minorHAnsi" w:cstheme="minorHAnsi"/>
        </w:rPr>
      </w:pPr>
      <w:r w:rsidRPr="004029F0">
        <w:rPr>
          <w:rFonts w:asciiTheme="minorHAnsi" w:hAnsiTheme="minorHAnsi" w:cstheme="minorHAnsi"/>
        </w:rPr>
        <w:t>NOPTA shares accommodation with NOPSEMA in Perth</w:t>
      </w:r>
      <w:r>
        <w:rPr>
          <w:rFonts w:asciiTheme="minorHAnsi" w:hAnsiTheme="minorHAnsi" w:cstheme="minorHAnsi"/>
        </w:rPr>
        <w:t xml:space="preserve"> and Melbourne</w:t>
      </w:r>
      <w:r w:rsidRPr="004029F0">
        <w:rPr>
          <w:rFonts w:asciiTheme="minorHAnsi" w:hAnsiTheme="minorHAnsi" w:cstheme="minorHAnsi"/>
        </w:rPr>
        <w:t xml:space="preserve">. In addition to rental and outgoings, NOPTA incurs an annual cost of </w:t>
      </w:r>
      <w:r>
        <w:rPr>
          <w:rFonts w:asciiTheme="minorHAnsi" w:hAnsiTheme="minorHAnsi" w:cstheme="minorHAnsi"/>
        </w:rPr>
        <w:t xml:space="preserve">$30,000 </w:t>
      </w:r>
      <w:r w:rsidRPr="004029F0">
        <w:rPr>
          <w:rFonts w:asciiTheme="minorHAnsi" w:hAnsiTheme="minorHAnsi" w:cstheme="minorHAnsi"/>
        </w:rPr>
        <w:t>for NOPSEMA staff administering the building lease, receptionist services and office consumables.</w:t>
      </w:r>
    </w:p>
    <w:bookmarkEnd w:id="15"/>
    <w:p w14:paraId="6084EC90" w14:textId="77777777" w:rsidR="00D212A5" w:rsidRPr="00D212A5" w:rsidRDefault="00D212A5" w:rsidP="00D212A5">
      <w:pPr>
        <w:rPr>
          <w:lang w:val="en-US"/>
        </w:rPr>
      </w:pPr>
    </w:p>
    <w:p w14:paraId="6397CBFB" w14:textId="3AE328EA" w:rsidR="00E35000" w:rsidRDefault="00E35000">
      <w:bookmarkStart w:id="16" w:name="basisorcharging"/>
    </w:p>
    <w:p w14:paraId="37A559D2" w14:textId="77777777" w:rsidR="00E35000" w:rsidRDefault="00E35000"/>
    <w:p w14:paraId="713C466B" w14:textId="77777777" w:rsidR="00E35000" w:rsidRDefault="00E35000">
      <w:pPr>
        <w:sectPr w:rsidR="00E35000" w:rsidSect="00F2024B">
          <w:pgSz w:w="11906" w:h="16838"/>
          <w:pgMar w:top="720" w:right="991" w:bottom="720" w:left="1134" w:header="708" w:footer="708" w:gutter="0"/>
          <w:cols w:space="708"/>
          <w:docGrid w:linePitch="360"/>
        </w:sectPr>
      </w:pPr>
    </w:p>
    <w:p w14:paraId="2E616B34" w14:textId="6DFB323F" w:rsidR="00B46AD6" w:rsidRDefault="00E35000" w:rsidP="00792A30">
      <w:pPr>
        <w:pStyle w:val="Heading2"/>
        <w:tabs>
          <w:tab w:val="clear" w:pos="576"/>
          <w:tab w:val="num" w:pos="709"/>
        </w:tabs>
        <w:ind w:left="709" w:hanging="142"/>
        <w:rPr>
          <w:rFonts w:asciiTheme="minorHAnsi" w:hAnsiTheme="minorHAnsi" w:cstheme="minorHAnsi"/>
          <w:i w:val="0"/>
          <w:iCs w:val="0"/>
        </w:rPr>
      </w:pPr>
      <w:bookmarkStart w:id="17" w:name="_Toc84844721"/>
      <w:r w:rsidRPr="00F2024B">
        <w:rPr>
          <w:rFonts w:asciiTheme="minorHAnsi" w:hAnsiTheme="minorHAnsi" w:cstheme="minorHAnsi"/>
          <w:i w:val="0"/>
          <w:iCs w:val="0"/>
        </w:rPr>
        <w:lastRenderedPageBreak/>
        <w:t>Outputs and business processes</w:t>
      </w:r>
      <w:bookmarkEnd w:id="17"/>
      <w:r w:rsidRPr="00F2024B">
        <w:rPr>
          <w:rFonts w:asciiTheme="minorHAnsi" w:hAnsiTheme="minorHAnsi" w:cstheme="minorHAnsi"/>
          <w:i w:val="0"/>
          <w:iCs w:val="0"/>
        </w:rPr>
        <w:t xml:space="preserve"> </w:t>
      </w:r>
      <w:r w:rsidR="00B46AD6" w:rsidRPr="00F2024B">
        <w:rPr>
          <w:rFonts w:asciiTheme="minorHAnsi" w:hAnsiTheme="minorHAnsi" w:cstheme="minorHAnsi"/>
          <w:i w:val="0"/>
          <w:iCs w:val="0"/>
        </w:rPr>
        <w:t xml:space="preserve"> </w:t>
      </w:r>
    </w:p>
    <w:p w14:paraId="58C397F1" w14:textId="454B5DA6" w:rsidR="0025229D" w:rsidRPr="00CC640B" w:rsidRDefault="0025229D" w:rsidP="00CC640B">
      <w:pPr>
        <w:rPr>
          <w:rFonts w:asciiTheme="minorHAnsi" w:hAnsiTheme="minorHAnsi" w:cstheme="minorHAnsi"/>
        </w:rPr>
      </w:pPr>
      <w:r w:rsidRPr="00CC640B">
        <w:rPr>
          <w:rFonts w:asciiTheme="minorHAnsi" w:hAnsiTheme="minorHAnsi" w:cstheme="minorHAnsi"/>
        </w:rPr>
        <w:t xml:space="preserve">All references are to the </w:t>
      </w:r>
      <w:r w:rsidR="005827AF">
        <w:rPr>
          <w:rFonts w:asciiTheme="minorHAnsi" w:hAnsiTheme="minorHAnsi" w:cstheme="minorHAnsi"/>
        </w:rPr>
        <w:t>OPGGS Act</w:t>
      </w:r>
      <w:r w:rsidRPr="00CC640B">
        <w:rPr>
          <w:rFonts w:asciiTheme="minorHAnsi" w:hAnsiTheme="minorHAnsi" w:cstheme="minorHAnsi"/>
        </w:rPr>
        <w:t xml:space="preserve"> unless otherwise described</w:t>
      </w:r>
    </w:p>
    <w:p w14:paraId="6A5A660E" w14:textId="77777777" w:rsidR="00B46AD6" w:rsidRDefault="00B46AD6" w:rsidP="00B46AD6"/>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593"/>
        <w:gridCol w:w="7513"/>
        <w:gridCol w:w="3119"/>
      </w:tblGrid>
      <w:tr w:rsidR="00036FAE" w:rsidRPr="00762402" w14:paraId="488ACFFA" w14:textId="77777777" w:rsidTr="007D5786">
        <w:tc>
          <w:tcPr>
            <w:tcW w:w="809" w:type="dxa"/>
            <w:shd w:val="clear" w:color="auto" w:fill="244061" w:themeFill="accent1" w:themeFillShade="80"/>
          </w:tcPr>
          <w:p w14:paraId="33143089" w14:textId="77777777" w:rsidR="00036FAE" w:rsidRPr="00762402" w:rsidRDefault="00036FAE" w:rsidP="00E628B6">
            <w:pPr>
              <w:jc w:val="center"/>
              <w:rPr>
                <w:rFonts w:asciiTheme="minorHAnsi" w:hAnsiTheme="minorHAnsi" w:cstheme="minorHAnsi"/>
                <w:b/>
                <w:bCs/>
                <w:sz w:val="20"/>
                <w:szCs w:val="20"/>
              </w:rPr>
            </w:pPr>
            <w:r w:rsidRPr="00762402">
              <w:rPr>
                <w:rFonts w:asciiTheme="minorHAnsi" w:hAnsiTheme="minorHAnsi" w:cstheme="minorHAnsi"/>
                <w:b/>
                <w:bCs/>
                <w:sz w:val="20"/>
                <w:szCs w:val="20"/>
              </w:rPr>
              <w:t>No</w:t>
            </w:r>
          </w:p>
        </w:tc>
        <w:tc>
          <w:tcPr>
            <w:tcW w:w="2593" w:type="dxa"/>
            <w:shd w:val="clear" w:color="auto" w:fill="244061" w:themeFill="accent1" w:themeFillShade="80"/>
          </w:tcPr>
          <w:p w14:paraId="2896CA58" w14:textId="31E8EFCC" w:rsidR="00036FAE" w:rsidRPr="00762402" w:rsidRDefault="00036FAE" w:rsidP="00E628B6">
            <w:pPr>
              <w:jc w:val="center"/>
              <w:rPr>
                <w:rFonts w:asciiTheme="minorHAnsi" w:hAnsiTheme="minorHAnsi" w:cstheme="minorHAnsi"/>
                <w:b/>
                <w:bCs/>
                <w:sz w:val="20"/>
                <w:szCs w:val="20"/>
              </w:rPr>
            </w:pPr>
            <w:r w:rsidRPr="00762402">
              <w:rPr>
                <w:rFonts w:asciiTheme="minorHAnsi" w:hAnsiTheme="minorHAnsi" w:cstheme="minorHAnsi"/>
                <w:b/>
                <w:bCs/>
                <w:sz w:val="20"/>
                <w:szCs w:val="20"/>
              </w:rPr>
              <w:t>FUNCTION</w:t>
            </w:r>
          </w:p>
        </w:tc>
        <w:tc>
          <w:tcPr>
            <w:tcW w:w="7513" w:type="dxa"/>
            <w:shd w:val="clear" w:color="auto" w:fill="244061" w:themeFill="accent1" w:themeFillShade="80"/>
          </w:tcPr>
          <w:p w14:paraId="3BDD4BE4" w14:textId="30CD479F" w:rsidR="00036FAE" w:rsidRPr="00762402" w:rsidRDefault="00036FAE" w:rsidP="00E628B6">
            <w:pPr>
              <w:jc w:val="center"/>
              <w:rPr>
                <w:rFonts w:asciiTheme="minorHAnsi" w:hAnsiTheme="minorHAnsi" w:cstheme="minorHAnsi"/>
                <w:b/>
                <w:bCs/>
                <w:sz w:val="20"/>
                <w:szCs w:val="20"/>
              </w:rPr>
            </w:pPr>
            <w:r w:rsidRPr="00762402">
              <w:rPr>
                <w:rFonts w:asciiTheme="minorHAnsi" w:hAnsiTheme="minorHAnsi" w:cstheme="minorHAnsi"/>
                <w:b/>
                <w:bCs/>
                <w:sz w:val="20"/>
                <w:szCs w:val="20"/>
              </w:rPr>
              <w:t xml:space="preserve">PROCESS </w:t>
            </w:r>
            <w:r w:rsidR="0025229D">
              <w:rPr>
                <w:rFonts w:asciiTheme="minorHAnsi" w:hAnsiTheme="minorHAnsi" w:cstheme="minorHAnsi"/>
                <w:b/>
                <w:bCs/>
                <w:sz w:val="20"/>
                <w:szCs w:val="20"/>
              </w:rPr>
              <w:t xml:space="preserve"> </w:t>
            </w:r>
          </w:p>
        </w:tc>
        <w:tc>
          <w:tcPr>
            <w:tcW w:w="3119" w:type="dxa"/>
            <w:shd w:val="clear" w:color="auto" w:fill="244061" w:themeFill="accent1" w:themeFillShade="80"/>
          </w:tcPr>
          <w:p w14:paraId="33B52CF7" w14:textId="4E18B2C9" w:rsidR="00036FAE" w:rsidRPr="00BB180E" w:rsidRDefault="00036FAE" w:rsidP="00E628B6">
            <w:pPr>
              <w:jc w:val="center"/>
              <w:rPr>
                <w:rFonts w:asciiTheme="minorHAnsi" w:hAnsiTheme="minorHAnsi" w:cstheme="minorHAnsi"/>
                <w:b/>
                <w:bCs/>
                <w:color w:val="FFFFFF" w:themeColor="background1"/>
                <w:sz w:val="20"/>
                <w:szCs w:val="20"/>
              </w:rPr>
            </w:pPr>
            <w:r w:rsidRPr="00762402">
              <w:rPr>
                <w:rFonts w:asciiTheme="minorHAnsi" w:hAnsiTheme="minorHAnsi" w:cstheme="minorHAnsi"/>
                <w:b/>
                <w:bCs/>
                <w:sz w:val="20"/>
                <w:szCs w:val="20"/>
              </w:rPr>
              <w:t>NEW PROCESS</w:t>
            </w:r>
            <w:r w:rsidR="000472FB">
              <w:rPr>
                <w:rFonts w:asciiTheme="minorHAnsi" w:hAnsiTheme="minorHAnsi" w:cstheme="minorHAnsi"/>
                <w:b/>
                <w:bCs/>
                <w:sz w:val="20"/>
                <w:szCs w:val="20"/>
              </w:rPr>
              <w:t>ES</w:t>
            </w:r>
            <w:r w:rsidRPr="00762402">
              <w:rPr>
                <w:rFonts w:asciiTheme="minorHAnsi" w:hAnsiTheme="minorHAnsi" w:cstheme="minorHAnsi"/>
                <w:b/>
                <w:bCs/>
                <w:sz w:val="20"/>
                <w:szCs w:val="20"/>
              </w:rPr>
              <w:t xml:space="preserve"> </w:t>
            </w:r>
            <w:r w:rsidRPr="00BB180E">
              <w:rPr>
                <w:rFonts w:asciiTheme="minorHAnsi" w:hAnsiTheme="minorHAnsi" w:cstheme="minorHAnsi"/>
                <w:b/>
                <w:bCs/>
                <w:color w:val="FFFFFF" w:themeColor="background1"/>
                <w:sz w:val="20"/>
                <w:szCs w:val="20"/>
              </w:rPr>
              <w:t xml:space="preserve">(FOLLOWING COMMENCEMENT OF </w:t>
            </w:r>
            <w:r w:rsidR="002B7BB1">
              <w:rPr>
                <w:rFonts w:asciiTheme="minorHAnsi" w:hAnsiTheme="minorHAnsi" w:cstheme="minorHAnsi"/>
                <w:b/>
                <w:bCs/>
                <w:color w:val="FFFFFF" w:themeColor="background1"/>
                <w:sz w:val="20"/>
                <w:szCs w:val="20"/>
              </w:rPr>
              <w:t>THE AMENDMENT ACT</w:t>
            </w:r>
            <w:r w:rsidRPr="00BB180E">
              <w:rPr>
                <w:rFonts w:asciiTheme="minorHAnsi" w:hAnsiTheme="minorHAnsi" w:cstheme="minorHAnsi"/>
                <w:b/>
                <w:bCs/>
                <w:color w:val="FFFFFF" w:themeColor="background1"/>
                <w:sz w:val="20"/>
                <w:szCs w:val="20"/>
              </w:rPr>
              <w:t>)</w:t>
            </w:r>
          </w:p>
        </w:tc>
      </w:tr>
      <w:tr w:rsidR="00036FAE" w:rsidRPr="00762402" w14:paraId="583FE31F" w14:textId="77777777" w:rsidTr="007D5786">
        <w:tc>
          <w:tcPr>
            <w:tcW w:w="809" w:type="dxa"/>
          </w:tcPr>
          <w:p w14:paraId="10599845" w14:textId="77777777" w:rsidR="00036FAE" w:rsidRPr="00762402" w:rsidRDefault="00036FAE" w:rsidP="007D5786">
            <w:pPr>
              <w:jc w:val="center"/>
              <w:rPr>
                <w:rFonts w:asciiTheme="minorHAnsi" w:hAnsiTheme="minorHAnsi" w:cstheme="minorHAnsi"/>
                <w:b/>
                <w:sz w:val="20"/>
                <w:szCs w:val="20"/>
              </w:rPr>
            </w:pPr>
            <w:r w:rsidRPr="00762402">
              <w:rPr>
                <w:rFonts w:asciiTheme="minorHAnsi" w:hAnsiTheme="minorHAnsi" w:cstheme="minorHAnsi"/>
                <w:b/>
                <w:sz w:val="20"/>
                <w:szCs w:val="20"/>
              </w:rPr>
              <w:t>1</w:t>
            </w:r>
          </w:p>
        </w:tc>
        <w:tc>
          <w:tcPr>
            <w:tcW w:w="2593" w:type="dxa"/>
          </w:tcPr>
          <w:p w14:paraId="58333880" w14:textId="77777777" w:rsidR="00036FAE" w:rsidRPr="00762402" w:rsidRDefault="00036FAE" w:rsidP="00E628B6">
            <w:pPr>
              <w:rPr>
                <w:rFonts w:asciiTheme="minorHAnsi" w:hAnsiTheme="minorHAnsi" w:cstheme="minorHAnsi"/>
                <w:b/>
                <w:bCs/>
                <w:sz w:val="20"/>
                <w:szCs w:val="20"/>
              </w:rPr>
            </w:pPr>
            <w:r w:rsidRPr="00762402">
              <w:rPr>
                <w:rFonts w:asciiTheme="minorHAnsi" w:hAnsiTheme="minorHAnsi" w:cstheme="minorHAnsi"/>
                <w:b/>
                <w:sz w:val="20"/>
                <w:szCs w:val="20"/>
              </w:rPr>
              <w:t>Acreage Release</w:t>
            </w:r>
            <w:r w:rsidRPr="00762402">
              <w:rPr>
                <w:rFonts w:asciiTheme="minorHAnsi" w:hAnsiTheme="minorHAnsi" w:cstheme="minorHAnsi"/>
                <w:b/>
                <w:bCs/>
                <w:sz w:val="20"/>
                <w:szCs w:val="20"/>
              </w:rPr>
              <w:t xml:space="preserve"> (Petroleum Exploration Permit):</w:t>
            </w:r>
          </w:p>
          <w:p w14:paraId="400B717F" w14:textId="62C35092"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sz w:val="20"/>
                <w:szCs w:val="20"/>
              </w:rPr>
              <w:t>(</w:t>
            </w:r>
            <w:r w:rsidR="00216413">
              <w:rPr>
                <w:rFonts w:asciiTheme="minorHAnsi" w:hAnsiTheme="minorHAnsi" w:cstheme="minorHAnsi"/>
                <w:sz w:val="20"/>
                <w:szCs w:val="20"/>
              </w:rPr>
              <w:t>Chapter 2</w:t>
            </w:r>
            <w:r w:rsidRPr="00762402">
              <w:rPr>
                <w:rFonts w:asciiTheme="minorHAnsi" w:hAnsiTheme="minorHAnsi" w:cstheme="minorHAnsi"/>
                <w:sz w:val="20"/>
                <w:szCs w:val="20"/>
              </w:rPr>
              <w:t>)</w:t>
            </w:r>
          </w:p>
        </w:tc>
        <w:tc>
          <w:tcPr>
            <w:tcW w:w="7513" w:type="dxa"/>
          </w:tcPr>
          <w:p w14:paraId="120DFDAA" w14:textId="2B98C835" w:rsidR="00036FAE" w:rsidRPr="00762402" w:rsidRDefault="00036FAE" w:rsidP="00E628B6">
            <w:pPr>
              <w:rPr>
                <w:rFonts w:asciiTheme="minorHAnsi" w:hAnsiTheme="minorHAnsi" w:cstheme="minorHAnsi"/>
                <w:b/>
                <w:bCs/>
                <w:i/>
                <w:iCs/>
                <w:sz w:val="20"/>
                <w:szCs w:val="20"/>
              </w:rPr>
            </w:pPr>
            <w:r w:rsidRPr="00762402">
              <w:rPr>
                <w:rFonts w:asciiTheme="minorHAnsi" w:hAnsiTheme="minorHAnsi" w:cstheme="minorHAnsi"/>
                <w:b/>
                <w:bCs/>
                <w:i/>
                <w:iCs/>
                <w:sz w:val="20"/>
                <w:szCs w:val="20"/>
              </w:rPr>
              <w:t>Release</w:t>
            </w:r>
          </w:p>
          <w:p w14:paraId="3DC92525" w14:textId="77777777"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Gazettal of acreage release areas </w:t>
            </w:r>
          </w:p>
          <w:p w14:paraId="68A2D3BB" w14:textId="77777777" w:rsidR="00036FAE" w:rsidRPr="00DF461B" w:rsidRDefault="00036FAE" w:rsidP="00A174D5">
            <w:pPr>
              <w:pStyle w:val="ListParagraph"/>
              <w:numPr>
                <w:ilvl w:val="0"/>
                <w:numId w:val="6"/>
              </w:numPr>
              <w:ind w:left="337" w:hanging="337"/>
              <w:rPr>
                <w:rFonts w:asciiTheme="minorHAnsi" w:hAnsiTheme="minorHAnsi" w:cstheme="minorHAnsi"/>
                <w:sz w:val="20"/>
                <w:szCs w:val="20"/>
              </w:rPr>
            </w:pPr>
            <w:r w:rsidRPr="00DF461B">
              <w:rPr>
                <w:rFonts w:asciiTheme="minorHAnsi" w:hAnsiTheme="minorHAnsi" w:cstheme="minorHAnsi"/>
                <w:sz w:val="20"/>
                <w:szCs w:val="20"/>
              </w:rPr>
              <w:t>Maintain guidance material</w:t>
            </w:r>
            <w:r w:rsidRPr="00BB180E">
              <w:rPr>
                <w:rStyle w:val="FootnoteReference"/>
                <w:rFonts w:cstheme="minorHAnsi"/>
                <w:color w:val="auto"/>
                <w:sz w:val="20"/>
                <w:szCs w:val="20"/>
              </w:rPr>
              <w:footnoteReference w:id="14"/>
            </w:r>
            <w:r w:rsidRPr="00DF461B">
              <w:rPr>
                <w:rFonts w:asciiTheme="minorHAnsi" w:hAnsiTheme="minorHAnsi" w:cstheme="minorHAnsi"/>
                <w:sz w:val="20"/>
                <w:szCs w:val="20"/>
              </w:rPr>
              <w:t xml:space="preserve"> for applicants</w:t>
            </w:r>
          </w:p>
        </w:tc>
        <w:tc>
          <w:tcPr>
            <w:tcW w:w="3119" w:type="dxa"/>
          </w:tcPr>
          <w:p w14:paraId="49A19E3A" w14:textId="77777777" w:rsidR="00036FAE" w:rsidRPr="00762402" w:rsidRDefault="00036FAE" w:rsidP="00E628B6">
            <w:pPr>
              <w:rPr>
                <w:rFonts w:asciiTheme="minorHAnsi" w:hAnsiTheme="minorHAnsi" w:cstheme="minorHAnsi"/>
                <w:sz w:val="20"/>
                <w:szCs w:val="20"/>
              </w:rPr>
            </w:pPr>
          </w:p>
        </w:tc>
      </w:tr>
      <w:tr w:rsidR="00036FAE" w:rsidRPr="00762402" w14:paraId="5E3AC3FB" w14:textId="77777777" w:rsidTr="007D5786">
        <w:trPr>
          <w:trHeight w:val="1507"/>
        </w:trPr>
        <w:tc>
          <w:tcPr>
            <w:tcW w:w="809" w:type="dxa"/>
          </w:tcPr>
          <w:p w14:paraId="25F9041D" w14:textId="77777777" w:rsidR="00036FAE" w:rsidRPr="00762402" w:rsidRDefault="00036FAE" w:rsidP="007D5786">
            <w:pPr>
              <w:jc w:val="center"/>
              <w:rPr>
                <w:rFonts w:asciiTheme="minorHAnsi" w:hAnsiTheme="minorHAnsi" w:cstheme="minorHAnsi"/>
                <w:b/>
                <w:bCs/>
                <w:sz w:val="20"/>
                <w:szCs w:val="20"/>
              </w:rPr>
            </w:pPr>
            <w:r w:rsidRPr="00762402">
              <w:rPr>
                <w:rFonts w:asciiTheme="minorHAnsi" w:hAnsiTheme="minorHAnsi" w:cstheme="minorHAnsi"/>
                <w:b/>
                <w:bCs/>
                <w:sz w:val="20"/>
                <w:szCs w:val="20"/>
              </w:rPr>
              <w:t>2</w:t>
            </w:r>
          </w:p>
        </w:tc>
        <w:tc>
          <w:tcPr>
            <w:tcW w:w="2593" w:type="dxa"/>
          </w:tcPr>
          <w:p w14:paraId="5D1F9CEF" w14:textId="77777777" w:rsidR="00036FAE" w:rsidRPr="00762402" w:rsidRDefault="00036FAE" w:rsidP="00E628B6">
            <w:pPr>
              <w:rPr>
                <w:rFonts w:asciiTheme="minorHAnsi" w:hAnsiTheme="minorHAnsi" w:cstheme="minorHAnsi"/>
                <w:b/>
                <w:bCs/>
                <w:sz w:val="20"/>
                <w:szCs w:val="20"/>
              </w:rPr>
            </w:pPr>
            <w:r w:rsidRPr="00762402">
              <w:rPr>
                <w:rFonts w:asciiTheme="minorHAnsi" w:hAnsiTheme="minorHAnsi" w:cstheme="minorHAnsi"/>
                <w:b/>
                <w:bCs/>
                <w:sz w:val="20"/>
                <w:szCs w:val="20"/>
              </w:rPr>
              <w:t>Petroleum Exploration Permit (EP):</w:t>
            </w:r>
          </w:p>
          <w:p w14:paraId="20D452D8" w14:textId="68E41B81"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sz w:val="20"/>
                <w:szCs w:val="20"/>
              </w:rPr>
              <w:t>(</w:t>
            </w:r>
            <w:r w:rsidR="00216413">
              <w:rPr>
                <w:rFonts w:asciiTheme="minorHAnsi" w:hAnsiTheme="minorHAnsi" w:cstheme="minorHAnsi"/>
                <w:sz w:val="20"/>
                <w:szCs w:val="20"/>
              </w:rPr>
              <w:t>Chapter 2</w:t>
            </w:r>
            <w:r w:rsidRPr="00762402">
              <w:rPr>
                <w:rFonts w:asciiTheme="minorHAnsi" w:hAnsiTheme="minorHAnsi" w:cstheme="minorHAnsi"/>
                <w:sz w:val="20"/>
                <w:szCs w:val="20"/>
              </w:rPr>
              <w:t>)</w:t>
            </w:r>
          </w:p>
        </w:tc>
        <w:tc>
          <w:tcPr>
            <w:tcW w:w="7513" w:type="dxa"/>
          </w:tcPr>
          <w:p w14:paraId="0C7AF007" w14:textId="77777777" w:rsidR="00036FAE" w:rsidRDefault="00036FAE" w:rsidP="00E628B6">
            <w:pPr>
              <w:rPr>
                <w:rFonts w:asciiTheme="minorHAnsi" w:hAnsiTheme="minorHAnsi" w:cstheme="minorHAnsi"/>
                <w:b/>
                <w:bCs/>
                <w:i/>
                <w:iCs/>
                <w:sz w:val="20"/>
                <w:szCs w:val="20"/>
              </w:rPr>
            </w:pPr>
            <w:r w:rsidRPr="00762402">
              <w:rPr>
                <w:rFonts w:asciiTheme="minorHAnsi" w:hAnsiTheme="minorHAnsi" w:cstheme="minorHAnsi"/>
                <w:b/>
                <w:bCs/>
                <w:i/>
                <w:iCs/>
                <w:sz w:val="20"/>
                <w:szCs w:val="20"/>
              </w:rPr>
              <w:t>Grant</w:t>
            </w:r>
            <w:r>
              <w:rPr>
                <w:rFonts w:asciiTheme="minorHAnsi" w:hAnsiTheme="minorHAnsi" w:cstheme="minorHAnsi"/>
                <w:b/>
                <w:bCs/>
                <w:i/>
                <w:iCs/>
                <w:sz w:val="20"/>
                <w:szCs w:val="20"/>
              </w:rPr>
              <w:t xml:space="preserve">, Renewal, Surrender, Expiry, Cancellation  </w:t>
            </w:r>
          </w:p>
          <w:p w14:paraId="635701ED" w14:textId="77777777"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sz w:val="20"/>
                <w:szCs w:val="20"/>
              </w:rPr>
              <w:t>General overview of process:</w:t>
            </w:r>
          </w:p>
          <w:p w14:paraId="1BF1C295" w14:textId="27CE105F" w:rsidR="00036FAE" w:rsidRPr="00762402" w:rsidRDefault="0091481D"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r</w:t>
            </w:r>
            <w:r w:rsidR="00036FAE" w:rsidRPr="00762402">
              <w:rPr>
                <w:rFonts w:asciiTheme="minorHAnsi" w:hAnsiTheme="minorHAnsi" w:cstheme="minorHAnsi"/>
                <w:sz w:val="20"/>
                <w:szCs w:val="20"/>
              </w:rPr>
              <w:t xml:space="preserve">eceipt of application </w:t>
            </w:r>
          </w:p>
          <w:p w14:paraId="24C28DAC" w14:textId="5CD83974" w:rsidR="00036FAE" w:rsidRDefault="00036FAE" w:rsidP="00A174D5">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assessment of application </w:t>
            </w:r>
            <w:r w:rsidR="0091481D">
              <w:rPr>
                <w:rFonts w:asciiTheme="minorHAnsi" w:hAnsiTheme="minorHAnsi" w:cstheme="minorHAnsi"/>
                <w:sz w:val="20"/>
                <w:szCs w:val="20"/>
              </w:rPr>
              <w:t>(including any procedural fairness requirements)</w:t>
            </w:r>
          </w:p>
          <w:p w14:paraId="42C2963D" w14:textId="1100D017" w:rsidR="0091481D" w:rsidRPr="00762402" w:rsidRDefault="0091481D"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consultation with NOPSEMA (</w:t>
            </w:r>
            <w:r w:rsidR="00147957">
              <w:rPr>
                <w:rFonts w:asciiTheme="minorHAnsi" w:hAnsiTheme="minorHAnsi" w:cstheme="minorHAnsi"/>
                <w:sz w:val="20"/>
                <w:szCs w:val="20"/>
              </w:rPr>
              <w:t>where applicable</w:t>
            </w:r>
            <w:r>
              <w:rPr>
                <w:rFonts w:asciiTheme="minorHAnsi" w:hAnsiTheme="minorHAnsi" w:cstheme="minorHAnsi"/>
                <w:sz w:val="20"/>
                <w:szCs w:val="20"/>
              </w:rPr>
              <w:t xml:space="preserve">) </w:t>
            </w:r>
          </w:p>
          <w:p w14:paraId="56C1B428" w14:textId="6E20F7F2"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implement </w:t>
            </w:r>
            <w:r w:rsidR="0055720B">
              <w:rPr>
                <w:rFonts w:asciiTheme="minorHAnsi" w:hAnsiTheme="minorHAnsi" w:cstheme="minorHAnsi"/>
                <w:sz w:val="20"/>
                <w:szCs w:val="20"/>
              </w:rPr>
              <w:t xml:space="preserve">the </w:t>
            </w:r>
            <w:r w:rsidRPr="00762402">
              <w:rPr>
                <w:rFonts w:asciiTheme="minorHAnsi" w:hAnsiTheme="minorHAnsi" w:cstheme="minorHAnsi"/>
                <w:sz w:val="20"/>
                <w:szCs w:val="20"/>
              </w:rPr>
              <w:t xml:space="preserve">decision </w:t>
            </w:r>
          </w:p>
          <w:p w14:paraId="602956F8" w14:textId="4EB30B3B"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dissemination of information </w:t>
            </w:r>
          </w:p>
          <w:p w14:paraId="2CFA4C46" w14:textId="354385D1" w:rsidR="00036FAE" w:rsidRDefault="00036FAE" w:rsidP="00A174D5">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maintain the title register </w:t>
            </w:r>
            <w:r w:rsidR="0025229D">
              <w:rPr>
                <w:rFonts w:asciiTheme="minorHAnsi" w:hAnsiTheme="minorHAnsi" w:cstheme="minorHAnsi"/>
                <w:sz w:val="20"/>
                <w:szCs w:val="20"/>
              </w:rPr>
              <w:t>(Chapter 4)</w:t>
            </w:r>
          </w:p>
          <w:p w14:paraId="194CEDA7" w14:textId="38024B8B"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gazettal of event</w:t>
            </w:r>
            <w:r w:rsidR="0091481D">
              <w:rPr>
                <w:rFonts w:asciiTheme="minorHAnsi" w:hAnsiTheme="minorHAnsi" w:cstheme="minorHAnsi"/>
                <w:sz w:val="20"/>
                <w:szCs w:val="20"/>
              </w:rPr>
              <w:t xml:space="preserve"> (where applicable</w:t>
            </w:r>
            <w:r w:rsidR="00216413">
              <w:rPr>
                <w:rFonts w:asciiTheme="minorHAnsi" w:hAnsiTheme="minorHAnsi" w:cstheme="minorHAnsi"/>
                <w:sz w:val="20"/>
                <w:szCs w:val="20"/>
              </w:rPr>
              <w:t xml:space="preserve"> – Chapter 7</w:t>
            </w:r>
            <w:r w:rsidR="0091481D">
              <w:rPr>
                <w:rFonts w:asciiTheme="minorHAnsi" w:hAnsiTheme="minorHAnsi" w:cstheme="minorHAnsi"/>
                <w:sz w:val="20"/>
                <w:szCs w:val="20"/>
              </w:rPr>
              <w:t>)</w:t>
            </w:r>
          </w:p>
          <w:p w14:paraId="3745D970" w14:textId="45C2C6D3"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ongoing assessment of compliance with</w:t>
            </w:r>
            <w:r w:rsidR="00216413">
              <w:rPr>
                <w:rFonts w:asciiTheme="minorHAnsi" w:hAnsiTheme="minorHAnsi" w:cstheme="minorHAnsi"/>
                <w:sz w:val="20"/>
                <w:szCs w:val="20"/>
              </w:rPr>
              <w:t xml:space="preserve"> the legislation including,</w:t>
            </w:r>
            <w:r w:rsidRPr="00762402">
              <w:rPr>
                <w:rFonts w:asciiTheme="minorHAnsi" w:hAnsiTheme="minorHAnsi" w:cstheme="minorHAnsi"/>
                <w:sz w:val="20"/>
                <w:szCs w:val="20"/>
              </w:rPr>
              <w:t xml:space="preserve"> any conditions </w:t>
            </w:r>
            <w:r w:rsidR="00BE78BA">
              <w:rPr>
                <w:rFonts w:asciiTheme="minorHAnsi" w:hAnsiTheme="minorHAnsi" w:cstheme="minorHAnsi"/>
                <w:sz w:val="20"/>
                <w:szCs w:val="20"/>
              </w:rPr>
              <w:t xml:space="preserve">and expectations </w:t>
            </w:r>
            <w:r w:rsidRPr="00762402">
              <w:rPr>
                <w:rFonts w:asciiTheme="minorHAnsi" w:hAnsiTheme="minorHAnsi" w:cstheme="minorHAnsi"/>
                <w:sz w:val="20"/>
                <w:szCs w:val="20"/>
              </w:rPr>
              <w:t>of the title</w:t>
            </w:r>
            <w:r w:rsidR="00216413">
              <w:rPr>
                <w:rFonts w:asciiTheme="minorHAnsi" w:hAnsiTheme="minorHAnsi" w:cstheme="minorHAnsi"/>
                <w:sz w:val="20"/>
                <w:szCs w:val="20"/>
              </w:rPr>
              <w:t xml:space="preserve"> (where applicable)</w:t>
            </w:r>
            <w:r w:rsidRPr="00762402">
              <w:rPr>
                <w:rFonts w:asciiTheme="minorHAnsi" w:hAnsiTheme="minorHAnsi" w:cstheme="minorHAnsi"/>
                <w:sz w:val="20"/>
                <w:szCs w:val="20"/>
              </w:rPr>
              <w:t xml:space="preserve"> </w:t>
            </w:r>
          </w:p>
          <w:p w14:paraId="0DB37941" w14:textId="2F8798D9"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data management</w:t>
            </w:r>
            <w:r w:rsidR="0055720B">
              <w:rPr>
                <w:rFonts w:asciiTheme="minorHAnsi" w:hAnsiTheme="minorHAnsi" w:cstheme="minorHAnsi"/>
                <w:sz w:val="20"/>
                <w:szCs w:val="20"/>
              </w:rPr>
              <w:t xml:space="preserve"> and reporting </w:t>
            </w:r>
          </w:p>
          <w:p w14:paraId="393F64BE" w14:textId="77777777"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develop/maintain guidance material for applicants </w:t>
            </w:r>
          </w:p>
        </w:tc>
        <w:tc>
          <w:tcPr>
            <w:tcW w:w="3119" w:type="dxa"/>
          </w:tcPr>
          <w:p w14:paraId="5008945B" w14:textId="3F1DAA00" w:rsidR="00036FAE" w:rsidRPr="00762402" w:rsidRDefault="00216413"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For initial applications e</w:t>
            </w:r>
            <w:r w:rsidR="00036FAE">
              <w:rPr>
                <w:rFonts w:asciiTheme="minorHAnsi" w:hAnsiTheme="minorHAnsi" w:cstheme="minorHAnsi"/>
                <w:sz w:val="20"/>
                <w:szCs w:val="20"/>
              </w:rPr>
              <w:t>xtended decision-making criteria (</w:t>
            </w:r>
            <w:r>
              <w:rPr>
                <w:rFonts w:asciiTheme="minorHAnsi" w:hAnsiTheme="minorHAnsi" w:cstheme="minorHAnsi"/>
                <w:sz w:val="20"/>
                <w:szCs w:val="20"/>
              </w:rPr>
              <w:t>Chapter 6</w:t>
            </w:r>
            <w:r w:rsidR="00036FAE">
              <w:rPr>
                <w:rFonts w:asciiTheme="minorHAnsi" w:hAnsiTheme="minorHAnsi" w:cstheme="minorHAnsi"/>
                <w:sz w:val="20"/>
                <w:szCs w:val="20"/>
              </w:rPr>
              <w:t>, section 695YB)</w:t>
            </w:r>
            <w:r w:rsidR="00036FAE" w:rsidRPr="00762402">
              <w:rPr>
                <w:rFonts w:asciiTheme="minorHAnsi" w:hAnsiTheme="minorHAnsi" w:cstheme="minorHAnsi"/>
                <w:sz w:val="20"/>
                <w:szCs w:val="20"/>
              </w:rPr>
              <w:t xml:space="preserve">. </w:t>
            </w:r>
          </w:p>
          <w:p w14:paraId="74303DE6" w14:textId="064A90D9"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w:t>
            </w:r>
            <w:r w:rsidRPr="00762402">
              <w:rPr>
                <w:rFonts w:asciiTheme="minorHAnsi" w:hAnsiTheme="minorHAnsi" w:cstheme="minorHAnsi"/>
                <w:sz w:val="20"/>
                <w:szCs w:val="20"/>
              </w:rPr>
              <w:t xml:space="preserve">ssessment </w:t>
            </w:r>
            <w:r>
              <w:rPr>
                <w:rFonts w:asciiTheme="minorHAnsi" w:hAnsiTheme="minorHAnsi" w:cstheme="minorHAnsi"/>
                <w:sz w:val="20"/>
                <w:szCs w:val="20"/>
              </w:rPr>
              <w:t>of the f</w:t>
            </w:r>
            <w:r w:rsidRPr="00762402">
              <w:rPr>
                <w:rFonts w:asciiTheme="minorHAnsi" w:hAnsiTheme="minorHAnsi" w:cstheme="minorHAnsi"/>
                <w:sz w:val="20"/>
                <w:szCs w:val="20"/>
              </w:rPr>
              <w:t xml:space="preserve">inancial </w:t>
            </w:r>
            <w:r>
              <w:rPr>
                <w:rFonts w:asciiTheme="minorHAnsi" w:hAnsiTheme="minorHAnsi" w:cstheme="minorHAnsi"/>
                <w:sz w:val="20"/>
                <w:szCs w:val="20"/>
              </w:rPr>
              <w:t xml:space="preserve">resources </w:t>
            </w:r>
            <w:r w:rsidRPr="00762402">
              <w:rPr>
                <w:rFonts w:asciiTheme="minorHAnsi" w:hAnsiTheme="minorHAnsi" w:cstheme="minorHAnsi"/>
                <w:sz w:val="20"/>
                <w:szCs w:val="20"/>
              </w:rPr>
              <w:t xml:space="preserve">and technical </w:t>
            </w:r>
            <w:r>
              <w:rPr>
                <w:rFonts w:asciiTheme="minorHAnsi" w:hAnsiTheme="minorHAnsi" w:cstheme="minorHAnsi"/>
                <w:sz w:val="20"/>
                <w:szCs w:val="20"/>
              </w:rPr>
              <w:t>advice available to the applicant</w:t>
            </w:r>
            <w:r w:rsidR="00216413">
              <w:rPr>
                <w:rFonts w:asciiTheme="minorHAnsi" w:hAnsiTheme="minorHAnsi" w:cstheme="minorHAnsi"/>
                <w:sz w:val="20"/>
                <w:szCs w:val="20"/>
              </w:rPr>
              <w:t>, where applicable.</w:t>
            </w:r>
            <w:r w:rsidRPr="00762402">
              <w:rPr>
                <w:rFonts w:asciiTheme="minorHAnsi" w:hAnsiTheme="minorHAnsi" w:cstheme="minorHAnsi"/>
                <w:sz w:val="20"/>
                <w:szCs w:val="20"/>
              </w:rPr>
              <w:t xml:space="preserve"> </w:t>
            </w:r>
          </w:p>
          <w:p w14:paraId="79C38E65" w14:textId="77777777" w:rsidR="00036FAE" w:rsidRPr="00762402" w:rsidRDefault="00036FAE" w:rsidP="00E628B6">
            <w:pPr>
              <w:rPr>
                <w:rFonts w:asciiTheme="minorHAnsi" w:hAnsiTheme="minorHAnsi" w:cstheme="minorHAnsi"/>
                <w:sz w:val="20"/>
                <w:szCs w:val="20"/>
              </w:rPr>
            </w:pPr>
          </w:p>
        </w:tc>
      </w:tr>
      <w:tr w:rsidR="00036FAE" w:rsidRPr="00762402" w14:paraId="6A025EB5" w14:textId="77777777" w:rsidTr="007D5786">
        <w:tc>
          <w:tcPr>
            <w:tcW w:w="809" w:type="dxa"/>
          </w:tcPr>
          <w:p w14:paraId="0F7D67CD" w14:textId="77777777" w:rsidR="00036FAE" w:rsidRPr="00762402" w:rsidRDefault="00036FAE" w:rsidP="007D5786">
            <w:pPr>
              <w:jc w:val="center"/>
              <w:rPr>
                <w:rFonts w:asciiTheme="minorHAnsi" w:hAnsiTheme="minorHAnsi" w:cstheme="minorHAnsi"/>
                <w:b/>
                <w:bCs/>
                <w:sz w:val="20"/>
                <w:szCs w:val="20"/>
              </w:rPr>
            </w:pPr>
            <w:r w:rsidRPr="00762402">
              <w:rPr>
                <w:rFonts w:asciiTheme="minorHAnsi" w:hAnsiTheme="minorHAnsi" w:cstheme="minorHAnsi"/>
                <w:b/>
                <w:bCs/>
                <w:sz w:val="20"/>
                <w:szCs w:val="20"/>
              </w:rPr>
              <w:t>3</w:t>
            </w:r>
          </w:p>
        </w:tc>
        <w:tc>
          <w:tcPr>
            <w:tcW w:w="2593" w:type="dxa"/>
          </w:tcPr>
          <w:p w14:paraId="5903E15D" w14:textId="77777777"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b/>
                <w:bCs/>
                <w:sz w:val="20"/>
                <w:szCs w:val="20"/>
              </w:rPr>
              <w:t>Suspension and extension; variation; exemption</w:t>
            </w:r>
            <w:r w:rsidRPr="00762402">
              <w:rPr>
                <w:rFonts w:asciiTheme="minorHAnsi" w:hAnsiTheme="minorHAnsi" w:cstheme="minorHAnsi"/>
                <w:sz w:val="20"/>
                <w:szCs w:val="20"/>
              </w:rPr>
              <w:t>:</w:t>
            </w:r>
          </w:p>
          <w:p w14:paraId="04E987FA" w14:textId="700F9BE9"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sz w:val="20"/>
                <w:szCs w:val="20"/>
              </w:rPr>
              <w:t>(</w:t>
            </w:r>
            <w:r w:rsidR="00216413">
              <w:rPr>
                <w:rFonts w:asciiTheme="minorHAnsi" w:hAnsiTheme="minorHAnsi" w:cstheme="minorHAnsi"/>
                <w:sz w:val="20"/>
                <w:szCs w:val="20"/>
              </w:rPr>
              <w:t>Chapter 2 and 3</w:t>
            </w:r>
            <w:r w:rsidRPr="00762402">
              <w:rPr>
                <w:rFonts w:asciiTheme="minorHAnsi" w:hAnsiTheme="minorHAnsi" w:cstheme="minorHAnsi"/>
                <w:sz w:val="20"/>
                <w:szCs w:val="20"/>
              </w:rPr>
              <w:t>)</w:t>
            </w:r>
          </w:p>
        </w:tc>
        <w:tc>
          <w:tcPr>
            <w:tcW w:w="7513" w:type="dxa"/>
          </w:tcPr>
          <w:p w14:paraId="3121DD18" w14:textId="3ED30DA6" w:rsidR="00216413" w:rsidRDefault="00216413" w:rsidP="00E628B6">
            <w:pPr>
              <w:rPr>
                <w:rFonts w:asciiTheme="minorHAnsi" w:hAnsiTheme="minorHAnsi" w:cstheme="minorHAnsi"/>
                <w:b/>
                <w:bCs/>
                <w:i/>
                <w:iCs/>
                <w:sz w:val="20"/>
                <w:szCs w:val="20"/>
              </w:rPr>
            </w:pPr>
            <w:r>
              <w:rPr>
                <w:rFonts w:asciiTheme="minorHAnsi" w:hAnsiTheme="minorHAnsi" w:cstheme="minorHAnsi"/>
                <w:b/>
                <w:bCs/>
                <w:i/>
                <w:iCs/>
                <w:sz w:val="20"/>
                <w:szCs w:val="20"/>
              </w:rPr>
              <w:t xml:space="preserve">Petroleum - </w:t>
            </w:r>
            <w:r w:rsidR="004C2294">
              <w:rPr>
                <w:rFonts w:asciiTheme="minorHAnsi" w:hAnsiTheme="minorHAnsi" w:cstheme="minorHAnsi"/>
                <w:b/>
                <w:bCs/>
                <w:i/>
                <w:iCs/>
                <w:sz w:val="20"/>
                <w:szCs w:val="20"/>
              </w:rPr>
              <w:t>EP, RL, PL</w:t>
            </w:r>
          </w:p>
          <w:p w14:paraId="77990073" w14:textId="21423312" w:rsidR="00216413" w:rsidRDefault="00216413" w:rsidP="00E628B6">
            <w:pPr>
              <w:rPr>
                <w:rFonts w:asciiTheme="minorHAnsi" w:hAnsiTheme="minorHAnsi" w:cstheme="minorHAnsi"/>
                <w:b/>
                <w:bCs/>
                <w:i/>
                <w:iCs/>
                <w:sz w:val="20"/>
                <w:szCs w:val="20"/>
              </w:rPr>
            </w:pPr>
            <w:r>
              <w:rPr>
                <w:rFonts w:asciiTheme="minorHAnsi" w:hAnsiTheme="minorHAnsi" w:cstheme="minorHAnsi"/>
                <w:b/>
                <w:bCs/>
                <w:i/>
                <w:iCs/>
                <w:sz w:val="20"/>
                <w:szCs w:val="20"/>
              </w:rPr>
              <w:t xml:space="preserve">GHG – Assessment Permit, Holding Lease, Injection Licence </w:t>
            </w:r>
          </w:p>
          <w:p w14:paraId="0E123779" w14:textId="680D4B7C" w:rsidR="00036FAE" w:rsidRPr="00762402" w:rsidRDefault="004C2294" w:rsidP="00E628B6">
            <w:pPr>
              <w:rPr>
                <w:rFonts w:asciiTheme="minorHAnsi" w:hAnsiTheme="minorHAnsi" w:cstheme="minorHAnsi"/>
                <w:b/>
                <w:bCs/>
                <w:i/>
                <w:iCs/>
                <w:sz w:val="20"/>
                <w:szCs w:val="20"/>
              </w:rPr>
            </w:pPr>
            <w:r>
              <w:rPr>
                <w:rFonts w:asciiTheme="minorHAnsi" w:hAnsiTheme="minorHAnsi" w:cstheme="minorHAnsi"/>
                <w:b/>
                <w:bCs/>
                <w:i/>
                <w:iCs/>
                <w:sz w:val="20"/>
                <w:szCs w:val="20"/>
              </w:rPr>
              <w:t xml:space="preserve"> </w:t>
            </w:r>
            <w:r w:rsidR="00216413">
              <w:rPr>
                <w:rFonts w:asciiTheme="minorHAnsi" w:hAnsiTheme="minorHAnsi" w:cstheme="minorHAnsi"/>
                <w:b/>
                <w:bCs/>
                <w:i/>
                <w:iCs/>
                <w:sz w:val="20"/>
                <w:szCs w:val="20"/>
              </w:rPr>
              <w:t xml:space="preserve">Both - </w:t>
            </w:r>
            <w:r>
              <w:rPr>
                <w:rFonts w:asciiTheme="minorHAnsi" w:hAnsiTheme="minorHAnsi" w:cstheme="minorHAnsi"/>
                <w:b/>
                <w:bCs/>
                <w:i/>
                <w:iCs/>
                <w:sz w:val="20"/>
                <w:szCs w:val="20"/>
              </w:rPr>
              <w:t>IL, Pipeline Licence</w:t>
            </w:r>
          </w:p>
          <w:p w14:paraId="425B9E28" w14:textId="4F667BA3" w:rsidR="00036FAE" w:rsidRPr="00762402" w:rsidRDefault="00216413" w:rsidP="00036FAE">
            <w:pPr>
              <w:rPr>
                <w:rFonts w:asciiTheme="minorHAnsi" w:hAnsiTheme="minorHAnsi" w:cstheme="minorHAnsi"/>
                <w:sz w:val="20"/>
                <w:szCs w:val="20"/>
              </w:rPr>
            </w:pPr>
            <w:r>
              <w:rPr>
                <w:rFonts w:asciiTheme="minorHAnsi" w:hAnsiTheme="minorHAnsi" w:cstheme="minorHAnsi"/>
                <w:sz w:val="20"/>
                <w:szCs w:val="20"/>
              </w:rPr>
              <w:t>See item 2 for g</w:t>
            </w:r>
            <w:r w:rsidR="00036FAE" w:rsidRPr="00762402">
              <w:rPr>
                <w:rFonts w:asciiTheme="minorHAnsi" w:hAnsiTheme="minorHAnsi" w:cstheme="minorHAnsi"/>
                <w:sz w:val="20"/>
                <w:szCs w:val="20"/>
              </w:rPr>
              <w:t>eneral overview of process</w:t>
            </w:r>
            <w:r>
              <w:rPr>
                <w:rFonts w:asciiTheme="minorHAnsi" w:hAnsiTheme="minorHAnsi" w:cstheme="minorHAnsi"/>
                <w:sz w:val="20"/>
                <w:szCs w:val="20"/>
              </w:rPr>
              <w:t>.</w:t>
            </w:r>
          </w:p>
          <w:p w14:paraId="7FE94625" w14:textId="5AA350A7" w:rsidR="00036FAE" w:rsidRPr="00146A13" w:rsidRDefault="00036FAE" w:rsidP="00146A13">
            <w:pPr>
              <w:rPr>
                <w:rFonts w:asciiTheme="minorHAnsi" w:hAnsiTheme="minorHAnsi" w:cstheme="minorHAnsi"/>
                <w:sz w:val="20"/>
                <w:szCs w:val="20"/>
              </w:rPr>
            </w:pPr>
          </w:p>
        </w:tc>
        <w:tc>
          <w:tcPr>
            <w:tcW w:w="3119" w:type="dxa"/>
          </w:tcPr>
          <w:p w14:paraId="3334F72C" w14:textId="77777777" w:rsidR="00036FAE" w:rsidRPr="00DF461B" w:rsidRDefault="00036FAE"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w:t>
            </w:r>
            <w:r w:rsidRPr="00762402">
              <w:rPr>
                <w:rFonts w:asciiTheme="minorHAnsi" w:hAnsiTheme="minorHAnsi" w:cstheme="minorHAnsi"/>
                <w:sz w:val="20"/>
                <w:szCs w:val="20"/>
              </w:rPr>
              <w:t xml:space="preserve">ssessment </w:t>
            </w:r>
            <w:r>
              <w:rPr>
                <w:rFonts w:asciiTheme="minorHAnsi" w:hAnsiTheme="minorHAnsi" w:cstheme="minorHAnsi"/>
                <w:sz w:val="20"/>
                <w:szCs w:val="20"/>
              </w:rPr>
              <w:t>of the f</w:t>
            </w:r>
            <w:r w:rsidRPr="00762402">
              <w:rPr>
                <w:rFonts w:asciiTheme="minorHAnsi" w:hAnsiTheme="minorHAnsi" w:cstheme="minorHAnsi"/>
                <w:sz w:val="20"/>
                <w:szCs w:val="20"/>
              </w:rPr>
              <w:t xml:space="preserve">inancial </w:t>
            </w:r>
            <w:r>
              <w:rPr>
                <w:rFonts w:asciiTheme="minorHAnsi" w:hAnsiTheme="minorHAnsi" w:cstheme="minorHAnsi"/>
                <w:sz w:val="20"/>
                <w:szCs w:val="20"/>
              </w:rPr>
              <w:t xml:space="preserve">resources </w:t>
            </w:r>
            <w:r w:rsidRPr="00762402">
              <w:rPr>
                <w:rFonts w:asciiTheme="minorHAnsi" w:hAnsiTheme="minorHAnsi" w:cstheme="minorHAnsi"/>
                <w:sz w:val="20"/>
                <w:szCs w:val="20"/>
              </w:rPr>
              <w:t xml:space="preserve">and technical </w:t>
            </w:r>
            <w:r>
              <w:rPr>
                <w:rFonts w:asciiTheme="minorHAnsi" w:hAnsiTheme="minorHAnsi" w:cstheme="minorHAnsi"/>
                <w:sz w:val="20"/>
                <w:szCs w:val="20"/>
              </w:rPr>
              <w:t>advice available to the applicant</w:t>
            </w:r>
            <w:r w:rsidRPr="00762402">
              <w:rPr>
                <w:rFonts w:asciiTheme="minorHAnsi" w:hAnsiTheme="minorHAnsi" w:cstheme="minorHAnsi"/>
                <w:sz w:val="20"/>
                <w:szCs w:val="20"/>
              </w:rPr>
              <w:t xml:space="preserve"> </w:t>
            </w:r>
            <w:r w:rsidRPr="00DF461B">
              <w:rPr>
                <w:rFonts w:asciiTheme="minorHAnsi" w:hAnsiTheme="minorHAnsi" w:cstheme="minorHAnsi"/>
                <w:sz w:val="20"/>
                <w:szCs w:val="20"/>
              </w:rPr>
              <w:t>(as required).</w:t>
            </w:r>
          </w:p>
          <w:p w14:paraId="11FB2509" w14:textId="77777777" w:rsidR="00036FAE" w:rsidRPr="00762402" w:rsidRDefault="00036FAE" w:rsidP="00E628B6">
            <w:pPr>
              <w:pStyle w:val="ListParagraph"/>
              <w:ind w:left="337"/>
              <w:rPr>
                <w:rFonts w:asciiTheme="minorHAnsi" w:hAnsiTheme="minorHAnsi" w:cstheme="minorHAnsi"/>
                <w:sz w:val="20"/>
                <w:szCs w:val="20"/>
              </w:rPr>
            </w:pPr>
          </w:p>
          <w:p w14:paraId="6AC879C6" w14:textId="77777777" w:rsidR="00036FAE" w:rsidRPr="00762402" w:rsidRDefault="00036FAE" w:rsidP="00E628B6">
            <w:pPr>
              <w:pStyle w:val="ListParagraph"/>
              <w:ind w:left="337"/>
              <w:rPr>
                <w:rFonts w:asciiTheme="minorHAnsi" w:hAnsiTheme="minorHAnsi" w:cstheme="minorHAnsi"/>
                <w:sz w:val="20"/>
                <w:szCs w:val="20"/>
              </w:rPr>
            </w:pPr>
          </w:p>
          <w:p w14:paraId="27F480EA" w14:textId="77777777" w:rsidR="00036FAE" w:rsidRPr="00762402" w:rsidRDefault="00036FAE" w:rsidP="00E628B6">
            <w:pPr>
              <w:rPr>
                <w:rFonts w:asciiTheme="minorHAnsi" w:hAnsiTheme="minorHAnsi" w:cstheme="minorHAnsi"/>
                <w:sz w:val="20"/>
                <w:szCs w:val="20"/>
              </w:rPr>
            </w:pPr>
          </w:p>
        </w:tc>
      </w:tr>
      <w:tr w:rsidR="00036FAE" w:rsidRPr="00762402" w14:paraId="583501CF" w14:textId="77777777" w:rsidTr="007D5786">
        <w:tc>
          <w:tcPr>
            <w:tcW w:w="809" w:type="dxa"/>
          </w:tcPr>
          <w:p w14:paraId="77F82D74" w14:textId="77777777" w:rsidR="00036FAE" w:rsidRPr="00762402" w:rsidRDefault="00036FAE" w:rsidP="007D5786">
            <w:pPr>
              <w:jc w:val="center"/>
              <w:rPr>
                <w:rFonts w:asciiTheme="minorHAnsi" w:hAnsiTheme="minorHAnsi" w:cstheme="minorHAnsi"/>
                <w:b/>
                <w:sz w:val="20"/>
                <w:szCs w:val="20"/>
              </w:rPr>
            </w:pPr>
            <w:r w:rsidRPr="00762402">
              <w:rPr>
                <w:rFonts w:asciiTheme="minorHAnsi" w:hAnsiTheme="minorHAnsi" w:cstheme="minorHAnsi"/>
                <w:b/>
                <w:sz w:val="20"/>
                <w:szCs w:val="20"/>
              </w:rPr>
              <w:t>4</w:t>
            </w:r>
          </w:p>
        </w:tc>
        <w:tc>
          <w:tcPr>
            <w:tcW w:w="2593" w:type="dxa"/>
          </w:tcPr>
          <w:p w14:paraId="06F4A3F8" w14:textId="77777777"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b/>
                <w:sz w:val="20"/>
                <w:szCs w:val="20"/>
              </w:rPr>
              <w:t>Declaration of a Location</w:t>
            </w:r>
            <w:r w:rsidRPr="00762402">
              <w:rPr>
                <w:rFonts w:asciiTheme="minorHAnsi" w:hAnsiTheme="minorHAnsi" w:cstheme="minorHAnsi"/>
                <w:sz w:val="20"/>
                <w:szCs w:val="20"/>
              </w:rPr>
              <w:t>:</w:t>
            </w:r>
          </w:p>
          <w:p w14:paraId="72431910" w14:textId="37E5DB17"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sz w:val="20"/>
                <w:szCs w:val="20"/>
              </w:rPr>
              <w:t>(</w:t>
            </w:r>
            <w:r w:rsidR="00216413">
              <w:rPr>
                <w:rFonts w:asciiTheme="minorHAnsi" w:hAnsiTheme="minorHAnsi" w:cstheme="minorHAnsi"/>
                <w:sz w:val="20"/>
                <w:szCs w:val="20"/>
              </w:rPr>
              <w:t>Chapter 2</w:t>
            </w:r>
            <w:r w:rsidRPr="00762402">
              <w:rPr>
                <w:rFonts w:asciiTheme="minorHAnsi" w:hAnsiTheme="minorHAnsi" w:cstheme="minorHAnsi"/>
                <w:sz w:val="20"/>
                <w:szCs w:val="20"/>
              </w:rPr>
              <w:t>)</w:t>
            </w:r>
          </w:p>
        </w:tc>
        <w:tc>
          <w:tcPr>
            <w:tcW w:w="7513" w:type="dxa"/>
          </w:tcPr>
          <w:p w14:paraId="13256EF4" w14:textId="77777777" w:rsidR="00036FAE" w:rsidRPr="00762402" w:rsidRDefault="00036FAE" w:rsidP="00E628B6">
            <w:pPr>
              <w:rPr>
                <w:rFonts w:asciiTheme="minorHAnsi" w:hAnsiTheme="minorHAnsi" w:cstheme="minorHAnsi"/>
                <w:b/>
                <w:bCs/>
                <w:i/>
                <w:iCs/>
                <w:sz w:val="20"/>
                <w:szCs w:val="20"/>
              </w:rPr>
            </w:pPr>
            <w:r>
              <w:rPr>
                <w:rFonts w:asciiTheme="minorHAnsi" w:hAnsiTheme="minorHAnsi" w:cstheme="minorHAnsi"/>
                <w:b/>
                <w:bCs/>
                <w:i/>
                <w:iCs/>
                <w:sz w:val="20"/>
                <w:szCs w:val="20"/>
              </w:rPr>
              <w:t>Declare, Variation and Revocation</w:t>
            </w:r>
          </w:p>
          <w:p w14:paraId="2210624E" w14:textId="0D6308BB" w:rsidR="00216413" w:rsidRPr="00762402" w:rsidRDefault="00216413" w:rsidP="00E628B6">
            <w:pPr>
              <w:rPr>
                <w:rFonts w:asciiTheme="minorHAnsi" w:hAnsiTheme="minorHAnsi" w:cstheme="minorHAnsi"/>
                <w:sz w:val="20"/>
                <w:szCs w:val="20"/>
              </w:rPr>
            </w:pPr>
            <w:r>
              <w:rPr>
                <w:rFonts w:asciiTheme="minorHAnsi" w:hAnsiTheme="minorHAnsi" w:cstheme="minorHAnsi"/>
                <w:sz w:val="20"/>
                <w:szCs w:val="20"/>
              </w:rPr>
              <w:t>See item 2 for g</w:t>
            </w:r>
            <w:r w:rsidR="00036FAE" w:rsidRPr="00762402">
              <w:rPr>
                <w:rFonts w:asciiTheme="minorHAnsi" w:hAnsiTheme="minorHAnsi" w:cstheme="minorHAnsi"/>
                <w:sz w:val="20"/>
                <w:szCs w:val="20"/>
              </w:rPr>
              <w:t>eneral overview of process</w:t>
            </w:r>
            <w:r>
              <w:rPr>
                <w:rFonts w:asciiTheme="minorHAnsi" w:hAnsiTheme="minorHAnsi" w:cstheme="minorHAnsi"/>
                <w:sz w:val="20"/>
                <w:szCs w:val="20"/>
              </w:rPr>
              <w:t>.</w:t>
            </w:r>
          </w:p>
          <w:p w14:paraId="0AC5C03B" w14:textId="742920EA" w:rsidR="00036FAE" w:rsidRPr="00762402" w:rsidRDefault="00036FAE" w:rsidP="00146A13">
            <w:pPr>
              <w:rPr>
                <w:rFonts w:asciiTheme="minorHAnsi" w:hAnsiTheme="minorHAnsi" w:cstheme="minorHAnsi"/>
                <w:sz w:val="20"/>
                <w:szCs w:val="20"/>
              </w:rPr>
            </w:pPr>
          </w:p>
        </w:tc>
        <w:tc>
          <w:tcPr>
            <w:tcW w:w="3119" w:type="dxa"/>
          </w:tcPr>
          <w:p w14:paraId="5F6C48E2" w14:textId="77777777" w:rsidR="00036FAE" w:rsidRPr="00762402" w:rsidRDefault="00036FAE" w:rsidP="00E628B6">
            <w:pPr>
              <w:rPr>
                <w:rFonts w:asciiTheme="minorHAnsi" w:hAnsiTheme="minorHAnsi" w:cstheme="minorHAnsi"/>
                <w:sz w:val="20"/>
                <w:szCs w:val="20"/>
              </w:rPr>
            </w:pPr>
          </w:p>
        </w:tc>
      </w:tr>
      <w:tr w:rsidR="00036FAE" w:rsidRPr="00762402" w14:paraId="0946FB56" w14:textId="77777777" w:rsidTr="007D5786">
        <w:tc>
          <w:tcPr>
            <w:tcW w:w="809" w:type="dxa"/>
          </w:tcPr>
          <w:p w14:paraId="049337C5" w14:textId="77777777" w:rsidR="00036FAE" w:rsidRPr="00762402" w:rsidRDefault="00036FAE" w:rsidP="007D5786">
            <w:pPr>
              <w:jc w:val="center"/>
              <w:rPr>
                <w:rFonts w:asciiTheme="minorHAnsi" w:hAnsiTheme="minorHAnsi" w:cstheme="minorHAnsi"/>
                <w:b/>
                <w:bCs/>
                <w:sz w:val="20"/>
                <w:szCs w:val="20"/>
              </w:rPr>
            </w:pPr>
            <w:r w:rsidRPr="00762402">
              <w:rPr>
                <w:rFonts w:asciiTheme="minorHAnsi" w:hAnsiTheme="minorHAnsi" w:cstheme="minorHAnsi"/>
                <w:b/>
                <w:bCs/>
                <w:sz w:val="20"/>
                <w:szCs w:val="20"/>
              </w:rPr>
              <w:t>5</w:t>
            </w:r>
          </w:p>
        </w:tc>
        <w:tc>
          <w:tcPr>
            <w:tcW w:w="2593" w:type="dxa"/>
          </w:tcPr>
          <w:p w14:paraId="1ECF44AE" w14:textId="77777777"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b/>
                <w:bCs/>
                <w:sz w:val="20"/>
                <w:szCs w:val="20"/>
              </w:rPr>
              <w:t>Retention Lease (RL)</w:t>
            </w:r>
            <w:r w:rsidRPr="00762402">
              <w:rPr>
                <w:rFonts w:asciiTheme="minorHAnsi" w:hAnsiTheme="minorHAnsi" w:cstheme="minorHAnsi"/>
                <w:sz w:val="20"/>
                <w:szCs w:val="20"/>
              </w:rPr>
              <w:t>:</w:t>
            </w:r>
          </w:p>
          <w:p w14:paraId="108A7EF6" w14:textId="7E1F66A6"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sz w:val="20"/>
                <w:szCs w:val="20"/>
              </w:rPr>
              <w:t>(</w:t>
            </w:r>
            <w:r w:rsidR="00216413">
              <w:rPr>
                <w:rFonts w:asciiTheme="minorHAnsi" w:hAnsiTheme="minorHAnsi" w:cstheme="minorHAnsi"/>
                <w:sz w:val="20"/>
                <w:szCs w:val="20"/>
              </w:rPr>
              <w:t>Chapter 2</w:t>
            </w:r>
            <w:r w:rsidRPr="00762402">
              <w:rPr>
                <w:rFonts w:asciiTheme="minorHAnsi" w:hAnsiTheme="minorHAnsi" w:cstheme="minorHAnsi"/>
                <w:sz w:val="20"/>
                <w:szCs w:val="20"/>
              </w:rPr>
              <w:t>)</w:t>
            </w:r>
          </w:p>
        </w:tc>
        <w:tc>
          <w:tcPr>
            <w:tcW w:w="7513" w:type="dxa"/>
          </w:tcPr>
          <w:p w14:paraId="2C355C3D" w14:textId="19AD04B8" w:rsidR="00036FAE" w:rsidRPr="00762402" w:rsidRDefault="00036FAE" w:rsidP="00E628B6">
            <w:pPr>
              <w:rPr>
                <w:rFonts w:asciiTheme="minorHAnsi" w:hAnsiTheme="minorHAnsi" w:cstheme="minorHAnsi"/>
                <w:b/>
                <w:bCs/>
                <w:i/>
                <w:iCs/>
                <w:sz w:val="20"/>
                <w:szCs w:val="20"/>
              </w:rPr>
            </w:pPr>
            <w:r w:rsidRPr="00762402">
              <w:rPr>
                <w:rFonts w:asciiTheme="minorHAnsi" w:hAnsiTheme="minorHAnsi" w:cstheme="minorHAnsi"/>
                <w:b/>
                <w:bCs/>
                <w:i/>
                <w:iCs/>
                <w:sz w:val="20"/>
                <w:szCs w:val="20"/>
              </w:rPr>
              <w:t>Grant</w:t>
            </w:r>
            <w:r>
              <w:rPr>
                <w:rFonts w:asciiTheme="minorHAnsi" w:hAnsiTheme="minorHAnsi" w:cstheme="minorHAnsi"/>
                <w:b/>
                <w:bCs/>
                <w:i/>
                <w:iCs/>
                <w:sz w:val="20"/>
                <w:szCs w:val="20"/>
              </w:rPr>
              <w:t>,</w:t>
            </w:r>
            <w:r w:rsidRPr="00762402">
              <w:rPr>
                <w:rFonts w:asciiTheme="minorHAnsi" w:hAnsiTheme="minorHAnsi" w:cstheme="minorHAnsi"/>
                <w:b/>
                <w:bCs/>
                <w:i/>
                <w:iCs/>
                <w:sz w:val="20"/>
                <w:szCs w:val="20"/>
              </w:rPr>
              <w:t xml:space="preserve"> </w:t>
            </w:r>
            <w:r>
              <w:rPr>
                <w:rFonts w:asciiTheme="minorHAnsi" w:hAnsiTheme="minorHAnsi" w:cstheme="minorHAnsi"/>
                <w:b/>
                <w:bCs/>
                <w:i/>
                <w:iCs/>
                <w:sz w:val="20"/>
                <w:szCs w:val="20"/>
              </w:rPr>
              <w:t>R</w:t>
            </w:r>
            <w:r w:rsidRPr="00762402">
              <w:rPr>
                <w:rFonts w:asciiTheme="minorHAnsi" w:hAnsiTheme="minorHAnsi" w:cstheme="minorHAnsi"/>
                <w:b/>
                <w:bCs/>
                <w:i/>
                <w:iCs/>
                <w:sz w:val="20"/>
                <w:szCs w:val="20"/>
              </w:rPr>
              <w:t>enewal</w:t>
            </w:r>
            <w:r>
              <w:rPr>
                <w:rFonts w:asciiTheme="minorHAnsi" w:hAnsiTheme="minorHAnsi" w:cstheme="minorHAnsi"/>
                <w:b/>
                <w:bCs/>
                <w:i/>
                <w:iCs/>
                <w:sz w:val="20"/>
                <w:szCs w:val="20"/>
              </w:rPr>
              <w:t xml:space="preserve">, </w:t>
            </w:r>
            <w:r w:rsidR="0055720B">
              <w:rPr>
                <w:rFonts w:asciiTheme="minorHAnsi" w:hAnsiTheme="minorHAnsi" w:cstheme="minorHAnsi"/>
                <w:b/>
                <w:bCs/>
                <w:i/>
                <w:iCs/>
                <w:sz w:val="20"/>
                <w:szCs w:val="20"/>
              </w:rPr>
              <w:t xml:space="preserve">Revocation, </w:t>
            </w:r>
            <w:r>
              <w:rPr>
                <w:rFonts w:asciiTheme="minorHAnsi" w:hAnsiTheme="minorHAnsi" w:cstheme="minorHAnsi"/>
                <w:b/>
                <w:bCs/>
                <w:i/>
                <w:iCs/>
                <w:sz w:val="20"/>
                <w:szCs w:val="20"/>
              </w:rPr>
              <w:t xml:space="preserve">Surrender, Expiry, Cancellation </w:t>
            </w:r>
            <w:r w:rsidRPr="00762402">
              <w:rPr>
                <w:rFonts w:asciiTheme="minorHAnsi" w:hAnsiTheme="minorHAnsi" w:cstheme="minorHAnsi"/>
                <w:b/>
                <w:bCs/>
                <w:i/>
                <w:iCs/>
                <w:sz w:val="20"/>
                <w:szCs w:val="20"/>
              </w:rPr>
              <w:t xml:space="preserve"> </w:t>
            </w:r>
          </w:p>
          <w:p w14:paraId="18151D04" w14:textId="6D70B106" w:rsidR="00036FAE" w:rsidRPr="00762402" w:rsidRDefault="00216413" w:rsidP="00146A13">
            <w:pPr>
              <w:rPr>
                <w:rFonts w:asciiTheme="minorHAnsi" w:hAnsiTheme="minorHAnsi" w:cstheme="minorHAnsi"/>
                <w:sz w:val="20"/>
                <w:szCs w:val="20"/>
              </w:rPr>
            </w:pPr>
            <w:r>
              <w:rPr>
                <w:rFonts w:asciiTheme="minorHAnsi" w:hAnsiTheme="minorHAnsi" w:cstheme="minorHAnsi"/>
                <w:sz w:val="20"/>
                <w:szCs w:val="20"/>
              </w:rPr>
              <w:t>See item 2 for g</w:t>
            </w:r>
            <w:r w:rsidR="00036FAE" w:rsidRPr="00762402">
              <w:rPr>
                <w:rFonts w:asciiTheme="minorHAnsi" w:hAnsiTheme="minorHAnsi" w:cstheme="minorHAnsi"/>
                <w:sz w:val="20"/>
                <w:szCs w:val="20"/>
              </w:rPr>
              <w:t>eneral overview of process</w:t>
            </w:r>
          </w:p>
        </w:tc>
        <w:tc>
          <w:tcPr>
            <w:tcW w:w="3119" w:type="dxa"/>
          </w:tcPr>
          <w:p w14:paraId="0CA1322C" w14:textId="4428E197" w:rsidR="00036FAE" w:rsidRPr="00216413" w:rsidRDefault="00036FAE" w:rsidP="00146A13">
            <w:pPr>
              <w:pStyle w:val="ListParagraph"/>
              <w:numPr>
                <w:ilvl w:val="0"/>
                <w:numId w:val="6"/>
              </w:numPr>
              <w:ind w:left="337" w:hanging="337"/>
              <w:rPr>
                <w:rFonts w:asciiTheme="minorHAnsi" w:hAnsiTheme="minorHAnsi" w:cstheme="minorHAnsi"/>
                <w:sz w:val="20"/>
                <w:szCs w:val="20"/>
              </w:rPr>
            </w:pPr>
            <w:r w:rsidRPr="00216413">
              <w:rPr>
                <w:rFonts w:asciiTheme="minorHAnsi" w:hAnsiTheme="minorHAnsi" w:cstheme="minorHAnsi"/>
                <w:sz w:val="20"/>
                <w:szCs w:val="20"/>
              </w:rPr>
              <w:t xml:space="preserve">Assessment of the financial resources </w:t>
            </w:r>
            <w:r w:rsidRPr="003F7C34">
              <w:rPr>
                <w:rFonts w:asciiTheme="minorHAnsi" w:hAnsiTheme="minorHAnsi" w:cstheme="minorHAnsi"/>
                <w:sz w:val="20"/>
                <w:szCs w:val="20"/>
              </w:rPr>
              <w:t>and technical advice available to the applicant</w:t>
            </w:r>
            <w:r w:rsidR="00243708">
              <w:rPr>
                <w:rFonts w:asciiTheme="minorHAnsi" w:hAnsiTheme="minorHAnsi" w:cstheme="minorHAnsi"/>
                <w:sz w:val="20"/>
                <w:szCs w:val="20"/>
              </w:rPr>
              <w:t>.</w:t>
            </w:r>
            <w:r w:rsidRPr="00216413">
              <w:rPr>
                <w:rFonts w:asciiTheme="minorHAnsi" w:hAnsiTheme="minorHAnsi" w:cstheme="minorHAnsi"/>
                <w:sz w:val="20"/>
                <w:szCs w:val="20"/>
              </w:rPr>
              <w:t xml:space="preserve"> </w:t>
            </w:r>
          </w:p>
          <w:p w14:paraId="1F0E790F" w14:textId="77777777" w:rsidR="00036FAE" w:rsidRPr="00762402" w:rsidRDefault="00036FAE" w:rsidP="00E628B6">
            <w:pPr>
              <w:rPr>
                <w:rFonts w:asciiTheme="minorHAnsi" w:hAnsiTheme="minorHAnsi" w:cstheme="minorHAnsi"/>
                <w:sz w:val="20"/>
                <w:szCs w:val="20"/>
              </w:rPr>
            </w:pPr>
          </w:p>
        </w:tc>
      </w:tr>
      <w:tr w:rsidR="00036FAE" w:rsidRPr="00762402" w14:paraId="12D1C027" w14:textId="77777777" w:rsidTr="007D5786">
        <w:trPr>
          <w:trHeight w:val="756"/>
        </w:trPr>
        <w:tc>
          <w:tcPr>
            <w:tcW w:w="809" w:type="dxa"/>
          </w:tcPr>
          <w:p w14:paraId="0324BF47" w14:textId="77777777" w:rsidR="00036FAE" w:rsidRPr="00762402" w:rsidRDefault="00036FAE" w:rsidP="007D5786">
            <w:pPr>
              <w:jc w:val="center"/>
              <w:rPr>
                <w:rFonts w:asciiTheme="minorHAnsi" w:hAnsiTheme="minorHAnsi" w:cstheme="minorHAnsi"/>
                <w:b/>
                <w:bCs/>
                <w:sz w:val="20"/>
                <w:szCs w:val="20"/>
              </w:rPr>
            </w:pPr>
            <w:r w:rsidRPr="00762402">
              <w:rPr>
                <w:rFonts w:asciiTheme="minorHAnsi" w:hAnsiTheme="minorHAnsi" w:cstheme="minorHAnsi"/>
                <w:b/>
                <w:bCs/>
                <w:sz w:val="20"/>
                <w:szCs w:val="20"/>
              </w:rPr>
              <w:lastRenderedPageBreak/>
              <w:t>6</w:t>
            </w:r>
          </w:p>
        </w:tc>
        <w:tc>
          <w:tcPr>
            <w:tcW w:w="2593" w:type="dxa"/>
          </w:tcPr>
          <w:p w14:paraId="33CAC0A4" w14:textId="77777777"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b/>
                <w:bCs/>
                <w:sz w:val="20"/>
                <w:szCs w:val="20"/>
              </w:rPr>
              <w:t>Production Licence (PL)</w:t>
            </w:r>
            <w:r w:rsidRPr="00762402">
              <w:rPr>
                <w:rFonts w:asciiTheme="minorHAnsi" w:hAnsiTheme="minorHAnsi" w:cstheme="minorHAnsi"/>
                <w:sz w:val="20"/>
                <w:szCs w:val="20"/>
              </w:rPr>
              <w:t>:</w:t>
            </w:r>
          </w:p>
          <w:p w14:paraId="044D0FC0" w14:textId="12A73BAD"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sz w:val="20"/>
                <w:szCs w:val="20"/>
              </w:rPr>
              <w:t>(</w:t>
            </w:r>
            <w:r w:rsidR="00216413">
              <w:rPr>
                <w:rFonts w:asciiTheme="minorHAnsi" w:hAnsiTheme="minorHAnsi" w:cstheme="minorHAnsi"/>
                <w:sz w:val="20"/>
                <w:szCs w:val="20"/>
              </w:rPr>
              <w:t>Chapter 2</w:t>
            </w:r>
            <w:r w:rsidRPr="00762402">
              <w:rPr>
                <w:rFonts w:asciiTheme="minorHAnsi" w:hAnsiTheme="minorHAnsi" w:cstheme="minorHAnsi"/>
                <w:sz w:val="20"/>
                <w:szCs w:val="20"/>
              </w:rPr>
              <w:t>)</w:t>
            </w:r>
          </w:p>
        </w:tc>
        <w:tc>
          <w:tcPr>
            <w:tcW w:w="7513" w:type="dxa"/>
          </w:tcPr>
          <w:p w14:paraId="30E67FC2" w14:textId="5541AEA7" w:rsidR="00216413" w:rsidRDefault="00036FAE" w:rsidP="00E628B6">
            <w:pPr>
              <w:rPr>
                <w:rFonts w:asciiTheme="minorHAnsi" w:hAnsiTheme="minorHAnsi" w:cstheme="minorHAnsi"/>
                <w:b/>
                <w:bCs/>
                <w:i/>
                <w:iCs/>
                <w:sz w:val="20"/>
                <w:szCs w:val="20"/>
              </w:rPr>
            </w:pPr>
            <w:r w:rsidRPr="00762402">
              <w:rPr>
                <w:rFonts w:asciiTheme="minorHAnsi" w:hAnsiTheme="minorHAnsi" w:cstheme="minorHAnsi"/>
                <w:b/>
                <w:bCs/>
                <w:i/>
                <w:iCs/>
                <w:sz w:val="20"/>
                <w:szCs w:val="20"/>
              </w:rPr>
              <w:t>Grant</w:t>
            </w:r>
            <w:r>
              <w:rPr>
                <w:rFonts w:asciiTheme="minorHAnsi" w:hAnsiTheme="minorHAnsi" w:cstheme="minorHAnsi"/>
                <w:b/>
                <w:bCs/>
                <w:i/>
                <w:iCs/>
                <w:sz w:val="20"/>
                <w:szCs w:val="20"/>
              </w:rPr>
              <w:t>,</w:t>
            </w:r>
            <w:r w:rsidRPr="00762402">
              <w:rPr>
                <w:rFonts w:asciiTheme="minorHAnsi" w:hAnsiTheme="minorHAnsi" w:cstheme="minorHAnsi"/>
                <w:b/>
                <w:bCs/>
                <w:i/>
                <w:iCs/>
                <w:sz w:val="20"/>
                <w:szCs w:val="20"/>
              </w:rPr>
              <w:t xml:space="preserve"> </w:t>
            </w:r>
            <w:r>
              <w:rPr>
                <w:rFonts w:asciiTheme="minorHAnsi" w:hAnsiTheme="minorHAnsi" w:cstheme="minorHAnsi"/>
                <w:b/>
                <w:bCs/>
                <w:i/>
                <w:iCs/>
                <w:sz w:val="20"/>
                <w:szCs w:val="20"/>
              </w:rPr>
              <w:t>R</w:t>
            </w:r>
            <w:r w:rsidRPr="00762402">
              <w:rPr>
                <w:rFonts w:asciiTheme="minorHAnsi" w:hAnsiTheme="minorHAnsi" w:cstheme="minorHAnsi"/>
                <w:b/>
                <w:bCs/>
                <w:i/>
                <w:iCs/>
                <w:sz w:val="20"/>
                <w:szCs w:val="20"/>
              </w:rPr>
              <w:t>enewal</w:t>
            </w:r>
            <w:r>
              <w:rPr>
                <w:rFonts w:asciiTheme="minorHAnsi" w:hAnsiTheme="minorHAnsi" w:cstheme="minorHAnsi"/>
                <w:b/>
                <w:bCs/>
                <w:i/>
                <w:iCs/>
                <w:sz w:val="20"/>
                <w:szCs w:val="20"/>
              </w:rPr>
              <w:t>, Surrender, Expiry, Cancellation, Termination</w:t>
            </w:r>
          </w:p>
          <w:p w14:paraId="53D632D4" w14:textId="77777777" w:rsidR="00216413" w:rsidRDefault="00216413" w:rsidP="00E628B6">
            <w:pPr>
              <w:rPr>
                <w:rFonts w:asciiTheme="minorHAnsi" w:hAnsiTheme="minorHAnsi" w:cstheme="minorHAnsi"/>
                <w:b/>
                <w:bCs/>
                <w:i/>
                <w:iCs/>
                <w:sz w:val="20"/>
                <w:szCs w:val="20"/>
              </w:rPr>
            </w:pPr>
          </w:p>
          <w:p w14:paraId="62285D95" w14:textId="36EC5020" w:rsidR="00216413" w:rsidRPr="00762402" w:rsidRDefault="00216413" w:rsidP="00216413">
            <w:pPr>
              <w:rPr>
                <w:rFonts w:asciiTheme="minorHAnsi" w:hAnsiTheme="minorHAnsi" w:cstheme="minorHAnsi"/>
                <w:sz w:val="20"/>
                <w:szCs w:val="20"/>
              </w:rPr>
            </w:pPr>
            <w:r w:rsidRPr="00762402">
              <w:rPr>
                <w:rFonts w:asciiTheme="minorHAnsi" w:hAnsiTheme="minorHAnsi" w:cstheme="minorHAnsi"/>
                <w:b/>
                <w:bCs/>
                <w:i/>
                <w:sz w:val="20"/>
                <w:szCs w:val="20"/>
              </w:rPr>
              <w:t>Field Development Plans</w:t>
            </w:r>
            <w:r w:rsidRPr="00762402">
              <w:rPr>
                <w:rFonts w:asciiTheme="minorHAnsi" w:hAnsiTheme="minorHAnsi" w:cstheme="minorHAnsi"/>
                <w:sz w:val="20"/>
                <w:szCs w:val="20"/>
              </w:rPr>
              <w:t xml:space="preserve"> </w:t>
            </w:r>
            <w:r w:rsidRPr="00270FE1">
              <w:rPr>
                <w:rFonts w:asciiTheme="minorHAnsi" w:hAnsiTheme="minorHAnsi" w:cstheme="minorHAnsi"/>
                <w:b/>
                <w:bCs/>
                <w:sz w:val="20"/>
                <w:szCs w:val="20"/>
              </w:rPr>
              <w:t>(preliminary field development plans, final field development plans and variations)</w:t>
            </w:r>
          </w:p>
          <w:p w14:paraId="1B61FDC3" w14:textId="4538304F" w:rsidR="00036FAE" w:rsidRDefault="00036FAE" w:rsidP="00E628B6">
            <w:pPr>
              <w:rPr>
                <w:rFonts w:asciiTheme="minorHAnsi" w:hAnsiTheme="minorHAnsi" w:cstheme="minorHAnsi"/>
                <w:b/>
                <w:bCs/>
                <w:i/>
                <w:iCs/>
                <w:sz w:val="20"/>
                <w:szCs w:val="20"/>
              </w:rPr>
            </w:pPr>
          </w:p>
          <w:p w14:paraId="54D987BF" w14:textId="77734808" w:rsidR="00216413" w:rsidRPr="00762402" w:rsidRDefault="00216413" w:rsidP="00216413">
            <w:pPr>
              <w:rPr>
                <w:rFonts w:asciiTheme="minorHAnsi" w:hAnsiTheme="minorHAnsi" w:cstheme="minorHAnsi"/>
                <w:sz w:val="20"/>
                <w:szCs w:val="20"/>
              </w:rPr>
            </w:pPr>
            <w:r w:rsidRPr="00762402">
              <w:rPr>
                <w:rFonts w:asciiTheme="minorHAnsi" w:hAnsiTheme="minorHAnsi" w:cstheme="minorHAnsi"/>
                <w:b/>
                <w:bCs/>
                <w:i/>
                <w:sz w:val="20"/>
                <w:szCs w:val="20"/>
              </w:rPr>
              <w:t>Rate of Recovery &amp; Equipment and Procedures</w:t>
            </w:r>
            <w:r w:rsidRPr="00762402">
              <w:rPr>
                <w:rFonts w:asciiTheme="minorHAnsi" w:hAnsiTheme="minorHAnsi" w:cstheme="minorHAnsi"/>
                <w:sz w:val="20"/>
                <w:szCs w:val="20"/>
              </w:rPr>
              <w:t xml:space="preserve"> </w:t>
            </w:r>
          </w:p>
          <w:p w14:paraId="17A2196C" w14:textId="77777777" w:rsidR="00216413" w:rsidRPr="00762402" w:rsidRDefault="00216413" w:rsidP="00E628B6">
            <w:pPr>
              <w:rPr>
                <w:rFonts w:asciiTheme="minorHAnsi" w:hAnsiTheme="minorHAnsi" w:cstheme="minorHAnsi"/>
                <w:b/>
                <w:bCs/>
                <w:i/>
                <w:iCs/>
                <w:sz w:val="20"/>
                <w:szCs w:val="20"/>
              </w:rPr>
            </w:pPr>
          </w:p>
          <w:p w14:paraId="18679811" w14:textId="0B1F66F6" w:rsidR="00036FAE" w:rsidRPr="00762402" w:rsidRDefault="00216413" w:rsidP="00146A13">
            <w:pPr>
              <w:rPr>
                <w:rFonts w:asciiTheme="minorHAnsi" w:hAnsiTheme="minorHAnsi" w:cstheme="minorHAnsi"/>
                <w:sz w:val="20"/>
                <w:szCs w:val="20"/>
              </w:rPr>
            </w:pPr>
            <w:r>
              <w:rPr>
                <w:rFonts w:asciiTheme="minorHAnsi" w:hAnsiTheme="minorHAnsi" w:cstheme="minorHAnsi"/>
                <w:sz w:val="20"/>
                <w:szCs w:val="20"/>
              </w:rPr>
              <w:t>See item 2 for g</w:t>
            </w:r>
            <w:r w:rsidR="00036FAE" w:rsidRPr="00762402">
              <w:rPr>
                <w:rFonts w:asciiTheme="minorHAnsi" w:hAnsiTheme="minorHAnsi" w:cstheme="minorHAnsi"/>
                <w:sz w:val="20"/>
                <w:szCs w:val="20"/>
              </w:rPr>
              <w:t>eneral overview of process</w:t>
            </w:r>
            <w:r>
              <w:rPr>
                <w:rFonts w:asciiTheme="minorHAnsi" w:hAnsiTheme="minorHAnsi" w:cstheme="minorHAnsi"/>
                <w:sz w:val="20"/>
                <w:szCs w:val="20"/>
              </w:rPr>
              <w:t>.</w:t>
            </w:r>
          </w:p>
        </w:tc>
        <w:tc>
          <w:tcPr>
            <w:tcW w:w="3119" w:type="dxa"/>
          </w:tcPr>
          <w:p w14:paraId="594179F9" w14:textId="6F633D63" w:rsidR="00036FAE" w:rsidRDefault="00036FAE"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w:t>
            </w:r>
            <w:r w:rsidRPr="00762402">
              <w:rPr>
                <w:rFonts w:asciiTheme="minorHAnsi" w:hAnsiTheme="minorHAnsi" w:cstheme="minorHAnsi"/>
                <w:sz w:val="20"/>
                <w:szCs w:val="20"/>
              </w:rPr>
              <w:t xml:space="preserve">ssessment </w:t>
            </w:r>
            <w:r>
              <w:rPr>
                <w:rFonts w:asciiTheme="minorHAnsi" w:hAnsiTheme="minorHAnsi" w:cstheme="minorHAnsi"/>
                <w:sz w:val="20"/>
                <w:szCs w:val="20"/>
              </w:rPr>
              <w:t>of the f</w:t>
            </w:r>
            <w:r w:rsidRPr="00762402">
              <w:rPr>
                <w:rFonts w:asciiTheme="minorHAnsi" w:hAnsiTheme="minorHAnsi" w:cstheme="minorHAnsi"/>
                <w:sz w:val="20"/>
                <w:szCs w:val="20"/>
              </w:rPr>
              <w:t xml:space="preserve">inancial </w:t>
            </w:r>
            <w:r>
              <w:rPr>
                <w:rFonts w:asciiTheme="minorHAnsi" w:hAnsiTheme="minorHAnsi" w:cstheme="minorHAnsi"/>
                <w:sz w:val="20"/>
                <w:szCs w:val="20"/>
              </w:rPr>
              <w:t xml:space="preserve">resources </w:t>
            </w:r>
            <w:r w:rsidRPr="00762402">
              <w:rPr>
                <w:rFonts w:asciiTheme="minorHAnsi" w:hAnsiTheme="minorHAnsi" w:cstheme="minorHAnsi"/>
                <w:sz w:val="20"/>
                <w:szCs w:val="20"/>
              </w:rPr>
              <w:t xml:space="preserve">and technical </w:t>
            </w:r>
            <w:r>
              <w:rPr>
                <w:rFonts w:asciiTheme="minorHAnsi" w:hAnsiTheme="minorHAnsi" w:cstheme="minorHAnsi"/>
                <w:sz w:val="20"/>
                <w:szCs w:val="20"/>
              </w:rPr>
              <w:t>advice available to the applicant</w:t>
            </w:r>
            <w:r w:rsidR="00243708">
              <w:rPr>
                <w:rFonts w:asciiTheme="minorHAnsi" w:hAnsiTheme="minorHAnsi" w:cstheme="minorHAnsi"/>
                <w:sz w:val="20"/>
                <w:szCs w:val="20"/>
              </w:rPr>
              <w:t>.</w:t>
            </w:r>
            <w:r w:rsidRPr="00762402">
              <w:rPr>
                <w:rFonts w:asciiTheme="minorHAnsi" w:hAnsiTheme="minorHAnsi" w:cstheme="minorHAnsi"/>
                <w:sz w:val="20"/>
                <w:szCs w:val="20"/>
              </w:rPr>
              <w:t xml:space="preserve"> </w:t>
            </w:r>
          </w:p>
          <w:p w14:paraId="0FD09364" w14:textId="77777777" w:rsidR="00216413" w:rsidRPr="00762402" w:rsidRDefault="00216413" w:rsidP="00146A13">
            <w:pPr>
              <w:pStyle w:val="ListParagraph"/>
              <w:ind w:left="337"/>
              <w:rPr>
                <w:rFonts w:asciiTheme="minorHAnsi" w:hAnsiTheme="minorHAnsi" w:cstheme="minorHAnsi"/>
                <w:sz w:val="20"/>
                <w:szCs w:val="20"/>
              </w:rPr>
            </w:pPr>
          </w:p>
          <w:p w14:paraId="22B19C9C" w14:textId="020DCEF6" w:rsidR="00036FAE" w:rsidRPr="00B933F4" w:rsidRDefault="00036FAE" w:rsidP="00B933F4">
            <w:pPr>
              <w:rPr>
                <w:rFonts w:asciiTheme="minorHAnsi" w:hAnsiTheme="minorHAnsi" w:cstheme="minorHAnsi"/>
                <w:sz w:val="20"/>
                <w:szCs w:val="20"/>
              </w:rPr>
            </w:pPr>
          </w:p>
        </w:tc>
      </w:tr>
      <w:tr w:rsidR="00036FAE" w:rsidRPr="00762402" w14:paraId="7EA71CA9" w14:textId="77777777" w:rsidTr="007D5786">
        <w:trPr>
          <w:trHeight w:val="756"/>
        </w:trPr>
        <w:tc>
          <w:tcPr>
            <w:tcW w:w="809" w:type="dxa"/>
          </w:tcPr>
          <w:p w14:paraId="23D4C0E6" w14:textId="77777777" w:rsidR="00036FAE" w:rsidRPr="00762402" w:rsidRDefault="00036FAE" w:rsidP="007D5786">
            <w:pPr>
              <w:jc w:val="center"/>
              <w:rPr>
                <w:rFonts w:asciiTheme="minorHAnsi" w:hAnsiTheme="minorHAnsi" w:cstheme="minorHAnsi"/>
                <w:b/>
                <w:bCs/>
                <w:sz w:val="20"/>
                <w:szCs w:val="20"/>
              </w:rPr>
            </w:pPr>
            <w:r w:rsidRPr="00762402">
              <w:rPr>
                <w:rFonts w:asciiTheme="minorHAnsi" w:hAnsiTheme="minorHAnsi" w:cstheme="minorHAnsi"/>
                <w:b/>
                <w:bCs/>
                <w:sz w:val="20"/>
                <w:szCs w:val="20"/>
              </w:rPr>
              <w:t>7</w:t>
            </w:r>
          </w:p>
        </w:tc>
        <w:tc>
          <w:tcPr>
            <w:tcW w:w="2593" w:type="dxa"/>
          </w:tcPr>
          <w:p w14:paraId="33F90FAC" w14:textId="5B73973F"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b/>
                <w:bCs/>
                <w:sz w:val="20"/>
                <w:szCs w:val="20"/>
              </w:rPr>
              <w:t>Infrastructure Licence</w:t>
            </w:r>
            <w:r w:rsidR="004C2294">
              <w:rPr>
                <w:rFonts w:asciiTheme="minorHAnsi" w:hAnsiTheme="minorHAnsi" w:cstheme="minorHAnsi"/>
                <w:b/>
                <w:bCs/>
                <w:sz w:val="20"/>
                <w:szCs w:val="20"/>
              </w:rPr>
              <w:t xml:space="preserve"> (IL)</w:t>
            </w:r>
            <w:r w:rsidRPr="00762402">
              <w:rPr>
                <w:rFonts w:asciiTheme="minorHAnsi" w:hAnsiTheme="minorHAnsi" w:cstheme="minorHAnsi"/>
                <w:sz w:val="20"/>
                <w:szCs w:val="20"/>
              </w:rPr>
              <w:t>:</w:t>
            </w:r>
          </w:p>
          <w:p w14:paraId="6D90D75E" w14:textId="6D707CBB" w:rsidR="00036FAE" w:rsidRDefault="00036FAE" w:rsidP="00E628B6">
            <w:pPr>
              <w:rPr>
                <w:rFonts w:asciiTheme="minorHAnsi" w:hAnsiTheme="minorHAnsi" w:cstheme="minorHAnsi"/>
                <w:sz w:val="20"/>
                <w:szCs w:val="20"/>
              </w:rPr>
            </w:pPr>
            <w:r w:rsidRPr="00762402">
              <w:rPr>
                <w:rFonts w:asciiTheme="minorHAnsi" w:hAnsiTheme="minorHAnsi" w:cstheme="minorHAnsi"/>
                <w:sz w:val="20"/>
                <w:szCs w:val="20"/>
              </w:rPr>
              <w:t>(</w:t>
            </w:r>
            <w:r w:rsidR="00216413">
              <w:rPr>
                <w:rFonts w:asciiTheme="minorHAnsi" w:hAnsiTheme="minorHAnsi" w:cstheme="minorHAnsi"/>
                <w:sz w:val="20"/>
                <w:szCs w:val="20"/>
              </w:rPr>
              <w:t>Chapter 2</w:t>
            </w:r>
            <w:r w:rsidRPr="00762402">
              <w:rPr>
                <w:rFonts w:asciiTheme="minorHAnsi" w:hAnsiTheme="minorHAnsi" w:cstheme="minorHAnsi"/>
                <w:sz w:val="20"/>
                <w:szCs w:val="20"/>
              </w:rPr>
              <w:t>)</w:t>
            </w:r>
          </w:p>
          <w:p w14:paraId="74DB0456" w14:textId="26DC871B" w:rsidR="00216413" w:rsidRPr="00146A13" w:rsidRDefault="00216413" w:rsidP="00146A13">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For petroleum and GHG</w:t>
            </w:r>
          </w:p>
        </w:tc>
        <w:tc>
          <w:tcPr>
            <w:tcW w:w="7513" w:type="dxa"/>
          </w:tcPr>
          <w:p w14:paraId="114242B1" w14:textId="1AD06099" w:rsidR="00036FAE" w:rsidRPr="00762402" w:rsidRDefault="00036FAE" w:rsidP="00E628B6">
            <w:pPr>
              <w:rPr>
                <w:rFonts w:asciiTheme="minorHAnsi" w:hAnsiTheme="minorHAnsi" w:cstheme="minorHAnsi"/>
                <w:b/>
                <w:bCs/>
                <w:i/>
                <w:iCs/>
                <w:sz w:val="20"/>
                <w:szCs w:val="20"/>
              </w:rPr>
            </w:pPr>
            <w:r w:rsidRPr="00762402">
              <w:rPr>
                <w:rFonts w:asciiTheme="minorHAnsi" w:hAnsiTheme="minorHAnsi" w:cstheme="minorHAnsi"/>
                <w:b/>
                <w:bCs/>
                <w:i/>
                <w:iCs/>
                <w:sz w:val="20"/>
                <w:szCs w:val="20"/>
              </w:rPr>
              <w:t>Grant</w:t>
            </w:r>
            <w:r>
              <w:rPr>
                <w:rFonts w:asciiTheme="minorHAnsi" w:hAnsiTheme="minorHAnsi" w:cstheme="minorHAnsi"/>
                <w:b/>
                <w:bCs/>
                <w:i/>
                <w:iCs/>
                <w:sz w:val="20"/>
                <w:szCs w:val="20"/>
              </w:rPr>
              <w:t xml:space="preserve">, Variation, Surrender, Cancellation, Termination   </w:t>
            </w:r>
          </w:p>
          <w:p w14:paraId="1CBD2332" w14:textId="66D8493F" w:rsidR="00036FAE" w:rsidRPr="00762402" w:rsidRDefault="00216413" w:rsidP="00146A13">
            <w:pPr>
              <w:rPr>
                <w:rFonts w:asciiTheme="minorHAnsi" w:hAnsiTheme="minorHAnsi" w:cstheme="minorHAnsi"/>
                <w:sz w:val="20"/>
                <w:szCs w:val="20"/>
              </w:rPr>
            </w:pPr>
            <w:r>
              <w:rPr>
                <w:rFonts w:asciiTheme="minorHAnsi" w:hAnsiTheme="minorHAnsi" w:cstheme="minorHAnsi"/>
                <w:sz w:val="20"/>
                <w:szCs w:val="20"/>
              </w:rPr>
              <w:t>See item 2 for g</w:t>
            </w:r>
            <w:r w:rsidR="00036FAE" w:rsidRPr="00762402">
              <w:rPr>
                <w:rFonts w:asciiTheme="minorHAnsi" w:hAnsiTheme="minorHAnsi" w:cstheme="minorHAnsi"/>
                <w:sz w:val="20"/>
                <w:szCs w:val="20"/>
              </w:rPr>
              <w:t>eneral overview of process</w:t>
            </w:r>
            <w:r>
              <w:rPr>
                <w:rFonts w:asciiTheme="minorHAnsi" w:hAnsiTheme="minorHAnsi" w:cstheme="minorHAnsi"/>
                <w:sz w:val="20"/>
                <w:szCs w:val="20"/>
              </w:rPr>
              <w:t>.</w:t>
            </w:r>
          </w:p>
        </w:tc>
        <w:tc>
          <w:tcPr>
            <w:tcW w:w="3119" w:type="dxa"/>
          </w:tcPr>
          <w:p w14:paraId="1EFBF29C" w14:textId="77777777"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w:t>
            </w:r>
            <w:r w:rsidRPr="00762402">
              <w:rPr>
                <w:rFonts w:asciiTheme="minorHAnsi" w:hAnsiTheme="minorHAnsi" w:cstheme="minorHAnsi"/>
                <w:sz w:val="20"/>
                <w:szCs w:val="20"/>
              </w:rPr>
              <w:t xml:space="preserve">ssessment </w:t>
            </w:r>
            <w:r>
              <w:rPr>
                <w:rFonts w:asciiTheme="minorHAnsi" w:hAnsiTheme="minorHAnsi" w:cstheme="minorHAnsi"/>
                <w:sz w:val="20"/>
                <w:szCs w:val="20"/>
              </w:rPr>
              <w:t>of the f</w:t>
            </w:r>
            <w:r w:rsidRPr="00762402">
              <w:rPr>
                <w:rFonts w:asciiTheme="minorHAnsi" w:hAnsiTheme="minorHAnsi" w:cstheme="minorHAnsi"/>
                <w:sz w:val="20"/>
                <w:szCs w:val="20"/>
              </w:rPr>
              <w:t xml:space="preserve">inancial </w:t>
            </w:r>
            <w:r>
              <w:rPr>
                <w:rFonts w:asciiTheme="minorHAnsi" w:hAnsiTheme="minorHAnsi" w:cstheme="minorHAnsi"/>
                <w:sz w:val="20"/>
                <w:szCs w:val="20"/>
              </w:rPr>
              <w:t xml:space="preserve">resources </w:t>
            </w:r>
            <w:r w:rsidRPr="00762402">
              <w:rPr>
                <w:rFonts w:asciiTheme="minorHAnsi" w:hAnsiTheme="minorHAnsi" w:cstheme="minorHAnsi"/>
                <w:sz w:val="20"/>
                <w:szCs w:val="20"/>
              </w:rPr>
              <w:t xml:space="preserve">and technical </w:t>
            </w:r>
            <w:r>
              <w:rPr>
                <w:rFonts w:asciiTheme="minorHAnsi" w:hAnsiTheme="minorHAnsi" w:cstheme="minorHAnsi"/>
                <w:sz w:val="20"/>
                <w:szCs w:val="20"/>
              </w:rPr>
              <w:t>advice available to the applicant</w:t>
            </w:r>
            <w:r w:rsidRPr="00762402">
              <w:rPr>
                <w:rFonts w:asciiTheme="minorHAnsi" w:hAnsiTheme="minorHAnsi" w:cstheme="minorHAnsi"/>
                <w:sz w:val="20"/>
                <w:szCs w:val="20"/>
              </w:rPr>
              <w:t xml:space="preserve"> </w:t>
            </w:r>
          </w:p>
          <w:p w14:paraId="4296FC0D" w14:textId="127EE4B5"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Extended decision-making criteria (</w:t>
            </w:r>
            <w:r w:rsidR="00216413">
              <w:rPr>
                <w:rFonts w:asciiTheme="minorHAnsi" w:hAnsiTheme="minorHAnsi" w:cstheme="minorHAnsi"/>
                <w:sz w:val="20"/>
                <w:szCs w:val="20"/>
              </w:rPr>
              <w:t>Chapter 6</w:t>
            </w:r>
            <w:r>
              <w:rPr>
                <w:rFonts w:asciiTheme="minorHAnsi" w:hAnsiTheme="minorHAnsi" w:cstheme="minorHAnsi"/>
                <w:sz w:val="20"/>
                <w:szCs w:val="20"/>
              </w:rPr>
              <w:t>, section 695YB)</w:t>
            </w:r>
            <w:r w:rsidRPr="00762402">
              <w:rPr>
                <w:rFonts w:asciiTheme="minorHAnsi" w:hAnsiTheme="minorHAnsi" w:cstheme="minorHAnsi"/>
                <w:sz w:val="20"/>
                <w:szCs w:val="20"/>
              </w:rPr>
              <w:t xml:space="preserve">. </w:t>
            </w:r>
          </w:p>
          <w:p w14:paraId="64AA91C5" w14:textId="77777777" w:rsidR="00036FAE" w:rsidRPr="00762402" w:rsidRDefault="00036FAE" w:rsidP="00E628B6">
            <w:pPr>
              <w:rPr>
                <w:rFonts w:asciiTheme="minorHAnsi" w:hAnsiTheme="minorHAnsi" w:cstheme="minorHAnsi"/>
                <w:sz w:val="20"/>
                <w:szCs w:val="20"/>
              </w:rPr>
            </w:pPr>
          </w:p>
        </w:tc>
      </w:tr>
      <w:tr w:rsidR="00036FAE" w:rsidRPr="00762402" w14:paraId="1C462046" w14:textId="77777777" w:rsidTr="007D5786">
        <w:trPr>
          <w:trHeight w:val="756"/>
        </w:trPr>
        <w:tc>
          <w:tcPr>
            <w:tcW w:w="809" w:type="dxa"/>
          </w:tcPr>
          <w:p w14:paraId="6C038763" w14:textId="77777777" w:rsidR="00036FAE" w:rsidRPr="00762402" w:rsidRDefault="00036FAE" w:rsidP="007D5786">
            <w:pPr>
              <w:jc w:val="center"/>
              <w:rPr>
                <w:rFonts w:asciiTheme="minorHAnsi" w:hAnsiTheme="minorHAnsi" w:cstheme="minorHAnsi"/>
                <w:b/>
                <w:bCs/>
                <w:sz w:val="20"/>
                <w:szCs w:val="20"/>
              </w:rPr>
            </w:pPr>
            <w:r w:rsidRPr="00762402">
              <w:rPr>
                <w:rFonts w:asciiTheme="minorHAnsi" w:hAnsiTheme="minorHAnsi" w:cstheme="minorHAnsi"/>
                <w:b/>
                <w:bCs/>
                <w:sz w:val="20"/>
                <w:szCs w:val="20"/>
              </w:rPr>
              <w:t>8</w:t>
            </w:r>
          </w:p>
        </w:tc>
        <w:tc>
          <w:tcPr>
            <w:tcW w:w="2593" w:type="dxa"/>
          </w:tcPr>
          <w:p w14:paraId="5E6DD4E1" w14:textId="77777777" w:rsidR="00036FAE" w:rsidRPr="00762402" w:rsidRDefault="00036FAE" w:rsidP="00E628B6">
            <w:pPr>
              <w:rPr>
                <w:rFonts w:asciiTheme="minorHAnsi" w:hAnsiTheme="minorHAnsi" w:cstheme="minorHAnsi"/>
                <w:b/>
                <w:bCs/>
                <w:sz w:val="20"/>
                <w:szCs w:val="20"/>
              </w:rPr>
            </w:pPr>
            <w:r w:rsidRPr="00762402">
              <w:rPr>
                <w:rFonts w:asciiTheme="minorHAnsi" w:hAnsiTheme="minorHAnsi" w:cstheme="minorHAnsi"/>
                <w:b/>
                <w:bCs/>
                <w:sz w:val="20"/>
                <w:szCs w:val="20"/>
              </w:rPr>
              <w:t>Pipeline Licence:</w:t>
            </w:r>
          </w:p>
          <w:p w14:paraId="46BED5CC" w14:textId="2918C008" w:rsidR="00036FAE" w:rsidRDefault="00036FAE" w:rsidP="00E628B6">
            <w:pPr>
              <w:rPr>
                <w:rFonts w:asciiTheme="minorHAnsi" w:hAnsiTheme="minorHAnsi" w:cstheme="minorHAnsi"/>
                <w:sz w:val="20"/>
                <w:szCs w:val="20"/>
              </w:rPr>
            </w:pPr>
            <w:r w:rsidRPr="00762402">
              <w:rPr>
                <w:rFonts w:asciiTheme="minorHAnsi" w:hAnsiTheme="minorHAnsi" w:cstheme="minorHAnsi"/>
                <w:sz w:val="20"/>
                <w:szCs w:val="20"/>
              </w:rPr>
              <w:t>(</w:t>
            </w:r>
            <w:r w:rsidR="00216413">
              <w:rPr>
                <w:rFonts w:asciiTheme="minorHAnsi" w:hAnsiTheme="minorHAnsi" w:cstheme="minorHAnsi"/>
                <w:sz w:val="20"/>
                <w:szCs w:val="20"/>
              </w:rPr>
              <w:t>Chapter 2</w:t>
            </w:r>
            <w:r w:rsidRPr="00762402">
              <w:rPr>
                <w:rFonts w:asciiTheme="minorHAnsi" w:hAnsiTheme="minorHAnsi" w:cstheme="minorHAnsi"/>
                <w:sz w:val="20"/>
                <w:szCs w:val="20"/>
              </w:rPr>
              <w:t>)</w:t>
            </w:r>
          </w:p>
          <w:p w14:paraId="368C9594" w14:textId="55A030A6" w:rsidR="00216413" w:rsidRPr="00146A13" w:rsidRDefault="00216413" w:rsidP="00146A13">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For petroleum and GHG</w:t>
            </w:r>
          </w:p>
        </w:tc>
        <w:tc>
          <w:tcPr>
            <w:tcW w:w="7513" w:type="dxa"/>
          </w:tcPr>
          <w:p w14:paraId="4A532070" w14:textId="161D53F1" w:rsidR="00036FAE" w:rsidRPr="00762402" w:rsidRDefault="00036FAE" w:rsidP="00E628B6">
            <w:pPr>
              <w:rPr>
                <w:rFonts w:asciiTheme="minorHAnsi" w:hAnsiTheme="minorHAnsi" w:cstheme="minorHAnsi"/>
                <w:b/>
                <w:bCs/>
                <w:i/>
                <w:iCs/>
                <w:sz w:val="20"/>
                <w:szCs w:val="20"/>
              </w:rPr>
            </w:pPr>
            <w:r w:rsidRPr="00762402">
              <w:rPr>
                <w:rFonts w:asciiTheme="minorHAnsi" w:hAnsiTheme="minorHAnsi" w:cstheme="minorHAnsi"/>
                <w:b/>
                <w:bCs/>
                <w:i/>
                <w:iCs/>
                <w:sz w:val="20"/>
                <w:szCs w:val="20"/>
              </w:rPr>
              <w:t>Grant</w:t>
            </w:r>
            <w:r>
              <w:rPr>
                <w:rFonts w:asciiTheme="minorHAnsi" w:hAnsiTheme="minorHAnsi" w:cstheme="minorHAnsi"/>
                <w:b/>
                <w:bCs/>
                <w:i/>
                <w:iCs/>
                <w:sz w:val="20"/>
                <w:szCs w:val="20"/>
              </w:rPr>
              <w:t>, Variation</w:t>
            </w:r>
            <w:r w:rsidR="004C2294">
              <w:rPr>
                <w:rFonts w:asciiTheme="minorHAnsi" w:hAnsiTheme="minorHAnsi" w:cstheme="minorHAnsi"/>
                <w:b/>
                <w:bCs/>
                <w:i/>
                <w:iCs/>
                <w:sz w:val="20"/>
                <w:szCs w:val="20"/>
              </w:rPr>
              <w:t xml:space="preserve">, </w:t>
            </w:r>
            <w:r w:rsidR="00D30EB7">
              <w:rPr>
                <w:rFonts w:asciiTheme="minorHAnsi" w:hAnsiTheme="minorHAnsi" w:cstheme="minorHAnsi"/>
                <w:b/>
                <w:bCs/>
                <w:i/>
                <w:iCs/>
                <w:sz w:val="20"/>
                <w:szCs w:val="20"/>
              </w:rPr>
              <w:t>Cease to Operate,</w:t>
            </w:r>
            <w:r w:rsidR="00147957">
              <w:rPr>
                <w:rFonts w:asciiTheme="minorHAnsi" w:hAnsiTheme="minorHAnsi" w:cstheme="minorHAnsi"/>
                <w:b/>
                <w:bCs/>
                <w:i/>
                <w:iCs/>
                <w:sz w:val="20"/>
                <w:szCs w:val="20"/>
              </w:rPr>
              <w:t xml:space="preserve"> </w:t>
            </w:r>
            <w:r w:rsidR="00BE78BA">
              <w:rPr>
                <w:rFonts w:asciiTheme="minorHAnsi" w:hAnsiTheme="minorHAnsi" w:cstheme="minorHAnsi"/>
                <w:b/>
                <w:bCs/>
                <w:i/>
                <w:iCs/>
                <w:sz w:val="20"/>
                <w:szCs w:val="20"/>
              </w:rPr>
              <w:t>Terminat</w:t>
            </w:r>
            <w:r w:rsidR="00147957">
              <w:rPr>
                <w:rFonts w:asciiTheme="minorHAnsi" w:hAnsiTheme="minorHAnsi" w:cstheme="minorHAnsi"/>
                <w:b/>
                <w:bCs/>
                <w:i/>
                <w:iCs/>
                <w:sz w:val="20"/>
                <w:szCs w:val="20"/>
              </w:rPr>
              <w:t>e</w:t>
            </w:r>
            <w:r w:rsidR="004C2294">
              <w:rPr>
                <w:rFonts w:asciiTheme="minorHAnsi" w:hAnsiTheme="minorHAnsi" w:cstheme="minorHAnsi"/>
                <w:b/>
                <w:bCs/>
                <w:i/>
                <w:iCs/>
                <w:sz w:val="20"/>
                <w:szCs w:val="20"/>
              </w:rPr>
              <w:t>, Surrender, Cancellation</w:t>
            </w:r>
            <w:r>
              <w:rPr>
                <w:rFonts w:asciiTheme="minorHAnsi" w:hAnsiTheme="minorHAnsi" w:cstheme="minorHAnsi"/>
                <w:b/>
                <w:bCs/>
                <w:i/>
                <w:iCs/>
                <w:sz w:val="20"/>
                <w:szCs w:val="20"/>
              </w:rPr>
              <w:t xml:space="preserve"> </w:t>
            </w:r>
          </w:p>
          <w:p w14:paraId="128E6373" w14:textId="720766C1" w:rsidR="00036FAE" w:rsidRPr="00762402" w:rsidRDefault="00216413" w:rsidP="00146A13">
            <w:pPr>
              <w:rPr>
                <w:rFonts w:asciiTheme="minorHAnsi" w:hAnsiTheme="minorHAnsi" w:cstheme="minorHAnsi"/>
                <w:sz w:val="20"/>
                <w:szCs w:val="20"/>
              </w:rPr>
            </w:pPr>
            <w:r>
              <w:rPr>
                <w:rFonts w:asciiTheme="minorHAnsi" w:hAnsiTheme="minorHAnsi" w:cstheme="minorHAnsi"/>
                <w:sz w:val="20"/>
                <w:szCs w:val="20"/>
              </w:rPr>
              <w:t>See item 2 for g</w:t>
            </w:r>
            <w:r w:rsidR="00036FAE" w:rsidRPr="00762402">
              <w:rPr>
                <w:rFonts w:asciiTheme="minorHAnsi" w:hAnsiTheme="minorHAnsi" w:cstheme="minorHAnsi"/>
                <w:sz w:val="20"/>
                <w:szCs w:val="20"/>
              </w:rPr>
              <w:t>eneral overview of process</w:t>
            </w:r>
            <w:r>
              <w:rPr>
                <w:rFonts w:asciiTheme="minorHAnsi" w:hAnsiTheme="minorHAnsi" w:cstheme="minorHAnsi"/>
                <w:sz w:val="20"/>
                <w:szCs w:val="20"/>
              </w:rPr>
              <w:t>.</w:t>
            </w:r>
          </w:p>
        </w:tc>
        <w:tc>
          <w:tcPr>
            <w:tcW w:w="3119" w:type="dxa"/>
          </w:tcPr>
          <w:p w14:paraId="7B89EDE4" w14:textId="4F8F2179"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w:t>
            </w:r>
            <w:r w:rsidRPr="00762402">
              <w:rPr>
                <w:rFonts w:asciiTheme="minorHAnsi" w:hAnsiTheme="minorHAnsi" w:cstheme="minorHAnsi"/>
                <w:sz w:val="20"/>
                <w:szCs w:val="20"/>
              </w:rPr>
              <w:t xml:space="preserve">ssessment </w:t>
            </w:r>
            <w:r>
              <w:rPr>
                <w:rFonts w:asciiTheme="minorHAnsi" w:hAnsiTheme="minorHAnsi" w:cstheme="minorHAnsi"/>
                <w:sz w:val="20"/>
                <w:szCs w:val="20"/>
              </w:rPr>
              <w:t>of the f</w:t>
            </w:r>
            <w:r w:rsidRPr="00762402">
              <w:rPr>
                <w:rFonts w:asciiTheme="minorHAnsi" w:hAnsiTheme="minorHAnsi" w:cstheme="minorHAnsi"/>
                <w:sz w:val="20"/>
                <w:szCs w:val="20"/>
              </w:rPr>
              <w:t xml:space="preserve">inancial </w:t>
            </w:r>
            <w:r>
              <w:rPr>
                <w:rFonts w:asciiTheme="minorHAnsi" w:hAnsiTheme="minorHAnsi" w:cstheme="minorHAnsi"/>
                <w:sz w:val="20"/>
                <w:szCs w:val="20"/>
              </w:rPr>
              <w:t xml:space="preserve">resources </w:t>
            </w:r>
            <w:r w:rsidRPr="00762402">
              <w:rPr>
                <w:rFonts w:asciiTheme="minorHAnsi" w:hAnsiTheme="minorHAnsi" w:cstheme="minorHAnsi"/>
                <w:sz w:val="20"/>
                <w:szCs w:val="20"/>
              </w:rPr>
              <w:t xml:space="preserve">and technical </w:t>
            </w:r>
            <w:r>
              <w:rPr>
                <w:rFonts w:asciiTheme="minorHAnsi" w:hAnsiTheme="minorHAnsi" w:cstheme="minorHAnsi"/>
                <w:sz w:val="20"/>
                <w:szCs w:val="20"/>
              </w:rPr>
              <w:t>advice available to the applicant</w:t>
            </w:r>
            <w:r w:rsidR="00243708">
              <w:rPr>
                <w:rFonts w:asciiTheme="minorHAnsi" w:hAnsiTheme="minorHAnsi" w:cstheme="minorHAnsi"/>
                <w:sz w:val="20"/>
                <w:szCs w:val="20"/>
              </w:rPr>
              <w:t>.</w:t>
            </w:r>
            <w:r w:rsidRPr="00762402">
              <w:rPr>
                <w:rFonts w:asciiTheme="minorHAnsi" w:hAnsiTheme="minorHAnsi" w:cstheme="minorHAnsi"/>
                <w:sz w:val="20"/>
                <w:szCs w:val="20"/>
              </w:rPr>
              <w:t xml:space="preserve"> </w:t>
            </w:r>
          </w:p>
          <w:p w14:paraId="75785017" w14:textId="20FDFA2B"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Extended decision-making criteria (</w:t>
            </w:r>
            <w:r w:rsidR="00216413">
              <w:rPr>
                <w:rFonts w:asciiTheme="minorHAnsi" w:hAnsiTheme="minorHAnsi" w:cstheme="minorHAnsi"/>
                <w:sz w:val="20"/>
                <w:szCs w:val="20"/>
              </w:rPr>
              <w:t>Chapter 6</w:t>
            </w:r>
            <w:r>
              <w:rPr>
                <w:rFonts w:asciiTheme="minorHAnsi" w:hAnsiTheme="minorHAnsi" w:cstheme="minorHAnsi"/>
                <w:sz w:val="20"/>
                <w:szCs w:val="20"/>
              </w:rPr>
              <w:t>, section 695YB)</w:t>
            </w:r>
            <w:r w:rsidRPr="00762402">
              <w:rPr>
                <w:rFonts w:asciiTheme="minorHAnsi" w:hAnsiTheme="minorHAnsi" w:cstheme="minorHAnsi"/>
                <w:sz w:val="20"/>
                <w:szCs w:val="20"/>
              </w:rPr>
              <w:t xml:space="preserve">. </w:t>
            </w:r>
          </w:p>
          <w:p w14:paraId="23A583C2" w14:textId="77777777" w:rsidR="00036FAE" w:rsidRPr="00762402" w:rsidRDefault="00036FAE" w:rsidP="00E628B6">
            <w:pPr>
              <w:pStyle w:val="ListParagraph"/>
              <w:ind w:left="337"/>
              <w:rPr>
                <w:rFonts w:asciiTheme="minorHAnsi" w:hAnsiTheme="minorHAnsi" w:cstheme="minorHAnsi"/>
                <w:sz w:val="20"/>
                <w:szCs w:val="20"/>
              </w:rPr>
            </w:pPr>
          </w:p>
          <w:p w14:paraId="1FBC77A1" w14:textId="77777777" w:rsidR="00036FAE" w:rsidRPr="00762402" w:rsidRDefault="00036FAE" w:rsidP="00E628B6">
            <w:pPr>
              <w:rPr>
                <w:rFonts w:asciiTheme="minorHAnsi" w:hAnsiTheme="minorHAnsi" w:cstheme="minorHAnsi"/>
                <w:sz w:val="20"/>
                <w:szCs w:val="20"/>
              </w:rPr>
            </w:pPr>
          </w:p>
        </w:tc>
      </w:tr>
      <w:tr w:rsidR="00036FAE" w:rsidRPr="00762402" w14:paraId="67FB34FB" w14:textId="77777777" w:rsidTr="007D5786">
        <w:trPr>
          <w:trHeight w:val="278"/>
        </w:trPr>
        <w:tc>
          <w:tcPr>
            <w:tcW w:w="809" w:type="dxa"/>
          </w:tcPr>
          <w:p w14:paraId="4950ED87" w14:textId="77777777" w:rsidR="00036FAE" w:rsidRPr="00762402" w:rsidRDefault="00036FAE" w:rsidP="007D5786">
            <w:pPr>
              <w:jc w:val="center"/>
              <w:rPr>
                <w:rFonts w:asciiTheme="minorHAnsi" w:hAnsiTheme="minorHAnsi" w:cstheme="minorHAnsi"/>
                <w:b/>
                <w:bCs/>
                <w:sz w:val="20"/>
                <w:szCs w:val="20"/>
              </w:rPr>
            </w:pPr>
            <w:r w:rsidRPr="00762402">
              <w:rPr>
                <w:rFonts w:asciiTheme="minorHAnsi" w:hAnsiTheme="minorHAnsi" w:cstheme="minorHAnsi"/>
                <w:b/>
                <w:bCs/>
                <w:sz w:val="20"/>
                <w:szCs w:val="20"/>
              </w:rPr>
              <w:t>9</w:t>
            </w:r>
          </w:p>
        </w:tc>
        <w:tc>
          <w:tcPr>
            <w:tcW w:w="2593" w:type="dxa"/>
          </w:tcPr>
          <w:p w14:paraId="40B5348D" w14:textId="4A73076E" w:rsidR="00036FAE" w:rsidRPr="00762402" w:rsidRDefault="00036FAE" w:rsidP="00E628B6">
            <w:pPr>
              <w:rPr>
                <w:rFonts w:asciiTheme="minorHAnsi" w:hAnsiTheme="minorHAnsi" w:cstheme="minorHAnsi"/>
                <w:b/>
                <w:bCs/>
                <w:sz w:val="20"/>
                <w:szCs w:val="20"/>
              </w:rPr>
            </w:pPr>
            <w:r w:rsidRPr="00762402">
              <w:rPr>
                <w:rFonts w:asciiTheme="minorHAnsi" w:hAnsiTheme="minorHAnsi" w:cstheme="minorHAnsi"/>
                <w:b/>
                <w:bCs/>
                <w:sz w:val="20"/>
                <w:szCs w:val="20"/>
              </w:rPr>
              <w:t>Special Prospecting Authority (SPA)</w:t>
            </w:r>
            <w:r w:rsidR="005D5BE4">
              <w:rPr>
                <w:rFonts w:asciiTheme="minorHAnsi" w:hAnsiTheme="minorHAnsi" w:cstheme="minorHAnsi"/>
                <w:b/>
                <w:bCs/>
                <w:sz w:val="20"/>
                <w:szCs w:val="20"/>
              </w:rPr>
              <w:t>,</w:t>
            </w:r>
            <w:r w:rsidRPr="00762402">
              <w:rPr>
                <w:rFonts w:asciiTheme="minorHAnsi" w:hAnsiTheme="minorHAnsi" w:cstheme="minorHAnsi"/>
                <w:b/>
                <w:bCs/>
                <w:sz w:val="20"/>
                <w:szCs w:val="20"/>
              </w:rPr>
              <w:t xml:space="preserve"> Access Authority (AA)</w:t>
            </w:r>
            <w:r w:rsidR="005D5BE4">
              <w:rPr>
                <w:rFonts w:asciiTheme="minorHAnsi" w:hAnsiTheme="minorHAnsi" w:cstheme="minorHAnsi"/>
                <w:b/>
                <w:bCs/>
                <w:sz w:val="20"/>
                <w:szCs w:val="20"/>
              </w:rPr>
              <w:t xml:space="preserve"> and Scientific Investigation Consents</w:t>
            </w:r>
            <w:r w:rsidRPr="00762402">
              <w:rPr>
                <w:rFonts w:asciiTheme="minorHAnsi" w:hAnsiTheme="minorHAnsi" w:cstheme="minorHAnsi"/>
                <w:b/>
                <w:bCs/>
                <w:sz w:val="20"/>
                <w:szCs w:val="20"/>
              </w:rPr>
              <w:t xml:space="preserve">: </w:t>
            </w:r>
          </w:p>
          <w:p w14:paraId="02ADDD44" w14:textId="16327FB4"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sz w:val="20"/>
                <w:szCs w:val="20"/>
              </w:rPr>
              <w:t>(</w:t>
            </w:r>
            <w:r w:rsidR="00216413">
              <w:rPr>
                <w:rFonts w:asciiTheme="minorHAnsi" w:hAnsiTheme="minorHAnsi" w:cstheme="minorHAnsi"/>
                <w:sz w:val="20"/>
                <w:szCs w:val="20"/>
              </w:rPr>
              <w:t>Chapter 2</w:t>
            </w:r>
            <w:r w:rsidRPr="00762402">
              <w:rPr>
                <w:rFonts w:asciiTheme="minorHAnsi" w:hAnsiTheme="minorHAnsi" w:cstheme="minorHAnsi"/>
                <w:sz w:val="20"/>
                <w:szCs w:val="20"/>
              </w:rPr>
              <w:t xml:space="preserve">) </w:t>
            </w:r>
          </w:p>
        </w:tc>
        <w:tc>
          <w:tcPr>
            <w:tcW w:w="7513" w:type="dxa"/>
          </w:tcPr>
          <w:p w14:paraId="630E3D96" w14:textId="3E2BB24D" w:rsidR="00036FAE" w:rsidRPr="00762402" w:rsidRDefault="00036FAE" w:rsidP="00E628B6">
            <w:pPr>
              <w:rPr>
                <w:rFonts w:asciiTheme="minorHAnsi" w:hAnsiTheme="minorHAnsi" w:cstheme="minorHAnsi"/>
                <w:b/>
                <w:bCs/>
                <w:i/>
                <w:iCs/>
                <w:sz w:val="20"/>
                <w:szCs w:val="20"/>
              </w:rPr>
            </w:pPr>
            <w:r w:rsidRPr="00762402">
              <w:rPr>
                <w:rFonts w:asciiTheme="minorHAnsi" w:hAnsiTheme="minorHAnsi" w:cstheme="minorHAnsi"/>
                <w:b/>
                <w:bCs/>
                <w:i/>
                <w:iCs/>
                <w:sz w:val="20"/>
                <w:szCs w:val="20"/>
              </w:rPr>
              <w:t>Grant</w:t>
            </w:r>
            <w:r w:rsidR="00964D26">
              <w:rPr>
                <w:rFonts w:asciiTheme="minorHAnsi" w:hAnsiTheme="minorHAnsi" w:cstheme="minorHAnsi"/>
                <w:b/>
                <w:bCs/>
                <w:i/>
                <w:iCs/>
                <w:sz w:val="20"/>
                <w:szCs w:val="20"/>
              </w:rPr>
              <w:t>, Variation</w:t>
            </w:r>
            <w:r w:rsidR="004C2294">
              <w:rPr>
                <w:rFonts w:asciiTheme="minorHAnsi" w:hAnsiTheme="minorHAnsi" w:cstheme="minorHAnsi"/>
                <w:b/>
                <w:bCs/>
                <w:i/>
                <w:iCs/>
                <w:sz w:val="20"/>
                <w:szCs w:val="20"/>
              </w:rPr>
              <w:t xml:space="preserve"> (AA)</w:t>
            </w:r>
            <w:r w:rsidR="00964D26">
              <w:rPr>
                <w:rFonts w:asciiTheme="minorHAnsi" w:hAnsiTheme="minorHAnsi" w:cstheme="minorHAnsi"/>
                <w:b/>
                <w:bCs/>
                <w:i/>
                <w:iCs/>
                <w:sz w:val="20"/>
                <w:szCs w:val="20"/>
              </w:rPr>
              <w:t>,</w:t>
            </w:r>
            <w:r w:rsidR="004C2294">
              <w:rPr>
                <w:rFonts w:asciiTheme="minorHAnsi" w:hAnsiTheme="minorHAnsi" w:cstheme="minorHAnsi"/>
                <w:b/>
                <w:bCs/>
                <w:i/>
                <w:iCs/>
                <w:sz w:val="20"/>
                <w:szCs w:val="20"/>
              </w:rPr>
              <w:t xml:space="preserve"> Extension duration (AA), </w:t>
            </w:r>
            <w:r w:rsidR="00964D26">
              <w:rPr>
                <w:rFonts w:asciiTheme="minorHAnsi" w:hAnsiTheme="minorHAnsi" w:cstheme="minorHAnsi"/>
                <w:b/>
                <w:bCs/>
                <w:i/>
                <w:iCs/>
                <w:sz w:val="20"/>
                <w:szCs w:val="20"/>
              </w:rPr>
              <w:t>Revocation</w:t>
            </w:r>
            <w:r w:rsidR="004C2294">
              <w:rPr>
                <w:rFonts w:asciiTheme="minorHAnsi" w:hAnsiTheme="minorHAnsi" w:cstheme="minorHAnsi"/>
                <w:b/>
                <w:bCs/>
                <w:i/>
                <w:iCs/>
                <w:sz w:val="20"/>
                <w:szCs w:val="20"/>
              </w:rPr>
              <w:t xml:space="preserve"> (AA), Expiry, Surrender (SPA and AA), Cancellation (SPA)</w:t>
            </w:r>
            <w:r w:rsidR="00964D26">
              <w:rPr>
                <w:rFonts w:asciiTheme="minorHAnsi" w:hAnsiTheme="minorHAnsi" w:cstheme="minorHAnsi"/>
                <w:b/>
                <w:bCs/>
                <w:i/>
                <w:iCs/>
                <w:sz w:val="20"/>
                <w:szCs w:val="20"/>
              </w:rPr>
              <w:t xml:space="preserve"> </w:t>
            </w:r>
            <w:r w:rsidRPr="00762402">
              <w:rPr>
                <w:rFonts w:asciiTheme="minorHAnsi" w:hAnsiTheme="minorHAnsi" w:cstheme="minorHAnsi"/>
                <w:b/>
                <w:bCs/>
                <w:i/>
                <w:iCs/>
                <w:sz w:val="20"/>
                <w:szCs w:val="20"/>
              </w:rPr>
              <w:t xml:space="preserve"> </w:t>
            </w:r>
          </w:p>
          <w:p w14:paraId="686D037F" w14:textId="0D253490" w:rsidR="00036FAE" w:rsidRPr="00762402" w:rsidRDefault="00216413" w:rsidP="00146A13">
            <w:pPr>
              <w:rPr>
                <w:rFonts w:asciiTheme="minorHAnsi" w:hAnsiTheme="minorHAnsi" w:cstheme="minorHAnsi"/>
                <w:sz w:val="20"/>
                <w:szCs w:val="20"/>
              </w:rPr>
            </w:pPr>
            <w:r>
              <w:rPr>
                <w:rFonts w:asciiTheme="minorHAnsi" w:hAnsiTheme="minorHAnsi" w:cstheme="minorHAnsi"/>
                <w:sz w:val="20"/>
                <w:szCs w:val="20"/>
              </w:rPr>
              <w:t>See item 2 for g</w:t>
            </w:r>
            <w:r w:rsidR="00036FAE" w:rsidRPr="00762402">
              <w:rPr>
                <w:rFonts w:asciiTheme="minorHAnsi" w:hAnsiTheme="minorHAnsi" w:cstheme="minorHAnsi"/>
                <w:sz w:val="20"/>
                <w:szCs w:val="20"/>
              </w:rPr>
              <w:t>eneral overview of process</w:t>
            </w:r>
            <w:r>
              <w:rPr>
                <w:rFonts w:asciiTheme="minorHAnsi" w:hAnsiTheme="minorHAnsi" w:cstheme="minorHAnsi"/>
                <w:sz w:val="20"/>
                <w:szCs w:val="20"/>
              </w:rPr>
              <w:t>.</w:t>
            </w:r>
          </w:p>
        </w:tc>
        <w:tc>
          <w:tcPr>
            <w:tcW w:w="3119" w:type="dxa"/>
          </w:tcPr>
          <w:p w14:paraId="392BFFA5" w14:textId="77777777" w:rsidR="00036FAE" w:rsidRPr="00762402" w:rsidRDefault="00036FAE" w:rsidP="00E628B6">
            <w:pPr>
              <w:rPr>
                <w:rFonts w:asciiTheme="minorHAnsi" w:hAnsiTheme="minorHAnsi" w:cstheme="minorHAnsi"/>
                <w:sz w:val="20"/>
                <w:szCs w:val="20"/>
              </w:rPr>
            </w:pPr>
          </w:p>
        </w:tc>
      </w:tr>
      <w:tr w:rsidR="00036FAE" w:rsidRPr="00762402" w14:paraId="731B571D" w14:textId="77777777" w:rsidTr="007D5786">
        <w:trPr>
          <w:trHeight w:val="646"/>
        </w:trPr>
        <w:tc>
          <w:tcPr>
            <w:tcW w:w="809" w:type="dxa"/>
            <w:vMerge w:val="restart"/>
          </w:tcPr>
          <w:p w14:paraId="2B2C6B6F" w14:textId="77777777" w:rsidR="00036FAE" w:rsidRPr="00762402" w:rsidRDefault="00036FAE" w:rsidP="007D5786">
            <w:pPr>
              <w:jc w:val="center"/>
              <w:rPr>
                <w:rFonts w:asciiTheme="minorHAnsi" w:hAnsiTheme="minorHAnsi" w:cstheme="minorHAnsi"/>
                <w:b/>
                <w:bCs/>
                <w:sz w:val="20"/>
                <w:szCs w:val="20"/>
              </w:rPr>
            </w:pPr>
            <w:r w:rsidRPr="00762402">
              <w:rPr>
                <w:rFonts w:asciiTheme="minorHAnsi" w:hAnsiTheme="minorHAnsi" w:cstheme="minorHAnsi"/>
                <w:b/>
                <w:bCs/>
                <w:sz w:val="20"/>
                <w:szCs w:val="20"/>
              </w:rPr>
              <w:t>10</w:t>
            </w:r>
          </w:p>
        </w:tc>
        <w:tc>
          <w:tcPr>
            <w:tcW w:w="2593" w:type="dxa"/>
            <w:vMerge w:val="restart"/>
          </w:tcPr>
          <w:p w14:paraId="62224A87" w14:textId="77777777" w:rsidR="00036FAE" w:rsidRPr="00762402" w:rsidRDefault="00036FAE" w:rsidP="00E628B6">
            <w:pPr>
              <w:rPr>
                <w:rFonts w:asciiTheme="minorHAnsi" w:hAnsiTheme="minorHAnsi" w:cstheme="minorHAnsi"/>
                <w:b/>
                <w:bCs/>
                <w:sz w:val="20"/>
                <w:szCs w:val="20"/>
              </w:rPr>
            </w:pPr>
            <w:r w:rsidRPr="00762402">
              <w:rPr>
                <w:rFonts w:asciiTheme="minorHAnsi" w:hAnsiTheme="minorHAnsi" w:cstheme="minorHAnsi"/>
                <w:b/>
                <w:bCs/>
                <w:sz w:val="20"/>
                <w:szCs w:val="20"/>
              </w:rPr>
              <w:t>Transfers and Dealings</w:t>
            </w:r>
          </w:p>
          <w:p w14:paraId="6E790274" w14:textId="76758B8A" w:rsidR="00036FAE" w:rsidRDefault="00036FAE" w:rsidP="00E628B6">
            <w:pPr>
              <w:rPr>
                <w:rFonts w:asciiTheme="minorHAnsi" w:hAnsiTheme="minorHAnsi" w:cstheme="minorHAnsi"/>
                <w:sz w:val="20"/>
                <w:szCs w:val="20"/>
              </w:rPr>
            </w:pPr>
            <w:r w:rsidRPr="00762402">
              <w:rPr>
                <w:rFonts w:asciiTheme="minorHAnsi" w:hAnsiTheme="minorHAnsi" w:cstheme="minorHAnsi"/>
                <w:sz w:val="20"/>
                <w:szCs w:val="20"/>
              </w:rPr>
              <w:t>(</w:t>
            </w:r>
            <w:r w:rsidR="00216413">
              <w:rPr>
                <w:rFonts w:asciiTheme="minorHAnsi" w:hAnsiTheme="minorHAnsi" w:cstheme="minorHAnsi"/>
                <w:sz w:val="20"/>
                <w:szCs w:val="20"/>
              </w:rPr>
              <w:t>Chapter 4 and Chapter 5</w:t>
            </w:r>
            <w:r w:rsidRPr="00762402">
              <w:rPr>
                <w:rFonts w:asciiTheme="minorHAnsi" w:hAnsiTheme="minorHAnsi" w:cstheme="minorHAnsi"/>
                <w:sz w:val="20"/>
                <w:szCs w:val="20"/>
              </w:rPr>
              <w:t>)</w:t>
            </w:r>
          </w:p>
          <w:p w14:paraId="3192272F" w14:textId="4176CE2C" w:rsidR="00216413" w:rsidRPr="00146A13" w:rsidRDefault="00216413" w:rsidP="00146A13">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For petroleum and GHG</w:t>
            </w:r>
          </w:p>
          <w:p w14:paraId="589208A4" w14:textId="4DCA76D0" w:rsidR="00216413" w:rsidRPr="00762402" w:rsidRDefault="00216413" w:rsidP="00E628B6">
            <w:pPr>
              <w:rPr>
                <w:rFonts w:asciiTheme="minorHAnsi" w:hAnsiTheme="minorHAnsi" w:cstheme="minorHAnsi"/>
                <w:sz w:val="20"/>
                <w:szCs w:val="20"/>
              </w:rPr>
            </w:pPr>
          </w:p>
        </w:tc>
        <w:tc>
          <w:tcPr>
            <w:tcW w:w="7513" w:type="dxa"/>
          </w:tcPr>
          <w:p w14:paraId="75624F1F" w14:textId="16772492" w:rsidR="00036FAE" w:rsidRPr="00762402" w:rsidRDefault="00036FAE" w:rsidP="00E628B6">
            <w:pPr>
              <w:rPr>
                <w:rFonts w:asciiTheme="minorHAnsi" w:hAnsiTheme="minorHAnsi" w:cstheme="minorHAnsi"/>
                <w:b/>
                <w:bCs/>
                <w:i/>
                <w:iCs/>
                <w:sz w:val="20"/>
                <w:szCs w:val="20"/>
              </w:rPr>
            </w:pPr>
            <w:r w:rsidRPr="00762402">
              <w:rPr>
                <w:rFonts w:asciiTheme="minorHAnsi" w:hAnsiTheme="minorHAnsi" w:cstheme="minorHAnsi"/>
                <w:b/>
                <w:bCs/>
                <w:i/>
                <w:iCs/>
                <w:sz w:val="20"/>
                <w:szCs w:val="20"/>
              </w:rPr>
              <w:t>Transfer of title</w:t>
            </w:r>
          </w:p>
          <w:p w14:paraId="0AF74D9F" w14:textId="77777777" w:rsidR="00216413" w:rsidRDefault="00216413" w:rsidP="00216413">
            <w:pPr>
              <w:rPr>
                <w:rFonts w:asciiTheme="minorHAnsi" w:hAnsiTheme="minorHAnsi" w:cstheme="minorHAnsi"/>
                <w:b/>
                <w:bCs/>
                <w:i/>
                <w:iCs/>
                <w:sz w:val="20"/>
                <w:szCs w:val="20"/>
              </w:rPr>
            </w:pPr>
            <w:r w:rsidRPr="00762402">
              <w:rPr>
                <w:rFonts w:asciiTheme="minorHAnsi" w:hAnsiTheme="minorHAnsi" w:cstheme="minorHAnsi"/>
                <w:b/>
                <w:bCs/>
                <w:i/>
                <w:iCs/>
                <w:sz w:val="20"/>
                <w:szCs w:val="20"/>
              </w:rPr>
              <w:t>Dealings affecting an existing title, future title</w:t>
            </w:r>
          </w:p>
          <w:p w14:paraId="1423B812" w14:textId="73C2BD31" w:rsidR="00216413" w:rsidRDefault="00216413" w:rsidP="00216413">
            <w:pPr>
              <w:rPr>
                <w:rFonts w:asciiTheme="minorHAnsi" w:hAnsiTheme="minorHAnsi" w:cstheme="minorHAnsi"/>
                <w:b/>
                <w:bCs/>
                <w:i/>
                <w:iCs/>
                <w:sz w:val="20"/>
                <w:szCs w:val="20"/>
              </w:rPr>
            </w:pPr>
            <w:r>
              <w:rPr>
                <w:rFonts w:asciiTheme="minorHAnsi" w:hAnsiTheme="minorHAnsi" w:cstheme="minorHAnsi"/>
                <w:sz w:val="20"/>
                <w:szCs w:val="20"/>
              </w:rPr>
              <w:t>See item 2 for g</w:t>
            </w:r>
            <w:r w:rsidR="00036FAE" w:rsidRPr="00762402">
              <w:rPr>
                <w:rFonts w:asciiTheme="minorHAnsi" w:hAnsiTheme="minorHAnsi" w:cstheme="minorHAnsi"/>
                <w:sz w:val="20"/>
                <w:szCs w:val="20"/>
              </w:rPr>
              <w:t>eneral overview of process</w:t>
            </w:r>
            <w:r>
              <w:rPr>
                <w:rFonts w:asciiTheme="minorHAnsi" w:hAnsiTheme="minorHAnsi" w:cstheme="minorHAnsi"/>
                <w:sz w:val="20"/>
                <w:szCs w:val="20"/>
              </w:rPr>
              <w:t>.</w:t>
            </w:r>
            <w:r>
              <w:rPr>
                <w:rFonts w:asciiTheme="minorHAnsi" w:hAnsiTheme="minorHAnsi" w:cstheme="minorHAnsi"/>
                <w:b/>
                <w:bCs/>
                <w:i/>
                <w:iCs/>
                <w:sz w:val="20"/>
                <w:szCs w:val="20"/>
              </w:rPr>
              <w:t xml:space="preserve"> </w:t>
            </w:r>
          </w:p>
          <w:p w14:paraId="5042FEAE" w14:textId="77777777" w:rsidR="00216413" w:rsidRDefault="00216413" w:rsidP="00216413">
            <w:pPr>
              <w:rPr>
                <w:rFonts w:asciiTheme="minorHAnsi" w:hAnsiTheme="minorHAnsi" w:cstheme="minorHAnsi"/>
                <w:b/>
                <w:bCs/>
                <w:i/>
                <w:iCs/>
                <w:sz w:val="20"/>
                <w:szCs w:val="20"/>
              </w:rPr>
            </w:pPr>
          </w:p>
          <w:p w14:paraId="09D3BA3A" w14:textId="48FE68CB" w:rsidR="00216413" w:rsidRPr="00F64D91" w:rsidRDefault="00216413" w:rsidP="00216413">
            <w:pPr>
              <w:rPr>
                <w:rFonts w:asciiTheme="minorHAnsi" w:hAnsiTheme="minorHAnsi" w:cstheme="minorHAnsi"/>
                <w:b/>
                <w:bCs/>
                <w:sz w:val="20"/>
                <w:szCs w:val="20"/>
              </w:rPr>
            </w:pPr>
            <w:r>
              <w:rPr>
                <w:rFonts w:asciiTheme="minorHAnsi" w:hAnsiTheme="minorHAnsi" w:cstheme="minorHAnsi"/>
                <w:b/>
                <w:bCs/>
                <w:i/>
                <w:iCs/>
                <w:sz w:val="20"/>
                <w:szCs w:val="20"/>
              </w:rPr>
              <w:t>C</w:t>
            </w:r>
            <w:r w:rsidRPr="00762402">
              <w:rPr>
                <w:rFonts w:asciiTheme="minorHAnsi" w:hAnsiTheme="minorHAnsi" w:cstheme="minorHAnsi"/>
                <w:b/>
                <w:bCs/>
                <w:i/>
                <w:iCs/>
                <w:sz w:val="20"/>
                <w:szCs w:val="20"/>
              </w:rPr>
              <w:t>hange of company name</w:t>
            </w:r>
            <w:r>
              <w:rPr>
                <w:rFonts w:asciiTheme="minorHAnsi" w:hAnsiTheme="minorHAnsi" w:cstheme="minorHAnsi"/>
                <w:b/>
                <w:bCs/>
                <w:i/>
                <w:iCs/>
                <w:sz w:val="20"/>
                <w:szCs w:val="20"/>
              </w:rPr>
              <w:t xml:space="preserve"> </w:t>
            </w:r>
          </w:p>
          <w:p w14:paraId="0430A5E9" w14:textId="77777777" w:rsidR="00216413" w:rsidRPr="00762402" w:rsidRDefault="00216413" w:rsidP="00216413">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bCs/>
                <w:iCs/>
                <w:sz w:val="20"/>
                <w:szCs w:val="20"/>
              </w:rPr>
              <w:t>Receipt</w:t>
            </w:r>
            <w:r w:rsidRPr="00762402">
              <w:rPr>
                <w:rFonts w:asciiTheme="minorHAnsi" w:hAnsiTheme="minorHAnsi" w:cstheme="minorHAnsi"/>
                <w:sz w:val="20"/>
                <w:szCs w:val="20"/>
              </w:rPr>
              <w:t xml:space="preserve"> of application </w:t>
            </w:r>
          </w:p>
          <w:p w14:paraId="59598B39" w14:textId="77777777" w:rsidR="00216413" w:rsidRPr="00762402" w:rsidRDefault="00216413" w:rsidP="00216413">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assessment of application </w:t>
            </w:r>
          </w:p>
          <w:p w14:paraId="5B3EF0A8" w14:textId="17996CF7" w:rsidR="00216413" w:rsidRDefault="00216413" w:rsidP="00216413">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implement </w:t>
            </w:r>
            <w:r>
              <w:rPr>
                <w:rFonts w:asciiTheme="minorHAnsi" w:hAnsiTheme="minorHAnsi" w:cstheme="minorHAnsi"/>
                <w:sz w:val="20"/>
                <w:szCs w:val="20"/>
              </w:rPr>
              <w:t xml:space="preserve">the </w:t>
            </w:r>
            <w:r w:rsidRPr="00762402">
              <w:rPr>
                <w:rFonts w:asciiTheme="minorHAnsi" w:hAnsiTheme="minorHAnsi" w:cstheme="minorHAnsi"/>
                <w:sz w:val="20"/>
                <w:szCs w:val="20"/>
              </w:rPr>
              <w:t xml:space="preserve">decision </w:t>
            </w:r>
          </w:p>
          <w:p w14:paraId="73F5EB43" w14:textId="4FFF9595" w:rsidR="00216413" w:rsidRPr="00762402" w:rsidRDefault="00216413" w:rsidP="00216413">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maintain the register</w:t>
            </w:r>
          </w:p>
          <w:p w14:paraId="18A34CE7" w14:textId="6AE04541" w:rsidR="00216413" w:rsidRDefault="00216413" w:rsidP="00216413">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dissemination of information </w:t>
            </w:r>
          </w:p>
          <w:p w14:paraId="56DDF175" w14:textId="584758DC" w:rsidR="00036FAE" w:rsidRPr="00243708" w:rsidRDefault="00216413" w:rsidP="00146A13">
            <w:pPr>
              <w:pStyle w:val="ListParagraph"/>
              <w:numPr>
                <w:ilvl w:val="0"/>
                <w:numId w:val="6"/>
              </w:numPr>
              <w:ind w:left="337" w:hanging="337"/>
              <w:rPr>
                <w:rFonts w:asciiTheme="minorHAnsi" w:hAnsiTheme="minorHAnsi" w:cstheme="minorHAnsi"/>
                <w:sz w:val="20"/>
                <w:szCs w:val="20"/>
              </w:rPr>
            </w:pPr>
            <w:r w:rsidRPr="009E4971">
              <w:rPr>
                <w:rFonts w:asciiTheme="minorHAnsi" w:hAnsiTheme="minorHAnsi" w:cstheme="minorHAnsi"/>
                <w:sz w:val="20"/>
                <w:szCs w:val="20"/>
              </w:rPr>
              <w:lastRenderedPageBreak/>
              <w:t>develop/maintain guidance material for applicant</w:t>
            </w:r>
            <w:r w:rsidR="00243708">
              <w:rPr>
                <w:rFonts w:asciiTheme="minorHAnsi" w:hAnsiTheme="minorHAnsi" w:cstheme="minorHAnsi"/>
                <w:sz w:val="20"/>
                <w:szCs w:val="20"/>
              </w:rPr>
              <w:t>s</w:t>
            </w:r>
          </w:p>
        </w:tc>
        <w:tc>
          <w:tcPr>
            <w:tcW w:w="3119" w:type="dxa"/>
          </w:tcPr>
          <w:p w14:paraId="44439845" w14:textId="77777777" w:rsidR="00216413" w:rsidRPr="00C353A0" w:rsidRDefault="00216413" w:rsidP="00146A13">
            <w:pPr>
              <w:rPr>
                <w:rFonts w:asciiTheme="minorHAnsi" w:hAnsiTheme="minorHAnsi" w:cstheme="minorHAnsi"/>
                <w:b/>
                <w:bCs/>
                <w:sz w:val="20"/>
                <w:szCs w:val="20"/>
              </w:rPr>
            </w:pPr>
            <w:r w:rsidRPr="00C353A0">
              <w:rPr>
                <w:rFonts w:asciiTheme="minorHAnsi" w:hAnsiTheme="minorHAnsi" w:cstheme="minorHAnsi"/>
                <w:b/>
                <w:bCs/>
                <w:sz w:val="20"/>
                <w:szCs w:val="20"/>
              </w:rPr>
              <w:lastRenderedPageBreak/>
              <w:t>For transfers</w:t>
            </w:r>
          </w:p>
          <w:p w14:paraId="1B84FC75" w14:textId="4103F13B" w:rsidR="00036FAE" w:rsidRPr="00762402" w:rsidRDefault="00216413" w:rsidP="00216413">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w:t>
            </w:r>
            <w:r w:rsidR="00036FAE" w:rsidRPr="00762402">
              <w:rPr>
                <w:rFonts w:asciiTheme="minorHAnsi" w:hAnsiTheme="minorHAnsi" w:cstheme="minorHAnsi"/>
                <w:sz w:val="20"/>
                <w:szCs w:val="20"/>
              </w:rPr>
              <w:t xml:space="preserve">ssessment </w:t>
            </w:r>
            <w:r w:rsidR="00036FAE">
              <w:rPr>
                <w:rFonts w:asciiTheme="minorHAnsi" w:hAnsiTheme="minorHAnsi" w:cstheme="minorHAnsi"/>
                <w:sz w:val="20"/>
                <w:szCs w:val="20"/>
              </w:rPr>
              <w:t>of the f</w:t>
            </w:r>
            <w:r w:rsidR="00036FAE" w:rsidRPr="00762402">
              <w:rPr>
                <w:rFonts w:asciiTheme="minorHAnsi" w:hAnsiTheme="minorHAnsi" w:cstheme="minorHAnsi"/>
                <w:sz w:val="20"/>
                <w:szCs w:val="20"/>
              </w:rPr>
              <w:t xml:space="preserve">inancial </w:t>
            </w:r>
            <w:r w:rsidR="00036FAE">
              <w:rPr>
                <w:rFonts w:asciiTheme="minorHAnsi" w:hAnsiTheme="minorHAnsi" w:cstheme="minorHAnsi"/>
                <w:sz w:val="20"/>
                <w:szCs w:val="20"/>
              </w:rPr>
              <w:t xml:space="preserve">resources </w:t>
            </w:r>
            <w:r w:rsidR="00036FAE" w:rsidRPr="00762402">
              <w:rPr>
                <w:rFonts w:asciiTheme="minorHAnsi" w:hAnsiTheme="minorHAnsi" w:cstheme="minorHAnsi"/>
                <w:sz w:val="20"/>
                <w:szCs w:val="20"/>
              </w:rPr>
              <w:t xml:space="preserve">and technical </w:t>
            </w:r>
            <w:r w:rsidR="00036FAE">
              <w:rPr>
                <w:rFonts w:asciiTheme="minorHAnsi" w:hAnsiTheme="minorHAnsi" w:cstheme="minorHAnsi"/>
                <w:sz w:val="20"/>
                <w:szCs w:val="20"/>
              </w:rPr>
              <w:t>advice available to the applicant</w:t>
            </w:r>
            <w:r w:rsidR="00243708">
              <w:rPr>
                <w:rFonts w:asciiTheme="minorHAnsi" w:hAnsiTheme="minorHAnsi" w:cstheme="minorHAnsi"/>
                <w:sz w:val="20"/>
                <w:szCs w:val="20"/>
              </w:rPr>
              <w:t>.</w:t>
            </w:r>
            <w:r w:rsidR="00036FAE" w:rsidRPr="00762402">
              <w:rPr>
                <w:rFonts w:asciiTheme="minorHAnsi" w:hAnsiTheme="minorHAnsi" w:cstheme="minorHAnsi"/>
                <w:sz w:val="20"/>
                <w:szCs w:val="20"/>
              </w:rPr>
              <w:t xml:space="preserve"> </w:t>
            </w:r>
          </w:p>
          <w:p w14:paraId="57D5DE02" w14:textId="4DDBC2EF"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Extended decision-making criteria (</w:t>
            </w:r>
            <w:r w:rsidR="00216413">
              <w:rPr>
                <w:rFonts w:asciiTheme="minorHAnsi" w:hAnsiTheme="minorHAnsi" w:cstheme="minorHAnsi"/>
                <w:sz w:val="20"/>
                <w:szCs w:val="20"/>
              </w:rPr>
              <w:t>Chapter 6</w:t>
            </w:r>
            <w:r>
              <w:rPr>
                <w:rFonts w:asciiTheme="minorHAnsi" w:hAnsiTheme="minorHAnsi" w:cstheme="minorHAnsi"/>
                <w:sz w:val="20"/>
                <w:szCs w:val="20"/>
              </w:rPr>
              <w:t>, section 695YB)</w:t>
            </w:r>
            <w:r w:rsidRPr="00762402">
              <w:rPr>
                <w:rFonts w:asciiTheme="minorHAnsi" w:hAnsiTheme="minorHAnsi" w:cstheme="minorHAnsi"/>
                <w:sz w:val="20"/>
                <w:szCs w:val="20"/>
              </w:rPr>
              <w:t xml:space="preserve">. </w:t>
            </w:r>
          </w:p>
          <w:p w14:paraId="42B2D3D5" w14:textId="77777777" w:rsidR="00036FAE" w:rsidRPr="00762402" w:rsidRDefault="00036FAE" w:rsidP="00E628B6">
            <w:pPr>
              <w:rPr>
                <w:rFonts w:asciiTheme="minorHAnsi" w:hAnsiTheme="minorHAnsi" w:cstheme="minorHAnsi"/>
                <w:sz w:val="20"/>
                <w:szCs w:val="20"/>
              </w:rPr>
            </w:pPr>
          </w:p>
          <w:p w14:paraId="61757BCD" w14:textId="77777777" w:rsidR="00036FAE" w:rsidRPr="00762402" w:rsidRDefault="00036FAE" w:rsidP="00E628B6">
            <w:pPr>
              <w:rPr>
                <w:rFonts w:asciiTheme="minorHAnsi" w:hAnsiTheme="minorHAnsi" w:cstheme="minorHAnsi"/>
                <w:sz w:val="20"/>
                <w:szCs w:val="20"/>
              </w:rPr>
            </w:pPr>
          </w:p>
        </w:tc>
      </w:tr>
      <w:tr w:rsidR="00036FAE" w:rsidRPr="00762402" w14:paraId="5D38D179" w14:textId="77777777" w:rsidTr="007D5786">
        <w:trPr>
          <w:trHeight w:val="645"/>
        </w:trPr>
        <w:tc>
          <w:tcPr>
            <w:tcW w:w="809" w:type="dxa"/>
            <w:vMerge/>
          </w:tcPr>
          <w:p w14:paraId="2679E014" w14:textId="77777777" w:rsidR="00036FAE" w:rsidRPr="00762402" w:rsidRDefault="00036FAE" w:rsidP="007D5786">
            <w:pPr>
              <w:jc w:val="center"/>
              <w:rPr>
                <w:rFonts w:asciiTheme="minorHAnsi" w:hAnsiTheme="minorHAnsi" w:cstheme="minorHAnsi"/>
                <w:b/>
                <w:sz w:val="20"/>
                <w:szCs w:val="20"/>
              </w:rPr>
            </w:pPr>
          </w:p>
        </w:tc>
        <w:tc>
          <w:tcPr>
            <w:tcW w:w="2593" w:type="dxa"/>
            <w:vMerge/>
          </w:tcPr>
          <w:p w14:paraId="2C96137E" w14:textId="77777777" w:rsidR="00036FAE" w:rsidRPr="00762402" w:rsidRDefault="00036FAE" w:rsidP="00E628B6">
            <w:pPr>
              <w:rPr>
                <w:rFonts w:asciiTheme="minorHAnsi" w:hAnsiTheme="minorHAnsi" w:cstheme="minorHAnsi"/>
                <w:b/>
                <w:sz w:val="20"/>
                <w:szCs w:val="20"/>
              </w:rPr>
            </w:pPr>
          </w:p>
        </w:tc>
        <w:tc>
          <w:tcPr>
            <w:tcW w:w="7513" w:type="dxa"/>
          </w:tcPr>
          <w:p w14:paraId="14769368" w14:textId="77777777" w:rsidR="00036FAE" w:rsidRPr="00762402" w:rsidRDefault="00036FAE" w:rsidP="00E628B6">
            <w:pPr>
              <w:rPr>
                <w:rFonts w:asciiTheme="minorHAnsi" w:hAnsiTheme="minorHAnsi" w:cstheme="minorHAnsi"/>
                <w:b/>
                <w:bCs/>
                <w:i/>
                <w:iCs/>
                <w:sz w:val="20"/>
                <w:szCs w:val="20"/>
              </w:rPr>
            </w:pPr>
          </w:p>
        </w:tc>
        <w:tc>
          <w:tcPr>
            <w:tcW w:w="3119" w:type="dxa"/>
          </w:tcPr>
          <w:p w14:paraId="2401ACF6" w14:textId="77777777" w:rsidR="00036FAE" w:rsidRPr="00762402" w:rsidRDefault="00036FAE" w:rsidP="00E628B6">
            <w:pPr>
              <w:rPr>
                <w:rFonts w:asciiTheme="minorHAnsi" w:hAnsiTheme="minorHAnsi" w:cstheme="minorHAnsi"/>
                <w:sz w:val="20"/>
                <w:szCs w:val="20"/>
              </w:rPr>
            </w:pPr>
            <w:r w:rsidRPr="00762402">
              <w:rPr>
                <w:rFonts w:asciiTheme="minorHAnsi" w:hAnsiTheme="minorHAnsi" w:cstheme="minorHAnsi"/>
                <w:b/>
                <w:sz w:val="20"/>
                <w:szCs w:val="20"/>
              </w:rPr>
              <w:t>Change of Company Control</w:t>
            </w:r>
          </w:p>
          <w:p w14:paraId="6F552B56" w14:textId="0526D7A6"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Receipt of application</w:t>
            </w:r>
          </w:p>
          <w:p w14:paraId="316C7782" w14:textId="6818070C"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w:t>
            </w:r>
            <w:r w:rsidRPr="00762402">
              <w:rPr>
                <w:rFonts w:asciiTheme="minorHAnsi" w:hAnsiTheme="minorHAnsi" w:cstheme="minorHAnsi"/>
                <w:sz w:val="20"/>
                <w:szCs w:val="20"/>
              </w:rPr>
              <w:t xml:space="preserve">ssessment </w:t>
            </w:r>
            <w:r>
              <w:rPr>
                <w:rFonts w:asciiTheme="minorHAnsi" w:hAnsiTheme="minorHAnsi" w:cstheme="minorHAnsi"/>
                <w:sz w:val="20"/>
                <w:szCs w:val="20"/>
              </w:rPr>
              <w:t xml:space="preserve">of </w:t>
            </w:r>
            <w:r w:rsidR="00147957">
              <w:rPr>
                <w:rFonts w:asciiTheme="minorHAnsi" w:hAnsiTheme="minorHAnsi" w:cstheme="minorHAnsi"/>
                <w:sz w:val="20"/>
                <w:szCs w:val="20"/>
              </w:rPr>
              <w:t>application</w:t>
            </w:r>
            <w:r w:rsidRPr="00762402">
              <w:rPr>
                <w:rFonts w:asciiTheme="minorHAnsi" w:hAnsiTheme="minorHAnsi" w:cstheme="minorHAnsi"/>
                <w:sz w:val="20"/>
                <w:szCs w:val="20"/>
              </w:rPr>
              <w:t xml:space="preserve"> </w:t>
            </w:r>
          </w:p>
          <w:p w14:paraId="626D4FB9" w14:textId="77777777" w:rsidR="00147957" w:rsidRPr="00762402" w:rsidRDefault="00147957" w:rsidP="00147957">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Receipt of application </w:t>
            </w:r>
          </w:p>
          <w:p w14:paraId="169860E0" w14:textId="77777777" w:rsidR="00147957" w:rsidRPr="00762402" w:rsidRDefault="00147957" w:rsidP="00147957">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assessment of application </w:t>
            </w:r>
            <w:r>
              <w:rPr>
                <w:rFonts w:asciiTheme="minorHAnsi" w:hAnsiTheme="minorHAnsi" w:cstheme="minorHAnsi"/>
                <w:sz w:val="20"/>
                <w:szCs w:val="20"/>
              </w:rPr>
              <w:t>(including any procedural fairness requirements)</w:t>
            </w:r>
          </w:p>
          <w:p w14:paraId="6EC91DBB" w14:textId="77777777" w:rsidR="00147957" w:rsidRPr="00762402" w:rsidRDefault="00147957" w:rsidP="00147957">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consultation with NOPSEMA (where applicable) </w:t>
            </w:r>
          </w:p>
          <w:p w14:paraId="34867D27" w14:textId="77777777" w:rsidR="00147957" w:rsidRPr="00762402" w:rsidRDefault="00147957" w:rsidP="00147957">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implement </w:t>
            </w:r>
            <w:r>
              <w:rPr>
                <w:rFonts w:asciiTheme="minorHAnsi" w:hAnsiTheme="minorHAnsi" w:cstheme="minorHAnsi"/>
                <w:sz w:val="20"/>
                <w:szCs w:val="20"/>
              </w:rPr>
              <w:t xml:space="preserve">the </w:t>
            </w:r>
            <w:r w:rsidRPr="00762402">
              <w:rPr>
                <w:rFonts w:asciiTheme="minorHAnsi" w:hAnsiTheme="minorHAnsi" w:cstheme="minorHAnsi"/>
                <w:sz w:val="20"/>
                <w:szCs w:val="20"/>
              </w:rPr>
              <w:t xml:space="preserve">decision </w:t>
            </w:r>
          </w:p>
          <w:p w14:paraId="267C2280" w14:textId="77777777" w:rsidR="00147957" w:rsidRPr="00762402" w:rsidRDefault="00147957" w:rsidP="00147957">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dissemination of information </w:t>
            </w:r>
          </w:p>
          <w:p w14:paraId="03446078" w14:textId="77777777" w:rsidR="00147957" w:rsidRDefault="00147957" w:rsidP="00147957">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maintain the title register </w:t>
            </w:r>
          </w:p>
          <w:p w14:paraId="71359882" w14:textId="77777777" w:rsidR="00147957" w:rsidRPr="00762402" w:rsidRDefault="00147957" w:rsidP="00147957">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gazettal of event (where applicable)</w:t>
            </w:r>
          </w:p>
          <w:p w14:paraId="1C396F3E" w14:textId="35B6C83D" w:rsidR="00147957" w:rsidRDefault="00147957" w:rsidP="00A174D5">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develop/maintain guidance material for applicants</w:t>
            </w:r>
          </w:p>
          <w:p w14:paraId="26671FB9" w14:textId="52B2CC0E" w:rsidR="00036FAE" w:rsidRPr="00762402" w:rsidRDefault="00036FAE" w:rsidP="00146A13"/>
        </w:tc>
      </w:tr>
      <w:tr w:rsidR="00036FAE" w:rsidRPr="00762402" w14:paraId="38620356" w14:textId="77777777" w:rsidTr="007D5786">
        <w:trPr>
          <w:trHeight w:val="645"/>
        </w:trPr>
        <w:tc>
          <w:tcPr>
            <w:tcW w:w="809" w:type="dxa"/>
          </w:tcPr>
          <w:p w14:paraId="67C903EB" w14:textId="77777777" w:rsidR="00036FAE" w:rsidRPr="00762402" w:rsidRDefault="00036FAE" w:rsidP="007D5786">
            <w:pPr>
              <w:jc w:val="center"/>
              <w:rPr>
                <w:rFonts w:asciiTheme="minorHAnsi" w:hAnsiTheme="minorHAnsi" w:cstheme="minorHAnsi"/>
                <w:b/>
                <w:sz w:val="20"/>
                <w:szCs w:val="20"/>
              </w:rPr>
            </w:pPr>
            <w:r w:rsidRPr="00762402">
              <w:rPr>
                <w:rFonts w:asciiTheme="minorHAnsi" w:hAnsiTheme="minorHAnsi" w:cstheme="minorHAnsi"/>
                <w:b/>
                <w:sz w:val="20"/>
                <w:szCs w:val="20"/>
              </w:rPr>
              <w:t>11</w:t>
            </w:r>
          </w:p>
        </w:tc>
        <w:tc>
          <w:tcPr>
            <w:tcW w:w="2593" w:type="dxa"/>
          </w:tcPr>
          <w:p w14:paraId="25A83CF8" w14:textId="2A4885D1" w:rsidR="00036FAE" w:rsidRPr="00762402" w:rsidRDefault="00036FAE" w:rsidP="00E628B6">
            <w:pPr>
              <w:rPr>
                <w:rFonts w:asciiTheme="minorHAnsi" w:hAnsiTheme="minorHAnsi" w:cstheme="minorHAnsi"/>
                <w:b/>
                <w:sz w:val="20"/>
                <w:szCs w:val="20"/>
              </w:rPr>
            </w:pPr>
            <w:r w:rsidRPr="00762402">
              <w:rPr>
                <w:rFonts w:asciiTheme="minorHAnsi" w:hAnsiTheme="minorHAnsi" w:cstheme="minorHAnsi"/>
                <w:b/>
                <w:sz w:val="20"/>
                <w:szCs w:val="20"/>
              </w:rPr>
              <w:t xml:space="preserve">Greenhouse Gas </w:t>
            </w:r>
            <w:r w:rsidR="00216413">
              <w:rPr>
                <w:rFonts w:asciiTheme="minorHAnsi" w:hAnsiTheme="minorHAnsi" w:cstheme="minorHAnsi"/>
                <w:b/>
                <w:sz w:val="20"/>
                <w:szCs w:val="20"/>
              </w:rPr>
              <w:t xml:space="preserve">Titles (including Cross-Boundary) </w:t>
            </w:r>
            <w:r w:rsidRPr="00762402">
              <w:rPr>
                <w:rFonts w:asciiTheme="minorHAnsi" w:hAnsiTheme="minorHAnsi" w:cstheme="minorHAnsi"/>
                <w:b/>
                <w:sz w:val="20"/>
                <w:szCs w:val="20"/>
              </w:rPr>
              <w:t>(GHG)</w:t>
            </w:r>
          </w:p>
          <w:p w14:paraId="4237AD77" w14:textId="6FE91498" w:rsidR="00036FAE" w:rsidRDefault="00036FAE" w:rsidP="00E628B6">
            <w:pPr>
              <w:rPr>
                <w:rFonts w:asciiTheme="minorHAnsi" w:hAnsiTheme="minorHAnsi" w:cstheme="minorHAnsi"/>
                <w:bCs/>
                <w:sz w:val="20"/>
                <w:szCs w:val="20"/>
              </w:rPr>
            </w:pPr>
            <w:r w:rsidRPr="00762402">
              <w:rPr>
                <w:rFonts w:asciiTheme="minorHAnsi" w:hAnsiTheme="minorHAnsi" w:cstheme="minorHAnsi"/>
                <w:bCs/>
                <w:sz w:val="20"/>
                <w:szCs w:val="20"/>
              </w:rPr>
              <w:t>(</w:t>
            </w:r>
            <w:r w:rsidR="009378A3">
              <w:rPr>
                <w:rFonts w:asciiTheme="minorHAnsi" w:hAnsiTheme="minorHAnsi" w:cstheme="minorHAnsi"/>
                <w:bCs/>
                <w:sz w:val="20"/>
                <w:szCs w:val="20"/>
              </w:rPr>
              <w:t>Chapter</w:t>
            </w:r>
            <w:r w:rsidR="00216413">
              <w:rPr>
                <w:rFonts w:asciiTheme="minorHAnsi" w:hAnsiTheme="minorHAnsi" w:cstheme="minorHAnsi"/>
                <w:bCs/>
                <w:sz w:val="20"/>
                <w:szCs w:val="20"/>
              </w:rPr>
              <w:t xml:space="preserve"> 3</w:t>
            </w:r>
            <w:r w:rsidRPr="00762402">
              <w:rPr>
                <w:rFonts w:asciiTheme="minorHAnsi" w:hAnsiTheme="minorHAnsi" w:cstheme="minorHAnsi"/>
                <w:bCs/>
                <w:sz w:val="20"/>
                <w:szCs w:val="20"/>
              </w:rPr>
              <w:t>)</w:t>
            </w:r>
          </w:p>
          <w:p w14:paraId="744E999B" w14:textId="196BC2A9" w:rsidR="00216413" w:rsidRDefault="00216413" w:rsidP="00E628B6">
            <w:pPr>
              <w:rPr>
                <w:rFonts w:asciiTheme="minorHAnsi" w:hAnsiTheme="minorHAnsi" w:cstheme="minorHAnsi"/>
                <w:bCs/>
                <w:sz w:val="20"/>
                <w:szCs w:val="20"/>
              </w:rPr>
            </w:pPr>
          </w:p>
          <w:p w14:paraId="56177F98" w14:textId="53A055C9" w:rsidR="00216413" w:rsidRDefault="00216413" w:rsidP="00216413">
            <w:pPr>
              <w:pStyle w:val="ListParagraph"/>
              <w:numPr>
                <w:ilvl w:val="0"/>
                <w:numId w:val="6"/>
              </w:numPr>
              <w:rPr>
                <w:rFonts w:asciiTheme="minorHAnsi" w:hAnsiTheme="minorHAnsi" w:cstheme="minorHAnsi"/>
                <w:bCs/>
                <w:sz w:val="20"/>
                <w:szCs w:val="20"/>
              </w:rPr>
            </w:pPr>
            <w:r>
              <w:rPr>
                <w:rFonts w:asciiTheme="minorHAnsi" w:hAnsiTheme="minorHAnsi" w:cstheme="minorHAnsi"/>
                <w:bCs/>
                <w:sz w:val="20"/>
                <w:szCs w:val="20"/>
              </w:rPr>
              <w:t>Assessment Permit</w:t>
            </w:r>
          </w:p>
          <w:p w14:paraId="3DF659C5" w14:textId="460AE602" w:rsidR="00216413" w:rsidRDefault="00216413" w:rsidP="00216413">
            <w:pPr>
              <w:rPr>
                <w:rFonts w:asciiTheme="minorHAnsi" w:hAnsiTheme="minorHAnsi" w:cstheme="minorHAnsi"/>
                <w:bCs/>
                <w:sz w:val="20"/>
                <w:szCs w:val="20"/>
              </w:rPr>
            </w:pPr>
          </w:p>
          <w:p w14:paraId="2B26C7AD" w14:textId="42BEFECE" w:rsidR="00216413" w:rsidRDefault="00216413" w:rsidP="00216413">
            <w:pPr>
              <w:pStyle w:val="ListParagraph"/>
              <w:numPr>
                <w:ilvl w:val="0"/>
                <w:numId w:val="6"/>
              </w:numPr>
              <w:rPr>
                <w:rFonts w:asciiTheme="minorHAnsi" w:hAnsiTheme="minorHAnsi" w:cstheme="minorHAnsi"/>
                <w:bCs/>
                <w:sz w:val="20"/>
                <w:szCs w:val="20"/>
              </w:rPr>
            </w:pPr>
            <w:r>
              <w:rPr>
                <w:rFonts w:asciiTheme="minorHAnsi" w:hAnsiTheme="minorHAnsi" w:cstheme="minorHAnsi"/>
                <w:bCs/>
                <w:sz w:val="20"/>
                <w:szCs w:val="20"/>
              </w:rPr>
              <w:t>Holding Lease</w:t>
            </w:r>
          </w:p>
          <w:p w14:paraId="61B49173" w14:textId="77777777" w:rsidR="00216413" w:rsidRPr="00146A13" w:rsidRDefault="00216413" w:rsidP="00146A13">
            <w:pPr>
              <w:pStyle w:val="ListParagraph"/>
              <w:rPr>
                <w:rFonts w:asciiTheme="minorHAnsi" w:hAnsiTheme="minorHAnsi" w:cstheme="minorHAnsi"/>
                <w:bCs/>
                <w:sz w:val="20"/>
                <w:szCs w:val="20"/>
              </w:rPr>
            </w:pPr>
          </w:p>
          <w:p w14:paraId="3441F72F" w14:textId="57D32A48" w:rsidR="00216413" w:rsidRPr="00146A13" w:rsidRDefault="00216413" w:rsidP="00146A13">
            <w:pPr>
              <w:pStyle w:val="ListParagraph"/>
              <w:numPr>
                <w:ilvl w:val="0"/>
                <w:numId w:val="6"/>
              </w:numPr>
              <w:rPr>
                <w:rFonts w:asciiTheme="minorHAnsi" w:hAnsiTheme="minorHAnsi" w:cstheme="minorHAnsi"/>
                <w:bCs/>
                <w:sz w:val="20"/>
                <w:szCs w:val="20"/>
              </w:rPr>
            </w:pPr>
            <w:r>
              <w:rPr>
                <w:rFonts w:asciiTheme="minorHAnsi" w:hAnsiTheme="minorHAnsi" w:cstheme="minorHAnsi"/>
                <w:bCs/>
                <w:sz w:val="20"/>
                <w:szCs w:val="20"/>
              </w:rPr>
              <w:t>Injection Licence</w:t>
            </w:r>
          </w:p>
          <w:p w14:paraId="6D0690FC" w14:textId="77777777" w:rsidR="00036FAE" w:rsidRPr="00762402" w:rsidRDefault="00036FAE" w:rsidP="00E628B6">
            <w:pPr>
              <w:rPr>
                <w:rFonts w:asciiTheme="minorHAnsi" w:hAnsiTheme="minorHAnsi" w:cstheme="minorHAnsi"/>
                <w:b/>
                <w:bCs/>
                <w:sz w:val="20"/>
                <w:szCs w:val="20"/>
              </w:rPr>
            </w:pPr>
          </w:p>
        </w:tc>
        <w:tc>
          <w:tcPr>
            <w:tcW w:w="7513" w:type="dxa"/>
          </w:tcPr>
          <w:p w14:paraId="05B77A22" w14:textId="75D031FE" w:rsidR="00216413" w:rsidRDefault="00036FAE" w:rsidP="00146A13">
            <w:pPr>
              <w:spacing w:after="120"/>
              <w:rPr>
                <w:rFonts w:asciiTheme="minorHAnsi" w:hAnsiTheme="minorHAnsi" w:cstheme="minorHAnsi"/>
                <w:b/>
                <w:bCs/>
                <w:i/>
                <w:iCs/>
                <w:sz w:val="20"/>
                <w:szCs w:val="20"/>
              </w:rPr>
            </w:pPr>
            <w:r w:rsidRPr="00762402">
              <w:rPr>
                <w:rFonts w:asciiTheme="minorHAnsi" w:hAnsiTheme="minorHAnsi" w:cstheme="minorHAnsi"/>
                <w:b/>
                <w:bCs/>
                <w:i/>
                <w:iCs/>
                <w:sz w:val="20"/>
                <w:szCs w:val="20"/>
              </w:rPr>
              <w:t>GHG assessment permits</w:t>
            </w:r>
            <w:r w:rsidR="00216413">
              <w:rPr>
                <w:rFonts w:asciiTheme="minorHAnsi" w:hAnsiTheme="minorHAnsi" w:cstheme="minorHAnsi"/>
                <w:b/>
                <w:bCs/>
                <w:i/>
                <w:iCs/>
                <w:sz w:val="20"/>
                <w:szCs w:val="20"/>
              </w:rPr>
              <w:t xml:space="preserve"> - </w:t>
            </w:r>
            <w:r w:rsidR="00216413" w:rsidRPr="00762402">
              <w:rPr>
                <w:rFonts w:asciiTheme="minorHAnsi" w:hAnsiTheme="minorHAnsi" w:cstheme="minorHAnsi"/>
                <w:b/>
                <w:bCs/>
                <w:i/>
                <w:iCs/>
                <w:sz w:val="20"/>
                <w:szCs w:val="20"/>
              </w:rPr>
              <w:t>Grant</w:t>
            </w:r>
            <w:r w:rsidR="00216413">
              <w:rPr>
                <w:rFonts w:asciiTheme="minorHAnsi" w:hAnsiTheme="minorHAnsi" w:cstheme="minorHAnsi"/>
                <w:b/>
                <w:bCs/>
                <w:i/>
                <w:iCs/>
                <w:sz w:val="20"/>
                <w:szCs w:val="20"/>
              </w:rPr>
              <w:t xml:space="preserve">, Renewal, Surrender, Expiry, Cancellation  </w:t>
            </w:r>
          </w:p>
          <w:p w14:paraId="6B20421E" w14:textId="721E4EF0" w:rsidR="00216413" w:rsidRDefault="009378A3" w:rsidP="00146A13">
            <w:pPr>
              <w:spacing w:after="120"/>
              <w:rPr>
                <w:rFonts w:asciiTheme="minorHAnsi" w:hAnsiTheme="minorHAnsi" w:cstheme="minorHAnsi"/>
                <w:b/>
                <w:bCs/>
                <w:i/>
                <w:iCs/>
                <w:sz w:val="20"/>
                <w:szCs w:val="20"/>
              </w:rPr>
            </w:pPr>
            <w:r>
              <w:rPr>
                <w:rFonts w:asciiTheme="minorHAnsi" w:hAnsiTheme="minorHAnsi" w:cstheme="minorHAnsi"/>
                <w:b/>
                <w:bCs/>
                <w:i/>
                <w:iCs/>
                <w:sz w:val="20"/>
                <w:szCs w:val="20"/>
              </w:rPr>
              <w:t>Declaration</w:t>
            </w:r>
            <w:r w:rsidR="00216413">
              <w:rPr>
                <w:rFonts w:asciiTheme="minorHAnsi" w:hAnsiTheme="minorHAnsi" w:cstheme="minorHAnsi"/>
                <w:b/>
                <w:bCs/>
                <w:i/>
                <w:iCs/>
                <w:sz w:val="20"/>
                <w:szCs w:val="20"/>
              </w:rPr>
              <w:t xml:space="preserve"> of </w:t>
            </w:r>
            <w:r w:rsidR="00036FAE" w:rsidRPr="00762402">
              <w:rPr>
                <w:rFonts w:asciiTheme="minorHAnsi" w:hAnsiTheme="minorHAnsi" w:cstheme="minorHAnsi"/>
                <w:b/>
                <w:bCs/>
                <w:i/>
                <w:iCs/>
                <w:sz w:val="20"/>
                <w:szCs w:val="20"/>
              </w:rPr>
              <w:t>identified storage formations</w:t>
            </w:r>
            <w:r w:rsidR="00216413">
              <w:rPr>
                <w:rFonts w:asciiTheme="minorHAnsi" w:hAnsiTheme="minorHAnsi" w:cstheme="minorHAnsi"/>
                <w:b/>
                <w:bCs/>
                <w:i/>
                <w:iCs/>
                <w:sz w:val="20"/>
                <w:szCs w:val="20"/>
              </w:rPr>
              <w:t xml:space="preserve">, </w:t>
            </w:r>
            <w:r w:rsidR="00036FAE" w:rsidRPr="00762402">
              <w:rPr>
                <w:rFonts w:asciiTheme="minorHAnsi" w:hAnsiTheme="minorHAnsi" w:cstheme="minorHAnsi"/>
                <w:b/>
                <w:bCs/>
                <w:i/>
                <w:iCs/>
                <w:sz w:val="20"/>
                <w:szCs w:val="20"/>
              </w:rPr>
              <w:t xml:space="preserve">variation of identified storage formations </w:t>
            </w:r>
          </w:p>
          <w:p w14:paraId="1FEEF9F6" w14:textId="7DE0A2A5" w:rsidR="00216413" w:rsidRDefault="00216413" w:rsidP="00146A13">
            <w:pPr>
              <w:spacing w:after="120"/>
              <w:rPr>
                <w:rFonts w:asciiTheme="minorHAnsi" w:hAnsiTheme="minorHAnsi" w:cstheme="minorHAnsi"/>
                <w:b/>
                <w:bCs/>
                <w:i/>
                <w:iCs/>
                <w:sz w:val="20"/>
                <w:szCs w:val="20"/>
              </w:rPr>
            </w:pPr>
            <w:r>
              <w:rPr>
                <w:rFonts w:asciiTheme="minorHAnsi" w:hAnsiTheme="minorHAnsi" w:cstheme="minorHAnsi"/>
                <w:b/>
                <w:bCs/>
                <w:i/>
                <w:iCs/>
                <w:sz w:val="20"/>
                <w:szCs w:val="20"/>
              </w:rPr>
              <w:t xml:space="preserve">GHG </w:t>
            </w:r>
            <w:r w:rsidR="00036FAE" w:rsidRPr="00762402">
              <w:rPr>
                <w:rFonts w:asciiTheme="minorHAnsi" w:hAnsiTheme="minorHAnsi" w:cstheme="minorHAnsi"/>
                <w:b/>
                <w:bCs/>
                <w:i/>
                <w:iCs/>
                <w:sz w:val="20"/>
                <w:szCs w:val="20"/>
              </w:rPr>
              <w:t>holding leases</w:t>
            </w:r>
            <w:r>
              <w:rPr>
                <w:rFonts w:asciiTheme="minorHAnsi" w:hAnsiTheme="minorHAnsi" w:cstheme="minorHAnsi"/>
                <w:b/>
                <w:bCs/>
                <w:i/>
                <w:iCs/>
                <w:sz w:val="20"/>
                <w:szCs w:val="20"/>
              </w:rPr>
              <w:t xml:space="preserve"> - </w:t>
            </w:r>
            <w:r w:rsidRPr="00762402">
              <w:rPr>
                <w:rFonts w:asciiTheme="minorHAnsi" w:hAnsiTheme="minorHAnsi" w:cstheme="minorHAnsi"/>
                <w:b/>
                <w:bCs/>
                <w:i/>
                <w:iCs/>
                <w:sz w:val="20"/>
                <w:szCs w:val="20"/>
              </w:rPr>
              <w:t>Grant</w:t>
            </w:r>
            <w:r>
              <w:rPr>
                <w:rFonts w:asciiTheme="minorHAnsi" w:hAnsiTheme="minorHAnsi" w:cstheme="minorHAnsi"/>
                <w:b/>
                <w:bCs/>
                <w:i/>
                <w:iCs/>
                <w:sz w:val="20"/>
                <w:szCs w:val="20"/>
              </w:rPr>
              <w:t xml:space="preserve">, Renewal, Revocation, Surrender, Expiry, Cancellation  </w:t>
            </w:r>
          </w:p>
          <w:p w14:paraId="35796C1F" w14:textId="483F2396" w:rsidR="00216413" w:rsidRDefault="00036FAE" w:rsidP="00146A13">
            <w:pPr>
              <w:spacing w:after="120"/>
              <w:rPr>
                <w:rFonts w:asciiTheme="minorHAnsi" w:hAnsiTheme="minorHAnsi" w:cstheme="minorHAnsi"/>
                <w:b/>
                <w:bCs/>
                <w:i/>
                <w:iCs/>
                <w:sz w:val="20"/>
                <w:szCs w:val="20"/>
              </w:rPr>
            </w:pPr>
            <w:r w:rsidRPr="00762402">
              <w:rPr>
                <w:rFonts w:asciiTheme="minorHAnsi" w:hAnsiTheme="minorHAnsi" w:cstheme="minorHAnsi"/>
                <w:b/>
                <w:bCs/>
                <w:i/>
                <w:iCs/>
                <w:sz w:val="20"/>
                <w:szCs w:val="20"/>
              </w:rPr>
              <w:t>GHG injection licences</w:t>
            </w:r>
            <w:r w:rsidR="00216413">
              <w:rPr>
                <w:rFonts w:asciiTheme="minorHAnsi" w:hAnsiTheme="minorHAnsi" w:cstheme="minorHAnsi"/>
                <w:b/>
                <w:bCs/>
                <w:i/>
                <w:iCs/>
                <w:sz w:val="20"/>
                <w:szCs w:val="20"/>
              </w:rPr>
              <w:t xml:space="preserve"> - </w:t>
            </w:r>
            <w:r w:rsidR="00216413" w:rsidRPr="00762402">
              <w:rPr>
                <w:rFonts w:asciiTheme="minorHAnsi" w:hAnsiTheme="minorHAnsi" w:cstheme="minorHAnsi"/>
                <w:b/>
                <w:bCs/>
                <w:i/>
                <w:iCs/>
                <w:sz w:val="20"/>
                <w:szCs w:val="20"/>
              </w:rPr>
              <w:t>Grant</w:t>
            </w:r>
            <w:r w:rsidR="00216413">
              <w:rPr>
                <w:rFonts w:asciiTheme="minorHAnsi" w:hAnsiTheme="minorHAnsi" w:cstheme="minorHAnsi"/>
                <w:b/>
                <w:bCs/>
                <w:i/>
                <w:iCs/>
                <w:sz w:val="20"/>
                <w:szCs w:val="20"/>
              </w:rPr>
              <w:t>, Renewal, Surrender, Termination, Cancellation, Site Plan, S</w:t>
            </w:r>
            <w:r w:rsidRPr="00762402">
              <w:rPr>
                <w:rFonts w:asciiTheme="minorHAnsi" w:hAnsiTheme="minorHAnsi" w:cstheme="minorHAnsi"/>
                <w:b/>
                <w:bCs/>
                <w:i/>
                <w:iCs/>
                <w:sz w:val="20"/>
                <w:szCs w:val="20"/>
              </w:rPr>
              <w:t xml:space="preserve">ite </w:t>
            </w:r>
            <w:r w:rsidR="00216413">
              <w:rPr>
                <w:rFonts w:asciiTheme="minorHAnsi" w:hAnsiTheme="minorHAnsi" w:cstheme="minorHAnsi"/>
                <w:b/>
                <w:bCs/>
                <w:i/>
                <w:iCs/>
                <w:sz w:val="20"/>
                <w:szCs w:val="20"/>
              </w:rPr>
              <w:t>C</w:t>
            </w:r>
            <w:r w:rsidRPr="00762402">
              <w:rPr>
                <w:rFonts w:asciiTheme="minorHAnsi" w:hAnsiTheme="minorHAnsi" w:cstheme="minorHAnsi"/>
                <w:b/>
                <w:bCs/>
                <w:i/>
                <w:iCs/>
                <w:sz w:val="20"/>
                <w:szCs w:val="20"/>
              </w:rPr>
              <w:t xml:space="preserve">losing </w:t>
            </w:r>
            <w:r w:rsidR="00216413">
              <w:rPr>
                <w:rFonts w:asciiTheme="minorHAnsi" w:hAnsiTheme="minorHAnsi" w:cstheme="minorHAnsi"/>
                <w:b/>
                <w:bCs/>
                <w:i/>
                <w:iCs/>
                <w:sz w:val="20"/>
                <w:szCs w:val="20"/>
              </w:rPr>
              <w:t>C</w:t>
            </w:r>
            <w:r w:rsidRPr="00762402">
              <w:rPr>
                <w:rFonts w:asciiTheme="minorHAnsi" w:hAnsiTheme="minorHAnsi" w:cstheme="minorHAnsi"/>
                <w:b/>
                <w:bCs/>
                <w:i/>
                <w:iCs/>
                <w:sz w:val="20"/>
                <w:szCs w:val="20"/>
              </w:rPr>
              <w:t xml:space="preserve">ertificates </w:t>
            </w:r>
          </w:p>
          <w:p w14:paraId="2FF4FCD3" w14:textId="651DCE25" w:rsidR="00036FAE" w:rsidRPr="00762402" w:rsidRDefault="00036FAE" w:rsidP="00E628B6">
            <w:pPr>
              <w:rPr>
                <w:rFonts w:asciiTheme="minorHAnsi" w:hAnsiTheme="minorHAnsi" w:cstheme="minorHAnsi"/>
                <w:b/>
                <w:bCs/>
                <w:i/>
                <w:iCs/>
                <w:sz w:val="20"/>
                <w:szCs w:val="20"/>
              </w:rPr>
            </w:pPr>
            <w:r w:rsidRPr="00762402">
              <w:rPr>
                <w:rFonts w:asciiTheme="minorHAnsi" w:hAnsiTheme="minorHAnsi" w:cstheme="minorHAnsi"/>
                <w:b/>
                <w:bCs/>
                <w:i/>
                <w:iCs/>
                <w:sz w:val="20"/>
                <w:szCs w:val="20"/>
              </w:rPr>
              <w:t>GHG search authorities</w:t>
            </w:r>
            <w:r w:rsidR="00216413">
              <w:rPr>
                <w:rFonts w:asciiTheme="minorHAnsi" w:hAnsiTheme="minorHAnsi" w:cstheme="minorHAnsi"/>
                <w:b/>
                <w:bCs/>
                <w:i/>
                <w:iCs/>
                <w:sz w:val="20"/>
                <w:szCs w:val="20"/>
              </w:rPr>
              <w:t xml:space="preserve">, </w:t>
            </w:r>
            <w:r w:rsidRPr="00762402">
              <w:rPr>
                <w:rFonts w:asciiTheme="minorHAnsi" w:hAnsiTheme="minorHAnsi" w:cstheme="minorHAnsi"/>
                <w:b/>
                <w:bCs/>
                <w:i/>
                <w:iCs/>
                <w:sz w:val="20"/>
                <w:szCs w:val="20"/>
              </w:rPr>
              <w:t>GHG special authorities</w:t>
            </w:r>
            <w:r w:rsidR="00216413">
              <w:rPr>
                <w:rFonts w:asciiTheme="minorHAnsi" w:hAnsiTheme="minorHAnsi" w:cstheme="minorHAnsi"/>
                <w:b/>
                <w:bCs/>
                <w:i/>
                <w:iCs/>
                <w:sz w:val="20"/>
                <w:szCs w:val="20"/>
              </w:rPr>
              <w:t>,</w:t>
            </w:r>
            <w:r w:rsidRPr="00762402">
              <w:rPr>
                <w:rFonts w:asciiTheme="minorHAnsi" w:hAnsiTheme="minorHAnsi" w:cstheme="minorHAnsi"/>
                <w:b/>
                <w:bCs/>
                <w:i/>
                <w:iCs/>
                <w:sz w:val="20"/>
                <w:szCs w:val="20"/>
              </w:rPr>
              <w:t xml:space="preserve"> GHG research consents</w:t>
            </w:r>
          </w:p>
          <w:p w14:paraId="6493E612" w14:textId="77777777" w:rsidR="00036FAE" w:rsidRPr="00762402" w:rsidRDefault="00036FAE" w:rsidP="00E628B6">
            <w:pPr>
              <w:rPr>
                <w:rFonts w:asciiTheme="minorHAnsi" w:hAnsiTheme="minorHAnsi" w:cstheme="minorHAnsi"/>
                <w:sz w:val="20"/>
                <w:szCs w:val="20"/>
              </w:rPr>
            </w:pPr>
          </w:p>
          <w:p w14:paraId="019FD04E" w14:textId="3D84BCD0" w:rsidR="00036FAE" w:rsidRPr="00762402" w:rsidRDefault="00216413" w:rsidP="00146A13">
            <w:pPr>
              <w:rPr>
                <w:rFonts w:asciiTheme="minorHAnsi" w:hAnsiTheme="minorHAnsi" w:cstheme="minorHAnsi"/>
                <w:b/>
                <w:bCs/>
                <w:i/>
                <w:iCs/>
                <w:sz w:val="20"/>
                <w:szCs w:val="20"/>
              </w:rPr>
            </w:pPr>
            <w:r>
              <w:rPr>
                <w:rFonts w:asciiTheme="minorHAnsi" w:hAnsiTheme="minorHAnsi" w:cstheme="minorHAnsi"/>
                <w:sz w:val="20"/>
                <w:szCs w:val="20"/>
              </w:rPr>
              <w:t>See item 2 for g</w:t>
            </w:r>
            <w:r w:rsidR="00036FAE" w:rsidRPr="00762402">
              <w:rPr>
                <w:rFonts w:asciiTheme="minorHAnsi" w:hAnsiTheme="minorHAnsi" w:cstheme="minorHAnsi"/>
                <w:sz w:val="20"/>
                <w:szCs w:val="20"/>
              </w:rPr>
              <w:t>eneral overview of process</w:t>
            </w:r>
            <w:r>
              <w:rPr>
                <w:rFonts w:asciiTheme="minorHAnsi" w:hAnsiTheme="minorHAnsi" w:cstheme="minorHAnsi"/>
                <w:sz w:val="20"/>
                <w:szCs w:val="20"/>
              </w:rPr>
              <w:t>.</w:t>
            </w:r>
          </w:p>
        </w:tc>
        <w:tc>
          <w:tcPr>
            <w:tcW w:w="3119" w:type="dxa"/>
          </w:tcPr>
          <w:p w14:paraId="6B06EC2B" w14:textId="77777777"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Assessment of financial and technical capacity (where relevant).</w:t>
            </w:r>
          </w:p>
          <w:p w14:paraId="039F116E" w14:textId="4806F51E"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Extended decision-making criteria (</w:t>
            </w:r>
            <w:r w:rsidR="00216413">
              <w:rPr>
                <w:rFonts w:asciiTheme="minorHAnsi" w:hAnsiTheme="minorHAnsi" w:cstheme="minorHAnsi"/>
                <w:sz w:val="20"/>
                <w:szCs w:val="20"/>
              </w:rPr>
              <w:t xml:space="preserve">Chapter 6 </w:t>
            </w:r>
            <w:r>
              <w:rPr>
                <w:rFonts w:asciiTheme="minorHAnsi" w:hAnsiTheme="minorHAnsi" w:cstheme="minorHAnsi"/>
                <w:sz w:val="20"/>
                <w:szCs w:val="20"/>
              </w:rPr>
              <w:t>section 695YB)</w:t>
            </w:r>
            <w:r w:rsidRPr="00762402">
              <w:rPr>
                <w:rFonts w:asciiTheme="minorHAnsi" w:hAnsiTheme="minorHAnsi" w:cstheme="minorHAnsi"/>
                <w:sz w:val="20"/>
                <w:szCs w:val="20"/>
              </w:rPr>
              <w:t xml:space="preserve">. </w:t>
            </w:r>
          </w:p>
          <w:p w14:paraId="086C65E2" w14:textId="77777777" w:rsidR="00036FAE" w:rsidRPr="00762402" w:rsidRDefault="00036FAE" w:rsidP="00E628B6">
            <w:pPr>
              <w:pStyle w:val="ListParagraph"/>
              <w:ind w:left="337"/>
              <w:rPr>
                <w:rFonts w:asciiTheme="minorHAnsi" w:hAnsiTheme="minorHAnsi" w:cstheme="minorHAnsi"/>
                <w:sz w:val="20"/>
                <w:szCs w:val="20"/>
              </w:rPr>
            </w:pPr>
            <w:r w:rsidRPr="00762402">
              <w:rPr>
                <w:rFonts w:asciiTheme="minorHAnsi" w:hAnsiTheme="minorHAnsi" w:cstheme="minorHAnsi"/>
                <w:sz w:val="20"/>
                <w:szCs w:val="20"/>
              </w:rPr>
              <w:t xml:space="preserve">(where relevant). </w:t>
            </w:r>
          </w:p>
          <w:p w14:paraId="418D3611" w14:textId="64EEF786" w:rsidR="00036FAE" w:rsidRPr="00762402" w:rsidRDefault="00036FAE" w:rsidP="00A174D5">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New change of company control application</w:t>
            </w:r>
            <w:r w:rsidR="00216413">
              <w:rPr>
                <w:rFonts w:asciiTheme="minorHAnsi" w:hAnsiTheme="minorHAnsi" w:cstheme="minorHAnsi"/>
                <w:sz w:val="20"/>
                <w:szCs w:val="20"/>
              </w:rPr>
              <w:t xml:space="preserve"> (process as above)</w:t>
            </w:r>
            <w:r w:rsidRPr="00762402">
              <w:rPr>
                <w:rFonts w:asciiTheme="minorHAnsi" w:hAnsiTheme="minorHAnsi" w:cstheme="minorHAnsi"/>
                <w:sz w:val="20"/>
                <w:szCs w:val="20"/>
              </w:rPr>
              <w:t>.</w:t>
            </w:r>
          </w:p>
          <w:p w14:paraId="615FEF08" w14:textId="77777777" w:rsidR="00036FAE" w:rsidRPr="00762402" w:rsidRDefault="00036FAE" w:rsidP="00E628B6">
            <w:pPr>
              <w:pStyle w:val="ListParagraph"/>
              <w:ind w:left="337"/>
              <w:rPr>
                <w:rFonts w:asciiTheme="minorHAnsi" w:hAnsiTheme="minorHAnsi" w:cstheme="minorHAnsi"/>
                <w:sz w:val="20"/>
                <w:szCs w:val="20"/>
              </w:rPr>
            </w:pPr>
          </w:p>
        </w:tc>
      </w:tr>
    </w:tbl>
    <w:p w14:paraId="27CF2146" w14:textId="77777777" w:rsidR="00B46AD6" w:rsidRDefault="00B46AD6" w:rsidP="00B46AD6"/>
    <w:p w14:paraId="2D523D86" w14:textId="503C401D" w:rsidR="00E35000" w:rsidRDefault="00E35000" w:rsidP="00E35000">
      <w:pPr>
        <w:ind w:left="567"/>
        <w:rPr>
          <w:rFonts w:asciiTheme="minorHAnsi" w:eastAsia="SimSun" w:hAnsiTheme="minorHAnsi"/>
          <w:b/>
          <w:bCs/>
          <w:lang w:eastAsia="en-AU"/>
        </w:rPr>
      </w:pPr>
    </w:p>
    <w:p w14:paraId="7F244B15" w14:textId="77777777" w:rsidR="00B46AD6" w:rsidRPr="00133185" w:rsidRDefault="00B46AD6" w:rsidP="00E35000">
      <w:pPr>
        <w:ind w:left="567"/>
        <w:rPr>
          <w:rFonts w:asciiTheme="minorHAnsi" w:eastAsia="SimSun" w:hAnsiTheme="minorHAnsi"/>
          <w:b/>
          <w:bCs/>
          <w:lang w:eastAsia="en-AU"/>
        </w:rPr>
      </w:pPr>
    </w:p>
    <w:p w14:paraId="4FA30D37" w14:textId="4EB80A9D" w:rsidR="00E35000" w:rsidRDefault="00E35000">
      <w:pPr>
        <w:sectPr w:rsidR="00E35000" w:rsidSect="00E35000">
          <w:pgSz w:w="16838" w:h="11906" w:orient="landscape"/>
          <w:pgMar w:top="851" w:right="720" w:bottom="720" w:left="851" w:header="708" w:footer="708" w:gutter="0"/>
          <w:cols w:space="708"/>
          <w:docGrid w:linePitch="360"/>
        </w:sectPr>
      </w:pPr>
    </w:p>
    <w:p w14:paraId="1905ADF3" w14:textId="77777777" w:rsidR="00D212A5" w:rsidRPr="00F2024B" w:rsidRDefault="00D212A5" w:rsidP="00F2024B">
      <w:pPr>
        <w:pStyle w:val="Heading2"/>
        <w:tabs>
          <w:tab w:val="clear" w:pos="576"/>
          <w:tab w:val="num" w:pos="709"/>
        </w:tabs>
        <w:ind w:left="709" w:hanging="709"/>
        <w:rPr>
          <w:rFonts w:asciiTheme="minorHAnsi" w:hAnsiTheme="minorHAnsi" w:cstheme="minorHAnsi"/>
          <w:i w:val="0"/>
          <w:iCs w:val="0"/>
        </w:rPr>
      </w:pPr>
      <w:bookmarkStart w:id="18" w:name="_Toc84844722"/>
      <w:r w:rsidRPr="00F2024B">
        <w:rPr>
          <w:rFonts w:asciiTheme="minorHAnsi" w:hAnsiTheme="minorHAnsi" w:cstheme="minorHAnsi"/>
          <w:i w:val="0"/>
          <w:iCs w:val="0"/>
        </w:rPr>
        <w:lastRenderedPageBreak/>
        <w:t>Costs of the regulatory charging activity</w:t>
      </w:r>
      <w:bookmarkEnd w:id="18"/>
    </w:p>
    <w:p w14:paraId="09EF06CB" w14:textId="77777777" w:rsidR="00D212A5" w:rsidRPr="005E2EC1" w:rsidRDefault="00D212A5" w:rsidP="00D212A5">
      <w:pPr>
        <w:rPr>
          <w:rFonts w:asciiTheme="minorHAnsi" w:hAnsiTheme="minorHAnsi" w:cstheme="minorHAnsi"/>
        </w:rPr>
      </w:pPr>
      <w:r w:rsidRPr="005E2EC1">
        <w:rPr>
          <w:rFonts w:asciiTheme="minorHAnsi" w:hAnsiTheme="minorHAnsi" w:cstheme="minorHAnsi"/>
        </w:rPr>
        <w:t>NOPTA allocates direct and indirect costs to each output based on management estimates of effort required.</w:t>
      </w:r>
    </w:p>
    <w:p w14:paraId="31E4401C" w14:textId="77777777" w:rsidR="00D212A5" w:rsidRPr="005E2EC1" w:rsidRDefault="00D212A5" w:rsidP="00D212A5">
      <w:pPr>
        <w:rPr>
          <w:rFonts w:asciiTheme="minorHAnsi" w:hAnsiTheme="minorHAnsi" w:cstheme="minorHAnsi"/>
        </w:rPr>
      </w:pPr>
    </w:p>
    <w:p w14:paraId="1C7C4C03" w14:textId="4D92154B" w:rsidR="00D212A5" w:rsidRPr="005E2EC1" w:rsidRDefault="00D212A5" w:rsidP="00D212A5">
      <w:pPr>
        <w:rPr>
          <w:rFonts w:asciiTheme="minorHAnsi" w:hAnsiTheme="minorHAnsi" w:cstheme="minorHAnsi"/>
        </w:rPr>
      </w:pPr>
      <w:r w:rsidRPr="005E2EC1">
        <w:rPr>
          <w:rFonts w:asciiTheme="minorHAnsi" w:hAnsiTheme="minorHAnsi" w:cstheme="minorHAnsi"/>
        </w:rPr>
        <w:t>Direct costs from 202</w:t>
      </w:r>
      <w:r>
        <w:rPr>
          <w:rFonts w:asciiTheme="minorHAnsi" w:hAnsiTheme="minorHAnsi" w:cstheme="minorHAnsi"/>
        </w:rPr>
        <w:t>1-22</w:t>
      </w:r>
      <w:r w:rsidRPr="005E2EC1">
        <w:rPr>
          <w:rFonts w:asciiTheme="minorHAnsi" w:hAnsiTheme="minorHAnsi" w:cstheme="minorHAnsi"/>
        </w:rPr>
        <w:t xml:space="preserve"> are </w:t>
      </w:r>
      <w:r>
        <w:rPr>
          <w:rFonts w:asciiTheme="minorHAnsi" w:hAnsiTheme="minorHAnsi" w:cstheme="minorHAnsi"/>
        </w:rPr>
        <w:t xml:space="preserve">budgeted </w:t>
      </w:r>
      <w:r w:rsidRPr="005E2EC1">
        <w:rPr>
          <w:rFonts w:asciiTheme="minorHAnsi" w:hAnsiTheme="minorHAnsi" w:cstheme="minorHAnsi"/>
        </w:rPr>
        <w:t xml:space="preserve">at </w:t>
      </w:r>
      <w:r>
        <w:rPr>
          <w:rFonts w:asciiTheme="minorHAnsi" w:hAnsiTheme="minorHAnsi" w:cstheme="minorHAnsi"/>
        </w:rPr>
        <w:t>$1</w:t>
      </w:r>
      <w:r w:rsidR="00B616F2">
        <w:rPr>
          <w:rFonts w:asciiTheme="minorHAnsi" w:hAnsiTheme="minorHAnsi" w:cstheme="minorHAnsi"/>
        </w:rPr>
        <w:t>2.5</w:t>
      </w:r>
      <w:r>
        <w:rPr>
          <w:rFonts w:asciiTheme="minorHAnsi" w:hAnsiTheme="minorHAnsi" w:cstheme="minorHAnsi"/>
        </w:rPr>
        <w:t>M</w:t>
      </w:r>
      <w:r w:rsidRPr="005E2EC1">
        <w:rPr>
          <w:rFonts w:asciiTheme="minorHAnsi" w:hAnsiTheme="minorHAnsi" w:cstheme="minorHAnsi"/>
        </w:rPr>
        <w:t xml:space="preserve"> and are made up of:</w:t>
      </w:r>
    </w:p>
    <w:p w14:paraId="677CE0C2" w14:textId="77547401" w:rsidR="00D212A5" w:rsidRPr="002578CD" w:rsidRDefault="00D212A5" w:rsidP="00A174D5">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 xml:space="preserve">Employee and associated expenses of the </w:t>
      </w:r>
      <w:r>
        <w:rPr>
          <w:rFonts w:asciiTheme="minorHAnsi" w:hAnsiTheme="minorHAnsi" w:cstheme="minorHAnsi"/>
        </w:rPr>
        <w:t>seven</w:t>
      </w:r>
      <w:r w:rsidRPr="00F53C43">
        <w:rPr>
          <w:rFonts w:asciiTheme="minorHAnsi" w:hAnsiTheme="minorHAnsi" w:cstheme="minorHAnsi"/>
        </w:rPr>
        <w:t xml:space="preserve"> </w:t>
      </w:r>
      <w:r w:rsidR="00EF2D95">
        <w:rPr>
          <w:rFonts w:asciiTheme="minorHAnsi" w:hAnsiTheme="minorHAnsi" w:cstheme="minorHAnsi"/>
        </w:rPr>
        <w:t>specialised</w:t>
      </w:r>
      <w:r w:rsidRPr="00AA6484">
        <w:rPr>
          <w:rFonts w:asciiTheme="minorHAnsi" w:hAnsiTheme="minorHAnsi" w:cstheme="minorHAnsi"/>
        </w:rPr>
        <w:t xml:space="preserve"> teams</w:t>
      </w:r>
      <w:r w:rsidRPr="002578CD">
        <w:rPr>
          <w:rFonts w:asciiTheme="minorHAnsi" w:hAnsiTheme="minorHAnsi" w:cstheme="minorHAnsi"/>
        </w:rPr>
        <w:t xml:space="preserve"> (</w:t>
      </w:r>
      <w:r w:rsidR="005827AF" w:rsidRPr="002578CD">
        <w:rPr>
          <w:rFonts w:asciiTheme="minorHAnsi" w:hAnsiTheme="minorHAnsi" w:cstheme="minorHAnsi"/>
        </w:rPr>
        <w:t>e.g.,</w:t>
      </w:r>
      <w:r w:rsidRPr="002578CD">
        <w:rPr>
          <w:rFonts w:asciiTheme="minorHAnsi" w:hAnsiTheme="minorHAnsi" w:cstheme="minorHAnsi"/>
        </w:rPr>
        <w:t xml:space="preserve"> salary, superannuation, leave entitlement, learning &amp; development, professional membership). </w:t>
      </w:r>
    </w:p>
    <w:p w14:paraId="3CC7723B" w14:textId="73C06C3C" w:rsidR="00D212A5" w:rsidRPr="002578CD" w:rsidRDefault="00D212A5" w:rsidP="00A174D5">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 xml:space="preserve">Employee and associated expenses of the </w:t>
      </w:r>
      <w:r>
        <w:rPr>
          <w:rFonts w:asciiTheme="minorHAnsi" w:hAnsiTheme="minorHAnsi" w:cstheme="minorHAnsi"/>
        </w:rPr>
        <w:t xml:space="preserve">Senior </w:t>
      </w:r>
      <w:r w:rsidR="009F07B9">
        <w:rPr>
          <w:rFonts w:asciiTheme="minorHAnsi" w:hAnsiTheme="minorHAnsi" w:cstheme="minorHAnsi"/>
        </w:rPr>
        <w:t xml:space="preserve">Leadership </w:t>
      </w:r>
      <w:r>
        <w:rPr>
          <w:rFonts w:asciiTheme="minorHAnsi" w:hAnsiTheme="minorHAnsi" w:cstheme="minorHAnsi"/>
        </w:rPr>
        <w:t>Group, and the Technology, Information and Geospatial Support team</w:t>
      </w:r>
      <w:r w:rsidRPr="002578CD">
        <w:rPr>
          <w:rFonts w:asciiTheme="minorHAnsi" w:hAnsiTheme="minorHAnsi" w:cstheme="minorHAnsi"/>
        </w:rPr>
        <w:t>.</w:t>
      </w:r>
      <w:r>
        <w:rPr>
          <w:rFonts w:asciiTheme="minorHAnsi" w:hAnsiTheme="minorHAnsi" w:cstheme="minorHAnsi"/>
        </w:rPr>
        <w:t xml:space="preserve"> </w:t>
      </w:r>
      <w:r w:rsidRPr="002578CD">
        <w:rPr>
          <w:rFonts w:asciiTheme="minorHAnsi" w:hAnsiTheme="minorHAnsi" w:cstheme="minorHAnsi"/>
        </w:rPr>
        <w:t>Maintenance and support of the National Electronic Approval Tracking System (NEATS).</w:t>
      </w:r>
    </w:p>
    <w:p w14:paraId="4A760FA9" w14:textId="77777777" w:rsidR="00D212A5" w:rsidRPr="002578CD" w:rsidRDefault="00D212A5" w:rsidP="00A174D5">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National Offshore Petroleum Data and Core Repository (NOPDCR) expenses required for the management of petroleum mining sample data (cores, cuttings and gas/fluid samples).</w:t>
      </w:r>
    </w:p>
    <w:p w14:paraId="2E439226" w14:textId="77777777" w:rsidR="00D212A5" w:rsidRPr="005E2EC1" w:rsidRDefault="00D212A5" w:rsidP="00D212A5">
      <w:pPr>
        <w:rPr>
          <w:rFonts w:asciiTheme="minorHAnsi" w:hAnsiTheme="minorHAnsi" w:cstheme="minorHAnsi"/>
        </w:rPr>
      </w:pPr>
    </w:p>
    <w:p w14:paraId="4782247E" w14:textId="1448BDAB" w:rsidR="00591FD1" w:rsidRPr="005508BD" w:rsidRDefault="00D212A5" w:rsidP="00591FD1">
      <w:pPr>
        <w:rPr>
          <w:rFonts w:asciiTheme="minorHAnsi" w:hAnsiTheme="minorHAnsi" w:cstheme="minorHAnsi"/>
        </w:rPr>
      </w:pPr>
      <w:r w:rsidRPr="00935579">
        <w:rPr>
          <w:rFonts w:asciiTheme="minorHAnsi" w:hAnsiTheme="minorHAnsi" w:cstheme="minorHAnsi"/>
        </w:rPr>
        <w:t xml:space="preserve">The direct costs are readily identifiable in the financial management and information system. Managers allocate and verify time on the key outputs and business processes. NOPTA regularly undertakes an exercise to validate the actual time spent on each function. </w:t>
      </w:r>
      <w:r w:rsidR="00591FD1" w:rsidRPr="00935579">
        <w:rPr>
          <w:rFonts w:asciiTheme="minorHAnsi" w:hAnsiTheme="minorHAnsi" w:cstheme="minorHAnsi"/>
        </w:rPr>
        <w:t>The direct costs are allocated to various outputs based on estimated levels of effort</w:t>
      </w:r>
      <w:r w:rsidR="00935579" w:rsidRPr="00935579">
        <w:rPr>
          <w:rFonts w:asciiTheme="minorHAnsi" w:hAnsiTheme="minorHAnsi" w:cstheme="minorHAnsi"/>
        </w:rPr>
        <w:t>.</w:t>
      </w:r>
    </w:p>
    <w:p w14:paraId="4E11D87C" w14:textId="060AAB7C" w:rsidR="00D212A5" w:rsidRDefault="00D212A5"/>
    <w:p w14:paraId="4C0FC566" w14:textId="121A4DCB" w:rsidR="00D212A5" w:rsidRPr="005E2EC1" w:rsidRDefault="00D212A5" w:rsidP="00D212A5">
      <w:pPr>
        <w:rPr>
          <w:rFonts w:asciiTheme="minorHAnsi" w:hAnsiTheme="minorHAnsi" w:cstheme="minorHAnsi"/>
        </w:rPr>
      </w:pPr>
      <w:r w:rsidRPr="005E2EC1">
        <w:rPr>
          <w:rFonts w:asciiTheme="minorHAnsi" w:hAnsiTheme="minorHAnsi" w:cstheme="minorHAnsi"/>
        </w:rPr>
        <w:t>Indirect costs from</w:t>
      </w:r>
      <w:r w:rsidR="00591FD1">
        <w:rPr>
          <w:rFonts w:asciiTheme="minorHAnsi" w:hAnsiTheme="minorHAnsi" w:cstheme="minorHAnsi"/>
        </w:rPr>
        <w:t xml:space="preserve"> </w:t>
      </w:r>
      <w:r>
        <w:rPr>
          <w:rFonts w:asciiTheme="minorHAnsi" w:hAnsiTheme="minorHAnsi" w:cstheme="minorHAnsi"/>
        </w:rPr>
        <w:t>2021-22</w:t>
      </w:r>
      <w:r w:rsidRPr="005E2EC1">
        <w:rPr>
          <w:rFonts w:asciiTheme="minorHAnsi" w:hAnsiTheme="minorHAnsi" w:cstheme="minorHAnsi"/>
        </w:rPr>
        <w:t xml:space="preserve"> are </w:t>
      </w:r>
      <w:r>
        <w:rPr>
          <w:rFonts w:asciiTheme="minorHAnsi" w:hAnsiTheme="minorHAnsi" w:cstheme="minorHAnsi"/>
        </w:rPr>
        <w:t>budget</w:t>
      </w:r>
      <w:r w:rsidRPr="005E2EC1">
        <w:rPr>
          <w:rFonts w:asciiTheme="minorHAnsi" w:hAnsiTheme="minorHAnsi" w:cstheme="minorHAnsi"/>
        </w:rPr>
        <w:t xml:space="preserve">ed at </w:t>
      </w:r>
      <w:r>
        <w:rPr>
          <w:rFonts w:asciiTheme="minorHAnsi" w:hAnsiTheme="minorHAnsi" w:cstheme="minorHAnsi"/>
        </w:rPr>
        <w:t>$</w:t>
      </w:r>
      <w:r w:rsidR="00B616F2">
        <w:rPr>
          <w:rFonts w:asciiTheme="minorHAnsi" w:hAnsiTheme="minorHAnsi" w:cstheme="minorHAnsi"/>
        </w:rPr>
        <w:t>5.2</w:t>
      </w:r>
      <w:r>
        <w:rPr>
          <w:rFonts w:asciiTheme="minorHAnsi" w:hAnsiTheme="minorHAnsi" w:cstheme="minorHAnsi"/>
        </w:rPr>
        <w:t>M</w:t>
      </w:r>
      <w:r w:rsidRPr="005E2EC1">
        <w:rPr>
          <w:rFonts w:asciiTheme="minorHAnsi" w:hAnsiTheme="minorHAnsi" w:cstheme="minorHAnsi"/>
        </w:rPr>
        <w:t xml:space="preserve"> annually and are made up of:</w:t>
      </w:r>
    </w:p>
    <w:p w14:paraId="1414A609" w14:textId="77777777" w:rsidR="00D212A5" w:rsidRPr="00232B9C" w:rsidRDefault="00D212A5" w:rsidP="00A174D5">
      <w:pPr>
        <w:pStyle w:val="ListParagraph"/>
        <w:numPr>
          <w:ilvl w:val="0"/>
          <w:numId w:val="5"/>
        </w:numPr>
        <w:contextualSpacing w:val="0"/>
        <w:rPr>
          <w:rFonts w:asciiTheme="minorHAnsi" w:hAnsiTheme="minorHAnsi" w:cstheme="minorHAnsi"/>
        </w:rPr>
      </w:pPr>
      <w:r w:rsidRPr="00232B9C">
        <w:rPr>
          <w:rFonts w:asciiTheme="minorHAnsi" w:hAnsiTheme="minorHAnsi" w:cstheme="minorHAnsi"/>
        </w:rPr>
        <w:t xml:space="preserve">Employee and associated expenses of the </w:t>
      </w:r>
      <w:r>
        <w:rPr>
          <w:rFonts w:asciiTheme="minorHAnsi" w:hAnsiTheme="minorHAnsi" w:cstheme="minorHAnsi"/>
        </w:rPr>
        <w:t>Business Support Unit</w:t>
      </w:r>
    </w:p>
    <w:p w14:paraId="773261C9" w14:textId="77777777" w:rsidR="00D212A5" w:rsidRPr="002578CD" w:rsidRDefault="00D212A5" w:rsidP="00A174D5">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 xml:space="preserve">Overheads - Departmental </w:t>
      </w:r>
    </w:p>
    <w:p w14:paraId="62DE56E6" w14:textId="77777777" w:rsidR="00D212A5" w:rsidRPr="002578CD" w:rsidRDefault="00D212A5" w:rsidP="00A174D5">
      <w:pPr>
        <w:pStyle w:val="ListParagraph"/>
        <w:numPr>
          <w:ilvl w:val="0"/>
          <w:numId w:val="5"/>
        </w:numPr>
        <w:contextualSpacing w:val="0"/>
        <w:rPr>
          <w:rFonts w:asciiTheme="minorHAnsi" w:hAnsiTheme="minorHAnsi" w:cstheme="minorHAnsi"/>
        </w:rPr>
      </w:pPr>
      <w:r w:rsidRPr="002D5EF9">
        <w:rPr>
          <w:rFonts w:asciiTheme="minorHAnsi" w:hAnsiTheme="minorHAnsi" w:cstheme="minorHAnsi"/>
        </w:rPr>
        <w:t>ICT</w:t>
      </w:r>
      <w:r w:rsidRPr="002578CD">
        <w:rPr>
          <w:rFonts w:asciiTheme="minorHAnsi" w:hAnsiTheme="minorHAnsi" w:cstheme="minorHAnsi"/>
        </w:rPr>
        <w:t xml:space="preserve"> desktop services</w:t>
      </w:r>
    </w:p>
    <w:p w14:paraId="06B8B191" w14:textId="77777777" w:rsidR="00D212A5" w:rsidRPr="002578CD" w:rsidRDefault="00D212A5" w:rsidP="00A174D5">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Office accommodation and utilities</w:t>
      </w:r>
    </w:p>
    <w:p w14:paraId="7680AC63" w14:textId="77777777" w:rsidR="00D212A5" w:rsidRPr="002578CD" w:rsidRDefault="00D212A5" w:rsidP="00A174D5">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Travel</w:t>
      </w:r>
    </w:p>
    <w:p w14:paraId="41625251" w14:textId="77777777" w:rsidR="00D212A5" w:rsidRPr="002578CD" w:rsidRDefault="00D212A5" w:rsidP="00A174D5">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Legal</w:t>
      </w:r>
    </w:p>
    <w:p w14:paraId="73FCCD1B" w14:textId="77777777" w:rsidR="00D212A5" w:rsidRPr="005E2EC1" w:rsidRDefault="00D212A5" w:rsidP="00D212A5">
      <w:pPr>
        <w:rPr>
          <w:rFonts w:asciiTheme="minorHAnsi" w:hAnsiTheme="minorHAnsi" w:cstheme="minorHAnsi"/>
        </w:rPr>
      </w:pPr>
    </w:p>
    <w:p w14:paraId="4455834A" w14:textId="25080265" w:rsidR="00D212A5" w:rsidRDefault="00D212A5" w:rsidP="00D212A5">
      <w:pPr>
        <w:rPr>
          <w:rFonts w:asciiTheme="minorHAnsi" w:hAnsiTheme="minorHAnsi" w:cstheme="minorHAnsi"/>
        </w:rPr>
      </w:pPr>
      <w:r w:rsidRPr="00591FD1">
        <w:rPr>
          <w:rFonts w:asciiTheme="minorHAnsi" w:hAnsiTheme="minorHAnsi" w:cstheme="minorHAnsi"/>
        </w:rPr>
        <w:t>Indirect costs are allocated to t</w:t>
      </w:r>
      <w:r w:rsidR="00591115">
        <w:rPr>
          <w:rFonts w:asciiTheme="minorHAnsi" w:hAnsiTheme="minorHAnsi" w:cstheme="minorHAnsi"/>
        </w:rPr>
        <w:t>he specialised</w:t>
      </w:r>
      <w:r w:rsidRPr="00591FD1">
        <w:rPr>
          <w:rFonts w:asciiTheme="minorHAnsi" w:hAnsiTheme="minorHAnsi" w:cstheme="minorHAnsi"/>
        </w:rPr>
        <w:t xml:space="preserve"> teams using headcount</w:t>
      </w:r>
      <w:r w:rsidR="00591FD1" w:rsidRPr="00591FD1">
        <w:rPr>
          <w:rFonts w:asciiTheme="minorHAnsi" w:hAnsiTheme="minorHAnsi" w:cstheme="minorHAnsi"/>
        </w:rPr>
        <w:t>.</w:t>
      </w:r>
    </w:p>
    <w:p w14:paraId="1F9A78BD" w14:textId="77777777" w:rsidR="00D212A5" w:rsidRDefault="00D212A5" w:rsidP="00D212A5">
      <w:pPr>
        <w:rPr>
          <w:rFonts w:asciiTheme="minorHAnsi" w:hAnsiTheme="minorHAnsi" w:cstheme="minorHAnsi"/>
        </w:rPr>
      </w:pPr>
    </w:p>
    <w:p w14:paraId="0416AFBF" w14:textId="7B987606" w:rsidR="00D212A5" w:rsidRDefault="00D212A5" w:rsidP="00D212A5">
      <w:pPr>
        <w:rPr>
          <w:rFonts w:asciiTheme="minorHAnsi" w:hAnsiTheme="minorHAnsi" w:cstheme="minorHAnsi"/>
        </w:rPr>
      </w:pPr>
      <w:r w:rsidRPr="00BB7141">
        <w:rPr>
          <w:rFonts w:asciiTheme="minorHAnsi" w:hAnsiTheme="minorHAnsi" w:cstheme="minorHAnsi"/>
          <w:b/>
          <w:bCs/>
        </w:rPr>
        <w:t xml:space="preserve">Table </w:t>
      </w:r>
      <w:r w:rsidR="00591FD1" w:rsidRPr="00BB7141">
        <w:rPr>
          <w:rFonts w:asciiTheme="minorHAnsi" w:hAnsiTheme="minorHAnsi" w:cstheme="minorHAnsi"/>
          <w:b/>
          <w:bCs/>
        </w:rPr>
        <w:t>1</w:t>
      </w:r>
      <w:r w:rsidRPr="00591FD1">
        <w:rPr>
          <w:rFonts w:asciiTheme="minorHAnsi" w:hAnsiTheme="minorHAnsi" w:cstheme="minorHAnsi"/>
        </w:rPr>
        <w:t xml:space="preserve">: </w:t>
      </w:r>
      <w:r w:rsidR="00591FD1" w:rsidRPr="00591FD1">
        <w:rPr>
          <w:rFonts w:asciiTheme="minorHAnsi" w:hAnsiTheme="minorHAnsi" w:cstheme="minorHAnsi"/>
        </w:rPr>
        <w:t>Direct and i</w:t>
      </w:r>
      <w:r w:rsidRPr="00591FD1">
        <w:rPr>
          <w:rFonts w:asciiTheme="minorHAnsi" w:hAnsiTheme="minorHAnsi" w:cstheme="minorHAnsi"/>
        </w:rPr>
        <w:t>ndirect costs by team ($M)</w:t>
      </w:r>
      <w:r w:rsidR="00EF2D95">
        <w:rPr>
          <w:rFonts w:asciiTheme="minorHAnsi" w:hAnsiTheme="minorHAnsi" w:cstheme="minorHAnsi"/>
        </w:rPr>
        <w:t>, 2021-22</w:t>
      </w:r>
    </w:p>
    <w:tbl>
      <w:tblPr>
        <w:tblStyle w:val="ListTable4-Accent1"/>
        <w:tblW w:w="9684" w:type="dxa"/>
        <w:tblLook w:val="04A0" w:firstRow="1" w:lastRow="0" w:firstColumn="1" w:lastColumn="0" w:noHBand="0" w:noVBand="1"/>
      </w:tblPr>
      <w:tblGrid>
        <w:gridCol w:w="1413"/>
        <w:gridCol w:w="810"/>
        <w:gridCol w:w="1357"/>
        <w:gridCol w:w="1130"/>
        <w:gridCol w:w="1525"/>
        <w:gridCol w:w="1386"/>
        <w:gridCol w:w="1148"/>
        <w:gridCol w:w="915"/>
      </w:tblGrid>
      <w:tr w:rsidR="00591FD1" w:rsidRPr="00107D3F" w14:paraId="17F8AF96" w14:textId="77777777" w:rsidTr="00556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F1BE6B0" w14:textId="77777777" w:rsidR="00591FD1" w:rsidRPr="00107D3F" w:rsidRDefault="00591FD1" w:rsidP="00486885">
            <w:pPr>
              <w:jc w:val="center"/>
              <w:rPr>
                <w:rFonts w:asciiTheme="minorHAnsi" w:hAnsiTheme="minorHAnsi" w:cstheme="minorHAnsi"/>
                <w:sz w:val="20"/>
                <w:szCs w:val="20"/>
              </w:rPr>
            </w:pPr>
          </w:p>
        </w:tc>
        <w:tc>
          <w:tcPr>
            <w:tcW w:w="810" w:type="dxa"/>
          </w:tcPr>
          <w:p w14:paraId="1C6DD4E4" w14:textId="77777777" w:rsidR="00591FD1" w:rsidRPr="00107D3F" w:rsidRDefault="00591FD1" w:rsidP="004868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07D3F">
              <w:rPr>
                <w:rFonts w:asciiTheme="minorHAnsi" w:hAnsiTheme="minorHAnsi" w:cstheme="minorHAnsi"/>
                <w:sz w:val="20"/>
                <w:szCs w:val="20"/>
              </w:rPr>
              <w:t>Titles</w:t>
            </w:r>
          </w:p>
        </w:tc>
        <w:tc>
          <w:tcPr>
            <w:tcW w:w="1357" w:type="dxa"/>
          </w:tcPr>
          <w:p w14:paraId="3C8CF87C" w14:textId="77777777" w:rsidR="00591FD1" w:rsidRPr="00107D3F" w:rsidRDefault="00591FD1" w:rsidP="004868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07D3F">
              <w:rPr>
                <w:rFonts w:asciiTheme="minorHAnsi" w:hAnsiTheme="minorHAnsi" w:cstheme="minorHAnsi"/>
                <w:sz w:val="20"/>
                <w:szCs w:val="20"/>
              </w:rPr>
              <w:t>Legislative Compliance</w:t>
            </w:r>
          </w:p>
        </w:tc>
        <w:tc>
          <w:tcPr>
            <w:tcW w:w="1130" w:type="dxa"/>
          </w:tcPr>
          <w:p w14:paraId="072575BB" w14:textId="77777777" w:rsidR="00591FD1" w:rsidRPr="00107D3F" w:rsidRDefault="00591FD1" w:rsidP="004868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07D3F">
              <w:rPr>
                <w:rFonts w:asciiTheme="minorHAnsi" w:hAnsiTheme="minorHAnsi" w:cstheme="minorHAnsi"/>
                <w:sz w:val="20"/>
                <w:szCs w:val="20"/>
              </w:rPr>
              <w:t>Technical</w:t>
            </w:r>
          </w:p>
        </w:tc>
        <w:tc>
          <w:tcPr>
            <w:tcW w:w="1525" w:type="dxa"/>
          </w:tcPr>
          <w:p w14:paraId="432241C1" w14:textId="77777777" w:rsidR="00591FD1" w:rsidRPr="00107D3F" w:rsidRDefault="00591FD1" w:rsidP="004868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07D3F">
              <w:rPr>
                <w:rFonts w:asciiTheme="minorHAnsi" w:hAnsiTheme="minorHAnsi" w:cstheme="minorHAnsi"/>
                <w:sz w:val="20"/>
                <w:szCs w:val="20"/>
              </w:rPr>
              <w:t>Data Management</w:t>
            </w:r>
          </w:p>
        </w:tc>
        <w:tc>
          <w:tcPr>
            <w:tcW w:w="1386" w:type="dxa"/>
          </w:tcPr>
          <w:p w14:paraId="14415325" w14:textId="77777777" w:rsidR="00591FD1" w:rsidRPr="00107D3F" w:rsidRDefault="00591FD1" w:rsidP="004868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07D3F">
              <w:rPr>
                <w:rFonts w:asciiTheme="minorHAnsi" w:hAnsiTheme="minorHAnsi" w:cstheme="minorHAnsi"/>
                <w:sz w:val="20"/>
                <w:szCs w:val="20"/>
              </w:rPr>
              <w:t>Technical Information &amp; Geospatial Support</w:t>
            </w:r>
          </w:p>
        </w:tc>
        <w:tc>
          <w:tcPr>
            <w:tcW w:w="1148" w:type="dxa"/>
          </w:tcPr>
          <w:p w14:paraId="291F779A" w14:textId="77777777" w:rsidR="00591FD1" w:rsidRPr="00107D3F" w:rsidRDefault="00591FD1" w:rsidP="004868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07D3F">
              <w:rPr>
                <w:rFonts w:asciiTheme="minorHAnsi" w:hAnsiTheme="minorHAnsi" w:cstheme="minorHAnsi"/>
                <w:sz w:val="20"/>
                <w:szCs w:val="20"/>
              </w:rPr>
              <w:t>Executive</w:t>
            </w:r>
          </w:p>
        </w:tc>
        <w:tc>
          <w:tcPr>
            <w:tcW w:w="915" w:type="dxa"/>
          </w:tcPr>
          <w:p w14:paraId="373C1B86" w14:textId="77777777" w:rsidR="00591FD1" w:rsidRPr="00107D3F" w:rsidRDefault="00591FD1" w:rsidP="004868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07D3F">
              <w:rPr>
                <w:rFonts w:asciiTheme="minorHAnsi" w:hAnsiTheme="minorHAnsi" w:cstheme="minorHAnsi"/>
                <w:sz w:val="20"/>
                <w:szCs w:val="20"/>
              </w:rPr>
              <w:t>Total</w:t>
            </w:r>
          </w:p>
        </w:tc>
      </w:tr>
      <w:tr w:rsidR="00591FD1" w:rsidRPr="00107D3F" w14:paraId="6ADE4630" w14:textId="77777777" w:rsidTr="00556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A74C10B" w14:textId="77777777" w:rsidR="00591FD1" w:rsidRPr="00107D3F" w:rsidRDefault="00591FD1" w:rsidP="00486885">
            <w:pPr>
              <w:rPr>
                <w:rFonts w:asciiTheme="minorHAnsi" w:hAnsiTheme="minorHAnsi" w:cstheme="minorHAnsi"/>
                <w:b w:val="0"/>
                <w:bCs w:val="0"/>
                <w:color w:val="17365D" w:themeColor="text2" w:themeShade="BF"/>
                <w:sz w:val="20"/>
                <w:szCs w:val="20"/>
              </w:rPr>
            </w:pPr>
            <w:r w:rsidRPr="00107D3F">
              <w:rPr>
                <w:rFonts w:asciiTheme="minorHAnsi" w:hAnsiTheme="minorHAnsi" w:cstheme="minorHAnsi"/>
                <w:b w:val="0"/>
                <w:bCs w:val="0"/>
                <w:color w:val="17365D" w:themeColor="text2" w:themeShade="BF"/>
                <w:sz w:val="20"/>
                <w:szCs w:val="20"/>
              </w:rPr>
              <w:t>Direct costs</w:t>
            </w:r>
          </w:p>
        </w:tc>
        <w:tc>
          <w:tcPr>
            <w:tcW w:w="810" w:type="dxa"/>
          </w:tcPr>
          <w:p w14:paraId="2C1E9BA3" w14:textId="77777777"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2.341</w:t>
            </w:r>
          </w:p>
        </w:tc>
        <w:tc>
          <w:tcPr>
            <w:tcW w:w="1357" w:type="dxa"/>
          </w:tcPr>
          <w:p w14:paraId="2D45917C" w14:textId="77777777"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1.347</w:t>
            </w:r>
          </w:p>
        </w:tc>
        <w:tc>
          <w:tcPr>
            <w:tcW w:w="1130" w:type="dxa"/>
          </w:tcPr>
          <w:p w14:paraId="60EB10A5" w14:textId="77777777"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3.806</w:t>
            </w:r>
          </w:p>
        </w:tc>
        <w:tc>
          <w:tcPr>
            <w:tcW w:w="1525" w:type="dxa"/>
          </w:tcPr>
          <w:p w14:paraId="34EA7889" w14:textId="77777777"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3.138</w:t>
            </w:r>
          </w:p>
        </w:tc>
        <w:tc>
          <w:tcPr>
            <w:tcW w:w="1386" w:type="dxa"/>
          </w:tcPr>
          <w:p w14:paraId="221EFD82" w14:textId="77777777"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1.108</w:t>
            </w:r>
          </w:p>
        </w:tc>
        <w:tc>
          <w:tcPr>
            <w:tcW w:w="1148" w:type="dxa"/>
          </w:tcPr>
          <w:p w14:paraId="19F0209F" w14:textId="77777777"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0.758</w:t>
            </w:r>
          </w:p>
        </w:tc>
        <w:tc>
          <w:tcPr>
            <w:tcW w:w="915" w:type="dxa"/>
          </w:tcPr>
          <w:p w14:paraId="2C2036AD" w14:textId="77777777"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12.498</w:t>
            </w:r>
          </w:p>
        </w:tc>
      </w:tr>
      <w:tr w:rsidR="00591FD1" w:rsidRPr="00107D3F" w14:paraId="33C05633" w14:textId="77777777" w:rsidTr="00556429">
        <w:tc>
          <w:tcPr>
            <w:cnfStyle w:val="001000000000" w:firstRow="0" w:lastRow="0" w:firstColumn="1" w:lastColumn="0" w:oddVBand="0" w:evenVBand="0" w:oddHBand="0" w:evenHBand="0" w:firstRowFirstColumn="0" w:firstRowLastColumn="0" w:lastRowFirstColumn="0" w:lastRowLastColumn="0"/>
            <w:tcW w:w="1413" w:type="dxa"/>
          </w:tcPr>
          <w:p w14:paraId="6C379A3E" w14:textId="77777777" w:rsidR="00591FD1" w:rsidRPr="00107D3F" w:rsidRDefault="00591FD1" w:rsidP="00486885">
            <w:pPr>
              <w:rPr>
                <w:rFonts w:asciiTheme="minorHAnsi" w:hAnsiTheme="minorHAnsi" w:cstheme="minorHAnsi"/>
                <w:b w:val="0"/>
                <w:bCs w:val="0"/>
                <w:color w:val="17365D" w:themeColor="text2" w:themeShade="BF"/>
                <w:sz w:val="20"/>
                <w:szCs w:val="20"/>
              </w:rPr>
            </w:pPr>
            <w:r w:rsidRPr="00107D3F">
              <w:rPr>
                <w:rFonts w:asciiTheme="minorHAnsi" w:hAnsiTheme="minorHAnsi" w:cstheme="minorHAnsi"/>
                <w:b w:val="0"/>
                <w:bCs w:val="0"/>
                <w:color w:val="17365D" w:themeColor="text2" w:themeShade="BF"/>
                <w:sz w:val="20"/>
                <w:szCs w:val="20"/>
              </w:rPr>
              <w:t>Indirect costs</w:t>
            </w:r>
          </w:p>
        </w:tc>
        <w:tc>
          <w:tcPr>
            <w:tcW w:w="810" w:type="dxa"/>
          </w:tcPr>
          <w:p w14:paraId="2C2531A3" w14:textId="6140EBAA" w:rsidR="00591FD1" w:rsidRPr="00107D3F" w:rsidRDefault="00591FD1"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1.</w:t>
            </w:r>
            <w:r w:rsidR="00FC47A9" w:rsidRPr="00107D3F">
              <w:rPr>
                <w:rFonts w:asciiTheme="minorHAnsi" w:hAnsiTheme="minorHAnsi" w:cstheme="minorHAnsi"/>
                <w:color w:val="17365D" w:themeColor="text2" w:themeShade="BF"/>
                <w:sz w:val="20"/>
                <w:szCs w:val="20"/>
              </w:rPr>
              <w:t>1</w:t>
            </w:r>
            <w:r w:rsidR="00FC47A9">
              <w:rPr>
                <w:rFonts w:asciiTheme="minorHAnsi" w:hAnsiTheme="minorHAnsi" w:cstheme="minorHAnsi"/>
                <w:color w:val="17365D" w:themeColor="text2" w:themeShade="BF"/>
                <w:sz w:val="20"/>
                <w:szCs w:val="20"/>
              </w:rPr>
              <w:t>80</w:t>
            </w:r>
          </w:p>
        </w:tc>
        <w:tc>
          <w:tcPr>
            <w:tcW w:w="1357" w:type="dxa"/>
          </w:tcPr>
          <w:p w14:paraId="29EE1075" w14:textId="129DCCFA" w:rsidR="00591FD1" w:rsidRPr="00107D3F" w:rsidRDefault="00591FD1"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0.84</w:t>
            </w:r>
            <w:r w:rsidR="00FC47A9">
              <w:rPr>
                <w:rFonts w:asciiTheme="minorHAnsi" w:hAnsiTheme="minorHAnsi" w:cstheme="minorHAnsi"/>
                <w:color w:val="17365D" w:themeColor="text2" w:themeShade="BF"/>
                <w:sz w:val="20"/>
                <w:szCs w:val="20"/>
              </w:rPr>
              <w:t>8</w:t>
            </w:r>
          </w:p>
        </w:tc>
        <w:tc>
          <w:tcPr>
            <w:tcW w:w="1130" w:type="dxa"/>
          </w:tcPr>
          <w:p w14:paraId="2CFA34F8" w14:textId="4ACD3BBB" w:rsidR="00591FD1" w:rsidRPr="00107D3F" w:rsidRDefault="00591FD1"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1.</w:t>
            </w:r>
            <w:r w:rsidR="00FC47A9" w:rsidRPr="00107D3F">
              <w:rPr>
                <w:rFonts w:asciiTheme="minorHAnsi" w:hAnsiTheme="minorHAnsi" w:cstheme="minorHAnsi"/>
                <w:color w:val="17365D" w:themeColor="text2" w:themeShade="BF"/>
                <w:sz w:val="20"/>
                <w:szCs w:val="20"/>
              </w:rPr>
              <w:t>5</w:t>
            </w:r>
            <w:r w:rsidR="00FC47A9">
              <w:rPr>
                <w:rFonts w:asciiTheme="minorHAnsi" w:hAnsiTheme="minorHAnsi" w:cstheme="minorHAnsi"/>
                <w:color w:val="17365D" w:themeColor="text2" w:themeShade="BF"/>
                <w:sz w:val="20"/>
                <w:szCs w:val="20"/>
              </w:rPr>
              <w:t>30</w:t>
            </w:r>
          </w:p>
        </w:tc>
        <w:tc>
          <w:tcPr>
            <w:tcW w:w="1525" w:type="dxa"/>
          </w:tcPr>
          <w:p w14:paraId="15CEC71E" w14:textId="77777777" w:rsidR="00591FD1" w:rsidRPr="00107D3F" w:rsidRDefault="00591FD1"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0.769</w:t>
            </w:r>
          </w:p>
        </w:tc>
        <w:tc>
          <w:tcPr>
            <w:tcW w:w="1386" w:type="dxa"/>
          </w:tcPr>
          <w:p w14:paraId="38B98624" w14:textId="77777777" w:rsidR="00591FD1" w:rsidRPr="00107D3F" w:rsidRDefault="00591FD1"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0.437</w:t>
            </w:r>
          </w:p>
        </w:tc>
        <w:tc>
          <w:tcPr>
            <w:tcW w:w="1148" w:type="dxa"/>
          </w:tcPr>
          <w:p w14:paraId="405BEE6B" w14:textId="3E795584" w:rsidR="00591FD1" w:rsidRPr="00107D3F" w:rsidRDefault="00591FD1"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0.44</w:t>
            </w:r>
            <w:r w:rsidR="00FC47A9">
              <w:rPr>
                <w:rFonts w:asciiTheme="minorHAnsi" w:hAnsiTheme="minorHAnsi" w:cstheme="minorHAnsi"/>
                <w:color w:val="17365D" w:themeColor="text2" w:themeShade="BF"/>
                <w:sz w:val="20"/>
                <w:szCs w:val="20"/>
              </w:rPr>
              <w:t>6</w:t>
            </w:r>
          </w:p>
        </w:tc>
        <w:tc>
          <w:tcPr>
            <w:tcW w:w="915" w:type="dxa"/>
          </w:tcPr>
          <w:p w14:paraId="21D64275" w14:textId="4FD287F6" w:rsidR="00591FD1" w:rsidRPr="00107D3F" w:rsidRDefault="000C0801"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Pr>
                <w:rFonts w:asciiTheme="minorHAnsi" w:hAnsiTheme="minorHAnsi" w:cstheme="minorHAnsi"/>
                <w:color w:val="17365D" w:themeColor="text2" w:themeShade="BF"/>
                <w:sz w:val="20"/>
                <w:szCs w:val="20"/>
              </w:rPr>
              <w:t xml:space="preserve">  </w:t>
            </w:r>
            <w:r w:rsidR="00591FD1" w:rsidRPr="00107D3F">
              <w:rPr>
                <w:rFonts w:asciiTheme="minorHAnsi" w:hAnsiTheme="minorHAnsi" w:cstheme="minorHAnsi"/>
                <w:color w:val="17365D" w:themeColor="text2" w:themeShade="BF"/>
                <w:sz w:val="20"/>
                <w:szCs w:val="20"/>
              </w:rPr>
              <w:t>5.2</w:t>
            </w:r>
            <w:r w:rsidR="00FC47A9">
              <w:rPr>
                <w:rFonts w:asciiTheme="minorHAnsi" w:hAnsiTheme="minorHAnsi" w:cstheme="minorHAnsi"/>
                <w:color w:val="17365D" w:themeColor="text2" w:themeShade="BF"/>
                <w:sz w:val="20"/>
                <w:szCs w:val="20"/>
              </w:rPr>
              <w:t>10</w:t>
            </w:r>
          </w:p>
        </w:tc>
      </w:tr>
      <w:tr w:rsidR="00591FD1" w:rsidRPr="00107D3F" w14:paraId="7A54ECD0" w14:textId="77777777" w:rsidTr="00556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4B7B83E" w14:textId="77777777" w:rsidR="00591FD1" w:rsidRPr="00107D3F" w:rsidRDefault="00591FD1" w:rsidP="00486885">
            <w:pPr>
              <w:rPr>
                <w:rFonts w:asciiTheme="minorHAnsi" w:hAnsiTheme="minorHAnsi" w:cstheme="minorHAnsi"/>
                <w:b w:val="0"/>
                <w:bCs w:val="0"/>
                <w:color w:val="17365D" w:themeColor="text2" w:themeShade="BF"/>
                <w:sz w:val="20"/>
                <w:szCs w:val="20"/>
              </w:rPr>
            </w:pPr>
            <w:r w:rsidRPr="00107D3F">
              <w:rPr>
                <w:rFonts w:asciiTheme="minorHAnsi" w:hAnsiTheme="minorHAnsi" w:cstheme="minorHAnsi"/>
                <w:b w:val="0"/>
                <w:bCs w:val="0"/>
                <w:color w:val="17365D" w:themeColor="text2" w:themeShade="BF"/>
                <w:sz w:val="20"/>
                <w:szCs w:val="20"/>
              </w:rPr>
              <w:t>Total costs</w:t>
            </w:r>
          </w:p>
        </w:tc>
        <w:tc>
          <w:tcPr>
            <w:tcW w:w="810" w:type="dxa"/>
          </w:tcPr>
          <w:p w14:paraId="47241AEF" w14:textId="77777777"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3.521</w:t>
            </w:r>
          </w:p>
        </w:tc>
        <w:tc>
          <w:tcPr>
            <w:tcW w:w="1357" w:type="dxa"/>
          </w:tcPr>
          <w:p w14:paraId="4F2A18C4" w14:textId="77777777"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2.195</w:t>
            </w:r>
          </w:p>
        </w:tc>
        <w:tc>
          <w:tcPr>
            <w:tcW w:w="1130" w:type="dxa"/>
          </w:tcPr>
          <w:p w14:paraId="1D04FE28" w14:textId="5AB6CE7E"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5.33</w:t>
            </w:r>
            <w:r w:rsidR="00FC47A9">
              <w:rPr>
                <w:rFonts w:asciiTheme="minorHAnsi" w:hAnsiTheme="minorHAnsi" w:cstheme="minorHAnsi"/>
                <w:color w:val="17365D" w:themeColor="text2" w:themeShade="BF"/>
                <w:sz w:val="20"/>
                <w:szCs w:val="20"/>
              </w:rPr>
              <w:t>6</w:t>
            </w:r>
          </w:p>
        </w:tc>
        <w:tc>
          <w:tcPr>
            <w:tcW w:w="1525" w:type="dxa"/>
          </w:tcPr>
          <w:p w14:paraId="63970E09" w14:textId="321CA7B8"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3.90</w:t>
            </w:r>
            <w:r w:rsidR="00FC47A9">
              <w:rPr>
                <w:rFonts w:asciiTheme="minorHAnsi" w:hAnsiTheme="minorHAnsi" w:cstheme="minorHAnsi"/>
                <w:color w:val="17365D" w:themeColor="text2" w:themeShade="BF"/>
                <w:sz w:val="20"/>
                <w:szCs w:val="20"/>
              </w:rPr>
              <w:t>7</w:t>
            </w:r>
          </w:p>
        </w:tc>
        <w:tc>
          <w:tcPr>
            <w:tcW w:w="1386" w:type="dxa"/>
          </w:tcPr>
          <w:p w14:paraId="35025061" w14:textId="77777777"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1.545</w:t>
            </w:r>
          </w:p>
        </w:tc>
        <w:tc>
          <w:tcPr>
            <w:tcW w:w="1148" w:type="dxa"/>
          </w:tcPr>
          <w:p w14:paraId="34D25C4D" w14:textId="105AFF8F"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1.20</w:t>
            </w:r>
            <w:r w:rsidR="00FC47A9">
              <w:rPr>
                <w:rFonts w:asciiTheme="minorHAnsi" w:hAnsiTheme="minorHAnsi" w:cstheme="minorHAnsi"/>
                <w:color w:val="17365D" w:themeColor="text2" w:themeShade="BF"/>
                <w:sz w:val="20"/>
                <w:szCs w:val="20"/>
              </w:rPr>
              <w:t>4</w:t>
            </w:r>
          </w:p>
        </w:tc>
        <w:tc>
          <w:tcPr>
            <w:tcW w:w="915" w:type="dxa"/>
          </w:tcPr>
          <w:p w14:paraId="052BBF42" w14:textId="0E0ACFE4" w:rsidR="00591FD1" w:rsidRPr="00107D3F" w:rsidRDefault="00591FD1"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07D3F">
              <w:rPr>
                <w:rFonts w:asciiTheme="minorHAnsi" w:hAnsiTheme="minorHAnsi" w:cstheme="minorHAnsi"/>
                <w:color w:val="17365D" w:themeColor="text2" w:themeShade="BF"/>
                <w:sz w:val="20"/>
                <w:szCs w:val="20"/>
              </w:rPr>
              <w:t>17.70</w:t>
            </w:r>
            <w:r w:rsidR="00FC47A9">
              <w:rPr>
                <w:rFonts w:asciiTheme="minorHAnsi" w:hAnsiTheme="minorHAnsi" w:cstheme="minorHAnsi"/>
                <w:color w:val="17365D" w:themeColor="text2" w:themeShade="BF"/>
                <w:sz w:val="20"/>
                <w:szCs w:val="20"/>
              </w:rPr>
              <w:t>8</w:t>
            </w:r>
          </w:p>
        </w:tc>
      </w:tr>
    </w:tbl>
    <w:p w14:paraId="62615BE8" w14:textId="098AE3F6" w:rsidR="00D212A5" w:rsidRDefault="00D212A5"/>
    <w:p w14:paraId="3B968220" w14:textId="77777777" w:rsidR="00D212A5" w:rsidRPr="00F2024B" w:rsidRDefault="00D212A5" w:rsidP="00F2024B">
      <w:pPr>
        <w:pStyle w:val="Heading2"/>
        <w:tabs>
          <w:tab w:val="clear" w:pos="576"/>
          <w:tab w:val="num" w:pos="709"/>
        </w:tabs>
        <w:ind w:left="709" w:hanging="709"/>
        <w:rPr>
          <w:rFonts w:asciiTheme="minorHAnsi" w:hAnsiTheme="minorHAnsi" w:cstheme="minorHAnsi"/>
          <w:i w:val="0"/>
          <w:iCs w:val="0"/>
        </w:rPr>
      </w:pPr>
      <w:bookmarkStart w:id="19" w:name="_Toc84844723"/>
      <w:r w:rsidRPr="00F2024B">
        <w:rPr>
          <w:rFonts w:asciiTheme="minorHAnsi" w:hAnsiTheme="minorHAnsi" w:cstheme="minorHAnsi"/>
          <w:i w:val="0"/>
          <w:iCs w:val="0"/>
        </w:rPr>
        <w:t>Costs of the activity</w:t>
      </w:r>
      <w:bookmarkEnd w:id="19"/>
      <w:r w:rsidRPr="00F2024B">
        <w:rPr>
          <w:rFonts w:asciiTheme="minorHAnsi" w:hAnsiTheme="minorHAnsi" w:cstheme="minorHAnsi"/>
          <w:i w:val="0"/>
          <w:iCs w:val="0"/>
        </w:rPr>
        <w:t xml:space="preserve"> </w:t>
      </w:r>
    </w:p>
    <w:p w14:paraId="180AD760" w14:textId="77777777" w:rsidR="00D212A5" w:rsidRPr="002A67C7" w:rsidRDefault="00D212A5" w:rsidP="00D212A5">
      <w:pPr>
        <w:rPr>
          <w:rFonts w:asciiTheme="minorHAnsi" w:hAnsiTheme="minorHAnsi" w:cstheme="minorHAnsi"/>
        </w:rPr>
      </w:pPr>
      <w:r w:rsidRPr="00A263BB">
        <w:rPr>
          <w:rFonts w:asciiTheme="minorHAnsi" w:hAnsiTheme="minorHAnsi" w:cstheme="minorHAnsi"/>
        </w:rPr>
        <w:t>NOPTA’s total budget for 2021-22 is $17.7M.</w:t>
      </w:r>
      <w:r w:rsidRPr="002A67C7">
        <w:rPr>
          <w:rFonts w:asciiTheme="minorHAnsi" w:hAnsiTheme="minorHAnsi" w:cstheme="minorHAnsi"/>
        </w:rPr>
        <w:t xml:space="preserve"> This is an increase of </w:t>
      </w:r>
      <w:r w:rsidRPr="00E27441">
        <w:rPr>
          <w:rFonts w:asciiTheme="minorHAnsi" w:hAnsiTheme="minorHAnsi" w:cstheme="minorHAnsi"/>
        </w:rPr>
        <w:t>$700,00</w:t>
      </w:r>
      <w:r w:rsidRPr="002D5EF9">
        <w:rPr>
          <w:rFonts w:asciiTheme="minorHAnsi" w:hAnsiTheme="minorHAnsi" w:cstheme="minorHAnsi"/>
        </w:rPr>
        <w:t>0</w:t>
      </w:r>
      <w:r w:rsidRPr="002D5EF9">
        <w:rPr>
          <w:rStyle w:val="FootnoteReference"/>
          <w:rFonts w:cstheme="minorHAnsi"/>
          <w:color w:val="auto"/>
        </w:rPr>
        <w:footnoteReference w:id="15"/>
      </w:r>
      <w:r w:rsidRPr="002D5EF9">
        <w:rPr>
          <w:rFonts w:asciiTheme="minorHAnsi" w:hAnsiTheme="minorHAnsi" w:cstheme="minorHAnsi"/>
        </w:rPr>
        <w:t xml:space="preserve"> fr</w:t>
      </w:r>
      <w:r w:rsidRPr="00E27441">
        <w:rPr>
          <w:rFonts w:asciiTheme="minorHAnsi" w:hAnsiTheme="minorHAnsi" w:cstheme="minorHAnsi"/>
        </w:rPr>
        <w:t>om 2020-21.</w:t>
      </w:r>
    </w:p>
    <w:p w14:paraId="72F537DE" w14:textId="77777777" w:rsidR="00D212A5" w:rsidRPr="002A67C7" w:rsidRDefault="00D212A5" w:rsidP="00D212A5">
      <w:pPr>
        <w:rPr>
          <w:rFonts w:asciiTheme="minorHAnsi" w:hAnsiTheme="minorHAnsi" w:cstheme="minorHAnsi"/>
        </w:rPr>
      </w:pPr>
    </w:p>
    <w:p w14:paraId="446D301E" w14:textId="77777777" w:rsidR="00D212A5" w:rsidRPr="002A67C7" w:rsidRDefault="00D212A5" w:rsidP="00D212A5">
      <w:pPr>
        <w:rPr>
          <w:rFonts w:asciiTheme="minorHAnsi" w:hAnsiTheme="minorHAnsi" w:cstheme="minorHAnsi"/>
        </w:rPr>
      </w:pPr>
      <w:r w:rsidRPr="002A67C7">
        <w:rPr>
          <w:rFonts w:asciiTheme="minorHAnsi" w:hAnsiTheme="minorHAnsi" w:cstheme="minorHAnsi"/>
        </w:rPr>
        <w:t>The main drivers for NOPTA’s cost increases include:</w:t>
      </w:r>
    </w:p>
    <w:p w14:paraId="2BDBBB1A" w14:textId="3B5F2D0A" w:rsidR="00D212A5" w:rsidRDefault="00D212A5" w:rsidP="00A174D5">
      <w:pPr>
        <w:pStyle w:val="ListParagraph"/>
        <w:numPr>
          <w:ilvl w:val="0"/>
          <w:numId w:val="5"/>
        </w:numPr>
        <w:contextualSpacing w:val="0"/>
        <w:rPr>
          <w:rFonts w:asciiTheme="minorHAnsi" w:hAnsiTheme="minorHAnsi" w:cstheme="minorHAnsi"/>
        </w:rPr>
      </w:pPr>
      <w:r>
        <w:rPr>
          <w:rFonts w:asciiTheme="minorHAnsi" w:hAnsiTheme="minorHAnsi" w:cstheme="minorHAnsi"/>
        </w:rPr>
        <w:t>required</w:t>
      </w:r>
      <w:r w:rsidRPr="00BF4B3C">
        <w:rPr>
          <w:rFonts w:asciiTheme="minorHAnsi" w:hAnsiTheme="minorHAnsi" w:cstheme="minorHAnsi"/>
        </w:rPr>
        <w:t xml:space="preserve"> ICT</w:t>
      </w:r>
      <w:r>
        <w:rPr>
          <w:rFonts w:asciiTheme="minorHAnsi" w:hAnsiTheme="minorHAnsi" w:cstheme="minorHAnsi"/>
        </w:rPr>
        <w:t xml:space="preserve"> investment</w:t>
      </w:r>
      <w:r w:rsidRPr="00BF4B3C">
        <w:rPr>
          <w:rFonts w:asciiTheme="minorHAnsi" w:hAnsiTheme="minorHAnsi" w:cstheme="minorHAnsi"/>
        </w:rPr>
        <w:t>, including related</w:t>
      </w:r>
      <w:r w:rsidR="00DC7963">
        <w:rPr>
          <w:rFonts w:asciiTheme="minorHAnsi" w:hAnsiTheme="minorHAnsi" w:cstheme="minorHAnsi"/>
        </w:rPr>
        <w:t xml:space="preserve"> ICT</w:t>
      </w:r>
      <w:r w:rsidRPr="00BF4B3C">
        <w:rPr>
          <w:rFonts w:asciiTheme="minorHAnsi" w:hAnsiTheme="minorHAnsi" w:cstheme="minorHAnsi"/>
        </w:rPr>
        <w:t xml:space="preserve"> system</w:t>
      </w:r>
      <w:r w:rsidR="00DC7963">
        <w:rPr>
          <w:rFonts w:asciiTheme="minorHAnsi" w:hAnsiTheme="minorHAnsi" w:cstheme="minorHAnsi"/>
        </w:rPr>
        <w:t>/application</w:t>
      </w:r>
      <w:r w:rsidRPr="00BF4B3C">
        <w:rPr>
          <w:rFonts w:asciiTheme="minorHAnsi" w:hAnsiTheme="minorHAnsi" w:cstheme="minorHAnsi"/>
        </w:rPr>
        <w:t xml:space="preserve"> development costs</w:t>
      </w:r>
      <w:r>
        <w:rPr>
          <w:rFonts w:asciiTheme="minorHAnsi" w:hAnsiTheme="minorHAnsi" w:cstheme="minorHAnsi"/>
        </w:rPr>
        <w:t xml:space="preserve"> and </w:t>
      </w:r>
      <w:r w:rsidRPr="00BF4B3C">
        <w:rPr>
          <w:rFonts w:asciiTheme="minorHAnsi" w:hAnsiTheme="minorHAnsi" w:cstheme="minorHAnsi"/>
        </w:rPr>
        <w:t xml:space="preserve">system maintenance and outsourcing costs to suppliers </w:t>
      </w:r>
    </w:p>
    <w:p w14:paraId="27A5A3DF" w14:textId="248F9B4B" w:rsidR="00D212A5" w:rsidRDefault="00D212A5" w:rsidP="00A174D5">
      <w:pPr>
        <w:pStyle w:val="ListParagraph"/>
        <w:numPr>
          <w:ilvl w:val="0"/>
          <w:numId w:val="5"/>
        </w:numPr>
        <w:contextualSpacing w:val="0"/>
        <w:rPr>
          <w:rFonts w:asciiTheme="minorHAnsi" w:hAnsiTheme="minorHAnsi" w:cstheme="minorHAnsi"/>
        </w:rPr>
      </w:pPr>
      <w:r>
        <w:rPr>
          <w:rFonts w:asciiTheme="minorHAnsi" w:hAnsiTheme="minorHAnsi" w:cstheme="minorHAnsi"/>
        </w:rPr>
        <w:t xml:space="preserve">a requirement to engage additional staff to aid in the </w:t>
      </w:r>
      <w:r w:rsidR="00ED15F9">
        <w:rPr>
          <w:rFonts w:asciiTheme="minorHAnsi" w:hAnsiTheme="minorHAnsi" w:cstheme="minorHAnsi"/>
        </w:rPr>
        <w:t xml:space="preserve">widened requirement for </w:t>
      </w:r>
      <w:r>
        <w:rPr>
          <w:rFonts w:asciiTheme="minorHAnsi" w:hAnsiTheme="minorHAnsi" w:cstheme="minorHAnsi"/>
        </w:rPr>
        <w:t>assessment of financial</w:t>
      </w:r>
      <w:r w:rsidR="00ED15F9">
        <w:rPr>
          <w:rFonts w:asciiTheme="minorHAnsi" w:hAnsiTheme="minorHAnsi" w:cstheme="minorHAnsi"/>
        </w:rPr>
        <w:t xml:space="preserve"> resources</w:t>
      </w:r>
      <w:r>
        <w:rPr>
          <w:rFonts w:asciiTheme="minorHAnsi" w:hAnsiTheme="minorHAnsi" w:cstheme="minorHAnsi"/>
        </w:rPr>
        <w:t xml:space="preserve"> and technical </w:t>
      </w:r>
      <w:r w:rsidR="00ED15F9">
        <w:rPr>
          <w:rFonts w:asciiTheme="minorHAnsi" w:hAnsiTheme="minorHAnsi" w:cstheme="minorHAnsi"/>
        </w:rPr>
        <w:t xml:space="preserve">advice, the extended </w:t>
      </w:r>
      <w:r w:rsidR="005827AF">
        <w:rPr>
          <w:rFonts w:asciiTheme="minorHAnsi" w:hAnsiTheme="minorHAnsi" w:cstheme="minorHAnsi"/>
        </w:rPr>
        <w:t>decision-making</w:t>
      </w:r>
      <w:r w:rsidR="00ED15F9">
        <w:rPr>
          <w:rFonts w:asciiTheme="minorHAnsi" w:hAnsiTheme="minorHAnsi" w:cstheme="minorHAnsi"/>
        </w:rPr>
        <w:t xml:space="preserve"> </w:t>
      </w:r>
      <w:r w:rsidR="00ED15F9">
        <w:rPr>
          <w:rFonts w:asciiTheme="minorHAnsi" w:hAnsiTheme="minorHAnsi" w:cstheme="minorHAnsi"/>
        </w:rPr>
        <w:lastRenderedPageBreak/>
        <w:t xml:space="preserve">requirements under section 695YB </w:t>
      </w:r>
      <w:r w:rsidR="000472FB">
        <w:rPr>
          <w:rFonts w:asciiTheme="minorHAnsi" w:hAnsiTheme="minorHAnsi" w:cstheme="minorHAnsi"/>
        </w:rPr>
        <w:t xml:space="preserve">of the </w:t>
      </w:r>
      <w:r w:rsidR="005827AF">
        <w:rPr>
          <w:rFonts w:asciiTheme="minorHAnsi" w:hAnsiTheme="minorHAnsi" w:cstheme="minorHAnsi"/>
        </w:rPr>
        <w:t>OPGGS Act</w:t>
      </w:r>
      <w:r w:rsidR="000472FB">
        <w:rPr>
          <w:rFonts w:asciiTheme="minorHAnsi" w:hAnsiTheme="minorHAnsi" w:cstheme="minorHAnsi"/>
        </w:rPr>
        <w:t xml:space="preserve"> </w:t>
      </w:r>
      <w:r w:rsidR="00ED15F9">
        <w:rPr>
          <w:rFonts w:asciiTheme="minorHAnsi" w:hAnsiTheme="minorHAnsi" w:cstheme="minorHAnsi"/>
        </w:rPr>
        <w:t xml:space="preserve">and the </w:t>
      </w:r>
      <w:r w:rsidR="000472FB">
        <w:rPr>
          <w:rFonts w:asciiTheme="minorHAnsi" w:hAnsiTheme="minorHAnsi" w:cstheme="minorHAnsi"/>
        </w:rPr>
        <w:t xml:space="preserve">administration </w:t>
      </w:r>
      <w:r w:rsidR="00ED15F9">
        <w:rPr>
          <w:rFonts w:asciiTheme="minorHAnsi" w:hAnsiTheme="minorHAnsi" w:cstheme="minorHAnsi"/>
        </w:rPr>
        <w:t>of change of control (company acquisition)</w:t>
      </w:r>
      <w:r w:rsidR="009E6BB5">
        <w:rPr>
          <w:rFonts w:asciiTheme="minorHAnsi" w:hAnsiTheme="minorHAnsi" w:cstheme="minorHAnsi"/>
        </w:rPr>
        <w:t xml:space="preserve"> </w:t>
      </w:r>
      <w:r>
        <w:rPr>
          <w:rFonts w:asciiTheme="minorHAnsi" w:hAnsiTheme="minorHAnsi" w:cstheme="minorHAnsi"/>
        </w:rPr>
        <w:t xml:space="preserve">(as </w:t>
      </w:r>
      <w:r w:rsidR="00ED15F9">
        <w:rPr>
          <w:rFonts w:asciiTheme="minorHAnsi" w:hAnsiTheme="minorHAnsi" w:cstheme="minorHAnsi"/>
        </w:rPr>
        <w:t xml:space="preserve">proposed </w:t>
      </w:r>
      <w:r w:rsidR="002B7BB1">
        <w:rPr>
          <w:rFonts w:asciiTheme="minorHAnsi" w:hAnsiTheme="minorHAnsi" w:cstheme="minorHAnsi"/>
        </w:rPr>
        <w:t>imposed under the Amendment Act</w:t>
      </w:r>
      <w:r>
        <w:rPr>
          <w:rFonts w:asciiTheme="minorHAnsi" w:hAnsiTheme="minorHAnsi" w:cstheme="minorHAnsi"/>
        </w:rPr>
        <w:t>)</w:t>
      </w:r>
    </w:p>
    <w:p w14:paraId="188C6A2C" w14:textId="77777777" w:rsidR="00D212A5" w:rsidRPr="00BF4B3C" w:rsidRDefault="00D212A5" w:rsidP="00A174D5">
      <w:pPr>
        <w:pStyle w:val="ListParagraph"/>
        <w:numPr>
          <w:ilvl w:val="0"/>
          <w:numId w:val="5"/>
        </w:numPr>
        <w:contextualSpacing w:val="0"/>
        <w:rPr>
          <w:rFonts w:asciiTheme="minorHAnsi" w:hAnsiTheme="minorHAnsi" w:cstheme="minorHAnsi"/>
        </w:rPr>
      </w:pPr>
      <w:r w:rsidRPr="00BF4B3C">
        <w:rPr>
          <w:rFonts w:asciiTheme="minorHAnsi" w:hAnsiTheme="minorHAnsi" w:cstheme="minorHAnsi"/>
        </w:rPr>
        <w:t xml:space="preserve">increased costs of employee benefits (inclusive of salary costs) </w:t>
      </w:r>
    </w:p>
    <w:p w14:paraId="5DD1CA63" w14:textId="77777777" w:rsidR="00D212A5" w:rsidRPr="00BF4B3C" w:rsidRDefault="00D212A5" w:rsidP="00A174D5">
      <w:pPr>
        <w:pStyle w:val="ListParagraph"/>
        <w:numPr>
          <w:ilvl w:val="0"/>
          <w:numId w:val="5"/>
        </w:numPr>
        <w:contextualSpacing w:val="0"/>
        <w:rPr>
          <w:rFonts w:asciiTheme="minorHAnsi" w:hAnsiTheme="minorHAnsi" w:cstheme="minorHAnsi"/>
        </w:rPr>
      </w:pPr>
      <w:r w:rsidRPr="00BF4B3C">
        <w:rPr>
          <w:rFonts w:asciiTheme="minorHAnsi" w:hAnsiTheme="minorHAnsi" w:cstheme="minorHAnsi"/>
        </w:rPr>
        <w:t>a greater focus on resource management</w:t>
      </w:r>
      <w:r>
        <w:rPr>
          <w:rFonts w:asciiTheme="minorHAnsi" w:hAnsiTheme="minorHAnsi" w:cstheme="minorHAnsi"/>
        </w:rPr>
        <w:t xml:space="preserve"> consistent with the responsible Commonwealth Minister’s expectations,</w:t>
      </w:r>
      <w:r w:rsidRPr="00BF4B3C">
        <w:rPr>
          <w:rFonts w:asciiTheme="minorHAnsi" w:hAnsiTheme="minorHAnsi" w:cstheme="minorHAnsi"/>
        </w:rPr>
        <w:t xml:space="preserve"> and</w:t>
      </w:r>
    </w:p>
    <w:p w14:paraId="544E1ED7" w14:textId="73969CED" w:rsidR="00D212A5" w:rsidRDefault="00D212A5" w:rsidP="00A174D5">
      <w:pPr>
        <w:pStyle w:val="ListParagraph"/>
        <w:numPr>
          <w:ilvl w:val="0"/>
          <w:numId w:val="5"/>
        </w:numPr>
        <w:contextualSpacing w:val="0"/>
        <w:rPr>
          <w:rFonts w:asciiTheme="minorHAnsi" w:hAnsiTheme="minorHAnsi" w:cstheme="minorHAnsi"/>
        </w:rPr>
      </w:pPr>
      <w:r w:rsidRPr="00BF4B3C">
        <w:rPr>
          <w:rFonts w:asciiTheme="minorHAnsi" w:hAnsiTheme="minorHAnsi" w:cstheme="minorHAnsi"/>
        </w:rPr>
        <w:t>an increase in the complexity of titles administration activities</w:t>
      </w:r>
      <w:r>
        <w:rPr>
          <w:rFonts w:asciiTheme="minorHAnsi" w:hAnsiTheme="minorHAnsi" w:cstheme="minorHAnsi"/>
        </w:rPr>
        <w:t xml:space="preserve"> consistent with a maturing industry</w:t>
      </w:r>
      <w:r w:rsidRPr="00BF4B3C">
        <w:rPr>
          <w:rFonts w:asciiTheme="minorHAnsi" w:hAnsiTheme="minorHAnsi" w:cstheme="minorHAnsi"/>
        </w:rPr>
        <w:t>.</w:t>
      </w:r>
    </w:p>
    <w:p w14:paraId="54020701" w14:textId="77777777" w:rsidR="00D212A5" w:rsidRDefault="00D212A5" w:rsidP="00D212A5">
      <w:pPr>
        <w:rPr>
          <w:rFonts w:asciiTheme="minorHAnsi" w:hAnsiTheme="minorHAnsi" w:cstheme="minorHAnsi"/>
        </w:rPr>
      </w:pPr>
    </w:p>
    <w:p w14:paraId="6CD39697" w14:textId="385A3292" w:rsidR="00D212A5" w:rsidRPr="00535A07" w:rsidRDefault="00D212A5" w:rsidP="00D212A5">
      <w:pPr>
        <w:rPr>
          <w:rFonts w:asciiTheme="minorHAnsi" w:hAnsiTheme="minorHAnsi" w:cstheme="minorHAnsi"/>
        </w:rPr>
      </w:pPr>
      <w:bookmarkStart w:id="20" w:name="_Hlk72148269"/>
      <w:r>
        <w:rPr>
          <w:rFonts w:asciiTheme="minorHAnsi" w:hAnsiTheme="minorHAnsi" w:cstheme="minorHAnsi"/>
        </w:rPr>
        <w:t>NOPTA is proposing that fees and levies be increased</w:t>
      </w:r>
      <w:r w:rsidR="00253AAF">
        <w:rPr>
          <w:rFonts w:asciiTheme="minorHAnsi" w:hAnsiTheme="minorHAnsi" w:cstheme="minorHAnsi"/>
        </w:rPr>
        <w:t xml:space="preserve"> </w:t>
      </w:r>
      <w:r w:rsidR="00C06812">
        <w:rPr>
          <w:rFonts w:asciiTheme="minorHAnsi" w:hAnsiTheme="minorHAnsi" w:cstheme="minorHAnsi"/>
        </w:rPr>
        <w:t>by</w:t>
      </w:r>
      <w:r w:rsidR="007A6658">
        <w:rPr>
          <w:rFonts w:asciiTheme="minorHAnsi" w:hAnsiTheme="minorHAnsi" w:cstheme="minorHAnsi"/>
        </w:rPr>
        <w:t xml:space="preserve"> 10 </w:t>
      </w:r>
      <w:r w:rsidR="00253AAF">
        <w:rPr>
          <w:rFonts w:asciiTheme="minorHAnsi" w:hAnsiTheme="minorHAnsi" w:cstheme="minorHAnsi"/>
        </w:rPr>
        <w:t>percent to commence from 1 January 2022 to be reviewed in 12 months.</w:t>
      </w:r>
      <w:r>
        <w:rPr>
          <w:rFonts w:asciiTheme="minorHAnsi" w:hAnsiTheme="minorHAnsi" w:cstheme="minorHAnsi"/>
        </w:rPr>
        <w:t xml:space="preserve"> NOPTA will maintain full transparency by notifying and consulting </w:t>
      </w:r>
      <w:r w:rsidR="00935579">
        <w:rPr>
          <w:rFonts w:asciiTheme="minorHAnsi" w:hAnsiTheme="minorHAnsi" w:cstheme="minorHAnsi"/>
        </w:rPr>
        <w:t xml:space="preserve">industry </w:t>
      </w:r>
      <w:r>
        <w:rPr>
          <w:rFonts w:asciiTheme="minorHAnsi" w:hAnsiTheme="minorHAnsi" w:cstheme="minorHAnsi"/>
        </w:rPr>
        <w:t>where required prior to any</w:t>
      </w:r>
      <w:r w:rsidR="00A927F2">
        <w:rPr>
          <w:rFonts w:asciiTheme="minorHAnsi" w:hAnsiTheme="minorHAnsi" w:cstheme="minorHAnsi"/>
        </w:rPr>
        <w:t xml:space="preserve"> potential future</w:t>
      </w:r>
      <w:r>
        <w:rPr>
          <w:rFonts w:asciiTheme="minorHAnsi" w:hAnsiTheme="minorHAnsi" w:cstheme="minorHAnsi"/>
        </w:rPr>
        <w:t xml:space="preserve"> increase. </w:t>
      </w:r>
      <w:bookmarkEnd w:id="20"/>
    </w:p>
    <w:p w14:paraId="0C4507E9" w14:textId="77777777" w:rsidR="00D212A5" w:rsidRDefault="00D212A5" w:rsidP="00D212A5">
      <w:pPr>
        <w:rPr>
          <w:rFonts w:asciiTheme="minorHAnsi" w:hAnsiTheme="minorHAnsi" w:cstheme="minorHAnsi"/>
        </w:rPr>
      </w:pPr>
    </w:p>
    <w:p w14:paraId="4F4D1C3B" w14:textId="74D1DF81" w:rsidR="00D212A5" w:rsidRDefault="00D212A5" w:rsidP="00D212A5">
      <w:pPr>
        <w:rPr>
          <w:rFonts w:asciiTheme="minorHAnsi" w:hAnsiTheme="minorHAnsi" w:cstheme="minorHAnsi"/>
        </w:rPr>
      </w:pPr>
      <w:r>
        <w:rPr>
          <w:rFonts w:asciiTheme="minorHAnsi" w:hAnsiTheme="minorHAnsi" w:cstheme="minorHAnsi"/>
        </w:rPr>
        <w:t xml:space="preserve">Based on </w:t>
      </w:r>
      <w:r w:rsidR="00462E41">
        <w:rPr>
          <w:rFonts w:asciiTheme="minorHAnsi" w:hAnsiTheme="minorHAnsi" w:cstheme="minorHAnsi"/>
        </w:rPr>
        <w:t>NOPTA’s</w:t>
      </w:r>
      <w:r>
        <w:rPr>
          <w:rFonts w:asciiTheme="minorHAnsi" w:hAnsiTheme="minorHAnsi" w:cstheme="minorHAnsi"/>
        </w:rPr>
        <w:t xml:space="preserve"> analysis of effort required, the following Table </w:t>
      </w:r>
      <w:r w:rsidR="006A13DE">
        <w:rPr>
          <w:rFonts w:asciiTheme="minorHAnsi" w:hAnsiTheme="minorHAnsi" w:cstheme="minorHAnsi"/>
        </w:rPr>
        <w:t>2</w:t>
      </w:r>
      <w:r>
        <w:rPr>
          <w:rFonts w:asciiTheme="minorHAnsi" w:hAnsiTheme="minorHAnsi" w:cstheme="minorHAnsi"/>
        </w:rPr>
        <w:t xml:space="preserve"> shows the allocation of NOPTA costs to outputs in 2021-22. The figures were derived by multiplying the direct and indirect costs of each </w:t>
      </w:r>
      <w:r w:rsidR="00F74621">
        <w:rPr>
          <w:rFonts w:asciiTheme="minorHAnsi" w:hAnsiTheme="minorHAnsi" w:cstheme="minorHAnsi"/>
        </w:rPr>
        <w:t xml:space="preserve">specialist </w:t>
      </w:r>
      <w:r>
        <w:rPr>
          <w:rFonts w:asciiTheme="minorHAnsi" w:hAnsiTheme="minorHAnsi" w:cstheme="minorHAnsi"/>
        </w:rPr>
        <w:t>team by the level of effort estimated to achieve each output.</w:t>
      </w:r>
    </w:p>
    <w:p w14:paraId="5C40F22D" w14:textId="77777777" w:rsidR="00D212A5" w:rsidRDefault="00D212A5" w:rsidP="00D212A5">
      <w:pPr>
        <w:rPr>
          <w:rFonts w:asciiTheme="minorHAnsi" w:hAnsiTheme="minorHAnsi" w:cstheme="minorHAnsi"/>
        </w:rPr>
      </w:pPr>
    </w:p>
    <w:p w14:paraId="42979405" w14:textId="3A72022C" w:rsidR="00D212A5" w:rsidRDefault="00D212A5" w:rsidP="00D212A5">
      <w:pPr>
        <w:rPr>
          <w:rFonts w:asciiTheme="minorHAnsi" w:hAnsiTheme="minorHAnsi" w:cstheme="minorHAnsi"/>
        </w:rPr>
      </w:pPr>
      <w:r w:rsidRPr="00107D3F">
        <w:rPr>
          <w:rFonts w:asciiTheme="minorHAnsi" w:hAnsiTheme="minorHAnsi" w:cstheme="minorHAnsi"/>
          <w:b/>
          <w:bCs/>
        </w:rPr>
        <w:t xml:space="preserve">Table </w:t>
      </w:r>
      <w:r w:rsidR="00AF30A2" w:rsidRPr="00107D3F">
        <w:rPr>
          <w:rFonts w:asciiTheme="minorHAnsi" w:hAnsiTheme="minorHAnsi" w:cstheme="minorHAnsi"/>
          <w:b/>
          <w:bCs/>
        </w:rPr>
        <w:t>2</w:t>
      </w:r>
      <w:r w:rsidRPr="00AF30A2">
        <w:rPr>
          <w:rFonts w:asciiTheme="minorHAnsi" w:hAnsiTheme="minorHAnsi" w:cstheme="minorHAnsi"/>
        </w:rPr>
        <w:t>: Cost allocated to outputs in 2021-22</w:t>
      </w:r>
      <w:r w:rsidR="00AF30A2" w:rsidRPr="00AF30A2">
        <w:rPr>
          <w:rFonts w:asciiTheme="minorHAnsi" w:hAnsiTheme="minorHAnsi" w:cstheme="minorHAnsi"/>
        </w:rPr>
        <w:t xml:space="preserve"> ($M)</w:t>
      </w:r>
    </w:p>
    <w:tbl>
      <w:tblPr>
        <w:tblStyle w:val="ListTable4-Accent1"/>
        <w:tblW w:w="0" w:type="auto"/>
        <w:tblLook w:val="04A0" w:firstRow="1" w:lastRow="0" w:firstColumn="1" w:lastColumn="0" w:noHBand="0" w:noVBand="1"/>
      </w:tblPr>
      <w:tblGrid>
        <w:gridCol w:w="988"/>
        <w:gridCol w:w="2268"/>
        <w:gridCol w:w="2409"/>
        <w:gridCol w:w="1418"/>
        <w:gridCol w:w="2268"/>
      </w:tblGrid>
      <w:tr w:rsidR="00486885" w:rsidRPr="00F0180B" w14:paraId="08645668" w14:textId="77777777" w:rsidTr="00107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26A876F" w14:textId="77777777" w:rsidR="00486885" w:rsidRPr="00F0180B" w:rsidRDefault="00486885" w:rsidP="00486885">
            <w:pPr>
              <w:jc w:val="center"/>
              <w:rPr>
                <w:rFonts w:asciiTheme="minorHAnsi" w:hAnsiTheme="minorHAnsi" w:cstheme="minorHAnsi"/>
                <w:b w:val="0"/>
                <w:bCs w:val="0"/>
                <w:sz w:val="20"/>
                <w:szCs w:val="20"/>
              </w:rPr>
            </w:pPr>
            <w:r w:rsidRPr="00F0180B">
              <w:rPr>
                <w:rFonts w:asciiTheme="minorHAnsi" w:hAnsiTheme="minorHAnsi" w:cstheme="minorHAnsi"/>
                <w:sz w:val="20"/>
                <w:szCs w:val="20"/>
              </w:rPr>
              <w:t>Output</w:t>
            </w:r>
          </w:p>
          <w:p w14:paraId="2BDAA549" w14:textId="77777777" w:rsidR="00486885" w:rsidRPr="00F0180B" w:rsidRDefault="00486885" w:rsidP="00486885">
            <w:pPr>
              <w:jc w:val="center"/>
              <w:rPr>
                <w:rFonts w:asciiTheme="minorHAnsi" w:hAnsiTheme="minorHAnsi" w:cstheme="minorHAnsi"/>
                <w:sz w:val="20"/>
                <w:szCs w:val="20"/>
              </w:rPr>
            </w:pPr>
            <w:r w:rsidRPr="00F0180B">
              <w:rPr>
                <w:rFonts w:asciiTheme="minorHAnsi" w:hAnsiTheme="minorHAnsi" w:cstheme="minorHAnsi"/>
                <w:sz w:val="20"/>
                <w:szCs w:val="20"/>
              </w:rPr>
              <w:t>No.</w:t>
            </w:r>
          </w:p>
        </w:tc>
        <w:tc>
          <w:tcPr>
            <w:tcW w:w="2268" w:type="dxa"/>
          </w:tcPr>
          <w:p w14:paraId="7E03B3F0" w14:textId="77777777" w:rsidR="00486885" w:rsidRPr="00F0180B" w:rsidRDefault="00486885" w:rsidP="004868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0180B">
              <w:rPr>
                <w:rFonts w:asciiTheme="minorHAnsi" w:hAnsiTheme="minorHAnsi" w:cstheme="minorHAnsi"/>
                <w:sz w:val="20"/>
                <w:szCs w:val="20"/>
              </w:rPr>
              <w:t>Output</w:t>
            </w:r>
          </w:p>
        </w:tc>
        <w:tc>
          <w:tcPr>
            <w:tcW w:w="2409" w:type="dxa"/>
          </w:tcPr>
          <w:p w14:paraId="6F1AF6E5" w14:textId="77777777" w:rsidR="00486885" w:rsidRPr="00F0180B" w:rsidRDefault="00486885" w:rsidP="004868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F0180B">
              <w:rPr>
                <w:rFonts w:asciiTheme="minorHAnsi" w:hAnsiTheme="minorHAnsi" w:cstheme="minorHAnsi"/>
                <w:sz w:val="20"/>
                <w:szCs w:val="20"/>
              </w:rPr>
              <w:t>Direct</w:t>
            </w:r>
          </w:p>
          <w:p w14:paraId="787EA101" w14:textId="77777777" w:rsidR="00486885" w:rsidRPr="00F0180B" w:rsidRDefault="00486885" w:rsidP="004868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0180B">
              <w:rPr>
                <w:rFonts w:asciiTheme="minorHAnsi" w:hAnsiTheme="minorHAnsi" w:cstheme="minorHAnsi"/>
                <w:sz w:val="20"/>
                <w:szCs w:val="20"/>
              </w:rPr>
              <w:t>Costs</w:t>
            </w:r>
          </w:p>
        </w:tc>
        <w:tc>
          <w:tcPr>
            <w:tcW w:w="1418" w:type="dxa"/>
          </w:tcPr>
          <w:p w14:paraId="2CF3A045" w14:textId="77777777" w:rsidR="00486885" w:rsidRPr="00F0180B" w:rsidRDefault="00486885" w:rsidP="004868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F0180B">
              <w:rPr>
                <w:rFonts w:asciiTheme="minorHAnsi" w:hAnsiTheme="minorHAnsi" w:cstheme="minorHAnsi"/>
                <w:sz w:val="20"/>
                <w:szCs w:val="20"/>
              </w:rPr>
              <w:t>Indirect</w:t>
            </w:r>
          </w:p>
          <w:p w14:paraId="1958491E" w14:textId="77777777" w:rsidR="00486885" w:rsidRPr="00F0180B" w:rsidRDefault="00486885" w:rsidP="004868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0180B">
              <w:rPr>
                <w:rFonts w:asciiTheme="minorHAnsi" w:hAnsiTheme="minorHAnsi" w:cstheme="minorHAnsi"/>
                <w:sz w:val="20"/>
                <w:szCs w:val="20"/>
              </w:rPr>
              <w:t>Costs</w:t>
            </w:r>
          </w:p>
        </w:tc>
        <w:tc>
          <w:tcPr>
            <w:tcW w:w="2268" w:type="dxa"/>
          </w:tcPr>
          <w:p w14:paraId="6AF9B367" w14:textId="77777777" w:rsidR="00486885" w:rsidRPr="00F0180B" w:rsidRDefault="00486885" w:rsidP="004868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0180B">
              <w:rPr>
                <w:rFonts w:asciiTheme="minorHAnsi" w:hAnsiTheme="minorHAnsi" w:cstheme="minorHAnsi"/>
                <w:sz w:val="20"/>
                <w:szCs w:val="20"/>
              </w:rPr>
              <w:t>Total $M</w:t>
            </w:r>
          </w:p>
        </w:tc>
      </w:tr>
      <w:tr w:rsidR="00486885" w:rsidRPr="00F0180B" w14:paraId="6C70B827"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C537B1F" w14:textId="77777777" w:rsidR="00486885" w:rsidRPr="00F0180B" w:rsidRDefault="00486885" w:rsidP="00486885">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1</w:t>
            </w:r>
          </w:p>
        </w:tc>
        <w:tc>
          <w:tcPr>
            <w:tcW w:w="2268" w:type="dxa"/>
          </w:tcPr>
          <w:p w14:paraId="79A71599" w14:textId="77777777" w:rsidR="00486885" w:rsidRPr="00F0180B" w:rsidRDefault="00486885" w:rsidP="004868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Acreage release</w:t>
            </w:r>
          </w:p>
        </w:tc>
        <w:tc>
          <w:tcPr>
            <w:tcW w:w="2409" w:type="dxa"/>
          </w:tcPr>
          <w:p w14:paraId="19F47769" w14:textId="77777777"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0.422</w:t>
            </w:r>
          </w:p>
        </w:tc>
        <w:tc>
          <w:tcPr>
            <w:tcW w:w="1418" w:type="dxa"/>
          </w:tcPr>
          <w:p w14:paraId="5295AF1D" w14:textId="77777777"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0.198</w:t>
            </w:r>
          </w:p>
        </w:tc>
        <w:tc>
          <w:tcPr>
            <w:tcW w:w="2268" w:type="dxa"/>
          </w:tcPr>
          <w:p w14:paraId="536BDFAC" w14:textId="4FD6277B"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w:t>
            </w:r>
            <w:r w:rsidR="000C0801" w:rsidRPr="00F0180B">
              <w:rPr>
                <w:rFonts w:asciiTheme="minorHAnsi" w:hAnsiTheme="minorHAnsi" w:cstheme="minorHAnsi"/>
                <w:color w:val="17365D" w:themeColor="text2" w:themeShade="BF"/>
                <w:sz w:val="20"/>
                <w:szCs w:val="20"/>
              </w:rPr>
              <w:t>6</w:t>
            </w:r>
            <w:r w:rsidR="000C0801">
              <w:rPr>
                <w:rFonts w:asciiTheme="minorHAnsi" w:hAnsiTheme="minorHAnsi" w:cstheme="minorHAnsi"/>
                <w:color w:val="17365D" w:themeColor="text2" w:themeShade="BF"/>
                <w:sz w:val="20"/>
                <w:szCs w:val="20"/>
              </w:rPr>
              <w:t>20</w:t>
            </w:r>
          </w:p>
        </w:tc>
      </w:tr>
      <w:tr w:rsidR="00486885" w:rsidRPr="00F0180B" w14:paraId="6E2E164A" w14:textId="77777777" w:rsidTr="00107D3F">
        <w:tc>
          <w:tcPr>
            <w:cnfStyle w:val="001000000000" w:firstRow="0" w:lastRow="0" w:firstColumn="1" w:lastColumn="0" w:oddVBand="0" w:evenVBand="0" w:oddHBand="0" w:evenHBand="0" w:firstRowFirstColumn="0" w:firstRowLastColumn="0" w:lastRowFirstColumn="0" w:lastRowLastColumn="0"/>
            <w:tcW w:w="988" w:type="dxa"/>
          </w:tcPr>
          <w:p w14:paraId="3B5594DF" w14:textId="77777777" w:rsidR="00486885" w:rsidRPr="00F0180B" w:rsidRDefault="00486885" w:rsidP="00486885">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2</w:t>
            </w:r>
          </w:p>
        </w:tc>
        <w:tc>
          <w:tcPr>
            <w:tcW w:w="2268" w:type="dxa"/>
          </w:tcPr>
          <w:p w14:paraId="5D3D0DA5" w14:textId="22EEBB31" w:rsidR="00486885" w:rsidRPr="00F0180B" w:rsidRDefault="00486885" w:rsidP="004868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 xml:space="preserve">Petroleum exploration </w:t>
            </w:r>
            <w:r w:rsidR="00ED15F9">
              <w:rPr>
                <w:rFonts w:asciiTheme="minorHAnsi" w:hAnsiTheme="minorHAnsi" w:cstheme="minorHAnsi"/>
                <w:color w:val="17365D" w:themeColor="text2" w:themeShade="BF"/>
                <w:sz w:val="20"/>
                <w:szCs w:val="20"/>
              </w:rPr>
              <w:t>p</w:t>
            </w:r>
            <w:r w:rsidRPr="00F0180B">
              <w:rPr>
                <w:rFonts w:asciiTheme="minorHAnsi" w:hAnsiTheme="minorHAnsi" w:cstheme="minorHAnsi"/>
                <w:color w:val="17365D" w:themeColor="text2" w:themeShade="BF"/>
                <w:sz w:val="20"/>
                <w:szCs w:val="20"/>
              </w:rPr>
              <w:t>ermit</w:t>
            </w:r>
          </w:p>
        </w:tc>
        <w:tc>
          <w:tcPr>
            <w:tcW w:w="2409" w:type="dxa"/>
          </w:tcPr>
          <w:p w14:paraId="0A415C98" w14:textId="77777777"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1.316</w:t>
            </w:r>
          </w:p>
        </w:tc>
        <w:tc>
          <w:tcPr>
            <w:tcW w:w="1418" w:type="dxa"/>
          </w:tcPr>
          <w:p w14:paraId="0889EB0B" w14:textId="65B588BA"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0.44</w:t>
            </w:r>
            <w:r w:rsidR="000C0801">
              <w:rPr>
                <w:rFonts w:asciiTheme="minorHAnsi" w:hAnsiTheme="minorHAnsi" w:cstheme="minorHAnsi"/>
                <w:color w:val="17365D" w:themeColor="text2" w:themeShade="BF"/>
                <w:sz w:val="20"/>
                <w:szCs w:val="20"/>
              </w:rPr>
              <w:t>2</w:t>
            </w:r>
          </w:p>
        </w:tc>
        <w:tc>
          <w:tcPr>
            <w:tcW w:w="2268" w:type="dxa"/>
          </w:tcPr>
          <w:p w14:paraId="2E0AC4D6" w14:textId="004B28C2"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1.75</w:t>
            </w:r>
            <w:r w:rsidR="000C0801">
              <w:rPr>
                <w:rFonts w:asciiTheme="minorHAnsi" w:hAnsiTheme="minorHAnsi" w:cstheme="minorHAnsi"/>
                <w:color w:val="17365D" w:themeColor="text2" w:themeShade="BF"/>
                <w:sz w:val="20"/>
                <w:szCs w:val="20"/>
              </w:rPr>
              <w:t>8</w:t>
            </w:r>
          </w:p>
        </w:tc>
      </w:tr>
      <w:tr w:rsidR="00486885" w:rsidRPr="00F0180B" w14:paraId="6D30636B"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919F8D6" w14:textId="77777777" w:rsidR="00486885" w:rsidRPr="00F0180B" w:rsidRDefault="00486885" w:rsidP="00486885">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3</w:t>
            </w:r>
          </w:p>
        </w:tc>
        <w:tc>
          <w:tcPr>
            <w:tcW w:w="2268" w:type="dxa"/>
          </w:tcPr>
          <w:p w14:paraId="746C0F91" w14:textId="77777777" w:rsidR="00486885" w:rsidRPr="00F0180B" w:rsidRDefault="00486885" w:rsidP="004868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Suspension and extension; variation; exemption</w:t>
            </w:r>
          </w:p>
        </w:tc>
        <w:tc>
          <w:tcPr>
            <w:tcW w:w="2409" w:type="dxa"/>
          </w:tcPr>
          <w:p w14:paraId="709E282E" w14:textId="77777777"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0.319</w:t>
            </w:r>
          </w:p>
        </w:tc>
        <w:tc>
          <w:tcPr>
            <w:tcW w:w="1418" w:type="dxa"/>
          </w:tcPr>
          <w:p w14:paraId="7E786C4F" w14:textId="77777777"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0.157</w:t>
            </w:r>
          </w:p>
        </w:tc>
        <w:tc>
          <w:tcPr>
            <w:tcW w:w="2268" w:type="dxa"/>
          </w:tcPr>
          <w:p w14:paraId="6CE01FC9" w14:textId="77777777"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0.476</w:t>
            </w:r>
          </w:p>
        </w:tc>
      </w:tr>
      <w:tr w:rsidR="00486885" w:rsidRPr="00F0180B" w14:paraId="1C975CC4" w14:textId="77777777" w:rsidTr="00107D3F">
        <w:tc>
          <w:tcPr>
            <w:cnfStyle w:val="001000000000" w:firstRow="0" w:lastRow="0" w:firstColumn="1" w:lastColumn="0" w:oddVBand="0" w:evenVBand="0" w:oddHBand="0" w:evenHBand="0" w:firstRowFirstColumn="0" w:firstRowLastColumn="0" w:lastRowFirstColumn="0" w:lastRowLastColumn="0"/>
            <w:tcW w:w="988" w:type="dxa"/>
          </w:tcPr>
          <w:p w14:paraId="7462F462" w14:textId="77777777" w:rsidR="00486885" w:rsidRPr="00F0180B" w:rsidRDefault="00486885" w:rsidP="00486885">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4</w:t>
            </w:r>
          </w:p>
        </w:tc>
        <w:tc>
          <w:tcPr>
            <w:tcW w:w="2268" w:type="dxa"/>
          </w:tcPr>
          <w:p w14:paraId="13463ED4" w14:textId="77777777" w:rsidR="00486885" w:rsidRPr="00F0180B" w:rsidRDefault="00486885" w:rsidP="004868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Declaration of a location</w:t>
            </w:r>
          </w:p>
        </w:tc>
        <w:tc>
          <w:tcPr>
            <w:tcW w:w="2409" w:type="dxa"/>
          </w:tcPr>
          <w:p w14:paraId="08E4FBCC" w14:textId="77777777"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0.275</w:t>
            </w:r>
          </w:p>
        </w:tc>
        <w:tc>
          <w:tcPr>
            <w:tcW w:w="1418" w:type="dxa"/>
          </w:tcPr>
          <w:p w14:paraId="539C7E1A" w14:textId="77777777"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0.126</w:t>
            </w:r>
          </w:p>
        </w:tc>
        <w:tc>
          <w:tcPr>
            <w:tcW w:w="2268" w:type="dxa"/>
          </w:tcPr>
          <w:p w14:paraId="359E7FBE" w14:textId="77777777"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0.401</w:t>
            </w:r>
          </w:p>
        </w:tc>
      </w:tr>
      <w:tr w:rsidR="00486885" w:rsidRPr="00F0180B" w14:paraId="54A3477D"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5CE7C47" w14:textId="77777777" w:rsidR="00486885" w:rsidRPr="00F0180B" w:rsidRDefault="00486885" w:rsidP="00486885">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5</w:t>
            </w:r>
          </w:p>
        </w:tc>
        <w:tc>
          <w:tcPr>
            <w:tcW w:w="2268" w:type="dxa"/>
          </w:tcPr>
          <w:p w14:paraId="0D82AF06" w14:textId="77777777" w:rsidR="00486885" w:rsidRPr="00F0180B" w:rsidRDefault="00486885" w:rsidP="004868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Retention lease</w:t>
            </w:r>
          </w:p>
        </w:tc>
        <w:tc>
          <w:tcPr>
            <w:tcW w:w="2409" w:type="dxa"/>
          </w:tcPr>
          <w:p w14:paraId="69813D23" w14:textId="77777777"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4.007</w:t>
            </w:r>
          </w:p>
        </w:tc>
        <w:tc>
          <w:tcPr>
            <w:tcW w:w="1418" w:type="dxa"/>
          </w:tcPr>
          <w:p w14:paraId="1E135E41" w14:textId="5E673E24"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1.71</w:t>
            </w:r>
            <w:r w:rsidR="000C0801">
              <w:rPr>
                <w:rFonts w:asciiTheme="minorHAnsi" w:hAnsiTheme="minorHAnsi" w:cstheme="minorHAnsi"/>
                <w:color w:val="17365D" w:themeColor="text2" w:themeShade="BF"/>
                <w:sz w:val="20"/>
                <w:szCs w:val="20"/>
              </w:rPr>
              <w:t>1</w:t>
            </w:r>
          </w:p>
        </w:tc>
        <w:tc>
          <w:tcPr>
            <w:tcW w:w="2268" w:type="dxa"/>
          </w:tcPr>
          <w:p w14:paraId="6813A4B9" w14:textId="39C7D69A"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5.71</w:t>
            </w:r>
            <w:r w:rsidR="000C0801">
              <w:rPr>
                <w:rFonts w:asciiTheme="minorHAnsi" w:hAnsiTheme="minorHAnsi" w:cstheme="minorHAnsi"/>
                <w:color w:val="17365D" w:themeColor="text2" w:themeShade="BF"/>
                <w:sz w:val="20"/>
                <w:szCs w:val="20"/>
              </w:rPr>
              <w:t>8</w:t>
            </w:r>
          </w:p>
        </w:tc>
      </w:tr>
      <w:tr w:rsidR="00486885" w:rsidRPr="00F0180B" w14:paraId="06D09B4D" w14:textId="77777777" w:rsidTr="00107D3F">
        <w:tc>
          <w:tcPr>
            <w:cnfStyle w:val="001000000000" w:firstRow="0" w:lastRow="0" w:firstColumn="1" w:lastColumn="0" w:oddVBand="0" w:evenVBand="0" w:oddHBand="0" w:evenHBand="0" w:firstRowFirstColumn="0" w:firstRowLastColumn="0" w:lastRowFirstColumn="0" w:lastRowLastColumn="0"/>
            <w:tcW w:w="988" w:type="dxa"/>
          </w:tcPr>
          <w:p w14:paraId="16FA7109" w14:textId="77777777" w:rsidR="00486885" w:rsidRPr="00F0180B" w:rsidRDefault="00486885" w:rsidP="00486885">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6</w:t>
            </w:r>
          </w:p>
        </w:tc>
        <w:tc>
          <w:tcPr>
            <w:tcW w:w="2268" w:type="dxa"/>
          </w:tcPr>
          <w:p w14:paraId="20CF2BF4" w14:textId="77777777" w:rsidR="00486885" w:rsidRPr="00F0180B" w:rsidRDefault="00486885" w:rsidP="004868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Production licence</w:t>
            </w:r>
          </w:p>
        </w:tc>
        <w:tc>
          <w:tcPr>
            <w:tcW w:w="2409" w:type="dxa"/>
          </w:tcPr>
          <w:p w14:paraId="46D606A2" w14:textId="77777777"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4.421</w:t>
            </w:r>
          </w:p>
        </w:tc>
        <w:tc>
          <w:tcPr>
            <w:tcW w:w="1418" w:type="dxa"/>
          </w:tcPr>
          <w:p w14:paraId="1BC94A46" w14:textId="4280ACE9"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1.71</w:t>
            </w:r>
            <w:r w:rsidR="000C0801">
              <w:rPr>
                <w:rFonts w:asciiTheme="minorHAnsi" w:hAnsiTheme="minorHAnsi" w:cstheme="minorHAnsi"/>
                <w:color w:val="17365D" w:themeColor="text2" w:themeShade="BF"/>
                <w:sz w:val="20"/>
                <w:szCs w:val="20"/>
              </w:rPr>
              <w:t>3</w:t>
            </w:r>
          </w:p>
        </w:tc>
        <w:tc>
          <w:tcPr>
            <w:tcW w:w="2268" w:type="dxa"/>
          </w:tcPr>
          <w:p w14:paraId="1433159B" w14:textId="5D762DC0"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6.13</w:t>
            </w:r>
            <w:r w:rsidR="000C0801">
              <w:rPr>
                <w:rFonts w:asciiTheme="minorHAnsi" w:hAnsiTheme="minorHAnsi" w:cstheme="minorHAnsi"/>
                <w:color w:val="17365D" w:themeColor="text2" w:themeShade="BF"/>
                <w:sz w:val="20"/>
                <w:szCs w:val="20"/>
              </w:rPr>
              <w:t>4</w:t>
            </w:r>
          </w:p>
        </w:tc>
      </w:tr>
      <w:tr w:rsidR="00486885" w:rsidRPr="00F0180B" w14:paraId="6F2AA3AB"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BE29119" w14:textId="77777777" w:rsidR="00486885" w:rsidRPr="00F0180B" w:rsidRDefault="00486885" w:rsidP="00486885">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7</w:t>
            </w:r>
          </w:p>
        </w:tc>
        <w:tc>
          <w:tcPr>
            <w:tcW w:w="2268" w:type="dxa"/>
          </w:tcPr>
          <w:p w14:paraId="0DE5216F" w14:textId="77777777" w:rsidR="00486885" w:rsidRPr="00F0180B" w:rsidRDefault="00486885" w:rsidP="004868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Infrastructure licence</w:t>
            </w:r>
          </w:p>
        </w:tc>
        <w:tc>
          <w:tcPr>
            <w:tcW w:w="2409" w:type="dxa"/>
          </w:tcPr>
          <w:p w14:paraId="2A405F64" w14:textId="77777777"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0.083</w:t>
            </w:r>
          </w:p>
        </w:tc>
        <w:tc>
          <w:tcPr>
            <w:tcW w:w="1418" w:type="dxa"/>
          </w:tcPr>
          <w:p w14:paraId="02983E6C" w14:textId="77777777"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0.040</w:t>
            </w:r>
          </w:p>
        </w:tc>
        <w:tc>
          <w:tcPr>
            <w:tcW w:w="2268" w:type="dxa"/>
          </w:tcPr>
          <w:p w14:paraId="259F6677" w14:textId="77777777"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0.123</w:t>
            </w:r>
          </w:p>
        </w:tc>
      </w:tr>
      <w:tr w:rsidR="00486885" w:rsidRPr="00F0180B" w14:paraId="3664759B" w14:textId="77777777" w:rsidTr="00107D3F">
        <w:tc>
          <w:tcPr>
            <w:cnfStyle w:val="001000000000" w:firstRow="0" w:lastRow="0" w:firstColumn="1" w:lastColumn="0" w:oddVBand="0" w:evenVBand="0" w:oddHBand="0" w:evenHBand="0" w:firstRowFirstColumn="0" w:firstRowLastColumn="0" w:lastRowFirstColumn="0" w:lastRowLastColumn="0"/>
            <w:tcW w:w="988" w:type="dxa"/>
          </w:tcPr>
          <w:p w14:paraId="51D5D00E" w14:textId="77777777" w:rsidR="00486885" w:rsidRPr="00F0180B" w:rsidRDefault="00486885" w:rsidP="00486885">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8</w:t>
            </w:r>
          </w:p>
        </w:tc>
        <w:tc>
          <w:tcPr>
            <w:tcW w:w="2268" w:type="dxa"/>
          </w:tcPr>
          <w:p w14:paraId="129B8986" w14:textId="77777777" w:rsidR="00486885" w:rsidRPr="00F0180B" w:rsidRDefault="00486885" w:rsidP="004868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Pipeline licence</w:t>
            </w:r>
          </w:p>
        </w:tc>
        <w:tc>
          <w:tcPr>
            <w:tcW w:w="2409" w:type="dxa"/>
          </w:tcPr>
          <w:p w14:paraId="73F78463" w14:textId="19C6070E"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0.43</w:t>
            </w:r>
            <w:r w:rsidR="000C0801">
              <w:rPr>
                <w:rFonts w:asciiTheme="minorHAnsi" w:hAnsiTheme="minorHAnsi" w:cstheme="minorHAnsi"/>
                <w:color w:val="17365D" w:themeColor="text2" w:themeShade="BF"/>
                <w:sz w:val="20"/>
                <w:szCs w:val="20"/>
              </w:rPr>
              <w:t>0</w:t>
            </w:r>
          </w:p>
        </w:tc>
        <w:tc>
          <w:tcPr>
            <w:tcW w:w="1418" w:type="dxa"/>
          </w:tcPr>
          <w:p w14:paraId="799EB855" w14:textId="77777777"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0.212</w:t>
            </w:r>
          </w:p>
        </w:tc>
        <w:tc>
          <w:tcPr>
            <w:tcW w:w="2268" w:type="dxa"/>
          </w:tcPr>
          <w:p w14:paraId="59128425" w14:textId="77777777"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0.642</w:t>
            </w:r>
          </w:p>
        </w:tc>
      </w:tr>
      <w:tr w:rsidR="00486885" w:rsidRPr="00F0180B" w14:paraId="5FC2CE71"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7007FF1" w14:textId="77777777" w:rsidR="00486885" w:rsidRPr="00F0180B" w:rsidRDefault="00486885" w:rsidP="00486885">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9</w:t>
            </w:r>
          </w:p>
        </w:tc>
        <w:tc>
          <w:tcPr>
            <w:tcW w:w="2268" w:type="dxa"/>
          </w:tcPr>
          <w:p w14:paraId="79392913" w14:textId="77777777" w:rsidR="00486885" w:rsidRPr="00F0180B" w:rsidRDefault="00486885" w:rsidP="004868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Special prospecting authority (SPA) and access authority (AA)</w:t>
            </w:r>
          </w:p>
        </w:tc>
        <w:tc>
          <w:tcPr>
            <w:tcW w:w="2409" w:type="dxa"/>
          </w:tcPr>
          <w:p w14:paraId="20E9A6A8" w14:textId="77777777"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0.327</w:t>
            </w:r>
          </w:p>
        </w:tc>
        <w:tc>
          <w:tcPr>
            <w:tcW w:w="1418" w:type="dxa"/>
          </w:tcPr>
          <w:p w14:paraId="3EAB2C1C" w14:textId="77777777"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0.139</w:t>
            </w:r>
          </w:p>
        </w:tc>
        <w:tc>
          <w:tcPr>
            <w:tcW w:w="2268" w:type="dxa"/>
          </w:tcPr>
          <w:p w14:paraId="47C80709" w14:textId="77777777"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0.466</w:t>
            </w:r>
          </w:p>
        </w:tc>
      </w:tr>
      <w:tr w:rsidR="00486885" w:rsidRPr="00F0180B" w14:paraId="2485FAA7" w14:textId="77777777" w:rsidTr="00107D3F">
        <w:tc>
          <w:tcPr>
            <w:cnfStyle w:val="001000000000" w:firstRow="0" w:lastRow="0" w:firstColumn="1" w:lastColumn="0" w:oddVBand="0" w:evenVBand="0" w:oddHBand="0" w:evenHBand="0" w:firstRowFirstColumn="0" w:firstRowLastColumn="0" w:lastRowFirstColumn="0" w:lastRowLastColumn="0"/>
            <w:tcW w:w="988" w:type="dxa"/>
          </w:tcPr>
          <w:p w14:paraId="4F76ADA6" w14:textId="77777777" w:rsidR="00486885" w:rsidRPr="00F0180B" w:rsidRDefault="00486885" w:rsidP="00486885">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10</w:t>
            </w:r>
          </w:p>
        </w:tc>
        <w:tc>
          <w:tcPr>
            <w:tcW w:w="2268" w:type="dxa"/>
          </w:tcPr>
          <w:p w14:paraId="16F0A907" w14:textId="77777777" w:rsidR="00486885" w:rsidRPr="00F0180B" w:rsidRDefault="00486885" w:rsidP="004868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Transfers and dealings</w:t>
            </w:r>
          </w:p>
        </w:tc>
        <w:tc>
          <w:tcPr>
            <w:tcW w:w="2409" w:type="dxa"/>
          </w:tcPr>
          <w:p w14:paraId="29911E5A" w14:textId="77777777"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0.634</w:t>
            </w:r>
          </w:p>
        </w:tc>
        <w:tc>
          <w:tcPr>
            <w:tcW w:w="1418" w:type="dxa"/>
          </w:tcPr>
          <w:p w14:paraId="3F462E00" w14:textId="77777777"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0.326</w:t>
            </w:r>
          </w:p>
        </w:tc>
        <w:tc>
          <w:tcPr>
            <w:tcW w:w="2268" w:type="dxa"/>
          </w:tcPr>
          <w:p w14:paraId="025F7E89" w14:textId="77777777"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0.960</w:t>
            </w:r>
          </w:p>
        </w:tc>
      </w:tr>
      <w:tr w:rsidR="00486885" w:rsidRPr="00F0180B" w14:paraId="1B679018"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2EDAAF1" w14:textId="77777777" w:rsidR="00486885" w:rsidRPr="00F0180B" w:rsidRDefault="00486885" w:rsidP="00486885">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11</w:t>
            </w:r>
          </w:p>
        </w:tc>
        <w:tc>
          <w:tcPr>
            <w:tcW w:w="2268" w:type="dxa"/>
          </w:tcPr>
          <w:p w14:paraId="32C3BAF7" w14:textId="3B900D16" w:rsidR="00486885" w:rsidRPr="00F0180B" w:rsidRDefault="00486885" w:rsidP="004868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Greenhouse gas</w:t>
            </w:r>
            <w:r w:rsidR="007D5786">
              <w:rPr>
                <w:rStyle w:val="FootnoteReference"/>
                <w:rFonts w:cstheme="minorHAnsi"/>
                <w:sz w:val="20"/>
                <w:szCs w:val="20"/>
              </w:rPr>
              <w:footnoteReference w:id="16"/>
            </w:r>
          </w:p>
        </w:tc>
        <w:tc>
          <w:tcPr>
            <w:tcW w:w="2409" w:type="dxa"/>
          </w:tcPr>
          <w:p w14:paraId="19E86049" w14:textId="5D095191"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0.26</w:t>
            </w:r>
            <w:r w:rsidR="000C0801">
              <w:rPr>
                <w:rFonts w:asciiTheme="minorHAnsi" w:hAnsiTheme="minorHAnsi" w:cstheme="minorHAnsi"/>
                <w:color w:val="17365D" w:themeColor="text2" w:themeShade="BF"/>
                <w:sz w:val="20"/>
                <w:szCs w:val="20"/>
              </w:rPr>
              <w:t>4</w:t>
            </w:r>
          </w:p>
        </w:tc>
        <w:tc>
          <w:tcPr>
            <w:tcW w:w="1418" w:type="dxa"/>
          </w:tcPr>
          <w:p w14:paraId="02C2A019" w14:textId="498B0B55"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0.14</w:t>
            </w:r>
            <w:r w:rsidR="000C0801">
              <w:rPr>
                <w:rFonts w:asciiTheme="minorHAnsi" w:hAnsiTheme="minorHAnsi" w:cstheme="minorHAnsi"/>
                <w:color w:val="17365D" w:themeColor="text2" w:themeShade="BF"/>
                <w:sz w:val="20"/>
                <w:szCs w:val="20"/>
              </w:rPr>
              <w:t>6</w:t>
            </w:r>
          </w:p>
        </w:tc>
        <w:tc>
          <w:tcPr>
            <w:tcW w:w="2268" w:type="dxa"/>
          </w:tcPr>
          <w:p w14:paraId="7F848ECF" w14:textId="763E85AE" w:rsidR="00486885" w:rsidRPr="00F0180B" w:rsidRDefault="00486885" w:rsidP="004868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0.41</w:t>
            </w:r>
            <w:r w:rsidR="000C0801">
              <w:rPr>
                <w:rFonts w:asciiTheme="minorHAnsi" w:hAnsiTheme="minorHAnsi" w:cstheme="minorHAnsi"/>
                <w:color w:val="17365D" w:themeColor="text2" w:themeShade="BF"/>
                <w:sz w:val="20"/>
                <w:szCs w:val="20"/>
              </w:rPr>
              <w:t>0</w:t>
            </w:r>
          </w:p>
        </w:tc>
      </w:tr>
      <w:tr w:rsidR="00486885" w:rsidRPr="00F0180B" w14:paraId="60216D4F" w14:textId="77777777" w:rsidTr="00107D3F">
        <w:tc>
          <w:tcPr>
            <w:cnfStyle w:val="001000000000" w:firstRow="0" w:lastRow="0" w:firstColumn="1" w:lastColumn="0" w:oddVBand="0" w:evenVBand="0" w:oddHBand="0" w:evenHBand="0" w:firstRowFirstColumn="0" w:firstRowLastColumn="0" w:lastRowFirstColumn="0" w:lastRowLastColumn="0"/>
            <w:tcW w:w="988" w:type="dxa"/>
          </w:tcPr>
          <w:p w14:paraId="6F0F9AB2" w14:textId="77777777" w:rsidR="00486885" w:rsidRPr="00F0180B" w:rsidRDefault="00486885" w:rsidP="00486885">
            <w:pPr>
              <w:rPr>
                <w:rFonts w:asciiTheme="minorHAnsi" w:hAnsiTheme="minorHAnsi" w:cstheme="minorHAnsi"/>
                <w:b w:val="0"/>
                <w:bCs w:val="0"/>
                <w:color w:val="17365D" w:themeColor="text2" w:themeShade="BF"/>
                <w:sz w:val="20"/>
                <w:szCs w:val="20"/>
              </w:rPr>
            </w:pPr>
          </w:p>
        </w:tc>
        <w:tc>
          <w:tcPr>
            <w:tcW w:w="2268" w:type="dxa"/>
          </w:tcPr>
          <w:p w14:paraId="44AE7E6C" w14:textId="77777777"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7365D" w:themeColor="text2" w:themeShade="BF"/>
                <w:sz w:val="20"/>
                <w:szCs w:val="20"/>
              </w:rPr>
            </w:pPr>
            <w:r w:rsidRPr="00F0180B">
              <w:rPr>
                <w:rFonts w:asciiTheme="minorHAnsi" w:hAnsiTheme="minorHAnsi" w:cstheme="minorHAnsi"/>
                <w:b/>
                <w:bCs/>
                <w:color w:val="17365D" w:themeColor="text2" w:themeShade="BF"/>
                <w:sz w:val="20"/>
                <w:szCs w:val="20"/>
              </w:rPr>
              <w:t>Total</w:t>
            </w:r>
          </w:p>
        </w:tc>
        <w:tc>
          <w:tcPr>
            <w:tcW w:w="2409" w:type="dxa"/>
          </w:tcPr>
          <w:p w14:paraId="7534D477" w14:textId="579B6131"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7365D" w:themeColor="text2" w:themeShade="BF"/>
                <w:sz w:val="20"/>
                <w:szCs w:val="20"/>
              </w:rPr>
            </w:pPr>
            <w:r w:rsidRPr="00F0180B">
              <w:rPr>
                <w:rFonts w:asciiTheme="minorHAnsi" w:hAnsiTheme="minorHAnsi" w:cstheme="minorHAnsi"/>
                <w:b/>
                <w:bCs/>
                <w:color w:val="17365D" w:themeColor="text2" w:themeShade="BF"/>
                <w:sz w:val="20"/>
                <w:szCs w:val="20"/>
              </w:rPr>
              <w:t>12.</w:t>
            </w:r>
            <w:r w:rsidR="000C0801">
              <w:rPr>
                <w:rFonts w:asciiTheme="minorHAnsi" w:hAnsiTheme="minorHAnsi" w:cstheme="minorHAnsi"/>
                <w:b/>
                <w:bCs/>
                <w:color w:val="17365D" w:themeColor="text2" w:themeShade="BF"/>
                <w:sz w:val="20"/>
                <w:szCs w:val="20"/>
              </w:rPr>
              <w:t>498</w:t>
            </w:r>
          </w:p>
        </w:tc>
        <w:tc>
          <w:tcPr>
            <w:tcW w:w="1418" w:type="dxa"/>
          </w:tcPr>
          <w:p w14:paraId="06C7D444" w14:textId="7EEC6DBD"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7365D" w:themeColor="text2" w:themeShade="BF"/>
                <w:sz w:val="20"/>
                <w:szCs w:val="20"/>
              </w:rPr>
            </w:pPr>
            <w:r w:rsidRPr="00F0180B">
              <w:rPr>
                <w:rFonts w:asciiTheme="minorHAnsi" w:hAnsiTheme="minorHAnsi" w:cstheme="minorHAnsi"/>
                <w:b/>
                <w:bCs/>
                <w:color w:val="17365D" w:themeColor="text2" w:themeShade="BF"/>
                <w:sz w:val="20"/>
                <w:szCs w:val="20"/>
              </w:rPr>
              <w:t>5.2</w:t>
            </w:r>
            <w:r w:rsidR="000C0801">
              <w:rPr>
                <w:rFonts w:asciiTheme="minorHAnsi" w:hAnsiTheme="minorHAnsi" w:cstheme="minorHAnsi"/>
                <w:b/>
                <w:bCs/>
                <w:color w:val="17365D" w:themeColor="text2" w:themeShade="BF"/>
                <w:sz w:val="20"/>
                <w:szCs w:val="20"/>
              </w:rPr>
              <w:t>10</w:t>
            </w:r>
          </w:p>
        </w:tc>
        <w:tc>
          <w:tcPr>
            <w:tcW w:w="2268" w:type="dxa"/>
          </w:tcPr>
          <w:p w14:paraId="3B26F212" w14:textId="4F3ADCCD" w:rsidR="00486885" w:rsidRPr="00F0180B" w:rsidRDefault="00486885" w:rsidP="004868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7365D" w:themeColor="text2" w:themeShade="BF"/>
                <w:sz w:val="20"/>
                <w:szCs w:val="20"/>
              </w:rPr>
            </w:pPr>
            <w:r w:rsidRPr="00F0180B">
              <w:rPr>
                <w:rFonts w:asciiTheme="minorHAnsi" w:hAnsiTheme="minorHAnsi" w:cstheme="minorHAnsi"/>
                <w:b/>
                <w:bCs/>
                <w:color w:val="17365D" w:themeColor="text2" w:themeShade="BF"/>
                <w:sz w:val="20"/>
                <w:szCs w:val="20"/>
              </w:rPr>
              <w:t>17.70</w:t>
            </w:r>
            <w:r w:rsidR="000C0801">
              <w:rPr>
                <w:rFonts w:asciiTheme="minorHAnsi" w:hAnsiTheme="minorHAnsi" w:cstheme="minorHAnsi"/>
                <w:b/>
                <w:bCs/>
                <w:color w:val="17365D" w:themeColor="text2" w:themeShade="BF"/>
                <w:sz w:val="20"/>
                <w:szCs w:val="20"/>
              </w:rPr>
              <w:t>8</w:t>
            </w:r>
          </w:p>
        </w:tc>
      </w:tr>
    </w:tbl>
    <w:p w14:paraId="3874B2F9" w14:textId="76EE5641" w:rsidR="00CB3016" w:rsidRDefault="00CB3016" w:rsidP="00D212A5">
      <w:pPr>
        <w:rPr>
          <w:rFonts w:asciiTheme="minorHAnsi" w:hAnsiTheme="minorHAnsi" w:cstheme="minorHAnsi"/>
        </w:rPr>
      </w:pPr>
    </w:p>
    <w:p w14:paraId="3D7EBE6D" w14:textId="3D52D307" w:rsidR="00CB3016" w:rsidRDefault="00CB3016" w:rsidP="00CB3016">
      <w:pPr>
        <w:pStyle w:val="Pa12"/>
        <w:spacing w:after="0"/>
        <w:rPr>
          <w:rFonts w:asciiTheme="minorHAnsi" w:hAnsiTheme="minorHAnsi" w:cstheme="minorHAnsi"/>
          <w:lang w:val="en-AU"/>
        </w:rPr>
      </w:pPr>
      <w:r>
        <w:rPr>
          <w:rFonts w:asciiTheme="minorHAnsi" w:hAnsiTheme="minorHAnsi" w:cstheme="minorHAnsi"/>
          <w:lang w:val="en-AU"/>
        </w:rPr>
        <w:t xml:space="preserve">NOPTA’s revenue streams fluctuate from month to month, from approximately $600,000 to $3M as the bulk of the revenue is dependent on the anniversary dates of various titles. Application fees vary significantly month to month and are difficult to predict. Cash outflows are relatively stable at approximately $1.5M per month. </w:t>
      </w:r>
    </w:p>
    <w:p w14:paraId="425C3E94" w14:textId="77777777" w:rsidR="00CB3016" w:rsidRPr="009B731D" w:rsidRDefault="00CB3016" w:rsidP="00CB3016"/>
    <w:p w14:paraId="67D98B94" w14:textId="4E04145D" w:rsidR="00CB3016" w:rsidRPr="00087850" w:rsidRDefault="00CB3016" w:rsidP="00CB3016">
      <w:pPr>
        <w:pStyle w:val="Pa12"/>
        <w:spacing w:after="120"/>
        <w:rPr>
          <w:rFonts w:asciiTheme="minorHAnsi" w:hAnsiTheme="minorHAnsi" w:cstheme="minorHAnsi"/>
        </w:rPr>
      </w:pPr>
      <w:r w:rsidRPr="00087850">
        <w:rPr>
          <w:rFonts w:asciiTheme="minorHAnsi" w:hAnsiTheme="minorHAnsi" w:cstheme="minorHAnsi"/>
        </w:rPr>
        <w:t xml:space="preserve">Based on </w:t>
      </w:r>
      <w:r w:rsidR="00462E41">
        <w:rPr>
          <w:rFonts w:asciiTheme="minorHAnsi" w:hAnsiTheme="minorHAnsi" w:cstheme="minorHAnsi"/>
        </w:rPr>
        <w:t>NOPTA’s</w:t>
      </w:r>
      <w:r w:rsidRPr="00087850">
        <w:rPr>
          <w:rFonts w:asciiTheme="minorHAnsi" w:hAnsiTheme="minorHAnsi" w:cstheme="minorHAnsi"/>
        </w:rPr>
        <w:t xml:space="preserve"> analysis of effort required, the following </w:t>
      </w:r>
      <w:r w:rsidRPr="00792A30">
        <w:rPr>
          <w:rFonts w:asciiTheme="minorHAnsi" w:hAnsiTheme="minorHAnsi" w:cstheme="minorHAnsi"/>
          <w:b/>
          <w:bCs/>
        </w:rPr>
        <w:t xml:space="preserve">Table </w:t>
      </w:r>
      <w:r>
        <w:rPr>
          <w:rFonts w:asciiTheme="minorHAnsi" w:hAnsiTheme="minorHAnsi" w:cstheme="minorHAnsi"/>
          <w:b/>
          <w:bCs/>
        </w:rPr>
        <w:t>3</w:t>
      </w:r>
      <w:r w:rsidRPr="00087850">
        <w:rPr>
          <w:rFonts w:asciiTheme="minorHAnsi" w:hAnsiTheme="minorHAnsi" w:cstheme="minorHAnsi"/>
        </w:rPr>
        <w:t xml:space="preserve"> shows the proposed recovery of NOPTA costs by output</w:t>
      </w:r>
      <w:r w:rsidR="00462E41">
        <w:rPr>
          <w:rFonts w:asciiTheme="minorHAnsi" w:hAnsiTheme="minorHAnsi" w:cstheme="minorHAnsi"/>
        </w:rPr>
        <w:t xml:space="preserve"> based on the proposed levy and fee structure</w:t>
      </w:r>
      <w:r w:rsidRPr="00087850">
        <w:rPr>
          <w:rFonts w:asciiTheme="minorHAnsi" w:hAnsiTheme="minorHAnsi" w:cstheme="minorHAnsi"/>
        </w:rPr>
        <w:t>.</w:t>
      </w:r>
    </w:p>
    <w:p w14:paraId="1FCCA879" w14:textId="14703C1A" w:rsidR="00CB3016" w:rsidRDefault="00CB3016" w:rsidP="00CB3016">
      <w:pPr>
        <w:rPr>
          <w:rFonts w:asciiTheme="minorHAnsi" w:hAnsiTheme="minorHAnsi" w:cstheme="minorHAnsi"/>
        </w:rPr>
      </w:pPr>
    </w:p>
    <w:p w14:paraId="2C00B6B4" w14:textId="77777777" w:rsidR="0023148E" w:rsidRDefault="0023148E">
      <w:pPr>
        <w:spacing w:after="200" w:line="276" w:lineRule="auto"/>
        <w:rPr>
          <w:rFonts w:asciiTheme="minorHAnsi" w:hAnsiTheme="minorHAnsi" w:cstheme="minorHAnsi"/>
          <w:b/>
          <w:bCs/>
        </w:rPr>
      </w:pPr>
      <w:r>
        <w:rPr>
          <w:rFonts w:asciiTheme="minorHAnsi" w:hAnsiTheme="minorHAnsi" w:cstheme="minorHAnsi"/>
          <w:b/>
          <w:bCs/>
        </w:rPr>
        <w:br w:type="page"/>
      </w:r>
    </w:p>
    <w:p w14:paraId="0967FF87" w14:textId="0478DE9C" w:rsidR="00CB3016" w:rsidRDefault="00CB3016" w:rsidP="00CB3016">
      <w:pPr>
        <w:rPr>
          <w:rFonts w:asciiTheme="minorHAnsi" w:hAnsiTheme="minorHAnsi" w:cstheme="minorHAnsi"/>
        </w:rPr>
      </w:pPr>
      <w:r w:rsidRPr="00F0180B">
        <w:rPr>
          <w:rFonts w:asciiTheme="minorHAnsi" w:hAnsiTheme="minorHAnsi" w:cstheme="minorHAnsi"/>
          <w:b/>
          <w:bCs/>
        </w:rPr>
        <w:lastRenderedPageBreak/>
        <w:t>Table 3:</w:t>
      </w:r>
      <w:r w:rsidRPr="00CB3016">
        <w:rPr>
          <w:rFonts w:asciiTheme="minorHAnsi" w:hAnsiTheme="minorHAnsi" w:cstheme="minorHAnsi"/>
        </w:rPr>
        <w:t xml:space="preserve"> Proposed cost recovery by output, from 2021-22</w:t>
      </w:r>
    </w:p>
    <w:tbl>
      <w:tblPr>
        <w:tblStyle w:val="ListTable4-Accent1"/>
        <w:tblW w:w="9493" w:type="dxa"/>
        <w:tblLook w:val="04A0" w:firstRow="1" w:lastRow="0" w:firstColumn="1" w:lastColumn="0" w:noHBand="0" w:noVBand="1"/>
      </w:tblPr>
      <w:tblGrid>
        <w:gridCol w:w="988"/>
        <w:gridCol w:w="6804"/>
        <w:gridCol w:w="1701"/>
      </w:tblGrid>
      <w:tr w:rsidR="00F323C5" w:rsidRPr="00F0180B" w14:paraId="7BF4E39A" w14:textId="77777777" w:rsidTr="00107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7FCDF17" w14:textId="77777777" w:rsidR="00F323C5" w:rsidRPr="00F0180B" w:rsidRDefault="00F323C5" w:rsidP="00762402">
            <w:pPr>
              <w:jc w:val="center"/>
              <w:rPr>
                <w:rFonts w:asciiTheme="minorHAnsi" w:hAnsiTheme="minorHAnsi" w:cstheme="minorHAnsi"/>
                <w:b w:val="0"/>
                <w:bCs w:val="0"/>
                <w:sz w:val="20"/>
                <w:szCs w:val="20"/>
              </w:rPr>
            </w:pPr>
            <w:r w:rsidRPr="00F0180B">
              <w:rPr>
                <w:rFonts w:asciiTheme="minorHAnsi" w:hAnsiTheme="minorHAnsi" w:cstheme="minorHAnsi"/>
                <w:sz w:val="20"/>
                <w:szCs w:val="20"/>
              </w:rPr>
              <w:t>Output</w:t>
            </w:r>
          </w:p>
          <w:p w14:paraId="3B077376" w14:textId="77777777" w:rsidR="00F323C5" w:rsidRPr="00F0180B" w:rsidRDefault="00F323C5" w:rsidP="00762402">
            <w:pPr>
              <w:jc w:val="center"/>
              <w:rPr>
                <w:rFonts w:asciiTheme="minorHAnsi" w:hAnsiTheme="minorHAnsi" w:cstheme="minorHAnsi"/>
                <w:sz w:val="20"/>
                <w:szCs w:val="20"/>
              </w:rPr>
            </w:pPr>
            <w:r w:rsidRPr="00F0180B">
              <w:rPr>
                <w:rFonts w:asciiTheme="minorHAnsi" w:hAnsiTheme="minorHAnsi" w:cstheme="minorHAnsi"/>
                <w:sz w:val="20"/>
                <w:szCs w:val="20"/>
              </w:rPr>
              <w:t>No.</w:t>
            </w:r>
          </w:p>
        </w:tc>
        <w:tc>
          <w:tcPr>
            <w:tcW w:w="6804" w:type="dxa"/>
          </w:tcPr>
          <w:p w14:paraId="27E54452" w14:textId="77777777" w:rsidR="00F323C5" w:rsidRPr="00F0180B" w:rsidRDefault="00F323C5"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0180B">
              <w:rPr>
                <w:rFonts w:asciiTheme="minorHAnsi" w:hAnsiTheme="minorHAnsi" w:cstheme="minorHAnsi"/>
                <w:sz w:val="20"/>
                <w:szCs w:val="20"/>
              </w:rPr>
              <w:t>Output</w:t>
            </w:r>
          </w:p>
        </w:tc>
        <w:tc>
          <w:tcPr>
            <w:tcW w:w="1701" w:type="dxa"/>
          </w:tcPr>
          <w:p w14:paraId="217AB816" w14:textId="77777777" w:rsidR="00F323C5" w:rsidRPr="00F0180B" w:rsidRDefault="00F323C5"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0180B">
              <w:rPr>
                <w:rFonts w:asciiTheme="minorHAnsi" w:hAnsiTheme="minorHAnsi" w:cstheme="minorHAnsi"/>
                <w:sz w:val="20"/>
                <w:szCs w:val="20"/>
              </w:rPr>
              <w:t>Total $M</w:t>
            </w:r>
          </w:p>
        </w:tc>
      </w:tr>
      <w:tr w:rsidR="00F323C5" w:rsidRPr="00F0180B" w14:paraId="72B4A950"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CCC9350" w14:textId="77777777" w:rsidR="00F323C5" w:rsidRPr="00F0180B" w:rsidRDefault="00F323C5" w:rsidP="00762402">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1</w:t>
            </w:r>
          </w:p>
        </w:tc>
        <w:tc>
          <w:tcPr>
            <w:tcW w:w="6804" w:type="dxa"/>
          </w:tcPr>
          <w:p w14:paraId="4F3C5461" w14:textId="77777777" w:rsidR="00F323C5" w:rsidRPr="00F0180B" w:rsidRDefault="00F323C5" w:rsidP="007624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Acreage release</w:t>
            </w:r>
          </w:p>
        </w:tc>
        <w:tc>
          <w:tcPr>
            <w:tcW w:w="1701" w:type="dxa"/>
          </w:tcPr>
          <w:p w14:paraId="587DF1DE" w14:textId="77777777" w:rsidR="00F323C5" w:rsidRPr="00F0180B" w:rsidRDefault="00F323C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0.083</w:t>
            </w:r>
          </w:p>
        </w:tc>
      </w:tr>
      <w:tr w:rsidR="00F323C5" w:rsidRPr="00F0180B" w14:paraId="0B019EF1" w14:textId="77777777" w:rsidTr="00107D3F">
        <w:tc>
          <w:tcPr>
            <w:cnfStyle w:val="001000000000" w:firstRow="0" w:lastRow="0" w:firstColumn="1" w:lastColumn="0" w:oddVBand="0" w:evenVBand="0" w:oddHBand="0" w:evenHBand="0" w:firstRowFirstColumn="0" w:firstRowLastColumn="0" w:lastRowFirstColumn="0" w:lastRowLastColumn="0"/>
            <w:tcW w:w="988" w:type="dxa"/>
          </w:tcPr>
          <w:p w14:paraId="17D04FD6" w14:textId="77777777" w:rsidR="00F323C5" w:rsidRPr="00F0180B" w:rsidRDefault="00F323C5" w:rsidP="00762402">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2</w:t>
            </w:r>
          </w:p>
        </w:tc>
        <w:tc>
          <w:tcPr>
            <w:tcW w:w="6804" w:type="dxa"/>
          </w:tcPr>
          <w:p w14:paraId="2D937C44" w14:textId="49794A75" w:rsidR="00F323C5" w:rsidRPr="00F0180B" w:rsidRDefault="00F323C5" w:rsidP="007624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 xml:space="preserve">Petroleum exploration </w:t>
            </w:r>
            <w:r w:rsidR="00ED15F9">
              <w:rPr>
                <w:rFonts w:asciiTheme="minorHAnsi" w:hAnsiTheme="minorHAnsi" w:cstheme="minorHAnsi"/>
                <w:color w:val="17365D" w:themeColor="text2" w:themeShade="BF"/>
                <w:sz w:val="20"/>
                <w:szCs w:val="20"/>
              </w:rPr>
              <w:t>p</w:t>
            </w:r>
            <w:r w:rsidRPr="00F0180B">
              <w:rPr>
                <w:rFonts w:asciiTheme="minorHAnsi" w:hAnsiTheme="minorHAnsi" w:cstheme="minorHAnsi"/>
                <w:color w:val="17365D" w:themeColor="text2" w:themeShade="BF"/>
                <w:sz w:val="20"/>
                <w:szCs w:val="20"/>
              </w:rPr>
              <w:t>ermit</w:t>
            </w:r>
          </w:p>
        </w:tc>
        <w:tc>
          <w:tcPr>
            <w:tcW w:w="1701" w:type="dxa"/>
          </w:tcPr>
          <w:p w14:paraId="0E130709" w14:textId="77777777" w:rsidR="00F323C5" w:rsidRPr="00F0180B" w:rsidRDefault="00F323C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1.317</w:t>
            </w:r>
          </w:p>
        </w:tc>
      </w:tr>
      <w:tr w:rsidR="00F323C5" w:rsidRPr="00F0180B" w14:paraId="7C5FCE0D"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83B3FA4" w14:textId="77777777" w:rsidR="00F323C5" w:rsidRPr="00F0180B" w:rsidRDefault="00F323C5" w:rsidP="00762402">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3</w:t>
            </w:r>
          </w:p>
        </w:tc>
        <w:tc>
          <w:tcPr>
            <w:tcW w:w="6804" w:type="dxa"/>
          </w:tcPr>
          <w:p w14:paraId="74056A57" w14:textId="77777777" w:rsidR="00F323C5" w:rsidRPr="00F0180B" w:rsidRDefault="00F323C5" w:rsidP="007624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Suspension and extension; variation; exemption</w:t>
            </w:r>
          </w:p>
        </w:tc>
        <w:tc>
          <w:tcPr>
            <w:tcW w:w="1701" w:type="dxa"/>
          </w:tcPr>
          <w:p w14:paraId="0ECD7DCD" w14:textId="77777777" w:rsidR="00F323C5" w:rsidRPr="00F0180B" w:rsidRDefault="00F323C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0.503</w:t>
            </w:r>
          </w:p>
        </w:tc>
      </w:tr>
      <w:tr w:rsidR="00F323C5" w:rsidRPr="00F0180B" w14:paraId="13DE72ED" w14:textId="77777777" w:rsidTr="00107D3F">
        <w:tc>
          <w:tcPr>
            <w:cnfStyle w:val="001000000000" w:firstRow="0" w:lastRow="0" w:firstColumn="1" w:lastColumn="0" w:oddVBand="0" w:evenVBand="0" w:oddHBand="0" w:evenHBand="0" w:firstRowFirstColumn="0" w:firstRowLastColumn="0" w:lastRowFirstColumn="0" w:lastRowLastColumn="0"/>
            <w:tcW w:w="988" w:type="dxa"/>
          </w:tcPr>
          <w:p w14:paraId="0270CBDA" w14:textId="77777777" w:rsidR="00F323C5" w:rsidRPr="00F0180B" w:rsidRDefault="00F323C5" w:rsidP="00762402">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4</w:t>
            </w:r>
          </w:p>
        </w:tc>
        <w:tc>
          <w:tcPr>
            <w:tcW w:w="6804" w:type="dxa"/>
          </w:tcPr>
          <w:p w14:paraId="3C4918E0" w14:textId="77777777" w:rsidR="00F323C5" w:rsidRPr="00F0180B" w:rsidRDefault="00F323C5" w:rsidP="007624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Declaration of a location</w:t>
            </w:r>
          </w:p>
        </w:tc>
        <w:tc>
          <w:tcPr>
            <w:tcW w:w="1701" w:type="dxa"/>
          </w:tcPr>
          <w:p w14:paraId="5B4C296F" w14:textId="77777777" w:rsidR="00F323C5" w:rsidRPr="00F0180B" w:rsidRDefault="00F323C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0.080</w:t>
            </w:r>
          </w:p>
        </w:tc>
      </w:tr>
      <w:tr w:rsidR="00F323C5" w:rsidRPr="00F0180B" w14:paraId="1F20EA71"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7EB9B47" w14:textId="77777777" w:rsidR="00F323C5" w:rsidRPr="00F0180B" w:rsidRDefault="00F323C5" w:rsidP="00762402">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5</w:t>
            </w:r>
          </w:p>
        </w:tc>
        <w:tc>
          <w:tcPr>
            <w:tcW w:w="6804" w:type="dxa"/>
          </w:tcPr>
          <w:p w14:paraId="04B0E0F1" w14:textId="77777777" w:rsidR="00F323C5" w:rsidRPr="00F0180B" w:rsidRDefault="00F323C5" w:rsidP="007624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Retention lease</w:t>
            </w:r>
          </w:p>
        </w:tc>
        <w:tc>
          <w:tcPr>
            <w:tcW w:w="1701" w:type="dxa"/>
          </w:tcPr>
          <w:p w14:paraId="10B2317B" w14:textId="77777777" w:rsidR="00F323C5" w:rsidRPr="00F0180B" w:rsidRDefault="00F323C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6.765</w:t>
            </w:r>
          </w:p>
        </w:tc>
      </w:tr>
      <w:tr w:rsidR="00F323C5" w:rsidRPr="00F0180B" w14:paraId="7A7C0DEC" w14:textId="77777777" w:rsidTr="00107D3F">
        <w:tc>
          <w:tcPr>
            <w:cnfStyle w:val="001000000000" w:firstRow="0" w:lastRow="0" w:firstColumn="1" w:lastColumn="0" w:oddVBand="0" w:evenVBand="0" w:oddHBand="0" w:evenHBand="0" w:firstRowFirstColumn="0" w:firstRowLastColumn="0" w:lastRowFirstColumn="0" w:lastRowLastColumn="0"/>
            <w:tcW w:w="988" w:type="dxa"/>
          </w:tcPr>
          <w:p w14:paraId="4CCEB1B7" w14:textId="77777777" w:rsidR="00F323C5" w:rsidRPr="00F0180B" w:rsidRDefault="00F323C5" w:rsidP="00762402">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6</w:t>
            </w:r>
          </w:p>
        </w:tc>
        <w:tc>
          <w:tcPr>
            <w:tcW w:w="6804" w:type="dxa"/>
          </w:tcPr>
          <w:p w14:paraId="308489F4" w14:textId="77777777" w:rsidR="00F323C5" w:rsidRPr="00F0180B" w:rsidRDefault="00F323C5" w:rsidP="007624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Production licence</w:t>
            </w:r>
          </w:p>
        </w:tc>
        <w:tc>
          <w:tcPr>
            <w:tcW w:w="1701" w:type="dxa"/>
          </w:tcPr>
          <w:p w14:paraId="67AD32A0" w14:textId="77777777" w:rsidR="00F323C5" w:rsidRPr="00F0180B" w:rsidRDefault="00F323C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7.216</w:t>
            </w:r>
          </w:p>
        </w:tc>
      </w:tr>
      <w:tr w:rsidR="00F323C5" w:rsidRPr="00F0180B" w14:paraId="5736A1D6"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42F02DC" w14:textId="77777777" w:rsidR="00F323C5" w:rsidRPr="00F0180B" w:rsidRDefault="00F323C5" w:rsidP="00762402">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7</w:t>
            </w:r>
          </w:p>
        </w:tc>
        <w:tc>
          <w:tcPr>
            <w:tcW w:w="6804" w:type="dxa"/>
          </w:tcPr>
          <w:p w14:paraId="1A8D6999" w14:textId="77777777" w:rsidR="00F323C5" w:rsidRPr="00F0180B" w:rsidRDefault="00F323C5" w:rsidP="007624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Infrastructure licence</w:t>
            </w:r>
          </w:p>
        </w:tc>
        <w:tc>
          <w:tcPr>
            <w:tcW w:w="1701" w:type="dxa"/>
          </w:tcPr>
          <w:p w14:paraId="3E18C47C" w14:textId="77777777" w:rsidR="00F323C5" w:rsidRPr="00F0180B" w:rsidRDefault="00F323C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0.083</w:t>
            </w:r>
          </w:p>
        </w:tc>
      </w:tr>
      <w:tr w:rsidR="00F323C5" w:rsidRPr="00F0180B" w14:paraId="088CD7DC" w14:textId="77777777" w:rsidTr="00107D3F">
        <w:tc>
          <w:tcPr>
            <w:cnfStyle w:val="001000000000" w:firstRow="0" w:lastRow="0" w:firstColumn="1" w:lastColumn="0" w:oddVBand="0" w:evenVBand="0" w:oddHBand="0" w:evenHBand="0" w:firstRowFirstColumn="0" w:firstRowLastColumn="0" w:lastRowFirstColumn="0" w:lastRowLastColumn="0"/>
            <w:tcW w:w="988" w:type="dxa"/>
          </w:tcPr>
          <w:p w14:paraId="65EB71F2" w14:textId="77777777" w:rsidR="00F323C5" w:rsidRPr="00F0180B" w:rsidRDefault="00F323C5" w:rsidP="00762402">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8</w:t>
            </w:r>
          </w:p>
        </w:tc>
        <w:tc>
          <w:tcPr>
            <w:tcW w:w="6804" w:type="dxa"/>
          </w:tcPr>
          <w:p w14:paraId="147F3DA3" w14:textId="77777777" w:rsidR="00F323C5" w:rsidRPr="00F0180B" w:rsidRDefault="00F323C5" w:rsidP="007624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Pipeline licence</w:t>
            </w:r>
          </w:p>
        </w:tc>
        <w:tc>
          <w:tcPr>
            <w:tcW w:w="1701" w:type="dxa"/>
          </w:tcPr>
          <w:p w14:paraId="706C5F31" w14:textId="77777777" w:rsidR="00F323C5" w:rsidRPr="00F0180B" w:rsidRDefault="00F323C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0.473</w:t>
            </w:r>
          </w:p>
        </w:tc>
      </w:tr>
      <w:tr w:rsidR="00F323C5" w:rsidRPr="00F0180B" w14:paraId="2CF97C38"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E41CC8B" w14:textId="77777777" w:rsidR="00F323C5" w:rsidRPr="00F0180B" w:rsidRDefault="00F323C5" w:rsidP="00762402">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9</w:t>
            </w:r>
          </w:p>
        </w:tc>
        <w:tc>
          <w:tcPr>
            <w:tcW w:w="6804" w:type="dxa"/>
          </w:tcPr>
          <w:p w14:paraId="5D50BE1F" w14:textId="77777777" w:rsidR="00F323C5" w:rsidRPr="00F0180B" w:rsidRDefault="00F323C5" w:rsidP="007624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Special prospecting authority (SPA) and access authority (AA)</w:t>
            </w:r>
          </w:p>
        </w:tc>
        <w:tc>
          <w:tcPr>
            <w:tcW w:w="1701" w:type="dxa"/>
          </w:tcPr>
          <w:p w14:paraId="7D9A8BFE" w14:textId="77777777" w:rsidR="00F323C5" w:rsidRPr="00F0180B" w:rsidRDefault="00F323C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0.041</w:t>
            </w:r>
          </w:p>
        </w:tc>
      </w:tr>
      <w:tr w:rsidR="00F323C5" w:rsidRPr="00F0180B" w14:paraId="3C32B19D" w14:textId="77777777" w:rsidTr="00107D3F">
        <w:tc>
          <w:tcPr>
            <w:cnfStyle w:val="001000000000" w:firstRow="0" w:lastRow="0" w:firstColumn="1" w:lastColumn="0" w:oddVBand="0" w:evenVBand="0" w:oddHBand="0" w:evenHBand="0" w:firstRowFirstColumn="0" w:firstRowLastColumn="0" w:lastRowFirstColumn="0" w:lastRowLastColumn="0"/>
            <w:tcW w:w="988" w:type="dxa"/>
          </w:tcPr>
          <w:p w14:paraId="7A1F4E60" w14:textId="77777777" w:rsidR="00F323C5" w:rsidRPr="00F0180B" w:rsidRDefault="00F323C5" w:rsidP="00762402">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10</w:t>
            </w:r>
          </w:p>
        </w:tc>
        <w:tc>
          <w:tcPr>
            <w:tcW w:w="6804" w:type="dxa"/>
          </w:tcPr>
          <w:p w14:paraId="1E0EB782" w14:textId="77777777" w:rsidR="00F323C5" w:rsidRPr="00F0180B" w:rsidRDefault="00F323C5" w:rsidP="007624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Transfers and dealings</w:t>
            </w:r>
          </w:p>
        </w:tc>
        <w:tc>
          <w:tcPr>
            <w:tcW w:w="1701" w:type="dxa"/>
          </w:tcPr>
          <w:p w14:paraId="35A2A8CE" w14:textId="77777777" w:rsidR="00F323C5" w:rsidRPr="00F0180B" w:rsidRDefault="00F323C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1.238</w:t>
            </w:r>
          </w:p>
        </w:tc>
      </w:tr>
      <w:tr w:rsidR="00F323C5" w:rsidRPr="00F0180B" w14:paraId="21201DC5"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FD4B883" w14:textId="77777777" w:rsidR="00F323C5" w:rsidRPr="00F0180B" w:rsidRDefault="00F323C5" w:rsidP="00762402">
            <w:pPr>
              <w:jc w:val="center"/>
              <w:rPr>
                <w:rFonts w:asciiTheme="minorHAnsi" w:hAnsiTheme="minorHAnsi" w:cstheme="minorHAnsi"/>
                <w:b w:val="0"/>
                <w:bCs w:val="0"/>
                <w:color w:val="17365D" w:themeColor="text2" w:themeShade="BF"/>
                <w:sz w:val="20"/>
                <w:szCs w:val="20"/>
              </w:rPr>
            </w:pPr>
            <w:r w:rsidRPr="00F0180B">
              <w:rPr>
                <w:rFonts w:asciiTheme="minorHAnsi" w:hAnsiTheme="minorHAnsi" w:cstheme="minorHAnsi"/>
                <w:b w:val="0"/>
                <w:bCs w:val="0"/>
                <w:color w:val="17365D" w:themeColor="text2" w:themeShade="BF"/>
                <w:sz w:val="20"/>
                <w:szCs w:val="20"/>
              </w:rPr>
              <w:t>11</w:t>
            </w:r>
          </w:p>
        </w:tc>
        <w:tc>
          <w:tcPr>
            <w:tcW w:w="6804" w:type="dxa"/>
          </w:tcPr>
          <w:p w14:paraId="1EB769AF" w14:textId="0A75B4AC" w:rsidR="00F323C5" w:rsidRPr="00F0180B" w:rsidRDefault="00F323C5" w:rsidP="007624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Greenhouse gas</w:t>
            </w:r>
            <w:r w:rsidR="007D5786">
              <w:rPr>
                <w:rStyle w:val="FootnoteReference"/>
                <w:rFonts w:cstheme="minorHAnsi"/>
                <w:sz w:val="20"/>
                <w:szCs w:val="20"/>
              </w:rPr>
              <w:footnoteReference w:id="17"/>
            </w:r>
          </w:p>
        </w:tc>
        <w:tc>
          <w:tcPr>
            <w:tcW w:w="1701" w:type="dxa"/>
          </w:tcPr>
          <w:p w14:paraId="7D5E2E38" w14:textId="77777777" w:rsidR="00F323C5" w:rsidRPr="00F0180B" w:rsidRDefault="00F323C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F0180B">
              <w:rPr>
                <w:rFonts w:asciiTheme="minorHAnsi" w:hAnsiTheme="minorHAnsi" w:cstheme="minorHAnsi"/>
                <w:color w:val="17365D" w:themeColor="text2" w:themeShade="BF"/>
                <w:sz w:val="20"/>
                <w:szCs w:val="20"/>
              </w:rPr>
              <w:t>0.096</w:t>
            </w:r>
          </w:p>
        </w:tc>
      </w:tr>
      <w:tr w:rsidR="00F323C5" w:rsidRPr="00F0180B" w14:paraId="71551C44" w14:textId="77777777" w:rsidTr="00107D3F">
        <w:tc>
          <w:tcPr>
            <w:cnfStyle w:val="001000000000" w:firstRow="0" w:lastRow="0" w:firstColumn="1" w:lastColumn="0" w:oddVBand="0" w:evenVBand="0" w:oddHBand="0" w:evenHBand="0" w:firstRowFirstColumn="0" w:firstRowLastColumn="0" w:lastRowFirstColumn="0" w:lastRowLastColumn="0"/>
            <w:tcW w:w="988" w:type="dxa"/>
          </w:tcPr>
          <w:p w14:paraId="6822D91E" w14:textId="77777777" w:rsidR="00F323C5" w:rsidRPr="00F0180B" w:rsidRDefault="00F323C5" w:rsidP="00762402">
            <w:pPr>
              <w:rPr>
                <w:rFonts w:asciiTheme="minorHAnsi" w:hAnsiTheme="minorHAnsi" w:cstheme="minorHAnsi"/>
                <w:b w:val="0"/>
                <w:bCs w:val="0"/>
                <w:color w:val="17365D" w:themeColor="text2" w:themeShade="BF"/>
                <w:sz w:val="20"/>
                <w:szCs w:val="20"/>
              </w:rPr>
            </w:pPr>
          </w:p>
        </w:tc>
        <w:tc>
          <w:tcPr>
            <w:tcW w:w="6804" w:type="dxa"/>
          </w:tcPr>
          <w:p w14:paraId="1BF049D7" w14:textId="77777777" w:rsidR="00F323C5" w:rsidRPr="00F0180B" w:rsidRDefault="00F323C5" w:rsidP="007624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7365D" w:themeColor="text2" w:themeShade="BF"/>
                <w:sz w:val="20"/>
                <w:szCs w:val="20"/>
              </w:rPr>
            </w:pPr>
            <w:r w:rsidRPr="00F0180B">
              <w:rPr>
                <w:rFonts w:asciiTheme="minorHAnsi" w:hAnsiTheme="minorHAnsi" w:cstheme="minorHAnsi"/>
                <w:b/>
                <w:bCs/>
                <w:color w:val="17365D" w:themeColor="text2" w:themeShade="BF"/>
                <w:sz w:val="20"/>
                <w:szCs w:val="20"/>
              </w:rPr>
              <w:t>Total</w:t>
            </w:r>
          </w:p>
        </w:tc>
        <w:tc>
          <w:tcPr>
            <w:tcW w:w="1701" w:type="dxa"/>
          </w:tcPr>
          <w:p w14:paraId="6C4D6CD5" w14:textId="77777777" w:rsidR="00F323C5" w:rsidRPr="00F0180B" w:rsidRDefault="00F323C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7365D" w:themeColor="text2" w:themeShade="BF"/>
                <w:sz w:val="20"/>
                <w:szCs w:val="20"/>
              </w:rPr>
            </w:pPr>
            <w:r w:rsidRPr="00F0180B">
              <w:rPr>
                <w:rFonts w:asciiTheme="minorHAnsi" w:hAnsiTheme="minorHAnsi" w:cstheme="minorHAnsi"/>
                <w:b/>
                <w:bCs/>
                <w:color w:val="17365D" w:themeColor="text2" w:themeShade="BF"/>
                <w:sz w:val="20"/>
                <w:szCs w:val="20"/>
              </w:rPr>
              <w:t>17.823</w:t>
            </w:r>
          </w:p>
        </w:tc>
      </w:tr>
    </w:tbl>
    <w:p w14:paraId="3070003D" w14:textId="77777777" w:rsidR="00CB3016" w:rsidRDefault="00CB3016" w:rsidP="00D212A5">
      <w:pPr>
        <w:rPr>
          <w:rFonts w:asciiTheme="minorHAnsi" w:hAnsiTheme="minorHAnsi" w:cstheme="minorHAnsi"/>
        </w:rPr>
      </w:pPr>
    </w:p>
    <w:p w14:paraId="2AE820D9" w14:textId="77777777" w:rsidR="00D212A5" w:rsidRPr="00EC7173" w:rsidRDefault="00D212A5" w:rsidP="00F2024B">
      <w:pPr>
        <w:pStyle w:val="Heading2"/>
        <w:tabs>
          <w:tab w:val="clear" w:pos="576"/>
          <w:tab w:val="num" w:pos="709"/>
        </w:tabs>
        <w:ind w:left="709" w:hanging="709"/>
        <w:rPr>
          <w:rFonts w:asciiTheme="minorHAnsi" w:hAnsiTheme="minorHAnsi" w:cstheme="minorHAnsi"/>
          <w:i w:val="0"/>
          <w:iCs w:val="0"/>
        </w:rPr>
      </w:pPr>
      <w:bookmarkStart w:id="21" w:name="_Toc84844724"/>
      <w:r w:rsidRPr="00EC7173">
        <w:rPr>
          <w:rFonts w:asciiTheme="minorHAnsi" w:hAnsiTheme="minorHAnsi" w:cstheme="minorHAnsi"/>
          <w:i w:val="0"/>
          <w:iCs w:val="0"/>
        </w:rPr>
        <w:t>Design of regulatory charges</w:t>
      </w:r>
      <w:bookmarkEnd w:id="21"/>
      <w:r w:rsidRPr="00EC7173">
        <w:rPr>
          <w:rFonts w:asciiTheme="minorHAnsi" w:hAnsiTheme="minorHAnsi" w:cstheme="minorHAnsi"/>
          <w:i w:val="0"/>
          <w:iCs w:val="0"/>
        </w:rPr>
        <w:t xml:space="preserve"> </w:t>
      </w:r>
    </w:p>
    <w:p w14:paraId="2640E978" w14:textId="0085BBA1" w:rsidR="00D212A5" w:rsidRDefault="00D212A5" w:rsidP="00D212A5">
      <w:pPr>
        <w:rPr>
          <w:rFonts w:asciiTheme="minorHAnsi" w:hAnsiTheme="minorHAnsi" w:cstheme="minorHAnsi"/>
        </w:rPr>
      </w:pPr>
      <w:r>
        <w:rPr>
          <w:rFonts w:asciiTheme="minorHAnsi" w:hAnsiTheme="minorHAnsi" w:cstheme="minorHAnsi"/>
        </w:rPr>
        <w:t xml:space="preserve">NOPTA’s cost model has been designed to ensure stable revenue to enable effective regulation and management of its Special Account in line with Australian Government Cost Recovery Guidelines (CRGs). </w:t>
      </w:r>
      <w:r w:rsidRPr="002A67C7">
        <w:rPr>
          <w:rFonts w:asciiTheme="minorHAnsi" w:hAnsiTheme="minorHAnsi" w:cstheme="minorHAnsi"/>
        </w:rPr>
        <w:t>NOPTA’s cost recovery charges include an annual levy imposed on different types of titles (permits, leases and licences) and fees charged on applications made to the Titles Administrator for the approval of various matters relating to offshore petroleum</w:t>
      </w:r>
      <w:r w:rsidR="00DC7963">
        <w:rPr>
          <w:rFonts w:asciiTheme="minorHAnsi" w:hAnsiTheme="minorHAnsi" w:cstheme="minorHAnsi"/>
        </w:rPr>
        <w:t xml:space="preserve"> and GHG</w:t>
      </w:r>
      <w:r w:rsidRPr="002A67C7">
        <w:rPr>
          <w:rFonts w:asciiTheme="minorHAnsi" w:hAnsiTheme="minorHAnsi" w:cstheme="minorHAnsi"/>
        </w:rPr>
        <w:t xml:space="preserve"> titles. </w:t>
      </w:r>
      <w:r w:rsidRPr="009302F8">
        <w:rPr>
          <w:rFonts w:asciiTheme="minorHAnsi" w:hAnsiTheme="minorHAnsi" w:cstheme="minorHAnsi"/>
        </w:rPr>
        <w:t>NOPTA has minimised the need to adjust charges since its inception in 2012, providing longer-term certainty to industry in this regard.</w:t>
      </w:r>
      <w:r>
        <w:rPr>
          <w:rFonts w:asciiTheme="minorHAnsi" w:hAnsiTheme="minorHAnsi" w:cstheme="minorHAnsi"/>
        </w:rPr>
        <w:t xml:space="preserve"> </w:t>
      </w:r>
      <w:r w:rsidRPr="00F4498D">
        <w:rPr>
          <w:rFonts w:asciiTheme="minorHAnsi" w:hAnsiTheme="minorHAnsi" w:cstheme="minorHAnsi"/>
        </w:rPr>
        <w:t>Stability in the level of fees and levies is important for providing consistency for industry, supporting a more predictable investment environment.</w:t>
      </w:r>
    </w:p>
    <w:p w14:paraId="234962C2" w14:textId="77777777" w:rsidR="00D212A5" w:rsidRPr="00F4498D" w:rsidRDefault="00D212A5" w:rsidP="00D212A5">
      <w:pPr>
        <w:rPr>
          <w:rFonts w:asciiTheme="minorHAnsi" w:hAnsiTheme="minorHAnsi" w:cstheme="minorHAnsi"/>
        </w:rPr>
      </w:pPr>
    </w:p>
    <w:p w14:paraId="542FDC5C" w14:textId="55E24D86" w:rsidR="00A25DC0" w:rsidRPr="00535A07" w:rsidRDefault="00D212A5" w:rsidP="00A25DC0">
      <w:pPr>
        <w:rPr>
          <w:rFonts w:asciiTheme="minorHAnsi" w:hAnsiTheme="minorHAnsi" w:cstheme="minorHAnsi"/>
        </w:rPr>
      </w:pPr>
      <w:r w:rsidRPr="002A67C7">
        <w:rPr>
          <w:rFonts w:asciiTheme="minorHAnsi" w:hAnsiTheme="minorHAnsi" w:cstheme="minorHAnsi"/>
        </w:rPr>
        <w:t xml:space="preserve">The charges were last </w:t>
      </w:r>
      <w:r>
        <w:rPr>
          <w:rFonts w:asciiTheme="minorHAnsi" w:hAnsiTheme="minorHAnsi" w:cstheme="minorHAnsi"/>
        </w:rPr>
        <w:t xml:space="preserve">increased on 1 July 2016. Since this time NOPTA has managed costs internally to avoid increases in fees and levies. </w:t>
      </w:r>
      <w:r w:rsidR="00916CEE">
        <w:rPr>
          <w:rFonts w:asciiTheme="minorHAnsi" w:hAnsiTheme="minorHAnsi" w:cstheme="minorHAnsi"/>
        </w:rPr>
        <w:t xml:space="preserve">A review of </w:t>
      </w:r>
      <w:r>
        <w:rPr>
          <w:rFonts w:asciiTheme="minorHAnsi" w:hAnsiTheme="minorHAnsi" w:cstheme="minorHAnsi"/>
        </w:rPr>
        <w:t>NOPTA</w:t>
      </w:r>
      <w:r w:rsidR="00916CEE">
        <w:rPr>
          <w:rFonts w:asciiTheme="minorHAnsi" w:hAnsiTheme="minorHAnsi" w:cstheme="minorHAnsi"/>
        </w:rPr>
        <w:t>’s</w:t>
      </w:r>
      <w:r>
        <w:rPr>
          <w:rFonts w:asciiTheme="minorHAnsi" w:hAnsiTheme="minorHAnsi" w:cstheme="minorHAnsi"/>
        </w:rPr>
        <w:t xml:space="preserve"> </w:t>
      </w:r>
      <w:r w:rsidR="00916CEE">
        <w:rPr>
          <w:rFonts w:asciiTheme="minorHAnsi" w:hAnsiTheme="minorHAnsi" w:cstheme="minorHAnsi"/>
        </w:rPr>
        <w:t xml:space="preserve">CRIS was </w:t>
      </w:r>
      <w:r>
        <w:rPr>
          <w:rFonts w:asciiTheme="minorHAnsi" w:hAnsiTheme="minorHAnsi" w:cstheme="minorHAnsi"/>
        </w:rPr>
        <w:t xml:space="preserve">delayed </w:t>
      </w:r>
      <w:r w:rsidR="00916CEE">
        <w:rPr>
          <w:rFonts w:asciiTheme="minorHAnsi" w:hAnsiTheme="minorHAnsi" w:cstheme="minorHAnsi"/>
        </w:rPr>
        <w:t xml:space="preserve">in </w:t>
      </w:r>
      <w:r w:rsidR="002C5D62">
        <w:rPr>
          <w:rFonts w:asciiTheme="minorHAnsi" w:hAnsiTheme="minorHAnsi" w:cstheme="minorHAnsi"/>
        </w:rPr>
        <w:t xml:space="preserve">2020 </w:t>
      </w:r>
      <w:r>
        <w:rPr>
          <w:rFonts w:asciiTheme="minorHAnsi" w:hAnsiTheme="minorHAnsi" w:cstheme="minorHAnsi"/>
        </w:rPr>
        <w:t>due to concerns around the impacts of COVID-19.</w:t>
      </w:r>
      <w:r w:rsidR="00C616F9">
        <w:rPr>
          <w:rFonts w:asciiTheme="minorHAnsi" w:hAnsiTheme="minorHAnsi" w:cstheme="minorHAnsi"/>
        </w:rPr>
        <w:t xml:space="preserve"> NOPTA is proposing that the levies and fees</w:t>
      </w:r>
      <w:r w:rsidR="00C56D29">
        <w:rPr>
          <w:rFonts w:asciiTheme="minorHAnsi" w:hAnsiTheme="minorHAnsi" w:cstheme="minorHAnsi"/>
        </w:rPr>
        <w:t xml:space="preserve"> </w:t>
      </w:r>
      <w:r w:rsidR="00C616F9">
        <w:rPr>
          <w:rFonts w:asciiTheme="minorHAnsi" w:hAnsiTheme="minorHAnsi" w:cstheme="minorHAnsi"/>
        </w:rPr>
        <w:t>be increased by 10 percent from 1 January 2022</w:t>
      </w:r>
      <w:r w:rsidR="00A927F2">
        <w:rPr>
          <w:rFonts w:asciiTheme="minorHAnsi" w:hAnsiTheme="minorHAnsi" w:cstheme="minorHAnsi"/>
        </w:rPr>
        <w:t xml:space="preserve"> and will be reviewed after 12 months</w:t>
      </w:r>
      <w:r w:rsidR="00C616F9">
        <w:rPr>
          <w:rFonts w:asciiTheme="minorHAnsi" w:hAnsiTheme="minorHAnsi" w:cstheme="minorHAnsi"/>
        </w:rPr>
        <w:t xml:space="preserve">. </w:t>
      </w:r>
      <w:r w:rsidR="00A25DC0">
        <w:rPr>
          <w:rFonts w:asciiTheme="minorHAnsi" w:hAnsiTheme="minorHAnsi" w:cstheme="minorHAnsi"/>
        </w:rPr>
        <w:t xml:space="preserve">NOPTA will maintain full transparency by notifying and consulting industry where required prior to any potential future increase. </w:t>
      </w:r>
    </w:p>
    <w:p w14:paraId="2ECFEB94" w14:textId="77777777" w:rsidR="00D212A5" w:rsidRDefault="00D212A5" w:rsidP="00D212A5">
      <w:pPr>
        <w:rPr>
          <w:rFonts w:asciiTheme="minorHAnsi" w:hAnsiTheme="minorHAnsi" w:cstheme="minorHAnsi"/>
        </w:rPr>
      </w:pPr>
    </w:p>
    <w:p w14:paraId="798D57B1" w14:textId="747CB323" w:rsidR="00D212A5" w:rsidRDefault="00D212A5" w:rsidP="00D212A5">
      <w:pPr>
        <w:rPr>
          <w:rFonts w:asciiTheme="minorHAnsi" w:hAnsiTheme="minorHAnsi" w:cstheme="minorHAnsi"/>
        </w:rPr>
      </w:pPr>
      <w:r w:rsidRPr="009C48FA">
        <w:rPr>
          <w:rFonts w:asciiTheme="minorHAnsi" w:hAnsiTheme="minorHAnsi" w:cstheme="minorHAnsi"/>
        </w:rPr>
        <w:t xml:space="preserve">NOPTA faces an uncertain operating environment over the next several years which may impact financials. This includes impacts of COVID-19 and oil price </w:t>
      </w:r>
      <w:r>
        <w:rPr>
          <w:rFonts w:asciiTheme="minorHAnsi" w:hAnsiTheme="minorHAnsi" w:cstheme="minorHAnsi"/>
        </w:rPr>
        <w:t>volatility which can result in</w:t>
      </w:r>
      <w:r w:rsidRPr="009C48FA">
        <w:rPr>
          <w:rFonts w:asciiTheme="minorHAnsi" w:hAnsiTheme="minorHAnsi" w:cstheme="minorHAnsi"/>
        </w:rPr>
        <w:t xml:space="preserve"> a reduction in exploration activities and </w:t>
      </w:r>
      <w:r>
        <w:rPr>
          <w:rFonts w:asciiTheme="minorHAnsi" w:hAnsiTheme="minorHAnsi" w:cstheme="minorHAnsi"/>
        </w:rPr>
        <w:t>associated revenue from fees and levies</w:t>
      </w:r>
      <w:r w:rsidRPr="009C48FA">
        <w:rPr>
          <w:rFonts w:asciiTheme="minorHAnsi" w:hAnsiTheme="minorHAnsi" w:cstheme="minorHAnsi"/>
        </w:rPr>
        <w:t>. In addition</w:t>
      </w:r>
      <w:r>
        <w:rPr>
          <w:rFonts w:asciiTheme="minorHAnsi" w:hAnsiTheme="minorHAnsi" w:cstheme="minorHAnsi"/>
        </w:rPr>
        <w:t>,</w:t>
      </w:r>
      <w:r w:rsidRPr="009C48FA">
        <w:rPr>
          <w:rFonts w:asciiTheme="minorHAnsi" w:hAnsiTheme="minorHAnsi" w:cstheme="minorHAnsi"/>
        </w:rPr>
        <w:t xml:space="preserve"> with the industry maturing</w:t>
      </w:r>
      <w:r>
        <w:rPr>
          <w:rFonts w:asciiTheme="minorHAnsi" w:hAnsiTheme="minorHAnsi" w:cstheme="minorHAnsi"/>
        </w:rPr>
        <w:t>,</w:t>
      </w:r>
      <w:r w:rsidRPr="009C48FA">
        <w:rPr>
          <w:rFonts w:asciiTheme="minorHAnsi" w:hAnsiTheme="minorHAnsi" w:cstheme="minorHAnsi"/>
        </w:rPr>
        <w:t xml:space="preserve"> transactions will require closer scrutiny</w:t>
      </w:r>
      <w:r>
        <w:rPr>
          <w:rFonts w:asciiTheme="minorHAnsi" w:hAnsiTheme="minorHAnsi" w:cstheme="minorHAnsi"/>
        </w:rPr>
        <w:t xml:space="preserve"> which will put additional resourcing pressure on NOPTA. </w:t>
      </w:r>
    </w:p>
    <w:p w14:paraId="06833B69" w14:textId="3ECA0B19" w:rsidR="00D212A5" w:rsidRPr="00F2024B" w:rsidRDefault="00D212A5" w:rsidP="00D212A5">
      <w:pPr>
        <w:pStyle w:val="Heading2"/>
        <w:rPr>
          <w:rFonts w:asciiTheme="minorHAnsi" w:hAnsiTheme="minorHAnsi" w:cstheme="minorHAnsi"/>
          <w:i w:val="0"/>
          <w:iCs w:val="0"/>
        </w:rPr>
      </w:pPr>
      <w:bookmarkStart w:id="22" w:name="_Toc67048038"/>
      <w:bookmarkStart w:id="23" w:name="_Toc67054034"/>
      <w:bookmarkStart w:id="24" w:name="_Toc84844725"/>
      <w:bookmarkEnd w:id="22"/>
      <w:bookmarkEnd w:id="23"/>
      <w:r w:rsidRPr="00F2024B">
        <w:rPr>
          <w:rFonts w:asciiTheme="minorHAnsi" w:hAnsiTheme="minorHAnsi" w:cstheme="minorHAnsi"/>
          <w:i w:val="0"/>
          <w:iCs w:val="0"/>
        </w:rPr>
        <w:t>Cost recovery levy</w:t>
      </w:r>
      <w:bookmarkEnd w:id="24"/>
    </w:p>
    <w:p w14:paraId="51EB96F0" w14:textId="24801314" w:rsidR="009F2E81" w:rsidRDefault="00D212A5" w:rsidP="009F2E81">
      <w:pPr>
        <w:rPr>
          <w:rFonts w:asciiTheme="minorHAnsi" w:hAnsiTheme="minorHAnsi" w:cstheme="minorHAnsi"/>
        </w:rPr>
      </w:pPr>
      <w:r w:rsidRPr="002A67C7">
        <w:rPr>
          <w:rFonts w:asciiTheme="minorHAnsi" w:hAnsiTheme="minorHAnsi" w:cstheme="minorHAnsi"/>
        </w:rPr>
        <w:t xml:space="preserve">An Annual Titles Administration Levy (Levy) is imposed on holders of titles (permits, leases and licences). The levy is payable in accordance with the </w:t>
      </w:r>
      <w:r w:rsidRPr="002A67C7">
        <w:rPr>
          <w:rFonts w:asciiTheme="minorHAnsi" w:hAnsiTheme="minorHAnsi" w:cstheme="minorHAnsi"/>
          <w:i/>
        </w:rPr>
        <w:t xml:space="preserve">Offshore Petroleum and Greenhouse Gas Storage (Regulatory </w:t>
      </w:r>
      <w:r w:rsidR="00486885">
        <w:rPr>
          <w:rFonts w:asciiTheme="minorHAnsi" w:hAnsiTheme="minorHAnsi" w:cstheme="minorHAnsi"/>
          <w:i/>
        </w:rPr>
        <w:t>Levies</w:t>
      </w:r>
      <w:r w:rsidRPr="002A67C7">
        <w:rPr>
          <w:rFonts w:asciiTheme="minorHAnsi" w:hAnsiTheme="minorHAnsi" w:cstheme="minorHAnsi"/>
          <w:i/>
        </w:rPr>
        <w:t xml:space="preserve">) Regulations 2004 </w:t>
      </w:r>
      <w:r w:rsidRPr="002A67C7">
        <w:rPr>
          <w:rFonts w:asciiTheme="minorHAnsi" w:hAnsiTheme="minorHAnsi" w:cstheme="minorHAnsi"/>
        </w:rPr>
        <w:t xml:space="preserve">upon the grant of a title and annually thereafter within 30 days of the anniversary of the title. Where a title is in force for less than </w:t>
      </w:r>
      <w:r w:rsidR="003E39E8">
        <w:rPr>
          <w:rFonts w:asciiTheme="minorHAnsi" w:hAnsiTheme="minorHAnsi" w:cstheme="minorHAnsi"/>
        </w:rPr>
        <w:t>12</w:t>
      </w:r>
      <w:r w:rsidR="003E39E8" w:rsidRPr="002A67C7">
        <w:rPr>
          <w:rFonts w:asciiTheme="minorHAnsi" w:hAnsiTheme="minorHAnsi" w:cstheme="minorHAnsi"/>
        </w:rPr>
        <w:t xml:space="preserve"> </w:t>
      </w:r>
      <w:r w:rsidRPr="002A67C7">
        <w:rPr>
          <w:rFonts w:asciiTheme="minorHAnsi" w:hAnsiTheme="minorHAnsi" w:cstheme="minorHAnsi"/>
        </w:rPr>
        <w:t xml:space="preserve">months, the levy is calculated for the period the </w:t>
      </w:r>
      <w:r>
        <w:rPr>
          <w:rFonts w:asciiTheme="minorHAnsi" w:hAnsiTheme="minorHAnsi" w:cstheme="minorHAnsi"/>
        </w:rPr>
        <w:t>t</w:t>
      </w:r>
      <w:r w:rsidRPr="002A67C7">
        <w:rPr>
          <w:rFonts w:asciiTheme="minorHAnsi" w:hAnsiTheme="minorHAnsi" w:cstheme="minorHAnsi"/>
        </w:rPr>
        <w:t>itle</w:t>
      </w:r>
      <w:r w:rsidR="00466782">
        <w:rPr>
          <w:rFonts w:asciiTheme="minorHAnsi" w:hAnsiTheme="minorHAnsi" w:cstheme="minorHAnsi"/>
        </w:rPr>
        <w:t xml:space="preserve"> remains in force</w:t>
      </w:r>
      <w:r w:rsidRPr="002A67C7">
        <w:rPr>
          <w:rFonts w:asciiTheme="minorHAnsi" w:hAnsiTheme="minorHAnsi" w:cstheme="minorHAnsi"/>
        </w:rPr>
        <w:t>.</w:t>
      </w:r>
      <w:r>
        <w:rPr>
          <w:rFonts w:asciiTheme="minorHAnsi" w:hAnsiTheme="minorHAnsi" w:cstheme="minorHAnsi"/>
        </w:rPr>
        <w:t xml:space="preserve"> </w:t>
      </w:r>
      <w:bookmarkStart w:id="25" w:name="_Hlk67487972"/>
      <w:r w:rsidR="005B374E">
        <w:rPr>
          <w:rFonts w:asciiTheme="minorHAnsi" w:hAnsiTheme="minorHAnsi" w:cstheme="minorHAnsi"/>
        </w:rPr>
        <w:t xml:space="preserve">Levies are </w:t>
      </w:r>
      <w:r w:rsidR="009F2E81" w:rsidRPr="00EB14B8">
        <w:rPr>
          <w:rFonts w:asciiTheme="minorHAnsi" w:hAnsiTheme="minorHAnsi" w:cstheme="minorHAnsi"/>
        </w:rPr>
        <w:t xml:space="preserve">used to fund </w:t>
      </w:r>
      <w:r w:rsidR="005B374E">
        <w:rPr>
          <w:rFonts w:asciiTheme="minorHAnsi" w:hAnsiTheme="minorHAnsi" w:cstheme="minorHAnsi"/>
        </w:rPr>
        <w:t xml:space="preserve">NOPTA </w:t>
      </w:r>
      <w:r w:rsidR="009F2E81" w:rsidRPr="00EB14B8">
        <w:rPr>
          <w:rFonts w:asciiTheme="minorHAnsi" w:hAnsiTheme="minorHAnsi" w:cstheme="minorHAnsi"/>
        </w:rPr>
        <w:t xml:space="preserve">activities where it is not possible or practical to attribute costs to a specific </w:t>
      </w:r>
      <w:r w:rsidR="00916CEE">
        <w:rPr>
          <w:rFonts w:asciiTheme="minorHAnsi" w:hAnsiTheme="minorHAnsi" w:cstheme="minorHAnsi"/>
        </w:rPr>
        <w:t>title</w:t>
      </w:r>
      <w:r w:rsidR="00916CEE" w:rsidRPr="00EB14B8">
        <w:rPr>
          <w:rFonts w:asciiTheme="minorHAnsi" w:hAnsiTheme="minorHAnsi" w:cstheme="minorHAnsi"/>
        </w:rPr>
        <w:t xml:space="preserve"> </w:t>
      </w:r>
      <w:r w:rsidR="009F2E81" w:rsidRPr="00EB14B8">
        <w:rPr>
          <w:rFonts w:asciiTheme="minorHAnsi" w:hAnsiTheme="minorHAnsi" w:cstheme="minorHAnsi"/>
        </w:rPr>
        <w:t>(</w:t>
      </w:r>
      <w:r w:rsidR="005827AF" w:rsidRPr="00EB14B8">
        <w:rPr>
          <w:rFonts w:asciiTheme="minorHAnsi" w:hAnsiTheme="minorHAnsi" w:cstheme="minorHAnsi"/>
        </w:rPr>
        <w:t>e.g.,</w:t>
      </w:r>
      <w:r w:rsidR="009F2E81" w:rsidRPr="00EB14B8">
        <w:rPr>
          <w:rFonts w:asciiTheme="minorHAnsi" w:hAnsiTheme="minorHAnsi" w:cstheme="minorHAnsi"/>
        </w:rPr>
        <w:t xml:space="preserve"> </w:t>
      </w:r>
      <w:r w:rsidR="00916CEE">
        <w:rPr>
          <w:rFonts w:asciiTheme="minorHAnsi" w:hAnsiTheme="minorHAnsi" w:cstheme="minorHAnsi"/>
        </w:rPr>
        <w:t xml:space="preserve">data management, </w:t>
      </w:r>
      <w:r w:rsidR="009F2E81" w:rsidRPr="00EB14B8">
        <w:rPr>
          <w:rFonts w:asciiTheme="minorHAnsi" w:hAnsiTheme="minorHAnsi" w:cstheme="minorHAnsi"/>
        </w:rPr>
        <w:t>resource management, compliance and enforcement).</w:t>
      </w:r>
      <w:r w:rsidR="009F2E81">
        <w:rPr>
          <w:rFonts w:asciiTheme="minorHAnsi" w:hAnsiTheme="minorHAnsi" w:cstheme="minorHAnsi"/>
        </w:rPr>
        <w:t xml:space="preserve"> </w:t>
      </w:r>
    </w:p>
    <w:p w14:paraId="37D737BF" w14:textId="77777777" w:rsidR="009B1C8A" w:rsidRDefault="009B1C8A" w:rsidP="00D212A5">
      <w:pPr>
        <w:rPr>
          <w:rFonts w:asciiTheme="minorHAnsi" w:hAnsiTheme="minorHAnsi" w:cstheme="minorHAnsi"/>
        </w:rPr>
      </w:pPr>
    </w:p>
    <w:p w14:paraId="7F7FD42A" w14:textId="77777777" w:rsidR="008617B0" w:rsidRDefault="008617B0" w:rsidP="008617B0">
      <w:pPr>
        <w:rPr>
          <w:rFonts w:asciiTheme="minorHAnsi" w:hAnsiTheme="minorHAnsi" w:cstheme="minorHAnsi"/>
        </w:rPr>
      </w:pPr>
      <w:r w:rsidRPr="002A67C7">
        <w:rPr>
          <w:rFonts w:asciiTheme="minorHAnsi" w:hAnsiTheme="minorHAnsi" w:cstheme="minorHAnsi"/>
        </w:rPr>
        <w:lastRenderedPageBreak/>
        <w:t xml:space="preserve">The annual </w:t>
      </w:r>
      <w:r>
        <w:rPr>
          <w:rFonts w:asciiTheme="minorHAnsi" w:hAnsiTheme="minorHAnsi" w:cstheme="minorHAnsi"/>
        </w:rPr>
        <w:t>l</w:t>
      </w:r>
      <w:r w:rsidRPr="002A67C7">
        <w:rPr>
          <w:rFonts w:asciiTheme="minorHAnsi" w:hAnsiTheme="minorHAnsi" w:cstheme="minorHAnsi"/>
        </w:rPr>
        <w:t xml:space="preserve">evy makes up the majority of NOPTA’s revenue, approximately </w:t>
      </w:r>
      <w:r w:rsidRPr="00EB14B8">
        <w:rPr>
          <w:rFonts w:asciiTheme="minorHAnsi" w:hAnsiTheme="minorHAnsi" w:cstheme="minorHAnsi"/>
        </w:rPr>
        <w:t>87</w:t>
      </w:r>
      <w:r>
        <w:rPr>
          <w:rFonts w:asciiTheme="minorHAnsi" w:hAnsiTheme="minorHAnsi" w:cstheme="minorHAnsi"/>
        </w:rPr>
        <w:t xml:space="preserve"> percent</w:t>
      </w:r>
      <w:r w:rsidRPr="00EB14B8">
        <w:rPr>
          <w:rFonts w:asciiTheme="minorHAnsi" w:hAnsiTheme="minorHAnsi" w:cstheme="minorHAnsi"/>
        </w:rPr>
        <w:t xml:space="preserve"> in 2019</w:t>
      </w:r>
      <w:r>
        <w:rPr>
          <w:rFonts w:asciiTheme="minorHAnsi" w:hAnsiTheme="minorHAnsi" w:cstheme="minorHAnsi"/>
        </w:rPr>
        <w:noBreakHyphen/>
      </w:r>
      <w:r w:rsidRPr="00EB14B8">
        <w:rPr>
          <w:rFonts w:asciiTheme="minorHAnsi" w:hAnsiTheme="minorHAnsi" w:cstheme="minorHAnsi"/>
        </w:rPr>
        <w:t xml:space="preserve">20, providing a stable revenue stream that is dependent upon the current number and type of titles in force. </w:t>
      </w:r>
      <w:r>
        <w:rPr>
          <w:rFonts w:asciiTheme="minorHAnsi" w:hAnsiTheme="minorHAnsi" w:cstheme="minorHAnsi"/>
        </w:rPr>
        <w:t xml:space="preserve">Levy revenue estimates are based on the existing number of titles incorporating known upcoming activities (e.g. acreage release grants, surrenders, expiries, title conversions etc.) and industry trends.   </w:t>
      </w:r>
    </w:p>
    <w:p w14:paraId="5F2DEA3B" w14:textId="77777777" w:rsidR="008617B0" w:rsidRDefault="008617B0" w:rsidP="005B374E">
      <w:pPr>
        <w:pStyle w:val="CommentText"/>
        <w:rPr>
          <w:rFonts w:asciiTheme="minorHAnsi" w:hAnsiTheme="minorHAnsi" w:cstheme="minorHAnsi"/>
          <w:iCs/>
          <w:sz w:val="24"/>
          <w:szCs w:val="24"/>
          <w:lang w:val="en-US"/>
        </w:rPr>
      </w:pPr>
    </w:p>
    <w:p w14:paraId="5393F4E1" w14:textId="5876C344" w:rsidR="005B374E" w:rsidRDefault="005B374E" w:rsidP="005B374E">
      <w:pPr>
        <w:pStyle w:val="CommentText"/>
        <w:rPr>
          <w:rFonts w:asciiTheme="minorHAnsi" w:hAnsiTheme="minorHAnsi" w:cstheme="minorHAnsi"/>
          <w:iCs/>
          <w:sz w:val="24"/>
          <w:szCs w:val="24"/>
          <w:lang w:val="en-US"/>
        </w:rPr>
      </w:pPr>
      <w:r w:rsidRPr="009B0DBC">
        <w:rPr>
          <w:rFonts w:asciiTheme="minorHAnsi" w:hAnsiTheme="minorHAnsi" w:cstheme="minorHAnsi"/>
          <w:iCs/>
          <w:sz w:val="24"/>
          <w:szCs w:val="24"/>
          <w:lang w:val="en-US"/>
        </w:rPr>
        <w:t>The structure for the annual Levy is relatively easy to calculate, involving</w:t>
      </w:r>
      <w:r>
        <w:rPr>
          <w:rFonts w:asciiTheme="minorHAnsi" w:hAnsiTheme="minorHAnsi" w:cstheme="minorHAnsi"/>
          <w:iCs/>
          <w:sz w:val="24"/>
          <w:szCs w:val="24"/>
          <w:lang w:val="en-US"/>
        </w:rPr>
        <w:t xml:space="preserve"> a:</w:t>
      </w:r>
      <w:r w:rsidRPr="009B0DBC">
        <w:rPr>
          <w:rFonts w:asciiTheme="minorHAnsi" w:hAnsiTheme="minorHAnsi" w:cstheme="minorHAnsi"/>
          <w:iCs/>
          <w:sz w:val="24"/>
          <w:szCs w:val="24"/>
          <w:lang w:val="en-US"/>
        </w:rPr>
        <w:t xml:space="preserve"> </w:t>
      </w:r>
    </w:p>
    <w:p w14:paraId="6E264B61" w14:textId="0D8E0CA7" w:rsidR="005B374E" w:rsidRDefault="005B374E" w:rsidP="00A174D5">
      <w:pPr>
        <w:pStyle w:val="ListParagraph"/>
        <w:numPr>
          <w:ilvl w:val="0"/>
          <w:numId w:val="5"/>
        </w:numPr>
        <w:contextualSpacing w:val="0"/>
        <w:rPr>
          <w:rFonts w:asciiTheme="minorHAnsi" w:hAnsiTheme="minorHAnsi" w:cstheme="minorHAnsi"/>
          <w:iCs/>
          <w:lang w:val="en-US"/>
        </w:rPr>
      </w:pPr>
      <w:r w:rsidRPr="009B0DBC">
        <w:rPr>
          <w:rFonts w:asciiTheme="minorHAnsi" w:hAnsiTheme="minorHAnsi" w:cstheme="minorHAnsi"/>
          <w:iCs/>
          <w:lang w:val="en-US"/>
        </w:rPr>
        <w:t xml:space="preserve">fixed rate per title for an </w:t>
      </w:r>
      <w:r>
        <w:rPr>
          <w:rFonts w:asciiTheme="minorHAnsi" w:hAnsiTheme="minorHAnsi" w:cstheme="minorHAnsi"/>
          <w:iCs/>
          <w:lang w:val="en-US"/>
        </w:rPr>
        <w:t>e</w:t>
      </w:r>
      <w:r w:rsidRPr="009B0DBC">
        <w:rPr>
          <w:rFonts w:asciiTheme="minorHAnsi" w:hAnsiTheme="minorHAnsi" w:cstheme="minorHAnsi"/>
          <w:iCs/>
          <w:lang w:val="en-US"/>
        </w:rPr>
        <w:t xml:space="preserve">xploration </w:t>
      </w:r>
      <w:r>
        <w:rPr>
          <w:rFonts w:asciiTheme="minorHAnsi" w:hAnsiTheme="minorHAnsi" w:cstheme="minorHAnsi"/>
          <w:iCs/>
          <w:lang w:val="en-US"/>
        </w:rPr>
        <w:t>p</w:t>
      </w:r>
      <w:r w:rsidRPr="009B0DBC">
        <w:rPr>
          <w:rFonts w:asciiTheme="minorHAnsi" w:hAnsiTheme="minorHAnsi" w:cstheme="minorHAnsi"/>
          <w:iCs/>
          <w:lang w:val="en-US"/>
        </w:rPr>
        <w:t>ermit</w:t>
      </w:r>
      <w:r w:rsidR="00916CEE">
        <w:rPr>
          <w:rFonts w:asciiTheme="minorHAnsi" w:hAnsiTheme="minorHAnsi" w:cstheme="minorHAnsi"/>
          <w:iCs/>
          <w:lang w:val="en-US"/>
        </w:rPr>
        <w:t>,</w:t>
      </w:r>
      <w:r w:rsidRPr="009B0DBC">
        <w:rPr>
          <w:rFonts w:asciiTheme="minorHAnsi" w:hAnsiTheme="minorHAnsi" w:cstheme="minorHAnsi"/>
          <w:iCs/>
          <w:lang w:val="en-US"/>
        </w:rPr>
        <w:t xml:space="preserve"> </w:t>
      </w:r>
      <w:r>
        <w:rPr>
          <w:rFonts w:asciiTheme="minorHAnsi" w:hAnsiTheme="minorHAnsi" w:cstheme="minorHAnsi"/>
          <w:iCs/>
          <w:lang w:val="en-US"/>
        </w:rPr>
        <w:t>i</w:t>
      </w:r>
      <w:r w:rsidRPr="009B0DBC">
        <w:rPr>
          <w:rFonts w:asciiTheme="minorHAnsi" w:hAnsiTheme="minorHAnsi" w:cstheme="minorHAnsi"/>
          <w:iCs/>
          <w:lang w:val="en-US"/>
        </w:rPr>
        <w:t xml:space="preserve">nfrastructure </w:t>
      </w:r>
      <w:r>
        <w:rPr>
          <w:rFonts w:asciiTheme="minorHAnsi" w:hAnsiTheme="minorHAnsi" w:cstheme="minorHAnsi"/>
          <w:iCs/>
          <w:lang w:val="en-US"/>
        </w:rPr>
        <w:t>l</w:t>
      </w:r>
      <w:r w:rsidRPr="009B0DBC">
        <w:rPr>
          <w:rFonts w:asciiTheme="minorHAnsi" w:hAnsiTheme="minorHAnsi" w:cstheme="minorHAnsi"/>
          <w:iCs/>
          <w:lang w:val="en-US"/>
        </w:rPr>
        <w:t>icence,</w:t>
      </w:r>
      <w:r w:rsidR="00916CEE">
        <w:rPr>
          <w:rFonts w:asciiTheme="minorHAnsi" w:hAnsiTheme="minorHAnsi" w:cstheme="minorHAnsi"/>
          <w:iCs/>
          <w:lang w:val="en-US"/>
        </w:rPr>
        <w:t xml:space="preserve"> or assessment permit</w:t>
      </w:r>
      <w:r w:rsidRPr="009B0DBC">
        <w:rPr>
          <w:rFonts w:asciiTheme="minorHAnsi" w:hAnsiTheme="minorHAnsi" w:cstheme="minorHAnsi"/>
          <w:iCs/>
          <w:lang w:val="en-US"/>
        </w:rPr>
        <w:t xml:space="preserve"> </w:t>
      </w:r>
    </w:p>
    <w:p w14:paraId="4E26BACE" w14:textId="5730D477" w:rsidR="005B374E" w:rsidRDefault="005B374E" w:rsidP="00A174D5">
      <w:pPr>
        <w:pStyle w:val="ListParagraph"/>
        <w:numPr>
          <w:ilvl w:val="0"/>
          <w:numId w:val="5"/>
        </w:numPr>
        <w:contextualSpacing w:val="0"/>
        <w:rPr>
          <w:rFonts w:asciiTheme="minorHAnsi" w:hAnsiTheme="minorHAnsi" w:cstheme="minorHAnsi"/>
          <w:iCs/>
          <w:lang w:val="en-US"/>
        </w:rPr>
      </w:pPr>
      <w:r w:rsidRPr="009B0DBC">
        <w:rPr>
          <w:rFonts w:asciiTheme="minorHAnsi" w:hAnsiTheme="minorHAnsi" w:cstheme="minorHAnsi"/>
          <w:iCs/>
          <w:lang w:val="en-US"/>
        </w:rPr>
        <w:t xml:space="preserve">fixed rate multiplied by a known number of kilometres or part thereof for a </w:t>
      </w:r>
      <w:r>
        <w:rPr>
          <w:rFonts w:asciiTheme="minorHAnsi" w:hAnsiTheme="minorHAnsi" w:cstheme="minorHAnsi"/>
          <w:iCs/>
          <w:lang w:val="en-US"/>
        </w:rPr>
        <w:t>p</w:t>
      </w:r>
      <w:r w:rsidRPr="009B0DBC">
        <w:rPr>
          <w:rFonts w:asciiTheme="minorHAnsi" w:hAnsiTheme="minorHAnsi" w:cstheme="minorHAnsi"/>
          <w:iCs/>
          <w:lang w:val="en-US"/>
        </w:rPr>
        <w:t xml:space="preserve">ipeline </w:t>
      </w:r>
      <w:r>
        <w:rPr>
          <w:rFonts w:asciiTheme="minorHAnsi" w:hAnsiTheme="minorHAnsi" w:cstheme="minorHAnsi"/>
          <w:iCs/>
          <w:lang w:val="en-US"/>
        </w:rPr>
        <w:t>l</w:t>
      </w:r>
      <w:r w:rsidRPr="009B0DBC">
        <w:rPr>
          <w:rFonts w:asciiTheme="minorHAnsi" w:hAnsiTheme="minorHAnsi" w:cstheme="minorHAnsi"/>
          <w:iCs/>
          <w:lang w:val="en-US"/>
        </w:rPr>
        <w:t xml:space="preserve">icence, and </w:t>
      </w:r>
    </w:p>
    <w:p w14:paraId="3ED94056" w14:textId="0B38FEEC" w:rsidR="005B374E" w:rsidRDefault="005B374E" w:rsidP="00A174D5">
      <w:pPr>
        <w:pStyle w:val="ListParagraph"/>
        <w:numPr>
          <w:ilvl w:val="0"/>
          <w:numId w:val="5"/>
        </w:numPr>
        <w:contextualSpacing w:val="0"/>
        <w:rPr>
          <w:rFonts w:asciiTheme="minorHAnsi" w:hAnsiTheme="minorHAnsi" w:cstheme="minorHAnsi"/>
          <w:iCs/>
          <w:lang w:val="en-US"/>
        </w:rPr>
      </w:pPr>
      <w:r w:rsidRPr="009B0DBC">
        <w:rPr>
          <w:rFonts w:asciiTheme="minorHAnsi" w:hAnsiTheme="minorHAnsi" w:cstheme="minorHAnsi"/>
          <w:iCs/>
          <w:lang w:val="en-US"/>
        </w:rPr>
        <w:t xml:space="preserve">fixed rate multiplied by a known number of blocks for a </w:t>
      </w:r>
      <w:r>
        <w:rPr>
          <w:rFonts w:asciiTheme="minorHAnsi" w:hAnsiTheme="minorHAnsi" w:cstheme="minorHAnsi"/>
          <w:iCs/>
          <w:lang w:val="en-US"/>
        </w:rPr>
        <w:t>p</w:t>
      </w:r>
      <w:r w:rsidRPr="009B0DBC">
        <w:rPr>
          <w:rFonts w:asciiTheme="minorHAnsi" w:hAnsiTheme="minorHAnsi" w:cstheme="minorHAnsi"/>
          <w:iCs/>
          <w:lang w:val="en-US"/>
        </w:rPr>
        <w:t xml:space="preserve">roduction </w:t>
      </w:r>
      <w:r>
        <w:rPr>
          <w:rFonts w:asciiTheme="minorHAnsi" w:hAnsiTheme="minorHAnsi" w:cstheme="minorHAnsi"/>
          <w:iCs/>
          <w:lang w:val="en-US"/>
        </w:rPr>
        <w:t>l</w:t>
      </w:r>
      <w:r w:rsidRPr="009B0DBC">
        <w:rPr>
          <w:rFonts w:asciiTheme="minorHAnsi" w:hAnsiTheme="minorHAnsi" w:cstheme="minorHAnsi"/>
          <w:iCs/>
          <w:lang w:val="en-US"/>
        </w:rPr>
        <w:t>icence</w:t>
      </w:r>
      <w:r w:rsidR="00916CEE">
        <w:rPr>
          <w:rFonts w:asciiTheme="minorHAnsi" w:hAnsiTheme="minorHAnsi" w:cstheme="minorHAnsi"/>
          <w:iCs/>
          <w:lang w:val="en-US"/>
        </w:rPr>
        <w:t>,</w:t>
      </w:r>
      <w:r w:rsidRPr="009B0DBC">
        <w:rPr>
          <w:rFonts w:asciiTheme="minorHAnsi" w:hAnsiTheme="minorHAnsi" w:cstheme="minorHAnsi"/>
          <w:iCs/>
          <w:lang w:val="en-US"/>
        </w:rPr>
        <w:t xml:space="preserve"> </w:t>
      </w:r>
      <w:r>
        <w:rPr>
          <w:rFonts w:asciiTheme="minorHAnsi" w:hAnsiTheme="minorHAnsi" w:cstheme="minorHAnsi"/>
          <w:iCs/>
          <w:lang w:val="en-US"/>
        </w:rPr>
        <w:t>r</w:t>
      </w:r>
      <w:r w:rsidRPr="009B0DBC">
        <w:rPr>
          <w:rFonts w:asciiTheme="minorHAnsi" w:hAnsiTheme="minorHAnsi" w:cstheme="minorHAnsi"/>
          <w:iCs/>
          <w:lang w:val="en-US"/>
        </w:rPr>
        <w:t xml:space="preserve">etention </w:t>
      </w:r>
      <w:r>
        <w:rPr>
          <w:rFonts w:asciiTheme="minorHAnsi" w:hAnsiTheme="minorHAnsi" w:cstheme="minorHAnsi"/>
          <w:iCs/>
          <w:lang w:val="en-US"/>
        </w:rPr>
        <w:t>l</w:t>
      </w:r>
      <w:r w:rsidRPr="009B0DBC">
        <w:rPr>
          <w:rFonts w:asciiTheme="minorHAnsi" w:hAnsiTheme="minorHAnsi" w:cstheme="minorHAnsi"/>
          <w:iCs/>
          <w:lang w:val="en-US"/>
        </w:rPr>
        <w:t>ease</w:t>
      </w:r>
      <w:r w:rsidR="00916CEE">
        <w:rPr>
          <w:rFonts w:asciiTheme="minorHAnsi" w:hAnsiTheme="minorHAnsi" w:cstheme="minorHAnsi"/>
          <w:iCs/>
          <w:lang w:val="en-US"/>
        </w:rPr>
        <w:t>, holding lease or gas injection licence.</w:t>
      </w:r>
      <w:r>
        <w:rPr>
          <w:rFonts w:asciiTheme="minorHAnsi" w:hAnsiTheme="minorHAnsi" w:cstheme="minorHAnsi"/>
          <w:iCs/>
          <w:lang w:val="en-US"/>
        </w:rPr>
        <w:t xml:space="preserve"> </w:t>
      </w:r>
    </w:p>
    <w:p w14:paraId="17F10B44" w14:textId="77777777" w:rsidR="000C55CF" w:rsidRPr="002A67C7" w:rsidRDefault="000C55CF" w:rsidP="000C55CF">
      <w:pPr>
        <w:rPr>
          <w:rFonts w:asciiTheme="minorHAnsi" w:hAnsiTheme="minorHAnsi" w:cstheme="minorHAnsi"/>
        </w:rPr>
      </w:pPr>
    </w:p>
    <w:p w14:paraId="42F2EAED" w14:textId="3813224F" w:rsidR="00756CEA" w:rsidRDefault="000C55CF" w:rsidP="00D212A5">
      <w:pPr>
        <w:rPr>
          <w:rFonts w:asciiTheme="minorHAnsi" w:hAnsiTheme="minorHAnsi" w:cstheme="minorHAnsi"/>
        </w:rPr>
      </w:pPr>
      <w:r>
        <w:rPr>
          <w:rFonts w:asciiTheme="minorHAnsi" w:hAnsiTheme="minorHAnsi" w:cstheme="minorHAnsi"/>
        </w:rPr>
        <w:t xml:space="preserve">Consistent with the </w:t>
      </w:r>
      <w:r w:rsidR="000C094E">
        <w:rPr>
          <w:rFonts w:asciiTheme="minorHAnsi" w:hAnsiTheme="minorHAnsi" w:cstheme="minorHAnsi"/>
        </w:rPr>
        <w:t>principles</w:t>
      </w:r>
      <w:r>
        <w:rPr>
          <w:rFonts w:asciiTheme="minorHAnsi" w:hAnsiTheme="minorHAnsi" w:cstheme="minorHAnsi"/>
        </w:rPr>
        <w:t xml:space="preserve"> of the CRGs</w:t>
      </w:r>
      <w:r w:rsidRPr="00502E89">
        <w:rPr>
          <w:rStyle w:val="FootnoteReference"/>
          <w:rFonts w:cstheme="minorHAnsi"/>
          <w:color w:val="auto"/>
        </w:rPr>
        <w:footnoteReference w:id="18"/>
      </w:r>
      <w:r>
        <w:rPr>
          <w:rFonts w:asciiTheme="minorHAnsi" w:hAnsiTheme="minorHAnsi" w:cstheme="minorHAnsi"/>
        </w:rPr>
        <w:t xml:space="preserve">, </w:t>
      </w:r>
      <w:bookmarkEnd w:id="25"/>
      <w:r>
        <w:rPr>
          <w:rFonts w:asciiTheme="minorHAnsi" w:hAnsiTheme="minorHAnsi" w:cstheme="minorHAnsi"/>
        </w:rPr>
        <w:t>l</w:t>
      </w:r>
      <w:r w:rsidR="009F2E81" w:rsidRPr="005046DE">
        <w:rPr>
          <w:rFonts w:asciiTheme="minorHAnsi" w:hAnsiTheme="minorHAnsi" w:cstheme="minorHAnsi"/>
        </w:rPr>
        <w:t xml:space="preserve">evy amounts </w:t>
      </w:r>
      <w:r>
        <w:rPr>
          <w:rFonts w:asciiTheme="minorHAnsi" w:hAnsiTheme="minorHAnsi" w:cstheme="minorHAnsi"/>
        </w:rPr>
        <w:t>have been designed to</w:t>
      </w:r>
      <w:r w:rsidR="009F2E81" w:rsidRPr="005046DE">
        <w:rPr>
          <w:rFonts w:asciiTheme="minorHAnsi" w:hAnsiTheme="minorHAnsi" w:cstheme="minorHAnsi"/>
        </w:rPr>
        <w:t xml:space="preserve"> encourag</w:t>
      </w:r>
      <w:r>
        <w:rPr>
          <w:rFonts w:asciiTheme="minorHAnsi" w:hAnsiTheme="minorHAnsi" w:cstheme="minorHAnsi"/>
        </w:rPr>
        <w:t>e</w:t>
      </w:r>
      <w:r w:rsidR="009F2E81" w:rsidRPr="005046DE">
        <w:rPr>
          <w:rFonts w:asciiTheme="minorHAnsi" w:hAnsiTheme="minorHAnsi" w:cstheme="minorHAnsi"/>
        </w:rPr>
        <w:t xml:space="preserve"> </w:t>
      </w:r>
      <w:r w:rsidR="00A755D5">
        <w:rPr>
          <w:rFonts w:asciiTheme="minorHAnsi" w:hAnsiTheme="minorHAnsi" w:cstheme="minorHAnsi"/>
        </w:rPr>
        <w:t xml:space="preserve">continued </w:t>
      </w:r>
      <w:r w:rsidR="009F2E81" w:rsidRPr="005046DE">
        <w:rPr>
          <w:rFonts w:asciiTheme="minorHAnsi" w:hAnsiTheme="minorHAnsi" w:cstheme="minorHAnsi"/>
        </w:rPr>
        <w:t>exploration and innovation within industry</w:t>
      </w:r>
      <w:r w:rsidR="0033172F">
        <w:rPr>
          <w:rFonts w:asciiTheme="minorHAnsi" w:hAnsiTheme="minorHAnsi" w:cstheme="minorHAnsi"/>
        </w:rPr>
        <w:t xml:space="preserve">. While </w:t>
      </w:r>
      <w:r w:rsidR="00B83CD7">
        <w:rPr>
          <w:rFonts w:asciiTheme="minorHAnsi" w:hAnsiTheme="minorHAnsi" w:cstheme="minorHAnsi"/>
        </w:rPr>
        <w:t xml:space="preserve">this does result in </w:t>
      </w:r>
      <w:r w:rsidR="00B83CD7" w:rsidRPr="005046DE">
        <w:rPr>
          <w:rFonts w:asciiTheme="minorHAnsi" w:hAnsiTheme="minorHAnsi" w:cstheme="minorHAnsi"/>
        </w:rPr>
        <w:t>a degree of over/under recovery across</w:t>
      </w:r>
      <w:r w:rsidR="00756CEA">
        <w:rPr>
          <w:rFonts w:asciiTheme="minorHAnsi" w:hAnsiTheme="minorHAnsi" w:cstheme="minorHAnsi"/>
        </w:rPr>
        <w:t xml:space="preserve"> some</w:t>
      </w:r>
      <w:r w:rsidR="00B83CD7" w:rsidRPr="005046DE">
        <w:rPr>
          <w:rFonts w:asciiTheme="minorHAnsi" w:hAnsiTheme="minorHAnsi" w:cstheme="minorHAnsi"/>
        </w:rPr>
        <w:t xml:space="preserve"> levy categories</w:t>
      </w:r>
      <w:r w:rsidR="0033172F">
        <w:rPr>
          <w:rFonts w:asciiTheme="minorHAnsi" w:hAnsiTheme="minorHAnsi" w:cstheme="minorHAnsi"/>
        </w:rPr>
        <w:t>,</w:t>
      </w:r>
      <w:r w:rsidR="00A755D5">
        <w:rPr>
          <w:rFonts w:asciiTheme="minorHAnsi" w:hAnsiTheme="minorHAnsi" w:cstheme="minorHAnsi"/>
        </w:rPr>
        <w:t xml:space="preserve"> </w:t>
      </w:r>
      <w:r w:rsidR="0033172F">
        <w:rPr>
          <w:rFonts w:asciiTheme="minorHAnsi" w:hAnsiTheme="minorHAnsi" w:cstheme="minorHAnsi"/>
        </w:rPr>
        <w:t>this is</w:t>
      </w:r>
      <w:r w:rsidR="00A755D5">
        <w:rPr>
          <w:rFonts w:asciiTheme="minorHAnsi" w:hAnsiTheme="minorHAnsi" w:cstheme="minorHAnsi"/>
        </w:rPr>
        <w:t xml:space="preserve"> </w:t>
      </w:r>
      <w:r w:rsidR="006E33C9">
        <w:rPr>
          <w:rFonts w:asciiTheme="minorHAnsi" w:hAnsiTheme="minorHAnsi" w:cstheme="minorHAnsi"/>
        </w:rPr>
        <w:t>considered</w:t>
      </w:r>
      <w:r w:rsidR="00A755D5">
        <w:rPr>
          <w:rFonts w:asciiTheme="minorHAnsi" w:hAnsiTheme="minorHAnsi" w:cstheme="minorHAnsi"/>
        </w:rPr>
        <w:t xml:space="preserve"> reasonable</w:t>
      </w:r>
      <w:r w:rsidR="00B83CD7" w:rsidRPr="005046DE">
        <w:rPr>
          <w:rFonts w:asciiTheme="minorHAnsi" w:hAnsiTheme="minorHAnsi" w:cstheme="minorHAnsi"/>
        </w:rPr>
        <w:t>.</w:t>
      </w:r>
      <w:r>
        <w:rPr>
          <w:rFonts w:asciiTheme="minorHAnsi" w:hAnsiTheme="minorHAnsi" w:cstheme="minorHAnsi"/>
        </w:rPr>
        <w:t xml:space="preserve"> </w:t>
      </w:r>
      <w:r w:rsidR="008617B0">
        <w:rPr>
          <w:rFonts w:asciiTheme="minorHAnsi" w:hAnsiTheme="minorHAnsi" w:cstheme="minorHAnsi"/>
        </w:rPr>
        <w:t xml:space="preserve">For example, under the current </w:t>
      </w:r>
      <w:r w:rsidR="00A755D5">
        <w:rPr>
          <w:rFonts w:asciiTheme="minorHAnsi" w:hAnsiTheme="minorHAnsi" w:cstheme="minorHAnsi"/>
        </w:rPr>
        <w:t xml:space="preserve">levy </w:t>
      </w:r>
      <w:r w:rsidR="008617B0">
        <w:rPr>
          <w:rFonts w:asciiTheme="minorHAnsi" w:hAnsiTheme="minorHAnsi" w:cstheme="minorHAnsi"/>
        </w:rPr>
        <w:t xml:space="preserve">structure, </w:t>
      </w:r>
      <w:r w:rsidR="00B83CD7">
        <w:rPr>
          <w:rFonts w:asciiTheme="minorHAnsi" w:hAnsiTheme="minorHAnsi" w:cstheme="minorHAnsi"/>
        </w:rPr>
        <w:t xml:space="preserve">the </w:t>
      </w:r>
      <w:r w:rsidR="00B83CD7" w:rsidRPr="005046DE">
        <w:rPr>
          <w:rFonts w:asciiTheme="minorHAnsi" w:hAnsiTheme="minorHAnsi" w:cstheme="minorHAnsi"/>
        </w:rPr>
        <w:t xml:space="preserve">revenue collected for exploration permit activities is less than estimated </w:t>
      </w:r>
      <w:r w:rsidR="00B83CD7">
        <w:rPr>
          <w:rFonts w:asciiTheme="minorHAnsi" w:hAnsiTheme="minorHAnsi" w:cstheme="minorHAnsi"/>
        </w:rPr>
        <w:t xml:space="preserve">administrative </w:t>
      </w:r>
      <w:r w:rsidR="00B83CD7" w:rsidRPr="005046DE">
        <w:rPr>
          <w:rFonts w:asciiTheme="minorHAnsi" w:hAnsiTheme="minorHAnsi" w:cstheme="minorHAnsi"/>
        </w:rPr>
        <w:t>costs</w:t>
      </w:r>
      <w:r w:rsidR="00B83CD7">
        <w:rPr>
          <w:rFonts w:asciiTheme="minorHAnsi" w:hAnsiTheme="minorHAnsi" w:cstheme="minorHAnsi"/>
        </w:rPr>
        <w:t xml:space="preserve">, while </w:t>
      </w:r>
      <w:r w:rsidR="00B83CD7" w:rsidRPr="005046DE">
        <w:rPr>
          <w:rFonts w:asciiTheme="minorHAnsi" w:hAnsiTheme="minorHAnsi" w:cstheme="minorHAnsi"/>
        </w:rPr>
        <w:t xml:space="preserve">the revenue collection from retention lease and production </w:t>
      </w:r>
      <w:r w:rsidR="00B83CD7">
        <w:rPr>
          <w:rFonts w:asciiTheme="minorHAnsi" w:hAnsiTheme="minorHAnsi" w:cstheme="minorHAnsi"/>
          <w:iCs/>
          <w:lang w:val="en-US"/>
        </w:rPr>
        <w:t xml:space="preserve">licence </w:t>
      </w:r>
      <w:r w:rsidR="00B83CD7" w:rsidRPr="005046DE">
        <w:rPr>
          <w:rFonts w:asciiTheme="minorHAnsi" w:hAnsiTheme="minorHAnsi" w:cstheme="minorHAnsi"/>
        </w:rPr>
        <w:t>title</w:t>
      </w:r>
      <w:r w:rsidR="005F2588">
        <w:rPr>
          <w:rFonts w:asciiTheme="minorHAnsi" w:hAnsiTheme="minorHAnsi" w:cstheme="minorHAnsi"/>
        </w:rPr>
        <w:t xml:space="preserve"> activities</w:t>
      </w:r>
      <w:r w:rsidR="00B83CD7" w:rsidRPr="005046DE">
        <w:rPr>
          <w:rFonts w:asciiTheme="minorHAnsi" w:hAnsiTheme="minorHAnsi" w:cstheme="minorHAnsi"/>
        </w:rPr>
        <w:t xml:space="preserve"> is </w:t>
      </w:r>
      <w:r w:rsidR="005F2588">
        <w:rPr>
          <w:rFonts w:asciiTheme="minorHAnsi" w:hAnsiTheme="minorHAnsi" w:cstheme="minorHAnsi"/>
        </w:rPr>
        <w:t>more</w:t>
      </w:r>
      <w:r w:rsidR="005F2588" w:rsidRPr="005046DE">
        <w:rPr>
          <w:rFonts w:asciiTheme="minorHAnsi" w:hAnsiTheme="minorHAnsi" w:cstheme="minorHAnsi"/>
        </w:rPr>
        <w:t xml:space="preserve"> </w:t>
      </w:r>
      <w:r w:rsidR="00B83CD7" w:rsidRPr="005046DE">
        <w:rPr>
          <w:rFonts w:asciiTheme="minorHAnsi" w:hAnsiTheme="minorHAnsi" w:cstheme="minorHAnsi"/>
        </w:rPr>
        <w:t xml:space="preserve">than the estimated </w:t>
      </w:r>
      <w:r w:rsidR="00B83CD7">
        <w:rPr>
          <w:rFonts w:asciiTheme="minorHAnsi" w:hAnsiTheme="minorHAnsi" w:cstheme="minorHAnsi"/>
        </w:rPr>
        <w:t xml:space="preserve">administrative </w:t>
      </w:r>
      <w:r w:rsidR="00B83CD7" w:rsidRPr="005046DE">
        <w:rPr>
          <w:rFonts w:asciiTheme="minorHAnsi" w:hAnsiTheme="minorHAnsi" w:cstheme="minorHAnsi"/>
        </w:rPr>
        <w:t>costs.</w:t>
      </w:r>
      <w:r w:rsidR="00B83CD7">
        <w:rPr>
          <w:rFonts w:asciiTheme="minorHAnsi" w:hAnsiTheme="minorHAnsi" w:cstheme="minorHAnsi"/>
        </w:rPr>
        <w:t xml:space="preserve"> </w:t>
      </w:r>
      <w:r w:rsidR="005F2588">
        <w:rPr>
          <w:rFonts w:asciiTheme="minorHAnsi" w:hAnsiTheme="minorHAnsi" w:cstheme="minorHAnsi"/>
        </w:rPr>
        <w:t>Under this arrangement, c</w:t>
      </w:r>
      <w:r w:rsidR="005F460F">
        <w:rPr>
          <w:rFonts w:asciiTheme="minorHAnsi" w:hAnsiTheme="minorHAnsi" w:cstheme="minorHAnsi"/>
        </w:rPr>
        <w:t xml:space="preserve">ross subsidy </w:t>
      </w:r>
      <w:r w:rsidR="005F2588">
        <w:rPr>
          <w:rFonts w:asciiTheme="minorHAnsi" w:hAnsiTheme="minorHAnsi" w:cstheme="minorHAnsi"/>
        </w:rPr>
        <w:t>has been</w:t>
      </w:r>
      <w:r w:rsidR="005F460F">
        <w:rPr>
          <w:rFonts w:asciiTheme="minorHAnsi" w:hAnsiTheme="minorHAnsi" w:cstheme="minorHAnsi"/>
        </w:rPr>
        <w:t xml:space="preserve"> minimised </w:t>
      </w:r>
      <w:r w:rsidR="009F5410">
        <w:rPr>
          <w:rFonts w:asciiTheme="minorHAnsi" w:hAnsiTheme="minorHAnsi" w:cstheme="minorHAnsi"/>
        </w:rPr>
        <w:t xml:space="preserve">by aligning administrative </w:t>
      </w:r>
      <w:r w:rsidR="005F460F">
        <w:rPr>
          <w:rFonts w:asciiTheme="minorHAnsi" w:hAnsiTheme="minorHAnsi" w:cstheme="minorHAnsi"/>
        </w:rPr>
        <w:t>effort with the number of blocks within a title</w:t>
      </w:r>
      <w:r w:rsidR="0033172F">
        <w:rPr>
          <w:rFonts w:asciiTheme="minorHAnsi" w:hAnsiTheme="minorHAnsi" w:cstheme="minorHAnsi"/>
        </w:rPr>
        <w:t xml:space="preserve">. For example, </w:t>
      </w:r>
      <w:r w:rsidR="0080474E">
        <w:rPr>
          <w:rFonts w:asciiTheme="minorHAnsi" w:hAnsiTheme="minorHAnsi" w:cstheme="minorHAnsi"/>
        </w:rPr>
        <w:t>while a production licence may only include a few</w:t>
      </w:r>
      <w:r w:rsidR="00F75ED8">
        <w:rPr>
          <w:rFonts w:asciiTheme="minorHAnsi" w:hAnsiTheme="minorHAnsi" w:cstheme="minorHAnsi"/>
        </w:rPr>
        <w:t xml:space="preserve"> blocks, the technical administrative effort is high</w:t>
      </w:r>
      <w:r w:rsidR="006E33C9">
        <w:rPr>
          <w:rFonts w:asciiTheme="minorHAnsi" w:hAnsiTheme="minorHAnsi" w:cstheme="minorHAnsi"/>
        </w:rPr>
        <w:t>. W</w:t>
      </w:r>
      <w:r w:rsidR="005F460F">
        <w:rPr>
          <w:rFonts w:asciiTheme="minorHAnsi" w:hAnsiTheme="minorHAnsi" w:cstheme="minorHAnsi"/>
        </w:rPr>
        <w:t xml:space="preserve">hile </w:t>
      </w:r>
      <w:r w:rsidR="0080474E">
        <w:rPr>
          <w:rFonts w:asciiTheme="minorHAnsi" w:hAnsiTheme="minorHAnsi" w:cstheme="minorHAnsi"/>
        </w:rPr>
        <w:t xml:space="preserve">for </w:t>
      </w:r>
      <w:r w:rsidR="005F460F">
        <w:rPr>
          <w:rFonts w:asciiTheme="minorHAnsi" w:hAnsiTheme="minorHAnsi" w:cstheme="minorHAnsi"/>
        </w:rPr>
        <w:t>other title types</w:t>
      </w:r>
      <w:r w:rsidR="006E33C9">
        <w:rPr>
          <w:rFonts w:asciiTheme="minorHAnsi" w:hAnsiTheme="minorHAnsi" w:cstheme="minorHAnsi"/>
        </w:rPr>
        <w:t xml:space="preserve">, such </w:t>
      </w:r>
      <w:r w:rsidR="00F75ED8">
        <w:rPr>
          <w:rFonts w:asciiTheme="minorHAnsi" w:hAnsiTheme="minorHAnsi" w:cstheme="minorHAnsi"/>
          <w:iCs/>
          <w:lang w:val="en-US"/>
        </w:rPr>
        <w:t>e</w:t>
      </w:r>
      <w:r w:rsidR="00F75ED8" w:rsidRPr="009B0DBC">
        <w:rPr>
          <w:rFonts w:asciiTheme="minorHAnsi" w:hAnsiTheme="minorHAnsi" w:cstheme="minorHAnsi"/>
          <w:iCs/>
          <w:lang w:val="en-US"/>
        </w:rPr>
        <w:t xml:space="preserve">xploration </w:t>
      </w:r>
      <w:r w:rsidR="00F75ED8">
        <w:rPr>
          <w:rFonts w:asciiTheme="minorHAnsi" w:hAnsiTheme="minorHAnsi" w:cstheme="minorHAnsi"/>
          <w:iCs/>
          <w:lang w:val="en-US"/>
        </w:rPr>
        <w:t>p</w:t>
      </w:r>
      <w:r w:rsidR="00F75ED8" w:rsidRPr="009B0DBC">
        <w:rPr>
          <w:rFonts w:asciiTheme="minorHAnsi" w:hAnsiTheme="minorHAnsi" w:cstheme="minorHAnsi"/>
          <w:iCs/>
          <w:lang w:val="en-US"/>
        </w:rPr>
        <w:t>ermit</w:t>
      </w:r>
      <w:r w:rsidR="006E33C9">
        <w:rPr>
          <w:rFonts w:asciiTheme="minorHAnsi" w:hAnsiTheme="minorHAnsi" w:cstheme="minorHAnsi"/>
          <w:iCs/>
          <w:lang w:val="en-US"/>
        </w:rPr>
        <w:t>s</w:t>
      </w:r>
      <w:r w:rsidR="00F75ED8" w:rsidRPr="009B0DBC">
        <w:rPr>
          <w:rFonts w:asciiTheme="minorHAnsi" w:hAnsiTheme="minorHAnsi" w:cstheme="minorHAnsi"/>
          <w:iCs/>
          <w:lang w:val="en-US"/>
        </w:rPr>
        <w:t xml:space="preserve"> or </w:t>
      </w:r>
      <w:r w:rsidR="00F75ED8">
        <w:rPr>
          <w:rFonts w:asciiTheme="minorHAnsi" w:hAnsiTheme="minorHAnsi" w:cstheme="minorHAnsi"/>
          <w:iCs/>
          <w:lang w:val="en-US"/>
        </w:rPr>
        <w:t>i</w:t>
      </w:r>
      <w:r w:rsidR="00F75ED8" w:rsidRPr="009B0DBC">
        <w:rPr>
          <w:rFonts w:asciiTheme="minorHAnsi" w:hAnsiTheme="minorHAnsi" w:cstheme="minorHAnsi"/>
          <w:iCs/>
          <w:lang w:val="en-US"/>
        </w:rPr>
        <w:t xml:space="preserve">nfrastructure </w:t>
      </w:r>
      <w:r w:rsidR="00F75ED8">
        <w:rPr>
          <w:rFonts w:asciiTheme="minorHAnsi" w:hAnsiTheme="minorHAnsi" w:cstheme="minorHAnsi"/>
          <w:iCs/>
          <w:lang w:val="en-US"/>
        </w:rPr>
        <w:t>l</w:t>
      </w:r>
      <w:r w:rsidR="00F75ED8" w:rsidRPr="009B0DBC">
        <w:rPr>
          <w:rFonts w:asciiTheme="minorHAnsi" w:hAnsiTheme="minorHAnsi" w:cstheme="minorHAnsi"/>
          <w:iCs/>
          <w:lang w:val="en-US"/>
        </w:rPr>
        <w:t>icence</w:t>
      </w:r>
      <w:r w:rsidR="006E33C9">
        <w:rPr>
          <w:rFonts w:asciiTheme="minorHAnsi" w:hAnsiTheme="minorHAnsi" w:cstheme="minorHAnsi"/>
          <w:iCs/>
          <w:lang w:val="en-US"/>
        </w:rPr>
        <w:t>s,</w:t>
      </w:r>
      <w:r w:rsidR="00F75ED8">
        <w:rPr>
          <w:rFonts w:asciiTheme="minorHAnsi" w:hAnsiTheme="minorHAnsi" w:cstheme="minorHAnsi"/>
          <w:iCs/>
          <w:lang w:val="en-US"/>
        </w:rPr>
        <w:t xml:space="preserve"> </w:t>
      </w:r>
      <w:r w:rsidR="005F460F">
        <w:rPr>
          <w:rFonts w:asciiTheme="minorHAnsi" w:hAnsiTheme="minorHAnsi" w:cstheme="minorHAnsi"/>
        </w:rPr>
        <w:t xml:space="preserve">the number of blocks does not impact </w:t>
      </w:r>
      <w:r w:rsidR="00F75ED8">
        <w:rPr>
          <w:rFonts w:asciiTheme="minorHAnsi" w:hAnsiTheme="minorHAnsi" w:cstheme="minorHAnsi"/>
        </w:rPr>
        <w:t xml:space="preserve">as much on </w:t>
      </w:r>
      <w:r w:rsidR="005F460F">
        <w:rPr>
          <w:rFonts w:asciiTheme="minorHAnsi" w:hAnsiTheme="minorHAnsi" w:cstheme="minorHAnsi"/>
        </w:rPr>
        <w:t xml:space="preserve">effort. This is reflected in the levy structure (see below </w:t>
      </w:r>
      <w:r w:rsidR="005F460F" w:rsidRPr="00502E89">
        <w:rPr>
          <w:rFonts w:asciiTheme="minorHAnsi" w:hAnsiTheme="minorHAnsi" w:cstheme="minorHAnsi"/>
          <w:b/>
          <w:bCs/>
        </w:rPr>
        <w:t xml:space="preserve">Table </w:t>
      </w:r>
      <w:r w:rsidR="00003987">
        <w:rPr>
          <w:rFonts w:asciiTheme="minorHAnsi" w:hAnsiTheme="minorHAnsi" w:cstheme="minorHAnsi"/>
          <w:b/>
          <w:bCs/>
        </w:rPr>
        <w:t>4</w:t>
      </w:r>
      <w:r w:rsidR="005F460F">
        <w:rPr>
          <w:rFonts w:asciiTheme="minorHAnsi" w:hAnsiTheme="minorHAnsi" w:cstheme="minorHAnsi"/>
        </w:rPr>
        <w:t xml:space="preserve">). Consequently, it is NOPTA’s view that the current </w:t>
      </w:r>
      <w:r w:rsidR="006E33C9">
        <w:rPr>
          <w:rFonts w:asciiTheme="minorHAnsi" w:hAnsiTheme="minorHAnsi" w:cstheme="minorHAnsi"/>
        </w:rPr>
        <w:t xml:space="preserve">levy </w:t>
      </w:r>
      <w:r w:rsidR="005F460F">
        <w:rPr>
          <w:rFonts w:asciiTheme="minorHAnsi" w:hAnsiTheme="minorHAnsi" w:cstheme="minorHAnsi"/>
        </w:rPr>
        <w:t>structure is equitable and proportionate to the regulatory and administrative complexity of the</w:t>
      </w:r>
      <w:r w:rsidR="006E33C9">
        <w:rPr>
          <w:rFonts w:asciiTheme="minorHAnsi" w:hAnsiTheme="minorHAnsi" w:cstheme="minorHAnsi"/>
        </w:rPr>
        <w:t xml:space="preserve"> current</w:t>
      </w:r>
      <w:r w:rsidR="005F460F">
        <w:rPr>
          <w:rFonts w:asciiTheme="minorHAnsi" w:hAnsiTheme="minorHAnsi" w:cstheme="minorHAnsi"/>
        </w:rPr>
        <w:t xml:space="preserve"> </w:t>
      </w:r>
      <w:r w:rsidR="006E33C9">
        <w:rPr>
          <w:rFonts w:asciiTheme="minorHAnsi" w:hAnsiTheme="minorHAnsi" w:cstheme="minorHAnsi"/>
        </w:rPr>
        <w:t>titles regime</w:t>
      </w:r>
      <w:r w:rsidR="005F460F">
        <w:rPr>
          <w:rFonts w:asciiTheme="minorHAnsi" w:hAnsiTheme="minorHAnsi" w:cstheme="minorHAnsi"/>
        </w:rPr>
        <w:t>.</w:t>
      </w:r>
      <w:r w:rsidR="006E33C9">
        <w:rPr>
          <w:rFonts w:asciiTheme="minorHAnsi" w:hAnsiTheme="minorHAnsi" w:cstheme="minorHAnsi"/>
        </w:rPr>
        <w:t xml:space="preserve"> </w:t>
      </w:r>
    </w:p>
    <w:p w14:paraId="27AD449E" w14:textId="77777777" w:rsidR="00756CEA" w:rsidRDefault="00756CEA" w:rsidP="00D212A5">
      <w:pPr>
        <w:rPr>
          <w:rFonts w:asciiTheme="minorHAnsi" w:hAnsiTheme="minorHAnsi" w:cstheme="minorHAnsi"/>
        </w:rPr>
      </w:pPr>
    </w:p>
    <w:p w14:paraId="621C1E95" w14:textId="5BC802BA" w:rsidR="007F66F4" w:rsidRDefault="006E33C9" w:rsidP="00D212A5">
      <w:pPr>
        <w:rPr>
          <w:rFonts w:asciiTheme="minorHAnsi" w:hAnsiTheme="minorHAnsi" w:cstheme="minorHAnsi"/>
        </w:rPr>
      </w:pPr>
      <w:r>
        <w:rPr>
          <w:rFonts w:asciiTheme="minorHAnsi" w:hAnsiTheme="minorHAnsi" w:cstheme="minorHAnsi"/>
        </w:rPr>
        <w:t xml:space="preserve">To ensure that revenue </w:t>
      </w:r>
      <w:r w:rsidR="00756CEA">
        <w:rPr>
          <w:rFonts w:asciiTheme="minorHAnsi" w:hAnsiTheme="minorHAnsi" w:cstheme="minorHAnsi"/>
        </w:rPr>
        <w:t xml:space="preserve">remains stable and can support NOPTA’s expanded administrative responsibilities (see </w:t>
      </w:r>
      <w:r w:rsidR="00756CEA" w:rsidRPr="00F0180B">
        <w:rPr>
          <w:rFonts w:asciiTheme="minorHAnsi" w:hAnsiTheme="minorHAnsi" w:cstheme="minorHAnsi"/>
          <w:b/>
          <w:bCs/>
        </w:rPr>
        <w:t>Section 3.2</w:t>
      </w:r>
      <w:r w:rsidR="00756CEA">
        <w:rPr>
          <w:rFonts w:asciiTheme="minorHAnsi" w:hAnsiTheme="minorHAnsi" w:cstheme="minorHAnsi"/>
        </w:rPr>
        <w:t xml:space="preserve">), </w:t>
      </w:r>
      <w:r w:rsidR="00D212A5">
        <w:rPr>
          <w:rFonts w:asciiTheme="minorHAnsi" w:hAnsiTheme="minorHAnsi" w:cstheme="minorHAnsi"/>
        </w:rPr>
        <w:t xml:space="preserve">NOPTA is proposing that the levies be increased by 10 percent from </w:t>
      </w:r>
      <w:r w:rsidR="00756CEA">
        <w:rPr>
          <w:rFonts w:asciiTheme="minorHAnsi" w:hAnsiTheme="minorHAnsi" w:cstheme="minorHAnsi"/>
        </w:rPr>
        <w:t>1 </w:t>
      </w:r>
      <w:r w:rsidR="00D212A5">
        <w:rPr>
          <w:rFonts w:asciiTheme="minorHAnsi" w:hAnsiTheme="minorHAnsi" w:cstheme="minorHAnsi"/>
        </w:rPr>
        <w:t>January 2022</w:t>
      </w:r>
      <w:r w:rsidR="001A04FF">
        <w:rPr>
          <w:rFonts w:asciiTheme="minorHAnsi" w:hAnsiTheme="minorHAnsi" w:cstheme="minorHAnsi"/>
        </w:rPr>
        <w:t>,</w:t>
      </w:r>
      <w:r w:rsidR="00A25DC0">
        <w:rPr>
          <w:rFonts w:asciiTheme="minorHAnsi" w:hAnsiTheme="minorHAnsi" w:cstheme="minorHAnsi"/>
        </w:rPr>
        <w:t xml:space="preserve"> to be reviewed after 12 months</w:t>
      </w:r>
      <w:r w:rsidR="00D212A5">
        <w:rPr>
          <w:rFonts w:asciiTheme="minorHAnsi" w:hAnsiTheme="minorHAnsi" w:cstheme="minorHAnsi"/>
        </w:rPr>
        <w:t xml:space="preserve">. </w:t>
      </w:r>
    </w:p>
    <w:p w14:paraId="33CF7427" w14:textId="77777777" w:rsidR="00D212A5" w:rsidRPr="002A67C7" w:rsidRDefault="00D212A5" w:rsidP="00D212A5">
      <w:pPr>
        <w:rPr>
          <w:rFonts w:asciiTheme="minorHAnsi" w:hAnsiTheme="minorHAnsi" w:cstheme="minorHAnsi"/>
        </w:rPr>
      </w:pPr>
    </w:p>
    <w:p w14:paraId="38A7BAE3" w14:textId="79E33B13" w:rsidR="00D212A5" w:rsidRDefault="00D212A5" w:rsidP="00D212A5">
      <w:pPr>
        <w:rPr>
          <w:rFonts w:asciiTheme="minorHAnsi" w:hAnsiTheme="minorHAnsi" w:cstheme="minorHAnsi"/>
        </w:rPr>
      </w:pPr>
      <w:r w:rsidRPr="00756CEA">
        <w:rPr>
          <w:rFonts w:asciiTheme="minorHAnsi" w:hAnsiTheme="minorHAnsi" w:cstheme="minorHAnsi"/>
          <w:b/>
          <w:bCs/>
        </w:rPr>
        <w:t xml:space="preserve">Table </w:t>
      </w:r>
      <w:r w:rsidR="00366340" w:rsidRPr="00756CEA">
        <w:rPr>
          <w:rFonts w:asciiTheme="minorHAnsi" w:hAnsiTheme="minorHAnsi" w:cstheme="minorHAnsi"/>
          <w:b/>
          <w:bCs/>
        </w:rPr>
        <w:t>4</w:t>
      </w:r>
      <w:r w:rsidRPr="00756CEA">
        <w:rPr>
          <w:rFonts w:asciiTheme="minorHAnsi" w:hAnsiTheme="minorHAnsi" w:cstheme="minorHAnsi"/>
          <w:b/>
          <w:bCs/>
        </w:rPr>
        <w:t>:</w:t>
      </w:r>
      <w:r w:rsidRPr="00366340">
        <w:rPr>
          <w:rFonts w:asciiTheme="minorHAnsi" w:hAnsiTheme="minorHAnsi" w:cstheme="minorHAnsi"/>
        </w:rPr>
        <w:t xml:space="preserve"> Annual Titles Administration Levy revenue estimate from 1 January 2022</w:t>
      </w:r>
    </w:p>
    <w:tbl>
      <w:tblPr>
        <w:tblStyle w:val="GridTable4-Accent1"/>
        <w:tblW w:w="9493" w:type="dxa"/>
        <w:tblLayout w:type="fixed"/>
        <w:tblLook w:val="04A0" w:firstRow="1" w:lastRow="0" w:firstColumn="1" w:lastColumn="0" w:noHBand="0" w:noVBand="1"/>
      </w:tblPr>
      <w:tblGrid>
        <w:gridCol w:w="1838"/>
        <w:gridCol w:w="1110"/>
        <w:gridCol w:w="1110"/>
        <w:gridCol w:w="1111"/>
        <w:gridCol w:w="1110"/>
        <w:gridCol w:w="1110"/>
        <w:gridCol w:w="1253"/>
        <w:gridCol w:w="851"/>
      </w:tblGrid>
      <w:tr w:rsidR="00CB3016" w:rsidRPr="00003987" w14:paraId="7FBF66A9" w14:textId="77777777" w:rsidTr="00F018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A361A88" w14:textId="77777777" w:rsidR="00CB3016" w:rsidRPr="00003987" w:rsidRDefault="00CB3016" w:rsidP="00762402">
            <w:pPr>
              <w:jc w:val="center"/>
              <w:rPr>
                <w:rFonts w:asciiTheme="minorHAnsi" w:hAnsiTheme="minorHAnsi" w:cstheme="minorHAnsi"/>
                <w:bCs w:val="0"/>
                <w:sz w:val="20"/>
                <w:szCs w:val="20"/>
              </w:rPr>
            </w:pPr>
            <w:r w:rsidRPr="00003987">
              <w:rPr>
                <w:rFonts w:asciiTheme="minorHAnsi" w:hAnsiTheme="minorHAnsi" w:cstheme="minorHAnsi"/>
                <w:bCs w:val="0"/>
                <w:sz w:val="20"/>
                <w:szCs w:val="20"/>
              </w:rPr>
              <w:t>Title Type</w:t>
            </w:r>
          </w:p>
        </w:tc>
        <w:tc>
          <w:tcPr>
            <w:tcW w:w="1110" w:type="dxa"/>
          </w:tcPr>
          <w:p w14:paraId="58A48322" w14:textId="77777777" w:rsidR="00CB3016" w:rsidRPr="00003987" w:rsidRDefault="00CB3016"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003987">
              <w:rPr>
                <w:rFonts w:asciiTheme="minorHAnsi" w:hAnsiTheme="minorHAnsi" w:cstheme="minorHAnsi"/>
                <w:bCs w:val="0"/>
                <w:sz w:val="20"/>
                <w:szCs w:val="20"/>
              </w:rPr>
              <w:t>No. of titles</w:t>
            </w:r>
          </w:p>
        </w:tc>
        <w:tc>
          <w:tcPr>
            <w:tcW w:w="1110" w:type="dxa"/>
          </w:tcPr>
          <w:p w14:paraId="3A47A43E" w14:textId="77777777" w:rsidR="00CB3016" w:rsidRPr="00003987" w:rsidRDefault="00CB3016"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003987">
              <w:rPr>
                <w:rFonts w:asciiTheme="minorHAnsi" w:hAnsiTheme="minorHAnsi" w:cstheme="minorHAnsi"/>
                <w:bCs w:val="0"/>
                <w:sz w:val="20"/>
                <w:szCs w:val="20"/>
              </w:rPr>
              <w:t>No. of blocks</w:t>
            </w:r>
          </w:p>
        </w:tc>
        <w:tc>
          <w:tcPr>
            <w:tcW w:w="1111" w:type="dxa"/>
          </w:tcPr>
          <w:p w14:paraId="69749FC9" w14:textId="77777777" w:rsidR="00CB3016" w:rsidRPr="00003987" w:rsidRDefault="00CB3016"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003987">
              <w:rPr>
                <w:rFonts w:asciiTheme="minorHAnsi" w:hAnsiTheme="minorHAnsi" w:cstheme="minorHAnsi"/>
                <w:bCs w:val="0"/>
                <w:sz w:val="20"/>
                <w:szCs w:val="20"/>
              </w:rPr>
              <w:t>Length Km</w:t>
            </w:r>
          </w:p>
        </w:tc>
        <w:tc>
          <w:tcPr>
            <w:tcW w:w="1110" w:type="dxa"/>
          </w:tcPr>
          <w:p w14:paraId="3A22C3E0" w14:textId="77777777" w:rsidR="00CB3016" w:rsidRPr="00003987" w:rsidRDefault="00CB3016"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003987">
              <w:rPr>
                <w:rFonts w:asciiTheme="minorHAnsi" w:hAnsiTheme="minorHAnsi" w:cstheme="minorHAnsi"/>
                <w:bCs w:val="0"/>
                <w:sz w:val="20"/>
                <w:szCs w:val="20"/>
              </w:rPr>
              <w:t>Current levy rate</w:t>
            </w:r>
          </w:p>
        </w:tc>
        <w:tc>
          <w:tcPr>
            <w:tcW w:w="1110" w:type="dxa"/>
          </w:tcPr>
          <w:p w14:paraId="62C14AC1" w14:textId="77777777" w:rsidR="00CB3016" w:rsidRPr="00003987" w:rsidRDefault="00CB3016"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003987">
              <w:rPr>
                <w:rFonts w:asciiTheme="minorHAnsi" w:hAnsiTheme="minorHAnsi" w:cstheme="minorHAnsi"/>
                <w:bCs w:val="0"/>
                <w:sz w:val="20"/>
                <w:szCs w:val="20"/>
              </w:rPr>
              <w:t>Proposed</w:t>
            </w:r>
          </w:p>
          <w:p w14:paraId="2C5DBAE9" w14:textId="77777777" w:rsidR="00CB3016" w:rsidRPr="00003987" w:rsidRDefault="00CB3016"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003987">
              <w:rPr>
                <w:rFonts w:asciiTheme="minorHAnsi" w:hAnsiTheme="minorHAnsi" w:cstheme="minorHAnsi"/>
                <w:bCs w:val="0"/>
                <w:sz w:val="20"/>
                <w:szCs w:val="20"/>
              </w:rPr>
              <w:t>levy rate from 1 Jan 2022</w:t>
            </w:r>
          </w:p>
        </w:tc>
        <w:tc>
          <w:tcPr>
            <w:tcW w:w="1253" w:type="dxa"/>
          </w:tcPr>
          <w:p w14:paraId="22D84C98" w14:textId="77777777" w:rsidR="00CB3016" w:rsidRPr="00003987" w:rsidRDefault="00CB3016"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003987">
              <w:rPr>
                <w:rFonts w:asciiTheme="minorHAnsi" w:hAnsiTheme="minorHAnsi" w:cstheme="minorHAnsi"/>
                <w:bCs w:val="0"/>
                <w:sz w:val="20"/>
                <w:szCs w:val="20"/>
              </w:rPr>
              <w:t>Levy amount</w:t>
            </w:r>
          </w:p>
        </w:tc>
        <w:tc>
          <w:tcPr>
            <w:tcW w:w="851" w:type="dxa"/>
          </w:tcPr>
          <w:p w14:paraId="5EFF35CA" w14:textId="77777777" w:rsidR="00CB3016" w:rsidRPr="00003987" w:rsidRDefault="00CB3016"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003987">
              <w:rPr>
                <w:rFonts w:asciiTheme="minorHAnsi" w:hAnsiTheme="minorHAnsi" w:cstheme="minorHAnsi"/>
                <w:bCs w:val="0"/>
                <w:sz w:val="20"/>
                <w:szCs w:val="20"/>
              </w:rPr>
              <w:t>Outputs funded</w:t>
            </w:r>
          </w:p>
        </w:tc>
      </w:tr>
      <w:tr w:rsidR="00CB3016" w:rsidRPr="00003987" w14:paraId="42124849" w14:textId="77777777" w:rsidTr="00F01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CD27141" w14:textId="77777777" w:rsidR="00CB3016" w:rsidRPr="00003987" w:rsidRDefault="00CB3016"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Work-bid petroleum exploration permit or special exploration permit (per title)</w:t>
            </w:r>
          </w:p>
        </w:tc>
        <w:tc>
          <w:tcPr>
            <w:tcW w:w="1110" w:type="dxa"/>
          </w:tcPr>
          <w:p w14:paraId="604FC139"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113</w:t>
            </w:r>
          </w:p>
        </w:tc>
        <w:tc>
          <w:tcPr>
            <w:tcW w:w="1110" w:type="dxa"/>
          </w:tcPr>
          <w:p w14:paraId="6EB49639"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1" w:type="dxa"/>
          </w:tcPr>
          <w:p w14:paraId="20F405D7"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4C90C9C5"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$10,000</w:t>
            </w:r>
          </w:p>
        </w:tc>
        <w:tc>
          <w:tcPr>
            <w:tcW w:w="1110" w:type="dxa"/>
          </w:tcPr>
          <w:p w14:paraId="69995B0A"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$11,000</w:t>
            </w:r>
          </w:p>
        </w:tc>
        <w:tc>
          <w:tcPr>
            <w:tcW w:w="1253" w:type="dxa"/>
          </w:tcPr>
          <w:p w14:paraId="3B466B9F"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$1,243,000</w:t>
            </w:r>
          </w:p>
        </w:tc>
        <w:tc>
          <w:tcPr>
            <w:tcW w:w="851" w:type="dxa"/>
          </w:tcPr>
          <w:p w14:paraId="179B7633"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1, 2</w:t>
            </w:r>
          </w:p>
        </w:tc>
      </w:tr>
      <w:tr w:rsidR="00CB3016" w:rsidRPr="00003987" w14:paraId="7A5D2F29" w14:textId="77777777" w:rsidTr="00F0180B">
        <w:tc>
          <w:tcPr>
            <w:cnfStyle w:val="001000000000" w:firstRow="0" w:lastRow="0" w:firstColumn="1" w:lastColumn="0" w:oddVBand="0" w:evenVBand="0" w:oddHBand="0" w:evenHBand="0" w:firstRowFirstColumn="0" w:firstRowLastColumn="0" w:lastRowFirstColumn="0" w:lastRowLastColumn="0"/>
            <w:tcW w:w="1838" w:type="dxa"/>
          </w:tcPr>
          <w:p w14:paraId="526BF67B" w14:textId="77777777" w:rsidR="00CB3016" w:rsidRPr="00003987" w:rsidRDefault="00CB3016"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Petroleum retention lease (per block)</w:t>
            </w:r>
          </w:p>
        </w:tc>
        <w:tc>
          <w:tcPr>
            <w:tcW w:w="1110" w:type="dxa"/>
          </w:tcPr>
          <w:p w14:paraId="12DB9DFC"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81</w:t>
            </w:r>
          </w:p>
        </w:tc>
        <w:tc>
          <w:tcPr>
            <w:tcW w:w="1110" w:type="dxa"/>
          </w:tcPr>
          <w:p w14:paraId="0E488319"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303</w:t>
            </w:r>
          </w:p>
        </w:tc>
        <w:tc>
          <w:tcPr>
            <w:tcW w:w="1111" w:type="dxa"/>
          </w:tcPr>
          <w:p w14:paraId="0EDA128D"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5F06751A"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$20,000</w:t>
            </w:r>
          </w:p>
        </w:tc>
        <w:tc>
          <w:tcPr>
            <w:tcW w:w="1110" w:type="dxa"/>
          </w:tcPr>
          <w:p w14:paraId="15C74409"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$22,000</w:t>
            </w:r>
          </w:p>
        </w:tc>
        <w:tc>
          <w:tcPr>
            <w:tcW w:w="1253" w:type="dxa"/>
          </w:tcPr>
          <w:p w14:paraId="1889BBBA"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$6,666,000</w:t>
            </w:r>
          </w:p>
        </w:tc>
        <w:tc>
          <w:tcPr>
            <w:tcW w:w="851" w:type="dxa"/>
          </w:tcPr>
          <w:p w14:paraId="76F399B8"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5</w:t>
            </w:r>
          </w:p>
        </w:tc>
      </w:tr>
      <w:tr w:rsidR="00CB3016" w:rsidRPr="00003987" w14:paraId="75461BF5" w14:textId="77777777" w:rsidTr="00F01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3E739E5" w14:textId="77777777" w:rsidR="00CB3016" w:rsidRPr="00003987" w:rsidRDefault="00CB3016"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Petroleum production licence (per block)</w:t>
            </w:r>
          </w:p>
        </w:tc>
        <w:tc>
          <w:tcPr>
            <w:tcW w:w="1110" w:type="dxa"/>
          </w:tcPr>
          <w:p w14:paraId="38A4E5BA"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93</w:t>
            </w:r>
          </w:p>
        </w:tc>
        <w:tc>
          <w:tcPr>
            <w:tcW w:w="1110" w:type="dxa"/>
          </w:tcPr>
          <w:p w14:paraId="290DDAC0"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325</w:t>
            </w:r>
          </w:p>
        </w:tc>
        <w:tc>
          <w:tcPr>
            <w:tcW w:w="1111" w:type="dxa"/>
          </w:tcPr>
          <w:p w14:paraId="138DCAD9"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41ABAB2B"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$20,000</w:t>
            </w:r>
          </w:p>
        </w:tc>
        <w:tc>
          <w:tcPr>
            <w:tcW w:w="1110" w:type="dxa"/>
          </w:tcPr>
          <w:p w14:paraId="71D25D45"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$22,000</w:t>
            </w:r>
          </w:p>
        </w:tc>
        <w:tc>
          <w:tcPr>
            <w:tcW w:w="1253" w:type="dxa"/>
          </w:tcPr>
          <w:p w14:paraId="2E51194D"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$7,150,000</w:t>
            </w:r>
          </w:p>
        </w:tc>
        <w:tc>
          <w:tcPr>
            <w:tcW w:w="851" w:type="dxa"/>
          </w:tcPr>
          <w:p w14:paraId="784474EA"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6</w:t>
            </w:r>
          </w:p>
        </w:tc>
      </w:tr>
      <w:tr w:rsidR="00CB3016" w:rsidRPr="00003987" w14:paraId="2041AC5A" w14:textId="77777777" w:rsidTr="00F0180B">
        <w:tc>
          <w:tcPr>
            <w:cnfStyle w:val="001000000000" w:firstRow="0" w:lastRow="0" w:firstColumn="1" w:lastColumn="0" w:oddVBand="0" w:evenVBand="0" w:oddHBand="0" w:evenHBand="0" w:firstRowFirstColumn="0" w:firstRowLastColumn="0" w:lastRowFirstColumn="0" w:lastRowLastColumn="0"/>
            <w:tcW w:w="1838" w:type="dxa"/>
          </w:tcPr>
          <w:p w14:paraId="1DAB7606" w14:textId="77777777" w:rsidR="00CB3016" w:rsidRPr="00003987" w:rsidRDefault="00CB3016"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Infrastructure Licence (per title)</w:t>
            </w:r>
          </w:p>
        </w:tc>
        <w:tc>
          <w:tcPr>
            <w:tcW w:w="1110" w:type="dxa"/>
          </w:tcPr>
          <w:p w14:paraId="55DB8CEF"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3</w:t>
            </w:r>
          </w:p>
        </w:tc>
        <w:tc>
          <w:tcPr>
            <w:tcW w:w="1110" w:type="dxa"/>
          </w:tcPr>
          <w:p w14:paraId="62BA94F9"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1" w:type="dxa"/>
          </w:tcPr>
          <w:p w14:paraId="2AF200BB"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2112CB78"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$25,000</w:t>
            </w:r>
          </w:p>
        </w:tc>
        <w:tc>
          <w:tcPr>
            <w:tcW w:w="1110" w:type="dxa"/>
          </w:tcPr>
          <w:p w14:paraId="691483A6"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$27,500</w:t>
            </w:r>
          </w:p>
        </w:tc>
        <w:tc>
          <w:tcPr>
            <w:tcW w:w="1253" w:type="dxa"/>
          </w:tcPr>
          <w:p w14:paraId="530B54F7"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$82,500</w:t>
            </w:r>
          </w:p>
        </w:tc>
        <w:tc>
          <w:tcPr>
            <w:tcW w:w="851" w:type="dxa"/>
          </w:tcPr>
          <w:p w14:paraId="74C76384"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w:t>
            </w:r>
          </w:p>
        </w:tc>
      </w:tr>
      <w:tr w:rsidR="00CB3016" w:rsidRPr="00003987" w14:paraId="145532CA" w14:textId="77777777" w:rsidTr="00F01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27DB3AB" w14:textId="77777777" w:rsidR="00CB3016" w:rsidRPr="00003987" w:rsidRDefault="00CB3016"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lastRenderedPageBreak/>
              <w:t>Pipeline licence (per km or part thereof)</w:t>
            </w:r>
          </w:p>
        </w:tc>
        <w:tc>
          <w:tcPr>
            <w:tcW w:w="1110" w:type="dxa"/>
          </w:tcPr>
          <w:p w14:paraId="7B6258B8"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78</w:t>
            </w:r>
          </w:p>
        </w:tc>
        <w:tc>
          <w:tcPr>
            <w:tcW w:w="1110" w:type="dxa"/>
          </w:tcPr>
          <w:p w14:paraId="06F2947E"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1" w:type="dxa"/>
          </w:tcPr>
          <w:p w14:paraId="23374CD0"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4,150</w:t>
            </w:r>
          </w:p>
        </w:tc>
        <w:tc>
          <w:tcPr>
            <w:tcW w:w="1110" w:type="dxa"/>
          </w:tcPr>
          <w:p w14:paraId="1B8A9364"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$100</w:t>
            </w:r>
          </w:p>
        </w:tc>
        <w:tc>
          <w:tcPr>
            <w:tcW w:w="1110" w:type="dxa"/>
          </w:tcPr>
          <w:p w14:paraId="2E453646"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$110</w:t>
            </w:r>
          </w:p>
        </w:tc>
        <w:tc>
          <w:tcPr>
            <w:tcW w:w="1253" w:type="dxa"/>
          </w:tcPr>
          <w:p w14:paraId="303FF831"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$456,500</w:t>
            </w:r>
          </w:p>
        </w:tc>
        <w:tc>
          <w:tcPr>
            <w:tcW w:w="851" w:type="dxa"/>
          </w:tcPr>
          <w:p w14:paraId="212144B2"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w:t>
            </w:r>
          </w:p>
        </w:tc>
      </w:tr>
      <w:tr w:rsidR="00CB3016" w:rsidRPr="00003987" w14:paraId="24C53522" w14:textId="77777777" w:rsidTr="00F0180B">
        <w:tc>
          <w:tcPr>
            <w:cnfStyle w:val="001000000000" w:firstRow="0" w:lastRow="0" w:firstColumn="1" w:lastColumn="0" w:oddVBand="0" w:evenVBand="0" w:oddHBand="0" w:evenHBand="0" w:firstRowFirstColumn="0" w:firstRowLastColumn="0" w:lastRowFirstColumn="0" w:lastRowLastColumn="0"/>
            <w:tcW w:w="1838" w:type="dxa"/>
          </w:tcPr>
          <w:p w14:paraId="238A25DC" w14:textId="77777777" w:rsidR="00CB3016" w:rsidRPr="00003987" w:rsidRDefault="00CB3016"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Work-bid greenhouse gas assessment permit (per title)</w:t>
            </w:r>
          </w:p>
        </w:tc>
        <w:tc>
          <w:tcPr>
            <w:tcW w:w="1110" w:type="dxa"/>
          </w:tcPr>
          <w:p w14:paraId="05DB1E6D"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3</w:t>
            </w:r>
          </w:p>
        </w:tc>
        <w:tc>
          <w:tcPr>
            <w:tcW w:w="1110" w:type="dxa"/>
          </w:tcPr>
          <w:p w14:paraId="422AE33C"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1" w:type="dxa"/>
          </w:tcPr>
          <w:p w14:paraId="025C5203"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2AC2EF12"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$10,000</w:t>
            </w:r>
          </w:p>
        </w:tc>
        <w:tc>
          <w:tcPr>
            <w:tcW w:w="1110" w:type="dxa"/>
          </w:tcPr>
          <w:p w14:paraId="135A3EF1"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$11,000</w:t>
            </w:r>
          </w:p>
        </w:tc>
        <w:tc>
          <w:tcPr>
            <w:tcW w:w="1253" w:type="dxa"/>
          </w:tcPr>
          <w:p w14:paraId="082D4CEA"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$33,000</w:t>
            </w:r>
          </w:p>
        </w:tc>
        <w:tc>
          <w:tcPr>
            <w:tcW w:w="851" w:type="dxa"/>
          </w:tcPr>
          <w:p w14:paraId="4CEC6AAC"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CB3016" w:rsidRPr="00003987" w14:paraId="17558946" w14:textId="77777777" w:rsidTr="00F01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C941B5D" w14:textId="77777777" w:rsidR="00CB3016" w:rsidRPr="00003987" w:rsidRDefault="00CB3016"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Cross-boundary work-bid greenhouse gas assessment permit (per title)</w:t>
            </w:r>
          </w:p>
        </w:tc>
        <w:tc>
          <w:tcPr>
            <w:tcW w:w="1110" w:type="dxa"/>
          </w:tcPr>
          <w:p w14:paraId="18EA999A"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w:t>
            </w:r>
          </w:p>
        </w:tc>
        <w:tc>
          <w:tcPr>
            <w:tcW w:w="1110" w:type="dxa"/>
          </w:tcPr>
          <w:p w14:paraId="7B13621D"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1" w:type="dxa"/>
          </w:tcPr>
          <w:p w14:paraId="31A7E314"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10BF4984"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$10,000</w:t>
            </w:r>
          </w:p>
        </w:tc>
        <w:tc>
          <w:tcPr>
            <w:tcW w:w="1110" w:type="dxa"/>
          </w:tcPr>
          <w:p w14:paraId="1573F8DD" w14:textId="20042352"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r w:rsidR="00307E59">
              <w:rPr>
                <w:rFonts w:asciiTheme="minorHAnsi" w:hAnsiTheme="minorHAnsi" w:cstheme="minorHAnsi"/>
                <w:bCs/>
                <w:color w:val="17365D" w:themeColor="text2" w:themeShade="BF"/>
                <w:sz w:val="20"/>
                <w:szCs w:val="20"/>
              </w:rPr>
              <w:t>11</w:t>
            </w:r>
            <w:r w:rsidRPr="00003987">
              <w:rPr>
                <w:rFonts w:asciiTheme="minorHAnsi" w:hAnsiTheme="minorHAnsi" w:cstheme="minorHAnsi"/>
                <w:bCs/>
                <w:color w:val="17365D" w:themeColor="text2" w:themeShade="BF"/>
                <w:sz w:val="20"/>
                <w:szCs w:val="20"/>
              </w:rPr>
              <w:t>,000</w:t>
            </w:r>
          </w:p>
        </w:tc>
        <w:tc>
          <w:tcPr>
            <w:tcW w:w="1253" w:type="dxa"/>
          </w:tcPr>
          <w:p w14:paraId="1D1EFAB2" w14:textId="59CBB876"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r w:rsidR="00307E59">
              <w:rPr>
                <w:rFonts w:asciiTheme="minorHAnsi" w:hAnsiTheme="minorHAnsi" w:cstheme="minorHAnsi"/>
                <w:bCs/>
                <w:color w:val="17365D" w:themeColor="text2" w:themeShade="BF"/>
                <w:sz w:val="20"/>
                <w:szCs w:val="20"/>
              </w:rPr>
              <w:t>11</w:t>
            </w:r>
            <w:r w:rsidRPr="00003987">
              <w:rPr>
                <w:rFonts w:asciiTheme="minorHAnsi" w:hAnsiTheme="minorHAnsi" w:cstheme="minorHAnsi"/>
                <w:bCs/>
                <w:color w:val="17365D" w:themeColor="text2" w:themeShade="BF"/>
                <w:sz w:val="20"/>
                <w:szCs w:val="20"/>
              </w:rPr>
              <w:t>,000</w:t>
            </w:r>
          </w:p>
        </w:tc>
        <w:tc>
          <w:tcPr>
            <w:tcW w:w="851" w:type="dxa"/>
          </w:tcPr>
          <w:p w14:paraId="48845249"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CB3016" w:rsidRPr="00003987" w14:paraId="48E02F3D" w14:textId="77777777" w:rsidTr="00F0180B">
        <w:tc>
          <w:tcPr>
            <w:cnfStyle w:val="001000000000" w:firstRow="0" w:lastRow="0" w:firstColumn="1" w:lastColumn="0" w:oddVBand="0" w:evenVBand="0" w:oddHBand="0" w:evenHBand="0" w:firstRowFirstColumn="0" w:firstRowLastColumn="0" w:lastRowFirstColumn="0" w:lastRowLastColumn="0"/>
            <w:tcW w:w="1838" w:type="dxa"/>
          </w:tcPr>
          <w:p w14:paraId="477FF23C" w14:textId="77777777" w:rsidR="00CB3016" w:rsidRPr="00003987" w:rsidRDefault="00CB3016"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Greenhouse gas holding lease (per block)</w:t>
            </w:r>
          </w:p>
        </w:tc>
        <w:tc>
          <w:tcPr>
            <w:tcW w:w="1110" w:type="dxa"/>
          </w:tcPr>
          <w:p w14:paraId="127CBD4B"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5676A363"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1" w:type="dxa"/>
          </w:tcPr>
          <w:p w14:paraId="2066EF33"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27F33006"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$20,000</w:t>
            </w:r>
          </w:p>
        </w:tc>
        <w:tc>
          <w:tcPr>
            <w:tcW w:w="1110" w:type="dxa"/>
          </w:tcPr>
          <w:p w14:paraId="37862E5F" w14:textId="77705F21"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r w:rsidR="00307E59">
              <w:rPr>
                <w:rFonts w:asciiTheme="minorHAnsi" w:hAnsiTheme="minorHAnsi" w:cstheme="minorHAnsi"/>
                <w:bCs/>
                <w:color w:val="17365D" w:themeColor="text2" w:themeShade="BF"/>
                <w:sz w:val="20"/>
                <w:szCs w:val="20"/>
              </w:rPr>
              <w:t>22</w:t>
            </w:r>
            <w:r w:rsidRPr="00003987">
              <w:rPr>
                <w:rFonts w:asciiTheme="minorHAnsi" w:hAnsiTheme="minorHAnsi" w:cstheme="minorHAnsi"/>
                <w:bCs/>
                <w:color w:val="17365D" w:themeColor="text2" w:themeShade="BF"/>
                <w:sz w:val="20"/>
                <w:szCs w:val="20"/>
              </w:rPr>
              <w:t>,000</w:t>
            </w:r>
          </w:p>
        </w:tc>
        <w:tc>
          <w:tcPr>
            <w:tcW w:w="1253" w:type="dxa"/>
          </w:tcPr>
          <w:p w14:paraId="31ADC456"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851" w:type="dxa"/>
          </w:tcPr>
          <w:p w14:paraId="7251D834"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CB3016" w:rsidRPr="00003987" w14:paraId="5216BBE9" w14:textId="77777777" w:rsidTr="00F01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B8103CF" w14:textId="77777777" w:rsidR="00CB3016" w:rsidRPr="00003987" w:rsidRDefault="00CB3016"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Greenhouse gas injection licence (per block)</w:t>
            </w:r>
          </w:p>
        </w:tc>
        <w:tc>
          <w:tcPr>
            <w:tcW w:w="1110" w:type="dxa"/>
          </w:tcPr>
          <w:p w14:paraId="7F7C156E"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564F191E"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1" w:type="dxa"/>
          </w:tcPr>
          <w:p w14:paraId="33836CFD"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53F8FEA0"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$20,000</w:t>
            </w:r>
          </w:p>
        </w:tc>
        <w:tc>
          <w:tcPr>
            <w:tcW w:w="1110" w:type="dxa"/>
          </w:tcPr>
          <w:p w14:paraId="124D1C5D" w14:textId="2CFE7425"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r w:rsidR="00307E59">
              <w:rPr>
                <w:rFonts w:asciiTheme="minorHAnsi" w:hAnsiTheme="minorHAnsi" w:cstheme="minorHAnsi"/>
                <w:bCs/>
                <w:color w:val="17365D" w:themeColor="text2" w:themeShade="BF"/>
                <w:sz w:val="20"/>
                <w:szCs w:val="20"/>
              </w:rPr>
              <w:t>22</w:t>
            </w:r>
            <w:r w:rsidRPr="00003987">
              <w:rPr>
                <w:rFonts w:asciiTheme="minorHAnsi" w:hAnsiTheme="minorHAnsi" w:cstheme="minorHAnsi"/>
                <w:bCs/>
                <w:color w:val="17365D" w:themeColor="text2" w:themeShade="BF"/>
                <w:sz w:val="20"/>
                <w:szCs w:val="20"/>
              </w:rPr>
              <w:t>,000</w:t>
            </w:r>
          </w:p>
        </w:tc>
        <w:tc>
          <w:tcPr>
            <w:tcW w:w="1253" w:type="dxa"/>
          </w:tcPr>
          <w:p w14:paraId="3345E644"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851" w:type="dxa"/>
          </w:tcPr>
          <w:p w14:paraId="1B9F8750"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CB3016" w:rsidRPr="00003987" w14:paraId="42DA892A" w14:textId="77777777" w:rsidTr="00F0180B">
        <w:tc>
          <w:tcPr>
            <w:cnfStyle w:val="001000000000" w:firstRow="0" w:lastRow="0" w:firstColumn="1" w:lastColumn="0" w:oddVBand="0" w:evenVBand="0" w:oddHBand="0" w:evenHBand="0" w:firstRowFirstColumn="0" w:firstRowLastColumn="0" w:lastRowFirstColumn="0" w:lastRowLastColumn="0"/>
            <w:tcW w:w="1838" w:type="dxa"/>
          </w:tcPr>
          <w:p w14:paraId="4D33CE28" w14:textId="77777777" w:rsidR="00CB3016" w:rsidRPr="00003987" w:rsidRDefault="00CB3016"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Cash-bid petroleum exploration permit (per title)</w:t>
            </w:r>
          </w:p>
        </w:tc>
        <w:tc>
          <w:tcPr>
            <w:tcW w:w="1110" w:type="dxa"/>
          </w:tcPr>
          <w:p w14:paraId="5778BFAD"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4E5E464F"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1" w:type="dxa"/>
          </w:tcPr>
          <w:p w14:paraId="11BC2536"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79EC3A4B"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$10,000</w:t>
            </w:r>
          </w:p>
        </w:tc>
        <w:tc>
          <w:tcPr>
            <w:tcW w:w="1110" w:type="dxa"/>
          </w:tcPr>
          <w:p w14:paraId="7685397E"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$11,000</w:t>
            </w:r>
          </w:p>
        </w:tc>
        <w:tc>
          <w:tcPr>
            <w:tcW w:w="1253" w:type="dxa"/>
          </w:tcPr>
          <w:p w14:paraId="6FFB867D"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851" w:type="dxa"/>
          </w:tcPr>
          <w:p w14:paraId="1F636305"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1, 2</w:t>
            </w:r>
          </w:p>
        </w:tc>
      </w:tr>
      <w:tr w:rsidR="00CB3016" w:rsidRPr="00003987" w14:paraId="225D410F" w14:textId="77777777" w:rsidTr="00F01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4CCDBA2" w14:textId="77777777" w:rsidR="00CB3016" w:rsidRPr="00003987" w:rsidRDefault="00CB3016"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Boundary-change petroleum exploration permit (per title)</w:t>
            </w:r>
          </w:p>
        </w:tc>
        <w:tc>
          <w:tcPr>
            <w:tcW w:w="1110" w:type="dxa"/>
          </w:tcPr>
          <w:p w14:paraId="5212CBB7"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361DFA9B"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1" w:type="dxa"/>
          </w:tcPr>
          <w:p w14:paraId="3723DEF5"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110" w:type="dxa"/>
          </w:tcPr>
          <w:p w14:paraId="762D1DE4"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$10,000</w:t>
            </w:r>
          </w:p>
        </w:tc>
        <w:tc>
          <w:tcPr>
            <w:tcW w:w="1110" w:type="dxa"/>
          </w:tcPr>
          <w:p w14:paraId="3BE09935"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$11,000</w:t>
            </w:r>
          </w:p>
        </w:tc>
        <w:tc>
          <w:tcPr>
            <w:tcW w:w="1253" w:type="dxa"/>
          </w:tcPr>
          <w:p w14:paraId="326256F4"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851" w:type="dxa"/>
          </w:tcPr>
          <w:p w14:paraId="01AE9A2C" w14:textId="77777777" w:rsidR="00CB3016" w:rsidRPr="00003987" w:rsidRDefault="00CB3016"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1, 2</w:t>
            </w:r>
          </w:p>
        </w:tc>
      </w:tr>
      <w:tr w:rsidR="00CB3016" w:rsidRPr="00003987" w14:paraId="5A1E607C" w14:textId="77777777" w:rsidTr="00F0180B">
        <w:tc>
          <w:tcPr>
            <w:cnfStyle w:val="001000000000" w:firstRow="0" w:lastRow="0" w:firstColumn="1" w:lastColumn="0" w:oddVBand="0" w:evenVBand="0" w:oddHBand="0" w:evenHBand="0" w:firstRowFirstColumn="0" w:firstRowLastColumn="0" w:lastRowFirstColumn="0" w:lastRowLastColumn="0"/>
            <w:tcW w:w="1838" w:type="dxa"/>
          </w:tcPr>
          <w:p w14:paraId="6E95A355" w14:textId="77777777" w:rsidR="00CB3016" w:rsidRPr="00003987" w:rsidRDefault="00CB3016" w:rsidP="00762402">
            <w:pPr>
              <w:rPr>
                <w:rFonts w:asciiTheme="minorHAnsi" w:hAnsiTheme="minorHAnsi" w:cstheme="minorHAnsi"/>
                <w:bCs w:val="0"/>
                <w:color w:val="17365D" w:themeColor="text2" w:themeShade="BF"/>
                <w:sz w:val="20"/>
                <w:szCs w:val="20"/>
              </w:rPr>
            </w:pPr>
            <w:r w:rsidRPr="00003987">
              <w:rPr>
                <w:rFonts w:asciiTheme="minorHAnsi" w:hAnsiTheme="minorHAnsi" w:cstheme="minorHAnsi"/>
                <w:bCs w:val="0"/>
                <w:color w:val="17365D" w:themeColor="text2" w:themeShade="BF"/>
                <w:sz w:val="20"/>
                <w:szCs w:val="20"/>
              </w:rPr>
              <w:t>Levy Estimate</w:t>
            </w:r>
          </w:p>
        </w:tc>
        <w:tc>
          <w:tcPr>
            <w:tcW w:w="1110" w:type="dxa"/>
          </w:tcPr>
          <w:p w14:paraId="7DA7DE46"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p>
        </w:tc>
        <w:tc>
          <w:tcPr>
            <w:tcW w:w="1110" w:type="dxa"/>
          </w:tcPr>
          <w:p w14:paraId="2C0720F0"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p>
        </w:tc>
        <w:tc>
          <w:tcPr>
            <w:tcW w:w="1111" w:type="dxa"/>
          </w:tcPr>
          <w:p w14:paraId="28875441"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p>
        </w:tc>
        <w:tc>
          <w:tcPr>
            <w:tcW w:w="1110" w:type="dxa"/>
          </w:tcPr>
          <w:p w14:paraId="6AB81CE0"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p>
        </w:tc>
        <w:tc>
          <w:tcPr>
            <w:tcW w:w="1110" w:type="dxa"/>
          </w:tcPr>
          <w:p w14:paraId="3438A05B"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p>
        </w:tc>
        <w:tc>
          <w:tcPr>
            <w:tcW w:w="1253" w:type="dxa"/>
          </w:tcPr>
          <w:p w14:paraId="7B6C9ADF" w14:textId="38BA6C5C"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
                <w:color w:val="17365D" w:themeColor="text2" w:themeShade="BF"/>
                <w:sz w:val="20"/>
                <w:szCs w:val="20"/>
              </w:rPr>
              <w:t>$15,6</w:t>
            </w:r>
            <w:r w:rsidR="00307E59">
              <w:rPr>
                <w:rFonts w:asciiTheme="minorHAnsi" w:hAnsiTheme="minorHAnsi" w:cstheme="minorHAnsi"/>
                <w:b/>
                <w:color w:val="17365D" w:themeColor="text2" w:themeShade="BF"/>
                <w:sz w:val="20"/>
                <w:szCs w:val="20"/>
              </w:rPr>
              <w:t>42</w:t>
            </w:r>
            <w:r w:rsidRPr="00003987">
              <w:rPr>
                <w:rFonts w:asciiTheme="minorHAnsi" w:hAnsiTheme="minorHAnsi" w:cstheme="minorHAnsi"/>
                <w:b/>
                <w:color w:val="17365D" w:themeColor="text2" w:themeShade="BF"/>
                <w:sz w:val="20"/>
                <w:szCs w:val="20"/>
              </w:rPr>
              <w:t>,000</w:t>
            </w:r>
          </w:p>
        </w:tc>
        <w:tc>
          <w:tcPr>
            <w:tcW w:w="851" w:type="dxa"/>
          </w:tcPr>
          <w:p w14:paraId="107E58B9" w14:textId="77777777" w:rsidR="00CB3016" w:rsidRPr="00003987" w:rsidRDefault="00CB3016"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p>
        </w:tc>
      </w:tr>
    </w:tbl>
    <w:p w14:paraId="04AD5F85" w14:textId="77777777" w:rsidR="00CB3016" w:rsidRPr="002A67C7" w:rsidRDefault="00CB3016" w:rsidP="00D212A5">
      <w:pPr>
        <w:rPr>
          <w:rFonts w:asciiTheme="minorHAnsi" w:hAnsiTheme="minorHAnsi" w:cstheme="minorHAnsi"/>
        </w:rPr>
      </w:pPr>
    </w:p>
    <w:p w14:paraId="4B5BD0C1" w14:textId="77777777" w:rsidR="00D212A5" w:rsidRPr="00F2024B" w:rsidRDefault="00D212A5" w:rsidP="00F2024B">
      <w:pPr>
        <w:pStyle w:val="Heading2"/>
        <w:tabs>
          <w:tab w:val="clear" w:pos="576"/>
          <w:tab w:val="num" w:pos="709"/>
        </w:tabs>
        <w:ind w:left="709" w:hanging="709"/>
        <w:rPr>
          <w:rFonts w:asciiTheme="minorHAnsi" w:hAnsiTheme="minorHAnsi" w:cstheme="minorHAnsi"/>
          <w:i w:val="0"/>
          <w:iCs w:val="0"/>
        </w:rPr>
      </w:pPr>
      <w:bookmarkStart w:id="26" w:name="_Toc84844726"/>
      <w:r w:rsidRPr="00F2024B">
        <w:rPr>
          <w:rFonts w:asciiTheme="minorHAnsi" w:hAnsiTheme="minorHAnsi" w:cstheme="minorHAnsi"/>
          <w:i w:val="0"/>
          <w:iCs w:val="0"/>
        </w:rPr>
        <w:t>Cost recovery fees</w:t>
      </w:r>
      <w:bookmarkEnd w:id="26"/>
    </w:p>
    <w:p w14:paraId="1C645C19" w14:textId="77777777" w:rsidR="00D212A5" w:rsidRDefault="00D212A5" w:rsidP="00D212A5">
      <w:pPr>
        <w:rPr>
          <w:rFonts w:asciiTheme="minorHAnsi" w:hAnsiTheme="minorHAnsi" w:cstheme="minorHAnsi"/>
          <w:iCs/>
          <w:lang w:val="en-US"/>
        </w:rPr>
      </w:pPr>
      <w:r w:rsidRPr="002A67C7">
        <w:rPr>
          <w:rFonts w:asciiTheme="minorHAnsi" w:hAnsiTheme="minorHAnsi" w:cstheme="minorHAnsi"/>
          <w:iCs/>
          <w:lang w:val="en-US"/>
        </w:rPr>
        <w:t xml:space="preserve">Application fees are payable in accordance with the </w:t>
      </w:r>
      <w:r w:rsidRPr="002A67C7">
        <w:rPr>
          <w:rFonts w:asciiTheme="minorHAnsi" w:hAnsiTheme="minorHAnsi" w:cstheme="minorHAnsi"/>
          <w:i/>
        </w:rPr>
        <w:t xml:space="preserve">Offshore Petroleum and Greenhouse Gas Storage (Resource Management and Administration) Regulations 2011 </w:t>
      </w:r>
      <w:r w:rsidRPr="002A67C7">
        <w:rPr>
          <w:rFonts w:asciiTheme="minorHAnsi" w:hAnsiTheme="minorHAnsi" w:cstheme="minorHAnsi"/>
        </w:rPr>
        <w:t>at</w:t>
      </w:r>
      <w:r w:rsidRPr="002A67C7">
        <w:rPr>
          <w:rFonts w:asciiTheme="minorHAnsi" w:hAnsiTheme="minorHAnsi" w:cstheme="minorHAnsi"/>
          <w:iCs/>
          <w:lang w:val="en-US"/>
        </w:rPr>
        <w:t xml:space="preserve"> the time that an application is submitted. Revenue from fees fluctuates from year to year as they are dependent on the timing, type and number of applications lodged by </w:t>
      </w:r>
      <w:r>
        <w:rPr>
          <w:rFonts w:asciiTheme="minorHAnsi" w:hAnsiTheme="minorHAnsi" w:cstheme="minorHAnsi"/>
          <w:iCs/>
          <w:lang w:val="en-US"/>
        </w:rPr>
        <w:t>t</w:t>
      </w:r>
      <w:r w:rsidRPr="002A67C7">
        <w:rPr>
          <w:rFonts w:asciiTheme="minorHAnsi" w:hAnsiTheme="minorHAnsi" w:cstheme="minorHAnsi"/>
          <w:iCs/>
          <w:lang w:val="en-US"/>
        </w:rPr>
        <w:t xml:space="preserve">itleholders. </w:t>
      </w:r>
    </w:p>
    <w:p w14:paraId="512DF8B5" w14:textId="77777777" w:rsidR="00D212A5" w:rsidRDefault="00D212A5" w:rsidP="00D212A5">
      <w:pPr>
        <w:rPr>
          <w:rFonts w:asciiTheme="minorHAnsi" w:hAnsiTheme="minorHAnsi" w:cstheme="minorHAnsi"/>
          <w:iCs/>
          <w:lang w:val="en-US"/>
        </w:rPr>
      </w:pPr>
    </w:p>
    <w:p w14:paraId="6BAB187C" w14:textId="6107F40F" w:rsidR="00D212A5" w:rsidRDefault="00D212A5" w:rsidP="00D212A5">
      <w:pPr>
        <w:pStyle w:val="CommentText"/>
        <w:rPr>
          <w:rFonts w:asciiTheme="minorHAnsi" w:hAnsiTheme="minorHAnsi" w:cstheme="minorHAnsi"/>
        </w:rPr>
      </w:pPr>
      <w:r>
        <w:rPr>
          <w:rFonts w:asciiTheme="minorHAnsi" w:hAnsiTheme="minorHAnsi" w:cstheme="minorHAnsi"/>
          <w:sz w:val="24"/>
          <w:szCs w:val="24"/>
        </w:rPr>
        <w:t>In 2019-20, t</w:t>
      </w:r>
      <w:r w:rsidRPr="006A3A0B">
        <w:rPr>
          <w:rFonts w:asciiTheme="minorHAnsi" w:hAnsiTheme="minorHAnsi" w:cstheme="minorHAnsi"/>
          <w:sz w:val="24"/>
          <w:szCs w:val="24"/>
        </w:rPr>
        <w:t xml:space="preserve">he revenue from application fees </w:t>
      </w:r>
      <w:r>
        <w:rPr>
          <w:rFonts w:asciiTheme="minorHAnsi" w:hAnsiTheme="minorHAnsi" w:cstheme="minorHAnsi"/>
          <w:sz w:val="24"/>
          <w:szCs w:val="24"/>
        </w:rPr>
        <w:t>accounted for</w:t>
      </w:r>
      <w:r w:rsidRPr="006A3A0B">
        <w:rPr>
          <w:rFonts w:asciiTheme="minorHAnsi" w:hAnsiTheme="minorHAnsi" w:cstheme="minorHAnsi"/>
          <w:sz w:val="24"/>
          <w:szCs w:val="24"/>
        </w:rPr>
        <w:t xml:space="preserve"> approximately 13</w:t>
      </w:r>
      <w:r>
        <w:rPr>
          <w:rFonts w:asciiTheme="minorHAnsi" w:hAnsiTheme="minorHAnsi" w:cstheme="minorHAnsi"/>
          <w:sz w:val="24"/>
          <w:szCs w:val="24"/>
        </w:rPr>
        <w:t xml:space="preserve"> percent</w:t>
      </w:r>
      <w:r w:rsidRPr="006A3A0B">
        <w:rPr>
          <w:rFonts w:asciiTheme="minorHAnsi" w:hAnsiTheme="minorHAnsi" w:cstheme="minorHAnsi"/>
          <w:sz w:val="24"/>
          <w:szCs w:val="24"/>
        </w:rPr>
        <w:t xml:space="preserve"> of NOPTA’s total budget expenditure.</w:t>
      </w:r>
      <w:r>
        <w:rPr>
          <w:rFonts w:asciiTheme="minorHAnsi" w:hAnsiTheme="minorHAnsi" w:cstheme="minorHAnsi"/>
          <w:iCs/>
          <w:sz w:val="24"/>
          <w:szCs w:val="24"/>
          <w:lang w:val="en-US"/>
        </w:rPr>
        <w:t xml:space="preserve"> </w:t>
      </w:r>
      <w:r w:rsidRPr="00A84307">
        <w:rPr>
          <w:rFonts w:asciiTheme="minorHAnsi" w:hAnsiTheme="minorHAnsi" w:cstheme="minorHAnsi"/>
          <w:sz w:val="24"/>
          <w:szCs w:val="24"/>
        </w:rPr>
        <w:t xml:space="preserve">The focus of NOPTA’s activities in relation to title specific applications is on assessing compliance with the </w:t>
      </w:r>
      <w:r w:rsidR="005827AF">
        <w:rPr>
          <w:rFonts w:asciiTheme="minorHAnsi" w:hAnsiTheme="minorHAnsi" w:cstheme="minorHAnsi"/>
          <w:sz w:val="24"/>
          <w:szCs w:val="24"/>
        </w:rPr>
        <w:t>OPGGS Act</w:t>
      </w:r>
      <w:r w:rsidRPr="00A84307">
        <w:rPr>
          <w:rFonts w:asciiTheme="minorHAnsi" w:hAnsiTheme="minorHAnsi" w:cstheme="minorHAnsi"/>
          <w:sz w:val="24"/>
          <w:szCs w:val="24"/>
        </w:rPr>
        <w:t xml:space="preserve">, relevant </w:t>
      </w:r>
      <w:r w:rsidR="009D1596">
        <w:rPr>
          <w:rFonts w:asciiTheme="minorHAnsi" w:hAnsiTheme="minorHAnsi" w:cstheme="minorHAnsi"/>
          <w:sz w:val="24"/>
          <w:szCs w:val="24"/>
        </w:rPr>
        <w:t>legislation</w:t>
      </w:r>
      <w:r w:rsidR="009D1596" w:rsidRPr="00A84307">
        <w:rPr>
          <w:rFonts w:asciiTheme="minorHAnsi" w:hAnsiTheme="minorHAnsi" w:cstheme="minorHAnsi"/>
          <w:sz w:val="24"/>
          <w:szCs w:val="24"/>
        </w:rPr>
        <w:t xml:space="preserve"> </w:t>
      </w:r>
      <w:r w:rsidRPr="00A84307">
        <w:rPr>
          <w:rFonts w:asciiTheme="minorHAnsi" w:hAnsiTheme="minorHAnsi" w:cstheme="minorHAnsi"/>
          <w:sz w:val="24"/>
          <w:szCs w:val="24"/>
        </w:rPr>
        <w:t>and guidelines, as well as the technical and financial ability of applicants to carry out title related activities.</w:t>
      </w:r>
      <w:r w:rsidRPr="002A67C7">
        <w:rPr>
          <w:rFonts w:asciiTheme="minorHAnsi" w:hAnsiTheme="minorHAnsi" w:cstheme="minorHAnsi"/>
        </w:rPr>
        <w:t xml:space="preserve"> </w:t>
      </w:r>
    </w:p>
    <w:p w14:paraId="1DD739FF" w14:textId="77777777" w:rsidR="00D212A5" w:rsidRDefault="00D212A5" w:rsidP="00D212A5">
      <w:pPr>
        <w:pStyle w:val="CommentText"/>
        <w:rPr>
          <w:rFonts w:asciiTheme="minorHAnsi" w:hAnsiTheme="minorHAnsi" w:cstheme="minorHAnsi"/>
        </w:rPr>
      </w:pPr>
    </w:p>
    <w:p w14:paraId="444F8A86" w14:textId="3CCB422C" w:rsidR="00D212A5" w:rsidRDefault="00D212A5" w:rsidP="00D212A5">
      <w:pPr>
        <w:rPr>
          <w:rFonts w:asciiTheme="minorHAnsi" w:hAnsiTheme="minorHAnsi" w:cstheme="minorHAnsi"/>
          <w:iCs/>
        </w:rPr>
      </w:pPr>
      <w:r w:rsidRPr="00003987">
        <w:rPr>
          <w:rFonts w:asciiTheme="minorHAnsi" w:hAnsiTheme="minorHAnsi" w:cstheme="minorHAnsi"/>
          <w:iCs/>
          <w:lang w:val="en-US"/>
        </w:rPr>
        <w:t xml:space="preserve">The application fees are calculated by applying a fixed/flat rate to the type of application submitted. </w:t>
      </w:r>
      <w:r w:rsidRPr="00003987">
        <w:rPr>
          <w:rFonts w:asciiTheme="minorHAnsi" w:hAnsiTheme="minorHAnsi" w:cstheme="minorHAnsi"/>
          <w:iCs/>
        </w:rPr>
        <w:t>Having a single flat fee for the majority of applications will be maintained as a part of NOPTA’s revenue structure. As</w:t>
      </w:r>
      <w:r>
        <w:rPr>
          <w:rFonts w:asciiTheme="minorHAnsi" w:hAnsiTheme="minorHAnsi" w:cstheme="minorHAnsi"/>
          <w:iCs/>
        </w:rPr>
        <w:t xml:space="preserve"> with levies, </w:t>
      </w:r>
      <w:r w:rsidRPr="002B0255">
        <w:rPr>
          <w:rFonts w:asciiTheme="minorHAnsi" w:hAnsiTheme="minorHAnsi" w:cstheme="minorHAnsi"/>
          <w:iCs/>
        </w:rPr>
        <w:t xml:space="preserve">NOPTA is proposing that the </w:t>
      </w:r>
      <w:r>
        <w:rPr>
          <w:rFonts w:asciiTheme="minorHAnsi" w:hAnsiTheme="minorHAnsi" w:cstheme="minorHAnsi"/>
          <w:iCs/>
        </w:rPr>
        <w:t>fees</w:t>
      </w:r>
      <w:r w:rsidRPr="002B0255">
        <w:rPr>
          <w:rFonts w:asciiTheme="minorHAnsi" w:hAnsiTheme="minorHAnsi" w:cstheme="minorHAnsi"/>
          <w:iCs/>
        </w:rPr>
        <w:t xml:space="preserve"> for </w:t>
      </w:r>
      <w:r>
        <w:rPr>
          <w:rFonts w:asciiTheme="minorHAnsi" w:hAnsiTheme="minorHAnsi" w:cstheme="minorHAnsi"/>
          <w:iCs/>
        </w:rPr>
        <w:t>application</w:t>
      </w:r>
      <w:r w:rsidRPr="002B0255">
        <w:rPr>
          <w:rFonts w:asciiTheme="minorHAnsi" w:hAnsiTheme="minorHAnsi" w:cstheme="minorHAnsi"/>
          <w:iCs/>
        </w:rPr>
        <w:t xml:space="preserve"> types be increased by 10 percent from 1 January 2022</w:t>
      </w:r>
      <w:r w:rsidR="001A04FF">
        <w:rPr>
          <w:rFonts w:asciiTheme="minorHAnsi" w:hAnsiTheme="minorHAnsi" w:cstheme="minorHAnsi"/>
          <w:iCs/>
        </w:rPr>
        <w:t>,</w:t>
      </w:r>
      <w:r w:rsidR="00A25DC0">
        <w:rPr>
          <w:rFonts w:asciiTheme="minorHAnsi" w:hAnsiTheme="minorHAnsi" w:cstheme="minorHAnsi"/>
          <w:iCs/>
        </w:rPr>
        <w:t xml:space="preserve"> to be reviewed after 12 months</w:t>
      </w:r>
      <w:r w:rsidRPr="002B0255">
        <w:rPr>
          <w:rFonts w:asciiTheme="minorHAnsi" w:hAnsiTheme="minorHAnsi" w:cstheme="minorHAnsi"/>
          <w:iCs/>
        </w:rPr>
        <w:t>.</w:t>
      </w:r>
      <w:r w:rsidR="007345BD">
        <w:rPr>
          <w:rFonts w:asciiTheme="minorHAnsi" w:hAnsiTheme="minorHAnsi" w:cstheme="minorHAnsi"/>
          <w:iCs/>
        </w:rPr>
        <w:t xml:space="preserve"> </w:t>
      </w:r>
    </w:p>
    <w:p w14:paraId="5CB65F9C" w14:textId="77777777" w:rsidR="00E65458" w:rsidRDefault="00E65458" w:rsidP="00D212A5">
      <w:pPr>
        <w:rPr>
          <w:rFonts w:asciiTheme="minorHAnsi" w:hAnsiTheme="minorHAnsi" w:cstheme="minorHAnsi"/>
          <w:iCs/>
          <w:lang w:val="en-US"/>
        </w:rPr>
      </w:pPr>
    </w:p>
    <w:p w14:paraId="3A81FD0A" w14:textId="623410A6" w:rsidR="00D212A5" w:rsidRPr="008F4D6C" w:rsidRDefault="00D212A5" w:rsidP="00D212A5">
      <w:pPr>
        <w:spacing w:after="160" w:line="259" w:lineRule="auto"/>
        <w:rPr>
          <w:rFonts w:asciiTheme="minorHAnsi" w:hAnsiTheme="minorHAnsi" w:cstheme="minorHAnsi"/>
        </w:rPr>
      </w:pPr>
      <w:r w:rsidRPr="00950DAE">
        <w:rPr>
          <w:rFonts w:asciiTheme="minorHAnsi" w:hAnsiTheme="minorHAnsi" w:cstheme="minorHAnsi"/>
        </w:rPr>
        <w:t>With over 40 application types</w:t>
      </w:r>
      <w:r>
        <w:rPr>
          <w:rFonts w:asciiTheme="minorHAnsi" w:hAnsiTheme="minorHAnsi" w:cstheme="minorHAnsi"/>
        </w:rPr>
        <w:t>,</w:t>
      </w:r>
      <w:r w:rsidRPr="00950DAE">
        <w:rPr>
          <w:rFonts w:asciiTheme="minorHAnsi" w:hAnsiTheme="minorHAnsi" w:cstheme="minorHAnsi"/>
        </w:rPr>
        <w:t xml:space="preserve"> the adoption of a standard application fee in 2016 for application fees has improved clarity and understanding of cost recovery. The alternative of charging different fee amounts to reflect small cost differences would cause confusion and would be costly to administer. NOPTA minimises cross subsidy across titleholders where possible, for example, credit card surcharges (previously absorbed by NOPTA) are now paid by the titleholder (from January 2021).</w:t>
      </w:r>
      <w:r>
        <w:rPr>
          <w:rFonts w:asciiTheme="minorHAnsi" w:hAnsiTheme="minorHAnsi" w:cstheme="minorHAnsi"/>
        </w:rPr>
        <w:t xml:space="preserve"> An additional application fee type called ‘change </w:t>
      </w:r>
      <w:r w:rsidR="002B7BB1">
        <w:rPr>
          <w:rFonts w:asciiTheme="minorHAnsi" w:hAnsiTheme="minorHAnsi" w:cstheme="minorHAnsi"/>
        </w:rPr>
        <w:t>in control of a registered titleholder</w:t>
      </w:r>
      <w:r>
        <w:rPr>
          <w:rFonts w:asciiTheme="minorHAnsi" w:hAnsiTheme="minorHAnsi" w:cstheme="minorHAnsi"/>
        </w:rPr>
        <w:t>’ has been included below and is related to</w:t>
      </w:r>
      <w:r w:rsidRPr="00950DAE">
        <w:rPr>
          <w:rFonts w:asciiTheme="minorHAnsi" w:hAnsiTheme="minorHAnsi" w:cstheme="minorHAnsi"/>
        </w:rPr>
        <w:t xml:space="preserve"> </w:t>
      </w:r>
      <w:r>
        <w:rPr>
          <w:rFonts w:asciiTheme="minorHAnsi" w:hAnsiTheme="minorHAnsi" w:cstheme="minorHAnsi"/>
        </w:rPr>
        <w:t>new administrative requirements associated with the</w:t>
      </w:r>
      <w:r w:rsidRPr="000D2368">
        <w:rPr>
          <w:rFonts w:asciiTheme="minorHAnsi" w:hAnsiTheme="minorHAnsi" w:cstheme="minorHAnsi"/>
        </w:rPr>
        <w:t xml:space="preserve"> </w:t>
      </w:r>
      <w:r w:rsidR="002B7BB1">
        <w:rPr>
          <w:rFonts w:asciiTheme="minorHAnsi" w:hAnsiTheme="minorHAnsi" w:cstheme="minorHAnsi"/>
        </w:rPr>
        <w:t>Amendment Act</w:t>
      </w:r>
      <w:r w:rsidRPr="000D2368">
        <w:rPr>
          <w:rFonts w:asciiTheme="minorHAnsi" w:hAnsiTheme="minorHAnsi" w:cstheme="minorHAnsi"/>
        </w:rPr>
        <w:t xml:space="preserve"> </w:t>
      </w:r>
      <w:r>
        <w:rPr>
          <w:rFonts w:asciiTheme="minorHAnsi" w:hAnsiTheme="minorHAnsi" w:cstheme="minorHAnsi"/>
        </w:rPr>
        <w:t xml:space="preserve">(see </w:t>
      </w:r>
      <w:r w:rsidRPr="002B0255">
        <w:rPr>
          <w:rFonts w:asciiTheme="minorHAnsi" w:hAnsiTheme="minorHAnsi" w:cstheme="minorHAnsi"/>
          <w:b/>
          <w:bCs/>
        </w:rPr>
        <w:t>Section 1.2</w:t>
      </w:r>
      <w:r>
        <w:rPr>
          <w:rFonts w:asciiTheme="minorHAnsi" w:hAnsiTheme="minorHAnsi" w:cstheme="minorHAnsi"/>
        </w:rPr>
        <w:t xml:space="preserve"> for more detail).</w:t>
      </w:r>
      <w:r w:rsidRPr="00950DAE">
        <w:rPr>
          <w:rFonts w:asciiTheme="minorHAnsi" w:hAnsiTheme="minorHAnsi" w:cstheme="minorHAnsi"/>
        </w:rPr>
        <w:t xml:space="preserve"> </w:t>
      </w:r>
    </w:p>
    <w:p w14:paraId="27D5319D" w14:textId="3580DCA7" w:rsidR="00D212A5" w:rsidRPr="002A67C7" w:rsidRDefault="00D212A5" w:rsidP="00D212A5">
      <w:pPr>
        <w:rPr>
          <w:rFonts w:asciiTheme="minorHAnsi" w:hAnsiTheme="minorHAnsi" w:cstheme="minorHAnsi"/>
          <w:iCs/>
          <w:lang w:val="en-US"/>
        </w:rPr>
      </w:pPr>
      <w:r>
        <w:rPr>
          <w:rFonts w:asciiTheme="minorHAnsi" w:hAnsiTheme="minorHAnsi" w:cstheme="minorHAnsi"/>
          <w:iCs/>
          <w:lang w:val="en-US"/>
        </w:rPr>
        <w:lastRenderedPageBreak/>
        <w:t xml:space="preserve">Application fees have been estimated below in </w:t>
      </w:r>
      <w:r w:rsidRPr="002B0255">
        <w:rPr>
          <w:rFonts w:asciiTheme="minorHAnsi" w:hAnsiTheme="minorHAnsi" w:cstheme="minorHAnsi"/>
          <w:b/>
          <w:bCs/>
          <w:iCs/>
          <w:lang w:val="en-US"/>
        </w:rPr>
        <w:t xml:space="preserve">Table </w:t>
      </w:r>
      <w:r w:rsidR="00662EB5">
        <w:rPr>
          <w:rFonts w:asciiTheme="minorHAnsi" w:hAnsiTheme="minorHAnsi" w:cstheme="minorHAnsi"/>
          <w:b/>
          <w:bCs/>
          <w:iCs/>
          <w:lang w:val="en-US"/>
        </w:rPr>
        <w:t>5</w:t>
      </w:r>
      <w:r>
        <w:rPr>
          <w:rFonts w:asciiTheme="minorHAnsi" w:hAnsiTheme="minorHAnsi" w:cstheme="minorHAnsi"/>
          <w:iCs/>
          <w:lang w:val="en-US"/>
        </w:rPr>
        <w:t xml:space="preserve"> </w:t>
      </w:r>
      <w:r w:rsidRPr="00605FB6">
        <w:rPr>
          <w:rFonts w:asciiTheme="minorHAnsi" w:hAnsiTheme="minorHAnsi" w:cstheme="minorHAnsi"/>
          <w:iCs/>
          <w:lang w:val="en-US"/>
        </w:rPr>
        <w:t>based</w:t>
      </w:r>
      <w:r w:rsidRPr="002A67C7">
        <w:rPr>
          <w:rFonts w:asciiTheme="minorHAnsi" w:hAnsiTheme="minorHAnsi" w:cstheme="minorHAnsi"/>
          <w:iCs/>
          <w:lang w:val="en-US"/>
        </w:rPr>
        <w:t xml:space="preserve"> on the average number of applications submitted to NOPTA to date</w:t>
      </w:r>
      <w:r>
        <w:rPr>
          <w:rFonts w:asciiTheme="minorHAnsi" w:hAnsiTheme="minorHAnsi" w:cstheme="minorHAnsi"/>
          <w:iCs/>
          <w:lang w:val="en-US"/>
        </w:rPr>
        <w:t xml:space="preserve"> and taking into </w:t>
      </w:r>
      <w:r w:rsidR="005514C5">
        <w:rPr>
          <w:rFonts w:asciiTheme="minorHAnsi" w:hAnsiTheme="minorHAnsi" w:cstheme="minorHAnsi"/>
          <w:iCs/>
          <w:lang w:val="en-US"/>
        </w:rPr>
        <w:t xml:space="preserve">consideration </w:t>
      </w:r>
      <w:r>
        <w:rPr>
          <w:rFonts w:asciiTheme="minorHAnsi" w:hAnsiTheme="minorHAnsi" w:cstheme="minorHAnsi"/>
          <w:iCs/>
          <w:lang w:val="en-US"/>
        </w:rPr>
        <w:t xml:space="preserve">industry trends. The number of application fees fluctuates according to industry activity and is difficult to predict. </w:t>
      </w:r>
      <w:r w:rsidRPr="002A67C7">
        <w:rPr>
          <w:rFonts w:asciiTheme="minorHAnsi" w:hAnsiTheme="minorHAnsi" w:cstheme="minorHAnsi"/>
          <w:iCs/>
          <w:lang w:val="en-US"/>
        </w:rPr>
        <w:t xml:space="preserve"> </w:t>
      </w:r>
    </w:p>
    <w:p w14:paraId="38DD2ABA" w14:textId="77777777" w:rsidR="00D212A5" w:rsidRPr="002A67C7" w:rsidRDefault="00D212A5" w:rsidP="00D212A5">
      <w:pPr>
        <w:rPr>
          <w:rFonts w:asciiTheme="minorHAnsi" w:hAnsiTheme="minorHAnsi" w:cstheme="minorHAnsi"/>
        </w:rPr>
      </w:pPr>
    </w:p>
    <w:p w14:paraId="17BD017B" w14:textId="03BA827C" w:rsidR="00D212A5" w:rsidRDefault="00D212A5" w:rsidP="00D212A5">
      <w:pPr>
        <w:rPr>
          <w:rFonts w:asciiTheme="minorHAnsi" w:hAnsiTheme="minorHAnsi" w:cstheme="minorHAnsi"/>
          <w:iCs/>
          <w:lang w:val="en-US"/>
        </w:rPr>
      </w:pPr>
      <w:r w:rsidRPr="00107D3F">
        <w:rPr>
          <w:rFonts w:asciiTheme="minorHAnsi" w:hAnsiTheme="minorHAnsi" w:cstheme="minorHAnsi"/>
          <w:b/>
          <w:bCs/>
          <w:iCs/>
          <w:lang w:val="en-US"/>
        </w:rPr>
        <w:t xml:space="preserve">Table </w:t>
      </w:r>
      <w:r w:rsidR="00662EB5" w:rsidRPr="00107D3F">
        <w:rPr>
          <w:rFonts w:asciiTheme="minorHAnsi" w:hAnsiTheme="minorHAnsi" w:cstheme="minorHAnsi"/>
          <w:b/>
          <w:bCs/>
          <w:iCs/>
          <w:lang w:val="en-US"/>
        </w:rPr>
        <w:t>5</w:t>
      </w:r>
      <w:r w:rsidRPr="00107D3F">
        <w:rPr>
          <w:rFonts w:asciiTheme="minorHAnsi" w:hAnsiTheme="minorHAnsi" w:cstheme="minorHAnsi"/>
          <w:b/>
          <w:bCs/>
          <w:iCs/>
          <w:lang w:val="en-US"/>
        </w:rPr>
        <w:t>:</w:t>
      </w:r>
      <w:r w:rsidRPr="00662EB5">
        <w:rPr>
          <w:rFonts w:asciiTheme="minorHAnsi" w:hAnsiTheme="minorHAnsi" w:cstheme="minorHAnsi"/>
          <w:iCs/>
          <w:lang w:val="en-US"/>
        </w:rPr>
        <w:t xml:space="preserve"> Annual application fees revenue estimate from</w:t>
      </w:r>
      <w:r>
        <w:rPr>
          <w:rFonts w:asciiTheme="minorHAnsi" w:hAnsiTheme="minorHAnsi" w:cstheme="minorHAnsi"/>
          <w:iCs/>
          <w:lang w:val="en-US"/>
        </w:rPr>
        <w:t xml:space="preserve"> 1 January 2022</w:t>
      </w:r>
    </w:p>
    <w:tbl>
      <w:tblPr>
        <w:tblStyle w:val="ListTable4-Accent1"/>
        <w:tblW w:w="0" w:type="auto"/>
        <w:tblLayout w:type="fixed"/>
        <w:tblLook w:val="04A0" w:firstRow="1" w:lastRow="0" w:firstColumn="1" w:lastColumn="0" w:noHBand="0" w:noVBand="1"/>
      </w:tblPr>
      <w:tblGrid>
        <w:gridCol w:w="3114"/>
        <w:gridCol w:w="1311"/>
        <w:gridCol w:w="1311"/>
        <w:gridCol w:w="1311"/>
        <w:gridCol w:w="1312"/>
        <w:gridCol w:w="992"/>
      </w:tblGrid>
      <w:tr w:rsidR="00662EB5" w:rsidRPr="00003987" w14:paraId="4919F4B8" w14:textId="77777777" w:rsidTr="00107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1BE63A" w14:textId="77777777" w:rsidR="00662EB5" w:rsidRPr="00003987" w:rsidRDefault="00662EB5" w:rsidP="00762402">
            <w:pPr>
              <w:jc w:val="center"/>
              <w:rPr>
                <w:rFonts w:asciiTheme="minorHAnsi" w:hAnsiTheme="minorHAnsi" w:cstheme="minorHAnsi"/>
                <w:bCs w:val="0"/>
                <w:sz w:val="20"/>
                <w:szCs w:val="20"/>
              </w:rPr>
            </w:pPr>
            <w:r w:rsidRPr="00003987">
              <w:rPr>
                <w:rFonts w:asciiTheme="minorHAnsi" w:hAnsiTheme="minorHAnsi" w:cstheme="minorHAnsi"/>
                <w:bCs w:val="0"/>
                <w:sz w:val="20"/>
                <w:szCs w:val="20"/>
              </w:rPr>
              <w:t>Item and type of application</w:t>
            </w:r>
          </w:p>
        </w:tc>
        <w:tc>
          <w:tcPr>
            <w:tcW w:w="1311" w:type="dxa"/>
          </w:tcPr>
          <w:p w14:paraId="4B5C2F16" w14:textId="77777777" w:rsidR="00662EB5" w:rsidRPr="00003987" w:rsidRDefault="00662EB5"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003987">
              <w:rPr>
                <w:rFonts w:asciiTheme="minorHAnsi" w:hAnsiTheme="minorHAnsi" w:cstheme="minorHAnsi"/>
                <w:bCs w:val="0"/>
                <w:sz w:val="20"/>
                <w:szCs w:val="20"/>
              </w:rPr>
              <w:t>No. of applications</w:t>
            </w:r>
          </w:p>
        </w:tc>
        <w:tc>
          <w:tcPr>
            <w:tcW w:w="1311" w:type="dxa"/>
          </w:tcPr>
          <w:p w14:paraId="2A874E0A" w14:textId="77777777" w:rsidR="00662EB5" w:rsidRPr="00003987" w:rsidRDefault="00662EB5"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003987">
              <w:rPr>
                <w:rFonts w:asciiTheme="minorHAnsi" w:hAnsiTheme="minorHAnsi" w:cstheme="minorHAnsi"/>
                <w:bCs w:val="0"/>
                <w:sz w:val="20"/>
                <w:szCs w:val="20"/>
              </w:rPr>
              <w:t>Current fee</w:t>
            </w:r>
          </w:p>
        </w:tc>
        <w:tc>
          <w:tcPr>
            <w:tcW w:w="1311" w:type="dxa"/>
          </w:tcPr>
          <w:p w14:paraId="23C99074" w14:textId="77777777" w:rsidR="00662EB5" w:rsidRPr="00003987" w:rsidRDefault="00662EB5"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003987">
              <w:rPr>
                <w:rFonts w:asciiTheme="minorHAnsi" w:hAnsiTheme="minorHAnsi" w:cstheme="minorHAnsi"/>
                <w:bCs w:val="0"/>
                <w:sz w:val="20"/>
                <w:szCs w:val="20"/>
              </w:rPr>
              <w:t>Proposed fee</w:t>
            </w:r>
          </w:p>
          <w:p w14:paraId="06B77C2C" w14:textId="77777777" w:rsidR="00662EB5" w:rsidRPr="00003987" w:rsidRDefault="00662EB5"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003987">
              <w:rPr>
                <w:rFonts w:asciiTheme="minorHAnsi" w:hAnsiTheme="minorHAnsi" w:cstheme="minorHAnsi"/>
                <w:bCs w:val="0"/>
                <w:sz w:val="20"/>
                <w:szCs w:val="20"/>
              </w:rPr>
              <w:t>from 1 January 2022</w:t>
            </w:r>
          </w:p>
        </w:tc>
        <w:tc>
          <w:tcPr>
            <w:tcW w:w="1312" w:type="dxa"/>
          </w:tcPr>
          <w:p w14:paraId="48236925" w14:textId="77777777" w:rsidR="00662EB5" w:rsidRPr="00003987" w:rsidRDefault="00662EB5"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003987">
              <w:rPr>
                <w:rFonts w:asciiTheme="minorHAnsi" w:hAnsiTheme="minorHAnsi" w:cstheme="minorHAnsi"/>
                <w:bCs w:val="0"/>
                <w:sz w:val="20"/>
                <w:szCs w:val="20"/>
              </w:rPr>
              <w:t>Fee amount</w:t>
            </w:r>
          </w:p>
        </w:tc>
        <w:tc>
          <w:tcPr>
            <w:tcW w:w="992" w:type="dxa"/>
          </w:tcPr>
          <w:p w14:paraId="11857D05" w14:textId="77777777" w:rsidR="00662EB5" w:rsidRPr="00003987" w:rsidRDefault="00662EB5" w:rsidP="0076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003987">
              <w:rPr>
                <w:rFonts w:asciiTheme="minorHAnsi" w:hAnsiTheme="minorHAnsi" w:cstheme="minorHAnsi"/>
                <w:bCs w:val="0"/>
                <w:sz w:val="20"/>
                <w:szCs w:val="20"/>
              </w:rPr>
              <w:t>Outputs funded</w:t>
            </w:r>
          </w:p>
        </w:tc>
      </w:tr>
      <w:tr w:rsidR="00662EB5" w:rsidRPr="00003987" w14:paraId="1280997F"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CE10C3"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101 Work-bid petroleum exploration permit (s104)</w:t>
            </w:r>
          </w:p>
        </w:tc>
        <w:tc>
          <w:tcPr>
            <w:tcW w:w="1311" w:type="dxa"/>
          </w:tcPr>
          <w:p w14:paraId="1365BB1F"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10</w:t>
            </w:r>
          </w:p>
        </w:tc>
        <w:tc>
          <w:tcPr>
            <w:tcW w:w="1311" w:type="dxa"/>
          </w:tcPr>
          <w:p w14:paraId="40C8432B"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5DC59738"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00472DF1"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$82,500</w:t>
            </w:r>
          </w:p>
        </w:tc>
        <w:tc>
          <w:tcPr>
            <w:tcW w:w="992" w:type="dxa"/>
          </w:tcPr>
          <w:p w14:paraId="45BA2DEC"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1, 2</w:t>
            </w:r>
          </w:p>
        </w:tc>
      </w:tr>
      <w:tr w:rsidR="00662EB5" w:rsidRPr="00003987" w14:paraId="6FFFB9C0"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6A8D4812"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102 Special petroleum exploration permit (s115)</w:t>
            </w:r>
          </w:p>
        </w:tc>
        <w:tc>
          <w:tcPr>
            <w:tcW w:w="1311" w:type="dxa"/>
          </w:tcPr>
          <w:p w14:paraId="4912B773"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6E14999B"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2755BF8E"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1FA261F6"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3394D6C3"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1, 2</w:t>
            </w:r>
          </w:p>
        </w:tc>
      </w:tr>
      <w:tr w:rsidR="00662EB5" w:rsidRPr="00003987" w14:paraId="77954B35"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85DC75"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103 Cash-bid petroleum exploration permit (s110)*</w:t>
            </w:r>
          </w:p>
        </w:tc>
        <w:tc>
          <w:tcPr>
            <w:tcW w:w="1311" w:type="dxa"/>
          </w:tcPr>
          <w:p w14:paraId="6A6748F2"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176660F4"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4DA23FD7"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6477F4B8"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68F419F9"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1, 2</w:t>
            </w:r>
          </w:p>
        </w:tc>
      </w:tr>
      <w:tr w:rsidR="00662EB5" w:rsidRPr="00003987" w14:paraId="70D97C64"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357323B8"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104 Renewal of petroleum exploration permit (all types, s119)</w:t>
            </w:r>
          </w:p>
        </w:tc>
        <w:tc>
          <w:tcPr>
            <w:tcW w:w="1311" w:type="dxa"/>
          </w:tcPr>
          <w:p w14:paraId="1D2E203D"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9</w:t>
            </w:r>
          </w:p>
        </w:tc>
        <w:tc>
          <w:tcPr>
            <w:tcW w:w="1311" w:type="dxa"/>
          </w:tcPr>
          <w:p w14:paraId="0D978833"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0950BD4F"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797B3CB0"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$74,250</w:t>
            </w:r>
          </w:p>
        </w:tc>
        <w:tc>
          <w:tcPr>
            <w:tcW w:w="992" w:type="dxa"/>
          </w:tcPr>
          <w:p w14:paraId="07D42699"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2</w:t>
            </w:r>
          </w:p>
        </w:tc>
      </w:tr>
      <w:tr w:rsidR="00662EB5" w:rsidRPr="00003987" w14:paraId="42B890D7"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860D19"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105 Petroleum retention lease (all types, s141 or 147)</w:t>
            </w:r>
          </w:p>
        </w:tc>
        <w:tc>
          <w:tcPr>
            <w:tcW w:w="1311" w:type="dxa"/>
          </w:tcPr>
          <w:p w14:paraId="4BB17330"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w:t>
            </w:r>
          </w:p>
        </w:tc>
        <w:tc>
          <w:tcPr>
            <w:tcW w:w="1311" w:type="dxa"/>
          </w:tcPr>
          <w:p w14:paraId="719CE2FC"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2ABCC2A0"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26834F51"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$57,750</w:t>
            </w:r>
          </w:p>
        </w:tc>
        <w:tc>
          <w:tcPr>
            <w:tcW w:w="992" w:type="dxa"/>
          </w:tcPr>
          <w:p w14:paraId="16868C14"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5</w:t>
            </w:r>
          </w:p>
        </w:tc>
      </w:tr>
      <w:tr w:rsidR="00662EB5" w:rsidRPr="00003987" w14:paraId="49D76ED7"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3D995D13"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106 Renewal of petroleum retention lease (all types, s153)</w:t>
            </w:r>
          </w:p>
        </w:tc>
        <w:tc>
          <w:tcPr>
            <w:tcW w:w="1311" w:type="dxa"/>
          </w:tcPr>
          <w:p w14:paraId="3F947AFE"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5</w:t>
            </w:r>
          </w:p>
        </w:tc>
        <w:tc>
          <w:tcPr>
            <w:tcW w:w="1311" w:type="dxa"/>
          </w:tcPr>
          <w:p w14:paraId="3E3F3AFD"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1AC6D826"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595EF448"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$41,250</w:t>
            </w:r>
          </w:p>
        </w:tc>
        <w:tc>
          <w:tcPr>
            <w:tcW w:w="992" w:type="dxa"/>
          </w:tcPr>
          <w:p w14:paraId="2ACE5D20"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5</w:t>
            </w:r>
          </w:p>
        </w:tc>
      </w:tr>
      <w:tr w:rsidR="00662EB5" w:rsidRPr="00003987" w14:paraId="258156C9"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C3FC41"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107 Petroleum production licence over a surrendered block (s178)</w:t>
            </w:r>
          </w:p>
        </w:tc>
        <w:tc>
          <w:tcPr>
            <w:tcW w:w="1311" w:type="dxa"/>
          </w:tcPr>
          <w:p w14:paraId="41B134C3"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4641ECF0"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6A2B93B1"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24CDEBB5"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0AD842A4"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6</w:t>
            </w:r>
          </w:p>
        </w:tc>
      </w:tr>
      <w:tr w:rsidR="00662EB5" w:rsidRPr="00003987" w14:paraId="274CE0D4"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6DEB2240"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108 Petroleum production licence over an individual block (s182)</w:t>
            </w:r>
          </w:p>
        </w:tc>
        <w:tc>
          <w:tcPr>
            <w:tcW w:w="1311" w:type="dxa"/>
          </w:tcPr>
          <w:p w14:paraId="708DEB28"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2</w:t>
            </w:r>
          </w:p>
        </w:tc>
        <w:tc>
          <w:tcPr>
            <w:tcW w:w="1311" w:type="dxa"/>
          </w:tcPr>
          <w:p w14:paraId="0F834BC1"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3AFDE615"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39708B98"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$16,500</w:t>
            </w:r>
          </w:p>
        </w:tc>
        <w:tc>
          <w:tcPr>
            <w:tcW w:w="992" w:type="dxa"/>
          </w:tcPr>
          <w:p w14:paraId="2DA82980"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6</w:t>
            </w:r>
          </w:p>
        </w:tc>
      </w:tr>
      <w:tr w:rsidR="00662EB5" w:rsidRPr="00003987" w14:paraId="73C3B088"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59E9E0"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109 Petroleum production licence (other than in items 107 and 108)</w:t>
            </w:r>
          </w:p>
        </w:tc>
        <w:tc>
          <w:tcPr>
            <w:tcW w:w="1311" w:type="dxa"/>
          </w:tcPr>
          <w:p w14:paraId="536E0D71"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40068470"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5513951A"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6B4BED2B"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5AD68BF2"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6</w:t>
            </w:r>
          </w:p>
        </w:tc>
      </w:tr>
      <w:tr w:rsidR="00662EB5" w:rsidRPr="00003987" w14:paraId="78D271D2"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355847A5"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110 Renewal of petroleum production licence (all types, s184)</w:t>
            </w:r>
          </w:p>
        </w:tc>
        <w:tc>
          <w:tcPr>
            <w:tcW w:w="1311" w:type="dxa"/>
          </w:tcPr>
          <w:p w14:paraId="16C150B2"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w:t>
            </w:r>
          </w:p>
        </w:tc>
        <w:tc>
          <w:tcPr>
            <w:tcW w:w="1311" w:type="dxa"/>
          </w:tcPr>
          <w:p w14:paraId="114188A5"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1A23DC77"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6CCD6F62"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992" w:type="dxa"/>
          </w:tcPr>
          <w:p w14:paraId="2036FE9C"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6</w:t>
            </w:r>
          </w:p>
        </w:tc>
      </w:tr>
      <w:tr w:rsidR="00662EB5" w:rsidRPr="00003987" w14:paraId="0E29460B"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658C9C"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111 Infrastructure licence (s198)</w:t>
            </w:r>
          </w:p>
        </w:tc>
        <w:tc>
          <w:tcPr>
            <w:tcW w:w="1311" w:type="dxa"/>
          </w:tcPr>
          <w:p w14:paraId="1ED01850"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30416E29"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592BDE1B"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02F48907"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7A399580"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w:t>
            </w:r>
          </w:p>
        </w:tc>
      </w:tr>
      <w:tr w:rsidR="00662EB5" w:rsidRPr="00003987" w14:paraId="32FD4FAA"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6070C5D2"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111A Variation of infrastructure licence (s204)</w:t>
            </w:r>
          </w:p>
        </w:tc>
        <w:tc>
          <w:tcPr>
            <w:tcW w:w="1311" w:type="dxa"/>
          </w:tcPr>
          <w:p w14:paraId="61620179"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07DF6649"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2063C481"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2E76555E"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0CB5BC16"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w:t>
            </w:r>
          </w:p>
        </w:tc>
      </w:tr>
      <w:tr w:rsidR="00662EB5" w:rsidRPr="00003987" w14:paraId="126F39F2"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E60506"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112 Pipeline licence (s217)</w:t>
            </w:r>
          </w:p>
        </w:tc>
        <w:tc>
          <w:tcPr>
            <w:tcW w:w="1311" w:type="dxa"/>
          </w:tcPr>
          <w:p w14:paraId="255B8FF9"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w:t>
            </w:r>
          </w:p>
        </w:tc>
        <w:tc>
          <w:tcPr>
            <w:tcW w:w="1311" w:type="dxa"/>
          </w:tcPr>
          <w:p w14:paraId="44AF004D"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08AB5056"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2F3595DC"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992" w:type="dxa"/>
          </w:tcPr>
          <w:p w14:paraId="35C2EF9D"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w:t>
            </w:r>
          </w:p>
        </w:tc>
      </w:tr>
      <w:tr w:rsidR="00662EB5" w:rsidRPr="00003987" w14:paraId="3E0A256C"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500EBF92"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113 Variation of pipeline licence (s226)</w:t>
            </w:r>
          </w:p>
        </w:tc>
        <w:tc>
          <w:tcPr>
            <w:tcW w:w="1311" w:type="dxa"/>
          </w:tcPr>
          <w:p w14:paraId="60D828E4"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w:t>
            </w:r>
          </w:p>
        </w:tc>
        <w:tc>
          <w:tcPr>
            <w:tcW w:w="1311" w:type="dxa"/>
          </w:tcPr>
          <w:p w14:paraId="5FA59F66"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6FE0ED75"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2302A6CE"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992" w:type="dxa"/>
          </w:tcPr>
          <w:p w14:paraId="37C5E5B5"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w:t>
            </w:r>
          </w:p>
        </w:tc>
      </w:tr>
      <w:tr w:rsidR="00662EB5" w:rsidRPr="00003987" w14:paraId="7CB3D80C"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4A83D1"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114 Petroleum special prospecting authority (s234)</w:t>
            </w:r>
          </w:p>
        </w:tc>
        <w:tc>
          <w:tcPr>
            <w:tcW w:w="1311" w:type="dxa"/>
          </w:tcPr>
          <w:p w14:paraId="13AFABC4"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2</w:t>
            </w:r>
          </w:p>
        </w:tc>
        <w:tc>
          <w:tcPr>
            <w:tcW w:w="1311" w:type="dxa"/>
          </w:tcPr>
          <w:p w14:paraId="555D3294"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736A3054"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4BCCFB2E"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$16,500</w:t>
            </w:r>
          </w:p>
        </w:tc>
        <w:tc>
          <w:tcPr>
            <w:tcW w:w="992" w:type="dxa"/>
          </w:tcPr>
          <w:p w14:paraId="11CCE683"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9</w:t>
            </w:r>
          </w:p>
        </w:tc>
      </w:tr>
      <w:tr w:rsidR="00662EB5" w:rsidRPr="00003987" w14:paraId="3DA2960A"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0A374F84"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115 Approval of transfer of petroleum title (s473)</w:t>
            </w:r>
          </w:p>
        </w:tc>
        <w:tc>
          <w:tcPr>
            <w:tcW w:w="1311" w:type="dxa"/>
          </w:tcPr>
          <w:p w14:paraId="06F22D89"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21</w:t>
            </w:r>
          </w:p>
        </w:tc>
        <w:tc>
          <w:tcPr>
            <w:tcW w:w="1311" w:type="dxa"/>
          </w:tcPr>
          <w:p w14:paraId="13C98530"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3507408E"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72445150"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$173,250</w:t>
            </w:r>
          </w:p>
        </w:tc>
        <w:tc>
          <w:tcPr>
            <w:tcW w:w="992" w:type="dxa"/>
          </w:tcPr>
          <w:p w14:paraId="41F06013"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10</w:t>
            </w:r>
          </w:p>
        </w:tc>
      </w:tr>
      <w:tr w:rsidR="00662EB5" w:rsidRPr="00003987" w14:paraId="3586FB80"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62CF02"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116 Approval of dealing relating to petroleum title (s488)</w:t>
            </w:r>
          </w:p>
        </w:tc>
        <w:tc>
          <w:tcPr>
            <w:tcW w:w="1311" w:type="dxa"/>
          </w:tcPr>
          <w:p w14:paraId="66AC3D3E"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108</w:t>
            </w:r>
          </w:p>
        </w:tc>
        <w:tc>
          <w:tcPr>
            <w:tcW w:w="1311" w:type="dxa"/>
          </w:tcPr>
          <w:p w14:paraId="78B6523B"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057D920E"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3D58D6DD"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$891,000</w:t>
            </w:r>
          </w:p>
        </w:tc>
        <w:tc>
          <w:tcPr>
            <w:tcW w:w="992" w:type="dxa"/>
          </w:tcPr>
          <w:p w14:paraId="1437A378"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10</w:t>
            </w:r>
          </w:p>
        </w:tc>
      </w:tr>
      <w:tr w:rsidR="00662EB5" w:rsidRPr="00003987" w14:paraId="13CD14A8"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166B2D3A"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116A Request for a variation of a declaration of location (s133(1))</w:t>
            </w:r>
          </w:p>
        </w:tc>
        <w:tc>
          <w:tcPr>
            <w:tcW w:w="1311" w:type="dxa"/>
          </w:tcPr>
          <w:p w14:paraId="28B2C7BD"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6DA563F1"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7CF7FCEC"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50AEEAFC"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6179AC1F"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4</w:t>
            </w:r>
          </w:p>
        </w:tc>
      </w:tr>
      <w:tr w:rsidR="00662EB5" w:rsidRPr="00003987" w14:paraId="5FB4BD5B"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9E1A04"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117 Application for a petroleum access authority (s242)</w:t>
            </w:r>
          </w:p>
        </w:tc>
        <w:tc>
          <w:tcPr>
            <w:tcW w:w="1311" w:type="dxa"/>
          </w:tcPr>
          <w:p w14:paraId="7558F300"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3</w:t>
            </w:r>
          </w:p>
        </w:tc>
        <w:tc>
          <w:tcPr>
            <w:tcW w:w="1311" w:type="dxa"/>
          </w:tcPr>
          <w:p w14:paraId="706F4840"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7833A5D3"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706D831D"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$24,750</w:t>
            </w:r>
          </w:p>
        </w:tc>
        <w:tc>
          <w:tcPr>
            <w:tcW w:w="992" w:type="dxa"/>
          </w:tcPr>
          <w:p w14:paraId="344BEC4B"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9</w:t>
            </w:r>
          </w:p>
        </w:tc>
      </w:tr>
      <w:tr w:rsidR="00662EB5" w:rsidRPr="00003987" w14:paraId="704FD92E"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33D12A2B" w14:textId="3E5DAE3B"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118 Application for one or more of the following (s264)</w:t>
            </w:r>
            <w:r w:rsidR="00E75476">
              <w:rPr>
                <w:rFonts w:asciiTheme="minorHAnsi" w:hAnsiTheme="minorHAnsi" w:cstheme="minorHAnsi"/>
                <w:b w:val="0"/>
                <w:color w:val="17365D" w:themeColor="text2" w:themeShade="BF"/>
                <w:sz w:val="20"/>
                <w:szCs w:val="20"/>
              </w:rPr>
              <w:t>(1)</w:t>
            </w:r>
            <w:r w:rsidRPr="00003987">
              <w:rPr>
                <w:rFonts w:asciiTheme="minorHAnsi" w:hAnsiTheme="minorHAnsi" w:cstheme="minorHAnsi"/>
                <w:b w:val="0"/>
                <w:color w:val="17365D" w:themeColor="text2" w:themeShade="BF"/>
                <w:sz w:val="20"/>
                <w:szCs w:val="20"/>
              </w:rPr>
              <w:t>:</w:t>
            </w:r>
          </w:p>
          <w:p w14:paraId="7A4B92DA" w14:textId="77777777" w:rsidR="00662EB5" w:rsidRPr="00003987" w:rsidRDefault="00662EB5" w:rsidP="00A174D5">
            <w:pPr>
              <w:pStyle w:val="ListParagraph"/>
              <w:numPr>
                <w:ilvl w:val="0"/>
                <w:numId w:val="9"/>
              </w:num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variation of conditions of permit, lease or licence;</w:t>
            </w:r>
          </w:p>
          <w:p w14:paraId="404DB03A" w14:textId="77777777" w:rsidR="00662EB5" w:rsidRPr="00003987" w:rsidRDefault="00662EB5" w:rsidP="00A174D5">
            <w:pPr>
              <w:pStyle w:val="ListParagraph"/>
              <w:numPr>
                <w:ilvl w:val="0"/>
                <w:numId w:val="9"/>
              </w:num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suspension of conditions and extension of the term of permit or lease;</w:t>
            </w:r>
          </w:p>
          <w:p w14:paraId="7F6E84CC" w14:textId="77777777" w:rsidR="00662EB5" w:rsidRPr="00003987" w:rsidRDefault="00662EB5" w:rsidP="00A174D5">
            <w:pPr>
              <w:pStyle w:val="ListParagraph"/>
              <w:numPr>
                <w:ilvl w:val="0"/>
                <w:numId w:val="9"/>
              </w:num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exemption from conditions of permit, lease or licence;</w:t>
            </w:r>
          </w:p>
          <w:p w14:paraId="4DE97D3F" w14:textId="77777777" w:rsidR="00662EB5" w:rsidRPr="00003987" w:rsidRDefault="00662EB5" w:rsidP="00A174D5">
            <w:pPr>
              <w:pStyle w:val="ListParagraph"/>
              <w:numPr>
                <w:ilvl w:val="0"/>
                <w:numId w:val="9"/>
              </w:num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lastRenderedPageBreak/>
              <w:t>suspension of conditions of licence, permit or lease.</w:t>
            </w:r>
          </w:p>
        </w:tc>
        <w:tc>
          <w:tcPr>
            <w:tcW w:w="1311" w:type="dxa"/>
          </w:tcPr>
          <w:p w14:paraId="1176AC89"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lastRenderedPageBreak/>
              <w:t>50</w:t>
            </w:r>
          </w:p>
        </w:tc>
        <w:tc>
          <w:tcPr>
            <w:tcW w:w="1311" w:type="dxa"/>
          </w:tcPr>
          <w:p w14:paraId="10C5C4A9"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0E16466A"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0797FAC5"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$412,500</w:t>
            </w:r>
          </w:p>
        </w:tc>
        <w:tc>
          <w:tcPr>
            <w:tcW w:w="992" w:type="dxa"/>
          </w:tcPr>
          <w:p w14:paraId="6C7C1C20"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3</w:t>
            </w:r>
          </w:p>
        </w:tc>
      </w:tr>
      <w:tr w:rsidR="00662EB5" w:rsidRPr="00003987" w14:paraId="75170BDD"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4BA6BB"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119 Nomination by permitee for declaration of a location in relation to a petroleum title (s129)</w:t>
            </w:r>
          </w:p>
        </w:tc>
        <w:tc>
          <w:tcPr>
            <w:tcW w:w="1311" w:type="dxa"/>
          </w:tcPr>
          <w:p w14:paraId="6B4838DC"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w:t>
            </w:r>
          </w:p>
        </w:tc>
        <w:tc>
          <w:tcPr>
            <w:tcW w:w="1311" w:type="dxa"/>
          </w:tcPr>
          <w:p w14:paraId="4CBA4376"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20BAE34E"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3CAEEE38"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992" w:type="dxa"/>
          </w:tcPr>
          <w:p w14:paraId="1DF5ADBE"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4</w:t>
            </w:r>
          </w:p>
        </w:tc>
      </w:tr>
      <w:tr w:rsidR="00662EB5" w:rsidRPr="00003987" w14:paraId="0AB96EC3"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102F262F"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120 Application for a consent to surrender a title (s269)</w:t>
            </w:r>
          </w:p>
        </w:tc>
        <w:tc>
          <w:tcPr>
            <w:tcW w:w="1311" w:type="dxa"/>
          </w:tcPr>
          <w:p w14:paraId="7BD88727"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c>
          <w:tcPr>
            <w:tcW w:w="1311" w:type="dxa"/>
          </w:tcPr>
          <w:p w14:paraId="3CC5D835"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0D04389B"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75FC537E"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$90,750</w:t>
            </w:r>
          </w:p>
        </w:tc>
        <w:tc>
          <w:tcPr>
            <w:tcW w:w="992" w:type="dxa"/>
          </w:tcPr>
          <w:p w14:paraId="6C1C0A06"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3</w:t>
            </w:r>
          </w:p>
        </w:tc>
      </w:tr>
      <w:tr w:rsidR="00662EB5" w:rsidRPr="00003987" w14:paraId="136257E7"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DAD595"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121 Application for a declaration of a part of a geological formation as an identified greenhouse gas storage formation (s312 or 312A)</w:t>
            </w:r>
          </w:p>
        </w:tc>
        <w:tc>
          <w:tcPr>
            <w:tcW w:w="1311" w:type="dxa"/>
          </w:tcPr>
          <w:p w14:paraId="14406516"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0572BA10"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1D58ACB7"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6DE6A518"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445887E6"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662EB5" w:rsidRPr="00003987" w14:paraId="1358654F"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3ED2E820"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122 Application for variation of a declaration of an identified greenhouse gas storage formation (s313)</w:t>
            </w:r>
          </w:p>
        </w:tc>
        <w:tc>
          <w:tcPr>
            <w:tcW w:w="1311" w:type="dxa"/>
          </w:tcPr>
          <w:p w14:paraId="3C1FD7BC"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2CA42569"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303BE604"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04F3FC20"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1F1C14D8"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662EB5" w:rsidRPr="00003987" w14:paraId="094261A6"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333C13"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123 Application for a greenhouse gas special authority (s415)</w:t>
            </w:r>
          </w:p>
        </w:tc>
        <w:tc>
          <w:tcPr>
            <w:tcW w:w="1311" w:type="dxa"/>
          </w:tcPr>
          <w:p w14:paraId="65947D77"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0C9E32E6"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2C134DEA"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7BA0D1DC"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639FEC8A"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662EB5" w:rsidRPr="00003987" w14:paraId="61E149ED"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52A8C5EA"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124 Application for one or more of the following (s436(1)) in relation to a greenhouse gas assessment permit, greenhouse gas holding lease or greenhouse gas injection licence:</w:t>
            </w:r>
          </w:p>
          <w:p w14:paraId="2FBD8D15" w14:textId="77777777" w:rsidR="00662EB5" w:rsidRPr="00003987" w:rsidRDefault="00662EB5" w:rsidP="00A174D5">
            <w:pPr>
              <w:pStyle w:val="ListParagraph"/>
              <w:numPr>
                <w:ilvl w:val="0"/>
                <w:numId w:val="10"/>
              </w:num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variation or suspension of any of the conditions to which the permit, lease or licence is subject;</w:t>
            </w:r>
          </w:p>
          <w:p w14:paraId="15DA27C3" w14:textId="77777777" w:rsidR="00662EB5" w:rsidRPr="00003987" w:rsidRDefault="00662EB5" w:rsidP="00A174D5">
            <w:pPr>
              <w:pStyle w:val="ListParagraph"/>
              <w:numPr>
                <w:ilvl w:val="0"/>
                <w:numId w:val="10"/>
              </w:num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exemption from compliance with any of the conditions to which the permit, lease or licence is subject.</w:t>
            </w:r>
          </w:p>
        </w:tc>
        <w:tc>
          <w:tcPr>
            <w:tcW w:w="1311" w:type="dxa"/>
          </w:tcPr>
          <w:p w14:paraId="6D34221A"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040D3D7B"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0AFC38E1"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091ED520"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7EE2E7BD"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662EB5" w:rsidRPr="00003987" w14:paraId="064F5A22"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DDE423"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124A Application for one or more of the following (s439A(1)) in relation to a cross-boundary greenhouse gas assessment permit, cross-boundary greenhouse gas holding lease or cross-boundary greenhouse gas injection licence:</w:t>
            </w:r>
          </w:p>
          <w:p w14:paraId="4D85E0CA" w14:textId="77777777" w:rsidR="00662EB5" w:rsidRPr="00003987" w:rsidRDefault="00662EB5" w:rsidP="00A174D5">
            <w:pPr>
              <w:pStyle w:val="ListParagraph"/>
              <w:numPr>
                <w:ilvl w:val="0"/>
                <w:numId w:val="11"/>
              </w:num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variation or suspension of any of the conditions to which the permit, lease or licence is subject;</w:t>
            </w:r>
          </w:p>
          <w:p w14:paraId="240D8990" w14:textId="77777777" w:rsidR="00662EB5" w:rsidRPr="00003987" w:rsidRDefault="00662EB5" w:rsidP="00A174D5">
            <w:pPr>
              <w:pStyle w:val="ListParagraph"/>
              <w:numPr>
                <w:ilvl w:val="0"/>
                <w:numId w:val="11"/>
              </w:num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exemption from compliance with any of the conditions to which the permit, lease or licence is subject</w:t>
            </w:r>
          </w:p>
        </w:tc>
        <w:tc>
          <w:tcPr>
            <w:tcW w:w="1311" w:type="dxa"/>
          </w:tcPr>
          <w:p w14:paraId="36632D88"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15D69A8B"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64F37BB1"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6BDD3427"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2026A9DE"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662EB5" w:rsidRPr="00003987" w14:paraId="51BCAC1B"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2D416B79"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125 Application for acceptance of a field development plan (r4.04)</w:t>
            </w:r>
          </w:p>
        </w:tc>
        <w:tc>
          <w:tcPr>
            <w:tcW w:w="1311" w:type="dxa"/>
          </w:tcPr>
          <w:p w14:paraId="41C4BF5F"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33EE851E"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60758F10"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18FE3760"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6B9F1A31"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6</w:t>
            </w:r>
          </w:p>
        </w:tc>
      </w:tr>
      <w:tr w:rsidR="00662EB5" w:rsidRPr="00003987" w14:paraId="7CD48A2B"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236DA3"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126 Application for variation of a field development plan (r4.08)</w:t>
            </w:r>
          </w:p>
        </w:tc>
        <w:tc>
          <w:tcPr>
            <w:tcW w:w="1311" w:type="dxa"/>
          </w:tcPr>
          <w:p w14:paraId="4031DA49"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w:t>
            </w:r>
          </w:p>
        </w:tc>
        <w:tc>
          <w:tcPr>
            <w:tcW w:w="1311" w:type="dxa"/>
          </w:tcPr>
          <w:p w14:paraId="538FF4B7"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54ABF449"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63C76C42"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992" w:type="dxa"/>
          </w:tcPr>
          <w:p w14:paraId="749114B6"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6</w:t>
            </w:r>
          </w:p>
        </w:tc>
      </w:tr>
      <w:tr w:rsidR="00662EB5" w:rsidRPr="00003987" w14:paraId="60AC9482"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00C57DCC"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127 Application for permission to undertake recovery of petroleum from a petroleum pool in a licence area (r4.14)</w:t>
            </w:r>
          </w:p>
        </w:tc>
        <w:tc>
          <w:tcPr>
            <w:tcW w:w="1311" w:type="dxa"/>
          </w:tcPr>
          <w:p w14:paraId="3377BD6C"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13AAA890"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15115081"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544A18D3"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39A74270"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6</w:t>
            </w:r>
          </w:p>
        </w:tc>
      </w:tr>
      <w:tr w:rsidR="00662EB5" w:rsidRPr="00003987" w14:paraId="2E9354DD"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CA268D"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lastRenderedPageBreak/>
              <w:t>128 Application for approval of the rate of recovery of petroleum from a petroleum pool in a licence area (r4.18)</w:t>
            </w:r>
          </w:p>
        </w:tc>
        <w:tc>
          <w:tcPr>
            <w:tcW w:w="1311" w:type="dxa"/>
          </w:tcPr>
          <w:p w14:paraId="0135DB93"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4</w:t>
            </w:r>
          </w:p>
        </w:tc>
        <w:tc>
          <w:tcPr>
            <w:tcW w:w="1311" w:type="dxa"/>
          </w:tcPr>
          <w:p w14:paraId="0A353C8B"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3760656F"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08201680"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$33,000</w:t>
            </w:r>
          </w:p>
        </w:tc>
        <w:tc>
          <w:tcPr>
            <w:tcW w:w="992" w:type="dxa"/>
          </w:tcPr>
          <w:p w14:paraId="520BED16"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6</w:t>
            </w:r>
          </w:p>
        </w:tc>
      </w:tr>
      <w:tr w:rsidR="00662EB5" w:rsidRPr="00003987" w14:paraId="57E8A745"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652B5D07"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201 Work-bid greenhouse gas assessment permit</w:t>
            </w:r>
          </w:p>
        </w:tc>
        <w:tc>
          <w:tcPr>
            <w:tcW w:w="1311" w:type="dxa"/>
          </w:tcPr>
          <w:p w14:paraId="4B9CBEF7"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w:t>
            </w:r>
          </w:p>
        </w:tc>
        <w:tc>
          <w:tcPr>
            <w:tcW w:w="1311" w:type="dxa"/>
          </w:tcPr>
          <w:p w14:paraId="5756F95F"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3EA9A414"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0D0862B1"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992" w:type="dxa"/>
          </w:tcPr>
          <w:p w14:paraId="15BEE876"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662EB5" w:rsidRPr="00003987" w14:paraId="1B149CC8"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65E8F2"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201A Cross-boundary greenhouse gas assessment permit</w:t>
            </w:r>
          </w:p>
        </w:tc>
        <w:tc>
          <w:tcPr>
            <w:tcW w:w="1311" w:type="dxa"/>
          </w:tcPr>
          <w:p w14:paraId="47A64E73"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521C7701"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290E4A6A"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24499150"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35586482"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662EB5" w:rsidRPr="00003987" w14:paraId="58859AA6"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00CF5810"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202 Cash-bid greenhouse gas assessment permit</w:t>
            </w:r>
          </w:p>
        </w:tc>
        <w:tc>
          <w:tcPr>
            <w:tcW w:w="1311" w:type="dxa"/>
          </w:tcPr>
          <w:p w14:paraId="2D720227"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09C96FAF"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0FCE3F91"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7669553B"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41F7BFCB"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662EB5" w:rsidRPr="00003987" w14:paraId="2389A804"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8AAC39"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203 Renewal of greenhouse gas assessment permit</w:t>
            </w:r>
          </w:p>
        </w:tc>
        <w:tc>
          <w:tcPr>
            <w:tcW w:w="1311" w:type="dxa"/>
          </w:tcPr>
          <w:p w14:paraId="1AFDB8FD"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w:t>
            </w:r>
          </w:p>
        </w:tc>
        <w:tc>
          <w:tcPr>
            <w:tcW w:w="1311" w:type="dxa"/>
          </w:tcPr>
          <w:p w14:paraId="12AE70D2"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492AD086"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0A8E9347"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992" w:type="dxa"/>
          </w:tcPr>
          <w:p w14:paraId="1AB4C22B"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662EB5" w:rsidRPr="00003987" w14:paraId="2E1C534F"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72FF645C"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204 Greenhouse gas holding lease (all types)</w:t>
            </w:r>
          </w:p>
        </w:tc>
        <w:tc>
          <w:tcPr>
            <w:tcW w:w="1311" w:type="dxa"/>
          </w:tcPr>
          <w:p w14:paraId="4ABA257E"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623D2737"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5F165E04"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7821B503"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402A3411"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662EB5" w:rsidRPr="00003987" w14:paraId="5EB6FDF0"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B4BD18"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205 Renewal of greenhouse gas holding lease</w:t>
            </w:r>
          </w:p>
        </w:tc>
        <w:tc>
          <w:tcPr>
            <w:tcW w:w="1311" w:type="dxa"/>
          </w:tcPr>
          <w:p w14:paraId="23C6E875"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20D0A6D3"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7F9CA9B7"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3827D31B"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6ADA95F0"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662EB5" w:rsidRPr="00003987" w14:paraId="4E546844"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2D38D3CE"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206 Greenhouse gas injection licence</w:t>
            </w:r>
          </w:p>
        </w:tc>
        <w:tc>
          <w:tcPr>
            <w:tcW w:w="1311" w:type="dxa"/>
          </w:tcPr>
          <w:p w14:paraId="782243B9"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w:t>
            </w:r>
          </w:p>
        </w:tc>
        <w:tc>
          <w:tcPr>
            <w:tcW w:w="1311" w:type="dxa"/>
          </w:tcPr>
          <w:p w14:paraId="558D11C2"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1FEF1B91" w14:textId="1DB6EB70"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r w:rsidR="00D72CB0">
              <w:rPr>
                <w:rFonts w:asciiTheme="minorHAnsi" w:hAnsiTheme="minorHAnsi" w:cstheme="minorHAnsi"/>
                <w:bCs/>
                <w:color w:val="17365D" w:themeColor="text2" w:themeShade="BF"/>
                <w:sz w:val="20"/>
                <w:szCs w:val="20"/>
              </w:rPr>
              <w:t>8,250</w:t>
            </w:r>
          </w:p>
        </w:tc>
        <w:tc>
          <w:tcPr>
            <w:tcW w:w="1312" w:type="dxa"/>
          </w:tcPr>
          <w:p w14:paraId="33014638" w14:textId="0D72F71D"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r w:rsidR="00D72CB0">
              <w:rPr>
                <w:rFonts w:asciiTheme="minorHAnsi" w:hAnsiTheme="minorHAnsi" w:cstheme="minorHAnsi"/>
                <w:bCs/>
                <w:color w:val="17365D" w:themeColor="text2" w:themeShade="BF"/>
                <w:sz w:val="20"/>
                <w:szCs w:val="20"/>
              </w:rPr>
              <w:t>8,250</w:t>
            </w:r>
          </w:p>
        </w:tc>
        <w:tc>
          <w:tcPr>
            <w:tcW w:w="992" w:type="dxa"/>
          </w:tcPr>
          <w:p w14:paraId="52EFA331"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662EB5" w:rsidRPr="00003987" w14:paraId="71D8FE3E"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30CDE6"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207 Greenhouse gas search authority</w:t>
            </w:r>
          </w:p>
        </w:tc>
        <w:tc>
          <w:tcPr>
            <w:tcW w:w="1311" w:type="dxa"/>
          </w:tcPr>
          <w:p w14:paraId="4657B830"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2E41D5CA"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2EB383BF"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$8,250</w:t>
            </w:r>
          </w:p>
        </w:tc>
        <w:tc>
          <w:tcPr>
            <w:tcW w:w="1312" w:type="dxa"/>
          </w:tcPr>
          <w:p w14:paraId="37D1F64D"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0CE2BF7E" w14:textId="77777777" w:rsidR="00662EB5" w:rsidRPr="00003987" w:rsidRDefault="00662EB5" w:rsidP="0076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662EB5" w:rsidRPr="00003987" w14:paraId="0B0ADA52"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2C9E7694" w14:textId="77777777" w:rsidR="00662EB5" w:rsidRPr="00003987" w:rsidRDefault="00662EB5" w:rsidP="00762402">
            <w:pPr>
              <w:rPr>
                <w:rFonts w:asciiTheme="minorHAnsi" w:hAnsiTheme="minorHAnsi" w:cstheme="minorHAnsi"/>
                <w:b w:val="0"/>
                <w:color w:val="17365D" w:themeColor="text2" w:themeShade="BF"/>
                <w:sz w:val="20"/>
                <w:szCs w:val="20"/>
              </w:rPr>
            </w:pPr>
            <w:r w:rsidRPr="00003987">
              <w:rPr>
                <w:rFonts w:asciiTheme="minorHAnsi" w:hAnsiTheme="minorHAnsi" w:cstheme="minorHAnsi"/>
                <w:b w:val="0"/>
                <w:color w:val="17365D" w:themeColor="text2" w:themeShade="BF"/>
                <w:sz w:val="20"/>
                <w:szCs w:val="20"/>
              </w:rPr>
              <w:t>208 Greenhouse gas site closing certificate</w:t>
            </w:r>
          </w:p>
        </w:tc>
        <w:tc>
          <w:tcPr>
            <w:tcW w:w="1311" w:type="dxa"/>
          </w:tcPr>
          <w:p w14:paraId="5637CE87"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1311" w:type="dxa"/>
          </w:tcPr>
          <w:p w14:paraId="35FAE4D0"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$7,500</w:t>
            </w:r>
          </w:p>
        </w:tc>
        <w:tc>
          <w:tcPr>
            <w:tcW w:w="1311" w:type="dxa"/>
          </w:tcPr>
          <w:p w14:paraId="7528DC3F" w14:textId="0E7EDBB2"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r w:rsidR="00D72CB0">
              <w:rPr>
                <w:rFonts w:asciiTheme="minorHAnsi" w:hAnsiTheme="minorHAnsi" w:cstheme="minorHAnsi"/>
                <w:bCs/>
                <w:color w:val="17365D" w:themeColor="text2" w:themeShade="BF"/>
                <w:sz w:val="20"/>
                <w:szCs w:val="20"/>
              </w:rPr>
              <w:t>8,250</w:t>
            </w:r>
          </w:p>
        </w:tc>
        <w:tc>
          <w:tcPr>
            <w:tcW w:w="1312" w:type="dxa"/>
          </w:tcPr>
          <w:p w14:paraId="3B96512D"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w:t>
            </w:r>
          </w:p>
        </w:tc>
        <w:tc>
          <w:tcPr>
            <w:tcW w:w="992" w:type="dxa"/>
          </w:tcPr>
          <w:p w14:paraId="10B50198" w14:textId="77777777" w:rsidR="00662EB5" w:rsidRPr="00003987" w:rsidRDefault="00662EB5" w:rsidP="0076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Cs/>
                <w:color w:val="17365D" w:themeColor="text2" w:themeShade="BF"/>
                <w:sz w:val="20"/>
                <w:szCs w:val="20"/>
              </w:rPr>
              <w:t>11</w:t>
            </w:r>
          </w:p>
        </w:tc>
      </w:tr>
      <w:tr w:rsidR="00094BFC" w:rsidRPr="00003987" w14:paraId="1B858426" w14:textId="77777777" w:rsidTr="00094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6"/>
            <w:shd w:val="clear" w:color="auto" w:fill="0F243E" w:themeFill="text2" w:themeFillShade="80"/>
          </w:tcPr>
          <w:p w14:paraId="1F30504E" w14:textId="0DC27DFA" w:rsidR="00094BFC" w:rsidRPr="00094BFC" w:rsidRDefault="003821B5" w:rsidP="00762402">
            <w:pPr>
              <w:jc w:val="center"/>
              <w:rPr>
                <w:rFonts w:asciiTheme="minorHAnsi" w:hAnsiTheme="minorHAnsi" w:cstheme="minorHAnsi"/>
                <w:bCs w:val="0"/>
                <w:color w:val="FFFFFF" w:themeColor="background1"/>
                <w:sz w:val="20"/>
                <w:szCs w:val="20"/>
              </w:rPr>
            </w:pPr>
            <w:r>
              <w:rPr>
                <w:rFonts w:asciiTheme="minorHAnsi" w:hAnsiTheme="minorHAnsi" w:cstheme="minorHAnsi"/>
                <w:bCs w:val="0"/>
                <w:color w:val="FFFFFF" w:themeColor="background1"/>
                <w:sz w:val="20"/>
                <w:szCs w:val="20"/>
              </w:rPr>
              <w:t>ADDITIONAL</w:t>
            </w:r>
          </w:p>
        </w:tc>
      </w:tr>
      <w:tr w:rsidR="00094BFC" w:rsidRPr="00003987" w14:paraId="78D14936"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62651B4E" w14:textId="6F808AB2" w:rsidR="00094BFC" w:rsidRPr="00094BFC" w:rsidRDefault="00094BFC" w:rsidP="00094BFC">
            <w:pPr>
              <w:rPr>
                <w:rFonts w:asciiTheme="minorHAnsi" w:hAnsiTheme="minorHAnsi" w:cstheme="minorHAnsi"/>
                <w:b w:val="0"/>
                <w:i/>
                <w:iCs/>
                <w:color w:val="17365D" w:themeColor="text2" w:themeShade="BF"/>
                <w:sz w:val="20"/>
                <w:szCs w:val="20"/>
              </w:rPr>
            </w:pPr>
            <w:r w:rsidRPr="00094BFC">
              <w:rPr>
                <w:rFonts w:asciiTheme="minorHAnsi" w:hAnsiTheme="minorHAnsi" w:cstheme="minorHAnsi"/>
                <w:b w:val="0"/>
                <w:i/>
                <w:iCs/>
                <w:color w:val="17365D" w:themeColor="text2" w:themeShade="BF"/>
                <w:sz w:val="20"/>
                <w:szCs w:val="20"/>
              </w:rPr>
              <w:t xml:space="preserve">Change </w:t>
            </w:r>
            <w:r w:rsidR="00D830B4">
              <w:rPr>
                <w:rFonts w:asciiTheme="minorHAnsi" w:hAnsiTheme="minorHAnsi" w:cstheme="minorHAnsi"/>
                <w:b w:val="0"/>
                <w:i/>
                <w:iCs/>
                <w:color w:val="17365D" w:themeColor="text2" w:themeShade="BF"/>
                <w:sz w:val="20"/>
                <w:szCs w:val="20"/>
              </w:rPr>
              <w:t>in</w:t>
            </w:r>
            <w:r w:rsidRPr="00094BFC">
              <w:rPr>
                <w:rFonts w:asciiTheme="minorHAnsi" w:hAnsiTheme="minorHAnsi" w:cstheme="minorHAnsi"/>
                <w:b w:val="0"/>
                <w:i/>
                <w:iCs/>
                <w:color w:val="17365D" w:themeColor="text2" w:themeShade="BF"/>
                <w:sz w:val="20"/>
                <w:szCs w:val="20"/>
              </w:rPr>
              <w:t xml:space="preserve"> control</w:t>
            </w:r>
            <w:r w:rsidR="00D830B4">
              <w:rPr>
                <w:rFonts w:asciiTheme="minorHAnsi" w:hAnsiTheme="minorHAnsi" w:cstheme="minorHAnsi"/>
                <w:b w:val="0"/>
                <w:i/>
                <w:iCs/>
                <w:color w:val="17365D" w:themeColor="text2" w:themeShade="BF"/>
                <w:sz w:val="20"/>
                <w:szCs w:val="20"/>
              </w:rPr>
              <w:t xml:space="preserve"> of a registered titleholder</w:t>
            </w:r>
            <w:r w:rsidRPr="00094BFC">
              <w:rPr>
                <w:rFonts w:asciiTheme="minorHAnsi" w:hAnsiTheme="minorHAnsi" w:cstheme="minorHAnsi"/>
                <w:b w:val="0"/>
                <w:i/>
                <w:iCs/>
                <w:color w:val="17365D" w:themeColor="text2" w:themeShade="BF"/>
                <w:sz w:val="20"/>
                <w:szCs w:val="20"/>
              </w:rPr>
              <w:t xml:space="preserve"> (s566M)</w:t>
            </w:r>
          </w:p>
        </w:tc>
        <w:tc>
          <w:tcPr>
            <w:tcW w:w="1311" w:type="dxa"/>
          </w:tcPr>
          <w:p w14:paraId="5BD56B28" w14:textId="2C7F08B2" w:rsidR="00094BFC" w:rsidRPr="00094BFC" w:rsidRDefault="00094BFC"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21</w:t>
            </w:r>
          </w:p>
        </w:tc>
        <w:tc>
          <w:tcPr>
            <w:tcW w:w="1311" w:type="dxa"/>
          </w:tcPr>
          <w:p w14:paraId="257CC5FC" w14:textId="5B5D4CF0" w:rsidR="00094BFC" w:rsidRPr="00094BFC" w:rsidRDefault="00A51B77"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r>
              <w:rPr>
                <w:rFonts w:asciiTheme="minorHAnsi" w:hAnsiTheme="minorHAnsi" w:cstheme="minorHAnsi"/>
                <w:bCs/>
                <w:i/>
                <w:iCs/>
                <w:color w:val="17365D" w:themeColor="text2" w:themeShade="BF"/>
                <w:sz w:val="20"/>
                <w:szCs w:val="20"/>
              </w:rPr>
              <w:t>-</w:t>
            </w:r>
          </w:p>
        </w:tc>
        <w:tc>
          <w:tcPr>
            <w:tcW w:w="1311" w:type="dxa"/>
          </w:tcPr>
          <w:p w14:paraId="3EC40FF7" w14:textId="027EB0A8" w:rsidR="00094BFC" w:rsidRPr="00094BFC" w:rsidRDefault="00094BFC"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$8,250</w:t>
            </w:r>
          </w:p>
        </w:tc>
        <w:tc>
          <w:tcPr>
            <w:tcW w:w="1312" w:type="dxa"/>
          </w:tcPr>
          <w:p w14:paraId="02A55226" w14:textId="514BDB39" w:rsidR="00094BFC" w:rsidRPr="00094BFC" w:rsidRDefault="00094BFC"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$173,250</w:t>
            </w:r>
          </w:p>
        </w:tc>
        <w:tc>
          <w:tcPr>
            <w:tcW w:w="992" w:type="dxa"/>
          </w:tcPr>
          <w:p w14:paraId="1B4D1FFF" w14:textId="6625EA68" w:rsidR="00094BFC" w:rsidRPr="00094BFC" w:rsidRDefault="00094BFC"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10</w:t>
            </w:r>
          </w:p>
        </w:tc>
      </w:tr>
      <w:tr w:rsidR="00094BFC" w:rsidRPr="00003987" w14:paraId="6CCF9635"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5DE47F" w14:textId="77777777" w:rsidR="00094BFC" w:rsidRPr="00094BFC" w:rsidRDefault="00094BFC" w:rsidP="00094BFC">
            <w:pPr>
              <w:rPr>
                <w:rFonts w:asciiTheme="minorHAnsi" w:hAnsiTheme="minorHAnsi" w:cstheme="minorHAnsi"/>
                <w:b w:val="0"/>
                <w:i/>
                <w:iCs/>
                <w:color w:val="17365D" w:themeColor="text2" w:themeShade="BF"/>
                <w:sz w:val="20"/>
                <w:szCs w:val="20"/>
              </w:rPr>
            </w:pPr>
            <w:r w:rsidRPr="00094BFC">
              <w:rPr>
                <w:rFonts w:asciiTheme="minorHAnsi" w:hAnsiTheme="minorHAnsi" w:cstheme="minorHAnsi"/>
                <w:b w:val="0"/>
                <w:i/>
                <w:iCs/>
                <w:color w:val="17365D" w:themeColor="text2" w:themeShade="BF"/>
                <w:sz w:val="20"/>
                <w:szCs w:val="20"/>
              </w:rPr>
              <w:t>Approval of transfer of greenhouse</w:t>
            </w:r>
          </w:p>
          <w:p w14:paraId="53AB2B91" w14:textId="421395E8" w:rsidR="00094BFC" w:rsidRPr="00094BFC" w:rsidRDefault="00094BFC" w:rsidP="00094BFC">
            <w:pPr>
              <w:rPr>
                <w:rFonts w:asciiTheme="minorHAnsi" w:hAnsiTheme="minorHAnsi" w:cstheme="minorHAnsi"/>
                <w:b w:val="0"/>
                <w:i/>
                <w:iCs/>
                <w:color w:val="17365D" w:themeColor="text2" w:themeShade="BF"/>
                <w:sz w:val="20"/>
                <w:szCs w:val="20"/>
              </w:rPr>
            </w:pPr>
            <w:r w:rsidRPr="00094BFC">
              <w:rPr>
                <w:rFonts w:asciiTheme="minorHAnsi" w:hAnsiTheme="minorHAnsi" w:cstheme="minorHAnsi"/>
                <w:b w:val="0"/>
                <w:i/>
                <w:iCs/>
                <w:color w:val="17365D" w:themeColor="text2" w:themeShade="BF"/>
                <w:sz w:val="20"/>
                <w:szCs w:val="20"/>
              </w:rPr>
              <w:t>gas title (s525)</w:t>
            </w:r>
          </w:p>
        </w:tc>
        <w:tc>
          <w:tcPr>
            <w:tcW w:w="1311" w:type="dxa"/>
          </w:tcPr>
          <w:p w14:paraId="68B33383" w14:textId="046AC0D9" w:rsidR="00094BFC" w:rsidRPr="00094BFC" w:rsidRDefault="00094BFC"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w:t>
            </w:r>
          </w:p>
        </w:tc>
        <w:tc>
          <w:tcPr>
            <w:tcW w:w="1311" w:type="dxa"/>
          </w:tcPr>
          <w:p w14:paraId="3DCC20A0" w14:textId="255D69F5" w:rsidR="00094BFC" w:rsidRPr="00094BFC" w:rsidRDefault="00A51B77"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color w:val="17365D" w:themeColor="text2" w:themeShade="BF"/>
                <w:sz w:val="20"/>
                <w:szCs w:val="20"/>
              </w:rPr>
            </w:pPr>
            <w:r>
              <w:rPr>
                <w:rFonts w:asciiTheme="minorHAnsi" w:hAnsiTheme="minorHAnsi" w:cstheme="minorHAnsi"/>
                <w:bCs/>
                <w:i/>
                <w:iCs/>
                <w:color w:val="17365D" w:themeColor="text2" w:themeShade="BF"/>
                <w:sz w:val="20"/>
                <w:szCs w:val="20"/>
              </w:rPr>
              <w:t>-</w:t>
            </w:r>
          </w:p>
        </w:tc>
        <w:tc>
          <w:tcPr>
            <w:tcW w:w="1311" w:type="dxa"/>
          </w:tcPr>
          <w:p w14:paraId="5B0C7383" w14:textId="383302B3" w:rsidR="00094BFC" w:rsidRPr="00094BFC" w:rsidRDefault="00094BFC"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$8,250</w:t>
            </w:r>
          </w:p>
        </w:tc>
        <w:tc>
          <w:tcPr>
            <w:tcW w:w="1312" w:type="dxa"/>
          </w:tcPr>
          <w:p w14:paraId="07B85D2F" w14:textId="17FB63DF" w:rsidR="00094BFC" w:rsidRPr="00094BFC" w:rsidRDefault="00094BFC"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w:t>
            </w:r>
          </w:p>
        </w:tc>
        <w:tc>
          <w:tcPr>
            <w:tcW w:w="992" w:type="dxa"/>
          </w:tcPr>
          <w:p w14:paraId="46DB7977" w14:textId="2233297F" w:rsidR="00094BFC" w:rsidRPr="00094BFC" w:rsidRDefault="00094BFC"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11</w:t>
            </w:r>
          </w:p>
        </w:tc>
      </w:tr>
      <w:tr w:rsidR="00094BFC" w:rsidRPr="00003987" w14:paraId="10E0DD8A"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6B8FEA6B" w14:textId="77777777" w:rsidR="00094BFC" w:rsidRPr="00094BFC" w:rsidRDefault="00094BFC" w:rsidP="00094BFC">
            <w:pPr>
              <w:rPr>
                <w:rFonts w:asciiTheme="minorHAnsi" w:hAnsiTheme="minorHAnsi" w:cstheme="minorHAnsi"/>
                <w:b w:val="0"/>
                <w:i/>
                <w:iCs/>
                <w:color w:val="17365D" w:themeColor="text2" w:themeShade="BF"/>
                <w:sz w:val="20"/>
                <w:szCs w:val="20"/>
              </w:rPr>
            </w:pPr>
            <w:r w:rsidRPr="00094BFC">
              <w:rPr>
                <w:rFonts w:asciiTheme="minorHAnsi" w:hAnsiTheme="minorHAnsi" w:cstheme="minorHAnsi"/>
                <w:b w:val="0"/>
                <w:i/>
                <w:iCs/>
                <w:color w:val="17365D" w:themeColor="text2" w:themeShade="BF"/>
                <w:sz w:val="20"/>
                <w:szCs w:val="20"/>
              </w:rPr>
              <w:t>Approval of dealing relating to</w:t>
            </w:r>
          </w:p>
          <w:p w14:paraId="115D9CD6" w14:textId="244F6729" w:rsidR="00094BFC" w:rsidRPr="00094BFC" w:rsidRDefault="00094BFC" w:rsidP="00094BFC">
            <w:pPr>
              <w:rPr>
                <w:rFonts w:asciiTheme="minorHAnsi" w:hAnsiTheme="minorHAnsi" w:cstheme="minorHAnsi"/>
                <w:b w:val="0"/>
                <w:i/>
                <w:iCs/>
                <w:color w:val="17365D" w:themeColor="text2" w:themeShade="BF"/>
                <w:sz w:val="20"/>
                <w:szCs w:val="20"/>
              </w:rPr>
            </w:pPr>
            <w:r w:rsidRPr="00094BFC">
              <w:rPr>
                <w:rFonts w:asciiTheme="minorHAnsi" w:hAnsiTheme="minorHAnsi" w:cstheme="minorHAnsi"/>
                <w:b w:val="0"/>
                <w:i/>
                <w:iCs/>
                <w:color w:val="17365D" w:themeColor="text2" w:themeShade="BF"/>
                <w:sz w:val="20"/>
                <w:szCs w:val="20"/>
              </w:rPr>
              <w:t>greenhouse gas title (s539)</w:t>
            </w:r>
          </w:p>
        </w:tc>
        <w:tc>
          <w:tcPr>
            <w:tcW w:w="1311" w:type="dxa"/>
          </w:tcPr>
          <w:p w14:paraId="4F566574" w14:textId="09D103A1" w:rsidR="00094BFC" w:rsidRPr="00094BFC" w:rsidRDefault="00094BFC"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w:t>
            </w:r>
          </w:p>
        </w:tc>
        <w:tc>
          <w:tcPr>
            <w:tcW w:w="1311" w:type="dxa"/>
          </w:tcPr>
          <w:p w14:paraId="407EF752" w14:textId="0BB69C85" w:rsidR="00094BFC" w:rsidRPr="00094BFC" w:rsidRDefault="00A51B77"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r>
              <w:rPr>
                <w:rFonts w:asciiTheme="minorHAnsi" w:hAnsiTheme="minorHAnsi" w:cstheme="minorHAnsi"/>
                <w:bCs/>
                <w:i/>
                <w:iCs/>
                <w:color w:val="17365D" w:themeColor="text2" w:themeShade="BF"/>
                <w:sz w:val="20"/>
                <w:szCs w:val="20"/>
              </w:rPr>
              <w:t>-</w:t>
            </w:r>
          </w:p>
        </w:tc>
        <w:tc>
          <w:tcPr>
            <w:tcW w:w="1311" w:type="dxa"/>
          </w:tcPr>
          <w:p w14:paraId="61E2D902" w14:textId="679785B6" w:rsidR="00094BFC" w:rsidRPr="00094BFC" w:rsidRDefault="00094BFC"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$8,250</w:t>
            </w:r>
          </w:p>
        </w:tc>
        <w:tc>
          <w:tcPr>
            <w:tcW w:w="1312" w:type="dxa"/>
          </w:tcPr>
          <w:p w14:paraId="56AC01DC" w14:textId="4159BC97" w:rsidR="00094BFC" w:rsidRPr="00094BFC" w:rsidRDefault="00094BFC"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w:t>
            </w:r>
          </w:p>
        </w:tc>
        <w:tc>
          <w:tcPr>
            <w:tcW w:w="992" w:type="dxa"/>
          </w:tcPr>
          <w:p w14:paraId="1FD0307D" w14:textId="129DA6E1" w:rsidR="00094BFC" w:rsidRPr="00094BFC" w:rsidRDefault="00094BFC"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11</w:t>
            </w:r>
          </w:p>
        </w:tc>
      </w:tr>
      <w:tr w:rsidR="00094BFC" w:rsidRPr="00003987" w14:paraId="624A8EBD"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353B92" w14:textId="6DAB034D" w:rsidR="00094BFC" w:rsidRPr="00094BFC" w:rsidRDefault="00094BFC" w:rsidP="00094BFC">
            <w:pPr>
              <w:rPr>
                <w:rFonts w:asciiTheme="minorHAnsi" w:hAnsiTheme="minorHAnsi" w:cstheme="minorHAnsi"/>
                <w:b w:val="0"/>
                <w:i/>
                <w:iCs/>
                <w:color w:val="17365D" w:themeColor="text2" w:themeShade="BF"/>
                <w:sz w:val="20"/>
                <w:szCs w:val="20"/>
              </w:rPr>
            </w:pPr>
            <w:r w:rsidRPr="00094BFC">
              <w:rPr>
                <w:rFonts w:asciiTheme="minorHAnsi" w:hAnsiTheme="minorHAnsi" w:cstheme="minorHAnsi"/>
                <w:b w:val="0"/>
                <w:i/>
                <w:iCs/>
                <w:color w:val="17365D" w:themeColor="text2" w:themeShade="BF"/>
                <w:sz w:val="20"/>
                <w:szCs w:val="20"/>
              </w:rPr>
              <w:t>Approval of dealing in future interest relating to greenhouse gas title (s548)</w:t>
            </w:r>
          </w:p>
        </w:tc>
        <w:tc>
          <w:tcPr>
            <w:tcW w:w="1311" w:type="dxa"/>
          </w:tcPr>
          <w:p w14:paraId="363B0564" w14:textId="32850078" w:rsidR="00094BFC" w:rsidRPr="00094BFC" w:rsidRDefault="00094BFC"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w:t>
            </w:r>
          </w:p>
        </w:tc>
        <w:tc>
          <w:tcPr>
            <w:tcW w:w="1311" w:type="dxa"/>
          </w:tcPr>
          <w:p w14:paraId="114A8D65" w14:textId="779F5CDA" w:rsidR="00094BFC" w:rsidRPr="00094BFC" w:rsidRDefault="00A51B77"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color w:val="17365D" w:themeColor="text2" w:themeShade="BF"/>
                <w:sz w:val="20"/>
                <w:szCs w:val="20"/>
              </w:rPr>
            </w:pPr>
            <w:r>
              <w:rPr>
                <w:rFonts w:asciiTheme="minorHAnsi" w:hAnsiTheme="minorHAnsi" w:cstheme="minorHAnsi"/>
                <w:bCs/>
                <w:i/>
                <w:iCs/>
                <w:color w:val="17365D" w:themeColor="text2" w:themeShade="BF"/>
                <w:sz w:val="20"/>
                <w:szCs w:val="20"/>
              </w:rPr>
              <w:t>-</w:t>
            </w:r>
          </w:p>
        </w:tc>
        <w:tc>
          <w:tcPr>
            <w:tcW w:w="1311" w:type="dxa"/>
          </w:tcPr>
          <w:p w14:paraId="741F1AC7" w14:textId="6EB08F9A" w:rsidR="00094BFC" w:rsidRPr="00094BFC" w:rsidRDefault="00094BFC"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$8,250</w:t>
            </w:r>
          </w:p>
        </w:tc>
        <w:tc>
          <w:tcPr>
            <w:tcW w:w="1312" w:type="dxa"/>
          </w:tcPr>
          <w:p w14:paraId="6853423F" w14:textId="2AA4D682" w:rsidR="00094BFC" w:rsidRPr="00094BFC" w:rsidRDefault="00094BFC"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w:t>
            </w:r>
          </w:p>
        </w:tc>
        <w:tc>
          <w:tcPr>
            <w:tcW w:w="992" w:type="dxa"/>
          </w:tcPr>
          <w:p w14:paraId="5D2151C3" w14:textId="49DBDBF5" w:rsidR="00094BFC" w:rsidRPr="00094BFC" w:rsidRDefault="00094BFC"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color w:val="17365D" w:themeColor="text2" w:themeShade="BF"/>
                <w:sz w:val="20"/>
                <w:szCs w:val="20"/>
              </w:rPr>
            </w:pPr>
            <w:r w:rsidRPr="00094BFC">
              <w:rPr>
                <w:rFonts w:asciiTheme="minorHAnsi" w:hAnsiTheme="minorHAnsi" w:cstheme="minorHAnsi"/>
                <w:bCs/>
                <w:i/>
                <w:iCs/>
                <w:color w:val="17365D" w:themeColor="text2" w:themeShade="BF"/>
                <w:sz w:val="20"/>
                <w:szCs w:val="20"/>
              </w:rPr>
              <w:t>11</w:t>
            </w:r>
          </w:p>
        </w:tc>
      </w:tr>
      <w:tr w:rsidR="0012117B" w:rsidRPr="00003987" w14:paraId="23E21387" w14:textId="77777777" w:rsidTr="00107D3F">
        <w:tc>
          <w:tcPr>
            <w:cnfStyle w:val="001000000000" w:firstRow="0" w:lastRow="0" w:firstColumn="1" w:lastColumn="0" w:oddVBand="0" w:evenVBand="0" w:oddHBand="0" w:evenHBand="0" w:firstRowFirstColumn="0" w:firstRowLastColumn="0" w:lastRowFirstColumn="0" w:lastRowLastColumn="0"/>
            <w:tcW w:w="3114" w:type="dxa"/>
          </w:tcPr>
          <w:p w14:paraId="6F33269B" w14:textId="6DD337E0" w:rsidR="0012117B" w:rsidRPr="003A0912" w:rsidRDefault="003A0912" w:rsidP="00094BFC">
            <w:pPr>
              <w:rPr>
                <w:rFonts w:asciiTheme="minorHAnsi" w:hAnsiTheme="minorHAnsi" w:cstheme="minorHAnsi"/>
                <w:i/>
                <w:iCs/>
                <w:color w:val="17365D" w:themeColor="text2" w:themeShade="BF"/>
                <w:sz w:val="20"/>
                <w:szCs w:val="20"/>
              </w:rPr>
            </w:pPr>
            <w:r w:rsidRPr="003A0912">
              <w:rPr>
                <w:rFonts w:asciiTheme="minorHAnsi" w:hAnsiTheme="minorHAnsi" w:cstheme="minorHAnsi"/>
                <w:b w:val="0"/>
                <w:i/>
                <w:iCs/>
                <w:color w:val="17365D" w:themeColor="text2" w:themeShade="BF"/>
                <w:sz w:val="20"/>
                <w:szCs w:val="20"/>
              </w:rPr>
              <w:t>Application for a consent to surrender a title (s441)</w:t>
            </w:r>
          </w:p>
        </w:tc>
        <w:tc>
          <w:tcPr>
            <w:tcW w:w="1311" w:type="dxa"/>
          </w:tcPr>
          <w:p w14:paraId="185CF9E7" w14:textId="77777777" w:rsidR="0012117B" w:rsidRPr="00094BFC" w:rsidRDefault="0012117B"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p>
        </w:tc>
        <w:tc>
          <w:tcPr>
            <w:tcW w:w="1311" w:type="dxa"/>
          </w:tcPr>
          <w:p w14:paraId="41EBD47B" w14:textId="77777777" w:rsidR="0012117B" w:rsidRDefault="0012117B"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p>
        </w:tc>
        <w:tc>
          <w:tcPr>
            <w:tcW w:w="1311" w:type="dxa"/>
          </w:tcPr>
          <w:p w14:paraId="0F434A0E" w14:textId="6C40D29A" w:rsidR="0012117B" w:rsidRPr="00094BFC" w:rsidRDefault="003A0912"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r>
              <w:rPr>
                <w:rFonts w:asciiTheme="minorHAnsi" w:hAnsiTheme="minorHAnsi" w:cstheme="minorHAnsi"/>
                <w:bCs/>
                <w:i/>
                <w:iCs/>
                <w:color w:val="17365D" w:themeColor="text2" w:themeShade="BF"/>
                <w:sz w:val="20"/>
                <w:szCs w:val="20"/>
              </w:rPr>
              <w:t>$8,250</w:t>
            </w:r>
          </w:p>
        </w:tc>
        <w:tc>
          <w:tcPr>
            <w:tcW w:w="1312" w:type="dxa"/>
          </w:tcPr>
          <w:p w14:paraId="237CA69F" w14:textId="0DDC4726" w:rsidR="0012117B" w:rsidRPr="00094BFC" w:rsidRDefault="003A0912"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r>
              <w:rPr>
                <w:rFonts w:asciiTheme="minorHAnsi" w:hAnsiTheme="minorHAnsi" w:cstheme="minorHAnsi"/>
                <w:bCs/>
                <w:i/>
                <w:iCs/>
                <w:color w:val="17365D" w:themeColor="text2" w:themeShade="BF"/>
                <w:sz w:val="20"/>
                <w:szCs w:val="20"/>
              </w:rPr>
              <w:t>-</w:t>
            </w:r>
          </w:p>
        </w:tc>
        <w:tc>
          <w:tcPr>
            <w:tcW w:w="992" w:type="dxa"/>
          </w:tcPr>
          <w:p w14:paraId="0010E9B2" w14:textId="27458A47" w:rsidR="0012117B" w:rsidRPr="00094BFC" w:rsidRDefault="003A0912" w:rsidP="00094B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17365D" w:themeColor="text2" w:themeShade="BF"/>
                <w:sz w:val="20"/>
                <w:szCs w:val="20"/>
              </w:rPr>
            </w:pPr>
            <w:r>
              <w:rPr>
                <w:rFonts w:asciiTheme="minorHAnsi" w:hAnsiTheme="minorHAnsi" w:cstheme="minorHAnsi"/>
                <w:bCs/>
                <w:i/>
                <w:iCs/>
                <w:color w:val="17365D" w:themeColor="text2" w:themeShade="BF"/>
                <w:sz w:val="20"/>
                <w:szCs w:val="20"/>
              </w:rPr>
              <w:t>11</w:t>
            </w:r>
          </w:p>
        </w:tc>
      </w:tr>
      <w:tr w:rsidR="00094BFC" w:rsidRPr="00003987" w14:paraId="3BD4C185" w14:textId="77777777" w:rsidTr="0010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6634CF" w14:textId="77777777" w:rsidR="00094BFC" w:rsidRPr="00003987" w:rsidRDefault="00094BFC" w:rsidP="00094BFC">
            <w:pPr>
              <w:rPr>
                <w:rFonts w:asciiTheme="minorHAnsi" w:hAnsiTheme="minorHAnsi" w:cstheme="minorHAnsi"/>
                <w:bCs w:val="0"/>
                <w:color w:val="17365D" w:themeColor="text2" w:themeShade="BF"/>
                <w:sz w:val="20"/>
                <w:szCs w:val="20"/>
              </w:rPr>
            </w:pPr>
            <w:r w:rsidRPr="00003987">
              <w:rPr>
                <w:rFonts w:asciiTheme="minorHAnsi" w:hAnsiTheme="minorHAnsi" w:cstheme="minorHAnsi"/>
                <w:bCs w:val="0"/>
                <w:color w:val="17365D" w:themeColor="text2" w:themeShade="BF"/>
                <w:sz w:val="20"/>
                <w:szCs w:val="20"/>
              </w:rPr>
              <w:t>Fees Estimate</w:t>
            </w:r>
          </w:p>
        </w:tc>
        <w:tc>
          <w:tcPr>
            <w:tcW w:w="1311" w:type="dxa"/>
          </w:tcPr>
          <w:p w14:paraId="7E04CBCD" w14:textId="77777777" w:rsidR="00094BFC" w:rsidRPr="00003987" w:rsidRDefault="00094BFC"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p>
        </w:tc>
        <w:tc>
          <w:tcPr>
            <w:tcW w:w="1311" w:type="dxa"/>
          </w:tcPr>
          <w:p w14:paraId="190B792D" w14:textId="77777777" w:rsidR="00094BFC" w:rsidRPr="00003987" w:rsidRDefault="00094BFC"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p>
        </w:tc>
        <w:tc>
          <w:tcPr>
            <w:tcW w:w="1311" w:type="dxa"/>
          </w:tcPr>
          <w:p w14:paraId="68347701" w14:textId="77777777" w:rsidR="00094BFC" w:rsidRPr="00003987" w:rsidRDefault="00094BFC"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p>
        </w:tc>
        <w:tc>
          <w:tcPr>
            <w:tcW w:w="1312" w:type="dxa"/>
          </w:tcPr>
          <w:p w14:paraId="3FC66264" w14:textId="3E732F0E" w:rsidR="00094BFC" w:rsidRPr="00003987" w:rsidRDefault="00094BFC"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r w:rsidRPr="00003987">
              <w:rPr>
                <w:rFonts w:asciiTheme="minorHAnsi" w:hAnsiTheme="minorHAnsi" w:cstheme="minorHAnsi"/>
                <w:b/>
                <w:color w:val="17365D" w:themeColor="text2" w:themeShade="BF"/>
                <w:sz w:val="20"/>
                <w:szCs w:val="20"/>
              </w:rPr>
              <w:t>$2,1</w:t>
            </w:r>
            <w:r w:rsidR="00137E84">
              <w:rPr>
                <w:rFonts w:asciiTheme="minorHAnsi" w:hAnsiTheme="minorHAnsi" w:cstheme="minorHAnsi"/>
                <w:b/>
                <w:color w:val="17365D" w:themeColor="text2" w:themeShade="BF"/>
                <w:sz w:val="20"/>
                <w:szCs w:val="20"/>
              </w:rPr>
              <w:t>53</w:t>
            </w:r>
            <w:r w:rsidRPr="00003987">
              <w:rPr>
                <w:rFonts w:asciiTheme="minorHAnsi" w:hAnsiTheme="minorHAnsi" w:cstheme="minorHAnsi"/>
                <w:b/>
                <w:color w:val="17365D" w:themeColor="text2" w:themeShade="BF"/>
                <w:sz w:val="20"/>
                <w:szCs w:val="20"/>
              </w:rPr>
              <w:t>,</w:t>
            </w:r>
            <w:r w:rsidR="00137E84">
              <w:rPr>
                <w:rFonts w:asciiTheme="minorHAnsi" w:hAnsiTheme="minorHAnsi" w:cstheme="minorHAnsi"/>
                <w:b/>
                <w:color w:val="17365D" w:themeColor="text2" w:themeShade="BF"/>
                <w:sz w:val="20"/>
                <w:szCs w:val="20"/>
              </w:rPr>
              <w:t>2</w:t>
            </w:r>
            <w:r w:rsidRPr="00003987">
              <w:rPr>
                <w:rFonts w:asciiTheme="minorHAnsi" w:hAnsiTheme="minorHAnsi" w:cstheme="minorHAnsi"/>
                <w:b/>
                <w:color w:val="17365D" w:themeColor="text2" w:themeShade="BF"/>
                <w:sz w:val="20"/>
                <w:szCs w:val="20"/>
              </w:rPr>
              <w:t>50</w:t>
            </w:r>
          </w:p>
        </w:tc>
        <w:tc>
          <w:tcPr>
            <w:tcW w:w="992" w:type="dxa"/>
          </w:tcPr>
          <w:p w14:paraId="38B967ED" w14:textId="77777777" w:rsidR="00094BFC" w:rsidRPr="00003987" w:rsidRDefault="00094BFC" w:rsidP="00094B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17365D" w:themeColor="text2" w:themeShade="BF"/>
                <w:sz w:val="20"/>
                <w:szCs w:val="20"/>
              </w:rPr>
            </w:pPr>
          </w:p>
        </w:tc>
      </w:tr>
    </w:tbl>
    <w:p w14:paraId="5E148E22" w14:textId="506C44E1" w:rsidR="00662EB5" w:rsidRPr="00662EB5" w:rsidRDefault="00662EB5" w:rsidP="00662EB5">
      <w:pPr>
        <w:jc w:val="both"/>
        <w:rPr>
          <w:sz w:val="18"/>
          <w:szCs w:val="18"/>
        </w:rPr>
      </w:pPr>
      <w:r>
        <w:t>*</w:t>
      </w:r>
      <w:r w:rsidRPr="00662EB5">
        <w:rPr>
          <w:sz w:val="18"/>
          <w:szCs w:val="18"/>
        </w:rPr>
        <w:t>Refers to prequalification</w:t>
      </w:r>
    </w:p>
    <w:p w14:paraId="7E2199F2" w14:textId="77777777" w:rsidR="00662EB5" w:rsidRDefault="00662EB5"/>
    <w:p w14:paraId="6CEB3969" w14:textId="77777777" w:rsidR="00792A30" w:rsidRDefault="00792A30"/>
    <w:p w14:paraId="4C9A6DCC" w14:textId="75CB15A1" w:rsidR="008B679D" w:rsidRPr="00727004" w:rsidRDefault="008B679D" w:rsidP="00F2024B">
      <w:pPr>
        <w:pStyle w:val="Heading1"/>
        <w:tabs>
          <w:tab w:val="clear" w:pos="432"/>
          <w:tab w:val="num" w:pos="709"/>
        </w:tabs>
        <w:ind w:left="709" w:hanging="709"/>
        <w:jc w:val="left"/>
        <w:rPr>
          <w:rFonts w:asciiTheme="minorHAnsi" w:hAnsiTheme="minorHAnsi" w:cstheme="minorHAnsi"/>
          <w:b/>
          <w:bCs/>
          <w:i w:val="0"/>
          <w:iCs w:val="0"/>
          <w:sz w:val="32"/>
          <w:szCs w:val="32"/>
        </w:rPr>
      </w:pPr>
      <w:bookmarkStart w:id="27" w:name="_Toc84844727"/>
      <w:bookmarkStart w:id="28" w:name="calculationofcosts"/>
      <w:bookmarkEnd w:id="16"/>
      <w:r w:rsidRPr="00727004">
        <w:rPr>
          <w:rFonts w:asciiTheme="minorHAnsi" w:hAnsiTheme="minorHAnsi" w:cstheme="minorHAnsi"/>
          <w:b/>
          <w:bCs/>
          <w:i w:val="0"/>
          <w:iCs w:val="0"/>
          <w:sz w:val="32"/>
          <w:szCs w:val="32"/>
        </w:rPr>
        <w:t>RISK ASSESSMENT</w:t>
      </w:r>
      <w:bookmarkEnd w:id="27"/>
    </w:p>
    <w:p w14:paraId="3CA93FD0" w14:textId="6124E4D0" w:rsidR="009B0DBC" w:rsidRDefault="009B0DBC" w:rsidP="009B0DBC">
      <w:pPr>
        <w:pStyle w:val="CommentText"/>
        <w:rPr>
          <w:rFonts w:asciiTheme="minorHAnsi" w:hAnsiTheme="minorHAnsi" w:cstheme="minorHAnsi"/>
          <w:iCs/>
          <w:sz w:val="24"/>
          <w:szCs w:val="24"/>
          <w:lang w:val="en-US"/>
        </w:rPr>
      </w:pPr>
    </w:p>
    <w:p w14:paraId="248FCEA6" w14:textId="5DB71F15" w:rsidR="00CE74AA" w:rsidRDefault="00CE74AA" w:rsidP="00CE74AA">
      <w:pPr>
        <w:pStyle w:val="CommentText"/>
        <w:rPr>
          <w:rFonts w:asciiTheme="minorHAnsi" w:hAnsiTheme="minorHAnsi" w:cstheme="minorHAnsi"/>
          <w:iCs/>
          <w:sz w:val="24"/>
          <w:szCs w:val="24"/>
          <w:lang w:val="en-US"/>
        </w:rPr>
      </w:pPr>
      <w:r>
        <w:rPr>
          <w:rFonts w:asciiTheme="minorHAnsi" w:hAnsiTheme="minorHAnsi" w:cstheme="minorHAnsi"/>
          <w:iCs/>
          <w:sz w:val="24"/>
          <w:szCs w:val="24"/>
          <w:lang w:val="en-US"/>
        </w:rPr>
        <w:t>In accordance with the Charging</w:t>
      </w:r>
      <w:r w:rsidRPr="009B0DBC">
        <w:rPr>
          <w:rFonts w:asciiTheme="minorHAnsi" w:hAnsiTheme="minorHAnsi" w:cstheme="minorHAnsi"/>
          <w:iCs/>
          <w:sz w:val="24"/>
          <w:szCs w:val="24"/>
          <w:lang w:val="en-US"/>
        </w:rPr>
        <w:t xml:space="preserve"> </w:t>
      </w:r>
      <w:r>
        <w:rPr>
          <w:rFonts w:asciiTheme="minorHAnsi" w:hAnsiTheme="minorHAnsi" w:cstheme="minorHAnsi"/>
          <w:iCs/>
          <w:sz w:val="24"/>
          <w:szCs w:val="24"/>
          <w:lang w:val="en-US"/>
        </w:rPr>
        <w:t>R</w:t>
      </w:r>
      <w:r w:rsidRPr="009B0DBC">
        <w:rPr>
          <w:rFonts w:asciiTheme="minorHAnsi" w:hAnsiTheme="minorHAnsi" w:cstheme="minorHAnsi"/>
          <w:iCs/>
          <w:sz w:val="24"/>
          <w:szCs w:val="24"/>
          <w:lang w:val="en-US"/>
        </w:rPr>
        <w:t xml:space="preserve">isk </w:t>
      </w:r>
      <w:r>
        <w:rPr>
          <w:rFonts w:asciiTheme="minorHAnsi" w:hAnsiTheme="minorHAnsi" w:cstheme="minorHAnsi"/>
          <w:iCs/>
          <w:sz w:val="24"/>
          <w:szCs w:val="24"/>
          <w:lang w:val="en-US"/>
        </w:rPr>
        <w:t>A</w:t>
      </w:r>
      <w:r w:rsidRPr="009B0DBC">
        <w:rPr>
          <w:rFonts w:asciiTheme="minorHAnsi" w:hAnsiTheme="minorHAnsi" w:cstheme="minorHAnsi"/>
          <w:iCs/>
          <w:sz w:val="24"/>
          <w:szCs w:val="24"/>
          <w:lang w:val="en-US"/>
        </w:rPr>
        <w:t>ssessment</w:t>
      </w:r>
      <w:r>
        <w:rPr>
          <w:rFonts w:asciiTheme="minorHAnsi" w:hAnsiTheme="minorHAnsi" w:cstheme="minorHAnsi"/>
          <w:iCs/>
          <w:sz w:val="24"/>
          <w:szCs w:val="24"/>
          <w:lang w:val="en-US"/>
        </w:rPr>
        <w:t xml:space="preserve"> (CRA)</w:t>
      </w:r>
      <w:r w:rsidRPr="009B0DBC">
        <w:rPr>
          <w:rFonts w:asciiTheme="minorHAnsi" w:hAnsiTheme="minorHAnsi" w:cstheme="minorHAnsi"/>
          <w:iCs/>
          <w:sz w:val="24"/>
          <w:szCs w:val="24"/>
          <w:lang w:val="en-US"/>
        </w:rPr>
        <w:t xml:space="preserve"> template</w:t>
      </w:r>
      <w:r>
        <w:rPr>
          <w:rFonts w:asciiTheme="minorHAnsi" w:hAnsiTheme="minorHAnsi" w:cstheme="minorHAnsi"/>
          <w:iCs/>
          <w:sz w:val="24"/>
          <w:szCs w:val="24"/>
          <w:lang w:val="en-US"/>
        </w:rPr>
        <w:t>,</w:t>
      </w:r>
      <w:r w:rsidRPr="009B0DBC">
        <w:rPr>
          <w:rFonts w:asciiTheme="minorHAnsi" w:hAnsiTheme="minorHAnsi" w:cstheme="minorHAnsi"/>
          <w:iCs/>
          <w:sz w:val="24"/>
          <w:szCs w:val="24"/>
          <w:lang w:val="en-US"/>
        </w:rPr>
        <w:t xml:space="preserve"> </w:t>
      </w:r>
      <w:r>
        <w:rPr>
          <w:rFonts w:asciiTheme="minorHAnsi" w:hAnsiTheme="minorHAnsi" w:cstheme="minorHAnsi"/>
          <w:iCs/>
          <w:sz w:val="24"/>
          <w:szCs w:val="24"/>
          <w:lang w:val="en-US"/>
        </w:rPr>
        <w:t>NOPTA has assessed t</w:t>
      </w:r>
      <w:r w:rsidRPr="009B0DBC">
        <w:rPr>
          <w:rFonts w:asciiTheme="minorHAnsi" w:hAnsiTheme="minorHAnsi" w:cstheme="minorHAnsi"/>
          <w:iCs/>
          <w:sz w:val="24"/>
          <w:szCs w:val="24"/>
          <w:lang w:val="en-US"/>
        </w:rPr>
        <w:t xml:space="preserve">he overall risk rating of the cost recovered activity as </w:t>
      </w:r>
      <w:r w:rsidRPr="00950A04">
        <w:rPr>
          <w:rFonts w:asciiTheme="minorHAnsi" w:hAnsiTheme="minorHAnsi" w:cstheme="minorHAnsi"/>
          <w:i/>
          <w:sz w:val="24"/>
          <w:szCs w:val="24"/>
          <w:lang w:val="en-US"/>
        </w:rPr>
        <w:t>medium</w:t>
      </w:r>
      <w:r>
        <w:rPr>
          <w:rFonts w:asciiTheme="minorHAnsi" w:hAnsiTheme="minorHAnsi" w:cstheme="minorHAnsi"/>
          <w:iCs/>
          <w:sz w:val="24"/>
          <w:szCs w:val="24"/>
          <w:lang w:val="en-US"/>
        </w:rPr>
        <w:t>.</w:t>
      </w:r>
      <w:r w:rsidRPr="009B0DBC">
        <w:rPr>
          <w:rFonts w:asciiTheme="minorHAnsi" w:hAnsiTheme="minorHAnsi" w:cstheme="minorHAnsi"/>
          <w:iCs/>
          <w:sz w:val="24"/>
          <w:szCs w:val="24"/>
          <w:lang w:val="en-US"/>
        </w:rPr>
        <w:t xml:space="preserve"> </w:t>
      </w:r>
      <w:r>
        <w:rPr>
          <w:rFonts w:asciiTheme="minorHAnsi" w:hAnsiTheme="minorHAnsi" w:cstheme="minorHAnsi"/>
          <w:iCs/>
          <w:sz w:val="24"/>
          <w:szCs w:val="24"/>
          <w:lang w:val="en-US"/>
        </w:rPr>
        <w:t>This is</w:t>
      </w:r>
      <w:r w:rsidRPr="009B0DBC">
        <w:rPr>
          <w:rFonts w:asciiTheme="minorHAnsi" w:hAnsiTheme="minorHAnsi" w:cstheme="minorHAnsi"/>
          <w:iCs/>
          <w:sz w:val="24"/>
          <w:szCs w:val="24"/>
          <w:lang w:val="en-US"/>
        </w:rPr>
        <w:t xml:space="preserve"> because the charges involve both fees and levies and require changes to the existing cost recovery charges through </w:t>
      </w:r>
      <w:r>
        <w:rPr>
          <w:rFonts w:asciiTheme="minorHAnsi" w:hAnsiTheme="minorHAnsi" w:cstheme="minorHAnsi"/>
          <w:iCs/>
          <w:sz w:val="24"/>
          <w:szCs w:val="24"/>
          <w:lang w:val="en-US"/>
        </w:rPr>
        <w:t>r</w:t>
      </w:r>
      <w:r w:rsidRPr="009B0DBC">
        <w:rPr>
          <w:rFonts w:asciiTheme="minorHAnsi" w:hAnsiTheme="minorHAnsi" w:cstheme="minorHAnsi"/>
          <w:iCs/>
          <w:sz w:val="24"/>
          <w:szCs w:val="24"/>
          <w:lang w:val="en-US"/>
        </w:rPr>
        <w:t xml:space="preserve">egulations. The impact on </w:t>
      </w:r>
      <w:r>
        <w:rPr>
          <w:rFonts w:asciiTheme="minorHAnsi" w:hAnsiTheme="minorHAnsi" w:cstheme="minorHAnsi"/>
          <w:iCs/>
          <w:sz w:val="24"/>
          <w:szCs w:val="24"/>
          <w:lang w:val="en-US"/>
        </w:rPr>
        <w:t>t</w:t>
      </w:r>
      <w:r w:rsidRPr="009B0DBC">
        <w:rPr>
          <w:rFonts w:asciiTheme="minorHAnsi" w:hAnsiTheme="minorHAnsi" w:cstheme="minorHAnsi"/>
          <w:iCs/>
          <w:sz w:val="24"/>
          <w:szCs w:val="24"/>
          <w:lang w:val="en-US"/>
        </w:rPr>
        <w:t xml:space="preserve">itleholders is considered </w:t>
      </w:r>
      <w:r w:rsidRPr="00950A04">
        <w:rPr>
          <w:rFonts w:asciiTheme="minorHAnsi" w:hAnsiTheme="minorHAnsi" w:cstheme="minorHAnsi"/>
          <w:i/>
          <w:sz w:val="24"/>
          <w:szCs w:val="24"/>
          <w:lang w:val="en-US"/>
        </w:rPr>
        <w:t>medium</w:t>
      </w:r>
      <w:r w:rsidRPr="009B0DBC">
        <w:rPr>
          <w:rFonts w:asciiTheme="minorHAnsi" w:hAnsiTheme="minorHAnsi" w:cstheme="minorHAnsi"/>
          <w:iCs/>
          <w:sz w:val="24"/>
          <w:szCs w:val="24"/>
          <w:lang w:val="en-US"/>
        </w:rPr>
        <w:t xml:space="preserve"> due to the current economic conditions</w:t>
      </w:r>
      <w:r>
        <w:rPr>
          <w:rFonts w:asciiTheme="minorHAnsi" w:hAnsiTheme="minorHAnsi" w:cstheme="minorHAnsi"/>
          <w:iCs/>
          <w:sz w:val="24"/>
          <w:szCs w:val="24"/>
          <w:lang w:val="en-US"/>
        </w:rPr>
        <w:t>.</w:t>
      </w:r>
    </w:p>
    <w:p w14:paraId="3BF77266" w14:textId="77777777" w:rsidR="00CE74AA" w:rsidRPr="009B0DBC" w:rsidRDefault="00CE74AA" w:rsidP="00CE74AA">
      <w:pPr>
        <w:pStyle w:val="CommentText"/>
        <w:rPr>
          <w:rFonts w:asciiTheme="minorHAnsi" w:hAnsiTheme="minorHAnsi" w:cstheme="minorHAnsi"/>
          <w:iCs/>
          <w:sz w:val="24"/>
          <w:szCs w:val="24"/>
          <w:lang w:val="en-US"/>
        </w:rPr>
      </w:pPr>
    </w:p>
    <w:p w14:paraId="1EEC8075" w14:textId="77777777" w:rsidR="00CE74AA" w:rsidRDefault="00CE74AA" w:rsidP="00CE74AA">
      <w:pPr>
        <w:pStyle w:val="CommentText"/>
        <w:rPr>
          <w:rFonts w:asciiTheme="minorHAnsi" w:hAnsiTheme="minorHAnsi" w:cstheme="minorHAnsi"/>
          <w:iCs/>
          <w:sz w:val="24"/>
          <w:szCs w:val="24"/>
          <w:lang w:val="en-US"/>
        </w:rPr>
      </w:pPr>
      <w:r w:rsidRPr="009B0DBC">
        <w:rPr>
          <w:rFonts w:asciiTheme="minorHAnsi" w:hAnsiTheme="minorHAnsi" w:cstheme="minorHAnsi"/>
          <w:iCs/>
          <w:sz w:val="24"/>
          <w:szCs w:val="24"/>
          <w:lang w:val="en-US"/>
        </w:rPr>
        <w:t xml:space="preserve">The major budget risk for NOPTA would be a significant </w:t>
      </w:r>
      <w:r w:rsidRPr="00BF1623">
        <w:rPr>
          <w:rFonts w:asciiTheme="minorHAnsi" w:hAnsiTheme="minorHAnsi" w:cstheme="minorHAnsi"/>
          <w:iCs/>
          <w:sz w:val="24"/>
          <w:szCs w:val="24"/>
          <w:lang w:val="en-US"/>
        </w:rPr>
        <w:t>increase or</w:t>
      </w:r>
      <w:r w:rsidRPr="009B0DBC">
        <w:rPr>
          <w:rFonts w:asciiTheme="minorHAnsi" w:hAnsiTheme="minorHAnsi" w:cstheme="minorHAnsi"/>
          <w:iCs/>
          <w:sz w:val="24"/>
          <w:szCs w:val="24"/>
          <w:lang w:val="en-US"/>
        </w:rPr>
        <w:t xml:space="preserve"> decrease in the number applications for new titles and/or applications for various activities relating to existing titles.</w:t>
      </w:r>
    </w:p>
    <w:p w14:paraId="7208D454" w14:textId="77777777" w:rsidR="00CE74AA" w:rsidRPr="009B0DBC" w:rsidRDefault="00CE74AA" w:rsidP="00CE74AA">
      <w:pPr>
        <w:pStyle w:val="CommentText"/>
        <w:rPr>
          <w:rFonts w:asciiTheme="minorHAnsi" w:hAnsiTheme="minorHAnsi" w:cstheme="minorHAnsi"/>
          <w:iCs/>
          <w:sz w:val="24"/>
          <w:szCs w:val="24"/>
          <w:lang w:val="en-US"/>
        </w:rPr>
      </w:pPr>
    </w:p>
    <w:p w14:paraId="57C693D3" w14:textId="77777777" w:rsidR="00CE74AA" w:rsidRDefault="00CE74AA" w:rsidP="00CE74AA">
      <w:pPr>
        <w:pStyle w:val="CommentText"/>
        <w:rPr>
          <w:rFonts w:asciiTheme="minorHAnsi" w:hAnsiTheme="minorHAnsi" w:cstheme="minorHAnsi"/>
          <w:iCs/>
          <w:sz w:val="24"/>
          <w:szCs w:val="24"/>
          <w:lang w:val="en-US"/>
        </w:rPr>
      </w:pPr>
      <w:r w:rsidRPr="009B0DBC">
        <w:rPr>
          <w:rFonts w:asciiTheme="minorHAnsi" w:hAnsiTheme="minorHAnsi" w:cstheme="minorHAnsi"/>
          <w:iCs/>
          <w:sz w:val="24"/>
          <w:szCs w:val="24"/>
          <w:lang w:val="en-US"/>
        </w:rPr>
        <w:t>To mitigate exposure to potential downturns in the offshore petroleum industry, NOPTA aims to retain a reserve of 10 percent of its annual budget at the end of each financial year as a financially responsible measure. This enables NOPTA to manage its cash flow as revenue fluctuates from month to month while cash outflows are relatively stable. For significant fluctuations in industry activity</w:t>
      </w:r>
      <w:r>
        <w:rPr>
          <w:rFonts w:asciiTheme="minorHAnsi" w:hAnsiTheme="minorHAnsi" w:cstheme="minorHAnsi"/>
          <w:iCs/>
          <w:sz w:val="24"/>
          <w:szCs w:val="24"/>
          <w:lang w:val="en-US"/>
        </w:rPr>
        <w:t xml:space="preserve">, or unexpected priorities as set by the responsible </w:t>
      </w:r>
      <w:r>
        <w:rPr>
          <w:rFonts w:asciiTheme="minorHAnsi" w:hAnsiTheme="minorHAnsi" w:cstheme="minorHAnsi"/>
          <w:iCs/>
          <w:sz w:val="24"/>
          <w:szCs w:val="24"/>
          <w:lang w:val="en-US"/>
        </w:rPr>
        <w:lastRenderedPageBreak/>
        <w:t>Commonwealth Minister or Joint Authority</w:t>
      </w:r>
      <w:r w:rsidRPr="009B0DBC">
        <w:rPr>
          <w:rFonts w:asciiTheme="minorHAnsi" w:hAnsiTheme="minorHAnsi" w:cstheme="minorHAnsi"/>
          <w:iCs/>
          <w:sz w:val="24"/>
          <w:szCs w:val="24"/>
          <w:lang w:val="en-US"/>
        </w:rPr>
        <w:t xml:space="preserve">, NOPTA </w:t>
      </w:r>
      <w:r>
        <w:rPr>
          <w:rFonts w:asciiTheme="minorHAnsi" w:hAnsiTheme="minorHAnsi" w:cstheme="minorHAnsi"/>
          <w:iCs/>
          <w:sz w:val="24"/>
          <w:szCs w:val="24"/>
          <w:lang w:val="en-US"/>
        </w:rPr>
        <w:t>may engage the services of</w:t>
      </w:r>
      <w:r w:rsidRPr="009B0DBC">
        <w:rPr>
          <w:rFonts w:asciiTheme="minorHAnsi" w:hAnsiTheme="minorHAnsi" w:cstheme="minorHAnsi"/>
          <w:iCs/>
          <w:sz w:val="24"/>
          <w:szCs w:val="24"/>
          <w:lang w:val="en-US"/>
        </w:rPr>
        <w:t xml:space="preserve"> short-term contractors as appropriate.</w:t>
      </w:r>
    </w:p>
    <w:p w14:paraId="7821E27C" w14:textId="77777777" w:rsidR="00CE74AA" w:rsidRPr="009B0DBC" w:rsidRDefault="00CE74AA" w:rsidP="00CE74AA">
      <w:pPr>
        <w:pStyle w:val="CommentText"/>
        <w:rPr>
          <w:rFonts w:asciiTheme="minorHAnsi" w:hAnsiTheme="minorHAnsi" w:cstheme="minorHAnsi"/>
          <w:iCs/>
          <w:sz w:val="24"/>
          <w:szCs w:val="24"/>
          <w:lang w:val="en-US"/>
        </w:rPr>
      </w:pPr>
    </w:p>
    <w:p w14:paraId="60EEEF7A" w14:textId="6407B64F" w:rsidR="00CE74AA" w:rsidRDefault="00CE74AA" w:rsidP="00CE74AA">
      <w:pPr>
        <w:pStyle w:val="CommentText"/>
        <w:rPr>
          <w:rFonts w:asciiTheme="minorHAnsi" w:hAnsiTheme="minorHAnsi" w:cstheme="minorHAnsi"/>
          <w:iCs/>
          <w:sz w:val="24"/>
          <w:szCs w:val="24"/>
          <w:lang w:val="en-US"/>
        </w:rPr>
      </w:pPr>
      <w:r w:rsidRPr="009B0DBC">
        <w:rPr>
          <w:rFonts w:asciiTheme="minorHAnsi" w:hAnsiTheme="minorHAnsi" w:cstheme="minorHAnsi"/>
          <w:iCs/>
          <w:sz w:val="24"/>
          <w:szCs w:val="24"/>
          <w:lang w:val="en-US"/>
        </w:rPr>
        <w:t xml:space="preserve">The </w:t>
      </w:r>
      <w:r>
        <w:rPr>
          <w:rFonts w:asciiTheme="minorHAnsi" w:hAnsiTheme="minorHAnsi" w:cstheme="minorHAnsi"/>
          <w:iCs/>
          <w:sz w:val="24"/>
          <w:szCs w:val="24"/>
          <w:lang w:val="en-US"/>
        </w:rPr>
        <w:t xml:space="preserve">appropriateness of NOPTA’s cost recovery framework, including the </w:t>
      </w:r>
      <w:r w:rsidRPr="009B0DBC">
        <w:rPr>
          <w:rFonts w:asciiTheme="minorHAnsi" w:hAnsiTheme="minorHAnsi" w:cstheme="minorHAnsi"/>
          <w:iCs/>
          <w:sz w:val="24"/>
          <w:szCs w:val="24"/>
          <w:lang w:val="en-US"/>
        </w:rPr>
        <w:t>structure of both levies and fees</w:t>
      </w:r>
      <w:r>
        <w:rPr>
          <w:rFonts w:asciiTheme="minorHAnsi" w:hAnsiTheme="minorHAnsi" w:cstheme="minorHAnsi"/>
          <w:iCs/>
          <w:sz w:val="24"/>
          <w:szCs w:val="24"/>
          <w:lang w:val="en-US"/>
        </w:rPr>
        <w:t>,</w:t>
      </w:r>
      <w:r w:rsidRPr="009B0DBC">
        <w:rPr>
          <w:rFonts w:asciiTheme="minorHAnsi" w:hAnsiTheme="minorHAnsi" w:cstheme="minorHAnsi"/>
          <w:iCs/>
          <w:sz w:val="24"/>
          <w:szCs w:val="24"/>
          <w:lang w:val="en-US"/>
        </w:rPr>
        <w:t xml:space="preserve"> w</w:t>
      </w:r>
      <w:r>
        <w:rPr>
          <w:rFonts w:asciiTheme="minorHAnsi" w:hAnsiTheme="minorHAnsi" w:cstheme="minorHAnsi"/>
          <w:iCs/>
          <w:sz w:val="24"/>
          <w:szCs w:val="24"/>
          <w:lang w:val="en-US"/>
        </w:rPr>
        <w:t>as</w:t>
      </w:r>
      <w:r w:rsidRPr="009B0DBC">
        <w:rPr>
          <w:rFonts w:asciiTheme="minorHAnsi" w:hAnsiTheme="minorHAnsi" w:cstheme="minorHAnsi"/>
          <w:iCs/>
          <w:sz w:val="24"/>
          <w:szCs w:val="24"/>
          <w:lang w:val="en-US"/>
        </w:rPr>
        <w:t xml:space="preserve"> </w:t>
      </w:r>
      <w:r w:rsidR="00BC462F">
        <w:rPr>
          <w:rFonts w:asciiTheme="minorHAnsi" w:hAnsiTheme="minorHAnsi" w:cstheme="minorHAnsi"/>
          <w:iCs/>
          <w:sz w:val="24"/>
          <w:szCs w:val="24"/>
          <w:lang w:val="en-US"/>
        </w:rPr>
        <w:t xml:space="preserve">last </w:t>
      </w:r>
      <w:r w:rsidRPr="009B0DBC">
        <w:rPr>
          <w:rFonts w:asciiTheme="minorHAnsi" w:hAnsiTheme="minorHAnsi" w:cstheme="minorHAnsi"/>
          <w:iCs/>
          <w:sz w:val="24"/>
          <w:szCs w:val="24"/>
          <w:lang w:val="en-US"/>
        </w:rPr>
        <w:t>reviewed in December 2015</w:t>
      </w:r>
      <w:r w:rsidR="00BC462F">
        <w:rPr>
          <w:rFonts w:asciiTheme="minorHAnsi" w:hAnsiTheme="minorHAnsi" w:cstheme="minorHAnsi"/>
          <w:iCs/>
          <w:sz w:val="24"/>
          <w:szCs w:val="24"/>
          <w:lang w:val="en-US"/>
        </w:rPr>
        <w:t xml:space="preserve"> (as the basis of the 2016-17 CRIS)</w:t>
      </w:r>
      <w:r w:rsidRPr="006E2893">
        <w:rPr>
          <w:rFonts w:asciiTheme="minorHAnsi" w:hAnsiTheme="minorHAnsi" w:cstheme="minorHAnsi"/>
          <w:iCs/>
          <w:sz w:val="24"/>
          <w:szCs w:val="24"/>
          <w:lang w:val="en-US"/>
        </w:rPr>
        <w:t>.</w:t>
      </w:r>
      <w:r w:rsidR="00BC462F">
        <w:rPr>
          <w:rFonts w:asciiTheme="minorHAnsi" w:hAnsiTheme="minorHAnsi" w:cstheme="minorHAnsi"/>
          <w:iCs/>
          <w:sz w:val="24"/>
          <w:szCs w:val="24"/>
          <w:lang w:val="en-US"/>
        </w:rPr>
        <w:t xml:space="preserve"> </w:t>
      </w:r>
      <w:r w:rsidRPr="009B0DBC">
        <w:rPr>
          <w:rFonts w:asciiTheme="minorHAnsi" w:hAnsiTheme="minorHAnsi" w:cstheme="minorHAnsi"/>
          <w:iCs/>
          <w:sz w:val="24"/>
          <w:szCs w:val="24"/>
          <w:lang w:val="en-US"/>
        </w:rPr>
        <w:t xml:space="preserve">NOPTA also contributed to the </w:t>
      </w:r>
      <w:r>
        <w:rPr>
          <w:rFonts w:asciiTheme="minorHAnsi" w:hAnsiTheme="minorHAnsi" w:cstheme="minorHAnsi"/>
          <w:iCs/>
          <w:sz w:val="24"/>
          <w:szCs w:val="24"/>
          <w:lang w:val="en-US"/>
        </w:rPr>
        <w:t xml:space="preserve">then Department of </w:t>
      </w:r>
      <w:r w:rsidRPr="009B0DBC">
        <w:rPr>
          <w:rFonts w:asciiTheme="minorHAnsi" w:hAnsiTheme="minorHAnsi" w:cstheme="minorHAnsi"/>
          <w:iCs/>
          <w:sz w:val="24"/>
          <w:szCs w:val="24"/>
          <w:lang w:val="en-US"/>
        </w:rPr>
        <w:t xml:space="preserve">Industry, Innovation and Science portfolio charging review in 2015, in accordance with the Australian Government Charging Framework. </w:t>
      </w:r>
      <w:r>
        <w:rPr>
          <w:rFonts w:asciiTheme="minorHAnsi" w:hAnsiTheme="minorHAnsi" w:cstheme="minorHAnsi"/>
          <w:iCs/>
          <w:sz w:val="24"/>
          <w:szCs w:val="24"/>
          <w:lang w:val="en-US"/>
        </w:rPr>
        <w:t>No</w:t>
      </w:r>
      <w:r w:rsidRPr="009B0DBC">
        <w:rPr>
          <w:rFonts w:asciiTheme="minorHAnsi" w:hAnsiTheme="minorHAnsi" w:cstheme="minorHAnsi"/>
          <w:iCs/>
          <w:sz w:val="24"/>
          <w:szCs w:val="24"/>
          <w:lang w:val="en-US"/>
        </w:rPr>
        <w:t xml:space="preserve"> amendments to NOPTA’s charging arrangements</w:t>
      </w:r>
      <w:r>
        <w:rPr>
          <w:rFonts w:asciiTheme="minorHAnsi" w:hAnsiTheme="minorHAnsi" w:cstheme="minorHAnsi"/>
          <w:iCs/>
          <w:sz w:val="24"/>
          <w:szCs w:val="24"/>
          <w:lang w:val="en-US"/>
        </w:rPr>
        <w:t xml:space="preserve"> were recommended</w:t>
      </w:r>
      <w:r w:rsidRPr="009B0DBC">
        <w:rPr>
          <w:rFonts w:asciiTheme="minorHAnsi" w:hAnsiTheme="minorHAnsi" w:cstheme="minorHAnsi"/>
          <w:iCs/>
          <w:sz w:val="24"/>
          <w:szCs w:val="24"/>
          <w:lang w:val="en-US"/>
        </w:rPr>
        <w:t xml:space="preserve"> as a result of this review.</w:t>
      </w:r>
    </w:p>
    <w:p w14:paraId="49660AE3" w14:textId="77777777" w:rsidR="00CE74AA" w:rsidRPr="009B0DBC" w:rsidRDefault="00CE74AA" w:rsidP="00CE74AA">
      <w:pPr>
        <w:pStyle w:val="CommentText"/>
        <w:rPr>
          <w:rFonts w:asciiTheme="minorHAnsi" w:hAnsiTheme="minorHAnsi" w:cstheme="minorHAnsi"/>
          <w:iCs/>
          <w:sz w:val="24"/>
          <w:szCs w:val="24"/>
          <w:lang w:val="en-US"/>
        </w:rPr>
      </w:pPr>
    </w:p>
    <w:p w14:paraId="6ABC920F" w14:textId="026FA56C" w:rsidR="00CE74AA" w:rsidRDefault="00CE74AA" w:rsidP="00CE74AA">
      <w:pPr>
        <w:pStyle w:val="CommentText"/>
        <w:rPr>
          <w:rFonts w:asciiTheme="minorHAnsi" w:hAnsiTheme="minorHAnsi" w:cstheme="minorHAnsi"/>
          <w:iCs/>
          <w:sz w:val="24"/>
          <w:szCs w:val="24"/>
          <w:lang w:val="en-US"/>
        </w:rPr>
      </w:pPr>
      <w:r w:rsidRPr="00E402FC">
        <w:rPr>
          <w:rFonts w:asciiTheme="minorHAnsi" w:hAnsiTheme="minorHAnsi" w:cstheme="minorHAnsi"/>
          <w:iCs/>
          <w:sz w:val="24"/>
          <w:szCs w:val="24"/>
          <w:lang w:val="en-US"/>
        </w:rPr>
        <w:t xml:space="preserve">NOPTA considers that </w:t>
      </w:r>
      <w:r>
        <w:rPr>
          <w:rFonts w:asciiTheme="minorHAnsi" w:hAnsiTheme="minorHAnsi" w:cstheme="minorHAnsi"/>
          <w:iCs/>
          <w:sz w:val="24"/>
          <w:szCs w:val="24"/>
          <w:lang w:val="en-US"/>
        </w:rPr>
        <w:t xml:space="preserve">proposed increases to </w:t>
      </w:r>
      <w:r w:rsidRPr="00E402FC">
        <w:rPr>
          <w:rFonts w:asciiTheme="minorHAnsi" w:hAnsiTheme="minorHAnsi" w:cstheme="minorHAnsi"/>
          <w:iCs/>
          <w:sz w:val="24"/>
          <w:szCs w:val="24"/>
          <w:lang w:val="en-US"/>
        </w:rPr>
        <w:t>fee</w:t>
      </w:r>
      <w:r>
        <w:rPr>
          <w:rFonts w:asciiTheme="minorHAnsi" w:hAnsiTheme="minorHAnsi" w:cstheme="minorHAnsi"/>
          <w:iCs/>
          <w:sz w:val="24"/>
          <w:szCs w:val="24"/>
          <w:lang w:val="en-US"/>
        </w:rPr>
        <w:t>s</w:t>
      </w:r>
      <w:r w:rsidRPr="00E402FC">
        <w:rPr>
          <w:rFonts w:asciiTheme="minorHAnsi" w:hAnsiTheme="minorHAnsi" w:cstheme="minorHAnsi"/>
          <w:iCs/>
          <w:sz w:val="24"/>
          <w:szCs w:val="24"/>
          <w:lang w:val="en-US"/>
        </w:rPr>
        <w:t xml:space="preserve"> and lev</w:t>
      </w:r>
      <w:r>
        <w:rPr>
          <w:rFonts w:asciiTheme="minorHAnsi" w:hAnsiTheme="minorHAnsi" w:cstheme="minorHAnsi"/>
          <w:iCs/>
          <w:sz w:val="24"/>
          <w:szCs w:val="24"/>
          <w:lang w:val="en-US"/>
        </w:rPr>
        <w:t>ies</w:t>
      </w:r>
      <w:r w:rsidRPr="00E402FC">
        <w:rPr>
          <w:rFonts w:asciiTheme="minorHAnsi" w:hAnsiTheme="minorHAnsi" w:cstheme="minorHAnsi"/>
          <w:iCs/>
          <w:sz w:val="24"/>
          <w:szCs w:val="24"/>
          <w:lang w:val="en-US"/>
        </w:rPr>
        <w:t xml:space="preserve"> are justified, reasonable, and can be equitably implemented via a staggered approach to </w:t>
      </w:r>
      <w:r>
        <w:rPr>
          <w:rFonts w:asciiTheme="minorHAnsi" w:hAnsiTheme="minorHAnsi" w:cstheme="minorHAnsi"/>
          <w:iCs/>
          <w:sz w:val="24"/>
          <w:szCs w:val="24"/>
          <w:lang w:val="en-US"/>
        </w:rPr>
        <w:t>reduce any</w:t>
      </w:r>
      <w:r w:rsidRPr="00E402FC">
        <w:rPr>
          <w:rFonts w:asciiTheme="minorHAnsi" w:hAnsiTheme="minorHAnsi" w:cstheme="minorHAnsi"/>
          <w:iCs/>
          <w:sz w:val="24"/>
          <w:szCs w:val="24"/>
          <w:lang w:val="en-US"/>
        </w:rPr>
        <w:t xml:space="preserve"> financial risk on industry. For the reasons as outlined </w:t>
      </w:r>
      <w:r>
        <w:rPr>
          <w:rFonts w:asciiTheme="minorHAnsi" w:hAnsiTheme="minorHAnsi" w:cstheme="minorHAnsi"/>
          <w:iCs/>
          <w:sz w:val="24"/>
          <w:szCs w:val="24"/>
          <w:lang w:val="en-US"/>
        </w:rPr>
        <w:t>in</w:t>
      </w:r>
      <w:r w:rsidRPr="00E402FC">
        <w:rPr>
          <w:rFonts w:asciiTheme="minorHAnsi" w:hAnsiTheme="minorHAnsi" w:cstheme="minorHAnsi"/>
          <w:iCs/>
          <w:sz w:val="24"/>
          <w:szCs w:val="24"/>
          <w:lang w:val="en-US"/>
        </w:rPr>
        <w:t xml:space="preserve"> this CRIS, it is critical that NOPTA raise its fees and levies </w:t>
      </w:r>
      <w:r>
        <w:rPr>
          <w:rFonts w:asciiTheme="minorHAnsi" w:hAnsiTheme="minorHAnsi" w:cstheme="minorHAnsi"/>
          <w:iCs/>
          <w:sz w:val="24"/>
          <w:szCs w:val="24"/>
          <w:lang w:val="en-US"/>
        </w:rPr>
        <w:t xml:space="preserve">to </w:t>
      </w:r>
      <w:r w:rsidRPr="00E402FC">
        <w:rPr>
          <w:rFonts w:asciiTheme="minorHAnsi" w:hAnsiTheme="minorHAnsi" w:cstheme="minorHAnsi"/>
          <w:iCs/>
          <w:sz w:val="24"/>
          <w:szCs w:val="24"/>
          <w:lang w:val="en-US"/>
        </w:rPr>
        <w:t xml:space="preserve">appropriately discharge its functions (including new activities as imposed under the </w:t>
      </w:r>
      <w:r w:rsidR="002B7BB1">
        <w:rPr>
          <w:rFonts w:asciiTheme="minorHAnsi" w:hAnsiTheme="minorHAnsi" w:cstheme="minorHAnsi"/>
          <w:iCs/>
          <w:sz w:val="24"/>
          <w:szCs w:val="24"/>
          <w:lang w:val="en-US"/>
        </w:rPr>
        <w:t>Amendment Act</w:t>
      </w:r>
      <w:r w:rsidRPr="00E402FC">
        <w:rPr>
          <w:rFonts w:asciiTheme="minorHAnsi" w:hAnsiTheme="minorHAnsi" w:cstheme="minorHAnsi"/>
          <w:iCs/>
          <w:sz w:val="24"/>
          <w:szCs w:val="24"/>
          <w:lang w:val="en-US"/>
        </w:rPr>
        <w:t xml:space="preserve">), and to avoid the risk of under recovery. </w:t>
      </w:r>
    </w:p>
    <w:p w14:paraId="5F3C435B" w14:textId="77777777" w:rsidR="00CE74AA" w:rsidRDefault="00CE74AA" w:rsidP="00CE74AA">
      <w:pPr>
        <w:pStyle w:val="CommentText"/>
        <w:rPr>
          <w:rFonts w:asciiTheme="minorHAnsi" w:hAnsiTheme="minorHAnsi" w:cstheme="minorHAnsi"/>
          <w:iCs/>
          <w:sz w:val="24"/>
          <w:szCs w:val="24"/>
          <w:lang w:val="en-US"/>
        </w:rPr>
      </w:pPr>
    </w:p>
    <w:p w14:paraId="3F7FD2D4" w14:textId="77777777" w:rsidR="00CE74AA" w:rsidRPr="009B0DBC" w:rsidRDefault="00CE74AA" w:rsidP="00CE74AA">
      <w:pPr>
        <w:pStyle w:val="CommentText"/>
        <w:rPr>
          <w:rFonts w:asciiTheme="minorHAnsi" w:hAnsiTheme="minorHAnsi" w:cstheme="minorHAnsi"/>
          <w:iCs/>
          <w:sz w:val="24"/>
          <w:szCs w:val="24"/>
          <w:lang w:val="en-US"/>
        </w:rPr>
      </w:pPr>
      <w:r w:rsidRPr="009B0DBC">
        <w:rPr>
          <w:rFonts w:asciiTheme="minorHAnsi" w:hAnsiTheme="minorHAnsi" w:cstheme="minorHAnsi"/>
          <w:iCs/>
          <w:sz w:val="24"/>
          <w:szCs w:val="24"/>
          <w:lang w:val="en-US"/>
        </w:rPr>
        <w:t xml:space="preserve">NOPTA </w:t>
      </w:r>
      <w:r>
        <w:rPr>
          <w:rFonts w:asciiTheme="minorHAnsi" w:hAnsiTheme="minorHAnsi" w:cstheme="minorHAnsi"/>
          <w:iCs/>
          <w:sz w:val="24"/>
          <w:szCs w:val="24"/>
          <w:lang w:val="en-US"/>
        </w:rPr>
        <w:t xml:space="preserve">will </w:t>
      </w:r>
      <w:r w:rsidRPr="009B0DBC">
        <w:rPr>
          <w:rFonts w:asciiTheme="minorHAnsi" w:hAnsiTheme="minorHAnsi" w:cstheme="minorHAnsi"/>
          <w:iCs/>
          <w:sz w:val="24"/>
          <w:szCs w:val="24"/>
          <w:lang w:val="en-US"/>
        </w:rPr>
        <w:t>continu</w:t>
      </w:r>
      <w:r>
        <w:rPr>
          <w:rFonts w:asciiTheme="minorHAnsi" w:hAnsiTheme="minorHAnsi" w:cstheme="minorHAnsi"/>
          <w:iCs/>
          <w:sz w:val="24"/>
          <w:szCs w:val="24"/>
          <w:lang w:val="en-US"/>
        </w:rPr>
        <w:t>e</w:t>
      </w:r>
      <w:r w:rsidRPr="009B0DBC">
        <w:rPr>
          <w:rFonts w:asciiTheme="minorHAnsi" w:hAnsiTheme="minorHAnsi" w:cstheme="minorHAnsi"/>
          <w:iCs/>
          <w:sz w:val="24"/>
          <w:szCs w:val="24"/>
          <w:lang w:val="en-US"/>
        </w:rPr>
        <w:t xml:space="preserve"> to monitor the cost recovery arrangements to ensure that they remain cost effective and equitable among </w:t>
      </w:r>
      <w:r>
        <w:rPr>
          <w:rFonts w:asciiTheme="minorHAnsi" w:hAnsiTheme="minorHAnsi" w:cstheme="minorHAnsi"/>
          <w:iCs/>
          <w:sz w:val="24"/>
          <w:szCs w:val="24"/>
          <w:lang w:val="en-US"/>
        </w:rPr>
        <w:t>t</w:t>
      </w:r>
      <w:r w:rsidRPr="009B0DBC">
        <w:rPr>
          <w:rFonts w:asciiTheme="minorHAnsi" w:hAnsiTheme="minorHAnsi" w:cstheme="minorHAnsi"/>
          <w:iCs/>
          <w:sz w:val="24"/>
          <w:szCs w:val="24"/>
          <w:lang w:val="en-US"/>
        </w:rPr>
        <w:t>itleholders.</w:t>
      </w:r>
      <w:r>
        <w:rPr>
          <w:rFonts w:asciiTheme="minorHAnsi" w:hAnsiTheme="minorHAnsi" w:cstheme="minorHAnsi"/>
          <w:iCs/>
          <w:sz w:val="24"/>
          <w:szCs w:val="24"/>
          <w:lang w:val="en-US"/>
        </w:rPr>
        <w:t xml:space="preserve"> NOPTA will actively engage with </w:t>
      </w:r>
      <w:r w:rsidRPr="009B0DBC">
        <w:rPr>
          <w:rFonts w:asciiTheme="minorHAnsi" w:hAnsiTheme="minorHAnsi" w:cstheme="minorHAnsi"/>
          <w:iCs/>
          <w:sz w:val="24"/>
          <w:szCs w:val="24"/>
          <w:lang w:val="en-US"/>
        </w:rPr>
        <w:t>industry representatives,</w:t>
      </w:r>
      <w:r>
        <w:rPr>
          <w:rFonts w:asciiTheme="minorHAnsi" w:hAnsiTheme="minorHAnsi" w:cstheme="minorHAnsi"/>
          <w:iCs/>
          <w:sz w:val="24"/>
          <w:szCs w:val="24"/>
          <w:lang w:val="en-US"/>
        </w:rPr>
        <w:t xml:space="preserve"> raising issues relating to cost structures as they arise</w:t>
      </w:r>
      <w:r w:rsidRPr="009B0DBC">
        <w:rPr>
          <w:rFonts w:asciiTheme="minorHAnsi" w:hAnsiTheme="minorHAnsi" w:cstheme="minorHAnsi"/>
          <w:iCs/>
          <w:sz w:val="24"/>
          <w:szCs w:val="24"/>
          <w:lang w:val="en-US"/>
        </w:rPr>
        <w:t>.</w:t>
      </w:r>
    </w:p>
    <w:p w14:paraId="5F6AF041" w14:textId="77777777" w:rsidR="00CE74AA" w:rsidRDefault="00CE74AA" w:rsidP="009B0DBC">
      <w:pPr>
        <w:pStyle w:val="CommentText"/>
        <w:rPr>
          <w:rFonts w:asciiTheme="minorHAnsi" w:hAnsiTheme="minorHAnsi" w:cstheme="minorHAnsi"/>
          <w:iCs/>
          <w:sz w:val="24"/>
          <w:szCs w:val="24"/>
          <w:lang w:val="en-US"/>
        </w:rPr>
      </w:pPr>
    </w:p>
    <w:p w14:paraId="482B2C3D" w14:textId="3B4D00E5" w:rsidR="00CE74AA" w:rsidRDefault="00CE74AA" w:rsidP="009B0DBC">
      <w:pPr>
        <w:pStyle w:val="CommentText"/>
        <w:rPr>
          <w:rFonts w:asciiTheme="minorHAnsi" w:hAnsiTheme="minorHAnsi" w:cstheme="minorHAnsi"/>
          <w:iCs/>
          <w:sz w:val="24"/>
          <w:szCs w:val="24"/>
          <w:lang w:val="en-US"/>
        </w:rPr>
      </w:pPr>
    </w:p>
    <w:p w14:paraId="1E4360CF" w14:textId="276EF7B7" w:rsidR="008B679D" w:rsidRPr="00727004" w:rsidRDefault="008B679D" w:rsidP="00F2024B">
      <w:pPr>
        <w:pStyle w:val="Heading1"/>
        <w:tabs>
          <w:tab w:val="clear" w:pos="432"/>
          <w:tab w:val="num" w:pos="709"/>
        </w:tabs>
        <w:ind w:left="709" w:hanging="709"/>
        <w:jc w:val="left"/>
        <w:rPr>
          <w:rFonts w:asciiTheme="minorHAnsi" w:hAnsiTheme="minorHAnsi" w:cstheme="minorHAnsi"/>
          <w:b/>
          <w:bCs/>
          <w:i w:val="0"/>
          <w:iCs w:val="0"/>
          <w:sz w:val="32"/>
          <w:szCs w:val="32"/>
        </w:rPr>
      </w:pPr>
      <w:bookmarkStart w:id="29" w:name="_Toc84844728"/>
      <w:r w:rsidRPr="00727004">
        <w:rPr>
          <w:rFonts w:asciiTheme="minorHAnsi" w:hAnsiTheme="minorHAnsi" w:cstheme="minorHAnsi"/>
          <w:b/>
          <w:bCs/>
          <w:i w:val="0"/>
          <w:iCs w:val="0"/>
          <w:sz w:val="32"/>
          <w:szCs w:val="32"/>
        </w:rPr>
        <w:t>STAKEHOLDER ENGAGEMENT</w:t>
      </w:r>
      <w:bookmarkEnd w:id="29"/>
    </w:p>
    <w:p w14:paraId="19E59AA0" w14:textId="6E69CB79" w:rsidR="008B679D" w:rsidRDefault="008B679D" w:rsidP="008B679D">
      <w:pPr>
        <w:widowControl w:val="0"/>
        <w:autoSpaceDE w:val="0"/>
        <w:autoSpaceDN w:val="0"/>
        <w:adjustRightInd w:val="0"/>
        <w:spacing w:line="241" w:lineRule="atLeast"/>
        <w:jc w:val="both"/>
        <w:rPr>
          <w:iCs/>
          <w:color w:val="808080"/>
        </w:rPr>
      </w:pPr>
    </w:p>
    <w:p w14:paraId="60EAA85A" w14:textId="77777777" w:rsidR="00CE74AA" w:rsidRPr="00EC7173" w:rsidRDefault="00CE74AA" w:rsidP="00EC7173">
      <w:pPr>
        <w:pStyle w:val="Heading3"/>
        <w:numPr>
          <w:ilvl w:val="0"/>
          <w:numId w:val="0"/>
        </w:numPr>
        <w:spacing w:before="0" w:after="0"/>
        <w:ind w:left="720" w:hanging="720"/>
        <w:rPr>
          <w:rFonts w:asciiTheme="minorHAnsi" w:hAnsiTheme="minorHAnsi" w:cstheme="minorHAnsi"/>
          <w:i/>
          <w:iCs/>
          <w:sz w:val="24"/>
          <w:szCs w:val="24"/>
        </w:rPr>
      </w:pPr>
      <w:bookmarkStart w:id="30" w:name="_Toc84844729"/>
      <w:r w:rsidRPr="00EC7173">
        <w:rPr>
          <w:rFonts w:asciiTheme="minorHAnsi" w:hAnsiTheme="minorHAnsi" w:cstheme="minorHAnsi"/>
          <w:i/>
          <w:iCs/>
          <w:sz w:val="24"/>
          <w:szCs w:val="24"/>
        </w:rPr>
        <w:t>Cost recovery consultation</w:t>
      </w:r>
      <w:bookmarkEnd w:id="30"/>
      <w:r w:rsidRPr="00EC7173">
        <w:rPr>
          <w:rFonts w:asciiTheme="minorHAnsi" w:hAnsiTheme="minorHAnsi" w:cstheme="minorHAnsi"/>
          <w:i/>
          <w:iCs/>
          <w:sz w:val="24"/>
          <w:szCs w:val="24"/>
        </w:rPr>
        <w:t xml:space="preserve"> </w:t>
      </w:r>
    </w:p>
    <w:p w14:paraId="043DB31B" w14:textId="38FC4710" w:rsidR="00280E7F" w:rsidRPr="00280E7F" w:rsidRDefault="004311C5" w:rsidP="00280E7F">
      <w:pPr>
        <w:pStyle w:val="CommentText"/>
        <w:rPr>
          <w:rFonts w:asciiTheme="minorHAnsi" w:hAnsiTheme="minorHAnsi" w:cstheme="minorHAnsi"/>
          <w:sz w:val="24"/>
          <w:szCs w:val="24"/>
        </w:rPr>
      </w:pPr>
      <w:r>
        <w:rPr>
          <w:rFonts w:asciiTheme="minorHAnsi" w:hAnsiTheme="minorHAnsi" w:cstheme="minorHAnsi"/>
          <w:sz w:val="24"/>
          <w:szCs w:val="24"/>
        </w:rPr>
        <w:t xml:space="preserve">NOPTA held an open consultation process on the draft 2022 CRIS between 22 September 2021 and 8 October 2021. </w:t>
      </w:r>
      <w:r w:rsidR="001E0749">
        <w:rPr>
          <w:rFonts w:asciiTheme="minorHAnsi" w:hAnsiTheme="minorHAnsi" w:cstheme="minorHAnsi"/>
          <w:sz w:val="24"/>
          <w:szCs w:val="24"/>
        </w:rPr>
        <w:t>NOPTA utilised the department’s Consultation Hub</w:t>
      </w:r>
      <w:r w:rsidR="001E0749">
        <w:rPr>
          <w:rStyle w:val="FootnoteReference"/>
          <w:rFonts w:cstheme="minorHAnsi"/>
          <w:sz w:val="24"/>
          <w:szCs w:val="24"/>
        </w:rPr>
        <w:footnoteReference w:id="19"/>
      </w:r>
      <w:r w:rsidR="00F82581">
        <w:rPr>
          <w:rFonts w:asciiTheme="minorHAnsi" w:hAnsiTheme="minorHAnsi" w:cstheme="minorHAnsi"/>
          <w:sz w:val="24"/>
          <w:szCs w:val="24"/>
        </w:rPr>
        <w:t>, the NOPTA website</w:t>
      </w:r>
      <w:r w:rsidR="00F82581">
        <w:rPr>
          <w:rStyle w:val="FootnoteReference"/>
          <w:rFonts w:cstheme="minorHAnsi"/>
          <w:sz w:val="24"/>
          <w:szCs w:val="24"/>
        </w:rPr>
        <w:footnoteReference w:id="20"/>
      </w:r>
      <w:r w:rsidR="001E0749">
        <w:rPr>
          <w:rFonts w:asciiTheme="minorHAnsi" w:hAnsiTheme="minorHAnsi" w:cstheme="minorHAnsi"/>
          <w:sz w:val="24"/>
          <w:szCs w:val="24"/>
        </w:rPr>
        <w:t xml:space="preserve"> and approached stakeholders directly via email. </w:t>
      </w:r>
      <w:r>
        <w:rPr>
          <w:rFonts w:asciiTheme="minorHAnsi" w:hAnsiTheme="minorHAnsi" w:cstheme="minorHAnsi"/>
          <w:sz w:val="24"/>
          <w:szCs w:val="24"/>
        </w:rPr>
        <w:t xml:space="preserve">Only one </w:t>
      </w:r>
      <w:r w:rsidR="00F82581">
        <w:rPr>
          <w:rFonts w:asciiTheme="minorHAnsi" w:hAnsiTheme="minorHAnsi" w:cstheme="minorHAnsi"/>
          <w:sz w:val="24"/>
          <w:szCs w:val="24"/>
        </w:rPr>
        <w:t xml:space="preserve">industry stakeholder </w:t>
      </w:r>
      <w:r>
        <w:rPr>
          <w:rFonts w:asciiTheme="minorHAnsi" w:hAnsiTheme="minorHAnsi" w:cstheme="minorHAnsi"/>
          <w:sz w:val="24"/>
          <w:szCs w:val="24"/>
        </w:rPr>
        <w:t>submission was received</w:t>
      </w:r>
      <w:r w:rsidR="00F82581">
        <w:rPr>
          <w:rFonts w:asciiTheme="minorHAnsi" w:hAnsiTheme="minorHAnsi" w:cstheme="minorHAnsi"/>
          <w:sz w:val="24"/>
          <w:szCs w:val="24"/>
        </w:rPr>
        <w:t xml:space="preserve"> who</w:t>
      </w:r>
      <w:r w:rsidR="00280E7F">
        <w:rPr>
          <w:rFonts w:asciiTheme="minorHAnsi" w:hAnsiTheme="minorHAnsi" w:cstheme="minorHAnsi"/>
          <w:sz w:val="24"/>
          <w:szCs w:val="24"/>
        </w:rPr>
        <w:t xml:space="preserve"> raised no specific objections to the proposed 10</w:t>
      </w:r>
      <w:r w:rsidR="009378A3">
        <w:rPr>
          <w:rFonts w:asciiTheme="minorHAnsi" w:hAnsiTheme="minorHAnsi" w:cstheme="minorHAnsi"/>
          <w:sz w:val="24"/>
          <w:szCs w:val="24"/>
        </w:rPr>
        <w:t xml:space="preserve"> percent</w:t>
      </w:r>
      <w:r w:rsidR="00280E7F">
        <w:rPr>
          <w:rFonts w:asciiTheme="minorHAnsi" w:hAnsiTheme="minorHAnsi" w:cstheme="minorHAnsi"/>
          <w:sz w:val="24"/>
          <w:szCs w:val="24"/>
        </w:rPr>
        <w:t xml:space="preserve"> increase to fees and levies. </w:t>
      </w:r>
      <w:r w:rsidR="00F82581">
        <w:rPr>
          <w:rFonts w:asciiTheme="minorHAnsi" w:hAnsiTheme="minorHAnsi" w:cstheme="minorHAnsi"/>
          <w:sz w:val="24"/>
          <w:szCs w:val="24"/>
        </w:rPr>
        <w:t xml:space="preserve">The respondent </w:t>
      </w:r>
      <w:r w:rsidR="00280E7F" w:rsidRPr="00280E7F">
        <w:rPr>
          <w:rFonts w:asciiTheme="minorHAnsi" w:hAnsiTheme="minorHAnsi" w:cstheme="minorHAnsi"/>
          <w:sz w:val="24"/>
          <w:szCs w:val="24"/>
        </w:rPr>
        <w:t xml:space="preserve">requested further clarification on NOPTA’s approach to its administration of the new ‘change in company control’ provisions and the existing </w:t>
      </w:r>
      <w:r w:rsidR="00280E7F">
        <w:rPr>
          <w:rFonts w:asciiTheme="minorHAnsi" w:hAnsiTheme="minorHAnsi" w:cstheme="minorHAnsi"/>
          <w:sz w:val="24"/>
          <w:szCs w:val="24"/>
        </w:rPr>
        <w:t>‘</w:t>
      </w:r>
      <w:r w:rsidR="00280E7F" w:rsidRPr="00280E7F">
        <w:rPr>
          <w:rFonts w:asciiTheme="minorHAnsi" w:hAnsiTheme="minorHAnsi" w:cstheme="minorHAnsi"/>
          <w:sz w:val="24"/>
          <w:szCs w:val="24"/>
        </w:rPr>
        <w:t>transfer of title</w:t>
      </w:r>
      <w:r w:rsidR="00280E7F">
        <w:rPr>
          <w:rFonts w:asciiTheme="minorHAnsi" w:hAnsiTheme="minorHAnsi" w:cstheme="minorHAnsi"/>
          <w:sz w:val="24"/>
          <w:szCs w:val="24"/>
        </w:rPr>
        <w:t>’</w:t>
      </w:r>
      <w:r w:rsidR="00280E7F" w:rsidRPr="00280E7F">
        <w:rPr>
          <w:rFonts w:asciiTheme="minorHAnsi" w:hAnsiTheme="minorHAnsi" w:cstheme="minorHAnsi"/>
          <w:sz w:val="24"/>
          <w:szCs w:val="24"/>
        </w:rPr>
        <w:t xml:space="preserve"> provisions</w:t>
      </w:r>
      <w:r w:rsidR="00280E7F">
        <w:rPr>
          <w:rFonts w:asciiTheme="minorHAnsi" w:hAnsiTheme="minorHAnsi" w:cstheme="minorHAnsi"/>
          <w:sz w:val="24"/>
          <w:szCs w:val="24"/>
        </w:rPr>
        <w:t xml:space="preserve"> under the OPGGS Act. </w:t>
      </w:r>
      <w:r w:rsidR="00F82581">
        <w:rPr>
          <w:rFonts w:asciiTheme="minorHAnsi" w:hAnsiTheme="minorHAnsi" w:cstheme="minorHAnsi"/>
          <w:sz w:val="24"/>
          <w:szCs w:val="24"/>
        </w:rPr>
        <w:t>The respondent</w:t>
      </w:r>
      <w:r w:rsidR="00280E7F">
        <w:rPr>
          <w:rFonts w:asciiTheme="minorHAnsi" w:hAnsiTheme="minorHAnsi" w:cstheme="minorHAnsi"/>
          <w:sz w:val="24"/>
          <w:szCs w:val="24"/>
        </w:rPr>
        <w:t xml:space="preserve"> also </w:t>
      </w:r>
      <w:r w:rsidR="00280E7F" w:rsidRPr="00280E7F">
        <w:rPr>
          <w:rFonts w:asciiTheme="minorHAnsi" w:hAnsiTheme="minorHAnsi" w:cstheme="minorHAnsi"/>
          <w:sz w:val="24"/>
          <w:szCs w:val="24"/>
        </w:rPr>
        <w:t>request</w:t>
      </w:r>
      <w:r w:rsidR="00280E7F">
        <w:rPr>
          <w:rFonts w:asciiTheme="minorHAnsi" w:hAnsiTheme="minorHAnsi" w:cstheme="minorHAnsi"/>
          <w:sz w:val="24"/>
          <w:szCs w:val="24"/>
        </w:rPr>
        <w:t>ed</w:t>
      </w:r>
      <w:r w:rsidR="00280E7F" w:rsidRPr="00280E7F">
        <w:rPr>
          <w:rFonts w:asciiTheme="minorHAnsi" w:hAnsiTheme="minorHAnsi" w:cstheme="minorHAnsi"/>
          <w:sz w:val="24"/>
          <w:szCs w:val="24"/>
        </w:rPr>
        <w:t xml:space="preserve"> clari</w:t>
      </w:r>
      <w:r w:rsidR="00280E7F">
        <w:rPr>
          <w:rFonts w:asciiTheme="minorHAnsi" w:hAnsiTheme="minorHAnsi" w:cstheme="minorHAnsi"/>
          <w:sz w:val="24"/>
          <w:szCs w:val="24"/>
        </w:rPr>
        <w:t xml:space="preserve">fication around the underlying cost </w:t>
      </w:r>
      <w:r w:rsidR="00280E7F" w:rsidRPr="00280E7F">
        <w:rPr>
          <w:rFonts w:asciiTheme="minorHAnsi" w:hAnsiTheme="minorHAnsi" w:cstheme="minorHAnsi"/>
          <w:sz w:val="24"/>
          <w:szCs w:val="24"/>
        </w:rPr>
        <w:t>assumptions relat</w:t>
      </w:r>
      <w:r w:rsidR="00280E7F">
        <w:rPr>
          <w:rFonts w:asciiTheme="minorHAnsi" w:hAnsiTheme="minorHAnsi" w:cstheme="minorHAnsi"/>
          <w:sz w:val="24"/>
          <w:szCs w:val="24"/>
        </w:rPr>
        <w:t>ing to the change in company control</w:t>
      </w:r>
      <w:r w:rsidR="00280E7F" w:rsidRPr="00280E7F">
        <w:rPr>
          <w:rFonts w:asciiTheme="minorHAnsi" w:hAnsiTheme="minorHAnsi" w:cstheme="minorHAnsi"/>
          <w:sz w:val="24"/>
          <w:szCs w:val="24"/>
        </w:rPr>
        <w:t xml:space="preserve"> process</w:t>
      </w:r>
      <w:r w:rsidR="00280E7F">
        <w:rPr>
          <w:rFonts w:asciiTheme="minorHAnsi" w:hAnsiTheme="minorHAnsi" w:cstheme="minorHAnsi"/>
          <w:sz w:val="24"/>
          <w:szCs w:val="24"/>
        </w:rPr>
        <w:t xml:space="preserve">, as well as the administrative </w:t>
      </w:r>
      <w:r w:rsidR="00280E7F" w:rsidRPr="00280E7F">
        <w:rPr>
          <w:rFonts w:asciiTheme="minorHAnsi" w:hAnsiTheme="minorHAnsi" w:cstheme="minorHAnsi"/>
          <w:sz w:val="24"/>
          <w:szCs w:val="24"/>
        </w:rPr>
        <w:t xml:space="preserve">policy intent </w:t>
      </w:r>
      <w:r w:rsidR="00280E7F">
        <w:rPr>
          <w:rFonts w:asciiTheme="minorHAnsi" w:hAnsiTheme="minorHAnsi" w:cstheme="minorHAnsi"/>
          <w:sz w:val="24"/>
          <w:szCs w:val="24"/>
        </w:rPr>
        <w:t>behind related processes under the OPGGS</w:t>
      </w:r>
      <w:r w:rsidR="004D55C0">
        <w:rPr>
          <w:rFonts w:asciiTheme="minorHAnsi" w:hAnsiTheme="minorHAnsi" w:cstheme="minorHAnsi"/>
          <w:sz w:val="24"/>
          <w:szCs w:val="24"/>
        </w:rPr>
        <w:t xml:space="preserve"> Act</w:t>
      </w:r>
      <w:r w:rsidR="00280E7F" w:rsidRPr="00280E7F">
        <w:rPr>
          <w:rFonts w:asciiTheme="minorHAnsi" w:hAnsiTheme="minorHAnsi" w:cstheme="minorHAnsi"/>
          <w:sz w:val="24"/>
          <w:szCs w:val="24"/>
        </w:rPr>
        <w:t xml:space="preserve">. </w:t>
      </w:r>
      <w:r w:rsidR="00F82581">
        <w:rPr>
          <w:rFonts w:asciiTheme="minorHAnsi" w:hAnsiTheme="minorHAnsi" w:cstheme="minorHAnsi"/>
          <w:sz w:val="24"/>
          <w:szCs w:val="24"/>
        </w:rPr>
        <w:t xml:space="preserve">The respondent </w:t>
      </w:r>
      <w:r w:rsidR="004D55C0">
        <w:rPr>
          <w:rFonts w:asciiTheme="minorHAnsi" w:hAnsiTheme="minorHAnsi" w:cstheme="minorHAnsi"/>
          <w:sz w:val="24"/>
          <w:szCs w:val="24"/>
        </w:rPr>
        <w:t xml:space="preserve">encouraged NOPTA to continue to take an active role in policy discussions with industry and NOPSEMA. </w:t>
      </w:r>
    </w:p>
    <w:p w14:paraId="03D51FA1" w14:textId="77777777" w:rsidR="00D830B4" w:rsidRPr="00D830B4" w:rsidRDefault="00D830B4" w:rsidP="00D830B4">
      <w:pPr>
        <w:rPr>
          <w:rFonts w:asciiTheme="minorHAnsi" w:hAnsiTheme="minorHAnsi" w:cstheme="minorHAnsi"/>
          <w:lang w:eastAsia="en-AU"/>
        </w:rPr>
      </w:pPr>
    </w:p>
    <w:p w14:paraId="37EC1D7F" w14:textId="00D66B6D" w:rsidR="00CE74AA" w:rsidRPr="00205982" w:rsidRDefault="00CE74AA" w:rsidP="00205982">
      <w:pPr>
        <w:pStyle w:val="Heading3"/>
        <w:numPr>
          <w:ilvl w:val="0"/>
          <w:numId w:val="0"/>
        </w:numPr>
        <w:spacing w:before="0" w:after="0"/>
        <w:ind w:left="720" w:hanging="720"/>
        <w:rPr>
          <w:rFonts w:asciiTheme="minorHAnsi" w:hAnsiTheme="minorHAnsi" w:cstheme="minorHAnsi"/>
          <w:i/>
          <w:iCs/>
          <w:sz w:val="24"/>
          <w:szCs w:val="24"/>
        </w:rPr>
      </w:pPr>
      <w:bookmarkStart w:id="31" w:name="_Toc84844730"/>
      <w:r w:rsidRPr="00205982">
        <w:rPr>
          <w:rFonts w:asciiTheme="minorHAnsi" w:hAnsiTheme="minorHAnsi" w:cstheme="minorHAnsi"/>
          <w:i/>
          <w:iCs/>
          <w:sz w:val="24"/>
          <w:szCs w:val="24"/>
        </w:rPr>
        <w:t>NOPTA international benchmarking</w:t>
      </w:r>
      <w:bookmarkEnd w:id="31"/>
      <w:r w:rsidRPr="00205982">
        <w:rPr>
          <w:rFonts w:asciiTheme="minorHAnsi" w:hAnsiTheme="minorHAnsi" w:cstheme="minorHAnsi"/>
          <w:i/>
          <w:iCs/>
          <w:sz w:val="24"/>
          <w:szCs w:val="24"/>
        </w:rPr>
        <w:t xml:space="preserve">  </w:t>
      </w:r>
    </w:p>
    <w:p w14:paraId="78346C19" w14:textId="2414222C" w:rsidR="00CE74AA" w:rsidRPr="00950A04" w:rsidRDefault="00CE74AA" w:rsidP="00CE74AA">
      <w:pPr>
        <w:autoSpaceDE w:val="0"/>
        <w:autoSpaceDN w:val="0"/>
        <w:rPr>
          <w:rFonts w:asciiTheme="minorHAnsi" w:hAnsiTheme="minorHAnsi" w:cstheme="minorHAnsi"/>
          <w:sz w:val="22"/>
          <w:szCs w:val="22"/>
        </w:rPr>
      </w:pPr>
      <w:bookmarkStart w:id="32" w:name="_Hlk72150342"/>
      <w:r w:rsidRPr="00950A04">
        <w:rPr>
          <w:rFonts w:asciiTheme="minorHAnsi" w:hAnsiTheme="minorHAnsi" w:cstheme="minorHAnsi"/>
        </w:rPr>
        <w:t>In March 2021</w:t>
      </w:r>
      <w:r w:rsidR="007345BD">
        <w:rPr>
          <w:rFonts w:asciiTheme="minorHAnsi" w:hAnsiTheme="minorHAnsi" w:cstheme="minorHAnsi"/>
        </w:rPr>
        <w:t>,</w:t>
      </w:r>
      <w:r w:rsidRPr="00950A04">
        <w:rPr>
          <w:rFonts w:asciiTheme="minorHAnsi" w:hAnsiTheme="minorHAnsi" w:cstheme="minorHAnsi"/>
        </w:rPr>
        <w:t xml:space="preserve"> NOPTA conducted a benchmarking exercise, based on 2019-20 data, against similar offshore resource petroleum regulators located in the United Kingdom (Oil and Gas Authority (OGA)), Norway (Norwegian Petroleum Directorate (NPD)), U.S.A (Bureau of Ocean Energy Management (BOEM)) and Canada (Canada-Newfoundland &amp; Labrador Offshore Petroleum Board (C-NLOPB)). While the scope of work undertaken by each regulator does vary, benchmarking was conducted in relation to regulator activities for offshore petroleum titles only.</w:t>
      </w:r>
    </w:p>
    <w:p w14:paraId="0E23E88E" w14:textId="77777777" w:rsidR="00CE74AA" w:rsidRPr="00950A04" w:rsidRDefault="00CE74AA" w:rsidP="00CE74AA">
      <w:pPr>
        <w:autoSpaceDE w:val="0"/>
        <w:autoSpaceDN w:val="0"/>
        <w:rPr>
          <w:rFonts w:asciiTheme="minorHAnsi" w:hAnsiTheme="minorHAnsi" w:cstheme="minorHAnsi"/>
        </w:rPr>
      </w:pPr>
    </w:p>
    <w:p w14:paraId="129D519A" w14:textId="77777777" w:rsidR="00CE74AA" w:rsidRPr="00950A04" w:rsidRDefault="00CE74AA" w:rsidP="00CE74AA">
      <w:pPr>
        <w:autoSpaceDE w:val="0"/>
        <w:autoSpaceDN w:val="0"/>
        <w:rPr>
          <w:rFonts w:asciiTheme="minorHAnsi" w:hAnsiTheme="minorHAnsi" w:cstheme="minorHAnsi"/>
        </w:rPr>
      </w:pPr>
      <w:r w:rsidRPr="00950A04">
        <w:rPr>
          <w:rFonts w:asciiTheme="minorHAnsi" w:hAnsiTheme="minorHAnsi" w:cstheme="minorHAnsi"/>
        </w:rPr>
        <w:t>The results show that NOPTA compares favourably in relation to all key metrics. In particular, the comparisons show that NOPTA:</w:t>
      </w:r>
    </w:p>
    <w:p w14:paraId="38503565" w14:textId="77777777" w:rsidR="00CE74AA" w:rsidRPr="00950A04" w:rsidRDefault="00CE74AA" w:rsidP="00A174D5">
      <w:pPr>
        <w:pStyle w:val="ListParagraph"/>
        <w:numPr>
          <w:ilvl w:val="0"/>
          <w:numId w:val="8"/>
        </w:numPr>
        <w:autoSpaceDE w:val="0"/>
        <w:autoSpaceDN w:val="0"/>
        <w:rPr>
          <w:rFonts w:asciiTheme="minorHAnsi" w:hAnsiTheme="minorHAnsi" w:cstheme="minorHAnsi"/>
        </w:rPr>
      </w:pPr>
      <w:r w:rsidRPr="00950A04">
        <w:rPr>
          <w:rFonts w:asciiTheme="minorHAnsi" w:hAnsiTheme="minorHAnsi" w:cstheme="minorHAnsi"/>
        </w:rPr>
        <w:t>administers more total acreage under active licence (428,195 km</w:t>
      </w:r>
      <w:r w:rsidRPr="00950A04">
        <w:rPr>
          <w:rFonts w:asciiTheme="minorHAnsi" w:hAnsiTheme="minorHAnsi" w:cstheme="minorHAnsi"/>
          <w:vertAlign w:val="superscript"/>
        </w:rPr>
        <w:t>2</w:t>
      </w:r>
      <w:r w:rsidRPr="00950A04">
        <w:rPr>
          <w:rFonts w:asciiTheme="minorHAnsi" w:hAnsiTheme="minorHAnsi" w:cstheme="minorHAnsi"/>
        </w:rPr>
        <w:t>) than all the other regulators combined (361,232 km</w:t>
      </w:r>
      <w:r w:rsidRPr="00950A04">
        <w:rPr>
          <w:rFonts w:asciiTheme="minorHAnsi" w:hAnsiTheme="minorHAnsi" w:cstheme="minorHAnsi"/>
          <w:vertAlign w:val="superscript"/>
        </w:rPr>
        <w:t>2</w:t>
      </w:r>
      <w:r w:rsidRPr="00950A04">
        <w:rPr>
          <w:rFonts w:asciiTheme="minorHAnsi" w:hAnsiTheme="minorHAnsi" w:cstheme="minorHAnsi"/>
        </w:rPr>
        <w:t>),</w:t>
      </w:r>
    </w:p>
    <w:p w14:paraId="781D4339" w14:textId="77777777" w:rsidR="00CE74AA" w:rsidRPr="00950A04" w:rsidRDefault="00CE74AA" w:rsidP="00A174D5">
      <w:pPr>
        <w:pStyle w:val="ListParagraph"/>
        <w:numPr>
          <w:ilvl w:val="0"/>
          <w:numId w:val="8"/>
        </w:numPr>
        <w:autoSpaceDE w:val="0"/>
        <w:autoSpaceDN w:val="0"/>
        <w:rPr>
          <w:rFonts w:asciiTheme="minorHAnsi" w:hAnsiTheme="minorHAnsi" w:cstheme="minorHAnsi"/>
        </w:rPr>
      </w:pPr>
      <w:r w:rsidRPr="00950A04">
        <w:rPr>
          <w:rFonts w:asciiTheme="minorHAnsi" w:hAnsiTheme="minorHAnsi" w:cstheme="minorHAnsi"/>
        </w:rPr>
        <w:lastRenderedPageBreak/>
        <w:t>administers more active titles (372) than Canada, but less than the USA, UK and Norway</w:t>
      </w:r>
    </w:p>
    <w:p w14:paraId="15A8D241" w14:textId="77777777" w:rsidR="00CE74AA" w:rsidRPr="00950A04" w:rsidRDefault="00CE74AA" w:rsidP="00A174D5">
      <w:pPr>
        <w:pStyle w:val="ListParagraph"/>
        <w:numPr>
          <w:ilvl w:val="0"/>
          <w:numId w:val="8"/>
        </w:numPr>
        <w:autoSpaceDE w:val="0"/>
        <w:autoSpaceDN w:val="0"/>
        <w:rPr>
          <w:rFonts w:asciiTheme="minorHAnsi" w:hAnsiTheme="minorHAnsi" w:cstheme="minorHAnsi"/>
        </w:rPr>
      </w:pPr>
      <w:r w:rsidRPr="00950A04">
        <w:rPr>
          <w:rFonts w:asciiTheme="minorHAnsi" w:hAnsiTheme="minorHAnsi" w:cstheme="minorHAnsi"/>
        </w:rPr>
        <w:t xml:space="preserve">has lowest annual operating budget of all regulators ($18.4M), which combined with the lowest FTE headcount (58) drives an (on average) the </w:t>
      </w:r>
      <w:r w:rsidRPr="00950A04">
        <w:rPr>
          <w:rFonts w:asciiTheme="minorHAnsi" w:hAnsiTheme="minorHAnsi" w:cstheme="minorHAnsi"/>
          <w:b/>
          <w:bCs/>
        </w:rPr>
        <w:t>second</w:t>
      </w:r>
      <w:r w:rsidRPr="00950A04">
        <w:rPr>
          <w:rFonts w:asciiTheme="minorHAnsi" w:hAnsiTheme="minorHAnsi" w:cstheme="minorHAnsi"/>
        </w:rPr>
        <w:t xml:space="preserve"> lowest annual operating cost per title compared with the other regulators.</w:t>
      </w:r>
    </w:p>
    <w:bookmarkEnd w:id="32"/>
    <w:p w14:paraId="6BAFD398" w14:textId="53556B20" w:rsidR="00CE74AA" w:rsidRDefault="00CE74AA" w:rsidP="008B679D">
      <w:pPr>
        <w:widowControl w:val="0"/>
        <w:autoSpaceDE w:val="0"/>
        <w:autoSpaceDN w:val="0"/>
        <w:adjustRightInd w:val="0"/>
        <w:spacing w:line="241" w:lineRule="atLeast"/>
        <w:jc w:val="both"/>
        <w:rPr>
          <w:iCs/>
          <w:color w:val="808080"/>
        </w:rPr>
      </w:pPr>
    </w:p>
    <w:p w14:paraId="41C2116A" w14:textId="49FFF4C5" w:rsidR="009458BB" w:rsidRDefault="009458BB" w:rsidP="008B679D">
      <w:pPr>
        <w:widowControl w:val="0"/>
        <w:autoSpaceDE w:val="0"/>
        <w:autoSpaceDN w:val="0"/>
        <w:adjustRightInd w:val="0"/>
        <w:spacing w:line="241" w:lineRule="atLeast"/>
        <w:jc w:val="both"/>
        <w:rPr>
          <w:iCs/>
          <w:color w:val="808080"/>
        </w:rPr>
      </w:pPr>
    </w:p>
    <w:p w14:paraId="6C662D19" w14:textId="173E8201" w:rsidR="008B679D" w:rsidRDefault="008B679D" w:rsidP="00F2024B">
      <w:pPr>
        <w:pStyle w:val="Heading1"/>
        <w:tabs>
          <w:tab w:val="clear" w:pos="432"/>
          <w:tab w:val="num" w:pos="709"/>
        </w:tabs>
        <w:ind w:left="709" w:hanging="709"/>
        <w:jc w:val="left"/>
        <w:rPr>
          <w:rFonts w:asciiTheme="minorHAnsi" w:hAnsiTheme="minorHAnsi" w:cstheme="minorHAnsi"/>
          <w:b/>
          <w:bCs/>
          <w:i w:val="0"/>
          <w:iCs w:val="0"/>
          <w:sz w:val="32"/>
          <w:szCs w:val="32"/>
        </w:rPr>
      </w:pPr>
      <w:bookmarkStart w:id="33" w:name="_Toc84844731"/>
      <w:r w:rsidRPr="00727004">
        <w:rPr>
          <w:rFonts w:asciiTheme="minorHAnsi" w:hAnsiTheme="minorHAnsi" w:cstheme="minorHAnsi"/>
          <w:b/>
          <w:bCs/>
          <w:i w:val="0"/>
          <w:iCs w:val="0"/>
          <w:sz w:val="32"/>
          <w:szCs w:val="32"/>
        </w:rPr>
        <w:t>FINANCIAL ESTIMATES</w:t>
      </w:r>
      <w:bookmarkEnd w:id="33"/>
      <w:r w:rsidRPr="00727004">
        <w:rPr>
          <w:rFonts w:asciiTheme="minorHAnsi" w:hAnsiTheme="minorHAnsi" w:cstheme="minorHAnsi"/>
          <w:b/>
          <w:bCs/>
          <w:i w:val="0"/>
          <w:iCs w:val="0"/>
          <w:sz w:val="32"/>
          <w:szCs w:val="32"/>
        </w:rPr>
        <w:t xml:space="preserve"> </w:t>
      </w:r>
    </w:p>
    <w:p w14:paraId="3CEF394F" w14:textId="77777777" w:rsidR="00CE74AA" w:rsidRDefault="00CE74AA" w:rsidP="00CE74AA">
      <w:pPr>
        <w:widowControl w:val="0"/>
        <w:autoSpaceDE w:val="0"/>
        <w:autoSpaceDN w:val="0"/>
        <w:adjustRightInd w:val="0"/>
        <w:spacing w:line="241" w:lineRule="atLeast"/>
        <w:rPr>
          <w:rFonts w:asciiTheme="minorHAnsi" w:hAnsiTheme="minorHAnsi" w:cstheme="minorHAnsi"/>
          <w:iCs/>
          <w:color w:val="000000" w:themeColor="text1"/>
          <w:lang w:val="en-US"/>
        </w:rPr>
      </w:pPr>
    </w:p>
    <w:p w14:paraId="4DC991BB" w14:textId="791D8A24" w:rsidR="00A25DC0" w:rsidRPr="00862634" w:rsidRDefault="00A25DC0" w:rsidP="00A25DC0">
      <w:pPr>
        <w:widowControl w:val="0"/>
        <w:autoSpaceDE w:val="0"/>
        <w:autoSpaceDN w:val="0"/>
        <w:adjustRightInd w:val="0"/>
        <w:spacing w:line="241" w:lineRule="atLeast"/>
        <w:rPr>
          <w:rFonts w:asciiTheme="minorHAnsi" w:hAnsiTheme="minorHAnsi" w:cstheme="minorHAnsi"/>
          <w:iCs/>
          <w:color w:val="000000" w:themeColor="text1"/>
          <w:lang w:val="en-US"/>
        </w:rPr>
      </w:pPr>
      <w:r w:rsidRPr="00862634">
        <w:rPr>
          <w:rFonts w:asciiTheme="minorHAnsi" w:hAnsiTheme="minorHAnsi" w:cstheme="minorHAnsi"/>
          <w:iCs/>
          <w:color w:val="000000" w:themeColor="text1"/>
          <w:lang w:val="en-US"/>
        </w:rPr>
        <w:t xml:space="preserve">Financial estimates are provided below in </w:t>
      </w:r>
      <w:r w:rsidRPr="00C353A0">
        <w:rPr>
          <w:rFonts w:asciiTheme="minorHAnsi" w:hAnsiTheme="minorHAnsi" w:cstheme="minorHAnsi"/>
          <w:b/>
          <w:bCs/>
          <w:iCs/>
          <w:color w:val="000000" w:themeColor="text1"/>
          <w:lang w:val="en-US"/>
        </w:rPr>
        <w:t>Table 8</w:t>
      </w:r>
      <w:r>
        <w:rPr>
          <w:rFonts w:asciiTheme="minorHAnsi" w:hAnsiTheme="minorHAnsi" w:cstheme="minorHAnsi"/>
          <w:iCs/>
          <w:color w:val="000000" w:themeColor="text1"/>
          <w:lang w:val="en-US"/>
        </w:rPr>
        <w:t xml:space="preserve"> based on a 10 percent increase occurring on 1 January 2022</w:t>
      </w:r>
      <w:r w:rsidRPr="000941CA">
        <w:rPr>
          <w:rFonts w:asciiTheme="minorHAnsi" w:hAnsiTheme="minorHAnsi" w:cstheme="minorHAnsi"/>
          <w:iCs/>
          <w:color w:val="000000" w:themeColor="text1"/>
          <w:lang w:val="en-US"/>
        </w:rPr>
        <w:t>.</w:t>
      </w:r>
      <w:r w:rsidRPr="00862634">
        <w:rPr>
          <w:rFonts w:asciiTheme="minorHAnsi" w:hAnsiTheme="minorHAnsi" w:cstheme="minorHAnsi"/>
          <w:iCs/>
          <w:color w:val="000000" w:themeColor="text1"/>
          <w:lang w:val="en-US"/>
        </w:rPr>
        <w:t xml:space="preserve">  As these financial estimates change the CRIS will be updated accordingly.</w:t>
      </w:r>
    </w:p>
    <w:p w14:paraId="48E88880" w14:textId="77777777" w:rsidR="00A25DC0" w:rsidRPr="00862634" w:rsidRDefault="00A25DC0" w:rsidP="00A25DC0">
      <w:pPr>
        <w:widowControl w:val="0"/>
        <w:autoSpaceDE w:val="0"/>
        <w:autoSpaceDN w:val="0"/>
        <w:adjustRightInd w:val="0"/>
        <w:spacing w:line="241" w:lineRule="atLeast"/>
        <w:jc w:val="both"/>
        <w:rPr>
          <w:rFonts w:asciiTheme="minorHAnsi" w:hAnsiTheme="minorHAnsi" w:cstheme="minorHAnsi"/>
          <w:iCs/>
          <w:color w:val="000000" w:themeColor="text1"/>
          <w:lang w:val="en-US"/>
        </w:rPr>
      </w:pPr>
    </w:p>
    <w:p w14:paraId="1BC980FA" w14:textId="77777777" w:rsidR="00A25DC0" w:rsidRPr="00862634" w:rsidRDefault="00A25DC0" w:rsidP="00A25DC0">
      <w:pPr>
        <w:keepNext/>
        <w:widowControl w:val="0"/>
        <w:autoSpaceDE w:val="0"/>
        <w:autoSpaceDN w:val="0"/>
        <w:adjustRightInd w:val="0"/>
        <w:spacing w:line="241" w:lineRule="atLeast"/>
        <w:jc w:val="both"/>
        <w:rPr>
          <w:rFonts w:asciiTheme="minorHAnsi" w:hAnsiTheme="minorHAnsi" w:cstheme="minorHAnsi"/>
          <w:iCs/>
          <w:color w:val="000000" w:themeColor="text1"/>
          <w:lang w:val="en-US"/>
        </w:rPr>
      </w:pPr>
      <w:r w:rsidRPr="00107D3F">
        <w:rPr>
          <w:rFonts w:asciiTheme="minorHAnsi" w:hAnsiTheme="minorHAnsi" w:cstheme="minorHAnsi"/>
          <w:b/>
          <w:bCs/>
          <w:iCs/>
          <w:color w:val="000000" w:themeColor="text1"/>
          <w:lang w:val="en-US"/>
        </w:rPr>
        <w:t>Table 8</w:t>
      </w:r>
      <w:r w:rsidRPr="00C9351D">
        <w:rPr>
          <w:rFonts w:asciiTheme="minorHAnsi" w:hAnsiTheme="minorHAnsi" w:cstheme="minorHAnsi"/>
          <w:iCs/>
          <w:color w:val="000000" w:themeColor="text1"/>
          <w:lang w:val="en-US"/>
        </w:rPr>
        <w:t>: Summary of financial estimates</w:t>
      </w:r>
    </w:p>
    <w:tbl>
      <w:tblPr>
        <w:tblStyle w:val="GridTable4-Accent1"/>
        <w:tblW w:w="0" w:type="auto"/>
        <w:tblLook w:val="04A0" w:firstRow="1" w:lastRow="0" w:firstColumn="1" w:lastColumn="0" w:noHBand="0" w:noVBand="1"/>
      </w:tblPr>
      <w:tblGrid>
        <w:gridCol w:w="1795"/>
        <w:gridCol w:w="1538"/>
        <w:gridCol w:w="1538"/>
        <w:gridCol w:w="1539"/>
        <w:gridCol w:w="1539"/>
        <w:gridCol w:w="1539"/>
      </w:tblGrid>
      <w:tr w:rsidR="005461C5" w:rsidRPr="00003987" w14:paraId="2948CDC9" w14:textId="77777777" w:rsidTr="00B06D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65AE92" w14:textId="77777777" w:rsidR="00A25DC0" w:rsidRPr="00003987" w:rsidRDefault="00A25DC0" w:rsidP="00B06D2B">
            <w:pPr>
              <w:spacing w:after="120"/>
              <w:rPr>
                <w:rFonts w:asciiTheme="minorHAnsi" w:hAnsiTheme="minorHAnsi" w:cstheme="minorHAnsi"/>
                <w:sz w:val="20"/>
                <w:szCs w:val="20"/>
              </w:rPr>
            </w:pPr>
          </w:p>
        </w:tc>
        <w:tc>
          <w:tcPr>
            <w:tcW w:w="1538" w:type="dxa"/>
          </w:tcPr>
          <w:p w14:paraId="03E6CFEA" w14:textId="77777777" w:rsidR="00A25DC0" w:rsidRPr="00003987" w:rsidRDefault="00A25DC0" w:rsidP="00B06D2B">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003987">
              <w:rPr>
                <w:rFonts w:asciiTheme="minorHAnsi" w:hAnsiTheme="minorHAnsi" w:cstheme="minorHAnsi"/>
                <w:sz w:val="20"/>
                <w:szCs w:val="20"/>
              </w:rPr>
              <w:t>2021-22</w:t>
            </w:r>
          </w:p>
          <w:p w14:paraId="48C2F250" w14:textId="4F2CEEB9" w:rsidR="00A25DC0" w:rsidRPr="00003987" w:rsidRDefault="00A25DC0" w:rsidP="00B06D2B">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003987">
              <w:rPr>
                <w:rFonts w:asciiTheme="minorHAnsi" w:hAnsiTheme="minorHAnsi" w:cstheme="minorHAnsi"/>
                <w:b w:val="0"/>
                <w:bCs w:val="0"/>
                <w:sz w:val="20"/>
                <w:szCs w:val="20"/>
              </w:rPr>
              <w:t>$000</w:t>
            </w:r>
            <w:r w:rsidR="0059781B">
              <w:rPr>
                <w:rFonts w:asciiTheme="minorHAnsi" w:hAnsiTheme="minorHAnsi" w:cstheme="minorHAnsi"/>
                <w:b w:val="0"/>
                <w:bCs w:val="0"/>
                <w:sz w:val="20"/>
                <w:szCs w:val="20"/>
              </w:rPr>
              <w:t xml:space="preserve"> (Actual)</w:t>
            </w:r>
          </w:p>
        </w:tc>
        <w:tc>
          <w:tcPr>
            <w:tcW w:w="1538" w:type="dxa"/>
          </w:tcPr>
          <w:p w14:paraId="79D6CAA4" w14:textId="77777777" w:rsidR="00A25DC0" w:rsidRPr="00003987" w:rsidRDefault="00A25DC0" w:rsidP="00B06D2B">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003987">
              <w:rPr>
                <w:rFonts w:asciiTheme="minorHAnsi" w:hAnsiTheme="minorHAnsi" w:cstheme="minorHAnsi"/>
                <w:sz w:val="20"/>
                <w:szCs w:val="20"/>
              </w:rPr>
              <w:t>2022-23</w:t>
            </w:r>
          </w:p>
          <w:p w14:paraId="4028DEC7" w14:textId="77777777" w:rsidR="00A25DC0" w:rsidRPr="00003987" w:rsidRDefault="00A25DC0" w:rsidP="00B06D2B">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3987">
              <w:rPr>
                <w:rFonts w:asciiTheme="minorHAnsi" w:hAnsiTheme="minorHAnsi" w:cstheme="minorHAnsi"/>
                <w:b w:val="0"/>
                <w:bCs w:val="0"/>
                <w:sz w:val="20"/>
                <w:szCs w:val="20"/>
              </w:rPr>
              <w:t>$000</w:t>
            </w:r>
          </w:p>
        </w:tc>
        <w:tc>
          <w:tcPr>
            <w:tcW w:w="1539" w:type="dxa"/>
          </w:tcPr>
          <w:p w14:paraId="7AF75307" w14:textId="77777777" w:rsidR="00A25DC0" w:rsidRPr="00003987" w:rsidRDefault="00A25DC0" w:rsidP="00B06D2B">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003987">
              <w:rPr>
                <w:rFonts w:asciiTheme="minorHAnsi" w:hAnsiTheme="minorHAnsi" w:cstheme="minorHAnsi"/>
                <w:sz w:val="20"/>
                <w:szCs w:val="20"/>
              </w:rPr>
              <w:t>2023-24</w:t>
            </w:r>
          </w:p>
          <w:p w14:paraId="7D393278" w14:textId="77777777" w:rsidR="00A25DC0" w:rsidRPr="00003987" w:rsidRDefault="00A25DC0" w:rsidP="00B06D2B">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3987">
              <w:rPr>
                <w:rFonts w:asciiTheme="minorHAnsi" w:hAnsiTheme="minorHAnsi" w:cstheme="minorHAnsi"/>
                <w:b w:val="0"/>
                <w:bCs w:val="0"/>
                <w:sz w:val="20"/>
                <w:szCs w:val="20"/>
              </w:rPr>
              <w:t>$000</w:t>
            </w:r>
          </w:p>
        </w:tc>
        <w:tc>
          <w:tcPr>
            <w:tcW w:w="1539" w:type="dxa"/>
          </w:tcPr>
          <w:p w14:paraId="16521A69" w14:textId="77777777" w:rsidR="00A25DC0" w:rsidRPr="00003987" w:rsidRDefault="00A25DC0" w:rsidP="00B06D2B">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003987">
              <w:rPr>
                <w:rFonts w:asciiTheme="minorHAnsi" w:hAnsiTheme="minorHAnsi" w:cstheme="minorHAnsi"/>
                <w:sz w:val="20"/>
                <w:szCs w:val="20"/>
              </w:rPr>
              <w:t>2024-25</w:t>
            </w:r>
          </w:p>
          <w:p w14:paraId="66CBE883" w14:textId="77777777" w:rsidR="00A25DC0" w:rsidRPr="00003987" w:rsidRDefault="00A25DC0" w:rsidP="00B06D2B">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3987">
              <w:rPr>
                <w:rFonts w:asciiTheme="minorHAnsi" w:hAnsiTheme="minorHAnsi" w:cstheme="minorHAnsi"/>
                <w:b w:val="0"/>
                <w:bCs w:val="0"/>
                <w:sz w:val="20"/>
                <w:szCs w:val="20"/>
              </w:rPr>
              <w:t>$000</w:t>
            </w:r>
          </w:p>
        </w:tc>
        <w:tc>
          <w:tcPr>
            <w:tcW w:w="1539" w:type="dxa"/>
          </w:tcPr>
          <w:p w14:paraId="37A3D689" w14:textId="77777777" w:rsidR="00A25DC0" w:rsidRPr="00003987" w:rsidRDefault="00A25DC0" w:rsidP="00B06D2B">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003987">
              <w:rPr>
                <w:rFonts w:asciiTheme="minorHAnsi" w:hAnsiTheme="minorHAnsi" w:cstheme="minorHAnsi"/>
                <w:sz w:val="20"/>
                <w:szCs w:val="20"/>
              </w:rPr>
              <w:t>2025-26</w:t>
            </w:r>
          </w:p>
          <w:p w14:paraId="236A23A8" w14:textId="77777777" w:rsidR="00A25DC0" w:rsidRPr="00003987" w:rsidRDefault="00A25DC0" w:rsidP="00B06D2B">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3987">
              <w:rPr>
                <w:rFonts w:asciiTheme="minorHAnsi" w:hAnsiTheme="minorHAnsi" w:cstheme="minorHAnsi"/>
                <w:b w:val="0"/>
                <w:bCs w:val="0"/>
                <w:sz w:val="20"/>
                <w:szCs w:val="20"/>
              </w:rPr>
              <w:t>$000</w:t>
            </w:r>
          </w:p>
        </w:tc>
      </w:tr>
      <w:tr w:rsidR="005461C5" w:rsidRPr="00003987" w14:paraId="63010995" w14:textId="77777777" w:rsidTr="00B06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BBE074" w14:textId="77777777" w:rsidR="00A25DC0" w:rsidRPr="00003987" w:rsidRDefault="00A25DC0" w:rsidP="00B06D2B">
            <w:pPr>
              <w:spacing w:after="120"/>
              <w:rPr>
                <w:rFonts w:asciiTheme="minorHAnsi" w:hAnsiTheme="minorHAnsi" w:cstheme="minorHAnsi"/>
                <w:b w:val="0"/>
                <w:bCs w:val="0"/>
                <w:color w:val="17365D" w:themeColor="text2" w:themeShade="BF"/>
                <w:sz w:val="20"/>
                <w:szCs w:val="20"/>
              </w:rPr>
            </w:pPr>
            <w:r w:rsidRPr="00003987">
              <w:rPr>
                <w:rFonts w:asciiTheme="minorHAnsi" w:hAnsiTheme="minorHAnsi" w:cstheme="minorHAnsi"/>
                <w:b w:val="0"/>
                <w:bCs w:val="0"/>
                <w:color w:val="17365D" w:themeColor="text2" w:themeShade="BF"/>
                <w:sz w:val="20"/>
                <w:szCs w:val="20"/>
              </w:rPr>
              <w:t>Revenue</w:t>
            </w:r>
          </w:p>
        </w:tc>
        <w:tc>
          <w:tcPr>
            <w:tcW w:w="1538" w:type="dxa"/>
          </w:tcPr>
          <w:p w14:paraId="7F9EA498" w14:textId="6FA5E71C" w:rsidR="00A25DC0" w:rsidRPr="00003987" w:rsidRDefault="00A25DC0" w:rsidP="00B06D2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w:t>
            </w:r>
            <w:r w:rsidR="003756AA">
              <w:rPr>
                <w:rFonts w:asciiTheme="minorHAnsi" w:hAnsiTheme="minorHAnsi" w:cstheme="minorHAnsi"/>
                <w:color w:val="17365D" w:themeColor="text2" w:themeShade="BF"/>
                <w:sz w:val="20"/>
                <w:szCs w:val="20"/>
              </w:rPr>
              <w:t>8,243</w:t>
            </w:r>
          </w:p>
        </w:tc>
        <w:tc>
          <w:tcPr>
            <w:tcW w:w="1538" w:type="dxa"/>
          </w:tcPr>
          <w:p w14:paraId="041D4EFD" w14:textId="472F2EFD" w:rsidR="00A25DC0" w:rsidRPr="00003987" w:rsidRDefault="00A25DC0" w:rsidP="00B06D2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Pr>
                <w:rFonts w:asciiTheme="minorHAnsi" w:hAnsiTheme="minorHAnsi" w:cstheme="minorHAnsi"/>
                <w:color w:val="17365D" w:themeColor="text2" w:themeShade="BF"/>
                <w:sz w:val="20"/>
                <w:szCs w:val="20"/>
              </w:rPr>
              <w:t>17,</w:t>
            </w:r>
            <w:r w:rsidR="00A24C58">
              <w:rPr>
                <w:rFonts w:asciiTheme="minorHAnsi" w:hAnsiTheme="minorHAnsi" w:cstheme="minorHAnsi"/>
                <w:color w:val="17365D" w:themeColor="text2" w:themeShade="BF"/>
                <w:sz w:val="20"/>
                <w:szCs w:val="20"/>
              </w:rPr>
              <w:t>795</w:t>
            </w:r>
          </w:p>
        </w:tc>
        <w:tc>
          <w:tcPr>
            <w:tcW w:w="1539" w:type="dxa"/>
          </w:tcPr>
          <w:p w14:paraId="736BE572" w14:textId="782A88F5" w:rsidR="00A25DC0" w:rsidRPr="00003987" w:rsidRDefault="00A25DC0" w:rsidP="00B06D2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Pr>
                <w:rFonts w:asciiTheme="minorHAnsi" w:hAnsiTheme="minorHAnsi" w:cstheme="minorHAnsi"/>
                <w:color w:val="17365D" w:themeColor="text2" w:themeShade="BF"/>
                <w:sz w:val="20"/>
                <w:szCs w:val="20"/>
              </w:rPr>
              <w:t>17,</w:t>
            </w:r>
            <w:r w:rsidR="00A24C58">
              <w:rPr>
                <w:rFonts w:asciiTheme="minorHAnsi" w:hAnsiTheme="minorHAnsi" w:cstheme="minorHAnsi"/>
                <w:color w:val="17365D" w:themeColor="text2" w:themeShade="BF"/>
                <w:sz w:val="20"/>
                <w:szCs w:val="20"/>
              </w:rPr>
              <w:t>795</w:t>
            </w:r>
          </w:p>
        </w:tc>
        <w:tc>
          <w:tcPr>
            <w:tcW w:w="1539" w:type="dxa"/>
          </w:tcPr>
          <w:p w14:paraId="0D4E46B2" w14:textId="12D5122C" w:rsidR="00A25DC0" w:rsidRPr="00003987" w:rsidRDefault="00A25DC0" w:rsidP="00B06D2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Pr>
                <w:rFonts w:asciiTheme="minorHAnsi" w:hAnsiTheme="minorHAnsi" w:cstheme="minorHAnsi"/>
                <w:color w:val="17365D" w:themeColor="text2" w:themeShade="BF"/>
                <w:sz w:val="20"/>
                <w:szCs w:val="20"/>
              </w:rPr>
              <w:t>17,</w:t>
            </w:r>
            <w:r w:rsidR="00A24C58">
              <w:rPr>
                <w:rFonts w:asciiTheme="minorHAnsi" w:hAnsiTheme="minorHAnsi" w:cstheme="minorHAnsi"/>
                <w:color w:val="17365D" w:themeColor="text2" w:themeShade="BF"/>
                <w:sz w:val="20"/>
                <w:szCs w:val="20"/>
              </w:rPr>
              <w:t>795</w:t>
            </w:r>
          </w:p>
        </w:tc>
        <w:tc>
          <w:tcPr>
            <w:tcW w:w="1539" w:type="dxa"/>
          </w:tcPr>
          <w:p w14:paraId="0EFACCF2" w14:textId="1326DC82" w:rsidR="00A25DC0" w:rsidRPr="00003987" w:rsidRDefault="00A25DC0" w:rsidP="00B06D2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Pr>
                <w:rFonts w:asciiTheme="minorHAnsi" w:hAnsiTheme="minorHAnsi" w:cstheme="minorHAnsi"/>
                <w:color w:val="17365D" w:themeColor="text2" w:themeShade="BF"/>
                <w:sz w:val="20"/>
                <w:szCs w:val="20"/>
              </w:rPr>
              <w:t>17,</w:t>
            </w:r>
            <w:r w:rsidR="00A24C58">
              <w:rPr>
                <w:rFonts w:asciiTheme="minorHAnsi" w:hAnsiTheme="minorHAnsi" w:cstheme="minorHAnsi"/>
                <w:color w:val="17365D" w:themeColor="text2" w:themeShade="BF"/>
                <w:sz w:val="20"/>
                <w:szCs w:val="20"/>
              </w:rPr>
              <w:t>795</w:t>
            </w:r>
          </w:p>
        </w:tc>
      </w:tr>
      <w:tr w:rsidR="005461C5" w:rsidRPr="00003987" w14:paraId="7BB6BC80" w14:textId="77777777" w:rsidTr="00B06D2B">
        <w:tc>
          <w:tcPr>
            <w:cnfStyle w:val="001000000000" w:firstRow="0" w:lastRow="0" w:firstColumn="1" w:lastColumn="0" w:oddVBand="0" w:evenVBand="0" w:oddHBand="0" w:evenHBand="0" w:firstRowFirstColumn="0" w:firstRowLastColumn="0" w:lastRowFirstColumn="0" w:lastRowLastColumn="0"/>
            <w:tcW w:w="1795" w:type="dxa"/>
          </w:tcPr>
          <w:p w14:paraId="5F665CE3" w14:textId="77777777" w:rsidR="00A25DC0" w:rsidRPr="00003987" w:rsidRDefault="00A25DC0" w:rsidP="00B06D2B">
            <w:pPr>
              <w:spacing w:after="120"/>
              <w:rPr>
                <w:rFonts w:asciiTheme="minorHAnsi" w:hAnsiTheme="minorHAnsi" w:cstheme="minorHAnsi"/>
                <w:b w:val="0"/>
                <w:bCs w:val="0"/>
                <w:color w:val="17365D" w:themeColor="text2" w:themeShade="BF"/>
                <w:sz w:val="20"/>
                <w:szCs w:val="20"/>
              </w:rPr>
            </w:pPr>
            <w:r w:rsidRPr="00003987">
              <w:rPr>
                <w:rFonts w:asciiTheme="minorHAnsi" w:hAnsiTheme="minorHAnsi" w:cstheme="minorHAnsi"/>
                <w:b w:val="0"/>
                <w:bCs w:val="0"/>
                <w:color w:val="17365D" w:themeColor="text2" w:themeShade="BF"/>
                <w:sz w:val="20"/>
                <w:szCs w:val="20"/>
              </w:rPr>
              <w:t>Expenses</w:t>
            </w:r>
          </w:p>
        </w:tc>
        <w:tc>
          <w:tcPr>
            <w:tcW w:w="1538" w:type="dxa"/>
          </w:tcPr>
          <w:p w14:paraId="75065F0E" w14:textId="6F4F5AB6" w:rsidR="00A25DC0" w:rsidRPr="00003987" w:rsidRDefault="00A25DC0" w:rsidP="00B06D2B">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w:t>
            </w:r>
            <w:r w:rsidR="003756AA">
              <w:rPr>
                <w:rFonts w:asciiTheme="minorHAnsi" w:hAnsiTheme="minorHAnsi" w:cstheme="minorHAnsi"/>
                <w:color w:val="17365D" w:themeColor="text2" w:themeShade="BF"/>
                <w:sz w:val="20"/>
                <w:szCs w:val="20"/>
              </w:rPr>
              <w:t>6,493</w:t>
            </w:r>
          </w:p>
        </w:tc>
        <w:tc>
          <w:tcPr>
            <w:tcW w:w="1538" w:type="dxa"/>
          </w:tcPr>
          <w:p w14:paraId="1079A030" w14:textId="77777777" w:rsidR="00A25DC0" w:rsidRPr="00003987" w:rsidRDefault="00A25DC0" w:rsidP="00B06D2B">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19,04</w:t>
            </w:r>
            <w:r>
              <w:rPr>
                <w:rFonts w:asciiTheme="minorHAnsi" w:hAnsiTheme="minorHAnsi" w:cstheme="minorHAnsi"/>
                <w:color w:val="17365D" w:themeColor="text2" w:themeShade="BF"/>
                <w:sz w:val="20"/>
                <w:szCs w:val="20"/>
              </w:rPr>
              <w:t>7</w:t>
            </w:r>
          </w:p>
        </w:tc>
        <w:tc>
          <w:tcPr>
            <w:tcW w:w="1539" w:type="dxa"/>
          </w:tcPr>
          <w:p w14:paraId="25030DE8" w14:textId="77777777" w:rsidR="00A25DC0" w:rsidRPr="00003987" w:rsidRDefault="00A25DC0" w:rsidP="00B06D2B">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19,4</w:t>
            </w:r>
            <w:r>
              <w:rPr>
                <w:rFonts w:asciiTheme="minorHAnsi" w:hAnsiTheme="minorHAnsi" w:cstheme="minorHAnsi"/>
                <w:color w:val="17365D" w:themeColor="text2" w:themeShade="BF"/>
                <w:sz w:val="20"/>
                <w:szCs w:val="20"/>
              </w:rPr>
              <w:t>90</w:t>
            </w:r>
          </w:p>
        </w:tc>
        <w:tc>
          <w:tcPr>
            <w:tcW w:w="1539" w:type="dxa"/>
          </w:tcPr>
          <w:p w14:paraId="0139472A" w14:textId="77777777" w:rsidR="00A25DC0" w:rsidRPr="00003987" w:rsidRDefault="00A25DC0" w:rsidP="00B06D2B">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19,4</w:t>
            </w:r>
            <w:r>
              <w:rPr>
                <w:rFonts w:asciiTheme="minorHAnsi" w:hAnsiTheme="minorHAnsi" w:cstheme="minorHAnsi"/>
                <w:color w:val="17365D" w:themeColor="text2" w:themeShade="BF"/>
                <w:sz w:val="20"/>
                <w:szCs w:val="20"/>
              </w:rPr>
              <w:t>80</w:t>
            </w:r>
          </w:p>
        </w:tc>
        <w:tc>
          <w:tcPr>
            <w:tcW w:w="1539" w:type="dxa"/>
          </w:tcPr>
          <w:p w14:paraId="0D6BCD7C" w14:textId="77777777" w:rsidR="00A25DC0" w:rsidRPr="00003987" w:rsidRDefault="00A25DC0" w:rsidP="00B06D2B">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19,7</w:t>
            </w:r>
            <w:r>
              <w:rPr>
                <w:rFonts w:asciiTheme="minorHAnsi" w:hAnsiTheme="minorHAnsi" w:cstheme="minorHAnsi"/>
                <w:color w:val="17365D" w:themeColor="text2" w:themeShade="BF"/>
                <w:sz w:val="20"/>
                <w:szCs w:val="20"/>
              </w:rPr>
              <w:t>64</w:t>
            </w:r>
          </w:p>
        </w:tc>
      </w:tr>
      <w:tr w:rsidR="005461C5" w:rsidRPr="00003987" w14:paraId="4351C770" w14:textId="77777777" w:rsidTr="00B06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6A7785" w14:textId="77777777" w:rsidR="00A25DC0" w:rsidRPr="00003987" w:rsidRDefault="00A25DC0" w:rsidP="00B06D2B">
            <w:pPr>
              <w:spacing w:after="120"/>
              <w:rPr>
                <w:rFonts w:asciiTheme="minorHAnsi" w:hAnsiTheme="minorHAnsi" w:cstheme="minorHAnsi"/>
                <w:b w:val="0"/>
                <w:bCs w:val="0"/>
                <w:color w:val="17365D" w:themeColor="text2" w:themeShade="BF"/>
                <w:sz w:val="20"/>
                <w:szCs w:val="20"/>
              </w:rPr>
            </w:pPr>
            <w:r w:rsidRPr="00003987">
              <w:rPr>
                <w:rFonts w:asciiTheme="minorHAnsi" w:hAnsiTheme="minorHAnsi" w:cstheme="minorHAnsi"/>
                <w:b w:val="0"/>
                <w:bCs w:val="0"/>
                <w:color w:val="17365D" w:themeColor="text2" w:themeShade="BF"/>
                <w:sz w:val="20"/>
                <w:szCs w:val="20"/>
              </w:rPr>
              <w:t>Surplus/(Deficit)</w:t>
            </w:r>
          </w:p>
        </w:tc>
        <w:tc>
          <w:tcPr>
            <w:tcW w:w="1538" w:type="dxa"/>
          </w:tcPr>
          <w:p w14:paraId="0B77F2AD" w14:textId="2203FF84" w:rsidR="00A25DC0" w:rsidRPr="00003987" w:rsidRDefault="0059781B" w:rsidP="00B06D2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Pr>
                <w:rFonts w:asciiTheme="minorHAnsi" w:hAnsiTheme="minorHAnsi" w:cstheme="minorHAnsi"/>
                <w:color w:val="17365D" w:themeColor="text2" w:themeShade="BF"/>
                <w:sz w:val="20"/>
                <w:szCs w:val="20"/>
              </w:rPr>
              <w:t>1,750</w:t>
            </w:r>
          </w:p>
        </w:tc>
        <w:tc>
          <w:tcPr>
            <w:tcW w:w="1538" w:type="dxa"/>
          </w:tcPr>
          <w:p w14:paraId="13A583A8" w14:textId="19CF263F" w:rsidR="00A25DC0" w:rsidRPr="00003987" w:rsidRDefault="00A25DC0" w:rsidP="00B06D2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w:t>
            </w:r>
            <w:r>
              <w:rPr>
                <w:rFonts w:asciiTheme="minorHAnsi" w:hAnsiTheme="minorHAnsi" w:cstheme="minorHAnsi"/>
                <w:color w:val="17365D" w:themeColor="text2" w:themeShade="BF"/>
                <w:sz w:val="20"/>
                <w:szCs w:val="20"/>
              </w:rPr>
              <w:t>1,2</w:t>
            </w:r>
            <w:r w:rsidR="00A24C58">
              <w:rPr>
                <w:rFonts w:asciiTheme="minorHAnsi" w:hAnsiTheme="minorHAnsi" w:cstheme="minorHAnsi"/>
                <w:color w:val="17365D" w:themeColor="text2" w:themeShade="BF"/>
                <w:sz w:val="20"/>
                <w:szCs w:val="20"/>
              </w:rPr>
              <w:t>5</w:t>
            </w:r>
            <w:r w:rsidR="00253BE0">
              <w:rPr>
                <w:rFonts w:asciiTheme="minorHAnsi" w:hAnsiTheme="minorHAnsi" w:cstheme="minorHAnsi"/>
                <w:color w:val="17365D" w:themeColor="text2" w:themeShade="BF"/>
                <w:sz w:val="20"/>
                <w:szCs w:val="20"/>
              </w:rPr>
              <w:t>2</w:t>
            </w:r>
            <w:r w:rsidRPr="00003987">
              <w:rPr>
                <w:rFonts w:asciiTheme="minorHAnsi" w:hAnsiTheme="minorHAnsi" w:cstheme="minorHAnsi"/>
                <w:color w:val="17365D" w:themeColor="text2" w:themeShade="BF"/>
                <w:sz w:val="20"/>
                <w:szCs w:val="20"/>
              </w:rPr>
              <w:t>)</w:t>
            </w:r>
          </w:p>
        </w:tc>
        <w:tc>
          <w:tcPr>
            <w:tcW w:w="1539" w:type="dxa"/>
          </w:tcPr>
          <w:p w14:paraId="4FB88F55" w14:textId="3AFB09F7" w:rsidR="00A25DC0" w:rsidRPr="00003987" w:rsidRDefault="00A25DC0" w:rsidP="00B06D2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Pr>
                <w:rFonts w:asciiTheme="minorHAnsi" w:hAnsiTheme="minorHAnsi" w:cstheme="minorHAnsi"/>
                <w:color w:val="17365D" w:themeColor="text2" w:themeShade="BF"/>
                <w:sz w:val="20"/>
                <w:szCs w:val="20"/>
              </w:rPr>
              <w:t>(1,6</w:t>
            </w:r>
            <w:r w:rsidR="00A24C58">
              <w:rPr>
                <w:rFonts w:asciiTheme="minorHAnsi" w:hAnsiTheme="minorHAnsi" w:cstheme="minorHAnsi"/>
                <w:color w:val="17365D" w:themeColor="text2" w:themeShade="BF"/>
                <w:sz w:val="20"/>
                <w:szCs w:val="20"/>
              </w:rPr>
              <w:t>95</w:t>
            </w:r>
            <w:r>
              <w:rPr>
                <w:rFonts w:asciiTheme="minorHAnsi" w:hAnsiTheme="minorHAnsi" w:cstheme="minorHAnsi"/>
                <w:color w:val="17365D" w:themeColor="text2" w:themeShade="BF"/>
                <w:sz w:val="20"/>
                <w:szCs w:val="20"/>
              </w:rPr>
              <w:t>)</w:t>
            </w:r>
          </w:p>
        </w:tc>
        <w:tc>
          <w:tcPr>
            <w:tcW w:w="1539" w:type="dxa"/>
          </w:tcPr>
          <w:p w14:paraId="765F9EC5" w14:textId="4BBA22B8" w:rsidR="00A25DC0" w:rsidRPr="00003987" w:rsidRDefault="00A25DC0" w:rsidP="00B06D2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Pr>
                <w:rFonts w:asciiTheme="minorHAnsi" w:hAnsiTheme="minorHAnsi" w:cstheme="minorHAnsi"/>
                <w:color w:val="17365D" w:themeColor="text2" w:themeShade="BF"/>
                <w:sz w:val="20"/>
                <w:szCs w:val="20"/>
              </w:rPr>
              <w:t>(1,6</w:t>
            </w:r>
            <w:r w:rsidR="00A24C58">
              <w:rPr>
                <w:rFonts w:asciiTheme="minorHAnsi" w:hAnsiTheme="minorHAnsi" w:cstheme="minorHAnsi"/>
                <w:color w:val="17365D" w:themeColor="text2" w:themeShade="BF"/>
                <w:sz w:val="20"/>
                <w:szCs w:val="20"/>
              </w:rPr>
              <w:t>85</w:t>
            </w:r>
            <w:r>
              <w:rPr>
                <w:rFonts w:asciiTheme="minorHAnsi" w:hAnsiTheme="minorHAnsi" w:cstheme="minorHAnsi"/>
                <w:color w:val="17365D" w:themeColor="text2" w:themeShade="BF"/>
                <w:sz w:val="20"/>
                <w:szCs w:val="20"/>
              </w:rPr>
              <w:t>)</w:t>
            </w:r>
          </w:p>
        </w:tc>
        <w:tc>
          <w:tcPr>
            <w:tcW w:w="1539" w:type="dxa"/>
          </w:tcPr>
          <w:p w14:paraId="4D5AE52D" w14:textId="3ED2CC74" w:rsidR="00A25DC0" w:rsidRPr="00003987" w:rsidRDefault="00A25DC0" w:rsidP="00B06D2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Pr>
                <w:rFonts w:asciiTheme="minorHAnsi" w:hAnsiTheme="minorHAnsi" w:cstheme="minorHAnsi"/>
                <w:color w:val="17365D" w:themeColor="text2" w:themeShade="BF"/>
                <w:sz w:val="20"/>
                <w:szCs w:val="20"/>
              </w:rPr>
              <w:t>(1,9</w:t>
            </w:r>
            <w:r w:rsidR="00A24C58">
              <w:rPr>
                <w:rFonts w:asciiTheme="minorHAnsi" w:hAnsiTheme="minorHAnsi" w:cstheme="minorHAnsi"/>
                <w:color w:val="17365D" w:themeColor="text2" w:themeShade="BF"/>
                <w:sz w:val="20"/>
                <w:szCs w:val="20"/>
              </w:rPr>
              <w:t>69</w:t>
            </w:r>
            <w:r>
              <w:rPr>
                <w:rFonts w:asciiTheme="minorHAnsi" w:hAnsiTheme="minorHAnsi" w:cstheme="minorHAnsi"/>
                <w:color w:val="17365D" w:themeColor="text2" w:themeShade="BF"/>
                <w:sz w:val="20"/>
                <w:szCs w:val="20"/>
              </w:rPr>
              <w:t>)</w:t>
            </w:r>
          </w:p>
        </w:tc>
      </w:tr>
    </w:tbl>
    <w:p w14:paraId="0B11950C" w14:textId="77777777" w:rsidR="00A25DC0" w:rsidRDefault="00A25DC0" w:rsidP="00A25DC0">
      <w:pPr>
        <w:rPr>
          <w:rFonts w:asciiTheme="minorHAnsi" w:hAnsiTheme="minorHAnsi" w:cstheme="minorHAnsi"/>
        </w:rPr>
      </w:pPr>
    </w:p>
    <w:p w14:paraId="6B8D5542" w14:textId="6CAC1B7B" w:rsidR="00A25DC0" w:rsidRPr="00B42AC0" w:rsidRDefault="00A25DC0" w:rsidP="00A25DC0">
      <w:pPr>
        <w:rPr>
          <w:rFonts w:asciiTheme="minorHAnsi" w:hAnsiTheme="minorHAnsi" w:cstheme="minorHAnsi"/>
        </w:rPr>
      </w:pPr>
      <w:r w:rsidRPr="00862634">
        <w:rPr>
          <w:rFonts w:asciiTheme="minorHAnsi" w:hAnsiTheme="minorHAnsi" w:cstheme="minorHAnsi"/>
        </w:rPr>
        <w:t>NOPTA will continue to assess fees and levies to ensure they are efficient, and report on cost effectiveness as part of its annual report of activities.</w:t>
      </w:r>
    </w:p>
    <w:p w14:paraId="34C2A008" w14:textId="25C482CF" w:rsidR="00814B19" w:rsidRDefault="00814B19" w:rsidP="00CE74AA">
      <w:pPr>
        <w:rPr>
          <w:rFonts w:asciiTheme="minorHAnsi" w:hAnsiTheme="minorHAnsi" w:cstheme="minorHAnsi"/>
        </w:rPr>
      </w:pPr>
    </w:p>
    <w:p w14:paraId="7EDB0122" w14:textId="77777777" w:rsidR="00814B19" w:rsidRDefault="00814B19" w:rsidP="00CE74AA">
      <w:pPr>
        <w:rPr>
          <w:lang w:val="en-US"/>
        </w:rPr>
      </w:pPr>
    </w:p>
    <w:p w14:paraId="5373D4FF" w14:textId="14345960" w:rsidR="008B679D" w:rsidRDefault="008B679D" w:rsidP="00F2024B">
      <w:pPr>
        <w:pStyle w:val="Heading1"/>
        <w:tabs>
          <w:tab w:val="clear" w:pos="432"/>
          <w:tab w:val="num" w:pos="709"/>
        </w:tabs>
        <w:ind w:left="709" w:hanging="709"/>
        <w:jc w:val="left"/>
        <w:rPr>
          <w:rFonts w:asciiTheme="minorHAnsi" w:hAnsiTheme="minorHAnsi" w:cstheme="minorHAnsi"/>
          <w:b/>
          <w:bCs/>
          <w:i w:val="0"/>
          <w:iCs w:val="0"/>
          <w:sz w:val="32"/>
          <w:szCs w:val="32"/>
        </w:rPr>
      </w:pPr>
      <w:bookmarkStart w:id="34" w:name="_Toc84844732"/>
      <w:r w:rsidRPr="00727004">
        <w:rPr>
          <w:rFonts w:asciiTheme="minorHAnsi" w:hAnsiTheme="minorHAnsi" w:cstheme="minorHAnsi"/>
          <w:b/>
          <w:bCs/>
          <w:i w:val="0"/>
          <w:iCs w:val="0"/>
          <w:sz w:val="32"/>
          <w:szCs w:val="32"/>
        </w:rPr>
        <w:t>FINANCIAL PERFORMANCE</w:t>
      </w:r>
      <w:bookmarkEnd w:id="34"/>
      <w:r w:rsidRPr="00727004">
        <w:rPr>
          <w:rFonts w:asciiTheme="minorHAnsi" w:hAnsiTheme="minorHAnsi" w:cstheme="minorHAnsi"/>
          <w:b/>
          <w:bCs/>
          <w:i w:val="0"/>
          <w:iCs w:val="0"/>
          <w:sz w:val="32"/>
          <w:szCs w:val="32"/>
        </w:rPr>
        <w:t xml:space="preserve"> </w:t>
      </w:r>
    </w:p>
    <w:p w14:paraId="408F074C" w14:textId="1C30772C" w:rsidR="00CE74AA" w:rsidRDefault="00CE74AA" w:rsidP="00CE74AA">
      <w:pPr>
        <w:rPr>
          <w:lang w:val="en-US"/>
        </w:rPr>
      </w:pPr>
    </w:p>
    <w:p w14:paraId="033C16BF" w14:textId="6410FAF0" w:rsidR="00CE74AA" w:rsidRDefault="00CE74AA" w:rsidP="00003987">
      <w:pPr>
        <w:rPr>
          <w:rFonts w:asciiTheme="minorHAnsi" w:hAnsiTheme="minorHAnsi" w:cstheme="minorHAnsi"/>
        </w:rPr>
      </w:pPr>
      <w:r w:rsidRPr="00003987">
        <w:rPr>
          <w:rFonts w:asciiTheme="minorHAnsi" w:hAnsiTheme="minorHAnsi" w:cstheme="minorHAnsi"/>
          <w:b/>
          <w:bCs/>
        </w:rPr>
        <w:t>Table 9</w:t>
      </w:r>
      <w:r w:rsidR="00003987">
        <w:rPr>
          <w:rFonts w:asciiTheme="minorHAnsi" w:hAnsiTheme="minorHAnsi" w:cstheme="minorHAnsi"/>
        </w:rPr>
        <w:t>:</w:t>
      </w:r>
      <w:r w:rsidRPr="008D16A4">
        <w:rPr>
          <w:rFonts w:asciiTheme="minorHAnsi" w:hAnsiTheme="minorHAnsi" w:cstheme="minorHAnsi"/>
        </w:rPr>
        <w:t xml:space="preserve"> </w:t>
      </w:r>
      <w:r w:rsidR="00003987">
        <w:rPr>
          <w:rFonts w:asciiTheme="minorHAnsi" w:hAnsiTheme="minorHAnsi" w:cstheme="minorHAnsi"/>
        </w:rPr>
        <w:t>H</w:t>
      </w:r>
      <w:r w:rsidRPr="00862634">
        <w:rPr>
          <w:rFonts w:asciiTheme="minorHAnsi" w:hAnsiTheme="minorHAnsi" w:cstheme="minorHAnsi"/>
        </w:rPr>
        <w:t>istorical financial performance of NOPTA</w:t>
      </w:r>
      <w:r>
        <w:rPr>
          <w:rFonts w:asciiTheme="minorHAnsi" w:hAnsiTheme="minorHAnsi" w:cstheme="minorHAnsi"/>
        </w:rPr>
        <w:t>.</w:t>
      </w:r>
    </w:p>
    <w:tbl>
      <w:tblPr>
        <w:tblStyle w:val="GridTable4-Accent1"/>
        <w:tblW w:w="9067" w:type="dxa"/>
        <w:tblLayout w:type="fixed"/>
        <w:tblLook w:val="04A0" w:firstRow="1" w:lastRow="0" w:firstColumn="1" w:lastColumn="0" w:noHBand="0" w:noVBand="1"/>
      </w:tblPr>
      <w:tblGrid>
        <w:gridCol w:w="1271"/>
        <w:gridCol w:w="1299"/>
        <w:gridCol w:w="1299"/>
        <w:gridCol w:w="1300"/>
        <w:gridCol w:w="1299"/>
        <w:gridCol w:w="1299"/>
        <w:gridCol w:w="1300"/>
      </w:tblGrid>
      <w:tr w:rsidR="00B36F83" w:rsidRPr="00B36F83" w14:paraId="58BF6BFE" w14:textId="52C9C9C6" w:rsidTr="00494BEE">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271" w:type="dxa"/>
          </w:tcPr>
          <w:p w14:paraId="6D0FB137" w14:textId="77777777" w:rsidR="00494BEE" w:rsidRPr="00003987" w:rsidRDefault="00494BEE" w:rsidP="00494BEE">
            <w:pPr>
              <w:spacing w:after="120"/>
              <w:rPr>
                <w:rFonts w:asciiTheme="minorHAnsi" w:hAnsiTheme="minorHAnsi" w:cstheme="minorHAnsi"/>
                <w:sz w:val="20"/>
                <w:szCs w:val="20"/>
              </w:rPr>
            </w:pPr>
          </w:p>
        </w:tc>
        <w:tc>
          <w:tcPr>
            <w:tcW w:w="1299" w:type="dxa"/>
          </w:tcPr>
          <w:p w14:paraId="0E0E71EF" w14:textId="77777777" w:rsidR="00494BEE" w:rsidRPr="00003987" w:rsidRDefault="00494BEE" w:rsidP="00494BEE">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003987">
              <w:rPr>
                <w:rFonts w:asciiTheme="minorHAnsi" w:hAnsiTheme="minorHAnsi" w:cstheme="minorHAnsi"/>
                <w:sz w:val="20"/>
                <w:szCs w:val="20"/>
              </w:rPr>
              <w:t>2016-17</w:t>
            </w:r>
          </w:p>
          <w:p w14:paraId="5B35A77A" w14:textId="77777777" w:rsidR="00494BEE" w:rsidRPr="00003987" w:rsidRDefault="00494BEE" w:rsidP="00494BEE">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003987">
              <w:rPr>
                <w:rFonts w:asciiTheme="minorHAnsi" w:hAnsiTheme="minorHAnsi" w:cstheme="minorHAnsi"/>
                <w:b w:val="0"/>
                <w:bCs w:val="0"/>
                <w:sz w:val="20"/>
                <w:szCs w:val="20"/>
              </w:rPr>
              <w:t>$000</w:t>
            </w:r>
          </w:p>
        </w:tc>
        <w:tc>
          <w:tcPr>
            <w:tcW w:w="1299" w:type="dxa"/>
          </w:tcPr>
          <w:p w14:paraId="3466E25D" w14:textId="77777777" w:rsidR="00494BEE" w:rsidRPr="00003987" w:rsidRDefault="00494BEE" w:rsidP="00494BEE">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003987">
              <w:rPr>
                <w:rFonts w:asciiTheme="minorHAnsi" w:hAnsiTheme="minorHAnsi" w:cstheme="minorHAnsi"/>
                <w:sz w:val="20"/>
                <w:szCs w:val="20"/>
              </w:rPr>
              <w:t>2017-18</w:t>
            </w:r>
          </w:p>
          <w:p w14:paraId="6A06EAF7" w14:textId="77777777" w:rsidR="00494BEE" w:rsidRPr="00003987" w:rsidRDefault="00494BEE" w:rsidP="00494BEE">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3987">
              <w:rPr>
                <w:rFonts w:asciiTheme="minorHAnsi" w:hAnsiTheme="minorHAnsi" w:cstheme="minorHAnsi"/>
                <w:b w:val="0"/>
                <w:bCs w:val="0"/>
                <w:sz w:val="20"/>
                <w:szCs w:val="20"/>
              </w:rPr>
              <w:t>$000</w:t>
            </w:r>
          </w:p>
        </w:tc>
        <w:tc>
          <w:tcPr>
            <w:tcW w:w="1300" w:type="dxa"/>
          </w:tcPr>
          <w:p w14:paraId="2670F620" w14:textId="77777777" w:rsidR="00494BEE" w:rsidRPr="00003987" w:rsidRDefault="00494BEE" w:rsidP="00494BEE">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003987">
              <w:rPr>
                <w:rFonts w:asciiTheme="minorHAnsi" w:hAnsiTheme="minorHAnsi" w:cstheme="minorHAnsi"/>
                <w:sz w:val="20"/>
                <w:szCs w:val="20"/>
              </w:rPr>
              <w:t>2018-19</w:t>
            </w:r>
          </w:p>
          <w:p w14:paraId="569EEEC8" w14:textId="77777777" w:rsidR="00494BEE" w:rsidRPr="00003987" w:rsidRDefault="00494BEE" w:rsidP="00494BEE">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3987">
              <w:rPr>
                <w:rFonts w:asciiTheme="minorHAnsi" w:hAnsiTheme="minorHAnsi" w:cstheme="minorHAnsi"/>
                <w:b w:val="0"/>
                <w:bCs w:val="0"/>
                <w:sz w:val="20"/>
                <w:szCs w:val="20"/>
              </w:rPr>
              <w:t>$000</w:t>
            </w:r>
          </w:p>
        </w:tc>
        <w:tc>
          <w:tcPr>
            <w:tcW w:w="1299" w:type="dxa"/>
          </w:tcPr>
          <w:p w14:paraId="2A3B6199" w14:textId="77777777" w:rsidR="00494BEE" w:rsidRPr="00003987" w:rsidRDefault="00494BEE" w:rsidP="00494BEE">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003987">
              <w:rPr>
                <w:rFonts w:asciiTheme="minorHAnsi" w:hAnsiTheme="minorHAnsi" w:cstheme="minorHAnsi"/>
                <w:sz w:val="20"/>
                <w:szCs w:val="20"/>
              </w:rPr>
              <w:t>2019-20</w:t>
            </w:r>
          </w:p>
          <w:p w14:paraId="431BF67C" w14:textId="77777777" w:rsidR="00494BEE" w:rsidRPr="00003987" w:rsidRDefault="00494BEE" w:rsidP="00494BEE">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3987">
              <w:rPr>
                <w:rFonts w:asciiTheme="minorHAnsi" w:hAnsiTheme="minorHAnsi" w:cstheme="minorHAnsi"/>
                <w:b w:val="0"/>
                <w:bCs w:val="0"/>
                <w:sz w:val="20"/>
                <w:szCs w:val="20"/>
              </w:rPr>
              <w:t>$000</w:t>
            </w:r>
          </w:p>
        </w:tc>
        <w:tc>
          <w:tcPr>
            <w:tcW w:w="1299" w:type="dxa"/>
          </w:tcPr>
          <w:p w14:paraId="22CBCCF7" w14:textId="6F501A18" w:rsidR="00494BEE" w:rsidRPr="00003987" w:rsidRDefault="00494BEE" w:rsidP="00494BEE">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003987">
              <w:rPr>
                <w:rFonts w:asciiTheme="minorHAnsi" w:hAnsiTheme="minorHAnsi" w:cstheme="minorHAnsi"/>
                <w:sz w:val="20"/>
                <w:szCs w:val="20"/>
              </w:rPr>
              <w:t>2020-21</w:t>
            </w:r>
          </w:p>
          <w:p w14:paraId="7F82D201" w14:textId="77777777" w:rsidR="00494BEE" w:rsidRPr="00003987" w:rsidRDefault="00494BEE" w:rsidP="00494BEE">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3987">
              <w:rPr>
                <w:rFonts w:asciiTheme="minorHAnsi" w:hAnsiTheme="minorHAnsi" w:cstheme="minorHAnsi"/>
                <w:b w:val="0"/>
                <w:bCs w:val="0"/>
                <w:sz w:val="20"/>
                <w:szCs w:val="20"/>
              </w:rPr>
              <w:t>$000</w:t>
            </w:r>
          </w:p>
        </w:tc>
        <w:tc>
          <w:tcPr>
            <w:tcW w:w="1300" w:type="dxa"/>
          </w:tcPr>
          <w:p w14:paraId="7795A48F" w14:textId="26ED43E5" w:rsidR="00494BEE" w:rsidRPr="001C008B" w:rsidRDefault="00494BEE" w:rsidP="00494BEE">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1C008B">
              <w:rPr>
                <w:rFonts w:asciiTheme="minorHAnsi" w:hAnsiTheme="minorHAnsi" w:cstheme="minorHAnsi"/>
                <w:sz w:val="20"/>
                <w:szCs w:val="20"/>
              </w:rPr>
              <w:t>2021-22</w:t>
            </w:r>
          </w:p>
          <w:p w14:paraId="4A5F60C6" w14:textId="42D6FE8E" w:rsidR="00494BEE" w:rsidRPr="001C008B" w:rsidRDefault="00494BEE" w:rsidP="00494BEE">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008B">
              <w:rPr>
                <w:rFonts w:asciiTheme="minorHAnsi" w:hAnsiTheme="minorHAnsi" w:cstheme="minorHAnsi"/>
                <w:b w:val="0"/>
                <w:bCs w:val="0"/>
                <w:sz w:val="20"/>
                <w:szCs w:val="20"/>
              </w:rPr>
              <w:t>$000</w:t>
            </w:r>
          </w:p>
        </w:tc>
      </w:tr>
      <w:tr w:rsidR="00B36F83" w:rsidRPr="001C008B" w14:paraId="4A51542C" w14:textId="33DFC1B4" w:rsidTr="00494BE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271" w:type="dxa"/>
          </w:tcPr>
          <w:p w14:paraId="429EE463" w14:textId="77777777" w:rsidR="00494BEE" w:rsidRPr="00003987" w:rsidRDefault="00494BEE" w:rsidP="00494BEE">
            <w:pPr>
              <w:spacing w:after="120"/>
              <w:rPr>
                <w:rFonts w:asciiTheme="minorHAnsi" w:hAnsiTheme="minorHAnsi" w:cstheme="minorHAnsi"/>
                <w:b w:val="0"/>
                <w:bCs w:val="0"/>
                <w:color w:val="17365D" w:themeColor="text2" w:themeShade="BF"/>
                <w:sz w:val="20"/>
                <w:szCs w:val="20"/>
              </w:rPr>
            </w:pPr>
            <w:r w:rsidRPr="00003987">
              <w:rPr>
                <w:rFonts w:asciiTheme="minorHAnsi" w:hAnsiTheme="minorHAnsi" w:cstheme="minorHAnsi"/>
                <w:b w:val="0"/>
                <w:bCs w:val="0"/>
                <w:color w:val="17365D" w:themeColor="text2" w:themeShade="BF"/>
                <w:sz w:val="20"/>
                <w:szCs w:val="20"/>
              </w:rPr>
              <w:t>Revenue</w:t>
            </w:r>
          </w:p>
        </w:tc>
        <w:tc>
          <w:tcPr>
            <w:tcW w:w="1299" w:type="dxa"/>
          </w:tcPr>
          <w:p w14:paraId="64AC8021" w14:textId="77777777" w:rsidR="00494BEE" w:rsidRPr="00003987" w:rsidRDefault="00494BEE" w:rsidP="00494BE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17,453</w:t>
            </w:r>
          </w:p>
        </w:tc>
        <w:tc>
          <w:tcPr>
            <w:tcW w:w="1299" w:type="dxa"/>
          </w:tcPr>
          <w:p w14:paraId="48BC6DD8" w14:textId="77777777" w:rsidR="00494BEE" w:rsidRPr="00003987" w:rsidRDefault="00494BEE" w:rsidP="00494BE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17,700</w:t>
            </w:r>
          </w:p>
        </w:tc>
        <w:tc>
          <w:tcPr>
            <w:tcW w:w="1300" w:type="dxa"/>
          </w:tcPr>
          <w:p w14:paraId="7FCEDAF8" w14:textId="77777777" w:rsidR="00494BEE" w:rsidRPr="00003987" w:rsidRDefault="00494BEE" w:rsidP="00494BE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17,986</w:t>
            </w:r>
          </w:p>
        </w:tc>
        <w:tc>
          <w:tcPr>
            <w:tcW w:w="1299" w:type="dxa"/>
          </w:tcPr>
          <w:p w14:paraId="3DB364B0" w14:textId="77777777" w:rsidR="00494BEE" w:rsidRPr="00003987" w:rsidRDefault="00494BEE" w:rsidP="00494BE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17,561</w:t>
            </w:r>
          </w:p>
        </w:tc>
        <w:tc>
          <w:tcPr>
            <w:tcW w:w="1299" w:type="dxa"/>
          </w:tcPr>
          <w:p w14:paraId="262A92E0" w14:textId="6F05FC02" w:rsidR="00494BEE" w:rsidRPr="00003987" w:rsidRDefault="00494BEE" w:rsidP="00494BE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17,</w:t>
            </w:r>
            <w:r>
              <w:rPr>
                <w:rFonts w:asciiTheme="minorHAnsi" w:hAnsiTheme="minorHAnsi" w:cstheme="minorHAnsi"/>
                <w:color w:val="17365D" w:themeColor="text2" w:themeShade="BF"/>
                <w:sz w:val="20"/>
                <w:szCs w:val="20"/>
              </w:rPr>
              <w:t>178</w:t>
            </w:r>
          </w:p>
        </w:tc>
        <w:tc>
          <w:tcPr>
            <w:tcW w:w="1300" w:type="dxa"/>
          </w:tcPr>
          <w:p w14:paraId="378A6ED6" w14:textId="700E639E" w:rsidR="00494BEE" w:rsidRPr="001C008B" w:rsidRDefault="00494BEE" w:rsidP="00494BE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C008B">
              <w:rPr>
                <w:rFonts w:asciiTheme="minorHAnsi" w:hAnsiTheme="minorHAnsi" w:cstheme="minorHAnsi"/>
                <w:color w:val="17365D" w:themeColor="text2" w:themeShade="BF"/>
                <w:sz w:val="20"/>
                <w:szCs w:val="20"/>
              </w:rPr>
              <w:t>18,243</w:t>
            </w:r>
          </w:p>
        </w:tc>
      </w:tr>
      <w:tr w:rsidR="00B36F83" w:rsidRPr="001C008B" w14:paraId="0ED6B49D" w14:textId="4C2270ED" w:rsidTr="00494BEE">
        <w:trPr>
          <w:trHeight w:val="294"/>
        </w:trPr>
        <w:tc>
          <w:tcPr>
            <w:cnfStyle w:val="001000000000" w:firstRow="0" w:lastRow="0" w:firstColumn="1" w:lastColumn="0" w:oddVBand="0" w:evenVBand="0" w:oddHBand="0" w:evenHBand="0" w:firstRowFirstColumn="0" w:firstRowLastColumn="0" w:lastRowFirstColumn="0" w:lastRowLastColumn="0"/>
            <w:tcW w:w="1271" w:type="dxa"/>
          </w:tcPr>
          <w:p w14:paraId="2D16E9B0" w14:textId="77777777" w:rsidR="00494BEE" w:rsidRPr="00003987" w:rsidRDefault="00494BEE" w:rsidP="00494BEE">
            <w:pPr>
              <w:spacing w:after="120"/>
              <w:rPr>
                <w:rFonts w:asciiTheme="minorHAnsi" w:hAnsiTheme="minorHAnsi" w:cstheme="minorHAnsi"/>
                <w:b w:val="0"/>
                <w:bCs w:val="0"/>
                <w:color w:val="17365D" w:themeColor="text2" w:themeShade="BF"/>
                <w:sz w:val="20"/>
                <w:szCs w:val="20"/>
              </w:rPr>
            </w:pPr>
            <w:r w:rsidRPr="00003987">
              <w:rPr>
                <w:rFonts w:asciiTheme="minorHAnsi" w:hAnsiTheme="minorHAnsi" w:cstheme="minorHAnsi"/>
                <w:b w:val="0"/>
                <w:bCs w:val="0"/>
                <w:color w:val="17365D" w:themeColor="text2" w:themeShade="BF"/>
                <w:sz w:val="20"/>
                <w:szCs w:val="20"/>
              </w:rPr>
              <w:t>Expenses</w:t>
            </w:r>
          </w:p>
        </w:tc>
        <w:tc>
          <w:tcPr>
            <w:tcW w:w="1299" w:type="dxa"/>
          </w:tcPr>
          <w:p w14:paraId="630FC646" w14:textId="77777777" w:rsidR="00494BEE" w:rsidRPr="00003987" w:rsidRDefault="00494BEE" w:rsidP="00494BE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16,746</w:t>
            </w:r>
          </w:p>
        </w:tc>
        <w:tc>
          <w:tcPr>
            <w:tcW w:w="1299" w:type="dxa"/>
          </w:tcPr>
          <w:p w14:paraId="6F365440" w14:textId="77777777" w:rsidR="00494BEE" w:rsidRPr="00003987" w:rsidRDefault="00494BEE" w:rsidP="00494BE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15,546</w:t>
            </w:r>
          </w:p>
        </w:tc>
        <w:tc>
          <w:tcPr>
            <w:tcW w:w="1300" w:type="dxa"/>
          </w:tcPr>
          <w:p w14:paraId="124B1FE0" w14:textId="77777777" w:rsidR="00494BEE" w:rsidRPr="00003987" w:rsidRDefault="00494BEE" w:rsidP="00494BE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18,548</w:t>
            </w:r>
          </w:p>
        </w:tc>
        <w:tc>
          <w:tcPr>
            <w:tcW w:w="1299" w:type="dxa"/>
          </w:tcPr>
          <w:p w14:paraId="67129B54" w14:textId="77777777" w:rsidR="00494BEE" w:rsidRPr="00003987" w:rsidRDefault="00494BEE" w:rsidP="00494BE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18,447</w:t>
            </w:r>
          </w:p>
        </w:tc>
        <w:tc>
          <w:tcPr>
            <w:tcW w:w="1299" w:type="dxa"/>
          </w:tcPr>
          <w:p w14:paraId="4FDDE63E" w14:textId="53A1CB24" w:rsidR="00494BEE" w:rsidRPr="00003987" w:rsidRDefault="00494BEE" w:rsidP="00494BE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Pr>
                <w:rFonts w:asciiTheme="minorHAnsi" w:hAnsiTheme="minorHAnsi" w:cstheme="minorHAnsi"/>
                <w:color w:val="17365D" w:themeColor="text2" w:themeShade="BF"/>
                <w:sz w:val="20"/>
                <w:szCs w:val="20"/>
              </w:rPr>
              <w:t>16,354</w:t>
            </w:r>
          </w:p>
        </w:tc>
        <w:tc>
          <w:tcPr>
            <w:tcW w:w="1300" w:type="dxa"/>
          </w:tcPr>
          <w:p w14:paraId="032C261C" w14:textId="4A2411CD" w:rsidR="00494BEE" w:rsidRPr="001C008B" w:rsidRDefault="00494BEE" w:rsidP="00494BE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1C008B">
              <w:rPr>
                <w:rFonts w:asciiTheme="minorHAnsi" w:hAnsiTheme="minorHAnsi" w:cstheme="minorHAnsi"/>
                <w:color w:val="17365D" w:themeColor="text2" w:themeShade="BF"/>
                <w:sz w:val="20"/>
                <w:szCs w:val="20"/>
              </w:rPr>
              <w:t>16,493</w:t>
            </w:r>
          </w:p>
        </w:tc>
      </w:tr>
      <w:tr w:rsidR="00B36F83" w:rsidRPr="001C008B" w14:paraId="31EDC5BB" w14:textId="2AFFB2F1" w:rsidTr="00494BE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271" w:type="dxa"/>
          </w:tcPr>
          <w:p w14:paraId="5DDBA793" w14:textId="77777777" w:rsidR="00494BEE" w:rsidRPr="00003987" w:rsidRDefault="00494BEE" w:rsidP="00494BEE">
            <w:pPr>
              <w:spacing w:after="120"/>
              <w:rPr>
                <w:rFonts w:asciiTheme="minorHAnsi" w:hAnsiTheme="minorHAnsi" w:cstheme="minorHAnsi"/>
                <w:b w:val="0"/>
                <w:bCs w:val="0"/>
                <w:color w:val="17365D" w:themeColor="text2" w:themeShade="BF"/>
                <w:sz w:val="20"/>
                <w:szCs w:val="20"/>
              </w:rPr>
            </w:pPr>
            <w:r w:rsidRPr="00003987">
              <w:rPr>
                <w:rFonts w:asciiTheme="minorHAnsi" w:hAnsiTheme="minorHAnsi" w:cstheme="minorHAnsi"/>
                <w:b w:val="0"/>
                <w:bCs w:val="0"/>
                <w:color w:val="17365D" w:themeColor="text2" w:themeShade="BF"/>
                <w:sz w:val="20"/>
                <w:szCs w:val="20"/>
              </w:rPr>
              <w:t>Balance</w:t>
            </w:r>
          </w:p>
        </w:tc>
        <w:tc>
          <w:tcPr>
            <w:tcW w:w="1299" w:type="dxa"/>
          </w:tcPr>
          <w:p w14:paraId="4EB8A99D" w14:textId="77777777" w:rsidR="00494BEE" w:rsidRPr="00003987" w:rsidRDefault="00494BEE" w:rsidP="00494BE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707</w:t>
            </w:r>
          </w:p>
        </w:tc>
        <w:tc>
          <w:tcPr>
            <w:tcW w:w="1299" w:type="dxa"/>
          </w:tcPr>
          <w:p w14:paraId="1D4FC581" w14:textId="77777777" w:rsidR="00494BEE" w:rsidRPr="00003987" w:rsidRDefault="00494BEE" w:rsidP="00494BE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2,154</w:t>
            </w:r>
          </w:p>
        </w:tc>
        <w:tc>
          <w:tcPr>
            <w:tcW w:w="1300" w:type="dxa"/>
          </w:tcPr>
          <w:p w14:paraId="185894B2" w14:textId="77777777" w:rsidR="00494BEE" w:rsidRPr="00003987" w:rsidRDefault="00494BEE" w:rsidP="00494BE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(562)</w:t>
            </w:r>
          </w:p>
        </w:tc>
        <w:tc>
          <w:tcPr>
            <w:tcW w:w="1299" w:type="dxa"/>
          </w:tcPr>
          <w:p w14:paraId="194D384C" w14:textId="00FB0C02" w:rsidR="00494BEE" w:rsidRPr="00003987" w:rsidRDefault="00494BEE" w:rsidP="00494BE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(88</w:t>
            </w:r>
            <w:r>
              <w:rPr>
                <w:rFonts w:asciiTheme="minorHAnsi" w:hAnsiTheme="minorHAnsi" w:cstheme="minorHAnsi"/>
                <w:color w:val="17365D" w:themeColor="text2" w:themeShade="BF"/>
                <w:sz w:val="20"/>
                <w:szCs w:val="20"/>
              </w:rPr>
              <w:t>6</w:t>
            </w:r>
            <w:r w:rsidRPr="00003987">
              <w:rPr>
                <w:rFonts w:asciiTheme="minorHAnsi" w:hAnsiTheme="minorHAnsi" w:cstheme="minorHAnsi"/>
                <w:color w:val="17365D" w:themeColor="text2" w:themeShade="BF"/>
                <w:sz w:val="20"/>
                <w:szCs w:val="20"/>
              </w:rPr>
              <w:t>)</w:t>
            </w:r>
          </w:p>
        </w:tc>
        <w:tc>
          <w:tcPr>
            <w:tcW w:w="1299" w:type="dxa"/>
          </w:tcPr>
          <w:p w14:paraId="427587F6" w14:textId="3A0859BB" w:rsidR="00494BEE" w:rsidRPr="00003987" w:rsidRDefault="00494BEE" w:rsidP="00494BE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Pr>
                <w:rFonts w:asciiTheme="minorHAnsi" w:hAnsiTheme="minorHAnsi" w:cstheme="minorHAnsi"/>
                <w:color w:val="17365D" w:themeColor="text2" w:themeShade="BF"/>
                <w:sz w:val="20"/>
                <w:szCs w:val="20"/>
              </w:rPr>
              <w:t>824</w:t>
            </w:r>
          </w:p>
        </w:tc>
        <w:tc>
          <w:tcPr>
            <w:tcW w:w="1300" w:type="dxa"/>
          </w:tcPr>
          <w:p w14:paraId="63CD8428" w14:textId="77081DB8" w:rsidR="00494BEE" w:rsidRPr="001C008B" w:rsidRDefault="00494BEE" w:rsidP="00494BE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C008B">
              <w:rPr>
                <w:rFonts w:asciiTheme="minorHAnsi" w:hAnsiTheme="minorHAnsi" w:cstheme="minorHAnsi"/>
                <w:color w:val="17365D" w:themeColor="text2" w:themeShade="BF"/>
                <w:sz w:val="20"/>
                <w:szCs w:val="20"/>
              </w:rPr>
              <w:t>1,750</w:t>
            </w:r>
          </w:p>
        </w:tc>
      </w:tr>
      <w:tr w:rsidR="00B36F83" w:rsidRPr="001C008B" w14:paraId="30C03624" w14:textId="496DB45A" w:rsidTr="00494BEE">
        <w:trPr>
          <w:trHeight w:val="503"/>
        </w:trPr>
        <w:tc>
          <w:tcPr>
            <w:cnfStyle w:val="001000000000" w:firstRow="0" w:lastRow="0" w:firstColumn="1" w:lastColumn="0" w:oddVBand="0" w:evenVBand="0" w:oddHBand="0" w:evenHBand="0" w:firstRowFirstColumn="0" w:firstRowLastColumn="0" w:lastRowFirstColumn="0" w:lastRowLastColumn="0"/>
            <w:tcW w:w="1271" w:type="dxa"/>
          </w:tcPr>
          <w:p w14:paraId="09C756DA" w14:textId="77777777" w:rsidR="00494BEE" w:rsidRPr="00003987" w:rsidRDefault="00494BEE" w:rsidP="00494BEE">
            <w:pPr>
              <w:spacing w:after="120"/>
              <w:rPr>
                <w:rFonts w:asciiTheme="minorHAnsi" w:hAnsiTheme="minorHAnsi" w:cstheme="minorHAnsi"/>
                <w:b w:val="0"/>
                <w:bCs w:val="0"/>
                <w:color w:val="17365D" w:themeColor="text2" w:themeShade="BF"/>
                <w:sz w:val="20"/>
                <w:szCs w:val="20"/>
              </w:rPr>
            </w:pPr>
            <w:r w:rsidRPr="00003987">
              <w:rPr>
                <w:rFonts w:asciiTheme="minorHAnsi" w:hAnsiTheme="minorHAnsi" w:cstheme="minorHAnsi"/>
                <w:b w:val="0"/>
                <w:bCs w:val="0"/>
                <w:color w:val="17365D" w:themeColor="text2" w:themeShade="BF"/>
                <w:sz w:val="20"/>
                <w:szCs w:val="20"/>
              </w:rPr>
              <w:t>Cumulative Balance</w:t>
            </w:r>
          </w:p>
        </w:tc>
        <w:tc>
          <w:tcPr>
            <w:tcW w:w="1299" w:type="dxa"/>
          </w:tcPr>
          <w:p w14:paraId="3F5B9A59" w14:textId="77777777" w:rsidR="00494BEE" w:rsidRPr="00003987" w:rsidRDefault="00494BEE" w:rsidP="00494BE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(3,318)</w:t>
            </w:r>
          </w:p>
        </w:tc>
        <w:tc>
          <w:tcPr>
            <w:tcW w:w="1299" w:type="dxa"/>
          </w:tcPr>
          <w:p w14:paraId="383D282B" w14:textId="77777777" w:rsidR="00494BEE" w:rsidRPr="00003987" w:rsidRDefault="00494BEE" w:rsidP="00494BE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(1,164)</w:t>
            </w:r>
          </w:p>
        </w:tc>
        <w:tc>
          <w:tcPr>
            <w:tcW w:w="1300" w:type="dxa"/>
          </w:tcPr>
          <w:p w14:paraId="1D3AB950" w14:textId="77777777" w:rsidR="00494BEE" w:rsidRPr="00003987" w:rsidRDefault="00494BEE" w:rsidP="00494BE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(1,726)</w:t>
            </w:r>
          </w:p>
        </w:tc>
        <w:tc>
          <w:tcPr>
            <w:tcW w:w="1299" w:type="dxa"/>
          </w:tcPr>
          <w:p w14:paraId="70E3F4AC" w14:textId="6D672CD4" w:rsidR="00494BEE" w:rsidRPr="00003987" w:rsidRDefault="00494BEE" w:rsidP="00494BE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(2,61</w:t>
            </w:r>
            <w:r>
              <w:rPr>
                <w:rFonts w:asciiTheme="minorHAnsi" w:hAnsiTheme="minorHAnsi" w:cstheme="minorHAnsi"/>
                <w:color w:val="17365D" w:themeColor="text2" w:themeShade="BF"/>
                <w:sz w:val="20"/>
                <w:szCs w:val="20"/>
              </w:rPr>
              <w:t>2</w:t>
            </w:r>
            <w:r w:rsidRPr="00003987">
              <w:rPr>
                <w:rFonts w:asciiTheme="minorHAnsi" w:hAnsiTheme="minorHAnsi" w:cstheme="minorHAnsi"/>
                <w:color w:val="17365D" w:themeColor="text2" w:themeShade="BF"/>
                <w:sz w:val="20"/>
                <w:szCs w:val="20"/>
              </w:rPr>
              <w:t>)</w:t>
            </w:r>
          </w:p>
        </w:tc>
        <w:tc>
          <w:tcPr>
            <w:tcW w:w="1299" w:type="dxa"/>
          </w:tcPr>
          <w:p w14:paraId="742E56AE" w14:textId="2A2FBAC7" w:rsidR="00494BEE" w:rsidRPr="00003987" w:rsidRDefault="00494BEE" w:rsidP="00494BE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003987">
              <w:rPr>
                <w:rFonts w:asciiTheme="minorHAnsi" w:hAnsiTheme="minorHAnsi" w:cstheme="minorHAnsi"/>
                <w:color w:val="17365D" w:themeColor="text2" w:themeShade="BF"/>
                <w:sz w:val="20"/>
                <w:szCs w:val="20"/>
              </w:rPr>
              <w:t>(</w:t>
            </w:r>
            <w:r>
              <w:rPr>
                <w:rFonts w:asciiTheme="minorHAnsi" w:hAnsiTheme="minorHAnsi" w:cstheme="minorHAnsi"/>
                <w:color w:val="17365D" w:themeColor="text2" w:themeShade="BF"/>
                <w:sz w:val="20"/>
                <w:szCs w:val="20"/>
              </w:rPr>
              <w:t>1,788</w:t>
            </w:r>
            <w:r w:rsidRPr="00003987">
              <w:rPr>
                <w:rFonts w:asciiTheme="minorHAnsi" w:hAnsiTheme="minorHAnsi" w:cstheme="minorHAnsi"/>
                <w:color w:val="17365D" w:themeColor="text2" w:themeShade="BF"/>
                <w:sz w:val="20"/>
                <w:szCs w:val="20"/>
              </w:rPr>
              <w:t>)</w:t>
            </w:r>
          </w:p>
        </w:tc>
        <w:tc>
          <w:tcPr>
            <w:tcW w:w="1300" w:type="dxa"/>
          </w:tcPr>
          <w:p w14:paraId="518356C9" w14:textId="51CA259F" w:rsidR="00494BEE" w:rsidRPr="001C008B" w:rsidRDefault="00494BEE" w:rsidP="00494BE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1C008B">
              <w:rPr>
                <w:rFonts w:asciiTheme="minorHAnsi" w:hAnsiTheme="minorHAnsi" w:cstheme="minorHAnsi"/>
                <w:color w:val="17365D" w:themeColor="text2" w:themeShade="BF"/>
                <w:sz w:val="20"/>
                <w:szCs w:val="20"/>
              </w:rPr>
              <w:t>(38)</w:t>
            </w:r>
          </w:p>
        </w:tc>
      </w:tr>
    </w:tbl>
    <w:p w14:paraId="42A37596" w14:textId="77777777" w:rsidR="00107D3F" w:rsidRPr="00CE74AA" w:rsidRDefault="00107D3F" w:rsidP="00CE74AA">
      <w:pPr>
        <w:rPr>
          <w:lang w:val="en-US"/>
        </w:rPr>
      </w:pPr>
    </w:p>
    <w:p w14:paraId="3AA08E60" w14:textId="53F8ADCC" w:rsidR="008B679D" w:rsidRDefault="008B679D" w:rsidP="00F2024B">
      <w:pPr>
        <w:pStyle w:val="Heading1"/>
        <w:tabs>
          <w:tab w:val="clear" w:pos="432"/>
          <w:tab w:val="num" w:pos="709"/>
        </w:tabs>
        <w:ind w:left="709" w:hanging="709"/>
        <w:jc w:val="left"/>
        <w:rPr>
          <w:rFonts w:asciiTheme="minorHAnsi" w:hAnsiTheme="minorHAnsi" w:cstheme="minorHAnsi"/>
          <w:b/>
          <w:bCs/>
          <w:i w:val="0"/>
          <w:iCs w:val="0"/>
          <w:sz w:val="32"/>
          <w:szCs w:val="32"/>
        </w:rPr>
      </w:pPr>
      <w:bookmarkStart w:id="35" w:name="_Toc84844733"/>
      <w:r w:rsidRPr="00727004">
        <w:rPr>
          <w:rFonts w:asciiTheme="minorHAnsi" w:hAnsiTheme="minorHAnsi" w:cstheme="minorHAnsi"/>
          <w:b/>
          <w:bCs/>
          <w:i w:val="0"/>
          <w:iCs w:val="0"/>
          <w:sz w:val="32"/>
          <w:szCs w:val="32"/>
        </w:rPr>
        <w:t>NON-FINANCIAL PERFORMANCE</w:t>
      </w:r>
      <w:bookmarkEnd w:id="35"/>
      <w:r w:rsidRPr="00727004">
        <w:rPr>
          <w:rFonts w:asciiTheme="minorHAnsi" w:hAnsiTheme="minorHAnsi" w:cstheme="minorHAnsi"/>
          <w:b/>
          <w:bCs/>
          <w:i w:val="0"/>
          <w:iCs w:val="0"/>
          <w:sz w:val="32"/>
          <w:szCs w:val="32"/>
        </w:rPr>
        <w:t xml:space="preserve"> </w:t>
      </w:r>
    </w:p>
    <w:p w14:paraId="59AC02C1" w14:textId="42CC1C7E" w:rsidR="00CE74AA" w:rsidRDefault="00CE74AA" w:rsidP="00CE74AA">
      <w:pPr>
        <w:rPr>
          <w:lang w:val="en-US"/>
        </w:rPr>
      </w:pPr>
    </w:p>
    <w:p w14:paraId="33D0F2E5" w14:textId="14528BF7" w:rsidR="00CE74AA" w:rsidRDefault="00CE74AA" w:rsidP="00CE74AA">
      <w:pPr>
        <w:rPr>
          <w:rFonts w:asciiTheme="minorHAnsi" w:hAnsiTheme="minorHAnsi" w:cstheme="minorHAnsi"/>
        </w:rPr>
      </w:pPr>
      <w:r w:rsidRPr="00037881">
        <w:rPr>
          <w:rFonts w:asciiTheme="minorHAnsi" w:hAnsiTheme="minorHAnsi" w:cstheme="minorHAnsi"/>
        </w:rPr>
        <w:t xml:space="preserve">NOPTA provides input for the department’s broader annual reporting process pursuant to its requirement under s695N of the </w:t>
      </w:r>
      <w:r w:rsidR="005827AF">
        <w:rPr>
          <w:rFonts w:asciiTheme="minorHAnsi" w:hAnsiTheme="minorHAnsi" w:cstheme="minorHAnsi"/>
        </w:rPr>
        <w:t>OPGGS Act</w:t>
      </w:r>
      <w:r w:rsidRPr="00037881">
        <w:rPr>
          <w:rFonts w:asciiTheme="minorHAnsi" w:hAnsiTheme="minorHAnsi" w:cstheme="minorHAnsi"/>
        </w:rPr>
        <w:t xml:space="preserve">. NOPTA also publishes a separate annual report of its activities, which is consistent with its input into the department’s annual report but is expanded to provide a broader overview of NOPTA’s operations and can be found on </w:t>
      </w:r>
      <w:r>
        <w:rPr>
          <w:rFonts w:asciiTheme="minorHAnsi" w:hAnsiTheme="minorHAnsi" w:cstheme="minorHAnsi"/>
        </w:rPr>
        <w:t xml:space="preserve">the </w:t>
      </w:r>
      <w:r w:rsidRPr="00037881">
        <w:rPr>
          <w:rFonts w:asciiTheme="minorHAnsi" w:hAnsiTheme="minorHAnsi" w:cstheme="minorHAnsi"/>
        </w:rPr>
        <w:t>NOPTA web</w:t>
      </w:r>
      <w:r w:rsidRPr="00950A04">
        <w:rPr>
          <w:rFonts w:asciiTheme="minorHAnsi" w:hAnsiTheme="minorHAnsi" w:cstheme="minorHAnsi"/>
        </w:rPr>
        <w:t>site</w:t>
      </w:r>
      <w:r w:rsidRPr="00950A04">
        <w:rPr>
          <w:rStyle w:val="FootnoteReference"/>
          <w:rFonts w:cstheme="minorHAnsi"/>
          <w:color w:val="auto"/>
        </w:rPr>
        <w:footnoteReference w:id="21"/>
      </w:r>
      <w:r w:rsidRPr="00950A04">
        <w:rPr>
          <w:rFonts w:asciiTheme="minorHAnsi" w:hAnsiTheme="minorHAnsi" w:cstheme="minorHAnsi"/>
        </w:rPr>
        <w:t>.</w:t>
      </w:r>
      <w:r w:rsidRPr="00037881">
        <w:rPr>
          <w:rFonts w:asciiTheme="minorHAnsi" w:hAnsiTheme="minorHAnsi" w:cstheme="minorHAnsi"/>
        </w:rPr>
        <w:t> </w:t>
      </w:r>
    </w:p>
    <w:p w14:paraId="720315ED" w14:textId="77777777" w:rsidR="00CE74AA" w:rsidRDefault="00CE74AA" w:rsidP="00CE74AA">
      <w:pPr>
        <w:rPr>
          <w:rFonts w:asciiTheme="minorHAnsi" w:hAnsiTheme="minorHAnsi" w:cstheme="minorHAnsi"/>
        </w:rPr>
      </w:pPr>
    </w:p>
    <w:p w14:paraId="252A1009" w14:textId="77777777" w:rsidR="00914739" w:rsidRDefault="00914739">
      <w:pPr>
        <w:spacing w:after="200" w:line="276" w:lineRule="auto"/>
        <w:rPr>
          <w:rFonts w:asciiTheme="minorHAnsi" w:hAnsiTheme="minorHAnsi" w:cstheme="minorHAnsi"/>
          <w:b/>
          <w:bCs/>
          <w:i/>
          <w:iCs/>
        </w:rPr>
      </w:pPr>
      <w:r>
        <w:rPr>
          <w:rFonts w:asciiTheme="minorHAnsi" w:hAnsiTheme="minorHAnsi" w:cstheme="minorHAnsi"/>
          <w:i/>
          <w:iCs/>
        </w:rPr>
        <w:br w:type="page"/>
      </w:r>
    </w:p>
    <w:p w14:paraId="7057B50B" w14:textId="5B569F4C" w:rsidR="005827AF" w:rsidRPr="00EC7173" w:rsidRDefault="005827AF" w:rsidP="005827AF">
      <w:pPr>
        <w:pStyle w:val="Heading3"/>
        <w:numPr>
          <w:ilvl w:val="0"/>
          <w:numId w:val="0"/>
        </w:numPr>
        <w:spacing w:before="0" w:after="0"/>
        <w:ind w:left="720" w:hanging="720"/>
      </w:pPr>
      <w:bookmarkStart w:id="36" w:name="_Toc84844734"/>
      <w:r w:rsidRPr="00EC7173">
        <w:rPr>
          <w:rFonts w:asciiTheme="minorHAnsi" w:hAnsiTheme="minorHAnsi" w:cstheme="minorHAnsi"/>
          <w:i/>
          <w:iCs/>
          <w:sz w:val="24"/>
          <w:szCs w:val="24"/>
        </w:rPr>
        <w:lastRenderedPageBreak/>
        <w:t>NOPTA stakeholder survey</w:t>
      </w:r>
      <w:bookmarkEnd w:id="36"/>
      <w:r w:rsidRPr="00EC7173">
        <w:t xml:space="preserve"> </w:t>
      </w:r>
    </w:p>
    <w:p w14:paraId="6FC9548A" w14:textId="77777777" w:rsidR="005827AF" w:rsidRPr="00D830B4" w:rsidRDefault="005827AF" w:rsidP="005827AF">
      <w:pPr>
        <w:rPr>
          <w:rFonts w:asciiTheme="minorHAnsi" w:hAnsiTheme="minorHAnsi" w:cstheme="minorHAnsi"/>
        </w:rPr>
      </w:pPr>
      <w:r w:rsidRPr="00D830B4">
        <w:rPr>
          <w:rFonts w:asciiTheme="minorHAnsi" w:hAnsiTheme="minorHAnsi" w:cstheme="minorHAnsi"/>
        </w:rPr>
        <w:t>NOPTA undertakes regular surveys to assess stakeholder satisfaction with its performance.</w:t>
      </w:r>
    </w:p>
    <w:p w14:paraId="19BD218E" w14:textId="77777777" w:rsidR="005827AF" w:rsidRPr="00D830B4" w:rsidRDefault="005827AF" w:rsidP="005827AF">
      <w:pPr>
        <w:rPr>
          <w:rFonts w:asciiTheme="minorHAnsi" w:hAnsiTheme="minorHAnsi" w:cstheme="minorHAnsi"/>
        </w:rPr>
      </w:pPr>
      <w:r w:rsidRPr="00D830B4">
        <w:rPr>
          <w:rFonts w:asciiTheme="minorHAnsi" w:hAnsiTheme="minorHAnsi" w:cstheme="minorHAnsi"/>
        </w:rPr>
        <w:t>Stakeholders who responded to the 2021 survey</w:t>
      </w:r>
      <w:r w:rsidRPr="00D830B4">
        <w:rPr>
          <w:rStyle w:val="FootnoteReference"/>
          <w:rFonts w:cstheme="minorHAnsi"/>
        </w:rPr>
        <w:footnoteReference w:id="22"/>
      </w:r>
      <w:r w:rsidRPr="00D830B4">
        <w:rPr>
          <w:rFonts w:asciiTheme="minorHAnsi" w:hAnsiTheme="minorHAnsi" w:cstheme="minorHAnsi"/>
        </w:rPr>
        <w:t xml:space="preserve"> (conducted by KPMG) reported high overall levels of satisfaction with NOPTA, its staff and processes. This repeats the overall results of the previous surveys. Some of these key highlights were:</w:t>
      </w:r>
    </w:p>
    <w:p w14:paraId="07BCFBF6" w14:textId="3DD03322" w:rsidR="005827AF" w:rsidRPr="00D830B4" w:rsidRDefault="005827AF" w:rsidP="005827AF">
      <w:pPr>
        <w:pStyle w:val="ListParagraph"/>
        <w:numPr>
          <w:ilvl w:val="0"/>
          <w:numId w:val="15"/>
        </w:numPr>
        <w:ind w:left="714" w:hanging="357"/>
        <w:contextualSpacing w:val="0"/>
        <w:rPr>
          <w:rFonts w:asciiTheme="minorHAnsi" w:hAnsiTheme="minorHAnsi" w:cstheme="minorHAnsi"/>
        </w:rPr>
      </w:pPr>
      <w:r w:rsidRPr="00D830B4">
        <w:rPr>
          <w:rFonts w:asciiTheme="minorHAnsi" w:hAnsiTheme="minorHAnsi" w:cstheme="minorHAnsi"/>
        </w:rPr>
        <w:t>NOPTA’s role is very well communicated, with 71 percent of stakeholders understanding NOPTA’s role to a great extent.</w:t>
      </w:r>
    </w:p>
    <w:p w14:paraId="781AC8C2" w14:textId="7746863A" w:rsidR="005827AF" w:rsidRPr="00D830B4" w:rsidRDefault="005827AF" w:rsidP="005827AF">
      <w:pPr>
        <w:pStyle w:val="ListParagraph"/>
        <w:numPr>
          <w:ilvl w:val="0"/>
          <w:numId w:val="15"/>
        </w:numPr>
        <w:ind w:left="714" w:hanging="357"/>
        <w:contextualSpacing w:val="0"/>
        <w:rPr>
          <w:rFonts w:asciiTheme="minorHAnsi" w:hAnsiTheme="minorHAnsi" w:cstheme="minorHAnsi"/>
        </w:rPr>
      </w:pPr>
      <w:r w:rsidRPr="00D830B4">
        <w:rPr>
          <w:rFonts w:asciiTheme="minorHAnsi" w:hAnsiTheme="minorHAnsi" w:cstheme="minorHAnsi"/>
        </w:rPr>
        <w:t>Nearly all stakeholders thought that NOPTA makes a valuable contribution to the process of managing Australia’s resources to a great extent or some extent (97 percent).</w:t>
      </w:r>
    </w:p>
    <w:p w14:paraId="3694A3C0" w14:textId="679847F8" w:rsidR="005827AF" w:rsidRPr="00D830B4" w:rsidRDefault="005827AF" w:rsidP="005827AF">
      <w:pPr>
        <w:pStyle w:val="ListParagraph"/>
        <w:numPr>
          <w:ilvl w:val="0"/>
          <w:numId w:val="15"/>
        </w:numPr>
        <w:ind w:left="714" w:hanging="357"/>
        <w:contextualSpacing w:val="0"/>
        <w:rPr>
          <w:rFonts w:asciiTheme="minorHAnsi" w:hAnsiTheme="minorHAnsi" w:cstheme="minorHAnsi"/>
        </w:rPr>
      </w:pPr>
      <w:r w:rsidRPr="00D830B4">
        <w:rPr>
          <w:rFonts w:asciiTheme="minorHAnsi" w:hAnsiTheme="minorHAnsi" w:cstheme="minorHAnsi"/>
        </w:rPr>
        <w:t>The majority of respondents were either very or somewhat satisfied with the technical expertise of NOPTA staff (91 percent).</w:t>
      </w:r>
    </w:p>
    <w:p w14:paraId="7F5ADE87" w14:textId="580DDA52" w:rsidR="005827AF" w:rsidRPr="00D830B4" w:rsidRDefault="005827AF" w:rsidP="005827AF">
      <w:pPr>
        <w:pStyle w:val="ListParagraph"/>
        <w:numPr>
          <w:ilvl w:val="0"/>
          <w:numId w:val="15"/>
        </w:numPr>
        <w:spacing w:after="160" w:line="259" w:lineRule="auto"/>
        <w:rPr>
          <w:rFonts w:asciiTheme="minorHAnsi" w:hAnsiTheme="minorHAnsi" w:cstheme="minorHAnsi"/>
        </w:rPr>
      </w:pPr>
      <w:r w:rsidRPr="00D830B4">
        <w:rPr>
          <w:rFonts w:asciiTheme="minorHAnsi" w:hAnsiTheme="minorHAnsi" w:cstheme="minorHAnsi"/>
        </w:rPr>
        <w:t>Respondents largely viewed NOPTA’s current fees and levies as very reasonable or reasonable (71 per cent), with the majority of respondents agreeing that NOPTA’s fees and levies are set clearly and transparently (71 percent).</w:t>
      </w:r>
    </w:p>
    <w:p w14:paraId="4DB44431" w14:textId="13E2C0A7" w:rsidR="00205982" w:rsidRDefault="00205982" w:rsidP="00205982">
      <w:pPr>
        <w:rPr>
          <w:rFonts w:asciiTheme="minorHAnsi" w:hAnsiTheme="minorHAnsi" w:cstheme="minorHAnsi"/>
          <w:i/>
          <w:iCs/>
        </w:rPr>
      </w:pPr>
    </w:p>
    <w:p w14:paraId="7D05933E" w14:textId="77777777" w:rsidR="00107D3F" w:rsidRPr="00205982" w:rsidRDefault="00107D3F" w:rsidP="00205982">
      <w:pPr>
        <w:rPr>
          <w:rFonts w:asciiTheme="minorHAnsi" w:hAnsiTheme="minorHAnsi" w:cstheme="minorHAnsi"/>
          <w:i/>
          <w:iCs/>
        </w:rPr>
      </w:pPr>
    </w:p>
    <w:p w14:paraId="2210AF14" w14:textId="708B4E79" w:rsidR="008B679D" w:rsidRDefault="008B679D" w:rsidP="00F2024B">
      <w:pPr>
        <w:pStyle w:val="Heading1"/>
        <w:tabs>
          <w:tab w:val="clear" w:pos="432"/>
          <w:tab w:val="num" w:pos="709"/>
        </w:tabs>
        <w:ind w:left="709" w:hanging="709"/>
        <w:jc w:val="left"/>
        <w:rPr>
          <w:rFonts w:asciiTheme="minorHAnsi" w:hAnsiTheme="minorHAnsi" w:cstheme="minorHAnsi"/>
          <w:b/>
          <w:bCs/>
          <w:i w:val="0"/>
          <w:iCs w:val="0"/>
          <w:sz w:val="32"/>
          <w:szCs w:val="32"/>
        </w:rPr>
      </w:pPr>
      <w:bookmarkStart w:id="37" w:name="_Toc84844735"/>
      <w:r w:rsidRPr="00727004">
        <w:rPr>
          <w:rFonts w:asciiTheme="minorHAnsi" w:hAnsiTheme="minorHAnsi" w:cstheme="minorHAnsi"/>
          <w:b/>
          <w:bCs/>
          <w:i w:val="0"/>
          <w:iCs w:val="0"/>
          <w:sz w:val="32"/>
          <w:szCs w:val="32"/>
        </w:rPr>
        <w:t>KEY FORWARD DATES AND EVENTS</w:t>
      </w:r>
      <w:bookmarkEnd w:id="37"/>
    </w:p>
    <w:p w14:paraId="2B4E6EB9" w14:textId="6C9CF5BC" w:rsidR="00CE74AA" w:rsidRDefault="00CE74AA" w:rsidP="00CE74AA">
      <w:pPr>
        <w:rPr>
          <w:lang w:val="en-US"/>
        </w:rPr>
      </w:pPr>
    </w:p>
    <w:p w14:paraId="2B066A36" w14:textId="77777777" w:rsidR="00CE74AA" w:rsidRPr="00AC1494" w:rsidRDefault="00CE74AA" w:rsidP="00CE74AA">
      <w:pPr>
        <w:rPr>
          <w:rFonts w:asciiTheme="minorHAnsi" w:hAnsiTheme="minorHAnsi" w:cstheme="minorHAnsi"/>
          <w:iCs/>
        </w:rPr>
      </w:pPr>
      <w:r w:rsidRPr="00AC1494">
        <w:rPr>
          <w:rFonts w:asciiTheme="minorHAnsi" w:hAnsiTheme="minorHAnsi" w:cstheme="minorHAnsi"/>
          <w:iCs/>
        </w:rPr>
        <w:t>Key dates and events for the cost recovered activity include:</w:t>
      </w:r>
    </w:p>
    <w:p w14:paraId="3025509E" w14:textId="77777777" w:rsidR="00CE74AA" w:rsidRPr="00AC1494" w:rsidRDefault="00CE74AA" w:rsidP="00CE74AA">
      <w:pPr>
        <w:rPr>
          <w:rFonts w:asciiTheme="minorHAnsi" w:hAnsiTheme="minorHAnsi" w:cstheme="minorHAnsi"/>
          <w:iCs/>
        </w:rPr>
      </w:pPr>
    </w:p>
    <w:tbl>
      <w:tblPr>
        <w:tblStyle w:val="TableGrid"/>
        <w:tblW w:w="966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Key forward dates and events"/>
      </w:tblPr>
      <w:tblGrid>
        <w:gridCol w:w="1780"/>
        <w:gridCol w:w="7888"/>
      </w:tblGrid>
      <w:tr w:rsidR="00CE74AA" w:rsidRPr="00AC1494" w14:paraId="30ED369A" w14:textId="77777777" w:rsidTr="00814B19">
        <w:trPr>
          <w:trHeight w:val="252"/>
        </w:trPr>
        <w:tc>
          <w:tcPr>
            <w:tcW w:w="1780" w:type="dxa"/>
            <w:shd w:val="clear" w:color="auto" w:fill="auto"/>
          </w:tcPr>
          <w:p w14:paraId="22927D50" w14:textId="40946C4E" w:rsidR="00CE74AA" w:rsidRPr="00AC1494" w:rsidRDefault="00FC07B0" w:rsidP="00205982">
            <w:pPr>
              <w:rPr>
                <w:rFonts w:asciiTheme="minorHAnsi" w:hAnsiTheme="minorHAnsi" w:cstheme="minorHAnsi"/>
                <w:iCs/>
              </w:rPr>
            </w:pPr>
            <w:r>
              <w:rPr>
                <w:rFonts w:asciiTheme="minorHAnsi" w:hAnsiTheme="minorHAnsi" w:cstheme="minorHAnsi"/>
                <w:iCs/>
              </w:rPr>
              <w:t>1 January 2022</w:t>
            </w:r>
          </w:p>
        </w:tc>
        <w:tc>
          <w:tcPr>
            <w:tcW w:w="7888" w:type="dxa"/>
            <w:shd w:val="clear" w:color="auto" w:fill="auto"/>
          </w:tcPr>
          <w:p w14:paraId="68DE3D94" w14:textId="71450112" w:rsidR="00CE74AA" w:rsidRPr="00AC1494" w:rsidRDefault="00FC07B0" w:rsidP="00205982">
            <w:pPr>
              <w:rPr>
                <w:rFonts w:asciiTheme="minorHAnsi" w:hAnsiTheme="minorHAnsi" w:cstheme="minorHAnsi"/>
                <w:i/>
                <w:iCs/>
                <w:color w:val="808080"/>
                <w:u w:val="single"/>
              </w:rPr>
            </w:pPr>
            <w:r>
              <w:rPr>
                <w:rFonts w:asciiTheme="minorHAnsi" w:hAnsiTheme="minorHAnsi" w:cstheme="minorHAnsi"/>
                <w:iCs/>
              </w:rPr>
              <w:t>Implementation of CRIS update.</w:t>
            </w:r>
          </w:p>
        </w:tc>
      </w:tr>
      <w:tr w:rsidR="00CE74AA" w:rsidRPr="00AC1494" w14:paraId="746256D9" w14:textId="77777777" w:rsidTr="00814B19">
        <w:trPr>
          <w:trHeight w:val="265"/>
        </w:trPr>
        <w:tc>
          <w:tcPr>
            <w:tcW w:w="1780" w:type="dxa"/>
            <w:shd w:val="clear" w:color="auto" w:fill="auto"/>
          </w:tcPr>
          <w:p w14:paraId="175471A3" w14:textId="74961451" w:rsidR="00CE74AA" w:rsidRPr="00AC1494" w:rsidRDefault="00CE74AA" w:rsidP="00205982">
            <w:pPr>
              <w:rPr>
                <w:rFonts w:asciiTheme="minorHAnsi" w:hAnsiTheme="minorHAnsi" w:cstheme="minorHAnsi"/>
                <w:iCs/>
              </w:rPr>
            </w:pPr>
          </w:p>
        </w:tc>
        <w:tc>
          <w:tcPr>
            <w:tcW w:w="7888" w:type="dxa"/>
            <w:shd w:val="clear" w:color="auto" w:fill="auto"/>
          </w:tcPr>
          <w:p w14:paraId="1D983CD4" w14:textId="190BCBCC" w:rsidR="00CE74AA" w:rsidRPr="00AC1494" w:rsidRDefault="00CE74AA" w:rsidP="00205982">
            <w:pPr>
              <w:rPr>
                <w:rFonts w:asciiTheme="minorHAnsi" w:hAnsiTheme="minorHAnsi" w:cstheme="minorHAnsi"/>
                <w:iCs/>
              </w:rPr>
            </w:pPr>
          </w:p>
        </w:tc>
      </w:tr>
      <w:tr w:rsidR="00CE74AA" w:rsidRPr="00AC1494" w14:paraId="6580A3AF" w14:textId="77777777" w:rsidTr="00814B19">
        <w:trPr>
          <w:trHeight w:val="252"/>
        </w:trPr>
        <w:tc>
          <w:tcPr>
            <w:tcW w:w="1780" w:type="dxa"/>
            <w:shd w:val="clear" w:color="auto" w:fill="auto"/>
          </w:tcPr>
          <w:p w14:paraId="7BAAA7C2" w14:textId="70ADC1AF" w:rsidR="00CE74AA" w:rsidRPr="00AC1494" w:rsidRDefault="00CE74AA" w:rsidP="00205982">
            <w:pPr>
              <w:rPr>
                <w:rFonts w:asciiTheme="minorHAnsi" w:hAnsiTheme="minorHAnsi" w:cstheme="minorHAnsi"/>
                <w:iCs/>
              </w:rPr>
            </w:pPr>
          </w:p>
        </w:tc>
        <w:tc>
          <w:tcPr>
            <w:tcW w:w="7888" w:type="dxa"/>
            <w:shd w:val="clear" w:color="auto" w:fill="auto"/>
          </w:tcPr>
          <w:p w14:paraId="5CF2B117" w14:textId="3C966502" w:rsidR="00CE74AA" w:rsidRPr="00AC1494" w:rsidRDefault="00CE74AA" w:rsidP="00205982">
            <w:pPr>
              <w:rPr>
                <w:rFonts w:asciiTheme="minorHAnsi" w:hAnsiTheme="minorHAnsi" w:cstheme="minorHAnsi"/>
                <w:iCs/>
              </w:rPr>
            </w:pPr>
          </w:p>
        </w:tc>
      </w:tr>
    </w:tbl>
    <w:p w14:paraId="004FF7A0" w14:textId="77777777" w:rsidR="00AC1494" w:rsidRPr="00AC1494" w:rsidRDefault="00AC1494" w:rsidP="00AC1494">
      <w:pPr>
        <w:spacing w:before="360"/>
        <w:ind w:left="360"/>
        <w:rPr>
          <w:rFonts w:asciiTheme="minorHAnsi" w:hAnsiTheme="minorHAnsi"/>
          <w:b/>
          <w:sz w:val="28"/>
          <w:szCs w:val="28"/>
        </w:rPr>
      </w:pPr>
    </w:p>
    <w:p w14:paraId="79C08558" w14:textId="284C981E" w:rsidR="008B679D" w:rsidRPr="00727004" w:rsidRDefault="008B679D" w:rsidP="00F2024B">
      <w:pPr>
        <w:pStyle w:val="Heading1"/>
        <w:tabs>
          <w:tab w:val="clear" w:pos="432"/>
          <w:tab w:val="num" w:pos="709"/>
        </w:tabs>
        <w:ind w:left="709" w:hanging="709"/>
        <w:jc w:val="left"/>
        <w:rPr>
          <w:rFonts w:asciiTheme="minorHAnsi" w:hAnsiTheme="minorHAnsi" w:cstheme="minorHAnsi"/>
          <w:b/>
          <w:bCs/>
          <w:i w:val="0"/>
          <w:iCs w:val="0"/>
          <w:sz w:val="32"/>
          <w:szCs w:val="32"/>
        </w:rPr>
      </w:pPr>
      <w:bookmarkStart w:id="38" w:name="_Toc84844736"/>
      <w:bookmarkEnd w:id="28"/>
      <w:r w:rsidRPr="00727004">
        <w:rPr>
          <w:rFonts w:asciiTheme="minorHAnsi" w:hAnsiTheme="minorHAnsi" w:cstheme="minorHAnsi"/>
          <w:b/>
          <w:bCs/>
          <w:i w:val="0"/>
          <w:iCs w:val="0"/>
          <w:sz w:val="32"/>
          <w:szCs w:val="32"/>
        </w:rPr>
        <w:t>CRIS APPROVAL AND CHANGE REGISTER</w:t>
      </w:r>
      <w:bookmarkEnd w:id="38"/>
    </w:p>
    <w:p w14:paraId="1C5EEF15" w14:textId="2ACF898A" w:rsidR="00AC1494" w:rsidRDefault="00AC1494" w:rsidP="00AC1494">
      <w:pPr>
        <w:ind w:firstLine="284"/>
      </w:pPr>
    </w:p>
    <w:tbl>
      <w:tblPr>
        <w:tblStyle w:val="TableGrid"/>
        <w:tblW w:w="963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RIS approval and change register"/>
      </w:tblPr>
      <w:tblGrid>
        <w:gridCol w:w="1591"/>
        <w:gridCol w:w="1591"/>
        <w:gridCol w:w="1591"/>
        <w:gridCol w:w="4866"/>
      </w:tblGrid>
      <w:tr w:rsidR="00D13DA7" w:rsidRPr="00CC6ED3" w14:paraId="2DB25C5C" w14:textId="77777777" w:rsidTr="00814B19">
        <w:trPr>
          <w:tblHeader/>
        </w:trPr>
        <w:tc>
          <w:tcPr>
            <w:tcW w:w="1591" w:type="dxa"/>
            <w:shd w:val="clear" w:color="auto" w:fill="auto"/>
          </w:tcPr>
          <w:p w14:paraId="7DD11567" w14:textId="77777777" w:rsidR="00D13DA7" w:rsidRPr="00CC6ED3" w:rsidRDefault="00D13DA7" w:rsidP="004018CA">
            <w:pPr>
              <w:rPr>
                <w:rFonts w:asciiTheme="minorHAnsi" w:hAnsiTheme="minorHAnsi"/>
                <w:b/>
                <w:iCs/>
              </w:rPr>
            </w:pPr>
            <w:r w:rsidRPr="00CC6ED3">
              <w:rPr>
                <w:rFonts w:asciiTheme="minorHAnsi" w:hAnsiTheme="minorHAnsi"/>
                <w:b/>
                <w:iCs/>
              </w:rPr>
              <w:t>Date of CRIS change</w:t>
            </w:r>
          </w:p>
        </w:tc>
        <w:tc>
          <w:tcPr>
            <w:tcW w:w="1591" w:type="dxa"/>
            <w:shd w:val="clear" w:color="auto" w:fill="auto"/>
          </w:tcPr>
          <w:p w14:paraId="592F14F7" w14:textId="77777777" w:rsidR="00D13DA7" w:rsidRPr="00CC6ED3" w:rsidRDefault="00D13DA7" w:rsidP="004018CA">
            <w:pPr>
              <w:rPr>
                <w:rFonts w:asciiTheme="minorHAnsi" w:hAnsiTheme="minorHAnsi"/>
                <w:b/>
                <w:i/>
                <w:iCs/>
                <w:color w:val="808080"/>
                <w:u w:val="single"/>
              </w:rPr>
            </w:pPr>
            <w:r w:rsidRPr="00CC6ED3">
              <w:rPr>
                <w:rFonts w:asciiTheme="minorHAnsi" w:hAnsiTheme="minorHAnsi"/>
                <w:b/>
                <w:iCs/>
              </w:rPr>
              <w:t>CRIS change</w:t>
            </w:r>
          </w:p>
        </w:tc>
        <w:tc>
          <w:tcPr>
            <w:tcW w:w="1591" w:type="dxa"/>
          </w:tcPr>
          <w:p w14:paraId="7E442E01" w14:textId="77777777" w:rsidR="00D13DA7" w:rsidRPr="00CC6ED3" w:rsidRDefault="00D13DA7" w:rsidP="004018CA">
            <w:pPr>
              <w:rPr>
                <w:rFonts w:asciiTheme="minorHAnsi" w:hAnsiTheme="minorHAnsi"/>
                <w:b/>
                <w:iCs/>
              </w:rPr>
            </w:pPr>
            <w:r w:rsidRPr="00CC6ED3">
              <w:rPr>
                <w:rFonts w:asciiTheme="minorHAnsi" w:hAnsiTheme="minorHAnsi"/>
                <w:b/>
                <w:iCs/>
              </w:rPr>
              <w:t>Approver</w:t>
            </w:r>
          </w:p>
        </w:tc>
        <w:tc>
          <w:tcPr>
            <w:tcW w:w="4866" w:type="dxa"/>
          </w:tcPr>
          <w:p w14:paraId="18A5DA3F" w14:textId="77777777" w:rsidR="00D13DA7" w:rsidRPr="00CC6ED3" w:rsidRDefault="00D13DA7" w:rsidP="004018CA">
            <w:pPr>
              <w:rPr>
                <w:rFonts w:asciiTheme="minorHAnsi" w:hAnsiTheme="minorHAnsi"/>
                <w:b/>
                <w:iCs/>
              </w:rPr>
            </w:pPr>
            <w:r w:rsidRPr="00CC6ED3">
              <w:rPr>
                <w:rFonts w:asciiTheme="minorHAnsi" w:hAnsiTheme="minorHAnsi"/>
                <w:b/>
                <w:iCs/>
              </w:rPr>
              <w:t>Basis for change</w:t>
            </w:r>
          </w:p>
        </w:tc>
      </w:tr>
      <w:tr w:rsidR="00BF1623" w:rsidRPr="00664B28" w14:paraId="0B3B3A8C" w14:textId="77777777" w:rsidTr="00814B19">
        <w:tc>
          <w:tcPr>
            <w:tcW w:w="1591" w:type="dxa"/>
            <w:shd w:val="clear" w:color="auto" w:fill="auto"/>
          </w:tcPr>
          <w:p w14:paraId="62CED632" w14:textId="3C8C2A0B" w:rsidR="00BF1623" w:rsidRPr="0023148E" w:rsidRDefault="002374AA" w:rsidP="004018CA">
            <w:pPr>
              <w:rPr>
                <w:rFonts w:asciiTheme="minorHAnsi" w:hAnsiTheme="minorHAnsi"/>
                <w:iCs/>
              </w:rPr>
            </w:pPr>
            <w:r>
              <w:rPr>
                <w:rFonts w:asciiTheme="minorHAnsi" w:hAnsiTheme="minorHAnsi"/>
                <w:iCs/>
              </w:rPr>
              <w:t>1 January 2022</w:t>
            </w:r>
          </w:p>
        </w:tc>
        <w:tc>
          <w:tcPr>
            <w:tcW w:w="1591" w:type="dxa"/>
            <w:shd w:val="clear" w:color="auto" w:fill="auto"/>
          </w:tcPr>
          <w:p w14:paraId="33FC194D" w14:textId="409D9E33" w:rsidR="00BF1623" w:rsidRPr="0023148E" w:rsidRDefault="00BF1623" w:rsidP="004018CA">
            <w:pPr>
              <w:rPr>
                <w:rFonts w:asciiTheme="minorHAnsi" w:hAnsiTheme="minorHAnsi"/>
                <w:iCs/>
              </w:rPr>
            </w:pPr>
            <w:r w:rsidRPr="0023148E">
              <w:rPr>
                <w:rFonts w:asciiTheme="minorHAnsi" w:hAnsiTheme="minorHAnsi"/>
                <w:iCs/>
              </w:rPr>
              <w:t>Update</w:t>
            </w:r>
          </w:p>
        </w:tc>
        <w:tc>
          <w:tcPr>
            <w:tcW w:w="1591" w:type="dxa"/>
          </w:tcPr>
          <w:p w14:paraId="69637058" w14:textId="003FDBDF" w:rsidR="00BF1623" w:rsidRPr="0023148E" w:rsidRDefault="001A4C11" w:rsidP="004018CA">
            <w:pPr>
              <w:rPr>
                <w:rFonts w:asciiTheme="minorHAnsi" w:hAnsiTheme="minorHAnsi"/>
                <w:iCs/>
              </w:rPr>
            </w:pPr>
            <w:r>
              <w:rPr>
                <w:rFonts w:asciiTheme="minorHAnsi" w:hAnsiTheme="minorHAnsi"/>
                <w:iCs/>
              </w:rPr>
              <w:t>Minister</w:t>
            </w:r>
          </w:p>
        </w:tc>
        <w:tc>
          <w:tcPr>
            <w:tcW w:w="4866" w:type="dxa"/>
          </w:tcPr>
          <w:p w14:paraId="26D9C3DA" w14:textId="326DDB6D" w:rsidR="00BF1623" w:rsidRPr="0023148E" w:rsidRDefault="00BF1623" w:rsidP="004018CA">
            <w:pPr>
              <w:rPr>
                <w:rFonts w:asciiTheme="minorHAnsi" w:hAnsiTheme="minorHAnsi"/>
              </w:rPr>
            </w:pPr>
            <w:r w:rsidRPr="0023148E">
              <w:rPr>
                <w:rFonts w:asciiTheme="minorHAnsi" w:hAnsiTheme="minorHAnsi"/>
              </w:rPr>
              <w:t xml:space="preserve">Adjustment of rates to reflect additional functions and administrative responsibilities from the </w:t>
            </w:r>
            <w:r w:rsidR="0023148E" w:rsidRPr="0023148E">
              <w:rPr>
                <w:rFonts w:asciiTheme="minorHAnsi" w:hAnsiTheme="minorHAnsi" w:cstheme="minorHAnsi"/>
                <w:i/>
              </w:rPr>
              <w:t>Offshore Petroleum and Greenhouse Gas Storage Amendment (Titles Administration and Other Measures) Act 2021</w:t>
            </w:r>
          </w:p>
        </w:tc>
      </w:tr>
    </w:tbl>
    <w:p w14:paraId="76DC4AA5" w14:textId="7C28A222" w:rsidR="00AC1494" w:rsidRDefault="00AC1494" w:rsidP="00AC1494">
      <w:pPr>
        <w:ind w:firstLine="284"/>
      </w:pPr>
    </w:p>
    <w:p w14:paraId="3DE0FED8" w14:textId="77777777" w:rsidR="00AC1494" w:rsidRPr="00AC1494" w:rsidRDefault="00AC1494" w:rsidP="00AC1494">
      <w:pPr>
        <w:ind w:firstLine="284"/>
      </w:pPr>
    </w:p>
    <w:p w14:paraId="27A75831" w14:textId="77777777" w:rsidR="001F00D0" w:rsidRPr="00AB20F0" w:rsidRDefault="001F00D0" w:rsidP="002C5D92"/>
    <w:sectPr w:rsidR="001F00D0" w:rsidRPr="00AB20F0" w:rsidSect="00CE74AA">
      <w:pgSz w:w="11906" w:h="16838"/>
      <w:pgMar w:top="720" w:right="1274"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5614" w14:textId="77777777" w:rsidR="00B364FB" w:rsidRDefault="00B364FB" w:rsidP="008B679D">
      <w:r>
        <w:separator/>
      </w:r>
    </w:p>
  </w:endnote>
  <w:endnote w:type="continuationSeparator" w:id="0">
    <w:p w14:paraId="4BA28E86" w14:textId="77777777" w:rsidR="00B364FB" w:rsidRDefault="00B364FB" w:rsidP="008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CF49" w14:textId="77777777" w:rsidR="0023148E" w:rsidRDefault="00231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436551888"/>
      <w:docPartObj>
        <w:docPartGallery w:val="Page Numbers (Bottom of Page)"/>
        <w:docPartUnique/>
      </w:docPartObj>
    </w:sdtPr>
    <w:sdtEndPr/>
    <w:sdtContent>
      <w:sdt>
        <w:sdtPr>
          <w:rPr>
            <w:color w:val="000000" w:themeColor="text1"/>
          </w:rPr>
          <w:id w:val="565050523"/>
          <w:docPartObj>
            <w:docPartGallery w:val="Page Numbers (Top of Page)"/>
            <w:docPartUnique/>
          </w:docPartObj>
        </w:sdtPr>
        <w:sdtEndPr/>
        <w:sdtContent>
          <w:p w14:paraId="333119AA" w14:textId="77777777" w:rsidR="00B06D2B" w:rsidRPr="00107D3F" w:rsidRDefault="00B06D2B">
            <w:pPr>
              <w:pStyle w:val="Footer"/>
              <w:jc w:val="right"/>
              <w:rPr>
                <w:color w:val="000000" w:themeColor="text1"/>
              </w:rPr>
            </w:pPr>
            <w:r w:rsidRPr="00107D3F">
              <w:rPr>
                <w:color w:val="000000" w:themeColor="text1"/>
              </w:rPr>
              <w:t xml:space="preserve">Page </w:t>
            </w:r>
            <w:r w:rsidRPr="00107D3F">
              <w:rPr>
                <w:b/>
                <w:color w:val="000000" w:themeColor="text1"/>
              </w:rPr>
              <w:fldChar w:fldCharType="begin"/>
            </w:r>
            <w:r w:rsidRPr="00107D3F">
              <w:rPr>
                <w:b/>
                <w:color w:val="000000" w:themeColor="text1"/>
              </w:rPr>
              <w:instrText xml:space="preserve"> PAGE </w:instrText>
            </w:r>
            <w:r w:rsidRPr="00107D3F">
              <w:rPr>
                <w:b/>
                <w:color w:val="000000" w:themeColor="text1"/>
              </w:rPr>
              <w:fldChar w:fldCharType="separate"/>
            </w:r>
            <w:r w:rsidRPr="00107D3F">
              <w:rPr>
                <w:b/>
                <w:noProof/>
                <w:color w:val="000000" w:themeColor="text1"/>
              </w:rPr>
              <w:t>7</w:t>
            </w:r>
            <w:r w:rsidRPr="00107D3F">
              <w:rPr>
                <w:b/>
                <w:color w:val="000000" w:themeColor="text1"/>
              </w:rPr>
              <w:fldChar w:fldCharType="end"/>
            </w:r>
            <w:r w:rsidRPr="00107D3F">
              <w:rPr>
                <w:color w:val="000000" w:themeColor="text1"/>
              </w:rPr>
              <w:t xml:space="preserve"> of </w:t>
            </w:r>
            <w:r w:rsidRPr="00107D3F">
              <w:rPr>
                <w:b/>
                <w:color w:val="000000" w:themeColor="text1"/>
              </w:rPr>
              <w:fldChar w:fldCharType="begin"/>
            </w:r>
            <w:r w:rsidRPr="00107D3F">
              <w:rPr>
                <w:b/>
                <w:color w:val="000000" w:themeColor="text1"/>
              </w:rPr>
              <w:instrText xml:space="preserve"> NUMPAGES  </w:instrText>
            </w:r>
            <w:r w:rsidRPr="00107D3F">
              <w:rPr>
                <w:b/>
                <w:color w:val="000000" w:themeColor="text1"/>
              </w:rPr>
              <w:fldChar w:fldCharType="separate"/>
            </w:r>
            <w:r w:rsidRPr="00107D3F">
              <w:rPr>
                <w:b/>
                <w:noProof/>
                <w:color w:val="000000" w:themeColor="text1"/>
              </w:rPr>
              <w:t>7</w:t>
            </w:r>
            <w:r w:rsidRPr="00107D3F">
              <w:rPr>
                <w:b/>
                <w:color w:val="000000" w:themeColor="text1"/>
              </w:rPr>
              <w:fldChar w:fldCharType="end"/>
            </w:r>
          </w:p>
        </w:sdtContent>
      </w:sdt>
    </w:sdtContent>
  </w:sdt>
  <w:p w14:paraId="7DB25D81" w14:textId="77777777" w:rsidR="00B06D2B" w:rsidRDefault="00B06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134D" w14:textId="77777777" w:rsidR="0023148E" w:rsidRDefault="00231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CD1D" w14:textId="77777777" w:rsidR="00B364FB" w:rsidRDefault="00B364FB" w:rsidP="008B679D">
      <w:r>
        <w:separator/>
      </w:r>
    </w:p>
  </w:footnote>
  <w:footnote w:type="continuationSeparator" w:id="0">
    <w:p w14:paraId="12B93CBB" w14:textId="77777777" w:rsidR="00B364FB" w:rsidRDefault="00B364FB" w:rsidP="008B679D">
      <w:r>
        <w:continuationSeparator/>
      </w:r>
    </w:p>
  </w:footnote>
  <w:footnote w:id="1">
    <w:p w14:paraId="26633052" w14:textId="77777777" w:rsidR="00B06D2B" w:rsidRPr="006A2116" w:rsidRDefault="00B06D2B" w:rsidP="00101163">
      <w:pPr>
        <w:pStyle w:val="FootnoteText"/>
      </w:pPr>
      <w:r w:rsidRPr="007A7DA5">
        <w:rPr>
          <w:rStyle w:val="FootnoteReference"/>
          <w:color w:val="auto"/>
          <w:sz w:val="16"/>
          <w:szCs w:val="16"/>
        </w:rPr>
        <w:footnoteRef/>
      </w:r>
      <w:r w:rsidRPr="007A7DA5">
        <w:rPr>
          <w:rStyle w:val="FootnoteReference"/>
          <w:color w:val="auto"/>
          <w:sz w:val="16"/>
          <w:szCs w:val="16"/>
        </w:rPr>
        <w:t xml:space="preserve"> </w:t>
      </w:r>
      <w:r>
        <w:t>The Australian Government Charging Framework and the CRGs are available on the Department of Finance website (</w:t>
      </w:r>
      <w:hyperlink r:id="rId1" w:history="1">
        <w:r w:rsidRPr="00101163">
          <w:rPr>
            <w:rStyle w:val="Hyperlink"/>
          </w:rPr>
          <w:t>www.</w:t>
        </w:r>
        <w:r w:rsidRPr="00A91DC2">
          <w:rPr>
            <w:rStyle w:val="Hyperlink"/>
            <w:color w:val="auto"/>
          </w:rPr>
          <w:t>finance</w:t>
        </w:r>
        <w:r w:rsidRPr="006A2116">
          <w:rPr>
            <w:rStyle w:val="Hyperlink"/>
          </w:rPr>
          <w:t>.gov.au</w:t>
        </w:r>
      </w:hyperlink>
      <w:r>
        <w:t>)</w:t>
      </w:r>
      <w:r w:rsidRPr="006A2116">
        <w:t>.</w:t>
      </w:r>
    </w:p>
  </w:footnote>
  <w:footnote w:id="2">
    <w:p w14:paraId="62C59E91" w14:textId="77777777" w:rsidR="00B06D2B" w:rsidRPr="00D8784E" w:rsidRDefault="00B06D2B" w:rsidP="00D212A5">
      <w:pPr>
        <w:pStyle w:val="FootnoteText"/>
        <w:rPr>
          <w:sz w:val="16"/>
          <w:szCs w:val="16"/>
          <w:u w:val="single"/>
        </w:rPr>
      </w:pPr>
      <w:r w:rsidRPr="00D8784E">
        <w:rPr>
          <w:rStyle w:val="FootnoteReference"/>
          <w:color w:val="auto"/>
          <w:sz w:val="16"/>
          <w:szCs w:val="16"/>
        </w:rPr>
        <w:footnoteRef/>
      </w:r>
      <w:r w:rsidRPr="007A7DA5">
        <w:rPr>
          <w:sz w:val="16"/>
          <w:szCs w:val="16"/>
        </w:rPr>
        <w:t xml:space="preserve"> </w:t>
      </w:r>
      <w:hyperlink r:id="rId2" w:tooltip="http://www.pc.gov.au/inquiries/completed/upstream-petroleum/report" w:history="1">
        <w:r w:rsidRPr="00D8784E">
          <w:rPr>
            <w:rStyle w:val="Hyperlink"/>
            <w:color w:val="auto"/>
            <w:sz w:val="16"/>
            <w:szCs w:val="16"/>
          </w:rPr>
          <w:t xml:space="preserve">Productivity Commission Research Report, </w:t>
        </w:r>
        <w:r w:rsidRPr="00D8784E">
          <w:rPr>
            <w:rStyle w:val="Hyperlink"/>
            <w:i/>
            <w:color w:val="auto"/>
            <w:sz w:val="16"/>
            <w:szCs w:val="16"/>
          </w:rPr>
          <w:t xml:space="preserve">Review of Regulatory Burden on the Upstream (Oil and Gas) Sector, </w:t>
        </w:r>
        <w:r w:rsidRPr="00D8784E">
          <w:rPr>
            <w:rStyle w:val="Hyperlink"/>
            <w:color w:val="auto"/>
            <w:sz w:val="16"/>
            <w:szCs w:val="16"/>
          </w:rPr>
          <w:t>April 2009.</w:t>
        </w:r>
      </w:hyperlink>
    </w:p>
  </w:footnote>
  <w:footnote w:id="3">
    <w:p w14:paraId="52610C46" w14:textId="77777777" w:rsidR="00B06D2B" w:rsidRPr="00D8784E" w:rsidRDefault="00B06D2B" w:rsidP="00D212A5">
      <w:pPr>
        <w:pStyle w:val="FootnoteText"/>
        <w:rPr>
          <w:sz w:val="16"/>
          <w:szCs w:val="16"/>
          <w:u w:val="single"/>
        </w:rPr>
      </w:pPr>
      <w:r w:rsidRPr="00D8784E">
        <w:rPr>
          <w:rStyle w:val="FootnoteReference"/>
          <w:color w:val="auto"/>
          <w:sz w:val="16"/>
          <w:szCs w:val="16"/>
        </w:rPr>
        <w:footnoteRef/>
      </w:r>
      <w:r w:rsidRPr="00D8784E">
        <w:rPr>
          <w:sz w:val="16"/>
          <w:szCs w:val="16"/>
        </w:rPr>
        <w:t xml:space="preserve"> </w:t>
      </w:r>
      <w:hyperlink r:id="rId3" w:tooltip="http://www.industry.gov.au/resource/Documents/upstream-petroleum/approvals/Montara-Report.pdf" w:history="1">
        <w:r w:rsidRPr="00D8784E">
          <w:rPr>
            <w:rStyle w:val="Hyperlink"/>
            <w:color w:val="auto"/>
            <w:sz w:val="16"/>
            <w:szCs w:val="16"/>
          </w:rPr>
          <w:t>Montara Commission of Inquiry Report, June 2010</w:t>
        </w:r>
      </w:hyperlink>
      <w:r w:rsidRPr="00D8784E">
        <w:rPr>
          <w:sz w:val="16"/>
          <w:szCs w:val="16"/>
          <w:u w:val="single"/>
        </w:rPr>
        <w:t>.</w:t>
      </w:r>
    </w:p>
  </w:footnote>
  <w:footnote w:id="4">
    <w:p w14:paraId="5AE2D4ED" w14:textId="77777777" w:rsidR="00B06D2B" w:rsidRPr="00423EAD" w:rsidRDefault="00B06D2B" w:rsidP="00ED2F9B">
      <w:pPr>
        <w:pStyle w:val="FootnoteText"/>
      </w:pPr>
      <w:r w:rsidRPr="00423EAD">
        <w:rPr>
          <w:rStyle w:val="FootnoteReference"/>
          <w:color w:val="auto"/>
        </w:rPr>
        <w:footnoteRef/>
      </w:r>
      <w:r w:rsidRPr="00423EAD">
        <w:t xml:space="preserve"> See </w:t>
      </w:r>
      <w:hyperlink r:id="rId4" w:history="1">
        <w:r w:rsidRPr="00423EAD">
          <w:rPr>
            <w:rStyle w:val="Hyperlink"/>
            <w:color w:val="auto"/>
          </w:rPr>
          <w:t>NOPTA Statement of Expectations October 2019</w:t>
        </w:r>
      </w:hyperlink>
      <w:r w:rsidRPr="00423EAD">
        <w:t xml:space="preserve"> </w:t>
      </w:r>
    </w:p>
  </w:footnote>
  <w:footnote w:id="5">
    <w:p w14:paraId="52F86F6C" w14:textId="77777777" w:rsidR="00B06D2B" w:rsidRPr="00423EAD" w:rsidRDefault="00B06D2B" w:rsidP="00686FDE">
      <w:pPr>
        <w:pStyle w:val="FootnoteText"/>
      </w:pPr>
      <w:r w:rsidRPr="00423EAD">
        <w:rPr>
          <w:rStyle w:val="FootnoteReference"/>
          <w:color w:val="auto"/>
        </w:rPr>
        <w:footnoteRef/>
      </w:r>
      <w:r w:rsidRPr="00423EAD">
        <w:t xml:space="preserve"> See </w:t>
      </w:r>
      <w:hyperlink r:id="rId5" w:history="1">
        <w:r w:rsidRPr="00423EAD">
          <w:rPr>
            <w:rStyle w:val="Hyperlink"/>
            <w:color w:val="auto"/>
          </w:rPr>
          <w:t>www.industry.gov.au/data-and-publications/national-offshore-petroleum-titles-administrator-2015-operational-review</w:t>
        </w:r>
      </w:hyperlink>
      <w:r w:rsidRPr="00423EAD">
        <w:t xml:space="preserve"> </w:t>
      </w:r>
    </w:p>
  </w:footnote>
  <w:footnote w:id="6">
    <w:p w14:paraId="1FD7569B" w14:textId="77777777" w:rsidR="00B06D2B" w:rsidRPr="00423EAD" w:rsidRDefault="00B06D2B" w:rsidP="00686FDE">
      <w:pPr>
        <w:pStyle w:val="FootnoteText"/>
      </w:pPr>
      <w:r w:rsidRPr="00423EAD">
        <w:rPr>
          <w:rStyle w:val="FootnoteReference"/>
          <w:color w:val="auto"/>
        </w:rPr>
        <w:footnoteRef/>
      </w:r>
      <w:r w:rsidRPr="00423EAD">
        <w:t xml:space="preserve"> See </w:t>
      </w:r>
      <w:hyperlink r:id="rId6" w:history="1">
        <w:r w:rsidRPr="00423EAD">
          <w:rPr>
            <w:rStyle w:val="Hyperlink"/>
            <w:color w:val="auto"/>
          </w:rPr>
          <w:t>https://www.industry.gov.au/sites/default/files/January%202018/document/pdf/enterprise-agreement-2016-19.pdf?acsf_files_redirect</w:t>
        </w:r>
      </w:hyperlink>
      <w:r w:rsidRPr="00423EAD">
        <w:t xml:space="preserve"> </w:t>
      </w:r>
    </w:p>
  </w:footnote>
  <w:footnote w:id="7">
    <w:p w14:paraId="23224004" w14:textId="77777777" w:rsidR="00B06D2B" w:rsidRPr="00423EAD" w:rsidRDefault="00B06D2B" w:rsidP="00686FDE">
      <w:pPr>
        <w:pStyle w:val="FootnoteText"/>
      </w:pPr>
      <w:r w:rsidRPr="00423EAD">
        <w:rPr>
          <w:rStyle w:val="FootnoteReference"/>
          <w:color w:val="auto"/>
        </w:rPr>
        <w:footnoteRef/>
      </w:r>
      <w:r w:rsidRPr="00423EAD">
        <w:t xml:space="preserve"> See </w:t>
      </w:r>
      <w:hyperlink r:id="rId7" w:history="1">
        <w:r w:rsidRPr="00423EAD">
          <w:rPr>
            <w:rStyle w:val="Hyperlink"/>
            <w:color w:val="auto"/>
          </w:rPr>
          <w:t>https://www.industry.gov.au/data-and-publications/enterprise-agreement-2019-2022</w:t>
        </w:r>
      </w:hyperlink>
      <w:r w:rsidRPr="00423EAD">
        <w:t xml:space="preserve"> </w:t>
      </w:r>
    </w:p>
  </w:footnote>
  <w:footnote w:id="8">
    <w:p w14:paraId="060D95F8" w14:textId="1E247B2D" w:rsidR="00B06D2B" w:rsidRPr="00423EAD" w:rsidRDefault="00B06D2B" w:rsidP="00D212A5">
      <w:pPr>
        <w:pStyle w:val="FootnoteText"/>
      </w:pPr>
      <w:r w:rsidRPr="00423EAD">
        <w:rPr>
          <w:rStyle w:val="FootnoteReference"/>
          <w:color w:val="auto"/>
        </w:rPr>
        <w:footnoteRef/>
      </w:r>
      <w:r w:rsidRPr="00423EAD">
        <w:t xml:space="preserve"> See </w:t>
      </w:r>
      <w:r w:rsidRPr="00532D24">
        <w:t>https://www.industry.gov.au/regulations-and-standards/regulating-offshore-oil-and-gas-in-australian-commonwealth-waters/offshore-oil-and-gas-decommissioning-framework-review</w:t>
      </w:r>
    </w:p>
  </w:footnote>
  <w:footnote w:id="9">
    <w:p w14:paraId="523F03F7" w14:textId="77777777" w:rsidR="00B06D2B" w:rsidRDefault="00B06D2B" w:rsidP="00D212A5">
      <w:pPr>
        <w:pStyle w:val="FootnoteText"/>
      </w:pPr>
      <w:r w:rsidRPr="00423EAD">
        <w:rPr>
          <w:rStyle w:val="FootnoteReference"/>
          <w:color w:val="auto"/>
        </w:rPr>
        <w:footnoteRef/>
      </w:r>
      <w:r w:rsidRPr="00423EAD">
        <w:t xml:space="preserve"> See </w:t>
      </w:r>
      <w:hyperlink r:id="rId8" w:history="1">
        <w:r w:rsidRPr="00423EAD">
          <w:rPr>
            <w:rStyle w:val="Hyperlink"/>
            <w:color w:val="auto"/>
          </w:rPr>
          <w:t>www.industry.gov.au/data-and-publications/independent-review-into-the-circumstances-leading-to-the-administration-and-liquidation-of-northern-oil-and-gas-australia-noga</w:t>
        </w:r>
      </w:hyperlink>
      <w:r>
        <w:t xml:space="preserve">  </w:t>
      </w:r>
    </w:p>
  </w:footnote>
  <w:footnote w:id="10">
    <w:p w14:paraId="3F273463" w14:textId="46287205" w:rsidR="00B06D2B" w:rsidRDefault="00B06D2B">
      <w:pPr>
        <w:pStyle w:val="FootnoteText"/>
      </w:pPr>
      <w:r>
        <w:rPr>
          <w:rStyle w:val="FootnoteReference"/>
        </w:rPr>
        <w:footnoteRef/>
      </w:r>
      <w:r>
        <w:t xml:space="preserve"> New provisions take effect from 2 </w:t>
      </w:r>
      <w:r w:rsidR="00217794">
        <w:t>March</w:t>
      </w:r>
      <w:r>
        <w:t xml:space="preserve"> 2022.</w:t>
      </w:r>
    </w:p>
  </w:footnote>
  <w:footnote w:id="11">
    <w:p w14:paraId="39FB7EA3" w14:textId="77777777" w:rsidR="00B06D2B" w:rsidRPr="00DA48FF" w:rsidRDefault="00B364FB" w:rsidP="00D212A5">
      <w:pPr>
        <w:pStyle w:val="FootnoteText"/>
        <w:rPr>
          <w:sz w:val="16"/>
          <w:szCs w:val="16"/>
          <w:u w:val="single"/>
        </w:rPr>
      </w:pPr>
      <w:hyperlink r:id="rId9" w:tooltip="http://www.budget.gov.au/2011-12/content/bp2/html/bp2_expense-20.htm" w:history="1">
        <w:r w:rsidR="00B06D2B" w:rsidRPr="00DA48FF">
          <w:rPr>
            <w:rStyle w:val="Hyperlink"/>
            <w:color w:val="auto"/>
            <w:sz w:val="16"/>
            <w:szCs w:val="16"/>
            <w:vertAlign w:val="superscript"/>
            <w:lang w:eastAsia="en-AU"/>
          </w:rPr>
          <w:footnoteRef/>
        </w:r>
        <w:r w:rsidR="00B06D2B" w:rsidRPr="00DA48FF">
          <w:rPr>
            <w:rStyle w:val="Hyperlink"/>
            <w:color w:val="auto"/>
            <w:sz w:val="16"/>
            <w:szCs w:val="16"/>
          </w:rPr>
          <w:t xml:space="preserve"> Mid-Year Economic and Fiscal Outlook 2011–12 Budget Paper No. 2, Part 2: Expense Measures.</w:t>
        </w:r>
      </w:hyperlink>
    </w:p>
  </w:footnote>
  <w:footnote w:id="12">
    <w:p w14:paraId="2A8CE099" w14:textId="77777777" w:rsidR="00B06D2B" w:rsidRDefault="00B06D2B" w:rsidP="00D212A5">
      <w:pPr>
        <w:pStyle w:val="FootnoteText"/>
      </w:pPr>
      <w:r w:rsidRPr="00DA48FF">
        <w:rPr>
          <w:rStyle w:val="FootnoteReference"/>
          <w:color w:val="auto"/>
          <w:sz w:val="16"/>
          <w:szCs w:val="16"/>
        </w:rPr>
        <w:footnoteRef/>
      </w:r>
      <w:r w:rsidRPr="00DA48FF">
        <w:rPr>
          <w:sz w:val="16"/>
          <w:szCs w:val="16"/>
        </w:rPr>
        <w:t xml:space="preserve"> See </w:t>
      </w:r>
      <w:hyperlink r:id="rId10" w:history="1">
        <w:r w:rsidRPr="00DA48FF">
          <w:rPr>
            <w:rStyle w:val="Hyperlink"/>
            <w:color w:val="auto"/>
            <w:sz w:val="16"/>
            <w:szCs w:val="16"/>
          </w:rPr>
          <w:t>www.nopta.gov.au/_documents/schedule-of-fees.pdf</w:t>
        </w:r>
      </w:hyperlink>
      <w:r w:rsidRPr="00DA48FF">
        <w:t xml:space="preserve"> </w:t>
      </w:r>
    </w:p>
  </w:footnote>
  <w:footnote w:id="13">
    <w:p w14:paraId="19EA99AD" w14:textId="45A322AB" w:rsidR="00B06D2B" w:rsidRDefault="00B06D2B">
      <w:pPr>
        <w:pStyle w:val="FootnoteText"/>
      </w:pPr>
      <w:r>
        <w:rPr>
          <w:rStyle w:val="FootnoteReference"/>
        </w:rPr>
        <w:footnoteRef/>
      </w:r>
      <w:r>
        <w:t xml:space="preserve"> Estimates based on 20-21 figures.</w:t>
      </w:r>
    </w:p>
  </w:footnote>
  <w:footnote w:id="14">
    <w:p w14:paraId="7C36EC22" w14:textId="32B773EE" w:rsidR="00B06D2B" w:rsidRDefault="00B06D2B" w:rsidP="00036FAE">
      <w:pPr>
        <w:pStyle w:val="FootnoteText"/>
      </w:pPr>
      <w:r>
        <w:rPr>
          <w:rStyle w:val="FootnoteReference"/>
        </w:rPr>
        <w:footnoteRef/>
      </w:r>
      <w:r>
        <w:t xml:space="preserve"> Guidance material includes factsheets, application forms, submissions guidance, website, and training.</w:t>
      </w:r>
    </w:p>
  </w:footnote>
  <w:footnote w:id="15">
    <w:p w14:paraId="69CD7F42" w14:textId="77777777" w:rsidR="00B06D2B" w:rsidRDefault="00B06D2B" w:rsidP="00D212A5">
      <w:pPr>
        <w:pStyle w:val="FootnoteText"/>
      </w:pPr>
      <w:r w:rsidRPr="00107D3F">
        <w:rPr>
          <w:rStyle w:val="FootnoteReference"/>
          <w:color w:val="000000" w:themeColor="text1"/>
        </w:rPr>
        <w:footnoteRef/>
      </w:r>
      <w:r w:rsidRPr="00107D3F">
        <w:rPr>
          <w:color w:val="000000" w:themeColor="text1"/>
        </w:rPr>
        <w:t xml:space="preserve"> </w:t>
      </w:r>
      <w:r>
        <w:t>Expected expenditure for 2020-21 is $17M.</w:t>
      </w:r>
    </w:p>
  </w:footnote>
  <w:footnote w:id="16">
    <w:p w14:paraId="2052C702" w14:textId="6160CE11" w:rsidR="00B06D2B" w:rsidRDefault="00B06D2B">
      <w:pPr>
        <w:pStyle w:val="FootnoteText"/>
      </w:pPr>
      <w:r w:rsidRPr="007D5786">
        <w:rPr>
          <w:rStyle w:val="FootnoteReference"/>
          <w:color w:val="auto"/>
        </w:rPr>
        <w:footnoteRef/>
      </w:r>
      <w:r>
        <w:t xml:space="preserve"> See Table at Section 3.2</w:t>
      </w:r>
    </w:p>
  </w:footnote>
  <w:footnote w:id="17">
    <w:p w14:paraId="60A0E53A" w14:textId="2E79FD03" w:rsidR="00B06D2B" w:rsidRDefault="00B06D2B">
      <w:pPr>
        <w:pStyle w:val="FootnoteText"/>
      </w:pPr>
      <w:r w:rsidRPr="00916CEE">
        <w:rPr>
          <w:rStyle w:val="FootnoteReference"/>
          <w:color w:val="auto"/>
        </w:rPr>
        <w:footnoteRef/>
      </w:r>
      <w:r>
        <w:t xml:space="preserve"> See Table at Section 3.2</w:t>
      </w:r>
    </w:p>
  </w:footnote>
  <w:footnote w:id="18">
    <w:p w14:paraId="0F232D7C" w14:textId="77777777" w:rsidR="00B06D2B" w:rsidRDefault="00B06D2B" w:rsidP="000C55CF">
      <w:pPr>
        <w:pStyle w:val="FootnoteText"/>
      </w:pPr>
      <w:r w:rsidRPr="00107D3F">
        <w:rPr>
          <w:rStyle w:val="FootnoteReference"/>
          <w:color w:val="000000" w:themeColor="text1"/>
        </w:rPr>
        <w:footnoteRef/>
      </w:r>
      <w:r w:rsidRPr="00107D3F">
        <w:rPr>
          <w:color w:val="000000" w:themeColor="text1"/>
        </w:rPr>
        <w:t xml:space="preserve"> </w:t>
      </w:r>
      <w:r>
        <w:t>‘Australian Government Cost Recovery Guidelines (RMG 304), p.20.</w:t>
      </w:r>
    </w:p>
  </w:footnote>
  <w:footnote w:id="19">
    <w:p w14:paraId="4BEEE001" w14:textId="4B14AE79" w:rsidR="001E0749" w:rsidRDefault="001E0749">
      <w:pPr>
        <w:pStyle w:val="FootnoteText"/>
      </w:pPr>
      <w:r>
        <w:rPr>
          <w:rStyle w:val="FootnoteReference"/>
        </w:rPr>
        <w:footnoteRef/>
      </w:r>
      <w:r>
        <w:t xml:space="preserve"> </w:t>
      </w:r>
      <w:hyperlink r:id="rId11" w:history="1">
        <w:r w:rsidRPr="00BA3048">
          <w:rPr>
            <w:rStyle w:val="Hyperlink"/>
          </w:rPr>
          <w:t>https://consult.industry.gov.au/</w:t>
        </w:r>
      </w:hyperlink>
      <w:r w:rsidR="0032190C">
        <w:rPr>
          <w:rStyle w:val="Hyperlink"/>
        </w:rPr>
        <w:t xml:space="preserve"> </w:t>
      </w:r>
      <w:r>
        <w:t xml:space="preserve"> </w:t>
      </w:r>
    </w:p>
  </w:footnote>
  <w:footnote w:id="20">
    <w:p w14:paraId="138F91B2" w14:textId="14E415C7" w:rsidR="00F82581" w:rsidRDefault="00F82581">
      <w:pPr>
        <w:pStyle w:val="FootnoteText"/>
      </w:pPr>
      <w:r>
        <w:rPr>
          <w:rStyle w:val="FootnoteReference"/>
        </w:rPr>
        <w:footnoteRef/>
      </w:r>
      <w:r>
        <w:t xml:space="preserve"> Nopta.gov.au </w:t>
      </w:r>
    </w:p>
  </w:footnote>
  <w:footnote w:id="21">
    <w:p w14:paraId="03305721" w14:textId="2A21A70E" w:rsidR="00B06D2B" w:rsidRDefault="00B06D2B" w:rsidP="00CE74AA">
      <w:pPr>
        <w:pStyle w:val="FootnoteText"/>
      </w:pPr>
      <w:r w:rsidRPr="00107D3F">
        <w:rPr>
          <w:rStyle w:val="FootnoteReference"/>
          <w:color w:val="000000" w:themeColor="text1"/>
        </w:rPr>
        <w:footnoteRef/>
      </w:r>
      <w:r w:rsidRPr="0023148E">
        <w:rPr>
          <w:color w:val="000000" w:themeColor="text1"/>
          <w:sz w:val="16"/>
          <w:szCs w:val="16"/>
        </w:rPr>
        <w:t xml:space="preserve"> </w:t>
      </w:r>
      <w:r w:rsidR="00914739">
        <w:t xml:space="preserve">NOPTA.gov.au </w:t>
      </w:r>
      <w:r w:rsidRPr="00914739">
        <w:t xml:space="preserve">   </w:t>
      </w:r>
    </w:p>
  </w:footnote>
  <w:footnote w:id="22">
    <w:p w14:paraId="5C17E2D1" w14:textId="2A73238B" w:rsidR="00B06D2B" w:rsidRDefault="00B06D2B" w:rsidP="005827AF">
      <w:pPr>
        <w:pStyle w:val="FootnoteText"/>
      </w:pPr>
      <w:r>
        <w:rPr>
          <w:rStyle w:val="FootnoteReference"/>
        </w:rPr>
        <w:footnoteRef/>
      </w:r>
      <w:r>
        <w:t xml:space="preserve"> </w:t>
      </w:r>
      <w:r w:rsidRPr="00914739">
        <w:t xml:space="preserve">See </w:t>
      </w:r>
      <w:hyperlink r:id="rId12" w:history="1">
        <w:r w:rsidR="00914739" w:rsidRPr="00914739">
          <w:rPr>
            <w:rStyle w:val="Hyperlink"/>
          </w:rPr>
          <w:t>https://www.nopta.gov.au/_documents/Stakeholder-Survey-Report-2021.pdf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CA54" w14:textId="77777777" w:rsidR="0023148E" w:rsidRDefault="00231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6550" w14:textId="1D966A76" w:rsidR="00B06D2B" w:rsidRDefault="00B06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556C" w14:textId="77777777" w:rsidR="0023148E" w:rsidRDefault="00231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3E5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0B0D00"/>
    <w:multiLevelType w:val="hybridMultilevel"/>
    <w:tmpl w:val="C436EEE8"/>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 w15:restartNumberingAfterBreak="0">
    <w:nsid w:val="0BAD24C7"/>
    <w:multiLevelType w:val="multilevel"/>
    <w:tmpl w:val="2392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B71CE"/>
    <w:multiLevelType w:val="hybridMultilevel"/>
    <w:tmpl w:val="902C5A06"/>
    <w:lvl w:ilvl="0" w:tplc="E932B75A">
      <w:start w:val="1"/>
      <w:numFmt w:val="bullet"/>
      <w:lvlText w:val="-"/>
      <w:lvlJc w:val="left"/>
      <w:pPr>
        <w:ind w:left="366" w:hanging="360"/>
      </w:pPr>
      <w:rPr>
        <w:rFonts w:ascii="Courier New" w:hAnsi="Courier New"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4" w15:restartNumberingAfterBreak="0">
    <w:nsid w:val="10912E6C"/>
    <w:multiLevelType w:val="hybridMultilevel"/>
    <w:tmpl w:val="20E8E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8B71DF"/>
    <w:multiLevelType w:val="hybridMultilevel"/>
    <w:tmpl w:val="AD341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95620AC"/>
    <w:multiLevelType w:val="hybridMultilevel"/>
    <w:tmpl w:val="2F88D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A902F5"/>
    <w:multiLevelType w:val="hybridMultilevel"/>
    <w:tmpl w:val="56B48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406441"/>
    <w:multiLevelType w:val="hybridMultilevel"/>
    <w:tmpl w:val="77A8E2FC"/>
    <w:lvl w:ilvl="0" w:tplc="DA00E9BC">
      <w:start w:val="1"/>
      <w:numFmt w:val="lowerLetter"/>
      <w:lvlText w:val="(%1)"/>
      <w:lvlJc w:val="left"/>
      <w:pPr>
        <w:ind w:left="810" w:hanging="45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56095D"/>
    <w:multiLevelType w:val="hybridMultilevel"/>
    <w:tmpl w:val="3D74FC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E64B7D"/>
    <w:multiLevelType w:val="hybridMultilevel"/>
    <w:tmpl w:val="61849F54"/>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11" w15:restartNumberingAfterBreak="0">
    <w:nsid w:val="31892449"/>
    <w:multiLevelType w:val="hybridMultilevel"/>
    <w:tmpl w:val="3D2E99B4"/>
    <w:lvl w:ilvl="0" w:tplc="4FA84136">
      <w:start w:val="1"/>
      <w:numFmt w:val="lowerLetter"/>
      <w:lvlText w:val="(%1)"/>
      <w:lvlJc w:val="left"/>
      <w:pPr>
        <w:ind w:left="810" w:hanging="45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DF761E"/>
    <w:multiLevelType w:val="hybridMultilevel"/>
    <w:tmpl w:val="D0D04AC6"/>
    <w:lvl w:ilvl="0" w:tplc="C1E279F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456429"/>
    <w:multiLevelType w:val="multilevel"/>
    <w:tmpl w:val="31E80940"/>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bullet"/>
      <w:pStyle w:val="ListNumber2"/>
      <w:lvlText w:val="-"/>
      <w:lvlJc w:val="left"/>
      <w:pPr>
        <w:ind w:left="738" w:hanging="369"/>
      </w:pPr>
      <w:rPr>
        <w:rFonts w:ascii="Courier New" w:hAnsi="Courier New"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71797B06"/>
    <w:multiLevelType w:val="multilevel"/>
    <w:tmpl w:val="AFF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A648DB"/>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15"/>
  </w:num>
  <w:num w:numId="2">
    <w:abstractNumId w:val="0"/>
  </w:num>
  <w:num w:numId="3">
    <w:abstractNumId w:val="10"/>
  </w:num>
  <w:num w:numId="4">
    <w:abstractNumId w:val="2"/>
  </w:num>
  <w:num w:numId="5">
    <w:abstractNumId w:val="7"/>
  </w:num>
  <w:num w:numId="6">
    <w:abstractNumId w:val="3"/>
  </w:num>
  <w:num w:numId="7">
    <w:abstractNumId w:val="1"/>
  </w:num>
  <w:num w:numId="8">
    <w:abstractNumId w:val="5"/>
  </w:num>
  <w:num w:numId="9">
    <w:abstractNumId w:val="8"/>
  </w:num>
  <w:num w:numId="10">
    <w:abstractNumId w:val="11"/>
  </w:num>
  <w:num w:numId="11">
    <w:abstractNumId w:val="12"/>
  </w:num>
  <w:num w:numId="12">
    <w:abstractNumId w:val="14"/>
  </w:num>
  <w:num w:numId="13">
    <w:abstractNumId w:val="9"/>
  </w:num>
  <w:num w:numId="14">
    <w:abstractNumId w:val="6"/>
  </w:num>
  <w:num w:numId="15">
    <w:abstractNumId w:val="4"/>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9D"/>
    <w:rsid w:val="0000138A"/>
    <w:rsid w:val="00003987"/>
    <w:rsid w:val="00007020"/>
    <w:rsid w:val="00007EA8"/>
    <w:rsid w:val="000126B8"/>
    <w:rsid w:val="000170BD"/>
    <w:rsid w:val="00032F77"/>
    <w:rsid w:val="00033255"/>
    <w:rsid w:val="00033DB6"/>
    <w:rsid w:val="00036FAE"/>
    <w:rsid w:val="00037881"/>
    <w:rsid w:val="00045118"/>
    <w:rsid w:val="0004544C"/>
    <w:rsid w:val="00045CA2"/>
    <w:rsid w:val="00045EE6"/>
    <w:rsid w:val="00046DB3"/>
    <w:rsid w:val="000472FB"/>
    <w:rsid w:val="0005223D"/>
    <w:rsid w:val="000525B4"/>
    <w:rsid w:val="000542C2"/>
    <w:rsid w:val="000569E8"/>
    <w:rsid w:val="000575B3"/>
    <w:rsid w:val="00057AC9"/>
    <w:rsid w:val="00064DC3"/>
    <w:rsid w:val="00067457"/>
    <w:rsid w:val="00072038"/>
    <w:rsid w:val="00076460"/>
    <w:rsid w:val="00076936"/>
    <w:rsid w:val="00077DE8"/>
    <w:rsid w:val="00081277"/>
    <w:rsid w:val="00083FBD"/>
    <w:rsid w:val="00085F35"/>
    <w:rsid w:val="00087850"/>
    <w:rsid w:val="000941CA"/>
    <w:rsid w:val="00094BFC"/>
    <w:rsid w:val="00095E96"/>
    <w:rsid w:val="000A1E86"/>
    <w:rsid w:val="000A2E2B"/>
    <w:rsid w:val="000A3793"/>
    <w:rsid w:val="000A7D4E"/>
    <w:rsid w:val="000B06E2"/>
    <w:rsid w:val="000B4500"/>
    <w:rsid w:val="000B612F"/>
    <w:rsid w:val="000C0801"/>
    <w:rsid w:val="000C094E"/>
    <w:rsid w:val="000C2969"/>
    <w:rsid w:val="000C55CF"/>
    <w:rsid w:val="000D2368"/>
    <w:rsid w:val="000D64DD"/>
    <w:rsid w:val="000D65A5"/>
    <w:rsid w:val="000E5AAC"/>
    <w:rsid w:val="000F1259"/>
    <w:rsid w:val="000F1DF6"/>
    <w:rsid w:val="00101163"/>
    <w:rsid w:val="0010181F"/>
    <w:rsid w:val="001024DE"/>
    <w:rsid w:val="00103AAB"/>
    <w:rsid w:val="00103BC4"/>
    <w:rsid w:val="00104CAD"/>
    <w:rsid w:val="001069CE"/>
    <w:rsid w:val="00107D3F"/>
    <w:rsid w:val="00110E56"/>
    <w:rsid w:val="00111001"/>
    <w:rsid w:val="00113386"/>
    <w:rsid w:val="0012117B"/>
    <w:rsid w:val="001226DD"/>
    <w:rsid w:val="00133185"/>
    <w:rsid w:val="0013705E"/>
    <w:rsid w:val="00137622"/>
    <w:rsid w:val="00137E84"/>
    <w:rsid w:val="00143AA2"/>
    <w:rsid w:val="00146A13"/>
    <w:rsid w:val="001471F2"/>
    <w:rsid w:val="00147957"/>
    <w:rsid w:val="00157C28"/>
    <w:rsid w:val="00161F6F"/>
    <w:rsid w:val="00162B55"/>
    <w:rsid w:val="0016712E"/>
    <w:rsid w:val="00170877"/>
    <w:rsid w:val="00183D20"/>
    <w:rsid w:val="00186147"/>
    <w:rsid w:val="0018637A"/>
    <w:rsid w:val="00186B93"/>
    <w:rsid w:val="00197648"/>
    <w:rsid w:val="001A04FF"/>
    <w:rsid w:val="001A17A4"/>
    <w:rsid w:val="001A4C11"/>
    <w:rsid w:val="001A5666"/>
    <w:rsid w:val="001A649D"/>
    <w:rsid w:val="001B0211"/>
    <w:rsid w:val="001C008B"/>
    <w:rsid w:val="001C0630"/>
    <w:rsid w:val="001C4AFA"/>
    <w:rsid w:val="001D55C1"/>
    <w:rsid w:val="001D6435"/>
    <w:rsid w:val="001E0749"/>
    <w:rsid w:val="001E3055"/>
    <w:rsid w:val="001E50B1"/>
    <w:rsid w:val="001E71B4"/>
    <w:rsid w:val="001F00D0"/>
    <w:rsid w:val="001F1734"/>
    <w:rsid w:val="00204207"/>
    <w:rsid w:val="002054A8"/>
    <w:rsid w:val="00205982"/>
    <w:rsid w:val="00215CE6"/>
    <w:rsid w:val="00216413"/>
    <w:rsid w:val="00217794"/>
    <w:rsid w:val="00220CA7"/>
    <w:rsid w:val="0023148E"/>
    <w:rsid w:val="00231A51"/>
    <w:rsid w:val="00232B9C"/>
    <w:rsid w:val="00233B90"/>
    <w:rsid w:val="00236122"/>
    <w:rsid w:val="002374AA"/>
    <w:rsid w:val="002415B2"/>
    <w:rsid w:val="00243708"/>
    <w:rsid w:val="00245DA7"/>
    <w:rsid w:val="00247FF2"/>
    <w:rsid w:val="00250A98"/>
    <w:rsid w:val="0025229D"/>
    <w:rsid w:val="00253448"/>
    <w:rsid w:val="00253AAF"/>
    <w:rsid w:val="00253BE0"/>
    <w:rsid w:val="002578CD"/>
    <w:rsid w:val="00272BA1"/>
    <w:rsid w:val="002745FD"/>
    <w:rsid w:val="00275D74"/>
    <w:rsid w:val="00275FDB"/>
    <w:rsid w:val="00280A10"/>
    <w:rsid w:val="00280D87"/>
    <w:rsid w:val="00280E7F"/>
    <w:rsid w:val="00283C39"/>
    <w:rsid w:val="00284234"/>
    <w:rsid w:val="00285F10"/>
    <w:rsid w:val="00293B50"/>
    <w:rsid w:val="00295E82"/>
    <w:rsid w:val="002A241E"/>
    <w:rsid w:val="002A3657"/>
    <w:rsid w:val="002A4B37"/>
    <w:rsid w:val="002A67C7"/>
    <w:rsid w:val="002A6A5B"/>
    <w:rsid w:val="002B0255"/>
    <w:rsid w:val="002B63EB"/>
    <w:rsid w:val="002B7BB1"/>
    <w:rsid w:val="002C325C"/>
    <w:rsid w:val="002C5D62"/>
    <w:rsid w:val="002C5D92"/>
    <w:rsid w:val="002C7B40"/>
    <w:rsid w:val="002C7DB0"/>
    <w:rsid w:val="002D0D01"/>
    <w:rsid w:val="002D3532"/>
    <w:rsid w:val="002D5EF9"/>
    <w:rsid w:val="002E2287"/>
    <w:rsid w:val="002E2995"/>
    <w:rsid w:val="002E4C0A"/>
    <w:rsid w:val="002F0754"/>
    <w:rsid w:val="002F0C80"/>
    <w:rsid w:val="002F58D0"/>
    <w:rsid w:val="002F746C"/>
    <w:rsid w:val="003014DD"/>
    <w:rsid w:val="00304F6F"/>
    <w:rsid w:val="00305F9D"/>
    <w:rsid w:val="00307E59"/>
    <w:rsid w:val="003115A0"/>
    <w:rsid w:val="00312961"/>
    <w:rsid w:val="003130A3"/>
    <w:rsid w:val="00314066"/>
    <w:rsid w:val="00316A15"/>
    <w:rsid w:val="0032190C"/>
    <w:rsid w:val="0033172F"/>
    <w:rsid w:val="0033561D"/>
    <w:rsid w:val="00336F6F"/>
    <w:rsid w:val="00340D49"/>
    <w:rsid w:val="003411A2"/>
    <w:rsid w:val="00344E86"/>
    <w:rsid w:val="0034708D"/>
    <w:rsid w:val="00352391"/>
    <w:rsid w:val="00355C27"/>
    <w:rsid w:val="00361DC8"/>
    <w:rsid w:val="00366340"/>
    <w:rsid w:val="00366F16"/>
    <w:rsid w:val="003670F8"/>
    <w:rsid w:val="00371C1B"/>
    <w:rsid w:val="00374081"/>
    <w:rsid w:val="003756AA"/>
    <w:rsid w:val="00381170"/>
    <w:rsid w:val="003821B5"/>
    <w:rsid w:val="003915D0"/>
    <w:rsid w:val="00392769"/>
    <w:rsid w:val="00394BAB"/>
    <w:rsid w:val="003A0912"/>
    <w:rsid w:val="003A1789"/>
    <w:rsid w:val="003B2141"/>
    <w:rsid w:val="003B4085"/>
    <w:rsid w:val="003B46DD"/>
    <w:rsid w:val="003B6510"/>
    <w:rsid w:val="003C246E"/>
    <w:rsid w:val="003C31F1"/>
    <w:rsid w:val="003C33DF"/>
    <w:rsid w:val="003C3995"/>
    <w:rsid w:val="003C60CC"/>
    <w:rsid w:val="003D0E49"/>
    <w:rsid w:val="003D3202"/>
    <w:rsid w:val="003D520D"/>
    <w:rsid w:val="003D6A7A"/>
    <w:rsid w:val="003E292F"/>
    <w:rsid w:val="003E2DAE"/>
    <w:rsid w:val="003E3206"/>
    <w:rsid w:val="003E39E8"/>
    <w:rsid w:val="003E5A64"/>
    <w:rsid w:val="003E7454"/>
    <w:rsid w:val="003F2521"/>
    <w:rsid w:val="003F7C34"/>
    <w:rsid w:val="004018CA"/>
    <w:rsid w:val="004029F0"/>
    <w:rsid w:val="004044FD"/>
    <w:rsid w:val="00407073"/>
    <w:rsid w:val="00422A61"/>
    <w:rsid w:val="00422FA7"/>
    <w:rsid w:val="00423EAD"/>
    <w:rsid w:val="00423EBE"/>
    <w:rsid w:val="00427A84"/>
    <w:rsid w:val="00427B93"/>
    <w:rsid w:val="004311C5"/>
    <w:rsid w:val="004350D5"/>
    <w:rsid w:val="00436A8B"/>
    <w:rsid w:val="00440E67"/>
    <w:rsid w:val="00442030"/>
    <w:rsid w:val="00444BC1"/>
    <w:rsid w:val="00446709"/>
    <w:rsid w:val="00451A76"/>
    <w:rsid w:val="00452E92"/>
    <w:rsid w:val="0045693A"/>
    <w:rsid w:val="00457BBC"/>
    <w:rsid w:val="00457BE1"/>
    <w:rsid w:val="00457F6F"/>
    <w:rsid w:val="00462E41"/>
    <w:rsid w:val="00464CE6"/>
    <w:rsid w:val="00466782"/>
    <w:rsid w:val="00467735"/>
    <w:rsid w:val="00467CB6"/>
    <w:rsid w:val="00467DBF"/>
    <w:rsid w:val="00472769"/>
    <w:rsid w:val="004727A1"/>
    <w:rsid w:val="004729A7"/>
    <w:rsid w:val="0048079B"/>
    <w:rsid w:val="00482152"/>
    <w:rsid w:val="004835CC"/>
    <w:rsid w:val="00483D5F"/>
    <w:rsid w:val="00486885"/>
    <w:rsid w:val="00487AEE"/>
    <w:rsid w:val="004921F3"/>
    <w:rsid w:val="00492C2B"/>
    <w:rsid w:val="0049314F"/>
    <w:rsid w:val="00494B36"/>
    <w:rsid w:val="00494BEE"/>
    <w:rsid w:val="004B4210"/>
    <w:rsid w:val="004B6586"/>
    <w:rsid w:val="004C14AD"/>
    <w:rsid w:val="004C2294"/>
    <w:rsid w:val="004C2690"/>
    <w:rsid w:val="004C5CA4"/>
    <w:rsid w:val="004C6A22"/>
    <w:rsid w:val="004C72E6"/>
    <w:rsid w:val="004D2BB0"/>
    <w:rsid w:val="004D3913"/>
    <w:rsid w:val="004D55C0"/>
    <w:rsid w:val="004D57F8"/>
    <w:rsid w:val="004E1B13"/>
    <w:rsid w:val="004F2067"/>
    <w:rsid w:val="0050105E"/>
    <w:rsid w:val="00501F2C"/>
    <w:rsid w:val="00502E89"/>
    <w:rsid w:val="005046DE"/>
    <w:rsid w:val="00504E70"/>
    <w:rsid w:val="00506C6D"/>
    <w:rsid w:val="00511027"/>
    <w:rsid w:val="00514817"/>
    <w:rsid w:val="00516DED"/>
    <w:rsid w:val="0052017F"/>
    <w:rsid w:val="0052263D"/>
    <w:rsid w:val="00522A5A"/>
    <w:rsid w:val="00523044"/>
    <w:rsid w:val="005253CB"/>
    <w:rsid w:val="00526D03"/>
    <w:rsid w:val="0053210C"/>
    <w:rsid w:val="0053260B"/>
    <w:rsid w:val="00532D24"/>
    <w:rsid w:val="00535A07"/>
    <w:rsid w:val="00540A4B"/>
    <w:rsid w:val="005461C5"/>
    <w:rsid w:val="005508BD"/>
    <w:rsid w:val="005514C5"/>
    <w:rsid w:val="00556429"/>
    <w:rsid w:val="0055720B"/>
    <w:rsid w:val="00557A28"/>
    <w:rsid w:val="00557D2A"/>
    <w:rsid w:val="00560BE3"/>
    <w:rsid w:val="005615D6"/>
    <w:rsid w:val="00572A05"/>
    <w:rsid w:val="00573115"/>
    <w:rsid w:val="00574C74"/>
    <w:rsid w:val="00580788"/>
    <w:rsid w:val="005827AF"/>
    <w:rsid w:val="0058472F"/>
    <w:rsid w:val="0058632F"/>
    <w:rsid w:val="00591115"/>
    <w:rsid w:val="00591FD1"/>
    <w:rsid w:val="00592946"/>
    <w:rsid w:val="0059392C"/>
    <w:rsid w:val="005953FB"/>
    <w:rsid w:val="0059781B"/>
    <w:rsid w:val="005A5577"/>
    <w:rsid w:val="005A7461"/>
    <w:rsid w:val="005B0022"/>
    <w:rsid w:val="005B374E"/>
    <w:rsid w:val="005B5CE6"/>
    <w:rsid w:val="005C0C8B"/>
    <w:rsid w:val="005C104E"/>
    <w:rsid w:val="005C42F6"/>
    <w:rsid w:val="005C4AEB"/>
    <w:rsid w:val="005C7164"/>
    <w:rsid w:val="005C735C"/>
    <w:rsid w:val="005D13C1"/>
    <w:rsid w:val="005D285C"/>
    <w:rsid w:val="005D3D4C"/>
    <w:rsid w:val="005D5BE4"/>
    <w:rsid w:val="005D7243"/>
    <w:rsid w:val="005E2EC1"/>
    <w:rsid w:val="005E3000"/>
    <w:rsid w:val="005E39DB"/>
    <w:rsid w:val="005E4166"/>
    <w:rsid w:val="005E50DC"/>
    <w:rsid w:val="005F0B68"/>
    <w:rsid w:val="005F2588"/>
    <w:rsid w:val="005F3DF0"/>
    <w:rsid w:val="005F460F"/>
    <w:rsid w:val="005F53EB"/>
    <w:rsid w:val="005F7635"/>
    <w:rsid w:val="0060111A"/>
    <w:rsid w:val="00605FB6"/>
    <w:rsid w:val="006065F6"/>
    <w:rsid w:val="00610937"/>
    <w:rsid w:val="006163EE"/>
    <w:rsid w:val="00620767"/>
    <w:rsid w:val="00623186"/>
    <w:rsid w:val="00631567"/>
    <w:rsid w:val="00632871"/>
    <w:rsid w:val="00661AA6"/>
    <w:rsid w:val="006624D9"/>
    <w:rsid w:val="00662EB5"/>
    <w:rsid w:val="00667C6A"/>
    <w:rsid w:val="00673153"/>
    <w:rsid w:val="00673BD6"/>
    <w:rsid w:val="006761B8"/>
    <w:rsid w:val="0068234A"/>
    <w:rsid w:val="00686386"/>
    <w:rsid w:val="00686FDE"/>
    <w:rsid w:val="00696EAC"/>
    <w:rsid w:val="006A0290"/>
    <w:rsid w:val="006A13DE"/>
    <w:rsid w:val="006A187B"/>
    <w:rsid w:val="006A1B42"/>
    <w:rsid w:val="006A2116"/>
    <w:rsid w:val="006A3A0B"/>
    <w:rsid w:val="006A4275"/>
    <w:rsid w:val="006B5A55"/>
    <w:rsid w:val="006B769C"/>
    <w:rsid w:val="006C0340"/>
    <w:rsid w:val="006C1949"/>
    <w:rsid w:val="006C2B7C"/>
    <w:rsid w:val="006D2553"/>
    <w:rsid w:val="006D678B"/>
    <w:rsid w:val="006E0072"/>
    <w:rsid w:val="006E2893"/>
    <w:rsid w:val="006E33C9"/>
    <w:rsid w:val="006E57AE"/>
    <w:rsid w:val="006F27B8"/>
    <w:rsid w:val="006F4FA4"/>
    <w:rsid w:val="007033FE"/>
    <w:rsid w:val="007060F4"/>
    <w:rsid w:val="0070745E"/>
    <w:rsid w:val="00714F4C"/>
    <w:rsid w:val="00716CA3"/>
    <w:rsid w:val="00721210"/>
    <w:rsid w:val="00725954"/>
    <w:rsid w:val="00727004"/>
    <w:rsid w:val="007345BD"/>
    <w:rsid w:val="00735C37"/>
    <w:rsid w:val="007409DC"/>
    <w:rsid w:val="0074341B"/>
    <w:rsid w:val="00750409"/>
    <w:rsid w:val="00750C1F"/>
    <w:rsid w:val="00751076"/>
    <w:rsid w:val="00753217"/>
    <w:rsid w:val="007551F7"/>
    <w:rsid w:val="00756CEA"/>
    <w:rsid w:val="007577F4"/>
    <w:rsid w:val="00760FFC"/>
    <w:rsid w:val="00762402"/>
    <w:rsid w:val="007647DF"/>
    <w:rsid w:val="00770462"/>
    <w:rsid w:val="0077244F"/>
    <w:rsid w:val="00773EA9"/>
    <w:rsid w:val="007838A7"/>
    <w:rsid w:val="00784EF0"/>
    <w:rsid w:val="007862BE"/>
    <w:rsid w:val="00792A30"/>
    <w:rsid w:val="00796105"/>
    <w:rsid w:val="007962C8"/>
    <w:rsid w:val="007A4138"/>
    <w:rsid w:val="007A6658"/>
    <w:rsid w:val="007A7DA5"/>
    <w:rsid w:val="007B1216"/>
    <w:rsid w:val="007B268A"/>
    <w:rsid w:val="007B4FA5"/>
    <w:rsid w:val="007B5E8A"/>
    <w:rsid w:val="007C08B5"/>
    <w:rsid w:val="007C096D"/>
    <w:rsid w:val="007C0F79"/>
    <w:rsid w:val="007C1513"/>
    <w:rsid w:val="007C5199"/>
    <w:rsid w:val="007D5786"/>
    <w:rsid w:val="007D7A99"/>
    <w:rsid w:val="007E06FA"/>
    <w:rsid w:val="007E304E"/>
    <w:rsid w:val="007E7CCF"/>
    <w:rsid w:val="007F0025"/>
    <w:rsid w:val="007F24FF"/>
    <w:rsid w:val="007F66F4"/>
    <w:rsid w:val="00802167"/>
    <w:rsid w:val="00802CD3"/>
    <w:rsid w:val="00803D1B"/>
    <w:rsid w:val="0080474E"/>
    <w:rsid w:val="00811B0F"/>
    <w:rsid w:val="00812743"/>
    <w:rsid w:val="00814B19"/>
    <w:rsid w:val="00814EBF"/>
    <w:rsid w:val="008254A7"/>
    <w:rsid w:val="00826229"/>
    <w:rsid w:val="00831470"/>
    <w:rsid w:val="00835062"/>
    <w:rsid w:val="0083550C"/>
    <w:rsid w:val="008369ED"/>
    <w:rsid w:val="00841288"/>
    <w:rsid w:val="00843506"/>
    <w:rsid w:val="008451DF"/>
    <w:rsid w:val="00845E46"/>
    <w:rsid w:val="008461A4"/>
    <w:rsid w:val="00851BEE"/>
    <w:rsid w:val="00854833"/>
    <w:rsid w:val="008558FB"/>
    <w:rsid w:val="008617B0"/>
    <w:rsid w:val="00862634"/>
    <w:rsid w:val="0086625E"/>
    <w:rsid w:val="00871067"/>
    <w:rsid w:val="00874D36"/>
    <w:rsid w:val="00881BB9"/>
    <w:rsid w:val="00882BD6"/>
    <w:rsid w:val="00884808"/>
    <w:rsid w:val="00884AE6"/>
    <w:rsid w:val="00886D1A"/>
    <w:rsid w:val="00890424"/>
    <w:rsid w:val="008905EE"/>
    <w:rsid w:val="00892600"/>
    <w:rsid w:val="00897E66"/>
    <w:rsid w:val="008A09AA"/>
    <w:rsid w:val="008A193F"/>
    <w:rsid w:val="008A5EBD"/>
    <w:rsid w:val="008B22E4"/>
    <w:rsid w:val="008B679D"/>
    <w:rsid w:val="008C2F51"/>
    <w:rsid w:val="008C5615"/>
    <w:rsid w:val="008C608E"/>
    <w:rsid w:val="008D16A4"/>
    <w:rsid w:val="008D292A"/>
    <w:rsid w:val="008D717E"/>
    <w:rsid w:val="008D7425"/>
    <w:rsid w:val="008E2A32"/>
    <w:rsid w:val="008E70F7"/>
    <w:rsid w:val="008E7B2E"/>
    <w:rsid w:val="008F0034"/>
    <w:rsid w:val="008F1940"/>
    <w:rsid w:val="008F3A94"/>
    <w:rsid w:val="008F4D6C"/>
    <w:rsid w:val="008F503F"/>
    <w:rsid w:val="009014BA"/>
    <w:rsid w:val="00905F47"/>
    <w:rsid w:val="00914013"/>
    <w:rsid w:val="00914739"/>
    <w:rsid w:val="0091481D"/>
    <w:rsid w:val="00916CEE"/>
    <w:rsid w:val="009217E4"/>
    <w:rsid w:val="009260AB"/>
    <w:rsid w:val="00932739"/>
    <w:rsid w:val="009339CD"/>
    <w:rsid w:val="00935579"/>
    <w:rsid w:val="009378A3"/>
    <w:rsid w:val="009458BB"/>
    <w:rsid w:val="00946B49"/>
    <w:rsid w:val="00947FB6"/>
    <w:rsid w:val="00950A04"/>
    <w:rsid w:val="00950DAE"/>
    <w:rsid w:val="00951877"/>
    <w:rsid w:val="00955A4D"/>
    <w:rsid w:val="00956292"/>
    <w:rsid w:val="00960D48"/>
    <w:rsid w:val="00962837"/>
    <w:rsid w:val="00964D26"/>
    <w:rsid w:val="0097048B"/>
    <w:rsid w:val="00970B5B"/>
    <w:rsid w:val="00973D3E"/>
    <w:rsid w:val="00986621"/>
    <w:rsid w:val="009868E5"/>
    <w:rsid w:val="00990A3D"/>
    <w:rsid w:val="00991619"/>
    <w:rsid w:val="0099545A"/>
    <w:rsid w:val="00995C6A"/>
    <w:rsid w:val="0099618C"/>
    <w:rsid w:val="009A1CFD"/>
    <w:rsid w:val="009A3945"/>
    <w:rsid w:val="009A6F94"/>
    <w:rsid w:val="009B0DBC"/>
    <w:rsid w:val="009B1C8A"/>
    <w:rsid w:val="009B731D"/>
    <w:rsid w:val="009C1A52"/>
    <w:rsid w:val="009C48FA"/>
    <w:rsid w:val="009C5BDD"/>
    <w:rsid w:val="009C6C59"/>
    <w:rsid w:val="009D090F"/>
    <w:rsid w:val="009D1596"/>
    <w:rsid w:val="009D19A4"/>
    <w:rsid w:val="009E0FE9"/>
    <w:rsid w:val="009E3862"/>
    <w:rsid w:val="009E3C69"/>
    <w:rsid w:val="009E4F07"/>
    <w:rsid w:val="009E555F"/>
    <w:rsid w:val="009E6BB5"/>
    <w:rsid w:val="009E79D3"/>
    <w:rsid w:val="009F07B9"/>
    <w:rsid w:val="009F2E81"/>
    <w:rsid w:val="009F2FEF"/>
    <w:rsid w:val="009F4CCC"/>
    <w:rsid w:val="009F5410"/>
    <w:rsid w:val="009F5C69"/>
    <w:rsid w:val="009F7F7C"/>
    <w:rsid w:val="00A055BC"/>
    <w:rsid w:val="00A056EF"/>
    <w:rsid w:val="00A174D5"/>
    <w:rsid w:val="00A20519"/>
    <w:rsid w:val="00A2205F"/>
    <w:rsid w:val="00A24C58"/>
    <w:rsid w:val="00A25914"/>
    <w:rsid w:val="00A25DC0"/>
    <w:rsid w:val="00A25E57"/>
    <w:rsid w:val="00A263BB"/>
    <w:rsid w:val="00A266EC"/>
    <w:rsid w:val="00A27AD0"/>
    <w:rsid w:val="00A33E2A"/>
    <w:rsid w:val="00A35995"/>
    <w:rsid w:val="00A40531"/>
    <w:rsid w:val="00A41AF3"/>
    <w:rsid w:val="00A42015"/>
    <w:rsid w:val="00A50CF8"/>
    <w:rsid w:val="00A51B77"/>
    <w:rsid w:val="00A52DA0"/>
    <w:rsid w:val="00A6141A"/>
    <w:rsid w:val="00A66510"/>
    <w:rsid w:val="00A7289A"/>
    <w:rsid w:val="00A73156"/>
    <w:rsid w:val="00A74B9B"/>
    <w:rsid w:val="00A755D5"/>
    <w:rsid w:val="00A75826"/>
    <w:rsid w:val="00A77F0E"/>
    <w:rsid w:val="00A80D67"/>
    <w:rsid w:val="00A82253"/>
    <w:rsid w:val="00A828A0"/>
    <w:rsid w:val="00A84307"/>
    <w:rsid w:val="00A84960"/>
    <w:rsid w:val="00A8715C"/>
    <w:rsid w:val="00A91DC2"/>
    <w:rsid w:val="00A927F2"/>
    <w:rsid w:val="00A92AD7"/>
    <w:rsid w:val="00A93209"/>
    <w:rsid w:val="00A933A7"/>
    <w:rsid w:val="00A94001"/>
    <w:rsid w:val="00A942F6"/>
    <w:rsid w:val="00A95B1C"/>
    <w:rsid w:val="00AA3F18"/>
    <w:rsid w:val="00AA6484"/>
    <w:rsid w:val="00AA7258"/>
    <w:rsid w:val="00AB20F0"/>
    <w:rsid w:val="00AB5F3B"/>
    <w:rsid w:val="00AC1494"/>
    <w:rsid w:val="00AC213E"/>
    <w:rsid w:val="00AC2E9F"/>
    <w:rsid w:val="00AC4D7B"/>
    <w:rsid w:val="00AE48A1"/>
    <w:rsid w:val="00AE605D"/>
    <w:rsid w:val="00AE7108"/>
    <w:rsid w:val="00AF1ECD"/>
    <w:rsid w:val="00AF2C8D"/>
    <w:rsid w:val="00AF30A2"/>
    <w:rsid w:val="00AF7823"/>
    <w:rsid w:val="00B00577"/>
    <w:rsid w:val="00B00D27"/>
    <w:rsid w:val="00B06D2B"/>
    <w:rsid w:val="00B10737"/>
    <w:rsid w:val="00B11586"/>
    <w:rsid w:val="00B11DDB"/>
    <w:rsid w:val="00B12159"/>
    <w:rsid w:val="00B24ADF"/>
    <w:rsid w:val="00B27126"/>
    <w:rsid w:val="00B3382D"/>
    <w:rsid w:val="00B34024"/>
    <w:rsid w:val="00B3534F"/>
    <w:rsid w:val="00B354E7"/>
    <w:rsid w:val="00B364FB"/>
    <w:rsid w:val="00B36F83"/>
    <w:rsid w:val="00B42AC0"/>
    <w:rsid w:val="00B46436"/>
    <w:rsid w:val="00B46AD6"/>
    <w:rsid w:val="00B53F0F"/>
    <w:rsid w:val="00B545D6"/>
    <w:rsid w:val="00B54F17"/>
    <w:rsid w:val="00B5546B"/>
    <w:rsid w:val="00B612FD"/>
    <w:rsid w:val="00B616F2"/>
    <w:rsid w:val="00B62990"/>
    <w:rsid w:val="00B8370B"/>
    <w:rsid w:val="00B83CD7"/>
    <w:rsid w:val="00B912C5"/>
    <w:rsid w:val="00B92D31"/>
    <w:rsid w:val="00B93272"/>
    <w:rsid w:val="00B933F4"/>
    <w:rsid w:val="00B973D3"/>
    <w:rsid w:val="00BA4B5A"/>
    <w:rsid w:val="00BA5E8D"/>
    <w:rsid w:val="00BA6E6D"/>
    <w:rsid w:val="00BB180E"/>
    <w:rsid w:val="00BB3486"/>
    <w:rsid w:val="00BB7141"/>
    <w:rsid w:val="00BC462F"/>
    <w:rsid w:val="00BD5711"/>
    <w:rsid w:val="00BE143B"/>
    <w:rsid w:val="00BE6BE3"/>
    <w:rsid w:val="00BE78BA"/>
    <w:rsid w:val="00BF052A"/>
    <w:rsid w:val="00BF0FEA"/>
    <w:rsid w:val="00BF1623"/>
    <w:rsid w:val="00BF44DD"/>
    <w:rsid w:val="00BF4B3C"/>
    <w:rsid w:val="00BF4E91"/>
    <w:rsid w:val="00BF611A"/>
    <w:rsid w:val="00C06812"/>
    <w:rsid w:val="00C14195"/>
    <w:rsid w:val="00C21DCE"/>
    <w:rsid w:val="00C225F9"/>
    <w:rsid w:val="00C23607"/>
    <w:rsid w:val="00C23948"/>
    <w:rsid w:val="00C24391"/>
    <w:rsid w:val="00C244BC"/>
    <w:rsid w:val="00C27D54"/>
    <w:rsid w:val="00C32DF8"/>
    <w:rsid w:val="00C353A0"/>
    <w:rsid w:val="00C4749B"/>
    <w:rsid w:val="00C52647"/>
    <w:rsid w:val="00C55DE1"/>
    <w:rsid w:val="00C56D29"/>
    <w:rsid w:val="00C616F9"/>
    <w:rsid w:val="00C6177E"/>
    <w:rsid w:val="00C67316"/>
    <w:rsid w:val="00C73A48"/>
    <w:rsid w:val="00C741B4"/>
    <w:rsid w:val="00C7634C"/>
    <w:rsid w:val="00C7756E"/>
    <w:rsid w:val="00C77712"/>
    <w:rsid w:val="00C85CD7"/>
    <w:rsid w:val="00C90F01"/>
    <w:rsid w:val="00C92425"/>
    <w:rsid w:val="00C9351D"/>
    <w:rsid w:val="00C94495"/>
    <w:rsid w:val="00C95143"/>
    <w:rsid w:val="00C961FE"/>
    <w:rsid w:val="00C97B7E"/>
    <w:rsid w:val="00CA0706"/>
    <w:rsid w:val="00CB23D2"/>
    <w:rsid w:val="00CB3016"/>
    <w:rsid w:val="00CB5AA5"/>
    <w:rsid w:val="00CC0D2B"/>
    <w:rsid w:val="00CC3D7B"/>
    <w:rsid w:val="00CC640B"/>
    <w:rsid w:val="00CC6F54"/>
    <w:rsid w:val="00CC7E93"/>
    <w:rsid w:val="00CD07E4"/>
    <w:rsid w:val="00CE1049"/>
    <w:rsid w:val="00CE3AF9"/>
    <w:rsid w:val="00CE6194"/>
    <w:rsid w:val="00CE74AA"/>
    <w:rsid w:val="00CE7B4D"/>
    <w:rsid w:val="00CF4991"/>
    <w:rsid w:val="00D04B6A"/>
    <w:rsid w:val="00D05E7D"/>
    <w:rsid w:val="00D1274B"/>
    <w:rsid w:val="00D13DA7"/>
    <w:rsid w:val="00D162CF"/>
    <w:rsid w:val="00D16FCA"/>
    <w:rsid w:val="00D17D71"/>
    <w:rsid w:val="00D212A5"/>
    <w:rsid w:val="00D22352"/>
    <w:rsid w:val="00D2325D"/>
    <w:rsid w:val="00D26DFC"/>
    <w:rsid w:val="00D30EB7"/>
    <w:rsid w:val="00D36C40"/>
    <w:rsid w:val="00D36D32"/>
    <w:rsid w:val="00D418E5"/>
    <w:rsid w:val="00D45C06"/>
    <w:rsid w:val="00D5153C"/>
    <w:rsid w:val="00D532E4"/>
    <w:rsid w:val="00D65996"/>
    <w:rsid w:val="00D65CE9"/>
    <w:rsid w:val="00D66C3C"/>
    <w:rsid w:val="00D67576"/>
    <w:rsid w:val="00D72A48"/>
    <w:rsid w:val="00D72CB0"/>
    <w:rsid w:val="00D7441F"/>
    <w:rsid w:val="00D74E09"/>
    <w:rsid w:val="00D758BF"/>
    <w:rsid w:val="00D75D66"/>
    <w:rsid w:val="00D830B4"/>
    <w:rsid w:val="00D8784E"/>
    <w:rsid w:val="00D957E2"/>
    <w:rsid w:val="00D95D0A"/>
    <w:rsid w:val="00DA425B"/>
    <w:rsid w:val="00DA48FF"/>
    <w:rsid w:val="00DA52FA"/>
    <w:rsid w:val="00DB16C6"/>
    <w:rsid w:val="00DB7327"/>
    <w:rsid w:val="00DC7963"/>
    <w:rsid w:val="00DD24A9"/>
    <w:rsid w:val="00DD3CF3"/>
    <w:rsid w:val="00DD50AA"/>
    <w:rsid w:val="00DD6716"/>
    <w:rsid w:val="00DE0836"/>
    <w:rsid w:val="00DE0CE0"/>
    <w:rsid w:val="00DE7389"/>
    <w:rsid w:val="00DF12DD"/>
    <w:rsid w:val="00DF461B"/>
    <w:rsid w:val="00DF659E"/>
    <w:rsid w:val="00DF6823"/>
    <w:rsid w:val="00DF7D4F"/>
    <w:rsid w:val="00E00B77"/>
    <w:rsid w:val="00E049E4"/>
    <w:rsid w:val="00E0699F"/>
    <w:rsid w:val="00E105BD"/>
    <w:rsid w:val="00E129DD"/>
    <w:rsid w:val="00E15E16"/>
    <w:rsid w:val="00E1710C"/>
    <w:rsid w:val="00E17C46"/>
    <w:rsid w:val="00E22BE5"/>
    <w:rsid w:val="00E2687D"/>
    <w:rsid w:val="00E26CA3"/>
    <w:rsid w:val="00E27441"/>
    <w:rsid w:val="00E315FB"/>
    <w:rsid w:val="00E35000"/>
    <w:rsid w:val="00E3599A"/>
    <w:rsid w:val="00E402FC"/>
    <w:rsid w:val="00E44ED7"/>
    <w:rsid w:val="00E450AC"/>
    <w:rsid w:val="00E46B76"/>
    <w:rsid w:val="00E5354E"/>
    <w:rsid w:val="00E55AFA"/>
    <w:rsid w:val="00E60261"/>
    <w:rsid w:val="00E6144A"/>
    <w:rsid w:val="00E62173"/>
    <w:rsid w:val="00E628B6"/>
    <w:rsid w:val="00E63703"/>
    <w:rsid w:val="00E63B14"/>
    <w:rsid w:val="00E65458"/>
    <w:rsid w:val="00E708CF"/>
    <w:rsid w:val="00E71AD0"/>
    <w:rsid w:val="00E75476"/>
    <w:rsid w:val="00E90DFE"/>
    <w:rsid w:val="00E918AB"/>
    <w:rsid w:val="00E93825"/>
    <w:rsid w:val="00E94498"/>
    <w:rsid w:val="00E9459E"/>
    <w:rsid w:val="00E9698A"/>
    <w:rsid w:val="00E96D73"/>
    <w:rsid w:val="00EA1ED3"/>
    <w:rsid w:val="00EA3F8A"/>
    <w:rsid w:val="00EB14B8"/>
    <w:rsid w:val="00EB43E2"/>
    <w:rsid w:val="00EB65BC"/>
    <w:rsid w:val="00EC05DE"/>
    <w:rsid w:val="00EC06C3"/>
    <w:rsid w:val="00EC2F2E"/>
    <w:rsid w:val="00EC7173"/>
    <w:rsid w:val="00ED03A4"/>
    <w:rsid w:val="00ED15F9"/>
    <w:rsid w:val="00ED1959"/>
    <w:rsid w:val="00ED2AF8"/>
    <w:rsid w:val="00ED2F9B"/>
    <w:rsid w:val="00ED333C"/>
    <w:rsid w:val="00EE574F"/>
    <w:rsid w:val="00EE5BEC"/>
    <w:rsid w:val="00EE6C82"/>
    <w:rsid w:val="00EE6CE0"/>
    <w:rsid w:val="00EF2D95"/>
    <w:rsid w:val="00EF44F7"/>
    <w:rsid w:val="00F01666"/>
    <w:rsid w:val="00F0180B"/>
    <w:rsid w:val="00F03FDA"/>
    <w:rsid w:val="00F051EA"/>
    <w:rsid w:val="00F06F0C"/>
    <w:rsid w:val="00F1255A"/>
    <w:rsid w:val="00F2024B"/>
    <w:rsid w:val="00F233FE"/>
    <w:rsid w:val="00F2722F"/>
    <w:rsid w:val="00F30B4F"/>
    <w:rsid w:val="00F30BBA"/>
    <w:rsid w:val="00F323C5"/>
    <w:rsid w:val="00F37967"/>
    <w:rsid w:val="00F4498D"/>
    <w:rsid w:val="00F44B7A"/>
    <w:rsid w:val="00F45353"/>
    <w:rsid w:val="00F46AFB"/>
    <w:rsid w:val="00F53C43"/>
    <w:rsid w:val="00F578E4"/>
    <w:rsid w:val="00F625FC"/>
    <w:rsid w:val="00F70411"/>
    <w:rsid w:val="00F72C5C"/>
    <w:rsid w:val="00F74621"/>
    <w:rsid w:val="00F7528B"/>
    <w:rsid w:val="00F75ED8"/>
    <w:rsid w:val="00F760F9"/>
    <w:rsid w:val="00F774BA"/>
    <w:rsid w:val="00F77512"/>
    <w:rsid w:val="00F80353"/>
    <w:rsid w:val="00F81BFA"/>
    <w:rsid w:val="00F82581"/>
    <w:rsid w:val="00F874AD"/>
    <w:rsid w:val="00F901B3"/>
    <w:rsid w:val="00F93B1C"/>
    <w:rsid w:val="00FA017B"/>
    <w:rsid w:val="00FA2C57"/>
    <w:rsid w:val="00FA52FF"/>
    <w:rsid w:val="00FA61D9"/>
    <w:rsid w:val="00FB291E"/>
    <w:rsid w:val="00FC07B0"/>
    <w:rsid w:val="00FC07C5"/>
    <w:rsid w:val="00FC07E0"/>
    <w:rsid w:val="00FC43E7"/>
    <w:rsid w:val="00FC47A9"/>
    <w:rsid w:val="00FC4970"/>
    <w:rsid w:val="00FC5698"/>
    <w:rsid w:val="00FC7409"/>
    <w:rsid w:val="00FD6A1B"/>
    <w:rsid w:val="00FD6E47"/>
    <w:rsid w:val="00FD71C2"/>
    <w:rsid w:val="00FF30E3"/>
    <w:rsid w:val="00FF5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D9B3E"/>
  <w15:docId w15:val="{7CD5DE66-24D9-497A-A35C-525ADC07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1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B679D"/>
    <w:pPr>
      <w:keepNext/>
      <w:numPr>
        <w:numId w:val="1"/>
      </w:numPr>
      <w:jc w:val="center"/>
      <w:outlineLvl w:val="0"/>
    </w:pPr>
    <w:rPr>
      <w:i/>
      <w:iCs/>
      <w:lang w:val="en-US"/>
    </w:rPr>
  </w:style>
  <w:style w:type="paragraph" w:styleId="Heading2">
    <w:name w:val="heading 2"/>
    <w:basedOn w:val="Normal"/>
    <w:next w:val="Normal"/>
    <w:link w:val="Heading2Char"/>
    <w:uiPriority w:val="99"/>
    <w:qFormat/>
    <w:rsid w:val="008B679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B679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679D"/>
    <w:rPr>
      <w:rFonts w:ascii="Times New Roman" w:eastAsia="Times New Roman" w:hAnsi="Times New Roman" w:cs="Times New Roman"/>
      <w:i/>
      <w:iCs/>
      <w:sz w:val="24"/>
      <w:szCs w:val="24"/>
      <w:lang w:val="en-US"/>
    </w:rPr>
  </w:style>
  <w:style w:type="character" w:customStyle="1" w:styleId="Heading2Char">
    <w:name w:val="Heading 2 Char"/>
    <w:basedOn w:val="DefaultParagraphFont"/>
    <w:link w:val="Heading2"/>
    <w:uiPriority w:val="99"/>
    <w:rsid w:val="008B679D"/>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B679D"/>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B67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3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rFonts w:asciiTheme="minorHAnsi" w:hAnsiTheme="minorHAnsi"/>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unhideWhenUsed/>
    <w:rsid w:val="0086625E"/>
    <w:rPr>
      <w:sz w:val="16"/>
      <w:szCs w:val="16"/>
    </w:rPr>
  </w:style>
  <w:style w:type="paragraph" w:styleId="CommentText">
    <w:name w:val="annotation text"/>
    <w:basedOn w:val="Normal"/>
    <w:link w:val="CommentTextChar"/>
    <w:uiPriority w:val="99"/>
    <w:unhideWhenUsed/>
    <w:rsid w:val="0086625E"/>
    <w:rPr>
      <w:sz w:val="20"/>
      <w:szCs w:val="20"/>
    </w:rPr>
  </w:style>
  <w:style w:type="character" w:customStyle="1" w:styleId="CommentTextChar">
    <w:name w:val="Comment Text Char"/>
    <w:basedOn w:val="DefaultParagraphFont"/>
    <w:link w:val="CommentText"/>
    <w:uiPriority w:val="99"/>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2D0D01"/>
    <w:pPr>
      <w:spacing w:before="100" w:beforeAutospacing="1" w:after="100" w:afterAutospacing="1"/>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2D0D01"/>
    <w:rPr>
      <w:rFonts w:eastAsiaTheme="majorEastAsia" w:cstheme="majorBidi"/>
      <w:b/>
      <w:spacing w:val="-10"/>
      <w:kern w:val="28"/>
      <w:sz w:val="32"/>
      <w:szCs w:val="56"/>
    </w:rPr>
  </w:style>
  <w:style w:type="paragraph" w:styleId="ListParagraph">
    <w:name w:val="List Paragraph"/>
    <w:aliases w:val="Recommendation,L,List Paragraph1,List Paragraph11,List Paragraph2,Bullet point,NFP GP Bulleted List,bullet point list,1 heading,AR bullet 1,Bullet Point,Bullet points,Content descriptions,Bullet Points,Bulleted Para,Bulletr List Paragraph"/>
    <w:basedOn w:val="Normal"/>
    <w:link w:val="ListParagraphChar"/>
    <w:uiPriority w:val="34"/>
    <w:qFormat/>
    <w:rsid w:val="009339CD"/>
    <w:pPr>
      <w:ind w:left="720"/>
      <w:contextualSpacing/>
    </w:pPr>
  </w:style>
  <w:style w:type="paragraph" w:styleId="ListBullet">
    <w:name w:val="List Bullet"/>
    <w:basedOn w:val="Normal"/>
    <w:uiPriority w:val="99"/>
    <w:unhideWhenUsed/>
    <w:rsid w:val="009339CD"/>
    <w:pPr>
      <w:numPr>
        <w:numId w:val="2"/>
      </w:numPr>
      <w:contextualSpacing/>
    </w:pPr>
    <w:rPr>
      <w:rFonts w:asciiTheme="minorHAnsi" w:hAnsiTheme="minorHAnsi"/>
    </w:rPr>
  </w:style>
  <w:style w:type="character" w:styleId="UnresolvedMention">
    <w:name w:val="Unresolved Mention"/>
    <w:basedOn w:val="DefaultParagraphFont"/>
    <w:uiPriority w:val="99"/>
    <w:unhideWhenUsed/>
    <w:rsid w:val="007B268A"/>
    <w:rPr>
      <w:color w:val="605E5C"/>
      <w:shd w:val="clear" w:color="auto" w:fill="E1DFDD"/>
    </w:rPr>
  </w:style>
  <w:style w:type="table" w:styleId="ListTable6Colorful-Accent5">
    <w:name w:val="List Table 6 Colorful Accent 5"/>
    <w:basedOn w:val="TableNormal"/>
    <w:uiPriority w:val="51"/>
    <w:rsid w:val="00862634"/>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efault">
    <w:name w:val="Default"/>
    <w:rsid w:val="00037881"/>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Recommendation Char,L Char,List Paragraph1 Char,List Paragraph11 Char,List Paragraph2 Char,Bullet point Char,NFP GP Bulleted List Char,bullet point list Char,1 heading Char,AR bullet 1 Char,Bullet Point Char,Bullet points Char"/>
    <w:link w:val="ListParagraph"/>
    <w:uiPriority w:val="34"/>
    <w:qFormat/>
    <w:rsid w:val="00BF4B3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17A4"/>
    <w:rPr>
      <w:color w:val="800080" w:themeColor="followedHyperlink"/>
      <w:u w:val="single"/>
    </w:rPr>
  </w:style>
  <w:style w:type="character" w:styleId="Mention">
    <w:name w:val="Mention"/>
    <w:basedOn w:val="DefaultParagraphFont"/>
    <w:uiPriority w:val="99"/>
    <w:unhideWhenUsed/>
    <w:rsid w:val="00D05E7D"/>
    <w:rPr>
      <w:color w:val="2B579A"/>
      <w:shd w:val="clear" w:color="auto" w:fill="E1DFDD"/>
    </w:rPr>
  </w:style>
  <w:style w:type="table" w:styleId="PlainTable3">
    <w:name w:val="Plain Table 3"/>
    <w:basedOn w:val="TableNormal"/>
    <w:uiPriority w:val="43"/>
    <w:rsid w:val="00DB16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6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6C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1">
    <w:name w:val="Grid Table 4 Accent 1"/>
    <w:basedOn w:val="TableNormal"/>
    <w:uiPriority w:val="49"/>
    <w:rsid w:val="00DB16C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714F4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727004"/>
    <w:pPr>
      <w:keepLines/>
      <w:numPr>
        <w:numId w:val="0"/>
      </w:numPr>
      <w:spacing w:before="240" w:line="259" w:lineRule="auto"/>
      <w:jc w:val="left"/>
      <w:outlineLvl w:val="9"/>
    </w:pPr>
    <w:rPr>
      <w:rFonts w:asciiTheme="majorHAnsi" w:eastAsiaTheme="majorEastAsia" w:hAnsiTheme="majorHAnsi" w:cstheme="majorBidi"/>
      <w:i w:val="0"/>
      <w:iCs w:val="0"/>
      <w:color w:val="365F91" w:themeColor="accent1" w:themeShade="BF"/>
      <w:sz w:val="32"/>
      <w:szCs w:val="32"/>
    </w:rPr>
  </w:style>
  <w:style w:type="paragraph" w:styleId="TOC2">
    <w:name w:val="toc 2"/>
    <w:basedOn w:val="Normal"/>
    <w:next w:val="Normal"/>
    <w:autoRedefine/>
    <w:uiPriority w:val="39"/>
    <w:unhideWhenUsed/>
    <w:rsid w:val="00727004"/>
    <w:pPr>
      <w:spacing w:after="100"/>
      <w:ind w:left="240"/>
    </w:pPr>
  </w:style>
  <w:style w:type="paragraph" w:styleId="TOC1">
    <w:name w:val="toc 1"/>
    <w:basedOn w:val="Normal"/>
    <w:next w:val="Normal"/>
    <w:autoRedefine/>
    <w:uiPriority w:val="39"/>
    <w:unhideWhenUsed/>
    <w:rsid w:val="00814B19"/>
    <w:pPr>
      <w:tabs>
        <w:tab w:val="left" w:pos="480"/>
        <w:tab w:val="right" w:leader="dot" w:pos="10042"/>
      </w:tabs>
      <w:spacing w:after="100"/>
    </w:pPr>
  </w:style>
  <w:style w:type="paragraph" w:styleId="TOC3">
    <w:name w:val="toc 3"/>
    <w:basedOn w:val="Normal"/>
    <w:next w:val="Normal"/>
    <w:autoRedefine/>
    <w:uiPriority w:val="39"/>
    <w:unhideWhenUsed/>
    <w:rsid w:val="00727004"/>
    <w:pPr>
      <w:spacing w:after="100"/>
      <w:ind w:left="480"/>
    </w:pPr>
  </w:style>
  <w:style w:type="paragraph" w:styleId="Revision">
    <w:name w:val="Revision"/>
    <w:hidden/>
    <w:uiPriority w:val="99"/>
    <w:semiHidden/>
    <w:rsid w:val="00205982"/>
    <w:pPr>
      <w:spacing w:after="0" w:line="240" w:lineRule="auto"/>
    </w:pPr>
    <w:rPr>
      <w:rFonts w:ascii="Times New Roman" w:eastAsia="Times New Roman" w:hAnsi="Times New Roman" w:cs="Times New Roman"/>
      <w:sz w:val="24"/>
      <w:szCs w:val="24"/>
    </w:rPr>
  </w:style>
  <w:style w:type="table" w:styleId="ListTable4-Accent1">
    <w:name w:val="List Table 4 Accent 1"/>
    <w:basedOn w:val="TableNormal"/>
    <w:uiPriority w:val="49"/>
    <w:rsid w:val="0048688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BB7141"/>
    <w:pPr>
      <w:spacing w:before="100" w:beforeAutospacing="1" w:after="100" w:afterAutospacing="1"/>
    </w:pPr>
    <w:rPr>
      <w:lang w:eastAsia="en-AU"/>
    </w:rPr>
  </w:style>
  <w:style w:type="character" w:customStyle="1" w:styleId="normaltextrun">
    <w:name w:val="normaltextrun"/>
    <w:basedOn w:val="DefaultParagraphFont"/>
    <w:rsid w:val="00560BE3"/>
  </w:style>
  <w:style w:type="character" w:customStyle="1" w:styleId="eop">
    <w:name w:val="eop"/>
    <w:basedOn w:val="DefaultParagraphFont"/>
    <w:rsid w:val="00560BE3"/>
  </w:style>
  <w:style w:type="paragraph" w:styleId="ListNumber">
    <w:name w:val="List Number"/>
    <w:basedOn w:val="Normal"/>
    <w:uiPriority w:val="99"/>
    <w:qFormat/>
    <w:rsid w:val="00280E7F"/>
    <w:pPr>
      <w:numPr>
        <w:numId w:val="16"/>
      </w:numPr>
      <w:spacing w:after="200" w:line="276" w:lineRule="auto"/>
    </w:pPr>
    <w:rPr>
      <w:rFonts w:ascii="Arial" w:eastAsia="Calibri" w:hAnsi="Arial"/>
      <w:sz w:val="22"/>
      <w:szCs w:val="22"/>
    </w:rPr>
  </w:style>
  <w:style w:type="paragraph" w:styleId="ListNumber2">
    <w:name w:val="List Number 2"/>
    <w:basedOn w:val="Normal"/>
    <w:uiPriority w:val="99"/>
    <w:rsid w:val="00280E7F"/>
    <w:pPr>
      <w:numPr>
        <w:ilvl w:val="1"/>
        <w:numId w:val="16"/>
      </w:numPr>
      <w:spacing w:after="200" w:line="276" w:lineRule="auto"/>
    </w:pPr>
    <w:rPr>
      <w:rFonts w:ascii="Arial" w:eastAsia="Calibri" w:hAnsi="Arial"/>
      <w:sz w:val="22"/>
      <w:szCs w:val="22"/>
    </w:rPr>
  </w:style>
  <w:style w:type="paragraph" w:styleId="ListNumber3">
    <w:name w:val="List Number 3"/>
    <w:basedOn w:val="Normal"/>
    <w:uiPriority w:val="99"/>
    <w:rsid w:val="00280E7F"/>
    <w:pPr>
      <w:numPr>
        <w:ilvl w:val="2"/>
        <w:numId w:val="16"/>
      </w:numPr>
      <w:spacing w:after="200" w:line="276" w:lineRule="auto"/>
    </w:pPr>
    <w:rPr>
      <w:rFonts w:ascii="Arial" w:eastAsia="Calibri" w:hAnsi="Arial"/>
      <w:sz w:val="22"/>
      <w:szCs w:val="22"/>
    </w:rPr>
  </w:style>
  <w:style w:type="paragraph" w:styleId="ListNumber4">
    <w:name w:val="List Number 4"/>
    <w:basedOn w:val="Normal"/>
    <w:uiPriority w:val="99"/>
    <w:rsid w:val="00280E7F"/>
    <w:pPr>
      <w:numPr>
        <w:ilvl w:val="3"/>
        <w:numId w:val="16"/>
      </w:numPr>
      <w:spacing w:after="200" w:line="276" w:lineRule="auto"/>
    </w:pPr>
    <w:rPr>
      <w:rFonts w:ascii="Arial" w:eastAsia="Calibri" w:hAnsi="Arial"/>
      <w:sz w:val="22"/>
      <w:szCs w:val="22"/>
    </w:rPr>
  </w:style>
  <w:style w:type="paragraph" w:styleId="ListNumber5">
    <w:name w:val="List Number 5"/>
    <w:basedOn w:val="Normal"/>
    <w:uiPriority w:val="99"/>
    <w:rsid w:val="00280E7F"/>
    <w:pPr>
      <w:numPr>
        <w:ilvl w:val="4"/>
        <w:numId w:val="16"/>
      </w:numPr>
      <w:spacing w:after="200" w:line="276" w:lineRule="auto"/>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9093">
      <w:bodyDiv w:val="1"/>
      <w:marLeft w:val="0"/>
      <w:marRight w:val="0"/>
      <w:marTop w:val="0"/>
      <w:marBottom w:val="0"/>
      <w:divBdr>
        <w:top w:val="none" w:sz="0" w:space="0" w:color="auto"/>
        <w:left w:val="none" w:sz="0" w:space="0" w:color="auto"/>
        <w:bottom w:val="none" w:sz="0" w:space="0" w:color="auto"/>
        <w:right w:val="none" w:sz="0" w:space="0" w:color="auto"/>
      </w:divBdr>
    </w:div>
    <w:div w:id="507211327">
      <w:bodyDiv w:val="1"/>
      <w:marLeft w:val="0"/>
      <w:marRight w:val="0"/>
      <w:marTop w:val="0"/>
      <w:marBottom w:val="0"/>
      <w:divBdr>
        <w:top w:val="none" w:sz="0" w:space="0" w:color="auto"/>
        <w:left w:val="none" w:sz="0" w:space="0" w:color="auto"/>
        <w:bottom w:val="none" w:sz="0" w:space="0" w:color="auto"/>
        <w:right w:val="none" w:sz="0" w:space="0" w:color="auto"/>
      </w:divBdr>
    </w:div>
    <w:div w:id="872577153">
      <w:bodyDiv w:val="1"/>
      <w:marLeft w:val="0"/>
      <w:marRight w:val="0"/>
      <w:marTop w:val="0"/>
      <w:marBottom w:val="0"/>
      <w:divBdr>
        <w:top w:val="none" w:sz="0" w:space="0" w:color="auto"/>
        <w:left w:val="none" w:sz="0" w:space="0" w:color="auto"/>
        <w:bottom w:val="none" w:sz="0" w:space="0" w:color="auto"/>
        <w:right w:val="none" w:sz="0" w:space="0" w:color="auto"/>
      </w:divBdr>
    </w:div>
    <w:div w:id="957564162">
      <w:bodyDiv w:val="1"/>
      <w:marLeft w:val="0"/>
      <w:marRight w:val="0"/>
      <w:marTop w:val="0"/>
      <w:marBottom w:val="0"/>
      <w:divBdr>
        <w:top w:val="none" w:sz="0" w:space="0" w:color="auto"/>
        <w:left w:val="none" w:sz="0" w:space="0" w:color="auto"/>
        <w:bottom w:val="none" w:sz="0" w:space="0" w:color="auto"/>
        <w:right w:val="none" w:sz="0" w:space="0" w:color="auto"/>
      </w:divBdr>
    </w:div>
    <w:div w:id="966357172">
      <w:bodyDiv w:val="1"/>
      <w:marLeft w:val="0"/>
      <w:marRight w:val="0"/>
      <w:marTop w:val="0"/>
      <w:marBottom w:val="0"/>
      <w:divBdr>
        <w:top w:val="none" w:sz="0" w:space="0" w:color="auto"/>
        <w:left w:val="none" w:sz="0" w:space="0" w:color="auto"/>
        <w:bottom w:val="none" w:sz="0" w:space="0" w:color="auto"/>
        <w:right w:val="none" w:sz="0" w:space="0" w:color="auto"/>
      </w:divBdr>
    </w:div>
    <w:div w:id="1044065134">
      <w:bodyDiv w:val="1"/>
      <w:marLeft w:val="0"/>
      <w:marRight w:val="0"/>
      <w:marTop w:val="0"/>
      <w:marBottom w:val="0"/>
      <w:divBdr>
        <w:top w:val="none" w:sz="0" w:space="0" w:color="auto"/>
        <w:left w:val="none" w:sz="0" w:space="0" w:color="auto"/>
        <w:bottom w:val="none" w:sz="0" w:space="0" w:color="auto"/>
        <w:right w:val="none" w:sz="0" w:space="0" w:color="auto"/>
      </w:divBdr>
    </w:div>
    <w:div w:id="1252622067">
      <w:bodyDiv w:val="1"/>
      <w:marLeft w:val="0"/>
      <w:marRight w:val="0"/>
      <w:marTop w:val="0"/>
      <w:marBottom w:val="0"/>
      <w:divBdr>
        <w:top w:val="none" w:sz="0" w:space="0" w:color="auto"/>
        <w:left w:val="none" w:sz="0" w:space="0" w:color="auto"/>
        <w:bottom w:val="none" w:sz="0" w:space="0" w:color="auto"/>
        <w:right w:val="none" w:sz="0" w:space="0" w:color="auto"/>
      </w:divBdr>
    </w:div>
    <w:div w:id="1594967801">
      <w:bodyDiv w:val="1"/>
      <w:marLeft w:val="0"/>
      <w:marRight w:val="0"/>
      <w:marTop w:val="0"/>
      <w:marBottom w:val="0"/>
      <w:divBdr>
        <w:top w:val="none" w:sz="0" w:space="0" w:color="auto"/>
        <w:left w:val="none" w:sz="0" w:space="0" w:color="auto"/>
        <w:bottom w:val="none" w:sz="0" w:space="0" w:color="auto"/>
        <w:right w:val="none" w:sz="0" w:space="0" w:color="auto"/>
      </w:divBdr>
    </w:div>
    <w:div w:id="1898080633">
      <w:bodyDiv w:val="1"/>
      <w:marLeft w:val="0"/>
      <w:marRight w:val="0"/>
      <w:marTop w:val="0"/>
      <w:marBottom w:val="0"/>
      <w:divBdr>
        <w:top w:val="none" w:sz="0" w:space="0" w:color="auto"/>
        <w:left w:val="none" w:sz="0" w:space="0" w:color="auto"/>
        <w:bottom w:val="none" w:sz="0" w:space="0" w:color="auto"/>
        <w:right w:val="none" w:sz="0" w:space="0" w:color="auto"/>
      </w:divBdr>
    </w:div>
    <w:div w:id="1918324671">
      <w:bodyDiv w:val="1"/>
      <w:marLeft w:val="0"/>
      <w:marRight w:val="0"/>
      <w:marTop w:val="0"/>
      <w:marBottom w:val="0"/>
      <w:divBdr>
        <w:top w:val="none" w:sz="0" w:space="0" w:color="auto"/>
        <w:left w:val="none" w:sz="0" w:space="0" w:color="auto"/>
        <w:bottom w:val="none" w:sz="0" w:space="0" w:color="auto"/>
        <w:right w:val="none" w:sz="0" w:space="0" w:color="auto"/>
      </w:divBdr>
    </w:div>
    <w:div w:id="207673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industry.gov.au/data-and-publications/independent-review-into-the-circumstances-leading-to-the-administration-and-liquidation-of-northern-oil-and-gas-australia-noga" TargetMode="External"/><Relationship Id="rId3" Type="http://schemas.openxmlformats.org/officeDocument/2006/relationships/hyperlink" Target="http://www.industry.gov.au/resource/Documents/upstream-petroleum/approvals/Montara-Report.pdf" TargetMode="External"/><Relationship Id="rId7" Type="http://schemas.openxmlformats.org/officeDocument/2006/relationships/hyperlink" Target="https://www.industry.gov.au/data-and-publications/enterprise-agreement-2019-2022" TargetMode="External"/><Relationship Id="rId12" Type="http://schemas.openxmlformats.org/officeDocument/2006/relationships/hyperlink" Target="https://www.nopta.gov.au/_documents/Stakeholder-Survey-Report-2021.pdf" TargetMode="External"/><Relationship Id="rId2" Type="http://schemas.openxmlformats.org/officeDocument/2006/relationships/hyperlink" Target="http://www.pc.gov.au/inquiries/completed/upstream-petroleum/report" TargetMode="External"/><Relationship Id="rId1" Type="http://schemas.openxmlformats.org/officeDocument/2006/relationships/hyperlink" Target="http://www.finance.gov.au" TargetMode="External"/><Relationship Id="rId6" Type="http://schemas.openxmlformats.org/officeDocument/2006/relationships/hyperlink" Target="https://www.industry.gov.au/sites/default/files/January%202018/document/pdf/enterprise-agreement-2016-19.pdf?acsf_files_redirect" TargetMode="External"/><Relationship Id="rId11" Type="http://schemas.openxmlformats.org/officeDocument/2006/relationships/hyperlink" Target="https://consult.industry.gov.au/" TargetMode="External"/><Relationship Id="rId5" Type="http://schemas.openxmlformats.org/officeDocument/2006/relationships/hyperlink" Target="http://www.industry.gov.au/data-and-publications/national-offshore-petroleum-titles-administrator-2015-operational-review" TargetMode="External"/><Relationship Id="rId10" Type="http://schemas.openxmlformats.org/officeDocument/2006/relationships/hyperlink" Target="http://www.nopta.gov.au/_documents/schedule-of-fees.pdf" TargetMode="External"/><Relationship Id="rId4" Type="http://schemas.openxmlformats.org/officeDocument/2006/relationships/hyperlink" Target="https://www.nopta.gov.au/_documents/statement-expectations-oct2019.pdf" TargetMode="External"/><Relationship Id="rId9" Type="http://schemas.openxmlformats.org/officeDocument/2006/relationships/hyperlink" Target="http://www.budget.gov.au/2011-12/content/bp2/html/bp2_expense-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137CA15B7EA914AA1E4BB2034A48FA8" ma:contentTypeVersion="10" ma:contentTypeDescription="Create a new document." ma:contentTypeScope="" ma:versionID="2c8bc0365f657842c9812a3117d882f5">
  <xsd:schema xmlns:xsd="http://www.w3.org/2001/XMLSchema" xmlns:xs="http://www.w3.org/2001/XMLSchema" xmlns:p="http://schemas.microsoft.com/office/2006/metadata/properties" xmlns:ns3="90808a71-b840-4d58-b288-21fc126a5d14" targetNamespace="http://schemas.microsoft.com/office/2006/metadata/properties" ma:root="true" ma:fieldsID="af2a3e573142802f9296136f58148f58" ns3:_="">
    <xsd:import namespace="90808a71-b840-4d58-b288-21fc126a5d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8a71-b840-4d58-b288-21fc126a5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B8B2A-A43D-490B-8C2E-5C732FFF28CF}">
  <ds:schemaRefs>
    <ds:schemaRef ds:uri="http://schemas.microsoft.com/sharepoint/v3/contenttype/forms"/>
  </ds:schemaRefs>
</ds:datastoreItem>
</file>

<file path=customXml/itemProps2.xml><?xml version="1.0" encoding="utf-8"?>
<ds:datastoreItem xmlns:ds="http://schemas.openxmlformats.org/officeDocument/2006/customXml" ds:itemID="{1701BFAB-F00C-4331-A22E-19258ADCD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2CC674-5CC3-4B41-AA65-77819EA0158D}">
  <ds:schemaRefs>
    <ds:schemaRef ds:uri="http://schemas.openxmlformats.org/officeDocument/2006/bibliography"/>
  </ds:schemaRefs>
</ds:datastoreItem>
</file>

<file path=customXml/itemProps4.xml><?xml version="1.0" encoding="utf-8"?>
<ds:datastoreItem xmlns:ds="http://schemas.openxmlformats.org/officeDocument/2006/customXml" ds:itemID="{A5B626EA-957B-48AF-9DF8-31C1425CD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8a71-b840-4d58-b288-21fc126a5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7291</Words>
  <Characters>41563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Cost Recovery Implementation Statement Template</vt:lpstr>
    </vt:vector>
  </TitlesOfParts>
  <Company>FINANCE</Company>
  <LinksUpToDate>false</LinksUpToDate>
  <CharactersWithSpaces>48757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Template</dc:title>
  <dc:creator>Department of Finance</dc:creator>
  <cp:lastModifiedBy>Fiona Pekin</cp:lastModifiedBy>
  <cp:revision>10</cp:revision>
  <cp:lastPrinted>2022-08-11T01:34:00Z</cp:lastPrinted>
  <dcterms:created xsi:type="dcterms:W3CDTF">2022-08-10T01:54:00Z</dcterms:created>
  <dcterms:modified xsi:type="dcterms:W3CDTF">2022-08-11T01:35:00Z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0x010100D137CA15B7EA914AA1E4BB2034A48FA8</vt:lpwstr>
  </property>
  <property fmtid="{D5CDD505-2E9C-101B-9397-08002B2CF9AE}" pid="3" name="BusinessFunction">
    <vt:lpwstr>12111</vt:lpwstr>
  </property>
  <property fmtid="{D5CDD505-2E9C-101B-9397-08002B2CF9AE}" pid="4" name="_dlc_DocIdItemGuid">
    <vt:lpwstr>8b0cce9b-86ae-49ad-8715-124f57aac67c</vt:lpwstr>
  </property>
  <property fmtid="{D5CDD505-2E9C-101B-9397-08002B2CF9AE}" pid="5" name="TaxKeyword">
    <vt:lpwstr/>
  </property>
  <property fmtid="{D5CDD505-2E9C-101B-9397-08002B2CF9AE}" pid="6" name="Titles">
    <vt:lpwstr/>
  </property>
  <property fmtid="{D5CDD505-2E9C-101B-9397-08002B2CF9AE}" pid="7" name="Title Type">
    <vt:lpwstr/>
  </property>
  <property fmtid="{D5CDD505-2E9C-101B-9397-08002B2CF9AE}" pid="8" name="DocumentType">
    <vt:lpwstr/>
  </property>
  <property fmtid="{D5CDD505-2E9C-101B-9397-08002B2CF9AE}" pid="9" name="Offshore Region">
    <vt:lpwstr/>
  </property>
  <property fmtid="{D5CDD505-2E9C-101B-9397-08002B2CF9AE}" pid="10" name="Application Library">
    <vt:lpwstr/>
  </property>
  <property fmtid="{D5CDD505-2E9C-101B-9397-08002B2CF9AE}" pid="11" name="Team">
    <vt:lpwstr/>
  </property>
</Properties>
</file>