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D3920" w14:textId="63AEF9C4" w:rsidR="00671AD7" w:rsidRDefault="00671AD7" w:rsidP="00671AD7">
      <w:pPr>
        <w:rPr>
          <w:rFonts w:ascii="Arial" w:eastAsiaTheme="majorEastAsia" w:hAnsi="Arial" w:cs="Arial"/>
          <w:b/>
          <w:color w:val="5B9BD5" w:themeColor="accent1"/>
          <w:spacing w:val="-10"/>
          <w:kern w:val="28"/>
          <w:sz w:val="40"/>
          <w:szCs w:val="40"/>
        </w:rPr>
      </w:pPr>
    </w:p>
    <w:p w14:paraId="1F4953F0" w14:textId="0CE97B72" w:rsidR="002D4973" w:rsidRPr="002365B4" w:rsidRDefault="002D4973" w:rsidP="00671AD7">
      <w:pPr>
        <w:rPr>
          <w:rFonts w:ascii="Arial" w:eastAsiaTheme="majorEastAsia" w:hAnsi="Arial" w:cs="Arial"/>
          <w:b/>
          <w:color w:val="5B9BD5" w:themeColor="accent1"/>
          <w:spacing w:val="-10"/>
          <w:kern w:val="28"/>
          <w:sz w:val="40"/>
          <w:szCs w:val="40"/>
        </w:rPr>
      </w:pPr>
      <w:r>
        <w:rPr>
          <w:noProof/>
        </w:rPr>
        <w:drawing>
          <wp:inline distT="0" distB="0" distL="0" distR="0" wp14:anchorId="2FDDE35F" wp14:editId="055EE1EC">
            <wp:extent cx="2681605" cy="695960"/>
            <wp:effectExtent l="0" t="0" r="4445" b="8890"/>
            <wp:docPr id="2" name="Picture 2" descr="Australian Government logo - Department of Industry, Science, Energy an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81605" cy="695960"/>
                    </a:xfrm>
                    <a:prstGeom prst="rect">
                      <a:avLst/>
                    </a:prstGeom>
                    <a:noFill/>
                    <a:ln>
                      <a:noFill/>
                    </a:ln>
                  </pic:spPr>
                </pic:pic>
              </a:graphicData>
            </a:graphic>
          </wp:inline>
        </w:drawing>
      </w:r>
    </w:p>
    <w:p w14:paraId="0A656841" w14:textId="77777777" w:rsidR="00671AD7" w:rsidRPr="00A53D82" w:rsidRDefault="00671AD7" w:rsidP="00671AD7">
      <w:pPr>
        <w:rPr>
          <w:rFonts w:ascii="Arial" w:eastAsiaTheme="majorEastAsia" w:hAnsi="Arial" w:cs="Arial"/>
          <w:b/>
          <w:color w:val="5B9BD5" w:themeColor="accent1"/>
          <w:spacing w:val="-10"/>
          <w:kern w:val="28"/>
          <w:sz w:val="40"/>
          <w:szCs w:val="40"/>
        </w:rPr>
      </w:pPr>
    </w:p>
    <w:p w14:paraId="6F5D411B" w14:textId="77777777" w:rsidR="00671AD7" w:rsidRPr="00A53D82" w:rsidRDefault="00671AD7" w:rsidP="00671AD7">
      <w:pPr>
        <w:rPr>
          <w:rFonts w:ascii="Arial" w:eastAsiaTheme="majorEastAsia" w:hAnsi="Arial" w:cs="Arial"/>
          <w:color w:val="5B9BD5" w:themeColor="accent1"/>
          <w:spacing w:val="-10"/>
          <w:kern w:val="28"/>
          <w:sz w:val="40"/>
          <w:szCs w:val="40"/>
        </w:rPr>
      </w:pPr>
    </w:p>
    <w:p w14:paraId="0742F907" w14:textId="77777777" w:rsidR="00671AD7" w:rsidRPr="00FD58B3" w:rsidRDefault="00671AD7" w:rsidP="00671AD7">
      <w:pPr>
        <w:rPr>
          <w:rFonts w:ascii="Arial" w:eastAsiaTheme="majorEastAsia" w:hAnsi="Arial" w:cs="Arial"/>
          <w:color w:val="5B9BD5" w:themeColor="accent1"/>
          <w:spacing w:val="-10"/>
          <w:kern w:val="28"/>
          <w:sz w:val="40"/>
          <w:szCs w:val="40"/>
        </w:rPr>
      </w:pPr>
    </w:p>
    <w:p w14:paraId="2F5828A8" w14:textId="77777777" w:rsidR="00671AD7" w:rsidRPr="008C4302" w:rsidRDefault="00671AD7" w:rsidP="00671AD7">
      <w:pPr>
        <w:rPr>
          <w:rFonts w:ascii="Arial" w:eastAsiaTheme="majorEastAsia" w:hAnsi="Arial" w:cs="Arial"/>
          <w:color w:val="5B9BD5" w:themeColor="accent1"/>
          <w:spacing w:val="-10"/>
          <w:kern w:val="28"/>
          <w:sz w:val="40"/>
          <w:szCs w:val="40"/>
        </w:rPr>
      </w:pPr>
    </w:p>
    <w:p w14:paraId="23A77EF9" w14:textId="77777777" w:rsidR="00671AD7" w:rsidRPr="00672500" w:rsidRDefault="00671AD7" w:rsidP="00672500">
      <w:pPr>
        <w:pStyle w:val="Title"/>
      </w:pPr>
      <w:r w:rsidRPr="00672500">
        <w:t>Offshore Petroleum Guideline: Transfers and Dealings Relating to Petroleum Titles</w:t>
      </w:r>
    </w:p>
    <w:p w14:paraId="6BBEE069" w14:textId="77777777" w:rsidR="00671AD7" w:rsidRPr="001322E8" w:rsidRDefault="00671AD7" w:rsidP="00671AD7">
      <w:pPr>
        <w:rPr>
          <w:rFonts w:ascii="Arial" w:eastAsiaTheme="majorEastAsia" w:hAnsi="Arial" w:cs="Arial"/>
          <w:color w:val="5B9BD5" w:themeColor="accent1"/>
          <w:spacing w:val="-10"/>
          <w:kern w:val="28"/>
          <w:sz w:val="40"/>
          <w:szCs w:val="40"/>
        </w:rPr>
      </w:pPr>
    </w:p>
    <w:p w14:paraId="588BA3E0" w14:textId="77777777" w:rsidR="00671AD7" w:rsidRPr="001322E8" w:rsidRDefault="00671AD7" w:rsidP="00671AD7">
      <w:pPr>
        <w:rPr>
          <w:rFonts w:ascii="Arial" w:eastAsiaTheme="majorEastAsia" w:hAnsi="Arial" w:cs="Arial"/>
          <w:color w:val="5B9BD5" w:themeColor="accent1"/>
          <w:spacing w:val="-10"/>
          <w:kern w:val="28"/>
          <w:sz w:val="40"/>
          <w:szCs w:val="40"/>
        </w:rPr>
      </w:pPr>
      <w:r w:rsidRPr="001322E8">
        <w:rPr>
          <w:rFonts w:ascii="Arial" w:hAnsi="Arial" w:cs="Arial"/>
          <w:color w:val="5B9BD5" w:themeColor="accent1"/>
          <w:sz w:val="28"/>
          <w:szCs w:val="32"/>
        </w:rPr>
        <w:t xml:space="preserve">In relation to the </w:t>
      </w:r>
      <w:r w:rsidRPr="001322E8">
        <w:rPr>
          <w:rFonts w:ascii="Arial" w:hAnsi="Arial" w:cs="Arial"/>
          <w:i/>
          <w:color w:val="5B9BD5" w:themeColor="accent1"/>
          <w:sz w:val="28"/>
          <w:szCs w:val="32"/>
        </w:rPr>
        <w:t>Offshore Petroleum and Greenhouse Gas Storage Act 2006</w:t>
      </w:r>
    </w:p>
    <w:p w14:paraId="001AA1D8" w14:textId="77777777" w:rsidR="00671AD7" w:rsidRPr="001322E8" w:rsidRDefault="00671AD7" w:rsidP="00671AD7">
      <w:pPr>
        <w:rPr>
          <w:rFonts w:ascii="Arial" w:hAnsi="Arial" w:cs="Arial"/>
        </w:rPr>
      </w:pPr>
    </w:p>
    <w:p w14:paraId="5DCE99B1" w14:textId="70E5BA39" w:rsidR="00671AD7" w:rsidRPr="001322E8" w:rsidRDefault="00671AD7" w:rsidP="00671AD7">
      <w:pPr>
        <w:rPr>
          <w:rFonts w:ascii="Arial" w:hAnsi="Arial" w:cs="Arial"/>
        </w:rPr>
      </w:pPr>
      <w:r w:rsidRPr="00113A40">
        <w:rPr>
          <w:rFonts w:ascii="Arial" w:hAnsi="Arial" w:cs="Arial"/>
        </w:rPr>
        <w:t xml:space="preserve">Effective </w:t>
      </w:r>
      <w:r w:rsidR="00113A40" w:rsidRPr="00113A40">
        <w:rPr>
          <w:rFonts w:ascii="Arial" w:hAnsi="Arial" w:cs="Arial"/>
        </w:rPr>
        <w:t>May</w:t>
      </w:r>
      <w:r w:rsidRPr="00113A40">
        <w:rPr>
          <w:rFonts w:ascii="Arial" w:hAnsi="Arial" w:cs="Arial"/>
        </w:rPr>
        <w:t xml:space="preserve"> 201</w:t>
      </w:r>
      <w:r w:rsidR="00CE7F53" w:rsidRPr="00113A40">
        <w:rPr>
          <w:rFonts w:ascii="Arial" w:hAnsi="Arial" w:cs="Arial"/>
        </w:rPr>
        <w:t>8</w:t>
      </w:r>
    </w:p>
    <w:p w14:paraId="59EAFFEE" w14:textId="77777777" w:rsidR="00671AD7" w:rsidRPr="001322E8" w:rsidRDefault="00671AD7" w:rsidP="00671AD7">
      <w:pPr>
        <w:rPr>
          <w:rFonts w:ascii="Arial" w:hAnsi="Arial" w:cs="Arial"/>
        </w:rPr>
      </w:pPr>
    </w:p>
    <w:p w14:paraId="27692521" w14:textId="77777777" w:rsidR="00671AD7" w:rsidRPr="001322E8" w:rsidRDefault="00671AD7" w:rsidP="00671AD7">
      <w:pPr>
        <w:rPr>
          <w:rFonts w:ascii="Arial" w:hAnsi="Arial" w:cs="Arial"/>
        </w:rPr>
      </w:pPr>
    </w:p>
    <w:p w14:paraId="22524F01" w14:textId="77777777" w:rsidR="00671AD7" w:rsidRPr="001322E8" w:rsidRDefault="00671AD7" w:rsidP="00671AD7">
      <w:pPr>
        <w:rPr>
          <w:rFonts w:ascii="Arial" w:hAnsi="Arial" w:cs="Arial"/>
        </w:rPr>
      </w:pPr>
    </w:p>
    <w:p w14:paraId="4AADAA49" w14:textId="5790850D" w:rsidR="00671AD7" w:rsidRPr="00FD58B3" w:rsidRDefault="00671AD7" w:rsidP="00671AD7">
      <w:pPr>
        <w:autoSpaceDE w:val="0"/>
        <w:autoSpaceDN w:val="0"/>
        <w:adjustRightInd w:val="0"/>
        <w:rPr>
          <w:rFonts w:ascii="Arial" w:hAnsi="Arial" w:cs="Arial"/>
          <w:color w:val="000000"/>
          <w:sz w:val="16"/>
          <w:szCs w:val="18"/>
        </w:rPr>
      </w:pPr>
      <w:r w:rsidRPr="001322E8">
        <w:rPr>
          <w:rFonts w:ascii="Arial" w:hAnsi="Arial" w:cs="Arial"/>
          <w:color w:val="000000"/>
          <w:sz w:val="16"/>
          <w:szCs w:val="18"/>
        </w:rPr>
        <w:t xml:space="preserve">This document has been developed as a general guide only. It is subject to, and does not replace or amend, the requirements of the </w:t>
      </w:r>
      <w:hyperlink r:id="rId13" w:history="1">
        <w:r w:rsidRPr="001322E8">
          <w:rPr>
            <w:rStyle w:val="Hyperlink"/>
            <w:rFonts w:ascii="Arial" w:hAnsi="Arial" w:cs="Arial"/>
            <w:i/>
            <w:iCs/>
            <w:sz w:val="16"/>
            <w:szCs w:val="18"/>
          </w:rPr>
          <w:t>Offshore Petroleum and Greenhouse Gas Storage Act 2006</w:t>
        </w:r>
      </w:hyperlink>
      <w:r w:rsidRPr="00A53D82">
        <w:rPr>
          <w:rFonts w:ascii="Arial" w:hAnsi="Arial" w:cs="Arial"/>
          <w:iCs/>
          <w:sz w:val="16"/>
          <w:szCs w:val="18"/>
        </w:rPr>
        <w:t xml:space="preserve"> </w:t>
      </w:r>
      <w:r w:rsidRPr="001322E8">
        <w:rPr>
          <w:rFonts w:ascii="Arial" w:hAnsi="Arial" w:cs="Arial"/>
          <w:color w:val="000000"/>
          <w:sz w:val="16"/>
          <w:szCs w:val="18"/>
        </w:rPr>
        <w:t>and associated Regulations, which should be read in conjunction with thi</w:t>
      </w:r>
      <w:r w:rsidRPr="00FD58B3">
        <w:rPr>
          <w:rFonts w:ascii="Arial" w:hAnsi="Arial" w:cs="Arial"/>
          <w:color w:val="000000"/>
          <w:sz w:val="16"/>
          <w:szCs w:val="18"/>
        </w:rPr>
        <w:t>s guideline.</w:t>
      </w:r>
    </w:p>
    <w:p w14:paraId="2A946BB7" w14:textId="77777777" w:rsidR="00671AD7" w:rsidRPr="001322E8" w:rsidRDefault="00671AD7" w:rsidP="00671AD7">
      <w:pPr>
        <w:autoSpaceDE w:val="0"/>
        <w:autoSpaceDN w:val="0"/>
        <w:adjustRightInd w:val="0"/>
        <w:rPr>
          <w:rFonts w:ascii="Arial" w:hAnsi="Arial" w:cs="Arial"/>
          <w:color w:val="000000"/>
          <w:sz w:val="16"/>
          <w:szCs w:val="18"/>
        </w:rPr>
      </w:pPr>
      <w:r w:rsidRPr="008C4302">
        <w:rPr>
          <w:rFonts w:ascii="Arial" w:hAnsi="Arial" w:cs="Arial"/>
          <w:color w:val="000000"/>
          <w:sz w:val="16"/>
          <w:szCs w:val="18"/>
        </w:rPr>
        <w:t xml:space="preserve">This guideline is made available by the Australian Government for information only. Before relying on this material, users should carefully evaluate the accuracy, currency, completeness and relevance of the information and obtain independent, </w:t>
      </w:r>
      <w:r w:rsidRPr="001322E8">
        <w:rPr>
          <w:rFonts w:ascii="Arial" w:hAnsi="Arial" w:cs="Arial"/>
          <w:color w:val="000000"/>
          <w:sz w:val="16"/>
          <w:szCs w:val="18"/>
        </w:rPr>
        <w:t xml:space="preserve">legal or other professional advice relevant to their particular circumstances. </w:t>
      </w:r>
    </w:p>
    <w:p w14:paraId="6BC275F1" w14:textId="57A2D690" w:rsidR="00671AD7" w:rsidRPr="001322E8" w:rsidRDefault="00671AD7" w:rsidP="00671AD7">
      <w:pPr>
        <w:rPr>
          <w:rFonts w:ascii="Arial" w:hAnsi="Arial" w:cs="Arial"/>
        </w:rPr>
      </w:pPr>
      <w:r w:rsidRPr="001322E8">
        <w:rPr>
          <w:rFonts w:ascii="Arial" w:hAnsi="Arial" w:cs="Arial"/>
          <w:color w:val="000000"/>
          <w:sz w:val="16"/>
          <w:szCs w:val="18"/>
        </w:rPr>
        <w:t xml:space="preserve">This document has been prepared by the </w:t>
      </w:r>
      <w:hyperlink w:history="1">
        <w:r w:rsidR="002671BB" w:rsidRPr="002671BB">
          <w:rPr>
            <w:rStyle w:val="Hyperlink"/>
            <w:rFonts w:ascii="Arial" w:hAnsi="Arial" w:cs="Arial"/>
            <w:sz w:val="16"/>
            <w:szCs w:val="18"/>
          </w:rPr>
          <w:t xml:space="preserve">Australian Government Department of Industry, Science, Energy and Resources </w:t>
        </w:r>
      </w:hyperlink>
      <w:r w:rsidRPr="00A53D82">
        <w:rPr>
          <w:rFonts w:ascii="Arial" w:hAnsi="Arial" w:cs="Arial"/>
          <w:color w:val="000000"/>
          <w:sz w:val="16"/>
          <w:szCs w:val="18"/>
        </w:rPr>
        <w:t>. It wi</w:t>
      </w:r>
      <w:r w:rsidRPr="001322E8">
        <w:rPr>
          <w:rFonts w:ascii="Arial" w:hAnsi="Arial" w:cs="Arial"/>
          <w:color w:val="000000"/>
          <w:sz w:val="16"/>
          <w:szCs w:val="18"/>
        </w:rPr>
        <w:t xml:space="preserve">ll be reviewed and updated as required. </w:t>
      </w:r>
      <w:r w:rsidRPr="00FD58B3">
        <w:rPr>
          <w:rFonts w:ascii="Arial" w:hAnsi="Arial" w:cs="Arial"/>
          <w:color w:val="000000"/>
          <w:sz w:val="16"/>
          <w:szCs w:val="18"/>
        </w:rPr>
        <w:t xml:space="preserve">This document is available online at </w:t>
      </w:r>
      <w:hyperlink r:id="rId14" w:history="1">
        <w:r w:rsidRPr="001322E8">
          <w:rPr>
            <w:rStyle w:val="Hyperlink"/>
            <w:rFonts w:ascii="Arial" w:hAnsi="Arial" w:cs="Arial"/>
            <w:sz w:val="16"/>
            <w:szCs w:val="18"/>
          </w:rPr>
          <w:t>www.nopta.gov.au</w:t>
        </w:r>
      </w:hyperlink>
      <w:r w:rsidRPr="00A53D82">
        <w:rPr>
          <w:rFonts w:ascii="Arial" w:hAnsi="Arial" w:cs="Arial"/>
          <w:color w:val="0000FF"/>
          <w:sz w:val="16"/>
          <w:szCs w:val="18"/>
        </w:rPr>
        <w:t xml:space="preserve">. </w:t>
      </w:r>
    </w:p>
    <w:p w14:paraId="4439146A" w14:textId="77777777" w:rsidR="00671AD7" w:rsidRPr="001322E8" w:rsidRDefault="00671AD7" w:rsidP="00671AD7">
      <w:pPr>
        <w:rPr>
          <w:rFonts w:ascii="Arial" w:hAnsi="Arial" w:cs="Arial"/>
          <w:sz w:val="28"/>
        </w:rPr>
        <w:sectPr w:rsidR="00671AD7" w:rsidRPr="001322E8" w:rsidSect="007F6F33">
          <w:headerReference w:type="even" r:id="rId15"/>
          <w:headerReference w:type="default" r:id="rId16"/>
          <w:footerReference w:type="even" r:id="rId17"/>
          <w:footerReference w:type="default" r:id="rId18"/>
          <w:headerReference w:type="first" r:id="rId19"/>
          <w:footerReference w:type="first" r:id="rId20"/>
          <w:pgSz w:w="11906" w:h="16838"/>
          <w:pgMar w:top="851" w:right="1440" w:bottom="851" w:left="1440" w:header="567" w:footer="567" w:gutter="0"/>
          <w:cols w:space="708"/>
          <w:titlePg/>
          <w:docGrid w:linePitch="360"/>
        </w:sectPr>
      </w:pPr>
    </w:p>
    <w:p w14:paraId="1E338AD3" w14:textId="7DB5D854" w:rsidR="00671AD7" w:rsidRPr="001322E8" w:rsidRDefault="00671AD7" w:rsidP="00671AD7">
      <w:pPr>
        <w:rPr>
          <w:rFonts w:ascii="Arial" w:hAnsi="Arial" w:cs="Arial"/>
          <w:sz w:val="28"/>
        </w:rPr>
      </w:pPr>
    </w:p>
    <w:sdt>
      <w:sdtPr>
        <w:rPr>
          <w:rFonts w:ascii="Arial" w:eastAsia="Times New Roman" w:hAnsi="Arial" w:cs="Arial"/>
          <w:color w:val="auto"/>
          <w:sz w:val="24"/>
          <w:szCs w:val="24"/>
          <w:lang w:val="en-AU" w:eastAsia="en-AU"/>
        </w:rPr>
        <w:id w:val="-264851487"/>
        <w:docPartObj>
          <w:docPartGallery w:val="Table of Contents"/>
          <w:docPartUnique/>
        </w:docPartObj>
      </w:sdtPr>
      <w:sdtEndPr>
        <w:rPr>
          <w:rFonts w:eastAsiaTheme="minorHAnsi"/>
          <w:b/>
          <w:bCs/>
          <w:noProof/>
          <w:lang w:eastAsia="en-US"/>
        </w:rPr>
      </w:sdtEndPr>
      <w:sdtContent>
        <w:p w14:paraId="3A618643" w14:textId="77777777" w:rsidR="00671AD7" w:rsidRPr="001322E8" w:rsidRDefault="00671AD7" w:rsidP="00671AD7">
          <w:pPr>
            <w:pStyle w:val="TOCHeading"/>
            <w:rPr>
              <w:rFonts w:ascii="Arial" w:hAnsi="Arial" w:cs="Arial"/>
              <w:b/>
              <w:color w:val="auto"/>
            </w:rPr>
          </w:pPr>
          <w:r w:rsidRPr="001322E8">
            <w:rPr>
              <w:rFonts w:ascii="Arial" w:hAnsi="Arial" w:cs="Arial"/>
              <w:b/>
              <w:color w:val="auto"/>
            </w:rPr>
            <w:t>Contents</w:t>
          </w:r>
        </w:p>
        <w:p w14:paraId="395DE3C3" w14:textId="77777777" w:rsidR="00FD0301" w:rsidRDefault="00671AD7">
          <w:pPr>
            <w:pStyle w:val="TOC1"/>
            <w:rPr>
              <w:rFonts w:asciiTheme="minorHAnsi" w:eastAsiaTheme="minorEastAsia" w:hAnsiTheme="minorHAnsi" w:cstheme="minorBidi"/>
            </w:rPr>
          </w:pPr>
          <w:r w:rsidRPr="007F6F33">
            <w:rPr>
              <w:rFonts w:eastAsia="Times New Roman"/>
              <w:noProof w:val="0"/>
            </w:rPr>
            <w:fldChar w:fldCharType="begin"/>
          </w:r>
          <w:r w:rsidRPr="001322E8">
            <w:instrText xml:space="preserve"> TOC \o "1-3" \h \z \u </w:instrText>
          </w:r>
          <w:r w:rsidRPr="007F6F33">
            <w:rPr>
              <w:rFonts w:eastAsia="Times New Roman"/>
              <w:noProof w:val="0"/>
            </w:rPr>
            <w:fldChar w:fldCharType="separate"/>
          </w:r>
          <w:hyperlink w:anchor="_Toc511217949" w:history="1">
            <w:r w:rsidR="00FD0301" w:rsidRPr="00040E2C">
              <w:rPr>
                <w:rStyle w:val="Hyperlink"/>
              </w:rPr>
              <w:t>1.</w:t>
            </w:r>
            <w:r w:rsidR="00FD0301">
              <w:rPr>
                <w:rFonts w:asciiTheme="minorHAnsi" w:eastAsiaTheme="minorEastAsia" w:hAnsiTheme="minorHAnsi" w:cstheme="minorBidi"/>
              </w:rPr>
              <w:tab/>
            </w:r>
            <w:r w:rsidR="00FD0301" w:rsidRPr="00040E2C">
              <w:rPr>
                <w:rStyle w:val="Hyperlink"/>
              </w:rPr>
              <w:t>Purpose</w:t>
            </w:r>
            <w:r w:rsidR="00FD0301">
              <w:rPr>
                <w:webHidden/>
              </w:rPr>
              <w:tab/>
            </w:r>
            <w:r w:rsidR="00FD0301">
              <w:rPr>
                <w:webHidden/>
              </w:rPr>
              <w:fldChar w:fldCharType="begin"/>
            </w:r>
            <w:r w:rsidR="00FD0301">
              <w:rPr>
                <w:webHidden/>
              </w:rPr>
              <w:instrText xml:space="preserve"> PAGEREF _Toc511217949 \h </w:instrText>
            </w:r>
            <w:r w:rsidR="00FD0301">
              <w:rPr>
                <w:webHidden/>
              </w:rPr>
            </w:r>
            <w:r w:rsidR="00FD0301">
              <w:rPr>
                <w:webHidden/>
              </w:rPr>
              <w:fldChar w:fldCharType="separate"/>
            </w:r>
            <w:r w:rsidR="00041BB1">
              <w:rPr>
                <w:webHidden/>
              </w:rPr>
              <w:t>3</w:t>
            </w:r>
            <w:r w:rsidR="00FD0301">
              <w:rPr>
                <w:webHidden/>
              </w:rPr>
              <w:fldChar w:fldCharType="end"/>
            </w:r>
          </w:hyperlink>
        </w:p>
        <w:p w14:paraId="61F77931" w14:textId="77777777" w:rsidR="00FD0301" w:rsidRDefault="005F0D07">
          <w:pPr>
            <w:pStyle w:val="TOC1"/>
            <w:rPr>
              <w:rFonts w:asciiTheme="minorHAnsi" w:eastAsiaTheme="minorEastAsia" w:hAnsiTheme="minorHAnsi" w:cstheme="minorBidi"/>
            </w:rPr>
          </w:pPr>
          <w:hyperlink w:anchor="_Toc511217950" w:history="1">
            <w:r w:rsidR="00FD0301" w:rsidRPr="00040E2C">
              <w:rPr>
                <w:rStyle w:val="Hyperlink"/>
              </w:rPr>
              <w:t>2.</w:t>
            </w:r>
            <w:r w:rsidR="00FD0301">
              <w:rPr>
                <w:rFonts w:asciiTheme="minorHAnsi" w:eastAsiaTheme="minorEastAsia" w:hAnsiTheme="minorHAnsi" w:cstheme="minorBidi"/>
              </w:rPr>
              <w:tab/>
            </w:r>
            <w:r w:rsidR="00FD0301" w:rsidRPr="00040E2C">
              <w:rPr>
                <w:rStyle w:val="Hyperlink"/>
              </w:rPr>
              <w:t>Overview</w:t>
            </w:r>
            <w:r w:rsidR="00FD0301">
              <w:rPr>
                <w:webHidden/>
              </w:rPr>
              <w:tab/>
            </w:r>
            <w:r w:rsidR="00FD0301">
              <w:rPr>
                <w:webHidden/>
              </w:rPr>
              <w:fldChar w:fldCharType="begin"/>
            </w:r>
            <w:r w:rsidR="00FD0301">
              <w:rPr>
                <w:webHidden/>
              </w:rPr>
              <w:instrText xml:space="preserve"> PAGEREF _Toc511217950 \h </w:instrText>
            </w:r>
            <w:r w:rsidR="00FD0301">
              <w:rPr>
                <w:webHidden/>
              </w:rPr>
            </w:r>
            <w:r w:rsidR="00FD0301">
              <w:rPr>
                <w:webHidden/>
              </w:rPr>
              <w:fldChar w:fldCharType="separate"/>
            </w:r>
            <w:r w:rsidR="00041BB1">
              <w:rPr>
                <w:webHidden/>
              </w:rPr>
              <w:t>3</w:t>
            </w:r>
            <w:r w:rsidR="00FD0301">
              <w:rPr>
                <w:webHidden/>
              </w:rPr>
              <w:fldChar w:fldCharType="end"/>
            </w:r>
          </w:hyperlink>
        </w:p>
        <w:p w14:paraId="6DF14655" w14:textId="77777777" w:rsidR="00FD0301" w:rsidRDefault="005F0D07">
          <w:pPr>
            <w:pStyle w:val="TOC1"/>
            <w:rPr>
              <w:rFonts w:asciiTheme="minorHAnsi" w:eastAsiaTheme="minorEastAsia" w:hAnsiTheme="minorHAnsi" w:cstheme="minorBidi"/>
            </w:rPr>
          </w:pPr>
          <w:hyperlink w:anchor="_Toc511217951" w:history="1">
            <w:r w:rsidR="00FD0301" w:rsidRPr="00040E2C">
              <w:rPr>
                <w:rStyle w:val="Hyperlink"/>
              </w:rPr>
              <w:t>3.</w:t>
            </w:r>
            <w:r w:rsidR="00FD0301">
              <w:rPr>
                <w:rFonts w:asciiTheme="minorHAnsi" w:eastAsiaTheme="minorEastAsia" w:hAnsiTheme="minorHAnsi" w:cstheme="minorBidi"/>
              </w:rPr>
              <w:tab/>
            </w:r>
            <w:r w:rsidR="00FD0301" w:rsidRPr="00040E2C">
              <w:rPr>
                <w:rStyle w:val="Hyperlink"/>
              </w:rPr>
              <w:t>Assessment timeframes</w:t>
            </w:r>
            <w:r w:rsidR="00FD0301">
              <w:rPr>
                <w:webHidden/>
              </w:rPr>
              <w:tab/>
            </w:r>
            <w:r w:rsidR="00FD0301">
              <w:rPr>
                <w:webHidden/>
              </w:rPr>
              <w:fldChar w:fldCharType="begin"/>
            </w:r>
            <w:r w:rsidR="00FD0301">
              <w:rPr>
                <w:webHidden/>
              </w:rPr>
              <w:instrText xml:space="preserve"> PAGEREF _Toc511217951 \h </w:instrText>
            </w:r>
            <w:r w:rsidR="00FD0301">
              <w:rPr>
                <w:webHidden/>
              </w:rPr>
            </w:r>
            <w:r w:rsidR="00FD0301">
              <w:rPr>
                <w:webHidden/>
              </w:rPr>
              <w:fldChar w:fldCharType="separate"/>
            </w:r>
            <w:r w:rsidR="00041BB1">
              <w:rPr>
                <w:webHidden/>
              </w:rPr>
              <w:t>4</w:t>
            </w:r>
            <w:r w:rsidR="00FD0301">
              <w:rPr>
                <w:webHidden/>
              </w:rPr>
              <w:fldChar w:fldCharType="end"/>
            </w:r>
          </w:hyperlink>
        </w:p>
        <w:p w14:paraId="5C241C8B" w14:textId="77777777" w:rsidR="00FD0301" w:rsidRDefault="005F0D07">
          <w:pPr>
            <w:pStyle w:val="TOC1"/>
            <w:rPr>
              <w:rFonts w:asciiTheme="minorHAnsi" w:eastAsiaTheme="minorEastAsia" w:hAnsiTheme="minorHAnsi" w:cstheme="minorBidi"/>
            </w:rPr>
          </w:pPr>
          <w:hyperlink w:anchor="_Toc511217952" w:history="1">
            <w:r w:rsidR="00FD0301" w:rsidRPr="00040E2C">
              <w:rPr>
                <w:rStyle w:val="Hyperlink"/>
              </w:rPr>
              <w:t>4.</w:t>
            </w:r>
            <w:r w:rsidR="00FD0301">
              <w:rPr>
                <w:rFonts w:asciiTheme="minorHAnsi" w:eastAsiaTheme="minorEastAsia" w:hAnsiTheme="minorHAnsi" w:cstheme="minorBidi"/>
              </w:rPr>
              <w:tab/>
            </w:r>
            <w:r w:rsidR="00FD0301" w:rsidRPr="00040E2C">
              <w:rPr>
                <w:rStyle w:val="Hyperlink"/>
              </w:rPr>
              <w:t>Time limit for lodging an application</w:t>
            </w:r>
            <w:r w:rsidR="00FD0301">
              <w:rPr>
                <w:webHidden/>
              </w:rPr>
              <w:tab/>
            </w:r>
            <w:r w:rsidR="00FD0301">
              <w:rPr>
                <w:webHidden/>
              </w:rPr>
              <w:fldChar w:fldCharType="begin"/>
            </w:r>
            <w:r w:rsidR="00FD0301">
              <w:rPr>
                <w:webHidden/>
              </w:rPr>
              <w:instrText xml:space="preserve"> PAGEREF _Toc511217952 \h </w:instrText>
            </w:r>
            <w:r w:rsidR="00FD0301">
              <w:rPr>
                <w:webHidden/>
              </w:rPr>
            </w:r>
            <w:r w:rsidR="00FD0301">
              <w:rPr>
                <w:webHidden/>
              </w:rPr>
              <w:fldChar w:fldCharType="separate"/>
            </w:r>
            <w:r w:rsidR="00041BB1">
              <w:rPr>
                <w:webHidden/>
              </w:rPr>
              <w:t>4</w:t>
            </w:r>
            <w:r w:rsidR="00FD0301">
              <w:rPr>
                <w:webHidden/>
              </w:rPr>
              <w:fldChar w:fldCharType="end"/>
            </w:r>
          </w:hyperlink>
        </w:p>
        <w:p w14:paraId="7067EF76" w14:textId="77777777" w:rsidR="00FD0301" w:rsidRDefault="005F0D07">
          <w:pPr>
            <w:pStyle w:val="TOC1"/>
            <w:rPr>
              <w:rFonts w:asciiTheme="minorHAnsi" w:eastAsiaTheme="minorEastAsia" w:hAnsiTheme="minorHAnsi" w:cstheme="minorBidi"/>
            </w:rPr>
          </w:pPr>
          <w:hyperlink w:anchor="_Toc511217953" w:history="1">
            <w:r w:rsidR="00FD0301" w:rsidRPr="00040E2C">
              <w:rPr>
                <w:rStyle w:val="Hyperlink"/>
              </w:rPr>
              <w:t>5.</w:t>
            </w:r>
            <w:r w:rsidR="00FD0301">
              <w:rPr>
                <w:rFonts w:asciiTheme="minorHAnsi" w:eastAsiaTheme="minorEastAsia" w:hAnsiTheme="minorHAnsi" w:cstheme="minorBidi"/>
              </w:rPr>
              <w:tab/>
            </w:r>
            <w:r w:rsidR="00FD0301" w:rsidRPr="00040E2C">
              <w:rPr>
                <w:rStyle w:val="Hyperlink"/>
              </w:rPr>
              <w:t>Transfer of title</w:t>
            </w:r>
            <w:r w:rsidR="00FD0301">
              <w:rPr>
                <w:webHidden/>
              </w:rPr>
              <w:tab/>
            </w:r>
            <w:r w:rsidR="00FD0301">
              <w:rPr>
                <w:webHidden/>
              </w:rPr>
              <w:fldChar w:fldCharType="begin"/>
            </w:r>
            <w:r w:rsidR="00FD0301">
              <w:rPr>
                <w:webHidden/>
              </w:rPr>
              <w:instrText xml:space="preserve"> PAGEREF _Toc511217953 \h </w:instrText>
            </w:r>
            <w:r w:rsidR="00FD0301">
              <w:rPr>
                <w:webHidden/>
              </w:rPr>
            </w:r>
            <w:r w:rsidR="00FD0301">
              <w:rPr>
                <w:webHidden/>
              </w:rPr>
              <w:fldChar w:fldCharType="separate"/>
            </w:r>
            <w:r w:rsidR="00041BB1">
              <w:rPr>
                <w:webHidden/>
              </w:rPr>
              <w:t>5</w:t>
            </w:r>
            <w:r w:rsidR="00FD0301">
              <w:rPr>
                <w:webHidden/>
              </w:rPr>
              <w:fldChar w:fldCharType="end"/>
            </w:r>
          </w:hyperlink>
        </w:p>
        <w:p w14:paraId="5E5A8271" w14:textId="77777777" w:rsidR="00FD0301" w:rsidRDefault="005F0D07">
          <w:pPr>
            <w:pStyle w:val="TOC1"/>
            <w:rPr>
              <w:rFonts w:asciiTheme="minorHAnsi" w:eastAsiaTheme="minorEastAsia" w:hAnsiTheme="minorHAnsi" w:cstheme="minorBidi"/>
            </w:rPr>
          </w:pPr>
          <w:hyperlink w:anchor="_Toc511217954" w:history="1">
            <w:r w:rsidR="00FD0301" w:rsidRPr="00040E2C">
              <w:rPr>
                <w:rStyle w:val="Hyperlink"/>
              </w:rPr>
              <w:t>6.</w:t>
            </w:r>
            <w:r w:rsidR="00FD0301">
              <w:rPr>
                <w:rFonts w:asciiTheme="minorHAnsi" w:eastAsiaTheme="minorEastAsia" w:hAnsiTheme="minorHAnsi" w:cstheme="minorBidi"/>
              </w:rPr>
              <w:tab/>
            </w:r>
            <w:r w:rsidR="00FD0301" w:rsidRPr="00040E2C">
              <w:rPr>
                <w:rStyle w:val="Hyperlink"/>
              </w:rPr>
              <w:t>Dealings affecting an existing title</w:t>
            </w:r>
            <w:r w:rsidR="00FD0301">
              <w:rPr>
                <w:webHidden/>
              </w:rPr>
              <w:tab/>
            </w:r>
            <w:r w:rsidR="00FD0301">
              <w:rPr>
                <w:webHidden/>
              </w:rPr>
              <w:fldChar w:fldCharType="begin"/>
            </w:r>
            <w:r w:rsidR="00FD0301">
              <w:rPr>
                <w:webHidden/>
              </w:rPr>
              <w:instrText xml:space="preserve"> PAGEREF _Toc511217954 \h </w:instrText>
            </w:r>
            <w:r w:rsidR="00FD0301">
              <w:rPr>
                <w:webHidden/>
              </w:rPr>
            </w:r>
            <w:r w:rsidR="00FD0301">
              <w:rPr>
                <w:webHidden/>
              </w:rPr>
              <w:fldChar w:fldCharType="separate"/>
            </w:r>
            <w:r w:rsidR="00041BB1">
              <w:rPr>
                <w:webHidden/>
              </w:rPr>
              <w:t>8</w:t>
            </w:r>
            <w:r w:rsidR="00FD0301">
              <w:rPr>
                <w:webHidden/>
              </w:rPr>
              <w:fldChar w:fldCharType="end"/>
            </w:r>
          </w:hyperlink>
        </w:p>
        <w:p w14:paraId="514B1D90" w14:textId="77777777" w:rsidR="00FD0301" w:rsidRDefault="005F0D07">
          <w:pPr>
            <w:pStyle w:val="TOC1"/>
            <w:rPr>
              <w:rFonts w:asciiTheme="minorHAnsi" w:eastAsiaTheme="minorEastAsia" w:hAnsiTheme="minorHAnsi" w:cstheme="minorBidi"/>
            </w:rPr>
          </w:pPr>
          <w:hyperlink w:anchor="_Toc511217955" w:history="1">
            <w:r w:rsidR="00FD0301" w:rsidRPr="00040E2C">
              <w:rPr>
                <w:rStyle w:val="Hyperlink"/>
              </w:rPr>
              <w:t>7.</w:t>
            </w:r>
            <w:r w:rsidR="00FD0301">
              <w:rPr>
                <w:rFonts w:asciiTheme="minorHAnsi" w:eastAsiaTheme="minorEastAsia" w:hAnsiTheme="minorHAnsi" w:cstheme="minorBidi"/>
              </w:rPr>
              <w:tab/>
            </w:r>
            <w:r w:rsidR="00FD0301" w:rsidRPr="00040E2C">
              <w:rPr>
                <w:rStyle w:val="Hyperlink"/>
              </w:rPr>
              <w:t>Dealings affecting a future title</w:t>
            </w:r>
            <w:r w:rsidR="00FD0301">
              <w:rPr>
                <w:webHidden/>
              </w:rPr>
              <w:tab/>
            </w:r>
            <w:r w:rsidR="00FD0301">
              <w:rPr>
                <w:webHidden/>
              </w:rPr>
              <w:fldChar w:fldCharType="begin"/>
            </w:r>
            <w:r w:rsidR="00FD0301">
              <w:rPr>
                <w:webHidden/>
              </w:rPr>
              <w:instrText xml:space="preserve"> PAGEREF _Toc511217955 \h </w:instrText>
            </w:r>
            <w:r w:rsidR="00FD0301">
              <w:rPr>
                <w:webHidden/>
              </w:rPr>
            </w:r>
            <w:r w:rsidR="00FD0301">
              <w:rPr>
                <w:webHidden/>
              </w:rPr>
              <w:fldChar w:fldCharType="separate"/>
            </w:r>
            <w:r w:rsidR="00041BB1">
              <w:rPr>
                <w:webHidden/>
              </w:rPr>
              <w:t>9</w:t>
            </w:r>
            <w:r w:rsidR="00FD0301">
              <w:rPr>
                <w:webHidden/>
              </w:rPr>
              <w:fldChar w:fldCharType="end"/>
            </w:r>
          </w:hyperlink>
        </w:p>
        <w:p w14:paraId="49BA0876" w14:textId="77777777" w:rsidR="00FD0301" w:rsidRDefault="005F0D07">
          <w:pPr>
            <w:pStyle w:val="TOC1"/>
            <w:rPr>
              <w:rFonts w:asciiTheme="minorHAnsi" w:eastAsiaTheme="minorEastAsia" w:hAnsiTheme="minorHAnsi" w:cstheme="minorBidi"/>
            </w:rPr>
          </w:pPr>
          <w:hyperlink w:anchor="_Toc511217956" w:history="1">
            <w:r w:rsidR="00FD0301" w:rsidRPr="00040E2C">
              <w:rPr>
                <w:rStyle w:val="Hyperlink"/>
              </w:rPr>
              <w:t>8.</w:t>
            </w:r>
            <w:r w:rsidR="00FD0301">
              <w:rPr>
                <w:rFonts w:asciiTheme="minorHAnsi" w:eastAsiaTheme="minorEastAsia" w:hAnsiTheme="minorHAnsi" w:cstheme="minorBidi"/>
              </w:rPr>
              <w:tab/>
            </w:r>
            <w:r w:rsidR="00FD0301" w:rsidRPr="00040E2C">
              <w:rPr>
                <w:rStyle w:val="Hyperlink"/>
              </w:rPr>
              <w:t>Change of company name applications</w:t>
            </w:r>
            <w:r w:rsidR="00FD0301">
              <w:rPr>
                <w:webHidden/>
              </w:rPr>
              <w:tab/>
            </w:r>
            <w:r w:rsidR="00FD0301">
              <w:rPr>
                <w:webHidden/>
              </w:rPr>
              <w:fldChar w:fldCharType="begin"/>
            </w:r>
            <w:r w:rsidR="00FD0301">
              <w:rPr>
                <w:webHidden/>
              </w:rPr>
              <w:instrText xml:space="preserve"> PAGEREF _Toc511217956 \h </w:instrText>
            </w:r>
            <w:r w:rsidR="00FD0301">
              <w:rPr>
                <w:webHidden/>
              </w:rPr>
            </w:r>
            <w:r w:rsidR="00FD0301">
              <w:rPr>
                <w:webHidden/>
              </w:rPr>
              <w:fldChar w:fldCharType="separate"/>
            </w:r>
            <w:r w:rsidR="00041BB1">
              <w:rPr>
                <w:webHidden/>
              </w:rPr>
              <w:t>10</w:t>
            </w:r>
            <w:r w:rsidR="00FD0301">
              <w:rPr>
                <w:webHidden/>
              </w:rPr>
              <w:fldChar w:fldCharType="end"/>
            </w:r>
          </w:hyperlink>
        </w:p>
        <w:p w14:paraId="00E366F8" w14:textId="77777777" w:rsidR="00FD0301" w:rsidRDefault="005F0D07">
          <w:pPr>
            <w:pStyle w:val="TOC1"/>
            <w:rPr>
              <w:rFonts w:asciiTheme="minorHAnsi" w:eastAsiaTheme="minorEastAsia" w:hAnsiTheme="minorHAnsi" w:cstheme="minorBidi"/>
            </w:rPr>
          </w:pPr>
          <w:hyperlink w:anchor="_Toc511217957" w:history="1">
            <w:r w:rsidR="00FD0301" w:rsidRPr="00040E2C">
              <w:rPr>
                <w:rStyle w:val="Hyperlink"/>
              </w:rPr>
              <w:t>Attachment 1 – Additional examples of possible funding sources</w:t>
            </w:r>
            <w:r w:rsidR="00FD0301">
              <w:rPr>
                <w:webHidden/>
              </w:rPr>
              <w:tab/>
            </w:r>
            <w:r w:rsidR="00FD0301">
              <w:rPr>
                <w:webHidden/>
              </w:rPr>
              <w:fldChar w:fldCharType="begin"/>
            </w:r>
            <w:r w:rsidR="00FD0301">
              <w:rPr>
                <w:webHidden/>
              </w:rPr>
              <w:instrText xml:space="preserve"> PAGEREF _Toc511217957 \h </w:instrText>
            </w:r>
            <w:r w:rsidR="00FD0301">
              <w:rPr>
                <w:webHidden/>
              </w:rPr>
            </w:r>
            <w:r w:rsidR="00FD0301">
              <w:rPr>
                <w:webHidden/>
              </w:rPr>
              <w:fldChar w:fldCharType="separate"/>
            </w:r>
            <w:r w:rsidR="00041BB1">
              <w:rPr>
                <w:webHidden/>
              </w:rPr>
              <w:t>11</w:t>
            </w:r>
            <w:r w:rsidR="00FD0301">
              <w:rPr>
                <w:webHidden/>
              </w:rPr>
              <w:fldChar w:fldCharType="end"/>
            </w:r>
          </w:hyperlink>
        </w:p>
        <w:p w14:paraId="2EF1F23D" w14:textId="77777777" w:rsidR="00FD0301" w:rsidRDefault="005F0D07">
          <w:pPr>
            <w:pStyle w:val="TOC1"/>
            <w:rPr>
              <w:rFonts w:asciiTheme="minorHAnsi" w:eastAsiaTheme="minorEastAsia" w:hAnsiTheme="minorHAnsi" w:cstheme="minorBidi"/>
            </w:rPr>
          </w:pPr>
          <w:hyperlink w:anchor="_Toc511217958" w:history="1">
            <w:r w:rsidR="00FD0301" w:rsidRPr="00040E2C">
              <w:rPr>
                <w:rStyle w:val="Hyperlink"/>
              </w:rPr>
              <w:t>Attachment 2 – Effects of dealings</w:t>
            </w:r>
            <w:r w:rsidR="00FD0301">
              <w:rPr>
                <w:webHidden/>
              </w:rPr>
              <w:tab/>
            </w:r>
            <w:r w:rsidR="00FD0301">
              <w:rPr>
                <w:webHidden/>
              </w:rPr>
              <w:fldChar w:fldCharType="begin"/>
            </w:r>
            <w:r w:rsidR="00FD0301">
              <w:rPr>
                <w:webHidden/>
              </w:rPr>
              <w:instrText xml:space="preserve"> PAGEREF _Toc511217958 \h </w:instrText>
            </w:r>
            <w:r w:rsidR="00FD0301">
              <w:rPr>
                <w:webHidden/>
              </w:rPr>
            </w:r>
            <w:r w:rsidR="00FD0301">
              <w:rPr>
                <w:webHidden/>
              </w:rPr>
              <w:fldChar w:fldCharType="separate"/>
            </w:r>
            <w:r w:rsidR="00041BB1">
              <w:rPr>
                <w:webHidden/>
              </w:rPr>
              <w:t>12</w:t>
            </w:r>
            <w:r w:rsidR="00FD0301">
              <w:rPr>
                <w:webHidden/>
              </w:rPr>
              <w:fldChar w:fldCharType="end"/>
            </w:r>
          </w:hyperlink>
        </w:p>
        <w:p w14:paraId="2E34F854" w14:textId="77777777" w:rsidR="00671AD7" w:rsidRPr="001322E8" w:rsidRDefault="00671AD7" w:rsidP="00671AD7">
          <w:pPr>
            <w:rPr>
              <w:rFonts w:ascii="Arial" w:hAnsi="Arial" w:cs="Arial"/>
            </w:rPr>
          </w:pPr>
          <w:r w:rsidRPr="007F6F33">
            <w:rPr>
              <w:rFonts w:ascii="Arial" w:hAnsi="Arial" w:cs="Arial"/>
              <w:b/>
              <w:bCs/>
              <w:noProof/>
              <w:sz w:val="22"/>
              <w:szCs w:val="22"/>
            </w:rPr>
            <w:fldChar w:fldCharType="end"/>
          </w:r>
        </w:p>
      </w:sdtContent>
    </w:sdt>
    <w:p w14:paraId="69607E7E" w14:textId="4EAAA642" w:rsidR="00396E90" w:rsidRPr="001322E8" w:rsidRDefault="00396E90" w:rsidP="007F6F33">
      <w:pPr>
        <w:jc w:val="center"/>
        <w:rPr>
          <w:rFonts w:ascii="Arial" w:hAnsi="Arial" w:cs="Arial"/>
          <w:b/>
          <w:bCs/>
          <w:kern w:val="32"/>
          <w:sz w:val="28"/>
          <w:szCs w:val="32"/>
        </w:rPr>
      </w:pPr>
    </w:p>
    <w:p w14:paraId="03B92106" w14:textId="70349DFF" w:rsidR="00E93468" w:rsidRPr="007F6F33" w:rsidRDefault="00396E90" w:rsidP="007F6F33">
      <w:pPr>
        <w:tabs>
          <w:tab w:val="center" w:pos="4513"/>
        </w:tabs>
        <w:rPr>
          <w:rFonts w:ascii="Arial" w:hAnsi="Arial" w:cs="Arial"/>
          <w:sz w:val="28"/>
          <w:szCs w:val="32"/>
        </w:rPr>
        <w:sectPr w:rsidR="00E93468" w:rsidRPr="007F6F33" w:rsidSect="007B22D9">
          <w:pgSz w:w="11906" w:h="16838"/>
          <w:pgMar w:top="851" w:right="1440" w:bottom="851" w:left="1440" w:header="567" w:footer="567" w:gutter="0"/>
          <w:cols w:space="708"/>
          <w:docGrid w:linePitch="360"/>
        </w:sectPr>
      </w:pPr>
      <w:r w:rsidRPr="001322E8">
        <w:rPr>
          <w:rFonts w:ascii="Arial" w:hAnsi="Arial" w:cs="Arial"/>
          <w:sz w:val="28"/>
          <w:szCs w:val="32"/>
        </w:rPr>
        <w:tab/>
      </w:r>
    </w:p>
    <w:p w14:paraId="1FCA34BB" w14:textId="485DC3C6" w:rsidR="00671AD7" w:rsidRPr="00A53D82" w:rsidRDefault="003D55D2" w:rsidP="00671AD7">
      <w:pPr>
        <w:pStyle w:val="Heading1"/>
        <w:ind w:hanging="454"/>
        <w:rPr>
          <w:rFonts w:ascii="Arial" w:hAnsi="Arial" w:cs="Arial"/>
        </w:rPr>
      </w:pPr>
      <w:bookmarkStart w:id="0" w:name="_Toc426365116"/>
      <w:bookmarkStart w:id="1" w:name="_Toc426365282"/>
      <w:bookmarkStart w:id="2" w:name="_Toc426450204"/>
      <w:bookmarkStart w:id="3" w:name="_Toc426455500"/>
      <w:bookmarkStart w:id="4" w:name="_Toc426455515"/>
      <w:bookmarkStart w:id="5" w:name="_Toc426466355"/>
      <w:bookmarkStart w:id="6" w:name="_Toc426470654"/>
      <w:bookmarkStart w:id="7" w:name="_Toc426472465"/>
      <w:bookmarkStart w:id="8" w:name="_Toc426472479"/>
      <w:bookmarkStart w:id="9" w:name="_Toc426532781"/>
      <w:bookmarkStart w:id="10" w:name="_Toc426532931"/>
      <w:bookmarkStart w:id="11" w:name="_Toc426542637"/>
      <w:bookmarkStart w:id="12" w:name="_Toc426542650"/>
      <w:bookmarkStart w:id="13" w:name="_Toc426559013"/>
      <w:bookmarkStart w:id="14" w:name="_Toc426623184"/>
      <w:bookmarkStart w:id="15" w:name="_Toc426635157"/>
      <w:bookmarkStart w:id="16" w:name="_Toc426639209"/>
      <w:bookmarkStart w:id="17" w:name="_Toc426640272"/>
      <w:bookmarkStart w:id="18" w:name="_Toc426988675"/>
      <w:bookmarkStart w:id="19" w:name="_Toc427067191"/>
      <w:bookmarkStart w:id="20" w:name="_Toc426365117"/>
      <w:bookmarkStart w:id="21" w:name="_Toc426365283"/>
      <w:bookmarkStart w:id="22" w:name="_Toc426450205"/>
      <w:bookmarkStart w:id="23" w:name="_Toc426455501"/>
      <w:bookmarkStart w:id="24" w:name="_Toc426455516"/>
      <w:bookmarkStart w:id="25" w:name="_Toc426466356"/>
      <w:bookmarkStart w:id="26" w:name="_Toc426470655"/>
      <w:bookmarkStart w:id="27" w:name="_Toc426472466"/>
      <w:bookmarkStart w:id="28" w:name="_Toc426472480"/>
      <w:bookmarkStart w:id="29" w:name="_Toc426532782"/>
      <w:bookmarkStart w:id="30" w:name="_Toc426532932"/>
      <w:bookmarkStart w:id="31" w:name="_Toc426542638"/>
      <w:bookmarkStart w:id="32" w:name="_Toc426542651"/>
      <w:bookmarkStart w:id="33" w:name="_Toc426559014"/>
      <w:bookmarkStart w:id="34" w:name="_Toc426623185"/>
      <w:bookmarkStart w:id="35" w:name="_Toc426635158"/>
      <w:bookmarkStart w:id="36" w:name="_Toc426639210"/>
      <w:bookmarkStart w:id="37" w:name="_Toc426640273"/>
      <w:bookmarkStart w:id="38" w:name="_Toc426988676"/>
      <w:bookmarkStart w:id="39" w:name="_Toc427067192"/>
      <w:bookmarkStart w:id="40" w:name="_Toc51121794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A53D82">
        <w:rPr>
          <w:rFonts w:ascii="Arial" w:hAnsi="Arial" w:cs="Arial"/>
        </w:rPr>
        <w:lastRenderedPageBreak/>
        <w:t>Purpose</w:t>
      </w:r>
      <w:bookmarkEnd w:id="40"/>
    </w:p>
    <w:p w14:paraId="25E5919C" w14:textId="55FB59C7" w:rsidR="00A81146" w:rsidRPr="007F6F33" w:rsidRDefault="00916D18" w:rsidP="00671AD7">
      <w:pPr>
        <w:rPr>
          <w:rFonts w:ascii="Arial" w:hAnsi="Arial" w:cs="Arial"/>
          <w:sz w:val="22"/>
          <w:szCs w:val="22"/>
        </w:rPr>
      </w:pPr>
      <w:r w:rsidRPr="002365B4">
        <w:rPr>
          <w:rFonts w:ascii="Arial" w:hAnsi="Arial" w:cs="Arial"/>
          <w:sz w:val="22"/>
          <w:szCs w:val="22"/>
        </w:rPr>
        <w:t>The purpose of this</w:t>
      </w:r>
      <w:r w:rsidRPr="007F6F33">
        <w:rPr>
          <w:rFonts w:ascii="Arial" w:hAnsi="Arial" w:cs="Arial"/>
          <w:sz w:val="22"/>
          <w:szCs w:val="22"/>
        </w:rPr>
        <w:t xml:space="preserve"> </w:t>
      </w:r>
      <w:r w:rsidR="00671AD7" w:rsidRPr="007F6F33">
        <w:rPr>
          <w:rFonts w:ascii="Arial" w:hAnsi="Arial" w:cs="Arial"/>
          <w:sz w:val="22"/>
          <w:szCs w:val="22"/>
        </w:rPr>
        <w:t>guideline</w:t>
      </w:r>
      <w:r w:rsidRPr="002365B4">
        <w:rPr>
          <w:rFonts w:ascii="Arial" w:hAnsi="Arial" w:cs="Arial"/>
          <w:sz w:val="22"/>
          <w:szCs w:val="22"/>
        </w:rPr>
        <w:t xml:space="preserve"> is to</w:t>
      </w:r>
      <w:r w:rsidR="00671AD7" w:rsidRPr="007F6F33">
        <w:rPr>
          <w:rFonts w:ascii="Arial" w:hAnsi="Arial" w:cs="Arial"/>
          <w:sz w:val="22"/>
          <w:szCs w:val="22"/>
        </w:rPr>
        <w:t xml:space="preserve"> </w:t>
      </w:r>
      <w:r w:rsidR="00BC64EA" w:rsidRPr="007F6F33">
        <w:rPr>
          <w:rFonts w:ascii="Arial" w:hAnsi="Arial" w:cs="Arial"/>
          <w:sz w:val="22"/>
          <w:szCs w:val="22"/>
        </w:rPr>
        <w:t xml:space="preserve">provide an overview of the </w:t>
      </w:r>
      <w:r w:rsidR="00DD7F73" w:rsidRPr="007F6F33">
        <w:rPr>
          <w:rFonts w:ascii="Arial" w:hAnsi="Arial" w:cs="Arial"/>
          <w:sz w:val="22"/>
          <w:szCs w:val="22"/>
        </w:rPr>
        <w:t>requirements</w:t>
      </w:r>
      <w:r w:rsidRPr="002365B4">
        <w:rPr>
          <w:rFonts w:ascii="Arial" w:hAnsi="Arial" w:cs="Arial"/>
          <w:sz w:val="22"/>
          <w:szCs w:val="22"/>
        </w:rPr>
        <w:t xml:space="preserve"> and processes </w:t>
      </w:r>
      <w:r w:rsidR="00A01AAE">
        <w:rPr>
          <w:rFonts w:ascii="Arial" w:hAnsi="Arial" w:cs="Arial"/>
          <w:sz w:val="22"/>
          <w:szCs w:val="22"/>
        </w:rPr>
        <w:t>for</w:t>
      </w:r>
      <w:r w:rsidRPr="002365B4">
        <w:rPr>
          <w:rFonts w:ascii="Arial" w:hAnsi="Arial" w:cs="Arial"/>
          <w:sz w:val="22"/>
          <w:szCs w:val="22"/>
        </w:rPr>
        <w:t xml:space="preserve"> an application to </w:t>
      </w:r>
      <w:r w:rsidR="00951B08">
        <w:rPr>
          <w:rFonts w:ascii="Arial" w:hAnsi="Arial" w:cs="Arial"/>
          <w:sz w:val="22"/>
          <w:szCs w:val="22"/>
        </w:rPr>
        <w:t xml:space="preserve">approve and </w:t>
      </w:r>
      <w:r w:rsidRPr="002365B4">
        <w:rPr>
          <w:rFonts w:ascii="Arial" w:hAnsi="Arial" w:cs="Arial"/>
          <w:sz w:val="22"/>
          <w:szCs w:val="22"/>
        </w:rPr>
        <w:t xml:space="preserve">register </w:t>
      </w:r>
      <w:r w:rsidR="003C6798" w:rsidRPr="007F6F33">
        <w:rPr>
          <w:rFonts w:ascii="Arial" w:hAnsi="Arial" w:cs="Arial"/>
          <w:sz w:val="22"/>
          <w:szCs w:val="22"/>
        </w:rPr>
        <w:t>transfers and</w:t>
      </w:r>
      <w:r w:rsidRPr="002365B4">
        <w:rPr>
          <w:rFonts w:ascii="Arial" w:hAnsi="Arial" w:cs="Arial"/>
          <w:sz w:val="22"/>
          <w:szCs w:val="22"/>
        </w:rPr>
        <w:t>/or</w:t>
      </w:r>
      <w:r w:rsidR="003C6798" w:rsidRPr="007F6F33">
        <w:rPr>
          <w:rFonts w:ascii="Arial" w:hAnsi="Arial" w:cs="Arial"/>
          <w:sz w:val="22"/>
          <w:szCs w:val="22"/>
        </w:rPr>
        <w:t xml:space="preserve"> dealings</w:t>
      </w:r>
      <w:r w:rsidR="00A95076" w:rsidRPr="007F6F33">
        <w:rPr>
          <w:rFonts w:ascii="Arial" w:hAnsi="Arial" w:cs="Arial"/>
          <w:sz w:val="22"/>
          <w:szCs w:val="22"/>
        </w:rPr>
        <w:t xml:space="preserve"> </w:t>
      </w:r>
      <w:r w:rsidR="00CF48B7">
        <w:rPr>
          <w:rFonts w:ascii="Arial" w:hAnsi="Arial" w:cs="Arial"/>
          <w:sz w:val="22"/>
          <w:szCs w:val="22"/>
        </w:rPr>
        <w:t xml:space="preserve">in </w:t>
      </w:r>
      <w:r w:rsidR="00E4412D">
        <w:rPr>
          <w:rFonts w:ascii="Arial" w:hAnsi="Arial" w:cs="Arial"/>
          <w:sz w:val="22"/>
          <w:szCs w:val="22"/>
        </w:rPr>
        <w:t xml:space="preserve">petroleum </w:t>
      </w:r>
      <w:r w:rsidR="00A95076" w:rsidRPr="007F6F33">
        <w:rPr>
          <w:rFonts w:ascii="Arial" w:hAnsi="Arial" w:cs="Arial"/>
          <w:sz w:val="22"/>
          <w:szCs w:val="22"/>
        </w:rPr>
        <w:t>titles</w:t>
      </w:r>
      <w:r w:rsidR="00E4412D">
        <w:rPr>
          <w:rFonts w:ascii="Arial" w:hAnsi="Arial" w:cs="Arial"/>
          <w:sz w:val="22"/>
          <w:szCs w:val="22"/>
        </w:rPr>
        <w:t xml:space="preserve"> </w:t>
      </w:r>
      <w:r w:rsidR="00A81146" w:rsidRPr="007F6F33">
        <w:rPr>
          <w:rFonts w:ascii="Arial" w:hAnsi="Arial" w:cs="Arial"/>
          <w:sz w:val="22"/>
          <w:szCs w:val="22"/>
        </w:rPr>
        <w:t xml:space="preserve">under </w:t>
      </w:r>
      <w:r w:rsidRPr="002365B4">
        <w:rPr>
          <w:rFonts w:ascii="Arial" w:hAnsi="Arial" w:cs="Arial"/>
          <w:sz w:val="22"/>
          <w:szCs w:val="22"/>
        </w:rPr>
        <w:t>p</w:t>
      </w:r>
      <w:r w:rsidR="00A81146" w:rsidRPr="007F6F33">
        <w:rPr>
          <w:rFonts w:ascii="Arial" w:hAnsi="Arial" w:cs="Arial"/>
          <w:sz w:val="22"/>
          <w:szCs w:val="22"/>
        </w:rPr>
        <w:t xml:space="preserve">arts 4.3, 4.6 and 4.7 of the </w:t>
      </w:r>
      <w:hyperlink r:id="rId21" w:tooltip="https://www.legislation.gov.au/Series/C2006A00014" w:history="1">
        <w:r w:rsidR="00A81146" w:rsidRPr="007F6F33">
          <w:rPr>
            <w:rStyle w:val="Hyperlink"/>
            <w:rFonts w:ascii="Arial" w:hAnsi="Arial" w:cs="Arial"/>
            <w:i/>
            <w:sz w:val="22"/>
            <w:szCs w:val="22"/>
          </w:rPr>
          <w:t>Offshore Petroleum and Greenhouse Gas Storage Act 2006</w:t>
        </w:r>
      </w:hyperlink>
      <w:r w:rsidR="00CF48B7">
        <w:rPr>
          <w:rFonts w:ascii="Arial" w:hAnsi="Arial" w:cs="Arial"/>
          <w:sz w:val="22"/>
          <w:szCs w:val="22"/>
        </w:rPr>
        <w:t xml:space="preserve"> (OPGGSA). A number of matters relating to transfers and dealings in </w:t>
      </w:r>
      <w:r w:rsidR="00A81146" w:rsidRPr="007F6F33">
        <w:rPr>
          <w:rFonts w:ascii="Arial" w:hAnsi="Arial" w:cs="Arial"/>
          <w:sz w:val="22"/>
          <w:szCs w:val="22"/>
        </w:rPr>
        <w:t xml:space="preserve">the </w:t>
      </w:r>
      <w:hyperlink r:id="rId22" w:tooltip="https://www.legislation.gov.au/Series/F2011L00647" w:history="1">
        <w:r w:rsidR="00A81146" w:rsidRPr="007F6F33">
          <w:rPr>
            <w:rStyle w:val="Hyperlink"/>
            <w:rFonts w:ascii="Arial" w:hAnsi="Arial" w:cs="Arial"/>
            <w:i/>
            <w:sz w:val="22"/>
            <w:szCs w:val="22"/>
          </w:rPr>
          <w:t>Offshore Petroleum and Greenhouse Gas Storage (Resource Management and Administration) Regulations 2011</w:t>
        </w:r>
      </w:hyperlink>
      <w:r w:rsidR="00A81146" w:rsidRPr="007F6F33">
        <w:rPr>
          <w:rFonts w:ascii="Arial" w:hAnsi="Arial" w:cs="Arial"/>
          <w:sz w:val="22"/>
          <w:szCs w:val="22"/>
        </w:rPr>
        <w:t xml:space="preserve"> (RMA Regulations)</w:t>
      </w:r>
      <w:r w:rsidR="00CF48B7">
        <w:rPr>
          <w:rFonts w:ascii="Arial" w:hAnsi="Arial" w:cs="Arial"/>
          <w:sz w:val="22"/>
          <w:szCs w:val="22"/>
        </w:rPr>
        <w:t xml:space="preserve"> are also referred to in this guideline</w:t>
      </w:r>
      <w:r w:rsidR="00A81146" w:rsidRPr="007F6F33">
        <w:rPr>
          <w:rFonts w:ascii="Arial" w:hAnsi="Arial" w:cs="Arial"/>
          <w:sz w:val="22"/>
          <w:szCs w:val="22"/>
        </w:rPr>
        <w:t xml:space="preserve">. </w:t>
      </w:r>
    </w:p>
    <w:p w14:paraId="72D07B6B" w14:textId="1AEB449A" w:rsidR="00BC64EA" w:rsidRDefault="00A81146" w:rsidP="00671AD7">
      <w:pPr>
        <w:rPr>
          <w:rFonts w:ascii="Arial" w:hAnsi="Arial" w:cs="Arial"/>
          <w:sz w:val="22"/>
          <w:szCs w:val="22"/>
        </w:rPr>
      </w:pPr>
      <w:r w:rsidRPr="007F6F33">
        <w:rPr>
          <w:rFonts w:ascii="Arial" w:hAnsi="Arial" w:cs="Arial"/>
          <w:sz w:val="22"/>
          <w:szCs w:val="22"/>
        </w:rPr>
        <w:t xml:space="preserve">The guideline also </w:t>
      </w:r>
      <w:r w:rsidR="002600C1">
        <w:rPr>
          <w:rFonts w:ascii="Arial" w:hAnsi="Arial" w:cs="Arial"/>
          <w:sz w:val="22"/>
          <w:szCs w:val="22"/>
        </w:rPr>
        <w:t xml:space="preserve">explains </w:t>
      </w:r>
      <w:r w:rsidRPr="007F6F33">
        <w:rPr>
          <w:rFonts w:ascii="Arial" w:hAnsi="Arial" w:cs="Arial"/>
          <w:sz w:val="22"/>
          <w:szCs w:val="22"/>
        </w:rPr>
        <w:t>how to</w:t>
      </w:r>
      <w:r w:rsidR="00B96142" w:rsidRPr="007F6F33">
        <w:rPr>
          <w:rFonts w:ascii="Arial" w:hAnsi="Arial" w:cs="Arial"/>
          <w:sz w:val="22"/>
          <w:szCs w:val="22"/>
        </w:rPr>
        <w:t xml:space="preserve"> make a</w:t>
      </w:r>
      <w:r w:rsidRPr="007F6F33">
        <w:rPr>
          <w:rFonts w:ascii="Arial" w:hAnsi="Arial" w:cs="Arial"/>
          <w:sz w:val="22"/>
          <w:szCs w:val="22"/>
        </w:rPr>
        <w:t xml:space="preserve"> change </w:t>
      </w:r>
      <w:r w:rsidR="00B96142" w:rsidRPr="007F6F33">
        <w:rPr>
          <w:rFonts w:ascii="Arial" w:hAnsi="Arial" w:cs="Arial"/>
          <w:sz w:val="22"/>
          <w:szCs w:val="22"/>
        </w:rPr>
        <w:t>of</w:t>
      </w:r>
      <w:r w:rsidRPr="007F6F33">
        <w:rPr>
          <w:rFonts w:ascii="Arial" w:hAnsi="Arial" w:cs="Arial"/>
          <w:sz w:val="22"/>
          <w:szCs w:val="22"/>
        </w:rPr>
        <w:t xml:space="preserve"> company name </w:t>
      </w:r>
      <w:r w:rsidR="00B96142" w:rsidRPr="007F6F33">
        <w:rPr>
          <w:rFonts w:ascii="Arial" w:hAnsi="Arial" w:cs="Arial"/>
          <w:sz w:val="22"/>
          <w:szCs w:val="22"/>
        </w:rPr>
        <w:t xml:space="preserve">application to update </w:t>
      </w:r>
      <w:r w:rsidRPr="007F6F33">
        <w:rPr>
          <w:rFonts w:ascii="Arial" w:hAnsi="Arial" w:cs="Arial"/>
          <w:sz w:val="22"/>
          <w:szCs w:val="22"/>
        </w:rPr>
        <w:t xml:space="preserve">the </w:t>
      </w:r>
      <w:r w:rsidR="00B96142" w:rsidRPr="007F6F33">
        <w:rPr>
          <w:rFonts w:ascii="Arial" w:hAnsi="Arial" w:cs="Arial"/>
          <w:sz w:val="22"/>
          <w:szCs w:val="22"/>
        </w:rPr>
        <w:t xml:space="preserve">titles </w:t>
      </w:r>
      <w:r w:rsidRPr="007F6F33">
        <w:rPr>
          <w:rFonts w:ascii="Arial" w:hAnsi="Arial" w:cs="Arial"/>
          <w:sz w:val="22"/>
          <w:szCs w:val="22"/>
        </w:rPr>
        <w:t>register</w:t>
      </w:r>
      <w:r w:rsidR="002600C1">
        <w:rPr>
          <w:rFonts w:ascii="Arial" w:hAnsi="Arial" w:cs="Arial"/>
          <w:sz w:val="22"/>
          <w:szCs w:val="22"/>
        </w:rPr>
        <w:t>,</w:t>
      </w:r>
      <w:r w:rsidRPr="007F6F33">
        <w:rPr>
          <w:rFonts w:ascii="Arial" w:hAnsi="Arial" w:cs="Arial"/>
          <w:sz w:val="22"/>
          <w:szCs w:val="22"/>
        </w:rPr>
        <w:t xml:space="preserve"> under Part 4.5 of the OPGGSA.</w:t>
      </w:r>
    </w:p>
    <w:p w14:paraId="1BC27397" w14:textId="015D45F9" w:rsidR="005D2C98" w:rsidRPr="007F6F33" w:rsidRDefault="005D2C98" w:rsidP="00671AD7">
      <w:pPr>
        <w:rPr>
          <w:rFonts w:ascii="Arial" w:hAnsi="Arial" w:cs="Arial"/>
          <w:sz w:val="22"/>
          <w:szCs w:val="22"/>
        </w:rPr>
      </w:pPr>
      <w:r w:rsidRPr="007F6F33">
        <w:rPr>
          <w:rFonts w:ascii="Arial" w:hAnsi="Arial" w:cs="Arial"/>
          <w:b/>
          <w:sz w:val="22"/>
          <w:szCs w:val="22"/>
        </w:rPr>
        <w:t>Note</w:t>
      </w:r>
      <w:r>
        <w:rPr>
          <w:rFonts w:ascii="Arial" w:hAnsi="Arial" w:cs="Arial"/>
          <w:sz w:val="22"/>
          <w:szCs w:val="22"/>
        </w:rPr>
        <w:t xml:space="preserve">: </w:t>
      </w:r>
      <w:r w:rsidR="00BB2904">
        <w:rPr>
          <w:rFonts w:ascii="Arial" w:hAnsi="Arial" w:cs="Arial"/>
          <w:sz w:val="22"/>
          <w:szCs w:val="22"/>
        </w:rPr>
        <w:t xml:space="preserve">All legislation references </w:t>
      </w:r>
      <w:r w:rsidR="00C251B7">
        <w:rPr>
          <w:rFonts w:ascii="Arial" w:hAnsi="Arial" w:cs="Arial"/>
          <w:sz w:val="22"/>
          <w:szCs w:val="22"/>
        </w:rPr>
        <w:t>are from the OPGGSA, unless</w:t>
      </w:r>
      <w:r w:rsidR="00BB2904">
        <w:rPr>
          <w:rFonts w:ascii="Arial" w:hAnsi="Arial" w:cs="Arial"/>
          <w:sz w:val="22"/>
          <w:szCs w:val="22"/>
        </w:rPr>
        <w:t xml:space="preserve"> </w:t>
      </w:r>
      <w:r w:rsidR="00444C85">
        <w:rPr>
          <w:rFonts w:ascii="Arial" w:hAnsi="Arial" w:cs="Arial"/>
          <w:sz w:val="22"/>
          <w:szCs w:val="22"/>
        </w:rPr>
        <w:t xml:space="preserve">stated </w:t>
      </w:r>
      <w:r w:rsidR="0062388A">
        <w:rPr>
          <w:rFonts w:ascii="Arial" w:hAnsi="Arial" w:cs="Arial"/>
          <w:sz w:val="22"/>
          <w:szCs w:val="22"/>
        </w:rPr>
        <w:t>otherwise</w:t>
      </w:r>
      <w:r>
        <w:rPr>
          <w:rFonts w:ascii="Arial" w:hAnsi="Arial" w:cs="Arial"/>
          <w:sz w:val="22"/>
          <w:szCs w:val="22"/>
        </w:rPr>
        <w:t xml:space="preserve">. </w:t>
      </w:r>
    </w:p>
    <w:p w14:paraId="11675595" w14:textId="3003CB0F" w:rsidR="00671AD7" w:rsidRPr="002365B4" w:rsidRDefault="003D55D2" w:rsidP="00671AD7">
      <w:pPr>
        <w:pStyle w:val="Heading1"/>
        <w:ind w:hanging="454"/>
        <w:rPr>
          <w:rFonts w:ascii="Arial" w:hAnsi="Arial" w:cs="Arial"/>
        </w:rPr>
      </w:pPr>
      <w:bookmarkStart w:id="41" w:name="_Toc479846152"/>
      <w:bookmarkStart w:id="42" w:name="_Toc511217950"/>
      <w:bookmarkEnd w:id="41"/>
      <w:r w:rsidRPr="002365B4">
        <w:rPr>
          <w:rFonts w:ascii="Arial" w:hAnsi="Arial" w:cs="Arial"/>
        </w:rPr>
        <w:t>Overview</w:t>
      </w:r>
      <w:bookmarkEnd w:id="42"/>
    </w:p>
    <w:p w14:paraId="2D458FD3" w14:textId="205DE7DA" w:rsidR="004C69E8" w:rsidRPr="00650A60" w:rsidRDefault="008E7502" w:rsidP="008E7502">
      <w:pPr>
        <w:pStyle w:val="List2"/>
        <w:numPr>
          <w:ilvl w:val="1"/>
          <w:numId w:val="1"/>
        </w:numPr>
        <w:rPr>
          <w:rFonts w:ascii="Arial" w:hAnsi="Arial" w:cs="Arial"/>
          <w:sz w:val="22"/>
          <w:szCs w:val="22"/>
        </w:rPr>
      </w:pPr>
      <w:r w:rsidRPr="005D28D0">
        <w:rPr>
          <w:rFonts w:ascii="Arial" w:hAnsi="Arial" w:cs="Arial"/>
          <w:sz w:val="22"/>
          <w:szCs w:val="22"/>
        </w:rPr>
        <w:t>The</w:t>
      </w:r>
      <w:r w:rsidR="00916D18" w:rsidRPr="002365B4">
        <w:rPr>
          <w:rFonts w:ascii="Arial" w:hAnsi="Arial" w:cs="Arial"/>
          <w:sz w:val="22"/>
          <w:szCs w:val="22"/>
        </w:rPr>
        <w:t xml:space="preserve"> National Offshore Petroleum Titles Administrator (NOPTA) is the decision maker for transfer </w:t>
      </w:r>
      <w:r w:rsidR="005F754A">
        <w:rPr>
          <w:rFonts w:ascii="Arial" w:hAnsi="Arial" w:cs="Arial"/>
          <w:sz w:val="22"/>
          <w:szCs w:val="22"/>
        </w:rPr>
        <w:t>and</w:t>
      </w:r>
      <w:r w:rsidR="00916D18" w:rsidRPr="002365B4">
        <w:rPr>
          <w:rFonts w:ascii="Arial" w:hAnsi="Arial" w:cs="Arial"/>
          <w:sz w:val="22"/>
          <w:szCs w:val="22"/>
        </w:rPr>
        <w:t xml:space="preserve"> dealing applications </w:t>
      </w:r>
      <w:r w:rsidR="00951B08">
        <w:rPr>
          <w:rFonts w:ascii="Arial" w:hAnsi="Arial" w:cs="Arial"/>
          <w:sz w:val="22"/>
          <w:szCs w:val="22"/>
        </w:rPr>
        <w:t>for</w:t>
      </w:r>
      <w:r w:rsidR="00080D6A" w:rsidRPr="002365B4">
        <w:rPr>
          <w:rFonts w:ascii="Arial" w:hAnsi="Arial" w:cs="Arial"/>
          <w:sz w:val="22"/>
          <w:szCs w:val="22"/>
        </w:rPr>
        <w:t xml:space="preserve"> </w:t>
      </w:r>
      <w:r w:rsidR="00916D18" w:rsidRPr="002365B4">
        <w:rPr>
          <w:rFonts w:ascii="Arial" w:hAnsi="Arial" w:cs="Arial"/>
          <w:sz w:val="22"/>
          <w:szCs w:val="22"/>
        </w:rPr>
        <w:t>titles</w:t>
      </w:r>
      <w:r w:rsidR="00916D18" w:rsidRPr="00A53D82">
        <w:rPr>
          <w:rFonts w:ascii="Arial" w:hAnsi="Arial" w:cs="Arial"/>
          <w:sz w:val="22"/>
          <w:szCs w:val="22"/>
        </w:rPr>
        <w:t xml:space="preserve">. </w:t>
      </w:r>
      <w:r w:rsidR="00916D18" w:rsidRPr="005D28D0">
        <w:rPr>
          <w:rFonts w:ascii="Arial" w:hAnsi="Arial" w:cs="Arial"/>
          <w:sz w:val="22"/>
          <w:szCs w:val="22"/>
        </w:rPr>
        <w:t xml:space="preserve"> NOPTA can either approve or </w:t>
      </w:r>
      <w:r w:rsidR="00916D18" w:rsidRPr="00650A60">
        <w:rPr>
          <w:rFonts w:ascii="Arial" w:hAnsi="Arial" w:cs="Arial"/>
          <w:sz w:val="22"/>
          <w:szCs w:val="22"/>
        </w:rPr>
        <w:t xml:space="preserve">refuse </w:t>
      </w:r>
      <w:r w:rsidR="00A308C5" w:rsidRPr="00650A60">
        <w:rPr>
          <w:rFonts w:ascii="Arial" w:hAnsi="Arial" w:cs="Arial"/>
          <w:sz w:val="22"/>
          <w:szCs w:val="22"/>
        </w:rPr>
        <w:t xml:space="preserve">to approve </w:t>
      </w:r>
      <w:r w:rsidR="00916D18" w:rsidRPr="00650A60">
        <w:rPr>
          <w:rFonts w:ascii="Arial" w:hAnsi="Arial" w:cs="Arial"/>
          <w:sz w:val="22"/>
          <w:szCs w:val="22"/>
        </w:rPr>
        <w:t>a transfer and/or dealing and will notify the applicant of the decision</w:t>
      </w:r>
      <w:r w:rsidR="00A308C5" w:rsidRPr="00650A60">
        <w:rPr>
          <w:rFonts w:ascii="Arial" w:hAnsi="Arial" w:cs="Arial"/>
          <w:sz w:val="22"/>
          <w:szCs w:val="22"/>
        </w:rPr>
        <w:t xml:space="preserve"> by written notice</w:t>
      </w:r>
      <w:r w:rsidR="002600C1" w:rsidRPr="00650A60">
        <w:rPr>
          <w:rFonts w:ascii="Arial" w:hAnsi="Arial" w:cs="Arial"/>
          <w:sz w:val="22"/>
          <w:szCs w:val="22"/>
        </w:rPr>
        <w:t xml:space="preserve"> </w:t>
      </w:r>
      <w:r w:rsidR="00916D18" w:rsidRPr="00650A60">
        <w:rPr>
          <w:rFonts w:ascii="Arial" w:hAnsi="Arial" w:cs="Arial"/>
          <w:sz w:val="22"/>
          <w:szCs w:val="22"/>
        </w:rPr>
        <w:t>(s 478 and s 493)</w:t>
      </w:r>
      <w:r w:rsidRPr="00650A60">
        <w:rPr>
          <w:rFonts w:ascii="Arial" w:hAnsi="Arial" w:cs="Arial"/>
          <w:sz w:val="22"/>
          <w:szCs w:val="22"/>
        </w:rPr>
        <w:t>.</w:t>
      </w:r>
    </w:p>
    <w:p w14:paraId="3C38D134" w14:textId="4D9451EA" w:rsidR="00916D18" w:rsidRPr="00650A60" w:rsidRDefault="00916D18" w:rsidP="00916D18">
      <w:pPr>
        <w:pStyle w:val="List2"/>
        <w:numPr>
          <w:ilvl w:val="1"/>
          <w:numId w:val="1"/>
        </w:numPr>
        <w:rPr>
          <w:rFonts w:ascii="Arial" w:hAnsi="Arial" w:cs="Arial"/>
          <w:sz w:val="22"/>
          <w:szCs w:val="22"/>
        </w:rPr>
      </w:pPr>
      <w:r w:rsidRPr="00650A60">
        <w:rPr>
          <w:rFonts w:ascii="Arial" w:hAnsi="Arial" w:cs="Arial"/>
          <w:sz w:val="22"/>
          <w:szCs w:val="22"/>
        </w:rPr>
        <w:t>A transfer or dealing relating to a title is of no force until approved and registered, in relation to a particular title (s</w:t>
      </w:r>
      <w:r w:rsidR="002365B4" w:rsidRPr="00650A60">
        <w:rPr>
          <w:rFonts w:ascii="Arial" w:hAnsi="Arial" w:cs="Arial"/>
          <w:sz w:val="22"/>
          <w:szCs w:val="22"/>
        </w:rPr>
        <w:t> </w:t>
      </w:r>
      <w:r w:rsidRPr="00650A60">
        <w:rPr>
          <w:rFonts w:ascii="Arial" w:hAnsi="Arial" w:cs="Arial"/>
          <w:sz w:val="22"/>
          <w:szCs w:val="22"/>
        </w:rPr>
        <w:t>472 and s</w:t>
      </w:r>
      <w:r w:rsidR="002365B4" w:rsidRPr="00650A60">
        <w:rPr>
          <w:rFonts w:ascii="Arial" w:hAnsi="Arial" w:cs="Arial"/>
          <w:sz w:val="22"/>
          <w:szCs w:val="22"/>
        </w:rPr>
        <w:t> </w:t>
      </w:r>
      <w:r w:rsidRPr="00650A60">
        <w:rPr>
          <w:rFonts w:ascii="Arial" w:hAnsi="Arial" w:cs="Arial"/>
          <w:sz w:val="22"/>
          <w:szCs w:val="22"/>
        </w:rPr>
        <w:t xml:space="preserve">487). </w:t>
      </w:r>
    </w:p>
    <w:p w14:paraId="26D73E6E" w14:textId="709CF8B0" w:rsidR="00982957" w:rsidRPr="002365B4" w:rsidRDefault="00663C28" w:rsidP="005D28D0">
      <w:pPr>
        <w:pStyle w:val="List2"/>
        <w:numPr>
          <w:ilvl w:val="1"/>
          <w:numId w:val="1"/>
        </w:numPr>
        <w:rPr>
          <w:rFonts w:ascii="Arial" w:hAnsi="Arial" w:cs="Arial"/>
          <w:sz w:val="22"/>
          <w:szCs w:val="22"/>
        </w:rPr>
      </w:pPr>
      <w:r w:rsidRPr="00650A60">
        <w:rPr>
          <w:rFonts w:ascii="Arial" w:hAnsi="Arial" w:cs="Arial"/>
          <w:sz w:val="22"/>
          <w:szCs w:val="22"/>
        </w:rPr>
        <w:t>Transfer</w:t>
      </w:r>
      <w:r w:rsidRPr="005D28D0">
        <w:rPr>
          <w:rFonts w:ascii="Arial" w:hAnsi="Arial" w:cs="Arial"/>
          <w:sz w:val="22"/>
          <w:szCs w:val="22"/>
        </w:rPr>
        <w:t xml:space="preserve"> </w:t>
      </w:r>
      <w:r w:rsidR="002600C1">
        <w:rPr>
          <w:rFonts w:ascii="Arial" w:hAnsi="Arial" w:cs="Arial"/>
          <w:sz w:val="22"/>
          <w:szCs w:val="22"/>
        </w:rPr>
        <w:t>of</w:t>
      </w:r>
      <w:r w:rsidRPr="005D28D0">
        <w:rPr>
          <w:rFonts w:ascii="Arial" w:hAnsi="Arial" w:cs="Arial"/>
          <w:sz w:val="22"/>
          <w:szCs w:val="22"/>
        </w:rPr>
        <w:t xml:space="preserve"> </w:t>
      </w:r>
      <w:r w:rsidR="00F83445">
        <w:rPr>
          <w:rFonts w:ascii="Arial" w:hAnsi="Arial" w:cs="Arial"/>
          <w:sz w:val="22"/>
          <w:szCs w:val="22"/>
        </w:rPr>
        <w:t xml:space="preserve">a </w:t>
      </w:r>
      <w:r w:rsidRPr="005D28D0">
        <w:rPr>
          <w:rFonts w:ascii="Arial" w:hAnsi="Arial" w:cs="Arial"/>
          <w:sz w:val="22"/>
          <w:szCs w:val="22"/>
        </w:rPr>
        <w:t>title result</w:t>
      </w:r>
      <w:r w:rsidR="00F83445">
        <w:rPr>
          <w:rFonts w:ascii="Arial" w:hAnsi="Arial" w:cs="Arial"/>
          <w:sz w:val="22"/>
          <w:szCs w:val="22"/>
        </w:rPr>
        <w:t>s</w:t>
      </w:r>
      <w:r w:rsidRPr="005D28D0">
        <w:rPr>
          <w:rFonts w:ascii="Arial" w:hAnsi="Arial" w:cs="Arial"/>
          <w:sz w:val="22"/>
          <w:szCs w:val="22"/>
        </w:rPr>
        <w:t xml:space="preserve"> in change</w:t>
      </w:r>
      <w:r w:rsidR="008E20D7" w:rsidRPr="002365B4">
        <w:rPr>
          <w:rFonts w:ascii="Arial" w:hAnsi="Arial" w:cs="Arial"/>
          <w:sz w:val="22"/>
          <w:szCs w:val="22"/>
        </w:rPr>
        <w:t>(</w:t>
      </w:r>
      <w:r w:rsidRPr="005D28D0">
        <w:rPr>
          <w:rFonts w:ascii="Arial" w:hAnsi="Arial" w:cs="Arial"/>
          <w:sz w:val="22"/>
          <w:szCs w:val="22"/>
        </w:rPr>
        <w:t>s</w:t>
      </w:r>
      <w:r w:rsidR="008E20D7" w:rsidRPr="002365B4">
        <w:rPr>
          <w:rFonts w:ascii="Arial" w:hAnsi="Arial" w:cs="Arial"/>
          <w:sz w:val="22"/>
          <w:szCs w:val="22"/>
        </w:rPr>
        <w:t>)</w:t>
      </w:r>
      <w:r w:rsidRPr="005D28D0">
        <w:rPr>
          <w:rFonts w:ascii="Arial" w:hAnsi="Arial" w:cs="Arial"/>
          <w:sz w:val="22"/>
          <w:szCs w:val="22"/>
        </w:rPr>
        <w:t xml:space="preserve"> to the registered holders of a title.</w:t>
      </w:r>
      <w:r w:rsidR="002365B4" w:rsidRPr="002365B4">
        <w:rPr>
          <w:rFonts w:ascii="Arial" w:hAnsi="Arial" w:cs="Arial"/>
          <w:sz w:val="22"/>
          <w:szCs w:val="22"/>
        </w:rPr>
        <w:t xml:space="preserve"> </w:t>
      </w:r>
      <w:r w:rsidR="00982957" w:rsidRPr="002365B4">
        <w:rPr>
          <w:rFonts w:ascii="Arial" w:hAnsi="Arial" w:cs="Arial"/>
          <w:sz w:val="22"/>
          <w:szCs w:val="22"/>
        </w:rPr>
        <w:t xml:space="preserve">Registered holders of titles have certain rights, duties and obligations under the OPGGSA. </w:t>
      </w:r>
      <w:r w:rsidR="008018C0">
        <w:rPr>
          <w:rFonts w:ascii="Arial" w:hAnsi="Arial" w:cs="Arial"/>
          <w:sz w:val="22"/>
          <w:szCs w:val="22"/>
        </w:rPr>
        <w:t xml:space="preserve"> </w:t>
      </w:r>
      <w:r w:rsidR="00982957" w:rsidRPr="002365B4">
        <w:rPr>
          <w:rFonts w:ascii="Arial" w:hAnsi="Arial" w:cs="Arial"/>
          <w:sz w:val="22"/>
          <w:szCs w:val="22"/>
        </w:rPr>
        <w:t>Duties and obligations apply to all holders of a title.</w:t>
      </w:r>
      <w:r w:rsidR="00982957" w:rsidRPr="00DC6519">
        <w:rPr>
          <w:rStyle w:val="FootnoteReference"/>
          <w:rFonts w:ascii="Arial" w:hAnsi="Arial" w:cs="Arial"/>
          <w:sz w:val="22"/>
          <w:szCs w:val="22"/>
        </w:rPr>
        <w:footnoteReference w:id="2"/>
      </w:r>
      <w:r w:rsidR="00982957" w:rsidRPr="005D28D0">
        <w:rPr>
          <w:rStyle w:val="FootnoteReference"/>
        </w:rPr>
        <w:t xml:space="preserve"> </w:t>
      </w:r>
    </w:p>
    <w:p w14:paraId="70AD10DA" w14:textId="50FD5ED0" w:rsidR="00A8791C" w:rsidRPr="002365B4" w:rsidRDefault="00951B08" w:rsidP="005D28D0">
      <w:pPr>
        <w:pStyle w:val="List2"/>
        <w:numPr>
          <w:ilvl w:val="1"/>
          <w:numId w:val="1"/>
        </w:numPr>
        <w:rPr>
          <w:rFonts w:ascii="Arial" w:hAnsi="Arial" w:cs="Arial"/>
          <w:sz w:val="22"/>
          <w:szCs w:val="22"/>
        </w:rPr>
      </w:pPr>
      <w:r>
        <w:rPr>
          <w:rFonts w:ascii="Arial" w:hAnsi="Arial" w:cs="Arial"/>
          <w:sz w:val="22"/>
          <w:szCs w:val="22"/>
        </w:rPr>
        <w:t>D</w:t>
      </w:r>
      <w:r w:rsidR="00A8791C" w:rsidRPr="005D28D0">
        <w:rPr>
          <w:rFonts w:ascii="Arial" w:hAnsi="Arial" w:cs="Arial"/>
          <w:sz w:val="22"/>
          <w:szCs w:val="22"/>
        </w:rPr>
        <w:t>ealing</w:t>
      </w:r>
      <w:r>
        <w:rPr>
          <w:rFonts w:ascii="Arial" w:hAnsi="Arial" w:cs="Arial"/>
          <w:sz w:val="22"/>
          <w:szCs w:val="22"/>
        </w:rPr>
        <w:t>s</w:t>
      </w:r>
      <w:r w:rsidR="00A8791C" w:rsidRPr="005D28D0">
        <w:rPr>
          <w:rFonts w:ascii="Arial" w:hAnsi="Arial" w:cs="Arial"/>
          <w:sz w:val="22"/>
          <w:szCs w:val="22"/>
        </w:rPr>
        <w:t xml:space="preserve"> a</w:t>
      </w:r>
      <w:r>
        <w:rPr>
          <w:rFonts w:ascii="Arial" w:hAnsi="Arial" w:cs="Arial"/>
          <w:sz w:val="22"/>
          <w:szCs w:val="22"/>
        </w:rPr>
        <w:t>re</w:t>
      </w:r>
      <w:r w:rsidR="008E20D7" w:rsidRPr="002365B4">
        <w:rPr>
          <w:rFonts w:ascii="Arial" w:hAnsi="Arial" w:cs="Arial"/>
          <w:sz w:val="22"/>
          <w:szCs w:val="22"/>
        </w:rPr>
        <w:t xml:space="preserve"> commercial</w:t>
      </w:r>
      <w:r w:rsidR="00A8791C" w:rsidRPr="005D28D0">
        <w:rPr>
          <w:rFonts w:ascii="Arial" w:hAnsi="Arial" w:cs="Arial"/>
          <w:sz w:val="22"/>
          <w:szCs w:val="22"/>
        </w:rPr>
        <w:t xml:space="preserve"> transaction</w:t>
      </w:r>
      <w:r>
        <w:rPr>
          <w:rFonts w:ascii="Arial" w:hAnsi="Arial" w:cs="Arial"/>
          <w:sz w:val="22"/>
          <w:szCs w:val="22"/>
        </w:rPr>
        <w:t>s</w:t>
      </w:r>
      <w:r w:rsidR="00815DDA" w:rsidRPr="005D28D0">
        <w:rPr>
          <w:rFonts w:ascii="Arial" w:hAnsi="Arial" w:cs="Arial"/>
          <w:sz w:val="22"/>
          <w:szCs w:val="22"/>
        </w:rPr>
        <w:t xml:space="preserve"> or agreement</w:t>
      </w:r>
      <w:r>
        <w:rPr>
          <w:rFonts w:ascii="Arial" w:hAnsi="Arial" w:cs="Arial"/>
          <w:sz w:val="22"/>
          <w:szCs w:val="22"/>
        </w:rPr>
        <w:t>s</w:t>
      </w:r>
      <w:r w:rsidR="00815DDA" w:rsidRPr="005D28D0">
        <w:rPr>
          <w:rFonts w:ascii="Arial" w:hAnsi="Arial" w:cs="Arial"/>
          <w:sz w:val="22"/>
          <w:szCs w:val="22"/>
        </w:rPr>
        <w:t xml:space="preserve"> </w:t>
      </w:r>
      <w:r w:rsidR="00A8791C" w:rsidRPr="005D28D0">
        <w:rPr>
          <w:rFonts w:ascii="Arial" w:hAnsi="Arial" w:cs="Arial"/>
          <w:sz w:val="22"/>
          <w:szCs w:val="22"/>
        </w:rPr>
        <w:t xml:space="preserve">(other than a transfer of title) </w:t>
      </w:r>
      <w:r w:rsidR="00815DDA" w:rsidRPr="005D28D0">
        <w:rPr>
          <w:rFonts w:ascii="Arial" w:hAnsi="Arial" w:cs="Arial"/>
          <w:sz w:val="22"/>
          <w:szCs w:val="22"/>
        </w:rPr>
        <w:t xml:space="preserve">that </w:t>
      </w:r>
      <w:r w:rsidR="00A8791C" w:rsidRPr="005D28D0">
        <w:rPr>
          <w:rFonts w:ascii="Arial" w:hAnsi="Arial" w:cs="Arial"/>
          <w:sz w:val="22"/>
          <w:szCs w:val="22"/>
        </w:rPr>
        <w:t>ha</w:t>
      </w:r>
      <w:r>
        <w:rPr>
          <w:rFonts w:ascii="Arial" w:hAnsi="Arial" w:cs="Arial"/>
          <w:sz w:val="22"/>
          <w:szCs w:val="22"/>
        </w:rPr>
        <w:t>ve</w:t>
      </w:r>
      <w:r w:rsidR="00A8791C" w:rsidRPr="005D28D0">
        <w:rPr>
          <w:rFonts w:ascii="Arial" w:hAnsi="Arial" w:cs="Arial"/>
          <w:sz w:val="22"/>
          <w:szCs w:val="22"/>
        </w:rPr>
        <w:t xml:space="preserve"> one or more of the effects listed in</w:t>
      </w:r>
      <w:r w:rsidR="0040179D" w:rsidRPr="002365B4">
        <w:rPr>
          <w:rFonts w:ascii="Arial" w:hAnsi="Arial" w:cs="Arial"/>
          <w:sz w:val="22"/>
          <w:szCs w:val="22"/>
        </w:rPr>
        <w:t xml:space="preserve"> the table in</w:t>
      </w:r>
      <w:r w:rsidR="00A8791C" w:rsidRPr="005D28D0">
        <w:rPr>
          <w:rFonts w:ascii="Arial" w:hAnsi="Arial" w:cs="Arial"/>
          <w:sz w:val="22"/>
          <w:szCs w:val="22"/>
        </w:rPr>
        <w:t xml:space="preserve"> s</w:t>
      </w:r>
      <w:r w:rsidR="00815DDA" w:rsidRPr="005D28D0">
        <w:rPr>
          <w:rFonts w:ascii="Arial" w:hAnsi="Arial" w:cs="Arial"/>
          <w:sz w:val="22"/>
          <w:szCs w:val="22"/>
        </w:rPr>
        <w:t xml:space="preserve"> </w:t>
      </w:r>
      <w:r w:rsidR="00A8791C" w:rsidRPr="005D28D0">
        <w:rPr>
          <w:rFonts w:ascii="Arial" w:hAnsi="Arial" w:cs="Arial"/>
          <w:sz w:val="22"/>
          <w:szCs w:val="22"/>
        </w:rPr>
        <w:t xml:space="preserve">486.  </w:t>
      </w:r>
      <w:r w:rsidR="00E50ACF" w:rsidRPr="005D28D0">
        <w:rPr>
          <w:rFonts w:ascii="Arial" w:hAnsi="Arial" w:cs="Arial"/>
          <w:sz w:val="22"/>
          <w:szCs w:val="22"/>
        </w:rPr>
        <w:t>These effects can include the creation and/or assignment of rights, interests and options in the title.</w:t>
      </w:r>
    </w:p>
    <w:p w14:paraId="5D2202AC" w14:textId="3EC61FD3" w:rsidR="002365B4" w:rsidRPr="00887497" w:rsidRDefault="002365B4" w:rsidP="00D35A1C">
      <w:pPr>
        <w:pStyle w:val="List2"/>
        <w:numPr>
          <w:ilvl w:val="1"/>
          <w:numId w:val="1"/>
        </w:numPr>
        <w:rPr>
          <w:rFonts w:ascii="Arial" w:hAnsi="Arial" w:cs="Arial"/>
          <w:sz w:val="22"/>
          <w:szCs w:val="22"/>
        </w:rPr>
      </w:pPr>
      <w:r w:rsidRPr="00887497">
        <w:rPr>
          <w:rFonts w:ascii="Arial" w:hAnsi="Arial" w:cs="Arial"/>
          <w:sz w:val="22"/>
          <w:szCs w:val="22"/>
        </w:rPr>
        <w:t>The transfer and dealing process involves two stages:</w:t>
      </w:r>
    </w:p>
    <w:p w14:paraId="7CCD566C" w14:textId="1D0E46FA" w:rsidR="002365B4" w:rsidRPr="00887497" w:rsidRDefault="002365B4" w:rsidP="00D35A1C">
      <w:pPr>
        <w:pStyle w:val="List2"/>
        <w:numPr>
          <w:ilvl w:val="2"/>
          <w:numId w:val="1"/>
        </w:numPr>
        <w:ind w:left="1418" w:hanging="851"/>
        <w:rPr>
          <w:rFonts w:ascii="Arial" w:hAnsi="Arial" w:cs="Arial"/>
          <w:sz w:val="22"/>
          <w:szCs w:val="22"/>
        </w:rPr>
      </w:pPr>
      <w:r w:rsidRPr="00887497">
        <w:rPr>
          <w:rFonts w:ascii="Arial" w:hAnsi="Arial" w:cs="Arial"/>
          <w:sz w:val="22"/>
          <w:szCs w:val="22"/>
        </w:rPr>
        <w:t xml:space="preserve">The application, accompanied by the prescribed fee (see </w:t>
      </w:r>
      <w:hyperlink r:id="rId23" w:tooltip="http://www.nopta.gov.au/cost.html" w:history="1">
        <w:r w:rsidRPr="00887497">
          <w:rPr>
            <w:rStyle w:val="Hyperlink"/>
            <w:rFonts w:ascii="Arial" w:hAnsi="Arial" w:cs="Arial"/>
            <w:sz w:val="22"/>
            <w:szCs w:val="22"/>
          </w:rPr>
          <w:t>Schedule of Fees</w:t>
        </w:r>
      </w:hyperlink>
      <w:r w:rsidRPr="00887497">
        <w:rPr>
          <w:rFonts w:ascii="Arial" w:hAnsi="Arial" w:cs="Arial"/>
          <w:sz w:val="22"/>
          <w:szCs w:val="22"/>
        </w:rPr>
        <w:t>)</w:t>
      </w:r>
      <w:r w:rsidR="0080170C" w:rsidRPr="00887497">
        <w:rPr>
          <w:rFonts w:ascii="Arial" w:hAnsi="Arial" w:cs="Arial"/>
          <w:sz w:val="22"/>
          <w:szCs w:val="22"/>
        </w:rPr>
        <w:t>,</w:t>
      </w:r>
      <w:r w:rsidRPr="00887497">
        <w:rPr>
          <w:rFonts w:ascii="Arial" w:hAnsi="Arial" w:cs="Arial"/>
          <w:sz w:val="22"/>
          <w:szCs w:val="22"/>
        </w:rPr>
        <w:t xml:space="preserve"> is assessed and</w:t>
      </w:r>
      <w:r w:rsidR="0080170C" w:rsidRPr="00887497">
        <w:rPr>
          <w:rFonts w:ascii="Arial" w:hAnsi="Arial" w:cs="Arial"/>
          <w:sz w:val="22"/>
          <w:szCs w:val="22"/>
        </w:rPr>
        <w:t xml:space="preserve"> either</w:t>
      </w:r>
      <w:r w:rsidRPr="00887497">
        <w:rPr>
          <w:rFonts w:ascii="Arial" w:hAnsi="Arial" w:cs="Arial"/>
          <w:sz w:val="22"/>
          <w:szCs w:val="22"/>
        </w:rPr>
        <w:t xml:space="preserve"> approved or refused by NOPTA. </w:t>
      </w:r>
      <w:r w:rsidRPr="00887497" w:rsidDel="0080170C">
        <w:rPr>
          <w:rFonts w:ascii="Arial" w:hAnsi="Arial" w:cs="Arial"/>
          <w:sz w:val="22"/>
          <w:szCs w:val="22"/>
        </w:rPr>
        <w:t>If approved, a memorandum of the approval is stamped on the instruments and any related supplementary instruments; and</w:t>
      </w:r>
    </w:p>
    <w:p w14:paraId="557E0FAE" w14:textId="0AA83215" w:rsidR="00DD7F73" w:rsidRPr="00887497" w:rsidRDefault="002600C1" w:rsidP="00D35A1C">
      <w:pPr>
        <w:pStyle w:val="List2"/>
        <w:numPr>
          <w:ilvl w:val="2"/>
          <w:numId w:val="1"/>
        </w:numPr>
        <w:ind w:left="1418" w:hanging="851"/>
        <w:rPr>
          <w:rFonts w:ascii="Arial" w:hAnsi="Arial" w:cs="Arial"/>
          <w:b/>
          <w:sz w:val="22"/>
          <w:szCs w:val="22"/>
        </w:rPr>
      </w:pPr>
      <w:r w:rsidRPr="00887497">
        <w:rPr>
          <w:rFonts w:ascii="Arial" w:hAnsi="Arial" w:cs="Arial"/>
          <w:sz w:val="22"/>
          <w:szCs w:val="22"/>
        </w:rPr>
        <w:t>Approved instruments</w:t>
      </w:r>
      <w:r w:rsidR="002365B4" w:rsidRPr="00887497">
        <w:rPr>
          <w:rFonts w:ascii="Arial" w:hAnsi="Arial" w:cs="Arial"/>
          <w:sz w:val="22"/>
          <w:szCs w:val="22"/>
        </w:rPr>
        <w:t xml:space="preserve"> are registered</w:t>
      </w:r>
      <w:r w:rsidRPr="00887497">
        <w:rPr>
          <w:rFonts w:ascii="Arial" w:hAnsi="Arial" w:cs="Arial"/>
          <w:sz w:val="22"/>
          <w:szCs w:val="22"/>
        </w:rPr>
        <w:t xml:space="preserve"> by NOPTA</w:t>
      </w:r>
      <w:r w:rsidR="002365B4" w:rsidRPr="00887497">
        <w:rPr>
          <w:rFonts w:ascii="Arial" w:hAnsi="Arial" w:cs="Arial"/>
          <w:sz w:val="22"/>
          <w:szCs w:val="22"/>
        </w:rPr>
        <w:t xml:space="preserve">.  Copies of </w:t>
      </w:r>
      <w:r w:rsidRPr="00887497">
        <w:rPr>
          <w:rFonts w:ascii="Arial" w:hAnsi="Arial" w:cs="Arial"/>
          <w:sz w:val="22"/>
          <w:szCs w:val="22"/>
        </w:rPr>
        <w:t>either the approved instrument (or if applicable a supplementary instrument)</w:t>
      </w:r>
      <w:r w:rsidR="002365B4" w:rsidRPr="00887497">
        <w:rPr>
          <w:rFonts w:ascii="Arial" w:hAnsi="Arial" w:cs="Arial"/>
          <w:sz w:val="22"/>
          <w:szCs w:val="22"/>
        </w:rPr>
        <w:t xml:space="preserve"> are placed on the </w:t>
      </w:r>
      <w:hyperlink r:id="rId24" w:tooltip="http://neats.nopta.gov.au/" w:history="1">
        <w:r w:rsidR="002365B4" w:rsidRPr="00887497">
          <w:rPr>
            <w:rStyle w:val="Hyperlink"/>
            <w:rFonts w:ascii="Arial" w:hAnsi="Arial" w:cs="Arial"/>
            <w:sz w:val="22"/>
            <w:szCs w:val="22"/>
          </w:rPr>
          <w:t>National Electronic Approvals Tracking System</w:t>
        </w:r>
      </w:hyperlink>
      <w:r w:rsidRPr="00887497">
        <w:rPr>
          <w:rFonts w:ascii="Arial" w:hAnsi="Arial" w:cs="Arial"/>
          <w:sz w:val="22"/>
          <w:szCs w:val="22"/>
        </w:rPr>
        <w:t>, which is a public register.</w:t>
      </w:r>
    </w:p>
    <w:p w14:paraId="795EFC79" w14:textId="77777777" w:rsidR="009E139C" w:rsidRPr="00A53D82" w:rsidRDefault="009E139C">
      <w:pPr>
        <w:rPr>
          <w:rFonts w:ascii="Arial" w:eastAsia="Times New Roman" w:hAnsi="Arial" w:cs="Arial"/>
          <w:b/>
          <w:lang w:eastAsia="en-AU"/>
        </w:rPr>
      </w:pPr>
      <w:r w:rsidRPr="002365B4">
        <w:rPr>
          <w:rFonts w:ascii="Arial" w:hAnsi="Arial" w:cs="Arial"/>
        </w:rPr>
        <w:br w:type="page"/>
      </w:r>
    </w:p>
    <w:p w14:paraId="01CFDD70" w14:textId="79551CCB" w:rsidR="00DD7F73" w:rsidRPr="008C4302" w:rsidRDefault="003D55D2" w:rsidP="002658E2">
      <w:pPr>
        <w:pStyle w:val="Heading1"/>
        <w:ind w:hanging="454"/>
        <w:rPr>
          <w:rFonts w:ascii="Arial" w:hAnsi="Arial" w:cs="Arial"/>
        </w:rPr>
      </w:pPr>
      <w:bookmarkStart w:id="43" w:name="_Toc511217951"/>
      <w:r w:rsidRPr="00FD58B3">
        <w:rPr>
          <w:rFonts w:ascii="Arial" w:hAnsi="Arial" w:cs="Arial"/>
        </w:rPr>
        <w:lastRenderedPageBreak/>
        <w:t xml:space="preserve">Assessment </w:t>
      </w:r>
      <w:r w:rsidR="00D44DB1" w:rsidRPr="00FD58B3">
        <w:rPr>
          <w:rFonts w:ascii="Arial" w:hAnsi="Arial" w:cs="Arial"/>
        </w:rPr>
        <w:t>t</w:t>
      </w:r>
      <w:r w:rsidRPr="008C4302">
        <w:rPr>
          <w:rFonts w:ascii="Arial" w:hAnsi="Arial" w:cs="Arial"/>
        </w:rPr>
        <w:t>imeframes</w:t>
      </w:r>
      <w:bookmarkEnd w:id="43"/>
    </w:p>
    <w:p w14:paraId="33C61742" w14:textId="3AB9FA96" w:rsidR="00671AD7" w:rsidRPr="00650A60" w:rsidRDefault="00BC14B4" w:rsidP="007F3015">
      <w:pPr>
        <w:pStyle w:val="List2"/>
        <w:keepNext/>
        <w:numPr>
          <w:ilvl w:val="1"/>
          <w:numId w:val="1"/>
        </w:numPr>
        <w:rPr>
          <w:rFonts w:ascii="Arial" w:hAnsi="Arial" w:cs="Arial"/>
          <w:sz w:val="22"/>
          <w:szCs w:val="22"/>
        </w:rPr>
      </w:pPr>
      <w:r w:rsidRPr="007F6F33">
        <w:rPr>
          <w:rFonts w:ascii="Arial" w:hAnsi="Arial" w:cs="Arial"/>
          <w:sz w:val="22"/>
          <w:szCs w:val="22"/>
        </w:rPr>
        <w:t>Applicants must</w:t>
      </w:r>
      <w:r w:rsidR="00DB7DAB" w:rsidRPr="007F6F33">
        <w:rPr>
          <w:rFonts w:ascii="Arial" w:hAnsi="Arial" w:cs="Arial"/>
          <w:sz w:val="22"/>
          <w:szCs w:val="22"/>
        </w:rPr>
        <w:t xml:space="preserve"> ensure th</w:t>
      </w:r>
      <w:r w:rsidRPr="007F6F33">
        <w:rPr>
          <w:rFonts w:ascii="Arial" w:hAnsi="Arial" w:cs="Arial"/>
          <w:sz w:val="22"/>
          <w:szCs w:val="22"/>
        </w:rPr>
        <w:t xml:space="preserve">at </w:t>
      </w:r>
      <w:r w:rsidR="00087A52" w:rsidRPr="007F6F33">
        <w:rPr>
          <w:rFonts w:ascii="Arial" w:hAnsi="Arial" w:cs="Arial"/>
          <w:sz w:val="22"/>
          <w:szCs w:val="22"/>
        </w:rPr>
        <w:t>transfer and dealing</w:t>
      </w:r>
      <w:r w:rsidRPr="007F6F33">
        <w:rPr>
          <w:rFonts w:ascii="Arial" w:hAnsi="Arial" w:cs="Arial"/>
          <w:sz w:val="22"/>
          <w:szCs w:val="22"/>
        </w:rPr>
        <w:t xml:space="preserve"> applications are submitted with </w:t>
      </w:r>
      <w:r w:rsidR="001468E8">
        <w:rPr>
          <w:rFonts w:ascii="Arial" w:hAnsi="Arial" w:cs="Arial"/>
          <w:sz w:val="22"/>
          <w:szCs w:val="22"/>
        </w:rPr>
        <w:t xml:space="preserve">enough </w:t>
      </w:r>
      <w:r w:rsidRPr="007F6F33">
        <w:rPr>
          <w:rFonts w:ascii="Arial" w:hAnsi="Arial" w:cs="Arial"/>
          <w:sz w:val="22"/>
          <w:szCs w:val="22"/>
        </w:rPr>
        <w:t xml:space="preserve">time for NOPTA’s assessment processes. </w:t>
      </w:r>
      <w:r w:rsidR="00671AD7" w:rsidRPr="007F6F33">
        <w:rPr>
          <w:rFonts w:ascii="Arial" w:hAnsi="Arial" w:cs="Arial"/>
          <w:sz w:val="22"/>
          <w:szCs w:val="22"/>
        </w:rPr>
        <w:t xml:space="preserve">The time taken to assess and make decisions </w:t>
      </w:r>
      <w:r w:rsidR="00671AD7" w:rsidRPr="00650A60">
        <w:rPr>
          <w:rFonts w:ascii="Arial" w:hAnsi="Arial" w:cs="Arial"/>
          <w:sz w:val="22"/>
          <w:szCs w:val="22"/>
        </w:rPr>
        <w:t>on applications will depend on:</w:t>
      </w:r>
    </w:p>
    <w:p w14:paraId="5F50AEFF" w14:textId="560F3779" w:rsidR="00671AD7" w:rsidRPr="00650A60" w:rsidRDefault="0044576A" w:rsidP="00D35A1C">
      <w:pPr>
        <w:pStyle w:val="List2"/>
        <w:numPr>
          <w:ilvl w:val="2"/>
          <w:numId w:val="1"/>
        </w:numPr>
        <w:ind w:left="1418" w:hanging="851"/>
        <w:rPr>
          <w:rFonts w:ascii="Arial" w:hAnsi="Arial" w:cs="Arial"/>
          <w:sz w:val="22"/>
          <w:szCs w:val="22"/>
        </w:rPr>
      </w:pPr>
      <w:r w:rsidRPr="00650A60">
        <w:rPr>
          <w:rFonts w:ascii="Arial" w:hAnsi="Arial" w:cs="Arial"/>
          <w:sz w:val="22"/>
          <w:szCs w:val="22"/>
        </w:rPr>
        <w:t>t</w:t>
      </w:r>
      <w:r w:rsidR="00671AD7" w:rsidRPr="00650A60">
        <w:rPr>
          <w:rFonts w:ascii="Arial" w:hAnsi="Arial" w:cs="Arial"/>
          <w:sz w:val="22"/>
          <w:szCs w:val="22"/>
        </w:rPr>
        <w:t>he quality of information in support of the application; and</w:t>
      </w:r>
    </w:p>
    <w:p w14:paraId="45ED76FA" w14:textId="1479F5C0" w:rsidR="00671AD7" w:rsidRPr="00650A60" w:rsidRDefault="00671AD7" w:rsidP="00D35A1C">
      <w:pPr>
        <w:pStyle w:val="List2"/>
        <w:numPr>
          <w:ilvl w:val="2"/>
          <w:numId w:val="1"/>
        </w:numPr>
        <w:ind w:left="1418" w:hanging="851"/>
        <w:rPr>
          <w:rFonts w:ascii="Arial" w:hAnsi="Arial" w:cs="Arial"/>
          <w:sz w:val="22"/>
          <w:szCs w:val="22"/>
        </w:rPr>
      </w:pPr>
      <w:r w:rsidRPr="00650A60">
        <w:rPr>
          <w:rFonts w:ascii="Arial" w:hAnsi="Arial" w:cs="Arial"/>
          <w:sz w:val="22"/>
          <w:szCs w:val="22"/>
        </w:rPr>
        <w:t>the level of complexity of the transaction.</w:t>
      </w:r>
    </w:p>
    <w:tbl>
      <w:tblPr>
        <w:tblStyle w:val="TableGrid"/>
        <w:tblW w:w="8368" w:type="dxa"/>
        <w:tblInd w:w="421" w:type="dxa"/>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368"/>
      </w:tblGrid>
      <w:tr w:rsidR="00671AD7" w:rsidRPr="001322E8" w14:paraId="370AAD7D" w14:textId="77777777" w:rsidTr="00FE2679">
        <w:tc>
          <w:tcPr>
            <w:tcW w:w="8368" w:type="dxa"/>
            <w:shd w:val="clear" w:color="auto" w:fill="D9D9D9" w:themeFill="background1" w:themeFillShade="D9"/>
          </w:tcPr>
          <w:p w14:paraId="41FA3687" w14:textId="504CBC8B" w:rsidR="00671AD7" w:rsidRPr="007F6F33" w:rsidRDefault="00C17244" w:rsidP="0019200D">
            <w:pPr>
              <w:pStyle w:val="List2"/>
              <w:spacing w:before="120"/>
              <w:rPr>
                <w:rFonts w:ascii="Arial" w:hAnsi="Arial" w:cs="Arial"/>
                <w:sz w:val="22"/>
                <w:szCs w:val="22"/>
              </w:rPr>
            </w:pPr>
            <w:r w:rsidRPr="007F6F33">
              <w:rPr>
                <w:rFonts w:ascii="Arial" w:hAnsi="Arial" w:cs="Arial"/>
                <w:b/>
                <w:sz w:val="20"/>
                <w:szCs w:val="20"/>
              </w:rPr>
              <w:t>Note</w:t>
            </w:r>
            <w:r w:rsidR="00671AD7" w:rsidRPr="007F6F33">
              <w:rPr>
                <w:rFonts w:ascii="Arial" w:hAnsi="Arial" w:cs="Arial"/>
                <w:b/>
                <w:sz w:val="20"/>
                <w:szCs w:val="20"/>
              </w:rPr>
              <w:t>:</w:t>
            </w:r>
            <w:r w:rsidR="00671AD7" w:rsidRPr="007F6F33">
              <w:rPr>
                <w:rFonts w:ascii="Arial" w:hAnsi="Arial" w:cs="Arial"/>
                <w:sz w:val="20"/>
                <w:szCs w:val="20"/>
              </w:rPr>
              <w:t xml:space="preserve"> </w:t>
            </w:r>
            <w:r w:rsidR="00D512FC" w:rsidRPr="007F6F33">
              <w:rPr>
                <w:rFonts w:ascii="Arial" w:hAnsi="Arial" w:cs="Arial"/>
                <w:sz w:val="20"/>
                <w:szCs w:val="20"/>
              </w:rPr>
              <w:t>D</w:t>
            </w:r>
            <w:r w:rsidR="00671AD7" w:rsidRPr="007F6F33">
              <w:rPr>
                <w:rFonts w:ascii="Arial" w:hAnsi="Arial" w:cs="Arial"/>
                <w:sz w:val="20"/>
                <w:szCs w:val="20"/>
              </w:rPr>
              <w:t xml:space="preserve">elays in the </w:t>
            </w:r>
            <w:r w:rsidR="00185A57" w:rsidRPr="007F6F33">
              <w:rPr>
                <w:rFonts w:ascii="Arial" w:hAnsi="Arial" w:cs="Arial"/>
                <w:sz w:val="20"/>
                <w:szCs w:val="20"/>
              </w:rPr>
              <w:t>assessment</w:t>
            </w:r>
            <w:r w:rsidR="00671AD7" w:rsidRPr="007F6F33">
              <w:rPr>
                <w:rFonts w:ascii="Arial" w:hAnsi="Arial" w:cs="Arial"/>
                <w:sz w:val="20"/>
                <w:szCs w:val="20"/>
              </w:rPr>
              <w:t xml:space="preserve"> of transfer and dealing applications </w:t>
            </w:r>
            <w:r w:rsidR="00671AD7" w:rsidRPr="00650A60">
              <w:rPr>
                <w:rFonts w:ascii="Arial" w:hAnsi="Arial" w:cs="Arial"/>
                <w:sz w:val="20"/>
                <w:szCs w:val="20"/>
              </w:rPr>
              <w:t xml:space="preserve">may occur </w:t>
            </w:r>
            <w:r w:rsidR="00592079" w:rsidRPr="00650A60">
              <w:rPr>
                <w:rFonts w:ascii="Arial" w:hAnsi="Arial" w:cs="Arial"/>
                <w:sz w:val="20"/>
                <w:szCs w:val="20"/>
              </w:rPr>
              <w:t>if</w:t>
            </w:r>
            <w:r w:rsidR="00671AD7" w:rsidRPr="00650A60">
              <w:rPr>
                <w:rFonts w:ascii="Arial" w:hAnsi="Arial" w:cs="Arial"/>
                <w:sz w:val="20"/>
                <w:szCs w:val="20"/>
              </w:rPr>
              <w:t xml:space="preserve"> </w:t>
            </w:r>
            <w:r w:rsidR="00032258" w:rsidRPr="00650A60">
              <w:rPr>
                <w:rFonts w:ascii="Arial" w:hAnsi="Arial" w:cs="Arial"/>
                <w:sz w:val="20"/>
                <w:szCs w:val="20"/>
              </w:rPr>
              <w:t xml:space="preserve">NOPTA has not received </w:t>
            </w:r>
            <w:r w:rsidR="00671AD7" w:rsidRPr="00650A60">
              <w:rPr>
                <w:rFonts w:ascii="Arial" w:hAnsi="Arial" w:cs="Arial"/>
                <w:sz w:val="20"/>
                <w:szCs w:val="20"/>
              </w:rPr>
              <w:t>sufficient financial and technical details</w:t>
            </w:r>
            <w:r w:rsidR="00032258" w:rsidRPr="007F6F33">
              <w:rPr>
                <w:rFonts w:ascii="Arial" w:hAnsi="Arial" w:cs="Arial"/>
                <w:sz w:val="20"/>
                <w:szCs w:val="20"/>
              </w:rPr>
              <w:t>.</w:t>
            </w:r>
            <w:r w:rsidR="00671AD7" w:rsidRPr="007F6F33">
              <w:rPr>
                <w:rFonts w:ascii="Arial" w:hAnsi="Arial" w:cs="Arial"/>
                <w:sz w:val="20"/>
                <w:szCs w:val="22"/>
              </w:rPr>
              <w:t xml:space="preserve"> </w:t>
            </w:r>
          </w:p>
        </w:tc>
      </w:tr>
    </w:tbl>
    <w:p w14:paraId="7F9E71D4" w14:textId="6D33745F" w:rsidR="00483506" w:rsidRPr="007F6F33" w:rsidRDefault="00483506" w:rsidP="00483506">
      <w:pPr>
        <w:pStyle w:val="List2"/>
        <w:keepNext/>
        <w:numPr>
          <w:ilvl w:val="1"/>
          <w:numId w:val="1"/>
        </w:numPr>
        <w:spacing w:before="120"/>
        <w:rPr>
          <w:rFonts w:ascii="Arial" w:hAnsi="Arial" w:cs="Arial"/>
          <w:sz w:val="22"/>
          <w:szCs w:val="22"/>
        </w:rPr>
      </w:pPr>
      <w:r>
        <w:rPr>
          <w:rFonts w:ascii="Arial" w:hAnsi="Arial" w:cs="Arial"/>
          <w:sz w:val="22"/>
          <w:szCs w:val="22"/>
        </w:rPr>
        <w:t xml:space="preserve">NOPTA’s assessment of a transfer or dealing application will generally be </w:t>
      </w:r>
      <w:r w:rsidR="00692DBB">
        <w:rPr>
          <w:rFonts w:ascii="Arial" w:hAnsi="Arial" w:cs="Arial"/>
          <w:sz w:val="22"/>
          <w:szCs w:val="22"/>
        </w:rPr>
        <w:t>finalised</w:t>
      </w:r>
      <w:r>
        <w:rPr>
          <w:rFonts w:ascii="Arial" w:hAnsi="Arial" w:cs="Arial"/>
          <w:sz w:val="22"/>
          <w:szCs w:val="22"/>
        </w:rPr>
        <w:t xml:space="preserve"> within four </w:t>
      </w:r>
      <w:r w:rsidR="00FE2679">
        <w:rPr>
          <w:rFonts w:ascii="Arial" w:hAnsi="Arial" w:cs="Arial"/>
          <w:sz w:val="22"/>
          <w:szCs w:val="22"/>
        </w:rPr>
        <w:t xml:space="preserve">to six </w:t>
      </w:r>
      <w:r>
        <w:rPr>
          <w:rFonts w:ascii="Arial" w:hAnsi="Arial" w:cs="Arial"/>
          <w:sz w:val="22"/>
          <w:szCs w:val="22"/>
        </w:rPr>
        <w:t xml:space="preserve">weeks of receiving all information </w:t>
      </w:r>
      <w:r w:rsidR="00DC254F">
        <w:rPr>
          <w:rFonts w:ascii="Arial" w:hAnsi="Arial" w:cs="Arial"/>
          <w:sz w:val="22"/>
          <w:szCs w:val="22"/>
        </w:rPr>
        <w:t xml:space="preserve">that is </w:t>
      </w:r>
      <w:r w:rsidR="00692DBB">
        <w:rPr>
          <w:rFonts w:ascii="Arial" w:hAnsi="Arial" w:cs="Arial"/>
          <w:sz w:val="22"/>
          <w:szCs w:val="22"/>
        </w:rPr>
        <w:t xml:space="preserve">relevant for </w:t>
      </w:r>
      <w:r>
        <w:rPr>
          <w:rFonts w:ascii="Arial" w:hAnsi="Arial" w:cs="Arial"/>
          <w:sz w:val="22"/>
          <w:szCs w:val="22"/>
        </w:rPr>
        <w:t xml:space="preserve">the assessment. </w:t>
      </w:r>
    </w:p>
    <w:p w14:paraId="5B253FCA" w14:textId="0DED701E" w:rsidR="00F751A4" w:rsidRDefault="00A95076" w:rsidP="00FE2679">
      <w:pPr>
        <w:pStyle w:val="List2"/>
        <w:keepNext/>
        <w:numPr>
          <w:ilvl w:val="1"/>
          <w:numId w:val="1"/>
        </w:numPr>
        <w:spacing w:before="120"/>
        <w:rPr>
          <w:rFonts w:ascii="Arial" w:hAnsi="Arial" w:cs="Arial"/>
          <w:sz w:val="22"/>
          <w:szCs w:val="22"/>
        </w:rPr>
      </w:pPr>
      <w:r w:rsidRPr="007F6F33">
        <w:rPr>
          <w:rFonts w:ascii="Arial" w:hAnsi="Arial" w:cs="Arial"/>
          <w:sz w:val="22"/>
          <w:szCs w:val="22"/>
        </w:rPr>
        <w:t xml:space="preserve">An </w:t>
      </w:r>
      <w:r w:rsidR="00F751A4" w:rsidRPr="007F6F33">
        <w:rPr>
          <w:rFonts w:ascii="Arial" w:hAnsi="Arial" w:cs="Arial"/>
          <w:sz w:val="22"/>
          <w:szCs w:val="22"/>
        </w:rPr>
        <w:t xml:space="preserve">application for approval </w:t>
      </w:r>
      <w:r w:rsidR="005F60B8">
        <w:rPr>
          <w:rFonts w:ascii="Arial" w:hAnsi="Arial" w:cs="Arial"/>
          <w:sz w:val="22"/>
          <w:szCs w:val="22"/>
        </w:rPr>
        <w:t>o</w:t>
      </w:r>
      <w:r w:rsidR="00F751A4" w:rsidRPr="007F6F33">
        <w:rPr>
          <w:rFonts w:ascii="Arial" w:hAnsi="Arial" w:cs="Arial"/>
          <w:sz w:val="22"/>
          <w:szCs w:val="22"/>
        </w:rPr>
        <w:t xml:space="preserve">f a </w:t>
      </w:r>
      <w:r w:rsidR="00483506">
        <w:rPr>
          <w:rFonts w:ascii="Arial" w:hAnsi="Arial" w:cs="Arial"/>
          <w:sz w:val="22"/>
          <w:szCs w:val="22"/>
        </w:rPr>
        <w:t>transfer</w:t>
      </w:r>
      <w:r w:rsidR="00483506" w:rsidRPr="002365B4">
        <w:rPr>
          <w:rFonts w:ascii="Arial" w:hAnsi="Arial" w:cs="Arial"/>
          <w:sz w:val="22"/>
          <w:szCs w:val="22"/>
        </w:rPr>
        <w:t xml:space="preserve"> </w:t>
      </w:r>
      <w:r w:rsidR="00EB51CE" w:rsidRPr="002365B4">
        <w:rPr>
          <w:rFonts w:ascii="Arial" w:hAnsi="Arial" w:cs="Arial"/>
          <w:sz w:val="22"/>
          <w:szCs w:val="22"/>
        </w:rPr>
        <w:t xml:space="preserve">or a </w:t>
      </w:r>
      <w:r w:rsidR="00483506">
        <w:rPr>
          <w:rFonts w:ascii="Arial" w:hAnsi="Arial" w:cs="Arial"/>
          <w:sz w:val="22"/>
          <w:szCs w:val="22"/>
        </w:rPr>
        <w:t>dealing</w:t>
      </w:r>
      <w:r w:rsidR="00483506" w:rsidRPr="007F6F33">
        <w:rPr>
          <w:rFonts w:ascii="Arial" w:hAnsi="Arial" w:cs="Arial"/>
          <w:sz w:val="22"/>
          <w:szCs w:val="22"/>
        </w:rPr>
        <w:t xml:space="preserve"> </w:t>
      </w:r>
      <w:r w:rsidR="00F751A4" w:rsidRPr="007F6F33">
        <w:rPr>
          <w:rFonts w:ascii="Arial" w:hAnsi="Arial" w:cs="Arial"/>
          <w:sz w:val="22"/>
          <w:szCs w:val="22"/>
        </w:rPr>
        <w:t xml:space="preserve">should highlight any time constraints that the </w:t>
      </w:r>
      <w:r w:rsidR="00EB51CE" w:rsidRPr="002365B4">
        <w:rPr>
          <w:rFonts w:ascii="Arial" w:hAnsi="Arial" w:cs="Arial"/>
          <w:sz w:val="22"/>
          <w:szCs w:val="22"/>
        </w:rPr>
        <w:t>transfer</w:t>
      </w:r>
      <w:r w:rsidR="00483506">
        <w:rPr>
          <w:rFonts w:ascii="Arial" w:hAnsi="Arial" w:cs="Arial"/>
          <w:sz w:val="22"/>
          <w:szCs w:val="22"/>
        </w:rPr>
        <w:t xml:space="preserve"> or dealing</w:t>
      </w:r>
      <w:r w:rsidR="00F751A4" w:rsidRPr="007F6F33">
        <w:rPr>
          <w:rFonts w:ascii="Arial" w:hAnsi="Arial" w:cs="Arial"/>
          <w:sz w:val="22"/>
          <w:szCs w:val="22"/>
        </w:rPr>
        <w:t xml:space="preserve"> is subject to. Applicants should note that NOPTA’s assessment timeframe will not be determined by timeframes </w:t>
      </w:r>
      <w:r w:rsidR="00EB51CE" w:rsidRPr="002365B4">
        <w:rPr>
          <w:rFonts w:ascii="Arial" w:hAnsi="Arial" w:cs="Arial"/>
          <w:sz w:val="22"/>
          <w:szCs w:val="22"/>
        </w:rPr>
        <w:t>nominated by the applicant</w:t>
      </w:r>
      <w:r w:rsidR="00F751A4" w:rsidRPr="007F6F33">
        <w:rPr>
          <w:rFonts w:ascii="Arial" w:hAnsi="Arial" w:cs="Arial"/>
          <w:sz w:val="22"/>
          <w:szCs w:val="22"/>
        </w:rPr>
        <w:t>.</w:t>
      </w:r>
    </w:p>
    <w:p w14:paraId="24D04ADF" w14:textId="70FFA626" w:rsidR="002815F6" w:rsidRPr="002815F6" w:rsidRDefault="00F92EA9">
      <w:pPr>
        <w:pStyle w:val="List2"/>
        <w:keepNext/>
        <w:numPr>
          <w:ilvl w:val="1"/>
          <w:numId w:val="1"/>
        </w:numPr>
        <w:rPr>
          <w:rFonts w:ascii="Arial" w:hAnsi="Arial" w:cs="Arial"/>
          <w:sz w:val="22"/>
          <w:szCs w:val="22"/>
        </w:rPr>
      </w:pPr>
      <w:r>
        <w:rPr>
          <w:rFonts w:ascii="Arial" w:hAnsi="Arial" w:cs="Arial"/>
          <w:sz w:val="22"/>
          <w:szCs w:val="22"/>
        </w:rPr>
        <w:t>A</w:t>
      </w:r>
      <w:r w:rsidR="00671AD7" w:rsidRPr="007F6F33">
        <w:rPr>
          <w:rFonts w:ascii="Arial" w:hAnsi="Arial" w:cs="Arial"/>
          <w:sz w:val="22"/>
          <w:szCs w:val="22"/>
        </w:rPr>
        <w:t>pplicants are responsible for obtaining Foreign Investment Review Board (FIRB) approval</w:t>
      </w:r>
      <w:r w:rsidR="002815F6">
        <w:rPr>
          <w:rFonts w:ascii="Arial" w:hAnsi="Arial" w:cs="Arial"/>
          <w:sz w:val="22"/>
          <w:szCs w:val="22"/>
        </w:rPr>
        <w:t xml:space="preserve">, if applicable. Evidence of FIRB approval should be provided to NOPTA with </w:t>
      </w:r>
      <w:r w:rsidR="0035358C">
        <w:rPr>
          <w:rFonts w:ascii="Arial" w:hAnsi="Arial" w:cs="Arial"/>
          <w:sz w:val="22"/>
          <w:szCs w:val="22"/>
        </w:rPr>
        <w:t xml:space="preserve">submission of </w:t>
      </w:r>
      <w:r w:rsidR="002815F6">
        <w:rPr>
          <w:rFonts w:ascii="Arial" w:hAnsi="Arial" w:cs="Arial"/>
          <w:sz w:val="22"/>
          <w:szCs w:val="22"/>
        </w:rPr>
        <w:t xml:space="preserve">an applicable transfer or dealing application. If it is not available at the time of submission, it may be provided </w:t>
      </w:r>
      <w:r w:rsidR="0035358C">
        <w:rPr>
          <w:rFonts w:ascii="Arial" w:hAnsi="Arial" w:cs="Arial"/>
          <w:sz w:val="22"/>
          <w:szCs w:val="22"/>
        </w:rPr>
        <w:t>separately before NOPTA makes a decision on the application.</w:t>
      </w:r>
    </w:p>
    <w:p w14:paraId="7E0CB4A2" w14:textId="27FD52BD" w:rsidR="00671AD7" w:rsidRPr="007F6F33" w:rsidRDefault="00951B08" w:rsidP="0064649B">
      <w:pPr>
        <w:pStyle w:val="List2"/>
        <w:numPr>
          <w:ilvl w:val="1"/>
          <w:numId w:val="1"/>
        </w:numPr>
        <w:rPr>
          <w:rFonts w:ascii="Arial" w:hAnsi="Arial" w:cs="Arial"/>
          <w:sz w:val="22"/>
          <w:szCs w:val="22"/>
        </w:rPr>
      </w:pPr>
      <w:r>
        <w:rPr>
          <w:rFonts w:ascii="Arial" w:hAnsi="Arial" w:cs="Arial"/>
          <w:sz w:val="22"/>
          <w:szCs w:val="22"/>
        </w:rPr>
        <w:t>Before</w:t>
      </w:r>
      <w:r w:rsidR="0064649B" w:rsidRPr="009C4F36">
        <w:rPr>
          <w:rFonts w:ascii="Arial" w:hAnsi="Arial" w:cs="Arial"/>
          <w:sz w:val="22"/>
          <w:szCs w:val="22"/>
        </w:rPr>
        <w:t xml:space="preserve"> lodging </w:t>
      </w:r>
      <w:r>
        <w:rPr>
          <w:rFonts w:ascii="Arial" w:hAnsi="Arial" w:cs="Arial"/>
          <w:sz w:val="22"/>
          <w:szCs w:val="22"/>
        </w:rPr>
        <w:t xml:space="preserve">a </w:t>
      </w:r>
      <w:r w:rsidR="0064649B" w:rsidRPr="009C4F36">
        <w:rPr>
          <w:rFonts w:ascii="Arial" w:hAnsi="Arial" w:cs="Arial"/>
          <w:sz w:val="22"/>
          <w:szCs w:val="22"/>
        </w:rPr>
        <w:t>transfer and/or dealing</w:t>
      </w:r>
      <w:r>
        <w:rPr>
          <w:rFonts w:ascii="Arial" w:hAnsi="Arial" w:cs="Arial"/>
          <w:sz w:val="22"/>
          <w:szCs w:val="22"/>
        </w:rPr>
        <w:t xml:space="preserve"> application</w:t>
      </w:r>
      <w:r w:rsidR="0064649B" w:rsidRPr="009C4F36">
        <w:rPr>
          <w:rFonts w:ascii="Arial" w:hAnsi="Arial" w:cs="Arial"/>
          <w:sz w:val="22"/>
          <w:szCs w:val="22"/>
        </w:rPr>
        <w:t xml:space="preserve">, </w:t>
      </w:r>
      <w:r>
        <w:rPr>
          <w:rFonts w:ascii="Arial" w:hAnsi="Arial" w:cs="Arial"/>
          <w:sz w:val="22"/>
          <w:szCs w:val="22"/>
        </w:rPr>
        <w:t>NOPTA</w:t>
      </w:r>
      <w:r w:rsidR="0064649B" w:rsidRPr="009C4F36">
        <w:rPr>
          <w:rFonts w:ascii="Arial" w:hAnsi="Arial" w:cs="Arial"/>
          <w:sz w:val="22"/>
          <w:szCs w:val="22"/>
        </w:rPr>
        <w:t xml:space="preserve"> suggest</w:t>
      </w:r>
      <w:r>
        <w:rPr>
          <w:rFonts w:ascii="Arial" w:hAnsi="Arial" w:cs="Arial"/>
          <w:sz w:val="22"/>
          <w:szCs w:val="22"/>
        </w:rPr>
        <w:t>s</w:t>
      </w:r>
      <w:r w:rsidR="0064649B" w:rsidRPr="009C4F36">
        <w:rPr>
          <w:rFonts w:ascii="Arial" w:hAnsi="Arial" w:cs="Arial"/>
          <w:sz w:val="22"/>
          <w:szCs w:val="22"/>
        </w:rPr>
        <w:t xml:space="preserve"> parties seek early engagement with the National Offshore Petroleum Safety and Environmental Management Authority (NOPSEMA) on the potential implications of the transaction on parties’ capacity to demonstrate ongoing compliance with </w:t>
      </w:r>
      <w:proofErr w:type="spellStart"/>
      <w:r w:rsidR="0064649B" w:rsidRPr="009C4F36">
        <w:rPr>
          <w:rFonts w:ascii="Arial" w:hAnsi="Arial" w:cs="Arial"/>
          <w:sz w:val="22"/>
          <w:szCs w:val="22"/>
        </w:rPr>
        <w:t>permissioning</w:t>
      </w:r>
      <w:proofErr w:type="spellEnd"/>
      <w:r w:rsidR="0064649B" w:rsidRPr="009C4F36">
        <w:rPr>
          <w:rFonts w:ascii="Arial" w:hAnsi="Arial" w:cs="Arial"/>
          <w:sz w:val="22"/>
          <w:szCs w:val="22"/>
        </w:rPr>
        <w:t xml:space="preserve"> documents and relevant regulatory requirements</w:t>
      </w:r>
      <w:r w:rsidR="009C4F36" w:rsidRPr="009C4F36" w:rsidDel="009C4F36">
        <w:rPr>
          <w:rFonts w:ascii="Arial" w:hAnsi="Arial" w:cs="Arial"/>
          <w:sz w:val="22"/>
          <w:szCs w:val="22"/>
        </w:rPr>
        <w:t xml:space="preserve"> </w:t>
      </w:r>
      <w:r w:rsidR="009C4F36">
        <w:rPr>
          <w:rFonts w:ascii="Arial" w:hAnsi="Arial" w:cs="Arial"/>
          <w:sz w:val="22"/>
          <w:szCs w:val="22"/>
        </w:rPr>
        <w:t>(</w:t>
      </w:r>
      <w:r w:rsidR="004366E7" w:rsidRPr="007F6F33">
        <w:rPr>
          <w:rFonts w:ascii="Arial" w:hAnsi="Arial" w:cs="Arial"/>
          <w:sz w:val="22"/>
          <w:szCs w:val="22"/>
        </w:rPr>
        <w:t xml:space="preserve">see </w:t>
      </w:r>
      <w:hyperlink r:id="rId25" w:tooltip="https://www.nopsema.gov.au/assets/Guidance-notes/A554616.pdf" w:history="1">
        <w:r w:rsidR="00F274F2" w:rsidRPr="00090C81">
          <w:rPr>
            <w:rStyle w:val="Hyperlink"/>
            <w:rFonts w:ascii="Arial" w:hAnsi="Arial" w:cs="Arial"/>
            <w:i/>
            <w:sz w:val="22"/>
            <w:szCs w:val="22"/>
          </w:rPr>
          <w:t xml:space="preserve">NOPSEMA’s </w:t>
        </w:r>
        <w:r w:rsidR="002568C4" w:rsidRPr="00090C81">
          <w:rPr>
            <w:rStyle w:val="Hyperlink"/>
            <w:rFonts w:ascii="Arial" w:hAnsi="Arial" w:cs="Arial"/>
            <w:i/>
            <w:sz w:val="22"/>
            <w:szCs w:val="22"/>
          </w:rPr>
          <w:t>G</w:t>
        </w:r>
        <w:r w:rsidR="004366E7" w:rsidRPr="00090C81">
          <w:rPr>
            <w:rStyle w:val="Hyperlink"/>
            <w:rFonts w:ascii="Arial" w:hAnsi="Arial" w:cs="Arial"/>
            <w:i/>
            <w:sz w:val="22"/>
            <w:szCs w:val="22"/>
          </w:rPr>
          <w:t>uidance</w:t>
        </w:r>
        <w:r w:rsidR="006E5970" w:rsidRPr="00090C81">
          <w:rPr>
            <w:rStyle w:val="Hyperlink"/>
            <w:rFonts w:ascii="Arial" w:hAnsi="Arial" w:cs="Arial"/>
            <w:i/>
            <w:sz w:val="22"/>
            <w:szCs w:val="22"/>
          </w:rPr>
          <w:t xml:space="preserve"> </w:t>
        </w:r>
        <w:r w:rsidR="002568C4" w:rsidRPr="00090C81">
          <w:rPr>
            <w:rStyle w:val="Hyperlink"/>
            <w:rFonts w:ascii="Arial" w:hAnsi="Arial" w:cs="Arial"/>
            <w:i/>
            <w:sz w:val="22"/>
            <w:szCs w:val="22"/>
          </w:rPr>
          <w:t>N</w:t>
        </w:r>
        <w:r w:rsidR="006E5970" w:rsidRPr="00090C81">
          <w:rPr>
            <w:rStyle w:val="Hyperlink"/>
            <w:rFonts w:ascii="Arial" w:hAnsi="Arial" w:cs="Arial"/>
            <w:i/>
            <w:sz w:val="22"/>
            <w:szCs w:val="22"/>
          </w:rPr>
          <w:t>ote</w:t>
        </w:r>
      </w:hyperlink>
      <w:r w:rsidR="004366E7" w:rsidRPr="00090C81">
        <w:rPr>
          <w:rFonts w:ascii="Arial" w:hAnsi="Arial" w:cs="Arial"/>
          <w:i/>
          <w:sz w:val="22"/>
          <w:szCs w:val="22"/>
        </w:rPr>
        <w:t xml:space="preserve"> </w:t>
      </w:r>
      <w:r w:rsidR="002568C4" w:rsidRPr="00090C81">
        <w:rPr>
          <w:rFonts w:ascii="Arial" w:hAnsi="Arial" w:cs="Arial"/>
          <w:i/>
          <w:sz w:val="22"/>
          <w:szCs w:val="22"/>
        </w:rPr>
        <w:t>- Ch</w:t>
      </w:r>
      <w:r w:rsidR="004366E7" w:rsidRPr="00090C81">
        <w:rPr>
          <w:rFonts w:ascii="Arial" w:hAnsi="Arial" w:cs="Arial"/>
          <w:i/>
          <w:sz w:val="22"/>
          <w:szCs w:val="22"/>
        </w:rPr>
        <w:t xml:space="preserve">ange </w:t>
      </w:r>
      <w:r w:rsidR="00F274F2" w:rsidRPr="00090C81">
        <w:rPr>
          <w:rFonts w:ascii="Arial" w:hAnsi="Arial" w:cs="Arial"/>
          <w:i/>
          <w:sz w:val="22"/>
          <w:szCs w:val="22"/>
        </w:rPr>
        <w:t>to the titleholder with operational control of activities</w:t>
      </w:r>
      <w:r w:rsidR="00671AD7" w:rsidRPr="007F6F33">
        <w:rPr>
          <w:rFonts w:ascii="Arial" w:hAnsi="Arial" w:cs="Arial"/>
          <w:sz w:val="22"/>
          <w:szCs w:val="22"/>
        </w:rPr>
        <w:t>).</w:t>
      </w:r>
    </w:p>
    <w:p w14:paraId="487AB6F8" w14:textId="163969F0" w:rsidR="00671AD7" w:rsidRPr="00A53D82" w:rsidRDefault="00671AD7" w:rsidP="00671AD7">
      <w:pPr>
        <w:pStyle w:val="Heading1"/>
        <w:ind w:hanging="454"/>
        <w:rPr>
          <w:rFonts w:ascii="Arial" w:hAnsi="Arial" w:cs="Arial"/>
        </w:rPr>
      </w:pPr>
      <w:bookmarkStart w:id="44" w:name="_Toc511217952"/>
      <w:r w:rsidRPr="002365B4">
        <w:rPr>
          <w:rFonts w:ascii="Arial" w:hAnsi="Arial" w:cs="Arial"/>
        </w:rPr>
        <w:t>T</w:t>
      </w:r>
      <w:r w:rsidR="00D44DB1" w:rsidRPr="007F6F33">
        <w:rPr>
          <w:rFonts w:ascii="Arial" w:hAnsi="Arial" w:cs="Arial"/>
        </w:rPr>
        <w:t>ime limit for lodging an application</w:t>
      </w:r>
      <w:bookmarkEnd w:id="44"/>
      <w:r w:rsidRPr="002365B4">
        <w:rPr>
          <w:rFonts w:ascii="Arial" w:hAnsi="Arial" w:cs="Arial"/>
        </w:rPr>
        <w:t xml:space="preserve"> </w:t>
      </w:r>
      <w:r w:rsidRPr="00A53D82">
        <w:rPr>
          <w:rFonts w:ascii="Arial" w:hAnsi="Arial" w:cs="Arial"/>
        </w:rPr>
        <w:t xml:space="preserve"> </w:t>
      </w:r>
    </w:p>
    <w:p w14:paraId="26CA1559" w14:textId="1D62BC2E" w:rsidR="00671AD7" w:rsidRPr="00650A60" w:rsidRDefault="00671AD7" w:rsidP="00671AD7">
      <w:pPr>
        <w:pStyle w:val="List2"/>
        <w:numPr>
          <w:ilvl w:val="1"/>
          <w:numId w:val="1"/>
        </w:numPr>
        <w:tabs>
          <w:tab w:val="clear" w:pos="454"/>
        </w:tabs>
        <w:ind w:left="567" w:hanging="567"/>
        <w:rPr>
          <w:rFonts w:ascii="Arial" w:hAnsi="Arial" w:cs="Arial"/>
          <w:sz w:val="22"/>
          <w:szCs w:val="22"/>
        </w:rPr>
      </w:pPr>
      <w:r w:rsidRPr="00650A60">
        <w:rPr>
          <w:rFonts w:ascii="Arial" w:hAnsi="Arial" w:cs="Arial"/>
          <w:sz w:val="22"/>
          <w:szCs w:val="22"/>
        </w:rPr>
        <w:t xml:space="preserve">Applications </w:t>
      </w:r>
      <w:r w:rsidR="00C9404F" w:rsidRPr="00650A60">
        <w:rPr>
          <w:rFonts w:ascii="Arial" w:hAnsi="Arial" w:cs="Arial"/>
          <w:sz w:val="22"/>
          <w:szCs w:val="22"/>
        </w:rPr>
        <w:t xml:space="preserve">for </w:t>
      </w:r>
      <w:r w:rsidRPr="00650A60">
        <w:rPr>
          <w:rFonts w:ascii="Arial" w:hAnsi="Arial" w:cs="Arial"/>
          <w:sz w:val="22"/>
          <w:szCs w:val="22"/>
        </w:rPr>
        <w:t>approv</w:t>
      </w:r>
      <w:r w:rsidR="00C9404F" w:rsidRPr="00650A60">
        <w:rPr>
          <w:rFonts w:ascii="Arial" w:hAnsi="Arial" w:cs="Arial"/>
          <w:sz w:val="22"/>
          <w:szCs w:val="22"/>
        </w:rPr>
        <w:t>al of</w:t>
      </w:r>
      <w:r w:rsidRPr="00650A60">
        <w:rPr>
          <w:rFonts w:ascii="Arial" w:hAnsi="Arial" w:cs="Arial"/>
          <w:sz w:val="22"/>
          <w:szCs w:val="22"/>
        </w:rPr>
        <w:t xml:space="preserve"> transfer(s) and/or dealing(s) must be lodged </w:t>
      </w:r>
      <w:r w:rsidRPr="00650A60">
        <w:rPr>
          <w:rFonts w:ascii="Arial" w:hAnsi="Arial" w:cs="Arial"/>
          <w:b/>
          <w:sz w:val="22"/>
          <w:szCs w:val="22"/>
        </w:rPr>
        <w:t>within 90 days</w:t>
      </w:r>
      <w:r w:rsidRPr="00650A60">
        <w:rPr>
          <w:rFonts w:ascii="Arial" w:hAnsi="Arial" w:cs="Arial"/>
          <w:sz w:val="22"/>
          <w:szCs w:val="22"/>
        </w:rPr>
        <w:t xml:space="preserve"> </w:t>
      </w:r>
      <w:r w:rsidR="003909E7" w:rsidRPr="00650A60">
        <w:rPr>
          <w:rFonts w:ascii="Arial" w:hAnsi="Arial" w:cs="Arial"/>
          <w:sz w:val="22"/>
          <w:szCs w:val="22"/>
        </w:rPr>
        <w:t>of</w:t>
      </w:r>
      <w:r w:rsidRPr="00650A60">
        <w:rPr>
          <w:rFonts w:ascii="Arial" w:hAnsi="Arial" w:cs="Arial"/>
          <w:sz w:val="22"/>
          <w:szCs w:val="22"/>
        </w:rPr>
        <w:t xml:space="preserve"> the day on which the last party executed the instrument of transfer, s</w:t>
      </w:r>
      <w:r w:rsidR="001216E0" w:rsidRPr="00650A60">
        <w:rPr>
          <w:rFonts w:ascii="Arial" w:hAnsi="Arial" w:cs="Arial"/>
          <w:sz w:val="22"/>
          <w:szCs w:val="22"/>
        </w:rPr>
        <w:t> </w:t>
      </w:r>
      <w:r w:rsidRPr="00650A60">
        <w:rPr>
          <w:rFonts w:ascii="Arial" w:hAnsi="Arial" w:cs="Arial"/>
          <w:sz w:val="22"/>
          <w:szCs w:val="22"/>
        </w:rPr>
        <w:t>476(1), or dealing, s 491(1).</w:t>
      </w:r>
    </w:p>
    <w:p w14:paraId="31A1B539" w14:textId="77777777" w:rsidR="00671AD7" w:rsidRPr="00650A60" w:rsidRDefault="00671AD7" w:rsidP="00671AD7">
      <w:pPr>
        <w:pStyle w:val="List2"/>
        <w:numPr>
          <w:ilvl w:val="1"/>
          <w:numId w:val="1"/>
        </w:numPr>
        <w:tabs>
          <w:tab w:val="clear" w:pos="454"/>
        </w:tabs>
        <w:ind w:left="567" w:hanging="567"/>
        <w:rPr>
          <w:rFonts w:ascii="Arial" w:hAnsi="Arial" w:cs="Arial"/>
          <w:sz w:val="22"/>
          <w:szCs w:val="22"/>
        </w:rPr>
      </w:pPr>
      <w:r w:rsidRPr="00650A60">
        <w:rPr>
          <w:rFonts w:ascii="Arial" w:hAnsi="Arial" w:cs="Arial"/>
          <w:sz w:val="22"/>
          <w:szCs w:val="22"/>
        </w:rPr>
        <w:t xml:space="preserve">NOPTA may allow a longer period to lodge an application, if there are sufficient grounds to warrant a longer period: s 476(2), s 491(2). </w:t>
      </w:r>
    </w:p>
    <w:p w14:paraId="23B226E6" w14:textId="00E31590" w:rsidR="00671AD7" w:rsidRPr="00650A60" w:rsidRDefault="00671AD7" w:rsidP="00D35A1C">
      <w:pPr>
        <w:pStyle w:val="List2"/>
        <w:numPr>
          <w:ilvl w:val="2"/>
          <w:numId w:val="1"/>
        </w:numPr>
        <w:ind w:left="1418" w:hanging="851"/>
        <w:rPr>
          <w:rFonts w:ascii="Arial" w:hAnsi="Arial" w:cs="Arial"/>
          <w:sz w:val="22"/>
          <w:szCs w:val="22"/>
        </w:rPr>
      </w:pPr>
      <w:r w:rsidRPr="00650A60">
        <w:rPr>
          <w:rFonts w:ascii="Arial" w:hAnsi="Arial" w:cs="Arial"/>
          <w:sz w:val="22"/>
          <w:szCs w:val="22"/>
        </w:rPr>
        <w:t>A request to NOPTA to allow late lodgement should be made in writing, detailing grounds and accompanied by appropriate evidence/document</w:t>
      </w:r>
      <w:r w:rsidR="001468E8" w:rsidRPr="00650A60">
        <w:rPr>
          <w:rFonts w:ascii="Arial" w:hAnsi="Arial" w:cs="Arial"/>
          <w:sz w:val="22"/>
          <w:szCs w:val="22"/>
        </w:rPr>
        <w:t>s</w:t>
      </w:r>
      <w:r w:rsidRPr="00650A60">
        <w:rPr>
          <w:rFonts w:ascii="Arial" w:hAnsi="Arial" w:cs="Arial"/>
          <w:sz w:val="22"/>
          <w:szCs w:val="22"/>
        </w:rPr>
        <w:t xml:space="preserve">. </w:t>
      </w:r>
    </w:p>
    <w:p w14:paraId="3E48381F" w14:textId="595A4748" w:rsidR="00A66E53" w:rsidRPr="00650A60" w:rsidRDefault="00671AD7" w:rsidP="007F6F33">
      <w:pPr>
        <w:pStyle w:val="List2"/>
        <w:numPr>
          <w:ilvl w:val="2"/>
          <w:numId w:val="1"/>
        </w:numPr>
        <w:ind w:left="1418" w:hanging="851"/>
        <w:rPr>
          <w:rFonts w:ascii="Arial" w:hAnsi="Arial" w:cs="Arial"/>
          <w:b/>
        </w:rPr>
      </w:pPr>
      <w:r w:rsidRPr="00650A60">
        <w:rPr>
          <w:rFonts w:ascii="Arial" w:hAnsi="Arial" w:cs="Arial"/>
          <w:sz w:val="22"/>
          <w:szCs w:val="22"/>
        </w:rPr>
        <w:t xml:space="preserve">A request to allow late lodgement may be made at the time of submitting the application for the approval of a transfer or dealing or in advance of the lodgement.  </w:t>
      </w:r>
    </w:p>
    <w:p w14:paraId="792172F6" w14:textId="77777777" w:rsidR="0080170C" w:rsidRDefault="0080170C">
      <w:pPr>
        <w:rPr>
          <w:rFonts w:ascii="Arial" w:hAnsi="Arial" w:cs="Arial"/>
        </w:rPr>
      </w:pPr>
      <w:bookmarkStart w:id="45" w:name="_Toc479846156"/>
      <w:bookmarkEnd w:id="45"/>
      <w:r>
        <w:rPr>
          <w:rFonts w:ascii="Arial" w:hAnsi="Arial" w:cs="Arial"/>
        </w:rPr>
        <w:br w:type="page"/>
      </w:r>
    </w:p>
    <w:p w14:paraId="62D3D5D3" w14:textId="7DEF2035" w:rsidR="00671AD7" w:rsidRPr="00A53D82" w:rsidRDefault="00A53D82" w:rsidP="00671AD7">
      <w:pPr>
        <w:pStyle w:val="Heading1"/>
        <w:ind w:hanging="454"/>
        <w:rPr>
          <w:rFonts w:ascii="Arial" w:hAnsi="Arial" w:cs="Arial"/>
        </w:rPr>
      </w:pPr>
      <w:bookmarkStart w:id="46" w:name="_Toc503776907"/>
      <w:bookmarkStart w:id="47" w:name="_Toc503776944"/>
      <w:bookmarkStart w:id="48" w:name="_Toc504134355"/>
      <w:bookmarkStart w:id="49" w:name="_Toc511217953"/>
      <w:bookmarkEnd w:id="46"/>
      <w:bookmarkEnd w:id="47"/>
      <w:bookmarkEnd w:id="48"/>
      <w:r>
        <w:rPr>
          <w:rFonts w:ascii="Arial" w:hAnsi="Arial" w:cs="Arial"/>
        </w:rPr>
        <w:lastRenderedPageBreak/>
        <w:t xml:space="preserve">Transfer of </w:t>
      </w:r>
      <w:r w:rsidR="000852FD">
        <w:rPr>
          <w:rFonts w:ascii="Arial" w:hAnsi="Arial" w:cs="Arial"/>
        </w:rPr>
        <w:t>t</w:t>
      </w:r>
      <w:r>
        <w:rPr>
          <w:rFonts w:ascii="Arial" w:hAnsi="Arial" w:cs="Arial"/>
        </w:rPr>
        <w:t>itle</w:t>
      </w:r>
      <w:bookmarkEnd w:id="49"/>
      <w:r w:rsidR="000852FD">
        <w:rPr>
          <w:rFonts w:ascii="Arial" w:hAnsi="Arial" w:cs="Arial"/>
        </w:rPr>
        <w:t xml:space="preserve"> </w:t>
      </w:r>
    </w:p>
    <w:p w14:paraId="2FA2DBFA" w14:textId="7ADAC82C" w:rsidR="00A66E53" w:rsidRPr="007F6F33" w:rsidRDefault="00A66E53" w:rsidP="00671AD7">
      <w:pPr>
        <w:pStyle w:val="List2"/>
        <w:numPr>
          <w:ilvl w:val="1"/>
          <w:numId w:val="1"/>
        </w:numPr>
        <w:tabs>
          <w:tab w:val="clear" w:pos="454"/>
        </w:tabs>
        <w:ind w:left="567" w:hanging="567"/>
        <w:rPr>
          <w:rFonts w:ascii="Arial" w:hAnsi="Arial" w:cs="Arial"/>
          <w:sz w:val="22"/>
          <w:szCs w:val="22"/>
        </w:rPr>
      </w:pPr>
      <w:r w:rsidRPr="007F6F33">
        <w:rPr>
          <w:rFonts w:ascii="Arial" w:hAnsi="Arial" w:cs="Arial"/>
          <w:sz w:val="22"/>
          <w:szCs w:val="22"/>
        </w:rPr>
        <w:t xml:space="preserve">Part 4.3 of the OPGGSA </w:t>
      </w:r>
      <w:r w:rsidR="00965294" w:rsidRPr="002365B4">
        <w:rPr>
          <w:rFonts w:ascii="Arial" w:hAnsi="Arial" w:cs="Arial"/>
          <w:sz w:val="22"/>
          <w:szCs w:val="22"/>
        </w:rPr>
        <w:t>sets out</w:t>
      </w:r>
      <w:r w:rsidR="00965294" w:rsidRPr="007F6F33">
        <w:rPr>
          <w:rFonts w:ascii="Arial" w:hAnsi="Arial" w:cs="Arial"/>
          <w:sz w:val="22"/>
          <w:szCs w:val="22"/>
        </w:rPr>
        <w:t xml:space="preserve"> </w:t>
      </w:r>
      <w:r w:rsidRPr="007F6F33">
        <w:rPr>
          <w:rFonts w:ascii="Arial" w:hAnsi="Arial" w:cs="Arial"/>
          <w:sz w:val="22"/>
          <w:szCs w:val="22"/>
        </w:rPr>
        <w:t xml:space="preserve">the </w:t>
      </w:r>
      <w:r w:rsidR="00965294" w:rsidRPr="002365B4">
        <w:rPr>
          <w:rFonts w:ascii="Arial" w:hAnsi="Arial" w:cs="Arial"/>
          <w:sz w:val="22"/>
          <w:szCs w:val="22"/>
        </w:rPr>
        <w:t>legislative provisions relating to</w:t>
      </w:r>
      <w:r w:rsidRPr="007F6F33">
        <w:rPr>
          <w:rFonts w:ascii="Arial" w:hAnsi="Arial" w:cs="Arial"/>
          <w:sz w:val="22"/>
          <w:szCs w:val="22"/>
        </w:rPr>
        <w:t xml:space="preserve"> a transfer.</w:t>
      </w:r>
    </w:p>
    <w:p w14:paraId="73BEFAFB" w14:textId="2300EC59" w:rsidR="00671AD7" w:rsidRPr="00650A60" w:rsidRDefault="00671AD7" w:rsidP="007F6F33">
      <w:pPr>
        <w:pStyle w:val="List2"/>
        <w:numPr>
          <w:ilvl w:val="1"/>
          <w:numId w:val="1"/>
        </w:numPr>
        <w:tabs>
          <w:tab w:val="clear" w:pos="454"/>
        </w:tabs>
        <w:ind w:left="567" w:hanging="567"/>
        <w:rPr>
          <w:rFonts w:ascii="Arial" w:hAnsi="Arial" w:cs="Arial"/>
          <w:sz w:val="22"/>
          <w:szCs w:val="22"/>
        </w:rPr>
      </w:pPr>
      <w:r w:rsidRPr="00650A60">
        <w:rPr>
          <w:rFonts w:ascii="Arial" w:hAnsi="Arial" w:cs="Arial"/>
          <w:sz w:val="22"/>
          <w:szCs w:val="22"/>
        </w:rPr>
        <w:t>An application for approval and registration of a transfer of</w:t>
      </w:r>
      <w:r w:rsidR="00ED597F">
        <w:rPr>
          <w:rFonts w:ascii="Arial" w:hAnsi="Arial" w:cs="Arial"/>
          <w:sz w:val="22"/>
          <w:szCs w:val="22"/>
        </w:rPr>
        <w:t xml:space="preserve"> a </w:t>
      </w:r>
      <w:r w:rsidRPr="00650A60">
        <w:rPr>
          <w:rFonts w:ascii="Arial" w:hAnsi="Arial" w:cs="Arial"/>
          <w:sz w:val="22"/>
          <w:szCs w:val="22"/>
        </w:rPr>
        <w:t xml:space="preserve">title may be made by any of the parties to the transfer </w:t>
      </w:r>
      <w:r w:rsidR="00032258" w:rsidRPr="00650A60">
        <w:rPr>
          <w:rFonts w:ascii="Arial" w:hAnsi="Arial" w:cs="Arial"/>
          <w:sz w:val="22"/>
          <w:szCs w:val="22"/>
        </w:rPr>
        <w:t>(</w:t>
      </w:r>
      <w:r w:rsidRPr="00650A60">
        <w:rPr>
          <w:rFonts w:ascii="Arial" w:hAnsi="Arial" w:cs="Arial"/>
          <w:sz w:val="22"/>
          <w:szCs w:val="22"/>
        </w:rPr>
        <w:t>s 473(1)</w:t>
      </w:r>
      <w:r w:rsidR="00032258" w:rsidRPr="00650A60">
        <w:rPr>
          <w:rFonts w:ascii="Arial" w:hAnsi="Arial" w:cs="Arial"/>
          <w:sz w:val="22"/>
          <w:szCs w:val="22"/>
        </w:rPr>
        <w:t>).</w:t>
      </w:r>
      <w:r w:rsidR="001E281F" w:rsidRPr="00650A60">
        <w:rPr>
          <w:rFonts w:ascii="Arial" w:hAnsi="Arial" w:cs="Arial"/>
          <w:sz w:val="22"/>
          <w:szCs w:val="22"/>
        </w:rPr>
        <w:t xml:space="preserve"> </w:t>
      </w:r>
    </w:p>
    <w:p w14:paraId="00AF6EA4" w14:textId="77777777" w:rsidR="00671AD7" w:rsidRPr="00672500" w:rsidRDefault="00671AD7" w:rsidP="00672500">
      <w:pPr>
        <w:pStyle w:val="Heading2"/>
      </w:pPr>
      <w:r w:rsidRPr="00672500">
        <w:t>Application</w:t>
      </w:r>
    </w:p>
    <w:p w14:paraId="65343C01" w14:textId="1969AF74" w:rsidR="00671AD7" w:rsidRPr="007F6F33" w:rsidRDefault="005A1D7E" w:rsidP="00671AD7">
      <w:pPr>
        <w:pStyle w:val="List2"/>
        <w:numPr>
          <w:ilvl w:val="1"/>
          <w:numId w:val="1"/>
        </w:numPr>
        <w:tabs>
          <w:tab w:val="clear" w:pos="454"/>
        </w:tabs>
        <w:ind w:left="567" w:hanging="567"/>
        <w:rPr>
          <w:rFonts w:ascii="Arial" w:hAnsi="Arial" w:cs="Arial"/>
          <w:sz w:val="22"/>
          <w:szCs w:val="22"/>
        </w:rPr>
      </w:pPr>
      <w:r>
        <w:rPr>
          <w:rFonts w:ascii="Arial" w:hAnsi="Arial" w:cs="Arial"/>
          <w:sz w:val="22"/>
          <w:szCs w:val="22"/>
        </w:rPr>
        <w:t>For a complete application, the</w:t>
      </w:r>
      <w:r w:rsidR="00671AD7" w:rsidRPr="007F6F33">
        <w:rPr>
          <w:rFonts w:ascii="Arial" w:hAnsi="Arial" w:cs="Arial"/>
          <w:sz w:val="22"/>
          <w:szCs w:val="22"/>
        </w:rPr>
        <w:t xml:space="preserve"> following must be provided: </w:t>
      </w:r>
    </w:p>
    <w:p w14:paraId="1FEED592" w14:textId="6FBB188F" w:rsidR="00671AD7" w:rsidRDefault="00671AD7" w:rsidP="00D35A1C">
      <w:pPr>
        <w:pStyle w:val="List2"/>
        <w:numPr>
          <w:ilvl w:val="2"/>
          <w:numId w:val="1"/>
        </w:numPr>
        <w:ind w:left="1418" w:hanging="851"/>
        <w:rPr>
          <w:rFonts w:ascii="Arial" w:hAnsi="Arial" w:cs="Arial"/>
          <w:sz w:val="22"/>
          <w:szCs w:val="22"/>
        </w:rPr>
      </w:pPr>
      <w:r w:rsidRPr="00650A60">
        <w:rPr>
          <w:rFonts w:ascii="Arial" w:hAnsi="Arial" w:cs="Arial"/>
          <w:sz w:val="22"/>
          <w:szCs w:val="22"/>
        </w:rPr>
        <w:t>A completed application form,</w:t>
      </w:r>
      <w:r w:rsidRPr="007F6F33">
        <w:rPr>
          <w:rFonts w:ascii="Arial" w:hAnsi="Arial" w:cs="Arial"/>
          <w:sz w:val="22"/>
          <w:szCs w:val="22"/>
        </w:rPr>
        <w:t xml:space="preserve"> executed in the correct manner (see </w:t>
      </w:r>
      <w:hyperlink r:id="rId26" w:tooltip="http://www.nopta.gov.au/forms/forms.html" w:history="1">
        <w:r w:rsidRPr="007F6F33">
          <w:rPr>
            <w:rStyle w:val="Hyperlink"/>
            <w:rFonts w:ascii="Arial" w:hAnsi="Arial" w:cs="Arial"/>
            <w:sz w:val="22"/>
            <w:szCs w:val="22"/>
          </w:rPr>
          <w:t>NOPTA website</w:t>
        </w:r>
      </w:hyperlink>
      <w:r w:rsidRPr="007F6F33">
        <w:rPr>
          <w:rFonts w:ascii="Arial" w:hAnsi="Arial" w:cs="Arial"/>
          <w:sz w:val="22"/>
          <w:szCs w:val="22"/>
        </w:rPr>
        <w:t xml:space="preserve">) (s 473(2)). </w:t>
      </w:r>
    </w:p>
    <w:p w14:paraId="6BA7EE32" w14:textId="47663EB0" w:rsidR="00D075A0" w:rsidRPr="00650A60" w:rsidRDefault="00D075A0" w:rsidP="00D35A1C">
      <w:pPr>
        <w:pStyle w:val="List2"/>
        <w:numPr>
          <w:ilvl w:val="2"/>
          <w:numId w:val="1"/>
        </w:numPr>
        <w:ind w:left="1418" w:hanging="851"/>
        <w:rPr>
          <w:rFonts w:ascii="Arial" w:hAnsi="Arial" w:cs="Arial"/>
          <w:sz w:val="22"/>
          <w:szCs w:val="22"/>
        </w:rPr>
      </w:pPr>
      <w:r w:rsidRPr="00650A60">
        <w:rPr>
          <w:rFonts w:ascii="Arial" w:hAnsi="Arial" w:cs="Arial"/>
          <w:sz w:val="22"/>
          <w:szCs w:val="22"/>
        </w:rPr>
        <w:t>The instrument of transfer (prescribed form at Schedule 7 of the RMA Regulations), executed by all parties to the transfer (s 474(a)(</w:t>
      </w:r>
      <w:proofErr w:type="spellStart"/>
      <w:r w:rsidRPr="00650A60">
        <w:rPr>
          <w:rFonts w:ascii="Arial" w:hAnsi="Arial" w:cs="Arial"/>
          <w:sz w:val="22"/>
          <w:szCs w:val="22"/>
        </w:rPr>
        <w:t>i</w:t>
      </w:r>
      <w:proofErr w:type="spellEnd"/>
      <w:r w:rsidRPr="00650A60">
        <w:rPr>
          <w:rFonts w:ascii="Arial" w:hAnsi="Arial" w:cs="Arial"/>
          <w:sz w:val="22"/>
          <w:szCs w:val="22"/>
        </w:rPr>
        <w:t>) and (ii)).</w:t>
      </w:r>
      <w:r w:rsidRPr="00650A60">
        <w:rPr>
          <w:rStyle w:val="FootnoteReference"/>
          <w:rFonts w:ascii="Arial" w:hAnsi="Arial" w:cs="Arial"/>
          <w:sz w:val="22"/>
          <w:szCs w:val="22"/>
        </w:rPr>
        <w:footnoteReference w:id="3"/>
      </w:r>
      <w:r w:rsidRPr="00650A60">
        <w:rPr>
          <w:rFonts w:ascii="Arial" w:hAnsi="Arial" w:cs="Arial"/>
          <w:sz w:val="22"/>
          <w:szCs w:val="22"/>
        </w:rPr>
        <w:t xml:space="preserve"> </w:t>
      </w:r>
    </w:p>
    <w:p w14:paraId="1CCA290C" w14:textId="5E7B3AB2" w:rsidR="00C864B1" w:rsidRPr="00650A60" w:rsidRDefault="00671AD7" w:rsidP="00D35A1C">
      <w:pPr>
        <w:pStyle w:val="List2"/>
        <w:numPr>
          <w:ilvl w:val="2"/>
          <w:numId w:val="1"/>
        </w:numPr>
        <w:ind w:left="1418" w:hanging="851"/>
        <w:rPr>
          <w:rFonts w:ascii="Arial" w:hAnsi="Arial" w:cs="Arial"/>
          <w:sz w:val="22"/>
          <w:szCs w:val="22"/>
        </w:rPr>
      </w:pPr>
      <w:r w:rsidRPr="00650A60">
        <w:rPr>
          <w:rFonts w:ascii="Arial" w:hAnsi="Arial" w:cs="Arial"/>
          <w:sz w:val="22"/>
          <w:szCs w:val="22"/>
        </w:rPr>
        <w:t xml:space="preserve">The original plus one copy of </w:t>
      </w:r>
      <w:r w:rsidR="00E37DF4">
        <w:rPr>
          <w:rFonts w:ascii="Arial" w:hAnsi="Arial" w:cs="Arial"/>
          <w:sz w:val="22"/>
          <w:szCs w:val="22"/>
        </w:rPr>
        <w:t>the</w:t>
      </w:r>
      <w:r w:rsidRPr="00650A60">
        <w:rPr>
          <w:rFonts w:ascii="Arial" w:hAnsi="Arial" w:cs="Arial"/>
          <w:sz w:val="22"/>
          <w:szCs w:val="22"/>
        </w:rPr>
        <w:t xml:space="preserve"> instrument </w:t>
      </w:r>
      <w:r w:rsidR="00DF3DB8" w:rsidRPr="00650A60">
        <w:rPr>
          <w:rFonts w:ascii="Arial" w:hAnsi="Arial" w:cs="Arial"/>
          <w:sz w:val="22"/>
          <w:szCs w:val="22"/>
        </w:rPr>
        <w:t>(</w:t>
      </w:r>
      <w:r w:rsidRPr="00650A60">
        <w:rPr>
          <w:rFonts w:ascii="Arial" w:hAnsi="Arial" w:cs="Arial"/>
          <w:sz w:val="22"/>
          <w:szCs w:val="22"/>
        </w:rPr>
        <w:t>s 474(d)</w:t>
      </w:r>
      <w:r w:rsidR="00DF3DB8" w:rsidRPr="00650A60">
        <w:rPr>
          <w:rFonts w:ascii="Arial" w:hAnsi="Arial" w:cs="Arial"/>
          <w:sz w:val="22"/>
          <w:szCs w:val="22"/>
        </w:rPr>
        <w:t>)</w:t>
      </w:r>
      <w:r w:rsidRPr="00650A60">
        <w:rPr>
          <w:rFonts w:ascii="Arial" w:hAnsi="Arial" w:cs="Arial"/>
          <w:sz w:val="22"/>
          <w:szCs w:val="22"/>
        </w:rPr>
        <w:t>. The original instrument will be returned to the applicant after registration.</w:t>
      </w:r>
      <w:r w:rsidR="00C864B1" w:rsidRPr="00650A60">
        <w:rPr>
          <w:rFonts w:ascii="Arial" w:hAnsi="Arial" w:cs="Arial"/>
          <w:sz w:val="22"/>
          <w:szCs w:val="22"/>
        </w:rPr>
        <w:t xml:space="preserve"> </w:t>
      </w:r>
    </w:p>
    <w:p w14:paraId="283AA3EC" w14:textId="47C5B78A" w:rsidR="00AF0ADE" w:rsidRPr="00533C3B" w:rsidRDefault="00C864B1" w:rsidP="00D35A1C">
      <w:pPr>
        <w:pStyle w:val="List2"/>
        <w:numPr>
          <w:ilvl w:val="2"/>
          <w:numId w:val="1"/>
        </w:numPr>
        <w:ind w:left="1418" w:hanging="851"/>
        <w:rPr>
          <w:rFonts w:ascii="Arial" w:hAnsi="Arial" w:cs="Arial"/>
          <w:sz w:val="22"/>
          <w:szCs w:val="22"/>
        </w:rPr>
      </w:pPr>
      <w:r>
        <w:rPr>
          <w:rFonts w:ascii="Arial" w:hAnsi="Arial" w:cs="Arial"/>
          <w:sz w:val="22"/>
          <w:szCs w:val="22"/>
        </w:rPr>
        <w:t xml:space="preserve">Payment of the prescribed </w:t>
      </w:r>
      <w:r w:rsidRPr="007F6F33">
        <w:rPr>
          <w:rFonts w:ascii="Arial" w:hAnsi="Arial" w:cs="Arial"/>
          <w:sz w:val="22"/>
          <w:szCs w:val="22"/>
        </w:rPr>
        <w:t xml:space="preserve">application fee </w:t>
      </w:r>
      <w:r w:rsidRPr="008A41C0">
        <w:rPr>
          <w:rFonts w:ascii="Arial" w:hAnsi="Arial" w:cs="Arial"/>
          <w:sz w:val="22"/>
          <w:szCs w:val="22"/>
        </w:rPr>
        <w:t xml:space="preserve">(see </w:t>
      </w:r>
      <w:hyperlink r:id="rId27" w:tooltip="http://www.nopta.gov.au/cost.html" w:history="1">
        <w:r w:rsidRPr="008A41C0">
          <w:rPr>
            <w:rStyle w:val="Hyperlink"/>
            <w:rFonts w:ascii="Arial" w:hAnsi="Arial" w:cs="Arial"/>
            <w:sz w:val="22"/>
            <w:szCs w:val="22"/>
          </w:rPr>
          <w:t>Schedule of Fees</w:t>
        </w:r>
      </w:hyperlink>
      <w:r w:rsidRPr="008A41C0">
        <w:rPr>
          <w:rFonts w:ascii="Arial" w:hAnsi="Arial" w:cs="Arial"/>
          <w:sz w:val="22"/>
          <w:szCs w:val="22"/>
        </w:rPr>
        <w:t>)</w:t>
      </w:r>
      <w:r>
        <w:rPr>
          <w:rFonts w:ascii="Arial" w:hAnsi="Arial" w:cs="Arial"/>
          <w:sz w:val="22"/>
          <w:szCs w:val="22"/>
        </w:rPr>
        <w:t xml:space="preserve"> (s 516A, Schedule 6 of the RMA Regulations)</w:t>
      </w:r>
      <w:r w:rsidR="00BD292F">
        <w:rPr>
          <w:rFonts w:ascii="Arial" w:hAnsi="Arial" w:cs="Arial"/>
          <w:sz w:val="22"/>
          <w:szCs w:val="22"/>
        </w:rPr>
        <w:t>.</w:t>
      </w:r>
    </w:p>
    <w:p w14:paraId="11DFDD40" w14:textId="10DDB180" w:rsidR="00671AD7" w:rsidRPr="00650A60" w:rsidRDefault="007A529E" w:rsidP="007F6F33">
      <w:pPr>
        <w:pStyle w:val="List2"/>
        <w:numPr>
          <w:ilvl w:val="1"/>
          <w:numId w:val="1"/>
        </w:numPr>
        <w:tabs>
          <w:tab w:val="clear" w:pos="454"/>
        </w:tabs>
        <w:ind w:left="567" w:hanging="567"/>
        <w:rPr>
          <w:rFonts w:ascii="Arial" w:hAnsi="Arial" w:cs="Arial"/>
          <w:sz w:val="22"/>
          <w:szCs w:val="22"/>
        </w:rPr>
      </w:pPr>
      <w:r w:rsidRPr="00650A60">
        <w:rPr>
          <w:rFonts w:ascii="Arial" w:hAnsi="Arial" w:cs="Arial"/>
          <w:sz w:val="22"/>
          <w:szCs w:val="22"/>
        </w:rPr>
        <w:t>T</w:t>
      </w:r>
      <w:r w:rsidR="00671AD7" w:rsidRPr="00650A60">
        <w:rPr>
          <w:rFonts w:ascii="Arial" w:hAnsi="Arial" w:cs="Arial"/>
          <w:sz w:val="22"/>
          <w:szCs w:val="22"/>
        </w:rPr>
        <w:t xml:space="preserve">ransferees </w:t>
      </w:r>
      <w:r w:rsidR="00AF0ADE" w:rsidRPr="00650A60">
        <w:rPr>
          <w:rFonts w:ascii="Arial" w:hAnsi="Arial" w:cs="Arial"/>
          <w:sz w:val="22"/>
          <w:szCs w:val="22"/>
        </w:rPr>
        <w:t>who</w:t>
      </w:r>
      <w:r w:rsidRPr="00650A60">
        <w:rPr>
          <w:rFonts w:ascii="Arial" w:hAnsi="Arial" w:cs="Arial"/>
          <w:sz w:val="22"/>
          <w:szCs w:val="22"/>
        </w:rPr>
        <w:t xml:space="preserve"> </w:t>
      </w:r>
      <w:r w:rsidR="00671AD7" w:rsidRPr="00650A60">
        <w:rPr>
          <w:rFonts w:ascii="Arial" w:hAnsi="Arial" w:cs="Arial"/>
          <w:sz w:val="22"/>
          <w:szCs w:val="22"/>
        </w:rPr>
        <w:t xml:space="preserve">are not already a </w:t>
      </w:r>
      <w:r w:rsidR="00337BB0" w:rsidRPr="00650A60">
        <w:rPr>
          <w:rFonts w:ascii="Arial" w:hAnsi="Arial" w:cs="Arial"/>
          <w:sz w:val="22"/>
          <w:szCs w:val="22"/>
        </w:rPr>
        <w:t>registered holder of</w:t>
      </w:r>
      <w:r w:rsidR="00671AD7" w:rsidRPr="00650A60">
        <w:rPr>
          <w:rFonts w:ascii="Arial" w:hAnsi="Arial" w:cs="Arial"/>
          <w:sz w:val="22"/>
          <w:szCs w:val="22"/>
        </w:rPr>
        <w:t xml:space="preserve"> the</w:t>
      </w:r>
      <w:r w:rsidR="00ED597F">
        <w:rPr>
          <w:rFonts w:ascii="Arial" w:hAnsi="Arial" w:cs="Arial"/>
          <w:sz w:val="22"/>
          <w:szCs w:val="22"/>
        </w:rPr>
        <w:t xml:space="preserve"> </w:t>
      </w:r>
      <w:r w:rsidR="00671AD7" w:rsidRPr="00650A60">
        <w:rPr>
          <w:rFonts w:ascii="Arial" w:hAnsi="Arial" w:cs="Arial"/>
          <w:sz w:val="22"/>
          <w:szCs w:val="22"/>
        </w:rPr>
        <w:t xml:space="preserve">title </w:t>
      </w:r>
      <w:r w:rsidR="00D54E19" w:rsidRPr="00650A60">
        <w:rPr>
          <w:rFonts w:ascii="Arial" w:hAnsi="Arial" w:cs="Arial"/>
          <w:sz w:val="22"/>
          <w:szCs w:val="22"/>
        </w:rPr>
        <w:t>(</w:t>
      </w:r>
      <w:r w:rsidR="00671AD7" w:rsidRPr="00650A60">
        <w:rPr>
          <w:rFonts w:ascii="Arial" w:hAnsi="Arial" w:cs="Arial"/>
          <w:sz w:val="22"/>
          <w:szCs w:val="22"/>
        </w:rPr>
        <w:t>even if a related corporation</w:t>
      </w:r>
      <w:r w:rsidR="00D54E19" w:rsidRPr="00650A60">
        <w:rPr>
          <w:rFonts w:ascii="Arial" w:hAnsi="Arial" w:cs="Arial"/>
          <w:sz w:val="22"/>
          <w:szCs w:val="22"/>
        </w:rPr>
        <w:t>)</w:t>
      </w:r>
      <w:r w:rsidR="00671AD7" w:rsidRPr="00650A60">
        <w:rPr>
          <w:rFonts w:ascii="Arial" w:hAnsi="Arial" w:cs="Arial"/>
          <w:sz w:val="22"/>
          <w:szCs w:val="22"/>
        </w:rPr>
        <w:t xml:space="preserve"> must provide details of the following: </w:t>
      </w:r>
    </w:p>
    <w:p w14:paraId="5437A0D6" w14:textId="3579EF35" w:rsidR="00671AD7" w:rsidRPr="00650A60" w:rsidRDefault="00671AD7" w:rsidP="00D35A1C">
      <w:pPr>
        <w:pStyle w:val="List2"/>
        <w:numPr>
          <w:ilvl w:val="2"/>
          <w:numId w:val="1"/>
        </w:numPr>
        <w:ind w:left="1418" w:hanging="851"/>
        <w:rPr>
          <w:rFonts w:ascii="Arial" w:hAnsi="Arial" w:cs="Arial"/>
          <w:sz w:val="22"/>
          <w:szCs w:val="22"/>
        </w:rPr>
      </w:pPr>
      <w:r w:rsidRPr="00650A60">
        <w:rPr>
          <w:rFonts w:ascii="Arial" w:hAnsi="Arial" w:cs="Arial"/>
          <w:sz w:val="22"/>
          <w:szCs w:val="22"/>
        </w:rPr>
        <w:t>technical qualifications of that transferee or those transferees</w:t>
      </w:r>
      <w:r w:rsidR="00DF3DB8" w:rsidRPr="00650A60">
        <w:rPr>
          <w:rFonts w:ascii="Arial" w:hAnsi="Arial" w:cs="Arial"/>
          <w:sz w:val="22"/>
          <w:szCs w:val="22"/>
        </w:rPr>
        <w:t xml:space="preserve"> (</w:t>
      </w:r>
      <w:r w:rsidRPr="00650A60">
        <w:rPr>
          <w:rFonts w:ascii="Arial" w:hAnsi="Arial" w:cs="Arial"/>
          <w:sz w:val="22"/>
          <w:szCs w:val="22"/>
        </w:rPr>
        <w:t>s</w:t>
      </w:r>
      <w:r w:rsidR="00DF3DB8" w:rsidRPr="00650A60">
        <w:rPr>
          <w:rFonts w:ascii="Arial" w:hAnsi="Arial" w:cs="Arial"/>
          <w:sz w:val="22"/>
          <w:szCs w:val="22"/>
        </w:rPr>
        <w:t> </w:t>
      </w:r>
      <w:r w:rsidRPr="00650A60">
        <w:rPr>
          <w:rFonts w:ascii="Arial" w:hAnsi="Arial" w:cs="Arial"/>
          <w:sz w:val="22"/>
          <w:szCs w:val="22"/>
        </w:rPr>
        <w:t>474(b)(</w:t>
      </w:r>
      <w:proofErr w:type="spellStart"/>
      <w:r w:rsidRPr="00650A60">
        <w:rPr>
          <w:rFonts w:ascii="Arial" w:hAnsi="Arial" w:cs="Arial"/>
          <w:sz w:val="22"/>
          <w:szCs w:val="22"/>
        </w:rPr>
        <w:t>i</w:t>
      </w:r>
      <w:proofErr w:type="spellEnd"/>
      <w:r w:rsidRPr="00650A60">
        <w:rPr>
          <w:rFonts w:ascii="Arial" w:hAnsi="Arial" w:cs="Arial"/>
          <w:sz w:val="22"/>
          <w:szCs w:val="22"/>
        </w:rPr>
        <w:t>)</w:t>
      </w:r>
      <w:r w:rsidR="00DF3DB8" w:rsidRPr="00650A60">
        <w:rPr>
          <w:rFonts w:ascii="Arial" w:hAnsi="Arial" w:cs="Arial"/>
          <w:sz w:val="22"/>
          <w:szCs w:val="22"/>
        </w:rPr>
        <w:t>);</w:t>
      </w:r>
      <w:r w:rsidR="009F221D" w:rsidRPr="00650A60">
        <w:rPr>
          <w:rFonts w:ascii="Arial" w:hAnsi="Arial" w:cs="Arial"/>
          <w:sz w:val="22"/>
          <w:szCs w:val="22"/>
        </w:rPr>
        <w:t xml:space="preserve"> and</w:t>
      </w:r>
    </w:p>
    <w:p w14:paraId="5BBC5614" w14:textId="1352382D" w:rsidR="00CE0B23" w:rsidRPr="00650A60" w:rsidRDefault="00671AD7">
      <w:pPr>
        <w:pStyle w:val="List2"/>
        <w:numPr>
          <w:ilvl w:val="2"/>
          <w:numId w:val="1"/>
        </w:numPr>
        <w:ind w:left="1418" w:hanging="851"/>
        <w:rPr>
          <w:rFonts w:ascii="Arial" w:hAnsi="Arial" w:cs="Arial"/>
          <w:sz w:val="22"/>
          <w:szCs w:val="22"/>
        </w:rPr>
      </w:pPr>
      <w:r w:rsidRPr="00650A60">
        <w:rPr>
          <w:rFonts w:ascii="Arial" w:hAnsi="Arial" w:cs="Arial"/>
          <w:sz w:val="22"/>
          <w:szCs w:val="22"/>
        </w:rPr>
        <w:t>technical advice that is or will be available to that transferee or those transferee</w:t>
      </w:r>
      <w:r w:rsidR="00DF3DB8" w:rsidRPr="00650A60">
        <w:rPr>
          <w:rFonts w:ascii="Arial" w:hAnsi="Arial" w:cs="Arial"/>
          <w:sz w:val="22"/>
          <w:szCs w:val="22"/>
        </w:rPr>
        <w:t>s (</w:t>
      </w:r>
      <w:r w:rsidRPr="00650A60">
        <w:rPr>
          <w:rFonts w:ascii="Arial" w:hAnsi="Arial" w:cs="Arial"/>
          <w:sz w:val="22"/>
          <w:szCs w:val="22"/>
        </w:rPr>
        <w:t>s 474(b)(ii)</w:t>
      </w:r>
      <w:r w:rsidR="00DF3DB8" w:rsidRPr="00650A60">
        <w:rPr>
          <w:rFonts w:ascii="Arial" w:hAnsi="Arial" w:cs="Arial"/>
          <w:sz w:val="22"/>
          <w:szCs w:val="22"/>
        </w:rPr>
        <w:t>)</w:t>
      </w:r>
      <w:r w:rsidRPr="00650A60">
        <w:rPr>
          <w:rFonts w:ascii="Arial" w:hAnsi="Arial" w:cs="Arial"/>
          <w:sz w:val="22"/>
          <w:szCs w:val="22"/>
        </w:rPr>
        <w:t xml:space="preserve">; and </w:t>
      </w:r>
    </w:p>
    <w:p w14:paraId="632BA93F" w14:textId="3065A534" w:rsidR="008847F7" w:rsidRDefault="00CE0B23" w:rsidP="007F6F33">
      <w:pPr>
        <w:pStyle w:val="List2"/>
        <w:pBdr>
          <w:top w:val="single" w:sz="4" w:space="1" w:color="auto"/>
          <w:left w:val="single" w:sz="4" w:space="4" w:color="auto"/>
          <w:bottom w:val="single" w:sz="4" w:space="1" w:color="auto"/>
          <w:right w:val="single" w:sz="4" w:space="4" w:color="auto"/>
        </w:pBdr>
        <w:shd w:val="clear" w:color="auto" w:fill="D9D9D9" w:themeFill="background1" w:themeFillShade="D9"/>
        <w:spacing w:before="120"/>
        <w:ind w:left="720"/>
        <w:rPr>
          <w:rFonts w:ascii="Arial" w:hAnsi="Arial" w:cs="Arial"/>
          <w:sz w:val="20"/>
          <w:szCs w:val="20"/>
        </w:rPr>
      </w:pPr>
      <w:r w:rsidRPr="009C4F36">
        <w:rPr>
          <w:rFonts w:ascii="Arial" w:hAnsi="Arial" w:cs="Arial"/>
          <w:b/>
          <w:sz w:val="20"/>
          <w:szCs w:val="20"/>
        </w:rPr>
        <w:t>Note:</w:t>
      </w:r>
      <w:r w:rsidRPr="009C4F36">
        <w:rPr>
          <w:rFonts w:ascii="Arial" w:hAnsi="Arial" w:cs="Arial"/>
          <w:sz w:val="20"/>
          <w:szCs w:val="20"/>
        </w:rPr>
        <w:t xml:space="preserve"> </w:t>
      </w:r>
      <w:r w:rsidR="00F97048" w:rsidRPr="009C4F36">
        <w:rPr>
          <w:rFonts w:ascii="Arial" w:hAnsi="Arial" w:cs="Arial"/>
          <w:sz w:val="20"/>
          <w:szCs w:val="20"/>
        </w:rPr>
        <w:t>In relation to 5.4 (a) and (b)</w:t>
      </w:r>
      <w:r w:rsidR="008847F7">
        <w:rPr>
          <w:rFonts w:ascii="Arial" w:hAnsi="Arial" w:cs="Arial"/>
          <w:sz w:val="20"/>
          <w:szCs w:val="20"/>
        </w:rPr>
        <w:t xml:space="preserve"> above</w:t>
      </w:r>
      <w:r w:rsidR="00F97048" w:rsidRPr="009C4F36">
        <w:rPr>
          <w:rFonts w:ascii="Arial" w:hAnsi="Arial" w:cs="Arial"/>
          <w:sz w:val="20"/>
          <w:szCs w:val="20"/>
        </w:rPr>
        <w:t>, t</w:t>
      </w:r>
      <w:r w:rsidRPr="009C4F36">
        <w:rPr>
          <w:rFonts w:ascii="Arial" w:hAnsi="Arial" w:cs="Arial"/>
          <w:sz w:val="20"/>
          <w:szCs w:val="20"/>
        </w:rPr>
        <w:t>ransferees should provide NOPTA with sufficient information</w:t>
      </w:r>
      <w:r w:rsidR="00AD6671" w:rsidRPr="009C4F36">
        <w:rPr>
          <w:rFonts w:ascii="Arial" w:hAnsi="Arial" w:cs="Arial"/>
          <w:sz w:val="20"/>
          <w:szCs w:val="20"/>
        </w:rPr>
        <w:t xml:space="preserve"> </w:t>
      </w:r>
      <w:r w:rsidR="004F2496">
        <w:rPr>
          <w:rFonts w:ascii="Arial" w:hAnsi="Arial" w:cs="Arial"/>
          <w:sz w:val="20"/>
          <w:szCs w:val="20"/>
        </w:rPr>
        <w:t>to demonstrate its</w:t>
      </w:r>
      <w:r w:rsidRPr="009C4F36">
        <w:rPr>
          <w:rFonts w:ascii="Arial" w:hAnsi="Arial" w:cs="Arial"/>
          <w:sz w:val="20"/>
          <w:szCs w:val="20"/>
        </w:rPr>
        <w:t xml:space="preserve"> technical </w:t>
      </w:r>
      <w:r w:rsidR="004F2496">
        <w:rPr>
          <w:rFonts w:ascii="Arial" w:hAnsi="Arial" w:cs="Arial"/>
          <w:sz w:val="20"/>
          <w:szCs w:val="20"/>
        </w:rPr>
        <w:t>capacity</w:t>
      </w:r>
      <w:r w:rsidR="004F2496" w:rsidRPr="009C4F36">
        <w:rPr>
          <w:rFonts w:ascii="Arial" w:hAnsi="Arial" w:cs="Arial"/>
          <w:sz w:val="20"/>
          <w:szCs w:val="20"/>
        </w:rPr>
        <w:t xml:space="preserve"> </w:t>
      </w:r>
      <w:r w:rsidRPr="009C4F36">
        <w:rPr>
          <w:rFonts w:ascii="Arial" w:hAnsi="Arial" w:cs="Arial"/>
          <w:sz w:val="20"/>
          <w:szCs w:val="20"/>
        </w:rPr>
        <w:t xml:space="preserve">to meet the title </w:t>
      </w:r>
      <w:r w:rsidR="008847F7">
        <w:rPr>
          <w:rFonts w:ascii="Arial" w:hAnsi="Arial" w:cs="Arial"/>
          <w:sz w:val="20"/>
          <w:szCs w:val="20"/>
        </w:rPr>
        <w:t xml:space="preserve">related requirements and </w:t>
      </w:r>
      <w:r w:rsidRPr="009C4F36">
        <w:rPr>
          <w:rFonts w:ascii="Arial" w:hAnsi="Arial" w:cs="Arial"/>
          <w:sz w:val="20"/>
          <w:szCs w:val="20"/>
        </w:rPr>
        <w:t xml:space="preserve">obligations. </w:t>
      </w:r>
    </w:p>
    <w:p w14:paraId="4869DB25" w14:textId="375D1249" w:rsidR="00CE0B23" w:rsidRPr="007F6F33" w:rsidRDefault="00F97048" w:rsidP="007F6F33">
      <w:pPr>
        <w:pStyle w:val="List2"/>
        <w:pBdr>
          <w:top w:val="single" w:sz="4" w:space="1" w:color="auto"/>
          <w:left w:val="single" w:sz="4" w:space="4" w:color="auto"/>
          <w:bottom w:val="single" w:sz="4" w:space="1" w:color="auto"/>
          <w:right w:val="single" w:sz="4" w:space="4" w:color="auto"/>
        </w:pBdr>
        <w:shd w:val="clear" w:color="auto" w:fill="D9D9D9" w:themeFill="background1" w:themeFillShade="D9"/>
        <w:spacing w:before="120"/>
        <w:ind w:left="720"/>
        <w:rPr>
          <w:rFonts w:ascii="Arial" w:hAnsi="Arial" w:cs="Arial"/>
          <w:sz w:val="20"/>
          <w:szCs w:val="20"/>
        </w:rPr>
      </w:pPr>
      <w:r w:rsidRPr="009C4F36">
        <w:rPr>
          <w:rFonts w:ascii="Arial" w:hAnsi="Arial" w:cs="Arial"/>
          <w:sz w:val="20"/>
          <w:szCs w:val="20"/>
        </w:rPr>
        <w:t>See</w:t>
      </w:r>
      <w:r w:rsidR="007F6F33" w:rsidRPr="009C4F36">
        <w:rPr>
          <w:rFonts w:ascii="Arial" w:hAnsi="Arial" w:cs="Arial"/>
          <w:sz w:val="20"/>
          <w:szCs w:val="20"/>
        </w:rPr>
        <w:t xml:space="preserve"> assessment</w:t>
      </w:r>
      <w:r w:rsidR="009E76DF" w:rsidRPr="009C4F36">
        <w:rPr>
          <w:rFonts w:ascii="Arial" w:hAnsi="Arial" w:cs="Arial"/>
          <w:sz w:val="20"/>
          <w:szCs w:val="20"/>
        </w:rPr>
        <w:t xml:space="preserve"> item</w:t>
      </w:r>
      <w:r w:rsidR="007F6F33" w:rsidRPr="009C4F36">
        <w:rPr>
          <w:rFonts w:ascii="Arial" w:hAnsi="Arial" w:cs="Arial"/>
          <w:sz w:val="20"/>
          <w:szCs w:val="20"/>
        </w:rPr>
        <w:t xml:space="preserve">s </w:t>
      </w:r>
      <w:r w:rsidR="007F6F33" w:rsidRPr="008B6931">
        <w:rPr>
          <w:rFonts w:ascii="Arial" w:hAnsi="Arial" w:cs="Arial"/>
          <w:sz w:val="20"/>
          <w:szCs w:val="20"/>
        </w:rPr>
        <w:t>5.</w:t>
      </w:r>
      <w:r w:rsidR="000F3F2A" w:rsidRPr="008B6931">
        <w:rPr>
          <w:rFonts w:ascii="Arial" w:hAnsi="Arial" w:cs="Arial"/>
          <w:sz w:val="20"/>
          <w:szCs w:val="20"/>
        </w:rPr>
        <w:t>9</w:t>
      </w:r>
      <w:r w:rsidRPr="008B6931">
        <w:rPr>
          <w:rFonts w:ascii="Arial" w:hAnsi="Arial" w:cs="Arial"/>
          <w:sz w:val="20"/>
          <w:szCs w:val="20"/>
        </w:rPr>
        <w:t xml:space="preserve"> – 5.1</w:t>
      </w:r>
      <w:r w:rsidR="00BD5F7B" w:rsidRPr="008B6931">
        <w:rPr>
          <w:rFonts w:ascii="Arial" w:hAnsi="Arial" w:cs="Arial"/>
          <w:sz w:val="20"/>
          <w:szCs w:val="20"/>
        </w:rPr>
        <w:t>2</w:t>
      </w:r>
      <w:r w:rsidRPr="008B6931">
        <w:rPr>
          <w:rFonts w:ascii="Arial" w:hAnsi="Arial" w:cs="Arial"/>
          <w:sz w:val="20"/>
          <w:szCs w:val="20"/>
        </w:rPr>
        <w:t>.</w:t>
      </w:r>
    </w:p>
    <w:p w14:paraId="5BA49CAC" w14:textId="6FE4FB47" w:rsidR="009E76DF" w:rsidRPr="008B6931" w:rsidRDefault="00671AD7" w:rsidP="00D35A1C">
      <w:pPr>
        <w:pStyle w:val="List2"/>
        <w:numPr>
          <w:ilvl w:val="2"/>
          <w:numId w:val="1"/>
        </w:numPr>
        <w:ind w:left="1418" w:hanging="851"/>
        <w:rPr>
          <w:rFonts w:ascii="Arial" w:hAnsi="Arial" w:cs="Arial"/>
          <w:sz w:val="22"/>
          <w:szCs w:val="22"/>
        </w:rPr>
      </w:pPr>
      <w:r w:rsidRPr="008B6931">
        <w:rPr>
          <w:rFonts w:ascii="Arial" w:hAnsi="Arial" w:cs="Arial"/>
          <w:sz w:val="22"/>
          <w:szCs w:val="22"/>
        </w:rPr>
        <w:t>the financial resources that are or will be available to that transferee or those transferees</w:t>
      </w:r>
      <w:r w:rsidR="00DF3DB8" w:rsidRPr="008B6931">
        <w:rPr>
          <w:rFonts w:ascii="Arial" w:hAnsi="Arial" w:cs="Arial"/>
          <w:sz w:val="22"/>
          <w:szCs w:val="22"/>
        </w:rPr>
        <w:t xml:space="preserve"> (</w:t>
      </w:r>
      <w:r w:rsidRPr="008B6931">
        <w:rPr>
          <w:rFonts w:ascii="Arial" w:hAnsi="Arial" w:cs="Arial"/>
          <w:sz w:val="22"/>
          <w:szCs w:val="22"/>
        </w:rPr>
        <w:t>s 474(b)(iii)</w:t>
      </w:r>
      <w:r w:rsidR="00DF3DB8" w:rsidRPr="008B6931">
        <w:rPr>
          <w:rFonts w:ascii="Arial" w:hAnsi="Arial" w:cs="Arial"/>
          <w:sz w:val="22"/>
          <w:szCs w:val="22"/>
        </w:rPr>
        <w:t>)</w:t>
      </w:r>
      <w:r w:rsidRPr="008B6931">
        <w:rPr>
          <w:rFonts w:ascii="Arial" w:hAnsi="Arial" w:cs="Arial"/>
          <w:sz w:val="22"/>
          <w:szCs w:val="22"/>
        </w:rPr>
        <w:t xml:space="preserve">. </w:t>
      </w:r>
    </w:p>
    <w:p w14:paraId="6DF22E88" w14:textId="30A9D735" w:rsidR="00F97048" w:rsidRPr="009C4F36" w:rsidRDefault="00CF074A" w:rsidP="00672500">
      <w:pPr>
        <w:pStyle w:val="Heading2"/>
      </w:pPr>
      <w:r>
        <w:t>Information</w:t>
      </w:r>
      <w:r w:rsidR="00B9720C">
        <w:t xml:space="preserve"> require</w:t>
      </w:r>
      <w:r>
        <w:t>d</w:t>
      </w:r>
      <w:r w:rsidR="00F97048" w:rsidRPr="009C4F36">
        <w:t xml:space="preserve"> to support financial assessment </w:t>
      </w:r>
    </w:p>
    <w:p w14:paraId="4F4D7543" w14:textId="2C3FE398" w:rsidR="00F97048" w:rsidRPr="00533C3B" w:rsidRDefault="00BD5F7B" w:rsidP="00533C3B">
      <w:pPr>
        <w:pStyle w:val="List2"/>
        <w:numPr>
          <w:ilvl w:val="1"/>
          <w:numId w:val="1"/>
        </w:numPr>
        <w:tabs>
          <w:tab w:val="clear" w:pos="454"/>
        </w:tabs>
        <w:ind w:left="567" w:hanging="567"/>
        <w:rPr>
          <w:rFonts w:ascii="Arial" w:hAnsi="Arial" w:cs="Arial"/>
          <w:sz w:val="22"/>
          <w:szCs w:val="22"/>
        </w:rPr>
      </w:pPr>
      <w:r>
        <w:rPr>
          <w:rFonts w:ascii="Arial" w:hAnsi="Arial" w:cs="Arial"/>
          <w:sz w:val="22"/>
          <w:szCs w:val="22"/>
        </w:rPr>
        <w:t>F</w:t>
      </w:r>
      <w:r w:rsidR="00F97048" w:rsidRPr="00393E97">
        <w:rPr>
          <w:rFonts w:ascii="Arial" w:hAnsi="Arial" w:cs="Arial"/>
          <w:sz w:val="22"/>
          <w:szCs w:val="22"/>
        </w:rPr>
        <w:t>or NOPTA to undertake an assessment of the financial capacity of a</w:t>
      </w:r>
      <w:r>
        <w:rPr>
          <w:rFonts w:ascii="Arial" w:hAnsi="Arial" w:cs="Arial"/>
          <w:sz w:val="22"/>
          <w:szCs w:val="22"/>
        </w:rPr>
        <w:t xml:space="preserve"> transferee</w:t>
      </w:r>
      <w:r w:rsidR="00F97048" w:rsidRPr="00393E97">
        <w:rPr>
          <w:rFonts w:ascii="Arial" w:hAnsi="Arial" w:cs="Arial"/>
          <w:sz w:val="22"/>
          <w:szCs w:val="22"/>
        </w:rPr>
        <w:t xml:space="preserve">, details of the current financial resources available and the future financial commitments of the </w:t>
      </w:r>
      <w:r>
        <w:rPr>
          <w:rFonts w:ascii="Arial" w:hAnsi="Arial" w:cs="Arial"/>
          <w:sz w:val="22"/>
          <w:szCs w:val="22"/>
        </w:rPr>
        <w:t>transferee</w:t>
      </w:r>
      <w:r w:rsidR="00F97048" w:rsidRPr="00393E97">
        <w:rPr>
          <w:rFonts w:ascii="Arial" w:hAnsi="Arial" w:cs="Arial"/>
          <w:sz w:val="22"/>
          <w:szCs w:val="22"/>
        </w:rPr>
        <w:t xml:space="preserve"> </w:t>
      </w:r>
      <w:r w:rsidR="00336374">
        <w:rPr>
          <w:rFonts w:ascii="Arial" w:hAnsi="Arial" w:cs="Arial"/>
          <w:sz w:val="22"/>
          <w:szCs w:val="22"/>
        </w:rPr>
        <w:t>should be provided</w:t>
      </w:r>
      <w:r w:rsidR="00041D2E">
        <w:rPr>
          <w:rFonts w:ascii="Arial" w:hAnsi="Arial" w:cs="Arial"/>
          <w:sz w:val="22"/>
          <w:szCs w:val="22"/>
        </w:rPr>
        <w:t xml:space="preserve"> as follows</w:t>
      </w:r>
      <w:r w:rsidR="00F97048">
        <w:rPr>
          <w:rFonts w:ascii="Arial" w:hAnsi="Arial" w:cs="Arial"/>
          <w:sz w:val="22"/>
          <w:szCs w:val="22"/>
        </w:rPr>
        <w:t>:</w:t>
      </w:r>
    </w:p>
    <w:p w14:paraId="37D1D7B6" w14:textId="24C9FFA2" w:rsidR="00F97048" w:rsidRPr="0041535A" w:rsidRDefault="00F97048" w:rsidP="00655FB8">
      <w:pPr>
        <w:pStyle w:val="List2"/>
        <w:numPr>
          <w:ilvl w:val="2"/>
          <w:numId w:val="1"/>
        </w:numPr>
        <w:rPr>
          <w:rFonts w:ascii="Arial" w:hAnsi="Arial" w:cs="Arial"/>
          <w:sz w:val="22"/>
          <w:szCs w:val="22"/>
        </w:rPr>
      </w:pPr>
      <w:r>
        <w:rPr>
          <w:rFonts w:ascii="Arial" w:hAnsi="Arial" w:cs="Arial"/>
          <w:sz w:val="22"/>
          <w:szCs w:val="22"/>
        </w:rPr>
        <w:t xml:space="preserve">The </w:t>
      </w:r>
      <w:r w:rsidRPr="00393E97">
        <w:rPr>
          <w:rFonts w:ascii="Arial" w:hAnsi="Arial" w:cs="Arial"/>
          <w:sz w:val="22"/>
          <w:szCs w:val="22"/>
        </w:rPr>
        <w:t>most recent audited consolidated financial statements (balance sheet date</w:t>
      </w:r>
      <w:r w:rsidR="00723D1D">
        <w:rPr>
          <w:rFonts w:ascii="Arial" w:hAnsi="Arial" w:cs="Arial"/>
          <w:sz w:val="22"/>
          <w:szCs w:val="22"/>
        </w:rPr>
        <w:t>d</w:t>
      </w:r>
      <w:r w:rsidRPr="00393E97">
        <w:rPr>
          <w:rFonts w:ascii="Arial" w:hAnsi="Arial" w:cs="Arial"/>
          <w:sz w:val="22"/>
          <w:szCs w:val="22"/>
        </w:rPr>
        <w:t xml:space="preserve"> not more than twelve months from the date the application is submitted to NOPTA) including:</w:t>
      </w:r>
    </w:p>
    <w:p w14:paraId="084D3ACF" w14:textId="77777777" w:rsidR="00F97048" w:rsidRDefault="00F97048" w:rsidP="00655FB8">
      <w:pPr>
        <w:pStyle w:val="List2"/>
        <w:numPr>
          <w:ilvl w:val="3"/>
          <w:numId w:val="1"/>
        </w:numPr>
        <w:tabs>
          <w:tab w:val="clear" w:pos="1800"/>
          <w:tab w:val="num" w:pos="2127"/>
        </w:tabs>
        <w:ind w:left="1985" w:hanging="310"/>
        <w:rPr>
          <w:rFonts w:ascii="Arial" w:hAnsi="Arial" w:cs="Arial"/>
          <w:sz w:val="22"/>
          <w:szCs w:val="22"/>
        </w:rPr>
      </w:pPr>
      <w:r>
        <w:rPr>
          <w:rFonts w:ascii="Arial" w:hAnsi="Arial" w:cs="Arial"/>
          <w:sz w:val="22"/>
          <w:szCs w:val="22"/>
        </w:rPr>
        <w:t>Balance Sheet;</w:t>
      </w:r>
    </w:p>
    <w:p w14:paraId="15D5DAF0" w14:textId="77777777" w:rsidR="00F97048" w:rsidRDefault="00F97048" w:rsidP="00655FB8">
      <w:pPr>
        <w:pStyle w:val="List2"/>
        <w:numPr>
          <w:ilvl w:val="3"/>
          <w:numId w:val="1"/>
        </w:numPr>
        <w:tabs>
          <w:tab w:val="clear" w:pos="1800"/>
          <w:tab w:val="num" w:pos="2127"/>
        </w:tabs>
        <w:ind w:left="1985" w:hanging="310"/>
        <w:rPr>
          <w:rFonts w:ascii="Arial" w:hAnsi="Arial" w:cs="Arial"/>
          <w:sz w:val="22"/>
          <w:szCs w:val="22"/>
        </w:rPr>
      </w:pPr>
      <w:r>
        <w:rPr>
          <w:rFonts w:ascii="Arial" w:hAnsi="Arial" w:cs="Arial"/>
          <w:sz w:val="22"/>
          <w:szCs w:val="22"/>
        </w:rPr>
        <w:t>Income Statement;</w:t>
      </w:r>
    </w:p>
    <w:p w14:paraId="483CE475" w14:textId="77777777" w:rsidR="00F97048" w:rsidRDefault="00F97048" w:rsidP="00655FB8">
      <w:pPr>
        <w:pStyle w:val="List2"/>
        <w:numPr>
          <w:ilvl w:val="3"/>
          <w:numId w:val="1"/>
        </w:numPr>
        <w:tabs>
          <w:tab w:val="clear" w:pos="1800"/>
          <w:tab w:val="num" w:pos="2127"/>
        </w:tabs>
        <w:ind w:left="1985" w:hanging="310"/>
        <w:rPr>
          <w:rFonts w:ascii="Arial" w:hAnsi="Arial" w:cs="Arial"/>
          <w:sz w:val="22"/>
          <w:szCs w:val="22"/>
        </w:rPr>
      </w:pPr>
      <w:r>
        <w:rPr>
          <w:rFonts w:ascii="Arial" w:hAnsi="Arial" w:cs="Arial"/>
          <w:sz w:val="22"/>
          <w:szCs w:val="22"/>
        </w:rPr>
        <w:t>Cash Flow Statement;</w:t>
      </w:r>
    </w:p>
    <w:p w14:paraId="631529FA" w14:textId="60A389AC" w:rsidR="00F97048" w:rsidRDefault="009C4F36" w:rsidP="00655FB8">
      <w:pPr>
        <w:pStyle w:val="List2"/>
        <w:numPr>
          <w:ilvl w:val="3"/>
          <w:numId w:val="1"/>
        </w:numPr>
        <w:tabs>
          <w:tab w:val="clear" w:pos="1800"/>
          <w:tab w:val="num" w:pos="2127"/>
        </w:tabs>
        <w:ind w:left="1985" w:hanging="310"/>
        <w:rPr>
          <w:rFonts w:ascii="Arial" w:hAnsi="Arial" w:cs="Arial"/>
          <w:sz w:val="22"/>
          <w:szCs w:val="22"/>
        </w:rPr>
      </w:pPr>
      <w:r>
        <w:rPr>
          <w:rFonts w:ascii="Arial" w:hAnsi="Arial" w:cs="Arial"/>
          <w:sz w:val="22"/>
          <w:szCs w:val="22"/>
        </w:rPr>
        <w:t>N</w:t>
      </w:r>
      <w:r w:rsidR="00F97048">
        <w:rPr>
          <w:rFonts w:ascii="Arial" w:hAnsi="Arial" w:cs="Arial"/>
          <w:sz w:val="22"/>
          <w:szCs w:val="22"/>
        </w:rPr>
        <w:t>otes to the accounts in sufficient detail and in a format consistent with generally accepted accounting principles; and</w:t>
      </w:r>
    </w:p>
    <w:p w14:paraId="3DF854FB" w14:textId="77777777" w:rsidR="00F97048" w:rsidRDefault="00F97048" w:rsidP="008B40B2">
      <w:pPr>
        <w:pStyle w:val="List2"/>
        <w:numPr>
          <w:ilvl w:val="3"/>
          <w:numId w:val="1"/>
        </w:numPr>
        <w:tabs>
          <w:tab w:val="clear" w:pos="1800"/>
          <w:tab w:val="num" w:pos="2127"/>
        </w:tabs>
        <w:ind w:left="1985" w:hanging="310"/>
        <w:rPr>
          <w:rFonts w:ascii="Arial" w:hAnsi="Arial" w:cs="Arial"/>
          <w:sz w:val="22"/>
          <w:szCs w:val="22"/>
        </w:rPr>
      </w:pPr>
      <w:r>
        <w:rPr>
          <w:rFonts w:ascii="Arial" w:hAnsi="Arial" w:cs="Arial"/>
          <w:sz w:val="22"/>
          <w:szCs w:val="22"/>
        </w:rPr>
        <w:t>Prior year comparable financial statements.</w:t>
      </w:r>
    </w:p>
    <w:p w14:paraId="7652C15A" w14:textId="77777777" w:rsidR="00A27F9C" w:rsidRDefault="00A27F9C" w:rsidP="00FE2679">
      <w:pPr>
        <w:pStyle w:val="List2"/>
        <w:ind w:left="720" w:firstLine="720"/>
        <w:rPr>
          <w:rFonts w:ascii="Arial" w:hAnsi="Arial" w:cs="Arial"/>
          <w:sz w:val="22"/>
          <w:szCs w:val="22"/>
        </w:rPr>
      </w:pPr>
    </w:p>
    <w:p w14:paraId="650CFD80" w14:textId="3A644A5C" w:rsidR="00F96519" w:rsidRPr="005A21DE" w:rsidRDefault="00F96519" w:rsidP="00FE2679">
      <w:pPr>
        <w:pStyle w:val="List2"/>
        <w:ind w:left="720" w:firstLine="720"/>
        <w:rPr>
          <w:rFonts w:ascii="Arial" w:hAnsi="Arial" w:cs="Arial"/>
          <w:sz w:val="22"/>
          <w:szCs w:val="22"/>
        </w:rPr>
      </w:pPr>
      <w:r w:rsidRPr="005A21DE">
        <w:rPr>
          <w:rFonts w:ascii="Arial" w:hAnsi="Arial" w:cs="Arial"/>
          <w:sz w:val="22"/>
          <w:szCs w:val="22"/>
        </w:rPr>
        <w:t>OR</w:t>
      </w:r>
    </w:p>
    <w:tbl>
      <w:tblPr>
        <w:tblStyle w:val="TableGrid"/>
        <w:tblpPr w:leftFromText="180" w:rightFromText="180" w:vertAnchor="text" w:horzAnchor="margin" w:tblpXSpec="right" w:tblpY="1633"/>
        <w:tblW w:w="0" w:type="auto"/>
        <w:tblLook w:val="04A0" w:firstRow="1" w:lastRow="0" w:firstColumn="1" w:lastColumn="0" w:noHBand="0" w:noVBand="1"/>
      </w:tblPr>
      <w:tblGrid>
        <w:gridCol w:w="8454"/>
      </w:tblGrid>
      <w:tr w:rsidR="00F96519" w14:paraId="18F75F3A" w14:textId="77777777" w:rsidTr="00FE2679">
        <w:tc>
          <w:tcPr>
            <w:tcW w:w="8454" w:type="dxa"/>
            <w:shd w:val="clear" w:color="auto" w:fill="D9D9D9" w:themeFill="background1" w:themeFillShade="D9"/>
          </w:tcPr>
          <w:p w14:paraId="2F959810" w14:textId="6E257C91" w:rsidR="00F96519" w:rsidRPr="00C33941" w:rsidRDefault="00F96519" w:rsidP="00F96519">
            <w:pPr>
              <w:pStyle w:val="List2"/>
              <w:rPr>
                <w:rFonts w:ascii="Arial" w:hAnsi="Arial" w:cs="Arial"/>
                <w:sz w:val="22"/>
                <w:szCs w:val="22"/>
              </w:rPr>
            </w:pPr>
            <w:r w:rsidRPr="009C4F36">
              <w:rPr>
                <w:rFonts w:ascii="Arial" w:hAnsi="Arial" w:cs="Arial"/>
                <w:b/>
                <w:sz w:val="20"/>
                <w:szCs w:val="20"/>
              </w:rPr>
              <w:lastRenderedPageBreak/>
              <w:t>Note:</w:t>
            </w:r>
            <w:r w:rsidRPr="009C4F36">
              <w:rPr>
                <w:rFonts w:ascii="Arial" w:hAnsi="Arial" w:cs="Arial"/>
                <w:sz w:val="20"/>
                <w:szCs w:val="20"/>
              </w:rPr>
              <w:t xml:space="preserve"> </w:t>
            </w:r>
            <w:r w:rsidRPr="00C33941">
              <w:rPr>
                <w:rFonts w:ascii="Arial" w:hAnsi="Arial" w:cs="Arial"/>
                <w:sz w:val="20"/>
                <w:szCs w:val="20"/>
              </w:rPr>
              <w:t>If a transferee relies on a parent entity’s accounts to demonstrate financial capacity, details of funding methods and any guarantees between the entities should also be provided. In these circumstance</w:t>
            </w:r>
            <w:r w:rsidR="00041D2E">
              <w:rPr>
                <w:rFonts w:ascii="Arial" w:hAnsi="Arial" w:cs="Arial"/>
                <w:sz w:val="20"/>
                <w:szCs w:val="20"/>
              </w:rPr>
              <w:t>s</w:t>
            </w:r>
            <w:r w:rsidRPr="00C33941">
              <w:rPr>
                <w:rFonts w:ascii="Arial" w:hAnsi="Arial" w:cs="Arial"/>
                <w:sz w:val="20"/>
                <w:szCs w:val="20"/>
              </w:rPr>
              <w:t>, the assessment that would have applied to the applicant will apply to the parent entity to determine financial capability.</w:t>
            </w:r>
            <w:r w:rsidRPr="007F6F33">
              <w:rPr>
                <w:rFonts w:ascii="Arial" w:hAnsi="Arial" w:cs="Arial"/>
                <w:sz w:val="22"/>
                <w:szCs w:val="22"/>
              </w:rPr>
              <w:t xml:space="preserve"> </w:t>
            </w:r>
          </w:p>
        </w:tc>
      </w:tr>
    </w:tbl>
    <w:p w14:paraId="6D3787F5" w14:textId="2A0B0A6C" w:rsidR="00A07F73" w:rsidRPr="00FE2679" w:rsidRDefault="00A07F73" w:rsidP="00FE2679">
      <w:pPr>
        <w:pStyle w:val="List2"/>
        <w:numPr>
          <w:ilvl w:val="2"/>
          <w:numId w:val="1"/>
        </w:numPr>
        <w:rPr>
          <w:rFonts w:ascii="Arial" w:hAnsi="Arial" w:cs="Arial"/>
          <w:sz w:val="22"/>
          <w:szCs w:val="22"/>
        </w:rPr>
      </w:pPr>
      <w:r w:rsidRPr="00FE2679">
        <w:rPr>
          <w:rFonts w:ascii="Arial" w:hAnsi="Arial" w:cs="Arial"/>
          <w:sz w:val="22"/>
          <w:szCs w:val="22"/>
        </w:rPr>
        <w:t>If audited consolidated financial statements are not available, unaudited consolidated financial statements</w:t>
      </w:r>
      <w:r w:rsidR="009D5F7F">
        <w:rPr>
          <w:rFonts w:ascii="Arial" w:hAnsi="Arial" w:cs="Arial"/>
          <w:sz w:val="22"/>
          <w:szCs w:val="22"/>
        </w:rPr>
        <w:t xml:space="preserve"> </w:t>
      </w:r>
      <w:r w:rsidRPr="00FE2679">
        <w:rPr>
          <w:rFonts w:ascii="Arial" w:hAnsi="Arial" w:cs="Arial"/>
          <w:sz w:val="22"/>
          <w:szCs w:val="22"/>
        </w:rPr>
        <w:t xml:space="preserve">can be provided. These must be accompanied by a declaration by the directors stating that the financial statements have been prepared in accordance with International Financial Reporting Standards and that the transferee has the ability to continue as a going concern as at the balance sheet date. </w:t>
      </w:r>
    </w:p>
    <w:p w14:paraId="6B94CC9C" w14:textId="77777777" w:rsidR="00281C22" w:rsidRDefault="00281C22" w:rsidP="00CF5F0B">
      <w:pPr>
        <w:pStyle w:val="List2"/>
        <w:spacing w:after="0"/>
        <w:ind w:left="1213"/>
        <w:rPr>
          <w:rFonts w:ascii="Arial" w:hAnsi="Arial" w:cs="Arial"/>
          <w:sz w:val="22"/>
          <w:szCs w:val="22"/>
        </w:rPr>
      </w:pPr>
    </w:p>
    <w:p w14:paraId="7ACF69A5" w14:textId="3DDDA40C" w:rsidR="001211F7" w:rsidRPr="00F96519" w:rsidRDefault="001211F7" w:rsidP="005C5D74">
      <w:pPr>
        <w:pStyle w:val="List2"/>
        <w:numPr>
          <w:ilvl w:val="2"/>
          <w:numId w:val="1"/>
        </w:numPr>
        <w:rPr>
          <w:rFonts w:ascii="Arial" w:hAnsi="Arial" w:cs="Arial"/>
          <w:sz w:val="22"/>
          <w:szCs w:val="22"/>
        </w:rPr>
      </w:pPr>
      <w:r w:rsidRPr="007F6F33">
        <w:rPr>
          <w:rFonts w:ascii="Arial" w:hAnsi="Arial" w:cs="Arial"/>
          <w:sz w:val="22"/>
          <w:szCs w:val="22"/>
        </w:rPr>
        <w:t>A non-exhaustive list of</w:t>
      </w:r>
      <w:r>
        <w:rPr>
          <w:rFonts w:ascii="Arial" w:hAnsi="Arial" w:cs="Arial"/>
          <w:sz w:val="22"/>
          <w:szCs w:val="22"/>
        </w:rPr>
        <w:t xml:space="preserve"> additional</w:t>
      </w:r>
      <w:r w:rsidRPr="007F6F33">
        <w:rPr>
          <w:rFonts w:ascii="Arial" w:hAnsi="Arial" w:cs="Arial"/>
          <w:sz w:val="22"/>
          <w:szCs w:val="22"/>
        </w:rPr>
        <w:t xml:space="preserve"> examples of</w:t>
      </w:r>
      <w:r>
        <w:rPr>
          <w:rFonts w:ascii="Arial" w:hAnsi="Arial" w:cs="Arial"/>
          <w:sz w:val="22"/>
          <w:szCs w:val="22"/>
        </w:rPr>
        <w:t xml:space="preserve"> possible</w:t>
      </w:r>
      <w:r w:rsidRPr="007F6F33">
        <w:rPr>
          <w:rFonts w:ascii="Arial" w:hAnsi="Arial" w:cs="Arial"/>
          <w:sz w:val="22"/>
          <w:szCs w:val="22"/>
        </w:rPr>
        <w:t xml:space="preserve"> funding</w:t>
      </w:r>
      <w:r>
        <w:rPr>
          <w:rFonts w:ascii="Arial" w:hAnsi="Arial" w:cs="Arial"/>
          <w:sz w:val="22"/>
          <w:szCs w:val="22"/>
        </w:rPr>
        <w:t xml:space="preserve"> sources that may be </w:t>
      </w:r>
      <w:r w:rsidR="00844FD8">
        <w:rPr>
          <w:rFonts w:ascii="Arial" w:hAnsi="Arial" w:cs="Arial"/>
          <w:sz w:val="22"/>
          <w:szCs w:val="22"/>
        </w:rPr>
        <w:t>provided, or that may be requested,</w:t>
      </w:r>
      <w:r>
        <w:rPr>
          <w:rFonts w:ascii="Arial" w:hAnsi="Arial" w:cs="Arial"/>
          <w:sz w:val="22"/>
          <w:szCs w:val="22"/>
        </w:rPr>
        <w:t xml:space="preserve"> in support of an application is </w:t>
      </w:r>
      <w:r w:rsidRPr="007F6F33">
        <w:rPr>
          <w:rFonts w:ascii="Arial" w:hAnsi="Arial" w:cs="Arial"/>
          <w:sz w:val="22"/>
          <w:szCs w:val="22"/>
        </w:rPr>
        <w:t xml:space="preserve">at </w:t>
      </w:r>
      <w:r w:rsidRPr="007F6F33">
        <w:rPr>
          <w:rFonts w:ascii="Arial" w:hAnsi="Arial" w:cs="Arial"/>
          <w:b/>
          <w:sz w:val="22"/>
          <w:szCs w:val="22"/>
        </w:rPr>
        <w:t>Attachment 1</w:t>
      </w:r>
      <w:r w:rsidRPr="007F6F33">
        <w:rPr>
          <w:rFonts w:ascii="Arial" w:hAnsi="Arial" w:cs="Arial"/>
          <w:sz w:val="22"/>
          <w:szCs w:val="22"/>
        </w:rPr>
        <w:t>.</w:t>
      </w:r>
    </w:p>
    <w:p w14:paraId="542FA0AC" w14:textId="5C4AF35B" w:rsidR="005C5D74" w:rsidRPr="007F6F33" w:rsidDel="00AF0ADE" w:rsidRDefault="005C5D74" w:rsidP="00152340">
      <w:pPr>
        <w:pStyle w:val="List2"/>
        <w:numPr>
          <w:ilvl w:val="1"/>
          <w:numId w:val="1"/>
        </w:numPr>
        <w:tabs>
          <w:tab w:val="clear" w:pos="454"/>
        </w:tabs>
        <w:ind w:left="567" w:hanging="567"/>
        <w:rPr>
          <w:rFonts w:ascii="Arial" w:hAnsi="Arial" w:cs="Arial"/>
          <w:sz w:val="22"/>
          <w:szCs w:val="22"/>
        </w:rPr>
      </w:pPr>
      <w:r w:rsidRPr="00152340">
        <w:rPr>
          <w:rFonts w:ascii="Arial" w:hAnsi="Arial" w:cs="Arial"/>
          <w:sz w:val="22"/>
          <w:szCs w:val="22"/>
        </w:rPr>
        <w:t xml:space="preserve">If a transfer would result in a </w:t>
      </w:r>
      <w:r w:rsidR="0019200D">
        <w:rPr>
          <w:rFonts w:ascii="Arial" w:hAnsi="Arial" w:cs="Arial"/>
          <w:sz w:val="22"/>
          <w:szCs w:val="22"/>
        </w:rPr>
        <w:t xml:space="preserve">sole titleholder or </w:t>
      </w:r>
      <w:r w:rsidRPr="00152340">
        <w:rPr>
          <w:rFonts w:ascii="Arial" w:hAnsi="Arial" w:cs="Arial"/>
          <w:sz w:val="22"/>
          <w:szCs w:val="22"/>
        </w:rPr>
        <w:t>change to the majority titleholder(s), NOPTA may also require the information outlined in item 5.5 above, even where the party is an existing titleholder.</w:t>
      </w:r>
    </w:p>
    <w:p w14:paraId="222541B8" w14:textId="12BF43D8" w:rsidR="00671AD7" w:rsidRPr="007F6F33" w:rsidRDefault="009E139C" w:rsidP="007F6F33">
      <w:pPr>
        <w:pStyle w:val="List2"/>
        <w:numPr>
          <w:ilvl w:val="1"/>
          <w:numId w:val="1"/>
        </w:numPr>
        <w:tabs>
          <w:tab w:val="clear" w:pos="454"/>
        </w:tabs>
        <w:ind w:left="567" w:hanging="567"/>
        <w:rPr>
          <w:rFonts w:ascii="Arial" w:hAnsi="Arial" w:cs="Arial"/>
          <w:sz w:val="22"/>
          <w:szCs w:val="22"/>
        </w:rPr>
      </w:pPr>
      <w:r w:rsidRPr="002365B4">
        <w:rPr>
          <w:rFonts w:ascii="Arial" w:hAnsi="Arial" w:cs="Arial"/>
          <w:sz w:val="22"/>
          <w:szCs w:val="22"/>
        </w:rPr>
        <w:t xml:space="preserve">NOPTA </w:t>
      </w:r>
      <w:r w:rsidR="00CC36F0">
        <w:rPr>
          <w:rFonts w:ascii="Arial" w:hAnsi="Arial" w:cs="Arial"/>
          <w:sz w:val="22"/>
          <w:szCs w:val="22"/>
        </w:rPr>
        <w:t xml:space="preserve">can, by notice in writing, </w:t>
      </w:r>
      <w:r w:rsidRPr="002365B4">
        <w:rPr>
          <w:rFonts w:ascii="Arial" w:hAnsi="Arial" w:cs="Arial"/>
          <w:sz w:val="22"/>
          <w:szCs w:val="22"/>
        </w:rPr>
        <w:t>require applicants to provide such information about the transfer as is considered necessary or advisable: s 507; and require production of documents relating to a</w:t>
      </w:r>
      <w:r w:rsidR="008976E0">
        <w:rPr>
          <w:rFonts w:ascii="Arial" w:hAnsi="Arial" w:cs="Arial"/>
          <w:sz w:val="22"/>
          <w:szCs w:val="22"/>
        </w:rPr>
        <w:t xml:space="preserve"> transfer from a person: s 509.</w:t>
      </w:r>
    </w:p>
    <w:p w14:paraId="0A56F921" w14:textId="77777777" w:rsidR="00671AD7" w:rsidRPr="007F6F33" w:rsidRDefault="00671AD7" w:rsidP="00672500">
      <w:pPr>
        <w:pStyle w:val="Heading2"/>
      </w:pPr>
      <w:r w:rsidRPr="007F6F33">
        <w:t xml:space="preserve">Assessment </w:t>
      </w:r>
    </w:p>
    <w:p w14:paraId="45A00CD4" w14:textId="7E15407E" w:rsidR="00671AD7" w:rsidRPr="007F6F33" w:rsidRDefault="00671AD7" w:rsidP="006E1B5D">
      <w:pPr>
        <w:pStyle w:val="List2"/>
        <w:numPr>
          <w:ilvl w:val="1"/>
          <w:numId w:val="1"/>
        </w:numPr>
        <w:tabs>
          <w:tab w:val="clear" w:pos="454"/>
        </w:tabs>
        <w:ind w:left="567" w:hanging="567"/>
        <w:rPr>
          <w:rFonts w:ascii="Arial" w:hAnsi="Arial" w:cs="Arial"/>
          <w:sz w:val="22"/>
          <w:szCs w:val="22"/>
        </w:rPr>
      </w:pPr>
      <w:r w:rsidRPr="007F6F33">
        <w:rPr>
          <w:rFonts w:ascii="Arial" w:hAnsi="Arial" w:cs="Arial"/>
          <w:sz w:val="22"/>
          <w:szCs w:val="22"/>
        </w:rPr>
        <w:t xml:space="preserve">The approval or refusal of a transfer of </w:t>
      </w:r>
      <w:r w:rsidR="00617CE7" w:rsidRPr="007F6F33">
        <w:rPr>
          <w:rFonts w:ascii="Arial" w:hAnsi="Arial" w:cs="Arial"/>
          <w:sz w:val="22"/>
          <w:szCs w:val="22"/>
        </w:rPr>
        <w:t xml:space="preserve">a </w:t>
      </w:r>
      <w:r w:rsidRPr="007F6F33">
        <w:rPr>
          <w:rFonts w:ascii="Arial" w:hAnsi="Arial" w:cs="Arial"/>
          <w:sz w:val="22"/>
          <w:szCs w:val="22"/>
        </w:rPr>
        <w:t>title is at the discretion of NOPTA.</w:t>
      </w:r>
    </w:p>
    <w:p w14:paraId="2818F071" w14:textId="3B692F91" w:rsidR="00671AD7" w:rsidRPr="007F6F33" w:rsidRDefault="00671AD7" w:rsidP="006E1B5D">
      <w:pPr>
        <w:pStyle w:val="List2"/>
        <w:numPr>
          <w:ilvl w:val="1"/>
          <w:numId w:val="1"/>
        </w:numPr>
        <w:tabs>
          <w:tab w:val="clear" w:pos="454"/>
        </w:tabs>
        <w:ind w:left="567" w:hanging="567"/>
        <w:rPr>
          <w:rFonts w:ascii="Arial" w:hAnsi="Arial" w:cs="Arial"/>
          <w:sz w:val="22"/>
          <w:szCs w:val="22"/>
        </w:rPr>
      </w:pPr>
      <w:r w:rsidRPr="007F6F33">
        <w:rPr>
          <w:rFonts w:ascii="Arial" w:hAnsi="Arial" w:cs="Arial"/>
          <w:sz w:val="22"/>
          <w:szCs w:val="22"/>
        </w:rPr>
        <w:t>In making a decision</w:t>
      </w:r>
      <w:r w:rsidR="00723D1D">
        <w:rPr>
          <w:rFonts w:ascii="Arial" w:hAnsi="Arial" w:cs="Arial"/>
          <w:sz w:val="22"/>
          <w:szCs w:val="22"/>
        </w:rPr>
        <w:t xml:space="preserve"> on a transfer of title application</w:t>
      </w:r>
      <w:r w:rsidR="009C4F36">
        <w:rPr>
          <w:rFonts w:ascii="Arial" w:hAnsi="Arial" w:cs="Arial"/>
          <w:sz w:val="22"/>
          <w:szCs w:val="22"/>
        </w:rPr>
        <w:t>,</w:t>
      </w:r>
      <w:r w:rsidRPr="007F6F33">
        <w:rPr>
          <w:rFonts w:ascii="Arial" w:hAnsi="Arial" w:cs="Arial"/>
          <w:sz w:val="22"/>
          <w:szCs w:val="22"/>
        </w:rPr>
        <w:t xml:space="preserve"> NOPTA will consider: </w:t>
      </w:r>
    </w:p>
    <w:p w14:paraId="5FCCE735" w14:textId="77777777" w:rsidR="00671AD7" w:rsidRPr="007F6F33" w:rsidRDefault="00671AD7" w:rsidP="00D35A1C">
      <w:pPr>
        <w:pStyle w:val="List2"/>
        <w:numPr>
          <w:ilvl w:val="2"/>
          <w:numId w:val="1"/>
        </w:numPr>
        <w:ind w:left="1418" w:hanging="851"/>
        <w:rPr>
          <w:rFonts w:ascii="Arial" w:hAnsi="Arial" w:cs="Arial"/>
          <w:sz w:val="22"/>
          <w:szCs w:val="22"/>
        </w:rPr>
      </w:pPr>
      <w:r w:rsidRPr="007F6F33">
        <w:rPr>
          <w:rFonts w:ascii="Arial" w:hAnsi="Arial" w:cs="Arial"/>
          <w:sz w:val="22"/>
          <w:szCs w:val="22"/>
        </w:rPr>
        <w:t xml:space="preserve">the technical qualifications of the transferee(s); </w:t>
      </w:r>
    </w:p>
    <w:p w14:paraId="52CEB305" w14:textId="77777777" w:rsidR="00671AD7" w:rsidRPr="007F6F33" w:rsidRDefault="00671AD7" w:rsidP="00D35A1C">
      <w:pPr>
        <w:pStyle w:val="List2"/>
        <w:numPr>
          <w:ilvl w:val="2"/>
          <w:numId w:val="1"/>
        </w:numPr>
        <w:ind w:left="1418" w:hanging="851"/>
        <w:rPr>
          <w:rFonts w:ascii="Arial" w:hAnsi="Arial" w:cs="Arial"/>
          <w:sz w:val="22"/>
          <w:szCs w:val="22"/>
        </w:rPr>
      </w:pPr>
      <w:r w:rsidRPr="007F6F33">
        <w:rPr>
          <w:rFonts w:ascii="Arial" w:hAnsi="Arial" w:cs="Arial"/>
          <w:sz w:val="22"/>
          <w:szCs w:val="22"/>
        </w:rPr>
        <w:t xml:space="preserve">the technical advice that is or will be available to the transferee(s); </w:t>
      </w:r>
    </w:p>
    <w:p w14:paraId="7DF5CF15" w14:textId="23B5CE52" w:rsidR="001E66F1" w:rsidRPr="007F6F33" w:rsidRDefault="00671AD7">
      <w:pPr>
        <w:pStyle w:val="List2"/>
        <w:numPr>
          <w:ilvl w:val="2"/>
          <w:numId w:val="1"/>
        </w:numPr>
        <w:ind w:left="1418" w:hanging="851"/>
        <w:rPr>
          <w:rFonts w:ascii="Arial" w:hAnsi="Arial" w:cs="Arial"/>
          <w:sz w:val="22"/>
          <w:szCs w:val="22"/>
        </w:rPr>
      </w:pPr>
      <w:r w:rsidRPr="007F6F33">
        <w:rPr>
          <w:rFonts w:ascii="Arial" w:hAnsi="Arial" w:cs="Arial"/>
          <w:sz w:val="22"/>
          <w:szCs w:val="22"/>
        </w:rPr>
        <w:t>the financial resources that are or will be available to th</w:t>
      </w:r>
      <w:r w:rsidR="00617CE7" w:rsidRPr="007F6F33">
        <w:rPr>
          <w:rFonts w:ascii="Arial" w:hAnsi="Arial" w:cs="Arial"/>
          <w:sz w:val="22"/>
          <w:szCs w:val="22"/>
        </w:rPr>
        <w:t>e</w:t>
      </w:r>
      <w:r w:rsidRPr="007F6F33">
        <w:rPr>
          <w:rFonts w:ascii="Arial" w:hAnsi="Arial" w:cs="Arial"/>
          <w:sz w:val="22"/>
          <w:szCs w:val="22"/>
        </w:rPr>
        <w:t xml:space="preserve"> transferee(s); and </w:t>
      </w:r>
    </w:p>
    <w:p w14:paraId="67B713F8" w14:textId="17D519C4" w:rsidR="006E5970" w:rsidRPr="007F6F33" w:rsidRDefault="00671AD7" w:rsidP="00D35A1C">
      <w:pPr>
        <w:pStyle w:val="List2"/>
        <w:numPr>
          <w:ilvl w:val="2"/>
          <w:numId w:val="1"/>
        </w:numPr>
        <w:ind w:left="1418" w:hanging="851"/>
        <w:rPr>
          <w:rFonts w:ascii="Arial" w:hAnsi="Arial" w:cs="Arial"/>
          <w:sz w:val="22"/>
          <w:szCs w:val="22"/>
        </w:rPr>
      </w:pPr>
      <w:r w:rsidRPr="007F6F33">
        <w:rPr>
          <w:rFonts w:ascii="Arial" w:hAnsi="Arial" w:cs="Arial"/>
          <w:sz w:val="22"/>
          <w:szCs w:val="22"/>
        </w:rPr>
        <w:t xml:space="preserve">any other </w:t>
      </w:r>
      <w:r w:rsidR="00C256A4" w:rsidRPr="007F6F33">
        <w:rPr>
          <w:rFonts w:ascii="Arial" w:hAnsi="Arial" w:cs="Arial"/>
          <w:sz w:val="22"/>
          <w:szCs w:val="22"/>
        </w:rPr>
        <w:t xml:space="preserve">matter </w:t>
      </w:r>
      <w:r w:rsidRPr="007F6F33">
        <w:rPr>
          <w:rFonts w:ascii="Arial" w:hAnsi="Arial" w:cs="Arial"/>
          <w:sz w:val="22"/>
          <w:szCs w:val="22"/>
        </w:rPr>
        <w:t xml:space="preserve">that </w:t>
      </w:r>
      <w:r w:rsidR="00617CE7" w:rsidRPr="007F6F33">
        <w:rPr>
          <w:rFonts w:ascii="Arial" w:hAnsi="Arial" w:cs="Arial"/>
          <w:sz w:val="22"/>
          <w:szCs w:val="22"/>
        </w:rPr>
        <w:t>NOPTA</w:t>
      </w:r>
      <w:r w:rsidR="008976E0">
        <w:rPr>
          <w:rFonts w:ascii="Arial" w:hAnsi="Arial" w:cs="Arial"/>
          <w:sz w:val="22"/>
          <w:szCs w:val="22"/>
        </w:rPr>
        <w:t xml:space="preserve"> considers to be relevant.</w:t>
      </w:r>
    </w:p>
    <w:p w14:paraId="18637210" w14:textId="10B8E241" w:rsidR="00671AD7" w:rsidRPr="007F6F33" w:rsidRDefault="00671AD7" w:rsidP="00672500">
      <w:pPr>
        <w:pStyle w:val="Heading2"/>
      </w:pPr>
      <w:r w:rsidRPr="007F6F33">
        <w:t xml:space="preserve">Technical </w:t>
      </w:r>
      <w:r w:rsidR="00EC18B3">
        <w:t>Qualifications and Advice</w:t>
      </w:r>
      <w:r w:rsidR="00EC18B3" w:rsidRPr="007F6F33">
        <w:t xml:space="preserve"> </w:t>
      </w:r>
    </w:p>
    <w:p w14:paraId="3A1B8A42" w14:textId="1FCC8F83" w:rsidR="00671AD7" w:rsidRPr="007F6F33" w:rsidRDefault="00671AD7" w:rsidP="006E1B5D">
      <w:pPr>
        <w:pStyle w:val="List2"/>
        <w:numPr>
          <w:ilvl w:val="1"/>
          <w:numId w:val="1"/>
        </w:numPr>
        <w:tabs>
          <w:tab w:val="clear" w:pos="454"/>
        </w:tabs>
        <w:ind w:left="567" w:hanging="567"/>
        <w:rPr>
          <w:rFonts w:ascii="Arial" w:hAnsi="Arial" w:cs="Arial"/>
          <w:sz w:val="22"/>
          <w:szCs w:val="22"/>
        </w:rPr>
      </w:pPr>
      <w:r w:rsidRPr="007F6F33">
        <w:rPr>
          <w:rFonts w:ascii="Arial" w:hAnsi="Arial" w:cs="Arial"/>
          <w:sz w:val="22"/>
          <w:szCs w:val="22"/>
        </w:rPr>
        <w:t>NOPTA needs to be satisfied that the transferee(s) ha</w:t>
      </w:r>
      <w:r w:rsidR="00E03D3D" w:rsidRPr="002365B4">
        <w:rPr>
          <w:rFonts w:ascii="Arial" w:hAnsi="Arial" w:cs="Arial"/>
          <w:sz w:val="22"/>
          <w:szCs w:val="22"/>
        </w:rPr>
        <w:t>s</w:t>
      </w:r>
      <w:r w:rsidRPr="007F6F33">
        <w:rPr>
          <w:rFonts w:ascii="Arial" w:hAnsi="Arial" w:cs="Arial"/>
          <w:sz w:val="22"/>
          <w:szCs w:val="22"/>
        </w:rPr>
        <w:t xml:space="preserve"> sufficient technical capacity to meet the obligations</w:t>
      </w:r>
      <w:r w:rsidR="007A499E">
        <w:rPr>
          <w:rFonts w:ascii="Arial" w:hAnsi="Arial" w:cs="Arial"/>
          <w:sz w:val="22"/>
          <w:szCs w:val="22"/>
        </w:rPr>
        <w:t xml:space="preserve"> </w:t>
      </w:r>
      <w:r w:rsidRPr="007F6F33">
        <w:rPr>
          <w:rFonts w:ascii="Arial" w:hAnsi="Arial" w:cs="Arial"/>
          <w:sz w:val="22"/>
          <w:szCs w:val="22"/>
        </w:rPr>
        <w:t xml:space="preserve">associated with the title. These may include: </w:t>
      </w:r>
    </w:p>
    <w:p w14:paraId="4D93D387" w14:textId="21537E97" w:rsidR="00671AD7" w:rsidRPr="007F6F33" w:rsidRDefault="00671AD7" w:rsidP="00D35A1C">
      <w:pPr>
        <w:pStyle w:val="List2"/>
        <w:numPr>
          <w:ilvl w:val="2"/>
          <w:numId w:val="1"/>
        </w:numPr>
        <w:ind w:left="1418" w:hanging="851"/>
        <w:rPr>
          <w:rFonts w:ascii="Arial" w:hAnsi="Arial" w:cs="Arial"/>
          <w:sz w:val="22"/>
          <w:szCs w:val="22"/>
        </w:rPr>
      </w:pPr>
      <w:r w:rsidRPr="007F6F33">
        <w:rPr>
          <w:rFonts w:ascii="Arial" w:hAnsi="Arial" w:cs="Arial"/>
          <w:sz w:val="22"/>
          <w:szCs w:val="22"/>
        </w:rPr>
        <w:t>work program commitments;</w:t>
      </w:r>
    </w:p>
    <w:p w14:paraId="3B26BBCF" w14:textId="728B0C22" w:rsidR="00671AD7" w:rsidRPr="007F6F33" w:rsidRDefault="001216E0" w:rsidP="00D35A1C">
      <w:pPr>
        <w:pStyle w:val="List2"/>
        <w:numPr>
          <w:ilvl w:val="2"/>
          <w:numId w:val="1"/>
        </w:numPr>
        <w:ind w:left="1418" w:hanging="851"/>
        <w:rPr>
          <w:rFonts w:ascii="Arial" w:hAnsi="Arial" w:cs="Arial"/>
          <w:sz w:val="22"/>
          <w:szCs w:val="22"/>
        </w:rPr>
      </w:pPr>
      <w:r w:rsidRPr="007F6F33">
        <w:rPr>
          <w:rFonts w:ascii="Arial" w:hAnsi="Arial" w:cs="Arial"/>
          <w:sz w:val="22"/>
          <w:szCs w:val="22"/>
        </w:rPr>
        <w:t xml:space="preserve">capacity to explore and </w:t>
      </w:r>
      <w:r w:rsidR="00671AD7" w:rsidRPr="007F6F33">
        <w:rPr>
          <w:rFonts w:ascii="Arial" w:hAnsi="Arial" w:cs="Arial"/>
          <w:sz w:val="22"/>
          <w:szCs w:val="22"/>
        </w:rPr>
        <w:t>to progress the development of known resources; and</w:t>
      </w:r>
    </w:p>
    <w:p w14:paraId="57FFBEE7" w14:textId="5B5D6B7C" w:rsidR="00671AD7" w:rsidRPr="007F6F33" w:rsidRDefault="00671AD7" w:rsidP="00D35A1C">
      <w:pPr>
        <w:pStyle w:val="List2"/>
        <w:numPr>
          <w:ilvl w:val="2"/>
          <w:numId w:val="1"/>
        </w:numPr>
        <w:ind w:left="1418" w:hanging="851"/>
        <w:rPr>
          <w:rFonts w:ascii="Arial" w:hAnsi="Arial" w:cs="Arial"/>
          <w:sz w:val="22"/>
          <w:szCs w:val="22"/>
        </w:rPr>
      </w:pPr>
      <w:r w:rsidRPr="007F6F33">
        <w:rPr>
          <w:rFonts w:ascii="Arial" w:hAnsi="Arial" w:cs="Arial"/>
          <w:sz w:val="22"/>
          <w:szCs w:val="22"/>
        </w:rPr>
        <w:t xml:space="preserve">ability to </w:t>
      </w:r>
      <w:r w:rsidR="00305B3E" w:rsidRPr="007F6F33">
        <w:rPr>
          <w:rFonts w:ascii="Arial" w:hAnsi="Arial" w:cs="Arial"/>
          <w:sz w:val="22"/>
          <w:szCs w:val="22"/>
        </w:rPr>
        <w:t xml:space="preserve">meet the requirements of </w:t>
      </w:r>
      <w:r w:rsidR="001E281F" w:rsidRPr="007F6F33">
        <w:rPr>
          <w:rFonts w:ascii="Arial" w:hAnsi="Arial" w:cs="Arial"/>
          <w:sz w:val="22"/>
          <w:szCs w:val="22"/>
        </w:rPr>
        <w:t>an</w:t>
      </w:r>
      <w:r w:rsidR="00305B3E" w:rsidRPr="007F6F33">
        <w:rPr>
          <w:rFonts w:ascii="Arial" w:hAnsi="Arial" w:cs="Arial"/>
          <w:sz w:val="22"/>
          <w:szCs w:val="22"/>
        </w:rPr>
        <w:t xml:space="preserve"> accepted field development plan</w:t>
      </w:r>
      <w:r w:rsidRPr="007F6F33">
        <w:rPr>
          <w:rFonts w:ascii="Arial" w:hAnsi="Arial" w:cs="Arial"/>
          <w:sz w:val="22"/>
          <w:szCs w:val="22"/>
        </w:rPr>
        <w:t xml:space="preserve">. </w:t>
      </w:r>
    </w:p>
    <w:p w14:paraId="094B816F" w14:textId="1C24C8CA" w:rsidR="00671AD7" w:rsidRPr="007F6F33" w:rsidRDefault="00671AD7" w:rsidP="006E1B5D">
      <w:pPr>
        <w:pStyle w:val="List2"/>
        <w:numPr>
          <w:ilvl w:val="1"/>
          <w:numId w:val="1"/>
        </w:numPr>
        <w:tabs>
          <w:tab w:val="clear" w:pos="454"/>
        </w:tabs>
        <w:ind w:left="567" w:hanging="567"/>
        <w:rPr>
          <w:rFonts w:ascii="Arial" w:hAnsi="Arial" w:cs="Arial"/>
          <w:sz w:val="22"/>
          <w:szCs w:val="22"/>
        </w:rPr>
      </w:pPr>
      <w:r w:rsidRPr="007F6F33">
        <w:rPr>
          <w:rFonts w:ascii="Arial" w:hAnsi="Arial" w:cs="Arial"/>
          <w:sz w:val="22"/>
          <w:szCs w:val="22"/>
        </w:rPr>
        <w:t>Considerations will include, but not be limited to</w:t>
      </w:r>
      <w:r w:rsidR="00D90D4E" w:rsidRPr="007F6F33">
        <w:rPr>
          <w:rFonts w:ascii="Arial" w:hAnsi="Arial" w:cs="Arial"/>
          <w:sz w:val="22"/>
          <w:szCs w:val="22"/>
        </w:rPr>
        <w:t>,</w:t>
      </w:r>
      <w:r w:rsidRPr="007F6F33">
        <w:rPr>
          <w:rFonts w:ascii="Arial" w:hAnsi="Arial" w:cs="Arial"/>
          <w:sz w:val="22"/>
          <w:szCs w:val="22"/>
        </w:rPr>
        <w:t xml:space="preserve"> the technical capacity and experience of key personnel and/or details of sub</w:t>
      </w:r>
      <w:r w:rsidRPr="007F6F33">
        <w:rPr>
          <w:rFonts w:ascii="Arial" w:hAnsi="Arial" w:cs="Arial"/>
          <w:sz w:val="22"/>
          <w:szCs w:val="22"/>
        </w:rPr>
        <w:noBreakHyphen/>
        <w:t>contractors</w:t>
      </w:r>
      <w:r w:rsidR="00D90D4E" w:rsidRPr="007F6F33">
        <w:rPr>
          <w:rFonts w:ascii="Arial" w:hAnsi="Arial" w:cs="Arial"/>
          <w:sz w:val="22"/>
          <w:szCs w:val="22"/>
        </w:rPr>
        <w:t>,</w:t>
      </w:r>
      <w:r w:rsidRPr="007F6F33">
        <w:rPr>
          <w:rFonts w:ascii="Arial" w:hAnsi="Arial" w:cs="Arial"/>
          <w:sz w:val="22"/>
          <w:szCs w:val="22"/>
        </w:rPr>
        <w:t xml:space="preserve"> and particulars of other current and previous involvement in petroleum exploration and development. </w:t>
      </w:r>
    </w:p>
    <w:p w14:paraId="30B126D0" w14:textId="05AA5B67" w:rsidR="00671AD7" w:rsidRPr="007F6F33" w:rsidRDefault="00671AD7" w:rsidP="006E1B5D">
      <w:pPr>
        <w:pStyle w:val="List2"/>
        <w:numPr>
          <w:ilvl w:val="1"/>
          <w:numId w:val="1"/>
        </w:numPr>
        <w:tabs>
          <w:tab w:val="clear" w:pos="454"/>
        </w:tabs>
        <w:ind w:left="567" w:hanging="567"/>
        <w:rPr>
          <w:rFonts w:ascii="Arial" w:hAnsi="Arial" w:cs="Arial"/>
          <w:sz w:val="22"/>
          <w:szCs w:val="22"/>
        </w:rPr>
      </w:pPr>
      <w:r w:rsidRPr="007F6F33">
        <w:rPr>
          <w:rFonts w:ascii="Arial" w:hAnsi="Arial" w:cs="Arial"/>
          <w:sz w:val="22"/>
          <w:szCs w:val="22"/>
        </w:rPr>
        <w:t xml:space="preserve">The required technical capacity may vary depending on the nature of the title. </w:t>
      </w:r>
    </w:p>
    <w:p w14:paraId="172AC8D7" w14:textId="3C616703" w:rsidR="00671AD7" w:rsidRPr="007F6F33" w:rsidRDefault="00671AD7" w:rsidP="00672500">
      <w:pPr>
        <w:pStyle w:val="Heading2"/>
      </w:pPr>
      <w:r w:rsidRPr="007F6F33">
        <w:t xml:space="preserve">Financial </w:t>
      </w:r>
      <w:r w:rsidR="00EC18B3">
        <w:t>Resources</w:t>
      </w:r>
      <w:r w:rsidR="00EC18B3" w:rsidRPr="007F6F33">
        <w:t xml:space="preserve"> </w:t>
      </w:r>
    </w:p>
    <w:p w14:paraId="5F679A53" w14:textId="29F16D0F" w:rsidR="00671AD7" w:rsidRPr="007F6F33" w:rsidRDefault="00671AD7" w:rsidP="004913E1">
      <w:pPr>
        <w:pStyle w:val="List2"/>
        <w:numPr>
          <w:ilvl w:val="1"/>
          <w:numId w:val="1"/>
        </w:numPr>
        <w:tabs>
          <w:tab w:val="clear" w:pos="454"/>
        </w:tabs>
        <w:ind w:left="567" w:hanging="567"/>
        <w:rPr>
          <w:rFonts w:ascii="Arial" w:hAnsi="Arial" w:cs="Arial"/>
          <w:sz w:val="22"/>
          <w:szCs w:val="22"/>
        </w:rPr>
      </w:pPr>
      <w:r w:rsidRPr="007F6F33">
        <w:rPr>
          <w:rFonts w:ascii="Arial" w:hAnsi="Arial" w:cs="Arial"/>
          <w:sz w:val="22"/>
          <w:szCs w:val="22"/>
        </w:rPr>
        <w:t>NOPTA needs to be satisfied that the transferee(s) ha</w:t>
      </w:r>
      <w:r w:rsidR="00E03D3D" w:rsidRPr="002365B4">
        <w:rPr>
          <w:rFonts w:ascii="Arial" w:hAnsi="Arial" w:cs="Arial"/>
          <w:sz w:val="22"/>
          <w:szCs w:val="22"/>
        </w:rPr>
        <w:t>s</w:t>
      </w:r>
      <w:r w:rsidRPr="007F6F33">
        <w:rPr>
          <w:rFonts w:ascii="Arial" w:hAnsi="Arial" w:cs="Arial"/>
          <w:sz w:val="22"/>
          <w:szCs w:val="22"/>
        </w:rPr>
        <w:t xml:space="preserve"> the necessary financial capacity to: </w:t>
      </w:r>
    </w:p>
    <w:p w14:paraId="2498412A" w14:textId="2E1A581B" w:rsidR="00671AD7" w:rsidRPr="007F6F33" w:rsidRDefault="00671AD7" w:rsidP="001076D8">
      <w:pPr>
        <w:pStyle w:val="List2"/>
        <w:numPr>
          <w:ilvl w:val="2"/>
          <w:numId w:val="1"/>
        </w:numPr>
        <w:ind w:left="1418" w:hanging="851"/>
        <w:rPr>
          <w:rFonts w:ascii="Arial" w:hAnsi="Arial" w:cs="Arial"/>
          <w:sz w:val="22"/>
          <w:szCs w:val="22"/>
        </w:rPr>
      </w:pPr>
      <w:r w:rsidRPr="007F6F33">
        <w:rPr>
          <w:rFonts w:ascii="Arial" w:hAnsi="Arial" w:cs="Arial"/>
          <w:sz w:val="22"/>
          <w:szCs w:val="22"/>
        </w:rPr>
        <w:t xml:space="preserve">continue as a going concern; </w:t>
      </w:r>
      <w:r w:rsidR="00EC18B3">
        <w:rPr>
          <w:rFonts w:ascii="Arial" w:hAnsi="Arial" w:cs="Arial"/>
          <w:sz w:val="22"/>
          <w:szCs w:val="22"/>
        </w:rPr>
        <w:t>and</w:t>
      </w:r>
    </w:p>
    <w:p w14:paraId="66E16242" w14:textId="7FB9C051" w:rsidR="005874C0" w:rsidRPr="007F6F33" w:rsidRDefault="00671AD7" w:rsidP="001076D8">
      <w:pPr>
        <w:pStyle w:val="List2"/>
        <w:numPr>
          <w:ilvl w:val="2"/>
          <w:numId w:val="1"/>
        </w:numPr>
        <w:ind w:left="1418" w:hanging="851"/>
        <w:rPr>
          <w:rFonts w:ascii="Arial" w:hAnsi="Arial" w:cs="Arial"/>
          <w:sz w:val="22"/>
          <w:szCs w:val="22"/>
        </w:rPr>
      </w:pPr>
      <w:r w:rsidRPr="007F6F33">
        <w:rPr>
          <w:rFonts w:ascii="Arial" w:hAnsi="Arial" w:cs="Arial"/>
          <w:sz w:val="22"/>
          <w:szCs w:val="22"/>
        </w:rPr>
        <w:t xml:space="preserve">meet </w:t>
      </w:r>
      <w:r w:rsidR="003529C7">
        <w:rPr>
          <w:rFonts w:ascii="Arial" w:hAnsi="Arial" w:cs="Arial"/>
          <w:sz w:val="22"/>
          <w:szCs w:val="22"/>
        </w:rPr>
        <w:t xml:space="preserve">its </w:t>
      </w:r>
      <w:r w:rsidR="00EC18B3">
        <w:rPr>
          <w:rFonts w:ascii="Arial" w:hAnsi="Arial" w:cs="Arial"/>
          <w:sz w:val="22"/>
          <w:szCs w:val="22"/>
        </w:rPr>
        <w:t xml:space="preserve">existing title related </w:t>
      </w:r>
      <w:r w:rsidR="003529C7">
        <w:rPr>
          <w:rFonts w:ascii="Arial" w:hAnsi="Arial" w:cs="Arial"/>
          <w:sz w:val="22"/>
          <w:szCs w:val="22"/>
        </w:rPr>
        <w:t>commitments</w:t>
      </w:r>
      <w:r w:rsidR="00EC18B3">
        <w:rPr>
          <w:rFonts w:ascii="Arial" w:hAnsi="Arial" w:cs="Arial"/>
          <w:sz w:val="22"/>
          <w:szCs w:val="22"/>
        </w:rPr>
        <w:t xml:space="preserve"> and those relating to the title(s) for which a transfer application has been submitted</w:t>
      </w:r>
      <w:r w:rsidR="00B9720C">
        <w:rPr>
          <w:rFonts w:ascii="Arial" w:hAnsi="Arial" w:cs="Arial"/>
          <w:sz w:val="22"/>
          <w:szCs w:val="22"/>
        </w:rPr>
        <w:t>,</w:t>
      </w:r>
      <w:r w:rsidR="003529C7">
        <w:rPr>
          <w:rFonts w:ascii="Arial" w:hAnsi="Arial" w:cs="Arial"/>
          <w:sz w:val="22"/>
          <w:szCs w:val="22"/>
        </w:rPr>
        <w:t xml:space="preserve"> including work programs, development and decommissioning obligations.</w:t>
      </w:r>
      <w:r w:rsidR="00E03D3D" w:rsidRPr="00A53D82">
        <w:rPr>
          <w:rFonts w:ascii="Arial" w:hAnsi="Arial" w:cs="Arial"/>
          <w:sz w:val="22"/>
          <w:szCs w:val="22"/>
        </w:rPr>
        <w:t xml:space="preserve"> </w:t>
      </w:r>
    </w:p>
    <w:p w14:paraId="3D9BF5C9" w14:textId="77777777" w:rsidR="00A7032E" w:rsidRDefault="00A7032E">
      <w:pPr>
        <w:rPr>
          <w:rFonts w:ascii="Arial" w:eastAsia="Times New Roman" w:hAnsi="Arial" w:cs="Arial"/>
          <w:sz w:val="22"/>
          <w:szCs w:val="22"/>
          <w:lang w:eastAsia="en-AU"/>
        </w:rPr>
      </w:pPr>
      <w:r>
        <w:rPr>
          <w:rFonts w:ascii="Arial" w:hAnsi="Arial" w:cs="Arial"/>
          <w:sz w:val="22"/>
          <w:szCs w:val="22"/>
        </w:rPr>
        <w:br w:type="page"/>
      </w:r>
    </w:p>
    <w:p w14:paraId="255576AB" w14:textId="7C17F196" w:rsidR="00EC18B3" w:rsidRPr="005C5D74" w:rsidRDefault="00455882" w:rsidP="005C5D74">
      <w:pPr>
        <w:pStyle w:val="List2"/>
        <w:numPr>
          <w:ilvl w:val="1"/>
          <w:numId w:val="1"/>
        </w:numPr>
        <w:tabs>
          <w:tab w:val="clear" w:pos="454"/>
        </w:tabs>
        <w:ind w:left="567" w:hanging="567"/>
        <w:rPr>
          <w:rFonts w:ascii="Arial" w:hAnsi="Arial" w:cs="Arial"/>
          <w:sz w:val="22"/>
          <w:szCs w:val="22"/>
          <w:u w:val="single"/>
        </w:rPr>
      </w:pPr>
      <w:r w:rsidRPr="00455882">
        <w:rPr>
          <w:rFonts w:ascii="Arial" w:hAnsi="Arial" w:cs="Arial"/>
          <w:sz w:val="22"/>
          <w:szCs w:val="22"/>
        </w:rPr>
        <w:lastRenderedPageBreak/>
        <w:t xml:space="preserve">The assessment of financial capacity </w:t>
      </w:r>
      <w:r>
        <w:rPr>
          <w:rFonts w:ascii="Arial" w:hAnsi="Arial" w:cs="Arial"/>
          <w:sz w:val="22"/>
          <w:szCs w:val="22"/>
        </w:rPr>
        <w:t>will</w:t>
      </w:r>
      <w:r w:rsidRPr="00455882">
        <w:rPr>
          <w:rFonts w:ascii="Arial" w:hAnsi="Arial" w:cs="Arial"/>
          <w:sz w:val="22"/>
          <w:szCs w:val="22"/>
        </w:rPr>
        <w:t xml:space="preserve"> test a</w:t>
      </w:r>
      <w:r w:rsidR="007271FC">
        <w:rPr>
          <w:rFonts w:ascii="Arial" w:hAnsi="Arial" w:cs="Arial"/>
          <w:sz w:val="22"/>
          <w:szCs w:val="22"/>
        </w:rPr>
        <w:t xml:space="preserve"> transferee(s)</w:t>
      </w:r>
      <w:r w:rsidRPr="00455882">
        <w:rPr>
          <w:rFonts w:ascii="Arial" w:hAnsi="Arial" w:cs="Arial"/>
          <w:sz w:val="22"/>
          <w:szCs w:val="22"/>
        </w:rPr>
        <w:t xml:space="preserve"> ability to meet the commitments associated with the title(s) in which it is seeking to take an interest</w:t>
      </w:r>
      <w:r>
        <w:rPr>
          <w:rFonts w:ascii="Arial" w:hAnsi="Arial" w:cs="Arial"/>
          <w:sz w:val="22"/>
          <w:szCs w:val="22"/>
        </w:rPr>
        <w:t>,</w:t>
      </w:r>
      <w:r w:rsidRPr="00455882">
        <w:rPr>
          <w:rFonts w:ascii="Arial" w:hAnsi="Arial" w:cs="Arial"/>
          <w:sz w:val="22"/>
          <w:szCs w:val="22"/>
        </w:rPr>
        <w:t xml:space="preserve"> in addition to its existing commitments. When considering an applicant’s financial capacity NOPTA will give consideration to the current and future funds available to the applicant a</w:t>
      </w:r>
      <w:r w:rsidR="007271FC">
        <w:rPr>
          <w:rFonts w:ascii="Arial" w:hAnsi="Arial" w:cs="Arial"/>
          <w:sz w:val="22"/>
          <w:szCs w:val="22"/>
        </w:rPr>
        <w:t>nd</w:t>
      </w:r>
      <w:r w:rsidRPr="00455882">
        <w:rPr>
          <w:rFonts w:ascii="Arial" w:hAnsi="Arial" w:cs="Arial"/>
          <w:sz w:val="22"/>
          <w:szCs w:val="22"/>
        </w:rPr>
        <w:t xml:space="preserve"> the magnitude and timing of obligations associated with the specific title(s), all other Australian offshore petroleum titles and titles in other jurisdictions (both onshore and overseas)</w:t>
      </w:r>
      <w:r>
        <w:rPr>
          <w:rFonts w:ascii="Arial" w:hAnsi="Arial" w:cs="Arial"/>
          <w:sz w:val="22"/>
          <w:szCs w:val="22"/>
        </w:rPr>
        <w:t>.</w:t>
      </w:r>
    </w:p>
    <w:p w14:paraId="3FDAAAF4" w14:textId="0738B3C6" w:rsidR="00671AD7" w:rsidRPr="007F6F33" w:rsidRDefault="00671AD7" w:rsidP="00672500">
      <w:pPr>
        <w:pStyle w:val="Heading2"/>
      </w:pPr>
      <w:r w:rsidRPr="007F6F33">
        <w:t>General Provisions a</w:t>
      </w:r>
      <w:bookmarkStart w:id="50" w:name="_GoBack"/>
      <w:bookmarkEnd w:id="50"/>
      <w:r w:rsidRPr="007F6F33">
        <w:t xml:space="preserve">nd Information </w:t>
      </w:r>
    </w:p>
    <w:p w14:paraId="42DD21D7" w14:textId="77777777" w:rsidR="00671AD7" w:rsidRPr="007F6F33" w:rsidRDefault="00671AD7" w:rsidP="00671AD7">
      <w:pPr>
        <w:pStyle w:val="List2"/>
        <w:numPr>
          <w:ilvl w:val="1"/>
          <w:numId w:val="1"/>
        </w:numPr>
        <w:tabs>
          <w:tab w:val="clear" w:pos="454"/>
        </w:tabs>
        <w:ind w:left="567" w:hanging="567"/>
        <w:rPr>
          <w:rFonts w:ascii="Arial" w:hAnsi="Arial" w:cs="Arial"/>
          <w:sz w:val="22"/>
          <w:szCs w:val="22"/>
        </w:rPr>
      </w:pPr>
      <w:r w:rsidRPr="007F6F33">
        <w:rPr>
          <w:rFonts w:ascii="Arial" w:hAnsi="Arial" w:cs="Arial"/>
          <w:sz w:val="22"/>
          <w:szCs w:val="22"/>
        </w:rPr>
        <w:t xml:space="preserve">Titleholders preparing an application for approval of a transfer should take into account the following general provisions and information: </w:t>
      </w:r>
    </w:p>
    <w:p w14:paraId="0AA3133D" w14:textId="77777777" w:rsidR="00623E5E" w:rsidRPr="00623EA6" w:rsidRDefault="00671AD7" w:rsidP="00D35A1C">
      <w:pPr>
        <w:pStyle w:val="List2"/>
        <w:numPr>
          <w:ilvl w:val="2"/>
          <w:numId w:val="1"/>
        </w:numPr>
        <w:ind w:left="1418" w:hanging="851"/>
        <w:rPr>
          <w:rFonts w:ascii="Arial" w:hAnsi="Arial" w:cs="Arial"/>
          <w:sz w:val="22"/>
          <w:szCs w:val="22"/>
        </w:rPr>
      </w:pPr>
      <w:r w:rsidRPr="00623EA6">
        <w:rPr>
          <w:rFonts w:ascii="Arial" w:hAnsi="Arial" w:cs="Arial"/>
          <w:sz w:val="22"/>
          <w:szCs w:val="22"/>
        </w:rPr>
        <w:t>A transfer</w:t>
      </w:r>
      <w:r w:rsidR="00B65065" w:rsidRPr="00623EA6">
        <w:rPr>
          <w:rFonts w:ascii="Arial" w:hAnsi="Arial" w:cs="Arial"/>
          <w:sz w:val="22"/>
          <w:szCs w:val="22"/>
        </w:rPr>
        <w:t xml:space="preserve"> of title must relate to</w:t>
      </w:r>
      <w:r w:rsidRPr="00623EA6">
        <w:rPr>
          <w:rFonts w:ascii="Arial" w:hAnsi="Arial" w:cs="Arial"/>
          <w:sz w:val="22"/>
          <w:szCs w:val="22"/>
        </w:rPr>
        <w:t xml:space="preserve"> the whole of the title area.</w:t>
      </w:r>
      <w:r w:rsidRPr="00623EA6">
        <w:rPr>
          <w:rStyle w:val="FootnoteReference"/>
          <w:rFonts w:ascii="Arial" w:hAnsi="Arial" w:cs="Arial"/>
          <w:sz w:val="22"/>
          <w:szCs w:val="22"/>
        </w:rPr>
        <w:footnoteReference w:id="4"/>
      </w:r>
      <w:r w:rsidRPr="00623EA6">
        <w:rPr>
          <w:rFonts w:ascii="Arial" w:hAnsi="Arial" w:cs="Arial"/>
          <w:sz w:val="22"/>
          <w:szCs w:val="22"/>
        </w:rPr>
        <w:t xml:space="preserve"> </w:t>
      </w:r>
    </w:p>
    <w:p w14:paraId="1A7BEFBD" w14:textId="0A517A62" w:rsidR="00D86107" w:rsidRPr="00577788" w:rsidRDefault="00671AD7">
      <w:pPr>
        <w:pStyle w:val="List2"/>
        <w:numPr>
          <w:ilvl w:val="2"/>
          <w:numId w:val="1"/>
        </w:numPr>
        <w:ind w:left="1418" w:hanging="851"/>
        <w:rPr>
          <w:rFonts w:ascii="Arial" w:hAnsi="Arial" w:cs="Arial"/>
          <w:sz w:val="22"/>
          <w:szCs w:val="22"/>
        </w:rPr>
      </w:pPr>
      <w:r w:rsidRPr="00623EA6">
        <w:rPr>
          <w:rFonts w:ascii="Arial" w:hAnsi="Arial" w:cs="Arial"/>
          <w:sz w:val="22"/>
          <w:szCs w:val="22"/>
        </w:rPr>
        <w:t xml:space="preserve">All </w:t>
      </w:r>
      <w:r w:rsidR="000E2E2D">
        <w:rPr>
          <w:rFonts w:ascii="Arial" w:hAnsi="Arial" w:cs="Arial"/>
          <w:sz w:val="22"/>
          <w:szCs w:val="22"/>
        </w:rPr>
        <w:t>current</w:t>
      </w:r>
      <w:r w:rsidR="00D86107">
        <w:rPr>
          <w:rFonts w:ascii="Arial" w:hAnsi="Arial" w:cs="Arial"/>
          <w:sz w:val="22"/>
          <w:szCs w:val="22"/>
        </w:rPr>
        <w:t xml:space="preserve"> titleholders must execute the transfer instrument as</w:t>
      </w:r>
      <w:r w:rsidR="00071E05">
        <w:rPr>
          <w:rFonts w:ascii="Arial" w:hAnsi="Arial" w:cs="Arial"/>
          <w:sz w:val="22"/>
          <w:szCs w:val="22"/>
        </w:rPr>
        <w:t xml:space="preserve"> the</w:t>
      </w:r>
      <w:r w:rsidR="00D86107">
        <w:rPr>
          <w:rFonts w:ascii="Arial" w:hAnsi="Arial" w:cs="Arial"/>
          <w:sz w:val="22"/>
          <w:szCs w:val="22"/>
        </w:rPr>
        <w:t xml:space="preserve"> ‘transfer</w:t>
      </w:r>
      <w:r w:rsidR="00CA72C8">
        <w:rPr>
          <w:rFonts w:ascii="Arial" w:hAnsi="Arial" w:cs="Arial"/>
          <w:sz w:val="22"/>
          <w:szCs w:val="22"/>
        </w:rPr>
        <w:t>ors</w:t>
      </w:r>
      <w:r w:rsidR="00D86107">
        <w:rPr>
          <w:rFonts w:ascii="Arial" w:hAnsi="Arial" w:cs="Arial"/>
          <w:sz w:val="22"/>
          <w:szCs w:val="22"/>
        </w:rPr>
        <w:t>’.</w:t>
      </w:r>
      <w:r w:rsidR="00071E05">
        <w:rPr>
          <w:rFonts w:ascii="Arial" w:hAnsi="Arial" w:cs="Arial"/>
          <w:sz w:val="22"/>
          <w:szCs w:val="22"/>
        </w:rPr>
        <w:t xml:space="preserve"> </w:t>
      </w:r>
      <w:r w:rsidR="00CA72C8">
        <w:rPr>
          <w:rFonts w:ascii="Arial" w:hAnsi="Arial" w:cs="Arial"/>
          <w:sz w:val="22"/>
          <w:szCs w:val="22"/>
        </w:rPr>
        <w:t xml:space="preserve">All titleholders proposed to remain on the title and/ or enter the title must </w:t>
      </w:r>
      <w:r w:rsidR="00071E05">
        <w:rPr>
          <w:rFonts w:ascii="Arial" w:hAnsi="Arial" w:cs="Arial"/>
          <w:sz w:val="22"/>
          <w:szCs w:val="22"/>
        </w:rPr>
        <w:t xml:space="preserve">execute the transfer instrument as the </w:t>
      </w:r>
      <w:r w:rsidR="00EC599A" w:rsidRPr="00577788">
        <w:rPr>
          <w:rFonts w:ascii="Arial" w:hAnsi="Arial" w:cs="Arial"/>
          <w:sz w:val="22"/>
          <w:szCs w:val="22"/>
        </w:rPr>
        <w:t>‘</w:t>
      </w:r>
      <w:r w:rsidR="00CA72C8">
        <w:rPr>
          <w:rFonts w:ascii="Arial" w:hAnsi="Arial" w:cs="Arial"/>
          <w:sz w:val="22"/>
          <w:szCs w:val="22"/>
        </w:rPr>
        <w:t>transferees’</w:t>
      </w:r>
      <w:r w:rsidR="005F60B8">
        <w:rPr>
          <w:rFonts w:ascii="Arial" w:hAnsi="Arial" w:cs="Arial"/>
          <w:sz w:val="22"/>
          <w:szCs w:val="22"/>
        </w:rPr>
        <w:t xml:space="preserve"> (s</w:t>
      </w:r>
      <w:r w:rsidR="00090C81">
        <w:rPr>
          <w:rFonts w:ascii="Arial" w:hAnsi="Arial" w:cs="Arial"/>
          <w:sz w:val="22"/>
          <w:szCs w:val="22"/>
        </w:rPr>
        <w:t xml:space="preserve"> </w:t>
      </w:r>
      <w:r w:rsidR="005F60B8">
        <w:rPr>
          <w:rFonts w:ascii="Arial" w:hAnsi="Arial" w:cs="Arial"/>
          <w:sz w:val="22"/>
          <w:szCs w:val="22"/>
        </w:rPr>
        <w:t>474(a))</w:t>
      </w:r>
      <w:r w:rsidR="00EC599A" w:rsidRPr="00577788">
        <w:rPr>
          <w:rFonts w:ascii="Arial" w:hAnsi="Arial" w:cs="Arial"/>
          <w:sz w:val="22"/>
          <w:szCs w:val="22"/>
        </w:rPr>
        <w:t>.</w:t>
      </w:r>
      <w:r w:rsidR="00D86107" w:rsidRPr="00577788">
        <w:rPr>
          <w:rFonts w:ascii="Arial" w:hAnsi="Arial" w:cs="Arial"/>
          <w:sz w:val="22"/>
          <w:szCs w:val="22"/>
        </w:rPr>
        <w:t xml:space="preserve"> </w:t>
      </w:r>
    </w:p>
    <w:p w14:paraId="1349F8E2" w14:textId="318D2A8F" w:rsidR="009B3054" w:rsidRPr="007F6F33" w:rsidRDefault="009B3054" w:rsidP="00D35A1C">
      <w:pPr>
        <w:pStyle w:val="List2"/>
        <w:numPr>
          <w:ilvl w:val="2"/>
          <w:numId w:val="1"/>
        </w:numPr>
        <w:ind w:left="1418" w:hanging="851"/>
        <w:rPr>
          <w:rFonts w:ascii="Arial" w:hAnsi="Arial" w:cs="Arial"/>
          <w:sz w:val="22"/>
          <w:szCs w:val="22"/>
        </w:rPr>
      </w:pPr>
      <w:r w:rsidRPr="007F6F33">
        <w:rPr>
          <w:rFonts w:ascii="Arial" w:hAnsi="Arial" w:cs="Arial"/>
          <w:sz w:val="22"/>
          <w:szCs w:val="22"/>
        </w:rPr>
        <w:t xml:space="preserve">There is no guarantee that an application for transfer of a title(s) will be approved </w:t>
      </w:r>
      <w:r w:rsidR="00592079">
        <w:rPr>
          <w:rFonts w:ascii="Arial" w:hAnsi="Arial" w:cs="Arial"/>
          <w:sz w:val="22"/>
          <w:szCs w:val="22"/>
        </w:rPr>
        <w:t>if</w:t>
      </w:r>
      <w:r w:rsidRPr="007F6F33">
        <w:rPr>
          <w:rFonts w:ascii="Arial" w:hAnsi="Arial" w:cs="Arial"/>
          <w:sz w:val="22"/>
          <w:szCs w:val="22"/>
        </w:rPr>
        <w:t xml:space="preserve"> a related dealing has been approved under s 493.  Transfer </w:t>
      </w:r>
      <w:r w:rsidR="00FD58B3" w:rsidRPr="007F6F33">
        <w:rPr>
          <w:rFonts w:ascii="Arial" w:hAnsi="Arial" w:cs="Arial"/>
          <w:sz w:val="22"/>
          <w:szCs w:val="22"/>
        </w:rPr>
        <w:t>applications will be considered on their merits against the legislative criteria</w:t>
      </w:r>
      <w:r w:rsidR="00FD58B3">
        <w:rPr>
          <w:color w:val="000000"/>
        </w:rPr>
        <w:t>.</w:t>
      </w:r>
      <w:r w:rsidRPr="007F6F33">
        <w:rPr>
          <w:rFonts w:ascii="Arial" w:hAnsi="Arial" w:cs="Arial"/>
          <w:sz w:val="22"/>
          <w:szCs w:val="22"/>
        </w:rPr>
        <w:t xml:space="preserve"> </w:t>
      </w:r>
    </w:p>
    <w:p w14:paraId="2C76351D" w14:textId="56CA14CF" w:rsidR="003E7CE4" w:rsidRPr="00084B02" w:rsidRDefault="003E7CE4" w:rsidP="00D35A1C">
      <w:pPr>
        <w:pStyle w:val="List2"/>
        <w:numPr>
          <w:ilvl w:val="2"/>
          <w:numId w:val="1"/>
        </w:numPr>
        <w:ind w:left="1418" w:hanging="851"/>
        <w:rPr>
          <w:rFonts w:ascii="Arial" w:hAnsi="Arial" w:cs="Arial"/>
          <w:sz w:val="22"/>
          <w:szCs w:val="22"/>
        </w:rPr>
      </w:pPr>
      <w:r w:rsidRPr="00084B02">
        <w:rPr>
          <w:rFonts w:ascii="Arial" w:hAnsi="Arial" w:cs="Arial"/>
          <w:sz w:val="22"/>
          <w:szCs w:val="22"/>
        </w:rPr>
        <w:t>When a transfer of a title is registered</w:t>
      </w:r>
      <w:r w:rsidR="00F0320E" w:rsidRPr="00084B02">
        <w:rPr>
          <w:rFonts w:ascii="Arial" w:hAnsi="Arial" w:cs="Arial"/>
          <w:sz w:val="22"/>
          <w:szCs w:val="22"/>
        </w:rPr>
        <w:t>,</w:t>
      </w:r>
      <w:r w:rsidRPr="00084B02">
        <w:rPr>
          <w:rFonts w:ascii="Arial" w:hAnsi="Arial" w:cs="Arial"/>
          <w:sz w:val="22"/>
          <w:szCs w:val="22"/>
        </w:rPr>
        <w:t xml:space="preserve"> nominations that specify: </w:t>
      </w:r>
    </w:p>
    <w:p w14:paraId="73EDE8FA" w14:textId="7CE57E0C" w:rsidR="003E7CE4" w:rsidRPr="00084B02" w:rsidRDefault="003E7CE4" w:rsidP="007F6F33">
      <w:pPr>
        <w:pStyle w:val="List2"/>
        <w:numPr>
          <w:ilvl w:val="4"/>
          <w:numId w:val="1"/>
        </w:numPr>
        <w:ind w:hanging="389"/>
        <w:rPr>
          <w:rFonts w:ascii="Arial" w:hAnsi="Arial" w:cs="Arial"/>
          <w:sz w:val="22"/>
          <w:szCs w:val="22"/>
        </w:rPr>
      </w:pPr>
      <w:r w:rsidRPr="00084B02">
        <w:rPr>
          <w:rFonts w:ascii="Arial" w:hAnsi="Arial" w:cs="Arial"/>
          <w:sz w:val="22"/>
          <w:szCs w:val="22"/>
        </w:rPr>
        <w:t xml:space="preserve">a person </w:t>
      </w:r>
      <w:r w:rsidR="00411C63" w:rsidRPr="00084B02">
        <w:rPr>
          <w:rFonts w:ascii="Arial" w:hAnsi="Arial" w:cs="Arial"/>
          <w:sz w:val="22"/>
          <w:szCs w:val="22"/>
        </w:rPr>
        <w:t xml:space="preserve">to </w:t>
      </w:r>
      <w:r w:rsidRPr="00084B02">
        <w:rPr>
          <w:rFonts w:ascii="Arial" w:hAnsi="Arial" w:cs="Arial"/>
          <w:sz w:val="22"/>
          <w:szCs w:val="22"/>
        </w:rPr>
        <w:t xml:space="preserve">whom documents may be given (Form 4, </w:t>
      </w:r>
      <w:r w:rsidR="008A1971" w:rsidRPr="00084B02">
        <w:rPr>
          <w:rFonts w:ascii="Arial" w:hAnsi="Arial" w:cs="Arial"/>
          <w:sz w:val="22"/>
          <w:szCs w:val="22"/>
        </w:rPr>
        <w:t xml:space="preserve">reg. </w:t>
      </w:r>
      <w:r w:rsidRPr="00084B02">
        <w:rPr>
          <w:rFonts w:ascii="Arial" w:hAnsi="Arial" w:cs="Arial"/>
          <w:sz w:val="22"/>
          <w:szCs w:val="22"/>
        </w:rPr>
        <w:t>11A.04(2)</w:t>
      </w:r>
      <w:r w:rsidR="008A1971" w:rsidRPr="00084B02">
        <w:rPr>
          <w:rFonts w:ascii="Arial" w:hAnsi="Arial" w:cs="Arial"/>
          <w:sz w:val="22"/>
          <w:szCs w:val="22"/>
        </w:rPr>
        <w:t xml:space="preserve"> of the RMA Regulations</w:t>
      </w:r>
      <w:r w:rsidRPr="00084B02">
        <w:rPr>
          <w:rFonts w:ascii="Arial" w:hAnsi="Arial" w:cs="Arial"/>
          <w:sz w:val="22"/>
          <w:szCs w:val="22"/>
        </w:rPr>
        <w:t>);</w:t>
      </w:r>
      <w:r w:rsidR="00F0320E" w:rsidRPr="00084B02">
        <w:rPr>
          <w:rFonts w:ascii="Arial" w:hAnsi="Arial" w:cs="Arial"/>
          <w:sz w:val="22"/>
          <w:szCs w:val="22"/>
        </w:rPr>
        <w:t xml:space="preserve"> </w:t>
      </w:r>
      <w:r w:rsidR="00593E2C" w:rsidRPr="00084B02">
        <w:rPr>
          <w:rFonts w:ascii="Arial" w:hAnsi="Arial" w:cs="Arial"/>
          <w:sz w:val="22"/>
          <w:szCs w:val="22"/>
        </w:rPr>
        <w:t>and</w:t>
      </w:r>
    </w:p>
    <w:p w14:paraId="77A9287E" w14:textId="5E272B0D" w:rsidR="003E7CE4" w:rsidRPr="00084B02" w:rsidRDefault="003E7CE4" w:rsidP="007F6F33">
      <w:pPr>
        <w:pStyle w:val="List2"/>
        <w:numPr>
          <w:ilvl w:val="4"/>
          <w:numId w:val="1"/>
        </w:numPr>
        <w:ind w:hanging="389"/>
        <w:rPr>
          <w:rFonts w:ascii="Arial" w:hAnsi="Arial" w:cs="Arial"/>
          <w:sz w:val="22"/>
          <w:szCs w:val="22"/>
        </w:rPr>
      </w:pPr>
      <w:r w:rsidRPr="00084B02">
        <w:rPr>
          <w:rFonts w:ascii="Arial" w:hAnsi="Arial" w:cs="Arial"/>
          <w:sz w:val="22"/>
          <w:szCs w:val="22"/>
        </w:rPr>
        <w:t>a person authorised to take eligible voluntary actions (Form 6, s775B(2))</w:t>
      </w:r>
    </w:p>
    <w:p w14:paraId="20B741D3" w14:textId="30D10BEF" w:rsidR="0031148A" w:rsidRPr="00623EA6" w:rsidRDefault="003E7CE4" w:rsidP="0031148A">
      <w:pPr>
        <w:pStyle w:val="List2"/>
        <w:ind w:left="1418"/>
        <w:rPr>
          <w:rFonts w:ascii="Arial" w:hAnsi="Arial" w:cs="Arial"/>
          <w:sz w:val="22"/>
          <w:szCs w:val="22"/>
        </w:rPr>
      </w:pPr>
      <w:r w:rsidRPr="00084B02">
        <w:rPr>
          <w:rFonts w:ascii="Arial" w:hAnsi="Arial" w:cs="Arial"/>
          <w:sz w:val="22"/>
          <w:szCs w:val="22"/>
        </w:rPr>
        <w:t xml:space="preserve">may lapse </w:t>
      </w:r>
      <w:r w:rsidR="00084B02" w:rsidRPr="00084B02">
        <w:rPr>
          <w:rFonts w:ascii="Arial" w:hAnsi="Arial" w:cs="Arial"/>
          <w:sz w:val="22"/>
          <w:szCs w:val="22"/>
        </w:rPr>
        <w:t xml:space="preserve">if the nominated person ceases to be a registered titleholder (Reg 11A.04(8) and 775B(7)) </w:t>
      </w:r>
      <w:r w:rsidRPr="00084B02">
        <w:rPr>
          <w:rFonts w:ascii="Arial" w:hAnsi="Arial" w:cs="Arial"/>
          <w:sz w:val="22"/>
          <w:szCs w:val="22"/>
        </w:rPr>
        <w:t>and new nomination</w:t>
      </w:r>
      <w:r w:rsidR="00411C63" w:rsidRPr="00084B02">
        <w:rPr>
          <w:rFonts w:ascii="Arial" w:hAnsi="Arial" w:cs="Arial"/>
          <w:sz w:val="22"/>
          <w:szCs w:val="22"/>
        </w:rPr>
        <w:t>s</w:t>
      </w:r>
      <w:r w:rsidRPr="00084B02">
        <w:rPr>
          <w:rFonts w:ascii="Arial" w:hAnsi="Arial" w:cs="Arial"/>
          <w:sz w:val="22"/>
          <w:szCs w:val="22"/>
        </w:rPr>
        <w:t xml:space="preserve"> may need to be made (see </w:t>
      </w:r>
      <w:hyperlink r:id="rId28" w:tooltip="http://www.nopta.gov.au/forms/forms.html" w:history="1">
        <w:r w:rsidRPr="00623EA6">
          <w:rPr>
            <w:rStyle w:val="Hyperlink"/>
            <w:rFonts w:ascii="Arial" w:hAnsi="Arial" w:cs="Arial"/>
            <w:sz w:val="22"/>
            <w:szCs w:val="22"/>
          </w:rPr>
          <w:t>NOPTA website</w:t>
        </w:r>
      </w:hyperlink>
      <w:r w:rsidRPr="00623EA6">
        <w:rPr>
          <w:rFonts w:ascii="Arial" w:hAnsi="Arial" w:cs="Arial"/>
          <w:sz w:val="22"/>
          <w:szCs w:val="22"/>
        </w:rPr>
        <w:t>).</w:t>
      </w:r>
    </w:p>
    <w:p w14:paraId="726952B4" w14:textId="25712685" w:rsidR="0031148A" w:rsidRPr="00623EA6" w:rsidRDefault="00E71D29" w:rsidP="00D35A1C">
      <w:pPr>
        <w:pStyle w:val="List2"/>
        <w:numPr>
          <w:ilvl w:val="2"/>
          <w:numId w:val="1"/>
        </w:numPr>
        <w:ind w:left="1418" w:hanging="851"/>
        <w:rPr>
          <w:rFonts w:ascii="Arial" w:hAnsi="Arial" w:cs="Arial"/>
          <w:sz w:val="22"/>
          <w:szCs w:val="22"/>
        </w:rPr>
      </w:pPr>
      <w:r w:rsidRPr="00623EA6">
        <w:rPr>
          <w:rFonts w:ascii="Arial" w:hAnsi="Arial" w:cs="Arial"/>
          <w:sz w:val="22"/>
          <w:szCs w:val="22"/>
        </w:rPr>
        <w:t>A new</w:t>
      </w:r>
      <w:r w:rsidR="0031148A" w:rsidRPr="00623EA6">
        <w:rPr>
          <w:rFonts w:ascii="Arial" w:hAnsi="Arial" w:cs="Arial"/>
          <w:sz w:val="22"/>
          <w:szCs w:val="22"/>
        </w:rPr>
        <w:t xml:space="preserve"> </w:t>
      </w:r>
      <w:r w:rsidRPr="00623EA6">
        <w:rPr>
          <w:rFonts w:ascii="Arial" w:hAnsi="Arial" w:cs="Arial"/>
          <w:sz w:val="22"/>
          <w:szCs w:val="22"/>
        </w:rPr>
        <w:t>registered holder of a title</w:t>
      </w:r>
      <w:r w:rsidR="0031148A" w:rsidRPr="00623EA6">
        <w:rPr>
          <w:rFonts w:ascii="Arial" w:hAnsi="Arial" w:cs="Arial"/>
          <w:sz w:val="22"/>
          <w:szCs w:val="22"/>
        </w:rPr>
        <w:t xml:space="preserve"> must provide the information outlined in section 286</w:t>
      </w:r>
      <w:r w:rsidRPr="00623EA6">
        <w:rPr>
          <w:rFonts w:ascii="Arial" w:hAnsi="Arial" w:cs="Arial"/>
          <w:sz w:val="22"/>
          <w:szCs w:val="22"/>
        </w:rPr>
        <w:t>A</w:t>
      </w:r>
      <w:r w:rsidR="0031148A" w:rsidRPr="00623EA6">
        <w:rPr>
          <w:rFonts w:ascii="Arial" w:hAnsi="Arial" w:cs="Arial"/>
          <w:sz w:val="22"/>
          <w:szCs w:val="22"/>
        </w:rPr>
        <w:t>(2) to NOPTA and NOPSEMA</w:t>
      </w:r>
      <w:r w:rsidRPr="00623EA6">
        <w:rPr>
          <w:rFonts w:ascii="Arial" w:hAnsi="Arial" w:cs="Arial"/>
          <w:sz w:val="22"/>
          <w:szCs w:val="22"/>
        </w:rPr>
        <w:t xml:space="preserve"> within 30 days of becoming a titleholder </w:t>
      </w:r>
      <w:r w:rsidR="0031148A" w:rsidRPr="00623EA6">
        <w:rPr>
          <w:rFonts w:ascii="Arial" w:hAnsi="Arial" w:cs="Arial"/>
          <w:sz w:val="22"/>
          <w:szCs w:val="22"/>
        </w:rPr>
        <w:t xml:space="preserve">(Form 2) (see </w:t>
      </w:r>
      <w:hyperlink r:id="rId29" w:tooltip="http://www.nopta.gov.au/forms/forms.html" w:history="1">
        <w:r w:rsidR="0031148A" w:rsidRPr="00623EA6">
          <w:rPr>
            <w:rStyle w:val="Hyperlink"/>
            <w:rFonts w:ascii="Arial" w:hAnsi="Arial" w:cs="Arial"/>
            <w:sz w:val="22"/>
            <w:szCs w:val="22"/>
          </w:rPr>
          <w:t>NOPTA website</w:t>
        </w:r>
      </w:hyperlink>
      <w:r w:rsidR="0031148A" w:rsidRPr="00623EA6">
        <w:rPr>
          <w:rFonts w:ascii="Arial" w:hAnsi="Arial" w:cs="Arial"/>
          <w:sz w:val="22"/>
          <w:szCs w:val="22"/>
        </w:rPr>
        <w:t>).</w:t>
      </w:r>
    </w:p>
    <w:p w14:paraId="2999C157" w14:textId="279F471D" w:rsidR="008847F7" w:rsidRPr="00444C85" w:rsidRDefault="008847F7" w:rsidP="004913E1">
      <w:pPr>
        <w:pStyle w:val="List2"/>
        <w:numPr>
          <w:ilvl w:val="1"/>
          <w:numId w:val="1"/>
        </w:numPr>
        <w:tabs>
          <w:tab w:val="clear" w:pos="454"/>
        </w:tabs>
        <w:ind w:left="567" w:hanging="567"/>
        <w:rPr>
          <w:rFonts w:ascii="Arial" w:hAnsi="Arial" w:cs="Arial"/>
          <w:sz w:val="22"/>
          <w:szCs w:val="22"/>
        </w:rPr>
      </w:pPr>
      <w:r w:rsidRPr="00444C85">
        <w:rPr>
          <w:rFonts w:ascii="Arial" w:hAnsi="Arial" w:cs="Arial"/>
          <w:sz w:val="22"/>
          <w:szCs w:val="22"/>
        </w:rPr>
        <w:t>When</w:t>
      </w:r>
      <w:r w:rsidR="007F25BF">
        <w:rPr>
          <w:rFonts w:ascii="Arial" w:hAnsi="Arial" w:cs="Arial"/>
          <w:sz w:val="22"/>
          <w:szCs w:val="22"/>
        </w:rPr>
        <w:t xml:space="preserve"> there is</w:t>
      </w:r>
      <w:r w:rsidRPr="00444C85">
        <w:rPr>
          <w:rFonts w:ascii="Arial" w:hAnsi="Arial" w:cs="Arial"/>
          <w:sz w:val="22"/>
          <w:szCs w:val="22"/>
        </w:rPr>
        <w:t xml:space="preserve"> a new petroleum production</w:t>
      </w:r>
      <w:r w:rsidRPr="00BB2904">
        <w:rPr>
          <w:rFonts w:ascii="Arial" w:hAnsi="Arial" w:cs="Arial"/>
          <w:sz w:val="22"/>
          <w:szCs w:val="22"/>
        </w:rPr>
        <w:t xml:space="preserve"> licensee </w:t>
      </w:r>
      <w:r w:rsidR="007F25BF">
        <w:rPr>
          <w:rFonts w:ascii="Arial" w:hAnsi="Arial" w:cs="Arial"/>
          <w:sz w:val="22"/>
          <w:szCs w:val="22"/>
        </w:rPr>
        <w:t xml:space="preserve">following a </w:t>
      </w:r>
      <w:r w:rsidRPr="00BB2904">
        <w:rPr>
          <w:rFonts w:ascii="Arial" w:hAnsi="Arial" w:cs="Arial"/>
          <w:sz w:val="22"/>
          <w:szCs w:val="22"/>
        </w:rPr>
        <w:t>transfer, a variation of a field development plan must be submitted to N</w:t>
      </w:r>
      <w:r w:rsidRPr="00C251B7">
        <w:rPr>
          <w:rFonts w:ascii="Arial" w:hAnsi="Arial" w:cs="Arial"/>
          <w:sz w:val="22"/>
          <w:szCs w:val="22"/>
        </w:rPr>
        <w:t>OPTA for assessment – unles</w:t>
      </w:r>
      <w:r w:rsidRPr="0064649B">
        <w:rPr>
          <w:rFonts w:ascii="Arial" w:hAnsi="Arial" w:cs="Arial"/>
          <w:sz w:val="22"/>
          <w:szCs w:val="22"/>
        </w:rPr>
        <w:t>s the new licensee agrees in writing to continue operations in accordance with the current accepted field development plan (reg.4.08(1)(b) of the RMA Regulations).</w:t>
      </w:r>
      <w:r w:rsidRPr="007F6F33">
        <w:rPr>
          <w:rFonts w:ascii="Arial" w:hAnsi="Arial" w:cs="Arial"/>
          <w:sz w:val="22"/>
          <w:szCs w:val="22"/>
        </w:rPr>
        <w:t xml:space="preserve"> </w:t>
      </w:r>
    </w:p>
    <w:p w14:paraId="4868C81B" w14:textId="5023F324" w:rsidR="007B23AD" w:rsidRPr="002365B4" w:rsidRDefault="009260A9" w:rsidP="00672500">
      <w:pPr>
        <w:pStyle w:val="Heading2"/>
      </w:pPr>
      <w:r w:rsidRPr="007F6F33">
        <w:t xml:space="preserve">Transfers </w:t>
      </w:r>
      <w:r w:rsidR="00F26C83" w:rsidRPr="002365B4">
        <w:t>following</w:t>
      </w:r>
      <w:r w:rsidRPr="007F6F33">
        <w:t xml:space="preserve"> </w:t>
      </w:r>
      <w:r w:rsidR="008532CD" w:rsidRPr="007F6F33">
        <w:t xml:space="preserve">an application for a </w:t>
      </w:r>
      <w:r w:rsidRPr="007F6F33">
        <w:t>renewal</w:t>
      </w:r>
      <w:r w:rsidR="00593E2C">
        <w:t xml:space="preserve"> of a title</w:t>
      </w:r>
    </w:p>
    <w:p w14:paraId="73CB3A28" w14:textId="47536112" w:rsidR="007B23AD" w:rsidRPr="004913E1" w:rsidRDefault="00C145BF" w:rsidP="004913E1">
      <w:pPr>
        <w:pStyle w:val="List2"/>
        <w:numPr>
          <w:ilvl w:val="1"/>
          <w:numId w:val="1"/>
        </w:numPr>
        <w:tabs>
          <w:tab w:val="clear" w:pos="454"/>
        </w:tabs>
        <w:ind w:left="567" w:hanging="567"/>
        <w:rPr>
          <w:rFonts w:ascii="Arial" w:hAnsi="Arial" w:cs="Arial"/>
          <w:sz w:val="22"/>
          <w:szCs w:val="22"/>
        </w:rPr>
      </w:pPr>
      <w:r w:rsidRPr="00A53D82">
        <w:rPr>
          <w:rFonts w:ascii="Arial" w:hAnsi="Arial" w:cs="Arial"/>
          <w:sz w:val="22"/>
          <w:szCs w:val="22"/>
        </w:rPr>
        <w:t>If</w:t>
      </w:r>
      <w:r w:rsidR="006C0571" w:rsidRPr="007F6F33">
        <w:rPr>
          <w:rFonts w:ascii="Arial" w:hAnsi="Arial" w:cs="Arial"/>
          <w:sz w:val="22"/>
          <w:szCs w:val="22"/>
        </w:rPr>
        <w:t xml:space="preserve"> a renewal application has been submitted, NOPTA’s preference is that </w:t>
      </w:r>
      <w:r w:rsidR="007B23AD" w:rsidRPr="002365B4">
        <w:rPr>
          <w:rFonts w:ascii="Arial" w:hAnsi="Arial" w:cs="Arial"/>
          <w:sz w:val="22"/>
          <w:szCs w:val="22"/>
        </w:rPr>
        <w:t xml:space="preserve">a </w:t>
      </w:r>
      <w:r w:rsidR="006C0571" w:rsidRPr="007F6F33">
        <w:rPr>
          <w:rFonts w:ascii="Arial" w:hAnsi="Arial" w:cs="Arial"/>
          <w:sz w:val="22"/>
          <w:szCs w:val="22"/>
        </w:rPr>
        <w:t>transfer of title application</w:t>
      </w:r>
      <w:r w:rsidR="007B23AD" w:rsidRPr="002365B4">
        <w:rPr>
          <w:rFonts w:ascii="Arial" w:hAnsi="Arial" w:cs="Arial"/>
          <w:sz w:val="22"/>
          <w:szCs w:val="22"/>
        </w:rPr>
        <w:t xml:space="preserve"> is</w:t>
      </w:r>
      <w:r w:rsidR="006C0571" w:rsidRPr="007F6F33">
        <w:rPr>
          <w:rFonts w:ascii="Arial" w:hAnsi="Arial" w:cs="Arial"/>
          <w:sz w:val="22"/>
          <w:szCs w:val="22"/>
        </w:rPr>
        <w:t xml:space="preserve"> not submitted until after the renewal application process</w:t>
      </w:r>
      <w:r w:rsidR="0016079D" w:rsidRPr="007F6F33">
        <w:rPr>
          <w:rFonts w:ascii="Arial" w:hAnsi="Arial" w:cs="Arial"/>
          <w:sz w:val="22"/>
          <w:szCs w:val="22"/>
        </w:rPr>
        <w:t xml:space="preserve"> </w:t>
      </w:r>
      <w:r w:rsidR="00A1101E">
        <w:rPr>
          <w:rFonts w:ascii="Arial" w:hAnsi="Arial" w:cs="Arial"/>
          <w:sz w:val="22"/>
          <w:szCs w:val="22"/>
        </w:rPr>
        <w:t>is</w:t>
      </w:r>
      <w:r w:rsidR="0085585F" w:rsidRPr="007F6F33" w:rsidDel="0085585F">
        <w:rPr>
          <w:rFonts w:ascii="Arial" w:hAnsi="Arial" w:cs="Arial"/>
          <w:sz w:val="22"/>
          <w:szCs w:val="22"/>
        </w:rPr>
        <w:t xml:space="preserve"> </w:t>
      </w:r>
      <w:r w:rsidR="0016079D" w:rsidRPr="007F6F33">
        <w:rPr>
          <w:rFonts w:ascii="Arial" w:hAnsi="Arial" w:cs="Arial"/>
          <w:sz w:val="22"/>
          <w:szCs w:val="22"/>
        </w:rPr>
        <w:t>finalised</w:t>
      </w:r>
      <w:r w:rsidR="006C0571" w:rsidRPr="007F6F33">
        <w:rPr>
          <w:rFonts w:ascii="Arial" w:hAnsi="Arial" w:cs="Arial"/>
          <w:sz w:val="22"/>
          <w:szCs w:val="22"/>
        </w:rPr>
        <w:t>, including any offer and grant process</w:t>
      </w:r>
      <w:r w:rsidR="0016079D" w:rsidRPr="007F6F33">
        <w:rPr>
          <w:rFonts w:ascii="Arial" w:hAnsi="Arial" w:cs="Arial"/>
          <w:sz w:val="22"/>
          <w:szCs w:val="22"/>
        </w:rPr>
        <w:t>es</w:t>
      </w:r>
      <w:r w:rsidR="004C71EB">
        <w:rPr>
          <w:rFonts w:ascii="Arial" w:hAnsi="Arial" w:cs="Arial"/>
          <w:sz w:val="22"/>
          <w:szCs w:val="22"/>
        </w:rPr>
        <w:t>.</w:t>
      </w:r>
    </w:p>
    <w:p w14:paraId="1C4DE39C" w14:textId="2840F4CD" w:rsidR="007B23AD" w:rsidRPr="004913E1" w:rsidRDefault="006C0571" w:rsidP="004913E1">
      <w:pPr>
        <w:pStyle w:val="List2"/>
        <w:numPr>
          <w:ilvl w:val="1"/>
          <w:numId w:val="1"/>
        </w:numPr>
        <w:tabs>
          <w:tab w:val="clear" w:pos="454"/>
        </w:tabs>
        <w:ind w:left="567" w:hanging="567"/>
        <w:rPr>
          <w:rFonts w:ascii="Arial" w:hAnsi="Arial" w:cs="Arial"/>
          <w:sz w:val="22"/>
          <w:szCs w:val="22"/>
        </w:rPr>
      </w:pPr>
      <w:r w:rsidRPr="007F6F33">
        <w:rPr>
          <w:rFonts w:ascii="Arial" w:hAnsi="Arial" w:cs="Arial"/>
          <w:sz w:val="22"/>
          <w:szCs w:val="22"/>
        </w:rPr>
        <w:t>I</w:t>
      </w:r>
      <w:r w:rsidR="0085585F">
        <w:rPr>
          <w:rFonts w:ascii="Arial" w:hAnsi="Arial" w:cs="Arial"/>
          <w:sz w:val="22"/>
          <w:szCs w:val="22"/>
        </w:rPr>
        <w:t xml:space="preserve">f </w:t>
      </w:r>
      <w:r w:rsidRPr="007F6F33">
        <w:rPr>
          <w:rFonts w:ascii="Arial" w:hAnsi="Arial" w:cs="Arial"/>
          <w:sz w:val="22"/>
          <w:szCs w:val="22"/>
        </w:rPr>
        <w:t xml:space="preserve">the transfer of title has already been executed, late lodgement (if required) of the transfer application may be requested – see </w:t>
      </w:r>
      <w:r w:rsidR="002225B9" w:rsidRPr="007F6F33">
        <w:rPr>
          <w:rFonts w:ascii="Arial" w:hAnsi="Arial" w:cs="Arial"/>
          <w:sz w:val="22"/>
          <w:szCs w:val="22"/>
        </w:rPr>
        <w:t xml:space="preserve">item </w:t>
      </w:r>
      <w:r w:rsidR="002225B9" w:rsidRPr="004913E1">
        <w:rPr>
          <w:rFonts w:ascii="Arial" w:hAnsi="Arial" w:cs="Arial"/>
          <w:sz w:val="22"/>
          <w:szCs w:val="22"/>
        </w:rPr>
        <w:t>4.2</w:t>
      </w:r>
      <w:r w:rsidR="002225B9" w:rsidRPr="007F6F33">
        <w:rPr>
          <w:rFonts w:ascii="Arial" w:hAnsi="Arial" w:cs="Arial"/>
          <w:sz w:val="22"/>
          <w:szCs w:val="22"/>
        </w:rPr>
        <w:t xml:space="preserve"> above</w:t>
      </w:r>
      <w:r w:rsidRPr="007F6F33">
        <w:rPr>
          <w:rFonts w:ascii="Arial" w:hAnsi="Arial" w:cs="Arial"/>
          <w:sz w:val="22"/>
          <w:szCs w:val="22"/>
        </w:rPr>
        <w:t xml:space="preserve">. </w:t>
      </w:r>
    </w:p>
    <w:p w14:paraId="040C0642" w14:textId="6EDA5A26" w:rsidR="004C71EB" w:rsidRPr="004C71EB" w:rsidRDefault="004C71EB" w:rsidP="004C71EB">
      <w:pPr>
        <w:pStyle w:val="List2"/>
        <w:numPr>
          <w:ilvl w:val="1"/>
          <w:numId w:val="1"/>
        </w:numPr>
        <w:tabs>
          <w:tab w:val="clear" w:pos="454"/>
        </w:tabs>
        <w:ind w:left="567" w:hanging="567"/>
        <w:rPr>
          <w:rFonts w:ascii="Arial" w:hAnsi="Arial" w:cs="Arial"/>
          <w:sz w:val="22"/>
          <w:szCs w:val="22"/>
        </w:rPr>
      </w:pPr>
      <w:r w:rsidRPr="004C71EB">
        <w:rPr>
          <w:rFonts w:ascii="Arial" w:hAnsi="Arial" w:cs="Arial"/>
          <w:sz w:val="22"/>
          <w:szCs w:val="22"/>
        </w:rPr>
        <w:t>If a transfer of title application is under assessment by NOPTA at the time of a Joint Authority decision on a renewal application, NOPTA’s policy is that the transfer will not be determined until after the renewal process is finalised, including any offer and grant processes.</w:t>
      </w:r>
    </w:p>
    <w:p w14:paraId="2B1625C4" w14:textId="77777777" w:rsidR="00A7032E" w:rsidRDefault="00A7032E">
      <w:pPr>
        <w:rPr>
          <w:rFonts w:ascii="Arial" w:hAnsi="Arial" w:cs="Arial"/>
          <w:sz w:val="22"/>
          <w:szCs w:val="22"/>
          <w:u w:val="single"/>
        </w:rPr>
      </w:pPr>
      <w:r>
        <w:rPr>
          <w:rFonts w:ascii="Arial" w:hAnsi="Arial" w:cs="Arial"/>
          <w:sz w:val="22"/>
          <w:szCs w:val="22"/>
          <w:u w:val="single"/>
        </w:rPr>
        <w:br w:type="page"/>
      </w:r>
    </w:p>
    <w:p w14:paraId="5C84E77E" w14:textId="2331083F" w:rsidR="009260A9" w:rsidRPr="007F6F33" w:rsidRDefault="009260A9" w:rsidP="00672500">
      <w:pPr>
        <w:pStyle w:val="Heading2"/>
      </w:pPr>
      <w:r w:rsidRPr="007F6F33">
        <w:lastRenderedPageBreak/>
        <w:t xml:space="preserve">Transfers </w:t>
      </w:r>
      <w:r w:rsidR="00F26C83" w:rsidRPr="002365B4">
        <w:t>following</w:t>
      </w:r>
      <w:r w:rsidRPr="007F6F33">
        <w:t xml:space="preserve"> </w:t>
      </w:r>
      <w:r w:rsidR="008532CD" w:rsidRPr="007F6F33">
        <w:t xml:space="preserve">an </w:t>
      </w:r>
      <w:r w:rsidRPr="007F6F33">
        <w:t>application</w:t>
      </w:r>
      <w:r w:rsidR="008532CD" w:rsidRPr="007F6F33">
        <w:t xml:space="preserve"> for a </w:t>
      </w:r>
      <w:r w:rsidR="005D4A4C" w:rsidRPr="006F2EB3">
        <w:t>deriv</w:t>
      </w:r>
      <w:r w:rsidR="00551737">
        <w:t xml:space="preserve">ed </w:t>
      </w:r>
      <w:r w:rsidR="008532CD" w:rsidRPr="007F6F33">
        <w:t>title</w:t>
      </w:r>
    </w:p>
    <w:p w14:paraId="29EBDA1B" w14:textId="1146023D" w:rsidR="007B23AD" w:rsidRPr="002365B4" w:rsidRDefault="00C145BF" w:rsidP="007B23AD">
      <w:pPr>
        <w:pStyle w:val="List2"/>
        <w:numPr>
          <w:ilvl w:val="1"/>
          <w:numId w:val="1"/>
        </w:numPr>
        <w:tabs>
          <w:tab w:val="clear" w:pos="454"/>
        </w:tabs>
        <w:ind w:left="567" w:hanging="567"/>
        <w:rPr>
          <w:rFonts w:ascii="Arial" w:hAnsi="Arial" w:cs="Arial"/>
          <w:sz w:val="22"/>
          <w:szCs w:val="22"/>
        </w:rPr>
      </w:pPr>
      <w:r w:rsidRPr="002365B4">
        <w:rPr>
          <w:rFonts w:ascii="Arial" w:hAnsi="Arial" w:cs="Arial"/>
          <w:sz w:val="22"/>
          <w:szCs w:val="22"/>
        </w:rPr>
        <w:t>If</w:t>
      </w:r>
      <w:r w:rsidR="000B72A9" w:rsidRPr="007F6F33">
        <w:rPr>
          <w:rFonts w:ascii="Arial" w:hAnsi="Arial" w:cs="Arial"/>
          <w:sz w:val="22"/>
          <w:szCs w:val="22"/>
        </w:rPr>
        <w:t xml:space="preserve"> a</w:t>
      </w:r>
      <w:r w:rsidR="00411C63" w:rsidRPr="007F6F33">
        <w:rPr>
          <w:rFonts w:ascii="Arial" w:hAnsi="Arial" w:cs="Arial"/>
          <w:sz w:val="22"/>
          <w:szCs w:val="22"/>
        </w:rPr>
        <w:t xml:space="preserve"> </w:t>
      </w:r>
      <w:r w:rsidR="005D4A4C">
        <w:rPr>
          <w:rFonts w:ascii="Arial" w:hAnsi="Arial" w:cs="Arial"/>
          <w:sz w:val="22"/>
          <w:szCs w:val="22"/>
        </w:rPr>
        <w:t>deriv</w:t>
      </w:r>
      <w:r w:rsidR="00551737">
        <w:rPr>
          <w:rFonts w:ascii="Arial" w:hAnsi="Arial" w:cs="Arial"/>
          <w:sz w:val="22"/>
          <w:szCs w:val="22"/>
        </w:rPr>
        <w:t>ed</w:t>
      </w:r>
      <w:r w:rsidR="00934532" w:rsidRPr="007F6F33">
        <w:rPr>
          <w:rFonts w:ascii="Arial" w:hAnsi="Arial" w:cs="Arial"/>
          <w:sz w:val="22"/>
          <w:szCs w:val="22"/>
        </w:rPr>
        <w:t xml:space="preserve"> title</w:t>
      </w:r>
      <w:r w:rsidR="0028411B" w:rsidRPr="007F6F33">
        <w:rPr>
          <w:rStyle w:val="FootnoteReference"/>
          <w:rFonts w:ascii="Arial" w:hAnsi="Arial" w:cs="Arial"/>
          <w:sz w:val="22"/>
          <w:szCs w:val="22"/>
        </w:rPr>
        <w:footnoteReference w:id="5"/>
      </w:r>
      <w:r w:rsidR="00934532" w:rsidRPr="007F6F33">
        <w:rPr>
          <w:rFonts w:ascii="Arial" w:hAnsi="Arial" w:cs="Arial"/>
          <w:sz w:val="22"/>
          <w:szCs w:val="22"/>
        </w:rPr>
        <w:t xml:space="preserve"> application has been submitted </w:t>
      </w:r>
      <w:r w:rsidR="000B72A9" w:rsidRPr="007F6F33">
        <w:rPr>
          <w:rFonts w:ascii="Arial" w:hAnsi="Arial" w:cs="Arial"/>
          <w:sz w:val="22"/>
          <w:szCs w:val="22"/>
        </w:rPr>
        <w:t xml:space="preserve">and </w:t>
      </w:r>
      <w:r w:rsidR="00742089" w:rsidRPr="007F6F33">
        <w:rPr>
          <w:rFonts w:ascii="Arial" w:hAnsi="Arial" w:cs="Arial"/>
          <w:sz w:val="22"/>
          <w:szCs w:val="22"/>
        </w:rPr>
        <w:t xml:space="preserve">a transfer of the </w:t>
      </w:r>
      <w:r w:rsidR="00934532" w:rsidRPr="007F6F33">
        <w:rPr>
          <w:rFonts w:ascii="Arial" w:hAnsi="Arial" w:cs="Arial"/>
          <w:sz w:val="22"/>
          <w:szCs w:val="22"/>
        </w:rPr>
        <w:t>underlying</w:t>
      </w:r>
      <w:r w:rsidR="007D0393">
        <w:rPr>
          <w:rFonts w:ascii="Arial" w:hAnsi="Arial" w:cs="Arial"/>
          <w:sz w:val="22"/>
          <w:szCs w:val="22"/>
        </w:rPr>
        <w:t xml:space="preserve"> </w:t>
      </w:r>
      <w:r w:rsidR="00934532" w:rsidRPr="007F6F33">
        <w:rPr>
          <w:rFonts w:ascii="Arial" w:hAnsi="Arial" w:cs="Arial"/>
          <w:sz w:val="22"/>
          <w:szCs w:val="22"/>
        </w:rPr>
        <w:t xml:space="preserve">title </w:t>
      </w:r>
      <w:r w:rsidR="000B72A9" w:rsidRPr="007F6F33">
        <w:rPr>
          <w:rFonts w:ascii="Arial" w:hAnsi="Arial" w:cs="Arial"/>
          <w:sz w:val="22"/>
          <w:szCs w:val="22"/>
        </w:rPr>
        <w:t>is approved and register</w:t>
      </w:r>
      <w:r w:rsidR="00DB3467" w:rsidRPr="002365B4">
        <w:rPr>
          <w:rFonts w:ascii="Arial" w:hAnsi="Arial" w:cs="Arial"/>
          <w:sz w:val="22"/>
          <w:szCs w:val="22"/>
        </w:rPr>
        <w:t xml:space="preserve">ed </w:t>
      </w:r>
      <w:r w:rsidR="00934532" w:rsidRPr="007F6F33">
        <w:rPr>
          <w:rFonts w:ascii="Arial" w:hAnsi="Arial" w:cs="Arial"/>
          <w:sz w:val="22"/>
          <w:szCs w:val="22"/>
        </w:rPr>
        <w:t xml:space="preserve">before the Joint Authority </w:t>
      </w:r>
      <w:r w:rsidR="006F2EB3">
        <w:rPr>
          <w:rFonts w:ascii="Arial" w:hAnsi="Arial" w:cs="Arial"/>
          <w:sz w:val="22"/>
          <w:szCs w:val="22"/>
        </w:rPr>
        <w:t>makes a decision</w:t>
      </w:r>
      <w:r w:rsidR="00934532" w:rsidRPr="007F6F33">
        <w:rPr>
          <w:rFonts w:ascii="Arial" w:hAnsi="Arial" w:cs="Arial"/>
          <w:sz w:val="22"/>
          <w:szCs w:val="22"/>
        </w:rPr>
        <w:t xml:space="preserve"> </w:t>
      </w:r>
      <w:r w:rsidR="006F2EB3">
        <w:rPr>
          <w:rFonts w:ascii="Arial" w:hAnsi="Arial" w:cs="Arial"/>
          <w:sz w:val="22"/>
          <w:szCs w:val="22"/>
        </w:rPr>
        <w:t>on</w:t>
      </w:r>
      <w:r w:rsidR="00934532" w:rsidRPr="007F6F33">
        <w:rPr>
          <w:rFonts w:ascii="Arial" w:hAnsi="Arial" w:cs="Arial"/>
          <w:sz w:val="22"/>
          <w:szCs w:val="22"/>
        </w:rPr>
        <w:t xml:space="preserve"> the </w:t>
      </w:r>
      <w:r w:rsidR="007D0393">
        <w:rPr>
          <w:rFonts w:ascii="Arial" w:hAnsi="Arial" w:cs="Arial"/>
          <w:sz w:val="22"/>
          <w:szCs w:val="22"/>
        </w:rPr>
        <w:t xml:space="preserve">derived title </w:t>
      </w:r>
      <w:r w:rsidR="00934532" w:rsidRPr="007F6F33">
        <w:rPr>
          <w:rFonts w:ascii="Arial" w:hAnsi="Arial" w:cs="Arial"/>
          <w:sz w:val="22"/>
          <w:szCs w:val="22"/>
        </w:rPr>
        <w:t>application, the transferee becomes ‘the applicant’</w:t>
      </w:r>
      <w:r w:rsidR="000B72A9" w:rsidRPr="007F6F33">
        <w:rPr>
          <w:rFonts w:ascii="Arial" w:hAnsi="Arial" w:cs="Arial"/>
          <w:sz w:val="22"/>
          <w:szCs w:val="22"/>
        </w:rPr>
        <w:t xml:space="preserve"> with respect to the </w:t>
      </w:r>
      <w:r w:rsidR="007D0393">
        <w:rPr>
          <w:rFonts w:ascii="Arial" w:hAnsi="Arial" w:cs="Arial"/>
          <w:sz w:val="22"/>
          <w:szCs w:val="22"/>
        </w:rPr>
        <w:t>derived</w:t>
      </w:r>
      <w:r w:rsidR="000B72A9" w:rsidRPr="007F6F33">
        <w:rPr>
          <w:rFonts w:ascii="Arial" w:hAnsi="Arial" w:cs="Arial"/>
          <w:sz w:val="22"/>
          <w:szCs w:val="22"/>
        </w:rPr>
        <w:t xml:space="preserve"> title application</w:t>
      </w:r>
      <w:r w:rsidR="00934532" w:rsidRPr="007F6F33">
        <w:rPr>
          <w:rFonts w:ascii="Arial" w:hAnsi="Arial" w:cs="Arial"/>
          <w:sz w:val="22"/>
          <w:szCs w:val="22"/>
        </w:rPr>
        <w:t xml:space="preserve"> (s 146, s 152 and s 177).</w:t>
      </w:r>
    </w:p>
    <w:p w14:paraId="381D2A4E" w14:textId="2E1A6134" w:rsidR="00B9720C" w:rsidRPr="00392302" w:rsidRDefault="00C145BF" w:rsidP="00392302">
      <w:pPr>
        <w:pStyle w:val="List2"/>
        <w:numPr>
          <w:ilvl w:val="1"/>
          <w:numId w:val="1"/>
        </w:numPr>
        <w:tabs>
          <w:tab w:val="clear" w:pos="454"/>
        </w:tabs>
        <w:ind w:left="567" w:hanging="567"/>
        <w:rPr>
          <w:rFonts w:ascii="Arial" w:hAnsi="Arial" w:cs="Arial"/>
          <w:b/>
        </w:rPr>
      </w:pPr>
      <w:r w:rsidRPr="002365B4">
        <w:rPr>
          <w:rFonts w:ascii="Arial" w:hAnsi="Arial" w:cs="Arial"/>
          <w:sz w:val="22"/>
          <w:szCs w:val="22"/>
        </w:rPr>
        <w:t>If</w:t>
      </w:r>
      <w:r w:rsidR="005C21DE" w:rsidRPr="007F6F33">
        <w:rPr>
          <w:rFonts w:ascii="Arial" w:hAnsi="Arial" w:cs="Arial"/>
          <w:sz w:val="22"/>
          <w:szCs w:val="22"/>
        </w:rPr>
        <w:t xml:space="preserve"> a transfer of title application is under assessment by NOPTA at the time of </w:t>
      </w:r>
      <w:r w:rsidR="005874C0" w:rsidRPr="002365B4">
        <w:rPr>
          <w:rFonts w:ascii="Arial" w:hAnsi="Arial" w:cs="Arial"/>
          <w:sz w:val="22"/>
          <w:szCs w:val="22"/>
        </w:rPr>
        <w:t>a</w:t>
      </w:r>
      <w:r w:rsidR="005C21DE" w:rsidRPr="007F6F33">
        <w:rPr>
          <w:rFonts w:ascii="Arial" w:hAnsi="Arial" w:cs="Arial"/>
          <w:sz w:val="22"/>
          <w:szCs w:val="22"/>
        </w:rPr>
        <w:t xml:space="preserve"> Joint Authority decision on a </w:t>
      </w:r>
      <w:r w:rsidR="007D0393">
        <w:rPr>
          <w:rFonts w:ascii="Arial" w:hAnsi="Arial" w:cs="Arial"/>
          <w:sz w:val="22"/>
          <w:szCs w:val="22"/>
        </w:rPr>
        <w:t>derived</w:t>
      </w:r>
      <w:r w:rsidR="005C21DE" w:rsidRPr="007F6F33">
        <w:rPr>
          <w:rFonts w:ascii="Arial" w:hAnsi="Arial" w:cs="Arial"/>
          <w:sz w:val="22"/>
          <w:szCs w:val="22"/>
        </w:rPr>
        <w:t xml:space="preserve"> title application, NOPTA will not make a decision on the transfer until </w:t>
      </w:r>
      <w:r w:rsidR="00F41D27" w:rsidRPr="007F6F33">
        <w:rPr>
          <w:rFonts w:ascii="Arial" w:hAnsi="Arial" w:cs="Arial"/>
          <w:sz w:val="22"/>
          <w:szCs w:val="22"/>
        </w:rPr>
        <w:t xml:space="preserve">any grant of the </w:t>
      </w:r>
      <w:r w:rsidR="007D0393">
        <w:rPr>
          <w:rFonts w:ascii="Arial" w:hAnsi="Arial" w:cs="Arial"/>
          <w:sz w:val="22"/>
          <w:szCs w:val="22"/>
        </w:rPr>
        <w:t>derived</w:t>
      </w:r>
      <w:r w:rsidR="00F41D27" w:rsidRPr="007F6F33">
        <w:rPr>
          <w:rFonts w:ascii="Arial" w:hAnsi="Arial" w:cs="Arial"/>
          <w:sz w:val="22"/>
          <w:szCs w:val="22"/>
        </w:rPr>
        <w:t xml:space="preserve"> title has occurred</w:t>
      </w:r>
      <w:r w:rsidR="005C21DE" w:rsidRPr="007F6F33">
        <w:rPr>
          <w:rFonts w:ascii="Arial" w:hAnsi="Arial" w:cs="Arial"/>
          <w:sz w:val="22"/>
          <w:szCs w:val="22"/>
        </w:rPr>
        <w:t xml:space="preserve">. </w:t>
      </w:r>
      <w:r w:rsidR="00DF3DB8" w:rsidRPr="002365B4">
        <w:rPr>
          <w:rFonts w:ascii="Arial" w:hAnsi="Arial" w:cs="Arial"/>
          <w:sz w:val="22"/>
          <w:szCs w:val="22"/>
        </w:rPr>
        <w:t>In this instance, a</w:t>
      </w:r>
      <w:r w:rsidR="00EE38E7" w:rsidRPr="007F6F33">
        <w:rPr>
          <w:rFonts w:ascii="Arial" w:hAnsi="Arial" w:cs="Arial"/>
          <w:sz w:val="22"/>
          <w:szCs w:val="22"/>
        </w:rPr>
        <w:t xml:space="preserve"> separate</w:t>
      </w:r>
      <w:r w:rsidR="00224FF8" w:rsidRPr="007F6F33">
        <w:rPr>
          <w:rFonts w:ascii="Arial" w:hAnsi="Arial" w:cs="Arial"/>
          <w:sz w:val="22"/>
          <w:szCs w:val="22"/>
        </w:rPr>
        <w:t xml:space="preserve"> transfer</w:t>
      </w:r>
      <w:r w:rsidR="00EE38E7" w:rsidRPr="007F6F33">
        <w:rPr>
          <w:rFonts w:ascii="Arial" w:hAnsi="Arial" w:cs="Arial"/>
          <w:sz w:val="22"/>
          <w:szCs w:val="22"/>
        </w:rPr>
        <w:t xml:space="preserve"> application would then </w:t>
      </w:r>
      <w:r w:rsidR="00F26C83" w:rsidRPr="002365B4">
        <w:rPr>
          <w:rFonts w:ascii="Arial" w:hAnsi="Arial" w:cs="Arial"/>
          <w:sz w:val="22"/>
          <w:szCs w:val="22"/>
        </w:rPr>
        <w:t xml:space="preserve">need to </w:t>
      </w:r>
      <w:r w:rsidR="00F26C83" w:rsidRPr="00A53D82">
        <w:rPr>
          <w:rFonts w:ascii="Arial" w:hAnsi="Arial" w:cs="Arial"/>
          <w:sz w:val="22"/>
          <w:szCs w:val="22"/>
        </w:rPr>
        <w:t>be submitted</w:t>
      </w:r>
      <w:r w:rsidR="008532CD" w:rsidRPr="007F6F33">
        <w:rPr>
          <w:rFonts w:ascii="Arial" w:hAnsi="Arial" w:cs="Arial"/>
          <w:sz w:val="22"/>
          <w:szCs w:val="22"/>
        </w:rPr>
        <w:t xml:space="preserve"> </w:t>
      </w:r>
      <w:r w:rsidR="006F2EB3">
        <w:rPr>
          <w:rFonts w:ascii="Arial" w:hAnsi="Arial" w:cs="Arial"/>
          <w:sz w:val="22"/>
          <w:szCs w:val="22"/>
        </w:rPr>
        <w:t xml:space="preserve">for </w:t>
      </w:r>
      <w:r w:rsidR="008532CD" w:rsidRPr="007F6F33">
        <w:rPr>
          <w:rFonts w:ascii="Arial" w:hAnsi="Arial" w:cs="Arial"/>
          <w:sz w:val="22"/>
          <w:szCs w:val="22"/>
        </w:rPr>
        <w:t xml:space="preserve">the </w:t>
      </w:r>
      <w:r w:rsidR="007D0393">
        <w:rPr>
          <w:rFonts w:ascii="Arial" w:hAnsi="Arial" w:cs="Arial"/>
          <w:sz w:val="22"/>
          <w:szCs w:val="22"/>
        </w:rPr>
        <w:t>derived</w:t>
      </w:r>
      <w:r w:rsidR="008532CD" w:rsidRPr="007F6F33">
        <w:rPr>
          <w:rFonts w:ascii="Arial" w:hAnsi="Arial" w:cs="Arial"/>
          <w:sz w:val="22"/>
          <w:szCs w:val="22"/>
        </w:rPr>
        <w:t xml:space="preserve"> title.</w:t>
      </w:r>
      <w:bookmarkStart w:id="51" w:name="_Toc489431167"/>
      <w:bookmarkStart w:id="52" w:name="_Toc489517942"/>
      <w:bookmarkStart w:id="53" w:name="_Toc489518013"/>
      <w:bookmarkStart w:id="54" w:name="_Toc489518099"/>
      <w:bookmarkStart w:id="55" w:name="_Toc489518327"/>
      <w:bookmarkStart w:id="56" w:name="_Toc489518608"/>
      <w:bookmarkStart w:id="57" w:name="_Toc489518636"/>
      <w:bookmarkStart w:id="58" w:name="_Toc489431168"/>
      <w:bookmarkStart w:id="59" w:name="_Toc489517943"/>
      <w:bookmarkStart w:id="60" w:name="_Toc489518014"/>
      <w:bookmarkStart w:id="61" w:name="_Toc489518100"/>
      <w:bookmarkStart w:id="62" w:name="_Toc489518328"/>
      <w:bookmarkStart w:id="63" w:name="_Toc489518609"/>
      <w:bookmarkStart w:id="64" w:name="_Toc489518637"/>
      <w:bookmarkStart w:id="65" w:name="_Toc489431169"/>
      <w:bookmarkStart w:id="66" w:name="_Toc489517944"/>
      <w:bookmarkStart w:id="67" w:name="_Toc489518015"/>
      <w:bookmarkStart w:id="68" w:name="_Toc489518101"/>
      <w:bookmarkStart w:id="69" w:name="_Toc489518329"/>
      <w:bookmarkStart w:id="70" w:name="_Toc489518610"/>
      <w:bookmarkStart w:id="71" w:name="_Toc489518638"/>
      <w:bookmarkStart w:id="72" w:name="_Toc489431171"/>
      <w:bookmarkStart w:id="73" w:name="_Toc489517946"/>
      <w:bookmarkStart w:id="74" w:name="_Toc489518017"/>
      <w:bookmarkStart w:id="75" w:name="_Toc489518103"/>
      <w:bookmarkStart w:id="76" w:name="_Toc489518331"/>
      <w:bookmarkStart w:id="77" w:name="_Toc489518612"/>
      <w:bookmarkStart w:id="78" w:name="_Toc489518640"/>
      <w:bookmarkStart w:id="79" w:name="_Toc489431172"/>
      <w:bookmarkStart w:id="80" w:name="_Toc489517947"/>
      <w:bookmarkStart w:id="81" w:name="_Toc489518018"/>
      <w:bookmarkStart w:id="82" w:name="_Toc489518104"/>
      <w:bookmarkStart w:id="83" w:name="_Toc489518332"/>
      <w:bookmarkStart w:id="84" w:name="_Toc489518613"/>
      <w:bookmarkStart w:id="85" w:name="_Toc489518641"/>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7EA95A28" w14:textId="1A31A762" w:rsidR="00671AD7" w:rsidRPr="00FD58B3" w:rsidRDefault="00FD58B3" w:rsidP="00671AD7">
      <w:pPr>
        <w:pStyle w:val="Heading1"/>
        <w:ind w:hanging="454"/>
        <w:rPr>
          <w:rFonts w:ascii="Arial" w:hAnsi="Arial" w:cs="Arial"/>
        </w:rPr>
      </w:pPr>
      <w:bookmarkStart w:id="86" w:name="_Toc511217954"/>
      <w:r>
        <w:rPr>
          <w:rFonts w:ascii="Arial" w:hAnsi="Arial" w:cs="Arial"/>
        </w:rPr>
        <w:t>Dealing</w:t>
      </w:r>
      <w:r w:rsidR="006E7D6D">
        <w:rPr>
          <w:rFonts w:ascii="Arial" w:hAnsi="Arial" w:cs="Arial"/>
        </w:rPr>
        <w:t>s affecting an existing title</w:t>
      </w:r>
      <w:bookmarkEnd w:id="86"/>
    </w:p>
    <w:p w14:paraId="00976F29" w14:textId="2477EA45" w:rsidR="00F35E71" w:rsidRPr="007F6F33" w:rsidRDefault="00305963" w:rsidP="00F35E71">
      <w:pPr>
        <w:pStyle w:val="List2"/>
        <w:numPr>
          <w:ilvl w:val="1"/>
          <w:numId w:val="1"/>
        </w:numPr>
        <w:tabs>
          <w:tab w:val="clear" w:pos="454"/>
        </w:tabs>
        <w:ind w:left="567" w:hanging="567"/>
        <w:rPr>
          <w:rFonts w:ascii="Arial" w:hAnsi="Arial" w:cs="Arial"/>
          <w:sz w:val="22"/>
          <w:szCs w:val="22"/>
        </w:rPr>
      </w:pPr>
      <w:r w:rsidRPr="00FD58B3">
        <w:rPr>
          <w:rFonts w:ascii="Arial" w:hAnsi="Arial" w:cs="Arial"/>
          <w:sz w:val="22"/>
          <w:szCs w:val="22"/>
        </w:rPr>
        <w:t>Part 4.6</w:t>
      </w:r>
      <w:r w:rsidR="00F35E71" w:rsidRPr="007F6F33">
        <w:rPr>
          <w:rFonts w:ascii="Arial" w:hAnsi="Arial" w:cs="Arial"/>
          <w:sz w:val="22"/>
          <w:szCs w:val="22"/>
        </w:rPr>
        <w:t xml:space="preserve"> of the OPGGSA </w:t>
      </w:r>
      <w:r w:rsidR="00F35E71" w:rsidRPr="002365B4">
        <w:rPr>
          <w:rFonts w:ascii="Arial" w:hAnsi="Arial" w:cs="Arial"/>
          <w:sz w:val="22"/>
          <w:szCs w:val="22"/>
        </w:rPr>
        <w:t>sets out</w:t>
      </w:r>
      <w:r w:rsidR="00F35E71" w:rsidRPr="007F6F33">
        <w:rPr>
          <w:rFonts w:ascii="Arial" w:hAnsi="Arial" w:cs="Arial"/>
          <w:sz w:val="22"/>
          <w:szCs w:val="22"/>
        </w:rPr>
        <w:t xml:space="preserve"> the </w:t>
      </w:r>
      <w:r w:rsidR="00F35E71" w:rsidRPr="002365B4">
        <w:rPr>
          <w:rFonts w:ascii="Arial" w:hAnsi="Arial" w:cs="Arial"/>
          <w:sz w:val="22"/>
          <w:szCs w:val="22"/>
        </w:rPr>
        <w:t>legislative provisions relating to</w:t>
      </w:r>
      <w:r w:rsidR="00F35E71" w:rsidRPr="007F6F33">
        <w:rPr>
          <w:rFonts w:ascii="Arial" w:hAnsi="Arial" w:cs="Arial"/>
          <w:sz w:val="22"/>
          <w:szCs w:val="22"/>
        </w:rPr>
        <w:t xml:space="preserve"> </w:t>
      </w:r>
      <w:r w:rsidR="00F35E71" w:rsidRPr="002365B4">
        <w:rPr>
          <w:rFonts w:ascii="Arial" w:hAnsi="Arial" w:cs="Arial"/>
          <w:sz w:val="22"/>
          <w:szCs w:val="22"/>
        </w:rPr>
        <w:t>dealing</w:t>
      </w:r>
      <w:r w:rsidR="00B71BA5" w:rsidRPr="00A53D82">
        <w:rPr>
          <w:rFonts w:ascii="Arial" w:hAnsi="Arial" w:cs="Arial"/>
          <w:sz w:val="22"/>
          <w:szCs w:val="22"/>
        </w:rPr>
        <w:t>s in titles</w:t>
      </w:r>
      <w:r w:rsidR="00F35E71" w:rsidRPr="00A53D82">
        <w:rPr>
          <w:rFonts w:ascii="Arial" w:hAnsi="Arial" w:cs="Arial"/>
          <w:sz w:val="22"/>
          <w:szCs w:val="22"/>
        </w:rPr>
        <w:t>.</w:t>
      </w:r>
    </w:p>
    <w:p w14:paraId="201356F4" w14:textId="241BD116" w:rsidR="00557C1B" w:rsidRPr="00A1101E" w:rsidRDefault="00557C1B" w:rsidP="00775516">
      <w:pPr>
        <w:pStyle w:val="List2"/>
        <w:numPr>
          <w:ilvl w:val="1"/>
          <w:numId w:val="1"/>
        </w:numPr>
        <w:tabs>
          <w:tab w:val="clear" w:pos="454"/>
          <w:tab w:val="left" w:pos="4820"/>
        </w:tabs>
        <w:ind w:left="567" w:hanging="567"/>
        <w:rPr>
          <w:rFonts w:ascii="Arial" w:hAnsi="Arial" w:cs="Arial"/>
          <w:sz w:val="22"/>
          <w:szCs w:val="22"/>
        </w:rPr>
      </w:pPr>
      <w:r w:rsidRPr="00A1101E">
        <w:rPr>
          <w:rFonts w:ascii="Arial" w:hAnsi="Arial" w:cs="Arial"/>
          <w:sz w:val="22"/>
          <w:szCs w:val="22"/>
        </w:rPr>
        <w:t xml:space="preserve">A </w:t>
      </w:r>
      <w:r w:rsidR="005E6144" w:rsidRPr="00A1101E">
        <w:rPr>
          <w:rFonts w:ascii="Arial" w:hAnsi="Arial" w:cs="Arial"/>
          <w:sz w:val="22"/>
          <w:szCs w:val="22"/>
        </w:rPr>
        <w:t xml:space="preserve">registerable </w:t>
      </w:r>
      <w:r w:rsidRPr="00A1101E">
        <w:rPr>
          <w:rFonts w:ascii="Arial" w:hAnsi="Arial" w:cs="Arial"/>
          <w:sz w:val="22"/>
          <w:szCs w:val="22"/>
        </w:rPr>
        <w:t xml:space="preserve">dealing </w:t>
      </w:r>
      <w:r w:rsidR="00E372C4" w:rsidRPr="00A1101E">
        <w:rPr>
          <w:rFonts w:ascii="Arial" w:hAnsi="Arial" w:cs="Arial"/>
          <w:sz w:val="22"/>
          <w:szCs w:val="22"/>
        </w:rPr>
        <w:t xml:space="preserve">under Part 4.6 </w:t>
      </w:r>
      <w:r w:rsidRPr="00A1101E">
        <w:rPr>
          <w:rFonts w:ascii="Arial" w:hAnsi="Arial" w:cs="Arial"/>
          <w:sz w:val="22"/>
          <w:szCs w:val="22"/>
        </w:rPr>
        <w:t xml:space="preserve">is a </w:t>
      </w:r>
      <w:r w:rsidR="00E06793" w:rsidRPr="00A1101E">
        <w:rPr>
          <w:rFonts w:ascii="Arial" w:hAnsi="Arial" w:cs="Arial"/>
          <w:sz w:val="22"/>
          <w:szCs w:val="22"/>
        </w:rPr>
        <w:t xml:space="preserve">commercial </w:t>
      </w:r>
      <w:r w:rsidRPr="00A1101E">
        <w:rPr>
          <w:rFonts w:ascii="Arial" w:hAnsi="Arial" w:cs="Arial"/>
          <w:sz w:val="22"/>
          <w:szCs w:val="22"/>
        </w:rPr>
        <w:t>transaction</w:t>
      </w:r>
      <w:r w:rsidR="0001737B" w:rsidRPr="00A1101E">
        <w:rPr>
          <w:rFonts w:ascii="Arial" w:hAnsi="Arial" w:cs="Arial"/>
          <w:sz w:val="22"/>
          <w:szCs w:val="22"/>
        </w:rPr>
        <w:t xml:space="preserve"> or agreement</w:t>
      </w:r>
      <w:r w:rsidRPr="00A1101E">
        <w:rPr>
          <w:rFonts w:ascii="Arial" w:hAnsi="Arial" w:cs="Arial"/>
          <w:sz w:val="22"/>
          <w:szCs w:val="22"/>
        </w:rPr>
        <w:t xml:space="preserve"> (other than a transfer of title) having one or more of the effects listed in s 486, see </w:t>
      </w:r>
      <w:r w:rsidRPr="00A1101E">
        <w:rPr>
          <w:rFonts w:ascii="Arial" w:hAnsi="Arial" w:cs="Arial"/>
          <w:b/>
          <w:sz w:val="22"/>
          <w:szCs w:val="22"/>
        </w:rPr>
        <w:t>Attachment 2</w:t>
      </w:r>
      <w:r w:rsidRPr="00A1101E">
        <w:rPr>
          <w:rFonts w:ascii="Arial" w:hAnsi="Arial" w:cs="Arial"/>
          <w:sz w:val="22"/>
          <w:szCs w:val="22"/>
        </w:rPr>
        <w:t>.</w:t>
      </w:r>
    </w:p>
    <w:p w14:paraId="556C3BB1" w14:textId="4D1BDBB3" w:rsidR="00671AD7" w:rsidRDefault="00671AD7" w:rsidP="00FC0550">
      <w:pPr>
        <w:pStyle w:val="List2"/>
        <w:numPr>
          <w:ilvl w:val="1"/>
          <w:numId w:val="1"/>
        </w:numPr>
        <w:tabs>
          <w:tab w:val="clear" w:pos="454"/>
        </w:tabs>
        <w:ind w:left="567" w:hanging="567"/>
        <w:rPr>
          <w:rFonts w:ascii="Arial" w:hAnsi="Arial" w:cs="Arial"/>
          <w:sz w:val="22"/>
          <w:szCs w:val="22"/>
        </w:rPr>
      </w:pPr>
      <w:r w:rsidRPr="007F6F33">
        <w:rPr>
          <w:rFonts w:ascii="Arial" w:hAnsi="Arial" w:cs="Arial"/>
          <w:sz w:val="22"/>
          <w:szCs w:val="22"/>
        </w:rPr>
        <w:t xml:space="preserve">An application for approval of a dealing affecting an existing title may be made by any of the parties to the dealing </w:t>
      </w:r>
      <w:r w:rsidR="00863A25" w:rsidRPr="007F6F33">
        <w:rPr>
          <w:rFonts w:ascii="Arial" w:hAnsi="Arial" w:cs="Arial"/>
          <w:sz w:val="22"/>
          <w:szCs w:val="22"/>
        </w:rPr>
        <w:t>(</w:t>
      </w:r>
      <w:r w:rsidRPr="007F6F33">
        <w:rPr>
          <w:rFonts w:ascii="Arial" w:hAnsi="Arial" w:cs="Arial"/>
          <w:sz w:val="22"/>
          <w:szCs w:val="22"/>
        </w:rPr>
        <w:t>s 488</w:t>
      </w:r>
      <w:r w:rsidR="00256B1F" w:rsidRPr="002365B4">
        <w:rPr>
          <w:rFonts w:ascii="Arial" w:hAnsi="Arial" w:cs="Arial"/>
          <w:sz w:val="22"/>
          <w:szCs w:val="22"/>
        </w:rPr>
        <w:t>(2)</w:t>
      </w:r>
      <w:r w:rsidR="00863A25" w:rsidRPr="007F6F33">
        <w:rPr>
          <w:rFonts w:ascii="Arial" w:hAnsi="Arial" w:cs="Arial"/>
          <w:sz w:val="22"/>
          <w:szCs w:val="22"/>
        </w:rPr>
        <w:t>)</w:t>
      </w:r>
      <w:r w:rsidRPr="007F6F33">
        <w:rPr>
          <w:rFonts w:ascii="Arial" w:hAnsi="Arial" w:cs="Arial"/>
          <w:sz w:val="22"/>
          <w:szCs w:val="22"/>
        </w:rPr>
        <w:t xml:space="preserve">.  </w:t>
      </w:r>
    </w:p>
    <w:p w14:paraId="40C8368C" w14:textId="5BE16E80" w:rsidR="00454D9C" w:rsidRPr="00454D9C" w:rsidRDefault="00454D9C" w:rsidP="00672500">
      <w:pPr>
        <w:pStyle w:val="Heading2"/>
      </w:pPr>
      <w:r w:rsidRPr="00454D9C">
        <w:t>Application</w:t>
      </w:r>
    </w:p>
    <w:p w14:paraId="1FD75F7E" w14:textId="2096E322" w:rsidR="00454D9C" w:rsidRPr="00454D9C" w:rsidRDefault="00454D9C" w:rsidP="00454D9C">
      <w:pPr>
        <w:pStyle w:val="List2"/>
        <w:numPr>
          <w:ilvl w:val="1"/>
          <w:numId w:val="1"/>
        </w:numPr>
        <w:tabs>
          <w:tab w:val="clear" w:pos="454"/>
        </w:tabs>
        <w:ind w:left="567" w:hanging="567"/>
        <w:rPr>
          <w:rFonts w:ascii="Arial" w:hAnsi="Arial" w:cs="Arial"/>
          <w:sz w:val="22"/>
          <w:szCs w:val="22"/>
        </w:rPr>
      </w:pPr>
      <w:r w:rsidRPr="00454D9C">
        <w:rPr>
          <w:rFonts w:ascii="Arial" w:hAnsi="Arial" w:cs="Arial"/>
          <w:sz w:val="22"/>
          <w:szCs w:val="22"/>
        </w:rPr>
        <w:t>If a dealing relates to two (2) or more</w:t>
      </w:r>
      <w:r w:rsidR="00ED597F">
        <w:rPr>
          <w:rFonts w:ascii="Arial" w:hAnsi="Arial" w:cs="Arial"/>
          <w:sz w:val="22"/>
          <w:szCs w:val="22"/>
        </w:rPr>
        <w:t xml:space="preserve"> </w:t>
      </w:r>
      <w:r w:rsidRPr="00454D9C">
        <w:rPr>
          <w:rFonts w:ascii="Arial" w:hAnsi="Arial" w:cs="Arial"/>
          <w:sz w:val="22"/>
          <w:szCs w:val="22"/>
        </w:rPr>
        <w:t xml:space="preserve">titles, separate applications are required if approval of the dealing is sought </w:t>
      </w:r>
      <w:r w:rsidR="006F2EB3">
        <w:rPr>
          <w:rFonts w:ascii="Arial" w:hAnsi="Arial" w:cs="Arial"/>
          <w:sz w:val="22"/>
          <w:szCs w:val="22"/>
        </w:rPr>
        <w:t xml:space="preserve">for </w:t>
      </w:r>
      <w:r w:rsidRPr="00454D9C">
        <w:rPr>
          <w:rFonts w:ascii="Arial" w:hAnsi="Arial" w:cs="Arial"/>
          <w:sz w:val="22"/>
          <w:szCs w:val="22"/>
        </w:rPr>
        <w:t>each title: s 488(3).</w:t>
      </w:r>
    </w:p>
    <w:tbl>
      <w:tblPr>
        <w:tblStyle w:val="TableGrid"/>
        <w:tblW w:w="0" w:type="auto"/>
        <w:tblInd w:w="562" w:type="dxa"/>
        <w:tblBorders>
          <w:insideH w:val="none" w:sz="0" w:space="0" w:color="auto"/>
          <w:insideV w:val="none" w:sz="0" w:space="0" w:color="auto"/>
        </w:tblBorders>
        <w:tblLook w:val="04A0" w:firstRow="1" w:lastRow="0" w:firstColumn="1" w:lastColumn="0" w:noHBand="0" w:noVBand="1"/>
      </w:tblPr>
      <w:tblGrid>
        <w:gridCol w:w="8454"/>
      </w:tblGrid>
      <w:tr w:rsidR="00671AD7" w:rsidRPr="001322E8" w14:paraId="45C43758" w14:textId="77777777" w:rsidTr="00FE2679">
        <w:trPr>
          <w:trHeight w:val="1157"/>
        </w:trPr>
        <w:tc>
          <w:tcPr>
            <w:tcW w:w="8454" w:type="dxa"/>
            <w:shd w:val="clear" w:color="auto" w:fill="D9D9D9" w:themeFill="background1" w:themeFillShade="D9"/>
          </w:tcPr>
          <w:p w14:paraId="4F09CB2C" w14:textId="4BBBCA05" w:rsidR="00671AD7" w:rsidRPr="007F6F33" w:rsidRDefault="00671AD7">
            <w:pPr>
              <w:pStyle w:val="List2"/>
              <w:spacing w:before="120"/>
              <w:rPr>
                <w:rFonts w:ascii="Arial" w:hAnsi="Arial" w:cs="Arial"/>
                <w:sz w:val="22"/>
                <w:szCs w:val="22"/>
              </w:rPr>
            </w:pPr>
            <w:r w:rsidRPr="007F6F33">
              <w:rPr>
                <w:rFonts w:ascii="Arial" w:hAnsi="Arial" w:cs="Arial"/>
                <w:b/>
                <w:sz w:val="20"/>
                <w:szCs w:val="22"/>
              </w:rPr>
              <w:t>N</w:t>
            </w:r>
            <w:r w:rsidR="00C2759B" w:rsidRPr="007F6F33">
              <w:rPr>
                <w:rFonts w:ascii="Arial" w:hAnsi="Arial" w:cs="Arial"/>
                <w:b/>
                <w:sz w:val="20"/>
                <w:szCs w:val="22"/>
              </w:rPr>
              <w:t>ote</w:t>
            </w:r>
            <w:r w:rsidRPr="007F6F33">
              <w:rPr>
                <w:rFonts w:ascii="Arial" w:hAnsi="Arial" w:cs="Arial"/>
                <w:b/>
                <w:sz w:val="20"/>
                <w:szCs w:val="22"/>
              </w:rPr>
              <w:t>:</w:t>
            </w:r>
            <w:r w:rsidRPr="007F6F33">
              <w:rPr>
                <w:rFonts w:ascii="Arial" w:hAnsi="Arial" w:cs="Arial"/>
                <w:sz w:val="20"/>
                <w:szCs w:val="22"/>
              </w:rPr>
              <w:t xml:space="preserve"> If the dealings and any associated transfers need to be registered in a specific order</w:t>
            </w:r>
            <w:r w:rsidR="00733D10" w:rsidRPr="007F6F33">
              <w:rPr>
                <w:rFonts w:ascii="Arial" w:hAnsi="Arial" w:cs="Arial"/>
                <w:sz w:val="20"/>
                <w:szCs w:val="22"/>
              </w:rPr>
              <w:t>,</w:t>
            </w:r>
            <w:r w:rsidRPr="007F6F33">
              <w:rPr>
                <w:rFonts w:ascii="Arial" w:hAnsi="Arial" w:cs="Arial"/>
                <w:sz w:val="20"/>
                <w:szCs w:val="22"/>
              </w:rPr>
              <w:t xml:space="preserve"> this information should be included </w:t>
            </w:r>
            <w:r w:rsidR="0002322F" w:rsidRPr="007F6F33">
              <w:rPr>
                <w:rFonts w:ascii="Arial" w:hAnsi="Arial" w:cs="Arial"/>
                <w:sz w:val="20"/>
                <w:szCs w:val="22"/>
              </w:rPr>
              <w:t xml:space="preserve">in </w:t>
            </w:r>
            <w:r w:rsidRPr="007F6F33">
              <w:rPr>
                <w:rFonts w:ascii="Arial" w:hAnsi="Arial" w:cs="Arial"/>
                <w:sz w:val="20"/>
                <w:szCs w:val="22"/>
              </w:rPr>
              <w:t>the application</w:t>
            </w:r>
            <w:r w:rsidR="00226053" w:rsidRPr="007F6F33">
              <w:rPr>
                <w:rFonts w:ascii="Arial" w:hAnsi="Arial" w:cs="Arial"/>
                <w:sz w:val="20"/>
                <w:szCs w:val="22"/>
              </w:rPr>
              <w:t>.</w:t>
            </w:r>
            <w:r w:rsidRPr="007F6F33">
              <w:rPr>
                <w:rFonts w:ascii="Arial" w:hAnsi="Arial" w:cs="Arial"/>
                <w:sz w:val="20"/>
                <w:szCs w:val="22"/>
              </w:rPr>
              <w:t xml:space="preserve"> </w:t>
            </w:r>
            <w:r w:rsidR="00226053" w:rsidRPr="007F6F33">
              <w:rPr>
                <w:rFonts w:ascii="Arial" w:hAnsi="Arial" w:cs="Arial"/>
                <w:sz w:val="20"/>
                <w:szCs w:val="22"/>
              </w:rPr>
              <w:t xml:space="preserve">If a specific order is not specified by the applicant the </w:t>
            </w:r>
            <w:r w:rsidRPr="007F6F33">
              <w:rPr>
                <w:rFonts w:ascii="Arial" w:hAnsi="Arial" w:cs="Arial"/>
                <w:sz w:val="20"/>
                <w:szCs w:val="22"/>
              </w:rPr>
              <w:t>dealings will be registered in order of the effective date (if specified in the dealings).</w:t>
            </w:r>
          </w:p>
        </w:tc>
      </w:tr>
    </w:tbl>
    <w:p w14:paraId="11AE4124" w14:textId="650DD880" w:rsidR="00671AD7" w:rsidRPr="007F6F33" w:rsidRDefault="005A1D7E" w:rsidP="00FE2679">
      <w:pPr>
        <w:pStyle w:val="List2"/>
        <w:numPr>
          <w:ilvl w:val="1"/>
          <w:numId w:val="1"/>
        </w:numPr>
        <w:tabs>
          <w:tab w:val="clear" w:pos="454"/>
        </w:tabs>
        <w:spacing w:before="120"/>
        <w:ind w:left="567" w:hanging="567"/>
        <w:rPr>
          <w:rFonts w:ascii="Arial" w:hAnsi="Arial" w:cs="Arial"/>
          <w:sz w:val="22"/>
          <w:szCs w:val="22"/>
        </w:rPr>
      </w:pPr>
      <w:r>
        <w:rPr>
          <w:rFonts w:ascii="Arial" w:hAnsi="Arial" w:cs="Arial"/>
          <w:sz w:val="22"/>
          <w:szCs w:val="22"/>
        </w:rPr>
        <w:t>For a complete application, the</w:t>
      </w:r>
      <w:r w:rsidR="00671AD7" w:rsidRPr="007F6F33">
        <w:rPr>
          <w:rFonts w:ascii="Arial" w:hAnsi="Arial" w:cs="Arial"/>
          <w:sz w:val="22"/>
          <w:szCs w:val="22"/>
        </w:rPr>
        <w:t xml:space="preserve"> following must be provided: </w:t>
      </w:r>
    </w:p>
    <w:p w14:paraId="6505B913" w14:textId="2E58CEFC" w:rsidR="00671AD7" w:rsidRDefault="00671AD7" w:rsidP="00D35A1C">
      <w:pPr>
        <w:pStyle w:val="List2"/>
        <w:numPr>
          <w:ilvl w:val="2"/>
          <w:numId w:val="1"/>
        </w:numPr>
        <w:ind w:left="1418" w:hanging="851"/>
        <w:rPr>
          <w:rFonts w:ascii="Arial" w:hAnsi="Arial" w:cs="Arial"/>
          <w:sz w:val="22"/>
          <w:szCs w:val="22"/>
        </w:rPr>
      </w:pPr>
      <w:r w:rsidRPr="007F6F33">
        <w:rPr>
          <w:rFonts w:ascii="Arial" w:hAnsi="Arial" w:cs="Arial"/>
          <w:sz w:val="22"/>
          <w:szCs w:val="22"/>
        </w:rPr>
        <w:t>A completed application form, executed in the correct manner (</w:t>
      </w:r>
      <w:r w:rsidRPr="00F46EB3">
        <w:rPr>
          <w:rFonts w:ascii="Arial" w:hAnsi="Arial" w:cs="Arial"/>
          <w:sz w:val="22"/>
          <w:szCs w:val="22"/>
        </w:rPr>
        <w:t>see</w:t>
      </w:r>
      <w:r w:rsidRPr="007F6F33">
        <w:rPr>
          <w:sz w:val="22"/>
          <w:szCs w:val="22"/>
        </w:rPr>
        <w:t xml:space="preserve"> </w:t>
      </w:r>
      <w:hyperlink r:id="rId30" w:tooltip="http://www.nopta.gov.au/forms/forms.html" w:history="1">
        <w:r w:rsidRPr="007F6F33">
          <w:rPr>
            <w:rStyle w:val="Hyperlink"/>
            <w:rFonts w:ascii="Arial" w:hAnsi="Arial" w:cs="Arial"/>
            <w:sz w:val="22"/>
            <w:szCs w:val="22"/>
          </w:rPr>
          <w:t>NOPTA website</w:t>
        </w:r>
      </w:hyperlink>
      <w:r w:rsidRPr="007F6F33">
        <w:rPr>
          <w:rFonts w:ascii="Arial" w:hAnsi="Arial" w:cs="Arial"/>
          <w:sz w:val="22"/>
          <w:szCs w:val="22"/>
        </w:rPr>
        <w:t>): s 488(4).</w:t>
      </w:r>
      <w:r w:rsidR="00A572D5">
        <w:rPr>
          <w:rStyle w:val="FootnoteReference"/>
          <w:rFonts w:ascii="Arial" w:hAnsi="Arial" w:cs="Arial"/>
          <w:sz w:val="22"/>
          <w:szCs w:val="22"/>
        </w:rPr>
        <w:footnoteReference w:id="6"/>
      </w:r>
    </w:p>
    <w:p w14:paraId="61A72BBA" w14:textId="22E8A7BC" w:rsidR="00DC6519" w:rsidRPr="00A1101E" w:rsidRDefault="00671AD7" w:rsidP="00D35A1C">
      <w:pPr>
        <w:pStyle w:val="List2"/>
        <w:numPr>
          <w:ilvl w:val="2"/>
          <w:numId w:val="1"/>
        </w:numPr>
        <w:ind w:left="1418" w:hanging="851"/>
        <w:rPr>
          <w:rFonts w:ascii="Arial" w:hAnsi="Arial" w:cs="Arial"/>
          <w:sz w:val="22"/>
          <w:szCs w:val="22"/>
        </w:rPr>
      </w:pPr>
      <w:r w:rsidRPr="00A1101E">
        <w:rPr>
          <w:rFonts w:ascii="Arial" w:hAnsi="Arial" w:cs="Arial"/>
          <w:sz w:val="22"/>
          <w:szCs w:val="22"/>
        </w:rPr>
        <w:t xml:space="preserve">The instrument evidencing the dealing </w:t>
      </w:r>
      <w:r w:rsidR="00480A36" w:rsidRPr="00A1101E">
        <w:rPr>
          <w:rFonts w:ascii="Arial" w:hAnsi="Arial" w:cs="Arial"/>
          <w:sz w:val="22"/>
          <w:szCs w:val="22"/>
        </w:rPr>
        <w:t>(</w:t>
      </w:r>
      <w:r w:rsidRPr="00A1101E">
        <w:rPr>
          <w:rFonts w:ascii="Arial" w:hAnsi="Arial" w:cs="Arial"/>
          <w:sz w:val="22"/>
          <w:szCs w:val="22"/>
        </w:rPr>
        <w:t>s 489(1)</w:t>
      </w:r>
      <w:r w:rsidR="00480A36" w:rsidRPr="00A1101E">
        <w:rPr>
          <w:rFonts w:ascii="Arial" w:hAnsi="Arial" w:cs="Arial"/>
          <w:sz w:val="22"/>
          <w:szCs w:val="22"/>
        </w:rPr>
        <w:t>)</w:t>
      </w:r>
      <w:r w:rsidRPr="00A1101E">
        <w:rPr>
          <w:rFonts w:ascii="Arial" w:hAnsi="Arial" w:cs="Arial"/>
          <w:sz w:val="22"/>
          <w:szCs w:val="22"/>
        </w:rPr>
        <w:t>.</w:t>
      </w:r>
    </w:p>
    <w:p w14:paraId="5CD1E090" w14:textId="77777777" w:rsidR="00593E2C" w:rsidRPr="00A1101E" w:rsidRDefault="00671AD7" w:rsidP="00D35A1C">
      <w:pPr>
        <w:pStyle w:val="List2"/>
        <w:numPr>
          <w:ilvl w:val="2"/>
          <w:numId w:val="1"/>
        </w:numPr>
        <w:ind w:left="1418" w:hanging="851"/>
        <w:rPr>
          <w:rFonts w:ascii="Arial" w:hAnsi="Arial" w:cs="Arial"/>
          <w:sz w:val="22"/>
          <w:szCs w:val="22"/>
        </w:rPr>
      </w:pPr>
      <w:r w:rsidRPr="00A1101E">
        <w:rPr>
          <w:rFonts w:ascii="Arial" w:hAnsi="Arial" w:cs="Arial"/>
          <w:sz w:val="22"/>
          <w:szCs w:val="22"/>
        </w:rPr>
        <w:t>A supplementary instrument (if applicable)</w:t>
      </w:r>
      <w:r w:rsidR="00480A36" w:rsidRPr="00A1101E">
        <w:rPr>
          <w:rFonts w:ascii="Arial" w:hAnsi="Arial" w:cs="Arial"/>
          <w:sz w:val="22"/>
          <w:szCs w:val="22"/>
        </w:rPr>
        <w:t xml:space="preserve"> (</w:t>
      </w:r>
      <w:r w:rsidRPr="00A1101E">
        <w:rPr>
          <w:rFonts w:ascii="Arial" w:hAnsi="Arial" w:cs="Arial"/>
          <w:sz w:val="22"/>
          <w:szCs w:val="22"/>
        </w:rPr>
        <w:t>s 489(2)</w:t>
      </w:r>
      <w:r w:rsidR="00480A36" w:rsidRPr="00A1101E">
        <w:rPr>
          <w:rFonts w:ascii="Arial" w:hAnsi="Arial" w:cs="Arial"/>
          <w:sz w:val="22"/>
          <w:szCs w:val="22"/>
        </w:rPr>
        <w:t>)</w:t>
      </w:r>
      <w:r w:rsidRPr="00A1101E">
        <w:rPr>
          <w:rFonts w:ascii="Arial" w:hAnsi="Arial" w:cs="Arial"/>
          <w:sz w:val="22"/>
          <w:szCs w:val="22"/>
        </w:rPr>
        <w:t>.</w:t>
      </w:r>
      <w:r w:rsidR="00593E2C" w:rsidRPr="00A1101E">
        <w:rPr>
          <w:rFonts w:ascii="Arial" w:hAnsi="Arial" w:cs="Arial"/>
          <w:sz w:val="22"/>
          <w:szCs w:val="22"/>
        </w:rPr>
        <w:t xml:space="preserve"> </w:t>
      </w:r>
    </w:p>
    <w:p w14:paraId="71C1AD65" w14:textId="7AA0CEBF" w:rsidR="00593E2C" w:rsidRPr="00A1101E" w:rsidRDefault="00593E2C" w:rsidP="00D35A1C">
      <w:pPr>
        <w:pStyle w:val="List2"/>
        <w:numPr>
          <w:ilvl w:val="2"/>
          <w:numId w:val="1"/>
        </w:numPr>
        <w:ind w:left="1418" w:hanging="851"/>
        <w:rPr>
          <w:rFonts w:ascii="Arial" w:hAnsi="Arial" w:cs="Arial"/>
          <w:sz w:val="22"/>
          <w:szCs w:val="22"/>
        </w:rPr>
      </w:pPr>
      <w:r w:rsidRPr="00A1101E">
        <w:rPr>
          <w:rFonts w:ascii="Arial" w:hAnsi="Arial" w:cs="Arial"/>
          <w:sz w:val="22"/>
          <w:szCs w:val="22"/>
        </w:rPr>
        <w:t xml:space="preserve">A copy of the instrument evidencing the dealing and any supplementary instrument: s 489(4A). </w:t>
      </w:r>
    </w:p>
    <w:p w14:paraId="14434043" w14:textId="071F175B" w:rsidR="00186BDB" w:rsidRPr="00A1101E" w:rsidRDefault="00593E2C" w:rsidP="00D35A1C">
      <w:pPr>
        <w:pStyle w:val="List2"/>
        <w:numPr>
          <w:ilvl w:val="2"/>
          <w:numId w:val="1"/>
        </w:numPr>
        <w:ind w:left="1418" w:hanging="851"/>
        <w:rPr>
          <w:rFonts w:ascii="Arial" w:hAnsi="Arial" w:cs="Arial"/>
          <w:sz w:val="22"/>
          <w:szCs w:val="22"/>
        </w:rPr>
      </w:pPr>
      <w:r w:rsidRPr="00A1101E">
        <w:rPr>
          <w:rFonts w:ascii="Arial" w:hAnsi="Arial" w:cs="Arial"/>
          <w:sz w:val="22"/>
          <w:szCs w:val="22"/>
        </w:rPr>
        <w:t xml:space="preserve">Payment of the prescribed application fee (see </w:t>
      </w:r>
      <w:hyperlink r:id="rId31" w:tooltip="http://www.nopta.gov.au/cost.html" w:history="1">
        <w:r w:rsidRPr="00A1101E">
          <w:rPr>
            <w:rStyle w:val="Hyperlink"/>
            <w:rFonts w:ascii="Arial" w:hAnsi="Arial" w:cs="Arial"/>
            <w:sz w:val="22"/>
            <w:szCs w:val="22"/>
          </w:rPr>
          <w:t>Schedule of Fees</w:t>
        </w:r>
      </w:hyperlink>
      <w:r w:rsidRPr="00A1101E">
        <w:rPr>
          <w:rFonts w:ascii="Arial" w:hAnsi="Arial" w:cs="Arial"/>
          <w:sz w:val="22"/>
          <w:szCs w:val="22"/>
        </w:rPr>
        <w:t>) (s 516A, Schedule 6 of the RMA Regulations)</w:t>
      </w:r>
      <w:r w:rsidR="00137595" w:rsidRPr="00A1101E">
        <w:rPr>
          <w:rFonts w:ascii="Arial" w:hAnsi="Arial" w:cs="Arial"/>
          <w:sz w:val="22"/>
          <w:szCs w:val="22"/>
        </w:rPr>
        <w:t>.</w:t>
      </w:r>
    </w:p>
    <w:p w14:paraId="4AA794E1" w14:textId="22CB402E" w:rsidR="00186BDB" w:rsidRPr="00A1101E" w:rsidRDefault="00186BDB" w:rsidP="00FE2679">
      <w:pPr>
        <w:pStyle w:val="List2"/>
        <w:pBdr>
          <w:top w:val="single" w:sz="4" w:space="2" w:color="auto"/>
          <w:left w:val="single" w:sz="4" w:space="1" w:color="auto"/>
          <w:bottom w:val="single" w:sz="4" w:space="1" w:color="auto"/>
          <w:right w:val="single" w:sz="4" w:space="1" w:color="auto"/>
        </w:pBdr>
        <w:shd w:val="clear" w:color="auto" w:fill="D9D9D9" w:themeFill="background1" w:themeFillShade="D9"/>
        <w:spacing w:before="120"/>
        <w:ind w:left="709"/>
        <w:rPr>
          <w:rFonts w:ascii="Arial" w:hAnsi="Arial" w:cs="Arial"/>
          <w:sz w:val="20"/>
          <w:szCs w:val="22"/>
        </w:rPr>
      </w:pPr>
      <w:r w:rsidRPr="00A1101E">
        <w:rPr>
          <w:rFonts w:ascii="Arial" w:hAnsi="Arial" w:cs="Arial"/>
          <w:b/>
          <w:sz w:val="20"/>
          <w:szCs w:val="22"/>
        </w:rPr>
        <w:t xml:space="preserve">Note: </w:t>
      </w:r>
      <w:r w:rsidRPr="00A1101E">
        <w:rPr>
          <w:rFonts w:ascii="Arial" w:hAnsi="Arial" w:cs="Arial"/>
          <w:sz w:val="20"/>
          <w:szCs w:val="22"/>
        </w:rPr>
        <w:t>Applicants may lodge a supplementary instrument: s 489(2). The content of a supplementary instrument under s 489(2) is prescribed in regulation 12.02 of the RMA Regulations.</w:t>
      </w:r>
      <w:r w:rsidRPr="00A1101E">
        <w:rPr>
          <w:rFonts w:ascii="Arial" w:hAnsi="Arial" w:cs="Arial"/>
          <w:i/>
          <w:sz w:val="20"/>
          <w:szCs w:val="22"/>
        </w:rPr>
        <w:t xml:space="preserve"> </w:t>
      </w:r>
      <w:r w:rsidR="00592079" w:rsidRPr="00A1101E">
        <w:rPr>
          <w:rFonts w:ascii="Arial" w:hAnsi="Arial" w:cs="Arial"/>
          <w:sz w:val="20"/>
          <w:szCs w:val="22"/>
        </w:rPr>
        <w:t>If</w:t>
      </w:r>
      <w:r w:rsidRPr="00A1101E">
        <w:rPr>
          <w:rFonts w:ascii="Arial" w:hAnsi="Arial" w:cs="Arial"/>
          <w:sz w:val="20"/>
          <w:szCs w:val="22"/>
        </w:rPr>
        <w:t xml:space="preserve"> a supplementary instrument is lodged, that document is available for public viewing in place of the original instrument: s 495(2)(a)(ii) and s 495(2)(c). </w:t>
      </w:r>
    </w:p>
    <w:p w14:paraId="113DF33B" w14:textId="6A69E7FF" w:rsidR="00671AD7" w:rsidRPr="00A1101E" w:rsidRDefault="00186BDB" w:rsidP="00FE2679">
      <w:pPr>
        <w:pStyle w:val="List2"/>
        <w:pBdr>
          <w:top w:val="single" w:sz="4" w:space="2" w:color="auto"/>
          <w:left w:val="single" w:sz="4" w:space="1" w:color="auto"/>
          <w:bottom w:val="single" w:sz="4" w:space="1" w:color="auto"/>
          <w:right w:val="single" w:sz="4" w:space="1" w:color="auto"/>
        </w:pBdr>
        <w:shd w:val="clear" w:color="auto" w:fill="D9D9D9" w:themeFill="background1" w:themeFillShade="D9"/>
        <w:spacing w:before="120"/>
        <w:ind w:left="709"/>
        <w:rPr>
          <w:rFonts w:ascii="Arial" w:hAnsi="Arial" w:cs="Arial"/>
          <w:sz w:val="22"/>
          <w:szCs w:val="22"/>
        </w:rPr>
      </w:pPr>
      <w:r w:rsidRPr="00A1101E">
        <w:rPr>
          <w:rFonts w:ascii="Arial" w:hAnsi="Arial" w:cs="Arial"/>
          <w:sz w:val="20"/>
          <w:szCs w:val="22"/>
        </w:rPr>
        <w:t xml:space="preserve">NOPTA may request amendments to the supplementary instrument </w:t>
      </w:r>
      <w:r w:rsidR="00592079" w:rsidRPr="00A1101E">
        <w:rPr>
          <w:rFonts w:ascii="Arial" w:hAnsi="Arial" w:cs="Arial"/>
          <w:sz w:val="20"/>
          <w:szCs w:val="22"/>
        </w:rPr>
        <w:t>if</w:t>
      </w:r>
      <w:r w:rsidRPr="00A1101E">
        <w:rPr>
          <w:rFonts w:ascii="Arial" w:hAnsi="Arial" w:cs="Arial"/>
          <w:sz w:val="20"/>
          <w:szCs w:val="22"/>
        </w:rPr>
        <w:t xml:space="preserve"> insufficient detail or inaccurate information has been included.</w:t>
      </w:r>
    </w:p>
    <w:p w14:paraId="10A8D55C" w14:textId="3ACBA7ED" w:rsidR="00671AD7" w:rsidRPr="00A1101E" w:rsidRDefault="00671AD7" w:rsidP="00671AD7">
      <w:pPr>
        <w:pStyle w:val="List2"/>
        <w:numPr>
          <w:ilvl w:val="1"/>
          <w:numId w:val="1"/>
        </w:numPr>
        <w:tabs>
          <w:tab w:val="clear" w:pos="454"/>
        </w:tabs>
        <w:ind w:left="567" w:hanging="567"/>
        <w:rPr>
          <w:rFonts w:ascii="Arial" w:hAnsi="Arial" w:cs="Arial"/>
          <w:sz w:val="22"/>
          <w:szCs w:val="22"/>
        </w:rPr>
      </w:pPr>
      <w:r w:rsidRPr="00A1101E">
        <w:rPr>
          <w:rFonts w:ascii="Arial" w:hAnsi="Arial" w:cs="Arial"/>
          <w:sz w:val="22"/>
          <w:szCs w:val="22"/>
        </w:rPr>
        <w:t xml:space="preserve">If NOPTA approves the dealing, the original instrument evidencing the dealing and any </w:t>
      </w:r>
      <w:r w:rsidR="00AA2EA9" w:rsidRPr="00A1101E">
        <w:rPr>
          <w:rFonts w:ascii="Arial" w:hAnsi="Arial" w:cs="Arial"/>
          <w:sz w:val="22"/>
          <w:szCs w:val="22"/>
        </w:rPr>
        <w:t xml:space="preserve">original </w:t>
      </w:r>
      <w:r w:rsidRPr="00A1101E">
        <w:rPr>
          <w:rFonts w:ascii="Arial" w:hAnsi="Arial" w:cs="Arial"/>
          <w:sz w:val="22"/>
          <w:szCs w:val="22"/>
        </w:rPr>
        <w:t xml:space="preserve">supplementary instrument will be returned to the applicant after registration </w:t>
      </w:r>
      <w:r w:rsidR="00B4231C" w:rsidRPr="00A1101E">
        <w:rPr>
          <w:rFonts w:ascii="Arial" w:hAnsi="Arial" w:cs="Arial"/>
          <w:sz w:val="22"/>
          <w:szCs w:val="22"/>
        </w:rPr>
        <w:t>(</w:t>
      </w:r>
      <w:r w:rsidRPr="00A1101E">
        <w:rPr>
          <w:rFonts w:ascii="Arial" w:hAnsi="Arial" w:cs="Arial"/>
          <w:sz w:val="22"/>
          <w:szCs w:val="22"/>
        </w:rPr>
        <w:t>s 495(2)(b) and (d); and s 495(3)(b)</w:t>
      </w:r>
      <w:r w:rsidR="00B4231C" w:rsidRPr="00A1101E">
        <w:rPr>
          <w:rFonts w:ascii="Arial" w:hAnsi="Arial" w:cs="Arial"/>
          <w:sz w:val="22"/>
          <w:szCs w:val="22"/>
        </w:rPr>
        <w:t>)</w:t>
      </w:r>
      <w:r w:rsidRPr="00A1101E">
        <w:rPr>
          <w:rFonts w:ascii="Arial" w:hAnsi="Arial" w:cs="Arial"/>
          <w:sz w:val="22"/>
          <w:szCs w:val="22"/>
        </w:rPr>
        <w:t>.</w:t>
      </w:r>
    </w:p>
    <w:p w14:paraId="0745E75B" w14:textId="690E06B6" w:rsidR="00FF782B" w:rsidRDefault="00270EEC" w:rsidP="00BA0D7B">
      <w:pPr>
        <w:pStyle w:val="List2"/>
        <w:numPr>
          <w:ilvl w:val="1"/>
          <w:numId w:val="1"/>
        </w:numPr>
        <w:tabs>
          <w:tab w:val="clear" w:pos="454"/>
        </w:tabs>
        <w:ind w:left="567" w:hanging="567"/>
        <w:rPr>
          <w:rFonts w:ascii="Arial" w:hAnsi="Arial" w:cs="Arial"/>
          <w:sz w:val="22"/>
          <w:szCs w:val="22"/>
        </w:rPr>
      </w:pPr>
      <w:r w:rsidRPr="00A1101E">
        <w:rPr>
          <w:rFonts w:ascii="Arial" w:hAnsi="Arial" w:cs="Arial"/>
          <w:sz w:val="22"/>
          <w:szCs w:val="22"/>
        </w:rPr>
        <w:lastRenderedPageBreak/>
        <w:t>NOPTA has powers to require applicants to provide such information about the dealing as is considered necessary or advisable (s 507); require a part</w:t>
      </w:r>
      <w:r w:rsidR="00593E2C" w:rsidRPr="00A1101E">
        <w:rPr>
          <w:rFonts w:ascii="Arial" w:hAnsi="Arial" w:cs="Arial"/>
          <w:sz w:val="22"/>
          <w:szCs w:val="22"/>
        </w:rPr>
        <w:t>y</w:t>
      </w:r>
      <w:r w:rsidRPr="00A1101E">
        <w:rPr>
          <w:rFonts w:ascii="Arial" w:hAnsi="Arial" w:cs="Arial"/>
          <w:sz w:val="22"/>
          <w:szCs w:val="22"/>
        </w:rPr>
        <w:t xml:space="preserve"> to an approved dealing to provide information (s 508); and to require production of documents relating to a dealing from a person (s 509). </w:t>
      </w:r>
    </w:p>
    <w:tbl>
      <w:tblPr>
        <w:tblStyle w:val="TableGrid"/>
        <w:tblW w:w="8505" w:type="dxa"/>
        <w:tblInd w:w="562" w:type="dxa"/>
        <w:tblBorders>
          <w:insideH w:val="none" w:sz="0" w:space="0" w:color="auto"/>
          <w:insideV w:val="none" w:sz="0" w:space="0" w:color="auto"/>
        </w:tblBorders>
        <w:tblLook w:val="04A0" w:firstRow="1" w:lastRow="0" w:firstColumn="1" w:lastColumn="0" w:noHBand="0" w:noVBand="1"/>
      </w:tblPr>
      <w:tblGrid>
        <w:gridCol w:w="8505"/>
      </w:tblGrid>
      <w:tr w:rsidR="00671AD7" w:rsidRPr="001322E8" w14:paraId="4EA45F1B" w14:textId="77777777" w:rsidTr="00FE2679">
        <w:tc>
          <w:tcPr>
            <w:tcW w:w="8505" w:type="dxa"/>
            <w:shd w:val="clear" w:color="auto" w:fill="D9D9D9" w:themeFill="background1" w:themeFillShade="D9"/>
          </w:tcPr>
          <w:p w14:paraId="0900C3FE" w14:textId="6ACF57D5" w:rsidR="00D512FC" w:rsidRPr="007F6F33" w:rsidRDefault="00C2759B" w:rsidP="0098140A">
            <w:pPr>
              <w:pStyle w:val="List2"/>
              <w:rPr>
                <w:rFonts w:ascii="Arial" w:hAnsi="Arial" w:cs="Arial"/>
                <w:sz w:val="20"/>
                <w:szCs w:val="20"/>
              </w:rPr>
            </w:pPr>
            <w:r w:rsidRPr="007F6F33">
              <w:rPr>
                <w:rFonts w:ascii="Arial" w:hAnsi="Arial" w:cs="Arial"/>
                <w:b/>
                <w:sz w:val="20"/>
                <w:szCs w:val="20"/>
              </w:rPr>
              <w:t>Note</w:t>
            </w:r>
            <w:r w:rsidR="00671AD7" w:rsidRPr="007F6F33">
              <w:rPr>
                <w:rFonts w:ascii="Arial" w:hAnsi="Arial" w:cs="Arial"/>
                <w:b/>
                <w:sz w:val="20"/>
                <w:szCs w:val="20"/>
              </w:rPr>
              <w:t>:</w:t>
            </w:r>
            <w:r w:rsidR="00671AD7" w:rsidRPr="007F6F33">
              <w:rPr>
                <w:rFonts w:ascii="Arial" w:hAnsi="Arial" w:cs="Arial"/>
                <w:sz w:val="20"/>
                <w:szCs w:val="20"/>
              </w:rPr>
              <w:t xml:space="preserve"> </w:t>
            </w:r>
            <w:r w:rsidR="00592079">
              <w:rPr>
                <w:rFonts w:ascii="Arial" w:hAnsi="Arial" w:cs="Arial"/>
                <w:sz w:val="20"/>
                <w:szCs w:val="20"/>
              </w:rPr>
              <w:t>If</w:t>
            </w:r>
            <w:r w:rsidR="00D512FC" w:rsidRPr="007F6F33">
              <w:rPr>
                <w:rFonts w:ascii="Arial" w:hAnsi="Arial" w:cs="Arial"/>
                <w:sz w:val="20"/>
                <w:szCs w:val="20"/>
              </w:rPr>
              <w:t xml:space="preserve"> a dealing </w:t>
            </w:r>
            <w:r w:rsidR="00B71BA5" w:rsidRPr="007F6F33">
              <w:rPr>
                <w:rFonts w:ascii="Arial" w:hAnsi="Arial" w:cs="Arial"/>
                <w:sz w:val="20"/>
                <w:szCs w:val="20"/>
              </w:rPr>
              <w:t>results in</w:t>
            </w:r>
            <w:r w:rsidR="00D512FC" w:rsidRPr="007F6F33">
              <w:rPr>
                <w:rFonts w:ascii="Arial" w:hAnsi="Arial" w:cs="Arial"/>
                <w:sz w:val="20"/>
                <w:szCs w:val="20"/>
              </w:rPr>
              <w:t xml:space="preserve"> or refers to: </w:t>
            </w:r>
          </w:p>
          <w:p w14:paraId="7D6B9DAB" w14:textId="77777777" w:rsidR="00D512FC" w:rsidRPr="007F6F33" w:rsidRDefault="00D512FC" w:rsidP="007F6F33">
            <w:pPr>
              <w:pStyle w:val="List2"/>
              <w:numPr>
                <w:ilvl w:val="0"/>
                <w:numId w:val="44"/>
              </w:numPr>
              <w:ind w:left="171" w:hanging="171"/>
              <w:rPr>
                <w:rFonts w:ascii="Arial" w:hAnsi="Arial" w:cs="Arial"/>
                <w:sz w:val="20"/>
                <w:szCs w:val="20"/>
              </w:rPr>
            </w:pPr>
            <w:r w:rsidRPr="007F6F33">
              <w:rPr>
                <w:rFonts w:ascii="Arial" w:hAnsi="Arial" w:cs="Arial"/>
                <w:sz w:val="20"/>
                <w:szCs w:val="20"/>
              </w:rPr>
              <w:t xml:space="preserve">a significant realignment of titleholder interests or change of operatorship within the title; or </w:t>
            </w:r>
          </w:p>
          <w:p w14:paraId="248CA461" w14:textId="77777777" w:rsidR="00D512FC" w:rsidRPr="007F6F33" w:rsidRDefault="00D512FC" w:rsidP="007F6F33">
            <w:pPr>
              <w:pStyle w:val="List2"/>
              <w:numPr>
                <w:ilvl w:val="0"/>
                <w:numId w:val="44"/>
              </w:numPr>
              <w:ind w:left="171" w:hanging="171"/>
              <w:rPr>
                <w:rFonts w:ascii="Arial" w:hAnsi="Arial" w:cs="Arial"/>
                <w:sz w:val="20"/>
                <w:szCs w:val="20"/>
              </w:rPr>
            </w:pPr>
            <w:r w:rsidRPr="007F6F33">
              <w:rPr>
                <w:rFonts w:ascii="Arial" w:hAnsi="Arial" w:cs="Arial"/>
                <w:sz w:val="20"/>
                <w:szCs w:val="20"/>
              </w:rPr>
              <w:t xml:space="preserve">a change in the ownership of a titleholder (as opposed to a change in titleholder)  </w:t>
            </w:r>
          </w:p>
          <w:p w14:paraId="1B8B6B69" w14:textId="0FB2DE65" w:rsidR="00671AD7" w:rsidRPr="007F6F33" w:rsidRDefault="00D512FC" w:rsidP="00A1101E">
            <w:pPr>
              <w:pStyle w:val="List2"/>
              <w:rPr>
                <w:rFonts w:ascii="Arial" w:hAnsi="Arial" w:cs="Arial"/>
                <w:sz w:val="22"/>
                <w:szCs w:val="22"/>
              </w:rPr>
            </w:pPr>
            <w:r w:rsidRPr="007F6F33">
              <w:rPr>
                <w:rFonts w:ascii="Arial" w:hAnsi="Arial" w:cs="Arial"/>
                <w:sz w:val="20"/>
                <w:szCs w:val="20"/>
              </w:rPr>
              <w:t xml:space="preserve">NOPTA </w:t>
            </w:r>
            <w:r w:rsidR="00593E2C">
              <w:rPr>
                <w:rFonts w:ascii="Arial" w:hAnsi="Arial" w:cs="Arial"/>
                <w:sz w:val="20"/>
                <w:szCs w:val="20"/>
              </w:rPr>
              <w:t>may</w:t>
            </w:r>
            <w:r w:rsidR="00593E2C" w:rsidRPr="007F6F33">
              <w:rPr>
                <w:rFonts w:ascii="Arial" w:hAnsi="Arial" w:cs="Arial"/>
                <w:sz w:val="20"/>
                <w:szCs w:val="20"/>
              </w:rPr>
              <w:t xml:space="preserve"> </w:t>
            </w:r>
            <w:r w:rsidRPr="007F6F33">
              <w:rPr>
                <w:rFonts w:ascii="Arial" w:hAnsi="Arial" w:cs="Arial"/>
                <w:sz w:val="20"/>
                <w:szCs w:val="20"/>
              </w:rPr>
              <w:t>require information re</w:t>
            </w:r>
            <w:r w:rsidR="00F93B1B" w:rsidRPr="007F6F33">
              <w:rPr>
                <w:rFonts w:ascii="Arial" w:hAnsi="Arial" w:cs="Arial"/>
                <w:sz w:val="20"/>
                <w:szCs w:val="20"/>
              </w:rPr>
              <w:t>garding</w:t>
            </w:r>
            <w:r w:rsidRPr="007F6F33">
              <w:rPr>
                <w:rFonts w:ascii="Arial" w:hAnsi="Arial" w:cs="Arial"/>
                <w:sz w:val="20"/>
                <w:szCs w:val="20"/>
              </w:rPr>
              <w:t xml:space="preserve"> the technical and financial capacity of the entity </w:t>
            </w:r>
            <w:r w:rsidR="00F93B1B" w:rsidRPr="007F6F33">
              <w:rPr>
                <w:rFonts w:ascii="Arial" w:hAnsi="Arial" w:cs="Arial"/>
                <w:sz w:val="20"/>
                <w:szCs w:val="20"/>
              </w:rPr>
              <w:t>to which the above relates</w:t>
            </w:r>
            <w:r w:rsidR="00FD0798" w:rsidRPr="007F6F33">
              <w:rPr>
                <w:rFonts w:ascii="Arial" w:hAnsi="Arial" w:cs="Arial"/>
                <w:sz w:val="20"/>
                <w:szCs w:val="20"/>
              </w:rPr>
              <w:t>.</w:t>
            </w:r>
            <w:r w:rsidRPr="007F6F33">
              <w:rPr>
                <w:rFonts w:ascii="Arial" w:hAnsi="Arial" w:cs="Arial"/>
                <w:sz w:val="20"/>
                <w:szCs w:val="20"/>
              </w:rPr>
              <w:t xml:space="preserve"> The information requirements in such circumstances will be </w:t>
            </w:r>
            <w:r w:rsidR="00A1101E">
              <w:rPr>
                <w:rFonts w:ascii="Arial" w:hAnsi="Arial" w:cs="Arial"/>
                <w:sz w:val="20"/>
                <w:szCs w:val="20"/>
              </w:rPr>
              <w:t>similar to</w:t>
            </w:r>
            <w:r w:rsidRPr="007F6F33">
              <w:rPr>
                <w:rFonts w:ascii="Arial" w:hAnsi="Arial" w:cs="Arial"/>
                <w:sz w:val="20"/>
                <w:szCs w:val="20"/>
              </w:rPr>
              <w:t xml:space="preserve"> </w:t>
            </w:r>
            <w:r w:rsidR="005E51E4" w:rsidRPr="007F6F33">
              <w:rPr>
                <w:rFonts w:ascii="Arial" w:hAnsi="Arial" w:cs="Arial"/>
                <w:sz w:val="20"/>
                <w:szCs w:val="20"/>
              </w:rPr>
              <w:t>that required</w:t>
            </w:r>
            <w:r w:rsidRPr="007F6F33">
              <w:rPr>
                <w:rFonts w:ascii="Arial" w:hAnsi="Arial" w:cs="Arial"/>
                <w:sz w:val="20"/>
                <w:szCs w:val="20"/>
              </w:rPr>
              <w:t xml:space="preserve"> for a transfer of title. </w:t>
            </w:r>
          </w:p>
        </w:tc>
      </w:tr>
    </w:tbl>
    <w:p w14:paraId="6B86490A" w14:textId="77777777" w:rsidR="001645DB" w:rsidRDefault="001645DB" w:rsidP="005C5D74">
      <w:pPr>
        <w:spacing w:after="0" w:line="240" w:lineRule="auto"/>
        <w:rPr>
          <w:rFonts w:ascii="Arial" w:hAnsi="Arial" w:cs="Arial"/>
          <w:sz w:val="22"/>
          <w:szCs w:val="22"/>
          <w:u w:val="single"/>
        </w:rPr>
      </w:pPr>
    </w:p>
    <w:p w14:paraId="12E15EFC" w14:textId="499B79FC" w:rsidR="00671AD7" w:rsidRPr="007F6F33" w:rsidRDefault="00671AD7" w:rsidP="00672500">
      <w:pPr>
        <w:pStyle w:val="Heading2"/>
      </w:pPr>
      <w:r w:rsidRPr="007F6F33">
        <w:t>G</w:t>
      </w:r>
      <w:r w:rsidR="00086014" w:rsidRPr="007F6F33">
        <w:t>eneral Provisions and Information</w:t>
      </w:r>
    </w:p>
    <w:p w14:paraId="2A3AD3CA" w14:textId="57944AC5" w:rsidR="00270EEC" w:rsidRDefault="00270EEC" w:rsidP="00FD58B3">
      <w:pPr>
        <w:pStyle w:val="List2"/>
        <w:numPr>
          <w:ilvl w:val="1"/>
          <w:numId w:val="1"/>
        </w:numPr>
        <w:tabs>
          <w:tab w:val="clear" w:pos="454"/>
        </w:tabs>
        <w:ind w:left="567" w:hanging="567"/>
        <w:rPr>
          <w:rFonts w:ascii="Arial" w:hAnsi="Arial" w:cs="Arial"/>
          <w:sz w:val="22"/>
          <w:szCs w:val="22"/>
        </w:rPr>
      </w:pPr>
      <w:r>
        <w:rPr>
          <w:rFonts w:ascii="Arial" w:hAnsi="Arial" w:cs="Arial"/>
          <w:sz w:val="22"/>
          <w:szCs w:val="22"/>
        </w:rPr>
        <w:t xml:space="preserve">A dealing in a </w:t>
      </w:r>
      <w:r w:rsidRPr="007F6F33">
        <w:rPr>
          <w:rFonts w:ascii="Arial" w:hAnsi="Arial" w:cs="Arial"/>
          <w:sz w:val="22"/>
          <w:szCs w:val="22"/>
        </w:rPr>
        <w:t>title is of no force under the OPGGSA until it has been</w:t>
      </w:r>
      <w:r w:rsidRPr="004B7D45">
        <w:rPr>
          <w:rFonts w:ascii="Arial" w:hAnsi="Arial" w:cs="Arial"/>
          <w:sz w:val="22"/>
          <w:szCs w:val="22"/>
        </w:rPr>
        <w:t xml:space="preserve"> approved and</w:t>
      </w:r>
      <w:r w:rsidRPr="00A53D82">
        <w:rPr>
          <w:rFonts w:ascii="Arial" w:hAnsi="Arial" w:cs="Arial"/>
          <w:sz w:val="22"/>
          <w:szCs w:val="22"/>
        </w:rPr>
        <w:t xml:space="preserve"> registered by NOPTA in relation to that</w:t>
      </w:r>
      <w:r>
        <w:rPr>
          <w:rFonts w:ascii="Arial" w:hAnsi="Arial" w:cs="Arial"/>
          <w:sz w:val="22"/>
          <w:szCs w:val="22"/>
        </w:rPr>
        <w:t xml:space="preserve"> particular</w:t>
      </w:r>
      <w:r w:rsidRPr="00A53D82">
        <w:rPr>
          <w:rFonts w:ascii="Arial" w:hAnsi="Arial" w:cs="Arial"/>
          <w:sz w:val="22"/>
          <w:szCs w:val="22"/>
        </w:rPr>
        <w:t xml:space="preserve"> title (s 487).</w:t>
      </w:r>
    </w:p>
    <w:p w14:paraId="27C17614" w14:textId="77777777" w:rsidR="00FD58B3" w:rsidRPr="00CF5CE7" w:rsidRDefault="00FD58B3" w:rsidP="00FD58B3">
      <w:pPr>
        <w:pStyle w:val="List2"/>
        <w:numPr>
          <w:ilvl w:val="1"/>
          <w:numId w:val="1"/>
        </w:numPr>
        <w:tabs>
          <w:tab w:val="clear" w:pos="454"/>
        </w:tabs>
        <w:ind w:left="567" w:hanging="567"/>
        <w:rPr>
          <w:rFonts w:ascii="Arial" w:hAnsi="Arial" w:cs="Arial"/>
          <w:sz w:val="22"/>
          <w:szCs w:val="22"/>
        </w:rPr>
      </w:pPr>
      <w:r w:rsidRPr="00CF5CE7">
        <w:rPr>
          <w:rFonts w:ascii="Arial" w:hAnsi="Arial" w:cs="Arial"/>
          <w:sz w:val="22"/>
          <w:szCs w:val="22"/>
        </w:rPr>
        <w:t xml:space="preserve">If a dealing forms part of the issue of a series of debentures, all of the dealings constituting the issue of that series of debentures are taken to be one dealing (s 468). </w:t>
      </w:r>
    </w:p>
    <w:p w14:paraId="378185D6" w14:textId="3A55A207" w:rsidR="001A1640" w:rsidRPr="007F6F33" w:rsidRDefault="00671AD7" w:rsidP="007F6F33">
      <w:pPr>
        <w:pStyle w:val="List2"/>
        <w:numPr>
          <w:ilvl w:val="1"/>
          <w:numId w:val="1"/>
        </w:numPr>
        <w:tabs>
          <w:tab w:val="clear" w:pos="454"/>
        </w:tabs>
        <w:ind w:left="567" w:hanging="567"/>
        <w:rPr>
          <w:rFonts w:ascii="Arial" w:hAnsi="Arial" w:cs="Arial"/>
          <w:b/>
        </w:rPr>
      </w:pPr>
      <w:r w:rsidRPr="007F6F33">
        <w:rPr>
          <w:rFonts w:ascii="Arial" w:hAnsi="Arial" w:cs="Arial"/>
          <w:sz w:val="22"/>
          <w:szCs w:val="22"/>
        </w:rPr>
        <w:t xml:space="preserve">Approval of a dealing under s 493 </w:t>
      </w:r>
      <w:r w:rsidR="008C4302" w:rsidRPr="007F6F33">
        <w:rPr>
          <w:rFonts w:ascii="Arial" w:hAnsi="Arial" w:cs="Arial"/>
          <w:sz w:val="22"/>
          <w:szCs w:val="22"/>
        </w:rPr>
        <w:t>does not guarantee the approval of an application for transfer of the title/s, under s 478</w:t>
      </w:r>
      <w:r w:rsidR="00A308C5">
        <w:rPr>
          <w:rFonts w:ascii="Arial" w:hAnsi="Arial" w:cs="Arial"/>
          <w:sz w:val="22"/>
          <w:szCs w:val="22"/>
        </w:rPr>
        <w:t>(2)(a)</w:t>
      </w:r>
      <w:r w:rsidR="008C4302" w:rsidRPr="007F6F33">
        <w:rPr>
          <w:rFonts w:ascii="Arial" w:hAnsi="Arial" w:cs="Arial"/>
          <w:sz w:val="22"/>
          <w:szCs w:val="22"/>
        </w:rPr>
        <w:t xml:space="preserve">, or any other applications under the </w:t>
      </w:r>
      <w:r w:rsidR="004B7D45">
        <w:rPr>
          <w:rFonts w:ascii="Arial" w:hAnsi="Arial" w:cs="Arial"/>
          <w:sz w:val="22"/>
          <w:szCs w:val="22"/>
        </w:rPr>
        <w:t>OPGGSA</w:t>
      </w:r>
      <w:r w:rsidR="008C4302" w:rsidRPr="007F6F33">
        <w:rPr>
          <w:rFonts w:ascii="Arial" w:hAnsi="Arial" w:cs="Arial"/>
          <w:sz w:val="22"/>
          <w:szCs w:val="22"/>
        </w:rPr>
        <w:t xml:space="preserve"> that are referred to in the dealing. Any future applications will be considered on their merits against the legislative criteria</w:t>
      </w:r>
      <w:r w:rsidR="00593E2C">
        <w:rPr>
          <w:rFonts w:ascii="Arial" w:hAnsi="Arial" w:cs="Arial"/>
          <w:sz w:val="22"/>
          <w:szCs w:val="22"/>
        </w:rPr>
        <w:t xml:space="preserve"> and published guidance material</w:t>
      </w:r>
      <w:r w:rsidR="008C4302" w:rsidRPr="007F6F33">
        <w:rPr>
          <w:rFonts w:ascii="Arial" w:hAnsi="Arial" w:cs="Arial"/>
          <w:sz w:val="22"/>
          <w:szCs w:val="22"/>
        </w:rPr>
        <w:t>.</w:t>
      </w:r>
    </w:p>
    <w:p w14:paraId="2DB38CB0" w14:textId="00D63A99" w:rsidR="00671AD7" w:rsidRPr="008C4302" w:rsidRDefault="009D7572" w:rsidP="00671AD7">
      <w:pPr>
        <w:pStyle w:val="Heading1"/>
        <w:ind w:hanging="454"/>
        <w:rPr>
          <w:rFonts w:ascii="Arial" w:hAnsi="Arial" w:cs="Arial"/>
        </w:rPr>
      </w:pPr>
      <w:bookmarkStart w:id="87" w:name="_Toc511217955"/>
      <w:r>
        <w:rPr>
          <w:rFonts w:ascii="Arial" w:hAnsi="Arial" w:cs="Arial"/>
        </w:rPr>
        <w:t>D</w:t>
      </w:r>
      <w:r w:rsidR="003D55D2" w:rsidRPr="00A53D82">
        <w:rPr>
          <w:rFonts w:ascii="Arial" w:hAnsi="Arial" w:cs="Arial"/>
        </w:rPr>
        <w:t>ealing</w:t>
      </w:r>
      <w:r w:rsidR="00CF29FF">
        <w:rPr>
          <w:rFonts w:ascii="Arial" w:hAnsi="Arial" w:cs="Arial"/>
        </w:rPr>
        <w:t xml:space="preserve">s </w:t>
      </w:r>
      <w:r w:rsidR="003D55D2" w:rsidRPr="00A53D82">
        <w:rPr>
          <w:rFonts w:ascii="Arial" w:hAnsi="Arial" w:cs="Arial"/>
        </w:rPr>
        <w:t xml:space="preserve">affecting </w:t>
      </w:r>
      <w:r w:rsidR="00642F8B">
        <w:rPr>
          <w:rFonts w:ascii="Arial" w:hAnsi="Arial" w:cs="Arial"/>
        </w:rPr>
        <w:t xml:space="preserve">a </w:t>
      </w:r>
      <w:r w:rsidR="003D55D2" w:rsidRPr="00A53D82">
        <w:rPr>
          <w:rFonts w:ascii="Arial" w:hAnsi="Arial" w:cs="Arial"/>
        </w:rPr>
        <w:t>future title</w:t>
      </w:r>
      <w:bookmarkEnd w:id="87"/>
      <w:r w:rsidR="00671AD7" w:rsidRPr="008C4302">
        <w:rPr>
          <w:rFonts w:ascii="Arial" w:hAnsi="Arial" w:cs="Arial"/>
        </w:rPr>
        <w:t xml:space="preserve"> </w:t>
      </w:r>
    </w:p>
    <w:p w14:paraId="60609B5E" w14:textId="6F0542FA" w:rsidR="0029124B" w:rsidRPr="00CF5CE7" w:rsidRDefault="00671AD7" w:rsidP="00671AD7">
      <w:pPr>
        <w:pStyle w:val="List2"/>
        <w:keepNext/>
        <w:numPr>
          <w:ilvl w:val="1"/>
          <w:numId w:val="1"/>
        </w:numPr>
        <w:tabs>
          <w:tab w:val="clear" w:pos="454"/>
        </w:tabs>
        <w:ind w:left="567" w:hanging="567"/>
        <w:rPr>
          <w:rFonts w:ascii="Arial" w:hAnsi="Arial" w:cs="Arial"/>
          <w:sz w:val="22"/>
          <w:szCs w:val="22"/>
        </w:rPr>
      </w:pPr>
      <w:r w:rsidRPr="00CF5CE7">
        <w:rPr>
          <w:rFonts w:ascii="Arial" w:hAnsi="Arial" w:cs="Arial"/>
          <w:sz w:val="22"/>
          <w:szCs w:val="22"/>
        </w:rPr>
        <w:t xml:space="preserve">For dealings </w:t>
      </w:r>
      <w:r w:rsidR="009304C4" w:rsidRPr="00CF5CE7">
        <w:rPr>
          <w:rFonts w:ascii="Arial" w:hAnsi="Arial" w:cs="Arial"/>
          <w:sz w:val="22"/>
          <w:szCs w:val="22"/>
        </w:rPr>
        <w:t xml:space="preserve">relating to a </w:t>
      </w:r>
      <w:r w:rsidR="008B1259" w:rsidRPr="00CF5CE7">
        <w:rPr>
          <w:rFonts w:ascii="Arial" w:hAnsi="Arial" w:cs="Arial"/>
          <w:sz w:val="22"/>
          <w:szCs w:val="22"/>
        </w:rPr>
        <w:t xml:space="preserve">future </w:t>
      </w:r>
      <w:r w:rsidR="009304C4" w:rsidRPr="00CF5CE7">
        <w:rPr>
          <w:rFonts w:ascii="Arial" w:hAnsi="Arial" w:cs="Arial"/>
          <w:sz w:val="22"/>
          <w:szCs w:val="22"/>
        </w:rPr>
        <w:t>title</w:t>
      </w:r>
      <w:r w:rsidR="00F0096C" w:rsidRPr="00CF5CE7">
        <w:rPr>
          <w:rStyle w:val="FootnoteReference"/>
          <w:rFonts w:ascii="Arial" w:hAnsi="Arial" w:cs="Arial"/>
          <w:sz w:val="22"/>
          <w:szCs w:val="22"/>
        </w:rPr>
        <w:footnoteReference w:id="7"/>
      </w:r>
      <w:r w:rsidR="008B1259" w:rsidRPr="00CF5CE7">
        <w:rPr>
          <w:rFonts w:ascii="Arial" w:hAnsi="Arial" w:cs="Arial"/>
          <w:sz w:val="22"/>
          <w:szCs w:val="22"/>
        </w:rPr>
        <w:t xml:space="preserve"> (Part 4.7)</w:t>
      </w:r>
      <w:r w:rsidRPr="00CF5CE7">
        <w:rPr>
          <w:rFonts w:ascii="Arial" w:hAnsi="Arial" w:cs="Arial"/>
          <w:sz w:val="22"/>
          <w:szCs w:val="22"/>
        </w:rPr>
        <w:t xml:space="preserve">, </w:t>
      </w:r>
      <w:r w:rsidR="008B1259" w:rsidRPr="00CF5CE7">
        <w:rPr>
          <w:rFonts w:ascii="Arial" w:hAnsi="Arial" w:cs="Arial"/>
          <w:sz w:val="22"/>
          <w:szCs w:val="22"/>
        </w:rPr>
        <w:t xml:space="preserve">applicants </w:t>
      </w:r>
      <w:r w:rsidRPr="00CF5CE7">
        <w:rPr>
          <w:rFonts w:ascii="Arial" w:hAnsi="Arial" w:cs="Arial"/>
          <w:sz w:val="22"/>
          <w:szCs w:val="22"/>
        </w:rPr>
        <w:t>may either make</w:t>
      </w:r>
      <w:r w:rsidR="0029124B" w:rsidRPr="00CF5CE7">
        <w:rPr>
          <w:rFonts w:ascii="Arial" w:hAnsi="Arial" w:cs="Arial"/>
          <w:sz w:val="22"/>
          <w:szCs w:val="22"/>
        </w:rPr>
        <w:t>:</w:t>
      </w:r>
      <w:r w:rsidRPr="00CF5CE7">
        <w:rPr>
          <w:rFonts w:ascii="Arial" w:hAnsi="Arial" w:cs="Arial"/>
          <w:sz w:val="22"/>
          <w:szCs w:val="22"/>
        </w:rPr>
        <w:t xml:space="preserve"> </w:t>
      </w:r>
    </w:p>
    <w:p w14:paraId="177BF90D" w14:textId="773ACDB6" w:rsidR="0029124B" w:rsidRPr="00CF5CE7" w:rsidRDefault="009117FC" w:rsidP="00D35A1C">
      <w:pPr>
        <w:pStyle w:val="List2"/>
        <w:numPr>
          <w:ilvl w:val="2"/>
          <w:numId w:val="1"/>
        </w:numPr>
        <w:ind w:left="1418" w:hanging="851"/>
        <w:rPr>
          <w:rFonts w:ascii="Arial" w:hAnsi="Arial" w:cs="Arial"/>
          <w:sz w:val="22"/>
          <w:szCs w:val="22"/>
        </w:rPr>
      </w:pPr>
      <w:r>
        <w:rPr>
          <w:rFonts w:ascii="Arial" w:hAnsi="Arial" w:cs="Arial"/>
          <w:sz w:val="22"/>
          <w:szCs w:val="22"/>
        </w:rPr>
        <w:t xml:space="preserve">a </w:t>
      </w:r>
      <w:r w:rsidR="00671AD7" w:rsidRPr="00CF5CE7">
        <w:rPr>
          <w:rFonts w:ascii="Arial" w:hAnsi="Arial" w:cs="Arial"/>
          <w:sz w:val="22"/>
          <w:szCs w:val="22"/>
        </w:rPr>
        <w:t xml:space="preserve">provisional application for approval of a dealing </w:t>
      </w:r>
      <w:r w:rsidR="0029124B" w:rsidRPr="00CF5CE7">
        <w:rPr>
          <w:rFonts w:ascii="Arial" w:hAnsi="Arial" w:cs="Arial"/>
          <w:sz w:val="22"/>
          <w:szCs w:val="22"/>
        </w:rPr>
        <w:t>(</w:t>
      </w:r>
      <w:r w:rsidR="00671AD7" w:rsidRPr="00CF5CE7">
        <w:rPr>
          <w:rFonts w:ascii="Arial" w:hAnsi="Arial" w:cs="Arial"/>
          <w:sz w:val="22"/>
          <w:szCs w:val="22"/>
        </w:rPr>
        <w:t>s 498</w:t>
      </w:r>
      <w:r w:rsidR="0029124B" w:rsidRPr="00CF5CE7">
        <w:rPr>
          <w:rFonts w:ascii="Arial" w:hAnsi="Arial" w:cs="Arial"/>
          <w:sz w:val="22"/>
          <w:szCs w:val="22"/>
        </w:rPr>
        <w:t>);</w:t>
      </w:r>
      <w:r w:rsidR="00671AD7" w:rsidRPr="00CF5CE7">
        <w:rPr>
          <w:rFonts w:ascii="Arial" w:hAnsi="Arial" w:cs="Arial"/>
          <w:sz w:val="22"/>
          <w:szCs w:val="22"/>
        </w:rPr>
        <w:t xml:space="preserve"> or </w:t>
      </w:r>
    </w:p>
    <w:p w14:paraId="5C29019F" w14:textId="37E761BD" w:rsidR="00671AD7" w:rsidRPr="00CF5CE7" w:rsidRDefault="00671AD7" w:rsidP="00D35A1C">
      <w:pPr>
        <w:pStyle w:val="List2"/>
        <w:numPr>
          <w:ilvl w:val="2"/>
          <w:numId w:val="1"/>
        </w:numPr>
        <w:ind w:left="1418" w:hanging="851"/>
        <w:rPr>
          <w:rFonts w:ascii="Arial" w:hAnsi="Arial" w:cs="Arial"/>
          <w:sz w:val="22"/>
          <w:szCs w:val="22"/>
        </w:rPr>
      </w:pPr>
      <w:r w:rsidRPr="00CF5CE7">
        <w:rPr>
          <w:rFonts w:ascii="Arial" w:hAnsi="Arial" w:cs="Arial"/>
          <w:sz w:val="22"/>
          <w:szCs w:val="22"/>
        </w:rPr>
        <w:t>an application for approval of the dealing within 90 days (or such longer period as NOPTA allows) from the date the title comes into existence</w:t>
      </w:r>
      <w:r w:rsidR="0029124B" w:rsidRPr="00CF5CE7">
        <w:rPr>
          <w:rFonts w:ascii="Arial" w:hAnsi="Arial" w:cs="Arial"/>
          <w:sz w:val="22"/>
          <w:szCs w:val="22"/>
        </w:rPr>
        <w:t xml:space="preserve"> (</w:t>
      </w:r>
      <w:r w:rsidRPr="00CF5CE7">
        <w:rPr>
          <w:rFonts w:ascii="Arial" w:hAnsi="Arial" w:cs="Arial"/>
          <w:sz w:val="22"/>
          <w:szCs w:val="22"/>
        </w:rPr>
        <w:t>s 503</w:t>
      </w:r>
      <w:r w:rsidR="0029124B" w:rsidRPr="00CF5CE7">
        <w:rPr>
          <w:rFonts w:ascii="Arial" w:hAnsi="Arial" w:cs="Arial"/>
          <w:sz w:val="22"/>
          <w:szCs w:val="22"/>
        </w:rPr>
        <w:t>)</w:t>
      </w:r>
      <w:r w:rsidRPr="00CF5CE7">
        <w:rPr>
          <w:rFonts w:ascii="Arial" w:hAnsi="Arial" w:cs="Arial"/>
          <w:sz w:val="22"/>
          <w:szCs w:val="22"/>
        </w:rPr>
        <w:t xml:space="preserve">. </w:t>
      </w:r>
    </w:p>
    <w:p w14:paraId="2C3007C1" w14:textId="0CC9DB53" w:rsidR="00671AD7" w:rsidRPr="00CF5CE7" w:rsidRDefault="00671AD7" w:rsidP="00671AD7">
      <w:pPr>
        <w:pStyle w:val="List2"/>
        <w:numPr>
          <w:ilvl w:val="1"/>
          <w:numId w:val="1"/>
        </w:numPr>
        <w:tabs>
          <w:tab w:val="clear" w:pos="454"/>
        </w:tabs>
        <w:ind w:left="567" w:hanging="567"/>
        <w:rPr>
          <w:rFonts w:ascii="Arial" w:hAnsi="Arial" w:cs="Arial"/>
          <w:sz w:val="22"/>
          <w:szCs w:val="22"/>
        </w:rPr>
      </w:pPr>
      <w:r w:rsidRPr="00CF5CE7">
        <w:rPr>
          <w:rFonts w:ascii="Arial" w:hAnsi="Arial" w:cs="Arial"/>
          <w:sz w:val="22"/>
          <w:szCs w:val="22"/>
        </w:rPr>
        <w:t xml:space="preserve">An application for approval of a dealing </w:t>
      </w:r>
      <w:r w:rsidR="006F2EB3" w:rsidRPr="00CF5CE7">
        <w:rPr>
          <w:rFonts w:ascii="Arial" w:hAnsi="Arial" w:cs="Arial"/>
          <w:sz w:val="22"/>
          <w:szCs w:val="22"/>
        </w:rPr>
        <w:t xml:space="preserve">for </w:t>
      </w:r>
      <w:r w:rsidRPr="00CF5CE7">
        <w:rPr>
          <w:rFonts w:ascii="Arial" w:hAnsi="Arial" w:cs="Arial"/>
          <w:sz w:val="22"/>
          <w:szCs w:val="22"/>
        </w:rPr>
        <w:t xml:space="preserve">a </w:t>
      </w:r>
      <w:r w:rsidR="008B1259" w:rsidRPr="00CF5CE7">
        <w:rPr>
          <w:rFonts w:ascii="Arial" w:hAnsi="Arial" w:cs="Arial"/>
          <w:sz w:val="22"/>
          <w:szCs w:val="22"/>
        </w:rPr>
        <w:t xml:space="preserve">future </w:t>
      </w:r>
      <w:r w:rsidRPr="00CF5CE7">
        <w:rPr>
          <w:rFonts w:ascii="Arial" w:hAnsi="Arial" w:cs="Arial"/>
          <w:sz w:val="22"/>
          <w:szCs w:val="22"/>
        </w:rPr>
        <w:t xml:space="preserve">title is a </w:t>
      </w:r>
      <w:r w:rsidR="008B1259" w:rsidRPr="00CF5CE7">
        <w:rPr>
          <w:rFonts w:ascii="Arial" w:hAnsi="Arial" w:cs="Arial"/>
          <w:sz w:val="22"/>
          <w:szCs w:val="22"/>
        </w:rPr>
        <w:t>‘</w:t>
      </w:r>
      <w:r w:rsidRPr="00CF5CE7">
        <w:rPr>
          <w:rFonts w:ascii="Arial" w:hAnsi="Arial" w:cs="Arial"/>
          <w:sz w:val="22"/>
          <w:szCs w:val="22"/>
        </w:rPr>
        <w:t>provisional application</w:t>
      </w:r>
      <w:r w:rsidR="008B1259" w:rsidRPr="00CF5CE7">
        <w:rPr>
          <w:rFonts w:ascii="Arial" w:hAnsi="Arial" w:cs="Arial"/>
          <w:sz w:val="22"/>
          <w:szCs w:val="22"/>
        </w:rPr>
        <w:t>’</w:t>
      </w:r>
      <w:r w:rsidRPr="00CF5CE7">
        <w:rPr>
          <w:rFonts w:ascii="Arial" w:hAnsi="Arial" w:cs="Arial"/>
          <w:sz w:val="22"/>
          <w:szCs w:val="22"/>
        </w:rPr>
        <w:t>, as approval is provisional on grant of the title. Such</w:t>
      </w:r>
      <w:r w:rsidR="008B1259" w:rsidRPr="00CF5CE7">
        <w:rPr>
          <w:rFonts w:ascii="Arial" w:hAnsi="Arial" w:cs="Arial"/>
          <w:sz w:val="22"/>
          <w:szCs w:val="22"/>
        </w:rPr>
        <w:t xml:space="preserve"> an</w:t>
      </w:r>
      <w:r w:rsidRPr="00CF5CE7">
        <w:rPr>
          <w:rFonts w:ascii="Arial" w:hAnsi="Arial" w:cs="Arial"/>
          <w:sz w:val="22"/>
          <w:szCs w:val="22"/>
        </w:rPr>
        <w:t xml:space="preserve"> application may be made by any of the parties to the dealing </w:t>
      </w:r>
      <w:r w:rsidR="008B1259" w:rsidRPr="00CF5CE7">
        <w:rPr>
          <w:rFonts w:ascii="Arial" w:hAnsi="Arial" w:cs="Arial"/>
          <w:sz w:val="22"/>
          <w:szCs w:val="22"/>
        </w:rPr>
        <w:t>(</w:t>
      </w:r>
      <w:r w:rsidRPr="00CF5CE7">
        <w:rPr>
          <w:rFonts w:ascii="Arial" w:hAnsi="Arial" w:cs="Arial"/>
          <w:sz w:val="22"/>
          <w:szCs w:val="22"/>
        </w:rPr>
        <w:t>s 498(1) an</w:t>
      </w:r>
      <w:r w:rsidR="00CF5CE7">
        <w:rPr>
          <w:rFonts w:ascii="Arial" w:hAnsi="Arial" w:cs="Arial"/>
          <w:sz w:val="22"/>
          <w:szCs w:val="22"/>
        </w:rPr>
        <w:t xml:space="preserve">d </w:t>
      </w:r>
      <w:r w:rsidRPr="00CF5CE7">
        <w:rPr>
          <w:rFonts w:ascii="Arial" w:hAnsi="Arial" w:cs="Arial"/>
          <w:sz w:val="22"/>
          <w:szCs w:val="22"/>
        </w:rPr>
        <w:t>(2)</w:t>
      </w:r>
      <w:r w:rsidR="008B1259" w:rsidRPr="00CF5CE7">
        <w:rPr>
          <w:rFonts w:ascii="Arial" w:hAnsi="Arial" w:cs="Arial"/>
          <w:sz w:val="22"/>
          <w:szCs w:val="22"/>
        </w:rPr>
        <w:t>)</w:t>
      </w:r>
      <w:r w:rsidRPr="00CF5CE7">
        <w:rPr>
          <w:rFonts w:ascii="Arial" w:hAnsi="Arial" w:cs="Arial"/>
          <w:sz w:val="22"/>
          <w:szCs w:val="22"/>
        </w:rPr>
        <w:t xml:space="preserve">.  </w:t>
      </w:r>
    </w:p>
    <w:p w14:paraId="49A64C88" w14:textId="595A2B5B" w:rsidR="00671AD7" w:rsidRPr="00CF5CE7" w:rsidRDefault="00671AD7" w:rsidP="00671AD7">
      <w:pPr>
        <w:pStyle w:val="List2"/>
        <w:numPr>
          <w:ilvl w:val="1"/>
          <w:numId w:val="1"/>
        </w:numPr>
        <w:tabs>
          <w:tab w:val="clear" w:pos="454"/>
        </w:tabs>
        <w:ind w:left="567" w:hanging="567"/>
        <w:rPr>
          <w:rFonts w:ascii="Arial" w:hAnsi="Arial" w:cs="Arial"/>
          <w:sz w:val="22"/>
          <w:szCs w:val="22"/>
        </w:rPr>
      </w:pPr>
      <w:r w:rsidRPr="00CF5CE7">
        <w:rPr>
          <w:rFonts w:ascii="Arial" w:hAnsi="Arial" w:cs="Arial"/>
          <w:sz w:val="22"/>
          <w:szCs w:val="22"/>
        </w:rPr>
        <w:t>A separate provisional application for approval of the dealing is required in respect of each future title affected by the dealing</w:t>
      </w:r>
      <w:r w:rsidR="00B53E67" w:rsidRPr="00CF5CE7">
        <w:rPr>
          <w:rFonts w:ascii="Arial" w:hAnsi="Arial" w:cs="Arial"/>
          <w:sz w:val="22"/>
          <w:szCs w:val="22"/>
        </w:rPr>
        <w:t xml:space="preserve"> (</w:t>
      </w:r>
      <w:r w:rsidRPr="00CF5CE7">
        <w:rPr>
          <w:rFonts w:ascii="Arial" w:hAnsi="Arial" w:cs="Arial"/>
          <w:sz w:val="22"/>
          <w:szCs w:val="22"/>
        </w:rPr>
        <w:t>s 498(3)</w:t>
      </w:r>
      <w:r w:rsidR="00B53E67" w:rsidRPr="00CF5CE7">
        <w:rPr>
          <w:rFonts w:ascii="Arial" w:hAnsi="Arial" w:cs="Arial"/>
          <w:sz w:val="22"/>
          <w:szCs w:val="22"/>
        </w:rPr>
        <w:t>)</w:t>
      </w:r>
      <w:r w:rsidRPr="00CF5CE7">
        <w:rPr>
          <w:rFonts w:ascii="Arial" w:hAnsi="Arial" w:cs="Arial"/>
          <w:sz w:val="22"/>
          <w:szCs w:val="22"/>
        </w:rPr>
        <w:t>.</w:t>
      </w:r>
    </w:p>
    <w:p w14:paraId="0BD2D9F2" w14:textId="32C31E76" w:rsidR="00671AD7" w:rsidRPr="00CF5CE7" w:rsidRDefault="00671AD7" w:rsidP="00671AD7">
      <w:pPr>
        <w:pStyle w:val="List2"/>
        <w:numPr>
          <w:ilvl w:val="1"/>
          <w:numId w:val="1"/>
        </w:numPr>
        <w:tabs>
          <w:tab w:val="clear" w:pos="454"/>
        </w:tabs>
        <w:ind w:left="567" w:hanging="567"/>
        <w:rPr>
          <w:rFonts w:ascii="Arial" w:hAnsi="Arial" w:cs="Arial"/>
          <w:sz w:val="22"/>
          <w:szCs w:val="22"/>
        </w:rPr>
      </w:pPr>
      <w:r w:rsidRPr="00CF5CE7">
        <w:rPr>
          <w:rFonts w:ascii="Arial" w:hAnsi="Arial" w:cs="Arial"/>
          <w:sz w:val="22"/>
          <w:szCs w:val="22"/>
        </w:rPr>
        <w:t xml:space="preserve">NOPTA requires the same documents as are required for approval </w:t>
      </w:r>
      <w:r w:rsidR="00F77EDA" w:rsidRPr="00CF5CE7">
        <w:rPr>
          <w:rFonts w:ascii="Arial" w:hAnsi="Arial" w:cs="Arial"/>
          <w:sz w:val="22"/>
          <w:szCs w:val="22"/>
        </w:rPr>
        <w:t xml:space="preserve">of </w:t>
      </w:r>
      <w:r w:rsidRPr="00CF5CE7">
        <w:rPr>
          <w:rFonts w:ascii="Arial" w:hAnsi="Arial" w:cs="Arial"/>
          <w:sz w:val="22"/>
          <w:szCs w:val="22"/>
        </w:rPr>
        <w:t>a dealing, described at</w:t>
      </w:r>
      <w:r w:rsidR="00C440F5" w:rsidRPr="00CF5CE7">
        <w:rPr>
          <w:rFonts w:ascii="Arial" w:hAnsi="Arial" w:cs="Arial"/>
          <w:sz w:val="22"/>
          <w:szCs w:val="22"/>
        </w:rPr>
        <w:t xml:space="preserve"> item</w:t>
      </w:r>
      <w:r w:rsidRPr="00CF5CE7">
        <w:rPr>
          <w:rFonts w:ascii="Arial" w:hAnsi="Arial" w:cs="Arial"/>
          <w:sz w:val="22"/>
          <w:szCs w:val="22"/>
        </w:rPr>
        <w:t xml:space="preserve"> 6</w:t>
      </w:r>
      <w:r w:rsidR="008F25FA" w:rsidRPr="00CF5CE7">
        <w:rPr>
          <w:rFonts w:ascii="Arial" w:hAnsi="Arial" w:cs="Arial"/>
          <w:sz w:val="22"/>
          <w:szCs w:val="22"/>
        </w:rPr>
        <w:t>.</w:t>
      </w:r>
      <w:r w:rsidR="00593E2C" w:rsidRPr="00CF5CE7">
        <w:rPr>
          <w:rFonts w:ascii="Arial" w:hAnsi="Arial" w:cs="Arial"/>
          <w:sz w:val="22"/>
          <w:szCs w:val="22"/>
        </w:rPr>
        <w:t>5</w:t>
      </w:r>
      <w:r w:rsidRPr="00CF5CE7">
        <w:rPr>
          <w:rFonts w:ascii="Arial" w:hAnsi="Arial" w:cs="Arial"/>
          <w:sz w:val="22"/>
          <w:szCs w:val="22"/>
        </w:rPr>
        <w:t>, to be provided for a provisional application</w:t>
      </w:r>
      <w:r w:rsidR="00B53E67" w:rsidRPr="00CF5CE7">
        <w:rPr>
          <w:rFonts w:ascii="Arial" w:hAnsi="Arial" w:cs="Arial"/>
          <w:sz w:val="22"/>
          <w:szCs w:val="22"/>
        </w:rPr>
        <w:t xml:space="preserve"> (</w:t>
      </w:r>
      <w:r w:rsidRPr="00CF5CE7">
        <w:rPr>
          <w:rFonts w:ascii="Arial" w:hAnsi="Arial" w:cs="Arial"/>
          <w:sz w:val="22"/>
          <w:szCs w:val="22"/>
        </w:rPr>
        <w:t>s 499</w:t>
      </w:r>
      <w:r w:rsidR="00B53E67" w:rsidRPr="00CF5CE7">
        <w:rPr>
          <w:rFonts w:ascii="Arial" w:hAnsi="Arial" w:cs="Arial"/>
          <w:sz w:val="22"/>
          <w:szCs w:val="22"/>
        </w:rPr>
        <w:t>)</w:t>
      </w:r>
      <w:r w:rsidRPr="00CF5CE7">
        <w:rPr>
          <w:rFonts w:ascii="Arial" w:hAnsi="Arial" w:cs="Arial"/>
          <w:sz w:val="22"/>
          <w:szCs w:val="22"/>
        </w:rPr>
        <w:t>.</w:t>
      </w:r>
    </w:p>
    <w:p w14:paraId="32FFD8E7" w14:textId="30D04FC7" w:rsidR="00671AD7" w:rsidRPr="00CF5CE7" w:rsidRDefault="00671AD7" w:rsidP="00671AD7">
      <w:pPr>
        <w:pStyle w:val="List2"/>
        <w:numPr>
          <w:ilvl w:val="1"/>
          <w:numId w:val="1"/>
        </w:numPr>
        <w:tabs>
          <w:tab w:val="clear" w:pos="454"/>
        </w:tabs>
        <w:ind w:left="567" w:hanging="567"/>
        <w:rPr>
          <w:rFonts w:ascii="Arial" w:hAnsi="Arial" w:cs="Arial"/>
          <w:sz w:val="22"/>
          <w:szCs w:val="22"/>
        </w:rPr>
      </w:pPr>
      <w:r w:rsidRPr="00CF5CE7">
        <w:rPr>
          <w:rFonts w:ascii="Arial" w:hAnsi="Arial" w:cs="Arial"/>
          <w:sz w:val="22"/>
          <w:szCs w:val="22"/>
        </w:rPr>
        <w:t>Provisional applications for approval of a dealing</w:t>
      </w:r>
      <w:r w:rsidR="00B53E67" w:rsidRPr="00CF5CE7">
        <w:rPr>
          <w:rFonts w:ascii="Arial" w:hAnsi="Arial" w:cs="Arial"/>
          <w:sz w:val="22"/>
          <w:szCs w:val="22"/>
        </w:rPr>
        <w:t>,</w:t>
      </w:r>
      <w:r w:rsidRPr="00CF5CE7">
        <w:rPr>
          <w:rFonts w:ascii="Arial" w:hAnsi="Arial" w:cs="Arial"/>
          <w:sz w:val="22"/>
          <w:szCs w:val="22"/>
        </w:rPr>
        <w:t xml:space="preserve"> lodged </w:t>
      </w:r>
      <w:r w:rsidR="00592079" w:rsidRPr="00CF5CE7">
        <w:rPr>
          <w:rFonts w:ascii="Arial" w:hAnsi="Arial" w:cs="Arial"/>
          <w:sz w:val="22"/>
          <w:szCs w:val="22"/>
        </w:rPr>
        <w:t>before</w:t>
      </w:r>
      <w:r w:rsidRPr="00CF5CE7">
        <w:rPr>
          <w:rFonts w:ascii="Arial" w:hAnsi="Arial" w:cs="Arial"/>
          <w:sz w:val="22"/>
          <w:szCs w:val="22"/>
        </w:rPr>
        <w:t xml:space="preserve"> grant of a title</w:t>
      </w:r>
      <w:r w:rsidR="00B53E67" w:rsidRPr="00CF5CE7">
        <w:rPr>
          <w:rFonts w:ascii="Arial" w:hAnsi="Arial" w:cs="Arial"/>
          <w:sz w:val="22"/>
          <w:szCs w:val="22"/>
        </w:rPr>
        <w:t>,</w:t>
      </w:r>
      <w:r w:rsidRPr="00CF5CE7">
        <w:rPr>
          <w:rFonts w:ascii="Arial" w:hAnsi="Arial" w:cs="Arial"/>
          <w:sz w:val="22"/>
          <w:szCs w:val="22"/>
        </w:rPr>
        <w:t xml:space="preserve"> will be dealt with following the grant of the title</w:t>
      </w:r>
      <w:r w:rsidR="00B53E67" w:rsidRPr="00CF5CE7">
        <w:rPr>
          <w:rFonts w:ascii="Arial" w:hAnsi="Arial" w:cs="Arial"/>
          <w:sz w:val="22"/>
          <w:szCs w:val="22"/>
        </w:rPr>
        <w:t xml:space="preserve"> (</w:t>
      </w:r>
      <w:r w:rsidRPr="00CF5CE7">
        <w:rPr>
          <w:rFonts w:ascii="Arial" w:hAnsi="Arial" w:cs="Arial"/>
          <w:sz w:val="22"/>
          <w:szCs w:val="22"/>
        </w:rPr>
        <w:t>s 502</w:t>
      </w:r>
      <w:r w:rsidR="00B53E67" w:rsidRPr="00CF5CE7">
        <w:rPr>
          <w:rFonts w:ascii="Arial" w:hAnsi="Arial" w:cs="Arial"/>
          <w:sz w:val="22"/>
          <w:szCs w:val="22"/>
        </w:rPr>
        <w:t>)</w:t>
      </w:r>
      <w:r w:rsidRPr="00CF5CE7">
        <w:rPr>
          <w:rFonts w:ascii="Arial" w:hAnsi="Arial" w:cs="Arial"/>
          <w:sz w:val="22"/>
          <w:szCs w:val="22"/>
        </w:rPr>
        <w:t>.</w:t>
      </w:r>
    </w:p>
    <w:p w14:paraId="1C30F468" w14:textId="429D5F4F" w:rsidR="00671AD7" w:rsidRPr="00CF5CE7" w:rsidRDefault="00671AD7" w:rsidP="00671AD7">
      <w:pPr>
        <w:pStyle w:val="List2"/>
        <w:numPr>
          <w:ilvl w:val="1"/>
          <w:numId w:val="1"/>
        </w:numPr>
        <w:tabs>
          <w:tab w:val="clear" w:pos="454"/>
        </w:tabs>
        <w:ind w:left="567" w:hanging="567"/>
        <w:rPr>
          <w:rFonts w:ascii="Arial" w:hAnsi="Arial" w:cs="Arial"/>
          <w:sz w:val="22"/>
          <w:szCs w:val="22"/>
        </w:rPr>
      </w:pPr>
      <w:r w:rsidRPr="00CF5CE7">
        <w:rPr>
          <w:rFonts w:ascii="Arial" w:hAnsi="Arial" w:cs="Arial"/>
          <w:sz w:val="22"/>
          <w:szCs w:val="22"/>
        </w:rPr>
        <w:t xml:space="preserve">Provisional applications for approval of a dealing </w:t>
      </w:r>
      <w:r w:rsidR="006F2EB3" w:rsidRPr="00CF5CE7">
        <w:rPr>
          <w:rFonts w:ascii="Arial" w:hAnsi="Arial" w:cs="Arial"/>
          <w:sz w:val="22"/>
          <w:szCs w:val="22"/>
        </w:rPr>
        <w:t>for</w:t>
      </w:r>
      <w:r w:rsidR="00CF5CE7">
        <w:rPr>
          <w:rFonts w:ascii="Arial" w:hAnsi="Arial" w:cs="Arial"/>
          <w:sz w:val="22"/>
          <w:szCs w:val="22"/>
        </w:rPr>
        <w:t xml:space="preserve"> </w:t>
      </w:r>
      <w:r w:rsidRPr="00CF5CE7">
        <w:rPr>
          <w:rFonts w:ascii="Arial" w:hAnsi="Arial" w:cs="Arial"/>
          <w:sz w:val="22"/>
          <w:szCs w:val="22"/>
        </w:rPr>
        <w:t xml:space="preserve">an exploration permit, retention lease, production licence, infrastructure licence or pipeline licence </w:t>
      </w:r>
      <w:r w:rsidR="00F77EDA" w:rsidRPr="00CF5CE7">
        <w:rPr>
          <w:rFonts w:ascii="Arial" w:hAnsi="Arial" w:cs="Arial"/>
          <w:sz w:val="22"/>
          <w:szCs w:val="22"/>
        </w:rPr>
        <w:t xml:space="preserve">that may come into existence </w:t>
      </w:r>
      <w:r w:rsidR="00B265EC" w:rsidRPr="00CF5CE7">
        <w:rPr>
          <w:rFonts w:ascii="Arial" w:hAnsi="Arial" w:cs="Arial"/>
          <w:sz w:val="22"/>
          <w:szCs w:val="22"/>
        </w:rPr>
        <w:t>must</w:t>
      </w:r>
      <w:r w:rsidRPr="00CF5CE7">
        <w:rPr>
          <w:rFonts w:ascii="Arial" w:hAnsi="Arial" w:cs="Arial"/>
          <w:sz w:val="22"/>
          <w:szCs w:val="22"/>
        </w:rPr>
        <w:t xml:space="preserve"> be lodged </w:t>
      </w:r>
      <w:r w:rsidR="00B265EC" w:rsidRPr="00CF5CE7">
        <w:rPr>
          <w:rFonts w:ascii="Arial" w:hAnsi="Arial" w:cs="Arial"/>
          <w:sz w:val="22"/>
          <w:szCs w:val="22"/>
        </w:rPr>
        <w:t>between</w:t>
      </w:r>
      <w:r w:rsidRPr="00CF5CE7">
        <w:rPr>
          <w:rFonts w:ascii="Arial" w:hAnsi="Arial" w:cs="Arial"/>
          <w:sz w:val="22"/>
          <w:szCs w:val="22"/>
        </w:rPr>
        <w:t xml:space="preserve"> the day on which an offer document is given to the applicant for the title</w:t>
      </w:r>
      <w:r w:rsidR="00F77EDA" w:rsidRPr="00CF5CE7">
        <w:rPr>
          <w:rFonts w:ascii="Arial" w:hAnsi="Arial" w:cs="Arial"/>
          <w:sz w:val="22"/>
          <w:szCs w:val="22"/>
        </w:rPr>
        <w:t>,</w:t>
      </w:r>
      <w:r w:rsidR="00B265EC" w:rsidRPr="00CF5CE7">
        <w:rPr>
          <w:rFonts w:ascii="Arial" w:hAnsi="Arial" w:cs="Arial"/>
          <w:sz w:val="22"/>
          <w:szCs w:val="22"/>
        </w:rPr>
        <w:t xml:space="preserve"> and</w:t>
      </w:r>
      <w:r w:rsidRPr="00CF5CE7">
        <w:rPr>
          <w:rFonts w:ascii="Arial" w:hAnsi="Arial" w:cs="Arial"/>
          <w:sz w:val="22"/>
          <w:szCs w:val="22"/>
        </w:rPr>
        <w:t xml:space="preserve"> </w:t>
      </w:r>
      <w:r w:rsidR="00B265EC" w:rsidRPr="00CF5CE7">
        <w:rPr>
          <w:rFonts w:ascii="Arial" w:hAnsi="Arial" w:cs="Arial"/>
          <w:sz w:val="22"/>
          <w:szCs w:val="22"/>
        </w:rPr>
        <w:t xml:space="preserve">the day </w:t>
      </w:r>
      <w:r w:rsidR="00F77EDA" w:rsidRPr="00CF5CE7">
        <w:rPr>
          <w:rFonts w:ascii="Arial" w:hAnsi="Arial" w:cs="Arial"/>
          <w:sz w:val="22"/>
          <w:szCs w:val="22"/>
        </w:rPr>
        <w:t>the</w:t>
      </w:r>
      <w:r w:rsidRPr="00CF5CE7">
        <w:rPr>
          <w:rFonts w:ascii="Arial" w:hAnsi="Arial" w:cs="Arial"/>
          <w:sz w:val="22"/>
          <w:szCs w:val="22"/>
        </w:rPr>
        <w:t xml:space="preserve"> title </w:t>
      </w:r>
      <w:r w:rsidR="00ED597F">
        <w:rPr>
          <w:rFonts w:ascii="Arial" w:hAnsi="Arial" w:cs="Arial"/>
          <w:sz w:val="22"/>
          <w:szCs w:val="22"/>
        </w:rPr>
        <w:t>comes into existence</w:t>
      </w:r>
      <w:r w:rsidR="00F52920" w:rsidRPr="00CF5CE7">
        <w:rPr>
          <w:rFonts w:ascii="Arial" w:hAnsi="Arial" w:cs="Arial"/>
          <w:sz w:val="22"/>
          <w:szCs w:val="22"/>
        </w:rPr>
        <w:t xml:space="preserve"> (</w:t>
      </w:r>
      <w:r w:rsidRPr="00CF5CE7">
        <w:rPr>
          <w:rFonts w:ascii="Arial" w:hAnsi="Arial" w:cs="Arial"/>
          <w:sz w:val="22"/>
          <w:szCs w:val="22"/>
        </w:rPr>
        <w:t>s 501, Item 1</w:t>
      </w:r>
      <w:r w:rsidR="00F52920" w:rsidRPr="00CF5CE7">
        <w:rPr>
          <w:rFonts w:ascii="Arial" w:hAnsi="Arial" w:cs="Arial"/>
          <w:sz w:val="22"/>
          <w:szCs w:val="22"/>
        </w:rPr>
        <w:t>)</w:t>
      </w:r>
      <w:r w:rsidRPr="00CF5CE7">
        <w:rPr>
          <w:rFonts w:ascii="Arial" w:hAnsi="Arial" w:cs="Arial"/>
          <w:sz w:val="22"/>
          <w:szCs w:val="22"/>
        </w:rPr>
        <w:t xml:space="preserve">. </w:t>
      </w:r>
    </w:p>
    <w:p w14:paraId="1D1CEF22" w14:textId="51A1AF86" w:rsidR="00671AD7" w:rsidRPr="00CF5CE7" w:rsidRDefault="00671AD7" w:rsidP="00671AD7">
      <w:pPr>
        <w:pStyle w:val="List2"/>
        <w:numPr>
          <w:ilvl w:val="1"/>
          <w:numId w:val="1"/>
        </w:numPr>
        <w:tabs>
          <w:tab w:val="clear" w:pos="454"/>
        </w:tabs>
        <w:ind w:left="567" w:hanging="567"/>
        <w:rPr>
          <w:rFonts w:ascii="Arial" w:hAnsi="Arial" w:cs="Arial"/>
          <w:sz w:val="22"/>
          <w:szCs w:val="22"/>
        </w:rPr>
      </w:pPr>
      <w:r w:rsidRPr="00CF5CE7">
        <w:rPr>
          <w:rFonts w:ascii="Arial" w:hAnsi="Arial" w:cs="Arial"/>
          <w:sz w:val="22"/>
          <w:szCs w:val="22"/>
        </w:rPr>
        <w:t xml:space="preserve">Provisional applications for approval of a dealing </w:t>
      </w:r>
      <w:r w:rsidR="006F2EB3" w:rsidRPr="00CF5CE7">
        <w:rPr>
          <w:rFonts w:ascii="Arial" w:hAnsi="Arial" w:cs="Arial"/>
          <w:sz w:val="22"/>
          <w:szCs w:val="22"/>
        </w:rPr>
        <w:t xml:space="preserve">for </w:t>
      </w:r>
      <w:r w:rsidRPr="00CF5CE7">
        <w:rPr>
          <w:rFonts w:ascii="Arial" w:hAnsi="Arial" w:cs="Arial"/>
          <w:sz w:val="22"/>
          <w:szCs w:val="22"/>
        </w:rPr>
        <w:t xml:space="preserve">an access authority </w:t>
      </w:r>
      <w:r w:rsidR="00F77EDA" w:rsidRPr="00CF5CE7">
        <w:rPr>
          <w:rFonts w:ascii="Arial" w:hAnsi="Arial" w:cs="Arial"/>
          <w:sz w:val="22"/>
          <w:szCs w:val="22"/>
        </w:rPr>
        <w:t xml:space="preserve">that may come into existence </w:t>
      </w:r>
      <w:r w:rsidR="00511F99" w:rsidRPr="00CF5CE7">
        <w:rPr>
          <w:rFonts w:ascii="Arial" w:hAnsi="Arial" w:cs="Arial"/>
          <w:sz w:val="22"/>
          <w:szCs w:val="22"/>
        </w:rPr>
        <w:t>must</w:t>
      </w:r>
      <w:r w:rsidR="00F77EDA" w:rsidRPr="00CF5CE7">
        <w:rPr>
          <w:rFonts w:ascii="Arial" w:hAnsi="Arial" w:cs="Arial"/>
          <w:sz w:val="22"/>
          <w:szCs w:val="22"/>
        </w:rPr>
        <w:t xml:space="preserve"> be lodged </w:t>
      </w:r>
      <w:r w:rsidR="00511F99" w:rsidRPr="00CF5CE7">
        <w:rPr>
          <w:rFonts w:ascii="Arial" w:hAnsi="Arial" w:cs="Arial"/>
          <w:sz w:val="22"/>
          <w:szCs w:val="22"/>
        </w:rPr>
        <w:t>between</w:t>
      </w:r>
      <w:r w:rsidRPr="00CF5CE7">
        <w:rPr>
          <w:rFonts w:ascii="Arial" w:hAnsi="Arial" w:cs="Arial"/>
          <w:sz w:val="22"/>
          <w:szCs w:val="22"/>
        </w:rPr>
        <w:t xml:space="preserve"> the day on which the application for the grant of an access authority is made, </w:t>
      </w:r>
      <w:r w:rsidR="00511F99" w:rsidRPr="00CF5CE7">
        <w:rPr>
          <w:rFonts w:ascii="Arial" w:hAnsi="Arial" w:cs="Arial"/>
          <w:sz w:val="22"/>
          <w:szCs w:val="22"/>
        </w:rPr>
        <w:t>and</w:t>
      </w:r>
      <w:r w:rsidR="00310C58">
        <w:rPr>
          <w:rFonts w:ascii="Arial" w:hAnsi="Arial" w:cs="Arial"/>
          <w:sz w:val="22"/>
          <w:szCs w:val="22"/>
        </w:rPr>
        <w:t xml:space="preserve"> the day</w:t>
      </w:r>
      <w:r w:rsidRPr="00CF5CE7">
        <w:rPr>
          <w:rFonts w:ascii="Arial" w:hAnsi="Arial" w:cs="Arial"/>
          <w:sz w:val="22"/>
          <w:szCs w:val="22"/>
        </w:rPr>
        <w:t xml:space="preserve"> the authority </w:t>
      </w:r>
      <w:r w:rsidR="00ED597F">
        <w:rPr>
          <w:rFonts w:ascii="Arial" w:hAnsi="Arial" w:cs="Arial"/>
          <w:sz w:val="22"/>
          <w:szCs w:val="22"/>
        </w:rPr>
        <w:t>comes into existence</w:t>
      </w:r>
      <w:r w:rsidR="00ED597F" w:rsidRPr="00CF5CE7">
        <w:rPr>
          <w:rFonts w:ascii="Arial" w:hAnsi="Arial" w:cs="Arial"/>
          <w:sz w:val="22"/>
          <w:szCs w:val="22"/>
        </w:rPr>
        <w:t xml:space="preserve"> </w:t>
      </w:r>
      <w:r w:rsidR="00F52920" w:rsidRPr="00CF5CE7">
        <w:rPr>
          <w:rFonts w:ascii="Arial" w:hAnsi="Arial" w:cs="Arial"/>
          <w:sz w:val="22"/>
          <w:szCs w:val="22"/>
        </w:rPr>
        <w:t>(</w:t>
      </w:r>
      <w:r w:rsidRPr="00CF5CE7">
        <w:rPr>
          <w:rFonts w:ascii="Arial" w:hAnsi="Arial" w:cs="Arial"/>
          <w:sz w:val="22"/>
          <w:szCs w:val="22"/>
        </w:rPr>
        <w:t>s</w:t>
      </w:r>
      <w:r w:rsidR="00ED597F">
        <w:rPr>
          <w:rFonts w:ascii="Arial" w:hAnsi="Arial" w:cs="Arial"/>
          <w:sz w:val="22"/>
          <w:szCs w:val="22"/>
        </w:rPr>
        <w:t> </w:t>
      </w:r>
      <w:r w:rsidRPr="00CF5CE7">
        <w:rPr>
          <w:rFonts w:ascii="Arial" w:hAnsi="Arial" w:cs="Arial"/>
          <w:sz w:val="22"/>
          <w:szCs w:val="22"/>
        </w:rPr>
        <w:t>501, Item 2</w:t>
      </w:r>
      <w:r w:rsidR="00F52920" w:rsidRPr="00CF5CE7">
        <w:rPr>
          <w:rFonts w:ascii="Arial" w:hAnsi="Arial" w:cs="Arial"/>
          <w:sz w:val="22"/>
          <w:szCs w:val="22"/>
        </w:rPr>
        <w:t>)</w:t>
      </w:r>
      <w:r w:rsidRPr="00CF5CE7">
        <w:rPr>
          <w:rFonts w:ascii="Arial" w:hAnsi="Arial" w:cs="Arial"/>
          <w:sz w:val="22"/>
          <w:szCs w:val="22"/>
        </w:rPr>
        <w:t xml:space="preserve">.  </w:t>
      </w:r>
    </w:p>
    <w:p w14:paraId="135C71C5" w14:textId="348641AF" w:rsidR="00DA200E" w:rsidRPr="00CF5CE7" w:rsidRDefault="00671AD7" w:rsidP="00BA0D7B">
      <w:pPr>
        <w:pStyle w:val="List2"/>
        <w:numPr>
          <w:ilvl w:val="1"/>
          <w:numId w:val="1"/>
        </w:numPr>
        <w:tabs>
          <w:tab w:val="clear" w:pos="454"/>
        </w:tabs>
        <w:spacing w:after="240"/>
        <w:ind w:left="567" w:hanging="567"/>
        <w:rPr>
          <w:rFonts w:ascii="Arial" w:hAnsi="Arial" w:cs="Arial"/>
          <w:b/>
        </w:rPr>
      </w:pPr>
      <w:r w:rsidRPr="00CF5CE7">
        <w:rPr>
          <w:rFonts w:ascii="Arial" w:hAnsi="Arial" w:cs="Arial"/>
          <w:sz w:val="22"/>
          <w:szCs w:val="22"/>
        </w:rPr>
        <w:t>Once a title comes into existence, a provisional application is treated as if it is an application lodged for approval and registration of a dealing under s 488</w:t>
      </w:r>
      <w:r w:rsidR="00F52920" w:rsidRPr="00CF5CE7">
        <w:rPr>
          <w:rFonts w:ascii="Arial" w:hAnsi="Arial" w:cs="Arial"/>
          <w:sz w:val="22"/>
          <w:szCs w:val="22"/>
        </w:rPr>
        <w:t xml:space="preserve"> </w:t>
      </w:r>
      <w:r w:rsidR="00B265EC" w:rsidRPr="00CF5CE7">
        <w:rPr>
          <w:rFonts w:ascii="Arial" w:hAnsi="Arial" w:cs="Arial"/>
          <w:sz w:val="22"/>
          <w:szCs w:val="22"/>
        </w:rPr>
        <w:t>(</w:t>
      </w:r>
      <w:r w:rsidRPr="00CF5CE7">
        <w:rPr>
          <w:rFonts w:ascii="Arial" w:hAnsi="Arial" w:cs="Arial"/>
          <w:sz w:val="22"/>
          <w:szCs w:val="22"/>
        </w:rPr>
        <w:t>s 502</w:t>
      </w:r>
      <w:r w:rsidR="00B265EC" w:rsidRPr="00CF5CE7">
        <w:rPr>
          <w:rFonts w:ascii="Arial" w:hAnsi="Arial" w:cs="Arial"/>
          <w:sz w:val="22"/>
          <w:szCs w:val="22"/>
        </w:rPr>
        <w:t>)</w:t>
      </w:r>
      <w:r w:rsidRPr="00CF5CE7">
        <w:rPr>
          <w:rFonts w:ascii="Arial" w:hAnsi="Arial" w:cs="Arial"/>
          <w:sz w:val="22"/>
          <w:szCs w:val="22"/>
        </w:rPr>
        <w:t>.</w:t>
      </w:r>
    </w:p>
    <w:p w14:paraId="1FD2E6F7" w14:textId="47E9CA2D" w:rsidR="00671AD7" w:rsidRPr="00A53D82" w:rsidRDefault="00671AD7" w:rsidP="00671AD7">
      <w:pPr>
        <w:pStyle w:val="Heading1"/>
        <w:ind w:hanging="454"/>
        <w:rPr>
          <w:rFonts w:ascii="Arial" w:hAnsi="Arial" w:cs="Arial"/>
        </w:rPr>
      </w:pPr>
      <w:bookmarkStart w:id="88" w:name="_Toc511217956"/>
      <w:r w:rsidRPr="00A53D82">
        <w:rPr>
          <w:rFonts w:ascii="Arial" w:hAnsi="Arial" w:cs="Arial"/>
        </w:rPr>
        <w:lastRenderedPageBreak/>
        <w:t>C</w:t>
      </w:r>
      <w:r w:rsidR="003D55D2" w:rsidRPr="00A53D82">
        <w:rPr>
          <w:rFonts w:ascii="Arial" w:hAnsi="Arial" w:cs="Arial"/>
        </w:rPr>
        <w:t>hange of company name applications</w:t>
      </w:r>
      <w:bookmarkEnd w:id="88"/>
    </w:p>
    <w:p w14:paraId="637F2446" w14:textId="62740ECF" w:rsidR="008907EE" w:rsidRPr="002365B4" w:rsidRDefault="00671AD7" w:rsidP="00DA200E">
      <w:pPr>
        <w:pStyle w:val="List2"/>
        <w:numPr>
          <w:ilvl w:val="1"/>
          <w:numId w:val="1"/>
        </w:numPr>
        <w:tabs>
          <w:tab w:val="clear" w:pos="454"/>
        </w:tabs>
        <w:ind w:left="567" w:hanging="567"/>
        <w:rPr>
          <w:rFonts w:ascii="Arial" w:hAnsi="Arial" w:cs="Arial"/>
          <w:sz w:val="22"/>
          <w:szCs w:val="22"/>
        </w:rPr>
      </w:pPr>
      <w:r w:rsidRPr="007F6F33">
        <w:rPr>
          <w:rFonts w:ascii="Arial" w:hAnsi="Arial" w:cs="Arial"/>
          <w:sz w:val="22"/>
          <w:szCs w:val="22"/>
        </w:rPr>
        <w:t xml:space="preserve">If a company is a titleholder and has changed its name, </w:t>
      </w:r>
      <w:r w:rsidR="00731154" w:rsidRPr="007F6F33">
        <w:rPr>
          <w:rFonts w:ascii="Arial" w:hAnsi="Arial" w:cs="Arial"/>
          <w:sz w:val="22"/>
          <w:szCs w:val="22"/>
        </w:rPr>
        <w:t>the</w:t>
      </w:r>
      <w:r w:rsidRPr="007F6F33">
        <w:rPr>
          <w:rFonts w:ascii="Arial" w:hAnsi="Arial" w:cs="Arial"/>
          <w:sz w:val="22"/>
          <w:szCs w:val="22"/>
        </w:rPr>
        <w:t xml:space="preserve"> company may apply to </w:t>
      </w:r>
      <w:r w:rsidR="00731154" w:rsidRPr="007F6F33">
        <w:rPr>
          <w:rFonts w:ascii="Arial" w:hAnsi="Arial" w:cs="Arial"/>
          <w:sz w:val="22"/>
          <w:szCs w:val="22"/>
        </w:rPr>
        <w:t>NOPTA</w:t>
      </w:r>
      <w:r w:rsidRPr="007F6F33">
        <w:rPr>
          <w:rFonts w:ascii="Arial" w:hAnsi="Arial" w:cs="Arial"/>
          <w:sz w:val="22"/>
          <w:szCs w:val="22"/>
        </w:rPr>
        <w:t xml:space="preserve"> to have its new name substituted for its previous name in the relevant register </w:t>
      </w:r>
      <w:r w:rsidR="006F2EB3">
        <w:rPr>
          <w:rFonts w:ascii="Arial" w:hAnsi="Arial" w:cs="Arial"/>
          <w:sz w:val="22"/>
          <w:szCs w:val="22"/>
        </w:rPr>
        <w:t xml:space="preserve">for </w:t>
      </w:r>
      <w:r w:rsidRPr="007F6F33">
        <w:rPr>
          <w:rFonts w:ascii="Arial" w:hAnsi="Arial" w:cs="Arial"/>
          <w:sz w:val="22"/>
          <w:szCs w:val="22"/>
        </w:rPr>
        <w:t>that title</w:t>
      </w:r>
      <w:r w:rsidR="006D3C7C" w:rsidRPr="002365B4">
        <w:rPr>
          <w:rFonts w:ascii="Arial" w:hAnsi="Arial" w:cs="Arial"/>
          <w:sz w:val="22"/>
          <w:szCs w:val="22"/>
        </w:rPr>
        <w:t xml:space="preserve"> (</w:t>
      </w:r>
      <w:r w:rsidRPr="007F6F33">
        <w:rPr>
          <w:rFonts w:ascii="Arial" w:hAnsi="Arial" w:cs="Arial"/>
          <w:sz w:val="22"/>
          <w:szCs w:val="22"/>
        </w:rPr>
        <w:t>s 484</w:t>
      </w:r>
      <w:r w:rsidR="006D3C7C" w:rsidRPr="002365B4">
        <w:rPr>
          <w:rFonts w:ascii="Arial" w:hAnsi="Arial" w:cs="Arial"/>
          <w:sz w:val="22"/>
          <w:szCs w:val="22"/>
        </w:rPr>
        <w:t>)</w:t>
      </w:r>
      <w:r w:rsidRPr="007F6F33">
        <w:rPr>
          <w:rFonts w:ascii="Arial" w:hAnsi="Arial" w:cs="Arial"/>
          <w:sz w:val="22"/>
          <w:szCs w:val="22"/>
        </w:rPr>
        <w:t>.</w:t>
      </w:r>
    </w:p>
    <w:p w14:paraId="2762578C" w14:textId="10DF59A7" w:rsidR="00671AD7" w:rsidRPr="007F6F33" w:rsidRDefault="00671AD7" w:rsidP="00672500">
      <w:pPr>
        <w:pStyle w:val="Heading2"/>
      </w:pPr>
      <w:r w:rsidRPr="007F6F33">
        <w:t>Application</w:t>
      </w:r>
    </w:p>
    <w:p w14:paraId="02C56FB4" w14:textId="1968FD5C" w:rsidR="00671AD7" w:rsidRPr="007F6F33" w:rsidRDefault="00671AD7" w:rsidP="00671AD7">
      <w:pPr>
        <w:pStyle w:val="List2"/>
        <w:numPr>
          <w:ilvl w:val="1"/>
          <w:numId w:val="1"/>
        </w:numPr>
        <w:tabs>
          <w:tab w:val="clear" w:pos="454"/>
        </w:tabs>
        <w:ind w:left="567" w:hanging="567"/>
        <w:rPr>
          <w:rFonts w:ascii="Arial" w:hAnsi="Arial" w:cs="Arial"/>
          <w:sz w:val="22"/>
          <w:szCs w:val="22"/>
        </w:rPr>
      </w:pPr>
      <w:r w:rsidRPr="007F6F33">
        <w:rPr>
          <w:rFonts w:ascii="Arial" w:hAnsi="Arial" w:cs="Arial"/>
          <w:sz w:val="22"/>
          <w:szCs w:val="22"/>
        </w:rPr>
        <w:t>The following document</w:t>
      </w:r>
      <w:r w:rsidR="001468E8">
        <w:rPr>
          <w:rFonts w:ascii="Arial" w:hAnsi="Arial" w:cs="Arial"/>
          <w:sz w:val="22"/>
          <w:szCs w:val="22"/>
        </w:rPr>
        <w:t>s</w:t>
      </w:r>
      <w:r w:rsidRPr="007F6F33">
        <w:rPr>
          <w:rFonts w:ascii="Arial" w:hAnsi="Arial" w:cs="Arial"/>
          <w:sz w:val="22"/>
          <w:szCs w:val="22"/>
        </w:rPr>
        <w:t xml:space="preserve"> must be provided: </w:t>
      </w:r>
    </w:p>
    <w:p w14:paraId="6B5AF7B2" w14:textId="4E98B09E" w:rsidR="00671AD7" w:rsidRPr="007F6F33" w:rsidRDefault="00671AD7" w:rsidP="00D35A1C">
      <w:pPr>
        <w:pStyle w:val="List2"/>
        <w:numPr>
          <w:ilvl w:val="2"/>
          <w:numId w:val="1"/>
        </w:numPr>
        <w:ind w:left="1418" w:hanging="851"/>
        <w:rPr>
          <w:rFonts w:ascii="Arial" w:hAnsi="Arial" w:cs="Arial"/>
          <w:sz w:val="22"/>
          <w:szCs w:val="22"/>
        </w:rPr>
      </w:pPr>
      <w:r w:rsidRPr="007F6F33">
        <w:rPr>
          <w:rFonts w:ascii="Arial" w:hAnsi="Arial" w:cs="Arial"/>
          <w:sz w:val="22"/>
          <w:szCs w:val="22"/>
        </w:rPr>
        <w:t>A completed application form (</w:t>
      </w:r>
      <w:r w:rsidRPr="007F6F33">
        <w:rPr>
          <w:rStyle w:val="Hyperlink"/>
          <w:rFonts w:ascii="Arial" w:hAnsi="Arial" w:cs="Arial"/>
          <w:sz w:val="22"/>
          <w:szCs w:val="22"/>
        </w:rPr>
        <w:t xml:space="preserve">see </w:t>
      </w:r>
      <w:hyperlink r:id="rId32" w:tooltip="http://www.nopta.gov.au/forms/forms.html" w:history="1">
        <w:r w:rsidRPr="007F6F33">
          <w:rPr>
            <w:rStyle w:val="Hyperlink"/>
            <w:rFonts w:ascii="Arial" w:hAnsi="Arial" w:cs="Arial"/>
            <w:sz w:val="22"/>
            <w:szCs w:val="22"/>
          </w:rPr>
          <w:t>NOPTA website</w:t>
        </w:r>
      </w:hyperlink>
      <w:r w:rsidRPr="007F6F33">
        <w:rPr>
          <w:rFonts w:ascii="Arial" w:hAnsi="Arial" w:cs="Arial"/>
          <w:sz w:val="22"/>
          <w:szCs w:val="22"/>
        </w:rPr>
        <w:t xml:space="preserve">) </w:t>
      </w:r>
      <w:r w:rsidR="006373E1" w:rsidRPr="002365B4">
        <w:rPr>
          <w:rFonts w:ascii="Arial" w:hAnsi="Arial" w:cs="Arial"/>
          <w:sz w:val="22"/>
          <w:szCs w:val="22"/>
        </w:rPr>
        <w:t>(</w:t>
      </w:r>
      <w:r w:rsidRPr="007F6F33">
        <w:rPr>
          <w:rFonts w:ascii="Arial" w:hAnsi="Arial" w:cs="Arial"/>
          <w:sz w:val="22"/>
          <w:szCs w:val="22"/>
        </w:rPr>
        <w:t>s 484(2)</w:t>
      </w:r>
      <w:r w:rsidR="006373E1" w:rsidRPr="002365B4">
        <w:rPr>
          <w:rFonts w:ascii="Arial" w:hAnsi="Arial" w:cs="Arial"/>
          <w:sz w:val="22"/>
          <w:szCs w:val="22"/>
        </w:rPr>
        <w:t>)</w:t>
      </w:r>
      <w:r w:rsidRPr="007F6F33">
        <w:rPr>
          <w:rFonts w:ascii="Arial" w:hAnsi="Arial" w:cs="Arial"/>
          <w:sz w:val="22"/>
          <w:szCs w:val="22"/>
        </w:rPr>
        <w:t xml:space="preserve">. </w:t>
      </w:r>
    </w:p>
    <w:p w14:paraId="77FC6EE5" w14:textId="66B12180" w:rsidR="00AF038C" w:rsidRPr="002365B4" w:rsidRDefault="00671AD7" w:rsidP="00D35A1C">
      <w:pPr>
        <w:pStyle w:val="List2"/>
        <w:numPr>
          <w:ilvl w:val="2"/>
          <w:numId w:val="1"/>
        </w:numPr>
        <w:ind w:left="1418" w:hanging="851"/>
        <w:rPr>
          <w:rFonts w:ascii="Arial" w:hAnsi="Arial" w:cs="Arial"/>
        </w:rPr>
      </w:pPr>
      <w:r w:rsidRPr="007F6F33">
        <w:rPr>
          <w:rFonts w:ascii="Arial" w:hAnsi="Arial" w:cs="Arial"/>
          <w:sz w:val="22"/>
          <w:szCs w:val="22"/>
        </w:rPr>
        <w:t xml:space="preserve">A copy of the </w:t>
      </w:r>
      <w:hyperlink r:id="rId33" w:history="1">
        <w:r w:rsidRPr="007F6F33">
          <w:rPr>
            <w:rFonts w:ascii="Arial" w:hAnsi="Arial" w:cs="Arial"/>
            <w:sz w:val="22"/>
            <w:szCs w:val="22"/>
          </w:rPr>
          <w:t>Australian Securities and Investments Commission</w:t>
        </w:r>
      </w:hyperlink>
      <w:r w:rsidRPr="007F6F33">
        <w:rPr>
          <w:rFonts w:ascii="Arial" w:hAnsi="Arial" w:cs="Arial"/>
          <w:sz w:val="22"/>
          <w:szCs w:val="22"/>
        </w:rPr>
        <w:t xml:space="preserve"> (ASIC) certificate.</w:t>
      </w:r>
    </w:p>
    <w:tbl>
      <w:tblPr>
        <w:tblStyle w:val="TableGrid"/>
        <w:tblW w:w="0" w:type="auto"/>
        <w:tblInd w:w="137" w:type="dxa"/>
        <w:tblLook w:val="04A0" w:firstRow="1" w:lastRow="0" w:firstColumn="1" w:lastColumn="0" w:noHBand="0" w:noVBand="1"/>
      </w:tblPr>
      <w:tblGrid>
        <w:gridCol w:w="8879"/>
      </w:tblGrid>
      <w:tr w:rsidR="00671AD7" w:rsidRPr="001322E8" w14:paraId="6EC7FD21" w14:textId="77777777" w:rsidTr="007F6F33">
        <w:tc>
          <w:tcPr>
            <w:tcW w:w="8879" w:type="dxa"/>
            <w:shd w:val="clear" w:color="auto" w:fill="D9D9D9" w:themeFill="background1" w:themeFillShade="D9"/>
          </w:tcPr>
          <w:p w14:paraId="17D5591A" w14:textId="42D78604" w:rsidR="00671AD7" w:rsidRPr="007F6F33" w:rsidRDefault="00F52920" w:rsidP="004121BE">
            <w:pPr>
              <w:pStyle w:val="List2"/>
              <w:spacing w:before="120"/>
              <w:rPr>
                <w:rFonts w:ascii="Arial" w:hAnsi="Arial" w:cs="Arial"/>
                <w:sz w:val="22"/>
                <w:szCs w:val="22"/>
              </w:rPr>
            </w:pPr>
            <w:r w:rsidRPr="007F6F33">
              <w:rPr>
                <w:rFonts w:ascii="Arial" w:hAnsi="Arial" w:cs="Arial"/>
                <w:b/>
                <w:sz w:val="20"/>
                <w:szCs w:val="20"/>
              </w:rPr>
              <w:t>Note</w:t>
            </w:r>
            <w:r w:rsidR="00671AD7" w:rsidRPr="007F6F33">
              <w:rPr>
                <w:rFonts w:ascii="Arial" w:hAnsi="Arial" w:cs="Arial"/>
                <w:b/>
                <w:sz w:val="20"/>
                <w:szCs w:val="20"/>
              </w:rPr>
              <w:t xml:space="preserve">: </w:t>
            </w:r>
            <w:r w:rsidR="004121BE">
              <w:rPr>
                <w:rFonts w:ascii="Arial" w:hAnsi="Arial" w:cs="Arial"/>
                <w:sz w:val="20"/>
                <w:szCs w:val="20"/>
              </w:rPr>
              <w:t>For a</w:t>
            </w:r>
            <w:r w:rsidRPr="007F6F33">
              <w:rPr>
                <w:rFonts w:ascii="Arial" w:hAnsi="Arial" w:cs="Arial"/>
                <w:sz w:val="20"/>
                <w:szCs w:val="20"/>
              </w:rPr>
              <w:t>pplications from f</w:t>
            </w:r>
            <w:r w:rsidR="00671AD7" w:rsidRPr="007F6F33">
              <w:rPr>
                <w:rFonts w:ascii="Arial" w:hAnsi="Arial" w:cs="Arial"/>
                <w:sz w:val="20"/>
                <w:szCs w:val="20"/>
              </w:rPr>
              <w:t xml:space="preserve">oreign companies not registered in </w:t>
            </w:r>
            <w:r w:rsidR="008C4302" w:rsidRPr="007F6F33">
              <w:rPr>
                <w:rFonts w:ascii="Arial" w:hAnsi="Arial" w:cs="Arial"/>
                <w:sz w:val="20"/>
                <w:szCs w:val="20"/>
              </w:rPr>
              <w:t>Australia</w:t>
            </w:r>
            <w:r w:rsidR="004121BE">
              <w:rPr>
                <w:rFonts w:ascii="Arial" w:hAnsi="Arial" w:cs="Arial"/>
                <w:sz w:val="20"/>
                <w:szCs w:val="20"/>
              </w:rPr>
              <w:t>,</w:t>
            </w:r>
            <w:r w:rsidR="008C4302" w:rsidRPr="007F6F33">
              <w:rPr>
                <w:rFonts w:ascii="Arial" w:hAnsi="Arial" w:cs="Arial"/>
                <w:sz w:val="20"/>
                <w:szCs w:val="20"/>
              </w:rPr>
              <w:t xml:space="preserve"> the applicant </w:t>
            </w:r>
            <w:r w:rsidR="00671AD7" w:rsidRPr="007F6F33">
              <w:rPr>
                <w:rFonts w:ascii="Arial" w:hAnsi="Arial" w:cs="Arial"/>
                <w:sz w:val="20"/>
                <w:szCs w:val="20"/>
              </w:rPr>
              <w:t xml:space="preserve">must provide sufficient information (comparable to that of an ASIC certificate) to satisfy NOPTA that the name of </w:t>
            </w:r>
            <w:r w:rsidR="00731154" w:rsidRPr="007F6F33">
              <w:rPr>
                <w:rFonts w:ascii="Arial" w:hAnsi="Arial" w:cs="Arial"/>
                <w:sz w:val="20"/>
                <w:szCs w:val="20"/>
              </w:rPr>
              <w:t xml:space="preserve">the </w:t>
            </w:r>
            <w:r w:rsidR="00671AD7" w:rsidRPr="007F6F33">
              <w:rPr>
                <w:rFonts w:ascii="Arial" w:hAnsi="Arial" w:cs="Arial"/>
                <w:sz w:val="20"/>
                <w:szCs w:val="20"/>
              </w:rPr>
              <w:t>company has changed.</w:t>
            </w:r>
            <w:r w:rsidR="00671AD7" w:rsidRPr="007F6F33">
              <w:rPr>
                <w:rFonts w:ascii="Arial" w:hAnsi="Arial" w:cs="Arial"/>
                <w:sz w:val="22"/>
                <w:szCs w:val="22"/>
              </w:rPr>
              <w:t xml:space="preserve">  </w:t>
            </w:r>
          </w:p>
        </w:tc>
      </w:tr>
    </w:tbl>
    <w:p w14:paraId="30FC12FF" w14:textId="77777777" w:rsidR="00AF038C" w:rsidRPr="002365B4" w:rsidRDefault="00AF038C" w:rsidP="00671AD7">
      <w:pPr>
        <w:rPr>
          <w:rFonts w:ascii="Arial" w:hAnsi="Arial" w:cs="Arial"/>
          <w:sz w:val="22"/>
          <w:szCs w:val="22"/>
        </w:rPr>
      </w:pPr>
    </w:p>
    <w:p w14:paraId="2AD5AF6E" w14:textId="77777777" w:rsidR="00BA0D7B" w:rsidRDefault="00BA0D7B" w:rsidP="00671AD7">
      <w:pPr>
        <w:rPr>
          <w:rFonts w:ascii="Arial" w:hAnsi="Arial" w:cs="Arial"/>
          <w:sz w:val="22"/>
          <w:szCs w:val="22"/>
        </w:rPr>
      </w:pPr>
    </w:p>
    <w:p w14:paraId="7A1CC913" w14:textId="77777777" w:rsidR="00CA72C8" w:rsidRDefault="00CA72C8" w:rsidP="00671AD7">
      <w:pPr>
        <w:rPr>
          <w:rFonts w:ascii="Arial" w:hAnsi="Arial" w:cs="Arial"/>
          <w:sz w:val="22"/>
          <w:szCs w:val="22"/>
        </w:rPr>
      </w:pPr>
    </w:p>
    <w:p w14:paraId="3D5ADCAE" w14:textId="77777777" w:rsidR="00CA72C8" w:rsidRDefault="00CA72C8" w:rsidP="00671AD7">
      <w:pPr>
        <w:rPr>
          <w:rFonts w:ascii="Arial" w:hAnsi="Arial" w:cs="Arial"/>
          <w:sz w:val="22"/>
          <w:szCs w:val="22"/>
        </w:rPr>
      </w:pPr>
    </w:p>
    <w:p w14:paraId="61D0E5F0" w14:textId="77777777" w:rsidR="00CA72C8" w:rsidRDefault="00CA72C8" w:rsidP="00671AD7">
      <w:pPr>
        <w:rPr>
          <w:rFonts w:ascii="Arial" w:hAnsi="Arial" w:cs="Arial"/>
          <w:sz w:val="22"/>
          <w:szCs w:val="22"/>
        </w:rPr>
      </w:pPr>
    </w:p>
    <w:p w14:paraId="20DD51F4" w14:textId="6AB6FB6C" w:rsidR="00671AD7" w:rsidRPr="00A53D82" w:rsidRDefault="003D55D2" w:rsidP="00671AD7">
      <w:pPr>
        <w:rPr>
          <w:rFonts w:ascii="Arial" w:hAnsi="Arial" w:cs="Arial"/>
          <w:b/>
        </w:rPr>
      </w:pPr>
      <w:r w:rsidRPr="00A53D82">
        <w:rPr>
          <w:rFonts w:ascii="Arial" w:hAnsi="Arial" w:cs="Arial"/>
          <w:b/>
        </w:rPr>
        <w:t>Table of revisions</w:t>
      </w:r>
    </w:p>
    <w:tbl>
      <w:tblPr>
        <w:tblW w:w="9639" w:type="dxa"/>
        <w:tblInd w:w="-10"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Look w:val="0000" w:firstRow="0" w:lastRow="0" w:firstColumn="0" w:lastColumn="0" w:noHBand="0" w:noVBand="0"/>
        <w:tblCaption w:val="Table of revisions"/>
        <w:tblDescription w:val="Lists the versions of this guideline"/>
      </w:tblPr>
      <w:tblGrid>
        <w:gridCol w:w="1573"/>
        <w:gridCol w:w="1097"/>
        <w:gridCol w:w="5410"/>
        <w:gridCol w:w="1559"/>
      </w:tblGrid>
      <w:tr w:rsidR="00671AD7" w:rsidRPr="001322E8" w14:paraId="6D0C14E6" w14:textId="77777777" w:rsidTr="00FD0301">
        <w:trPr>
          <w:trHeight w:val="159"/>
          <w:tblHeader/>
        </w:trPr>
        <w:tc>
          <w:tcPr>
            <w:tcW w:w="1573" w:type="dxa"/>
            <w:shd w:val="clear" w:color="auto" w:fill="FFFFFF"/>
          </w:tcPr>
          <w:p w14:paraId="659DCF29" w14:textId="77777777" w:rsidR="00671AD7" w:rsidRPr="007F6F33" w:rsidRDefault="00671AD7" w:rsidP="00671AD7">
            <w:pPr>
              <w:pStyle w:val="Default"/>
              <w:rPr>
                <w:rFonts w:ascii="Arial" w:hAnsi="Arial" w:cs="Arial"/>
                <w:sz w:val="22"/>
                <w:szCs w:val="22"/>
              </w:rPr>
            </w:pPr>
            <w:r w:rsidRPr="007F6F33">
              <w:rPr>
                <w:rFonts w:ascii="Arial" w:hAnsi="Arial" w:cs="Arial"/>
                <w:b/>
                <w:bCs/>
                <w:sz w:val="22"/>
                <w:szCs w:val="22"/>
              </w:rPr>
              <w:t>Date</w:t>
            </w:r>
          </w:p>
        </w:tc>
        <w:tc>
          <w:tcPr>
            <w:tcW w:w="1097" w:type="dxa"/>
            <w:shd w:val="clear" w:color="auto" w:fill="FFFFFF"/>
          </w:tcPr>
          <w:p w14:paraId="722149B5" w14:textId="77777777" w:rsidR="00671AD7" w:rsidRPr="007F6F33" w:rsidRDefault="00671AD7" w:rsidP="00671AD7">
            <w:pPr>
              <w:pStyle w:val="Default"/>
              <w:rPr>
                <w:rFonts w:ascii="Arial" w:hAnsi="Arial" w:cs="Arial"/>
                <w:sz w:val="22"/>
                <w:szCs w:val="22"/>
              </w:rPr>
            </w:pPr>
            <w:r w:rsidRPr="007F6F33">
              <w:rPr>
                <w:rFonts w:ascii="Arial" w:hAnsi="Arial" w:cs="Arial"/>
                <w:b/>
                <w:bCs/>
                <w:sz w:val="22"/>
                <w:szCs w:val="22"/>
              </w:rPr>
              <w:t>Version</w:t>
            </w:r>
          </w:p>
        </w:tc>
        <w:tc>
          <w:tcPr>
            <w:tcW w:w="5410" w:type="dxa"/>
            <w:shd w:val="clear" w:color="auto" w:fill="FFFFFF"/>
          </w:tcPr>
          <w:p w14:paraId="0215A197" w14:textId="77777777" w:rsidR="00671AD7" w:rsidRPr="007F6F33" w:rsidRDefault="00671AD7" w:rsidP="00671AD7">
            <w:pPr>
              <w:pStyle w:val="Default"/>
              <w:rPr>
                <w:rFonts w:ascii="Arial" w:hAnsi="Arial" w:cs="Arial"/>
                <w:sz w:val="22"/>
                <w:szCs w:val="22"/>
              </w:rPr>
            </w:pPr>
            <w:r w:rsidRPr="007F6F33">
              <w:rPr>
                <w:rFonts w:ascii="Arial" w:hAnsi="Arial" w:cs="Arial"/>
                <w:b/>
                <w:bCs/>
                <w:sz w:val="22"/>
                <w:szCs w:val="22"/>
              </w:rPr>
              <w:t xml:space="preserve">Purpose </w:t>
            </w:r>
          </w:p>
        </w:tc>
        <w:tc>
          <w:tcPr>
            <w:tcW w:w="1559" w:type="dxa"/>
            <w:shd w:val="clear" w:color="auto" w:fill="FFFFFF"/>
          </w:tcPr>
          <w:p w14:paraId="12E4C2A6" w14:textId="77777777" w:rsidR="00671AD7" w:rsidRPr="007F6F33" w:rsidRDefault="00671AD7" w:rsidP="00671AD7">
            <w:pPr>
              <w:pStyle w:val="Default"/>
              <w:rPr>
                <w:rFonts w:ascii="Arial" w:hAnsi="Arial" w:cs="Arial"/>
                <w:sz w:val="22"/>
                <w:szCs w:val="22"/>
              </w:rPr>
            </w:pPr>
            <w:r w:rsidRPr="007F6F33">
              <w:rPr>
                <w:rFonts w:ascii="Arial" w:hAnsi="Arial" w:cs="Arial"/>
                <w:b/>
                <w:bCs/>
                <w:sz w:val="22"/>
                <w:szCs w:val="22"/>
              </w:rPr>
              <w:t>Jurisdiction</w:t>
            </w:r>
          </w:p>
        </w:tc>
      </w:tr>
      <w:tr w:rsidR="00935F10" w:rsidRPr="001322E8" w14:paraId="1BB0AC33" w14:textId="77777777" w:rsidTr="00FD0301">
        <w:trPr>
          <w:trHeight w:val="159"/>
          <w:tblHeader/>
        </w:trPr>
        <w:tc>
          <w:tcPr>
            <w:tcW w:w="1573" w:type="dxa"/>
            <w:shd w:val="clear" w:color="auto" w:fill="FFFFFF"/>
          </w:tcPr>
          <w:p w14:paraId="3EC64BD5" w14:textId="3893C9AD" w:rsidR="00935F10" w:rsidRDefault="00935F10" w:rsidP="00671AD7">
            <w:pPr>
              <w:pStyle w:val="Default"/>
              <w:rPr>
                <w:rFonts w:ascii="Arial" w:hAnsi="Arial" w:cs="Arial"/>
                <w:bCs/>
                <w:sz w:val="22"/>
                <w:szCs w:val="22"/>
              </w:rPr>
            </w:pPr>
            <w:r>
              <w:rPr>
                <w:rFonts w:ascii="Arial" w:hAnsi="Arial" w:cs="Arial"/>
                <w:bCs/>
                <w:sz w:val="22"/>
                <w:szCs w:val="22"/>
              </w:rPr>
              <w:t>February 2020</w:t>
            </w:r>
          </w:p>
        </w:tc>
        <w:tc>
          <w:tcPr>
            <w:tcW w:w="1097" w:type="dxa"/>
            <w:shd w:val="clear" w:color="auto" w:fill="FFFFFF"/>
          </w:tcPr>
          <w:p w14:paraId="5857F6BB" w14:textId="2E88C036" w:rsidR="00935F10" w:rsidRDefault="00935F10" w:rsidP="005C5D74">
            <w:pPr>
              <w:pStyle w:val="Default"/>
              <w:spacing w:line="360" w:lineRule="auto"/>
              <w:jc w:val="center"/>
              <w:rPr>
                <w:rFonts w:ascii="Arial" w:hAnsi="Arial" w:cs="Arial"/>
                <w:bCs/>
                <w:sz w:val="22"/>
                <w:szCs w:val="22"/>
              </w:rPr>
            </w:pPr>
            <w:r>
              <w:rPr>
                <w:rFonts w:ascii="Arial" w:hAnsi="Arial" w:cs="Arial"/>
                <w:bCs/>
                <w:sz w:val="22"/>
                <w:szCs w:val="22"/>
              </w:rPr>
              <w:t>6</w:t>
            </w:r>
          </w:p>
        </w:tc>
        <w:tc>
          <w:tcPr>
            <w:tcW w:w="5410" w:type="dxa"/>
            <w:shd w:val="clear" w:color="auto" w:fill="FFFFFF"/>
          </w:tcPr>
          <w:p w14:paraId="41A1414B" w14:textId="56C9EC63" w:rsidR="00935F10" w:rsidRDefault="00935F10" w:rsidP="00671AD7">
            <w:pPr>
              <w:pStyle w:val="Default"/>
              <w:rPr>
                <w:rFonts w:ascii="Arial" w:hAnsi="Arial" w:cs="Arial"/>
                <w:bCs/>
                <w:sz w:val="22"/>
                <w:szCs w:val="22"/>
              </w:rPr>
            </w:pPr>
            <w:r>
              <w:rPr>
                <w:rFonts w:ascii="Arial" w:hAnsi="Arial" w:cs="Arial"/>
                <w:bCs/>
                <w:sz w:val="22"/>
                <w:szCs w:val="22"/>
              </w:rPr>
              <w:t>Update department name</w:t>
            </w:r>
          </w:p>
        </w:tc>
        <w:tc>
          <w:tcPr>
            <w:tcW w:w="1559" w:type="dxa"/>
            <w:shd w:val="clear" w:color="auto" w:fill="FFFFFF"/>
          </w:tcPr>
          <w:p w14:paraId="6252C085" w14:textId="55E68E99" w:rsidR="00935F10" w:rsidRPr="00CF5F0B" w:rsidRDefault="00935F10" w:rsidP="00671AD7">
            <w:pPr>
              <w:pStyle w:val="Default"/>
              <w:rPr>
                <w:rFonts w:ascii="Arial" w:hAnsi="Arial" w:cs="Arial"/>
                <w:bCs/>
                <w:sz w:val="22"/>
                <w:szCs w:val="22"/>
              </w:rPr>
            </w:pPr>
            <w:proofErr w:type="spellStart"/>
            <w:r>
              <w:rPr>
                <w:rFonts w:ascii="Arial" w:hAnsi="Arial" w:cs="Arial"/>
                <w:bCs/>
                <w:sz w:val="22"/>
                <w:szCs w:val="22"/>
              </w:rPr>
              <w:t>Cth</w:t>
            </w:r>
            <w:proofErr w:type="spellEnd"/>
          </w:p>
        </w:tc>
      </w:tr>
      <w:tr w:rsidR="00671AD7" w:rsidRPr="001322E8" w14:paraId="226E714C" w14:textId="77777777" w:rsidTr="00FD0301">
        <w:trPr>
          <w:trHeight w:val="159"/>
          <w:tblHeader/>
        </w:trPr>
        <w:tc>
          <w:tcPr>
            <w:tcW w:w="1573" w:type="dxa"/>
            <w:shd w:val="clear" w:color="auto" w:fill="FFFFFF"/>
          </w:tcPr>
          <w:p w14:paraId="038AAE0D" w14:textId="41078CFC" w:rsidR="00671AD7" w:rsidRPr="005C5D74" w:rsidRDefault="00CF5F0B" w:rsidP="00671AD7">
            <w:pPr>
              <w:pStyle w:val="Default"/>
              <w:rPr>
                <w:rFonts w:ascii="Arial" w:hAnsi="Arial" w:cs="Arial"/>
                <w:bCs/>
                <w:sz w:val="22"/>
                <w:szCs w:val="22"/>
              </w:rPr>
            </w:pPr>
            <w:r>
              <w:rPr>
                <w:rFonts w:ascii="Arial" w:hAnsi="Arial" w:cs="Arial"/>
                <w:bCs/>
                <w:sz w:val="22"/>
                <w:szCs w:val="22"/>
              </w:rPr>
              <w:t xml:space="preserve">April  </w:t>
            </w:r>
            <w:r w:rsidR="008F03D0">
              <w:rPr>
                <w:rFonts w:ascii="Arial" w:hAnsi="Arial" w:cs="Arial"/>
                <w:bCs/>
                <w:sz w:val="22"/>
                <w:szCs w:val="22"/>
              </w:rPr>
              <w:t>2018</w:t>
            </w:r>
          </w:p>
        </w:tc>
        <w:tc>
          <w:tcPr>
            <w:tcW w:w="1097" w:type="dxa"/>
            <w:shd w:val="clear" w:color="auto" w:fill="FFFFFF"/>
          </w:tcPr>
          <w:p w14:paraId="7A43CAD0" w14:textId="0649834C" w:rsidR="00671AD7" w:rsidRPr="005C5D74" w:rsidRDefault="008F03D0" w:rsidP="005C5D74">
            <w:pPr>
              <w:pStyle w:val="Default"/>
              <w:spacing w:line="360" w:lineRule="auto"/>
              <w:jc w:val="center"/>
              <w:rPr>
                <w:rFonts w:ascii="Arial" w:hAnsi="Arial" w:cs="Arial"/>
                <w:bCs/>
                <w:sz w:val="22"/>
                <w:szCs w:val="22"/>
              </w:rPr>
            </w:pPr>
            <w:r>
              <w:rPr>
                <w:rFonts w:ascii="Arial" w:hAnsi="Arial" w:cs="Arial"/>
                <w:bCs/>
                <w:sz w:val="22"/>
                <w:szCs w:val="22"/>
              </w:rPr>
              <w:t>5</w:t>
            </w:r>
          </w:p>
        </w:tc>
        <w:tc>
          <w:tcPr>
            <w:tcW w:w="5410" w:type="dxa"/>
            <w:shd w:val="clear" w:color="auto" w:fill="FFFFFF"/>
          </w:tcPr>
          <w:p w14:paraId="4010DAB8" w14:textId="528433B1" w:rsidR="00671AD7" w:rsidRDefault="00152340" w:rsidP="00671AD7">
            <w:pPr>
              <w:pStyle w:val="Default"/>
              <w:rPr>
                <w:rFonts w:ascii="Arial" w:hAnsi="Arial" w:cs="Arial"/>
                <w:bCs/>
                <w:sz w:val="22"/>
                <w:szCs w:val="22"/>
              </w:rPr>
            </w:pPr>
            <w:r>
              <w:rPr>
                <w:rFonts w:ascii="Arial" w:hAnsi="Arial" w:cs="Arial"/>
                <w:bCs/>
                <w:sz w:val="22"/>
                <w:szCs w:val="22"/>
              </w:rPr>
              <w:t xml:space="preserve">Substantial rewrite to improve clarity. The revision </w:t>
            </w:r>
            <w:r w:rsidR="005A1D7E">
              <w:rPr>
                <w:rFonts w:ascii="Arial" w:hAnsi="Arial" w:cs="Arial"/>
                <w:bCs/>
                <w:sz w:val="22"/>
                <w:szCs w:val="22"/>
              </w:rPr>
              <w:t>includes updated</w:t>
            </w:r>
            <w:r>
              <w:rPr>
                <w:rFonts w:ascii="Arial" w:hAnsi="Arial" w:cs="Arial"/>
                <w:bCs/>
                <w:sz w:val="22"/>
                <w:szCs w:val="22"/>
              </w:rPr>
              <w:t xml:space="preserve"> </w:t>
            </w:r>
            <w:r w:rsidR="00CF5F0B">
              <w:rPr>
                <w:rFonts w:ascii="Arial" w:hAnsi="Arial" w:cs="Arial"/>
                <w:bCs/>
                <w:sz w:val="22"/>
                <w:szCs w:val="22"/>
              </w:rPr>
              <w:t>information to</w:t>
            </w:r>
            <w:r>
              <w:rPr>
                <w:rFonts w:ascii="Arial" w:hAnsi="Arial" w:cs="Arial"/>
                <w:bCs/>
                <w:sz w:val="22"/>
                <w:szCs w:val="22"/>
              </w:rPr>
              <w:t xml:space="preserve"> be provided in</w:t>
            </w:r>
            <w:r w:rsidR="00CF5F0B">
              <w:rPr>
                <w:rFonts w:ascii="Arial" w:hAnsi="Arial" w:cs="Arial"/>
                <w:bCs/>
                <w:sz w:val="22"/>
                <w:szCs w:val="22"/>
              </w:rPr>
              <w:t xml:space="preserve"> support </w:t>
            </w:r>
            <w:r>
              <w:rPr>
                <w:rFonts w:ascii="Arial" w:hAnsi="Arial" w:cs="Arial"/>
                <w:bCs/>
                <w:sz w:val="22"/>
                <w:szCs w:val="22"/>
              </w:rPr>
              <w:t xml:space="preserve">of </w:t>
            </w:r>
            <w:r w:rsidR="00CF5F0B">
              <w:rPr>
                <w:rFonts w:ascii="Arial" w:hAnsi="Arial" w:cs="Arial"/>
                <w:bCs/>
                <w:sz w:val="22"/>
                <w:szCs w:val="22"/>
              </w:rPr>
              <w:t>transfer and/or dealing applications</w:t>
            </w:r>
            <w:r>
              <w:rPr>
                <w:rFonts w:ascii="Arial" w:hAnsi="Arial" w:cs="Arial"/>
                <w:bCs/>
                <w:sz w:val="22"/>
                <w:szCs w:val="22"/>
              </w:rPr>
              <w:t>, and general clarifications about assessment and decision making</w:t>
            </w:r>
            <w:r w:rsidR="005A1D7E">
              <w:rPr>
                <w:rFonts w:ascii="Arial" w:hAnsi="Arial" w:cs="Arial"/>
                <w:bCs/>
                <w:sz w:val="22"/>
                <w:szCs w:val="22"/>
              </w:rPr>
              <w:t xml:space="preserve"> processes</w:t>
            </w:r>
            <w:r>
              <w:rPr>
                <w:rFonts w:ascii="Arial" w:hAnsi="Arial" w:cs="Arial"/>
                <w:bCs/>
                <w:sz w:val="22"/>
                <w:szCs w:val="22"/>
              </w:rPr>
              <w:t xml:space="preserve">. A new section on change of company name applications has been included. </w:t>
            </w:r>
          </w:p>
          <w:p w14:paraId="15C88035" w14:textId="0D85087C" w:rsidR="00CF5F0B" w:rsidRPr="00CF5F0B" w:rsidRDefault="00CF5F0B" w:rsidP="00671AD7">
            <w:pPr>
              <w:pStyle w:val="Default"/>
              <w:rPr>
                <w:rFonts w:ascii="Arial" w:hAnsi="Arial" w:cs="Arial"/>
                <w:bCs/>
                <w:sz w:val="22"/>
                <w:szCs w:val="22"/>
              </w:rPr>
            </w:pPr>
          </w:p>
        </w:tc>
        <w:tc>
          <w:tcPr>
            <w:tcW w:w="1559" w:type="dxa"/>
            <w:shd w:val="clear" w:color="auto" w:fill="FFFFFF"/>
          </w:tcPr>
          <w:p w14:paraId="47EB216F" w14:textId="7791FCDE" w:rsidR="00671AD7" w:rsidRPr="00CF5F0B" w:rsidRDefault="00CF5F0B" w:rsidP="00671AD7">
            <w:pPr>
              <w:pStyle w:val="Default"/>
              <w:rPr>
                <w:rFonts w:ascii="Arial" w:hAnsi="Arial" w:cs="Arial"/>
                <w:bCs/>
                <w:sz w:val="22"/>
                <w:szCs w:val="22"/>
              </w:rPr>
            </w:pPr>
            <w:proofErr w:type="spellStart"/>
            <w:r w:rsidRPr="00CF5F0B">
              <w:rPr>
                <w:rFonts w:ascii="Arial" w:hAnsi="Arial" w:cs="Arial"/>
                <w:bCs/>
                <w:sz w:val="22"/>
                <w:szCs w:val="22"/>
              </w:rPr>
              <w:t>Cth</w:t>
            </w:r>
            <w:proofErr w:type="spellEnd"/>
          </w:p>
        </w:tc>
      </w:tr>
      <w:tr w:rsidR="00671AD7" w:rsidRPr="001322E8" w14:paraId="34AA0002" w14:textId="77777777" w:rsidTr="00FD0301">
        <w:trPr>
          <w:trHeight w:val="571"/>
        </w:trPr>
        <w:tc>
          <w:tcPr>
            <w:tcW w:w="1573" w:type="dxa"/>
            <w:shd w:val="clear" w:color="auto" w:fill="FFFFFF"/>
          </w:tcPr>
          <w:p w14:paraId="01FD3F83" w14:textId="77777777" w:rsidR="00671AD7" w:rsidRPr="007F6F33" w:rsidRDefault="00671AD7" w:rsidP="00671AD7">
            <w:pPr>
              <w:pStyle w:val="Default"/>
              <w:rPr>
                <w:rFonts w:ascii="Arial" w:hAnsi="Arial" w:cs="Arial"/>
                <w:sz w:val="22"/>
                <w:szCs w:val="22"/>
              </w:rPr>
            </w:pPr>
            <w:r w:rsidRPr="007F6F33">
              <w:rPr>
                <w:rFonts w:ascii="Arial" w:hAnsi="Arial" w:cs="Arial"/>
                <w:sz w:val="22"/>
                <w:szCs w:val="22"/>
              </w:rPr>
              <w:t>July 2014</w:t>
            </w:r>
          </w:p>
        </w:tc>
        <w:tc>
          <w:tcPr>
            <w:tcW w:w="1097" w:type="dxa"/>
            <w:shd w:val="clear" w:color="auto" w:fill="FFFFFF"/>
          </w:tcPr>
          <w:p w14:paraId="6B7A4254" w14:textId="77777777" w:rsidR="00671AD7" w:rsidRPr="007F6F33" w:rsidRDefault="00671AD7" w:rsidP="00671AD7">
            <w:pPr>
              <w:pStyle w:val="Default"/>
              <w:jc w:val="center"/>
              <w:rPr>
                <w:rFonts w:ascii="Arial" w:hAnsi="Arial" w:cs="Arial"/>
                <w:sz w:val="22"/>
                <w:szCs w:val="22"/>
              </w:rPr>
            </w:pPr>
            <w:r w:rsidRPr="007F6F33">
              <w:rPr>
                <w:rFonts w:ascii="Arial" w:hAnsi="Arial" w:cs="Arial"/>
                <w:sz w:val="22"/>
                <w:szCs w:val="22"/>
              </w:rPr>
              <w:t>4</w:t>
            </w:r>
          </w:p>
        </w:tc>
        <w:tc>
          <w:tcPr>
            <w:tcW w:w="5410" w:type="dxa"/>
            <w:shd w:val="clear" w:color="auto" w:fill="FFFFFF"/>
          </w:tcPr>
          <w:p w14:paraId="4C4F8422" w14:textId="77777777" w:rsidR="00671AD7" w:rsidRPr="007F6F33" w:rsidRDefault="00671AD7" w:rsidP="00671AD7">
            <w:pPr>
              <w:pStyle w:val="Default"/>
              <w:rPr>
                <w:rFonts w:ascii="Arial" w:hAnsi="Arial" w:cs="Arial"/>
                <w:sz w:val="22"/>
                <w:szCs w:val="22"/>
              </w:rPr>
            </w:pPr>
            <w:r w:rsidRPr="007F6F33">
              <w:rPr>
                <w:rFonts w:ascii="Arial" w:hAnsi="Arial" w:cs="Arial"/>
                <w:sz w:val="22"/>
                <w:szCs w:val="22"/>
              </w:rPr>
              <w:t xml:space="preserve">Updated to reflect the amendments made to section 474, 489 and 499 in the </w:t>
            </w:r>
            <w:r w:rsidRPr="007F6F33">
              <w:rPr>
                <w:rFonts w:ascii="Arial" w:hAnsi="Arial" w:cs="Arial"/>
                <w:i/>
                <w:sz w:val="22"/>
                <w:szCs w:val="22"/>
              </w:rPr>
              <w:t>Offshore Petroleum and Greenhouse Gas Storage Amendment (Regulatory Powers and Other Measures) Act 2014</w:t>
            </w:r>
            <w:r w:rsidRPr="007F6F33">
              <w:rPr>
                <w:rFonts w:ascii="Arial" w:hAnsi="Arial" w:cs="Arial"/>
                <w:sz w:val="22"/>
                <w:szCs w:val="22"/>
              </w:rPr>
              <w:t>.</w:t>
            </w:r>
          </w:p>
        </w:tc>
        <w:tc>
          <w:tcPr>
            <w:tcW w:w="1559" w:type="dxa"/>
            <w:shd w:val="clear" w:color="auto" w:fill="FFFFFF"/>
          </w:tcPr>
          <w:p w14:paraId="218CE13F" w14:textId="77777777" w:rsidR="00671AD7" w:rsidRPr="007F6F33" w:rsidRDefault="00671AD7" w:rsidP="00671AD7">
            <w:pPr>
              <w:pStyle w:val="Default"/>
              <w:rPr>
                <w:rFonts w:ascii="Arial" w:hAnsi="Arial" w:cs="Arial"/>
                <w:sz w:val="22"/>
                <w:szCs w:val="22"/>
              </w:rPr>
            </w:pPr>
            <w:proofErr w:type="spellStart"/>
            <w:r w:rsidRPr="007F6F33">
              <w:rPr>
                <w:rFonts w:ascii="Arial" w:hAnsi="Arial" w:cs="Arial"/>
                <w:sz w:val="22"/>
                <w:szCs w:val="22"/>
              </w:rPr>
              <w:t>Cth</w:t>
            </w:r>
            <w:proofErr w:type="spellEnd"/>
          </w:p>
        </w:tc>
      </w:tr>
      <w:tr w:rsidR="00671AD7" w:rsidRPr="001322E8" w14:paraId="32459CC5" w14:textId="77777777" w:rsidTr="00FD0301">
        <w:trPr>
          <w:trHeight w:val="571"/>
        </w:trPr>
        <w:tc>
          <w:tcPr>
            <w:tcW w:w="1573" w:type="dxa"/>
            <w:shd w:val="clear" w:color="auto" w:fill="FFFFFF"/>
          </w:tcPr>
          <w:p w14:paraId="78CF298F" w14:textId="77777777" w:rsidR="00671AD7" w:rsidRPr="007F6F33" w:rsidRDefault="00671AD7" w:rsidP="00671AD7">
            <w:pPr>
              <w:pStyle w:val="Default"/>
              <w:rPr>
                <w:rFonts w:ascii="Arial" w:hAnsi="Arial" w:cs="Arial"/>
                <w:sz w:val="22"/>
                <w:szCs w:val="22"/>
              </w:rPr>
            </w:pPr>
            <w:r w:rsidRPr="007F6F33">
              <w:rPr>
                <w:rFonts w:ascii="Arial" w:hAnsi="Arial" w:cs="Arial"/>
                <w:sz w:val="22"/>
                <w:szCs w:val="22"/>
              </w:rPr>
              <w:t>Nov 2013</w:t>
            </w:r>
          </w:p>
        </w:tc>
        <w:tc>
          <w:tcPr>
            <w:tcW w:w="1097" w:type="dxa"/>
            <w:shd w:val="clear" w:color="auto" w:fill="FFFFFF"/>
          </w:tcPr>
          <w:p w14:paraId="3E7A552D" w14:textId="77777777" w:rsidR="00671AD7" w:rsidRPr="007F6F33" w:rsidRDefault="00671AD7" w:rsidP="00671AD7">
            <w:pPr>
              <w:pStyle w:val="Default"/>
              <w:jc w:val="center"/>
              <w:rPr>
                <w:rFonts w:ascii="Arial" w:hAnsi="Arial" w:cs="Arial"/>
                <w:sz w:val="22"/>
                <w:szCs w:val="22"/>
              </w:rPr>
            </w:pPr>
            <w:r w:rsidRPr="007F6F33">
              <w:rPr>
                <w:rFonts w:ascii="Arial" w:hAnsi="Arial" w:cs="Arial"/>
                <w:sz w:val="22"/>
                <w:szCs w:val="22"/>
              </w:rPr>
              <w:t>3</w:t>
            </w:r>
          </w:p>
        </w:tc>
        <w:tc>
          <w:tcPr>
            <w:tcW w:w="5410" w:type="dxa"/>
            <w:shd w:val="clear" w:color="auto" w:fill="FFFFFF"/>
          </w:tcPr>
          <w:p w14:paraId="76226D7F" w14:textId="77777777" w:rsidR="00671AD7" w:rsidRPr="007F6F33" w:rsidRDefault="00671AD7" w:rsidP="00671AD7">
            <w:pPr>
              <w:pStyle w:val="Default"/>
              <w:rPr>
                <w:rFonts w:ascii="Arial" w:hAnsi="Arial" w:cs="Arial"/>
                <w:sz w:val="22"/>
                <w:szCs w:val="22"/>
              </w:rPr>
            </w:pPr>
            <w:r w:rsidRPr="007F6F33">
              <w:rPr>
                <w:rFonts w:ascii="Arial" w:hAnsi="Arial" w:cs="Arial"/>
                <w:sz w:val="22"/>
                <w:szCs w:val="22"/>
              </w:rPr>
              <w:t xml:space="preserve">Updated to reflect the abolition of Registration Fees under the </w:t>
            </w:r>
            <w:r w:rsidRPr="007F6F33">
              <w:rPr>
                <w:rFonts w:ascii="Arial" w:hAnsi="Arial" w:cs="Arial"/>
                <w:i/>
                <w:sz w:val="22"/>
                <w:szCs w:val="22"/>
              </w:rPr>
              <w:t>Offshore Petroleum and Greenhouse Gas Storage (Registration Fees)</w:t>
            </w:r>
            <w:r w:rsidRPr="007F6F33">
              <w:rPr>
                <w:rFonts w:ascii="Arial" w:hAnsi="Arial" w:cs="Arial"/>
                <w:sz w:val="22"/>
                <w:szCs w:val="22"/>
              </w:rPr>
              <w:t xml:space="preserve"> </w:t>
            </w:r>
            <w:r w:rsidRPr="007F6F33">
              <w:rPr>
                <w:rFonts w:ascii="Arial" w:hAnsi="Arial" w:cs="Arial"/>
                <w:i/>
                <w:sz w:val="22"/>
                <w:szCs w:val="22"/>
              </w:rPr>
              <w:t xml:space="preserve">Act 2006 </w:t>
            </w:r>
            <w:r w:rsidRPr="007F6F33">
              <w:rPr>
                <w:rFonts w:ascii="Arial" w:hAnsi="Arial" w:cs="Arial"/>
                <w:sz w:val="22"/>
                <w:szCs w:val="22"/>
              </w:rPr>
              <w:t>effective 1 November 2013</w:t>
            </w:r>
          </w:p>
        </w:tc>
        <w:tc>
          <w:tcPr>
            <w:tcW w:w="1559" w:type="dxa"/>
            <w:shd w:val="clear" w:color="auto" w:fill="FFFFFF"/>
          </w:tcPr>
          <w:p w14:paraId="21CF8C49" w14:textId="77777777" w:rsidR="00671AD7" w:rsidRPr="007F6F33" w:rsidRDefault="00671AD7" w:rsidP="00671AD7">
            <w:pPr>
              <w:pStyle w:val="Default"/>
              <w:rPr>
                <w:rFonts w:ascii="Arial" w:hAnsi="Arial" w:cs="Arial"/>
                <w:sz w:val="22"/>
                <w:szCs w:val="22"/>
              </w:rPr>
            </w:pPr>
            <w:proofErr w:type="spellStart"/>
            <w:r w:rsidRPr="007F6F33">
              <w:rPr>
                <w:rFonts w:ascii="Arial" w:hAnsi="Arial" w:cs="Arial"/>
                <w:sz w:val="22"/>
                <w:szCs w:val="22"/>
              </w:rPr>
              <w:t>Cth</w:t>
            </w:r>
            <w:proofErr w:type="spellEnd"/>
          </w:p>
        </w:tc>
      </w:tr>
      <w:tr w:rsidR="00671AD7" w:rsidRPr="001322E8" w14:paraId="49692B26" w14:textId="77777777" w:rsidTr="00FD0301">
        <w:trPr>
          <w:trHeight w:val="571"/>
        </w:trPr>
        <w:tc>
          <w:tcPr>
            <w:tcW w:w="1573" w:type="dxa"/>
            <w:shd w:val="clear" w:color="auto" w:fill="FFFFFF"/>
          </w:tcPr>
          <w:p w14:paraId="339BF9A6" w14:textId="77777777" w:rsidR="00671AD7" w:rsidRPr="007F6F33" w:rsidRDefault="00671AD7" w:rsidP="00671AD7">
            <w:pPr>
              <w:pStyle w:val="Default"/>
              <w:rPr>
                <w:rFonts w:ascii="Arial" w:hAnsi="Arial" w:cs="Arial"/>
                <w:sz w:val="22"/>
                <w:szCs w:val="22"/>
              </w:rPr>
            </w:pPr>
            <w:r w:rsidRPr="007F6F33">
              <w:rPr>
                <w:rFonts w:ascii="Arial" w:hAnsi="Arial" w:cs="Arial"/>
                <w:sz w:val="22"/>
                <w:szCs w:val="22"/>
              </w:rPr>
              <w:t>Nov 2011</w:t>
            </w:r>
          </w:p>
        </w:tc>
        <w:tc>
          <w:tcPr>
            <w:tcW w:w="1097" w:type="dxa"/>
            <w:shd w:val="clear" w:color="auto" w:fill="FFFFFF"/>
          </w:tcPr>
          <w:p w14:paraId="01C5251C" w14:textId="77777777" w:rsidR="00671AD7" w:rsidRPr="007F6F33" w:rsidRDefault="00671AD7" w:rsidP="00671AD7">
            <w:pPr>
              <w:pStyle w:val="Default"/>
              <w:jc w:val="center"/>
              <w:rPr>
                <w:rFonts w:ascii="Arial" w:hAnsi="Arial" w:cs="Arial"/>
                <w:sz w:val="22"/>
                <w:szCs w:val="22"/>
              </w:rPr>
            </w:pPr>
            <w:r w:rsidRPr="007F6F33">
              <w:rPr>
                <w:rFonts w:ascii="Arial" w:hAnsi="Arial" w:cs="Arial"/>
                <w:sz w:val="22"/>
                <w:szCs w:val="22"/>
              </w:rPr>
              <w:t>2</w:t>
            </w:r>
          </w:p>
        </w:tc>
        <w:tc>
          <w:tcPr>
            <w:tcW w:w="5410" w:type="dxa"/>
            <w:shd w:val="clear" w:color="auto" w:fill="FFFFFF"/>
          </w:tcPr>
          <w:p w14:paraId="032D4172" w14:textId="77777777" w:rsidR="00671AD7" w:rsidRPr="007F6F33" w:rsidRDefault="00671AD7" w:rsidP="00671AD7">
            <w:pPr>
              <w:pStyle w:val="Default"/>
              <w:rPr>
                <w:rFonts w:ascii="Arial" w:hAnsi="Arial" w:cs="Arial"/>
                <w:sz w:val="22"/>
                <w:szCs w:val="22"/>
              </w:rPr>
            </w:pPr>
            <w:bookmarkStart w:id="89" w:name="OLE_LINK8"/>
            <w:bookmarkStart w:id="90" w:name="OLE_LINK9"/>
            <w:r w:rsidRPr="007F6F33">
              <w:rPr>
                <w:rFonts w:ascii="Arial" w:hAnsi="Arial" w:cs="Arial"/>
                <w:sz w:val="22"/>
                <w:szCs w:val="22"/>
              </w:rPr>
              <w:t>Updated to reflect changes to OPGGSA – transfer to NOPTA</w:t>
            </w:r>
            <w:bookmarkEnd w:id="89"/>
            <w:bookmarkEnd w:id="90"/>
            <w:r w:rsidRPr="007F6F33">
              <w:rPr>
                <w:rFonts w:ascii="Arial" w:hAnsi="Arial" w:cs="Arial"/>
                <w:sz w:val="22"/>
                <w:szCs w:val="22"/>
              </w:rPr>
              <w:t xml:space="preserve"> Clarification of technical and financial requirements.</w:t>
            </w:r>
          </w:p>
        </w:tc>
        <w:tc>
          <w:tcPr>
            <w:tcW w:w="1559" w:type="dxa"/>
            <w:shd w:val="clear" w:color="auto" w:fill="FFFFFF"/>
          </w:tcPr>
          <w:p w14:paraId="7A347493" w14:textId="77777777" w:rsidR="00671AD7" w:rsidRPr="007F6F33" w:rsidRDefault="00671AD7" w:rsidP="00671AD7">
            <w:pPr>
              <w:pStyle w:val="Default"/>
              <w:rPr>
                <w:rFonts w:ascii="Arial" w:hAnsi="Arial" w:cs="Arial"/>
                <w:sz w:val="22"/>
                <w:szCs w:val="22"/>
              </w:rPr>
            </w:pPr>
            <w:proofErr w:type="spellStart"/>
            <w:r w:rsidRPr="007F6F33">
              <w:rPr>
                <w:rFonts w:ascii="Arial" w:hAnsi="Arial" w:cs="Arial"/>
                <w:sz w:val="22"/>
                <w:szCs w:val="22"/>
              </w:rPr>
              <w:t>Cth</w:t>
            </w:r>
            <w:proofErr w:type="spellEnd"/>
          </w:p>
        </w:tc>
      </w:tr>
      <w:tr w:rsidR="00671AD7" w:rsidRPr="001322E8" w14:paraId="36B28F4F" w14:textId="77777777" w:rsidTr="00FD0301">
        <w:trPr>
          <w:trHeight w:val="571"/>
        </w:trPr>
        <w:tc>
          <w:tcPr>
            <w:tcW w:w="1573" w:type="dxa"/>
            <w:shd w:val="clear" w:color="auto" w:fill="FFFFFF"/>
          </w:tcPr>
          <w:p w14:paraId="62A93DD3" w14:textId="77777777" w:rsidR="00671AD7" w:rsidRPr="007F6F33" w:rsidRDefault="00671AD7" w:rsidP="00671AD7">
            <w:pPr>
              <w:pStyle w:val="Default"/>
              <w:rPr>
                <w:rFonts w:ascii="Arial" w:hAnsi="Arial" w:cs="Arial"/>
                <w:sz w:val="22"/>
                <w:szCs w:val="22"/>
              </w:rPr>
            </w:pPr>
            <w:r w:rsidRPr="007F6F33">
              <w:rPr>
                <w:rFonts w:ascii="Arial" w:hAnsi="Arial" w:cs="Arial"/>
                <w:sz w:val="22"/>
                <w:szCs w:val="22"/>
              </w:rPr>
              <w:t>April 2011</w:t>
            </w:r>
          </w:p>
        </w:tc>
        <w:tc>
          <w:tcPr>
            <w:tcW w:w="1097" w:type="dxa"/>
            <w:shd w:val="clear" w:color="auto" w:fill="FFFFFF"/>
          </w:tcPr>
          <w:p w14:paraId="11B5AC82" w14:textId="77777777" w:rsidR="00671AD7" w:rsidRPr="007F6F33" w:rsidRDefault="00671AD7" w:rsidP="00671AD7">
            <w:pPr>
              <w:pStyle w:val="Default"/>
              <w:jc w:val="center"/>
              <w:rPr>
                <w:rFonts w:ascii="Arial" w:hAnsi="Arial" w:cs="Arial"/>
                <w:sz w:val="22"/>
                <w:szCs w:val="22"/>
              </w:rPr>
            </w:pPr>
            <w:r w:rsidRPr="007F6F33">
              <w:rPr>
                <w:rFonts w:ascii="Arial" w:hAnsi="Arial" w:cs="Arial"/>
                <w:sz w:val="22"/>
                <w:szCs w:val="22"/>
              </w:rPr>
              <w:t>1</w:t>
            </w:r>
          </w:p>
        </w:tc>
        <w:tc>
          <w:tcPr>
            <w:tcW w:w="5410" w:type="dxa"/>
            <w:shd w:val="clear" w:color="auto" w:fill="FFFFFF"/>
          </w:tcPr>
          <w:p w14:paraId="01A7BD70" w14:textId="77777777" w:rsidR="00671AD7" w:rsidRPr="007F6F33" w:rsidRDefault="00671AD7" w:rsidP="00671AD7">
            <w:pPr>
              <w:pStyle w:val="Default"/>
              <w:rPr>
                <w:rFonts w:ascii="Arial" w:hAnsi="Arial" w:cs="Arial"/>
                <w:sz w:val="22"/>
                <w:szCs w:val="22"/>
              </w:rPr>
            </w:pPr>
            <w:r w:rsidRPr="007F6F33">
              <w:rPr>
                <w:rFonts w:ascii="Arial" w:hAnsi="Arial" w:cs="Arial"/>
                <w:sz w:val="22"/>
                <w:szCs w:val="22"/>
              </w:rPr>
              <w:t>Wholesale re-write to improve clarity of writing</w:t>
            </w:r>
          </w:p>
          <w:p w14:paraId="1B1B2CBC" w14:textId="77777777" w:rsidR="00671AD7" w:rsidRPr="007F6F33" w:rsidRDefault="00671AD7" w:rsidP="00671AD7">
            <w:pPr>
              <w:pStyle w:val="Default"/>
              <w:rPr>
                <w:rFonts w:ascii="Arial" w:hAnsi="Arial" w:cs="Arial"/>
                <w:sz w:val="22"/>
                <w:szCs w:val="22"/>
              </w:rPr>
            </w:pPr>
          </w:p>
        </w:tc>
        <w:tc>
          <w:tcPr>
            <w:tcW w:w="1559" w:type="dxa"/>
            <w:shd w:val="clear" w:color="auto" w:fill="FFFFFF"/>
          </w:tcPr>
          <w:p w14:paraId="7C8FE0DE" w14:textId="77777777" w:rsidR="00671AD7" w:rsidRPr="007F6F33" w:rsidRDefault="00671AD7" w:rsidP="00671AD7">
            <w:pPr>
              <w:pStyle w:val="Default"/>
              <w:rPr>
                <w:rFonts w:ascii="Arial" w:hAnsi="Arial" w:cs="Arial"/>
                <w:sz w:val="22"/>
                <w:szCs w:val="22"/>
              </w:rPr>
            </w:pPr>
            <w:r w:rsidRPr="007F6F33">
              <w:rPr>
                <w:rFonts w:ascii="Arial" w:hAnsi="Arial" w:cs="Arial"/>
                <w:sz w:val="22"/>
                <w:szCs w:val="22"/>
              </w:rPr>
              <w:t xml:space="preserve">Registrars / </w:t>
            </w:r>
            <w:proofErr w:type="spellStart"/>
            <w:r w:rsidRPr="007F6F33">
              <w:rPr>
                <w:rFonts w:ascii="Arial" w:hAnsi="Arial" w:cs="Arial"/>
                <w:sz w:val="22"/>
                <w:szCs w:val="22"/>
              </w:rPr>
              <w:t>Cth</w:t>
            </w:r>
            <w:proofErr w:type="spellEnd"/>
          </w:p>
        </w:tc>
      </w:tr>
    </w:tbl>
    <w:p w14:paraId="4008E6A9" w14:textId="77777777" w:rsidR="005F0D07" w:rsidRDefault="005F0D07">
      <w:pPr>
        <w:rPr>
          <w:rFonts w:ascii="Arial" w:eastAsia="Times New Roman" w:hAnsi="Arial" w:cs="Arial"/>
          <w:b/>
          <w:lang w:eastAsia="en-AU"/>
        </w:rPr>
      </w:pPr>
      <w:bookmarkStart w:id="91" w:name="_Toc511217957"/>
      <w:r>
        <w:rPr>
          <w:rFonts w:ascii="Arial" w:hAnsi="Arial" w:cs="Arial"/>
        </w:rPr>
        <w:br w:type="page"/>
      </w:r>
    </w:p>
    <w:p w14:paraId="5AC5C2C5" w14:textId="240DC9F1" w:rsidR="00644526" w:rsidRPr="00644526" w:rsidRDefault="00B113B1" w:rsidP="00AE596E">
      <w:pPr>
        <w:pStyle w:val="Heading1"/>
        <w:numPr>
          <w:ilvl w:val="0"/>
          <w:numId w:val="0"/>
        </w:numPr>
        <w:rPr>
          <w:rFonts w:ascii="Arial" w:hAnsi="Arial" w:cs="Arial"/>
        </w:rPr>
      </w:pPr>
      <w:r w:rsidRPr="00A53D82">
        <w:rPr>
          <w:rFonts w:ascii="Arial" w:hAnsi="Arial" w:cs="Arial"/>
        </w:rPr>
        <w:lastRenderedPageBreak/>
        <w:t>A</w:t>
      </w:r>
      <w:r w:rsidR="00D44DB1" w:rsidRPr="001322E8">
        <w:rPr>
          <w:rFonts w:ascii="Arial" w:hAnsi="Arial" w:cs="Arial"/>
        </w:rPr>
        <w:t xml:space="preserve">ttachment 1 </w:t>
      </w:r>
      <w:r w:rsidR="0048775A" w:rsidRPr="008C4302">
        <w:rPr>
          <w:rFonts w:ascii="Arial" w:hAnsi="Arial" w:cs="Arial"/>
        </w:rPr>
        <w:t xml:space="preserve">– </w:t>
      </w:r>
      <w:r w:rsidR="00AE596E">
        <w:rPr>
          <w:rFonts w:ascii="Arial" w:hAnsi="Arial" w:cs="Arial"/>
        </w:rPr>
        <w:t>A</w:t>
      </w:r>
      <w:r w:rsidR="00644526" w:rsidRPr="00FE2679">
        <w:rPr>
          <w:rFonts w:ascii="Arial" w:hAnsi="Arial" w:cs="Arial"/>
        </w:rPr>
        <w:t xml:space="preserve">dditional examples of </w:t>
      </w:r>
      <w:r w:rsidR="00644526" w:rsidRPr="00F92EA9">
        <w:rPr>
          <w:rFonts w:ascii="Arial" w:hAnsi="Arial" w:cs="Arial"/>
        </w:rPr>
        <w:t>po</w:t>
      </w:r>
      <w:r w:rsidR="00644526" w:rsidRPr="00644526">
        <w:rPr>
          <w:rFonts w:ascii="Arial" w:hAnsi="Arial" w:cs="Arial"/>
        </w:rPr>
        <w:t xml:space="preserve">ssible </w:t>
      </w:r>
      <w:r w:rsidR="00D44DB1" w:rsidRPr="00644526">
        <w:rPr>
          <w:rFonts w:ascii="Arial" w:hAnsi="Arial" w:cs="Arial"/>
        </w:rPr>
        <w:t>funding sources</w:t>
      </w:r>
      <w:bookmarkEnd w:id="91"/>
    </w:p>
    <w:p w14:paraId="4C72F2E8" w14:textId="77777777" w:rsidR="00671AD7" w:rsidRPr="001322E8" w:rsidRDefault="00671AD7" w:rsidP="00671AD7">
      <w:pPr>
        <w:pStyle w:val="Default"/>
        <w:rPr>
          <w:rFonts w:ascii="Arial" w:hAnsi="Arial" w:cs="Arial"/>
        </w:rPr>
      </w:pPr>
    </w:p>
    <w:p w14:paraId="70DD96A7" w14:textId="77777777" w:rsidR="00671AD7" w:rsidRPr="001322E8" w:rsidRDefault="00671AD7" w:rsidP="007F6F33">
      <w:pPr>
        <w:pStyle w:val="Default"/>
        <w:numPr>
          <w:ilvl w:val="0"/>
          <w:numId w:val="4"/>
        </w:numPr>
        <w:spacing w:after="120"/>
        <w:ind w:left="357" w:hanging="357"/>
        <w:rPr>
          <w:rFonts w:ascii="Arial" w:hAnsi="Arial" w:cs="Arial"/>
          <w:sz w:val="22"/>
          <w:szCs w:val="22"/>
        </w:rPr>
      </w:pPr>
      <w:r w:rsidRPr="001322E8">
        <w:rPr>
          <w:rFonts w:ascii="Arial" w:hAnsi="Arial" w:cs="Arial"/>
          <w:sz w:val="22"/>
          <w:szCs w:val="22"/>
        </w:rPr>
        <w:t>bank deposits held</w:t>
      </w:r>
    </w:p>
    <w:p w14:paraId="3CC08F01" w14:textId="6E611698" w:rsidR="00671AD7" w:rsidRPr="001322E8" w:rsidRDefault="00671AD7" w:rsidP="007F6F33">
      <w:pPr>
        <w:pStyle w:val="Default"/>
        <w:numPr>
          <w:ilvl w:val="0"/>
          <w:numId w:val="4"/>
        </w:numPr>
        <w:spacing w:after="120"/>
        <w:ind w:left="357" w:hanging="357"/>
        <w:rPr>
          <w:rFonts w:ascii="Arial" w:hAnsi="Arial" w:cs="Arial"/>
          <w:sz w:val="22"/>
          <w:szCs w:val="22"/>
        </w:rPr>
      </w:pPr>
      <w:r w:rsidRPr="001322E8">
        <w:rPr>
          <w:rFonts w:ascii="Arial" w:hAnsi="Arial" w:cs="Arial"/>
          <w:sz w:val="22"/>
          <w:szCs w:val="22"/>
        </w:rPr>
        <w:t>loan facilities – for example</w:t>
      </w:r>
      <w:r w:rsidR="002908FF" w:rsidRPr="001322E8">
        <w:rPr>
          <w:rFonts w:ascii="Arial" w:hAnsi="Arial" w:cs="Arial"/>
          <w:sz w:val="22"/>
          <w:szCs w:val="22"/>
        </w:rPr>
        <w:t>,</w:t>
      </w:r>
      <w:r w:rsidRPr="001322E8">
        <w:rPr>
          <w:rFonts w:ascii="Arial" w:hAnsi="Arial" w:cs="Arial"/>
          <w:sz w:val="22"/>
          <w:szCs w:val="22"/>
        </w:rPr>
        <w:t xml:space="preserve"> loan agreements signed by all parties or loan agreements conditional on the award of a title are acceptable</w:t>
      </w:r>
      <w:r w:rsidR="002908FF" w:rsidRPr="001322E8">
        <w:rPr>
          <w:rFonts w:ascii="Arial" w:hAnsi="Arial" w:cs="Arial"/>
          <w:sz w:val="22"/>
          <w:szCs w:val="22"/>
        </w:rPr>
        <w:t>,</w:t>
      </w:r>
      <w:r w:rsidRPr="001322E8">
        <w:rPr>
          <w:rFonts w:ascii="Arial" w:hAnsi="Arial" w:cs="Arial"/>
          <w:sz w:val="22"/>
          <w:szCs w:val="22"/>
        </w:rPr>
        <w:t xml:space="preserve"> not letters of intent from a loan institution</w:t>
      </w:r>
    </w:p>
    <w:p w14:paraId="683AFE76" w14:textId="43A6E121" w:rsidR="00671AD7" w:rsidRPr="001322E8" w:rsidRDefault="00671AD7" w:rsidP="007F6F33">
      <w:pPr>
        <w:pStyle w:val="Default"/>
        <w:numPr>
          <w:ilvl w:val="0"/>
          <w:numId w:val="4"/>
        </w:numPr>
        <w:spacing w:after="120"/>
        <w:ind w:left="357" w:hanging="357"/>
        <w:rPr>
          <w:rFonts w:ascii="Arial" w:hAnsi="Arial" w:cs="Arial"/>
          <w:sz w:val="22"/>
          <w:szCs w:val="22"/>
        </w:rPr>
      </w:pPr>
      <w:r w:rsidRPr="001322E8">
        <w:rPr>
          <w:rFonts w:ascii="Arial" w:hAnsi="Arial" w:cs="Arial"/>
          <w:sz w:val="22"/>
          <w:szCs w:val="22"/>
        </w:rPr>
        <w:t>other guarantee: e.g. a bank guarantee, or guarantee from an accountant of a certified statement of an individual’s capacity to fund (high net worth individuals)</w:t>
      </w:r>
    </w:p>
    <w:p w14:paraId="3A40DB72" w14:textId="5AE21FDF" w:rsidR="00671AD7" w:rsidRPr="001322E8" w:rsidRDefault="00671AD7" w:rsidP="007F6F33">
      <w:pPr>
        <w:pStyle w:val="Default"/>
        <w:numPr>
          <w:ilvl w:val="0"/>
          <w:numId w:val="4"/>
        </w:numPr>
        <w:spacing w:after="120"/>
        <w:ind w:left="357" w:hanging="357"/>
        <w:rPr>
          <w:rFonts w:ascii="Arial" w:hAnsi="Arial" w:cs="Arial"/>
          <w:sz w:val="22"/>
          <w:szCs w:val="22"/>
        </w:rPr>
      </w:pPr>
      <w:r w:rsidRPr="001322E8">
        <w:rPr>
          <w:rFonts w:ascii="Arial" w:hAnsi="Arial" w:cs="Arial"/>
          <w:sz w:val="22"/>
          <w:szCs w:val="22"/>
        </w:rPr>
        <w:t xml:space="preserve">forecast cash flows - </w:t>
      </w:r>
      <w:r w:rsidR="00592079">
        <w:rPr>
          <w:rFonts w:ascii="Arial" w:hAnsi="Arial" w:cs="Arial"/>
          <w:sz w:val="22"/>
          <w:szCs w:val="22"/>
        </w:rPr>
        <w:t>if</w:t>
      </w:r>
      <w:r w:rsidRPr="001322E8">
        <w:rPr>
          <w:rFonts w:ascii="Arial" w:hAnsi="Arial" w:cs="Arial"/>
          <w:sz w:val="22"/>
          <w:szCs w:val="22"/>
        </w:rPr>
        <w:t xml:space="preserve"> an applicant has existing assets and those assets have proven reserves and are in production, or production is imminent (speculative cash flows, </w:t>
      </w:r>
      <w:r w:rsidR="00592079">
        <w:rPr>
          <w:rFonts w:ascii="Arial" w:hAnsi="Arial" w:cs="Arial"/>
          <w:sz w:val="22"/>
          <w:szCs w:val="22"/>
        </w:rPr>
        <w:t>if</w:t>
      </w:r>
      <w:r w:rsidRPr="001322E8">
        <w:rPr>
          <w:rFonts w:ascii="Arial" w:hAnsi="Arial" w:cs="Arial"/>
          <w:sz w:val="22"/>
          <w:szCs w:val="22"/>
        </w:rPr>
        <w:t xml:space="preserve"> the assets are not in production and production is not imminent, are not acceptable)</w:t>
      </w:r>
    </w:p>
    <w:p w14:paraId="652F7170" w14:textId="77777777" w:rsidR="00671AD7" w:rsidRPr="001322E8" w:rsidRDefault="00671AD7" w:rsidP="007F6F33">
      <w:pPr>
        <w:pStyle w:val="Default"/>
        <w:numPr>
          <w:ilvl w:val="0"/>
          <w:numId w:val="5"/>
        </w:numPr>
        <w:spacing w:after="120"/>
        <w:ind w:left="357" w:hanging="357"/>
        <w:rPr>
          <w:rFonts w:ascii="Arial" w:hAnsi="Arial" w:cs="Arial"/>
          <w:sz w:val="22"/>
          <w:szCs w:val="22"/>
        </w:rPr>
      </w:pPr>
      <w:r w:rsidRPr="001322E8">
        <w:rPr>
          <w:rFonts w:ascii="Arial" w:hAnsi="Arial" w:cs="Arial"/>
          <w:sz w:val="22"/>
          <w:szCs w:val="22"/>
        </w:rPr>
        <w:t>track record of successful funding of exploration projects</w:t>
      </w:r>
    </w:p>
    <w:p w14:paraId="681FCB66" w14:textId="77777777" w:rsidR="00671AD7" w:rsidRPr="001322E8" w:rsidRDefault="00671AD7" w:rsidP="007F6F33">
      <w:pPr>
        <w:pStyle w:val="Default"/>
        <w:numPr>
          <w:ilvl w:val="0"/>
          <w:numId w:val="5"/>
        </w:numPr>
        <w:spacing w:after="120"/>
        <w:ind w:left="357" w:hanging="357"/>
        <w:rPr>
          <w:rFonts w:ascii="Arial" w:hAnsi="Arial" w:cs="Arial"/>
          <w:sz w:val="22"/>
          <w:szCs w:val="22"/>
        </w:rPr>
      </w:pPr>
      <w:r w:rsidRPr="001322E8">
        <w:rPr>
          <w:rFonts w:ascii="Arial" w:hAnsi="Arial" w:cs="Arial"/>
          <w:sz w:val="22"/>
          <w:szCs w:val="22"/>
        </w:rPr>
        <w:t>proven ability to attract farm-in partners</w:t>
      </w:r>
    </w:p>
    <w:p w14:paraId="26CAEF9C" w14:textId="77777777" w:rsidR="00671AD7" w:rsidRPr="001322E8" w:rsidRDefault="00671AD7" w:rsidP="007F6F33">
      <w:pPr>
        <w:pStyle w:val="Default"/>
        <w:numPr>
          <w:ilvl w:val="0"/>
          <w:numId w:val="5"/>
        </w:numPr>
        <w:spacing w:after="120"/>
        <w:ind w:left="357" w:hanging="357"/>
        <w:rPr>
          <w:rFonts w:ascii="Arial" w:hAnsi="Arial" w:cs="Arial"/>
          <w:sz w:val="22"/>
          <w:szCs w:val="22"/>
        </w:rPr>
      </w:pPr>
      <w:r w:rsidRPr="001322E8">
        <w:rPr>
          <w:rFonts w:ascii="Arial" w:hAnsi="Arial" w:cs="Arial"/>
          <w:sz w:val="22"/>
          <w:szCs w:val="22"/>
        </w:rPr>
        <w:t>proven ability to raise capital by public or private means</w:t>
      </w:r>
    </w:p>
    <w:p w14:paraId="5256E832" w14:textId="2620BF4A" w:rsidR="00671AD7" w:rsidRPr="001322E8" w:rsidRDefault="00671AD7" w:rsidP="007F6F33">
      <w:pPr>
        <w:pStyle w:val="Default"/>
        <w:numPr>
          <w:ilvl w:val="0"/>
          <w:numId w:val="5"/>
        </w:numPr>
        <w:spacing w:after="120"/>
        <w:ind w:left="357" w:hanging="357"/>
        <w:rPr>
          <w:rFonts w:ascii="Arial" w:hAnsi="Arial" w:cs="Arial"/>
          <w:sz w:val="22"/>
          <w:szCs w:val="22"/>
        </w:rPr>
      </w:pPr>
      <w:r w:rsidRPr="001322E8">
        <w:rPr>
          <w:rFonts w:ascii="Arial" w:hAnsi="Arial" w:cs="Arial"/>
          <w:sz w:val="22"/>
          <w:szCs w:val="22"/>
        </w:rPr>
        <w:t xml:space="preserve">letter of guarantee from capital raising entity (although arrangements with financial institutions or brokerage </w:t>
      </w:r>
      <w:r w:rsidR="00972949">
        <w:rPr>
          <w:rFonts w:ascii="Arial" w:hAnsi="Arial" w:cs="Arial"/>
          <w:sz w:val="22"/>
          <w:szCs w:val="22"/>
        </w:rPr>
        <w:t>firms</w:t>
      </w:r>
      <w:r w:rsidRPr="001322E8">
        <w:rPr>
          <w:rFonts w:ascii="Arial" w:hAnsi="Arial" w:cs="Arial"/>
          <w:sz w:val="22"/>
          <w:szCs w:val="22"/>
        </w:rPr>
        <w:t xml:space="preserve"> th</w:t>
      </w:r>
      <w:r w:rsidR="00592079">
        <w:rPr>
          <w:rFonts w:ascii="Arial" w:hAnsi="Arial" w:cs="Arial"/>
          <w:sz w:val="22"/>
          <w:szCs w:val="22"/>
        </w:rPr>
        <w:t>at</w:t>
      </w:r>
      <w:r w:rsidRPr="001322E8">
        <w:rPr>
          <w:rFonts w:ascii="Arial" w:hAnsi="Arial" w:cs="Arial"/>
          <w:sz w:val="22"/>
          <w:szCs w:val="22"/>
        </w:rPr>
        <w:t xml:space="preserve"> undertake to raise equity on a best efforts basis are not adequate evidence of funding)</w:t>
      </w:r>
    </w:p>
    <w:p w14:paraId="6B16ACAA" w14:textId="77777777" w:rsidR="00671AD7" w:rsidRPr="001322E8" w:rsidRDefault="00671AD7" w:rsidP="007F6F33">
      <w:pPr>
        <w:pStyle w:val="Default"/>
        <w:numPr>
          <w:ilvl w:val="0"/>
          <w:numId w:val="5"/>
        </w:numPr>
        <w:spacing w:after="120"/>
        <w:ind w:left="357" w:hanging="357"/>
        <w:rPr>
          <w:rFonts w:ascii="Arial" w:hAnsi="Arial" w:cs="Arial"/>
          <w:sz w:val="22"/>
          <w:szCs w:val="22"/>
        </w:rPr>
      </w:pPr>
      <w:r w:rsidRPr="001322E8">
        <w:rPr>
          <w:rFonts w:ascii="Arial" w:hAnsi="Arial" w:cs="Arial"/>
          <w:sz w:val="22"/>
          <w:szCs w:val="22"/>
        </w:rPr>
        <w:t>evidence that a satisfactory Joint Venture Operating Agreement has been or can be reached.</w:t>
      </w:r>
    </w:p>
    <w:p w14:paraId="5FEAE22D" w14:textId="77777777" w:rsidR="00671AD7" w:rsidRPr="001322E8" w:rsidRDefault="00671AD7" w:rsidP="00671AD7">
      <w:pPr>
        <w:rPr>
          <w:rFonts w:ascii="Arial" w:eastAsia="Times New Roman" w:hAnsi="Arial" w:cs="Arial"/>
          <w:lang w:eastAsia="en-AU"/>
        </w:rPr>
      </w:pPr>
      <w:r w:rsidRPr="001322E8">
        <w:rPr>
          <w:rFonts w:ascii="Arial" w:hAnsi="Arial" w:cs="Arial"/>
        </w:rPr>
        <w:br w:type="page"/>
      </w:r>
    </w:p>
    <w:p w14:paraId="34D5F5C2" w14:textId="5FDC5041" w:rsidR="00671AD7" w:rsidRPr="00FD0301" w:rsidRDefault="00D44DB1" w:rsidP="00FD0301">
      <w:pPr>
        <w:pStyle w:val="Heading1"/>
        <w:numPr>
          <w:ilvl w:val="0"/>
          <w:numId w:val="0"/>
        </w:numPr>
      </w:pPr>
      <w:bookmarkStart w:id="92" w:name="_Toc511217958"/>
      <w:r w:rsidRPr="001322E8">
        <w:rPr>
          <w:rFonts w:ascii="Arial" w:hAnsi="Arial" w:cs="Arial"/>
        </w:rPr>
        <w:lastRenderedPageBreak/>
        <w:t>Attachment 2</w:t>
      </w:r>
      <w:r w:rsidR="0048775A" w:rsidRPr="001322E8">
        <w:rPr>
          <w:rFonts w:ascii="Arial" w:hAnsi="Arial" w:cs="Arial"/>
        </w:rPr>
        <w:t xml:space="preserve"> – </w:t>
      </w:r>
      <w:r w:rsidRPr="001322E8">
        <w:rPr>
          <w:rFonts w:ascii="Arial" w:hAnsi="Arial" w:cs="Arial"/>
        </w:rPr>
        <w:t>Effects of dealings</w:t>
      </w:r>
      <w:bookmarkEnd w:id="92"/>
    </w:p>
    <w:tbl>
      <w:tblPr>
        <w:tblStyle w:val="TableGrid"/>
        <w:tblW w:w="9129" w:type="dxa"/>
        <w:tblLook w:val="04A0" w:firstRow="1" w:lastRow="0" w:firstColumn="1" w:lastColumn="0" w:noHBand="0" w:noVBand="1"/>
        <w:tblCaption w:val="Effects of dealings"/>
        <w:tblDescription w:val="Lists the effects on dealings and provides examples of these effects."/>
      </w:tblPr>
      <w:tblGrid>
        <w:gridCol w:w="628"/>
        <w:gridCol w:w="4617"/>
        <w:gridCol w:w="3884"/>
      </w:tblGrid>
      <w:tr w:rsidR="00671AD7" w:rsidRPr="00047D92" w14:paraId="1D6B077A" w14:textId="77777777" w:rsidTr="00FD0301">
        <w:trPr>
          <w:tblHeader/>
        </w:trPr>
        <w:tc>
          <w:tcPr>
            <w:tcW w:w="628" w:type="dxa"/>
            <w:tcBorders>
              <w:top w:val="single" w:sz="12" w:space="0" w:color="auto"/>
              <w:left w:val="nil"/>
              <w:bottom w:val="single" w:sz="12" w:space="0" w:color="auto"/>
            </w:tcBorders>
          </w:tcPr>
          <w:p w14:paraId="0F41EDC5" w14:textId="77777777" w:rsidR="00671AD7" w:rsidRPr="00FE2679" w:rsidRDefault="00671AD7" w:rsidP="00671AD7">
            <w:pPr>
              <w:spacing w:before="120" w:after="120"/>
              <w:rPr>
                <w:rFonts w:ascii="Arial" w:hAnsi="Arial" w:cs="Arial"/>
                <w:b/>
                <w:sz w:val="20"/>
                <w:szCs w:val="20"/>
              </w:rPr>
            </w:pPr>
            <w:r w:rsidRPr="00FE2679">
              <w:rPr>
                <w:rFonts w:ascii="Arial" w:hAnsi="Arial" w:cs="Arial"/>
                <w:b/>
                <w:sz w:val="20"/>
                <w:szCs w:val="20"/>
              </w:rPr>
              <w:t>Item</w:t>
            </w:r>
          </w:p>
        </w:tc>
        <w:tc>
          <w:tcPr>
            <w:tcW w:w="4617" w:type="dxa"/>
            <w:tcBorders>
              <w:top w:val="single" w:sz="12" w:space="0" w:color="auto"/>
              <w:bottom w:val="single" w:sz="12" w:space="0" w:color="auto"/>
            </w:tcBorders>
          </w:tcPr>
          <w:p w14:paraId="6F4B4D52" w14:textId="77777777" w:rsidR="00671AD7" w:rsidRPr="00FE2679" w:rsidRDefault="00671AD7" w:rsidP="00671AD7">
            <w:pPr>
              <w:spacing w:before="120" w:after="120"/>
              <w:rPr>
                <w:rFonts w:ascii="Arial" w:hAnsi="Arial" w:cs="Arial"/>
                <w:b/>
                <w:sz w:val="20"/>
                <w:szCs w:val="20"/>
              </w:rPr>
            </w:pPr>
            <w:r w:rsidRPr="00FE2679">
              <w:rPr>
                <w:rFonts w:ascii="Arial" w:hAnsi="Arial" w:cs="Arial"/>
                <w:b/>
                <w:sz w:val="20"/>
                <w:szCs w:val="20"/>
              </w:rPr>
              <w:t>Effect</w:t>
            </w:r>
          </w:p>
        </w:tc>
        <w:tc>
          <w:tcPr>
            <w:tcW w:w="3884" w:type="dxa"/>
            <w:tcBorders>
              <w:top w:val="single" w:sz="12" w:space="0" w:color="auto"/>
              <w:bottom w:val="single" w:sz="12" w:space="0" w:color="auto"/>
              <w:right w:val="nil"/>
            </w:tcBorders>
          </w:tcPr>
          <w:p w14:paraId="36E229D1" w14:textId="77777777" w:rsidR="00671AD7" w:rsidRPr="00FE2679" w:rsidRDefault="00671AD7" w:rsidP="00671AD7">
            <w:pPr>
              <w:spacing w:before="120" w:after="120"/>
              <w:rPr>
                <w:rFonts w:ascii="Arial" w:hAnsi="Arial" w:cs="Arial"/>
                <w:b/>
                <w:sz w:val="20"/>
                <w:szCs w:val="20"/>
              </w:rPr>
            </w:pPr>
            <w:r w:rsidRPr="00FE2679">
              <w:rPr>
                <w:rFonts w:ascii="Arial" w:hAnsi="Arial" w:cs="Arial"/>
                <w:b/>
                <w:sz w:val="20"/>
                <w:szCs w:val="20"/>
              </w:rPr>
              <w:t xml:space="preserve">Example </w:t>
            </w:r>
            <w:r w:rsidRPr="00FE2679">
              <w:rPr>
                <w:rFonts w:ascii="Arial" w:hAnsi="Arial" w:cs="Arial"/>
                <w:sz w:val="20"/>
                <w:szCs w:val="20"/>
              </w:rPr>
              <w:t>(include but are not limited to)</w:t>
            </w:r>
          </w:p>
        </w:tc>
      </w:tr>
      <w:tr w:rsidR="00671AD7" w:rsidRPr="00047D92" w14:paraId="5D1388F5" w14:textId="77777777" w:rsidTr="00FD0301">
        <w:tc>
          <w:tcPr>
            <w:tcW w:w="628" w:type="dxa"/>
            <w:tcBorders>
              <w:top w:val="single" w:sz="12" w:space="0" w:color="auto"/>
              <w:left w:val="nil"/>
            </w:tcBorders>
          </w:tcPr>
          <w:p w14:paraId="2E0A90EA" w14:textId="77777777" w:rsidR="00671AD7" w:rsidRPr="00FE2679" w:rsidRDefault="00671AD7" w:rsidP="00671AD7">
            <w:pPr>
              <w:rPr>
                <w:rFonts w:ascii="Arial" w:hAnsi="Arial" w:cs="Arial"/>
                <w:sz w:val="20"/>
                <w:szCs w:val="20"/>
              </w:rPr>
            </w:pPr>
            <w:r w:rsidRPr="00FE2679">
              <w:rPr>
                <w:rFonts w:ascii="Arial" w:hAnsi="Arial" w:cs="Arial"/>
                <w:sz w:val="20"/>
                <w:szCs w:val="20"/>
              </w:rPr>
              <w:t>1</w:t>
            </w:r>
          </w:p>
        </w:tc>
        <w:tc>
          <w:tcPr>
            <w:tcW w:w="4617" w:type="dxa"/>
            <w:tcBorders>
              <w:top w:val="single" w:sz="12" w:space="0" w:color="auto"/>
            </w:tcBorders>
          </w:tcPr>
          <w:p w14:paraId="66662052" w14:textId="77777777" w:rsidR="00671AD7" w:rsidRPr="00FE2679" w:rsidRDefault="00671AD7" w:rsidP="00671AD7">
            <w:pPr>
              <w:rPr>
                <w:rFonts w:ascii="Arial" w:hAnsi="Arial" w:cs="Arial"/>
                <w:sz w:val="20"/>
                <w:szCs w:val="20"/>
              </w:rPr>
            </w:pPr>
            <w:r w:rsidRPr="00FE2679">
              <w:rPr>
                <w:rFonts w:ascii="Arial" w:hAnsi="Arial" w:cs="Arial"/>
                <w:sz w:val="20"/>
                <w:szCs w:val="20"/>
              </w:rPr>
              <w:t>The creation or assignment of an interest in an existing title.</w:t>
            </w:r>
          </w:p>
        </w:tc>
        <w:tc>
          <w:tcPr>
            <w:tcW w:w="3884" w:type="dxa"/>
            <w:tcBorders>
              <w:top w:val="single" w:sz="12" w:space="0" w:color="auto"/>
              <w:right w:val="nil"/>
            </w:tcBorders>
          </w:tcPr>
          <w:p w14:paraId="76F2D648" w14:textId="77777777" w:rsidR="00671AD7" w:rsidRPr="00FE2679" w:rsidRDefault="00671AD7" w:rsidP="00671AD7">
            <w:pPr>
              <w:rPr>
                <w:rFonts w:ascii="Arial" w:hAnsi="Arial" w:cs="Arial"/>
                <w:sz w:val="20"/>
                <w:szCs w:val="20"/>
              </w:rPr>
            </w:pPr>
            <w:r w:rsidRPr="00FE2679">
              <w:rPr>
                <w:rFonts w:ascii="Arial" w:hAnsi="Arial" w:cs="Arial"/>
                <w:color w:val="0070C0"/>
                <w:sz w:val="20"/>
                <w:szCs w:val="20"/>
              </w:rPr>
              <w:t>Sale and Purchase Agreements, Deeds of Assignment and Assumption, unconditional “farm-in and farm-out agreements”, and charges over an interest</w:t>
            </w:r>
          </w:p>
        </w:tc>
      </w:tr>
      <w:tr w:rsidR="00671AD7" w:rsidRPr="00047D92" w14:paraId="0AF6B0F7" w14:textId="77777777" w:rsidTr="00FD0301">
        <w:tc>
          <w:tcPr>
            <w:tcW w:w="628" w:type="dxa"/>
            <w:tcBorders>
              <w:left w:val="nil"/>
            </w:tcBorders>
          </w:tcPr>
          <w:p w14:paraId="517A0222" w14:textId="77777777" w:rsidR="00671AD7" w:rsidRPr="00FE2679" w:rsidRDefault="00671AD7" w:rsidP="00671AD7">
            <w:pPr>
              <w:spacing w:before="100" w:beforeAutospacing="1" w:after="100" w:afterAutospacing="1"/>
              <w:rPr>
                <w:rFonts w:ascii="Arial" w:hAnsi="Arial" w:cs="Arial"/>
                <w:sz w:val="20"/>
                <w:szCs w:val="20"/>
              </w:rPr>
            </w:pPr>
            <w:r w:rsidRPr="00FE2679">
              <w:rPr>
                <w:rFonts w:ascii="Arial" w:hAnsi="Arial" w:cs="Arial"/>
                <w:sz w:val="20"/>
                <w:szCs w:val="20"/>
              </w:rPr>
              <w:t>2</w:t>
            </w:r>
          </w:p>
        </w:tc>
        <w:tc>
          <w:tcPr>
            <w:tcW w:w="4617" w:type="dxa"/>
          </w:tcPr>
          <w:p w14:paraId="50B0B81A" w14:textId="77777777" w:rsidR="00671AD7" w:rsidRPr="00FE2679" w:rsidRDefault="00671AD7" w:rsidP="00671AD7">
            <w:pPr>
              <w:spacing w:before="100" w:beforeAutospacing="1" w:after="100" w:afterAutospacing="1"/>
              <w:rPr>
                <w:rFonts w:ascii="Arial" w:hAnsi="Arial" w:cs="Arial"/>
                <w:sz w:val="20"/>
                <w:szCs w:val="20"/>
              </w:rPr>
            </w:pPr>
            <w:r w:rsidRPr="00FE2679">
              <w:rPr>
                <w:rFonts w:ascii="Arial" w:hAnsi="Arial" w:cs="Arial"/>
                <w:sz w:val="20"/>
                <w:szCs w:val="20"/>
              </w:rPr>
              <w:t>The creation or assignment of a right (conditional or otherwise) to the assignment of an interest in an existing title.</w:t>
            </w:r>
          </w:p>
        </w:tc>
        <w:tc>
          <w:tcPr>
            <w:tcW w:w="3884" w:type="dxa"/>
            <w:tcBorders>
              <w:right w:val="nil"/>
            </w:tcBorders>
          </w:tcPr>
          <w:p w14:paraId="2693B0E9" w14:textId="77777777" w:rsidR="00671AD7" w:rsidRPr="00FE2679" w:rsidRDefault="00671AD7" w:rsidP="00671AD7">
            <w:pPr>
              <w:rPr>
                <w:rFonts w:ascii="Arial" w:hAnsi="Arial" w:cs="Arial"/>
                <w:color w:val="0070C0"/>
                <w:sz w:val="20"/>
                <w:szCs w:val="20"/>
              </w:rPr>
            </w:pPr>
            <w:r w:rsidRPr="00FE2679">
              <w:rPr>
                <w:rFonts w:ascii="Arial" w:hAnsi="Arial" w:cs="Arial"/>
                <w:color w:val="0070C0"/>
                <w:sz w:val="20"/>
                <w:szCs w:val="20"/>
              </w:rPr>
              <w:t>Trustee arrangements, Deeds of Assignment and Assumption and conditional “farm-in and farm-out agreements”</w:t>
            </w:r>
          </w:p>
        </w:tc>
      </w:tr>
      <w:tr w:rsidR="00671AD7" w:rsidRPr="00047D92" w14:paraId="4588B5E9" w14:textId="77777777" w:rsidTr="00FD0301">
        <w:tc>
          <w:tcPr>
            <w:tcW w:w="628" w:type="dxa"/>
            <w:tcBorders>
              <w:left w:val="nil"/>
            </w:tcBorders>
          </w:tcPr>
          <w:p w14:paraId="34EFB0CC" w14:textId="77777777" w:rsidR="00671AD7" w:rsidRPr="00FE2679" w:rsidRDefault="00671AD7" w:rsidP="00671AD7">
            <w:pPr>
              <w:spacing w:before="100" w:beforeAutospacing="1" w:after="100" w:afterAutospacing="1"/>
              <w:rPr>
                <w:rFonts w:ascii="Arial" w:hAnsi="Arial" w:cs="Arial"/>
                <w:sz w:val="20"/>
                <w:szCs w:val="20"/>
              </w:rPr>
            </w:pPr>
            <w:r w:rsidRPr="00FE2679">
              <w:rPr>
                <w:rFonts w:ascii="Arial" w:hAnsi="Arial" w:cs="Arial"/>
                <w:sz w:val="20"/>
                <w:szCs w:val="20"/>
              </w:rPr>
              <w:t>3</w:t>
            </w:r>
          </w:p>
        </w:tc>
        <w:tc>
          <w:tcPr>
            <w:tcW w:w="4617" w:type="dxa"/>
          </w:tcPr>
          <w:p w14:paraId="6A5E5D5F" w14:textId="77777777" w:rsidR="00671AD7" w:rsidRPr="00FE2679" w:rsidRDefault="00671AD7" w:rsidP="00671AD7">
            <w:pPr>
              <w:spacing w:after="120"/>
              <w:rPr>
                <w:rFonts w:ascii="Arial" w:hAnsi="Arial" w:cs="Arial"/>
                <w:sz w:val="20"/>
                <w:szCs w:val="20"/>
              </w:rPr>
            </w:pPr>
            <w:r w:rsidRPr="00FE2679">
              <w:rPr>
                <w:rFonts w:ascii="Arial" w:hAnsi="Arial" w:cs="Arial"/>
                <w:sz w:val="20"/>
                <w:szCs w:val="20"/>
              </w:rPr>
              <w:t>The determination of the manner in which persons may:</w:t>
            </w:r>
          </w:p>
          <w:p w14:paraId="4130E87E" w14:textId="77777777" w:rsidR="00671AD7" w:rsidRPr="00FE2679" w:rsidRDefault="00671AD7" w:rsidP="00671AD7">
            <w:pPr>
              <w:pStyle w:val="ListParagraph"/>
              <w:numPr>
                <w:ilvl w:val="0"/>
                <w:numId w:val="7"/>
              </w:numPr>
              <w:spacing w:after="120"/>
              <w:ind w:left="475" w:hanging="406"/>
              <w:rPr>
                <w:rFonts w:ascii="Arial" w:hAnsi="Arial" w:cs="Arial"/>
                <w:sz w:val="20"/>
                <w:szCs w:val="20"/>
              </w:rPr>
            </w:pPr>
            <w:r w:rsidRPr="00FE2679">
              <w:rPr>
                <w:rFonts w:ascii="Arial" w:hAnsi="Arial" w:cs="Arial"/>
                <w:sz w:val="20"/>
                <w:szCs w:val="20"/>
              </w:rPr>
              <w:t>exercise the rights conferred by an existing title; or</w:t>
            </w:r>
          </w:p>
          <w:p w14:paraId="0C540198" w14:textId="77777777" w:rsidR="00671AD7" w:rsidRPr="00FE2679" w:rsidRDefault="00671AD7" w:rsidP="00671AD7">
            <w:pPr>
              <w:pStyle w:val="ListParagraph"/>
              <w:numPr>
                <w:ilvl w:val="0"/>
                <w:numId w:val="7"/>
              </w:numPr>
              <w:spacing w:after="120"/>
              <w:ind w:left="475" w:hanging="406"/>
              <w:rPr>
                <w:rFonts w:ascii="Arial" w:hAnsi="Arial" w:cs="Arial"/>
                <w:sz w:val="20"/>
                <w:szCs w:val="20"/>
              </w:rPr>
            </w:pPr>
            <w:r w:rsidRPr="00FE2679">
              <w:rPr>
                <w:rFonts w:ascii="Arial" w:hAnsi="Arial" w:cs="Arial"/>
                <w:sz w:val="20"/>
                <w:szCs w:val="20"/>
              </w:rPr>
              <w:t>comply with the obligations imposed by an existing title; or</w:t>
            </w:r>
          </w:p>
          <w:p w14:paraId="0DCDD334" w14:textId="77777777" w:rsidR="00671AD7" w:rsidRPr="00FE2679" w:rsidRDefault="00671AD7" w:rsidP="00671AD7">
            <w:pPr>
              <w:pStyle w:val="ListParagraph"/>
              <w:numPr>
                <w:ilvl w:val="0"/>
                <w:numId w:val="7"/>
              </w:numPr>
              <w:spacing w:after="120"/>
              <w:ind w:left="475" w:hanging="406"/>
              <w:rPr>
                <w:rFonts w:ascii="Arial" w:hAnsi="Arial" w:cs="Arial"/>
                <w:sz w:val="20"/>
                <w:szCs w:val="20"/>
              </w:rPr>
            </w:pPr>
            <w:r w:rsidRPr="00FE2679">
              <w:rPr>
                <w:rFonts w:ascii="Arial" w:hAnsi="Arial" w:cs="Arial"/>
                <w:sz w:val="20"/>
                <w:szCs w:val="20"/>
              </w:rPr>
              <w:t>comply with the conditions of an existing title;</w:t>
            </w:r>
            <w:r w:rsidRPr="00FE2679">
              <w:rPr>
                <w:rFonts w:ascii="Arial" w:hAnsi="Arial" w:cs="Arial"/>
                <w:sz w:val="20"/>
                <w:szCs w:val="20"/>
              </w:rPr>
              <w:br/>
            </w:r>
          </w:p>
          <w:p w14:paraId="2C2C2119" w14:textId="77777777" w:rsidR="00671AD7" w:rsidRPr="00FE2679" w:rsidRDefault="00671AD7" w:rsidP="00671AD7">
            <w:pPr>
              <w:pStyle w:val="ListParagraph"/>
              <w:spacing w:after="120"/>
              <w:ind w:left="475"/>
              <w:rPr>
                <w:rFonts w:ascii="Arial" w:hAnsi="Arial" w:cs="Arial"/>
                <w:sz w:val="20"/>
                <w:szCs w:val="20"/>
              </w:rPr>
            </w:pPr>
            <w:r w:rsidRPr="00FE2679">
              <w:rPr>
                <w:rFonts w:ascii="Arial" w:hAnsi="Arial" w:cs="Arial"/>
                <w:sz w:val="20"/>
                <w:szCs w:val="20"/>
              </w:rPr>
              <w:t>(including the exercise of those rights, or the compliance with those obligations or conditions, under cooperative arrangements to recover petroleum).</w:t>
            </w:r>
          </w:p>
        </w:tc>
        <w:tc>
          <w:tcPr>
            <w:tcW w:w="3884" w:type="dxa"/>
            <w:tcBorders>
              <w:right w:val="nil"/>
            </w:tcBorders>
          </w:tcPr>
          <w:p w14:paraId="33FE8031" w14:textId="77777777" w:rsidR="00671AD7" w:rsidRPr="00FE2679" w:rsidRDefault="00671AD7" w:rsidP="00671AD7">
            <w:pPr>
              <w:rPr>
                <w:rFonts w:ascii="Arial" w:hAnsi="Arial" w:cs="Arial"/>
                <w:color w:val="0070C0"/>
                <w:sz w:val="20"/>
                <w:szCs w:val="20"/>
              </w:rPr>
            </w:pPr>
            <w:r w:rsidRPr="00FE2679">
              <w:rPr>
                <w:rFonts w:ascii="Arial" w:hAnsi="Arial" w:cs="Arial"/>
                <w:color w:val="0070C0"/>
                <w:sz w:val="20"/>
                <w:szCs w:val="20"/>
              </w:rPr>
              <w:t>Joint operating agreement, joint venture operating agreements, and unit development agreements</w:t>
            </w:r>
          </w:p>
        </w:tc>
      </w:tr>
      <w:tr w:rsidR="00671AD7" w:rsidRPr="00047D92" w14:paraId="0998070B" w14:textId="77777777" w:rsidTr="00FD0301">
        <w:tc>
          <w:tcPr>
            <w:tcW w:w="628" w:type="dxa"/>
            <w:tcBorders>
              <w:left w:val="nil"/>
            </w:tcBorders>
          </w:tcPr>
          <w:p w14:paraId="28B78AE1" w14:textId="77777777" w:rsidR="00671AD7" w:rsidRPr="00FE2679" w:rsidRDefault="00671AD7" w:rsidP="00671AD7">
            <w:pPr>
              <w:spacing w:after="120"/>
              <w:rPr>
                <w:rFonts w:ascii="Arial" w:hAnsi="Arial" w:cs="Arial"/>
                <w:sz w:val="20"/>
                <w:szCs w:val="20"/>
              </w:rPr>
            </w:pPr>
            <w:r w:rsidRPr="00FE2679">
              <w:rPr>
                <w:rFonts w:ascii="Arial" w:hAnsi="Arial" w:cs="Arial"/>
                <w:sz w:val="20"/>
                <w:szCs w:val="20"/>
              </w:rPr>
              <w:t>4</w:t>
            </w:r>
          </w:p>
        </w:tc>
        <w:tc>
          <w:tcPr>
            <w:tcW w:w="4617" w:type="dxa"/>
          </w:tcPr>
          <w:p w14:paraId="2457AE69" w14:textId="77777777" w:rsidR="00671AD7" w:rsidRPr="00FE2679" w:rsidRDefault="00671AD7" w:rsidP="00671AD7">
            <w:pPr>
              <w:spacing w:after="120"/>
              <w:rPr>
                <w:rFonts w:ascii="Arial" w:hAnsi="Arial" w:cs="Arial"/>
                <w:sz w:val="20"/>
                <w:szCs w:val="20"/>
              </w:rPr>
            </w:pPr>
            <w:r w:rsidRPr="00FE2679">
              <w:rPr>
                <w:rFonts w:ascii="Arial" w:hAnsi="Arial" w:cs="Arial"/>
                <w:sz w:val="20"/>
                <w:szCs w:val="20"/>
              </w:rPr>
              <w:t>The creation or assignment of an interest in relation to an existing petroleum exploration permit, petroleum retention lease or petroleum production licence, where the interest is known as:</w:t>
            </w:r>
          </w:p>
          <w:p w14:paraId="52CAAF5C" w14:textId="77777777" w:rsidR="00671AD7" w:rsidRPr="00FE2679" w:rsidRDefault="00671AD7" w:rsidP="00671AD7">
            <w:pPr>
              <w:pStyle w:val="ListParagraph"/>
              <w:numPr>
                <w:ilvl w:val="0"/>
                <w:numId w:val="14"/>
              </w:numPr>
              <w:spacing w:after="120"/>
              <w:ind w:left="494" w:hanging="425"/>
              <w:rPr>
                <w:rFonts w:ascii="Arial" w:hAnsi="Arial" w:cs="Arial"/>
                <w:sz w:val="20"/>
                <w:szCs w:val="20"/>
              </w:rPr>
            </w:pPr>
            <w:r w:rsidRPr="00FE2679">
              <w:rPr>
                <w:rFonts w:ascii="Arial" w:hAnsi="Arial" w:cs="Arial"/>
                <w:sz w:val="20"/>
                <w:szCs w:val="20"/>
              </w:rPr>
              <w:t>an overriding royalty interest; or</w:t>
            </w:r>
          </w:p>
          <w:p w14:paraId="44B6459F" w14:textId="77777777" w:rsidR="00671AD7" w:rsidRPr="00FE2679" w:rsidRDefault="00671AD7" w:rsidP="00671AD7">
            <w:pPr>
              <w:pStyle w:val="ListParagraph"/>
              <w:numPr>
                <w:ilvl w:val="0"/>
                <w:numId w:val="14"/>
              </w:numPr>
              <w:spacing w:after="120"/>
              <w:ind w:left="494" w:hanging="425"/>
              <w:rPr>
                <w:rFonts w:ascii="Arial" w:hAnsi="Arial" w:cs="Arial"/>
                <w:sz w:val="20"/>
                <w:szCs w:val="20"/>
              </w:rPr>
            </w:pPr>
            <w:r w:rsidRPr="00FE2679">
              <w:rPr>
                <w:rFonts w:ascii="Arial" w:hAnsi="Arial" w:cs="Arial"/>
                <w:sz w:val="20"/>
                <w:szCs w:val="20"/>
              </w:rPr>
              <w:t>a production payment; or</w:t>
            </w:r>
          </w:p>
          <w:p w14:paraId="1F99BF81" w14:textId="77777777" w:rsidR="00671AD7" w:rsidRPr="00FE2679" w:rsidRDefault="00671AD7" w:rsidP="00671AD7">
            <w:pPr>
              <w:pStyle w:val="ListParagraph"/>
              <w:numPr>
                <w:ilvl w:val="0"/>
                <w:numId w:val="14"/>
              </w:numPr>
              <w:spacing w:after="120"/>
              <w:ind w:left="494" w:hanging="425"/>
              <w:rPr>
                <w:rFonts w:ascii="Arial" w:hAnsi="Arial" w:cs="Arial"/>
                <w:sz w:val="20"/>
                <w:szCs w:val="20"/>
              </w:rPr>
            </w:pPr>
            <w:r w:rsidRPr="00FE2679">
              <w:rPr>
                <w:rFonts w:ascii="Arial" w:hAnsi="Arial" w:cs="Arial"/>
                <w:sz w:val="20"/>
                <w:szCs w:val="20"/>
              </w:rPr>
              <w:t>a net profits interest; or</w:t>
            </w:r>
          </w:p>
          <w:p w14:paraId="68546A10" w14:textId="77777777" w:rsidR="00671AD7" w:rsidRPr="00FE2679" w:rsidRDefault="00671AD7" w:rsidP="00671AD7">
            <w:pPr>
              <w:pStyle w:val="ListParagraph"/>
              <w:numPr>
                <w:ilvl w:val="0"/>
                <w:numId w:val="14"/>
              </w:numPr>
              <w:spacing w:after="120"/>
              <w:ind w:left="494" w:hanging="425"/>
              <w:rPr>
                <w:rFonts w:ascii="Arial" w:hAnsi="Arial" w:cs="Arial"/>
                <w:sz w:val="20"/>
                <w:szCs w:val="20"/>
              </w:rPr>
            </w:pPr>
            <w:r w:rsidRPr="00FE2679">
              <w:rPr>
                <w:rFonts w:ascii="Arial" w:hAnsi="Arial" w:cs="Arial"/>
                <w:sz w:val="20"/>
                <w:szCs w:val="20"/>
              </w:rPr>
              <w:t>a carried interest.</w:t>
            </w:r>
          </w:p>
        </w:tc>
        <w:tc>
          <w:tcPr>
            <w:tcW w:w="3884" w:type="dxa"/>
            <w:tcBorders>
              <w:right w:val="nil"/>
            </w:tcBorders>
          </w:tcPr>
          <w:p w14:paraId="0975DC7B" w14:textId="77777777" w:rsidR="00671AD7" w:rsidRPr="00FE2679" w:rsidRDefault="00671AD7" w:rsidP="00671AD7">
            <w:pPr>
              <w:rPr>
                <w:rFonts w:ascii="Arial" w:hAnsi="Arial" w:cs="Arial"/>
                <w:color w:val="0070C0"/>
                <w:sz w:val="20"/>
                <w:szCs w:val="20"/>
              </w:rPr>
            </w:pPr>
            <w:r w:rsidRPr="00FE2679">
              <w:rPr>
                <w:rFonts w:ascii="Arial" w:hAnsi="Arial" w:cs="Arial"/>
                <w:color w:val="0070C0"/>
                <w:sz w:val="20"/>
                <w:szCs w:val="20"/>
              </w:rPr>
              <w:t>Overriding royalty agreements; production bonus deeds relating to an entitlement of a person to an interest in a title by way of a share of the production of petroleum or revenue derived from production of petroleum from a current or future discovery</w:t>
            </w:r>
          </w:p>
        </w:tc>
      </w:tr>
      <w:tr w:rsidR="00671AD7" w:rsidRPr="00047D92" w14:paraId="01C76B95" w14:textId="77777777" w:rsidTr="00FD0301">
        <w:tc>
          <w:tcPr>
            <w:tcW w:w="628" w:type="dxa"/>
            <w:tcBorders>
              <w:left w:val="nil"/>
            </w:tcBorders>
          </w:tcPr>
          <w:p w14:paraId="2852F8DB" w14:textId="77777777" w:rsidR="00671AD7" w:rsidRPr="00FE2679" w:rsidRDefault="00671AD7" w:rsidP="00671AD7">
            <w:pPr>
              <w:spacing w:before="100" w:beforeAutospacing="1" w:after="100" w:afterAutospacing="1"/>
              <w:rPr>
                <w:rFonts w:ascii="Arial" w:hAnsi="Arial" w:cs="Arial"/>
                <w:sz w:val="20"/>
                <w:szCs w:val="20"/>
              </w:rPr>
            </w:pPr>
            <w:r w:rsidRPr="00FE2679">
              <w:rPr>
                <w:rFonts w:ascii="Arial" w:hAnsi="Arial" w:cs="Arial"/>
                <w:sz w:val="20"/>
                <w:szCs w:val="20"/>
              </w:rPr>
              <w:t>5</w:t>
            </w:r>
          </w:p>
        </w:tc>
        <w:tc>
          <w:tcPr>
            <w:tcW w:w="4617" w:type="dxa"/>
          </w:tcPr>
          <w:p w14:paraId="1221A475" w14:textId="77777777" w:rsidR="00671AD7" w:rsidRPr="00FE2679" w:rsidRDefault="00671AD7" w:rsidP="00671AD7">
            <w:pPr>
              <w:spacing w:after="120"/>
              <w:rPr>
                <w:rFonts w:ascii="Arial" w:hAnsi="Arial" w:cs="Arial"/>
                <w:sz w:val="20"/>
                <w:szCs w:val="20"/>
              </w:rPr>
            </w:pPr>
            <w:r w:rsidRPr="00FE2679">
              <w:rPr>
                <w:rFonts w:ascii="Arial" w:hAnsi="Arial" w:cs="Arial"/>
                <w:sz w:val="20"/>
                <w:szCs w:val="20"/>
              </w:rPr>
              <w:t>The creation or assignment of an interest that is similar to an interest covered by item 4, where the interest relates to:</w:t>
            </w:r>
          </w:p>
          <w:p w14:paraId="2FAEC724" w14:textId="77777777" w:rsidR="00671AD7" w:rsidRPr="00FE2679" w:rsidRDefault="00671AD7" w:rsidP="00671AD7">
            <w:pPr>
              <w:pStyle w:val="ListParagraph"/>
              <w:numPr>
                <w:ilvl w:val="0"/>
                <w:numId w:val="8"/>
              </w:numPr>
              <w:spacing w:after="120"/>
              <w:ind w:left="494" w:hanging="425"/>
              <w:rPr>
                <w:rFonts w:ascii="Arial" w:hAnsi="Arial" w:cs="Arial"/>
                <w:sz w:val="20"/>
                <w:szCs w:val="20"/>
              </w:rPr>
            </w:pPr>
            <w:r w:rsidRPr="00FE2679">
              <w:rPr>
                <w:rFonts w:ascii="Arial" w:hAnsi="Arial" w:cs="Arial"/>
                <w:sz w:val="20"/>
                <w:szCs w:val="20"/>
              </w:rPr>
              <w:t>petroleum produced from operations authorised by an existing petroleum exploration permit, petroleum retention lease or petroleum production licence; or</w:t>
            </w:r>
          </w:p>
          <w:p w14:paraId="5F1A711D" w14:textId="77777777" w:rsidR="00671AD7" w:rsidRPr="00FE2679" w:rsidRDefault="00671AD7" w:rsidP="00671AD7">
            <w:pPr>
              <w:pStyle w:val="ListParagraph"/>
              <w:numPr>
                <w:ilvl w:val="0"/>
                <w:numId w:val="8"/>
              </w:numPr>
              <w:spacing w:after="120"/>
              <w:ind w:left="494" w:hanging="425"/>
              <w:rPr>
                <w:rFonts w:ascii="Arial" w:hAnsi="Arial" w:cs="Arial"/>
                <w:sz w:val="20"/>
                <w:szCs w:val="20"/>
              </w:rPr>
            </w:pPr>
            <w:r w:rsidRPr="00FE2679">
              <w:rPr>
                <w:rFonts w:ascii="Arial" w:hAnsi="Arial" w:cs="Arial"/>
                <w:sz w:val="20"/>
                <w:szCs w:val="20"/>
              </w:rPr>
              <w:t>revenue derived as a result of the carrying out of operations authorised by an existing petroleum exploration permit, petroleum retention lease or petroleum production licence.</w:t>
            </w:r>
          </w:p>
        </w:tc>
        <w:tc>
          <w:tcPr>
            <w:tcW w:w="3884" w:type="dxa"/>
            <w:tcBorders>
              <w:right w:val="nil"/>
            </w:tcBorders>
          </w:tcPr>
          <w:p w14:paraId="147258DA" w14:textId="77777777" w:rsidR="00671AD7" w:rsidRPr="00FE2679" w:rsidRDefault="00671AD7" w:rsidP="00671AD7">
            <w:pPr>
              <w:rPr>
                <w:rFonts w:ascii="Arial" w:hAnsi="Arial" w:cs="Arial"/>
                <w:color w:val="0070C0"/>
                <w:sz w:val="20"/>
                <w:szCs w:val="20"/>
              </w:rPr>
            </w:pPr>
            <w:r w:rsidRPr="00FE2679">
              <w:rPr>
                <w:rFonts w:ascii="Arial" w:hAnsi="Arial" w:cs="Arial"/>
                <w:color w:val="0070C0"/>
                <w:sz w:val="20"/>
                <w:szCs w:val="20"/>
              </w:rPr>
              <w:t>Overriding royalty agreements; production bonus deeds relating to a specific well or future production from a specified part of, or the whole of, a title area</w:t>
            </w:r>
          </w:p>
        </w:tc>
      </w:tr>
      <w:tr w:rsidR="00671AD7" w:rsidRPr="00047D92" w14:paraId="502E755E" w14:textId="77777777" w:rsidTr="00FD0301">
        <w:tc>
          <w:tcPr>
            <w:tcW w:w="628" w:type="dxa"/>
            <w:tcBorders>
              <w:left w:val="nil"/>
            </w:tcBorders>
          </w:tcPr>
          <w:p w14:paraId="5A76D213" w14:textId="77777777" w:rsidR="00671AD7" w:rsidRPr="00FE2679" w:rsidRDefault="00671AD7" w:rsidP="00671AD7">
            <w:pPr>
              <w:spacing w:before="100" w:beforeAutospacing="1" w:after="100" w:afterAutospacing="1"/>
              <w:rPr>
                <w:rFonts w:ascii="Arial" w:hAnsi="Arial" w:cs="Arial"/>
                <w:sz w:val="20"/>
                <w:szCs w:val="20"/>
              </w:rPr>
            </w:pPr>
            <w:r w:rsidRPr="00FE2679">
              <w:rPr>
                <w:rFonts w:ascii="Arial" w:hAnsi="Arial" w:cs="Arial"/>
                <w:sz w:val="20"/>
                <w:szCs w:val="20"/>
              </w:rPr>
              <w:t>6</w:t>
            </w:r>
          </w:p>
        </w:tc>
        <w:tc>
          <w:tcPr>
            <w:tcW w:w="4617" w:type="dxa"/>
          </w:tcPr>
          <w:p w14:paraId="1B65FD6C" w14:textId="77777777" w:rsidR="00671AD7" w:rsidRPr="00FE2679" w:rsidRDefault="00671AD7" w:rsidP="00671AD7">
            <w:pPr>
              <w:spacing w:before="100" w:beforeAutospacing="1" w:after="100" w:afterAutospacing="1"/>
              <w:rPr>
                <w:rFonts w:ascii="Arial" w:hAnsi="Arial" w:cs="Arial"/>
                <w:sz w:val="20"/>
                <w:szCs w:val="20"/>
              </w:rPr>
            </w:pPr>
            <w:r w:rsidRPr="00FE2679">
              <w:rPr>
                <w:rFonts w:ascii="Arial" w:hAnsi="Arial" w:cs="Arial"/>
                <w:sz w:val="20"/>
                <w:szCs w:val="20"/>
              </w:rPr>
              <w:t>The creation or assignment of an option (conditional or otherwise) to enter into a dealing, where the dealing would have one or more of the effects referred to in items 1, 2, 3, 4 and 5.</w:t>
            </w:r>
          </w:p>
        </w:tc>
        <w:tc>
          <w:tcPr>
            <w:tcW w:w="3884" w:type="dxa"/>
            <w:tcBorders>
              <w:right w:val="nil"/>
            </w:tcBorders>
          </w:tcPr>
          <w:p w14:paraId="32B7CC89" w14:textId="3C605D2D" w:rsidR="00671AD7" w:rsidRPr="00FE2679" w:rsidRDefault="00671AD7" w:rsidP="0057409A">
            <w:pPr>
              <w:rPr>
                <w:rFonts w:ascii="Arial" w:hAnsi="Arial" w:cs="Arial"/>
                <w:color w:val="0070C0"/>
                <w:sz w:val="20"/>
                <w:szCs w:val="20"/>
              </w:rPr>
            </w:pPr>
            <w:r w:rsidRPr="00FE2679">
              <w:rPr>
                <w:rFonts w:ascii="Arial" w:hAnsi="Arial" w:cs="Arial"/>
                <w:color w:val="0070C0"/>
                <w:sz w:val="20"/>
                <w:szCs w:val="20"/>
              </w:rPr>
              <w:t>Option agreements, conditional “farm-in and farm-out agreements” with option to earn additional interest</w:t>
            </w:r>
          </w:p>
        </w:tc>
      </w:tr>
      <w:tr w:rsidR="00671AD7" w:rsidRPr="00047D92" w14:paraId="1336149F" w14:textId="77777777" w:rsidTr="00FD0301">
        <w:tc>
          <w:tcPr>
            <w:tcW w:w="628" w:type="dxa"/>
            <w:tcBorders>
              <w:left w:val="nil"/>
              <w:bottom w:val="single" w:sz="4" w:space="0" w:color="auto"/>
            </w:tcBorders>
          </w:tcPr>
          <w:p w14:paraId="21596992" w14:textId="77777777" w:rsidR="00671AD7" w:rsidRPr="00FE2679" w:rsidRDefault="00671AD7" w:rsidP="00671AD7">
            <w:pPr>
              <w:spacing w:before="100" w:beforeAutospacing="1" w:after="100" w:afterAutospacing="1"/>
              <w:rPr>
                <w:rFonts w:ascii="Arial" w:hAnsi="Arial" w:cs="Arial"/>
                <w:sz w:val="20"/>
                <w:szCs w:val="20"/>
              </w:rPr>
            </w:pPr>
            <w:r w:rsidRPr="00FE2679">
              <w:rPr>
                <w:rFonts w:ascii="Arial" w:hAnsi="Arial" w:cs="Arial"/>
                <w:sz w:val="20"/>
                <w:szCs w:val="20"/>
              </w:rPr>
              <w:t>7</w:t>
            </w:r>
          </w:p>
        </w:tc>
        <w:tc>
          <w:tcPr>
            <w:tcW w:w="4617" w:type="dxa"/>
            <w:tcBorders>
              <w:bottom w:val="single" w:sz="4" w:space="0" w:color="auto"/>
            </w:tcBorders>
          </w:tcPr>
          <w:p w14:paraId="7E33D862" w14:textId="77777777" w:rsidR="00671AD7" w:rsidRPr="00FE2679" w:rsidRDefault="00671AD7" w:rsidP="00671AD7">
            <w:pPr>
              <w:spacing w:before="100" w:beforeAutospacing="1" w:after="100" w:afterAutospacing="1"/>
              <w:rPr>
                <w:rFonts w:ascii="Arial" w:hAnsi="Arial" w:cs="Arial"/>
                <w:sz w:val="20"/>
                <w:szCs w:val="20"/>
              </w:rPr>
            </w:pPr>
            <w:r w:rsidRPr="00FE2679">
              <w:rPr>
                <w:rFonts w:ascii="Arial" w:hAnsi="Arial" w:cs="Arial"/>
                <w:sz w:val="20"/>
                <w:szCs w:val="20"/>
              </w:rPr>
              <w:t>The creation or assignment of a right (conditional or otherwise) to enter into a dealing, where the dealing would have one or more of the effects referred to in items 1, 2, 3, 4 and 5.</w:t>
            </w:r>
          </w:p>
        </w:tc>
        <w:tc>
          <w:tcPr>
            <w:tcW w:w="3884" w:type="dxa"/>
            <w:tcBorders>
              <w:bottom w:val="single" w:sz="4" w:space="0" w:color="auto"/>
              <w:right w:val="nil"/>
            </w:tcBorders>
          </w:tcPr>
          <w:p w14:paraId="26011958" w14:textId="77777777" w:rsidR="00671AD7" w:rsidRPr="00FE2679" w:rsidRDefault="00671AD7" w:rsidP="00671AD7">
            <w:pPr>
              <w:rPr>
                <w:rFonts w:ascii="Arial" w:hAnsi="Arial" w:cs="Arial"/>
                <w:color w:val="0070C0"/>
                <w:sz w:val="20"/>
                <w:szCs w:val="20"/>
              </w:rPr>
            </w:pPr>
            <w:r w:rsidRPr="00FE2679">
              <w:rPr>
                <w:rFonts w:ascii="Arial" w:hAnsi="Arial" w:cs="Arial"/>
                <w:color w:val="0070C0"/>
                <w:sz w:val="20"/>
                <w:szCs w:val="20"/>
              </w:rPr>
              <w:t>Heads of agreements, deeds of covenant</w:t>
            </w:r>
          </w:p>
        </w:tc>
      </w:tr>
      <w:tr w:rsidR="00671AD7" w:rsidRPr="00047D92" w14:paraId="39D65483" w14:textId="77777777" w:rsidTr="00FD0301">
        <w:tc>
          <w:tcPr>
            <w:tcW w:w="628" w:type="dxa"/>
            <w:tcBorders>
              <w:left w:val="nil"/>
              <w:bottom w:val="single" w:sz="12" w:space="0" w:color="auto"/>
            </w:tcBorders>
          </w:tcPr>
          <w:p w14:paraId="1CC1CE76" w14:textId="77777777" w:rsidR="00671AD7" w:rsidRPr="00FE2679" w:rsidRDefault="00671AD7" w:rsidP="00671AD7">
            <w:pPr>
              <w:spacing w:before="100" w:beforeAutospacing="1" w:after="100" w:afterAutospacing="1"/>
              <w:rPr>
                <w:rFonts w:ascii="Arial" w:hAnsi="Arial" w:cs="Arial"/>
                <w:sz w:val="20"/>
                <w:szCs w:val="20"/>
              </w:rPr>
            </w:pPr>
            <w:r w:rsidRPr="00FE2679">
              <w:rPr>
                <w:rFonts w:ascii="Arial" w:hAnsi="Arial" w:cs="Arial"/>
                <w:sz w:val="20"/>
                <w:szCs w:val="20"/>
              </w:rPr>
              <w:t>8</w:t>
            </w:r>
          </w:p>
        </w:tc>
        <w:tc>
          <w:tcPr>
            <w:tcW w:w="4617" w:type="dxa"/>
            <w:tcBorders>
              <w:bottom w:val="single" w:sz="12" w:space="0" w:color="auto"/>
            </w:tcBorders>
          </w:tcPr>
          <w:p w14:paraId="521A4F45" w14:textId="77777777" w:rsidR="00671AD7" w:rsidRPr="00FE2679" w:rsidRDefault="00671AD7" w:rsidP="00671AD7">
            <w:pPr>
              <w:spacing w:before="100" w:beforeAutospacing="1" w:after="100" w:afterAutospacing="1"/>
              <w:rPr>
                <w:rFonts w:ascii="Arial" w:hAnsi="Arial" w:cs="Arial"/>
                <w:sz w:val="20"/>
                <w:szCs w:val="20"/>
              </w:rPr>
            </w:pPr>
            <w:r w:rsidRPr="00FE2679">
              <w:rPr>
                <w:rFonts w:ascii="Arial" w:hAnsi="Arial" w:cs="Arial"/>
                <w:sz w:val="20"/>
                <w:szCs w:val="20"/>
              </w:rPr>
              <w:t>The alteration or termination of a dealing, where the dealing would have one or more of the effects referred to in items 1, 2, 3, 4, 5, 6 and 7.</w:t>
            </w:r>
          </w:p>
        </w:tc>
        <w:tc>
          <w:tcPr>
            <w:tcW w:w="3884" w:type="dxa"/>
            <w:tcBorders>
              <w:bottom w:val="single" w:sz="12" w:space="0" w:color="auto"/>
              <w:right w:val="nil"/>
            </w:tcBorders>
          </w:tcPr>
          <w:p w14:paraId="565FF211" w14:textId="77777777" w:rsidR="00671AD7" w:rsidRPr="00FE2679" w:rsidRDefault="00671AD7" w:rsidP="00671AD7">
            <w:pPr>
              <w:rPr>
                <w:rFonts w:ascii="Arial" w:hAnsi="Arial" w:cs="Arial"/>
                <w:color w:val="0070C0"/>
                <w:sz w:val="20"/>
                <w:szCs w:val="20"/>
              </w:rPr>
            </w:pPr>
            <w:r w:rsidRPr="00FE2679">
              <w:rPr>
                <w:rFonts w:ascii="Arial" w:hAnsi="Arial" w:cs="Arial"/>
                <w:color w:val="0070C0"/>
                <w:sz w:val="20"/>
                <w:szCs w:val="20"/>
              </w:rPr>
              <w:t>Deeds of release, termination agreements</w:t>
            </w:r>
          </w:p>
        </w:tc>
      </w:tr>
    </w:tbl>
    <w:p w14:paraId="28040166" w14:textId="77777777" w:rsidR="007B22D9" w:rsidRPr="00A53D82" w:rsidRDefault="007B22D9" w:rsidP="00FD0301">
      <w:pPr>
        <w:rPr>
          <w:rFonts w:ascii="Arial" w:hAnsi="Arial" w:cs="Arial"/>
        </w:rPr>
      </w:pPr>
    </w:p>
    <w:sectPr w:rsidR="007B22D9" w:rsidRPr="00A53D82" w:rsidSect="00A7032E">
      <w:pgSz w:w="11906" w:h="16838"/>
      <w:pgMar w:top="1134" w:right="1440" w:bottom="851"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4B3C69" w14:textId="77777777" w:rsidR="00DC0D67" w:rsidRDefault="00DC0D67" w:rsidP="007B22D9">
      <w:pPr>
        <w:spacing w:after="0" w:line="240" w:lineRule="auto"/>
      </w:pPr>
      <w:r>
        <w:separator/>
      </w:r>
    </w:p>
  </w:endnote>
  <w:endnote w:type="continuationSeparator" w:id="0">
    <w:p w14:paraId="414F8CD8" w14:textId="77777777" w:rsidR="00DC0D67" w:rsidRDefault="00DC0D67" w:rsidP="007B22D9">
      <w:pPr>
        <w:spacing w:after="0" w:line="240" w:lineRule="auto"/>
      </w:pPr>
      <w:r>
        <w:continuationSeparator/>
      </w:r>
    </w:p>
  </w:endnote>
  <w:endnote w:type="continuationNotice" w:id="1">
    <w:p w14:paraId="26539020" w14:textId="77777777" w:rsidR="00DC0D67" w:rsidRDefault="00DC0D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DE12F" w14:textId="77777777" w:rsidR="002067E3" w:rsidRDefault="002067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778293848"/>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5E02E367" w14:textId="69AFAAA0" w:rsidR="004B3B8B" w:rsidRPr="007F6F33" w:rsidRDefault="004B3B8B" w:rsidP="007F6F33">
            <w:pPr>
              <w:pStyle w:val="Footer"/>
              <w:rPr>
                <w:rFonts w:ascii="Arial" w:hAnsi="Arial" w:cs="Arial"/>
                <w:sz w:val="18"/>
                <w:szCs w:val="18"/>
              </w:rPr>
            </w:pPr>
            <w:r w:rsidRPr="007F6F33">
              <w:rPr>
                <w:rFonts w:ascii="Arial" w:hAnsi="Arial" w:cs="Arial"/>
                <w:sz w:val="18"/>
                <w:szCs w:val="18"/>
              </w:rPr>
              <w:t>Guideline – Transfers and Dealings Relating to Petroleum Titles</w:t>
            </w:r>
            <w:r w:rsidRPr="007F6F33">
              <w:rPr>
                <w:rFonts w:ascii="Arial" w:hAnsi="Arial" w:cs="Arial"/>
                <w:sz w:val="18"/>
                <w:szCs w:val="18"/>
              </w:rPr>
              <w:tab/>
              <w:t xml:space="preserve">Page </w:t>
            </w:r>
            <w:r w:rsidRPr="007F6F33">
              <w:rPr>
                <w:rFonts w:ascii="Arial" w:hAnsi="Arial" w:cs="Arial"/>
                <w:bCs/>
                <w:sz w:val="18"/>
                <w:szCs w:val="18"/>
              </w:rPr>
              <w:fldChar w:fldCharType="begin"/>
            </w:r>
            <w:r w:rsidRPr="007F6F33">
              <w:rPr>
                <w:rFonts w:ascii="Arial" w:hAnsi="Arial" w:cs="Arial"/>
                <w:bCs/>
                <w:sz w:val="18"/>
                <w:szCs w:val="18"/>
              </w:rPr>
              <w:instrText xml:space="preserve"> PAGE </w:instrText>
            </w:r>
            <w:r w:rsidRPr="007F6F33">
              <w:rPr>
                <w:rFonts w:ascii="Arial" w:hAnsi="Arial" w:cs="Arial"/>
                <w:bCs/>
                <w:sz w:val="18"/>
                <w:szCs w:val="18"/>
              </w:rPr>
              <w:fldChar w:fldCharType="separate"/>
            </w:r>
            <w:r w:rsidR="00041BB1">
              <w:rPr>
                <w:rFonts w:ascii="Arial" w:hAnsi="Arial" w:cs="Arial"/>
                <w:bCs/>
                <w:noProof/>
                <w:sz w:val="18"/>
                <w:szCs w:val="18"/>
              </w:rPr>
              <w:t>12</w:t>
            </w:r>
            <w:r w:rsidRPr="007F6F33">
              <w:rPr>
                <w:rFonts w:ascii="Arial" w:hAnsi="Arial" w:cs="Arial"/>
                <w:bCs/>
                <w:sz w:val="18"/>
                <w:szCs w:val="18"/>
              </w:rPr>
              <w:fldChar w:fldCharType="end"/>
            </w:r>
            <w:r w:rsidRPr="007F6F33">
              <w:rPr>
                <w:rFonts w:ascii="Arial" w:hAnsi="Arial" w:cs="Arial"/>
                <w:sz w:val="18"/>
                <w:szCs w:val="18"/>
              </w:rPr>
              <w:t xml:space="preserve"> of </w:t>
            </w:r>
            <w:r w:rsidRPr="007F6F33">
              <w:rPr>
                <w:rFonts w:ascii="Arial" w:hAnsi="Arial" w:cs="Arial"/>
                <w:bCs/>
                <w:sz w:val="18"/>
                <w:szCs w:val="18"/>
              </w:rPr>
              <w:fldChar w:fldCharType="begin"/>
            </w:r>
            <w:r w:rsidRPr="007F6F33">
              <w:rPr>
                <w:rFonts w:ascii="Arial" w:hAnsi="Arial" w:cs="Arial"/>
                <w:bCs/>
                <w:sz w:val="18"/>
                <w:szCs w:val="18"/>
              </w:rPr>
              <w:instrText xml:space="preserve"> NUMPAGES  </w:instrText>
            </w:r>
            <w:r w:rsidRPr="007F6F33">
              <w:rPr>
                <w:rFonts w:ascii="Arial" w:hAnsi="Arial" w:cs="Arial"/>
                <w:bCs/>
                <w:sz w:val="18"/>
                <w:szCs w:val="18"/>
              </w:rPr>
              <w:fldChar w:fldCharType="separate"/>
            </w:r>
            <w:r w:rsidR="00041BB1">
              <w:rPr>
                <w:rFonts w:ascii="Arial" w:hAnsi="Arial" w:cs="Arial"/>
                <w:bCs/>
                <w:noProof/>
                <w:sz w:val="18"/>
                <w:szCs w:val="18"/>
              </w:rPr>
              <w:t>12</w:t>
            </w:r>
            <w:r w:rsidRPr="007F6F33">
              <w:rPr>
                <w:rFonts w:ascii="Arial" w:hAnsi="Arial" w:cs="Arial"/>
                <w:bCs/>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6FF3C" w14:textId="77777777" w:rsidR="002067E3" w:rsidRDefault="002067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20546" w14:textId="77777777" w:rsidR="00DC0D67" w:rsidRDefault="00DC0D67" w:rsidP="007B22D9">
      <w:pPr>
        <w:spacing w:after="0" w:line="240" w:lineRule="auto"/>
      </w:pPr>
      <w:r>
        <w:separator/>
      </w:r>
    </w:p>
  </w:footnote>
  <w:footnote w:type="continuationSeparator" w:id="0">
    <w:p w14:paraId="0D8C2801" w14:textId="77777777" w:rsidR="00DC0D67" w:rsidRDefault="00DC0D67" w:rsidP="007B22D9">
      <w:pPr>
        <w:spacing w:after="0" w:line="240" w:lineRule="auto"/>
      </w:pPr>
      <w:r>
        <w:continuationSeparator/>
      </w:r>
    </w:p>
  </w:footnote>
  <w:footnote w:type="continuationNotice" w:id="1">
    <w:p w14:paraId="4C7E9CD2" w14:textId="77777777" w:rsidR="00DC0D67" w:rsidRDefault="00DC0D67">
      <w:pPr>
        <w:spacing w:after="0" w:line="240" w:lineRule="auto"/>
      </w:pPr>
    </w:p>
  </w:footnote>
  <w:footnote w:id="2">
    <w:p w14:paraId="2A82D7E8" w14:textId="71D59F36" w:rsidR="004B3B8B" w:rsidRPr="00A24E0E" w:rsidRDefault="004B3B8B" w:rsidP="00982957">
      <w:pPr>
        <w:pStyle w:val="List2"/>
        <w:rPr>
          <w:rFonts w:ascii="Arial" w:hAnsi="Arial" w:cs="Arial"/>
          <w:sz w:val="20"/>
          <w:szCs w:val="20"/>
        </w:rPr>
      </w:pPr>
      <w:r w:rsidRPr="00FD0301">
        <w:rPr>
          <w:rStyle w:val="FootnoteReference"/>
          <w:sz w:val="18"/>
          <w:szCs w:val="18"/>
        </w:rPr>
        <w:footnoteRef/>
      </w:r>
      <w:r w:rsidRPr="00FD0301">
        <w:rPr>
          <w:sz w:val="18"/>
          <w:szCs w:val="18"/>
        </w:rPr>
        <w:t xml:space="preserve"> </w:t>
      </w:r>
      <w:r w:rsidRPr="00FD0301">
        <w:rPr>
          <w:rFonts w:ascii="Arial" w:hAnsi="Arial" w:cs="Arial"/>
          <w:sz w:val="18"/>
          <w:szCs w:val="18"/>
        </w:rPr>
        <w:t>Although obligations are imposed on all titleholders within a title jointly, if there are multiple titleholders, any of these titleholders can discharge an obligation (s 775D).</w:t>
      </w:r>
    </w:p>
    <w:p w14:paraId="78A19FDE" w14:textId="77777777" w:rsidR="004B3B8B" w:rsidRDefault="004B3B8B" w:rsidP="00982957">
      <w:pPr>
        <w:pStyle w:val="FootnoteText"/>
      </w:pPr>
    </w:p>
  </w:footnote>
  <w:footnote w:id="3">
    <w:p w14:paraId="0ED67713" w14:textId="31D5769C" w:rsidR="004B3B8B" w:rsidRPr="00FD0301" w:rsidRDefault="004B3B8B">
      <w:pPr>
        <w:pStyle w:val="FootnoteText"/>
        <w:rPr>
          <w:sz w:val="18"/>
          <w:szCs w:val="18"/>
        </w:rPr>
      </w:pPr>
      <w:r w:rsidRPr="00FD0301">
        <w:rPr>
          <w:rStyle w:val="FootnoteReference"/>
          <w:sz w:val="18"/>
          <w:szCs w:val="18"/>
        </w:rPr>
        <w:footnoteRef/>
      </w:r>
      <w:r w:rsidRPr="00FD0301">
        <w:rPr>
          <w:rFonts w:ascii="Arial" w:hAnsi="Arial" w:cs="Arial"/>
          <w:sz w:val="18"/>
          <w:szCs w:val="18"/>
        </w:rPr>
        <w:t xml:space="preserve"> NOPTA has published the </w:t>
      </w:r>
      <w:r w:rsidRPr="00FD0301">
        <w:rPr>
          <w:rFonts w:ascii="Arial" w:hAnsi="Arial" w:cs="Arial"/>
          <w:i/>
          <w:sz w:val="18"/>
          <w:szCs w:val="18"/>
        </w:rPr>
        <w:t>‘Fact Sheet - Signatures: Transfers and Dealings Documents’</w:t>
      </w:r>
      <w:r w:rsidRPr="00FD0301">
        <w:rPr>
          <w:rFonts w:ascii="Arial" w:hAnsi="Arial" w:cs="Arial"/>
          <w:sz w:val="18"/>
          <w:szCs w:val="18"/>
        </w:rPr>
        <w:t xml:space="preserve"> to provide guidance to applicants on the execution of instruments of transfer and forms relating to transfers and dealings. See </w:t>
      </w:r>
      <w:hyperlink r:id="rId1" w:tooltip="http://www.nopta.gov.au/forms/forms.html" w:history="1">
        <w:r w:rsidRPr="00FD0301">
          <w:rPr>
            <w:rStyle w:val="Hyperlink"/>
            <w:rFonts w:ascii="Arial" w:hAnsi="Arial" w:cs="Arial"/>
            <w:sz w:val="18"/>
            <w:szCs w:val="18"/>
          </w:rPr>
          <w:t>NOPTA’s website</w:t>
        </w:r>
      </w:hyperlink>
      <w:r w:rsidRPr="00FD0301">
        <w:rPr>
          <w:rFonts w:ascii="Arial" w:hAnsi="Arial" w:cs="Arial"/>
          <w:sz w:val="18"/>
          <w:szCs w:val="18"/>
        </w:rPr>
        <w:t>.</w:t>
      </w:r>
    </w:p>
  </w:footnote>
  <w:footnote w:id="4">
    <w:p w14:paraId="2A571E9E" w14:textId="70CED9A9" w:rsidR="004B3B8B" w:rsidRPr="00FD0301" w:rsidRDefault="004B3B8B" w:rsidP="00671AD7">
      <w:pPr>
        <w:autoSpaceDE w:val="0"/>
        <w:autoSpaceDN w:val="0"/>
        <w:adjustRightInd w:val="0"/>
        <w:spacing w:after="0"/>
        <w:rPr>
          <w:rFonts w:ascii="Arial" w:hAnsi="Arial" w:cs="Arial"/>
          <w:sz w:val="18"/>
          <w:szCs w:val="18"/>
        </w:rPr>
      </w:pPr>
      <w:r w:rsidRPr="00FD0301">
        <w:rPr>
          <w:rStyle w:val="FootnoteReference"/>
          <w:rFonts w:ascii="Arial" w:hAnsi="Arial" w:cs="Arial"/>
          <w:sz w:val="18"/>
          <w:szCs w:val="18"/>
        </w:rPr>
        <w:footnoteRef/>
      </w:r>
      <w:r w:rsidRPr="00FD0301">
        <w:rPr>
          <w:rFonts w:ascii="Arial" w:hAnsi="Arial" w:cs="Arial"/>
          <w:sz w:val="18"/>
          <w:szCs w:val="18"/>
        </w:rPr>
        <w:t xml:space="preserve"> Using the instrument of transfer in the prescribed form in Schedule 7 of the </w:t>
      </w:r>
      <w:r w:rsidRPr="00FD0301">
        <w:rPr>
          <w:rFonts w:ascii="Arial" w:hAnsi="Arial" w:cs="Arial"/>
          <w:iCs/>
          <w:sz w:val="18"/>
          <w:szCs w:val="18"/>
        </w:rPr>
        <w:t>RMA Regulations will ensure that this requirement is met.</w:t>
      </w:r>
    </w:p>
  </w:footnote>
  <w:footnote w:id="5">
    <w:p w14:paraId="3E9A6D1F" w14:textId="598582DE" w:rsidR="004B3B8B" w:rsidRPr="00FD0301" w:rsidRDefault="004B3B8B">
      <w:pPr>
        <w:pStyle w:val="FootnoteText"/>
        <w:rPr>
          <w:rFonts w:ascii="Arial" w:hAnsi="Arial" w:cs="Arial"/>
          <w:sz w:val="18"/>
          <w:szCs w:val="18"/>
        </w:rPr>
      </w:pPr>
      <w:r w:rsidRPr="00FD0301">
        <w:rPr>
          <w:rStyle w:val="FootnoteReference"/>
          <w:rFonts w:ascii="Arial" w:hAnsi="Arial" w:cs="Arial"/>
          <w:sz w:val="18"/>
          <w:szCs w:val="18"/>
        </w:rPr>
        <w:footnoteRef/>
      </w:r>
      <w:r w:rsidRPr="00FD0301">
        <w:rPr>
          <w:rFonts w:ascii="Arial" w:hAnsi="Arial" w:cs="Arial"/>
          <w:sz w:val="18"/>
          <w:szCs w:val="18"/>
        </w:rPr>
        <w:t xml:space="preserve"> </w:t>
      </w:r>
      <w:r w:rsidRPr="00FD0301">
        <w:rPr>
          <w:rFonts w:ascii="Arial" w:eastAsiaTheme="minorHAnsi" w:hAnsi="Arial" w:cs="Arial"/>
          <w:iCs/>
          <w:sz w:val="18"/>
          <w:szCs w:val="18"/>
          <w:lang w:eastAsia="en-US"/>
        </w:rPr>
        <w:t>For example, if the holders of an exploration permit apply for a retention lease or a production licence.</w:t>
      </w:r>
    </w:p>
  </w:footnote>
  <w:footnote w:id="6">
    <w:p w14:paraId="7CE7EA13" w14:textId="02BF394C" w:rsidR="004B3B8B" w:rsidRDefault="004B3B8B" w:rsidP="001E7F51">
      <w:pPr>
        <w:pStyle w:val="List2"/>
        <w:spacing w:before="120"/>
      </w:pPr>
      <w:r w:rsidRPr="00FD0301">
        <w:rPr>
          <w:rStyle w:val="FootnoteReference"/>
          <w:sz w:val="18"/>
          <w:szCs w:val="18"/>
        </w:rPr>
        <w:footnoteRef/>
      </w:r>
      <w:r w:rsidRPr="00FD0301">
        <w:rPr>
          <w:rStyle w:val="FootnoteReference"/>
          <w:sz w:val="18"/>
          <w:szCs w:val="18"/>
        </w:rPr>
        <w:t xml:space="preserve"> </w:t>
      </w:r>
      <w:r w:rsidRPr="00FD0301">
        <w:rPr>
          <w:rFonts w:ascii="Arial" w:hAnsi="Arial" w:cs="Arial"/>
          <w:sz w:val="18"/>
          <w:szCs w:val="18"/>
        </w:rPr>
        <w:t>NOPTA has published the ‘</w:t>
      </w:r>
      <w:r w:rsidRPr="00FD0301">
        <w:rPr>
          <w:rFonts w:ascii="Arial" w:hAnsi="Arial" w:cs="Arial"/>
          <w:i/>
          <w:sz w:val="18"/>
          <w:szCs w:val="18"/>
        </w:rPr>
        <w:t>Fact Sheet - Signatures: Transfers and Dealings Documents’</w:t>
      </w:r>
      <w:r w:rsidRPr="00FD0301">
        <w:rPr>
          <w:rFonts w:ascii="Arial" w:hAnsi="Arial" w:cs="Arial"/>
          <w:sz w:val="18"/>
          <w:szCs w:val="18"/>
        </w:rPr>
        <w:t xml:space="preserve"> to provide guidance to applicants on the execution of instruments of transfer and forms relating to transfers and dealings. See </w:t>
      </w:r>
      <w:hyperlink r:id="rId2" w:tooltip="http://www.nopta.gov.au/forms/forms.html" w:history="1">
        <w:r w:rsidRPr="00FD0301">
          <w:rPr>
            <w:rStyle w:val="Hyperlink"/>
            <w:rFonts w:ascii="Arial" w:hAnsi="Arial" w:cs="Arial"/>
            <w:sz w:val="18"/>
            <w:szCs w:val="18"/>
          </w:rPr>
          <w:t>NOPTA’s website</w:t>
        </w:r>
      </w:hyperlink>
      <w:r w:rsidRPr="00FD0301">
        <w:rPr>
          <w:rFonts w:ascii="Arial" w:hAnsi="Arial" w:cs="Arial"/>
          <w:sz w:val="18"/>
          <w:szCs w:val="18"/>
        </w:rPr>
        <w:t>.</w:t>
      </w:r>
    </w:p>
  </w:footnote>
  <w:footnote w:id="7">
    <w:p w14:paraId="44A5DC08" w14:textId="2B777CBD" w:rsidR="004B3B8B" w:rsidRPr="00FD0301" w:rsidRDefault="004B3B8B">
      <w:pPr>
        <w:pStyle w:val="FootnoteText"/>
        <w:rPr>
          <w:sz w:val="18"/>
          <w:szCs w:val="18"/>
        </w:rPr>
      </w:pPr>
      <w:r w:rsidRPr="00FD0301">
        <w:rPr>
          <w:rStyle w:val="FootnoteReference"/>
          <w:sz w:val="18"/>
          <w:szCs w:val="18"/>
        </w:rPr>
        <w:footnoteRef/>
      </w:r>
      <w:r w:rsidRPr="00FD0301">
        <w:rPr>
          <w:sz w:val="18"/>
          <w:szCs w:val="18"/>
        </w:rPr>
        <w:t xml:space="preserve"> </w:t>
      </w:r>
      <w:r w:rsidRPr="00FD0301">
        <w:rPr>
          <w:rFonts w:ascii="Arial" w:hAnsi="Arial" w:cs="Arial"/>
          <w:sz w:val="18"/>
          <w:szCs w:val="18"/>
        </w:rPr>
        <w:t>For example, a proponent may seek to lodge a provisional [dealing] application relating to a title that is in an active transition phase (e.g. exploration permit to retention lease), the outcome of which is unknown until the associated assessment is finalised by the Joint Authority.</w:t>
      </w:r>
      <w:r w:rsidRPr="00FD0301">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463E1" w14:textId="77777777" w:rsidR="002067E3" w:rsidRDefault="002067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B7F3B" w14:textId="77777777" w:rsidR="002067E3" w:rsidRDefault="002067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6CE69" w14:textId="670C16D6" w:rsidR="004B3B8B" w:rsidRPr="006227CB" w:rsidRDefault="004B3B8B" w:rsidP="006227CB">
    <w:pPr>
      <w:pStyle w:val="Header"/>
      <w:jc w:val="right"/>
      <w:rPr>
        <w:rFonts w:asciiTheme="minorHAnsi" w:hAnsiTheme="minorHAnsi"/>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E9E2DB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0812EF"/>
    <w:multiLevelType w:val="multilevel"/>
    <w:tmpl w:val="6AEA334A"/>
    <w:lvl w:ilvl="0">
      <w:start w:val="9"/>
      <w:numFmt w:val="lowerLetter"/>
      <w:lvlText w:val="(%1)"/>
      <w:lvlJc w:val="left"/>
      <w:pPr>
        <w:ind w:left="360" w:hanging="360"/>
      </w:pPr>
    </w:lvl>
    <w:lvl w:ilvl="1">
      <w:start w:val="1"/>
      <w:numFmt w:val="lowerRoman"/>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E76446"/>
    <w:multiLevelType w:val="hybridMultilevel"/>
    <w:tmpl w:val="24D672D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15:restartNumberingAfterBreak="0">
    <w:nsid w:val="0AAB6EE3"/>
    <w:multiLevelType w:val="multilevel"/>
    <w:tmpl w:val="3230B194"/>
    <w:lvl w:ilvl="0">
      <w:start w:val="1"/>
      <w:numFmt w:val="decimal"/>
      <w:lvlText w:val="%1."/>
      <w:lvlJc w:val="left"/>
      <w:pPr>
        <w:tabs>
          <w:tab w:val="num" w:pos="454"/>
        </w:tabs>
        <w:ind w:left="454" w:hanging="341"/>
      </w:pPr>
      <w:rPr>
        <w:rFonts w:hint="default"/>
      </w:rPr>
    </w:lvl>
    <w:lvl w:ilvl="1">
      <w:start w:val="1"/>
      <w:numFmt w:val="decimal"/>
      <w:lvlText w:val="%1.%2."/>
      <w:lvlJc w:val="left"/>
      <w:pPr>
        <w:tabs>
          <w:tab w:val="num" w:pos="454"/>
        </w:tabs>
        <w:ind w:left="454" w:hanging="454"/>
      </w:pPr>
      <w:rPr>
        <w:rFonts w:hint="default"/>
        <w:b w:val="0"/>
        <w:sz w:val="24"/>
        <w:szCs w:val="22"/>
      </w:rPr>
    </w:lvl>
    <w:lvl w:ilvl="2">
      <w:start w:val="1"/>
      <w:numFmt w:val="lowerLetter"/>
      <w:lvlText w:val="%3)"/>
      <w:lvlJc w:val="left"/>
      <w:pPr>
        <w:tabs>
          <w:tab w:val="num" w:pos="1430"/>
        </w:tabs>
        <w:ind w:left="1214" w:hanging="504"/>
      </w:pPr>
      <w:rPr>
        <w:rFonts w:hint="default"/>
        <w:b w:val="0"/>
        <w:sz w:val="24"/>
        <w:szCs w:val="22"/>
      </w:rPr>
    </w:lvl>
    <w:lvl w:ilvl="3">
      <w:start w:val="1"/>
      <w:numFmt w:val="lowerLetter"/>
      <w:lvlText w:val="(%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AC96AC0"/>
    <w:multiLevelType w:val="multilevel"/>
    <w:tmpl w:val="3230B194"/>
    <w:lvl w:ilvl="0">
      <w:start w:val="1"/>
      <w:numFmt w:val="decimal"/>
      <w:lvlText w:val="%1."/>
      <w:lvlJc w:val="left"/>
      <w:pPr>
        <w:tabs>
          <w:tab w:val="num" w:pos="454"/>
        </w:tabs>
        <w:ind w:left="454" w:hanging="341"/>
      </w:pPr>
      <w:rPr>
        <w:rFonts w:hint="default"/>
      </w:rPr>
    </w:lvl>
    <w:lvl w:ilvl="1">
      <w:start w:val="1"/>
      <w:numFmt w:val="decimal"/>
      <w:lvlText w:val="%1.%2."/>
      <w:lvlJc w:val="left"/>
      <w:pPr>
        <w:tabs>
          <w:tab w:val="num" w:pos="454"/>
        </w:tabs>
        <w:ind w:left="454" w:hanging="454"/>
      </w:pPr>
      <w:rPr>
        <w:rFonts w:hint="default"/>
        <w:b w:val="0"/>
        <w:sz w:val="24"/>
        <w:szCs w:val="22"/>
      </w:rPr>
    </w:lvl>
    <w:lvl w:ilvl="2">
      <w:start w:val="1"/>
      <w:numFmt w:val="lowerLetter"/>
      <w:lvlText w:val="%3)"/>
      <w:lvlJc w:val="left"/>
      <w:pPr>
        <w:tabs>
          <w:tab w:val="num" w:pos="1430"/>
        </w:tabs>
        <w:ind w:left="1214" w:hanging="504"/>
      </w:pPr>
      <w:rPr>
        <w:rFonts w:hint="default"/>
        <w:b w:val="0"/>
        <w:sz w:val="24"/>
        <w:szCs w:val="22"/>
      </w:rPr>
    </w:lvl>
    <w:lvl w:ilvl="3">
      <w:start w:val="1"/>
      <w:numFmt w:val="lowerLetter"/>
      <w:lvlText w:val="(%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D367871"/>
    <w:multiLevelType w:val="multilevel"/>
    <w:tmpl w:val="1A4ADC4E"/>
    <w:lvl w:ilvl="0">
      <w:start w:val="1"/>
      <w:numFmt w:val="lowerLetter"/>
      <w:lvlText w:val="(%1)"/>
      <w:lvlJc w:val="left"/>
      <w:pPr>
        <w:ind w:left="360" w:hanging="360"/>
      </w:pPr>
    </w:lvl>
    <w:lvl w:ilvl="1">
      <w:start w:val="1"/>
      <w:numFmt w:val="lowerRoman"/>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EC72B48"/>
    <w:multiLevelType w:val="hybridMultilevel"/>
    <w:tmpl w:val="36604A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FD33A75"/>
    <w:multiLevelType w:val="hybridMultilevel"/>
    <w:tmpl w:val="9112F7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70A061C"/>
    <w:multiLevelType w:val="hybridMultilevel"/>
    <w:tmpl w:val="08CAB15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AB95B6A"/>
    <w:multiLevelType w:val="hybridMultilevel"/>
    <w:tmpl w:val="811CA7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D11934"/>
    <w:multiLevelType w:val="hybridMultilevel"/>
    <w:tmpl w:val="05083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5D64674"/>
    <w:multiLevelType w:val="hybridMultilevel"/>
    <w:tmpl w:val="42A899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AD74446"/>
    <w:multiLevelType w:val="hybridMultilevel"/>
    <w:tmpl w:val="EF0E9C9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3" w15:restartNumberingAfterBreak="0">
    <w:nsid w:val="2E0777EF"/>
    <w:multiLevelType w:val="multilevel"/>
    <w:tmpl w:val="9552EBA8"/>
    <w:lvl w:ilvl="0">
      <w:start w:val="1"/>
      <w:numFmt w:val="decimal"/>
      <w:pStyle w:val="Heading1"/>
      <w:lvlText w:val="%1."/>
      <w:lvlJc w:val="left"/>
      <w:pPr>
        <w:tabs>
          <w:tab w:val="num" w:pos="454"/>
        </w:tabs>
        <w:ind w:left="454" w:hanging="341"/>
      </w:pPr>
      <w:rPr>
        <w:rFonts w:hint="default"/>
      </w:rPr>
    </w:lvl>
    <w:lvl w:ilvl="1">
      <w:start w:val="1"/>
      <w:numFmt w:val="decimal"/>
      <w:lvlText w:val="%1.%2."/>
      <w:lvlJc w:val="left"/>
      <w:pPr>
        <w:tabs>
          <w:tab w:val="num" w:pos="454"/>
        </w:tabs>
        <w:ind w:left="454" w:hanging="454"/>
      </w:pPr>
      <w:rPr>
        <w:rFonts w:hint="default"/>
        <w:b w:val="0"/>
        <w:sz w:val="22"/>
        <w:szCs w:val="22"/>
      </w:rPr>
    </w:lvl>
    <w:lvl w:ilvl="2">
      <w:start w:val="1"/>
      <w:numFmt w:val="lowerLetter"/>
      <w:lvlText w:val="%3)"/>
      <w:lvlJc w:val="left"/>
      <w:pPr>
        <w:tabs>
          <w:tab w:val="num" w:pos="1430"/>
        </w:tabs>
        <w:ind w:left="1214" w:hanging="504"/>
      </w:pPr>
      <w:rPr>
        <w:rFonts w:hint="default"/>
        <w:b w:val="0"/>
        <w:sz w:val="22"/>
        <w:szCs w:val="22"/>
      </w:rPr>
    </w:lvl>
    <w:lvl w:ilvl="3">
      <w:start w:val="1"/>
      <w:numFmt w:val="lowerRoman"/>
      <w:lvlText w:val="%4."/>
      <w:lvlJc w:val="right"/>
      <w:pPr>
        <w:tabs>
          <w:tab w:val="num" w:pos="1800"/>
        </w:tabs>
        <w:ind w:left="1728" w:hanging="648"/>
      </w:pPr>
      <w:rPr>
        <w:rFonts w:hint="default"/>
        <w:b w:val="0"/>
      </w:rPr>
    </w:lvl>
    <w:lvl w:ilvl="4">
      <w:start w:val="1"/>
      <w:numFmt w:val="lowerRoman"/>
      <w:lvlText w:val="%5."/>
      <w:lvlJc w:val="righ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016766C"/>
    <w:multiLevelType w:val="hybridMultilevel"/>
    <w:tmpl w:val="D48A62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1182A40"/>
    <w:multiLevelType w:val="hybridMultilevel"/>
    <w:tmpl w:val="FFAADFD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85C2F"/>
    <w:multiLevelType w:val="hybridMultilevel"/>
    <w:tmpl w:val="96EA1F60"/>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478C674">
      <w:start w:val="1"/>
      <w:numFmt w:val="lowerLetter"/>
      <w:lvlText w:val="%3)"/>
      <w:lvlJc w:val="left"/>
      <w:pPr>
        <w:ind w:left="2160" w:hanging="360"/>
      </w:pPr>
      <w:rPr>
        <w:rFont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1576AA"/>
    <w:multiLevelType w:val="hybridMultilevel"/>
    <w:tmpl w:val="63D2D70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3F6663FC"/>
    <w:multiLevelType w:val="multilevel"/>
    <w:tmpl w:val="3230B194"/>
    <w:lvl w:ilvl="0">
      <w:start w:val="1"/>
      <w:numFmt w:val="decimal"/>
      <w:lvlText w:val="%1."/>
      <w:lvlJc w:val="left"/>
      <w:pPr>
        <w:tabs>
          <w:tab w:val="num" w:pos="454"/>
        </w:tabs>
        <w:ind w:left="454" w:hanging="341"/>
      </w:pPr>
      <w:rPr>
        <w:rFonts w:hint="default"/>
      </w:rPr>
    </w:lvl>
    <w:lvl w:ilvl="1">
      <w:start w:val="1"/>
      <w:numFmt w:val="decimal"/>
      <w:lvlText w:val="%1.%2."/>
      <w:lvlJc w:val="left"/>
      <w:pPr>
        <w:tabs>
          <w:tab w:val="num" w:pos="454"/>
        </w:tabs>
        <w:ind w:left="454" w:hanging="454"/>
      </w:pPr>
      <w:rPr>
        <w:rFonts w:hint="default"/>
        <w:b w:val="0"/>
        <w:sz w:val="24"/>
        <w:szCs w:val="22"/>
      </w:rPr>
    </w:lvl>
    <w:lvl w:ilvl="2">
      <w:start w:val="1"/>
      <w:numFmt w:val="lowerLetter"/>
      <w:lvlText w:val="%3)"/>
      <w:lvlJc w:val="left"/>
      <w:pPr>
        <w:tabs>
          <w:tab w:val="num" w:pos="1430"/>
        </w:tabs>
        <w:ind w:left="1214" w:hanging="504"/>
      </w:pPr>
      <w:rPr>
        <w:rFonts w:hint="default"/>
        <w:b w:val="0"/>
        <w:sz w:val="24"/>
        <w:szCs w:val="22"/>
      </w:rPr>
    </w:lvl>
    <w:lvl w:ilvl="3">
      <w:start w:val="1"/>
      <w:numFmt w:val="lowerLetter"/>
      <w:lvlText w:val="(%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B5C5D3D"/>
    <w:multiLevelType w:val="hybridMultilevel"/>
    <w:tmpl w:val="52A29B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4D783EEE"/>
    <w:multiLevelType w:val="hybridMultilevel"/>
    <w:tmpl w:val="58AC4E98"/>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DEB74A4"/>
    <w:multiLevelType w:val="hybridMultilevel"/>
    <w:tmpl w:val="FFAADFD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B70E22"/>
    <w:multiLevelType w:val="multilevel"/>
    <w:tmpl w:val="3230B194"/>
    <w:lvl w:ilvl="0">
      <w:start w:val="1"/>
      <w:numFmt w:val="decimal"/>
      <w:lvlText w:val="%1."/>
      <w:lvlJc w:val="left"/>
      <w:pPr>
        <w:tabs>
          <w:tab w:val="num" w:pos="454"/>
        </w:tabs>
        <w:ind w:left="454" w:hanging="341"/>
      </w:pPr>
      <w:rPr>
        <w:rFonts w:hint="default"/>
      </w:rPr>
    </w:lvl>
    <w:lvl w:ilvl="1">
      <w:start w:val="1"/>
      <w:numFmt w:val="decimal"/>
      <w:lvlText w:val="%1.%2."/>
      <w:lvlJc w:val="left"/>
      <w:pPr>
        <w:tabs>
          <w:tab w:val="num" w:pos="454"/>
        </w:tabs>
        <w:ind w:left="454" w:hanging="454"/>
      </w:pPr>
      <w:rPr>
        <w:rFonts w:hint="default"/>
        <w:b w:val="0"/>
        <w:sz w:val="24"/>
        <w:szCs w:val="22"/>
      </w:rPr>
    </w:lvl>
    <w:lvl w:ilvl="2">
      <w:start w:val="1"/>
      <w:numFmt w:val="lowerLetter"/>
      <w:lvlText w:val="%3)"/>
      <w:lvlJc w:val="left"/>
      <w:pPr>
        <w:tabs>
          <w:tab w:val="num" w:pos="1430"/>
        </w:tabs>
        <w:ind w:left="1214" w:hanging="504"/>
      </w:pPr>
      <w:rPr>
        <w:rFonts w:hint="default"/>
        <w:b w:val="0"/>
        <w:sz w:val="24"/>
        <w:szCs w:val="22"/>
      </w:rPr>
    </w:lvl>
    <w:lvl w:ilvl="3">
      <w:start w:val="1"/>
      <w:numFmt w:val="lowerLetter"/>
      <w:lvlText w:val="(%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4E21F61"/>
    <w:multiLevelType w:val="hybridMultilevel"/>
    <w:tmpl w:val="FFAADFD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83774A7"/>
    <w:multiLevelType w:val="multilevel"/>
    <w:tmpl w:val="F5623D42"/>
    <w:lvl w:ilvl="0">
      <w:start w:val="1"/>
      <w:numFmt w:val="decimal"/>
      <w:lvlText w:val="%1."/>
      <w:lvlJc w:val="left"/>
      <w:pPr>
        <w:tabs>
          <w:tab w:val="num" w:pos="454"/>
        </w:tabs>
        <w:ind w:left="454" w:hanging="341"/>
      </w:pPr>
      <w:rPr>
        <w:rFonts w:hint="default"/>
      </w:rPr>
    </w:lvl>
    <w:lvl w:ilvl="1">
      <w:start w:val="1"/>
      <w:numFmt w:val="decimal"/>
      <w:lvlText w:val="%1.%2."/>
      <w:lvlJc w:val="left"/>
      <w:pPr>
        <w:tabs>
          <w:tab w:val="num" w:pos="454"/>
        </w:tabs>
        <w:ind w:left="454" w:hanging="454"/>
      </w:pPr>
      <w:rPr>
        <w:rFonts w:hint="default"/>
        <w:b/>
        <w:sz w:val="22"/>
        <w:szCs w:val="22"/>
      </w:rPr>
    </w:lvl>
    <w:lvl w:ilvl="2">
      <w:start w:val="1"/>
      <w:numFmt w:val="decimal"/>
      <w:lvlText w:val="%1.%2.%3."/>
      <w:lvlJc w:val="left"/>
      <w:pPr>
        <w:tabs>
          <w:tab w:val="num" w:pos="1440"/>
        </w:tabs>
        <w:ind w:left="1224" w:hanging="504"/>
      </w:pPr>
      <w:rPr>
        <w:rFonts w:hint="default"/>
        <w:b/>
        <w:sz w:val="22"/>
        <w:szCs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A0E6F4B"/>
    <w:multiLevelType w:val="multilevel"/>
    <w:tmpl w:val="3230B194"/>
    <w:lvl w:ilvl="0">
      <w:start w:val="1"/>
      <w:numFmt w:val="decimal"/>
      <w:lvlText w:val="%1."/>
      <w:lvlJc w:val="left"/>
      <w:pPr>
        <w:tabs>
          <w:tab w:val="num" w:pos="454"/>
        </w:tabs>
        <w:ind w:left="454" w:hanging="341"/>
      </w:pPr>
      <w:rPr>
        <w:rFonts w:hint="default"/>
      </w:rPr>
    </w:lvl>
    <w:lvl w:ilvl="1">
      <w:start w:val="1"/>
      <w:numFmt w:val="decimal"/>
      <w:lvlText w:val="%1.%2."/>
      <w:lvlJc w:val="left"/>
      <w:pPr>
        <w:tabs>
          <w:tab w:val="num" w:pos="454"/>
        </w:tabs>
        <w:ind w:left="454" w:hanging="454"/>
      </w:pPr>
      <w:rPr>
        <w:rFonts w:hint="default"/>
        <w:b w:val="0"/>
        <w:sz w:val="24"/>
        <w:szCs w:val="22"/>
      </w:rPr>
    </w:lvl>
    <w:lvl w:ilvl="2">
      <w:start w:val="1"/>
      <w:numFmt w:val="lowerLetter"/>
      <w:lvlText w:val="%3)"/>
      <w:lvlJc w:val="left"/>
      <w:pPr>
        <w:tabs>
          <w:tab w:val="num" w:pos="1430"/>
        </w:tabs>
        <w:ind w:left="1214" w:hanging="504"/>
      </w:pPr>
      <w:rPr>
        <w:rFonts w:hint="default"/>
        <w:b w:val="0"/>
        <w:sz w:val="24"/>
        <w:szCs w:val="22"/>
      </w:rPr>
    </w:lvl>
    <w:lvl w:ilvl="3">
      <w:start w:val="1"/>
      <w:numFmt w:val="lowerLetter"/>
      <w:lvlText w:val="(%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BF25582"/>
    <w:multiLevelType w:val="multilevel"/>
    <w:tmpl w:val="56183B68"/>
    <w:lvl w:ilvl="0">
      <w:start w:val="1"/>
      <w:numFmt w:val="decimal"/>
      <w:lvlText w:val="%1"/>
      <w:lvlJc w:val="left"/>
      <w:pPr>
        <w:tabs>
          <w:tab w:val="num" w:pos="432"/>
        </w:tabs>
        <w:ind w:left="432" w:hanging="432"/>
      </w:pPr>
    </w:lvl>
    <w:lvl w:ilvl="1">
      <w:start w:val="1"/>
      <w:numFmt w:val="decimal"/>
      <w:lvlText w:val="%1.%2"/>
      <w:lvlJc w:val="left"/>
      <w:pPr>
        <w:tabs>
          <w:tab w:val="num" w:pos="2136"/>
        </w:tabs>
        <w:ind w:left="2136" w:hanging="576"/>
      </w:pPr>
      <w:rPr>
        <w:b w:val="0"/>
        <w:sz w:val="22"/>
        <w:szCs w:val="22"/>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lvl>
    <w:lvl w:ilvl="4">
      <w:start w:val="1"/>
      <w:numFmt w:val="bullet"/>
      <w:lvlText w:val=""/>
      <w:lvlJc w:val="left"/>
      <w:pPr>
        <w:tabs>
          <w:tab w:val="num" w:pos="1008"/>
        </w:tabs>
        <w:ind w:left="1008" w:hanging="1008"/>
      </w:pPr>
      <w:rPr>
        <w:rFonts w:ascii="Symbol" w:hAnsi="Symbol" w:hint="default"/>
      </w:rPr>
    </w:lvl>
    <w:lvl w:ilvl="5">
      <w:start w:val="1"/>
      <w:numFmt w:val="bullet"/>
      <w:lvlText w:val=""/>
      <w:lvlJc w:val="left"/>
      <w:pPr>
        <w:tabs>
          <w:tab w:val="num" w:pos="1152"/>
        </w:tabs>
        <w:ind w:left="1152" w:hanging="1152"/>
      </w:pPr>
      <w:rPr>
        <w:rFonts w:ascii="Symbol" w:hAnsi="Symbol" w:hint="default"/>
      </w:r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7FD570C9"/>
    <w:multiLevelType w:val="multilevel"/>
    <w:tmpl w:val="1A4ADC4E"/>
    <w:lvl w:ilvl="0">
      <w:start w:val="1"/>
      <w:numFmt w:val="lowerLetter"/>
      <w:lvlText w:val="(%1)"/>
      <w:lvlJc w:val="left"/>
      <w:pPr>
        <w:ind w:left="360" w:hanging="360"/>
      </w:pPr>
    </w:lvl>
    <w:lvl w:ilvl="1">
      <w:start w:val="1"/>
      <w:numFmt w:val="lowerRoman"/>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0"/>
  </w:num>
  <w:num w:numId="3">
    <w:abstractNumId w:val="24"/>
  </w:num>
  <w:num w:numId="4">
    <w:abstractNumId w:val="12"/>
  </w:num>
  <w:num w:numId="5">
    <w:abstractNumId w:val="2"/>
  </w:num>
  <w:num w:numId="6">
    <w:abstractNumId w:val="13"/>
  </w:num>
  <w:num w:numId="7">
    <w:abstractNumId w:val="23"/>
  </w:num>
  <w:num w:numId="8">
    <w:abstractNumId w:val="21"/>
  </w:num>
  <w:num w:numId="9">
    <w:abstractNumId w:val="13"/>
  </w:num>
  <w:num w:numId="10">
    <w:abstractNumId w:val="13"/>
  </w:num>
  <w:num w:numId="11">
    <w:abstractNumId w:val="13"/>
  </w:num>
  <w:num w:numId="12">
    <w:abstractNumId w:val="13"/>
  </w:num>
  <w:num w:numId="13">
    <w:abstractNumId w:val="13"/>
  </w:num>
  <w:num w:numId="14">
    <w:abstractNumId w:val="15"/>
  </w:num>
  <w:num w:numId="15">
    <w:abstractNumId w:val="8"/>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7"/>
  </w:num>
  <w:num w:numId="19">
    <w:abstractNumId w:val="14"/>
  </w:num>
  <w:num w:numId="20">
    <w:abstractNumId w:val="6"/>
  </w:num>
  <w:num w:numId="21">
    <w:abstractNumId w:val="13"/>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7"/>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13"/>
  </w:num>
  <w:num w:numId="30">
    <w:abstractNumId w:val="26"/>
  </w:num>
  <w:num w:numId="31">
    <w:abstractNumId w:val="13"/>
  </w:num>
  <w:num w:numId="32">
    <w:abstractNumId w:val="13"/>
  </w:num>
  <w:num w:numId="33">
    <w:abstractNumId w:val="13"/>
  </w:num>
  <w:num w:numId="34">
    <w:abstractNumId w:val="18"/>
  </w:num>
  <w:num w:numId="35">
    <w:abstractNumId w:val="4"/>
  </w:num>
  <w:num w:numId="36">
    <w:abstractNumId w:val="22"/>
  </w:num>
  <w:num w:numId="37">
    <w:abstractNumId w:val="25"/>
  </w:num>
  <w:num w:numId="38">
    <w:abstractNumId w:val="3"/>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2D9"/>
    <w:rsid w:val="00002667"/>
    <w:rsid w:val="00002A01"/>
    <w:rsid w:val="000113A4"/>
    <w:rsid w:val="0001737B"/>
    <w:rsid w:val="000177A0"/>
    <w:rsid w:val="0002211E"/>
    <w:rsid w:val="0002322F"/>
    <w:rsid w:val="00024D59"/>
    <w:rsid w:val="0003060D"/>
    <w:rsid w:val="000308A1"/>
    <w:rsid w:val="00032258"/>
    <w:rsid w:val="0004145A"/>
    <w:rsid w:val="00041BB1"/>
    <w:rsid w:val="00041D2E"/>
    <w:rsid w:val="00046B11"/>
    <w:rsid w:val="00047D92"/>
    <w:rsid w:val="0005319A"/>
    <w:rsid w:val="00055E1F"/>
    <w:rsid w:val="000622D5"/>
    <w:rsid w:val="00067A70"/>
    <w:rsid w:val="00070D9D"/>
    <w:rsid w:val="00070F1F"/>
    <w:rsid w:val="00071394"/>
    <w:rsid w:val="00071E05"/>
    <w:rsid w:val="00080D6A"/>
    <w:rsid w:val="0008373E"/>
    <w:rsid w:val="00084B02"/>
    <w:rsid w:val="000852FD"/>
    <w:rsid w:val="00086014"/>
    <w:rsid w:val="00087175"/>
    <w:rsid w:val="00087A52"/>
    <w:rsid w:val="00090C81"/>
    <w:rsid w:val="00090ECB"/>
    <w:rsid w:val="00091B41"/>
    <w:rsid w:val="00093C77"/>
    <w:rsid w:val="00095DE8"/>
    <w:rsid w:val="000B1E6E"/>
    <w:rsid w:val="000B3674"/>
    <w:rsid w:val="000B72A9"/>
    <w:rsid w:val="000C27D6"/>
    <w:rsid w:val="000C523B"/>
    <w:rsid w:val="000D26B2"/>
    <w:rsid w:val="000D47C7"/>
    <w:rsid w:val="000D7F6A"/>
    <w:rsid w:val="000E2E2D"/>
    <w:rsid w:val="000E330C"/>
    <w:rsid w:val="000F121C"/>
    <w:rsid w:val="000F3F2A"/>
    <w:rsid w:val="000F48D9"/>
    <w:rsid w:val="000F7FF0"/>
    <w:rsid w:val="001048FF"/>
    <w:rsid w:val="001076D8"/>
    <w:rsid w:val="00113A40"/>
    <w:rsid w:val="00114B2C"/>
    <w:rsid w:val="001211F7"/>
    <w:rsid w:val="001216E0"/>
    <w:rsid w:val="001243DE"/>
    <w:rsid w:val="00124EA3"/>
    <w:rsid w:val="001322E8"/>
    <w:rsid w:val="00137595"/>
    <w:rsid w:val="001413CE"/>
    <w:rsid w:val="001468E8"/>
    <w:rsid w:val="00151662"/>
    <w:rsid w:val="00152340"/>
    <w:rsid w:val="0016079D"/>
    <w:rsid w:val="00162508"/>
    <w:rsid w:val="00162602"/>
    <w:rsid w:val="001645DB"/>
    <w:rsid w:val="001646C5"/>
    <w:rsid w:val="001816E7"/>
    <w:rsid w:val="00185A57"/>
    <w:rsid w:val="00185D56"/>
    <w:rsid w:val="00186BDB"/>
    <w:rsid w:val="0019200D"/>
    <w:rsid w:val="001926A5"/>
    <w:rsid w:val="001971D4"/>
    <w:rsid w:val="001A0FAE"/>
    <w:rsid w:val="001A1640"/>
    <w:rsid w:val="001C14CB"/>
    <w:rsid w:val="001C652F"/>
    <w:rsid w:val="001D0AC4"/>
    <w:rsid w:val="001E281F"/>
    <w:rsid w:val="001E54D9"/>
    <w:rsid w:val="001E66F1"/>
    <w:rsid w:val="001E7F51"/>
    <w:rsid w:val="001F33FE"/>
    <w:rsid w:val="001F74D6"/>
    <w:rsid w:val="002018FC"/>
    <w:rsid w:val="00202432"/>
    <w:rsid w:val="002067E3"/>
    <w:rsid w:val="00207A05"/>
    <w:rsid w:val="002225B9"/>
    <w:rsid w:val="002248F0"/>
    <w:rsid w:val="00224EA1"/>
    <w:rsid w:val="00224FF8"/>
    <w:rsid w:val="00226053"/>
    <w:rsid w:val="002365B4"/>
    <w:rsid w:val="00236661"/>
    <w:rsid w:val="00236A18"/>
    <w:rsid w:val="00237D66"/>
    <w:rsid w:val="00242538"/>
    <w:rsid w:val="002462DE"/>
    <w:rsid w:val="00247B58"/>
    <w:rsid w:val="00251155"/>
    <w:rsid w:val="002515DB"/>
    <w:rsid w:val="002568C4"/>
    <w:rsid w:val="00256B1F"/>
    <w:rsid w:val="002600C1"/>
    <w:rsid w:val="00262095"/>
    <w:rsid w:val="0026236B"/>
    <w:rsid w:val="00263783"/>
    <w:rsid w:val="002658E2"/>
    <w:rsid w:val="002671BB"/>
    <w:rsid w:val="0026776B"/>
    <w:rsid w:val="00267C42"/>
    <w:rsid w:val="00270EEC"/>
    <w:rsid w:val="002761B0"/>
    <w:rsid w:val="002763B3"/>
    <w:rsid w:val="00277060"/>
    <w:rsid w:val="00280EB8"/>
    <w:rsid w:val="002814C1"/>
    <w:rsid w:val="002815F6"/>
    <w:rsid w:val="00281C22"/>
    <w:rsid w:val="0028411B"/>
    <w:rsid w:val="002908FF"/>
    <w:rsid w:val="0029124B"/>
    <w:rsid w:val="00291C52"/>
    <w:rsid w:val="002976FB"/>
    <w:rsid w:val="002A2D31"/>
    <w:rsid w:val="002B2D6E"/>
    <w:rsid w:val="002D3135"/>
    <w:rsid w:val="002D4973"/>
    <w:rsid w:val="002D4DA0"/>
    <w:rsid w:val="002D6D85"/>
    <w:rsid w:val="002D78A6"/>
    <w:rsid w:val="002D7EC8"/>
    <w:rsid w:val="002E01F4"/>
    <w:rsid w:val="002E3EE1"/>
    <w:rsid w:val="002E4129"/>
    <w:rsid w:val="002E4332"/>
    <w:rsid w:val="002F11BE"/>
    <w:rsid w:val="002F152F"/>
    <w:rsid w:val="002F27D3"/>
    <w:rsid w:val="003055E7"/>
    <w:rsid w:val="00305963"/>
    <w:rsid w:val="00305B3E"/>
    <w:rsid w:val="00310C58"/>
    <w:rsid w:val="0031148A"/>
    <w:rsid w:val="003133BA"/>
    <w:rsid w:val="00313A46"/>
    <w:rsid w:val="00313FE7"/>
    <w:rsid w:val="00320C7F"/>
    <w:rsid w:val="00321452"/>
    <w:rsid w:val="003215DA"/>
    <w:rsid w:val="0032622F"/>
    <w:rsid w:val="003263D2"/>
    <w:rsid w:val="00336374"/>
    <w:rsid w:val="00337BB0"/>
    <w:rsid w:val="00341351"/>
    <w:rsid w:val="003478C4"/>
    <w:rsid w:val="00350189"/>
    <w:rsid w:val="00352243"/>
    <w:rsid w:val="003529C7"/>
    <w:rsid w:val="00353476"/>
    <w:rsid w:val="0035358C"/>
    <w:rsid w:val="00363349"/>
    <w:rsid w:val="0036740D"/>
    <w:rsid w:val="00375FCF"/>
    <w:rsid w:val="0038465E"/>
    <w:rsid w:val="003909E7"/>
    <w:rsid w:val="003913BC"/>
    <w:rsid w:val="003915E5"/>
    <w:rsid w:val="00391AA7"/>
    <w:rsid w:val="00391FF4"/>
    <w:rsid w:val="00392302"/>
    <w:rsid w:val="00393E97"/>
    <w:rsid w:val="00396E90"/>
    <w:rsid w:val="003A12D3"/>
    <w:rsid w:val="003A4396"/>
    <w:rsid w:val="003A6894"/>
    <w:rsid w:val="003B0411"/>
    <w:rsid w:val="003B0802"/>
    <w:rsid w:val="003B09A8"/>
    <w:rsid w:val="003C1EEF"/>
    <w:rsid w:val="003C48A4"/>
    <w:rsid w:val="003C6798"/>
    <w:rsid w:val="003D46B4"/>
    <w:rsid w:val="003D55D2"/>
    <w:rsid w:val="003D5F29"/>
    <w:rsid w:val="003E23BC"/>
    <w:rsid w:val="003E2F69"/>
    <w:rsid w:val="003E7CE4"/>
    <w:rsid w:val="003F4522"/>
    <w:rsid w:val="003F5324"/>
    <w:rsid w:val="0040179D"/>
    <w:rsid w:val="004110E2"/>
    <w:rsid w:val="00411C63"/>
    <w:rsid w:val="004121BE"/>
    <w:rsid w:val="004130CE"/>
    <w:rsid w:val="00413489"/>
    <w:rsid w:val="0041535A"/>
    <w:rsid w:val="00415AEF"/>
    <w:rsid w:val="00417247"/>
    <w:rsid w:val="004177B5"/>
    <w:rsid w:val="0042550B"/>
    <w:rsid w:val="00433679"/>
    <w:rsid w:val="004366E7"/>
    <w:rsid w:val="00436BCD"/>
    <w:rsid w:val="0044112A"/>
    <w:rsid w:val="00444C85"/>
    <w:rsid w:val="0044576A"/>
    <w:rsid w:val="004462FE"/>
    <w:rsid w:val="00446A7F"/>
    <w:rsid w:val="00453C1C"/>
    <w:rsid w:val="00454D9C"/>
    <w:rsid w:val="00455116"/>
    <w:rsid w:val="00455882"/>
    <w:rsid w:val="00464C2E"/>
    <w:rsid w:val="00472C3B"/>
    <w:rsid w:val="00480A36"/>
    <w:rsid w:val="00483506"/>
    <w:rsid w:val="0048775A"/>
    <w:rsid w:val="00487C05"/>
    <w:rsid w:val="004913E1"/>
    <w:rsid w:val="00492252"/>
    <w:rsid w:val="0049778C"/>
    <w:rsid w:val="004A46AF"/>
    <w:rsid w:val="004B119A"/>
    <w:rsid w:val="004B284E"/>
    <w:rsid w:val="004B3B8B"/>
    <w:rsid w:val="004B7D18"/>
    <w:rsid w:val="004B7D45"/>
    <w:rsid w:val="004B7E7E"/>
    <w:rsid w:val="004C31F1"/>
    <w:rsid w:val="004C69E8"/>
    <w:rsid w:val="004C71EB"/>
    <w:rsid w:val="004D3C4B"/>
    <w:rsid w:val="004D53BC"/>
    <w:rsid w:val="004E0124"/>
    <w:rsid w:val="004E0A27"/>
    <w:rsid w:val="004E3B2C"/>
    <w:rsid w:val="004E5B53"/>
    <w:rsid w:val="004F2496"/>
    <w:rsid w:val="004F6A93"/>
    <w:rsid w:val="0050041E"/>
    <w:rsid w:val="00501A1C"/>
    <w:rsid w:val="005038F9"/>
    <w:rsid w:val="00505AC8"/>
    <w:rsid w:val="005072F4"/>
    <w:rsid w:val="00507BE1"/>
    <w:rsid w:val="005107CD"/>
    <w:rsid w:val="00511F99"/>
    <w:rsid w:val="005212BD"/>
    <w:rsid w:val="00524240"/>
    <w:rsid w:val="005247BE"/>
    <w:rsid w:val="005276EA"/>
    <w:rsid w:val="005316D9"/>
    <w:rsid w:val="00533978"/>
    <w:rsid w:val="00533C3B"/>
    <w:rsid w:val="00536245"/>
    <w:rsid w:val="00551737"/>
    <w:rsid w:val="00554B93"/>
    <w:rsid w:val="0055624E"/>
    <w:rsid w:val="00556385"/>
    <w:rsid w:val="00556E85"/>
    <w:rsid w:val="00557142"/>
    <w:rsid w:val="00557C1B"/>
    <w:rsid w:val="0057409A"/>
    <w:rsid w:val="00575ABE"/>
    <w:rsid w:val="005765E7"/>
    <w:rsid w:val="005772B9"/>
    <w:rsid w:val="00577788"/>
    <w:rsid w:val="005857C6"/>
    <w:rsid w:val="005874C0"/>
    <w:rsid w:val="00592079"/>
    <w:rsid w:val="00592230"/>
    <w:rsid w:val="00593E2C"/>
    <w:rsid w:val="005949D8"/>
    <w:rsid w:val="005A1D7E"/>
    <w:rsid w:val="005A20A7"/>
    <w:rsid w:val="005A21DE"/>
    <w:rsid w:val="005A2C1D"/>
    <w:rsid w:val="005A352B"/>
    <w:rsid w:val="005A39CA"/>
    <w:rsid w:val="005A587C"/>
    <w:rsid w:val="005A70E6"/>
    <w:rsid w:val="005B14B3"/>
    <w:rsid w:val="005B193F"/>
    <w:rsid w:val="005B4126"/>
    <w:rsid w:val="005C0B2E"/>
    <w:rsid w:val="005C21DE"/>
    <w:rsid w:val="005C5D74"/>
    <w:rsid w:val="005D28D0"/>
    <w:rsid w:val="005D2C98"/>
    <w:rsid w:val="005D4A4C"/>
    <w:rsid w:val="005D7CE3"/>
    <w:rsid w:val="005E0685"/>
    <w:rsid w:val="005E110F"/>
    <w:rsid w:val="005E2EBD"/>
    <w:rsid w:val="005E51E4"/>
    <w:rsid w:val="005E5457"/>
    <w:rsid w:val="005E6144"/>
    <w:rsid w:val="005F0D07"/>
    <w:rsid w:val="005F3C2F"/>
    <w:rsid w:val="005F60B8"/>
    <w:rsid w:val="005F754A"/>
    <w:rsid w:val="00600E83"/>
    <w:rsid w:val="00602420"/>
    <w:rsid w:val="006038D0"/>
    <w:rsid w:val="0060495A"/>
    <w:rsid w:val="006059DA"/>
    <w:rsid w:val="00617CE7"/>
    <w:rsid w:val="006227CB"/>
    <w:rsid w:val="0062388A"/>
    <w:rsid w:val="00623E5E"/>
    <w:rsid w:val="00623EA6"/>
    <w:rsid w:val="006355FE"/>
    <w:rsid w:val="00636027"/>
    <w:rsid w:val="006373E1"/>
    <w:rsid w:val="00637BA0"/>
    <w:rsid w:val="00640C47"/>
    <w:rsid w:val="00642636"/>
    <w:rsid w:val="00642A74"/>
    <w:rsid w:val="00642F8B"/>
    <w:rsid w:val="00644526"/>
    <w:rsid w:val="00644D87"/>
    <w:rsid w:val="0064649B"/>
    <w:rsid w:val="0065013A"/>
    <w:rsid w:val="00650A60"/>
    <w:rsid w:val="006530EF"/>
    <w:rsid w:val="0065319A"/>
    <w:rsid w:val="00653E2B"/>
    <w:rsid w:val="00655088"/>
    <w:rsid w:val="00655FB8"/>
    <w:rsid w:val="00663C28"/>
    <w:rsid w:val="00671564"/>
    <w:rsid w:val="00671AD7"/>
    <w:rsid w:val="00672500"/>
    <w:rsid w:val="00673C00"/>
    <w:rsid w:val="00674EF1"/>
    <w:rsid w:val="00681419"/>
    <w:rsid w:val="0068482D"/>
    <w:rsid w:val="00692DBB"/>
    <w:rsid w:val="006975EC"/>
    <w:rsid w:val="006A44AF"/>
    <w:rsid w:val="006A5DAA"/>
    <w:rsid w:val="006B0540"/>
    <w:rsid w:val="006B5547"/>
    <w:rsid w:val="006B716A"/>
    <w:rsid w:val="006C0571"/>
    <w:rsid w:val="006C5686"/>
    <w:rsid w:val="006D3C7C"/>
    <w:rsid w:val="006E1B5D"/>
    <w:rsid w:val="006E5970"/>
    <w:rsid w:val="006E605E"/>
    <w:rsid w:val="006E7D6D"/>
    <w:rsid w:val="006F2EB3"/>
    <w:rsid w:val="006F510D"/>
    <w:rsid w:val="00713A45"/>
    <w:rsid w:val="00715879"/>
    <w:rsid w:val="00723D1D"/>
    <w:rsid w:val="00723E24"/>
    <w:rsid w:val="00726802"/>
    <w:rsid w:val="007271FC"/>
    <w:rsid w:val="0072762A"/>
    <w:rsid w:val="00731154"/>
    <w:rsid w:val="00733D10"/>
    <w:rsid w:val="00740FED"/>
    <w:rsid w:val="00741041"/>
    <w:rsid w:val="00742089"/>
    <w:rsid w:val="007468ED"/>
    <w:rsid w:val="007519A3"/>
    <w:rsid w:val="00752719"/>
    <w:rsid w:val="00752E5C"/>
    <w:rsid w:val="00753087"/>
    <w:rsid w:val="00755211"/>
    <w:rsid w:val="007622A5"/>
    <w:rsid w:val="00770FB4"/>
    <w:rsid w:val="00773AF6"/>
    <w:rsid w:val="00775516"/>
    <w:rsid w:val="007960FE"/>
    <w:rsid w:val="00796E7E"/>
    <w:rsid w:val="007A499E"/>
    <w:rsid w:val="007A529E"/>
    <w:rsid w:val="007A7163"/>
    <w:rsid w:val="007B22D9"/>
    <w:rsid w:val="007B23AD"/>
    <w:rsid w:val="007C2B0F"/>
    <w:rsid w:val="007C40F6"/>
    <w:rsid w:val="007C5323"/>
    <w:rsid w:val="007D0393"/>
    <w:rsid w:val="007D0C0B"/>
    <w:rsid w:val="007E6D64"/>
    <w:rsid w:val="007F25BF"/>
    <w:rsid w:val="007F3015"/>
    <w:rsid w:val="007F6F33"/>
    <w:rsid w:val="00801635"/>
    <w:rsid w:val="0080170C"/>
    <w:rsid w:val="008018C0"/>
    <w:rsid w:val="00805C35"/>
    <w:rsid w:val="0081050E"/>
    <w:rsid w:val="00810E3C"/>
    <w:rsid w:val="00811736"/>
    <w:rsid w:val="00815DDA"/>
    <w:rsid w:val="008167BB"/>
    <w:rsid w:val="008167BE"/>
    <w:rsid w:val="008172D5"/>
    <w:rsid w:val="00823C53"/>
    <w:rsid w:val="008334BB"/>
    <w:rsid w:val="00843796"/>
    <w:rsid w:val="00844FD8"/>
    <w:rsid w:val="00846FEE"/>
    <w:rsid w:val="008532CD"/>
    <w:rsid w:val="0085585F"/>
    <w:rsid w:val="00855BA9"/>
    <w:rsid w:val="00856C6A"/>
    <w:rsid w:val="00863A25"/>
    <w:rsid w:val="00865848"/>
    <w:rsid w:val="00866761"/>
    <w:rsid w:val="00866EAA"/>
    <w:rsid w:val="00870A94"/>
    <w:rsid w:val="00870FD5"/>
    <w:rsid w:val="0088109D"/>
    <w:rsid w:val="008847F7"/>
    <w:rsid w:val="008849E5"/>
    <w:rsid w:val="00887497"/>
    <w:rsid w:val="008907EE"/>
    <w:rsid w:val="008909CF"/>
    <w:rsid w:val="008913DC"/>
    <w:rsid w:val="008976E0"/>
    <w:rsid w:val="008A1971"/>
    <w:rsid w:val="008A3F91"/>
    <w:rsid w:val="008A428B"/>
    <w:rsid w:val="008A5C2B"/>
    <w:rsid w:val="008B0C6A"/>
    <w:rsid w:val="008B1259"/>
    <w:rsid w:val="008B283A"/>
    <w:rsid w:val="008B3323"/>
    <w:rsid w:val="008B40B2"/>
    <w:rsid w:val="008B44EF"/>
    <w:rsid w:val="008B6931"/>
    <w:rsid w:val="008C4302"/>
    <w:rsid w:val="008C467A"/>
    <w:rsid w:val="008C4DB2"/>
    <w:rsid w:val="008C63B6"/>
    <w:rsid w:val="008D640C"/>
    <w:rsid w:val="008D72B8"/>
    <w:rsid w:val="008E0087"/>
    <w:rsid w:val="008E20D7"/>
    <w:rsid w:val="008E2E35"/>
    <w:rsid w:val="008E7502"/>
    <w:rsid w:val="008F03D0"/>
    <w:rsid w:val="008F0779"/>
    <w:rsid w:val="008F25FA"/>
    <w:rsid w:val="008F38BD"/>
    <w:rsid w:val="009071BB"/>
    <w:rsid w:val="00910B1F"/>
    <w:rsid w:val="009117FC"/>
    <w:rsid w:val="0091591E"/>
    <w:rsid w:val="00916D18"/>
    <w:rsid w:val="0091734C"/>
    <w:rsid w:val="00921F47"/>
    <w:rsid w:val="009260A9"/>
    <w:rsid w:val="009304C4"/>
    <w:rsid w:val="00930A66"/>
    <w:rsid w:val="00930C56"/>
    <w:rsid w:val="00931600"/>
    <w:rsid w:val="00934532"/>
    <w:rsid w:val="00935F10"/>
    <w:rsid w:val="00946A53"/>
    <w:rsid w:val="00950DFE"/>
    <w:rsid w:val="00951B08"/>
    <w:rsid w:val="00951EFD"/>
    <w:rsid w:val="0095352E"/>
    <w:rsid w:val="00954691"/>
    <w:rsid w:val="00960539"/>
    <w:rsid w:val="009610A9"/>
    <w:rsid w:val="00965294"/>
    <w:rsid w:val="0096631B"/>
    <w:rsid w:val="00966C47"/>
    <w:rsid w:val="0097249A"/>
    <w:rsid w:val="00972949"/>
    <w:rsid w:val="00974FC5"/>
    <w:rsid w:val="009754B5"/>
    <w:rsid w:val="0098140A"/>
    <w:rsid w:val="00982957"/>
    <w:rsid w:val="00982987"/>
    <w:rsid w:val="00986E21"/>
    <w:rsid w:val="00987073"/>
    <w:rsid w:val="0099417E"/>
    <w:rsid w:val="009A2529"/>
    <w:rsid w:val="009A2AD6"/>
    <w:rsid w:val="009B3054"/>
    <w:rsid w:val="009B3DA0"/>
    <w:rsid w:val="009C0B18"/>
    <w:rsid w:val="009C4F36"/>
    <w:rsid w:val="009D0D79"/>
    <w:rsid w:val="009D2552"/>
    <w:rsid w:val="009D5F7F"/>
    <w:rsid w:val="009D7572"/>
    <w:rsid w:val="009E139C"/>
    <w:rsid w:val="009E76DF"/>
    <w:rsid w:val="009E774E"/>
    <w:rsid w:val="009F1666"/>
    <w:rsid w:val="009F1718"/>
    <w:rsid w:val="009F221D"/>
    <w:rsid w:val="009F46BC"/>
    <w:rsid w:val="009F5D81"/>
    <w:rsid w:val="009F7D7A"/>
    <w:rsid w:val="00A014E1"/>
    <w:rsid w:val="00A01AAE"/>
    <w:rsid w:val="00A0309E"/>
    <w:rsid w:val="00A05B37"/>
    <w:rsid w:val="00A07F73"/>
    <w:rsid w:val="00A1101E"/>
    <w:rsid w:val="00A160E6"/>
    <w:rsid w:val="00A16EE8"/>
    <w:rsid w:val="00A27F9C"/>
    <w:rsid w:val="00A308C5"/>
    <w:rsid w:val="00A314B9"/>
    <w:rsid w:val="00A34106"/>
    <w:rsid w:val="00A41584"/>
    <w:rsid w:val="00A52E49"/>
    <w:rsid w:val="00A53D82"/>
    <w:rsid w:val="00A564A1"/>
    <w:rsid w:val="00A572D5"/>
    <w:rsid w:val="00A63FE4"/>
    <w:rsid w:val="00A66E53"/>
    <w:rsid w:val="00A67FC7"/>
    <w:rsid w:val="00A7032E"/>
    <w:rsid w:val="00A73E40"/>
    <w:rsid w:val="00A74CBA"/>
    <w:rsid w:val="00A81146"/>
    <w:rsid w:val="00A843D9"/>
    <w:rsid w:val="00A8791C"/>
    <w:rsid w:val="00A932C9"/>
    <w:rsid w:val="00A9428B"/>
    <w:rsid w:val="00A948E7"/>
    <w:rsid w:val="00A95076"/>
    <w:rsid w:val="00AA121F"/>
    <w:rsid w:val="00AA2EA9"/>
    <w:rsid w:val="00AA55CE"/>
    <w:rsid w:val="00AA6943"/>
    <w:rsid w:val="00AB0478"/>
    <w:rsid w:val="00AB2251"/>
    <w:rsid w:val="00AB7771"/>
    <w:rsid w:val="00AC6A5D"/>
    <w:rsid w:val="00AC6D9F"/>
    <w:rsid w:val="00AC7BC9"/>
    <w:rsid w:val="00AD6671"/>
    <w:rsid w:val="00AE2369"/>
    <w:rsid w:val="00AE596E"/>
    <w:rsid w:val="00AE5B32"/>
    <w:rsid w:val="00AF038C"/>
    <w:rsid w:val="00AF0ADE"/>
    <w:rsid w:val="00AF7533"/>
    <w:rsid w:val="00B113B1"/>
    <w:rsid w:val="00B16137"/>
    <w:rsid w:val="00B2252E"/>
    <w:rsid w:val="00B265EC"/>
    <w:rsid w:val="00B27D00"/>
    <w:rsid w:val="00B31A33"/>
    <w:rsid w:val="00B4231C"/>
    <w:rsid w:val="00B46ADD"/>
    <w:rsid w:val="00B5097B"/>
    <w:rsid w:val="00B52F5A"/>
    <w:rsid w:val="00B53E67"/>
    <w:rsid w:val="00B549F8"/>
    <w:rsid w:val="00B553C3"/>
    <w:rsid w:val="00B57A2A"/>
    <w:rsid w:val="00B57A8D"/>
    <w:rsid w:val="00B65065"/>
    <w:rsid w:val="00B71BA5"/>
    <w:rsid w:val="00B743D7"/>
    <w:rsid w:val="00B74A8E"/>
    <w:rsid w:val="00B75582"/>
    <w:rsid w:val="00B90845"/>
    <w:rsid w:val="00B94918"/>
    <w:rsid w:val="00B96142"/>
    <w:rsid w:val="00B9720C"/>
    <w:rsid w:val="00BA0D7B"/>
    <w:rsid w:val="00BA13D3"/>
    <w:rsid w:val="00BB0654"/>
    <w:rsid w:val="00BB1AB9"/>
    <w:rsid w:val="00BB2904"/>
    <w:rsid w:val="00BB4070"/>
    <w:rsid w:val="00BB6BCA"/>
    <w:rsid w:val="00BB73E2"/>
    <w:rsid w:val="00BC14B4"/>
    <w:rsid w:val="00BC48EA"/>
    <w:rsid w:val="00BC5B50"/>
    <w:rsid w:val="00BC638D"/>
    <w:rsid w:val="00BC64EA"/>
    <w:rsid w:val="00BC6835"/>
    <w:rsid w:val="00BD0C7E"/>
    <w:rsid w:val="00BD0FA3"/>
    <w:rsid w:val="00BD292F"/>
    <w:rsid w:val="00BD314E"/>
    <w:rsid w:val="00BD3BE4"/>
    <w:rsid w:val="00BD5170"/>
    <w:rsid w:val="00BD5F7B"/>
    <w:rsid w:val="00BF5F47"/>
    <w:rsid w:val="00C14432"/>
    <w:rsid w:val="00C145BF"/>
    <w:rsid w:val="00C17244"/>
    <w:rsid w:val="00C2282B"/>
    <w:rsid w:val="00C251B7"/>
    <w:rsid w:val="00C256A4"/>
    <w:rsid w:val="00C265E0"/>
    <w:rsid w:val="00C2707C"/>
    <w:rsid w:val="00C2759B"/>
    <w:rsid w:val="00C27C19"/>
    <w:rsid w:val="00C31EAA"/>
    <w:rsid w:val="00C32A4E"/>
    <w:rsid w:val="00C363D1"/>
    <w:rsid w:val="00C37CE7"/>
    <w:rsid w:val="00C440F5"/>
    <w:rsid w:val="00C47AF9"/>
    <w:rsid w:val="00C5306E"/>
    <w:rsid w:val="00C53587"/>
    <w:rsid w:val="00C536FB"/>
    <w:rsid w:val="00C57E05"/>
    <w:rsid w:val="00C6109C"/>
    <w:rsid w:val="00C67888"/>
    <w:rsid w:val="00C74108"/>
    <w:rsid w:val="00C84723"/>
    <w:rsid w:val="00C864B1"/>
    <w:rsid w:val="00C87120"/>
    <w:rsid w:val="00C9404F"/>
    <w:rsid w:val="00CA066B"/>
    <w:rsid w:val="00CA5057"/>
    <w:rsid w:val="00CA618B"/>
    <w:rsid w:val="00CA72C8"/>
    <w:rsid w:val="00CB76A9"/>
    <w:rsid w:val="00CC1FD1"/>
    <w:rsid w:val="00CC36F0"/>
    <w:rsid w:val="00CC4BD0"/>
    <w:rsid w:val="00CC7EA9"/>
    <w:rsid w:val="00CD1FBC"/>
    <w:rsid w:val="00CD35D1"/>
    <w:rsid w:val="00CD620C"/>
    <w:rsid w:val="00CD6CE6"/>
    <w:rsid w:val="00CE0B23"/>
    <w:rsid w:val="00CE2542"/>
    <w:rsid w:val="00CE7F53"/>
    <w:rsid w:val="00CF074A"/>
    <w:rsid w:val="00CF29FF"/>
    <w:rsid w:val="00CF48B7"/>
    <w:rsid w:val="00CF5028"/>
    <w:rsid w:val="00CF5CE7"/>
    <w:rsid w:val="00CF5F0B"/>
    <w:rsid w:val="00CF6A50"/>
    <w:rsid w:val="00D05417"/>
    <w:rsid w:val="00D05917"/>
    <w:rsid w:val="00D075A0"/>
    <w:rsid w:val="00D1283A"/>
    <w:rsid w:val="00D17A4F"/>
    <w:rsid w:val="00D24C5A"/>
    <w:rsid w:val="00D269EA"/>
    <w:rsid w:val="00D32328"/>
    <w:rsid w:val="00D33B1F"/>
    <w:rsid w:val="00D342F9"/>
    <w:rsid w:val="00D34B6E"/>
    <w:rsid w:val="00D35A1C"/>
    <w:rsid w:val="00D43879"/>
    <w:rsid w:val="00D44DB1"/>
    <w:rsid w:val="00D50B58"/>
    <w:rsid w:val="00D512FC"/>
    <w:rsid w:val="00D5401C"/>
    <w:rsid w:val="00D540A0"/>
    <w:rsid w:val="00D54E19"/>
    <w:rsid w:val="00D665E1"/>
    <w:rsid w:val="00D673F4"/>
    <w:rsid w:val="00D72561"/>
    <w:rsid w:val="00D7733D"/>
    <w:rsid w:val="00D807AE"/>
    <w:rsid w:val="00D86107"/>
    <w:rsid w:val="00D86CE4"/>
    <w:rsid w:val="00D90D4E"/>
    <w:rsid w:val="00D94016"/>
    <w:rsid w:val="00DA200E"/>
    <w:rsid w:val="00DA4AD4"/>
    <w:rsid w:val="00DB1700"/>
    <w:rsid w:val="00DB3467"/>
    <w:rsid w:val="00DB5E88"/>
    <w:rsid w:val="00DB7DAB"/>
    <w:rsid w:val="00DC0C8D"/>
    <w:rsid w:val="00DC0D67"/>
    <w:rsid w:val="00DC1213"/>
    <w:rsid w:val="00DC1A36"/>
    <w:rsid w:val="00DC254F"/>
    <w:rsid w:val="00DC25D1"/>
    <w:rsid w:val="00DC2722"/>
    <w:rsid w:val="00DC405C"/>
    <w:rsid w:val="00DC6519"/>
    <w:rsid w:val="00DC73C4"/>
    <w:rsid w:val="00DD0271"/>
    <w:rsid w:val="00DD7F73"/>
    <w:rsid w:val="00DE39AF"/>
    <w:rsid w:val="00DF11F5"/>
    <w:rsid w:val="00DF382F"/>
    <w:rsid w:val="00DF3DB8"/>
    <w:rsid w:val="00DF68A6"/>
    <w:rsid w:val="00E03D3D"/>
    <w:rsid w:val="00E06461"/>
    <w:rsid w:val="00E06793"/>
    <w:rsid w:val="00E15308"/>
    <w:rsid w:val="00E22B02"/>
    <w:rsid w:val="00E372C4"/>
    <w:rsid w:val="00E37DF4"/>
    <w:rsid w:val="00E40F82"/>
    <w:rsid w:val="00E421CE"/>
    <w:rsid w:val="00E42E2F"/>
    <w:rsid w:val="00E4412D"/>
    <w:rsid w:val="00E50ACF"/>
    <w:rsid w:val="00E52482"/>
    <w:rsid w:val="00E53BBE"/>
    <w:rsid w:val="00E541C2"/>
    <w:rsid w:val="00E564F6"/>
    <w:rsid w:val="00E604CE"/>
    <w:rsid w:val="00E67005"/>
    <w:rsid w:val="00E71D29"/>
    <w:rsid w:val="00E72308"/>
    <w:rsid w:val="00E7512E"/>
    <w:rsid w:val="00E93468"/>
    <w:rsid w:val="00EA0761"/>
    <w:rsid w:val="00EA48A9"/>
    <w:rsid w:val="00EB0BA7"/>
    <w:rsid w:val="00EB11FC"/>
    <w:rsid w:val="00EB4F2B"/>
    <w:rsid w:val="00EB51CE"/>
    <w:rsid w:val="00EC18B3"/>
    <w:rsid w:val="00EC3343"/>
    <w:rsid w:val="00EC3865"/>
    <w:rsid w:val="00EC4F06"/>
    <w:rsid w:val="00EC599A"/>
    <w:rsid w:val="00ED597F"/>
    <w:rsid w:val="00ED6AEE"/>
    <w:rsid w:val="00EE38E7"/>
    <w:rsid w:val="00EF0C26"/>
    <w:rsid w:val="00EF1988"/>
    <w:rsid w:val="00EF5CB7"/>
    <w:rsid w:val="00F0096C"/>
    <w:rsid w:val="00F00CC0"/>
    <w:rsid w:val="00F0320E"/>
    <w:rsid w:val="00F04DAD"/>
    <w:rsid w:val="00F05FC3"/>
    <w:rsid w:val="00F147E3"/>
    <w:rsid w:val="00F16621"/>
    <w:rsid w:val="00F20D39"/>
    <w:rsid w:val="00F2466D"/>
    <w:rsid w:val="00F26C83"/>
    <w:rsid w:val="00F274F2"/>
    <w:rsid w:val="00F27870"/>
    <w:rsid w:val="00F33971"/>
    <w:rsid w:val="00F343D7"/>
    <w:rsid w:val="00F348F4"/>
    <w:rsid w:val="00F35E71"/>
    <w:rsid w:val="00F36111"/>
    <w:rsid w:val="00F40F24"/>
    <w:rsid w:val="00F41377"/>
    <w:rsid w:val="00F41D27"/>
    <w:rsid w:val="00F46EB3"/>
    <w:rsid w:val="00F52920"/>
    <w:rsid w:val="00F5456B"/>
    <w:rsid w:val="00F54F91"/>
    <w:rsid w:val="00F56228"/>
    <w:rsid w:val="00F62364"/>
    <w:rsid w:val="00F62A04"/>
    <w:rsid w:val="00F63E4D"/>
    <w:rsid w:val="00F678C3"/>
    <w:rsid w:val="00F72C64"/>
    <w:rsid w:val="00F73023"/>
    <w:rsid w:val="00F751A4"/>
    <w:rsid w:val="00F77EDA"/>
    <w:rsid w:val="00F8150A"/>
    <w:rsid w:val="00F83445"/>
    <w:rsid w:val="00F83BC3"/>
    <w:rsid w:val="00F92EA9"/>
    <w:rsid w:val="00F93B1B"/>
    <w:rsid w:val="00F94076"/>
    <w:rsid w:val="00F96519"/>
    <w:rsid w:val="00F97048"/>
    <w:rsid w:val="00FA2C7B"/>
    <w:rsid w:val="00FB1FE8"/>
    <w:rsid w:val="00FB22B4"/>
    <w:rsid w:val="00FB2B4A"/>
    <w:rsid w:val="00FC0550"/>
    <w:rsid w:val="00FC0FCA"/>
    <w:rsid w:val="00FC4EA4"/>
    <w:rsid w:val="00FD0301"/>
    <w:rsid w:val="00FD0798"/>
    <w:rsid w:val="00FD14D7"/>
    <w:rsid w:val="00FD2691"/>
    <w:rsid w:val="00FD58B3"/>
    <w:rsid w:val="00FD643B"/>
    <w:rsid w:val="00FD6547"/>
    <w:rsid w:val="00FE0DD5"/>
    <w:rsid w:val="00FE2679"/>
    <w:rsid w:val="00FF7583"/>
    <w:rsid w:val="00FF78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B3FF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2D9"/>
    <w:rPr>
      <w:rFonts w:ascii="Times New Roman" w:hAnsi="Times New Roman" w:cs="Times New Roman"/>
      <w:sz w:val="24"/>
      <w:szCs w:val="24"/>
    </w:rPr>
  </w:style>
  <w:style w:type="paragraph" w:styleId="Heading1">
    <w:name w:val="heading 1"/>
    <w:basedOn w:val="List2"/>
    <w:next w:val="Normal"/>
    <w:link w:val="Heading1Char"/>
    <w:qFormat/>
    <w:rsid w:val="007B22D9"/>
    <w:pPr>
      <w:numPr>
        <w:numId w:val="1"/>
      </w:numPr>
      <w:spacing w:before="300"/>
      <w:outlineLvl w:val="0"/>
    </w:pPr>
    <w:rPr>
      <w:b/>
    </w:rPr>
  </w:style>
  <w:style w:type="paragraph" w:styleId="Heading2">
    <w:name w:val="heading 2"/>
    <w:basedOn w:val="Normal"/>
    <w:next w:val="Normal"/>
    <w:link w:val="Heading2Char"/>
    <w:uiPriority w:val="9"/>
    <w:unhideWhenUsed/>
    <w:qFormat/>
    <w:rsid w:val="00672500"/>
    <w:pPr>
      <w:outlineLvl w:val="1"/>
    </w:pPr>
    <w:rPr>
      <w:rFonts w:ascii="Arial" w:hAnsi="Arial" w:cs="Arial"/>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72500"/>
    <w:rPr>
      <w:rFonts w:ascii="Arial" w:eastAsiaTheme="majorEastAsia" w:hAnsi="Arial" w:cs="Arial"/>
      <w:color w:val="5B9BD5" w:themeColor="accent1"/>
      <w:spacing w:val="-10"/>
      <w:kern w:val="28"/>
      <w:sz w:val="40"/>
      <w:szCs w:val="40"/>
    </w:rPr>
  </w:style>
  <w:style w:type="character" w:customStyle="1" w:styleId="TitleChar">
    <w:name w:val="Title Char"/>
    <w:basedOn w:val="DefaultParagraphFont"/>
    <w:link w:val="Title"/>
    <w:uiPriority w:val="10"/>
    <w:rsid w:val="00672500"/>
    <w:rPr>
      <w:rFonts w:ascii="Arial" w:eastAsiaTheme="majorEastAsia" w:hAnsi="Arial" w:cs="Arial"/>
      <w:color w:val="5B9BD5" w:themeColor="accent1"/>
      <w:spacing w:val="-10"/>
      <w:kern w:val="28"/>
      <w:sz w:val="40"/>
      <w:szCs w:val="40"/>
    </w:rPr>
  </w:style>
  <w:style w:type="character" w:styleId="Hyperlink">
    <w:name w:val="Hyperlink"/>
    <w:uiPriority w:val="99"/>
    <w:rsid w:val="007B22D9"/>
    <w:rPr>
      <w:color w:val="0000FF"/>
      <w:u w:val="single"/>
    </w:rPr>
  </w:style>
  <w:style w:type="character" w:customStyle="1" w:styleId="Heading1Char">
    <w:name w:val="Heading 1 Char"/>
    <w:basedOn w:val="DefaultParagraphFont"/>
    <w:link w:val="Heading1"/>
    <w:rsid w:val="007B22D9"/>
    <w:rPr>
      <w:rFonts w:ascii="Times New Roman" w:eastAsia="Times New Roman" w:hAnsi="Times New Roman" w:cs="Times New Roman"/>
      <w:b/>
      <w:sz w:val="24"/>
      <w:szCs w:val="24"/>
      <w:lang w:eastAsia="en-AU"/>
    </w:rPr>
  </w:style>
  <w:style w:type="paragraph" w:styleId="List2">
    <w:name w:val="List 2"/>
    <w:basedOn w:val="Normal"/>
    <w:rsid w:val="007B22D9"/>
    <w:pPr>
      <w:spacing w:after="120" w:line="240" w:lineRule="auto"/>
    </w:pPr>
    <w:rPr>
      <w:rFonts w:eastAsia="Times New Roman"/>
      <w:lang w:eastAsia="en-AU"/>
    </w:rPr>
  </w:style>
  <w:style w:type="paragraph" w:styleId="Header">
    <w:name w:val="header"/>
    <w:basedOn w:val="Normal"/>
    <w:link w:val="HeaderChar"/>
    <w:uiPriority w:val="99"/>
    <w:unhideWhenUsed/>
    <w:rsid w:val="007B22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22D9"/>
    <w:rPr>
      <w:rFonts w:ascii="Times New Roman" w:hAnsi="Times New Roman" w:cs="Times New Roman"/>
      <w:sz w:val="24"/>
      <w:szCs w:val="24"/>
    </w:rPr>
  </w:style>
  <w:style w:type="paragraph" w:styleId="Footer">
    <w:name w:val="footer"/>
    <w:basedOn w:val="Normal"/>
    <w:link w:val="FooterChar"/>
    <w:uiPriority w:val="99"/>
    <w:unhideWhenUsed/>
    <w:rsid w:val="007B22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22D9"/>
    <w:rPr>
      <w:rFonts w:ascii="Times New Roman" w:hAnsi="Times New Roman" w:cs="Times New Roman"/>
      <w:sz w:val="24"/>
      <w:szCs w:val="24"/>
    </w:rPr>
  </w:style>
  <w:style w:type="character" w:customStyle="1" w:styleId="Heading2Char">
    <w:name w:val="Heading 2 Char"/>
    <w:basedOn w:val="DefaultParagraphFont"/>
    <w:link w:val="Heading2"/>
    <w:uiPriority w:val="9"/>
    <w:rsid w:val="00672500"/>
    <w:rPr>
      <w:rFonts w:ascii="Arial" w:hAnsi="Arial" w:cs="Arial"/>
      <w:u w:val="single"/>
    </w:rPr>
  </w:style>
  <w:style w:type="paragraph" w:styleId="FootnoteText">
    <w:name w:val="footnote text"/>
    <w:basedOn w:val="Normal"/>
    <w:link w:val="FootnoteTextChar"/>
    <w:rsid w:val="007B22D9"/>
    <w:pPr>
      <w:spacing w:after="0" w:line="240" w:lineRule="auto"/>
    </w:pPr>
    <w:rPr>
      <w:rFonts w:eastAsia="Times New Roman"/>
      <w:sz w:val="20"/>
      <w:szCs w:val="20"/>
      <w:lang w:eastAsia="en-AU"/>
    </w:rPr>
  </w:style>
  <w:style w:type="character" w:customStyle="1" w:styleId="FootnoteTextChar">
    <w:name w:val="Footnote Text Char"/>
    <w:basedOn w:val="DefaultParagraphFont"/>
    <w:link w:val="FootnoteText"/>
    <w:rsid w:val="007B22D9"/>
    <w:rPr>
      <w:rFonts w:ascii="Times New Roman" w:eastAsia="Times New Roman" w:hAnsi="Times New Roman" w:cs="Times New Roman"/>
      <w:sz w:val="20"/>
      <w:szCs w:val="20"/>
      <w:lang w:eastAsia="en-AU"/>
    </w:rPr>
  </w:style>
  <w:style w:type="character" w:styleId="FootnoteReference">
    <w:name w:val="footnote reference"/>
    <w:rsid w:val="007B22D9"/>
    <w:rPr>
      <w:vertAlign w:val="superscript"/>
    </w:rPr>
  </w:style>
  <w:style w:type="paragraph" w:customStyle="1" w:styleId="Default">
    <w:name w:val="Default"/>
    <w:uiPriority w:val="99"/>
    <w:rsid w:val="007B22D9"/>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table" w:styleId="TableGrid">
    <w:name w:val="Table Grid"/>
    <w:basedOn w:val="TableNormal"/>
    <w:uiPriority w:val="39"/>
    <w:rsid w:val="00C53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6FB"/>
    <w:pPr>
      <w:spacing w:after="0" w:line="240" w:lineRule="auto"/>
      <w:ind w:left="720"/>
      <w:contextualSpacing/>
    </w:pPr>
    <w:rPr>
      <w:rFonts w:eastAsia="Times New Roman"/>
      <w:lang w:eastAsia="en-AU"/>
    </w:rPr>
  </w:style>
  <w:style w:type="paragraph" w:styleId="BalloonText">
    <w:name w:val="Balloon Text"/>
    <w:basedOn w:val="Normal"/>
    <w:link w:val="BalloonTextChar"/>
    <w:uiPriority w:val="99"/>
    <w:semiHidden/>
    <w:unhideWhenUsed/>
    <w:rsid w:val="002677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76B"/>
    <w:rPr>
      <w:rFonts w:ascii="Segoe UI" w:hAnsi="Segoe UI" w:cs="Segoe UI"/>
      <w:sz w:val="18"/>
      <w:szCs w:val="18"/>
    </w:rPr>
  </w:style>
  <w:style w:type="character" w:styleId="FollowedHyperlink">
    <w:name w:val="FollowedHyperlink"/>
    <w:basedOn w:val="DefaultParagraphFont"/>
    <w:uiPriority w:val="99"/>
    <w:semiHidden/>
    <w:unhideWhenUsed/>
    <w:rsid w:val="004E0A27"/>
    <w:rPr>
      <w:color w:val="954F72" w:themeColor="followedHyperlink"/>
      <w:u w:val="single"/>
    </w:rPr>
  </w:style>
  <w:style w:type="character" w:styleId="CommentReference">
    <w:name w:val="annotation reference"/>
    <w:basedOn w:val="DefaultParagraphFont"/>
    <w:uiPriority w:val="99"/>
    <w:unhideWhenUsed/>
    <w:rsid w:val="00EC3865"/>
    <w:rPr>
      <w:sz w:val="16"/>
      <w:szCs w:val="16"/>
    </w:rPr>
  </w:style>
  <w:style w:type="paragraph" w:styleId="CommentText">
    <w:name w:val="annotation text"/>
    <w:basedOn w:val="Normal"/>
    <w:link w:val="CommentTextChar"/>
    <w:uiPriority w:val="99"/>
    <w:unhideWhenUsed/>
    <w:rsid w:val="00EC3865"/>
    <w:pPr>
      <w:spacing w:line="240" w:lineRule="auto"/>
    </w:pPr>
    <w:rPr>
      <w:sz w:val="20"/>
      <w:szCs w:val="20"/>
    </w:rPr>
  </w:style>
  <w:style w:type="character" w:customStyle="1" w:styleId="CommentTextChar">
    <w:name w:val="Comment Text Char"/>
    <w:basedOn w:val="DefaultParagraphFont"/>
    <w:link w:val="CommentText"/>
    <w:uiPriority w:val="99"/>
    <w:rsid w:val="00EC386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C3865"/>
    <w:rPr>
      <w:b/>
      <w:bCs/>
    </w:rPr>
  </w:style>
  <w:style w:type="character" w:customStyle="1" w:styleId="CommentSubjectChar">
    <w:name w:val="Comment Subject Char"/>
    <w:basedOn w:val="CommentTextChar"/>
    <w:link w:val="CommentSubject"/>
    <w:uiPriority w:val="99"/>
    <w:semiHidden/>
    <w:rsid w:val="00EC3865"/>
    <w:rPr>
      <w:rFonts w:ascii="Times New Roman" w:hAnsi="Times New Roman" w:cs="Times New Roman"/>
      <w:b/>
      <w:bCs/>
      <w:sz w:val="20"/>
      <w:szCs w:val="20"/>
    </w:rPr>
  </w:style>
  <w:style w:type="paragraph" w:styleId="Revision">
    <w:name w:val="Revision"/>
    <w:hidden/>
    <w:uiPriority w:val="99"/>
    <w:semiHidden/>
    <w:rsid w:val="00EB4F2B"/>
    <w:pPr>
      <w:spacing w:after="0" w:line="240" w:lineRule="auto"/>
    </w:pPr>
    <w:rPr>
      <w:rFonts w:ascii="Times New Roman" w:hAnsi="Times New Roman" w:cs="Times New Roman"/>
      <w:sz w:val="24"/>
      <w:szCs w:val="24"/>
    </w:rPr>
  </w:style>
  <w:style w:type="character" w:styleId="PlaceholderText">
    <w:name w:val="Placeholder Text"/>
    <w:basedOn w:val="DefaultParagraphFont"/>
    <w:uiPriority w:val="99"/>
    <w:semiHidden/>
    <w:rsid w:val="00865848"/>
    <w:rPr>
      <w:color w:val="808080"/>
    </w:rPr>
  </w:style>
  <w:style w:type="paragraph" w:styleId="EndnoteText">
    <w:name w:val="endnote text"/>
    <w:basedOn w:val="Normal"/>
    <w:link w:val="EndnoteTextChar"/>
    <w:uiPriority w:val="99"/>
    <w:unhideWhenUsed/>
    <w:rsid w:val="000F121C"/>
    <w:pPr>
      <w:spacing w:after="0" w:line="240" w:lineRule="auto"/>
    </w:pPr>
    <w:rPr>
      <w:rFonts w:asciiTheme="minorHAnsi" w:hAnsiTheme="minorHAnsi" w:cstheme="minorBidi"/>
      <w:sz w:val="20"/>
      <w:szCs w:val="20"/>
    </w:rPr>
  </w:style>
  <w:style w:type="character" w:customStyle="1" w:styleId="EndnoteTextChar">
    <w:name w:val="Endnote Text Char"/>
    <w:basedOn w:val="DefaultParagraphFont"/>
    <w:link w:val="EndnoteText"/>
    <w:uiPriority w:val="99"/>
    <w:rsid w:val="000F121C"/>
    <w:rPr>
      <w:sz w:val="20"/>
      <w:szCs w:val="20"/>
    </w:rPr>
  </w:style>
  <w:style w:type="paragraph" w:styleId="TOCHeading">
    <w:name w:val="TOC Heading"/>
    <w:basedOn w:val="Heading1"/>
    <w:next w:val="Normal"/>
    <w:uiPriority w:val="39"/>
    <w:unhideWhenUsed/>
    <w:qFormat/>
    <w:rsid w:val="00671AD7"/>
    <w:pPr>
      <w:keepNext/>
      <w:keepLines/>
      <w:numPr>
        <w:numId w:val="0"/>
      </w:numPr>
      <w:spacing w:before="240" w:after="0" w:line="259" w:lineRule="auto"/>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1">
    <w:name w:val="toc 1"/>
    <w:basedOn w:val="Normal"/>
    <w:next w:val="Normal"/>
    <w:autoRedefine/>
    <w:uiPriority w:val="39"/>
    <w:unhideWhenUsed/>
    <w:rsid w:val="008B6931"/>
    <w:pPr>
      <w:tabs>
        <w:tab w:val="left" w:pos="709"/>
        <w:tab w:val="right" w:leader="dot" w:pos="9742"/>
      </w:tabs>
      <w:spacing w:after="100" w:line="240" w:lineRule="auto"/>
    </w:pPr>
    <w:rPr>
      <w:rFonts w:ascii="Arial" w:eastAsiaTheme="majorEastAsia" w:hAnsi="Arial" w:cs="Arial"/>
      <w:noProof/>
      <w:sz w:val="22"/>
      <w:szCs w:val="22"/>
      <w:lang w:eastAsia="en-AU"/>
    </w:rPr>
  </w:style>
  <w:style w:type="paragraph" w:styleId="TOC2">
    <w:name w:val="toc 2"/>
    <w:basedOn w:val="Normal"/>
    <w:next w:val="Normal"/>
    <w:autoRedefine/>
    <w:uiPriority w:val="39"/>
    <w:unhideWhenUsed/>
    <w:rsid w:val="00671AD7"/>
    <w:pPr>
      <w:spacing w:after="100" w:line="240" w:lineRule="auto"/>
      <w:ind w:left="240"/>
    </w:pPr>
    <w:rPr>
      <w:rFonts w:eastAsia="Times New Roman"/>
      <w:lang w:eastAsia="en-AU"/>
    </w:rPr>
  </w:style>
  <w:style w:type="character" w:styleId="UnresolvedMention">
    <w:name w:val="Unresolved Mention"/>
    <w:basedOn w:val="DefaultParagraphFont"/>
    <w:uiPriority w:val="99"/>
    <w:semiHidden/>
    <w:unhideWhenUsed/>
    <w:rsid w:val="002671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0983">
      <w:bodyDiv w:val="1"/>
      <w:marLeft w:val="0"/>
      <w:marRight w:val="0"/>
      <w:marTop w:val="0"/>
      <w:marBottom w:val="0"/>
      <w:divBdr>
        <w:top w:val="none" w:sz="0" w:space="0" w:color="auto"/>
        <w:left w:val="none" w:sz="0" w:space="0" w:color="auto"/>
        <w:bottom w:val="none" w:sz="0" w:space="0" w:color="auto"/>
        <w:right w:val="none" w:sz="0" w:space="0" w:color="auto"/>
      </w:divBdr>
    </w:div>
    <w:div w:id="212741292">
      <w:bodyDiv w:val="1"/>
      <w:marLeft w:val="0"/>
      <w:marRight w:val="0"/>
      <w:marTop w:val="0"/>
      <w:marBottom w:val="0"/>
      <w:divBdr>
        <w:top w:val="none" w:sz="0" w:space="0" w:color="auto"/>
        <w:left w:val="none" w:sz="0" w:space="0" w:color="auto"/>
        <w:bottom w:val="none" w:sz="0" w:space="0" w:color="auto"/>
        <w:right w:val="none" w:sz="0" w:space="0" w:color="auto"/>
      </w:divBdr>
    </w:div>
    <w:div w:id="213152882">
      <w:bodyDiv w:val="1"/>
      <w:marLeft w:val="0"/>
      <w:marRight w:val="0"/>
      <w:marTop w:val="0"/>
      <w:marBottom w:val="0"/>
      <w:divBdr>
        <w:top w:val="none" w:sz="0" w:space="0" w:color="auto"/>
        <w:left w:val="none" w:sz="0" w:space="0" w:color="auto"/>
        <w:bottom w:val="none" w:sz="0" w:space="0" w:color="auto"/>
        <w:right w:val="none" w:sz="0" w:space="0" w:color="auto"/>
      </w:divBdr>
    </w:div>
    <w:div w:id="275871307">
      <w:bodyDiv w:val="1"/>
      <w:marLeft w:val="0"/>
      <w:marRight w:val="0"/>
      <w:marTop w:val="0"/>
      <w:marBottom w:val="0"/>
      <w:divBdr>
        <w:top w:val="none" w:sz="0" w:space="0" w:color="auto"/>
        <w:left w:val="none" w:sz="0" w:space="0" w:color="auto"/>
        <w:bottom w:val="none" w:sz="0" w:space="0" w:color="auto"/>
        <w:right w:val="none" w:sz="0" w:space="0" w:color="auto"/>
      </w:divBdr>
    </w:div>
    <w:div w:id="325476685">
      <w:bodyDiv w:val="1"/>
      <w:marLeft w:val="0"/>
      <w:marRight w:val="0"/>
      <w:marTop w:val="0"/>
      <w:marBottom w:val="0"/>
      <w:divBdr>
        <w:top w:val="none" w:sz="0" w:space="0" w:color="auto"/>
        <w:left w:val="none" w:sz="0" w:space="0" w:color="auto"/>
        <w:bottom w:val="none" w:sz="0" w:space="0" w:color="auto"/>
        <w:right w:val="none" w:sz="0" w:space="0" w:color="auto"/>
      </w:divBdr>
    </w:div>
    <w:div w:id="330792025">
      <w:bodyDiv w:val="1"/>
      <w:marLeft w:val="0"/>
      <w:marRight w:val="0"/>
      <w:marTop w:val="0"/>
      <w:marBottom w:val="0"/>
      <w:divBdr>
        <w:top w:val="none" w:sz="0" w:space="0" w:color="auto"/>
        <w:left w:val="none" w:sz="0" w:space="0" w:color="auto"/>
        <w:bottom w:val="none" w:sz="0" w:space="0" w:color="auto"/>
        <w:right w:val="none" w:sz="0" w:space="0" w:color="auto"/>
      </w:divBdr>
    </w:div>
    <w:div w:id="350182870">
      <w:bodyDiv w:val="1"/>
      <w:marLeft w:val="0"/>
      <w:marRight w:val="0"/>
      <w:marTop w:val="0"/>
      <w:marBottom w:val="0"/>
      <w:divBdr>
        <w:top w:val="none" w:sz="0" w:space="0" w:color="auto"/>
        <w:left w:val="none" w:sz="0" w:space="0" w:color="auto"/>
        <w:bottom w:val="none" w:sz="0" w:space="0" w:color="auto"/>
        <w:right w:val="none" w:sz="0" w:space="0" w:color="auto"/>
      </w:divBdr>
    </w:div>
    <w:div w:id="543058852">
      <w:bodyDiv w:val="1"/>
      <w:marLeft w:val="0"/>
      <w:marRight w:val="0"/>
      <w:marTop w:val="0"/>
      <w:marBottom w:val="0"/>
      <w:divBdr>
        <w:top w:val="none" w:sz="0" w:space="0" w:color="auto"/>
        <w:left w:val="none" w:sz="0" w:space="0" w:color="auto"/>
        <w:bottom w:val="none" w:sz="0" w:space="0" w:color="auto"/>
        <w:right w:val="none" w:sz="0" w:space="0" w:color="auto"/>
      </w:divBdr>
    </w:div>
    <w:div w:id="563176808">
      <w:bodyDiv w:val="1"/>
      <w:marLeft w:val="0"/>
      <w:marRight w:val="0"/>
      <w:marTop w:val="0"/>
      <w:marBottom w:val="0"/>
      <w:divBdr>
        <w:top w:val="none" w:sz="0" w:space="0" w:color="auto"/>
        <w:left w:val="none" w:sz="0" w:space="0" w:color="auto"/>
        <w:bottom w:val="none" w:sz="0" w:space="0" w:color="auto"/>
        <w:right w:val="none" w:sz="0" w:space="0" w:color="auto"/>
      </w:divBdr>
    </w:div>
    <w:div w:id="613564588">
      <w:bodyDiv w:val="1"/>
      <w:marLeft w:val="0"/>
      <w:marRight w:val="0"/>
      <w:marTop w:val="0"/>
      <w:marBottom w:val="0"/>
      <w:divBdr>
        <w:top w:val="none" w:sz="0" w:space="0" w:color="auto"/>
        <w:left w:val="none" w:sz="0" w:space="0" w:color="auto"/>
        <w:bottom w:val="none" w:sz="0" w:space="0" w:color="auto"/>
        <w:right w:val="none" w:sz="0" w:space="0" w:color="auto"/>
      </w:divBdr>
    </w:div>
    <w:div w:id="694618633">
      <w:bodyDiv w:val="1"/>
      <w:marLeft w:val="0"/>
      <w:marRight w:val="0"/>
      <w:marTop w:val="0"/>
      <w:marBottom w:val="0"/>
      <w:divBdr>
        <w:top w:val="none" w:sz="0" w:space="0" w:color="auto"/>
        <w:left w:val="none" w:sz="0" w:space="0" w:color="auto"/>
        <w:bottom w:val="none" w:sz="0" w:space="0" w:color="auto"/>
        <w:right w:val="none" w:sz="0" w:space="0" w:color="auto"/>
      </w:divBdr>
    </w:div>
    <w:div w:id="881206694">
      <w:bodyDiv w:val="1"/>
      <w:marLeft w:val="0"/>
      <w:marRight w:val="0"/>
      <w:marTop w:val="0"/>
      <w:marBottom w:val="0"/>
      <w:divBdr>
        <w:top w:val="none" w:sz="0" w:space="0" w:color="auto"/>
        <w:left w:val="none" w:sz="0" w:space="0" w:color="auto"/>
        <w:bottom w:val="none" w:sz="0" w:space="0" w:color="auto"/>
        <w:right w:val="none" w:sz="0" w:space="0" w:color="auto"/>
      </w:divBdr>
    </w:div>
    <w:div w:id="970944200">
      <w:bodyDiv w:val="1"/>
      <w:marLeft w:val="0"/>
      <w:marRight w:val="0"/>
      <w:marTop w:val="0"/>
      <w:marBottom w:val="0"/>
      <w:divBdr>
        <w:top w:val="none" w:sz="0" w:space="0" w:color="auto"/>
        <w:left w:val="none" w:sz="0" w:space="0" w:color="auto"/>
        <w:bottom w:val="none" w:sz="0" w:space="0" w:color="auto"/>
        <w:right w:val="none" w:sz="0" w:space="0" w:color="auto"/>
      </w:divBdr>
    </w:div>
    <w:div w:id="1025056441">
      <w:bodyDiv w:val="1"/>
      <w:marLeft w:val="0"/>
      <w:marRight w:val="0"/>
      <w:marTop w:val="0"/>
      <w:marBottom w:val="0"/>
      <w:divBdr>
        <w:top w:val="none" w:sz="0" w:space="0" w:color="auto"/>
        <w:left w:val="none" w:sz="0" w:space="0" w:color="auto"/>
        <w:bottom w:val="none" w:sz="0" w:space="0" w:color="auto"/>
        <w:right w:val="none" w:sz="0" w:space="0" w:color="auto"/>
      </w:divBdr>
    </w:div>
    <w:div w:id="1249577001">
      <w:bodyDiv w:val="1"/>
      <w:marLeft w:val="0"/>
      <w:marRight w:val="0"/>
      <w:marTop w:val="0"/>
      <w:marBottom w:val="0"/>
      <w:divBdr>
        <w:top w:val="none" w:sz="0" w:space="0" w:color="auto"/>
        <w:left w:val="none" w:sz="0" w:space="0" w:color="auto"/>
        <w:bottom w:val="none" w:sz="0" w:space="0" w:color="auto"/>
        <w:right w:val="none" w:sz="0" w:space="0" w:color="auto"/>
      </w:divBdr>
    </w:div>
    <w:div w:id="1430738983">
      <w:bodyDiv w:val="1"/>
      <w:marLeft w:val="0"/>
      <w:marRight w:val="0"/>
      <w:marTop w:val="0"/>
      <w:marBottom w:val="0"/>
      <w:divBdr>
        <w:top w:val="none" w:sz="0" w:space="0" w:color="auto"/>
        <w:left w:val="none" w:sz="0" w:space="0" w:color="auto"/>
        <w:bottom w:val="none" w:sz="0" w:space="0" w:color="auto"/>
        <w:right w:val="none" w:sz="0" w:space="0" w:color="auto"/>
      </w:divBdr>
    </w:div>
    <w:div w:id="1559248465">
      <w:bodyDiv w:val="1"/>
      <w:marLeft w:val="0"/>
      <w:marRight w:val="0"/>
      <w:marTop w:val="0"/>
      <w:marBottom w:val="0"/>
      <w:divBdr>
        <w:top w:val="none" w:sz="0" w:space="0" w:color="auto"/>
        <w:left w:val="none" w:sz="0" w:space="0" w:color="auto"/>
        <w:bottom w:val="none" w:sz="0" w:space="0" w:color="auto"/>
        <w:right w:val="none" w:sz="0" w:space="0" w:color="auto"/>
      </w:divBdr>
    </w:div>
    <w:div w:id="187028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omlaw.gov.au/Series/C2006A00014" TargetMode="External"/><Relationship Id="rId18" Type="http://schemas.openxmlformats.org/officeDocument/2006/relationships/footer" Target="footer2.xml"/><Relationship Id="rId26" Type="http://schemas.openxmlformats.org/officeDocument/2006/relationships/hyperlink" Target="http://www.nopta.gov.au/forms/forms.html" TargetMode="External"/><Relationship Id="rId3" Type="http://schemas.openxmlformats.org/officeDocument/2006/relationships/customXml" Target="../customXml/item3.xml"/><Relationship Id="rId21" Type="http://schemas.openxmlformats.org/officeDocument/2006/relationships/hyperlink" Target="https://www.legislation.gov.au/Series/C2006A00014"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https://www.nopsema.gov.au/assets/Guidance-notes/A554616.pdf" TargetMode="External"/><Relationship Id="rId33" Type="http://schemas.openxmlformats.org/officeDocument/2006/relationships/hyperlink" Target="http://asic.gov.au/"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www.nopta.gov.au/forms/forms.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neats.nopta.gov.au/" TargetMode="External"/><Relationship Id="rId32" Type="http://schemas.openxmlformats.org/officeDocument/2006/relationships/hyperlink" Target="http://www.nopta.gov.au/forms/forms.html"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nopta.gov.au/cost-recovery-and-fees.html" TargetMode="External"/><Relationship Id="rId28" Type="http://schemas.openxmlformats.org/officeDocument/2006/relationships/hyperlink" Target="http://www.nopta.gov.au/forms/forms.html" TargetMode="Externa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https://www.nopta.gov.au/cost-recovery-and-fees.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mark.price/AppData/Local/Microsoft/Windows/Temporary%20Internet%20Files/Content.Outlook/1L6V2CJ9/www.nopta.gov.au" TargetMode="External"/><Relationship Id="rId22" Type="http://schemas.openxmlformats.org/officeDocument/2006/relationships/hyperlink" Target="https://www.legislation.gov.au/Series/F2011L00647" TargetMode="External"/><Relationship Id="rId27" Type="http://schemas.openxmlformats.org/officeDocument/2006/relationships/hyperlink" Target="https://www.nopta.gov.au/cost-recovery-and-fees.html" TargetMode="External"/><Relationship Id="rId30" Type="http://schemas.openxmlformats.org/officeDocument/2006/relationships/hyperlink" Target="http://www.nopta.gov.au/forms/forms.html"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nopta.gov.au/forms/forms.html" TargetMode="External"/><Relationship Id="rId1" Type="http://schemas.openxmlformats.org/officeDocument/2006/relationships/hyperlink" Target="http://www.nopta.gov.au/forms/for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GRkMSLanguage xmlns="7012054d-3a07-4b40-940b-a148fc76e5c4">en-au</AGRkMSLanguage>
    <Units xmlns="7012054d-3a07-4b40-940b-a148fc76e5c4">KB</Units>
    <RightsStatement xmlns="7012054d-3a07-4b40-940b-a148fc76e5c4">NOPTA Members Only</RightsStatement>
    <Jurisdiction xmlns="7012054d-3a07-4b40-940b-a148fc76e5c4">
      <Value>AU</Value>
    </Jurisdiction>
    <CaveatCategory xmlns="7012054d-3a07-4b40-940b-a148fc76e5c4">DLM: For Official Use Only</CaveatCategory>
    <IdentifierScheme xmlns="7012054d-3a07-4b40-940b-a148fc76e5c4">RecordPoint</IdentifierScheme>
    <HashFunctionName xmlns="7012054d-3a07-4b40-940b-a148fc76e5c4">MD5</HashFunctionName>
    <_dlc_DocId xmlns="7012054d-3a07-4b40-940b-a148fc76e5c4">NOPTANET-1686289485-394</_dlc_DocId>
    <TaxCatchAll xmlns="7012054d-3a07-4b40-940b-a148fc76e5c4">
      <Value>764</Value>
      <Value>4758</Value>
      <Value>2677</Value>
      <Value>4679</Value>
      <Value>137</Value>
      <Value>424</Value>
    </TaxCatchAll>
    <SecurityClassification xmlns="7012054d-3a07-4b40-940b-a148fc76e5c4">DLM: For Official Use Only</SecurityClassification>
    <RightsType xmlns="7012054d-3a07-4b40-940b-a148fc76e5c4">Use Permission</RightsType>
    <SpatialCoverage xmlns="7012054d-3a07-4b40-940b-a148fc76e5c4">Commonwealth of Australia</SpatialCoverage>
    <Medium xmlns="7012054d-3a07-4b40-940b-a148fc76e5c4">Digital File</Medium>
    <RightsStatus xmlns="7012054d-3a07-4b40-940b-a148fc76e5c4">Open</RightsStatus>
    <FormatRegistry xmlns="7012054d-3a07-4b40-940b-a148fc76e5c4">System generated</FormatRegistry>
    <FormatName xmlns="7012054d-3a07-4b40-940b-a148fc76e5c4">Word</FormatName>
    <JurisdictionalCoverage xmlns="7012054d-3a07-4b40-940b-a148fc76e5c4">
      <Value>Commonwealth of Australia (AU)</Value>
    </JurisdictionalCoverage>
    <CaveatText xmlns="7012054d-3a07-4b40-940b-a148fc76e5c4">PSPF</CaveatText>
    <Identifier xmlns="7012054d-3a07-4b40-940b-a148fc76e5c4">0</Identifier>
    <BusinessFunction_Note xmlns="7012054d-3a07-4b40-940b-a148fc76e5c4">
      <Terms xmlns="http://schemas.microsoft.com/office/infopath/2007/PartnerControls">
        <TermInfo xmlns="http://schemas.microsoft.com/office/infopath/2007/PartnerControls">
          <TermName xmlns="http://schemas.microsoft.com/office/infopath/2007/PartnerControls">Reviews</TermName>
          <TermId xmlns="http://schemas.microsoft.com/office/infopath/2007/PartnerControls">5fe29a63-56af-46cc-ae65-434b63cde2b7</TermId>
        </TermInfo>
      </Terms>
    </BusinessFunction_Note>
    <AGRkMSCategory xmlns="7012054d-3a07-4b40-940b-a148fc76e5c4">Item</AGRkMSCategory>
    <CreatingApplicationName xmlns="7012054d-3a07-4b40-940b-a148fc76e5c4">Microsoft Word</CreatingApplicationName>
    <_dlc_DocIdUrl xmlns="7012054d-3a07-4b40-940b-a148fc76e5c4">
      <Url>https://nopta.sharepoint.com/team/LCT/_layouts/15/DocIdRedir.aspx?ID=NOPTANET-1686289485-394</Url>
      <Description>NOPTANET-1686289485-394</Description>
    </_dlc_DocIdUrl>
    <FormatVersion xmlns="7012054d-3a07-4b40-940b-a148fc76e5c4">2013</FormatVersion>
    <CreatingApplicationVersion xmlns="7012054d-3a07-4b40-940b-a148fc76e5c4">2013</CreatingApplicationVersion>
    <RecordKeywords xmlns="7012054d-3a07-4b40-940b-a148fc76e5c4" xsi:nil="true"/>
    <DateRangeEnd xmlns="7012054d-3a07-4b40-940b-a148fc76e5c4" xsi:nil="true"/>
    <RecordLocation xmlns="7012054d-3a07-4b40-940b-a148fc76e5c4" xsi:nil="true"/>
    <AGRkMSDescription xmlns="7012054d-3a07-4b40-940b-a148fc76e5c4" xsi:nil="true"/>
    <Team_Note xmlns="7012054d-3a07-4b40-940b-a148fc76e5c4">
      <Terms xmlns="http://schemas.microsoft.com/office/infopath/2007/PartnerControls">
        <TermInfo xmlns="http://schemas.microsoft.com/office/infopath/2007/PartnerControls">
          <TermName xmlns="http://schemas.microsoft.com/office/infopath/2007/PartnerControls">Legislative Compliance</TermName>
          <TermId xmlns="http://schemas.microsoft.com/office/infopath/2007/PartnerControls">cb4b5b1d-0a66-42b0-ad54-d9e1e7b82ef0</TermId>
        </TermInfo>
      </Terms>
    </Team_Note>
    <_dlc_DocIdPersistId xmlns="7012054d-3a07-4b40-940b-a148fc76e5c4" xsi:nil="true"/>
    <NameScheme xmlns="7012054d-3a07-4b40-940b-a148fc76e5c4" xsi:nil="true"/>
    <m3f2ca6b2c9a4802967adedbb4af06ae xmlns="7012054d-3a07-4b40-940b-a148fc76e5c4">
      <Terms xmlns="http://schemas.microsoft.com/office/infopath/2007/PartnerControls"/>
    </m3f2ca6b2c9a4802967adedbb4af06ae>
    <AssignedTo xmlns="http://schemas.microsoft.com/sharepoint/v3">
      <UserInfo>
        <DisplayName/>
        <AccountId xsi:nil="true"/>
        <AccountType/>
      </UserInfo>
    </AssignedTo>
    <KeywordScheme xmlns="7012054d-3a07-4b40-940b-a148fc76e5c4" xsi:nil="true"/>
    <RecordContactDetails xmlns="7012054d-3a07-4b40-940b-a148fc76e5c4" xsi:nil="true"/>
    <_Status xmlns="http://schemas.microsoft.com/sharepoint/v3/fields">Not Started</_Status>
    <Quantity xmlns="7012054d-3a07-4b40-940b-a148fc76e5c4" xsi:nil="true"/>
    <DocumentForm xmlns="7012054d-3a07-4b40-940b-a148fc76e5c4" xsi:nil="true"/>
    <OfNationalSignificance xmlns="7012054d-3a07-4b40-940b-a148fc76e5c4">No</OfNationalSignificance>
    <DocumentSetDescription xmlns="http://schemas.microsoft.com/sharepoint/v3" xsi:nil="true"/>
    <KeywordID xmlns="7012054d-3a07-4b40-940b-a148fc76e5c4" xsi:nil="true"/>
    <Entity xmlns="7012054d-3a07-4b40-940b-a148fc76e5c4" xsi:nil="true"/>
    <Precedence xmlns="7012054d-3a07-4b40-940b-a148fc76e5c4" xsi:nil="true"/>
    <RecordContact xmlns="7012054d-3a07-4b40-940b-a148fc76e5c4">
      <UserInfo>
        <DisplayName/>
        <AccountId xsi:nil="true"/>
        <AccountType/>
      </UserInfo>
    </RecordContact>
    <RecordExtentUnits xmlns="7012054d-3a07-4b40-940b-a148fc76e5c4" xsi:nil="true"/>
    <RecordExtent xmlns="7012054d-3a07-4b40-940b-a148fc76e5c4" xsi:nil="true"/>
    <DocumentType_Note xmlns="7012054d-3a07-4b40-940b-a148fc76e5c4">
      <Terms xmlns="http://schemas.microsoft.com/office/infopath/2007/PartnerControls">
        <TermInfo xmlns="http://schemas.microsoft.com/office/infopath/2007/PartnerControls">
          <TermName xmlns="http://schemas.microsoft.com/office/infopath/2007/PartnerControls">Guideline</TermName>
          <TermId xmlns="http://schemas.microsoft.com/office/infopath/2007/PartnerControls">d1b666ff-1768-485a-b83d-c8693c6a4acc</TermId>
        </TermInfo>
      </Terms>
    </DocumentType_Note>
    <pfcb0be319e247388db2251ff9d23f72 xmlns="7012054d-3a07-4b40-940b-a148fc76e5c4">
      <Terms xmlns="http://schemas.microsoft.com/office/infopath/2007/PartnerControls"/>
    </pfcb0be319e247388db2251ff9d23f72>
    <MessageDigest xmlns="7012054d-3a07-4b40-940b-a148fc76e5c4" xsi:nil="true"/>
    <TemporalCoverage xmlns="7012054d-3a07-4b40-940b-a148fc76e5c4" xsi:nil="true"/>
    <DateRangeStart xmlns="7012054d-3a07-4b40-940b-a148fc76e5c4" xsi:nil="true"/>
    <TaxKeywordTaxHTField xmlns="7012054d-3a07-4b40-940b-a148fc76e5c4">
      <Terms xmlns="http://schemas.microsoft.com/office/infopath/2007/PartnerControls">
        <TermInfo xmlns="http://schemas.microsoft.com/office/infopath/2007/PartnerControls">
          <TermName xmlns="http://schemas.microsoft.com/office/infopath/2007/PartnerControls">Transfer</TermName>
          <TermId xmlns="http://schemas.microsoft.com/office/infopath/2007/PartnerControls">c29590b1-aba6-4a7b-b685-1583a4082762</TermId>
        </TermInfo>
        <TermInfo xmlns="http://schemas.microsoft.com/office/infopath/2007/PartnerControls">
          <TermName xmlns="http://schemas.microsoft.com/office/infopath/2007/PartnerControls">dealing</TermName>
          <TermId xmlns="http://schemas.microsoft.com/office/infopath/2007/PartnerControls">e0d166a7-9e2a-4c31-b0a7-558242660f3b</TermId>
        </TermInfo>
        <TermInfo xmlns="http://schemas.microsoft.com/office/infopath/2007/PartnerControls">
          <TermName xmlns="http://schemas.microsoft.com/office/infopath/2007/PartnerControls">Guidelines</TermName>
          <TermId xmlns="http://schemas.microsoft.com/office/infopath/2007/PartnerControls">2f155a20-2806-4609-83fa-0f837c3a6035</TermId>
        </TermInfo>
      </Terms>
    </TaxKeywordTaxHTField>
    <g91dc4f691a04421b1edf463601fabf6 xmlns="7012054d-3a07-4b40-940b-a148fc76e5c4">
      <Terms xmlns="http://schemas.microsoft.com/office/infopath/2007/PartnerControls"/>
    </g91dc4f691a04421b1edf463601fabf6>
    <KeywordSchemeType xmlns="7012054d-3a07-4b40-940b-a148fc76e5c4" xsi:nil="true"/>
    <Titles_Note xmlns="7012054d-3a07-4b40-940b-a148fc76e5c4">
      <Terms xmlns="http://schemas.microsoft.com/office/infopath/2007/PartnerControls"/>
    </Titles_Note>
    <_DCDateCreated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NOPTA Base Document" ma:contentTypeID="0x01010063547D135F865547B104B3688A6EB0DB004EBC41CBB87686458B4EADC66475DA23" ma:contentTypeVersion="2490" ma:contentTypeDescription="Create a new document." ma:contentTypeScope="" ma:versionID="95db9a4909e817bef68c867c860a7a92">
  <xsd:schema xmlns:xsd="http://www.w3.org/2001/XMLSchema" xmlns:xs="http://www.w3.org/2001/XMLSchema" xmlns:p="http://schemas.microsoft.com/office/2006/metadata/properties" xmlns:ns1="http://schemas.microsoft.com/sharepoint/v3" xmlns:ns2="7012054d-3a07-4b40-940b-a148fc76e5c4" xmlns:ns3="http://schemas.microsoft.com/sharepoint/v3/fields" xmlns:ns4="e1c7fc68-f963-4fbf-ab17-100a6bd4a79c" xmlns:ns5="a8fdb9f5-4e6c-4c4a-a24d-2c5439f6d702" targetNamespace="http://schemas.microsoft.com/office/2006/metadata/properties" ma:root="true" ma:fieldsID="7ff4ea60b73f077fbb699dfe7161eac8" ns1:_="" ns2:_="" ns3:_="" ns4:_="" ns5:_="">
    <xsd:import namespace="http://schemas.microsoft.com/sharepoint/v3"/>
    <xsd:import namespace="7012054d-3a07-4b40-940b-a148fc76e5c4"/>
    <xsd:import namespace="http://schemas.microsoft.com/sharepoint/v3/fields"/>
    <xsd:import namespace="e1c7fc68-f963-4fbf-ab17-100a6bd4a79c"/>
    <xsd:import namespace="a8fdb9f5-4e6c-4c4a-a24d-2c5439f6d702"/>
    <xsd:element name="properties">
      <xsd:complexType>
        <xsd:sequence>
          <xsd:element name="documentManagement">
            <xsd:complexType>
              <xsd:all>
                <xsd:element ref="ns2:AGRkMSDescription" minOccurs="0"/>
                <xsd:element ref="ns2:SecurityClassification"/>
                <xsd:element ref="ns2:RightsType"/>
                <xsd:element ref="ns2:RightsStatus"/>
                <xsd:element ref="ns2:OfNationalSignificance"/>
                <xsd:element ref="ns1:AssignedTo" minOccurs="0"/>
                <xsd:element ref="ns3:_Status" minOccurs="0"/>
                <xsd:element ref="ns1:DocumentSetDescription"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TaxCatchAllLabel" minOccurs="0"/>
                <xsd:element ref="ns2:TaxKeywordTaxHTField" minOccurs="0"/>
                <xsd:element ref="ns3:_DCDateCreated" minOccurs="0"/>
                <xsd:element ref="ns4:MediaServiceMetadata" minOccurs="0"/>
                <xsd:element ref="ns4:MediaServiceFastMetadata" minOccurs="0"/>
                <xsd:element ref="ns5:SharedWithUsers" minOccurs="0"/>
                <xsd:element ref="ns5:SharedWithDetail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5" nillable="true" ma:displayName="Assigned To" ma:list="UserInfo" ma:SearchPeopleOnly="false" ma:SharePointGroup="0" ma:internalName="Assigned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17"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hidden="true" ma:internalName="AGRkMSDescription" ma:readOnly="false">
      <xsd:simpleType>
        <xsd:restriction base="dms:Note"/>
      </xsd:simpleType>
    </xsd:element>
    <xsd:element name="SecurityClassification" ma:index="9" ma:displayName="Security Classification" ma:default="DLM: For Official Use Only" ma:format="Dropdown" ma:internalName="SecurityClassification" ma:readOnly="false">
      <xsd:simpleType>
        <xsd:restriction base="dms:Choice">
          <xsd:enumeration value="Unofficial"/>
          <xsd:enumeration value="Unclassified"/>
          <xsd:enumeration value="DLM: For Official Use Only"/>
          <xsd:enumeration value="DLM: Sensitive"/>
          <xsd:enumeration value="DLM: Sensitive - Legal"/>
          <xsd:enumeration value="DLM: Sensitive - Personal"/>
        </xsd:restriction>
      </xsd:simpleType>
    </xsd:element>
    <xsd:element name="RightsType" ma:index="10"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Privacy"/>
          <xsd:enumeration value="Use Permission"/>
        </xsd:restriction>
      </xsd:simpleType>
    </xsd:element>
    <xsd:element name="RightsStatus" ma:index="11"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OfNationalSignificance" ma:index="13" ma:displayName="Of National Significance" ma:format="Dropdown" ma:internalName="OfNationalSignificance" ma:readOnly="false">
      <xsd:simpleType>
        <xsd:restriction base="dms:Choice">
          <xsd:enumeration value="Yes"/>
          <xsd:enumeration value="No"/>
        </xsd:restriction>
      </xsd:simple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TaxCatchAllLabel" ma:index="69"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70"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6" nillable="true" ma:displayName="Status" ma:default="Not Started" ma:format="Dropdown"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element name="_DCDateCreated" ma:index="71" nillable="true" ma:displayName="Date Created" ma:description="The date on which this resource was created" ma:format="DateTime" ma:hidden="true" ma:internalName="_DCDateCreat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1c7fc68-f963-4fbf-ab17-100a6bd4a79c" elementFormDefault="qualified">
    <xsd:import namespace="http://schemas.microsoft.com/office/2006/documentManagement/types"/>
    <xsd:import namespace="http://schemas.microsoft.com/office/infopath/2007/PartnerControls"/>
    <xsd:element name="MediaServiceMetadata" ma:index="75" nillable="true" ma:displayName="MediaServiceMetadata" ma:hidden="true" ma:internalName="MediaServiceMetadata" ma:readOnly="true">
      <xsd:simpleType>
        <xsd:restriction base="dms:Note"/>
      </xsd:simpleType>
    </xsd:element>
    <xsd:element name="MediaServiceFastMetadata" ma:index="76" nillable="true" ma:displayName="MediaServiceFastMetadata" ma:hidden="true" ma:internalName="MediaServiceFastMetadata" ma:readOnly="true">
      <xsd:simpleType>
        <xsd:restriction base="dms:Note"/>
      </xsd:simpleType>
    </xsd:element>
    <xsd:element name="MediaServiceAutoKeyPoints" ma:index="79" nillable="true" ma:displayName="MediaServiceAutoKeyPoints" ma:hidden="true" ma:internalName="MediaServiceAutoKeyPoints" ma:readOnly="true">
      <xsd:simpleType>
        <xsd:restriction base="dms:Note"/>
      </xsd:simpleType>
    </xsd:element>
    <xsd:element name="MediaServiceKeyPoints" ma:index="8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db9f5-4e6c-4c4a-a24d-2c5439f6d702" elementFormDefault="qualified">
    <xsd:import namespace="http://schemas.microsoft.com/office/2006/documentManagement/types"/>
    <xsd:import namespace="http://schemas.microsoft.com/office/infopath/2007/PartnerControls"/>
    <xsd:element name="SharedWithUsers" ma:index="7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4" ma:displayName="Content Type"/>
        <xsd:element ref="dc:title" minOccurs="0" maxOccurs="1" ma:index="12" ma:displayName="Title"/>
        <xsd:element ref="dc:subject" minOccurs="0" maxOccurs="1"/>
        <xsd:element ref="dc:description" minOccurs="0" maxOccurs="1" ma:index="14"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B3F51-FA5B-468F-98FF-F1F9B50E0263}">
  <ds:schemaRefs>
    <ds:schemaRef ds:uri="e1c7fc68-f963-4fbf-ab17-100a6bd4a79c"/>
    <ds:schemaRef ds:uri="http://purl.org/dc/elements/1.1/"/>
    <ds:schemaRef ds:uri="http://schemas.microsoft.com/office/2006/metadata/properties"/>
    <ds:schemaRef ds:uri="http://schemas.microsoft.com/sharepoint/v3"/>
    <ds:schemaRef ds:uri="http://schemas.microsoft.com/office/2006/documentManagement/types"/>
    <ds:schemaRef ds:uri="http://purl.org/dc/terms/"/>
    <ds:schemaRef ds:uri="http://schemas.openxmlformats.org/package/2006/metadata/core-properties"/>
    <ds:schemaRef ds:uri="a8fdb9f5-4e6c-4c4a-a24d-2c5439f6d702"/>
    <ds:schemaRef ds:uri="http://purl.org/dc/dcmitype/"/>
    <ds:schemaRef ds:uri="http://schemas.microsoft.com/office/infopath/2007/PartnerControls"/>
    <ds:schemaRef ds:uri="http://schemas.microsoft.com/sharepoint/v3/fields"/>
    <ds:schemaRef ds:uri="7012054d-3a07-4b40-940b-a148fc76e5c4"/>
    <ds:schemaRef ds:uri="http://www.w3.org/XML/1998/namespace"/>
  </ds:schemaRefs>
</ds:datastoreItem>
</file>

<file path=customXml/itemProps2.xml><?xml version="1.0" encoding="utf-8"?>
<ds:datastoreItem xmlns:ds="http://schemas.openxmlformats.org/officeDocument/2006/customXml" ds:itemID="{3037726D-875C-4E96-B5AF-31A18606D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12054d-3a07-4b40-940b-a148fc76e5c4"/>
    <ds:schemaRef ds:uri="http://schemas.microsoft.com/sharepoint/v3/fields"/>
    <ds:schemaRef ds:uri="e1c7fc68-f963-4fbf-ab17-100a6bd4a79c"/>
    <ds:schemaRef ds:uri="a8fdb9f5-4e6c-4c4a-a24d-2c5439f6d7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654F0E-A180-4BAA-947C-A0198137E405}">
  <ds:schemaRefs>
    <ds:schemaRef ds:uri="http://schemas.microsoft.com/sharepoint/events"/>
  </ds:schemaRefs>
</ds:datastoreItem>
</file>

<file path=customXml/itemProps4.xml><?xml version="1.0" encoding="utf-8"?>
<ds:datastoreItem xmlns:ds="http://schemas.openxmlformats.org/officeDocument/2006/customXml" ds:itemID="{B2189F15-6949-4EFD-9D38-F7E79E04AB83}">
  <ds:schemaRefs>
    <ds:schemaRef ds:uri="http://schemas.microsoft.com/sharepoint/v3/contenttype/forms"/>
  </ds:schemaRefs>
</ds:datastoreItem>
</file>

<file path=customXml/itemProps5.xml><?xml version="1.0" encoding="utf-8"?>
<ds:datastoreItem xmlns:ds="http://schemas.openxmlformats.org/officeDocument/2006/customXml" ds:itemID="{FAF8AE16-73ED-4230-98A2-65B40A107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4130</Words>
  <Characters>23547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Transfers and dealings guideline</vt:lpstr>
    </vt:vector>
  </TitlesOfParts>
  <Company/>
  <LinksUpToDate>false</LinksUpToDate>
  <CharactersWithSpaces>27622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Transfers and dealings guideline</dc:title>
  <dc:subject/>
  <dc:creator/>
  <cp:keywords>dealing; Transfer; Guidelines</cp:keywords>
  <dc:description>Update with new Department name</dc:description>
  <cp:lastModifiedBy/>
  <cp:revision>1</cp:revision>
  <dcterms:created xsi:type="dcterms:W3CDTF">2020-02-14T00:19:00Z</dcterms:created>
  <dcterms:modified xsi:type="dcterms:W3CDTF">2020-02-14T00:20:00Z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Function">
    <vt:lpwstr>764;#Reviews|5fe29a63-56af-46cc-ae65-434b63cde2b7</vt:lpwstr>
  </property>
  <property fmtid="{D5CDD505-2E9C-101B-9397-08002B2CF9AE}" pid="3" name="ContentTypeId">
    <vt:lpwstr>0x01010063547D135F865547B104B3688A6EB0DB004EBC41CBB87686458B4EADC66475DA23</vt:lpwstr>
  </property>
  <property fmtid="{D5CDD505-2E9C-101B-9397-08002B2CF9AE}" pid="4" name="_dlc_DocIdItemGuid">
    <vt:lpwstr>c4eed787-75c2-4198-8ef3-2b8956dafce1</vt:lpwstr>
  </property>
  <property fmtid="{D5CDD505-2E9C-101B-9397-08002B2CF9AE}" pid="5" name="TaxKeyword">
    <vt:lpwstr>4758;#Transfer|c29590b1-aba6-4a7b-b685-1583a4082762;#2677;#dealing|e0d166a7-9e2a-4c31-b0a7-558242660f3b;#4679;#Guidelines|2f155a20-2806-4609-83fa-0f837c3a6035</vt:lpwstr>
  </property>
  <property fmtid="{D5CDD505-2E9C-101B-9397-08002B2CF9AE}" pid="6" name="Titles">
    <vt:lpwstr/>
  </property>
  <property fmtid="{D5CDD505-2E9C-101B-9397-08002B2CF9AE}" pid="7" name="Title Type">
    <vt:lpwstr/>
  </property>
  <property fmtid="{D5CDD505-2E9C-101B-9397-08002B2CF9AE}" pid="8" name="DocumentType">
    <vt:lpwstr>137;#Guideline|d1b666ff-1768-485a-b83d-c8693c6a4acc</vt:lpwstr>
  </property>
  <property fmtid="{D5CDD505-2E9C-101B-9397-08002B2CF9AE}" pid="9" name="Offshore Region">
    <vt:lpwstr/>
  </property>
  <property fmtid="{D5CDD505-2E9C-101B-9397-08002B2CF9AE}" pid="10" name="Application Library">
    <vt:lpwstr/>
  </property>
  <property fmtid="{D5CDD505-2E9C-101B-9397-08002B2CF9AE}" pid="11" name="Team">
    <vt:lpwstr>424;#Legislative Compliance|cb4b5b1d-0a66-42b0-ad54-d9e1e7b82ef0</vt:lpwstr>
  </property>
</Properties>
</file>