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5A6F" w14:textId="297F2D2E" w:rsidR="009C4F7C" w:rsidRPr="000B22A9" w:rsidRDefault="00C81811" w:rsidP="00033937">
      <w:pPr>
        <w:pStyle w:val="Title"/>
        <w:spacing w:before="2560"/>
        <w:contextualSpacing w:val="0"/>
      </w:pPr>
      <w:bookmarkStart w:id="0" w:name="_Toc81319770"/>
      <w:bookmarkStart w:id="1" w:name="_Toc81322578"/>
      <w:bookmarkStart w:id="2" w:name="_Toc81324964"/>
      <w:bookmarkStart w:id="3" w:name="_Toc81327219"/>
      <w:bookmarkStart w:id="4" w:name="_Toc82785064"/>
      <w:bookmarkStart w:id="5" w:name="_Toc82787186"/>
      <w:bookmarkStart w:id="6" w:name="_Toc82788233"/>
      <w:bookmarkStart w:id="7" w:name="_Toc83029536"/>
      <w:bookmarkStart w:id="8" w:name="_Toc83033984"/>
      <w:bookmarkStart w:id="9" w:name="_Toc93925205"/>
      <w:r>
        <w:t>Guideline</w:t>
      </w:r>
      <w:r w:rsidR="00130B08">
        <w:t>:</w:t>
      </w:r>
      <w:r w:rsidR="00462621">
        <w:t xml:space="preserve"> </w:t>
      </w:r>
      <w:r w:rsidR="00B2493F">
        <w:t>O</w:t>
      </w:r>
      <w:r w:rsidR="007252F1">
        <w:t>ffshore petroleum d</w:t>
      </w:r>
      <w:r w:rsidR="009C4F7C" w:rsidRPr="000B22A9">
        <w:t>ecommissioning</w:t>
      </w:r>
      <w:bookmarkEnd w:id="0"/>
      <w:bookmarkEnd w:id="1"/>
      <w:bookmarkEnd w:id="2"/>
      <w:bookmarkEnd w:id="3"/>
      <w:bookmarkEnd w:id="4"/>
      <w:bookmarkEnd w:id="5"/>
      <w:bookmarkEnd w:id="6"/>
      <w:bookmarkEnd w:id="7"/>
      <w:bookmarkEnd w:id="8"/>
      <w:bookmarkEnd w:id="9"/>
    </w:p>
    <w:p w14:paraId="09EB1BA7" w14:textId="0B9FC49D" w:rsidR="006C6629" w:rsidRPr="00E95B37" w:rsidRDefault="006C6629" w:rsidP="006C6629">
      <w:pPr>
        <w:spacing w:line="240" w:lineRule="auto"/>
        <w:rPr>
          <w:color w:val="939598" w:themeColor="accent1"/>
          <w:sz w:val="28"/>
          <w:szCs w:val="32"/>
          <w:lang w:eastAsia="en-AU"/>
        </w:rPr>
      </w:pPr>
      <w:r w:rsidRPr="00E95B37">
        <w:rPr>
          <w:color w:val="939598" w:themeColor="accent1"/>
          <w:sz w:val="28"/>
          <w:szCs w:val="32"/>
          <w:lang w:eastAsia="en-AU"/>
        </w:rPr>
        <w:t xml:space="preserve">In relation to the </w:t>
      </w:r>
      <w:r w:rsidRPr="00E95B37">
        <w:rPr>
          <w:i/>
          <w:color w:val="939598" w:themeColor="accent1"/>
          <w:sz w:val="28"/>
          <w:szCs w:val="32"/>
          <w:lang w:eastAsia="en-AU"/>
        </w:rPr>
        <w:t>Offshore Petroleum and Greenhouse Gas Storage Act 2006</w:t>
      </w:r>
    </w:p>
    <w:p w14:paraId="54A5097B" w14:textId="09F4C7B4" w:rsidR="009C4F7C" w:rsidDel="00BA7A2C" w:rsidRDefault="009C4F7C" w:rsidP="00FF27C5">
      <w:pPr>
        <w:autoSpaceDE w:val="0"/>
        <w:autoSpaceDN w:val="0"/>
        <w:spacing w:before="480"/>
        <w:rPr>
          <w:rFonts w:ascii="Arial" w:hAnsi="Arial" w:cs="Arial"/>
          <w:color w:val="000000" w:themeColor="text1"/>
          <w:sz w:val="18"/>
          <w:szCs w:val="18"/>
        </w:rPr>
      </w:pPr>
      <w:bookmarkStart w:id="10" w:name="_Toc486949852"/>
      <w:bookmarkStart w:id="11" w:name="_Toc486950213"/>
      <w:bookmarkStart w:id="12" w:name="_Toc486956411"/>
      <w:bookmarkStart w:id="13" w:name="_Toc489460833"/>
      <w:bookmarkStart w:id="14" w:name="_Toc81319771"/>
      <w:bookmarkStart w:id="15" w:name="_Toc81322579"/>
      <w:bookmarkStart w:id="16" w:name="_Toc81324965"/>
      <w:r w:rsidRPr="00250D66">
        <w:t xml:space="preserve">Effective </w:t>
      </w:r>
      <w:bookmarkEnd w:id="10"/>
      <w:bookmarkEnd w:id="11"/>
      <w:bookmarkEnd w:id="12"/>
      <w:bookmarkEnd w:id="13"/>
      <w:bookmarkEnd w:id="14"/>
      <w:bookmarkEnd w:id="15"/>
      <w:bookmarkEnd w:id="16"/>
      <w:r w:rsidR="003A402E" w:rsidRPr="00250D66">
        <w:t>2</w:t>
      </w:r>
      <w:r w:rsidR="00B052D5" w:rsidRPr="00250D66">
        <w:t xml:space="preserve"> March </w:t>
      </w:r>
      <w:r w:rsidR="00E95B37" w:rsidRPr="00250D66">
        <w:t>2022</w:t>
      </w:r>
    </w:p>
    <w:p w14:paraId="68F06A0C" w14:textId="7921FCC5" w:rsidR="009C4F7C" w:rsidRPr="00EA3585" w:rsidRDefault="009C4F7C" w:rsidP="00FF27C5">
      <w:pPr>
        <w:autoSpaceDE w:val="0"/>
        <w:autoSpaceDN w:val="0"/>
        <w:spacing w:before="2880"/>
        <w:rPr>
          <w:rFonts w:cstheme="minorHAnsi"/>
          <w:color w:val="000000"/>
          <w:sz w:val="16"/>
          <w:szCs w:val="16"/>
        </w:rPr>
      </w:pPr>
      <w:r w:rsidRPr="00EA3585">
        <w:rPr>
          <w:rFonts w:cstheme="minorHAnsi"/>
          <w:color w:val="000000" w:themeColor="text1"/>
          <w:sz w:val="16"/>
          <w:szCs w:val="16"/>
        </w:rPr>
        <w:t>This document has been developed as a general guide only. It is subject to, and does not replace or amend the requirements of</w:t>
      </w:r>
      <w:r w:rsidR="003323C8" w:rsidRPr="00EA3585">
        <w:rPr>
          <w:rFonts w:cstheme="minorHAnsi"/>
          <w:color w:val="000000" w:themeColor="text1"/>
          <w:sz w:val="16"/>
          <w:szCs w:val="16"/>
        </w:rPr>
        <w:t>,</w:t>
      </w:r>
      <w:r w:rsidRPr="00EA3585">
        <w:rPr>
          <w:rFonts w:cstheme="minorHAnsi"/>
          <w:color w:val="000000" w:themeColor="text1"/>
          <w:sz w:val="16"/>
          <w:szCs w:val="16"/>
        </w:rPr>
        <w:t xml:space="preserve"> the</w:t>
      </w:r>
      <w:r w:rsidRPr="00EA3585">
        <w:rPr>
          <w:rStyle w:val="Hyperlink"/>
          <w:rFonts w:cstheme="minorHAnsi"/>
          <w:i/>
          <w:sz w:val="16"/>
          <w:szCs w:val="16"/>
        </w:rPr>
        <w:t xml:space="preserve"> </w:t>
      </w:r>
      <w:hyperlink r:id="rId12">
        <w:r w:rsidR="3446EB29" w:rsidRPr="00EA3585">
          <w:rPr>
            <w:rStyle w:val="Hyperlink"/>
            <w:rFonts w:cstheme="minorHAnsi"/>
            <w:i/>
            <w:iCs/>
            <w:sz w:val="16"/>
            <w:szCs w:val="16"/>
          </w:rPr>
          <w:t xml:space="preserve">Offshore Petroleum and </w:t>
        </w:r>
        <w:r w:rsidR="3446EB29" w:rsidRPr="00FF27C5">
          <w:rPr>
            <w:rStyle w:val="Hyperlink"/>
            <w:rFonts w:cstheme="minorHAnsi"/>
            <w:i/>
            <w:iCs/>
            <w:color w:val="0070AE"/>
            <w:sz w:val="16"/>
            <w:szCs w:val="16"/>
          </w:rPr>
          <w:t>Greenhouse</w:t>
        </w:r>
        <w:r w:rsidR="3446EB29" w:rsidRPr="00EA3585">
          <w:rPr>
            <w:rStyle w:val="Hyperlink"/>
            <w:rFonts w:cstheme="minorHAnsi"/>
            <w:i/>
            <w:iCs/>
            <w:sz w:val="16"/>
            <w:szCs w:val="16"/>
          </w:rPr>
          <w:t xml:space="preserve"> Gas Storage Act 2006</w:t>
        </w:r>
      </w:hyperlink>
      <w:r w:rsidRPr="00EA3585">
        <w:rPr>
          <w:rFonts w:cstheme="minorHAnsi"/>
          <w:color w:val="000000" w:themeColor="text1"/>
          <w:sz w:val="16"/>
          <w:szCs w:val="16"/>
        </w:rPr>
        <w:t xml:space="preserve"> and associated </w:t>
      </w:r>
      <w:r w:rsidR="003323C8" w:rsidRPr="00EA3585">
        <w:rPr>
          <w:rFonts w:cstheme="minorHAnsi"/>
          <w:color w:val="000000" w:themeColor="text1"/>
          <w:sz w:val="16"/>
          <w:szCs w:val="16"/>
        </w:rPr>
        <w:t>r</w:t>
      </w:r>
      <w:r w:rsidRPr="00EA3585">
        <w:rPr>
          <w:rFonts w:cstheme="minorHAnsi"/>
          <w:color w:val="000000" w:themeColor="text1"/>
          <w:sz w:val="16"/>
          <w:szCs w:val="16"/>
        </w:rPr>
        <w:t>egulations, which should be read in conjunction with this guideline.</w:t>
      </w:r>
    </w:p>
    <w:p w14:paraId="6A2146D8" w14:textId="4A5338F4" w:rsidR="009C4F7C" w:rsidRPr="00EA3585" w:rsidRDefault="009C4F7C" w:rsidP="009C4F7C">
      <w:pPr>
        <w:spacing w:after="200"/>
        <w:rPr>
          <w:rFonts w:cstheme="minorHAnsi"/>
          <w:sz w:val="16"/>
          <w:szCs w:val="16"/>
        </w:rPr>
      </w:pPr>
      <w:r w:rsidRPr="00EA3585">
        <w:rPr>
          <w:rFonts w:cstheme="minorHAnsi"/>
          <w:color w:val="000000" w:themeColor="text1"/>
          <w:sz w:val="16"/>
          <w:szCs w:val="16"/>
        </w:rPr>
        <w:t xml:space="preserve">This guideline is made available by the Australian Government for information only. Before relying on this material, users should carefully evaluate the accuracy, currency, </w:t>
      </w:r>
      <w:proofErr w:type="gramStart"/>
      <w:r w:rsidRPr="00EA3585">
        <w:rPr>
          <w:rFonts w:cstheme="minorHAnsi"/>
          <w:color w:val="000000" w:themeColor="text1"/>
          <w:sz w:val="16"/>
          <w:szCs w:val="16"/>
        </w:rPr>
        <w:t>completeness</w:t>
      </w:r>
      <w:proofErr w:type="gramEnd"/>
      <w:r w:rsidRPr="00EA3585">
        <w:rPr>
          <w:rFonts w:cstheme="minorHAnsi"/>
          <w:color w:val="000000" w:themeColor="text1"/>
          <w:sz w:val="16"/>
          <w:szCs w:val="16"/>
        </w:rPr>
        <w:t xml:space="preserve"> and relevance of the inf</w:t>
      </w:r>
      <w:r w:rsidR="00AA5A06" w:rsidRPr="00EA3585">
        <w:rPr>
          <w:rFonts w:cstheme="minorHAnsi"/>
          <w:color w:val="000000" w:themeColor="text1"/>
          <w:sz w:val="16"/>
          <w:szCs w:val="16"/>
        </w:rPr>
        <w:t>ormation and obtain independent</w:t>
      </w:r>
      <w:r w:rsidRPr="00EA3585">
        <w:rPr>
          <w:rFonts w:cstheme="minorHAnsi"/>
          <w:color w:val="000000" w:themeColor="text1"/>
          <w:sz w:val="16"/>
          <w:szCs w:val="16"/>
        </w:rPr>
        <w:t xml:space="preserve"> </w:t>
      </w:r>
      <w:r w:rsidRPr="00EA3585">
        <w:rPr>
          <w:rFonts w:cstheme="minorHAnsi"/>
          <w:sz w:val="16"/>
          <w:szCs w:val="16"/>
        </w:rPr>
        <w:t xml:space="preserve">legal or other </w:t>
      </w:r>
      <w:r w:rsidRPr="00EA3585">
        <w:rPr>
          <w:rFonts w:cstheme="minorHAnsi"/>
          <w:color w:val="000000" w:themeColor="text1"/>
          <w:sz w:val="16"/>
          <w:szCs w:val="16"/>
        </w:rPr>
        <w:t>professional advice relevant to their circumstances.</w:t>
      </w:r>
    </w:p>
    <w:p w14:paraId="5016F133" w14:textId="2443AF4E" w:rsidR="009C4F7C" w:rsidRPr="00EA3585" w:rsidRDefault="3446EB29" w:rsidP="009C4F7C">
      <w:pPr>
        <w:rPr>
          <w:rFonts w:cstheme="minorHAnsi"/>
          <w:sz w:val="16"/>
          <w:szCs w:val="16"/>
        </w:rPr>
      </w:pPr>
      <w:r w:rsidRPr="00EA3585">
        <w:rPr>
          <w:rFonts w:cstheme="minorHAnsi"/>
          <w:sz w:val="16"/>
          <w:szCs w:val="16"/>
        </w:rPr>
        <w:t xml:space="preserve">This document has been prepared by the </w:t>
      </w:r>
      <w:hyperlink r:id="rId13">
        <w:r w:rsidRPr="00EA3585">
          <w:rPr>
            <w:rStyle w:val="Hyperlink"/>
            <w:rFonts w:cstheme="minorHAnsi"/>
            <w:sz w:val="16"/>
            <w:szCs w:val="16"/>
          </w:rPr>
          <w:t>Department of Industry, Science, Energy and Resources</w:t>
        </w:r>
      </w:hyperlink>
      <w:r w:rsidRPr="00EA3585">
        <w:rPr>
          <w:rFonts w:cstheme="minorHAnsi"/>
          <w:sz w:val="16"/>
          <w:szCs w:val="16"/>
        </w:rPr>
        <w:t>. It will be reviewed and updated as required.</w:t>
      </w:r>
    </w:p>
    <w:p w14:paraId="2446F976" w14:textId="2974F1B6" w:rsidR="00114FE8" w:rsidRPr="00F029E6" w:rsidRDefault="3446EB29" w:rsidP="00FF27C5">
      <w:pPr>
        <w:spacing w:before="480"/>
        <w:rPr>
          <w:rFonts w:asciiTheme="majorHAnsi" w:eastAsiaTheme="majorEastAsia" w:hAnsiTheme="majorHAnsi" w:cstheme="majorBidi"/>
          <w:color w:val="6D6F72" w:themeColor="accent1" w:themeShade="BF"/>
          <w:sz w:val="20"/>
          <w:szCs w:val="20"/>
        </w:rPr>
      </w:pPr>
      <w:r w:rsidRPr="00EA3585">
        <w:rPr>
          <w:rFonts w:cstheme="minorHAnsi"/>
          <w:sz w:val="16"/>
          <w:szCs w:val="16"/>
        </w:rPr>
        <w:t xml:space="preserve">This document is available online at </w:t>
      </w:r>
      <w:hyperlink r:id="rId14">
        <w:r w:rsidRPr="00EA3585">
          <w:rPr>
            <w:rStyle w:val="Hyperlink"/>
            <w:rFonts w:cstheme="minorHAnsi"/>
            <w:sz w:val="16"/>
            <w:szCs w:val="16"/>
          </w:rPr>
          <w:t>www.nopta.gov.au</w:t>
        </w:r>
      </w:hyperlink>
      <w:r w:rsidRPr="00EA3585">
        <w:rPr>
          <w:rStyle w:val="Hyperlink"/>
          <w:rFonts w:cstheme="minorHAnsi"/>
          <w:sz w:val="16"/>
          <w:szCs w:val="16"/>
        </w:rPr>
        <w:t>.</w:t>
      </w:r>
      <w:r w:rsidR="009C4F7C" w:rsidRPr="3446EB29">
        <w:rPr>
          <w:sz w:val="20"/>
          <w:szCs w:val="20"/>
        </w:rPr>
        <w:br w:type="page"/>
      </w:r>
    </w:p>
    <w:bookmarkStart w:id="17" w:name="_Toc82785065" w:displacedByCustomXml="next"/>
    <w:bookmarkStart w:id="18" w:name="_Toc82788326" w:displacedByCustomXml="next"/>
    <w:bookmarkStart w:id="19" w:name="_Toc82788234" w:displacedByCustomXml="next"/>
    <w:bookmarkStart w:id="20" w:name="_Toc82788030" w:displacedByCustomXml="next"/>
    <w:bookmarkStart w:id="21" w:name="_Toc82787587" w:displacedByCustomXml="next"/>
    <w:bookmarkStart w:id="22" w:name="_Toc82787187" w:displacedByCustomXml="next"/>
    <w:bookmarkStart w:id="23" w:name="_Toc82785529" w:displacedByCustomXml="next"/>
    <w:bookmarkStart w:id="24" w:name="_Toc82785099" w:displacedByCustomXml="next"/>
    <w:sdt>
      <w:sdtPr>
        <w:rPr>
          <w:rFonts w:ascii="Times New Roman" w:eastAsia="Times New Roman" w:hAnsi="Times New Roman" w:cs="Times New Roman"/>
          <w:color w:val="auto"/>
          <w:sz w:val="24"/>
          <w:szCs w:val="24"/>
          <w:lang w:val="en-AU" w:eastAsia="en-AU"/>
        </w:rPr>
        <w:id w:val="-1994168667"/>
        <w:docPartObj>
          <w:docPartGallery w:val="Table of Contents"/>
          <w:docPartUnique/>
        </w:docPartObj>
      </w:sdtPr>
      <w:sdtEndPr>
        <w:rPr>
          <w:rFonts w:asciiTheme="minorHAnsi" w:eastAsiaTheme="minorHAnsi" w:hAnsiTheme="minorHAnsi" w:cstheme="minorBidi"/>
          <w:bCs/>
          <w:noProof/>
          <w:sz w:val="22"/>
          <w:szCs w:val="22"/>
          <w:lang w:eastAsia="en-US"/>
        </w:rPr>
      </w:sdtEndPr>
      <w:sdtContent>
        <w:p w14:paraId="7080D54E" w14:textId="77777777" w:rsidR="007C26C8" w:rsidRPr="000B22A9" w:rsidRDefault="002F605A" w:rsidP="00FF409D">
          <w:pPr>
            <w:pStyle w:val="TOCHeading"/>
            <w:spacing w:after="80"/>
          </w:pPr>
          <w:r w:rsidRPr="000B22A9">
            <w:t>Contents</w:t>
          </w:r>
          <w:bookmarkEnd w:id="24"/>
          <w:bookmarkEnd w:id="23"/>
          <w:bookmarkEnd w:id="22"/>
          <w:bookmarkEnd w:id="21"/>
          <w:bookmarkEnd w:id="20"/>
          <w:bookmarkEnd w:id="19"/>
          <w:bookmarkEnd w:id="18"/>
          <w:bookmarkEnd w:id="17"/>
        </w:p>
        <w:p w14:paraId="707868D6" w14:textId="32C10B40" w:rsidR="002A47D8" w:rsidRDefault="0024113F">
          <w:pPr>
            <w:pStyle w:val="TOC1"/>
            <w:rPr>
              <w:rFonts w:eastAsiaTheme="minorEastAsia"/>
              <w:noProof/>
              <w:lang w:eastAsia="en-AU"/>
            </w:rPr>
          </w:pPr>
          <w:r>
            <w:fldChar w:fldCharType="begin"/>
          </w:r>
          <w:r>
            <w:instrText xml:space="preserve"> TOC \o "1-2" \h \z \u </w:instrText>
          </w:r>
          <w:r>
            <w:fldChar w:fldCharType="separate"/>
          </w:r>
          <w:hyperlink w:anchor="_Toc93925205" w:history="1">
            <w:r w:rsidR="002A47D8" w:rsidRPr="006566EA">
              <w:rPr>
                <w:rStyle w:val="Hyperlink"/>
                <w:noProof/>
              </w:rPr>
              <w:t>Guideline: Offshore petroleum decommissioning</w:t>
            </w:r>
            <w:r w:rsidR="002A47D8">
              <w:rPr>
                <w:noProof/>
                <w:webHidden/>
              </w:rPr>
              <w:tab/>
            </w:r>
            <w:r w:rsidR="002A47D8">
              <w:rPr>
                <w:noProof/>
                <w:webHidden/>
              </w:rPr>
              <w:fldChar w:fldCharType="begin"/>
            </w:r>
            <w:r w:rsidR="002A47D8">
              <w:rPr>
                <w:noProof/>
                <w:webHidden/>
              </w:rPr>
              <w:instrText xml:space="preserve"> PAGEREF _Toc93925205 \h </w:instrText>
            </w:r>
            <w:r w:rsidR="002A47D8">
              <w:rPr>
                <w:noProof/>
                <w:webHidden/>
              </w:rPr>
            </w:r>
            <w:r w:rsidR="002A47D8">
              <w:rPr>
                <w:noProof/>
                <w:webHidden/>
              </w:rPr>
              <w:fldChar w:fldCharType="separate"/>
            </w:r>
            <w:r w:rsidR="00C917F9">
              <w:rPr>
                <w:noProof/>
                <w:webHidden/>
              </w:rPr>
              <w:t>1</w:t>
            </w:r>
            <w:r w:rsidR="002A47D8">
              <w:rPr>
                <w:noProof/>
                <w:webHidden/>
              </w:rPr>
              <w:fldChar w:fldCharType="end"/>
            </w:r>
          </w:hyperlink>
        </w:p>
        <w:p w14:paraId="565ADB5E" w14:textId="73360CDB" w:rsidR="002A47D8" w:rsidRDefault="00C917F9">
          <w:pPr>
            <w:pStyle w:val="TOC1"/>
            <w:rPr>
              <w:rFonts w:eastAsiaTheme="minorEastAsia"/>
              <w:noProof/>
              <w:lang w:eastAsia="en-AU"/>
            </w:rPr>
          </w:pPr>
          <w:hyperlink w:anchor="_Toc93925206" w:history="1">
            <w:r w:rsidR="002A47D8" w:rsidRPr="006566EA">
              <w:rPr>
                <w:rStyle w:val="Hyperlink"/>
                <w:noProof/>
              </w:rPr>
              <w:t>Table of revisions</w:t>
            </w:r>
            <w:r w:rsidR="002A47D8">
              <w:rPr>
                <w:noProof/>
                <w:webHidden/>
              </w:rPr>
              <w:tab/>
            </w:r>
            <w:r w:rsidR="002A47D8">
              <w:rPr>
                <w:noProof/>
                <w:webHidden/>
              </w:rPr>
              <w:fldChar w:fldCharType="begin"/>
            </w:r>
            <w:r w:rsidR="002A47D8">
              <w:rPr>
                <w:noProof/>
                <w:webHidden/>
              </w:rPr>
              <w:instrText xml:space="preserve"> PAGEREF _Toc93925206 \h </w:instrText>
            </w:r>
            <w:r w:rsidR="002A47D8">
              <w:rPr>
                <w:noProof/>
                <w:webHidden/>
              </w:rPr>
            </w:r>
            <w:r w:rsidR="002A47D8">
              <w:rPr>
                <w:noProof/>
                <w:webHidden/>
              </w:rPr>
              <w:fldChar w:fldCharType="separate"/>
            </w:r>
            <w:r>
              <w:rPr>
                <w:noProof/>
                <w:webHidden/>
              </w:rPr>
              <w:t>3</w:t>
            </w:r>
            <w:r w:rsidR="002A47D8">
              <w:rPr>
                <w:noProof/>
                <w:webHidden/>
              </w:rPr>
              <w:fldChar w:fldCharType="end"/>
            </w:r>
          </w:hyperlink>
        </w:p>
        <w:p w14:paraId="769E8847" w14:textId="177F6AD5" w:rsidR="002A47D8" w:rsidRDefault="00C917F9">
          <w:pPr>
            <w:pStyle w:val="TOC1"/>
            <w:tabs>
              <w:tab w:val="left" w:pos="440"/>
            </w:tabs>
            <w:rPr>
              <w:rFonts w:eastAsiaTheme="minorEastAsia"/>
              <w:noProof/>
              <w:lang w:eastAsia="en-AU"/>
            </w:rPr>
          </w:pPr>
          <w:hyperlink w:anchor="_Toc93925207" w:history="1">
            <w:r w:rsidR="002A47D8" w:rsidRPr="006566EA">
              <w:rPr>
                <w:rStyle w:val="Hyperlink"/>
                <w:noProof/>
              </w:rPr>
              <w:t>1.</w:t>
            </w:r>
            <w:r w:rsidR="002A47D8">
              <w:rPr>
                <w:rFonts w:eastAsiaTheme="minorEastAsia"/>
                <w:noProof/>
                <w:lang w:eastAsia="en-AU"/>
              </w:rPr>
              <w:tab/>
            </w:r>
            <w:r w:rsidR="002A47D8" w:rsidRPr="006566EA">
              <w:rPr>
                <w:rStyle w:val="Hyperlink"/>
                <w:noProof/>
              </w:rPr>
              <w:t>Introduction</w:t>
            </w:r>
            <w:r w:rsidR="002A47D8">
              <w:rPr>
                <w:noProof/>
                <w:webHidden/>
              </w:rPr>
              <w:tab/>
            </w:r>
            <w:r w:rsidR="002A47D8">
              <w:rPr>
                <w:noProof/>
                <w:webHidden/>
              </w:rPr>
              <w:fldChar w:fldCharType="begin"/>
            </w:r>
            <w:r w:rsidR="002A47D8">
              <w:rPr>
                <w:noProof/>
                <w:webHidden/>
              </w:rPr>
              <w:instrText xml:space="preserve"> PAGEREF _Toc93925207 \h </w:instrText>
            </w:r>
            <w:r w:rsidR="002A47D8">
              <w:rPr>
                <w:noProof/>
                <w:webHidden/>
              </w:rPr>
            </w:r>
            <w:r w:rsidR="002A47D8">
              <w:rPr>
                <w:noProof/>
                <w:webHidden/>
              </w:rPr>
              <w:fldChar w:fldCharType="separate"/>
            </w:r>
            <w:r>
              <w:rPr>
                <w:noProof/>
                <w:webHidden/>
              </w:rPr>
              <w:t>4</w:t>
            </w:r>
            <w:r w:rsidR="002A47D8">
              <w:rPr>
                <w:noProof/>
                <w:webHidden/>
              </w:rPr>
              <w:fldChar w:fldCharType="end"/>
            </w:r>
          </w:hyperlink>
        </w:p>
        <w:p w14:paraId="3ADEF18C" w14:textId="353736D1" w:rsidR="002A47D8" w:rsidRDefault="00C917F9">
          <w:pPr>
            <w:pStyle w:val="TOC2"/>
            <w:tabs>
              <w:tab w:val="right" w:leader="dot" w:pos="9016"/>
            </w:tabs>
            <w:rPr>
              <w:rFonts w:eastAsiaTheme="minorEastAsia"/>
              <w:noProof/>
              <w:lang w:eastAsia="en-AU"/>
            </w:rPr>
          </w:pPr>
          <w:hyperlink w:anchor="_Toc93925208" w:history="1">
            <w:r w:rsidR="002A47D8" w:rsidRPr="006566EA">
              <w:rPr>
                <w:rStyle w:val="Hyperlink"/>
                <w:noProof/>
              </w:rPr>
              <w:t>Australia’s enhanced decommissioning framework</w:t>
            </w:r>
            <w:r w:rsidR="002A47D8">
              <w:rPr>
                <w:noProof/>
                <w:webHidden/>
              </w:rPr>
              <w:tab/>
            </w:r>
            <w:r w:rsidR="002A47D8">
              <w:rPr>
                <w:noProof/>
                <w:webHidden/>
              </w:rPr>
              <w:fldChar w:fldCharType="begin"/>
            </w:r>
            <w:r w:rsidR="002A47D8">
              <w:rPr>
                <w:noProof/>
                <w:webHidden/>
              </w:rPr>
              <w:instrText xml:space="preserve"> PAGEREF _Toc93925208 \h </w:instrText>
            </w:r>
            <w:r w:rsidR="002A47D8">
              <w:rPr>
                <w:noProof/>
                <w:webHidden/>
              </w:rPr>
            </w:r>
            <w:r w:rsidR="002A47D8">
              <w:rPr>
                <w:noProof/>
                <w:webHidden/>
              </w:rPr>
              <w:fldChar w:fldCharType="separate"/>
            </w:r>
            <w:r>
              <w:rPr>
                <w:noProof/>
                <w:webHidden/>
              </w:rPr>
              <w:t>4</w:t>
            </w:r>
            <w:r w:rsidR="002A47D8">
              <w:rPr>
                <w:noProof/>
                <w:webHidden/>
              </w:rPr>
              <w:fldChar w:fldCharType="end"/>
            </w:r>
          </w:hyperlink>
        </w:p>
        <w:p w14:paraId="15E5551D" w14:textId="5BF20B57" w:rsidR="002A47D8" w:rsidRDefault="00C917F9">
          <w:pPr>
            <w:pStyle w:val="TOC1"/>
            <w:tabs>
              <w:tab w:val="left" w:pos="440"/>
            </w:tabs>
            <w:rPr>
              <w:rFonts w:eastAsiaTheme="minorEastAsia"/>
              <w:noProof/>
              <w:lang w:eastAsia="en-AU"/>
            </w:rPr>
          </w:pPr>
          <w:hyperlink w:anchor="_Toc93925209" w:history="1">
            <w:r w:rsidR="002A47D8" w:rsidRPr="006566EA">
              <w:rPr>
                <w:rStyle w:val="Hyperlink"/>
                <w:noProof/>
              </w:rPr>
              <w:t>2.</w:t>
            </w:r>
            <w:r w:rsidR="002A47D8">
              <w:rPr>
                <w:rFonts w:eastAsiaTheme="minorEastAsia"/>
                <w:noProof/>
                <w:lang w:eastAsia="en-AU"/>
              </w:rPr>
              <w:tab/>
            </w:r>
            <w:r w:rsidR="002A47D8" w:rsidRPr="006566EA">
              <w:rPr>
                <w:rStyle w:val="Hyperlink"/>
                <w:noProof/>
              </w:rPr>
              <w:t>Purpose</w:t>
            </w:r>
            <w:r w:rsidR="002A47D8">
              <w:rPr>
                <w:noProof/>
                <w:webHidden/>
              </w:rPr>
              <w:tab/>
            </w:r>
            <w:r w:rsidR="002A47D8">
              <w:rPr>
                <w:noProof/>
                <w:webHidden/>
              </w:rPr>
              <w:fldChar w:fldCharType="begin"/>
            </w:r>
            <w:r w:rsidR="002A47D8">
              <w:rPr>
                <w:noProof/>
                <w:webHidden/>
              </w:rPr>
              <w:instrText xml:space="preserve"> PAGEREF _Toc93925209 \h </w:instrText>
            </w:r>
            <w:r w:rsidR="002A47D8">
              <w:rPr>
                <w:noProof/>
                <w:webHidden/>
              </w:rPr>
            </w:r>
            <w:r w:rsidR="002A47D8">
              <w:rPr>
                <w:noProof/>
                <w:webHidden/>
              </w:rPr>
              <w:fldChar w:fldCharType="separate"/>
            </w:r>
            <w:r>
              <w:rPr>
                <w:noProof/>
                <w:webHidden/>
              </w:rPr>
              <w:t>4</w:t>
            </w:r>
            <w:r w:rsidR="002A47D8">
              <w:rPr>
                <w:noProof/>
                <w:webHidden/>
              </w:rPr>
              <w:fldChar w:fldCharType="end"/>
            </w:r>
          </w:hyperlink>
        </w:p>
        <w:p w14:paraId="19FEF76E" w14:textId="68184AC4" w:rsidR="002A47D8" w:rsidRDefault="00C917F9">
          <w:pPr>
            <w:pStyle w:val="TOC1"/>
            <w:tabs>
              <w:tab w:val="left" w:pos="440"/>
            </w:tabs>
            <w:rPr>
              <w:rFonts w:eastAsiaTheme="minorEastAsia"/>
              <w:noProof/>
              <w:lang w:eastAsia="en-AU"/>
            </w:rPr>
          </w:pPr>
          <w:hyperlink w:anchor="_Toc93925210" w:history="1">
            <w:r w:rsidR="002A47D8" w:rsidRPr="006566EA">
              <w:rPr>
                <w:rStyle w:val="Hyperlink"/>
                <w:noProof/>
              </w:rPr>
              <w:t>3.</w:t>
            </w:r>
            <w:r w:rsidR="002A47D8">
              <w:rPr>
                <w:rFonts w:eastAsiaTheme="minorEastAsia"/>
                <w:noProof/>
                <w:lang w:eastAsia="en-AU"/>
              </w:rPr>
              <w:tab/>
            </w:r>
            <w:r w:rsidR="002A47D8" w:rsidRPr="006566EA">
              <w:rPr>
                <w:rStyle w:val="Hyperlink"/>
                <w:noProof/>
              </w:rPr>
              <w:t>Commonwealth decommissioning policies</w:t>
            </w:r>
            <w:r w:rsidR="002A47D8">
              <w:rPr>
                <w:noProof/>
                <w:webHidden/>
              </w:rPr>
              <w:tab/>
            </w:r>
            <w:r w:rsidR="002A47D8">
              <w:rPr>
                <w:noProof/>
                <w:webHidden/>
              </w:rPr>
              <w:fldChar w:fldCharType="begin"/>
            </w:r>
            <w:r w:rsidR="002A47D8">
              <w:rPr>
                <w:noProof/>
                <w:webHidden/>
              </w:rPr>
              <w:instrText xml:space="preserve"> PAGEREF _Toc93925210 \h </w:instrText>
            </w:r>
            <w:r w:rsidR="002A47D8">
              <w:rPr>
                <w:noProof/>
                <w:webHidden/>
              </w:rPr>
            </w:r>
            <w:r w:rsidR="002A47D8">
              <w:rPr>
                <w:noProof/>
                <w:webHidden/>
              </w:rPr>
              <w:fldChar w:fldCharType="separate"/>
            </w:r>
            <w:r>
              <w:rPr>
                <w:noProof/>
                <w:webHidden/>
              </w:rPr>
              <w:t>5</w:t>
            </w:r>
            <w:r w:rsidR="002A47D8">
              <w:rPr>
                <w:noProof/>
                <w:webHidden/>
              </w:rPr>
              <w:fldChar w:fldCharType="end"/>
            </w:r>
          </w:hyperlink>
        </w:p>
        <w:p w14:paraId="6566EBC9" w14:textId="22970CBB" w:rsidR="002A47D8" w:rsidRDefault="00C917F9">
          <w:pPr>
            <w:pStyle w:val="TOC2"/>
            <w:tabs>
              <w:tab w:val="right" w:leader="dot" w:pos="9016"/>
            </w:tabs>
            <w:rPr>
              <w:rFonts w:eastAsiaTheme="minorEastAsia"/>
              <w:noProof/>
              <w:lang w:eastAsia="en-AU"/>
            </w:rPr>
          </w:pPr>
          <w:hyperlink w:anchor="_Toc93925211" w:history="1">
            <w:r w:rsidR="002A47D8" w:rsidRPr="006566EA">
              <w:rPr>
                <w:rStyle w:val="Hyperlink"/>
                <w:noProof/>
              </w:rPr>
              <w:t>Key principles for decommissioning</w:t>
            </w:r>
            <w:r w:rsidR="002A47D8">
              <w:rPr>
                <w:noProof/>
                <w:webHidden/>
              </w:rPr>
              <w:tab/>
            </w:r>
            <w:r w:rsidR="002A47D8">
              <w:rPr>
                <w:noProof/>
                <w:webHidden/>
              </w:rPr>
              <w:fldChar w:fldCharType="begin"/>
            </w:r>
            <w:r w:rsidR="002A47D8">
              <w:rPr>
                <w:noProof/>
                <w:webHidden/>
              </w:rPr>
              <w:instrText xml:space="preserve"> PAGEREF _Toc93925211 \h </w:instrText>
            </w:r>
            <w:r w:rsidR="002A47D8">
              <w:rPr>
                <w:noProof/>
                <w:webHidden/>
              </w:rPr>
            </w:r>
            <w:r w:rsidR="002A47D8">
              <w:rPr>
                <w:noProof/>
                <w:webHidden/>
              </w:rPr>
              <w:fldChar w:fldCharType="separate"/>
            </w:r>
            <w:r>
              <w:rPr>
                <w:noProof/>
                <w:webHidden/>
              </w:rPr>
              <w:t>5</w:t>
            </w:r>
            <w:r w:rsidR="002A47D8">
              <w:rPr>
                <w:noProof/>
                <w:webHidden/>
              </w:rPr>
              <w:fldChar w:fldCharType="end"/>
            </w:r>
          </w:hyperlink>
        </w:p>
        <w:p w14:paraId="38705A08" w14:textId="29C8B5A8" w:rsidR="002A47D8" w:rsidRDefault="00C917F9">
          <w:pPr>
            <w:pStyle w:val="TOC1"/>
            <w:tabs>
              <w:tab w:val="left" w:pos="440"/>
            </w:tabs>
            <w:rPr>
              <w:rFonts w:eastAsiaTheme="minorEastAsia"/>
              <w:noProof/>
              <w:lang w:eastAsia="en-AU"/>
            </w:rPr>
          </w:pPr>
          <w:hyperlink w:anchor="_Toc93925212" w:history="1">
            <w:r w:rsidR="002A47D8" w:rsidRPr="006566EA">
              <w:rPr>
                <w:rStyle w:val="Hyperlink"/>
                <w:noProof/>
              </w:rPr>
              <w:t>4.</w:t>
            </w:r>
            <w:r w:rsidR="002A47D8">
              <w:rPr>
                <w:rFonts w:eastAsiaTheme="minorEastAsia"/>
                <w:noProof/>
                <w:lang w:eastAsia="en-AU"/>
              </w:rPr>
              <w:tab/>
            </w:r>
            <w:r w:rsidR="002A47D8" w:rsidRPr="006566EA">
              <w:rPr>
                <w:rStyle w:val="Hyperlink"/>
                <w:noProof/>
              </w:rPr>
              <w:t>Core decommissioning provisions: OPGGS Act</w:t>
            </w:r>
            <w:r w:rsidR="002A47D8">
              <w:rPr>
                <w:noProof/>
                <w:webHidden/>
              </w:rPr>
              <w:tab/>
            </w:r>
            <w:r w:rsidR="002A47D8">
              <w:rPr>
                <w:noProof/>
                <w:webHidden/>
              </w:rPr>
              <w:fldChar w:fldCharType="begin"/>
            </w:r>
            <w:r w:rsidR="002A47D8">
              <w:rPr>
                <w:noProof/>
                <w:webHidden/>
              </w:rPr>
              <w:instrText xml:space="preserve"> PAGEREF _Toc93925212 \h </w:instrText>
            </w:r>
            <w:r w:rsidR="002A47D8">
              <w:rPr>
                <w:noProof/>
                <w:webHidden/>
              </w:rPr>
            </w:r>
            <w:r w:rsidR="002A47D8">
              <w:rPr>
                <w:noProof/>
                <w:webHidden/>
              </w:rPr>
              <w:fldChar w:fldCharType="separate"/>
            </w:r>
            <w:r>
              <w:rPr>
                <w:noProof/>
                <w:webHidden/>
              </w:rPr>
              <w:t>7</w:t>
            </w:r>
            <w:r w:rsidR="002A47D8">
              <w:rPr>
                <w:noProof/>
                <w:webHidden/>
              </w:rPr>
              <w:fldChar w:fldCharType="end"/>
            </w:r>
          </w:hyperlink>
        </w:p>
        <w:p w14:paraId="493AC0D8" w14:textId="21452847" w:rsidR="002A47D8" w:rsidRDefault="00C917F9">
          <w:pPr>
            <w:pStyle w:val="TOC2"/>
            <w:tabs>
              <w:tab w:val="right" w:leader="dot" w:pos="9016"/>
            </w:tabs>
            <w:rPr>
              <w:rFonts w:eastAsiaTheme="minorEastAsia"/>
              <w:noProof/>
              <w:lang w:eastAsia="en-AU"/>
            </w:rPr>
          </w:pPr>
          <w:hyperlink w:anchor="_Toc93925213" w:history="1">
            <w:r w:rsidR="002A47D8" w:rsidRPr="006566EA">
              <w:rPr>
                <w:rStyle w:val="Hyperlink"/>
                <w:noProof/>
              </w:rPr>
              <w:t>Maintenance, repair and removal of property</w:t>
            </w:r>
            <w:r w:rsidR="002A47D8">
              <w:rPr>
                <w:noProof/>
                <w:webHidden/>
              </w:rPr>
              <w:tab/>
            </w:r>
            <w:r w:rsidR="002A47D8">
              <w:rPr>
                <w:noProof/>
                <w:webHidden/>
              </w:rPr>
              <w:fldChar w:fldCharType="begin"/>
            </w:r>
            <w:r w:rsidR="002A47D8">
              <w:rPr>
                <w:noProof/>
                <w:webHidden/>
              </w:rPr>
              <w:instrText xml:space="preserve"> PAGEREF _Toc93925213 \h </w:instrText>
            </w:r>
            <w:r w:rsidR="002A47D8">
              <w:rPr>
                <w:noProof/>
                <w:webHidden/>
              </w:rPr>
            </w:r>
            <w:r w:rsidR="002A47D8">
              <w:rPr>
                <w:noProof/>
                <w:webHidden/>
              </w:rPr>
              <w:fldChar w:fldCharType="separate"/>
            </w:r>
            <w:r>
              <w:rPr>
                <w:noProof/>
                <w:webHidden/>
              </w:rPr>
              <w:t>7</w:t>
            </w:r>
            <w:r w:rsidR="002A47D8">
              <w:rPr>
                <w:noProof/>
                <w:webHidden/>
              </w:rPr>
              <w:fldChar w:fldCharType="end"/>
            </w:r>
          </w:hyperlink>
        </w:p>
        <w:p w14:paraId="6E04F36F" w14:textId="6FA667DB" w:rsidR="002A47D8" w:rsidRDefault="00C917F9">
          <w:pPr>
            <w:pStyle w:val="TOC2"/>
            <w:tabs>
              <w:tab w:val="right" w:leader="dot" w:pos="9016"/>
            </w:tabs>
            <w:rPr>
              <w:rFonts w:eastAsiaTheme="minorEastAsia"/>
              <w:noProof/>
              <w:lang w:eastAsia="en-AU"/>
            </w:rPr>
          </w:pPr>
          <w:hyperlink w:anchor="_Toc93925214" w:history="1">
            <w:r w:rsidR="002A47D8" w:rsidRPr="006566EA">
              <w:rPr>
                <w:rStyle w:val="Hyperlink"/>
                <w:noProof/>
              </w:rPr>
              <w:t>Surrender of titles</w:t>
            </w:r>
            <w:r w:rsidR="002A47D8">
              <w:rPr>
                <w:noProof/>
                <w:webHidden/>
              </w:rPr>
              <w:tab/>
            </w:r>
            <w:r w:rsidR="002A47D8">
              <w:rPr>
                <w:noProof/>
                <w:webHidden/>
              </w:rPr>
              <w:fldChar w:fldCharType="begin"/>
            </w:r>
            <w:r w:rsidR="002A47D8">
              <w:rPr>
                <w:noProof/>
                <w:webHidden/>
              </w:rPr>
              <w:instrText xml:space="preserve"> PAGEREF _Toc93925214 \h </w:instrText>
            </w:r>
            <w:r w:rsidR="002A47D8">
              <w:rPr>
                <w:noProof/>
                <w:webHidden/>
              </w:rPr>
            </w:r>
            <w:r w:rsidR="002A47D8">
              <w:rPr>
                <w:noProof/>
                <w:webHidden/>
              </w:rPr>
              <w:fldChar w:fldCharType="separate"/>
            </w:r>
            <w:r>
              <w:rPr>
                <w:noProof/>
                <w:webHidden/>
              </w:rPr>
              <w:t>9</w:t>
            </w:r>
            <w:r w:rsidR="002A47D8">
              <w:rPr>
                <w:noProof/>
                <w:webHidden/>
              </w:rPr>
              <w:fldChar w:fldCharType="end"/>
            </w:r>
          </w:hyperlink>
        </w:p>
        <w:p w14:paraId="4EFBE8C7" w14:textId="232DE61C" w:rsidR="002A47D8" w:rsidRDefault="00C917F9">
          <w:pPr>
            <w:pStyle w:val="TOC1"/>
            <w:tabs>
              <w:tab w:val="left" w:pos="440"/>
            </w:tabs>
            <w:rPr>
              <w:rFonts w:eastAsiaTheme="minorEastAsia"/>
              <w:noProof/>
              <w:lang w:eastAsia="en-AU"/>
            </w:rPr>
          </w:pPr>
          <w:hyperlink w:anchor="_Toc93925215" w:history="1">
            <w:r w:rsidR="002A47D8" w:rsidRPr="006566EA">
              <w:rPr>
                <w:rStyle w:val="Hyperlink"/>
                <w:noProof/>
              </w:rPr>
              <w:t>5.</w:t>
            </w:r>
            <w:r w:rsidR="002A47D8">
              <w:rPr>
                <w:rFonts w:eastAsiaTheme="minorEastAsia"/>
                <w:noProof/>
                <w:lang w:eastAsia="en-AU"/>
              </w:rPr>
              <w:tab/>
            </w:r>
            <w:r w:rsidR="002A47D8" w:rsidRPr="006566EA">
              <w:rPr>
                <w:rStyle w:val="Hyperlink"/>
                <w:noProof/>
              </w:rPr>
              <w:t>Regulatory requirements</w:t>
            </w:r>
            <w:r w:rsidR="002A47D8">
              <w:rPr>
                <w:noProof/>
                <w:webHidden/>
              </w:rPr>
              <w:tab/>
            </w:r>
            <w:r w:rsidR="002A47D8">
              <w:rPr>
                <w:noProof/>
                <w:webHidden/>
              </w:rPr>
              <w:fldChar w:fldCharType="begin"/>
            </w:r>
            <w:r w:rsidR="002A47D8">
              <w:rPr>
                <w:noProof/>
                <w:webHidden/>
              </w:rPr>
              <w:instrText xml:space="preserve"> PAGEREF _Toc93925215 \h </w:instrText>
            </w:r>
            <w:r w:rsidR="002A47D8">
              <w:rPr>
                <w:noProof/>
                <w:webHidden/>
              </w:rPr>
            </w:r>
            <w:r w:rsidR="002A47D8">
              <w:rPr>
                <w:noProof/>
                <w:webHidden/>
              </w:rPr>
              <w:fldChar w:fldCharType="separate"/>
            </w:r>
            <w:r>
              <w:rPr>
                <w:noProof/>
                <w:webHidden/>
              </w:rPr>
              <w:t>10</w:t>
            </w:r>
            <w:r w:rsidR="002A47D8">
              <w:rPr>
                <w:noProof/>
                <w:webHidden/>
              </w:rPr>
              <w:fldChar w:fldCharType="end"/>
            </w:r>
          </w:hyperlink>
        </w:p>
        <w:p w14:paraId="311DF316" w14:textId="0E7794F9" w:rsidR="002A47D8" w:rsidRDefault="00C917F9">
          <w:pPr>
            <w:pStyle w:val="TOC2"/>
            <w:tabs>
              <w:tab w:val="right" w:leader="dot" w:pos="9016"/>
            </w:tabs>
            <w:rPr>
              <w:rFonts w:eastAsiaTheme="minorEastAsia"/>
              <w:noProof/>
              <w:lang w:eastAsia="en-AU"/>
            </w:rPr>
          </w:pPr>
          <w:hyperlink w:anchor="_Toc93925216" w:history="1">
            <w:r w:rsidR="002A47D8" w:rsidRPr="006566EA">
              <w:rPr>
                <w:rStyle w:val="Hyperlink"/>
                <w:noProof/>
              </w:rPr>
              <w:t>Approvals from the National Offshore Petroleum Safety and Environmental Management Authority</w:t>
            </w:r>
            <w:r w:rsidR="002A47D8">
              <w:rPr>
                <w:noProof/>
                <w:webHidden/>
              </w:rPr>
              <w:tab/>
            </w:r>
            <w:r w:rsidR="002A47D8">
              <w:rPr>
                <w:noProof/>
                <w:webHidden/>
              </w:rPr>
              <w:fldChar w:fldCharType="begin"/>
            </w:r>
            <w:r w:rsidR="002A47D8">
              <w:rPr>
                <w:noProof/>
                <w:webHidden/>
              </w:rPr>
              <w:instrText xml:space="preserve"> PAGEREF _Toc93925216 \h </w:instrText>
            </w:r>
            <w:r w:rsidR="002A47D8">
              <w:rPr>
                <w:noProof/>
                <w:webHidden/>
              </w:rPr>
            </w:r>
            <w:r w:rsidR="002A47D8">
              <w:rPr>
                <w:noProof/>
                <w:webHidden/>
              </w:rPr>
              <w:fldChar w:fldCharType="separate"/>
            </w:r>
            <w:r>
              <w:rPr>
                <w:noProof/>
                <w:webHidden/>
              </w:rPr>
              <w:t>10</w:t>
            </w:r>
            <w:r w:rsidR="002A47D8">
              <w:rPr>
                <w:noProof/>
                <w:webHidden/>
              </w:rPr>
              <w:fldChar w:fldCharType="end"/>
            </w:r>
          </w:hyperlink>
        </w:p>
        <w:p w14:paraId="65034FD5" w14:textId="76FDE420" w:rsidR="002A47D8" w:rsidRDefault="00C917F9">
          <w:pPr>
            <w:pStyle w:val="TOC2"/>
            <w:tabs>
              <w:tab w:val="right" w:leader="dot" w:pos="9016"/>
            </w:tabs>
            <w:rPr>
              <w:rFonts w:eastAsiaTheme="minorEastAsia"/>
              <w:noProof/>
              <w:lang w:eastAsia="en-AU"/>
            </w:rPr>
          </w:pPr>
          <w:hyperlink w:anchor="_Toc93925217" w:history="1">
            <w:r w:rsidR="002A47D8" w:rsidRPr="006566EA">
              <w:rPr>
                <w:rStyle w:val="Hyperlink"/>
                <w:noProof/>
              </w:rPr>
              <w:t>Approvals from the Joint Authority</w:t>
            </w:r>
            <w:r w:rsidR="002A47D8">
              <w:rPr>
                <w:noProof/>
                <w:webHidden/>
              </w:rPr>
              <w:tab/>
            </w:r>
            <w:r w:rsidR="002A47D8">
              <w:rPr>
                <w:noProof/>
                <w:webHidden/>
              </w:rPr>
              <w:fldChar w:fldCharType="begin"/>
            </w:r>
            <w:r w:rsidR="002A47D8">
              <w:rPr>
                <w:noProof/>
                <w:webHidden/>
              </w:rPr>
              <w:instrText xml:space="preserve"> PAGEREF _Toc93925217 \h </w:instrText>
            </w:r>
            <w:r w:rsidR="002A47D8">
              <w:rPr>
                <w:noProof/>
                <w:webHidden/>
              </w:rPr>
            </w:r>
            <w:r w:rsidR="002A47D8">
              <w:rPr>
                <w:noProof/>
                <w:webHidden/>
              </w:rPr>
              <w:fldChar w:fldCharType="separate"/>
            </w:r>
            <w:r>
              <w:rPr>
                <w:noProof/>
                <w:webHidden/>
              </w:rPr>
              <w:t>15</w:t>
            </w:r>
            <w:r w:rsidR="002A47D8">
              <w:rPr>
                <w:noProof/>
                <w:webHidden/>
              </w:rPr>
              <w:fldChar w:fldCharType="end"/>
            </w:r>
          </w:hyperlink>
        </w:p>
        <w:p w14:paraId="4B1A8B19" w14:textId="0E3807F0" w:rsidR="002A47D8" w:rsidRDefault="00C917F9">
          <w:pPr>
            <w:pStyle w:val="TOC1"/>
            <w:tabs>
              <w:tab w:val="left" w:pos="440"/>
            </w:tabs>
            <w:rPr>
              <w:rFonts w:eastAsiaTheme="minorEastAsia"/>
              <w:noProof/>
              <w:lang w:eastAsia="en-AU"/>
            </w:rPr>
          </w:pPr>
          <w:hyperlink w:anchor="_Toc93925218" w:history="1">
            <w:r w:rsidR="002A47D8" w:rsidRPr="006566EA">
              <w:rPr>
                <w:rStyle w:val="Hyperlink"/>
                <w:noProof/>
              </w:rPr>
              <w:t>6.</w:t>
            </w:r>
            <w:r w:rsidR="002A47D8">
              <w:rPr>
                <w:rFonts w:eastAsiaTheme="minorEastAsia"/>
                <w:noProof/>
                <w:lang w:eastAsia="en-AU"/>
              </w:rPr>
              <w:tab/>
            </w:r>
            <w:r w:rsidR="002A47D8" w:rsidRPr="006566EA">
              <w:rPr>
                <w:rStyle w:val="Hyperlink"/>
                <w:noProof/>
              </w:rPr>
              <w:t>General and remedial directions</w:t>
            </w:r>
            <w:r w:rsidR="002A47D8">
              <w:rPr>
                <w:noProof/>
                <w:webHidden/>
              </w:rPr>
              <w:tab/>
            </w:r>
            <w:r w:rsidR="002A47D8">
              <w:rPr>
                <w:noProof/>
                <w:webHidden/>
              </w:rPr>
              <w:fldChar w:fldCharType="begin"/>
            </w:r>
            <w:r w:rsidR="002A47D8">
              <w:rPr>
                <w:noProof/>
                <w:webHidden/>
              </w:rPr>
              <w:instrText xml:space="preserve"> PAGEREF _Toc93925218 \h </w:instrText>
            </w:r>
            <w:r w:rsidR="002A47D8">
              <w:rPr>
                <w:noProof/>
                <w:webHidden/>
              </w:rPr>
            </w:r>
            <w:r w:rsidR="002A47D8">
              <w:rPr>
                <w:noProof/>
                <w:webHidden/>
              </w:rPr>
              <w:fldChar w:fldCharType="separate"/>
            </w:r>
            <w:r>
              <w:rPr>
                <w:noProof/>
                <w:webHidden/>
              </w:rPr>
              <w:t>15</w:t>
            </w:r>
            <w:r w:rsidR="002A47D8">
              <w:rPr>
                <w:noProof/>
                <w:webHidden/>
              </w:rPr>
              <w:fldChar w:fldCharType="end"/>
            </w:r>
          </w:hyperlink>
        </w:p>
        <w:p w14:paraId="54572D6D" w14:textId="7591A86B" w:rsidR="002A47D8" w:rsidRDefault="00C917F9">
          <w:pPr>
            <w:pStyle w:val="TOC2"/>
            <w:tabs>
              <w:tab w:val="right" w:leader="dot" w:pos="9016"/>
            </w:tabs>
            <w:rPr>
              <w:rFonts w:eastAsiaTheme="minorEastAsia"/>
              <w:noProof/>
              <w:lang w:eastAsia="en-AU"/>
            </w:rPr>
          </w:pPr>
          <w:hyperlink w:anchor="_Toc93925219" w:history="1">
            <w:r w:rsidR="002A47D8" w:rsidRPr="006566EA">
              <w:rPr>
                <w:rStyle w:val="Hyperlink"/>
                <w:noProof/>
              </w:rPr>
              <w:t>General power to issue directions</w:t>
            </w:r>
            <w:r w:rsidR="002A47D8">
              <w:rPr>
                <w:noProof/>
                <w:webHidden/>
              </w:rPr>
              <w:tab/>
            </w:r>
            <w:r w:rsidR="002A47D8">
              <w:rPr>
                <w:noProof/>
                <w:webHidden/>
              </w:rPr>
              <w:fldChar w:fldCharType="begin"/>
            </w:r>
            <w:r w:rsidR="002A47D8">
              <w:rPr>
                <w:noProof/>
                <w:webHidden/>
              </w:rPr>
              <w:instrText xml:space="preserve"> PAGEREF _Toc93925219 \h </w:instrText>
            </w:r>
            <w:r w:rsidR="002A47D8">
              <w:rPr>
                <w:noProof/>
                <w:webHidden/>
              </w:rPr>
            </w:r>
            <w:r w:rsidR="002A47D8">
              <w:rPr>
                <w:noProof/>
                <w:webHidden/>
              </w:rPr>
              <w:fldChar w:fldCharType="separate"/>
            </w:r>
            <w:r>
              <w:rPr>
                <w:noProof/>
                <w:webHidden/>
              </w:rPr>
              <w:t>15</w:t>
            </w:r>
            <w:r w:rsidR="002A47D8">
              <w:rPr>
                <w:noProof/>
                <w:webHidden/>
              </w:rPr>
              <w:fldChar w:fldCharType="end"/>
            </w:r>
          </w:hyperlink>
        </w:p>
        <w:p w14:paraId="2F76854B" w14:textId="725FCE34" w:rsidR="002A47D8" w:rsidRDefault="00C917F9">
          <w:pPr>
            <w:pStyle w:val="TOC2"/>
            <w:tabs>
              <w:tab w:val="right" w:leader="dot" w:pos="9016"/>
            </w:tabs>
            <w:rPr>
              <w:rFonts w:eastAsiaTheme="minorEastAsia"/>
              <w:noProof/>
              <w:lang w:eastAsia="en-AU"/>
            </w:rPr>
          </w:pPr>
          <w:hyperlink w:anchor="_Toc93925220" w:history="1">
            <w:r w:rsidR="002A47D8" w:rsidRPr="006566EA">
              <w:rPr>
                <w:rStyle w:val="Hyperlink"/>
                <w:noProof/>
              </w:rPr>
              <w:t>Power to issue remedial directions and trailing liability</w:t>
            </w:r>
            <w:r w:rsidR="002A47D8">
              <w:rPr>
                <w:noProof/>
                <w:webHidden/>
              </w:rPr>
              <w:tab/>
            </w:r>
            <w:r w:rsidR="002A47D8">
              <w:rPr>
                <w:noProof/>
                <w:webHidden/>
              </w:rPr>
              <w:fldChar w:fldCharType="begin"/>
            </w:r>
            <w:r w:rsidR="002A47D8">
              <w:rPr>
                <w:noProof/>
                <w:webHidden/>
              </w:rPr>
              <w:instrText xml:space="preserve"> PAGEREF _Toc93925220 \h </w:instrText>
            </w:r>
            <w:r w:rsidR="002A47D8">
              <w:rPr>
                <w:noProof/>
                <w:webHidden/>
              </w:rPr>
            </w:r>
            <w:r w:rsidR="002A47D8">
              <w:rPr>
                <w:noProof/>
                <w:webHidden/>
              </w:rPr>
              <w:fldChar w:fldCharType="separate"/>
            </w:r>
            <w:r>
              <w:rPr>
                <w:noProof/>
                <w:webHidden/>
              </w:rPr>
              <w:t>16</w:t>
            </w:r>
            <w:r w:rsidR="002A47D8">
              <w:rPr>
                <w:noProof/>
                <w:webHidden/>
              </w:rPr>
              <w:fldChar w:fldCharType="end"/>
            </w:r>
          </w:hyperlink>
        </w:p>
        <w:p w14:paraId="70E447CA" w14:textId="40D8756F" w:rsidR="002A47D8" w:rsidRDefault="00C917F9">
          <w:pPr>
            <w:pStyle w:val="TOC1"/>
            <w:tabs>
              <w:tab w:val="left" w:pos="440"/>
            </w:tabs>
            <w:rPr>
              <w:rFonts w:eastAsiaTheme="minorEastAsia"/>
              <w:noProof/>
              <w:lang w:eastAsia="en-AU"/>
            </w:rPr>
          </w:pPr>
          <w:hyperlink w:anchor="_Toc93925221" w:history="1">
            <w:r w:rsidR="002A47D8" w:rsidRPr="006566EA">
              <w:rPr>
                <w:rStyle w:val="Hyperlink"/>
                <w:noProof/>
              </w:rPr>
              <w:t>7.</w:t>
            </w:r>
            <w:r w:rsidR="002A47D8">
              <w:rPr>
                <w:rFonts w:eastAsiaTheme="minorEastAsia"/>
                <w:noProof/>
                <w:lang w:eastAsia="en-AU"/>
              </w:rPr>
              <w:tab/>
            </w:r>
            <w:r w:rsidR="002A47D8" w:rsidRPr="006566EA">
              <w:rPr>
                <w:rStyle w:val="Hyperlink"/>
                <w:noProof/>
              </w:rPr>
              <w:t>Other relevant laws</w:t>
            </w:r>
            <w:r w:rsidR="002A47D8">
              <w:rPr>
                <w:noProof/>
                <w:webHidden/>
              </w:rPr>
              <w:tab/>
            </w:r>
            <w:r w:rsidR="002A47D8">
              <w:rPr>
                <w:noProof/>
                <w:webHidden/>
              </w:rPr>
              <w:fldChar w:fldCharType="begin"/>
            </w:r>
            <w:r w:rsidR="002A47D8">
              <w:rPr>
                <w:noProof/>
                <w:webHidden/>
              </w:rPr>
              <w:instrText xml:space="preserve"> PAGEREF _Toc93925221 \h </w:instrText>
            </w:r>
            <w:r w:rsidR="002A47D8">
              <w:rPr>
                <w:noProof/>
                <w:webHidden/>
              </w:rPr>
            </w:r>
            <w:r w:rsidR="002A47D8">
              <w:rPr>
                <w:noProof/>
                <w:webHidden/>
              </w:rPr>
              <w:fldChar w:fldCharType="separate"/>
            </w:r>
            <w:r>
              <w:rPr>
                <w:noProof/>
                <w:webHidden/>
              </w:rPr>
              <w:t>19</w:t>
            </w:r>
            <w:r w:rsidR="002A47D8">
              <w:rPr>
                <w:noProof/>
                <w:webHidden/>
              </w:rPr>
              <w:fldChar w:fldCharType="end"/>
            </w:r>
          </w:hyperlink>
        </w:p>
        <w:p w14:paraId="00A2FD68" w14:textId="5735B50F" w:rsidR="002A47D8" w:rsidRDefault="00C917F9">
          <w:pPr>
            <w:pStyle w:val="TOC2"/>
            <w:tabs>
              <w:tab w:val="right" w:leader="dot" w:pos="9016"/>
            </w:tabs>
            <w:rPr>
              <w:rFonts w:eastAsiaTheme="minorEastAsia"/>
              <w:noProof/>
              <w:lang w:eastAsia="en-AU"/>
            </w:rPr>
          </w:pPr>
          <w:hyperlink w:anchor="_Toc93925222" w:history="1">
            <w:r w:rsidR="002A47D8" w:rsidRPr="006566EA">
              <w:rPr>
                <w:rStyle w:val="Hyperlink"/>
                <w:noProof/>
              </w:rPr>
              <w:t>Environment Protection (Sea Dumping) Act 1981</w:t>
            </w:r>
            <w:r w:rsidR="002A47D8">
              <w:rPr>
                <w:noProof/>
                <w:webHidden/>
              </w:rPr>
              <w:tab/>
            </w:r>
            <w:r w:rsidR="002A47D8">
              <w:rPr>
                <w:noProof/>
                <w:webHidden/>
              </w:rPr>
              <w:fldChar w:fldCharType="begin"/>
            </w:r>
            <w:r w:rsidR="002A47D8">
              <w:rPr>
                <w:noProof/>
                <w:webHidden/>
              </w:rPr>
              <w:instrText xml:space="preserve"> PAGEREF _Toc93925222 \h </w:instrText>
            </w:r>
            <w:r w:rsidR="002A47D8">
              <w:rPr>
                <w:noProof/>
                <w:webHidden/>
              </w:rPr>
            </w:r>
            <w:r w:rsidR="002A47D8">
              <w:rPr>
                <w:noProof/>
                <w:webHidden/>
              </w:rPr>
              <w:fldChar w:fldCharType="separate"/>
            </w:r>
            <w:r>
              <w:rPr>
                <w:noProof/>
                <w:webHidden/>
              </w:rPr>
              <w:t>19</w:t>
            </w:r>
            <w:r w:rsidR="002A47D8">
              <w:rPr>
                <w:noProof/>
                <w:webHidden/>
              </w:rPr>
              <w:fldChar w:fldCharType="end"/>
            </w:r>
          </w:hyperlink>
        </w:p>
        <w:p w14:paraId="07E03D5A" w14:textId="5B4955B2" w:rsidR="002A47D8" w:rsidRDefault="00C917F9">
          <w:pPr>
            <w:pStyle w:val="TOC2"/>
            <w:tabs>
              <w:tab w:val="right" w:leader="dot" w:pos="9016"/>
            </w:tabs>
            <w:rPr>
              <w:rFonts w:eastAsiaTheme="minorEastAsia"/>
              <w:noProof/>
              <w:lang w:eastAsia="en-AU"/>
            </w:rPr>
          </w:pPr>
          <w:hyperlink w:anchor="_Toc93925223" w:history="1">
            <w:r w:rsidR="002A47D8" w:rsidRPr="006566EA">
              <w:rPr>
                <w:rStyle w:val="Hyperlink"/>
                <w:noProof/>
              </w:rPr>
              <w:t>Environment Protection and Biodiversity Conservation Act 1999</w:t>
            </w:r>
            <w:r w:rsidR="002A47D8">
              <w:rPr>
                <w:noProof/>
                <w:webHidden/>
              </w:rPr>
              <w:tab/>
            </w:r>
            <w:r w:rsidR="002A47D8">
              <w:rPr>
                <w:noProof/>
                <w:webHidden/>
              </w:rPr>
              <w:fldChar w:fldCharType="begin"/>
            </w:r>
            <w:r w:rsidR="002A47D8">
              <w:rPr>
                <w:noProof/>
                <w:webHidden/>
              </w:rPr>
              <w:instrText xml:space="preserve"> PAGEREF _Toc93925223 \h </w:instrText>
            </w:r>
            <w:r w:rsidR="002A47D8">
              <w:rPr>
                <w:noProof/>
                <w:webHidden/>
              </w:rPr>
            </w:r>
            <w:r w:rsidR="002A47D8">
              <w:rPr>
                <w:noProof/>
                <w:webHidden/>
              </w:rPr>
              <w:fldChar w:fldCharType="separate"/>
            </w:r>
            <w:r>
              <w:rPr>
                <w:noProof/>
                <w:webHidden/>
              </w:rPr>
              <w:t>20</w:t>
            </w:r>
            <w:r w:rsidR="002A47D8">
              <w:rPr>
                <w:noProof/>
                <w:webHidden/>
              </w:rPr>
              <w:fldChar w:fldCharType="end"/>
            </w:r>
          </w:hyperlink>
        </w:p>
        <w:p w14:paraId="409E4C82" w14:textId="13D998D6" w:rsidR="002A47D8" w:rsidRDefault="00C917F9">
          <w:pPr>
            <w:pStyle w:val="TOC2"/>
            <w:tabs>
              <w:tab w:val="right" w:leader="dot" w:pos="9016"/>
            </w:tabs>
            <w:rPr>
              <w:rFonts w:eastAsiaTheme="minorEastAsia"/>
              <w:noProof/>
              <w:lang w:eastAsia="en-AU"/>
            </w:rPr>
          </w:pPr>
          <w:hyperlink w:anchor="_Toc93925224" w:history="1">
            <w:r w:rsidR="002A47D8" w:rsidRPr="006566EA">
              <w:rPr>
                <w:rStyle w:val="Hyperlink"/>
                <w:noProof/>
              </w:rPr>
              <w:t>Hazardous Wastes (Regulation of Exports and Imports) Act 1989</w:t>
            </w:r>
            <w:r w:rsidR="002A47D8">
              <w:rPr>
                <w:noProof/>
                <w:webHidden/>
              </w:rPr>
              <w:tab/>
            </w:r>
            <w:r w:rsidR="002A47D8">
              <w:rPr>
                <w:noProof/>
                <w:webHidden/>
              </w:rPr>
              <w:fldChar w:fldCharType="begin"/>
            </w:r>
            <w:r w:rsidR="002A47D8">
              <w:rPr>
                <w:noProof/>
                <w:webHidden/>
              </w:rPr>
              <w:instrText xml:space="preserve"> PAGEREF _Toc93925224 \h </w:instrText>
            </w:r>
            <w:r w:rsidR="002A47D8">
              <w:rPr>
                <w:noProof/>
                <w:webHidden/>
              </w:rPr>
            </w:r>
            <w:r w:rsidR="002A47D8">
              <w:rPr>
                <w:noProof/>
                <w:webHidden/>
              </w:rPr>
              <w:fldChar w:fldCharType="separate"/>
            </w:r>
            <w:r>
              <w:rPr>
                <w:noProof/>
                <w:webHidden/>
              </w:rPr>
              <w:t>21</w:t>
            </w:r>
            <w:r w:rsidR="002A47D8">
              <w:rPr>
                <w:noProof/>
                <w:webHidden/>
              </w:rPr>
              <w:fldChar w:fldCharType="end"/>
            </w:r>
          </w:hyperlink>
        </w:p>
        <w:p w14:paraId="13EA0004" w14:textId="455BDFD9" w:rsidR="002A47D8" w:rsidRDefault="00C917F9">
          <w:pPr>
            <w:pStyle w:val="TOC2"/>
            <w:tabs>
              <w:tab w:val="right" w:leader="dot" w:pos="9016"/>
            </w:tabs>
            <w:rPr>
              <w:rFonts w:eastAsiaTheme="minorEastAsia"/>
              <w:noProof/>
              <w:lang w:eastAsia="en-AU"/>
            </w:rPr>
          </w:pPr>
          <w:hyperlink w:anchor="_Toc93925225" w:history="1">
            <w:r w:rsidR="002A47D8" w:rsidRPr="006566EA">
              <w:rPr>
                <w:rStyle w:val="Hyperlink"/>
                <w:noProof/>
              </w:rPr>
              <w:t>State and Territory waste management legislation</w:t>
            </w:r>
            <w:r w:rsidR="002A47D8">
              <w:rPr>
                <w:noProof/>
                <w:webHidden/>
              </w:rPr>
              <w:tab/>
            </w:r>
            <w:r w:rsidR="002A47D8">
              <w:rPr>
                <w:noProof/>
                <w:webHidden/>
              </w:rPr>
              <w:fldChar w:fldCharType="begin"/>
            </w:r>
            <w:r w:rsidR="002A47D8">
              <w:rPr>
                <w:noProof/>
                <w:webHidden/>
              </w:rPr>
              <w:instrText xml:space="preserve"> PAGEREF _Toc93925225 \h </w:instrText>
            </w:r>
            <w:r w:rsidR="002A47D8">
              <w:rPr>
                <w:noProof/>
                <w:webHidden/>
              </w:rPr>
            </w:r>
            <w:r w:rsidR="002A47D8">
              <w:rPr>
                <w:noProof/>
                <w:webHidden/>
              </w:rPr>
              <w:fldChar w:fldCharType="separate"/>
            </w:r>
            <w:r>
              <w:rPr>
                <w:noProof/>
                <w:webHidden/>
              </w:rPr>
              <w:t>21</w:t>
            </w:r>
            <w:r w:rsidR="002A47D8">
              <w:rPr>
                <w:noProof/>
                <w:webHidden/>
              </w:rPr>
              <w:fldChar w:fldCharType="end"/>
            </w:r>
          </w:hyperlink>
        </w:p>
        <w:p w14:paraId="130F6116" w14:textId="60ED6E8F" w:rsidR="002A47D8" w:rsidRDefault="00C917F9">
          <w:pPr>
            <w:pStyle w:val="TOC1"/>
            <w:rPr>
              <w:rFonts w:eastAsiaTheme="minorEastAsia"/>
              <w:noProof/>
              <w:lang w:eastAsia="en-AU"/>
            </w:rPr>
          </w:pPr>
          <w:hyperlink w:anchor="_Toc93925226" w:history="1">
            <w:r w:rsidR="002A47D8" w:rsidRPr="006566EA">
              <w:rPr>
                <w:rStyle w:val="Hyperlink"/>
                <w:noProof/>
              </w:rPr>
              <w:t>Attachment 1: Process for decommissioning and surrender of title</w:t>
            </w:r>
            <w:r w:rsidR="002A47D8">
              <w:rPr>
                <w:noProof/>
                <w:webHidden/>
              </w:rPr>
              <w:tab/>
            </w:r>
            <w:r w:rsidR="002A47D8">
              <w:rPr>
                <w:noProof/>
                <w:webHidden/>
              </w:rPr>
              <w:fldChar w:fldCharType="begin"/>
            </w:r>
            <w:r w:rsidR="002A47D8">
              <w:rPr>
                <w:noProof/>
                <w:webHidden/>
              </w:rPr>
              <w:instrText xml:space="preserve"> PAGEREF _Toc93925226 \h </w:instrText>
            </w:r>
            <w:r w:rsidR="002A47D8">
              <w:rPr>
                <w:noProof/>
                <w:webHidden/>
              </w:rPr>
            </w:r>
            <w:r w:rsidR="002A47D8">
              <w:rPr>
                <w:noProof/>
                <w:webHidden/>
              </w:rPr>
              <w:fldChar w:fldCharType="separate"/>
            </w:r>
            <w:r>
              <w:rPr>
                <w:noProof/>
                <w:webHidden/>
              </w:rPr>
              <w:t>23</w:t>
            </w:r>
            <w:r w:rsidR="002A47D8">
              <w:rPr>
                <w:noProof/>
                <w:webHidden/>
              </w:rPr>
              <w:fldChar w:fldCharType="end"/>
            </w:r>
          </w:hyperlink>
        </w:p>
        <w:p w14:paraId="500C5558" w14:textId="06BB5E2D" w:rsidR="002A47D8" w:rsidRDefault="00C917F9">
          <w:pPr>
            <w:pStyle w:val="TOC1"/>
            <w:rPr>
              <w:rFonts w:eastAsiaTheme="minorEastAsia"/>
              <w:noProof/>
              <w:lang w:eastAsia="en-AU"/>
            </w:rPr>
          </w:pPr>
          <w:hyperlink w:anchor="_Toc93925227" w:history="1">
            <w:r w:rsidR="002A47D8" w:rsidRPr="006566EA">
              <w:rPr>
                <w:rStyle w:val="Hyperlink"/>
                <w:noProof/>
              </w:rPr>
              <w:t>Attachment 2: Glossary of key terms</w:t>
            </w:r>
            <w:r w:rsidR="002A47D8">
              <w:rPr>
                <w:noProof/>
                <w:webHidden/>
              </w:rPr>
              <w:tab/>
            </w:r>
            <w:r w:rsidR="002A47D8">
              <w:rPr>
                <w:noProof/>
                <w:webHidden/>
              </w:rPr>
              <w:fldChar w:fldCharType="begin"/>
            </w:r>
            <w:r w:rsidR="002A47D8">
              <w:rPr>
                <w:noProof/>
                <w:webHidden/>
              </w:rPr>
              <w:instrText xml:space="preserve"> PAGEREF _Toc93925227 \h </w:instrText>
            </w:r>
            <w:r w:rsidR="002A47D8">
              <w:rPr>
                <w:noProof/>
                <w:webHidden/>
              </w:rPr>
            </w:r>
            <w:r w:rsidR="002A47D8">
              <w:rPr>
                <w:noProof/>
                <w:webHidden/>
              </w:rPr>
              <w:fldChar w:fldCharType="separate"/>
            </w:r>
            <w:r>
              <w:rPr>
                <w:noProof/>
                <w:webHidden/>
              </w:rPr>
              <w:t>24</w:t>
            </w:r>
            <w:r w:rsidR="002A47D8">
              <w:rPr>
                <w:noProof/>
                <w:webHidden/>
              </w:rPr>
              <w:fldChar w:fldCharType="end"/>
            </w:r>
          </w:hyperlink>
        </w:p>
        <w:p w14:paraId="1B1BC6BE" w14:textId="24691D3B" w:rsidR="00195508" w:rsidRPr="00B052D5" w:rsidRDefault="0024113F" w:rsidP="0024113F">
          <w:pPr>
            <w:pStyle w:val="TOC1"/>
            <w:tabs>
              <w:tab w:val="clear" w:pos="9016"/>
            </w:tabs>
            <w:rPr>
              <w:rFonts w:eastAsiaTheme="minorEastAsia"/>
              <w:noProof/>
            </w:rPr>
          </w:pPr>
          <w:r>
            <w:fldChar w:fldCharType="end"/>
          </w:r>
        </w:p>
      </w:sdtContent>
    </w:sdt>
    <w:p w14:paraId="17E0F1CA" w14:textId="77777777" w:rsidR="00B052D5" w:rsidRDefault="00B052D5">
      <w:pPr>
        <w:rPr>
          <w:rFonts w:asciiTheme="majorHAnsi" w:eastAsiaTheme="majorEastAsia" w:hAnsiTheme="majorHAnsi" w:cstheme="majorBidi"/>
          <w:color w:val="005677" w:themeColor="text2"/>
          <w:sz w:val="48"/>
          <w:szCs w:val="32"/>
        </w:rPr>
      </w:pPr>
      <w:r>
        <w:br w:type="page"/>
      </w:r>
    </w:p>
    <w:p w14:paraId="3FEF722E" w14:textId="55543A55" w:rsidR="00580A1D" w:rsidRDefault="00580A1D" w:rsidP="00BC540B">
      <w:pPr>
        <w:pStyle w:val="Heading1"/>
      </w:pPr>
      <w:bookmarkStart w:id="25" w:name="_Toc82785066"/>
      <w:bookmarkStart w:id="26" w:name="_Toc82787188"/>
      <w:bookmarkStart w:id="27" w:name="_Toc82788235"/>
      <w:bookmarkStart w:id="28" w:name="_Toc83029537"/>
      <w:bookmarkStart w:id="29" w:name="_Toc83033985"/>
      <w:bookmarkStart w:id="30" w:name="_Toc93925206"/>
      <w:r w:rsidRPr="00E155A1">
        <w:lastRenderedPageBreak/>
        <w:t xml:space="preserve">Table of </w:t>
      </w:r>
      <w:r w:rsidR="008234B7">
        <w:t>r</w:t>
      </w:r>
      <w:r w:rsidRPr="00E155A1">
        <w:t>evisions</w:t>
      </w:r>
      <w:bookmarkEnd w:id="25"/>
      <w:bookmarkEnd w:id="26"/>
      <w:bookmarkEnd w:id="27"/>
      <w:bookmarkEnd w:id="28"/>
      <w:bookmarkEnd w:id="29"/>
      <w:bookmarkEnd w:id="30"/>
    </w:p>
    <w:tbl>
      <w:tblPr>
        <w:tblW w:w="9291"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1266"/>
        <w:gridCol w:w="992"/>
        <w:gridCol w:w="5387"/>
        <w:gridCol w:w="1646"/>
      </w:tblGrid>
      <w:tr w:rsidR="00760EBB" w14:paraId="048E7098" w14:textId="77777777" w:rsidTr="00F17EC5">
        <w:trPr>
          <w:trHeight w:val="184"/>
          <w:tblHeader/>
        </w:trPr>
        <w:tc>
          <w:tcPr>
            <w:tcW w:w="1266" w:type="dxa"/>
            <w:shd w:val="clear" w:color="auto" w:fill="FFFFFF" w:themeFill="background1"/>
          </w:tcPr>
          <w:p w14:paraId="524F1122" w14:textId="77777777" w:rsidR="00760EBB" w:rsidRPr="00616226" w:rsidRDefault="00760EBB" w:rsidP="00760EBB">
            <w:pPr>
              <w:jc w:val="center"/>
            </w:pPr>
            <w:r w:rsidRPr="00616226">
              <w:t>Date</w:t>
            </w:r>
          </w:p>
        </w:tc>
        <w:tc>
          <w:tcPr>
            <w:tcW w:w="992" w:type="dxa"/>
            <w:shd w:val="clear" w:color="auto" w:fill="FFFFFF" w:themeFill="background1"/>
          </w:tcPr>
          <w:p w14:paraId="3E51257C" w14:textId="77777777" w:rsidR="00760EBB" w:rsidRPr="00616226" w:rsidRDefault="00760EBB" w:rsidP="00760EBB">
            <w:pPr>
              <w:jc w:val="center"/>
            </w:pPr>
            <w:r w:rsidRPr="00616226">
              <w:t>Version</w:t>
            </w:r>
          </w:p>
        </w:tc>
        <w:tc>
          <w:tcPr>
            <w:tcW w:w="5387" w:type="dxa"/>
            <w:shd w:val="clear" w:color="auto" w:fill="FFFFFF" w:themeFill="background1"/>
          </w:tcPr>
          <w:p w14:paraId="4A17E19C" w14:textId="77777777" w:rsidR="00760EBB" w:rsidRPr="00616226" w:rsidRDefault="00760EBB" w:rsidP="00760EBB">
            <w:pPr>
              <w:jc w:val="center"/>
            </w:pPr>
            <w:r w:rsidRPr="00616226">
              <w:t>Purpose</w:t>
            </w:r>
          </w:p>
        </w:tc>
        <w:tc>
          <w:tcPr>
            <w:tcW w:w="1646" w:type="dxa"/>
            <w:shd w:val="clear" w:color="auto" w:fill="FFFFFF" w:themeFill="background1"/>
          </w:tcPr>
          <w:p w14:paraId="1136F62A" w14:textId="77777777" w:rsidR="00760EBB" w:rsidRPr="00616226" w:rsidRDefault="00760EBB" w:rsidP="00760EBB">
            <w:pPr>
              <w:jc w:val="center"/>
            </w:pPr>
            <w:r w:rsidRPr="00616226">
              <w:t>Jurisdiction</w:t>
            </w:r>
          </w:p>
        </w:tc>
      </w:tr>
      <w:tr w:rsidR="00760EBB" w14:paraId="56E52142" w14:textId="77777777" w:rsidTr="00F17EC5">
        <w:trPr>
          <w:trHeight w:val="161"/>
          <w:tblHeader/>
        </w:trPr>
        <w:tc>
          <w:tcPr>
            <w:tcW w:w="1266" w:type="dxa"/>
            <w:shd w:val="clear" w:color="auto" w:fill="FFFFFF" w:themeFill="background1"/>
          </w:tcPr>
          <w:p w14:paraId="6BD3A593" w14:textId="77777777" w:rsidR="006117D3" w:rsidRDefault="006117D3" w:rsidP="00760EBB">
            <w:pPr>
              <w:jc w:val="center"/>
              <w:rPr>
                <w:highlight w:val="yellow"/>
              </w:rPr>
            </w:pPr>
          </w:p>
          <w:p w14:paraId="678227B2" w14:textId="4FD9931C" w:rsidR="00760EBB" w:rsidRPr="00507B32" w:rsidRDefault="00CF6EE9" w:rsidP="00760EBB">
            <w:pPr>
              <w:jc w:val="center"/>
            </w:pPr>
            <w:r>
              <w:t>February</w:t>
            </w:r>
            <w:r w:rsidR="00250D66">
              <w:t xml:space="preserve"> 2022</w:t>
            </w:r>
          </w:p>
        </w:tc>
        <w:tc>
          <w:tcPr>
            <w:tcW w:w="992" w:type="dxa"/>
            <w:shd w:val="clear" w:color="auto" w:fill="FFFFFF" w:themeFill="background1"/>
          </w:tcPr>
          <w:p w14:paraId="0739C583" w14:textId="619CDB76" w:rsidR="00760EBB" w:rsidRPr="00616226" w:rsidRDefault="00760EBB" w:rsidP="00760EBB">
            <w:pPr>
              <w:jc w:val="center"/>
            </w:pPr>
            <w:r w:rsidRPr="00D53CD1">
              <w:t>3</w:t>
            </w:r>
          </w:p>
        </w:tc>
        <w:tc>
          <w:tcPr>
            <w:tcW w:w="5387" w:type="dxa"/>
            <w:shd w:val="clear" w:color="auto" w:fill="FFFFFF" w:themeFill="background1"/>
          </w:tcPr>
          <w:p w14:paraId="4E5AF101" w14:textId="5CC42DBB" w:rsidR="00760EBB" w:rsidRPr="00760EBB" w:rsidRDefault="00760EBB" w:rsidP="00F662F7">
            <w:pPr>
              <w:rPr>
                <w:i/>
              </w:rPr>
            </w:pPr>
            <w:r w:rsidRPr="00760EBB">
              <w:t xml:space="preserve">Update to reflect amendments </w:t>
            </w:r>
            <w:r w:rsidRPr="3446EB29">
              <w:t xml:space="preserve">from the </w:t>
            </w:r>
            <w:r w:rsidRPr="3446EB29">
              <w:rPr>
                <w:i/>
              </w:rPr>
              <w:t>Offshore Petroleum and Greenhouse Gas Storage Amendment (Titles Administration and Other Measures) Act 2021</w:t>
            </w:r>
            <w:r w:rsidRPr="00760EBB">
              <w:t>, refine existing guidance, and notification of further policy changes under the enhanced decommissioning framework.</w:t>
            </w:r>
            <w:r w:rsidR="00250D66">
              <w:t xml:space="preserve"> Guideline comes into</w:t>
            </w:r>
            <w:r w:rsidR="00F73BE5">
              <w:t xml:space="preserve"> effect 2 March 2022.</w:t>
            </w:r>
          </w:p>
        </w:tc>
        <w:tc>
          <w:tcPr>
            <w:tcW w:w="1646" w:type="dxa"/>
            <w:shd w:val="clear" w:color="auto" w:fill="FFFFFF" w:themeFill="background1"/>
          </w:tcPr>
          <w:p w14:paraId="4FD1A05B" w14:textId="5B5B858C" w:rsidR="00760EBB" w:rsidRDefault="00F17EC5" w:rsidP="006117D3">
            <w:pPr>
              <w:jc w:val="center"/>
            </w:pPr>
            <w:r>
              <w:t>Commonwealth</w:t>
            </w:r>
          </w:p>
          <w:p w14:paraId="11DC98F8" w14:textId="56178DBF" w:rsidR="00760EBB" w:rsidRPr="00616226" w:rsidRDefault="00760EBB" w:rsidP="006117D3">
            <w:pPr>
              <w:jc w:val="center"/>
            </w:pPr>
          </w:p>
        </w:tc>
      </w:tr>
      <w:tr w:rsidR="00F17EC5" w:rsidRPr="00B92E5C" w14:paraId="64D4EA92" w14:textId="77777777" w:rsidTr="00F17EC5">
        <w:trPr>
          <w:trHeight w:val="161"/>
        </w:trPr>
        <w:tc>
          <w:tcPr>
            <w:tcW w:w="1266" w:type="dxa"/>
            <w:shd w:val="clear" w:color="auto" w:fill="FFFFFF" w:themeFill="background1"/>
          </w:tcPr>
          <w:p w14:paraId="2F39BF8A" w14:textId="3801A909" w:rsidR="00F17EC5" w:rsidRPr="00616226" w:rsidRDefault="00F17EC5" w:rsidP="00F17EC5">
            <w:pPr>
              <w:jc w:val="center"/>
            </w:pPr>
            <w:r w:rsidRPr="00D53CD1">
              <w:t>February 2020</w:t>
            </w:r>
          </w:p>
        </w:tc>
        <w:tc>
          <w:tcPr>
            <w:tcW w:w="992" w:type="dxa"/>
            <w:shd w:val="clear" w:color="auto" w:fill="FFFFFF" w:themeFill="background1"/>
          </w:tcPr>
          <w:p w14:paraId="5575CD73" w14:textId="4A45FD55" w:rsidR="00F17EC5" w:rsidRPr="00616226" w:rsidRDefault="00F17EC5" w:rsidP="00F17EC5">
            <w:pPr>
              <w:jc w:val="center"/>
            </w:pPr>
            <w:r w:rsidRPr="00D53CD1">
              <w:t>2</w:t>
            </w:r>
          </w:p>
        </w:tc>
        <w:tc>
          <w:tcPr>
            <w:tcW w:w="5387" w:type="dxa"/>
            <w:shd w:val="clear" w:color="auto" w:fill="FFFFFF" w:themeFill="background1"/>
          </w:tcPr>
          <w:p w14:paraId="23579716" w14:textId="012AE4E9" w:rsidR="00F17EC5" w:rsidRPr="00616226" w:rsidRDefault="00F17EC5" w:rsidP="00F17EC5">
            <w:r w:rsidRPr="00D53CD1">
              <w:t xml:space="preserve">Update </w:t>
            </w:r>
            <w:r>
              <w:t xml:space="preserve">the </w:t>
            </w:r>
            <w:r w:rsidRPr="00D53CD1">
              <w:t>department</w:t>
            </w:r>
            <w:r>
              <w:t>’</w:t>
            </w:r>
            <w:r w:rsidRPr="00D53CD1">
              <w:t>s name</w:t>
            </w:r>
            <w:r>
              <w:t>.</w:t>
            </w:r>
          </w:p>
        </w:tc>
        <w:tc>
          <w:tcPr>
            <w:tcW w:w="1646" w:type="dxa"/>
            <w:shd w:val="clear" w:color="auto" w:fill="FFFFFF" w:themeFill="background1"/>
          </w:tcPr>
          <w:p w14:paraId="724BE674" w14:textId="31ED4D30" w:rsidR="00F17EC5" w:rsidRPr="00616226" w:rsidRDefault="00F17EC5" w:rsidP="00F17EC5">
            <w:pPr>
              <w:jc w:val="center"/>
            </w:pPr>
            <w:r w:rsidRPr="00EA5C0D">
              <w:t>Commonwealth</w:t>
            </w:r>
          </w:p>
        </w:tc>
      </w:tr>
      <w:tr w:rsidR="00F17EC5" w:rsidRPr="007E725D" w14:paraId="114EA56B" w14:textId="77777777" w:rsidTr="00F17EC5">
        <w:trPr>
          <w:trHeight w:val="161"/>
        </w:trPr>
        <w:tc>
          <w:tcPr>
            <w:tcW w:w="1266" w:type="dxa"/>
            <w:shd w:val="clear" w:color="auto" w:fill="FFFFFF" w:themeFill="background1"/>
          </w:tcPr>
          <w:p w14:paraId="5737DBBF" w14:textId="79B55D00" w:rsidR="00F17EC5" w:rsidRPr="00616226" w:rsidRDefault="00F17EC5" w:rsidP="00F17EC5">
            <w:pPr>
              <w:jc w:val="center"/>
            </w:pPr>
            <w:r w:rsidRPr="00D53CD1">
              <w:t>January 2018</w:t>
            </w:r>
          </w:p>
        </w:tc>
        <w:tc>
          <w:tcPr>
            <w:tcW w:w="992" w:type="dxa"/>
            <w:shd w:val="clear" w:color="auto" w:fill="FFFFFF" w:themeFill="background1"/>
          </w:tcPr>
          <w:p w14:paraId="14F62021" w14:textId="3532DDC2" w:rsidR="00F17EC5" w:rsidRPr="00616226" w:rsidRDefault="00F17EC5" w:rsidP="00F17EC5">
            <w:pPr>
              <w:jc w:val="center"/>
            </w:pPr>
            <w:r w:rsidRPr="00D53CD1">
              <w:t>1</w:t>
            </w:r>
          </w:p>
        </w:tc>
        <w:tc>
          <w:tcPr>
            <w:tcW w:w="5387" w:type="dxa"/>
            <w:shd w:val="clear" w:color="auto" w:fill="FFFFFF" w:themeFill="background1"/>
          </w:tcPr>
          <w:p w14:paraId="413B617D" w14:textId="67269996" w:rsidR="00F17EC5" w:rsidRPr="00616226" w:rsidRDefault="00F17EC5" w:rsidP="00F17EC5">
            <w:r w:rsidRPr="00D53CD1">
              <w:t>To establish a Guideline for the Commonwealth offshore petroleum decommissioning regime.</w:t>
            </w:r>
          </w:p>
        </w:tc>
        <w:tc>
          <w:tcPr>
            <w:tcW w:w="1646" w:type="dxa"/>
            <w:shd w:val="clear" w:color="auto" w:fill="FFFFFF" w:themeFill="background1"/>
          </w:tcPr>
          <w:p w14:paraId="1E17C789" w14:textId="42E6EC92" w:rsidR="00F17EC5" w:rsidRPr="00616226" w:rsidRDefault="00F17EC5" w:rsidP="00F17EC5">
            <w:pPr>
              <w:jc w:val="center"/>
            </w:pPr>
            <w:r w:rsidRPr="00EA5C0D">
              <w:t>Commonwealth</w:t>
            </w:r>
          </w:p>
        </w:tc>
      </w:tr>
    </w:tbl>
    <w:p w14:paraId="1E24E62B" w14:textId="1D0FCFB9" w:rsidR="007C39ED" w:rsidRPr="00E26959" w:rsidRDefault="00114FE8" w:rsidP="00A00029">
      <w:pPr>
        <w:pStyle w:val="Heading1"/>
        <w:numPr>
          <w:ilvl w:val="0"/>
          <w:numId w:val="13"/>
        </w:numPr>
        <w:tabs>
          <w:tab w:val="clear" w:pos="454"/>
          <w:tab w:val="num" w:pos="426"/>
        </w:tabs>
        <w:ind w:left="567" w:hanging="567"/>
      </w:pPr>
      <w:r w:rsidRPr="000B22A9">
        <w:br w:type="page"/>
      </w:r>
      <w:bookmarkStart w:id="31" w:name="_Toc82787189"/>
      <w:bookmarkStart w:id="32" w:name="_Toc82788236"/>
      <w:bookmarkStart w:id="33" w:name="_Toc83029538"/>
      <w:bookmarkStart w:id="34" w:name="_Toc83033986"/>
      <w:bookmarkStart w:id="35" w:name="_Toc93925207"/>
      <w:bookmarkStart w:id="36" w:name="_Toc81319772"/>
      <w:bookmarkStart w:id="37" w:name="_Toc81322580"/>
      <w:bookmarkStart w:id="38" w:name="_Toc81324966"/>
      <w:bookmarkStart w:id="39" w:name="_Toc81327220"/>
      <w:bookmarkStart w:id="40" w:name="_Toc82785067"/>
      <w:r w:rsidR="007C39ED" w:rsidRPr="00E26959">
        <w:lastRenderedPageBreak/>
        <w:t>Introduction</w:t>
      </w:r>
      <w:bookmarkEnd w:id="31"/>
      <w:bookmarkEnd w:id="32"/>
      <w:bookmarkEnd w:id="33"/>
      <w:bookmarkEnd w:id="34"/>
      <w:bookmarkEnd w:id="35"/>
    </w:p>
    <w:p w14:paraId="55E6089E" w14:textId="77777777" w:rsidR="007C39ED" w:rsidRDefault="00C771F1" w:rsidP="00250D66">
      <w:pPr>
        <w:pStyle w:val="List2"/>
        <w:numPr>
          <w:ilvl w:val="1"/>
          <w:numId w:val="39"/>
        </w:numPr>
        <w:tabs>
          <w:tab w:val="clear" w:pos="454"/>
        </w:tabs>
        <w:ind w:left="720" w:hanging="720"/>
      </w:pPr>
      <w:r w:rsidRPr="007E2968">
        <w:t xml:space="preserve">Decommissioning is a </w:t>
      </w:r>
      <w:r w:rsidRPr="005D26E7">
        <w:t>normal activity</w:t>
      </w:r>
      <w:r w:rsidRPr="007E2968">
        <w:t xml:space="preserve"> in the offshore petroleum lifecycle. Its purpose is to remove or </w:t>
      </w:r>
      <w:r w:rsidRPr="00250D66">
        <w:rPr>
          <w:rFonts w:cstheme="minorHAnsi"/>
        </w:rPr>
        <w:t>otherwise</w:t>
      </w:r>
      <w:r w:rsidRPr="007E2968">
        <w:t xml:space="preserve"> satisfactorily deal with, in a safe and environmentally responsible manner, structures, equipment and property previously used to support activities</w:t>
      </w:r>
      <w:r>
        <w:t xml:space="preserve"> in the offshore area</w:t>
      </w:r>
      <w:r w:rsidRPr="007E2968">
        <w:t xml:space="preserve">. This includes plugging and abandoning wells, rehabilitating the </w:t>
      </w:r>
      <w:proofErr w:type="gramStart"/>
      <w:r w:rsidRPr="007E2968">
        <w:t>site</w:t>
      </w:r>
      <w:proofErr w:type="gramEnd"/>
      <w:r w:rsidRPr="007E2968">
        <w:t xml:space="preserve"> and carrying out any necessary monitoring. </w:t>
      </w:r>
    </w:p>
    <w:p w14:paraId="0BB3AB46" w14:textId="74E58231" w:rsidR="00B47508" w:rsidRDefault="00B47508" w:rsidP="00250D66">
      <w:pPr>
        <w:pStyle w:val="List2"/>
        <w:numPr>
          <w:ilvl w:val="1"/>
          <w:numId w:val="39"/>
        </w:numPr>
        <w:tabs>
          <w:tab w:val="clear" w:pos="454"/>
        </w:tabs>
        <w:ind w:left="720" w:hanging="720"/>
      </w:pPr>
      <w:r>
        <w:t xml:space="preserve">This guideline </w:t>
      </w:r>
      <w:r w:rsidRPr="00250D66">
        <w:rPr>
          <w:rFonts w:cstheme="minorHAnsi"/>
        </w:rPr>
        <w:t>update</w:t>
      </w:r>
      <w:r>
        <w:t xml:space="preserve"> reflect</w:t>
      </w:r>
      <w:r w:rsidR="00AA76DA">
        <w:t>s</w:t>
      </w:r>
      <w:r w:rsidR="0086774C" w:rsidRPr="0086774C">
        <w:t xml:space="preserve"> the </w:t>
      </w:r>
      <w:r w:rsidR="00784D43">
        <w:t>maturation</w:t>
      </w:r>
      <w:r w:rsidR="0086774C" w:rsidRPr="0086774C">
        <w:t xml:space="preserve"> and </w:t>
      </w:r>
      <w:r w:rsidR="00784D43">
        <w:t>evolution</w:t>
      </w:r>
      <w:r w:rsidR="0086774C" w:rsidRPr="0086774C">
        <w:t xml:space="preserve"> of the </w:t>
      </w:r>
      <w:r w:rsidR="00784D43">
        <w:t>petroleum</w:t>
      </w:r>
      <w:r w:rsidR="0086774C" w:rsidRPr="0086774C">
        <w:t xml:space="preserve"> industry </w:t>
      </w:r>
      <w:r w:rsidR="00784D43">
        <w:t xml:space="preserve">as well as </w:t>
      </w:r>
      <w:r w:rsidR="009A47E7">
        <w:t xml:space="preserve">initial </w:t>
      </w:r>
      <w:r>
        <w:t xml:space="preserve">changes in policy and regulation stemming from </w:t>
      </w:r>
      <w:r w:rsidR="00310158">
        <w:t>reviews into Australia’s decommissioning policy and practice.</w:t>
      </w:r>
      <w:r>
        <w:t xml:space="preserve"> Further amendments to this guideline </w:t>
      </w:r>
      <w:r w:rsidR="00310158">
        <w:t xml:space="preserve">will be made </w:t>
      </w:r>
      <w:r>
        <w:t xml:space="preserve">and new guidance will be developed as additional </w:t>
      </w:r>
      <w:r w:rsidR="00310158">
        <w:t xml:space="preserve">policy updates </w:t>
      </w:r>
      <w:r>
        <w:t>are implemented.</w:t>
      </w:r>
    </w:p>
    <w:p w14:paraId="05DED698" w14:textId="77777777" w:rsidR="007C39ED" w:rsidRPr="00206352" w:rsidRDefault="007C39ED" w:rsidP="007C39ED">
      <w:pPr>
        <w:pStyle w:val="Heading2"/>
        <w:spacing w:before="40"/>
        <w:rPr>
          <w:rFonts w:ascii="Calibri" w:hAnsi="Calibri"/>
        </w:rPr>
      </w:pPr>
      <w:bookmarkStart w:id="41" w:name="_Toc82787190"/>
      <w:bookmarkStart w:id="42" w:name="_Toc82788237"/>
      <w:bookmarkStart w:id="43" w:name="_Toc83029539"/>
      <w:bookmarkStart w:id="44" w:name="_Toc83033987"/>
      <w:bookmarkStart w:id="45" w:name="_Toc93925208"/>
      <w:r>
        <w:t>Australia’s enhanced decommissioning framework</w:t>
      </w:r>
      <w:bookmarkEnd w:id="41"/>
      <w:bookmarkEnd w:id="42"/>
      <w:bookmarkEnd w:id="43"/>
      <w:bookmarkEnd w:id="44"/>
      <w:bookmarkEnd w:id="45"/>
    </w:p>
    <w:p w14:paraId="50DB2E81" w14:textId="0340152A" w:rsidR="007C39ED" w:rsidRPr="004F799F" w:rsidRDefault="007C39ED" w:rsidP="00250D66">
      <w:pPr>
        <w:pStyle w:val="List2"/>
        <w:numPr>
          <w:ilvl w:val="1"/>
          <w:numId w:val="38"/>
        </w:numPr>
        <w:tabs>
          <w:tab w:val="clear" w:pos="454"/>
        </w:tabs>
        <w:ind w:left="720" w:hanging="720"/>
        <w:rPr>
          <w:rFonts w:cstheme="minorHAnsi"/>
        </w:rPr>
      </w:pPr>
      <w:r w:rsidRPr="004F799F">
        <w:rPr>
          <w:rFonts w:cstheme="minorHAnsi"/>
          <w:color w:val="000000"/>
        </w:rPr>
        <w:t xml:space="preserve">In </w:t>
      </w:r>
      <w:r w:rsidRPr="00250D66">
        <w:rPr>
          <w:rFonts w:cstheme="minorHAnsi"/>
        </w:rPr>
        <w:t>April</w:t>
      </w:r>
      <w:r w:rsidRPr="004F799F">
        <w:rPr>
          <w:rFonts w:cstheme="minorHAnsi"/>
          <w:color w:val="000000"/>
        </w:rPr>
        <w:t xml:space="preserve"> 2021, following a comprehensive review process, the </w:t>
      </w:r>
      <w:r w:rsidR="002A47D8">
        <w:rPr>
          <w:rFonts w:cstheme="minorHAnsi"/>
          <w:color w:val="000000"/>
        </w:rPr>
        <w:t xml:space="preserve">Australian </w:t>
      </w:r>
      <w:r w:rsidRPr="004F799F">
        <w:rPr>
          <w:rFonts w:cstheme="minorHAnsi"/>
          <w:color w:val="000000"/>
        </w:rPr>
        <w:t xml:space="preserve">government announced it had </w:t>
      </w:r>
      <w:r w:rsidRPr="005D26E7">
        <w:t>agreed</w:t>
      </w:r>
      <w:r w:rsidRPr="004F799F">
        <w:rPr>
          <w:rFonts w:cstheme="minorHAnsi"/>
          <w:color w:val="000000"/>
        </w:rPr>
        <w:t xml:space="preserve"> to enhance Australia’s framework for the decommissioning of offshore oil and gas infrastructure. </w:t>
      </w:r>
    </w:p>
    <w:p w14:paraId="0393E7EE" w14:textId="7C590A6B" w:rsidR="007C39ED" w:rsidRPr="004F799F" w:rsidRDefault="007C39ED" w:rsidP="00250D66">
      <w:pPr>
        <w:pStyle w:val="List2"/>
        <w:numPr>
          <w:ilvl w:val="1"/>
          <w:numId w:val="38"/>
        </w:numPr>
        <w:tabs>
          <w:tab w:val="clear" w:pos="454"/>
        </w:tabs>
        <w:ind w:left="720" w:hanging="720"/>
        <w:rPr>
          <w:rFonts w:cstheme="minorHAnsi"/>
          <w:color w:val="000000" w:themeColor="text1"/>
        </w:rPr>
      </w:pPr>
      <w:r w:rsidRPr="004F799F">
        <w:rPr>
          <w:rFonts w:cstheme="minorHAnsi"/>
          <w:color w:val="000000"/>
        </w:rPr>
        <w:t xml:space="preserve">The first stage of implementation included a series </w:t>
      </w:r>
      <w:r w:rsidRPr="00250D66">
        <w:rPr>
          <w:rFonts w:cstheme="minorHAnsi"/>
        </w:rPr>
        <w:t>of</w:t>
      </w:r>
      <w:r w:rsidRPr="004F799F">
        <w:rPr>
          <w:rFonts w:cstheme="minorHAnsi"/>
          <w:color w:val="000000"/>
        </w:rPr>
        <w:t xml:space="preserve"> amendments to the </w:t>
      </w:r>
      <w:hyperlink r:id="rId15">
        <w:r w:rsidR="002A10D0" w:rsidRPr="004F799F">
          <w:rPr>
            <w:rStyle w:val="Hyperlink"/>
            <w:rFonts w:cstheme="minorHAnsi"/>
            <w:i/>
            <w:iCs/>
          </w:rPr>
          <w:t>Offshore Petroleum and Greenhouse Gas Storage Act 2006</w:t>
        </w:r>
      </w:hyperlink>
      <w:r w:rsidR="002A10D0">
        <w:rPr>
          <w:rFonts w:cstheme="minorHAnsi"/>
          <w:color w:val="000000"/>
        </w:rPr>
        <w:t xml:space="preserve"> </w:t>
      </w:r>
      <w:r w:rsidR="005D26E7">
        <w:rPr>
          <w:rFonts w:cstheme="minorHAnsi"/>
          <w:color w:val="000000"/>
        </w:rPr>
        <w:t>(</w:t>
      </w:r>
      <w:r w:rsidRPr="004F799F">
        <w:rPr>
          <w:rFonts w:cstheme="minorHAnsi"/>
          <w:color w:val="000000"/>
        </w:rPr>
        <w:t>OPGGS Act</w:t>
      </w:r>
      <w:r w:rsidR="005D26E7">
        <w:rPr>
          <w:rFonts w:cstheme="minorHAnsi"/>
          <w:color w:val="000000"/>
        </w:rPr>
        <w:t>)</w:t>
      </w:r>
      <w:r w:rsidRPr="004F799F">
        <w:rPr>
          <w:rFonts w:cstheme="minorHAnsi"/>
          <w:color w:val="000000"/>
        </w:rPr>
        <w:t xml:space="preserve"> to strengthen the regulatory framework. </w:t>
      </w:r>
      <w:r w:rsidRPr="0038106E">
        <w:rPr>
          <w:rFonts w:cstheme="minorHAnsi"/>
          <w:color w:val="000000"/>
        </w:rPr>
        <w:t>The</w:t>
      </w:r>
      <w:r w:rsidRPr="004F799F">
        <w:rPr>
          <w:rFonts w:cstheme="minorHAnsi"/>
          <w:i/>
          <w:color w:val="000000"/>
        </w:rPr>
        <w:t xml:space="preserve"> Offshore Petroleum and Greenhouse Gas Storage Amendment (Titles Administration and Other Measures)</w:t>
      </w:r>
      <w:r w:rsidRPr="004F799F">
        <w:rPr>
          <w:rFonts w:cstheme="minorHAnsi"/>
          <w:color w:val="000000"/>
        </w:rPr>
        <w:t xml:space="preserve"> </w:t>
      </w:r>
      <w:r w:rsidRPr="004F799F">
        <w:rPr>
          <w:rFonts w:cstheme="minorHAnsi"/>
          <w:i/>
          <w:color w:val="000000"/>
        </w:rPr>
        <w:t>Bill 2021</w:t>
      </w:r>
      <w:r w:rsidRPr="004F799F">
        <w:rPr>
          <w:rFonts w:cstheme="minorHAnsi"/>
          <w:color w:val="000000"/>
        </w:rPr>
        <w:t xml:space="preserve"> (the Bill) was passed through Parliament on </w:t>
      </w:r>
      <w:r w:rsidR="00B314C5">
        <w:rPr>
          <w:rFonts w:cstheme="minorHAnsi"/>
          <w:color w:val="000000"/>
        </w:rPr>
        <w:t>24</w:t>
      </w:r>
      <w:r w:rsidR="00083D00">
        <w:rPr>
          <w:rFonts w:cstheme="minorHAnsi"/>
          <w:color w:val="000000"/>
        </w:rPr>
        <w:t> </w:t>
      </w:r>
      <w:r w:rsidRPr="004F799F">
        <w:rPr>
          <w:rFonts w:cstheme="minorHAnsi"/>
          <w:color w:val="000000"/>
        </w:rPr>
        <w:t>August 2021 and will come into effect</w:t>
      </w:r>
      <w:r w:rsidRPr="004F799F" w:rsidDel="00B314C5">
        <w:rPr>
          <w:rFonts w:cstheme="minorHAnsi"/>
          <w:color w:val="000000"/>
        </w:rPr>
        <w:t xml:space="preserve"> </w:t>
      </w:r>
      <w:r w:rsidRPr="004F799F">
        <w:rPr>
          <w:rFonts w:cstheme="minorHAnsi"/>
          <w:color w:val="000000"/>
        </w:rPr>
        <w:t xml:space="preserve">on 2 </w:t>
      </w:r>
      <w:r>
        <w:rPr>
          <w:rFonts w:cstheme="minorHAnsi"/>
          <w:color w:val="000000"/>
        </w:rPr>
        <w:t>March</w:t>
      </w:r>
      <w:r w:rsidRPr="004F799F">
        <w:rPr>
          <w:rFonts w:cstheme="minorHAnsi"/>
          <w:color w:val="000000"/>
        </w:rPr>
        <w:t xml:space="preserve"> 2022; this guideline has been updated to reflect these legislative amendments. </w:t>
      </w:r>
    </w:p>
    <w:p w14:paraId="5C353980" w14:textId="77777777" w:rsidR="007C39ED" w:rsidRPr="004F799F" w:rsidRDefault="007C39ED" w:rsidP="00250D66">
      <w:pPr>
        <w:pStyle w:val="List2"/>
        <w:numPr>
          <w:ilvl w:val="1"/>
          <w:numId w:val="38"/>
        </w:numPr>
        <w:tabs>
          <w:tab w:val="clear" w:pos="454"/>
        </w:tabs>
        <w:ind w:left="720" w:hanging="720"/>
        <w:rPr>
          <w:rFonts w:cstheme="minorHAnsi"/>
          <w:color w:val="000000" w:themeColor="text1"/>
        </w:rPr>
      </w:pPr>
      <w:r w:rsidRPr="004F799F">
        <w:rPr>
          <w:rFonts w:cstheme="minorHAnsi"/>
          <w:color w:val="000000"/>
        </w:rPr>
        <w:t xml:space="preserve">To support the </w:t>
      </w:r>
      <w:r w:rsidRPr="00250D66">
        <w:rPr>
          <w:rFonts w:cstheme="minorHAnsi"/>
        </w:rPr>
        <w:t>implementation</w:t>
      </w:r>
      <w:r w:rsidRPr="004F799F">
        <w:rPr>
          <w:rFonts w:cstheme="minorHAnsi"/>
          <w:color w:val="000000"/>
        </w:rPr>
        <w:t xml:space="preserve"> of the remaining measures under the framework, the department is developing a suite of modernised decommissioning guidelines. </w:t>
      </w:r>
    </w:p>
    <w:p w14:paraId="00EBCB81" w14:textId="1B619A0A" w:rsidR="007C39ED" w:rsidRPr="004F799F" w:rsidRDefault="007C39ED" w:rsidP="00250D66">
      <w:pPr>
        <w:pStyle w:val="List2"/>
        <w:numPr>
          <w:ilvl w:val="1"/>
          <w:numId w:val="38"/>
        </w:numPr>
        <w:tabs>
          <w:tab w:val="clear" w:pos="454"/>
        </w:tabs>
        <w:ind w:left="720" w:hanging="720"/>
        <w:rPr>
          <w:rFonts w:cstheme="minorHAnsi"/>
          <w:color w:val="000000" w:themeColor="text1"/>
        </w:rPr>
      </w:pPr>
      <w:r w:rsidRPr="005D26E7">
        <w:t>These</w:t>
      </w:r>
      <w:r w:rsidRPr="004F799F">
        <w:rPr>
          <w:rFonts w:cstheme="minorHAnsi"/>
          <w:color w:val="000000"/>
        </w:rPr>
        <w:t xml:space="preserve"> guidelines will </w:t>
      </w:r>
      <w:r w:rsidRPr="00250D66">
        <w:rPr>
          <w:rFonts w:cstheme="minorHAnsi"/>
        </w:rPr>
        <w:t>include</w:t>
      </w:r>
      <w:r w:rsidRPr="004F799F">
        <w:rPr>
          <w:rFonts w:cstheme="minorHAnsi"/>
          <w:color w:val="000000"/>
        </w:rPr>
        <w:t xml:space="preserve"> information on the </w:t>
      </w:r>
      <w:r w:rsidR="002A47D8">
        <w:rPr>
          <w:rFonts w:cstheme="minorHAnsi"/>
          <w:color w:val="000000"/>
        </w:rPr>
        <w:t>g</w:t>
      </w:r>
      <w:r w:rsidR="002A47D8" w:rsidRPr="004F799F">
        <w:rPr>
          <w:rFonts w:cstheme="minorHAnsi"/>
          <w:color w:val="000000"/>
        </w:rPr>
        <w:t xml:space="preserve">overnment’s </w:t>
      </w:r>
      <w:r w:rsidRPr="004F799F">
        <w:rPr>
          <w:rFonts w:cstheme="minorHAnsi"/>
          <w:color w:val="000000"/>
        </w:rPr>
        <w:t>expectations in relation to:</w:t>
      </w:r>
    </w:p>
    <w:p w14:paraId="70EACBD5" w14:textId="77777777" w:rsidR="007C39ED" w:rsidRPr="004F799F" w:rsidRDefault="007C39ED" w:rsidP="00250D66">
      <w:pPr>
        <w:pStyle w:val="List2"/>
        <w:numPr>
          <w:ilvl w:val="2"/>
          <w:numId w:val="6"/>
        </w:numPr>
        <w:tabs>
          <w:tab w:val="clear" w:pos="1430"/>
        </w:tabs>
        <w:ind w:left="1224"/>
        <w:rPr>
          <w:rFonts w:cstheme="minorHAnsi"/>
          <w:color w:val="000000" w:themeColor="text1"/>
        </w:rPr>
      </w:pPr>
      <w:r w:rsidRPr="004F799F">
        <w:rPr>
          <w:rFonts w:cstheme="minorHAnsi"/>
          <w:color w:val="000000"/>
        </w:rPr>
        <w:t xml:space="preserve">financial </w:t>
      </w:r>
      <w:r w:rsidRPr="00250D66">
        <w:rPr>
          <w:rFonts w:cstheme="minorHAnsi"/>
        </w:rPr>
        <w:t>assurance</w:t>
      </w:r>
      <w:r w:rsidRPr="004F799F">
        <w:rPr>
          <w:rFonts w:cstheme="minorHAnsi"/>
          <w:color w:val="000000"/>
        </w:rPr>
        <w:t>, including the acceptable forms of assurance</w:t>
      </w:r>
    </w:p>
    <w:p w14:paraId="7A9A9E84" w14:textId="03E631F4" w:rsidR="007C39ED" w:rsidRPr="004F799F" w:rsidRDefault="007C39ED" w:rsidP="00250D66">
      <w:pPr>
        <w:pStyle w:val="List2"/>
        <w:numPr>
          <w:ilvl w:val="2"/>
          <w:numId w:val="6"/>
        </w:numPr>
        <w:tabs>
          <w:tab w:val="clear" w:pos="1430"/>
        </w:tabs>
        <w:ind w:left="1224"/>
        <w:rPr>
          <w:rFonts w:cstheme="minorHAnsi"/>
          <w:color w:val="000000" w:themeColor="text1"/>
        </w:rPr>
      </w:pPr>
      <w:r w:rsidRPr="004F799F">
        <w:rPr>
          <w:rFonts w:cstheme="minorHAnsi"/>
          <w:color w:val="000000"/>
        </w:rPr>
        <w:t xml:space="preserve">how </w:t>
      </w:r>
      <w:r w:rsidR="001E3CC8">
        <w:rPr>
          <w:rFonts w:cstheme="minorHAnsi"/>
        </w:rPr>
        <w:t>f</w:t>
      </w:r>
      <w:r w:rsidRPr="00250D66">
        <w:rPr>
          <w:rFonts w:cstheme="minorHAnsi"/>
        </w:rPr>
        <w:t>ield</w:t>
      </w:r>
      <w:r w:rsidRPr="004F799F">
        <w:rPr>
          <w:rFonts w:cstheme="minorHAnsi"/>
          <w:color w:val="000000"/>
        </w:rPr>
        <w:t xml:space="preserve"> </w:t>
      </w:r>
      <w:r w:rsidR="001E3CC8">
        <w:rPr>
          <w:rFonts w:cstheme="minorHAnsi"/>
          <w:color w:val="000000"/>
        </w:rPr>
        <w:t>d</w:t>
      </w:r>
      <w:r w:rsidRPr="004F799F">
        <w:rPr>
          <w:rFonts w:cstheme="minorHAnsi"/>
          <w:color w:val="000000"/>
        </w:rPr>
        <w:t xml:space="preserve">evelopment </w:t>
      </w:r>
      <w:r w:rsidR="001E3CC8">
        <w:rPr>
          <w:rFonts w:cstheme="minorHAnsi"/>
          <w:color w:val="000000"/>
        </w:rPr>
        <w:t>p</w:t>
      </w:r>
      <w:r w:rsidRPr="004F799F">
        <w:rPr>
          <w:rFonts w:cstheme="minorHAnsi"/>
          <w:color w:val="000000"/>
        </w:rPr>
        <w:t xml:space="preserve">lans can be used to support decommissioning planning </w:t>
      </w:r>
    </w:p>
    <w:p w14:paraId="18C0282A" w14:textId="77777777" w:rsidR="007C39ED" w:rsidRPr="004F799F" w:rsidRDefault="007C39ED" w:rsidP="00250D66">
      <w:pPr>
        <w:pStyle w:val="List2"/>
        <w:numPr>
          <w:ilvl w:val="2"/>
          <w:numId w:val="6"/>
        </w:numPr>
        <w:tabs>
          <w:tab w:val="clear" w:pos="1430"/>
        </w:tabs>
        <w:ind w:left="1224"/>
        <w:rPr>
          <w:rFonts w:cstheme="minorHAnsi"/>
        </w:rPr>
      </w:pPr>
      <w:r w:rsidRPr="004F799F">
        <w:rPr>
          <w:rFonts w:cstheme="minorHAnsi"/>
        </w:rPr>
        <w:t>how remedial directions will be used to promote compliance with decommissioning obligations</w:t>
      </w:r>
    </w:p>
    <w:p w14:paraId="1ED190A0" w14:textId="1E626BA6" w:rsidR="007C39ED" w:rsidRPr="004F799F" w:rsidRDefault="007C39ED" w:rsidP="00250D66">
      <w:pPr>
        <w:pStyle w:val="List2"/>
        <w:numPr>
          <w:ilvl w:val="2"/>
          <w:numId w:val="6"/>
        </w:numPr>
        <w:tabs>
          <w:tab w:val="clear" w:pos="1430"/>
        </w:tabs>
        <w:ind w:left="1224"/>
        <w:rPr>
          <w:rFonts w:cstheme="minorHAnsi"/>
          <w:color w:val="000000" w:themeColor="text1"/>
        </w:rPr>
      </w:pPr>
      <w:proofErr w:type="gramStart"/>
      <w:r w:rsidRPr="004F799F">
        <w:rPr>
          <w:rFonts w:cstheme="minorHAnsi"/>
        </w:rPr>
        <w:t>how</w:t>
      </w:r>
      <w:proofErr w:type="gramEnd"/>
      <w:r w:rsidRPr="004F799F">
        <w:rPr>
          <w:rFonts w:cstheme="minorHAnsi"/>
        </w:rPr>
        <w:t xml:space="preserve"> expanded trailing liability provisions will </w:t>
      </w:r>
      <w:r w:rsidRPr="004F799F">
        <w:rPr>
          <w:rFonts w:cstheme="minorHAnsi"/>
          <w:color w:val="000000"/>
        </w:rPr>
        <w:t>operate in the event of a failure to decommission</w:t>
      </w:r>
      <w:r w:rsidR="00E34FD6">
        <w:rPr>
          <w:rFonts w:cstheme="minorHAnsi"/>
          <w:color w:val="000000"/>
        </w:rPr>
        <w:t xml:space="preserve"> or in the event of a residual issue</w:t>
      </w:r>
      <w:r w:rsidRPr="004F799F">
        <w:rPr>
          <w:rFonts w:cstheme="minorHAnsi"/>
          <w:color w:val="000000"/>
        </w:rPr>
        <w:t>.</w:t>
      </w:r>
    </w:p>
    <w:p w14:paraId="68A61AE5" w14:textId="01ABA81B" w:rsidR="007C39ED" w:rsidRPr="007E2968" w:rsidRDefault="007C39ED" w:rsidP="0013127F">
      <w:pPr>
        <w:pStyle w:val="Calloutbox"/>
      </w:pPr>
      <w:r w:rsidRPr="004F799F">
        <w:rPr>
          <w:rFonts w:cstheme="minorHAnsi"/>
        </w:rPr>
        <w:t xml:space="preserve">The suite of modernised decommissioning guidelines to support the implementation of the </w:t>
      </w:r>
      <w:r>
        <w:rPr>
          <w:rFonts w:cstheme="minorHAnsi"/>
        </w:rPr>
        <w:t>r</w:t>
      </w:r>
      <w:r w:rsidRPr="004F799F">
        <w:rPr>
          <w:rFonts w:cstheme="minorHAnsi"/>
        </w:rPr>
        <w:t xml:space="preserve">emaining measures under the framework are in development and will be released </w:t>
      </w:r>
      <w:r w:rsidR="00BE4C8F">
        <w:rPr>
          <w:rFonts w:cstheme="minorHAnsi"/>
        </w:rPr>
        <w:t>from</w:t>
      </w:r>
      <w:r w:rsidRPr="004F799F">
        <w:rPr>
          <w:rFonts w:cstheme="minorHAnsi"/>
        </w:rPr>
        <w:t xml:space="preserve"> 2022.</w:t>
      </w:r>
    </w:p>
    <w:p w14:paraId="58699C01" w14:textId="712B6A34" w:rsidR="001723F8" w:rsidRPr="000B22A9" w:rsidRDefault="009C4F7C" w:rsidP="00A00029">
      <w:pPr>
        <w:pStyle w:val="Heading1"/>
        <w:numPr>
          <w:ilvl w:val="0"/>
          <w:numId w:val="13"/>
        </w:numPr>
        <w:tabs>
          <w:tab w:val="clear" w:pos="454"/>
          <w:tab w:val="left" w:pos="426"/>
          <w:tab w:val="left" w:pos="567"/>
        </w:tabs>
        <w:ind w:left="567" w:hanging="567"/>
      </w:pPr>
      <w:bookmarkStart w:id="46" w:name="_Toc82787191"/>
      <w:bookmarkStart w:id="47" w:name="_Toc82788238"/>
      <w:bookmarkStart w:id="48" w:name="_Toc83029540"/>
      <w:bookmarkStart w:id="49" w:name="_Toc83033988"/>
      <w:bookmarkStart w:id="50" w:name="_Toc93925209"/>
      <w:r w:rsidRPr="000B22A9">
        <w:t>Purpose</w:t>
      </w:r>
      <w:bookmarkEnd w:id="36"/>
      <w:bookmarkEnd w:id="37"/>
      <w:bookmarkEnd w:id="38"/>
      <w:bookmarkEnd w:id="39"/>
      <w:bookmarkEnd w:id="40"/>
      <w:bookmarkEnd w:id="46"/>
      <w:bookmarkEnd w:id="47"/>
      <w:bookmarkEnd w:id="48"/>
      <w:bookmarkEnd w:id="49"/>
      <w:bookmarkEnd w:id="50"/>
    </w:p>
    <w:p w14:paraId="0180FA8A" w14:textId="5086EF48" w:rsidR="00AA3713" w:rsidRPr="004F799F" w:rsidRDefault="00EB6C1C" w:rsidP="00250D66">
      <w:pPr>
        <w:pStyle w:val="List2"/>
        <w:numPr>
          <w:ilvl w:val="1"/>
          <w:numId w:val="32"/>
        </w:numPr>
        <w:tabs>
          <w:tab w:val="clear" w:pos="454"/>
        </w:tabs>
        <w:ind w:left="720" w:hanging="720"/>
        <w:rPr>
          <w:rFonts w:cstheme="minorHAnsi"/>
        </w:rPr>
      </w:pPr>
      <w:r w:rsidRPr="004F799F">
        <w:rPr>
          <w:rFonts w:cstheme="minorHAnsi"/>
        </w:rPr>
        <w:t>T</w:t>
      </w:r>
      <w:r w:rsidR="009C4F7C" w:rsidRPr="004F799F">
        <w:rPr>
          <w:rFonts w:cstheme="minorHAnsi"/>
        </w:rPr>
        <w:t>h</w:t>
      </w:r>
      <w:r w:rsidR="00204AA9" w:rsidRPr="004F799F">
        <w:rPr>
          <w:rFonts w:cstheme="minorHAnsi"/>
        </w:rPr>
        <w:t>e purpose of th</w:t>
      </w:r>
      <w:r w:rsidR="009C4F7C" w:rsidRPr="004F799F">
        <w:rPr>
          <w:rFonts w:cstheme="minorHAnsi"/>
        </w:rPr>
        <w:t>is</w:t>
      </w:r>
      <w:r w:rsidR="00BF1F8F">
        <w:rPr>
          <w:rFonts w:cstheme="minorHAnsi"/>
        </w:rPr>
        <w:t xml:space="preserve"> g</w:t>
      </w:r>
      <w:r w:rsidR="009C4F7C" w:rsidRPr="004F799F">
        <w:rPr>
          <w:rFonts w:cstheme="minorHAnsi"/>
        </w:rPr>
        <w:t>uideline</w:t>
      </w:r>
      <w:r w:rsidRPr="004F799F">
        <w:rPr>
          <w:rFonts w:cstheme="minorHAnsi"/>
        </w:rPr>
        <w:t xml:space="preserve"> </w:t>
      </w:r>
      <w:r w:rsidR="00204AA9" w:rsidRPr="004F799F">
        <w:rPr>
          <w:rFonts w:cstheme="minorHAnsi"/>
        </w:rPr>
        <w:t xml:space="preserve">is </w:t>
      </w:r>
      <w:r w:rsidR="009127B7" w:rsidRPr="004F799F">
        <w:rPr>
          <w:rFonts w:cstheme="minorHAnsi"/>
        </w:rPr>
        <w:t>to clarify</w:t>
      </w:r>
      <w:r w:rsidR="00561CBA" w:rsidRPr="004F799F">
        <w:rPr>
          <w:rFonts w:cstheme="minorHAnsi"/>
        </w:rPr>
        <w:t xml:space="preserve"> the</w:t>
      </w:r>
      <w:r w:rsidR="009127B7" w:rsidRPr="004F799F">
        <w:rPr>
          <w:rFonts w:cstheme="minorHAnsi"/>
        </w:rPr>
        <w:t xml:space="preserve"> </w:t>
      </w:r>
      <w:r w:rsidR="00CE7289" w:rsidRPr="004F799F">
        <w:rPr>
          <w:rFonts w:cstheme="minorHAnsi"/>
        </w:rPr>
        <w:t xml:space="preserve">application, </w:t>
      </w:r>
      <w:proofErr w:type="gramStart"/>
      <w:r w:rsidR="00CE7289" w:rsidRPr="004F799F">
        <w:rPr>
          <w:rFonts w:cstheme="minorHAnsi"/>
        </w:rPr>
        <w:t>operation</w:t>
      </w:r>
      <w:proofErr w:type="gramEnd"/>
      <w:r w:rsidR="00CE7289" w:rsidRPr="004F799F">
        <w:rPr>
          <w:rFonts w:cstheme="minorHAnsi"/>
        </w:rPr>
        <w:t xml:space="preserve"> and interaction between components of</w:t>
      </w:r>
      <w:r w:rsidR="00561CBA" w:rsidRPr="004F799F">
        <w:rPr>
          <w:rFonts w:cstheme="minorHAnsi"/>
        </w:rPr>
        <w:t xml:space="preserve"> the Commonwealth regime for decommissioning offshore petroleum </w:t>
      </w:r>
      <w:r w:rsidR="009C111B">
        <w:rPr>
          <w:rFonts w:cstheme="minorHAnsi"/>
        </w:rPr>
        <w:t>property</w:t>
      </w:r>
      <w:r w:rsidR="009C111B" w:rsidRPr="004F799F">
        <w:rPr>
          <w:rFonts w:cstheme="minorHAnsi"/>
        </w:rPr>
        <w:t xml:space="preserve"> </w:t>
      </w:r>
      <w:r w:rsidR="001F7DA7" w:rsidRPr="004F799F">
        <w:rPr>
          <w:rFonts w:cstheme="minorHAnsi"/>
        </w:rPr>
        <w:t xml:space="preserve">in Commonwealth waters </w:t>
      </w:r>
      <w:r w:rsidR="00561CBA" w:rsidRPr="004F799F">
        <w:rPr>
          <w:rFonts w:cstheme="minorHAnsi"/>
        </w:rPr>
        <w:t>under the OPGGS Act</w:t>
      </w:r>
      <w:r w:rsidR="002A10D0">
        <w:rPr>
          <w:rFonts w:cstheme="minorHAnsi"/>
        </w:rPr>
        <w:t>,</w:t>
      </w:r>
      <w:r w:rsidR="00561CBA" w:rsidRPr="004F799F">
        <w:rPr>
          <w:rFonts w:cstheme="minorHAnsi"/>
        </w:rPr>
        <w:t xml:space="preserve"> associated regulations and, where applicable, other Commonwealth laws. </w:t>
      </w:r>
    </w:p>
    <w:p w14:paraId="5F409880" w14:textId="67A94DCF" w:rsidR="00BB6D1A" w:rsidRPr="00B052D5" w:rsidRDefault="00A81A1E" w:rsidP="00250D66">
      <w:pPr>
        <w:pStyle w:val="List2"/>
        <w:numPr>
          <w:ilvl w:val="1"/>
          <w:numId w:val="32"/>
        </w:numPr>
        <w:tabs>
          <w:tab w:val="clear" w:pos="454"/>
        </w:tabs>
        <w:ind w:left="720" w:hanging="720"/>
        <w:rPr>
          <w:rFonts w:cstheme="minorHAnsi"/>
        </w:rPr>
      </w:pPr>
      <w:r w:rsidRPr="004F799F">
        <w:rPr>
          <w:rFonts w:cstheme="minorHAnsi"/>
        </w:rPr>
        <w:lastRenderedPageBreak/>
        <w:t xml:space="preserve">This </w:t>
      </w:r>
      <w:r w:rsidR="00715603" w:rsidRPr="004F799F">
        <w:rPr>
          <w:rFonts w:cstheme="minorHAnsi"/>
        </w:rPr>
        <w:t xml:space="preserve">guideline </w:t>
      </w:r>
      <w:r w:rsidRPr="004F799F">
        <w:rPr>
          <w:rFonts w:cstheme="minorHAnsi"/>
        </w:rPr>
        <w:t>is</w:t>
      </w:r>
      <w:r w:rsidR="00272C83" w:rsidRPr="004F799F">
        <w:rPr>
          <w:rFonts w:cstheme="minorHAnsi"/>
        </w:rPr>
        <w:t xml:space="preserve"> </w:t>
      </w:r>
      <w:r w:rsidR="00250653" w:rsidRPr="004F799F">
        <w:rPr>
          <w:rFonts w:cstheme="minorHAnsi"/>
        </w:rPr>
        <w:t xml:space="preserve">to assist </w:t>
      </w:r>
      <w:r w:rsidR="001F7DA7" w:rsidRPr="004F799F">
        <w:rPr>
          <w:rFonts w:cstheme="minorHAnsi"/>
        </w:rPr>
        <w:t xml:space="preserve">offshore </w:t>
      </w:r>
      <w:r w:rsidR="00561CBA" w:rsidRPr="004F799F">
        <w:rPr>
          <w:rFonts w:cstheme="minorHAnsi"/>
        </w:rPr>
        <w:t xml:space="preserve">petroleum </w:t>
      </w:r>
      <w:r w:rsidR="009C4F7C" w:rsidRPr="004F799F">
        <w:rPr>
          <w:rFonts w:cstheme="minorHAnsi"/>
        </w:rPr>
        <w:t>titleholders</w:t>
      </w:r>
      <w:r w:rsidR="00250653" w:rsidRPr="004F799F">
        <w:rPr>
          <w:rFonts w:cstheme="minorHAnsi"/>
        </w:rPr>
        <w:t xml:space="preserve"> </w:t>
      </w:r>
      <w:r w:rsidR="002E67D8" w:rsidRPr="004F799F">
        <w:rPr>
          <w:rFonts w:cstheme="minorHAnsi"/>
        </w:rPr>
        <w:t xml:space="preserve">to </w:t>
      </w:r>
      <w:r w:rsidR="00BA592B" w:rsidRPr="004F799F">
        <w:rPr>
          <w:rFonts w:cstheme="minorHAnsi"/>
        </w:rPr>
        <w:t>plan</w:t>
      </w:r>
      <w:r w:rsidR="00250653" w:rsidRPr="004F799F">
        <w:rPr>
          <w:rFonts w:cstheme="minorHAnsi"/>
        </w:rPr>
        <w:t xml:space="preserve"> and seek</w:t>
      </w:r>
      <w:r w:rsidR="00272C83" w:rsidRPr="004F799F">
        <w:rPr>
          <w:rFonts w:cstheme="minorHAnsi"/>
        </w:rPr>
        <w:t xml:space="preserve"> </w:t>
      </w:r>
      <w:r w:rsidR="00561CBA" w:rsidRPr="004F799F">
        <w:rPr>
          <w:rFonts w:cstheme="minorHAnsi"/>
        </w:rPr>
        <w:t>the regulatory approvals necessary to undertake a decommissioning</w:t>
      </w:r>
      <w:r w:rsidR="003601F0" w:rsidRPr="004F799F">
        <w:rPr>
          <w:rFonts w:cstheme="minorHAnsi"/>
        </w:rPr>
        <w:t xml:space="preserve"> activity</w:t>
      </w:r>
      <w:r w:rsidR="00561CBA" w:rsidRPr="004F799F">
        <w:rPr>
          <w:rFonts w:cstheme="minorHAnsi"/>
        </w:rPr>
        <w:t>, and to understand the ex</w:t>
      </w:r>
      <w:r w:rsidR="00C812EA" w:rsidRPr="004F799F">
        <w:rPr>
          <w:rFonts w:cstheme="minorHAnsi"/>
        </w:rPr>
        <w:t>pectations of relevant decision</w:t>
      </w:r>
      <w:r w:rsidR="00C812EA" w:rsidRPr="004F799F">
        <w:rPr>
          <w:rFonts w:cstheme="minorHAnsi"/>
        </w:rPr>
        <w:noBreakHyphen/>
      </w:r>
      <w:r w:rsidR="00561CBA" w:rsidRPr="004F799F">
        <w:rPr>
          <w:rFonts w:cstheme="minorHAnsi"/>
        </w:rPr>
        <w:t>makers</w:t>
      </w:r>
      <w:r w:rsidR="0049152F" w:rsidRPr="004F799F">
        <w:rPr>
          <w:rFonts w:cstheme="minorHAnsi"/>
        </w:rPr>
        <w:t>.</w:t>
      </w:r>
    </w:p>
    <w:p w14:paraId="1F305E75" w14:textId="2EC52AA8" w:rsidR="004265C3" w:rsidRPr="004265C3" w:rsidRDefault="004E4FB1" w:rsidP="0013127F">
      <w:pPr>
        <w:pStyle w:val="Heading1"/>
        <w:numPr>
          <w:ilvl w:val="0"/>
          <w:numId w:val="13"/>
        </w:numPr>
        <w:tabs>
          <w:tab w:val="clear" w:pos="454"/>
          <w:tab w:val="left" w:pos="426"/>
          <w:tab w:val="left" w:pos="709"/>
        </w:tabs>
        <w:ind w:left="709" w:hanging="709"/>
      </w:pPr>
      <w:bookmarkStart w:id="51" w:name="_Toc82786709"/>
      <w:bookmarkStart w:id="52" w:name="_Toc82786840"/>
      <w:bookmarkStart w:id="53" w:name="_Toc82787107"/>
      <w:bookmarkStart w:id="54" w:name="_Toc82787276"/>
      <w:bookmarkStart w:id="55" w:name="_Toc82787592"/>
      <w:bookmarkStart w:id="56" w:name="_Toc82788035"/>
      <w:bookmarkStart w:id="57" w:name="_Toc82788012"/>
      <w:bookmarkStart w:id="58" w:name="_Toc82788239"/>
      <w:bookmarkStart w:id="59" w:name="_Toc82788331"/>
      <w:bookmarkStart w:id="60" w:name="_Toc82790332"/>
      <w:bookmarkStart w:id="61" w:name="_Toc83027381"/>
      <w:bookmarkStart w:id="62" w:name="_Toc83027520"/>
      <w:bookmarkStart w:id="63" w:name="_Toc83027762"/>
      <w:bookmarkStart w:id="64" w:name="_Toc83028379"/>
      <w:bookmarkStart w:id="65" w:name="_Toc83028410"/>
      <w:bookmarkStart w:id="66" w:name="_Toc83028805"/>
      <w:bookmarkStart w:id="67" w:name="_Toc83028970"/>
      <w:bookmarkStart w:id="68" w:name="_Toc83029245"/>
      <w:bookmarkStart w:id="69" w:name="_Toc83029541"/>
      <w:bookmarkStart w:id="70" w:name="_Toc83030062"/>
      <w:bookmarkStart w:id="71" w:name="_Toc81324967"/>
      <w:bookmarkStart w:id="72" w:name="_Toc479778731"/>
      <w:bookmarkStart w:id="73" w:name="_Toc479845247"/>
      <w:bookmarkStart w:id="74" w:name="_Toc486939236"/>
      <w:bookmarkStart w:id="75" w:name="_Toc81327221"/>
      <w:bookmarkStart w:id="76" w:name="_Toc81319773"/>
      <w:bookmarkStart w:id="77" w:name="_Toc81322581"/>
      <w:bookmarkStart w:id="78" w:name="_Toc81324968"/>
      <w:bookmarkStart w:id="79" w:name="_Toc82785069"/>
      <w:bookmarkStart w:id="80" w:name="_Toc82787192"/>
      <w:bookmarkStart w:id="81" w:name="_Toc82788240"/>
      <w:bookmarkStart w:id="82" w:name="_Toc83029542"/>
      <w:bookmarkStart w:id="83" w:name="_Toc83033989"/>
      <w:bookmarkStart w:id="84" w:name="_Toc93925210"/>
      <w:bookmarkStart w:id="85" w:name="_Toc467772136"/>
      <w:bookmarkStart w:id="86" w:name="_Toc467841676"/>
      <w:bookmarkStart w:id="87" w:name="_Toc46785698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0B22A9">
        <w:t>Com</w:t>
      </w:r>
      <w:r w:rsidR="00272C83" w:rsidRPr="000B22A9">
        <w:t>monwealth decommissioning polic</w:t>
      </w:r>
      <w:bookmarkEnd w:id="72"/>
      <w:bookmarkEnd w:id="73"/>
      <w:bookmarkEnd w:id="74"/>
      <w:r w:rsidR="00A01E15" w:rsidRPr="000B22A9">
        <w:t>ies</w:t>
      </w:r>
      <w:bookmarkEnd w:id="75"/>
      <w:bookmarkEnd w:id="76"/>
      <w:bookmarkEnd w:id="77"/>
      <w:bookmarkEnd w:id="78"/>
      <w:bookmarkEnd w:id="79"/>
      <w:bookmarkEnd w:id="80"/>
      <w:bookmarkEnd w:id="81"/>
      <w:bookmarkEnd w:id="82"/>
      <w:bookmarkEnd w:id="83"/>
      <w:bookmarkEnd w:id="84"/>
    </w:p>
    <w:p w14:paraId="2B0DE5A4" w14:textId="375A5309" w:rsidR="007B601A" w:rsidRDefault="00A01E15" w:rsidP="00250D66">
      <w:pPr>
        <w:pStyle w:val="List2"/>
        <w:numPr>
          <w:ilvl w:val="1"/>
          <w:numId w:val="10"/>
        </w:numPr>
        <w:tabs>
          <w:tab w:val="clear" w:pos="454"/>
        </w:tabs>
        <w:ind w:left="720" w:hanging="720"/>
      </w:pPr>
      <w:r w:rsidRPr="007E2968">
        <w:t xml:space="preserve">This </w:t>
      </w:r>
      <w:r w:rsidR="002249A1" w:rsidRPr="00250D66">
        <w:rPr>
          <w:rFonts w:cstheme="minorHAnsi"/>
        </w:rPr>
        <w:t>P</w:t>
      </w:r>
      <w:r w:rsidRPr="00250D66">
        <w:rPr>
          <w:rFonts w:cstheme="minorHAnsi"/>
        </w:rPr>
        <w:t>art</w:t>
      </w:r>
      <w:r w:rsidRPr="007E2968">
        <w:t xml:space="preserve"> outlines the key Australian Government policies relevant</w:t>
      </w:r>
      <w:r w:rsidR="00B44F1B">
        <w:t xml:space="preserve"> to decommissioning.</w:t>
      </w:r>
    </w:p>
    <w:p w14:paraId="7E9A879E" w14:textId="3F6CF3A2" w:rsidR="000473BF" w:rsidRDefault="00844FD8" w:rsidP="00250D66">
      <w:pPr>
        <w:pStyle w:val="List2"/>
        <w:numPr>
          <w:ilvl w:val="1"/>
          <w:numId w:val="10"/>
        </w:numPr>
        <w:tabs>
          <w:tab w:val="clear" w:pos="454"/>
        </w:tabs>
        <w:ind w:left="720" w:hanging="720"/>
      </w:pPr>
      <w:bookmarkStart w:id="88" w:name="_Toc486949856"/>
      <w:bookmarkStart w:id="89" w:name="_Toc486950217"/>
      <w:bookmarkStart w:id="90" w:name="_Toc486956415"/>
      <w:r w:rsidRPr="007E2968">
        <w:t xml:space="preserve">This </w:t>
      </w:r>
      <w:r w:rsidRPr="00250D66">
        <w:rPr>
          <w:rFonts w:cstheme="minorHAnsi"/>
        </w:rPr>
        <w:t>guideline</w:t>
      </w:r>
      <w:r w:rsidRPr="007E2968">
        <w:t xml:space="preserve"> applies to all petroleum structures, equipment</w:t>
      </w:r>
      <w:r w:rsidR="00B314C5">
        <w:t xml:space="preserve">, </w:t>
      </w:r>
      <w:proofErr w:type="gramStart"/>
      <w:r w:rsidR="00B314C5">
        <w:t>wells</w:t>
      </w:r>
      <w:proofErr w:type="gramEnd"/>
      <w:r w:rsidRPr="007E2968">
        <w:t xml:space="preserve"> and property (collectively referred to hereafter as ‘property’) brought onto the area under the authority of a title granted under the OPGGS Act, during any stage of operations.</w:t>
      </w:r>
      <w:r w:rsidR="00DC561D">
        <w:t xml:space="preserve"> A separate guideline will be developed to outline requirements for greenhouse gas storage activities and property.  </w:t>
      </w:r>
    </w:p>
    <w:p w14:paraId="29B18A51" w14:textId="2F31A9BB" w:rsidR="00B74F6E" w:rsidRDefault="00B74F6E" w:rsidP="00B74F6E">
      <w:pPr>
        <w:pStyle w:val="Heading2"/>
      </w:pPr>
      <w:bookmarkStart w:id="91" w:name="_Toc82787193"/>
      <w:bookmarkStart w:id="92" w:name="_Toc82788241"/>
      <w:bookmarkStart w:id="93" w:name="_Toc83029543"/>
      <w:bookmarkStart w:id="94" w:name="_Toc83033990"/>
      <w:bookmarkStart w:id="95" w:name="_Toc93925211"/>
      <w:bookmarkStart w:id="96" w:name="_Toc489460728"/>
      <w:bookmarkStart w:id="97" w:name="_Toc489460836"/>
      <w:bookmarkStart w:id="98" w:name="_Toc81319774"/>
      <w:bookmarkStart w:id="99" w:name="_Toc81322582"/>
      <w:bookmarkStart w:id="100" w:name="_Toc81324969"/>
      <w:bookmarkStart w:id="101" w:name="_Toc81327222"/>
      <w:bookmarkStart w:id="102" w:name="_Toc82785070"/>
      <w:r>
        <w:t xml:space="preserve">Key principles </w:t>
      </w:r>
      <w:r w:rsidR="00DB40A8">
        <w:t>for</w:t>
      </w:r>
      <w:r>
        <w:t xml:space="preserve"> decommissioning</w:t>
      </w:r>
      <w:bookmarkEnd w:id="91"/>
      <w:bookmarkEnd w:id="92"/>
      <w:bookmarkEnd w:id="93"/>
      <w:bookmarkEnd w:id="94"/>
      <w:bookmarkEnd w:id="95"/>
    </w:p>
    <w:p w14:paraId="0959628D" w14:textId="1B13FCCD" w:rsidR="000473BF" w:rsidRDefault="000473BF" w:rsidP="00B74F6E">
      <w:pPr>
        <w:pStyle w:val="Heading3"/>
      </w:pPr>
      <w:r w:rsidRPr="000B22A9">
        <w:t>Decommissioning is the responsibility of titleholders</w:t>
      </w:r>
      <w:bookmarkEnd w:id="96"/>
      <w:bookmarkEnd w:id="97"/>
      <w:bookmarkEnd w:id="98"/>
      <w:bookmarkEnd w:id="99"/>
      <w:bookmarkEnd w:id="100"/>
      <w:bookmarkEnd w:id="101"/>
      <w:bookmarkEnd w:id="102"/>
    </w:p>
    <w:p w14:paraId="3836B93C" w14:textId="77777777" w:rsidR="000473BF" w:rsidRPr="004F799F" w:rsidRDefault="00BB45A0" w:rsidP="00250D66">
      <w:pPr>
        <w:pStyle w:val="List2"/>
        <w:numPr>
          <w:ilvl w:val="1"/>
          <w:numId w:val="10"/>
        </w:numPr>
        <w:tabs>
          <w:tab w:val="clear" w:pos="454"/>
        </w:tabs>
        <w:ind w:left="720" w:hanging="720"/>
        <w:rPr>
          <w:rFonts w:cstheme="minorHAnsi"/>
        </w:rPr>
      </w:pPr>
      <w:r w:rsidRPr="004F799F">
        <w:rPr>
          <w:rFonts w:cstheme="minorHAnsi"/>
        </w:rPr>
        <w:t xml:space="preserve">Decommissioning </w:t>
      </w:r>
      <w:r w:rsidR="00CD7A6A" w:rsidRPr="004F799F">
        <w:rPr>
          <w:rFonts w:cstheme="minorHAnsi"/>
        </w:rPr>
        <w:t>activities</w:t>
      </w:r>
      <w:r w:rsidRPr="004F799F">
        <w:rPr>
          <w:rFonts w:cstheme="minorHAnsi"/>
        </w:rPr>
        <w:t xml:space="preserve"> are the responsibility of the </w:t>
      </w:r>
      <w:r w:rsidR="00FE7968" w:rsidRPr="004F799F">
        <w:rPr>
          <w:rFonts w:cstheme="minorHAnsi"/>
        </w:rPr>
        <w:t xml:space="preserve">registered </w:t>
      </w:r>
      <w:r w:rsidRPr="004F799F">
        <w:rPr>
          <w:rFonts w:cstheme="minorHAnsi"/>
        </w:rPr>
        <w:t xml:space="preserve">holder </w:t>
      </w:r>
      <w:r w:rsidR="00BD678E" w:rsidRPr="004F799F">
        <w:rPr>
          <w:rFonts w:cstheme="minorHAnsi"/>
        </w:rPr>
        <w:t>of the title</w:t>
      </w:r>
      <w:r w:rsidR="00FE7968" w:rsidRPr="004F799F">
        <w:rPr>
          <w:rFonts w:cstheme="minorHAnsi"/>
        </w:rPr>
        <w:t xml:space="preserve"> </w:t>
      </w:r>
      <w:r w:rsidR="00E35BCC" w:rsidRPr="004F799F">
        <w:rPr>
          <w:rFonts w:cstheme="minorHAnsi"/>
        </w:rPr>
        <w:t xml:space="preserve">under which </w:t>
      </w:r>
      <w:r w:rsidR="00BD678E" w:rsidRPr="004F799F">
        <w:rPr>
          <w:rFonts w:cstheme="minorHAnsi"/>
        </w:rPr>
        <w:t xml:space="preserve">the </w:t>
      </w:r>
      <w:r w:rsidR="00CD7A6A" w:rsidRPr="004F799F">
        <w:rPr>
          <w:rFonts w:cstheme="minorHAnsi"/>
        </w:rPr>
        <w:t>activities</w:t>
      </w:r>
      <w:r w:rsidR="00E35BCC" w:rsidRPr="004F799F">
        <w:rPr>
          <w:rFonts w:cstheme="minorHAnsi"/>
        </w:rPr>
        <w:t xml:space="preserve"> </w:t>
      </w:r>
      <w:r w:rsidR="00BD678E" w:rsidRPr="004F799F">
        <w:rPr>
          <w:rFonts w:cstheme="minorHAnsi"/>
        </w:rPr>
        <w:t>take</w:t>
      </w:r>
      <w:r w:rsidR="00E35BCC" w:rsidRPr="004F799F">
        <w:rPr>
          <w:rFonts w:cstheme="minorHAnsi"/>
        </w:rPr>
        <w:t xml:space="preserve"> place</w:t>
      </w:r>
      <w:r w:rsidRPr="004F799F">
        <w:rPr>
          <w:rFonts w:cstheme="minorHAnsi"/>
        </w:rPr>
        <w:t xml:space="preserve">. </w:t>
      </w:r>
    </w:p>
    <w:p w14:paraId="41962D26" w14:textId="7D745383" w:rsidR="000473BF" w:rsidRPr="00B052D5" w:rsidRDefault="00BB45A0" w:rsidP="00250D66">
      <w:pPr>
        <w:pStyle w:val="List2"/>
        <w:numPr>
          <w:ilvl w:val="1"/>
          <w:numId w:val="10"/>
        </w:numPr>
        <w:tabs>
          <w:tab w:val="clear" w:pos="454"/>
        </w:tabs>
        <w:ind w:left="720" w:hanging="720"/>
        <w:rPr>
          <w:rFonts w:cstheme="minorHAnsi"/>
        </w:rPr>
      </w:pPr>
      <w:r w:rsidRPr="004F799F">
        <w:rPr>
          <w:rFonts w:cstheme="minorHAnsi"/>
        </w:rPr>
        <w:t xml:space="preserve">This includes timely and effective planning, obtaining necessary approvals, and executing the </w:t>
      </w:r>
      <w:r w:rsidR="00BD678E" w:rsidRPr="004F799F">
        <w:rPr>
          <w:rFonts w:cstheme="minorHAnsi"/>
        </w:rPr>
        <w:t>activities</w:t>
      </w:r>
      <w:r w:rsidRPr="004F799F">
        <w:rPr>
          <w:rFonts w:cstheme="minorHAnsi"/>
        </w:rPr>
        <w:t xml:space="preserve"> in compliance with the OPGGS Act, the regulations (including ac</w:t>
      </w:r>
      <w:r w:rsidR="00BD678E" w:rsidRPr="004F799F">
        <w:rPr>
          <w:rFonts w:cstheme="minorHAnsi"/>
        </w:rPr>
        <w:t>cepted permissioning documents)</w:t>
      </w:r>
      <w:r w:rsidRPr="004F799F">
        <w:rPr>
          <w:rFonts w:cstheme="minorHAnsi"/>
        </w:rPr>
        <w:t xml:space="preserve"> and other </w:t>
      </w:r>
      <w:r w:rsidR="00BD678E" w:rsidRPr="004F799F">
        <w:rPr>
          <w:rFonts w:cstheme="minorHAnsi"/>
        </w:rPr>
        <w:t>applicable domestic and international</w:t>
      </w:r>
      <w:r w:rsidRPr="004F799F">
        <w:rPr>
          <w:rFonts w:cstheme="minorHAnsi"/>
        </w:rPr>
        <w:t xml:space="preserve"> laws.</w:t>
      </w:r>
    </w:p>
    <w:p w14:paraId="13F5A95A" w14:textId="311ED897" w:rsidR="000473BF" w:rsidRPr="000473BF" w:rsidRDefault="000473BF" w:rsidP="00B74F6E">
      <w:pPr>
        <w:pStyle w:val="Heading3"/>
      </w:pPr>
      <w:bookmarkStart w:id="103" w:name="_Toc489460729"/>
      <w:bookmarkStart w:id="104" w:name="_Toc489460837"/>
      <w:bookmarkStart w:id="105" w:name="_Toc81319775"/>
      <w:bookmarkStart w:id="106" w:name="_Toc81322583"/>
      <w:bookmarkStart w:id="107" w:name="_Toc81324970"/>
      <w:bookmarkStart w:id="108" w:name="_Toc81327223"/>
      <w:bookmarkStart w:id="109" w:name="_Toc82785071"/>
      <w:r w:rsidRPr="000B22A9">
        <w:t>Early planning for decommissioning is encouraged</w:t>
      </w:r>
      <w:bookmarkEnd w:id="88"/>
      <w:bookmarkEnd w:id="89"/>
      <w:bookmarkEnd w:id="90"/>
      <w:bookmarkEnd w:id="103"/>
      <w:bookmarkEnd w:id="104"/>
      <w:bookmarkEnd w:id="105"/>
      <w:bookmarkEnd w:id="106"/>
      <w:bookmarkEnd w:id="107"/>
      <w:bookmarkEnd w:id="108"/>
      <w:bookmarkEnd w:id="109"/>
    </w:p>
    <w:p w14:paraId="421A28E9" w14:textId="77777777" w:rsidR="000473BF" w:rsidRDefault="002F1D4D" w:rsidP="00250D66">
      <w:pPr>
        <w:pStyle w:val="List2"/>
        <w:numPr>
          <w:ilvl w:val="1"/>
          <w:numId w:val="10"/>
        </w:numPr>
        <w:tabs>
          <w:tab w:val="clear" w:pos="454"/>
        </w:tabs>
        <w:ind w:left="720" w:hanging="720"/>
      </w:pPr>
      <w:r w:rsidRPr="0085079D">
        <w:rPr>
          <w:rFonts w:cstheme="minorHAnsi"/>
        </w:rPr>
        <w:t>Titleholders</w:t>
      </w:r>
      <w:r>
        <w:t xml:space="preserve"> are encouraged to </w:t>
      </w:r>
      <w:r w:rsidR="007C43AF">
        <w:t>plan for</w:t>
      </w:r>
      <w:r>
        <w:t xml:space="preserve"> decommissioning </w:t>
      </w:r>
      <w:r w:rsidR="007C43AF">
        <w:t>at the</w:t>
      </w:r>
      <w:r>
        <w:t xml:space="preserve"> early </w:t>
      </w:r>
      <w:r w:rsidR="007C43AF">
        <w:t>stages of project development</w:t>
      </w:r>
      <w:r w:rsidR="001F7DA7">
        <w:t xml:space="preserve">, </w:t>
      </w:r>
      <w:r w:rsidR="004A2A13">
        <w:t>as</w:t>
      </w:r>
      <w:r w:rsidR="00BD678E">
        <w:t xml:space="preserve"> </w:t>
      </w:r>
      <w:r w:rsidR="004A2A13">
        <w:t>part of</w:t>
      </w:r>
      <w:r w:rsidR="00FE7968">
        <w:t xml:space="preserve"> an</w:t>
      </w:r>
      <w:r w:rsidR="004A2A13">
        <w:t xml:space="preserve"> overall field development strategy.</w:t>
      </w:r>
      <w:r w:rsidR="00A00073">
        <w:t xml:space="preserve"> </w:t>
      </w:r>
    </w:p>
    <w:p w14:paraId="31853040" w14:textId="37E8B658" w:rsidR="00467E24" w:rsidRDefault="00A00073" w:rsidP="00250D66">
      <w:pPr>
        <w:pStyle w:val="List2"/>
        <w:numPr>
          <w:ilvl w:val="1"/>
          <w:numId w:val="10"/>
        </w:numPr>
        <w:tabs>
          <w:tab w:val="clear" w:pos="454"/>
        </w:tabs>
        <w:ind w:left="720" w:hanging="720"/>
      </w:pPr>
      <w:r>
        <w:t xml:space="preserve">Decommissioning should also be considered as part of the design and concept selection stages of </w:t>
      </w:r>
      <w:r w:rsidR="00A82AFA" w:rsidRPr="00250D66">
        <w:rPr>
          <w:rFonts w:cstheme="minorHAnsi"/>
        </w:rPr>
        <w:t>project</w:t>
      </w:r>
      <w:r w:rsidR="00A82AFA" w:rsidRPr="007F739A">
        <w:t xml:space="preserve"> </w:t>
      </w:r>
      <w:r w:rsidRPr="007F739A">
        <w:t>development</w:t>
      </w:r>
      <w:r w:rsidR="00A82AFA" w:rsidRPr="007F739A">
        <w:t xml:space="preserve"> or planning for an activity</w:t>
      </w:r>
      <w:r>
        <w:t>.</w:t>
      </w:r>
      <w:r w:rsidR="004A2A13">
        <w:t xml:space="preserve"> This will ensure decommissioning </w:t>
      </w:r>
      <w:r>
        <w:t xml:space="preserve">obligations and </w:t>
      </w:r>
      <w:r w:rsidR="001F7DA7">
        <w:t xml:space="preserve">associated </w:t>
      </w:r>
      <w:r w:rsidR="004A2A13">
        <w:t xml:space="preserve">costs </w:t>
      </w:r>
      <w:r>
        <w:t>can be</w:t>
      </w:r>
      <w:r w:rsidR="004A2A13">
        <w:t xml:space="preserve"> factored into overall project costs</w:t>
      </w:r>
      <w:r w:rsidR="00E70374">
        <w:t xml:space="preserve"> and planning</w:t>
      </w:r>
      <w:r w:rsidR="004A2A13">
        <w:t>.</w:t>
      </w:r>
    </w:p>
    <w:p w14:paraId="17BC6541" w14:textId="4E02DC74" w:rsidR="00467E24" w:rsidRPr="000B22A9" w:rsidRDefault="00C54FAF" w:rsidP="00B74F6E">
      <w:pPr>
        <w:pStyle w:val="Heading3"/>
      </w:pPr>
      <w:bookmarkStart w:id="110" w:name="_Toc479770961"/>
      <w:bookmarkStart w:id="111" w:name="_Toc479778732"/>
      <w:bookmarkStart w:id="112" w:name="_Toc479845248"/>
      <w:bookmarkStart w:id="113" w:name="_Toc482364333"/>
      <w:bookmarkStart w:id="114" w:name="_Toc486939237"/>
      <w:bookmarkStart w:id="115" w:name="_Toc486939310"/>
      <w:bookmarkStart w:id="116" w:name="_Toc486949857"/>
      <w:bookmarkStart w:id="117" w:name="_Toc486950218"/>
      <w:bookmarkStart w:id="118" w:name="_Toc486956416"/>
      <w:bookmarkStart w:id="119" w:name="_Toc81319776"/>
      <w:bookmarkStart w:id="120" w:name="_Toc81322584"/>
      <w:bookmarkStart w:id="121" w:name="_Toc81324971"/>
      <w:bookmarkStart w:id="122" w:name="_Toc81327224"/>
      <w:bookmarkStart w:id="123" w:name="_Toc82785072"/>
      <w:r>
        <w:t>R</w:t>
      </w:r>
      <w:r w:rsidR="00467E24" w:rsidRPr="000B22A9">
        <w:t xml:space="preserve">emoval of </w:t>
      </w:r>
      <w:r>
        <w:t xml:space="preserve">all </w:t>
      </w:r>
      <w:r w:rsidR="00467E24" w:rsidRPr="007F739A">
        <w:t>property</w:t>
      </w:r>
      <w:r w:rsidR="00467E24">
        <w:t xml:space="preserve"> is the </w:t>
      </w:r>
      <w:r w:rsidR="00467E24" w:rsidRPr="000B22A9">
        <w:t>“base case”</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67DA5B8" w14:textId="70DA0705" w:rsidR="004E413C" w:rsidRPr="004F799F" w:rsidRDefault="00294157" w:rsidP="00250D66">
      <w:pPr>
        <w:pStyle w:val="List2"/>
        <w:numPr>
          <w:ilvl w:val="1"/>
          <w:numId w:val="10"/>
        </w:numPr>
        <w:tabs>
          <w:tab w:val="clear" w:pos="454"/>
        </w:tabs>
        <w:ind w:left="720" w:hanging="720"/>
      </w:pPr>
      <w:r w:rsidRPr="004F799F">
        <w:t xml:space="preserve">The </w:t>
      </w:r>
      <w:r w:rsidR="004E4FB1" w:rsidRPr="00250D66">
        <w:rPr>
          <w:rFonts w:cstheme="minorHAnsi"/>
        </w:rPr>
        <w:t>remova</w:t>
      </w:r>
      <w:r w:rsidRPr="00250D66">
        <w:rPr>
          <w:rFonts w:cstheme="minorHAnsi"/>
        </w:rPr>
        <w:t>l</w:t>
      </w:r>
      <w:r w:rsidRPr="004F799F">
        <w:t xml:space="preserve"> of </w:t>
      </w:r>
      <w:r w:rsidR="00532B14">
        <w:t xml:space="preserve">all </w:t>
      </w:r>
      <w:r w:rsidR="00F4483C" w:rsidRPr="004F799F">
        <w:t xml:space="preserve">property </w:t>
      </w:r>
      <w:r w:rsidRPr="004F799F">
        <w:t>and the pl</w:t>
      </w:r>
      <w:r w:rsidR="003B4DBF" w:rsidRPr="004F799F">
        <w:t xml:space="preserve">ugging and abandonment of wells </w:t>
      </w:r>
      <w:r w:rsidR="00947E38">
        <w:t xml:space="preserve">in line with the provisions of s572 of the OPGGS Act </w:t>
      </w:r>
      <w:r w:rsidR="003B4DBF" w:rsidRPr="004F799F">
        <w:t>is t</w:t>
      </w:r>
      <w:r w:rsidR="00B83569" w:rsidRPr="004F799F" w:rsidDel="00634334">
        <w:t xml:space="preserve">he </w:t>
      </w:r>
      <w:r w:rsidR="00135489" w:rsidRPr="004F799F">
        <w:t xml:space="preserve">default </w:t>
      </w:r>
      <w:r w:rsidR="004E4FB1" w:rsidRPr="004F799F">
        <w:t xml:space="preserve">decommissioning </w:t>
      </w:r>
      <w:r w:rsidR="00B83569" w:rsidRPr="004F799F">
        <w:t>requirement</w:t>
      </w:r>
      <w:r w:rsidR="002E67D8" w:rsidRPr="004F799F">
        <w:t xml:space="preserve"> under the OPGGS Act</w:t>
      </w:r>
      <w:r w:rsidR="00886AAD" w:rsidRPr="004F799F">
        <w:t xml:space="preserve"> (</w:t>
      </w:r>
      <w:proofErr w:type="gramStart"/>
      <w:r w:rsidR="00886AAD" w:rsidRPr="004F799F">
        <w:t>i.e.</w:t>
      </w:r>
      <w:proofErr w:type="gramEnd"/>
      <w:r w:rsidR="00886AAD" w:rsidRPr="004F799F">
        <w:t xml:space="preserve"> the ‘base case’)</w:t>
      </w:r>
      <w:r w:rsidR="00F61023">
        <w:t>.</w:t>
      </w:r>
    </w:p>
    <w:p w14:paraId="2F58C5B7" w14:textId="74F3E157" w:rsidR="00D577CC" w:rsidRPr="004F799F" w:rsidRDefault="000442B1" w:rsidP="00250D66">
      <w:pPr>
        <w:pStyle w:val="List2"/>
        <w:numPr>
          <w:ilvl w:val="1"/>
          <w:numId w:val="10"/>
        </w:numPr>
        <w:tabs>
          <w:tab w:val="clear" w:pos="454"/>
        </w:tabs>
        <w:ind w:left="720" w:hanging="720"/>
      </w:pPr>
      <w:r w:rsidRPr="004F799F">
        <w:t>This is consistent with Australia’s</w:t>
      </w:r>
      <w:r w:rsidR="00735DB3" w:rsidRPr="004F799F">
        <w:t xml:space="preserve"> international</w:t>
      </w:r>
      <w:r w:rsidRPr="004F799F">
        <w:t xml:space="preserve"> obligations</w:t>
      </w:r>
      <w:r w:rsidR="00735DB3" w:rsidRPr="004F799F">
        <w:t>, primarily</w:t>
      </w:r>
      <w:r w:rsidRPr="004F799F">
        <w:t xml:space="preserve"> under the United Nations </w:t>
      </w:r>
      <w:r w:rsidRPr="0085079D">
        <w:rPr>
          <w:rFonts w:cstheme="minorHAnsi"/>
        </w:rPr>
        <w:t>Convention</w:t>
      </w:r>
      <w:r w:rsidRPr="004F799F">
        <w:t xml:space="preserve"> on the Law of the Sea</w:t>
      </w:r>
      <w:r w:rsidR="00735DB3" w:rsidRPr="004F799F">
        <w:t xml:space="preserve"> (UNCLOS) and the</w:t>
      </w:r>
      <w:r w:rsidR="005E0BA0" w:rsidRPr="004F799F">
        <w:t xml:space="preserve"> </w:t>
      </w:r>
      <w:r w:rsidR="005E0BA0" w:rsidRPr="004F799F">
        <w:rPr>
          <w:lang w:val="en-US"/>
        </w:rPr>
        <w:t>1996 Protocol to the Convention on the Prevention of Marine Pollution by Dumping of Wastes and Other Matter, 1972, (the London Protocol)</w:t>
      </w:r>
      <w:r w:rsidR="00735DB3" w:rsidRPr="004F799F">
        <w:t xml:space="preserve">, </w:t>
      </w:r>
      <w:r w:rsidRPr="004F799F">
        <w:t>to remove disused installations and structures and</w:t>
      </w:r>
      <w:r w:rsidR="00735DB3" w:rsidRPr="004F799F">
        <w:t xml:space="preserve"> to</w:t>
      </w:r>
      <w:r w:rsidRPr="004F799F">
        <w:t xml:space="preserve"> preserve and protect the marine environment</w:t>
      </w:r>
      <w:r w:rsidR="00133B92" w:rsidRPr="004F799F">
        <w:t>.</w:t>
      </w:r>
    </w:p>
    <w:p w14:paraId="64DA1746" w14:textId="72EF784B" w:rsidR="004E413C" w:rsidRPr="004F799F" w:rsidRDefault="004E413C" w:rsidP="00250D66">
      <w:pPr>
        <w:pStyle w:val="List2"/>
        <w:numPr>
          <w:ilvl w:val="1"/>
          <w:numId w:val="10"/>
        </w:numPr>
        <w:tabs>
          <w:tab w:val="clear" w:pos="454"/>
        </w:tabs>
        <w:ind w:left="720" w:hanging="720"/>
      </w:pPr>
      <w:r w:rsidRPr="004F799F">
        <w:t xml:space="preserve">The London Protocol is implemented domestically in Australia by the </w:t>
      </w:r>
      <w:hyperlink r:id="rId16" w:history="1">
        <w:r w:rsidRPr="004F799F">
          <w:rPr>
            <w:rStyle w:val="Hyperlink"/>
            <w:i/>
          </w:rPr>
          <w:t>Environment Protection (Sea Dumping) Act 1981</w:t>
        </w:r>
      </w:hyperlink>
      <w:r w:rsidRPr="004F799F">
        <w:t xml:space="preserve"> (Sea Dumping Act). Persons proposing to dump controlled material at sea, abandon infrastructure at sea or to create an artificial reef, </w:t>
      </w:r>
      <w:r w:rsidR="008B4DD4">
        <w:t>may be required to</w:t>
      </w:r>
      <w:r w:rsidRPr="004F799F">
        <w:t xml:space="preserve"> apply to the Minister for </w:t>
      </w:r>
      <w:r w:rsidRPr="00250D66">
        <w:rPr>
          <w:rFonts w:cstheme="minorHAnsi"/>
        </w:rPr>
        <w:t>the</w:t>
      </w:r>
      <w:r w:rsidRPr="004F799F">
        <w:t xml:space="preserve"> Environment for a permit. Refer to </w:t>
      </w:r>
      <w:r w:rsidR="002E7843">
        <w:t>the section on</w:t>
      </w:r>
      <w:r w:rsidRPr="004F799F">
        <w:t xml:space="preserve"> </w:t>
      </w:r>
      <w:r w:rsidR="00834F21">
        <w:t>‘</w:t>
      </w:r>
      <w:r w:rsidR="00834F21">
        <w:fldChar w:fldCharType="begin"/>
      </w:r>
      <w:r w:rsidR="00834F21">
        <w:instrText xml:space="preserve"> REF _Ref82774331 \h </w:instrText>
      </w:r>
      <w:r w:rsidR="00834F21">
        <w:fldChar w:fldCharType="separate"/>
      </w:r>
      <w:r w:rsidR="00C917F9" w:rsidRPr="00FD5B86">
        <w:t>Environment Protection (Sea Dumping) Act 1981</w:t>
      </w:r>
      <w:r w:rsidR="00834F21">
        <w:fldChar w:fldCharType="end"/>
      </w:r>
      <w:r w:rsidR="00834F21">
        <w:t>’</w:t>
      </w:r>
      <w:r w:rsidRPr="004F799F">
        <w:t xml:space="preserve"> for further details.</w:t>
      </w:r>
    </w:p>
    <w:p w14:paraId="1718B63F" w14:textId="432638AA" w:rsidR="00250D79" w:rsidRPr="004F799F" w:rsidRDefault="00FB4553" w:rsidP="00250D66">
      <w:pPr>
        <w:pStyle w:val="List2"/>
        <w:keepLines/>
        <w:numPr>
          <w:ilvl w:val="1"/>
          <w:numId w:val="10"/>
        </w:numPr>
        <w:tabs>
          <w:tab w:val="clear" w:pos="454"/>
        </w:tabs>
        <w:ind w:left="720" w:hanging="720"/>
      </w:pPr>
      <w:r w:rsidRPr="004F799F">
        <w:rPr>
          <w:rFonts w:ascii="Calibri" w:hAnsi="Calibri"/>
        </w:rPr>
        <w:lastRenderedPageBreak/>
        <w:t xml:space="preserve">Australia’s </w:t>
      </w:r>
      <w:r w:rsidRPr="00250D66">
        <w:rPr>
          <w:rFonts w:cstheme="minorHAnsi"/>
        </w:rPr>
        <w:t>decommissioning</w:t>
      </w:r>
      <w:r w:rsidRPr="004F799F">
        <w:rPr>
          <w:rFonts w:ascii="Calibri" w:hAnsi="Calibri"/>
        </w:rPr>
        <w:t xml:space="preserve"> policies also consider the requirements of the International Maritime Organisation (IMO) Resolution A.672(16) </w:t>
      </w:r>
      <w:hyperlink r:id="rId17" w:tooltip="http://www.imo.org/blast/blastDataHelper.asp?data_id=22503&amp;filename=A672(16)E.pdf" w:history="1">
        <w:r w:rsidRPr="004F799F">
          <w:rPr>
            <w:rFonts w:ascii="Calibri" w:hAnsi="Calibri"/>
          </w:rPr>
          <w:t xml:space="preserve">- </w:t>
        </w:r>
        <w:r w:rsidRPr="004F799F">
          <w:rPr>
            <w:rStyle w:val="Hyperlink"/>
            <w:rFonts w:ascii="Calibri" w:hAnsi="Calibri"/>
            <w:i/>
          </w:rPr>
          <w:t>Guidelines and Standards for the Removal of Offshore Installations and Structures on the Continental Shelf and the Exclusive Economic Zone</w:t>
        </w:r>
      </w:hyperlink>
      <w:r w:rsidR="00BC422A" w:rsidRPr="004F799F">
        <w:rPr>
          <w:rFonts w:ascii="Calibri" w:hAnsi="Calibri"/>
        </w:rPr>
        <w:t xml:space="preserve"> (IMO </w:t>
      </w:r>
      <w:r w:rsidR="00BC422A" w:rsidRPr="0085079D">
        <w:rPr>
          <w:rFonts w:cstheme="minorHAnsi"/>
        </w:rPr>
        <w:t>Resolution</w:t>
      </w:r>
      <w:r w:rsidR="00BC422A" w:rsidRPr="004F799F">
        <w:rPr>
          <w:rFonts w:ascii="Calibri" w:hAnsi="Calibri"/>
        </w:rPr>
        <w:t>)</w:t>
      </w:r>
      <w:r w:rsidRPr="004F799F">
        <w:rPr>
          <w:rFonts w:ascii="Calibri" w:hAnsi="Calibri"/>
        </w:rPr>
        <w:t>. This instrument sets out the matters to be considered by State parties to UNCLOS when making decisions dealing with abandoned or disused installations on the Continental Shelf.</w:t>
      </w:r>
    </w:p>
    <w:p w14:paraId="26E82CCB" w14:textId="2A1455EC" w:rsidR="004E413C" w:rsidRPr="004F799F" w:rsidRDefault="00FB4553" w:rsidP="00250D66">
      <w:pPr>
        <w:pStyle w:val="List2"/>
        <w:numPr>
          <w:ilvl w:val="1"/>
          <w:numId w:val="10"/>
        </w:numPr>
        <w:tabs>
          <w:tab w:val="clear" w:pos="454"/>
        </w:tabs>
        <w:ind w:left="720" w:hanging="720"/>
      </w:pPr>
      <w:r w:rsidRPr="004F799F">
        <w:rPr>
          <w:rFonts w:ascii="Calibri" w:hAnsi="Calibri"/>
        </w:rPr>
        <w:t xml:space="preserve">The </w:t>
      </w:r>
      <w:r w:rsidR="00BC422A" w:rsidRPr="004F799F">
        <w:rPr>
          <w:rFonts w:ascii="Calibri" w:hAnsi="Calibri"/>
        </w:rPr>
        <w:t xml:space="preserve">IMO </w:t>
      </w:r>
      <w:r w:rsidR="00BC422A" w:rsidRPr="004F799F">
        <w:t>Resolution</w:t>
      </w:r>
      <w:r w:rsidRPr="004F799F">
        <w:rPr>
          <w:rFonts w:ascii="Calibri" w:hAnsi="Calibri"/>
        </w:rPr>
        <w:t xml:space="preserve"> state</w:t>
      </w:r>
      <w:r w:rsidR="00BC422A" w:rsidRPr="004F799F">
        <w:rPr>
          <w:rFonts w:ascii="Calibri" w:hAnsi="Calibri"/>
        </w:rPr>
        <w:t>s</w:t>
      </w:r>
      <w:r w:rsidRPr="004F799F">
        <w:rPr>
          <w:rFonts w:ascii="Calibri" w:hAnsi="Calibri"/>
        </w:rPr>
        <w:t xml:space="preserve"> that a</w:t>
      </w:r>
      <w:r w:rsidRPr="004F799F">
        <w:t xml:space="preserve">bandoned or disused offshore installations or structures on any continental shelf or in any exclusive economic zone (EEZ) are required to be removed, except </w:t>
      </w:r>
      <w:r w:rsidRPr="00250D66">
        <w:rPr>
          <w:rFonts w:cstheme="minorHAnsi"/>
        </w:rPr>
        <w:t>where</w:t>
      </w:r>
      <w:r w:rsidRPr="004F799F">
        <w:t xml:space="preserve"> non-removal or partial removal is consistent with the guidelines and standards</w:t>
      </w:r>
      <w:r w:rsidR="00BC422A" w:rsidRPr="004F799F">
        <w:t xml:space="preserve"> contained within</w:t>
      </w:r>
      <w:r w:rsidRPr="004F799F">
        <w:t xml:space="preserve">. </w:t>
      </w:r>
    </w:p>
    <w:p w14:paraId="7D8C900C" w14:textId="1C21671B" w:rsidR="00057875" w:rsidRPr="004F799F" w:rsidRDefault="00FB4553" w:rsidP="00250D66">
      <w:pPr>
        <w:pStyle w:val="List2"/>
        <w:numPr>
          <w:ilvl w:val="1"/>
          <w:numId w:val="10"/>
        </w:numPr>
        <w:tabs>
          <w:tab w:val="clear" w:pos="454"/>
        </w:tabs>
        <w:ind w:left="720" w:hanging="720"/>
        <w:rPr>
          <w:rFonts w:ascii="Calibri" w:hAnsi="Calibri"/>
        </w:rPr>
      </w:pPr>
      <w:r w:rsidRPr="004F799F">
        <w:rPr>
          <w:rFonts w:ascii="Calibri" w:hAnsi="Calibri"/>
        </w:rPr>
        <w:t xml:space="preserve">The IMO guidelines and standards do not preclude a coastal state from </w:t>
      </w:r>
      <w:r w:rsidR="00083D00">
        <w:rPr>
          <w:rFonts w:ascii="Calibri" w:hAnsi="Calibri"/>
        </w:rPr>
        <w:t>setting</w:t>
      </w:r>
      <w:r w:rsidR="00083D00" w:rsidRPr="004F799F">
        <w:rPr>
          <w:rFonts w:ascii="Calibri" w:hAnsi="Calibri"/>
        </w:rPr>
        <w:t xml:space="preserve"> </w:t>
      </w:r>
      <w:r w:rsidRPr="004F799F">
        <w:rPr>
          <w:rFonts w:ascii="Calibri" w:hAnsi="Calibri"/>
        </w:rPr>
        <w:t xml:space="preserve">more stringent </w:t>
      </w:r>
      <w:r w:rsidRPr="00250D66">
        <w:rPr>
          <w:rFonts w:cstheme="minorHAnsi"/>
        </w:rPr>
        <w:t>removal</w:t>
      </w:r>
      <w:r w:rsidRPr="004F799F">
        <w:rPr>
          <w:rFonts w:ascii="Calibri" w:hAnsi="Calibri"/>
        </w:rPr>
        <w:t xml:space="preserve"> requirements for existing or future offshore </w:t>
      </w:r>
      <w:r w:rsidR="00F4483C" w:rsidRPr="004F799F">
        <w:rPr>
          <w:rFonts w:ascii="Calibri" w:hAnsi="Calibri"/>
        </w:rPr>
        <w:t>property</w:t>
      </w:r>
      <w:r w:rsidRPr="004F799F">
        <w:rPr>
          <w:rFonts w:ascii="Calibri" w:hAnsi="Calibri"/>
        </w:rPr>
        <w:t>.</w:t>
      </w:r>
    </w:p>
    <w:p w14:paraId="2BF7C3FF" w14:textId="3DF219C2" w:rsidR="00B67F83" w:rsidRPr="004F799F" w:rsidRDefault="00F35DA0" w:rsidP="00250D66">
      <w:pPr>
        <w:pStyle w:val="List2"/>
        <w:numPr>
          <w:ilvl w:val="1"/>
          <w:numId w:val="10"/>
        </w:numPr>
        <w:tabs>
          <w:tab w:val="clear" w:pos="454"/>
        </w:tabs>
        <w:ind w:left="720" w:hanging="720"/>
      </w:pPr>
      <w:r w:rsidRPr="004F799F">
        <w:t xml:space="preserve">All </w:t>
      </w:r>
      <w:r w:rsidRPr="00250D66">
        <w:rPr>
          <w:rFonts w:cstheme="minorHAnsi"/>
        </w:rPr>
        <w:t>decisions</w:t>
      </w:r>
      <w:r w:rsidRPr="004F799F">
        <w:t xml:space="preserve"> regarding </w:t>
      </w:r>
      <w:r w:rsidR="00F60ECD">
        <w:t xml:space="preserve">decommissioning </w:t>
      </w:r>
      <w:r w:rsidRPr="004F799F">
        <w:t xml:space="preserve">of property will consider Australia’s obligations under UNCLOS, including </w:t>
      </w:r>
      <w:r w:rsidRPr="0085079D">
        <w:rPr>
          <w:rFonts w:cstheme="minorHAnsi"/>
        </w:rPr>
        <w:t>relevant</w:t>
      </w:r>
      <w:r w:rsidRPr="004F799F">
        <w:t xml:space="preserve"> IMO resolutions.</w:t>
      </w:r>
    </w:p>
    <w:p w14:paraId="12B2E5EC" w14:textId="243B5A55" w:rsidR="00250D79" w:rsidRPr="004F799F" w:rsidRDefault="0005465E" w:rsidP="00250D66">
      <w:pPr>
        <w:pStyle w:val="List2"/>
        <w:numPr>
          <w:ilvl w:val="1"/>
          <w:numId w:val="10"/>
        </w:numPr>
        <w:tabs>
          <w:tab w:val="clear" w:pos="454"/>
        </w:tabs>
        <w:ind w:left="720" w:hanging="720"/>
      </w:pPr>
      <w:r w:rsidRPr="004F799F">
        <w:t xml:space="preserve">All </w:t>
      </w:r>
      <w:r w:rsidRPr="00250D66">
        <w:rPr>
          <w:rFonts w:cstheme="minorHAnsi"/>
        </w:rPr>
        <w:t>decommissioning</w:t>
      </w:r>
      <w:r w:rsidRPr="004F799F">
        <w:t xml:space="preserve"> requirements are </w:t>
      </w:r>
      <w:r w:rsidR="002E67D8" w:rsidRPr="004F799F">
        <w:t xml:space="preserve">subject to other </w:t>
      </w:r>
      <w:r w:rsidR="00CA6583" w:rsidRPr="004F799F">
        <w:t xml:space="preserve">provisions </w:t>
      </w:r>
      <w:r w:rsidR="002E67D8" w:rsidRPr="004F799F">
        <w:t>of the OPGGS Act</w:t>
      </w:r>
      <w:r w:rsidR="00CA6583" w:rsidRPr="004F799F">
        <w:t xml:space="preserve"> and</w:t>
      </w:r>
      <w:r w:rsidR="002E67D8" w:rsidRPr="004F799F">
        <w:t xml:space="preserve"> </w:t>
      </w:r>
      <w:r w:rsidR="004A2A13" w:rsidRPr="004F799F">
        <w:t>r</w:t>
      </w:r>
      <w:r w:rsidR="002E67D8" w:rsidRPr="004F799F">
        <w:t xml:space="preserve">egulations, directions given by </w:t>
      </w:r>
      <w:r w:rsidR="00413C27" w:rsidRPr="004F799F">
        <w:t xml:space="preserve">the </w:t>
      </w:r>
      <w:r w:rsidR="00707514" w:rsidRPr="004F799F">
        <w:t>N</w:t>
      </w:r>
      <w:r w:rsidR="00413C27" w:rsidRPr="004F799F">
        <w:t xml:space="preserve">ational </w:t>
      </w:r>
      <w:r w:rsidR="00707514" w:rsidRPr="004F799F">
        <w:t>O</w:t>
      </w:r>
      <w:r w:rsidR="00413C27" w:rsidRPr="004F799F">
        <w:t xml:space="preserve">ffshore </w:t>
      </w:r>
      <w:r w:rsidR="00707514" w:rsidRPr="004F799F">
        <w:t>P</w:t>
      </w:r>
      <w:r w:rsidR="00413C27" w:rsidRPr="004F799F">
        <w:t xml:space="preserve">etroleum </w:t>
      </w:r>
      <w:r w:rsidR="00707514" w:rsidRPr="004F799F">
        <w:t>S</w:t>
      </w:r>
      <w:r w:rsidR="00413C27" w:rsidRPr="004F799F">
        <w:t xml:space="preserve">afety and </w:t>
      </w:r>
      <w:r w:rsidR="00707514" w:rsidRPr="004F799F">
        <w:t>E</w:t>
      </w:r>
      <w:r w:rsidR="00413C27" w:rsidRPr="004F799F">
        <w:t xml:space="preserve">nvironmental </w:t>
      </w:r>
      <w:r w:rsidR="00707514" w:rsidRPr="004F799F">
        <w:t>M</w:t>
      </w:r>
      <w:r w:rsidR="00413C27" w:rsidRPr="004F799F">
        <w:t xml:space="preserve">anagement </w:t>
      </w:r>
      <w:r w:rsidR="00707514" w:rsidRPr="004F799F">
        <w:t>A</w:t>
      </w:r>
      <w:r w:rsidR="00413C27" w:rsidRPr="004F799F">
        <w:t>uthority (NOPSEMA)</w:t>
      </w:r>
      <w:r w:rsidR="002E67D8" w:rsidRPr="004F799F">
        <w:t xml:space="preserve"> or</w:t>
      </w:r>
      <w:r w:rsidR="008D3984" w:rsidRPr="004F799F">
        <w:t xml:space="preserve"> the</w:t>
      </w:r>
      <w:r w:rsidR="002E67D8" w:rsidRPr="004F799F">
        <w:t xml:space="preserve"> responsible Commonwealth Minister</w:t>
      </w:r>
      <w:r w:rsidR="008D3984" w:rsidRPr="004F799F">
        <w:t>,</w:t>
      </w:r>
      <w:r w:rsidR="002E67D8" w:rsidRPr="004F799F">
        <w:t xml:space="preserve"> and other</w:t>
      </w:r>
      <w:r w:rsidR="008D3984" w:rsidRPr="004F799F">
        <w:t xml:space="preserve"> applicable</w:t>
      </w:r>
      <w:r w:rsidR="002E67D8" w:rsidRPr="004F799F">
        <w:t xml:space="preserve"> law</w:t>
      </w:r>
      <w:r w:rsidR="008D3984" w:rsidRPr="004F799F">
        <w:t>s</w:t>
      </w:r>
      <w:r w:rsidR="00A4093D" w:rsidRPr="004F799F">
        <w:t xml:space="preserve">. </w:t>
      </w:r>
      <w:r w:rsidR="00AB0899" w:rsidRPr="004F799F">
        <w:t xml:space="preserve">Further information on the maintenance and removal of property can be found in NOPSEMA’s </w:t>
      </w:r>
      <w:hyperlink r:id="rId18" w:history="1">
        <w:r w:rsidR="00AB0899" w:rsidRPr="00BF1F8F">
          <w:rPr>
            <w:rStyle w:val="Hyperlink"/>
            <w:i/>
          </w:rPr>
          <w:t>Section 572 Maintenance and Removal of Property Policy</w:t>
        </w:r>
      </w:hyperlink>
      <w:r w:rsidR="00AB0899" w:rsidRPr="004F799F">
        <w:t>.</w:t>
      </w:r>
    </w:p>
    <w:p w14:paraId="72F4C08D" w14:textId="6BEF3795" w:rsidR="00B44519" w:rsidRDefault="007A2F26" w:rsidP="00250D66">
      <w:pPr>
        <w:pStyle w:val="List2"/>
        <w:numPr>
          <w:ilvl w:val="1"/>
          <w:numId w:val="10"/>
        </w:numPr>
        <w:tabs>
          <w:tab w:val="clear" w:pos="454"/>
        </w:tabs>
        <w:ind w:left="720" w:hanging="720"/>
      </w:pPr>
      <w:r w:rsidRPr="004F799F">
        <w:t>O</w:t>
      </w:r>
      <w:r w:rsidR="002E67D8" w:rsidRPr="004F799F">
        <w:t xml:space="preserve">ptions </w:t>
      </w:r>
      <w:r w:rsidR="004218EC" w:rsidRPr="00250D66">
        <w:rPr>
          <w:rFonts w:cstheme="minorHAnsi"/>
        </w:rPr>
        <w:t>other</w:t>
      </w:r>
      <w:r w:rsidR="004218EC" w:rsidRPr="004F799F">
        <w:t xml:space="preserve"> than complete removal</w:t>
      </w:r>
      <w:r w:rsidR="004E4FB1" w:rsidRPr="004F799F">
        <w:t xml:space="preserve"> may be </w:t>
      </w:r>
      <w:r w:rsidR="00854F2D" w:rsidRPr="004F799F">
        <w:t>considered</w:t>
      </w:r>
      <w:r w:rsidR="00ED49DF" w:rsidRPr="004F799F">
        <w:t>,</w:t>
      </w:r>
      <w:r w:rsidR="00294157" w:rsidRPr="004F799F">
        <w:t xml:space="preserve"> </w:t>
      </w:r>
      <w:r w:rsidR="00854F2D" w:rsidRPr="004F799F">
        <w:t xml:space="preserve">however </w:t>
      </w:r>
      <w:r w:rsidR="0062118A" w:rsidRPr="004F799F">
        <w:t xml:space="preserve">the titleholder </w:t>
      </w:r>
      <w:r w:rsidR="00854F2D" w:rsidRPr="004F799F">
        <w:t xml:space="preserve">must </w:t>
      </w:r>
      <w:r w:rsidR="0062118A" w:rsidRPr="004F799F">
        <w:t xml:space="preserve">demonstrate </w:t>
      </w:r>
      <w:r w:rsidR="00BD678E" w:rsidRPr="004F799F">
        <w:t xml:space="preserve">that the </w:t>
      </w:r>
      <w:r w:rsidR="00CA6583" w:rsidRPr="004F799F">
        <w:t xml:space="preserve">alternative </w:t>
      </w:r>
      <w:r w:rsidR="008D3984" w:rsidRPr="004F799F">
        <w:t xml:space="preserve">decommissioning </w:t>
      </w:r>
      <w:r w:rsidR="002E67D8" w:rsidRPr="004F799F">
        <w:t>approach</w:t>
      </w:r>
      <w:r w:rsidR="00BE56D9" w:rsidRPr="004F799F">
        <w:t xml:space="preserve"> </w:t>
      </w:r>
      <w:r w:rsidR="004E4FB1" w:rsidRPr="004F799F">
        <w:t>deliver</w:t>
      </w:r>
      <w:r w:rsidR="00BE56D9" w:rsidRPr="004F799F">
        <w:t>s</w:t>
      </w:r>
      <w:r w:rsidR="004E4FB1" w:rsidRPr="004F799F">
        <w:t xml:space="preserve"> equal or better environmental outcomes compared to </w:t>
      </w:r>
      <w:r w:rsidR="004E4FB1" w:rsidRPr="00DA5D9D">
        <w:t>complete removal</w:t>
      </w:r>
      <w:r w:rsidR="006721F9" w:rsidRPr="00DA5D9D">
        <w:t xml:space="preserve"> </w:t>
      </w:r>
      <w:r w:rsidR="009E2242" w:rsidRPr="00053E82">
        <w:t xml:space="preserve">and meets all applicable </w:t>
      </w:r>
      <w:r w:rsidR="006721F9" w:rsidRPr="00053E82">
        <w:t xml:space="preserve">requirements </w:t>
      </w:r>
      <w:r w:rsidR="009E2242" w:rsidRPr="00053E82">
        <w:t>under</w:t>
      </w:r>
      <w:r w:rsidR="006721F9" w:rsidRPr="00053E82">
        <w:t xml:space="preserve"> the OPGGS Act and regulations, </w:t>
      </w:r>
      <w:r w:rsidR="009E2242" w:rsidRPr="00053E82">
        <w:t>including</w:t>
      </w:r>
      <w:r w:rsidR="006721F9" w:rsidRPr="00053E82">
        <w:t xml:space="preserve"> well integrity and safety-related matters</w:t>
      </w:r>
      <w:r w:rsidR="009E2242" w:rsidRPr="00053E82">
        <w:t>, and other applicable laws</w:t>
      </w:r>
      <w:r w:rsidR="00BB2CA7" w:rsidRPr="00DA5D9D">
        <w:t xml:space="preserve">. </w:t>
      </w:r>
    </w:p>
    <w:p w14:paraId="13B8B92D" w14:textId="70988B58" w:rsidR="00B91219" w:rsidDel="00B052D5" w:rsidRDefault="00BB2CA7" w:rsidP="00B44519">
      <w:pPr>
        <w:pStyle w:val="Calloutbox"/>
      </w:pPr>
      <w:r w:rsidRPr="004F799F">
        <w:t xml:space="preserve">See </w:t>
      </w:r>
      <w:r w:rsidR="00F61023">
        <w:t>‘</w:t>
      </w:r>
      <w:r w:rsidR="00F61023">
        <w:fldChar w:fldCharType="begin"/>
      </w:r>
      <w:r w:rsidR="00F61023">
        <w:instrText xml:space="preserve"> REF _Ref82767016 \h </w:instrText>
      </w:r>
      <w:r w:rsidR="0085079D">
        <w:instrText xml:space="preserve"> \* MERGEFORMAT </w:instrText>
      </w:r>
      <w:r w:rsidR="00F61023">
        <w:fldChar w:fldCharType="separate"/>
      </w:r>
      <w:r w:rsidR="00C917F9" w:rsidRPr="000B22A9">
        <w:t xml:space="preserve">Deviation </w:t>
      </w:r>
      <w:r w:rsidR="00C917F9" w:rsidRPr="00C917F9">
        <w:rPr>
          <w:rFonts w:cstheme="minorHAnsi"/>
        </w:rPr>
        <w:t>from</w:t>
      </w:r>
      <w:r w:rsidR="00C917F9" w:rsidRPr="00BA7D19">
        <w:rPr>
          <w:rStyle w:val="Heading2Char"/>
        </w:rPr>
        <w:t xml:space="preserve"> </w:t>
      </w:r>
      <w:r w:rsidR="00C917F9" w:rsidRPr="000B22A9">
        <w:t>removal requirements</w:t>
      </w:r>
      <w:r w:rsidR="00F61023">
        <w:fldChar w:fldCharType="end"/>
      </w:r>
      <w:r w:rsidR="00F61023">
        <w:t>’</w:t>
      </w:r>
      <w:r w:rsidR="009F2720">
        <w:t xml:space="preserve"> </w:t>
      </w:r>
      <w:r w:rsidRPr="004F799F">
        <w:t>for further information on deviations from the base-case of full removal.</w:t>
      </w:r>
      <w:r w:rsidR="003B4DBF" w:rsidDel="00B052D5">
        <w:t xml:space="preserve"> </w:t>
      </w:r>
    </w:p>
    <w:p w14:paraId="2A223D2C" w14:textId="30A4BFDA" w:rsidR="004E4FB1" w:rsidRPr="000B22A9" w:rsidRDefault="002E69FE" w:rsidP="00B74F6E">
      <w:pPr>
        <w:pStyle w:val="Heading3"/>
      </w:pPr>
      <w:bookmarkStart w:id="124" w:name="_Toc479770962"/>
      <w:bookmarkStart w:id="125" w:name="_Toc479778733"/>
      <w:bookmarkStart w:id="126" w:name="_Toc479845249"/>
      <w:bookmarkStart w:id="127" w:name="_Toc482364334"/>
      <w:bookmarkStart w:id="128" w:name="_Toc486939238"/>
      <w:bookmarkStart w:id="129" w:name="_Toc486939311"/>
      <w:bookmarkStart w:id="130" w:name="_Toc486949858"/>
      <w:bookmarkStart w:id="131" w:name="_Toc486950219"/>
      <w:bookmarkStart w:id="132" w:name="_Toc486956417"/>
      <w:bookmarkStart w:id="133" w:name="_Toc489460730"/>
      <w:bookmarkStart w:id="134" w:name="_Toc489460838"/>
      <w:bookmarkStart w:id="135" w:name="_Toc81319777"/>
      <w:bookmarkStart w:id="136" w:name="_Toc81322585"/>
      <w:bookmarkStart w:id="137" w:name="_Toc81324972"/>
      <w:bookmarkStart w:id="138" w:name="_Toc81327225"/>
      <w:bookmarkStart w:id="139" w:name="_Toc82785073"/>
      <w:r w:rsidRPr="000B22A9">
        <w:t xml:space="preserve">Decommissioning </w:t>
      </w:r>
      <w:r w:rsidR="00FC3C70" w:rsidRPr="000B22A9">
        <w:t>must be</w:t>
      </w:r>
      <w:r w:rsidR="00250D79">
        <w:t xml:space="preserve"> completed before the end of </w:t>
      </w:r>
      <w:r w:rsidR="004E4FB1" w:rsidRPr="000B22A9">
        <w:t>title</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BBC0C91" w14:textId="2E12A2BF" w:rsidR="002E69FE" w:rsidRPr="003139BA" w:rsidRDefault="00F3021A" w:rsidP="00250D66">
      <w:pPr>
        <w:pStyle w:val="List2"/>
        <w:numPr>
          <w:ilvl w:val="1"/>
          <w:numId w:val="10"/>
        </w:numPr>
        <w:tabs>
          <w:tab w:val="clear" w:pos="454"/>
        </w:tabs>
        <w:ind w:left="720" w:hanging="720"/>
        <w:rPr>
          <w:rFonts w:cstheme="minorHAnsi"/>
          <w:color w:val="000000" w:themeColor="text1"/>
        </w:rPr>
      </w:pPr>
      <w:r w:rsidRPr="003139BA">
        <w:rPr>
          <w:rFonts w:cstheme="minorHAnsi"/>
          <w:color w:val="000000"/>
        </w:rPr>
        <w:t>A</w:t>
      </w:r>
      <w:r w:rsidR="00E92778" w:rsidRPr="003139BA">
        <w:rPr>
          <w:rFonts w:cstheme="minorHAnsi"/>
          <w:color w:val="000000"/>
        </w:rPr>
        <w:t xml:space="preserve">ll </w:t>
      </w:r>
      <w:r w:rsidR="00E92778" w:rsidRPr="00250D66">
        <w:rPr>
          <w:rFonts w:cstheme="minorHAnsi"/>
        </w:rPr>
        <w:t>decommissioning</w:t>
      </w:r>
      <w:r w:rsidR="00E92778" w:rsidRPr="003139BA">
        <w:rPr>
          <w:rFonts w:cstheme="minorHAnsi"/>
          <w:color w:val="000000"/>
        </w:rPr>
        <w:t xml:space="preserve"> </w:t>
      </w:r>
      <w:r w:rsidR="002E69FE" w:rsidRPr="0085079D">
        <w:t>activities</w:t>
      </w:r>
      <w:r w:rsidR="002E69FE" w:rsidRPr="003139BA">
        <w:rPr>
          <w:rFonts w:cstheme="minorHAnsi"/>
          <w:color w:val="000000"/>
        </w:rPr>
        <w:t xml:space="preserve"> </w:t>
      </w:r>
      <w:r w:rsidR="0086526C" w:rsidRPr="003139BA">
        <w:rPr>
          <w:rFonts w:cstheme="minorHAnsi"/>
          <w:color w:val="000000"/>
        </w:rPr>
        <w:t>must</w:t>
      </w:r>
      <w:r w:rsidR="00307AB2" w:rsidRPr="003139BA">
        <w:rPr>
          <w:rFonts w:cstheme="minorHAnsi"/>
          <w:color w:val="000000"/>
        </w:rPr>
        <w:t xml:space="preserve"> be </w:t>
      </w:r>
      <w:r w:rsidR="002E69FE" w:rsidRPr="003139BA">
        <w:rPr>
          <w:rFonts w:cstheme="minorHAnsi"/>
          <w:color w:val="000000"/>
        </w:rPr>
        <w:t>undertaken while a title is still in force. This is to:</w:t>
      </w:r>
    </w:p>
    <w:p w14:paraId="54DFB509" w14:textId="5730DBD8" w:rsidR="00E92778" w:rsidRPr="00C81811" w:rsidRDefault="00F3021A" w:rsidP="00250D66">
      <w:pPr>
        <w:pStyle w:val="List2"/>
        <w:numPr>
          <w:ilvl w:val="2"/>
          <w:numId w:val="6"/>
        </w:numPr>
        <w:tabs>
          <w:tab w:val="clear" w:pos="1430"/>
        </w:tabs>
        <w:ind w:left="1224"/>
        <w:rPr>
          <w:rFonts w:cstheme="minorHAnsi"/>
          <w:color w:val="000000"/>
        </w:rPr>
      </w:pPr>
      <w:r w:rsidRPr="00C81811">
        <w:rPr>
          <w:rFonts w:cstheme="minorHAnsi"/>
          <w:color w:val="000000"/>
        </w:rPr>
        <w:t>E</w:t>
      </w:r>
      <w:r w:rsidR="002E69FE" w:rsidRPr="00C81811">
        <w:rPr>
          <w:rFonts w:cstheme="minorHAnsi"/>
          <w:color w:val="000000"/>
        </w:rPr>
        <w:t xml:space="preserve">nsure that all decommissioning activities are </w:t>
      </w:r>
      <w:r w:rsidR="002E67D8" w:rsidRPr="00C81811">
        <w:rPr>
          <w:rFonts w:cstheme="minorHAnsi"/>
          <w:color w:val="000000"/>
        </w:rPr>
        <w:t>conducted under the framework of the O</w:t>
      </w:r>
      <w:r w:rsidR="00373AD4" w:rsidRPr="00C81811">
        <w:rPr>
          <w:rFonts w:cstheme="minorHAnsi"/>
          <w:color w:val="000000"/>
        </w:rPr>
        <w:t>PGGS Act and r</w:t>
      </w:r>
      <w:r w:rsidR="002E67D8" w:rsidRPr="00C81811">
        <w:rPr>
          <w:rFonts w:cstheme="minorHAnsi"/>
          <w:color w:val="000000"/>
        </w:rPr>
        <w:t>egulations, providing legal and proces</w:t>
      </w:r>
      <w:r w:rsidR="00373AD4" w:rsidRPr="00C81811">
        <w:rPr>
          <w:rFonts w:cstheme="minorHAnsi"/>
          <w:color w:val="000000"/>
        </w:rPr>
        <w:t xml:space="preserve">s certainty to all stakeholders and ensuring risks to safety, well integrity and </w:t>
      </w:r>
      <w:r w:rsidR="00193D36">
        <w:rPr>
          <w:rFonts w:cstheme="minorHAnsi"/>
          <w:color w:val="000000"/>
        </w:rPr>
        <w:t xml:space="preserve">the </w:t>
      </w:r>
      <w:r w:rsidR="00373AD4" w:rsidRPr="00C81811">
        <w:rPr>
          <w:rFonts w:cstheme="minorHAnsi"/>
          <w:color w:val="000000"/>
        </w:rPr>
        <w:t>environment are effectively managed.</w:t>
      </w:r>
    </w:p>
    <w:p w14:paraId="67D0A686" w14:textId="5B2C1751" w:rsidR="002E69FE" w:rsidRPr="00C81811" w:rsidRDefault="00F3021A" w:rsidP="00250D66">
      <w:pPr>
        <w:pStyle w:val="List2"/>
        <w:numPr>
          <w:ilvl w:val="2"/>
          <w:numId w:val="6"/>
        </w:numPr>
        <w:tabs>
          <w:tab w:val="clear" w:pos="1430"/>
        </w:tabs>
        <w:ind w:left="1224"/>
        <w:rPr>
          <w:rFonts w:cstheme="minorHAnsi"/>
          <w:color w:val="000000"/>
        </w:rPr>
      </w:pPr>
      <w:r w:rsidRPr="00C81811">
        <w:rPr>
          <w:rFonts w:cstheme="minorHAnsi"/>
          <w:color w:val="000000"/>
        </w:rPr>
        <w:t>P</w:t>
      </w:r>
      <w:r w:rsidR="002E69FE" w:rsidRPr="00C81811">
        <w:rPr>
          <w:rFonts w:cstheme="minorHAnsi"/>
          <w:color w:val="000000"/>
        </w:rPr>
        <w:t xml:space="preserve">rovide </w:t>
      </w:r>
      <w:r w:rsidR="002E67D8" w:rsidRPr="00C81811">
        <w:rPr>
          <w:rFonts w:cstheme="minorHAnsi"/>
          <w:color w:val="000000"/>
        </w:rPr>
        <w:t>a structured process for</w:t>
      </w:r>
      <w:r w:rsidR="002E69FE" w:rsidRPr="00C81811">
        <w:rPr>
          <w:rFonts w:cstheme="minorHAnsi"/>
          <w:color w:val="000000"/>
        </w:rPr>
        <w:t xml:space="preserve"> </w:t>
      </w:r>
      <w:r w:rsidR="002E67D8" w:rsidRPr="00C81811">
        <w:rPr>
          <w:rFonts w:cstheme="minorHAnsi"/>
          <w:color w:val="000000"/>
        </w:rPr>
        <w:t>titleholders</w:t>
      </w:r>
      <w:r w:rsidR="002E69FE" w:rsidRPr="00C81811">
        <w:rPr>
          <w:rFonts w:cstheme="minorHAnsi"/>
          <w:color w:val="000000"/>
        </w:rPr>
        <w:t xml:space="preserve"> see</w:t>
      </w:r>
      <w:r w:rsidR="00ED49DF" w:rsidRPr="00C81811">
        <w:rPr>
          <w:rFonts w:cstheme="minorHAnsi"/>
          <w:color w:val="000000"/>
        </w:rPr>
        <w:t xml:space="preserve">king </w:t>
      </w:r>
      <w:r w:rsidR="004A53B2" w:rsidRPr="00C81811">
        <w:rPr>
          <w:rFonts w:cstheme="minorHAnsi"/>
          <w:color w:val="000000"/>
        </w:rPr>
        <w:t>consent to surrender a title, or to allow a title to expire</w:t>
      </w:r>
      <w:r w:rsidR="00ED49DF" w:rsidRPr="00C81811">
        <w:rPr>
          <w:rFonts w:cstheme="minorHAnsi"/>
          <w:color w:val="000000"/>
        </w:rPr>
        <w:t>,</w:t>
      </w:r>
      <w:r w:rsidR="002E67D8" w:rsidRPr="00C81811" w:rsidDel="00165A2E">
        <w:rPr>
          <w:rFonts w:cstheme="minorHAnsi"/>
          <w:color w:val="000000"/>
        </w:rPr>
        <w:t xml:space="preserve"> </w:t>
      </w:r>
      <w:r w:rsidR="002E67D8" w:rsidRPr="00C81811">
        <w:rPr>
          <w:rFonts w:cstheme="minorHAnsi"/>
          <w:color w:val="000000"/>
        </w:rPr>
        <w:t xml:space="preserve">ensuring all </w:t>
      </w:r>
      <w:r w:rsidR="001F7DA7" w:rsidRPr="00C81811">
        <w:rPr>
          <w:rFonts w:cstheme="minorHAnsi"/>
          <w:color w:val="000000"/>
        </w:rPr>
        <w:t>applicable</w:t>
      </w:r>
      <w:r w:rsidR="002E67D8" w:rsidRPr="00C81811">
        <w:rPr>
          <w:rFonts w:cstheme="minorHAnsi"/>
          <w:color w:val="000000"/>
        </w:rPr>
        <w:t xml:space="preserve"> legislative and regulatory obligations have been met prior to a title ending</w:t>
      </w:r>
      <w:r w:rsidR="00A4093D" w:rsidRPr="00C81811">
        <w:rPr>
          <w:rFonts w:cstheme="minorHAnsi"/>
          <w:color w:val="000000"/>
        </w:rPr>
        <w:t xml:space="preserve">. </w:t>
      </w:r>
    </w:p>
    <w:p w14:paraId="195C0A78" w14:textId="220EBBE4" w:rsidR="003661E1" w:rsidRDefault="009C4F7C" w:rsidP="00250D66">
      <w:pPr>
        <w:pStyle w:val="List2"/>
        <w:numPr>
          <w:ilvl w:val="1"/>
          <w:numId w:val="10"/>
        </w:numPr>
        <w:tabs>
          <w:tab w:val="clear" w:pos="454"/>
        </w:tabs>
        <w:ind w:left="720" w:hanging="720"/>
      </w:pPr>
      <w:bookmarkStart w:id="140" w:name="_Toc489460731"/>
      <w:bookmarkStart w:id="141" w:name="_Toc489460839"/>
      <w:r w:rsidRPr="00125D28">
        <w:t>T</w:t>
      </w:r>
      <w:r w:rsidR="001B2315" w:rsidRPr="00125D28">
        <w:t xml:space="preserve">he </w:t>
      </w:r>
      <w:r w:rsidR="009C111B">
        <w:rPr>
          <w:rFonts w:cstheme="minorHAnsi"/>
        </w:rPr>
        <w:t>government</w:t>
      </w:r>
      <w:r w:rsidR="009C111B" w:rsidRPr="00125D28">
        <w:t xml:space="preserve"> </w:t>
      </w:r>
      <w:r w:rsidR="00EF420E">
        <w:t xml:space="preserve">requires </w:t>
      </w:r>
      <w:r w:rsidR="00E544FE" w:rsidRPr="00125D28">
        <w:t>titleholder</w:t>
      </w:r>
      <w:r w:rsidRPr="00125D28">
        <w:t>s</w:t>
      </w:r>
      <w:r w:rsidR="00E544FE" w:rsidRPr="00125D28">
        <w:t xml:space="preserve"> </w:t>
      </w:r>
      <w:r w:rsidR="00EF420E">
        <w:t>to</w:t>
      </w:r>
      <w:r w:rsidR="00E544FE" w:rsidRPr="00125D28">
        <w:t xml:space="preserve"> complete</w:t>
      </w:r>
      <w:r w:rsidR="00373AD4" w:rsidRPr="00125D28">
        <w:t xml:space="preserve"> all </w:t>
      </w:r>
      <w:r w:rsidR="001B2315" w:rsidRPr="00125D28">
        <w:t>d</w:t>
      </w:r>
      <w:r w:rsidR="004E4FB1" w:rsidRPr="00125D28">
        <w:t>ecommissioning</w:t>
      </w:r>
      <w:r w:rsidR="00373AD4" w:rsidRPr="00125D28">
        <w:t xml:space="preserve"> activities</w:t>
      </w:r>
      <w:r w:rsidR="002E69FE" w:rsidRPr="00125D28">
        <w:t xml:space="preserve"> </w:t>
      </w:r>
      <w:r w:rsidR="004E4FB1" w:rsidRPr="00125D28">
        <w:t xml:space="preserve">before </w:t>
      </w:r>
      <w:r w:rsidR="00ED49DF" w:rsidRPr="00125D28">
        <w:t>their</w:t>
      </w:r>
      <w:r w:rsidR="004C4C6A" w:rsidRPr="00125D28">
        <w:t xml:space="preserve"> </w:t>
      </w:r>
      <w:r w:rsidR="004E4FB1" w:rsidRPr="00125D28">
        <w:t xml:space="preserve">title </w:t>
      </w:r>
      <w:r w:rsidR="009169A5">
        <w:t xml:space="preserve">ceases to be in force wholly, or in relation to blocks where decommissioning activities are to be completed.  </w:t>
      </w:r>
      <w:r w:rsidR="001B2315" w:rsidRPr="00125D28">
        <w:t xml:space="preserve">This includes where a title is brought to an end by a </w:t>
      </w:r>
      <w:r w:rsidR="00135489" w:rsidRPr="00125D28">
        <w:t xml:space="preserve">decision of a </w:t>
      </w:r>
      <w:r w:rsidR="00E92778" w:rsidRPr="00125D28">
        <w:t xml:space="preserve">Joint Authority </w:t>
      </w:r>
      <w:r w:rsidR="001B2315" w:rsidRPr="00125D28">
        <w:t>(</w:t>
      </w:r>
      <w:proofErr w:type="gramStart"/>
      <w:r w:rsidR="001B2315" w:rsidRPr="00125D28">
        <w:t>e.g.</w:t>
      </w:r>
      <w:proofErr w:type="gramEnd"/>
      <w:r w:rsidR="001B2315" w:rsidRPr="00125D28">
        <w:t xml:space="preserve"> </w:t>
      </w:r>
      <w:r w:rsidR="00DF02E0" w:rsidRPr="00125D28">
        <w:t xml:space="preserve">where the Joint Authority </w:t>
      </w:r>
      <w:r w:rsidR="00E92778" w:rsidRPr="00125D28">
        <w:t>consent</w:t>
      </w:r>
      <w:r w:rsidR="00DF02E0" w:rsidRPr="00125D28">
        <w:t>s</w:t>
      </w:r>
      <w:r w:rsidR="00E92778" w:rsidRPr="00125D28">
        <w:t xml:space="preserve"> to surrender a</w:t>
      </w:r>
      <w:r w:rsidR="001B2315" w:rsidRPr="00125D28">
        <w:t xml:space="preserve"> title</w:t>
      </w:r>
      <w:r w:rsidR="00E92778" w:rsidRPr="00125D28">
        <w:t xml:space="preserve">) or by the </w:t>
      </w:r>
      <w:r w:rsidR="00135489" w:rsidRPr="00125D28">
        <w:t xml:space="preserve">direct </w:t>
      </w:r>
      <w:r w:rsidR="00E92778" w:rsidRPr="00125D28">
        <w:t>operation of the OPGGS Act (e.g. where a title expires).</w:t>
      </w:r>
      <w:bookmarkEnd w:id="140"/>
      <w:bookmarkEnd w:id="141"/>
    </w:p>
    <w:p w14:paraId="491FCA94" w14:textId="16024AAF" w:rsidR="00993883" w:rsidRDefault="00F57840" w:rsidP="00250D66">
      <w:pPr>
        <w:pStyle w:val="List2"/>
        <w:keepLines/>
        <w:numPr>
          <w:ilvl w:val="1"/>
          <w:numId w:val="10"/>
        </w:numPr>
        <w:tabs>
          <w:tab w:val="clear" w:pos="454"/>
        </w:tabs>
        <w:ind w:left="720" w:hanging="720"/>
      </w:pPr>
      <w:r>
        <w:lastRenderedPageBreak/>
        <w:t xml:space="preserve">Requirements under Part 4.3 or Chapter 5A of the </w:t>
      </w:r>
      <w:r w:rsidRPr="007F739A">
        <w:t xml:space="preserve">OPGGS Act in relation to </w:t>
      </w:r>
      <w:r>
        <w:t xml:space="preserve">approvals </w:t>
      </w:r>
      <w:r w:rsidR="00E50E45">
        <w:t xml:space="preserve">of </w:t>
      </w:r>
      <w:r w:rsidRPr="007F739A">
        <w:t>transfers</w:t>
      </w:r>
      <w:r>
        <w:t xml:space="preserve"> </w:t>
      </w:r>
      <w:r w:rsidRPr="00250D66">
        <w:rPr>
          <w:rFonts w:cstheme="minorHAnsi"/>
        </w:rPr>
        <w:t>and</w:t>
      </w:r>
      <w:r w:rsidRPr="007F739A">
        <w:t xml:space="preserve"> change </w:t>
      </w:r>
      <w:r>
        <w:t>in</w:t>
      </w:r>
      <w:r w:rsidRPr="007F739A">
        <w:t xml:space="preserve"> control of a registered holder </w:t>
      </w:r>
      <w:r>
        <w:t>of a petroleum title</w:t>
      </w:r>
      <w:r w:rsidRPr="007F739A">
        <w:t xml:space="preserve"> continue to </w:t>
      </w:r>
      <w:proofErr w:type="gramStart"/>
      <w:r w:rsidRPr="007F739A">
        <w:t>apply at all times</w:t>
      </w:r>
      <w:proofErr w:type="gramEnd"/>
      <w:r w:rsidRPr="007F739A">
        <w:t xml:space="preserve"> before a title has come to an end. </w:t>
      </w:r>
      <w:r w:rsidR="00282B32">
        <w:t>T</w:t>
      </w:r>
      <w:r>
        <w:t>he timing and scale of remaining decommissioning obligations</w:t>
      </w:r>
      <w:r w:rsidR="003F6C1C">
        <w:t xml:space="preserve"> may </w:t>
      </w:r>
      <w:r w:rsidR="00282B32">
        <w:t xml:space="preserve">be </w:t>
      </w:r>
      <w:r>
        <w:t>relevant</w:t>
      </w:r>
      <w:r w:rsidRPr="007F739A">
        <w:t xml:space="preserve"> </w:t>
      </w:r>
      <w:r>
        <w:t xml:space="preserve">for these decisions. </w:t>
      </w:r>
      <w:r w:rsidRPr="007F739A">
        <w:t xml:space="preserve">For further information on these requirements, please refer to the </w:t>
      </w:r>
      <w:r w:rsidRPr="003661E1">
        <w:rPr>
          <w:i/>
          <w:iCs/>
        </w:rPr>
        <w:t>Guideline</w:t>
      </w:r>
      <w:r w:rsidR="00697AD0">
        <w:rPr>
          <w:i/>
          <w:iCs/>
        </w:rPr>
        <w:t xml:space="preserve">: </w:t>
      </w:r>
      <w:r w:rsidRPr="003661E1">
        <w:rPr>
          <w:i/>
          <w:iCs/>
        </w:rPr>
        <w:t xml:space="preserve">Transfers, </w:t>
      </w:r>
      <w:r w:rsidR="00697AD0">
        <w:rPr>
          <w:i/>
          <w:iCs/>
        </w:rPr>
        <w:t>dealings, change in control and other titleholder t</w:t>
      </w:r>
      <w:r w:rsidRPr="003661E1">
        <w:rPr>
          <w:i/>
          <w:iCs/>
        </w:rPr>
        <w:t>ransactions</w:t>
      </w:r>
      <w:r w:rsidRPr="007F739A">
        <w:t>.</w:t>
      </w:r>
    </w:p>
    <w:p w14:paraId="2E9A1E7C" w14:textId="2A4AEA3A" w:rsidR="000348E5" w:rsidRDefault="009411CC" w:rsidP="00250D66">
      <w:pPr>
        <w:pStyle w:val="List2"/>
        <w:numPr>
          <w:ilvl w:val="1"/>
          <w:numId w:val="10"/>
        </w:numPr>
        <w:tabs>
          <w:tab w:val="clear" w:pos="454"/>
        </w:tabs>
        <w:ind w:left="720" w:hanging="720"/>
      </w:pPr>
      <w:r w:rsidRPr="007F739A">
        <w:t xml:space="preserve">Former </w:t>
      </w:r>
      <w:r w:rsidRPr="00250D66">
        <w:rPr>
          <w:rFonts w:cstheme="minorHAnsi"/>
        </w:rPr>
        <w:t>titleholders</w:t>
      </w:r>
      <w:r w:rsidRPr="007F739A">
        <w:t xml:space="preserve"> may still be compelled by the </w:t>
      </w:r>
      <w:r w:rsidR="009C111B">
        <w:t>government</w:t>
      </w:r>
      <w:r w:rsidR="009C111B" w:rsidRPr="007F739A">
        <w:t xml:space="preserve"> </w:t>
      </w:r>
      <w:r w:rsidRPr="007F739A">
        <w:t>to underta</w:t>
      </w:r>
      <w:r w:rsidR="000348E5">
        <w:t xml:space="preserve">ke decommissioning activities </w:t>
      </w:r>
    </w:p>
    <w:p w14:paraId="129A0796" w14:textId="5209B8D7" w:rsidR="00B052D5" w:rsidRPr="00993883" w:rsidRDefault="009411CC" w:rsidP="000348E5">
      <w:pPr>
        <w:pStyle w:val="Calloutbox"/>
      </w:pPr>
      <w:r w:rsidRPr="007F739A">
        <w:t xml:space="preserve">See </w:t>
      </w:r>
      <w:r w:rsidR="00F61023">
        <w:t>‘</w:t>
      </w:r>
      <w:r w:rsidR="00F61023">
        <w:fldChar w:fldCharType="begin"/>
      </w:r>
      <w:r w:rsidR="00F61023">
        <w:instrText xml:space="preserve"> REF _Ref82767184 \h  \* MERGEFORMAT </w:instrText>
      </w:r>
      <w:r w:rsidR="00F61023">
        <w:fldChar w:fldCharType="separate"/>
      </w:r>
      <w:r w:rsidR="00C917F9" w:rsidRPr="000B22A9">
        <w:t>Power to issue remedial directions and trailing</w:t>
      </w:r>
      <w:r w:rsidR="00C917F9">
        <w:t xml:space="preserve"> </w:t>
      </w:r>
      <w:r w:rsidR="00C917F9" w:rsidRPr="000B22A9">
        <w:t>liability</w:t>
      </w:r>
      <w:r w:rsidR="00F61023">
        <w:fldChar w:fldCharType="end"/>
      </w:r>
      <w:r w:rsidR="00F61023">
        <w:t>’</w:t>
      </w:r>
      <w:r w:rsidRPr="007F739A">
        <w:t xml:space="preserve"> for further information.</w:t>
      </w:r>
      <w:bookmarkStart w:id="142" w:name="_Toc479778744"/>
      <w:bookmarkStart w:id="143" w:name="_Toc479845260"/>
      <w:bookmarkStart w:id="144" w:name="_Toc81319778"/>
      <w:bookmarkStart w:id="145" w:name="_Toc81322586"/>
      <w:bookmarkStart w:id="146" w:name="_Toc81324973"/>
      <w:bookmarkStart w:id="147" w:name="_Toc81327226"/>
      <w:bookmarkEnd w:id="85"/>
      <w:bookmarkEnd w:id="86"/>
      <w:bookmarkEnd w:id="87"/>
    </w:p>
    <w:p w14:paraId="01FB153B" w14:textId="4CEE20A4" w:rsidR="00A51101" w:rsidRPr="000B22A9" w:rsidRDefault="00C24957" w:rsidP="0013127F">
      <w:pPr>
        <w:pStyle w:val="Heading1"/>
        <w:numPr>
          <w:ilvl w:val="0"/>
          <w:numId w:val="16"/>
        </w:numPr>
        <w:ind w:hanging="454"/>
      </w:pPr>
      <w:bookmarkStart w:id="148" w:name="_Toc82785074"/>
      <w:bookmarkStart w:id="149" w:name="_Toc82787194"/>
      <w:bookmarkStart w:id="150" w:name="_Toc82788242"/>
      <w:bookmarkStart w:id="151" w:name="_Toc83029544"/>
      <w:bookmarkStart w:id="152" w:name="_Toc83033991"/>
      <w:bookmarkStart w:id="153" w:name="_Toc93925212"/>
      <w:bookmarkEnd w:id="142"/>
      <w:bookmarkEnd w:id="143"/>
      <w:r w:rsidRPr="000B22A9">
        <w:t>Core decommissioning provisions: OPGGS Act</w:t>
      </w:r>
      <w:bookmarkEnd w:id="144"/>
      <w:bookmarkEnd w:id="145"/>
      <w:bookmarkEnd w:id="146"/>
      <w:bookmarkEnd w:id="147"/>
      <w:bookmarkEnd w:id="148"/>
      <w:bookmarkEnd w:id="149"/>
      <w:bookmarkEnd w:id="150"/>
      <w:bookmarkEnd w:id="151"/>
      <w:bookmarkEnd w:id="152"/>
      <w:bookmarkEnd w:id="153"/>
    </w:p>
    <w:p w14:paraId="76E575E8" w14:textId="77C1B1E4" w:rsidR="003139BA" w:rsidRDefault="00971251" w:rsidP="00250D66">
      <w:pPr>
        <w:pStyle w:val="List2"/>
        <w:numPr>
          <w:ilvl w:val="1"/>
          <w:numId w:val="16"/>
        </w:numPr>
        <w:tabs>
          <w:tab w:val="clear" w:pos="454"/>
        </w:tabs>
        <w:ind w:left="720" w:hanging="720"/>
      </w:pPr>
      <w:r>
        <w:t>T</w:t>
      </w:r>
      <w:r w:rsidR="006F6C5A">
        <w:t>he core decommissioning provisions</w:t>
      </w:r>
      <w:r>
        <w:t xml:space="preserve"> under the OPGGS Act</w:t>
      </w:r>
      <w:r w:rsidR="00580A1D">
        <w:t xml:space="preserve"> are the</w:t>
      </w:r>
      <w:r w:rsidR="00C24957">
        <w:t xml:space="preserve"> obligation </w:t>
      </w:r>
      <w:r w:rsidR="006F6C5A">
        <w:t>to remove disuse</w:t>
      </w:r>
      <w:r w:rsidR="00C24957">
        <w:t>d property from the title area</w:t>
      </w:r>
      <w:r w:rsidR="006F6C5A">
        <w:t>, and the criteria that must be met</w:t>
      </w:r>
      <w:r w:rsidR="00C24957">
        <w:t xml:space="preserve"> before the Joint Authority </w:t>
      </w:r>
      <w:r w:rsidR="00C24957" w:rsidRPr="00250D66">
        <w:rPr>
          <w:rFonts w:cstheme="minorHAnsi"/>
        </w:rPr>
        <w:t>may</w:t>
      </w:r>
      <w:r w:rsidR="006F6C5A">
        <w:t xml:space="preserve"> consent to </w:t>
      </w:r>
      <w:r w:rsidR="00956609">
        <w:t xml:space="preserve">the </w:t>
      </w:r>
      <w:r w:rsidR="006F6C5A">
        <w:t>surrender</w:t>
      </w:r>
      <w:r w:rsidR="00956609">
        <w:t xml:space="preserve"> of</w:t>
      </w:r>
      <w:r w:rsidR="006F6C5A">
        <w:t xml:space="preserve"> a petroleum title.</w:t>
      </w:r>
      <w:r w:rsidR="00580A1D">
        <w:t xml:space="preserve"> An overview of the</w:t>
      </w:r>
      <w:r w:rsidR="00C24957">
        <w:t>se provisions is provided below.</w:t>
      </w:r>
      <w:r w:rsidR="00E20160">
        <w:t xml:space="preserve"> This Part also prov</w:t>
      </w:r>
      <w:r w:rsidR="00580A1D">
        <w:t xml:space="preserve">ides an overview of relevant </w:t>
      </w:r>
      <w:r w:rsidR="00E20160">
        <w:t>directions that may be issued under the OPGGS Act.</w:t>
      </w:r>
      <w:r w:rsidR="00C24957">
        <w:t xml:space="preserve"> </w:t>
      </w:r>
    </w:p>
    <w:p w14:paraId="0F4A5E30" w14:textId="2A06F1CE" w:rsidR="003139BA" w:rsidRDefault="00971251" w:rsidP="00250D66">
      <w:pPr>
        <w:pStyle w:val="List2"/>
        <w:numPr>
          <w:ilvl w:val="1"/>
          <w:numId w:val="16"/>
        </w:numPr>
        <w:tabs>
          <w:tab w:val="clear" w:pos="454"/>
        </w:tabs>
        <w:ind w:left="720" w:hanging="720"/>
      </w:pPr>
      <w:r>
        <w:t xml:space="preserve">Other domestic laws (including Commonwealth laws and laws of the States and Territories) will also apply to </w:t>
      </w:r>
      <w:r w:rsidRPr="00250D66">
        <w:rPr>
          <w:rFonts w:cstheme="minorHAnsi"/>
        </w:rPr>
        <w:t>decommissioning</w:t>
      </w:r>
      <w:r>
        <w:t xml:space="preserve"> in relevant circumstances. These are outlined in </w:t>
      </w:r>
      <w:r w:rsidR="00F61023">
        <w:t>‘</w:t>
      </w:r>
      <w:r w:rsidR="00F61023" w:rsidRPr="00F61023">
        <w:rPr>
          <w:rStyle w:val="Hyperlink"/>
          <w:color w:val="auto"/>
        </w:rPr>
        <w:fldChar w:fldCharType="begin"/>
      </w:r>
      <w:r w:rsidR="00F61023" w:rsidRPr="00F61023">
        <w:instrText xml:space="preserve"> REF _Ref82767069 \h </w:instrText>
      </w:r>
      <w:r w:rsidR="00F61023" w:rsidRPr="00F61023">
        <w:rPr>
          <w:rStyle w:val="Hyperlink"/>
          <w:color w:val="auto"/>
        </w:rPr>
      </w:r>
      <w:r w:rsidR="00F61023" w:rsidRPr="00F61023">
        <w:rPr>
          <w:rStyle w:val="Hyperlink"/>
          <w:color w:val="auto"/>
        </w:rPr>
        <w:fldChar w:fldCharType="separate"/>
      </w:r>
      <w:r w:rsidR="00C917F9" w:rsidRPr="00376A96">
        <w:t xml:space="preserve">Other </w:t>
      </w:r>
      <w:r w:rsidR="00C917F9" w:rsidRPr="0084740F">
        <w:t>relevant</w:t>
      </w:r>
      <w:r w:rsidR="00C917F9" w:rsidRPr="00376A96">
        <w:t xml:space="preserve"> laws</w:t>
      </w:r>
      <w:r w:rsidR="00F61023" w:rsidRPr="00F61023">
        <w:rPr>
          <w:rStyle w:val="Hyperlink"/>
          <w:color w:val="auto"/>
        </w:rPr>
        <w:fldChar w:fldCharType="end"/>
      </w:r>
      <w:r w:rsidR="00F61023">
        <w:rPr>
          <w:rStyle w:val="Hyperlink"/>
          <w:color w:val="auto"/>
          <w:u w:val="none"/>
        </w:rPr>
        <w:t>’</w:t>
      </w:r>
      <w:r w:rsidRPr="00F61023">
        <w:t xml:space="preserve"> </w:t>
      </w:r>
      <w:r>
        <w:t>below.</w:t>
      </w:r>
      <w:bookmarkStart w:id="154" w:name="_Removal,_maintenance_and"/>
      <w:bookmarkEnd w:id="154"/>
    </w:p>
    <w:p w14:paraId="282FD14B" w14:textId="690751ED" w:rsidR="003139BA" w:rsidRDefault="006721F9" w:rsidP="003139BA">
      <w:pPr>
        <w:pStyle w:val="Heading2"/>
      </w:pPr>
      <w:bookmarkStart w:id="155" w:name="_Toc486949861"/>
      <w:bookmarkStart w:id="156" w:name="_Toc486950222"/>
      <w:bookmarkStart w:id="157" w:name="_Toc486956420"/>
      <w:bookmarkStart w:id="158" w:name="_Toc489460733"/>
      <w:bookmarkStart w:id="159" w:name="_Toc489460841"/>
      <w:bookmarkStart w:id="160" w:name="_Toc82785075"/>
      <w:bookmarkStart w:id="161" w:name="_Toc82787195"/>
      <w:bookmarkStart w:id="162" w:name="_Toc82788243"/>
      <w:bookmarkStart w:id="163" w:name="_Toc83029545"/>
      <w:bookmarkStart w:id="164" w:name="_Toc83033992"/>
      <w:bookmarkStart w:id="165" w:name="_Toc93925213"/>
      <w:bookmarkStart w:id="166" w:name="_Toc81319779"/>
      <w:bookmarkStart w:id="167" w:name="_Toc81322587"/>
      <w:bookmarkStart w:id="168" w:name="_Toc81324974"/>
      <w:bookmarkStart w:id="169" w:name="_Toc81327227"/>
      <w:r>
        <w:t>M</w:t>
      </w:r>
      <w:r w:rsidR="003139BA" w:rsidRPr="000B22A9">
        <w:t>aintenance</w:t>
      </w:r>
      <w:r>
        <w:t>,</w:t>
      </w:r>
      <w:r w:rsidR="003139BA" w:rsidRPr="000B22A9">
        <w:t xml:space="preserve"> </w:t>
      </w:r>
      <w:proofErr w:type="gramStart"/>
      <w:r w:rsidR="003139BA" w:rsidRPr="000B22A9">
        <w:t>repair</w:t>
      </w:r>
      <w:proofErr w:type="gramEnd"/>
      <w:r w:rsidR="003139BA" w:rsidRPr="000B22A9">
        <w:t xml:space="preserve"> </w:t>
      </w:r>
      <w:r>
        <w:t xml:space="preserve">and removal </w:t>
      </w:r>
      <w:r w:rsidR="003139BA" w:rsidRPr="000B22A9">
        <w:t>of property</w:t>
      </w:r>
      <w:bookmarkEnd w:id="155"/>
      <w:bookmarkEnd w:id="156"/>
      <w:bookmarkEnd w:id="157"/>
      <w:bookmarkEnd w:id="158"/>
      <w:bookmarkEnd w:id="159"/>
      <w:bookmarkEnd w:id="160"/>
      <w:bookmarkEnd w:id="161"/>
      <w:bookmarkEnd w:id="162"/>
      <w:bookmarkEnd w:id="163"/>
      <w:bookmarkEnd w:id="164"/>
      <w:bookmarkEnd w:id="165"/>
      <w:r w:rsidR="003139BA" w:rsidRPr="000B22A9">
        <w:t xml:space="preserve"> </w:t>
      </w:r>
      <w:bookmarkEnd w:id="166"/>
      <w:bookmarkEnd w:id="167"/>
      <w:bookmarkEnd w:id="168"/>
      <w:bookmarkEnd w:id="169"/>
    </w:p>
    <w:p w14:paraId="25616D86" w14:textId="66984340" w:rsidR="003139BA" w:rsidRPr="00242BEB" w:rsidRDefault="009667B9" w:rsidP="00250D66">
      <w:pPr>
        <w:pStyle w:val="List2"/>
        <w:numPr>
          <w:ilvl w:val="1"/>
          <w:numId w:val="16"/>
        </w:numPr>
        <w:tabs>
          <w:tab w:val="clear" w:pos="454"/>
        </w:tabs>
        <w:ind w:left="720" w:hanging="720"/>
      </w:pPr>
      <w:r>
        <w:t>T</w:t>
      </w:r>
      <w:r w:rsidR="002427EB" w:rsidRPr="00242BEB">
        <w:t>itleholders must maintain in good condition and repair all structures</w:t>
      </w:r>
      <w:r w:rsidR="002427EB" w:rsidRPr="00FF68D4">
        <w:t>,</w:t>
      </w:r>
      <w:r w:rsidR="002427EB" w:rsidRPr="00242BEB">
        <w:t xml:space="preserve"> equipment and other property in the title area </w:t>
      </w:r>
      <w:r w:rsidR="001B2C9A">
        <w:t xml:space="preserve">that are </w:t>
      </w:r>
      <w:r w:rsidR="002427EB" w:rsidRPr="00242BEB">
        <w:t>used for activities authorised by the relevant title</w:t>
      </w:r>
      <w:r>
        <w:t xml:space="preserve"> in accordance with the provisions of s572 of the OPGGS Act</w:t>
      </w:r>
      <w:r w:rsidR="002427EB" w:rsidRPr="00242BEB">
        <w:t xml:space="preserve">. </w:t>
      </w:r>
    </w:p>
    <w:p w14:paraId="4120D58D" w14:textId="7696302C" w:rsidR="003139BA" w:rsidRPr="00242BEB" w:rsidRDefault="0063744F" w:rsidP="00250D66">
      <w:pPr>
        <w:pStyle w:val="List2"/>
        <w:numPr>
          <w:ilvl w:val="1"/>
          <w:numId w:val="16"/>
        </w:numPr>
        <w:tabs>
          <w:tab w:val="clear" w:pos="454"/>
        </w:tabs>
        <w:ind w:left="720" w:hanging="720"/>
      </w:pPr>
      <w:r w:rsidRPr="00242BEB">
        <w:t xml:space="preserve">In the circumstances </w:t>
      </w:r>
      <w:r w:rsidR="00894232">
        <w:t>whereby</w:t>
      </w:r>
      <w:r w:rsidR="00894232" w:rsidRPr="00242BEB">
        <w:t xml:space="preserve"> </w:t>
      </w:r>
      <w:r w:rsidRPr="00242BEB">
        <w:t xml:space="preserve">property </w:t>
      </w:r>
      <w:r w:rsidR="00894232">
        <w:t xml:space="preserve">is </w:t>
      </w:r>
      <w:r w:rsidRPr="00242BEB">
        <w:t xml:space="preserve">not currently in active </w:t>
      </w:r>
      <w:proofErr w:type="gramStart"/>
      <w:r w:rsidRPr="00242BEB">
        <w:t>operation</w:t>
      </w:r>
      <w:proofErr w:type="gramEnd"/>
      <w:r w:rsidRPr="00242BEB">
        <w:t xml:space="preserve"> but the titleholder has not yet made arrangements </w:t>
      </w:r>
      <w:r w:rsidRPr="00250D66">
        <w:rPr>
          <w:rFonts w:cstheme="minorHAnsi"/>
        </w:rPr>
        <w:t>for</w:t>
      </w:r>
      <w:r w:rsidRPr="00242BEB">
        <w:t xml:space="preserve"> removal or otherwise</w:t>
      </w:r>
      <w:r w:rsidR="00894232">
        <w:t>,</w:t>
      </w:r>
      <w:r w:rsidRPr="00242BEB">
        <w:t xml:space="preserve"> to the satisfaction of NOPSEMA, the </w:t>
      </w:r>
      <w:r w:rsidR="009C111B">
        <w:t>government</w:t>
      </w:r>
      <w:r w:rsidR="009C111B" w:rsidRPr="00242BEB">
        <w:t xml:space="preserve"> </w:t>
      </w:r>
      <w:r w:rsidRPr="00242BEB">
        <w:t>expects titleholders to maintain equipment in a state appropriate for removal and/or re-use where relevant, consistent with the legislation and policies set out in this guideline.</w:t>
      </w:r>
    </w:p>
    <w:p w14:paraId="6FBC1D15" w14:textId="715493BA" w:rsidR="00A51101" w:rsidRPr="00242BEB" w:rsidRDefault="00A51101" w:rsidP="00250D66">
      <w:pPr>
        <w:pStyle w:val="List2"/>
        <w:numPr>
          <w:ilvl w:val="1"/>
          <w:numId w:val="16"/>
        </w:numPr>
        <w:tabs>
          <w:tab w:val="clear" w:pos="454"/>
        </w:tabs>
        <w:ind w:left="720" w:hanging="720"/>
      </w:pPr>
      <w:r w:rsidRPr="00242BEB">
        <w:t xml:space="preserve">Under </w:t>
      </w:r>
      <w:r w:rsidR="006A63C6" w:rsidRPr="00242BEB">
        <w:t>the OPGGS Act</w:t>
      </w:r>
      <w:r w:rsidRPr="00242BEB">
        <w:t xml:space="preserve">, a titleholder must remove all </w:t>
      </w:r>
      <w:r w:rsidR="00F061B2" w:rsidRPr="00242BEB">
        <w:t xml:space="preserve">structures, </w:t>
      </w:r>
      <w:r w:rsidR="006A63C6" w:rsidRPr="00242BEB">
        <w:t xml:space="preserve">equipment and other </w:t>
      </w:r>
      <w:r w:rsidRPr="00242BEB">
        <w:t xml:space="preserve">property in their title area that is neither </w:t>
      </w:r>
      <w:r w:rsidRPr="00250D66">
        <w:rPr>
          <w:rFonts w:cstheme="minorHAnsi"/>
        </w:rPr>
        <w:t>used</w:t>
      </w:r>
      <w:r w:rsidRPr="00242BEB">
        <w:t xml:space="preserve">, nor to be used, for </w:t>
      </w:r>
      <w:r w:rsidR="00C67D18" w:rsidRPr="00242BEB">
        <w:t>activities</w:t>
      </w:r>
      <w:r w:rsidRPr="00242BEB">
        <w:t xml:space="preserve"> authorised by their title</w:t>
      </w:r>
      <w:r w:rsidR="009667B9">
        <w:t xml:space="preserve"> in accordance with the provisions of s572</w:t>
      </w:r>
      <w:r w:rsidR="00A4093D" w:rsidRPr="00242BEB">
        <w:t xml:space="preserve">. </w:t>
      </w:r>
      <w:r w:rsidRPr="00242BEB">
        <w:t xml:space="preserve">This obligation is </w:t>
      </w:r>
      <w:proofErr w:type="gramStart"/>
      <w:r w:rsidRPr="00242BEB">
        <w:t>ongoing, and</w:t>
      </w:r>
      <w:proofErr w:type="gramEnd"/>
      <w:r w:rsidRPr="00242BEB">
        <w:t xml:space="preserve"> covers </w:t>
      </w:r>
      <w:r w:rsidRPr="00242BEB">
        <w:rPr>
          <w:u w:val="single"/>
        </w:rPr>
        <w:t>both</w:t>
      </w:r>
      <w:r w:rsidRPr="00242BEB">
        <w:t xml:space="preserve"> the removal of property at the end of production</w:t>
      </w:r>
      <w:r w:rsidRPr="00242BEB" w:rsidDel="006D4C7F">
        <w:t xml:space="preserve"> </w:t>
      </w:r>
      <w:r w:rsidRPr="00242BEB">
        <w:rPr>
          <w:u w:val="single"/>
        </w:rPr>
        <w:t>and</w:t>
      </w:r>
      <w:r w:rsidRPr="00242BEB">
        <w:t xml:space="preserve"> the removal of disused </w:t>
      </w:r>
      <w:r w:rsidR="008126CD" w:rsidRPr="00242BEB">
        <w:t xml:space="preserve">property </w:t>
      </w:r>
      <w:r w:rsidRPr="00242BEB">
        <w:t>at appropriate points throughout the life of a</w:t>
      </w:r>
      <w:r w:rsidR="00A82AFA" w:rsidRPr="00242BEB">
        <w:t>n offshore petroleum activity</w:t>
      </w:r>
      <w:r w:rsidR="00A4093D" w:rsidRPr="00242BEB">
        <w:t xml:space="preserve">. </w:t>
      </w:r>
    </w:p>
    <w:p w14:paraId="548EAB31" w14:textId="26726989" w:rsidR="00AD7DAA" w:rsidRPr="00242BEB" w:rsidRDefault="00AD7DAA" w:rsidP="003139BA">
      <w:pPr>
        <w:pStyle w:val="Calloutbox"/>
      </w:pPr>
      <w:r w:rsidRPr="00242BEB">
        <w:rPr>
          <w:b/>
        </w:rPr>
        <w:t xml:space="preserve">Example: </w:t>
      </w:r>
      <w:r w:rsidRPr="00242BEB">
        <w:t xml:space="preserve">Exploration and appraisal wells that are not to be reused should be progressively plugged and abandoned, and wellheads removed (or alternative arrangements made), </w:t>
      </w:r>
      <w:r w:rsidR="00193D36">
        <w:t xml:space="preserve">at the end of the activity or </w:t>
      </w:r>
      <w:r w:rsidRPr="00242BEB">
        <w:t>over the life of a title</w:t>
      </w:r>
      <w:r w:rsidR="00A4093D" w:rsidRPr="00242BEB">
        <w:t xml:space="preserve">. </w:t>
      </w:r>
    </w:p>
    <w:p w14:paraId="134F6B24" w14:textId="77777777" w:rsidR="00F74E85" w:rsidRPr="00F74E85" w:rsidRDefault="00F74E85" w:rsidP="00250D66">
      <w:pPr>
        <w:pStyle w:val="List2"/>
        <w:keepLines/>
        <w:numPr>
          <w:ilvl w:val="1"/>
          <w:numId w:val="16"/>
        </w:numPr>
        <w:tabs>
          <w:tab w:val="clear" w:pos="454"/>
        </w:tabs>
        <w:ind w:left="720" w:hanging="720"/>
      </w:pPr>
      <w:r>
        <w:lastRenderedPageBreak/>
        <w:t xml:space="preserve">Titleholders should keep, and regularly review, </w:t>
      </w:r>
      <w:r w:rsidRPr="00F74E85">
        <w:t xml:space="preserve">a comprehensive </w:t>
      </w:r>
      <w:r>
        <w:t xml:space="preserve">inventory of property in their title areas, </w:t>
      </w:r>
      <w:r w:rsidRPr="00250D66">
        <w:rPr>
          <w:rFonts w:cstheme="minorHAnsi"/>
        </w:rPr>
        <w:t>including</w:t>
      </w:r>
      <w:r>
        <w:t xml:space="preserve"> reference to any associated approvals. </w:t>
      </w:r>
      <w:r w:rsidRPr="00F74E85">
        <w:t>Within the description of an activity in an environment plan, NOPSEMA requires titleholders to identify all property in the title area and demonstrate how the titleholder will maintain a comprehensive inventory and use it to monitor and manage property that will no longer be used and/or property that requires repair.</w:t>
      </w:r>
      <w:r>
        <w:t xml:space="preserve"> </w:t>
      </w:r>
    </w:p>
    <w:p w14:paraId="4E5A21EC" w14:textId="6F4CBD1E" w:rsidR="00F97D83" w:rsidRDefault="00F97D83" w:rsidP="00E72AB4">
      <w:pPr>
        <w:pStyle w:val="Calloutbox"/>
      </w:pPr>
      <w:r>
        <w:t xml:space="preserve">Further information can be found in NOPSEMA’s </w:t>
      </w:r>
      <w:hyperlink r:id="rId19" w:history="1">
        <w:r w:rsidRPr="00F97D83">
          <w:rPr>
            <w:rStyle w:val="Hyperlink"/>
          </w:rPr>
          <w:t>Information Paper – Considerations for five-year environment plan revisions</w:t>
        </w:r>
      </w:hyperlink>
      <w:r>
        <w:t xml:space="preserve"> and </w:t>
      </w:r>
      <w:hyperlink r:id="rId20">
        <w:r w:rsidRPr="3446EB29">
          <w:rPr>
            <w:rStyle w:val="Hyperlink"/>
          </w:rPr>
          <w:t>Section 572 Maintenance and Removal of Property Policy</w:t>
        </w:r>
      </w:hyperlink>
      <w:r>
        <w:t>.</w:t>
      </w:r>
    </w:p>
    <w:p w14:paraId="19DE8323" w14:textId="3F625BAD" w:rsidR="000E6962" w:rsidRDefault="006A63C6" w:rsidP="00250D66">
      <w:pPr>
        <w:pStyle w:val="List2"/>
        <w:numPr>
          <w:ilvl w:val="1"/>
          <w:numId w:val="16"/>
        </w:numPr>
        <w:tabs>
          <w:tab w:val="clear" w:pos="454"/>
        </w:tabs>
        <w:ind w:left="720" w:hanging="720"/>
      </w:pPr>
      <w:r>
        <w:t xml:space="preserve">Disused </w:t>
      </w:r>
      <w:r w:rsidR="00CF50CA" w:rsidRPr="007F739A">
        <w:t>property</w:t>
      </w:r>
      <w:r w:rsidRPr="007F739A">
        <w:t xml:space="preserve"> </w:t>
      </w:r>
      <w:r>
        <w:t xml:space="preserve">should be removed as soon as practicable, or arrangements made to deal with the </w:t>
      </w:r>
      <w:r w:rsidR="00CF50CA" w:rsidRPr="007F739A">
        <w:t xml:space="preserve">property </w:t>
      </w:r>
      <w:r>
        <w:t xml:space="preserve">in a manner that delivers </w:t>
      </w:r>
      <w:r w:rsidR="00D338FA" w:rsidRPr="006E2897">
        <w:t>equal or better</w:t>
      </w:r>
      <w:r w:rsidRPr="006E2897">
        <w:t xml:space="preserve"> </w:t>
      </w:r>
      <w:r>
        <w:t>environmental</w:t>
      </w:r>
      <w:r w:rsidR="00D338FA" w:rsidRPr="006E2897">
        <w:t xml:space="preserve"> </w:t>
      </w:r>
      <w:r>
        <w:t>outcomes</w:t>
      </w:r>
      <w:r w:rsidR="00D338FA" w:rsidRPr="006E2897">
        <w:t xml:space="preserve"> compared </w:t>
      </w:r>
      <w:r w:rsidR="00D338FA" w:rsidRPr="0045507C">
        <w:t>to complete removal and meets all applicable requirements under the OPGGS Act and regulations including well integrity and safety-related matters, and other applicable laws</w:t>
      </w:r>
      <w:r w:rsidR="00A4093D" w:rsidRPr="00FE3C9A">
        <w:t>.</w:t>
      </w:r>
      <w:r w:rsidR="00A4093D">
        <w:t xml:space="preserve"> </w:t>
      </w:r>
      <w:r>
        <w:t xml:space="preserve">Periodically removing </w:t>
      </w:r>
      <w:r w:rsidR="00CF50CA" w:rsidRPr="007F739A">
        <w:t xml:space="preserve">property </w:t>
      </w:r>
      <w:r>
        <w:t xml:space="preserve">should also reduce the amount of </w:t>
      </w:r>
      <w:r w:rsidR="00CF50CA" w:rsidRPr="007F739A">
        <w:t xml:space="preserve">property </w:t>
      </w:r>
      <w:r>
        <w:t xml:space="preserve">that must be dealt with at the end of </w:t>
      </w:r>
      <w:r w:rsidR="00193D36">
        <w:t>an activity</w:t>
      </w:r>
      <w:r>
        <w:t>.</w:t>
      </w:r>
    </w:p>
    <w:p w14:paraId="1E17D43D" w14:textId="7C8A2BBF" w:rsidR="000E6962" w:rsidRDefault="00A51101" w:rsidP="00250D66">
      <w:pPr>
        <w:pStyle w:val="List2"/>
        <w:numPr>
          <w:ilvl w:val="1"/>
          <w:numId w:val="16"/>
        </w:numPr>
        <w:tabs>
          <w:tab w:val="clear" w:pos="454"/>
        </w:tabs>
        <w:ind w:left="720" w:hanging="720"/>
      </w:pPr>
      <w:r>
        <w:t xml:space="preserve">A failure </w:t>
      </w:r>
      <w:r w:rsidRPr="00250D66">
        <w:rPr>
          <w:rFonts w:cstheme="minorHAnsi"/>
        </w:rPr>
        <w:t>to</w:t>
      </w:r>
      <w:r>
        <w:t xml:space="preserve"> comply with </w:t>
      </w:r>
      <w:r w:rsidR="0026351F">
        <w:t xml:space="preserve">the </w:t>
      </w:r>
      <w:r>
        <w:t xml:space="preserve">property </w:t>
      </w:r>
      <w:r w:rsidR="00956609">
        <w:t xml:space="preserve">maintenance, repair or </w:t>
      </w:r>
      <w:r>
        <w:t>removal</w:t>
      </w:r>
      <w:r w:rsidDel="00956609">
        <w:t xml:space="preserve"> </w:t>
      </w:r>
      <w:r>
        <w:t>obligations may attract a criminal penalty of up to 100 penalty units, or a civil penalty of up to 525 penalty units.</w:t>
      </w:r>
      <w:r>
        <w:rPr>
          <w:rStyle w:val="FootnoteReference"/>
        </w:rPr>
        <w:footnoteReference w:id="2"/>
      </w:r>
      <w:r w:rsidR="00AD0C72">
        <w:t xml:space="preserve"> </w:t>
      </w:r>
    </w:p>
    <w:p w14:paraId="10CFD63B" w14:textId="1335E2AF" w:rsidR="000E6962" w:rsidRDefault="00AD4D6C" w:rsidP="00250D66">
      <w:pPr>
        <w:pStyle w:val="List2"/>
        <w:numPr>
          <w:ilvl w:val="1"/>
          <w:numId w:val="16"/>
        </w:numPr>
        <w:tabs>
          <w:tab w:val="clear" w:pos="454"/>
        </w:tabs>
        <w:ind w:left="720" w:hanging="720"/>
      </w:pPr>
      <w:r>
        <w:t>No</w:t>
      </w:r>
      <w:r w:rsidR="00AD0C72">
        <w:t>n</w:t>
      </w:r>
      <w:r w:rsidR="00AD0C72">
        <w:noBreakHyphen/>
      </w:r>
      <w:r w:rsidR="00A51101" w:rsidRPr="00250D66">
        <w:rPr>
          <w:rFonts w:cstheme="minorHAnsi"/>
        </w:rPr>
        <w:t>compliance</w:t>
      </w:r>
      <w:r w:rsidR="00A51101">
        <w:t xml:space="preserve"> may also be grounds for enforcement action, including issuing </w:t>
      </w:r>
      <w:r w:rsidR="00E85FEC">
        <w:t xml:space="preserve">of </w:t>
      </w:r>
      <w:r w:rsidR="00A51101">
        <w:t xml:space="preserve">a direction </w:t>
      </w:r>
      <w:r w:rsidR="00E85FEC">
        <w:t xml:space="preserve">by NOPSEMA </w:t>
      </w:r>
      <w:r w:rsidR="00A51101">
        <w:t>or, ultimately, cancell</w:t>
      </w:r>
      <w:r w:rsidR="00E85FEC">
        <w:t>ation of</w:t>
      </w:r>
      <w:r w:rsidR="00CD7A6A">
        <w:t xml:space="preserve"> the relevant</w:t>
      </w:r>
      <w:r w:rsidR="00A51101">
        <w:t xml:space="preserve"> title</w:t>
      </w:r>
      <w:r w:rsidR="00E85FEC">
        <w:t xml:space="preserve"> by a Joint Authority</w:t>
      </w:r>
      <w:r w:rsidR="00A51101">
        <w:t>.</w:t>
      </w:r>
    </w:p>
    <w:p w14:paraId="25F9C3C9" w14:textId="787190D8" w:rsidR="000E6962" w:rsidRDefault="00E85FEC" w:rsidP="00250D66">
      <w:pPr>
        <w:pStyle w:val="List2"/>
        <w:numPr>
          <w:ilvl w:val="1"/>
          <w:numId w:val="16"/>
        </w:numPr>
        <w:tabs>
          <w:tab w:val="clear" w:pos="454"/>
        </w:tabs>
        <w:ind w:left="720" w:hanging="720"/>
      </w:pPr>
      <w:r w:rsidRPr="007F739A">
        <w:t>Compliance with t</w:t>
      </w:r>
      <w:r w:rsidR="00A51101" w:rsidRPr="007F739A">
        <w:t>he requirement</w:t>
      </w:r>
      <w:r w:rsidRPr="007F739A">
        <w:t>s</w:t>
      </w:r>
      <w:r w:rsidR="00A51101" w:rsidRPr="007F739A">
        <w:t xml:space="preserve"> </w:t>
      </w:r>
      <w:r w:rsidR="00856924" w:rsidRPr="007F739A">
        <w:t xml:space="preserve">to maintain property in good condition and repair, and </w:t>
      </w:r>
      <w:r w:rsidR="00A51101" w:rsidRPr="007F739A">
        <w:t xml:space="preserve">to remove </w:t>
      </w:r>
      <w:r w:rsidR="00A51101" w:rsidRPr="00250D66">
        <w:rPr>
          <w:rFonts w:cstheme="minorHAnsi"/>
        </w:rPr>
        <w:t>disused</w:t>
      </w:r>
      <w:r w:rsidR="00A51101" w:rsidRPr="007F739A">
        <w:t xml:space="preserve"> property from the title area,</w:t>
      </w:r>
      <w:r w:rsidR="00A51101" w:rsidRPr="007F739A" w:rsidDel="00856924">
        <w:t xml:space="preserve"> </w:t>
      </w:r>
      <w:r w:rsidR="00A51101" w:rsidRPr="007F739A">
        <w:t xml:space="preserve">are </w:t>
      </w:r>
      <w:r w:rsidR="00935B4B" w:rsidRPr="007F739A">
        <w:t xml:space="preserve">also </w:t>
      </w:r>
      <w:r w:rsidR="00A51101" w:rsidRPr="007F739A">
        <w:t>relevant considerations in</w:t>
      </w:r>
      <w:r w:rsidR="006F6C5A" w:rsidRPr="007F739A">
        <w:t xml:space="preserve"> </w:t>
      </w:r>
      <w:r w:rsidR="00935B4B" w:rsidRPr="007F739A">
        <w:t xml:space="preserve">some </w:t>
      </w:r>
      <w:r w:rsidR="004466FA">
        <w:t>Joint Authority</w:t>
      </w:r>
      <w:r w:rsidR="004466FA" w:rsidRPr="007F739A">
        <w:t xml:space="preserve"> </w:t>
      </w:r>
      <w:r w:rsidR="00472D25" w:rsidRPr="007F739A">
        <w:t xml:space="preserve">decisions </w:t>
      </w:r>
      <w:r w:rsidR="007F264C" w:rsidRPr="007F739A">
        <w:t xml:space="preserve">including </w:t>
      </w:r>
      <w:r w:rsidR="006F6C5A" w:rsidRPr="007F739A">
        <w:t xml:space="preserve">decisions </w:t>
      </w:r>
      <w:proofErr w:type="gramStart"/>
      <w:r w:rsidR="006F6C5A" w:rsidRPr="007F739A">
        <w:t>to</w:t>
      </w:r>
      <w:r w:rsidR="00CA50D2" w:rsidRPr="007F739A">
        <w:t>:</w:t>
      </w:r>
      <w:proofErr w:type="gramEnd"/>
      <w:r w:rsidR="006F6C5A" w:rsidRPr="007F739A">
        <w:t xml:space="preserve"> </w:t>
      </w:r>
      <w:r w:rsidR="00CA50D2" w:rsidRPr="007F739A">
        <w:t xml:space="preserve">award and </w:t>
      </w:r>
      <w:r w:rsidR="006F6C5A" w:rsidRPr="007F739A">
        <w:t>renew</w:t>
      </w:r>
      <w:r w:rsidR="00CA50D2" w:rsidRPr="007F739A">
        <w:t xml:space="preserve"> </w:t>
      </w:r>
      <w:r w:rsidR="007B0AA7" w:rsidRPr="007F739A">
        <w:t>titles</w:t>
      </w:r>
      <w:r w:rsidR="00CA50D2" w:rsidRPr="007F739A">
        <w:t>,</w:t>
      </w:r>
      <w:r w:rsidR="00A51101" w:rsidRPr="007F739A" w:rsidDel="00CA50D2">
        <w:t xml:space="preserve"> </w:t>
      </w:r>
      <w:r w:rsidR="009306B2">
        <w:t xml:space="preserve">or </w:t>
      </w:r>
      <w:r w:rsidR="00A51101" w:rsidRPr="007F739A">
        <w:t>consent to surrender a title</w:t>
      </w:r>
      <w:r w:rsidR="009306B2">
        <w:t>. These matters may also be considered in title transfers and change of control</w:t>
      </w:r>
      <w:r w:rsidR="00A4093D">
        <w:t xml:space="preserve">. </w:t>
      </w:r>
      <w:r w:rsidR="00A51101">
        <w:t xml:space="preserve">It is therefore in the interests of industry to ensure that legal obligations are understood and </w:t>
      </w:r>
      <w:r w:rsidR="006F6C5A">
        <w:t xml:space="preserve">that they are </w:t>
      </w:r>
      <w:r w:rsidR="00A51101">
        <w:t>met on an ongoing basis.</w:t>
      </w:r>
    </w:p>
    <w:p w14:paraId="154601BC" w14:textId="4133AAF6" w:rsidR="000E6962" w:rsidRDefault="00D9466F" w:rsidP="00250D66">
      <w:pPr>
        <w:pStyle w:val="List2"/>
        <w:numPr>
          <w:ilvl w:val="1"/>
          <w:numId w:val="16"/>
        </w:numPr>
        <w:tabs>
          <w:tab w:val="clear" w:pos="454"/>
        </w:tabs>
        <w:ind w:left="720" w:hanging="720"/>
      </w:pPr>
      <w:r>
        <w:t xml:space="preserve"> When making decisions under the OPGGS Act</w:t>
      </w:r>
      <w:r w:rsidR="00E47C67">
        <w:t xml:space="preserve">, the Titles Administrator or Joint Authority may request </w:t>
      </w:r>
      <w:r w:rsidR="00E47C67" w:rsidRPr="00250D66">
        <w:rPr>
          <w:rFonts w:cstheme="minorHAnsi"/>
        </w:rPr>
        <w:t>advice</w:t>
      </w:r>
      <w:r w:rsidR="00E47C67">
        <w:t xml:space="preserve"> from NOPSEMA in relation to compliance matters. </w:t>
      </w:r>
    </w:p>
    <w:p w14:paraId="006DE63B" w14:textId="39BD3894" w:rsidR="00E47C67" w:rsidRDefault="00E47C67" w:rsidP="00250D66">
      <w:pPr>
        <w:pStyle w:val="List2"/>
        <w:numPr>
          <w:ilvl w:val="1"/>
          <w:numId w:val="16"/>
        </w:numPr>
        <w:tabs>
          <w:tab w:val="clear" w:pos="454"/>
        </w:tabs>
        <w:ind w:left="720" w:hanging="720"/>
      </w:pPr>
      <w:r>
        <w:t xml:space="preserve">Information held by NOPSEMA about a titleholder’s compliance with their obligations for maintenance and removal of equipment, amongst other relevant matters, may inform NOPSEMA’s </w:t>
      </w:r>
      <w:r w:rsidRPr="00250D66">
        <w:rPr>
          <w:rFonts w:cstheme="minorHAnsi"/>
        </w:rPr>
        <w:t>advice</w:t>
      </w:r>
      <w:r>
        <w:t>.</w:t>
      </w:r>
    </w:p>
    <w:p w14:paraId="57C2DC98" w14:textId="0A53C757" w:rsidR="00B919E6" w:rsidRPr="000B22A9" w:rsidRDefault="00B919E6" w:rsidP="00C4427D">
      <w:pPr>
        <w:pStyle w:val="Heading3"/>
      </w:pPr>
      <w:bookmarkStart w:id="170" w:name="_Toc81319780"/>
      <w:bookmarkStart w:id="171" w:name="_Toc81322588"/>
      <w:bookmarkStart w:id="172" w:name="_Toc81324975"/>
      <w:bookmarkStart w:id="173" w:name="_Toc81327228"/>
      <w:bookmarkStart w:id="174" w:name="_Toc81327500"/>
      <w:bookmarkStart w:id="175" w:name="_Ref82767016"/>
      <w:bookmarkStart w:id="176" w:name="_Toc82785076"/>
      <w:r w:rsidRPr="000B22A9">
        <w:t>Deviation from</w:t>
      </w:r>
      <w:r w:rsidRPr="00BA7D19">
        <w:rPr>
          <w:rStyle w:val="Heading2Char"/>
        </w:rPr>
        <w:t xml:space="preserve"> </w:t>
      </w:r>
      <w:r w:rsidRPr="000B22A9">
        <w:t>removal requirements</w:t>
      </w:r>
      <w:bookmarkEnd w:id="170"/>
      <w:bookmarkEnd w:id="171"/>
      <w:bookmarkEnd w:id="172"/>
      <w:bookmarkEnd w:id="173"/>
      <w:bookmarkEnd w:id="174"/>
      <w:bookmarkEnd w:id="175"/>
      <w:bookmarkEnd w:id="176"/>
    </w:p>
    <w:p w14:paraId="3DA73AFA" w14:textId="4263E4F4" w:rsidR="00BA7D19" w:rsidRDefault="00B919E6" w:rsidP="00250D66">
      <w:pPr>
        <w:pStyle w:val="List2"/>
        <w:numPr>
          <w:ilvl w:val="1"/>
          <w:numId w:val="16"/>
        </w:numPr>
        <w:tabs>
          <w:tab w:val="clear" w:pos="454"/>
        </w:tabs>
        <w:ind w:left="720" w:hanging="720"/>
      </w:pPr>
      <w:r>
        <w:t xml:space="preserve">It is acknowledged that </w:t>
      </w:r>
      <w:r w:rsidDel="00A844E4">
        <w:t xml:space="preserve">the variability of factors (including site-specific environmental and safety risks, type of </w:t>
      </w:r>
      <w:r w:rsidR="00C655E9" w:rsidRPr="007F739A">
        <w:t>property</w:t>
      </w:r>
      <w:r w:rsidRPr="007F739A" w:rsidDel="00A844E4">
        <w:t>,</w:t>
      </w:r>
      <w:r w:rsidDel="00A844E4">
        <w:t xml:space="preserve"> and technology) may affect titleholders’ </w:t>
      </w:r>
      <w:r>
        <w:t xml:space="preserve">decommissioning </w:t>
      </w:r>
      <w:r w:rsidDel="00A844E4">
        <w:t>considerations</w:t>
      </w:r>
      <w:r>
        <w:t xml:space="preserve"> and in some cases complete removal of </w:t>
      </w:r>
      <w:r w:rsidR="00C9041D">
        <w:t xml:space="preserve">all </w:t>
      </w:r>
      <w:r w:rsidR="00C655E9" w:rsidRPr="007F739A">
        <w:t xml:space="preserve">property </w:t>
      </w:r>
      <w:r>
        <w:t>may not always be practicable</w:t>
      </w:r>
      <w:r w:rsidDel="00A844E4">
        <w:t xml:space="preserve">. </w:t>
      </w:r>
    </w:p>
    <w:p w14:paraId="164DEEEA" w14:textId="5A25E7FF" w:rsidR="002B0E0B" w:rsidRDefault="00BA7D19" w:rsidP="00250D66">
      <w:pPr>
        <w:pStyle w:val="List2"/>
        <w:numPr>
          <w:ilvl w:val="1"/>
          <w:numId w:val="16"/>
        </w:numPr>
        <w:tabs>
          <w:tab w:val="clear" w:pos="454"/>
        </w:tabs>
        <w:ind w:left="720" w:hanging="720"/>
      </w:pPr>
      <w:r>
        <w:t>A t</w:t>
      </w:r>
      <w:r w:rsidR="00E9796F" w:rsidRPr="00445804">
        <w:t>itleholder</w:t>
      </w:r>
      <w:r>
        <w:t>’</w:t>
      </w:r>
      <w:r w:rsidR="00E9796F" w:rsidRPr="00445804">
        <w:t xml:space="preserve">s </w:t>
      </w:r>
      <w:r w:rsidR="00B11212">
        <w:t>preliminary</w:t>
      </w:r>
      <w:r w:rsidR="00E9796F" w:rsidRPr="00445804">
        <w:t xml:space="preserve"> intentions with respect to the final state of </w:t>
      </w:r>
      <w:r w:rsidR="000C673C">
        <w:t xml:space="preserve">property or </w:t>
      </w:r>
      <w:r w:rsidR="000C673C" w:rsidRPr="00250D66">
        <w:rPr>
          <w:rFonts w:cstheme="minorHAnsi"/>
        </w:rPr>
        <w:t>infrastructure</w:t>
      </w:r>
      <w:r w:rsidR="000C673C">
        <w:t xml:space="preserve"> should </w:t>
      </w:r>
      <w:r w:rsidR="00E9796F" w:rsidRPr="00445804">
        <w:t xml:space="preserve">be included in permissioning documents, prior to property being brought into the title area. </w:t>
      </w:r>
    </w:p>
    <w:p w14:paraId="4C188C3C" w14:textId="6C5723C9" w:rsidR="002B0E0B" w:rsidRDefault="00D338FA" w:rsidP="00250D66">
      <w:pPr>
        <w:pStyle w:val="List2"/>
        <w:numPr>
          <w:ilvl w:val="1"/>
          <w:numId w:val="16"/>
        </w:numPr>
        <w:tabs>
          <w:tab w:val="clear" w:pos="454"/>
        </w:tabs>
        <w:ind w:left="720" w:hanging="720"/>
      </w:pPr>
      <w:r>
        <w:lastRenderedPageBreak/>
        <w:t xml:space="preserve">Titleholders should identify any </w:t>
      </w:r>
      <w:r w:rsidR="000C673C">
        <w:t xml:space="preserve">property </w:t>
      </w:r>
      <w:r>
        <w:t xml:space="preserve">that may need </w:t>
      </w:r>
      <w:r w:rsidR="000C673C">
        <w:t xml:space="preserve">to be left in situ </w:t>
      </w:r>
      <w:r>
        <w:t>in</w:t>
      </w:r>
      <w:r w:rsidR="00E9796F" w:rsidRPr="00445804">
        <w:t xml:space="preserve"> the</w:t>
      </w:r>
      <w:r w:rsidR="00894232">
        <w:t>ir</w:t>
      </w:r>
      <w:r w:rsidR="00E9796F" w:rsidRPr="00445804">
        <w:t xml:space="preserve"> </w:t>
      </w:r>
      <w:r w:rsidR="001949AA">
        <w:t xml:space="preserve">initial </w:t>
      </w:r>
      <w:r w:rsidR="00E9796F" w:rsidRPr="00445804">
        <w:t>permissioning document</w:t>
      </w:r>
      <w:r>
        <w:t xml:space="preserve">. This position can be </w:t>
      </w:r>
      <w:r w:rsidR="001949AA">
        <w:t xml:space="preserve">re-visited at subsequent </w:t>
      </w:r>
      <w:r w:rsidR="00E9796F" w:rsidRPr="00445804">
        <w:t>stage</w:t>
      </w:r>
      <w:r w:rsidR="00516BE3">
        <w:t>s</w:t>
      </w:r>
      <w:r>
        <w:t xml:space="preserve"> in the project </w:t>
      </w:r>
      <w:r w:rsidRPr="00250D66">
        <w:rPr>
          <w:rFonts w:cstheme="minorHAnsi"/>
        </w:rPr>
        <w:t>lifecycle</w:t>
      </w:r>
      <w:r>
        <w:t xml:space="preserve"> through permissioning documents</w:t>
      </w:r>
      <w:r w:rsidR="00E9796F" w:rsidRPr="00445804">
        <w:t xml:space="preserve">. </w:t>
      </w:r>
      <w:r w:rsidRPr="00D338FA">
        <w:t xml:space="preserve"> </w:t>
      </w:r>
      <w:r>
        <w:t>For new projects,</w:t>
      </w:r>
      <w:r w:rsidR="00BE298D">
        <w:t xml:space="preserve"> conceptual decommissioning plans</w:t>
      </w:r>
      <w:r w:rsidR="00E9796F">
        <w:t xml:space="preserve"> should be established at the Offshore Project Proposal (OPP) phase. This </w:t>
      </w:r>
      <w:r>
        <w:t>is</w:t>
      </w:r>
      <w:r w:rsidR="00E9796F">
        <w:t xml:space="preserve"> particularly relevant for equipment that is not intended to be removed such as well bore equipment.</w:t>
      </w:r>
    </w:p>
    <w:p w14:paraId="038EC3D5" w14:textId="1B536416" w:rsidR="001975AB" w:rsidRDefault="00E47C67" w:rsidP="00250D66">
      <w:pPr>
        <w:pStyle w:val="List2"/>
        <w:numPr>
          <w:ilvl w:val="1"/>
          <w:numId w:val="16"/>
        </w:numPr>
        <w:tabs>
          <w:tab w:val="clear" w:pos="454"/>
        </w:tabs>
        <w:ind w:left="720" w:hanging="720"/>
      </w:pPr>
      <w:r>
        <w:t>Options other than removal</w:t>
      </w:r>
      <w:r w:rsidRPr="00E63AF2">
        <w:t xml:space="preserve"> </w:t>
      </w:r>
      <w:r w:rsidR="00C9041D">
        <w:t xml:space="preserve">of all property </w:t>
      </w:r>
      <w:r w:rsidRPr="002C61AA">
        <w:t xml:space="preserve">may </w:t>
      </w:r>
      <w:r>
        <w:t xml:space="preserve">be considered, where the alternative </w:t>
      </w:r>
      <w:r w:rsidRPr="00250D66">
        <w:rPr>
          <w:rFonts w:cstheme="minorHAnsi"/>
        </w:rPr>
        <w:t>decommissioning</w:t>
      </w:r>
      <w:r>
        <w:t xml:space="preserve"> approach </w:t>
      </w:r>
      <w:r w:rsidRPr="00E63AF2">
        <w:t>deliver</w:t>
      </w:r>
      <w:r>
        <w:t>s equal or better</w:t>
      </w:r>
      <w:r w:rsidRPr="00E63AF2">
        <w:t xml:space="preserve"> e</w:t>
      </w:r>
      <w:r>
        <w:t>nvironmenta</w:t>
      </w:r>
      <w:r w:rsidRPr="001F0E95">
        <w:t>l</w:t>
      </w:r>
      <w:r>
        <w:t xml:space="preserve"> </w:t>
      </w:r>
      <w:r w:rsidRPr="00E63AF2">
        <w:t>outcomes</w:t>
      </w:r>
      <w:r>
        <w:t xml:space="preserve"> compared to complete removal</w:t>
      </w:r>
      <w:r w:rsidR="009E2242" w:rsidRPr="008F6602">
        <w:t xml:space="preserve"> and meets all applicable requirements under the OPGGS Act and regulations, including well integrity and safety-related matters, and other applicable laws</w:t>
      </w:r>
      <w:r>
        <w:t>.</w:t>
      </w:r>
      <w:r w:rsidRPr="004F4D07">
        <w:t xml:space="preserve"> </w:t>
      </w:r>
    </w:p>
    <w:p w14:paraId="562353EB" w14:textId="189D1EC0" w:rsidR="001975AB" w:rsidRDefault="00E47C67" w:rsidP="00250D66">
      <w:pPr>
        <w:pStyle w:val="List2"/>
        <w:numPr>
          <w:ilvl w:val="1"/>
          <w:numId w:val="16"/>
        </w:numPr>
        <w:tabs>
          <w:tab w:val="clear" w:pos="454"/>
        </w:tabs>
        <w:ind w:left="720" w:hanging="720"/>
      </w:pPr>
      <w:r w:rsidRPr="004F4D07">
        <w:t>Titleholders</w:t>
      </w:r>
      <w:r>
        <w:t xml:space="preserve"> must demonstrate the feasibility of decommissioning activities proposed in </w:t>
      </w:r>
      <w:r w:rsidR="3446EB29" w:rsidRPr="00250D66">
        <w:rPr>
          <w:rFonts w:cstheme="minorHAnsi"/>
        </w:rPr>
        <w:t>environment</w:t>
      </w:r>
      <w:r w:rsidR="3446EB29" w:rsidRPr="00761C16">
        <w:t xml:space="preserve"> plans</w:t>
      </w:r>
      <w:r>
        <w:t xml:space="preserve"> and consider how the proposal will ensure compliance with other requirements of the</w:t>
      </w:r>
      <w:r w:rsidR="006D2665">
        <w:t xml:space="preserve"> OPGGS</w:t>
      </w:r>
      <w:r>
        <w:t xml:space="preserve"> Act and </w:t>
      </w:r>
      <w:r w:rsidR="006D2665">
        <w:t>r</w:t>
      </w:r>
      <w:r>
        <w:t xml:space="preserve">egulations such as </w:t>
      </w:r>
      <w:r w:rsidR="006721F9">
        <w:t>well integrity and</w:t>
      </w:r>
      <w:r>
        <w:t xml:space="preserve"> safety</w:t>
      </w:r>
      <w:r w:rsidR="000E027A">
        <w:t>-</w:t>
      </w:r>
      <w:r>
        <w:t xml:space="preserve">related </w:t>
      </w:r>
      <w:r w:rsidRPr="00250D66">
        <w:rPr>
          <w:rFonts w:cstheme="minorHAnsi"/>
        </w:rPr>
        <w:t>matters</w:t>
      </w:r>
      <w:r>
        <w:t xml:space="preserve">. </w:t>
      </w:r>
    </w:p>
    <w:p w14:paraId="63AD1B53" w14:textId="7CCE2D94" w:rsidR="002B0E0B" w:rsidRDefault="00E47C67" w:rsidP="00250D66">
      <w:pPr>
        <w:pStyle w:val="List2"/>
        <w:numPr>
          <w:ilvl w:val="1"/>
          <w:numId w:val="16"/>
        </w:numPr>
        <w:tabs>
          <w:tab w:val="clear" w:pos="454"/>
        </w:tabs>
        <w:ind w:left="720" w:hanging="720"/>
      </w:pPr>
      <w:r w:rsidRPr="00250D66">
        <w:rPr>
          <w:rFonts w:cstheme="minorHAnsi"/>
        </w:rPr>
        <w:t>Titleholders should ensure</w:t>
      </w:r>
      <w:r w:rsidR="0094360C" w:rsidRPr="00250D66">
        <w:rPr>
          <w:rFonts w:cstheme="minorHAnsi"/>
        </w:rPr>
        <w:t xml:space="preserve"> decommissioning content is</w:t>
      </w:r>
      <w:r w:rsidRPr="00250D66">
        <w:rPr>
          <w:rFonts w:cstheme="minorHAnsi"/>
        </w:rPr>
        <w:t xml:space="preserve"> consistent</w:t>
      </w:r>
      <w:r w:rsidR="0094360C" w:rsidRPr="00250D66">
        <w:rPr>
          <w:rFonts w:cstheme="minorHAnsi"/>
        </w:rPr>
        <w:t xml:space="preserve"> </w:t>
      </w:r>
      <w:r w:rsidRPr="00250D66">
        <w:rPr>
          <w:rFonts w:cstheme="minorHAnsi"/>
        </w:rPr>
        <w:t>across the suite of permissio</w:t>
      </w:r>
      <w:r>
        <w:t xml:space="preserve">ning </w:t>
      </w:r>
      <w:r w:rsidR="002B0E0B">
        <w:t>documents submitted to NOPSEMA.</w:t>
      </w:r>
      <w:hyperlink w:anchor="Environment_Plan" w:history="1"/>
    </w:p>
    <w:p w14:paraId="215D89D4" w14:textId="5EA153AB" w:rsidR="002B0E0B" w:rsidRDefault="000C673C" w:rsidP="00250D66">
      <w:pPr>
        <w:pStyle w:val="List2"/>
        <w:numPr>
          <w:ilvl w:val="1"/>
          <w:numId w:val="16"/>
        </w:numPr>
        <w:tabs>
          <w:tab w:val="clear" w:pos="454"/>
        </w:tabs>
        <w:ind w:left="720" w:hanging="720"/>
      </w:pPr>
      <w:r>
        <w:t xml:space="preserve">When assessing the environment plan, NOPSEMA will consider the guidelines and standards provided by the IMO Resolution, to ensure consistency in the </w:t>
      </w:r>
      <w:proofErr w:type="gramStart"/>
      <w:r>
        <w:t>decision making</w:t>
      </w:r>
      <w:proofErr w:type="gramEnd"/>
      <w:r>
        <w:t xml:space="preserve"> process. </w:t>
      </w:r>
      <w:r w:rsidR="00B919E6" w:rsidRPr="00016099">
        <w:t xml:space="preserve">NOPSEMA must also be satisfied that the usual </w:t>
      </w:r>
      <w:r w:rsidR="00B919E6" w:rsidRPr="003F4815">
        <w:t xml:space="preserve">criteria for acceptance of an environment plan under the </w:t>
      </w:r>
      <w:hyperlink r:id="rId21">
        <w:r w:rsidR="00561EC2" w:rsidRPr="005B693C">
          <w:rPr>
            <w:rStyle w:val="Hyperlink"/>
            <w:iCs/>
          </w:rPr>
          <w:t>Offshore Petroleum and Greenhouse Gas Storage (Environment) Regulations 2009</w:t>
        </w:r>
      </w:hyperlink>
      <w:r w:rsidR="00561EC2" w:rsidRPr="005B693C">
        <w:t xml:space="preserve"> </w:t>
      </w:r>
      <w:r w:rsidR="00561EC2">
        <w:t>(</w:t>
      </w:r>
      <w:r w:rsidR="00CF711E">
        <w:t xml:space="preserve">the </w:t>
      </w:r>
      <w:r w:rsidR="00561EC2">
        <w:t>Environment Regulations)</w:t>
      </w:r>
      <w:r w:rsidR="00B919E6" w:rsidRPr="003F4815">
        <w:t xml:space="preserve"> have been met</w:t>
      </w:r>
      <w:r w:rsidR="003A39D4" w:rsidRPr="007F739A">
        <w:t xml:space="preserve">. </w:t>
      </w:r>
    </w:p>
    <w:p w14:paraId="1C9D9055" w14:textId="1330906F" w:rsidR="00B919E6" w:rsidRDefault="00B919E6" w:rsidP="00250D66">
      <w:pPr>
        <w:pStyle w:val="List2"/>
        <w:numPr>
          <w:ilvl w:val="1"/>
          <w:numId w:val="16"/>
        </w:numPr>
        <w:tabs>
          <w:tab w:val="clear" w:pos="454"/>
        </w:tabs>
        <w:ind w:left="720" w:hanging="720"/>
      </w:pPr>
      <w:r w:rsidRPr="00016099">
        <w:t>NOPSEMA’s acceptance of</w:t>
      </w:r>
      <w:r>
        <w:t xml:space="preserve"> an </w:t>
      </w:r>
      <w:r w:rsidR="006609B4">
        <w:t>e</w:t>
      </w:r>
      <w:r>
        <w:t xml:space="preserve">nvironment </w:t>
      </w:r>
      <w:r w:rsidR="006609B4">
        <w:t>p</w:t>
      </w:r>
      <w:r w:rsidRPr="00016099">
        <w:t xml:space="preserve">lan </w:t>
      </w:r>
      <w:r>
        <w:t xml:space="preserve">that includes a plan for </w:t>
      </w:r>
      <w:r w:rsidR="00AB0899">
        <w:t xml:space="preserve">any </w:t>
      </w:r>
      <w:r w:rsidR="00C655E9" w:rsidRPr="007F739A">
        <w:t xml:space="preserve">property </w:t>
      </w:r>
      <w:r>
        <w:t>to be left in situ</w:t>
      </w:r>
      <w:r w:rsidR="00FC375A">
        <w:t xml:space="preserve"> </w:t>
      </w:r>
      <w:r w:rsidR="008D434C">
        <w:t xml:space="preserve">is taken to </w:t>
      </w:r>
      <w:r w:rsidRPr="00016099">
        <w:t xml:space="preserve">constitute arrangements that are satisfactory to NOPSEMA </w:t>
      </w:r>
      <w:r w:rsidR="008D434C">
        <w:t xml:space="preserve">for the purposes of OPGGS Act </w:t>
      </w:r>
      <w:r w:rsidR="00834F21">
        <w:t>s</w:t>
      </w:r>
      <w:r w:rsidR="008D434C">
        <w:t xml:space="preserve"> 270(3) </w:t>
      </w:r>
      <w:r>
        <w:t>and t</w:t>
      </w:r>
      <w:r w:rsidRPr="00016099">
        <w:t xml:space="preserve">he titleholder would not be required to remove the property </w:t>
      </w:r>
      <w:proofErr w:type="gramStart"/>
      <w:r w:rsidR="000404FF">
        <w:t>in</w:t>
      </w:r>
      <w:r w:rsidR="00FC375A">
        <w:t xml:space="preserve"> order to</w:t>
      </w:r>
      <w:proofErr w:type="gramEnd"/>
      <w:r w:rsidR="00FC375A">
        <w:t xml:space="preserve"> comply with </w:t>
      </w:r>
      <w:r w:rsidR="00834F21">
        <w:t>s</w:t>
      </w:r>
      <w:r w:rsidRPr="00016099">
        <w:t xml:space="preserve"> 572(3).</w:t>
      </w:r>
      <w:r w:rsidR="00651E53" w:rsidRPr="007F739A">
        <w:t xml:space="preserve">  </w:t>
      </w:r>
    </w:p>
    <w:p w14:paraId="2ADEAF96" w14:textId="58817C3F" w:rsidR="004B0638" w:rsidRDefault="3446EB29" w:rsidP="000A4D9D">
      <w:pPr>
        <w:pStyle w:val="Calloutbox"/>
      </w:pPr>
      <w:r>
        <w:t xml:space="preserve">Further information on the maintenance and removal of property can be found in NOPSEMA’s </w:t>
      </w:r>
      <w:hyperlink r:id="rId22">
        <w:r w:rsidRPr="3446EB29">
          <w:rPr>
            <w:rStyle w:val="Hyperlink"/>
          </w:rPr>
          <w:t>Section 572 Maintenance and Removal of Property Policy</w:t>
        </w:r>
      </w:hyperlink>
      <w:r>
        <w:t>.</w:t>
      </w:r>
    </w:p>
    <w:p w14:paraId="75CE4AE2" w14:textId="556D1422" w:rsidR="00A51101" w:rsidRPr="000B22A9" w:rsidRDefault="00A51101" w:rsidP="000B22A9">
      <w:pPr>
        <w:pStyle w:val="Heading2"/>
      </w:pPr>
      <w:bookmarkStart w:id="177" w:name="_Toc486949862"/>
      <w:bookmarkStart w:id="178" w:name="_Toc486950223"/>
      <w:bookmarkStart w:id="179" w:name="_Toc486956421"/>
      <w:bookmarkStart w:id="180" w:name="_Toc489460734"/>
      <w:bookmarkStart w:id="181" w:name="_Toc489460842"/>
      <w:bookmarkStart w:id="182" w:name="_Toc81319781"/>
      <w:bookmarkStart w:id="183" w:name="_Toc81322589"/>
      <w:bookmarkStart w:id="184" w:name="_Toc81324977"/>
      <w:bookmarkStart w:id="185" w:name="_Toc81327230"/>
      <w:bookmarkStart w:id="186" w:name="_Toc81327502"/>
      <w:bookmarkStart w:id="187" w:name="_Toc82785077"/>
      <w:bookmarkStart w:id="188" w:name="_Toc82787196"/>
      <w:bookmarkStart w:id="189" w:name="_Toc82788244"/>
      <w:bookmarkStart w:id="190" w:name="_Toc83029546"/>
      <w:bookmarkStart w:id="191" w:name="_Toc83033993"/>
      <w:bookmarkStart w:id="192" w:name="_Toc93925214"/>
      <w:r w:rsidRPr="000B22A9">
        <w:t>Surrender of titles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843A39B" w14:textId="2ABFCBE2" w:rsidR="00A51101" w:rsidRDefault="00A51101" w:rsidP="00250D66">
      <w:pPr>
        <w:pStyle w:val="List2"/>
        <w:numPr>
          <w:ilvl w:val="1"/>
          <w:numId w:val="16"/>
        </w:numPr>
        <w:tabs>
          <w:tab w:val="clear" w:pos="454"/>
        </w:tabs>
        <w:ind w:left="720" w:hanging="720"/>
      </w:pPr>
      <w:r w:rsidRPr="002F605A">
        <w:t xml:space="preserve">Under </w:t>
      </w:r>
      <w:r w:rsidR="00834F21">
        <w:t>s</w:t>
      </w:r>
      <w:r w:rsidRPr="002F605A">
        <w:t xml:space="preserve"> 269</w:t>
      </w:r>
      <w:r w:rsidR="00CD7A6A">
        <w:t xml:space="preserve"> of the OPGGS Act</w:t>
      </w:r>
      <w:r w:rsidRPr="002F605A">
        <w:t xml:space="preserve">, </w:t>
      </w:r>
      <w:r>
        <w:t>a</w:t>
      </w:r>
      <w:r w:rsidRPr="002F605A">
        <w:t xml:space="preserve"> </w:t>
      </w:r>
      <w:r>
        <w:t>titleholder</w:t>
      </w:r>
      <w:r w:rsidRPr="002F605A">
        <w:t xml:space="preserve"> </w:t>
      </w:r>
      <w:r>
        <w:t xml:space="preserve">may apply to </w:t>
      </w:r>
      <w:r w:rsidR="009C111B">
        <w:t>the National Offshore Petroleum Titles Administrator (</w:t>
      </w:r>
      <w:r>
        <w:t>NOPTA</w:t>
      </w:r>
      <w:r w:rsidR="009C111B">
        <w:t>)</w:t>
      </w:r>
      <w:r>
        <w:t xml:space="preserve"> for the Joint Authority’s </w:t>
      </w:r>
      <w:r w:rsidRPr="002F605A">
        <w:t>consent to surrender the</w:t>
      </w:r>
      <w:r>
        <w:t>ir</w:t>
      </w:r>
      <w:r w:rsidRPr="002F605A">
        <w:t xml:space="preserve"> title. </w:t>
      </w:r>
      <w:r>
        <w:t xml:space="preserve">Holders of exploration </w:t>
      </w:r>
      <w:proofErr w:type="gramStart"/>
      <w:r>
        <w:t>permits,</w:t>
      </w:r>
      <w:proofErr w:type="gramEnd"/>
      <w:r>
        <w:t xml:space="preserve"> production licences or pipeline licen</w:t>
      </w:r>
      <w:r w:rsidR="0065396D">
        <w:t>c</w:t>
      </w:r>
      <w:r>
        <w:t>es can apply to surrender the permit or licen</w:t>
      </w:r>
      <w:r w:rsidR="0065396D">
        <w:t>c</w:t>
      </w:r>
      <w:r w:rsidR="000E4A03">
        <w:t xml:space="preserve">e in whole or part. </w:t>
      </w:r>
      <w:r>
        <w:t xml:space="preserve">Retention leases and </w:t>
      </w:r>
      <w:r w:rsidRPr="004D2F3F">
        <w:t>infrastructure</w:t>
      </w:r>
      <w:r>
        <w:t xml:space="preserve"> licen</w:t>
      </w:r>
      <w:r w:rsidR="0065396D">
        <w:t>c</w:t>
      </w:r>
      <w:r>
        <w:t>es can only be surrendered in their entirety.</w:t>
      </w:r>
    </w:p>
    <w:p w14:paraId="71BB2236" w14:textId="05E8671A" w:rsidR="00A51101" w:rsidRDefault="00A51101" w:rsidP="00250D66">
      <w:pPr>
        <w:pStyle w:val="List2"/>
        <w:numPr>
          <w:ilvl w:val="1"/>
          <w:numId w:val="16"/>
        </w:numPr>
        <w:tabs>
          <w:tab w:val="clear" w:pos="454"/>
        </w:tabs>
        <w:ind w:left="720" w:hanging="720"/>
      </w:pPr>
      <w:r>
        <w:t>Subs</w:t>
      </w:r>
      <w:r w:rsidRPr="002F605A">
        <w:t>ection 270</w:t>
      </w:r>
      <w:r>
        <w:t xml:space="preserve">(3) </w:t>
      </w:r>
      <w:r w:rsidRPr="002F605A">
        <w:t>sets out</w:t>
      </w:r>
      <w:r w:rsidR="0026351F">
        <w:t xml:space="preserve"> the</w:t>
      </w:r>
      <w:r w:rsidRPr="002F605A">
        <w:t xml:space="preserve"> criteria that must be </w:t>
      </w:r>
      <w:r>
        <w:t xml:space="preserve">met </w:t>
      </w:r>
      <w:r w:rsidRPr="002F605A">
        <w:t xml:space="preserve">before the </w:t>
      </w:r>
      <w:r>
        <w:t>Joint Authority</w:t>
      </w:r>
      <w:r w:rsidRPr="002F605A">
        <w:t xml:space="preserve"> </w:t>
      </w:r>
      <w:r w:rsidR="00C24957">
        <w:t>may</w:t>
      </w:r>
      <w:r w:rsidRPr="002F605A">
        <w:t xml:space="preserve"> consen</w:t>
      </w:r>
      <w:r w:rsidR="000E4A03">
        <w:t xml:space="preserve">t to the </w:t>
      </w:r>
      <w:r w:rsidR="000E4A03" w:rsidRPr="00250D66">
        <w:rPr>
          <w:rFonts w:cstheme="minorHAnsi"/>
        </w:rPr>
        <w:t>surrender</w:t>
      </w:r>
      <w:r w:rsidR="000E4A03">
        <w:t xml:space="preserve"> of a title. </w:t>
      </w:r>
      <w:r>
        <w:t xml:space="preserve">These </w:t>
      </w:r>
      <w:r w:rsidR="0065396D">
        <w:t xml:space="preserve">include </w:t>
      </w:r>
      <w:proofErr w:type="gramStart"/>
      <w:r>
        <w:t>a number of</w:t>
      </w:r>
      <w:proofErr w:type="gramEnd"/>
      <w:r>
        <w:t xml:space="preserve"> decommissioning obligations</w:t>
      </w:r>
      <w:r w:rsidR="00A4093D">
        <w:t xml:space="preserve">. </w:t>
      </w:r>
      <w:r w:rsidR="0026351F">
        <w:t>In particular, t</w:t>
      </w:r>
      <w:r>
        <w:t>he titleholder must</w:t>
      </w:r>
      <w:r w:rsidR="0065396D">
        <w:t xml:space="preserve"> have</w:t>
      </w:r>
      <w:r>
        <w:t>, to the satisfaction of NOPSEMA:</w:t>
      </w:r>
    </w:p>
    <w:p w14:paraId="331C5A25" w14:textId="2E59CEFF" w:rsidR="00A51101" w:rsidRPr="00250D66" w:rsidRDefault="00B21EFE" w:rsidP="00250D66">
      <w:pPr>
        <w:pStyle w:val="List2"/>
        <w:numPr>
          <w:ilvl w:val="2"/>
          <w:numId w:val="18"/>
        </w:numPr>
        <w:tabs>
          <w:tab w:val="clear" w:pos="1430"/>
        </w:tabs>
        <w:ind w:left="1224"/>
        <w:rPr>
          <w:rFonts w:cstheme="minorHAnsi"/>
        </w:rPr>
      </w:pPr>
      <w:r w:rsidRPr="00250D66">
        <w:rPr>
          <w:rFonts w:cstheme="minorHAnsi"/>
        </w:rPr>
        <w:lastRenderedPageBreak/>
        <w:t>r</w:t>
      </w:r>
      <w:r w:rsidR="00A51101" w:rsidRPr="00250D66">
        <w:rPr>
          <w:rFonts w:cstheme="minorHAnsi"/>
        </w:rPr>
        <w:t>emove</w:t>
      </w:r>
      <w:r w:rsidR="0065396D" w:rsidRPr="00250D66">
        <w:rPr>
          <w:rFonts w:cstheme="minorHAnsi"/>
        </w:rPr>
        <w:t>d</w:t>
      </w:r>
      <w:r w:rsidRPr="00250D66">
        <w:rPr>
          <w:rFonts w:cstheme="minorHAnsi"/>
        </w:rPr>
        <w:t>,</w:t>
      </w:r>
      <w:r w:rsidR="00A51101" w:rsidRPr="00250D66">
        <w:rPr>
          <w:rFonts w:cstheme="minorHAnsi"/>
        </w:rPr>
        <w:t xml:space="preserve"> or cause</w:t>
      </w:r>
      <w:r w:rsidR="00FE7968" w:rsidRPr="00250D66">
        <w:rPr>
          <w:rFonts w:cstheme="minorHAnsi"/>
        </w:rPr>
        <w:t>d</w:t>
      </w:r>
      <w:r w:rsidR="00A51101" w:rsidRPr="00250D66">
        <w:rPr>
          <w:rFonts w:cstheme="minorHAnsi"/>
        </w:rPr>
        <w:t xml:space="preserve"> to be removed</w:t>
      </w:r>
      <w:r w:rsidRPr="00250D66">
        <w:rPr>
          <w:rFonts w:cstheme="minorHAnsi"/>
        </w:rPr>
        <w:t>,</w:t>
      </w:r>
      <w:r w:rsidR="00A51101" w:rsidRPr="00250D66">
        <w:rPr>
          <w:rFonts w:cstheme="minorHAnsi"/>
        </w:rPr>
        <w:t xml:space="preserve"> all property brought into the surrender area</w:t>
      </w:r>
      <w:r w:rsidR="00A51101" w:rsidRPr="00F662F7">
        <w:rPr>
          <w:rFonts w:cstheme="minorHAnsi"/>
          <w:vertAlign w:val="superscript"/>
        </w:rPr>
        <w:footnoteReference w:id="3"/>
      </w:r>
      <w:r w:rsidR="00A51101" w:rsidRPr="00250D66">
        <w:rPr>
          <w:rFonts w:cstheme="minorHAnsi"/>
        </w:rPr>
        <w:t xml:space="preserve"> by any person engaged or concerned in </w:t>
      </w:r>
      <w:r w:rsidR="00A51101" w:rsidRPr="00250D66" w:rsidDel="00C67D18">
        <w:rPr>
          <w:rFonts w:cstheme="minorHAnsi"/>
        </w:rPr>
        <w:t>operations</w:t>
      </w:r>
      <w:r w:rsidR="00A51101" w:rsidRPr="00250D66">
        <w:rPr>
          <w:rFonts w:cstheme="minorHAnsi"/>
        </w:rPr>
        <w:t xml:space="preserve"> authorised by the </w:t>
      </w:r>
      <w:proofErr w:type="gramStart"/>
      <w:r w:rsidR="00A51101" w:rsidRPr="00250D66">
        <w:rPr>
          <w:rFonts w:cstheme="minorHAnsi"/>
        </w:rPr>
        <w:t>title, or</w:t>
      </w:r>
      <w:proofErr w:type="gramEnd"/>
      <w:r w:rsidR="00A51101" w:rsidRPr="00250D66">
        <w:rPr>
          <w:rFonts w:cstheme="minorHAnsi"/>
        </w:rPr>
        <w:t xml:space="preserve"> ma</w:t>
      </w:r>
      <w:r w:rsidR="0065396D" w:rsidRPr="00250D66">
        <w:rPr>
          <w:rFonts w:cstheme="minorHAnsi"/>
        </w:rPr>
        <w:t>d</w:t>
      </w:r>
      <w:r w:rsidR="00A51101" w:rsidRPr="00250D66">
        <w:rPr>
          <w:rFonts w:cstheme="minorHAnsi"/>
        </w:rPr>
        <w:t>e arrangements that are satisfactory to NOPSEMA in relation to that property.</w:t>
      </w:r>
    </w:p>
    <w:p w14:paraId="61BAFFE7" w14:textId="7E948250" w:rsidR="00A51101" w:rsidRPr="00250D66" w:rsidRDefault="00B21EFE" w:rsidP="00250D66">
      <w:pPr>
        <w:pStyle w:val="List2"/>
        <w:numPr>
          <w:ilvl w:val="2"/>
          <w:numId w:val="18"/>
        </w:numPr>
        <w:tabs>
          <w:tab w:val="clear" w:pos="1430"/>
        </w:tabs>
        <w:ind w:left="1224"/>
        <w:rPr>
          <w:rFonts w:cstheme="minorHAnsi"/>
        </w:rPr>
      </w:pPr>
      <w:r w:rsidRPr="00250D66">
        <w:rPr>
          <w:rFonts w:cstheme="minorHAnsi"/>
        </w:rPr>
        <w:t>pl</w:t>
      </w:r>
      <w:r w:rsidR="00A51101" w:rsidRPr="00250D66">
        <w:rPr>
          <w:rFonts w:cstheme="minorHAnsi"/>
        </w:rPr>
        <w:t>ug</w:t>
      </w:r>
      <w:r w:rsidR="0065396D" w:rsidRPr="00250D66">
        <w:rPr>
          <w:rFonts w:cstheme="minorHAnsi"/>
        </w:rPr>
        <w:t>ged</w:t>
      </w:r>
      <w:r w:rsidR="00A51101" w:rsidRPr="00250D66">
        <w:rPr>
          <w:rFonts w:cstheme="minorHAnsi"/>
        </w:rPr>
        <w:t xml:space="preserve"> or close</w:t>
      </w:r>
      <w:r w:rsidR="0065396D" w:rsidRPr="00250D66">
        <w:rPr>
          <w:rFonts w:cstheme="minorHAnsi"/>
        </w:rPr>
        <w:t>d</w:t>
      </w:r>
      <w:r w:rsidR="00A51101" w:rsidRPr="00250D66">
        <w:rPr>
          <w:rFonts w:cstheme="minorHAnsi"/>
        </w:rPr>
        <w:t xml:space="preserve"> off any wells made in the surrender area by any person engaged or concerned in the </w:t>
      </w:r>
      <w:r w:rsidR="00A51101" w:rsidRPr="00250D66" w:rsidDel="00C67D18">
        <w:rPr>
          <w:rFonts w:cstheme="minorHAnsi"/>
        </w:rPr>
        <w:t>operations</w:t>
      </w:r>
      <w:r w:rsidR="00A51101" w:rsidRPr="00250D66">
        <w:rPr>
          <w:rFonts w:cstheme="minorHAnsi"/>
        </w:rPr>
        <w:t xml:space="preserve"> authorised by the title.</w:t>
      </w:r>
    </w:p>
    <w:p w14:paraId="5DF81F2D" w14:textId="7483BEAE" w:rsidR="00A51101" w:rsidRPr="00250D66" w:rsidRDefault="00B21EFE" w:rsidP="00250D66">
      <w:pPr>
        <w:pStyle w:val="List2"/>
        <w:numPr>
          <w:ilvl w:val="2"/>
          <w:numId w:val="18"/>
        </w:numPr>
        <w:tabs>
          <w:tab w:val="clear" w:pos="1430"/>
        </w:tabs>
        <w:ind w:left="1224"/>
        <w:rPr>
          <w:rFonts w:cstheme="minorHAnsi"/>
        </w:rPr>
      </w:pPr>
      <w:r w:rsidRPr="00250D66">
        <w:rPr>
          <w:rFonts w:cstheme="minorHAnsi"/>
        </w:rPr>
        <w:t>p</w:t>
      </w:r>
      <w:r w:rsidR="00A51101" w:rsidRPr="00250D66">
        <w:rPr>
          <w:rFonts w:cstheme="minorHAnsi"/>
        </w:rPr>
        <w:t>rovide</w:t>
      </w:r>
      <w:r w:rsidR="0065396D" w:rsidRPr="00250D66">
        <w:rPr>
          <w:rFonts w:cstheme="minorHAnsi"/>
        </w:rPr>
        <w:t>d</w:t>
      </w:r>
      <w:r w:rsidR="00A51101" w:rsidRPr="00250D66">
        <w:rPr>
          <w:rFonts w:cstheme="minorHAnsi"/>
        </w:rPr>
        <w:t xml:space="preserve"> for the conservation and protection of the natural resources in the surrender area.</w:t>
      </w:r>
    </w:p>
    <w:p w14:paraId="12D0EE85" w14:textId="41BEC81B" w:rsidR="00A51101" w:rsidRPr="00AA47DA" w:rsidRDefault="00B21EFE" w:rsidP="00250D66">
      <w:pPr>
        <w:pStyle w:val="List2"/>
        <w:numPr>
          <w:ilvl w:val="2"/>
          <w:numId w:val="19"/>
        </w:numPr>
        <w:tabs>
          <w:tab w:val="clear" w:pos="1430"/>
        </w:tabs>
        <w:ind w:left="1224"/>
      </w:pPr>
      <w:r>
        <w:t xml:space="preserve">made good any </w:t>
      </w:r>
      <w:r w:rsidR="00A51101">
        <w:t xml:space="preserve">damage to the seabed or subsoil in the surrender area caused by any person engaged or concerned in the </w:t>
      </w:r>
      <w:r w:rsidR="00A51101" w:rsidDel="00C67D18">
        <w:t>operations</w:t>
      </w:r>
      <w:r w:rsidR="00A51101">
        <w:t xml:space="preserve"> authorised by the title.</w:t>
      </w:r>
    </w:p>
    <w:p w14:paraId="77133528" w14:textId="6C5D484E" w:rsidR="00687853" w:rsidRDefault="00E5003A" w:rsidP="00250D66">
      <w:pPr>
        <w:pStyle w:val="List2"/>
        <w:numPr>
          <w:ilvl w:val="1"/>
          <w:numId w:val="16"/>
        </w:numPr>
        <w:tabs>
          <w:tab w:val="clear" w:pos="454"/>
        </w:tabs>
        <w:ind w:left="720" w:hanging="720"/>
      </w:pPr>
      <w:r w:rsidRPr="0085079D">
        <w:t xml:space="preserve">Following the surrender of title, the title area becomes vacant </w:t>
      </w:r>
      <w:r w:rsidR="00F41552">
        <w:t>acreage</w:t>
      </w:r>
      <w:r w:rsidR="00F41552" w:rsidRPr="0085079D">
        <w:t xml:space="preserve"> </w:t>
      </w:r>
      <w:r w:rsidRPr="0085079D">
        <w:t>in Commonwealth waters.</w:t>
      </w:r>
      <w:r w:rsidRPr="00E72AB4">
        <w:rPr>
          <w:vertAlign w:val="superscript"/>
        </w:rPr>
        <w:footnoteReference w:id="4"/>
      </w:r>
    </w:p>
    <w:p w14:paraId="062328C2" w14:textId="3CA59179" w:rsidR="00371125" w:rsidRPr="000E4A03" w:rsidRDefault="00C917F9" w:rsidP="00FF27C5">
      <w:pPr>
        <w:pStyle w:val="Calloutbox"/>
      </w:pPr>
      <w:hyperlink r:id="rId23" w:history="1">
        <w:r w:rsidR="00687853" w:rsidRPr="00B05D17">
          <w:rPr>
            <w:rStyle w:val="Hyperlink"/>
          </w:rPr>
          <w:t>Further information</w:t>
        </w:r>
      </w:hyperlink>
      <w:r w:rsidR="00687853">
        <w:t xml:space="preserve"> on surrender</w:t>
      </w:r>
      <w:r w:rsidR="00BF1F8F">
        <w:t>ing titles can be found in fact</w:t>
      </w:r>
      <w:r w:rsidR="00687853">
        <w:t>sheets on the NOPTA website.</w:t>
      </w:r>
    </w:p>
    <w:p w14:paraId="2B9F9D53" w14:textId="7919538C" w:rsidR="001808AC" w:rsidRPr="008A1D28" w:rsidRDefault="001808AC" w:rsidP="0013127F">
      <w:pPr>
        <w:pStyle w:val="Heading1"/>
        <w:numPr>
          <w:ilvl w:val="0"/>
          <w:numId w:val="35"/>
        </w:numPr>
        <w:tabs>
          <w:tab w:val="left" w:pos="709"/>
        </w:tabs>
        <w:ind w:hanging="454"/>
      </w:pPr>
      <w:bookmarkStart w:id="193" w:name="_Toc83029547"/>
      <w:bookmarkStart w:id="194" w:name="_Toc83033994"/>
      <w:bookmarkStart w:id="195" w:name="_Toc93925215"/>
      <w:bookmarkStart w:id="196" w:name="_Toc81319782"/>
      <w:bookmarkStart w:id="197" w:name="_Toc81322590"/>
      <w:bookmarkStart w:id="198" w:name="_Toc81324978"/>
      <w:bookmarkStart w:id="199" w:name="_Toc81327231"/>
      <w:bookmarkStart w:id="200" w:name="_Toc81327503"/>
      <w:bookmarkStart w:id="201" w:name="_Toc82785078"/>
      <w:bookmarkStart w:id="202" w:name="_Toc82787197"/>
      <w:bookmarkStart w:id="203" w:name="_Toc82788245"/>
      <w:r w:rsidRPr="008A1D28">
        <w:t>Regulatory requirements</w:t>
      </w:r>
      <w:bookmarkEnd w:id="193"/>
      <w:bookmarkEnd w:id="194"/>
      <w:bookmarkEnd w:id="195"/>
    </w:p>
    <w:p w14:paraId="2563401D" w14:textId="32CF9D0D" w:rsidR="001808AC" w:rsidRPr="0013127F" w:rsidRDefault="001808AC" w:rsidP="00250D66">
      <w:pPr>
        <w:pStyle w:val="List2"/>
        <w:numPr>
          <w:ilvl w:val="1"/>
          <w:numId w:val="35"/>
        </w:numPr>
        <w:tabs>
          <w:tab w:val="clear" w:pos="454"/>
        </w:tabs>
        <w:ind w:left="720" w:hanging="720"/>
        <w:rPr>
          <w:rStyle w:val="Hyperlink"/>
          <w:rFonts w:cstheme="minorHAnsi"/>
          <w:color w:val="auto"/>
          <w:u w:val="none"/>
        </w:rPr>
      </w:pPr>
      <w:r w:rsidRPr="00C4427D">
        <w:rPr>
          <w:rFonts w:cstheme="minorHAnsi"/>
        </w:rPr>
        <w:t>This Part outlines the regulatory approvals that must be sought to decommission property. A</w:t>
      </w:r>
      <w:r w:rsidRPr="00C4427D" w:rsidDel="008F2ACF">
        <w:rPr>
          <w:rFonts w:cstheme="minorHAnsi"/>
        </w:rPr>
        <w:t xml:space="preserve"> </w:t>
      </w:r>
      <w:r w:rsidRPr="00C4427D">
        <w:rPr>
          <w:rFonts w:cstheme="minorHAnsi"/>
        </w:rPr>
        <w:t xml:space="preserve">flowchart outlining these </w:t>
      </w:r>
      <w:r w:rsidRPr="00C4427D" w:rsidDel="008F2ACF">
        <w:rPr>
          <w:rFonts w:cstheme="minorHAnsi"/>
        </w:rPr>
        <w:t>approvals process</w:t>
      </w:r>
      <w:r w:rsidRPr="00C4427D">
        <w:rPr>
          <w:rFonts w:cstheme="minorHAnsi"/>
        </w:rPr>
        <w:t>es</w:t>
      </w:r>
      <w:r w:rsidRPr="00C4427D" w:rsidDel="008F2ACF">
        <w:rPr>
          <w:rFonts w:cstheme="minorHAnsi"/>
        </w:rPr>
        <w:t xml:space="preserve"> is also included for reference in </w:t>
      </w:r>
      <w:hyperlink w:anchor="_Annex_1:_Approvals" w:tooltip="Annex 1" w:history="1">
        <w:r w:rsidRPr="00C4427D">
          <w:rPr>
            <w:rStyle w:val="Hyperlink"/>
            <w:rFonts w:cstheme="minorHAnsi"/>
          </w:rPr>
          <w:t xml:space="preserve">Attachment </w:t>
        </w:r>
        <w:r w:rsidRPr="00C4427D" w:rsidDel="008A1D28">
          <w:rPr>
            <w:rStyle w:val="Hyperlink"/>
            <w:rFonts w:cstheme="minorHAnsi"/>
          </w:rPr>
          <w:t>1</w:t>
        </w:r>
        <w:r w:rsidRPr="00C4427D" w:rsidDel="008F2ACF">
          <w:rPr>
            <w:rStyle w:val="Hyperlink"/>
            <w:rFonts w:cstheme="minorHAnsi"/>
          </w:rPr>
          <w:t>.</w:t>
        </w:r>
      </w:hyperlink>
    </w:p>
    <w:p w14:paraId="6B9F4C88" w14:textId="3468F60E" w:rsidR="001808AC" w:rsidRPr="008A1D28" w:rsidRDefault="001808AC" w:rsidP="001808AC">
      <w:pPr>
        <w:pStyle w:val="Heading2"/>
      </w:pPr>
      <w:bookmarkStart w:id="204" w:name="_Toc83033995"/>
      <w:bookmarkStart w:id="205" w:name="_Toc83029548"/>
      <w:bookmarkStart w:id="206" w:name="_Toc93925216"/>
      <w:r w:rsidRPr="008A1D28">
        <w:t>Approvals from the National Offshore Petroleum Safety and Environmental Management Authority</w:t>
      </w:r>
      <w:bookmarkEnd w:id="204"/>
      <w:bookmarkEnd w:id="205"/>
      <w:bookmarkEnd w:id="206"/>
    </w:p>
    <w:p w14:paraId="5947FFDB" w14:textId="1B4169CA" w:rsidR="001808AC" w:rsidRDefault="001808AC" w:rsidP="00250D66">
      <w:pPr>
        <w:pStyle w:val="List2"/>
        <w:numPr>
          <w:ilvl w:val="1"/>
          <w:numId w:val="35"/>
        </w:numPr>
        <w:tabs>
          <w:tab w:val="clear" w:pos="454"/>
        </w:tabs>
        <w:ind w:left="720" w:hanging="720"/>
        <w:rPr>
          <w:rFonts w:cstheme="minorHAnsi"/>
        </w:rPr>
      </w:pPr>
      <w:r w:rsidRPr="00C4427D">
        <w:rPr>
          <w:rFonts w:cstheme="minorHAnsi"/>
        </w:rPr>
        <w:t xml:space="preserve">NOPSEMA is the </w:t>
      </w:r>
      <w:r w:rsidR="00590DFF">
        <w:rPr>
          <w:rFonts w:cstheme="minorHAnsi"/>
        </w:rPr>
        <w:t>expert</w:t>
      </w:r>
      <w:r w:rsidR="00590DFF" w:rsidRPr="00C4427D">
        <w:rPr>
          <w:rFonts w:cstheme="minorHAnsi"/>
        </w:rPr>
        <w:t xml:space="preserve"> </w:t>
      </w:r>
      <w:r w:rsidRPr="00C4427D">
        <w:rPr>
          <w:rFonts w:cstheme="minorHAnsi"/>
        </w:rPr>
        <w:t xml:space="preserve">regulator for safety, well integrity and environmental management for offshore petroleum activities, including decommissioning. NOPSEMA assesses duty holders’ permissioning documents, to determine whether safety, </w:t>
      </w:r>
      <w:r w:rsidR="00C54FAF" w:rsidRPr="00C4427D">
        <w:rPr>
          <w:rFonts w:cstheme="minorHAnsi"/>
        </w:rPr>
        <w:t>well integrity</w:t>
      </w:r>
      <w:r w:rsidR="00C54FAF">
        <w:rPr>
          <w:rFonts w:cstheme="minorHAnsi"/>
        </w:rPr>
        <w:t xml:space="preserve"> and </w:t>
      </w:r>
      <w:r w:rsidRPr="00C4427D">
        <w:rPr>
          <w:rFonts w:cstheme="minorHAnsi"/>
        </w:rPr>
        <w:t>environmental risks have been appropriately identified and will be managed to levels that are as low as reasonably practicable (ALARP)</w:t>
      </w:r>
      <w:r w:rsidRPr="00C4427D">
        <w:rPr>
          <w:rStyle w:val="FootnoteReference"/>
          <w:rFonts w:cstheme="minorHAnsi"/>
        </w:rPr>
        <w:footnoteReference w:id="5"/>
      </w:r>
      <w:r w:rsidRPr="00C4427D">
        <w:rPr>
          <w:rFonts w:cstheme="minorHAnsi"/>
        </w:rPr>
        <w:t xml:space="preserve">. </w:t>
      </w:r>
      <w:r w:rsidRPr="00761C16">
        <w:rPr>
          <w:rFonts w:cstheme="minorHAnsi"/>
        </w:rPr>
        <w:t>Environmental impacts and risks must also be managed to</w:t>
      </w:r>
      <w:r w:rsidRPr="00761C16" w:rsidDel="00054E40">
        <w:rPr>
          <w:rFonts w:cstheme="minorHAnsi"/>
        </w:rPr>
        <w:t xml:space="preserve"> </w:t>
      </w:r>
      <w:r w:rsidRPr="00761C16">
        <w:rPr>
          <w:rFonts w:cstheme="minorHAnsi"/>
        </w:rPr>
        <w:t xml:space="preserve">levels that are acceptable. </w:t>
      </w:r>
    </w:p>
    <w:p w14:paraId="3A2F578A" w14:textId="77777777" w:rsidR="001808AC" w:rsidRPr="00761C16" w:rsidRDefault="001808AC" w:rsidP="00250D66">
      <w:pPr>
        <w:pStyle w:val="List2"/>
        <w:numPr>
          <w:ilvl w:val="1"/>
          <w:numId w:val="35"/>
        </w:numPr>
        <w:tabs>
          <w:tab w:val="clear" w:pos="454"/>
        </w:tabs>
        <w:ind w:left="720" w:hanging="720"/>
        <w:rPr>
          <w:rFonts w:cstheme="minorHAnsi"/>
        </w:rPr>
      </w:pPr>
      <w:r w:rsidRPr="00761C16">
        <w:rPr>
          <w:rFonts w:cstheme="minorHAnsi"/>
        </w:rPr>
        <w:t xml:space="preserve">NOPSEMA monitors and enforces compliance with regulatory requirements through implementing its compliance strategy. </w:t>
      </w:r>
    </w:p>
    <w:p w14:paraId="453E20F3" w14:textId="7044E5FF" w:rsidR="001808AC" w:rsidRPr="00C4427D" w:rsidRDefault="001808AC" w:rsidP="00250D66">
      <w:pPr>
        <w:pStyle w:val="List2"/>
        <w:numPr>
          <w:ilvl w:val="1"/>
          <w:numId w:val="35"/>
        </w:numPr>
        <w:tabs>
          <w:tab w:val="clear" w:pos="454"/>
        </w:tabs>
        <w:ind w:left="720" w:hanging="720"/>
        <w:rPr>
          <w:rFonts w:cstheme="minorHAnsi"/>
        </w:rPr>
      </w:pPr>
      <w:r w:rsidRPr="00C4427D">
        <w:rPr>
          <w:rFonts w:cstheme="minorHAnsi"/>
        </w:rPr>
        <w:t xml:space="preserve">It is an offence to undertake offshore petroleum activities (including decommissioning) in Commonwealth waters without relevant permissioning documents in force (including a </w:t>
      </w:r>
      <w:hyperlink w:anchor="Safety_Case" w:tooltip="safety case" w:history="1">
        <w:r w:rsidRPr="00C4427D">
          <w:rPr>
            <w:rStyle w:val="Hyperlink"/>
            <w:rFonts w:cstheme="minorHAnsi"/>
          </w:rPr>
          <w:t>safety</w:t>
        </w:r>
        <w:r w:rsidR="000D1389">
          <w:rPr>
            <w:rStyle w:val="Hyperlink"/>
            <w:rFonts w:cstheme="minorHAnsi"/>
          </w:rPr>
          <w:t> </w:t>
        </w:r>
        <w:r w:rsidRPr="00C4427D">
          <w:rPr>
            <w:rStyle w:val="Hyperlink"/>
            <w:rFonts w:cstheme="minorHAnsi"/>
          </w:rPr>
          <w:t>case</w:t>
        </w:r>
      </w:hyperlink>
      <w:r w:rsidRPr="00C4427D">
        <w:rPr>
          <w:rFonts w:cstheme="minorHAnsi"/>
        </w:rPr>
        <w:t xml:space="preserve">, </w:t>
      </w:r>
      <w:hyperlink w:anchor="Wel_Integrity" w:tooltip="WOMP" w:history="1">
        <w:r w:rsidRPr="00C4427D">
          <w:rPr>
            <w:rStyle w:val="Hyperlink"/>
            <w:rFonts w:cstheme="minorHAnsi"/>
          </w:rPr>
          <w:t>well operations management plan</w:t>
        </w:r>
      </w:hyperlink>
      <w:r w:rsidR="000D1389">
        <w:rPr>
          <w:rFonts w:cstheme="minorHAnsi"/>
        </w:rPr>
        <w:t xml:space="preserve"> and </w:t>
      </w:r>
      <w:hyperlink w:anchor="Environment_Plan" w:tooltip="environment plan" w:history="1">
        <w:r w:rsidR="000D1389" w:rsidRPr="00C4427D">
          <w:rPr>
            <w:rStyle w:val="Hyperlink"/>
            <w:rFonts w:cstheme="minorHAnsi"/>
          </w:rPr>
          <w:t>environment plan</w:t>
        </w:r>
      </w:hyperlink>
      <w:r w:rsidRPr="00C4427D">
        <w:rPr>
          <w:rFonts w:cstheme="minorHAnsi"/>
        </w:rPr>
        <w:t xml:space="preserve"> as applicable). </w:t>
      </w:r>
    </w:p>
    <w:p w14:paraId="7B82DF9E" w14:textId="77777777" w:rsidR="001808AC" w:rsidRPr="00C4427D" w:rsidRDefault="001808AC" w:rsidP="00250D66">
      <w:pPr>
        <w:pStyle w:val="List2"/>
        <w:numPr>
          <w:ilvl w:val="1"/>
          <w:numId w:val="35"/>
        </w:numPr>
        <w:tabs>
          <w:tab w:val="clear" w:pos="454"/>
        </w:tabs>
        <w:ind w:left="720" w:hanging="720"/>
        <w:rPr>
          <w:rFonts w:cstheme="minorHAnsi"/>
        </w:rPr>
      </w:pPr>
      <w:r w:rsidRPr="00C4427D">
        <w:rPr>
          <w:rFonts w:cstheme="minorHAnsi"/>
        </w:rPr>
        <w:lastRenderedPageBreak/>
        <w:t xml:space="preserve">New or revised documents submitted to NOPSEMA are assessed against the criteria set out in the OPGGS regulations. </w:t>
      </w:r>
    </w:p>
    <w:p w14:paraId="2FE83F11" w14:textId="77777777" w:rsidR="001808AC" w:rsidRPr="00C4427D" w:rsidRDefault="001808AC" w:rsidP="00250D66">
      <w:pPr>
        <w:pStyle w:val="List2"/>
        <w:numPr>
          <w:ilvl w:val="1"/>
          <w:numId w:val="35"/>
        </w:numPr>
        <w:tabs>
          <w:tab w:val="clear" w:pos="454"/>
        </w:tabs>
        <w:ind w:left="720" w:hanging="720"/>
        <w:rPr>
          <w:rFonts w:cstheme="minorHAnsi"/>
        </w:rPr>
      </w:pPr>
      <w:r w:rsidRPr="00C4427D">
        <w:rPr>
          <w:rFonts w:cstheme="minorHAnsi"/>
        </w:rPr>
        <w:t xml:space="preserve">As part of its assessment and approval processes, NOPSEMA considers proposed decommissioning approaches. </w:t>
      </w:r>
    </w:p>
    <w:p w14:paraId="6754F0CF" w14:textId="2928AE5F" w:rsidR="00C9041D" w:rsidRDefault="00C9041D" w:rsidP="00250D66">
      <w:pPr>
        <w:pStyle w:val="List2"/>
        <w:numPr>
          <w:ilvl w:val="1"/>
          <w:numId w:val="35"/>
        </w:numPr>
        <w:tabs>
          <w:tab w:val="clear" w:pos="454"/>
        </w:tabs>
        <w:ind w:left="720" w:hanging="720"/>
        <w:rPr>
          <w:rFonts w:cstheme="minorHAnsi"/>
        </w:rPr>
      </w:pPr>
      <w:r w:rsidRPr="00C9041D">
        <w:rPr>
          <w:rFonts w:cstheme="minorHAnsi"/>
        </w:rPr>
        <w:t>As outlined above, removal of all property remains the decommissioning ‘base case’, consistent with UNCLOS and applicable international standards. Other options are considered only if the titleholder can demonstrate the alternative approach delivers equal or better environmental outcomes compared to complete removal and meets all applicable requirements under the OPGGS Act</w:t>
      </w:r>
      <w:r w:rsidR="009E2242" w:rsidRPr="009E2242">
        <w:rPr>
          <w:rFonts w:cstheme="minorHAnsi"/>
        </w:rPr>
        <w:t xml:space="preserve"> and</w:t>
      </w:r>
      <w:r w:rsidRPr="00C9041D">
        <w:rPr>
          <w:rFonts w:cstheme="minorHAnsi"/>
        </w:rPr>
        <w:t xml:space="preserve"> regulations</w:t>
      </w:r>
      <w:r w:rsidR="00A0300E">
        <w:rPr>
          <w:rFonts w:cstheme="minorHAnsi"/>
        </w:rPr>
        <w:t xml:space="preserve"> </w:t>
      </w:r>
      <w:r w:rsidR="00A0300E" w:rsidRPr="00C9041D">
        <w:rPr>
          <w:rFonts w:cstheme="minorHAnsi"/>
        </w:rPr>
        <w:t>including well integrity and safety-related matters</w:t>
      </w:r>
      <w:r w:rsidRPr="00C9041D">
        <w:rPr>
          <w:rFonts w:cstheme="minorHAnsi"/>
        </w:rPr>
        <w:t>, and other applicable laws</w:t>
      </w:r>
      <w:r>
        <w:rPr>
          <w:rFonts w:cstheme="minorHAnsi"/>
        </w:rPr>
        <w:t>.</w:t>
      </w:r>
    </w:p>
    <w:p w14:paraId="28D013C3" w14:textId="77777777" w:rsidR="001808AC" w:rsidRPr="00C4427D" w:rsidRDefault="001808AC" w:rsidP="001808AC">
      <w:pPr>
        <w:pStyle w:val="Calloutbox"/>
        <w:rPr>
          <w:rFonts w:cstheme="minorHAnsi"/>
        </w:rPr>
      </w:pPr>
      <w:r w:rsidRPr="00C4427D">
        <w:rPr>
          <w:rFonts w:cstheme="minorHAnsi"/>
        </w:rPr>
        <w:t xml:space="preserve">Further information about NOPSEMA, as well as additional guidance on regulatory obligations and approvals processes, is available on the </w:t>
      </w:r>
      <w:hyperlink r:id="rId24" w:tooltip="http://www.nopsema.gov.au/" w:history="1">
        <w:r w:rsidRPr="00C4427D">
          <w:rPr>
            <w:rStyle w:val="Hyperlink"/>
            <w:rFonts w:cstheme="minorHAnsi"/>
          </w:rPr>
          <w:t>NOPSEMA website</w:t>
        </w:r>
      </w:hyperlink>
      <w:r w:rsidRPr="00C4427D">
        <w:rPr>
          <w:rFonts w:cstheme="minorHAnsi"/>
        </w:rPr>
        <w:t>.</w:t>
      </w:r>
    </w:p>
    <w:p w14:paraId="5192F6D5" w14:textId="77777777" w:rsidR="001808AC" w:rsidRPr="000B22A9" w:rsidRDefault="001808AC" w:rsidP="001808AC">
      <w:pPr>
        <w:pStyle w:val="Heading3"/>
      </w:pPr>
      <w:bookmarkStart w:id="207" w:name="_Toc482364350"/>
      <w:bookmarkStart w:id="208" w:name="_Toc486939253"/>
      <w:bookmarkStart w:id="209" w:name="_Toc486939326"/>
      <w:bookmarkEnd w:id="207"/>
      <w:bookmarkEnd w:id="208"/>
      <w:bookmarkEnd w:id="209"/>
      <w:r w:rsidRPr="000B22A9">
        <w:t>Environmental management</w:t>
      </w:r>
    </w:p>
    <w:p w14:paraId="0E141ECD" w14:textId="06F816A8" w:rsidR="001808AC" w:rsidRDefault="001808AC" w:rsidP="00250D66">
      <w:pPr>
        <w:pStyle w:val="List2"/>
        <w:numPr>
          <w:ilvl w:val="1"/>
          <w:numId w:val="35"/>
        </w:numPr>
        <w:tabs>
          <w:tab w:val="clear" w:pos="454"/>
        </w:tabs>
        <w:ind w:left="720" w:hanging="720"/>
      </w:pPr>
      <w:r w:rsidRPr="0085079D">
        <w:rPr>
          <w:rFonts w:cstheme="minorHAnsi"/>
        </w:rPr>
        <w:t>Environmental</w:t>
      </w:r>
      <w:r>
        <w:t xml:space="preserve"> </w:t>
      </w:r>
      <w:r w:rsidRPr="00703791">
        <w:rPr>
          <w:rFonts w:cstheme="minorHAnsi"/>
        </w:rPr>
        <w:t>management</w:t>
      </w:r>
      <w:r>
        <w:t xml:space="preserve"> for petroleum activities is regulated under the Environment </w:t>
      </w:r>
      <w:r w:rsidRPr="00250D66">
        <w:rPr>
          <w:rFonts w:cstheme="minorHAnsi"/>
        </w:rPr>
        <w:t>Regulations</w:t>
      </w:r>
      <w:r>
        <w:t xml:space="preserve">. </w:t>
      </w:r>
    </w:p>
    <w:p w14:paraId="34EE54A6" w14:textId="77777777" w:rsidR="001808AC" w:rsidRDefault="001808AC" w:rsidP="001808AC">
      <w:pPr>
        <w:pStyle w:val="Heading4"/>
      </w:pPr>
      <w:r w:rsidRPr="000B22A9">
        <w:t>Offshore Project Proposals</w:t>
      </w:r>
    </w:p>
    <w:p w14:paraId="3632244B" w14:textId="6472A191" w:rsidR="001808AC" w:rsidRDefault="001808AC" w:rsidP="00250D66">
      <w:pPr>
        <w:pStyle w:val="List2"/>
        <w:numPr>
          <w:ilvl w:val="1"/>
          <w:numId w:val="35"/>
        </w:numPr>
        <w:tabs>
          <w:tab w:val="clear" w:pos="454"/>
        </w:tabs>
        <w:ind w:left="720" w:hanging="720"/>
      </w:pPr>
      <w:r>
        <w:t xml:space="preserve">The OPP framework </w:t>
      </w:r>
      <w:r w:rsidRPr="002F605A">
        <w:t xml:space="preserve">allows whole-of-project assessment by </w:t>
      </w:r>
      <w:proofErr w:type="gramStart"/>
      <w:r>
        <w:t>NOPSEMA</w:t>
      </w:r>
      <w:r w:rsidRPr="002F605A">
        <w:t xml:space="preserve">, </w:t>
      </w:r>
      <w:r w:rsidRPr="00703791">
        <w:rPr>
          <w:rFonts w:cstheme="minorHAnsi"/>
        </w:rPr>
        <w:t>and</w:t>
      </w:r>
      <w:proofErr w:type="gramEnd"/>
      <w:r w:rsidRPr="002F605A">
        <w:t xml:space="preserve"> </w:t>
      </w:r>
      <w:r>
        <w:t>p</w:t>
      </w:r>
      <w:r w:rsidRPr="002F605A">
        <w:t xml:space="preserve">ermits stakeholders to input into project development </w:t>
      </w:r>
      <w:r>
        <w:t xml:space="preserve">proposals </w:t>
      </w:r>
      <w:r w:rsidRPr="002F605A">
        <w:t>and raise concerns relating to environmental sensitivities, imp</w:t>
      </w:r>
      <w:r>
        <w:t xml:space="preserve">acts and risks. </w:t>
      </w:r>
    </w:p>
    <w:p w14:paraId="3CA72FBB" w14:textId="77777777" w:rsidR="001808AC" w:rsidRDefault="001808AC" w:rsidP="00250D66">
      <w:pPr>
        <w:pStyle w:val="List2"/>
        <w:numPr>
          <w:ilvl w:val="1"/>
          <w:numId w:val="35"/>
        </w:numPr>
        <w:tabs>
          <w:tab w:val="clear" w:pos="454"/>
        </w:tabs>
        <w:ind w:left="720" w:hanging="720"/>
      </w:pPr>
      <w:r>
        <w:t>A</w:t>
      </w:r>
      <w:r w:rsidRPr="002F605A">
        <w:t xml:space="preserve"> </w:t>
      </w:r>
      <w:r w:rsidRPr="0085079D">
        <w:rPr>
          <w:rFonts w:cstheme="minorHAnsi"/>
        </w:rPr>
        <w:t>proponent</w:t>
      </w:r>
      <w:r w:rsidRPr="002F605A">
        <w:t xml:space="preserve"> must</w:t>
      </w:r>
      <w:r>
        <w:t xml:space="preserve"> </w:t>
      </w:r>
      <w:r w:rsidRPr="002F605A">
        <w:t>include in the</w:t>
      </w:r>
      <w:r>
        <w:t>ir</w:t>
      </w:r>
      <w:r w:rsidRPr="002F605A">
        <w:t xml:space="preserve"> OPP a description of actions proposed to be taken, following </w:t>
      </w:r>
      <w:r w:rsidRPr="00250D66">
        <w:rPr>
          <w:rFonts w:cstheme="minorHAnsi"/>
        </w:rPr>
        <w:t>completion</w:t>
      </w:r>
      <w:r w:rsidRPr="002F605A">
        <w:t xml:space="preserve"> of the pro</w:t>
      </w:r>
      <w:r>
        <w:t xml:space="preserve">ject, in relation to facilities. This includes proposed decommissioning activities in relation to those facilities. </w:t>
      </w:r>
    </w:p>
    <w:p w14:paraId="74DEF4A5" w14:textId="77777777" w:rsidR="001808AC" w:rsidRDefault="001808AC" w:rsidP="00250D66">
      <w:pPr>
        <w:pStyle w:val="List2"/>
        <w:numPr>
          <w:ilvl w:val="1"/>
          <w:numId w:val="35"/>
        </w:numPr>
        <w:tabs>
          <w:tab w:val="clear" w:pos="454"/>
        </w:tabs>
        <w:ind w:left="720" w:hanging="720"/>
      </w:pPr>
      <w:r>
        <w:t xml:space="preserve">The Environment Regulations also permit titleholders to use the </w:t>
      </w:r>
      <w:r w:rsidRPr="002F605A">
        <w:t xml:space="preserve">OPP </w:t>
      </w:r>
      <w:r>
        <w:t>process for</w:t>
      </w:r>
      <w:r w:rsidRPr="002F605A">
        <w:t xml:space="preserve"> </w:t>
      </w:r>
      <w:r>
        <w:t xml:space="preserve">a stand-alone </w:t>
      </w:r>
      <w:r w:rsidRPr="00250D66">
        <w:rPr>
          <w:rFonts w:cstheme="minorHAnsi"/>
        </w:rPr>
        <w:t>decommissioning</w:t>
      </w:r>
      <w:r>
        <w:t xml:space="preserve"> activity. However, this is not a requirement. Where a titleholder is </w:t>
      </w:r>
      <w:r w:rsidRPr="00703791">
        <w:rPr>
          <w:rFonts w:cstheme="minorHAnsi"/>
        </w:rPr>
        <w:t>considering</w:t>
      </w:r>
      <w:r>
        <w:t xml:space="preserve"> using the OPP process for a stand-alone decommissioning activity, early engagement with NOPSEMA is recommended.</w:t>
      </w:r>
    </w:p>
    <w:p w14:paraId="285C445F" w14:textId="77777777" w:rsidR="001808AC" w:rsidRDefault="001808AC" w:rsidP="001808AC">
      <w:pPr>
        <w:pStyle w:val="Heading4"/>
      </w:pPr>
      <w:r w:rsidRPr="000B22A9">
        <w:t>Environment plans</w:t>
      </w:r>
    </w:p>
    <w:p w14:paraId="76B7AFAC" w14:textId="77777777" w:rsidR="001808AC" w:rsidRDefault="001808AC" w:rsidP="00250D66">
      <w:pPr>
        <w:pStyle w:val="List2"/>
        <w:numPr>
          <w:ilvl w:val="1"/>
          <w:numId w:val="35"/>
        </w:numPr>
        <w:tabs>
          <w:tab w:val="clear" w:pos="454"/>
        </w:tabs>
        <w:ind w:left="720" w:hanging="720"/>
      </w:pPr>
      <w:r w:rsidRPr="00250D66">
        <w:rPr>
          <w:rFonts w:cstheme="minorHAnsi"/>
        </w:rPr>
        <w:t>Decommissioning</w:t>
      </w:r>
      <w:r>
        <w:t xml:space="preserve"> activities, including removing or otherwise dealing with property and </w:t>
      </w:r>
      <w:r w:rsidRPr="00250D66">
        <w:rPr>
          <w:rFonts w:cstheme="minorHAnsi"/>
        </w:rPr>
        <w:t xml:space="preserve">remediating </w:t>
      </w:r>
      <w:r w:rsidRPr="00703791">
        <w:rPr>
          <w:rFonts w:cstheme="minorHAnsi"/>
        </w:rPr>
        <w:t>the</w:t>
      </w:r>
      <w:r w:rsidRPr="00250D66">
        <w:rPr>
          <w:rFonts w:cstheme="minorHAnsi"/>
        </w:rPr>
        <w:t xml:space="preserve"> title area, are petroleum activities</w:t>
      </w:r>
      <w:r w:rsidRPr="00641BED">
        <w:rPr>
          <w:rFonts w:cstheme="minorHAnsi"/>
          <w:vertAlign w:val="superscript"/>
        </w:rPr>
        <w:footnoteReference w:id="6"/>
      </w:r>
      <w:r w:rsidRPr="00250D66">
        <w:rPr>
          <w:rFonts w:cstheme="minorHAnsi"/>
        </w:rPr>
        <w:t xml:space="preserve"> for the purposes of the Environment </w:t>
      </w:r>
      <w:r w:rsidRPr="0085079D">
        <w:rPr>
          <w:rFonts w:cstheme="minorHAnsi"/>
        </w:rPr>
        <w:t>Regulations</w:t>
      </w:r>
      <w:r>
        <w:t xml:space="preserve">. </w:t>
      </w:r>
    </w:p>
    <w:p w14:paraId="7FDB5E67" w14:textId="77777777" w:rsidR="001808AC" w:rsidRDefault="001808AC" w:rsidP="00250D66">
      <w:pPr>
        <w:pStyle w:val="List2"/>
        <w:numPr>
          <w:ilvl w:val="1"/>
          <w:numId w:val="35"/>
        </w:numPr>
        <w:tabs>
          <w:tab w:val="clear" w:pos="454"/>
        </w:tabs>
        <w:ind w:left="720" w:hanging="720"/>
      </w:pPr>
      <w:r>
        <w:t xml:space="preserve">The </w:t>
      </w:r>
      <w:r w:rsidRPr="0085079D">
        <w:rPr>
          <w:rFonts w:cstheme="minorHAnsi"/>
        </w:rPr>
        <w:t>titleholder</w:t>
      </w:r>
      <w:r>
        <w:t xml:space="preserve"> </w:t>
      </w:r>
      <w:r w:rsidRPr="00703791">
        <w:rPr>
          <w:rFonts w:cstheme="minorHAnsi"/>
        </w:rPr>
        <w:t>undertaking</w:t>
      </w:r>
      <w:r>
        <w:t xml:space="preserve"> the activities will therefore need to submit and receive acceptance for an environment plan (or receive acceptance for a revision of an existing plan, if appropriate) before the relevant activities may commence. Titleholders must also undertake all activities in a manner consistent with their accepted environment plan. </w:t>
      </w:r>
    </w:p>
    <w:p w14:paraId="1DC19E9D" w14:textId="5829BC72" w:rsidR="001808AC" w:rsidRDefault="001808AC" w:rsidP="00250D66">
      <w:pPr>
        <w:pStyle w:val="List2"/>
        <w:numPr>
          <w:ilvl w:val="1"/>
          <w:numId w:val="35"/>
        </w:numPr>
        <w:tabs>
          <w:tab w:val="clear" w:pos="454"/>
        </w:tabs>
        <w:ind w:left="720" w:hanging="720"/>
      </w:pPr>
      <w:r>
        <w:lastRenderedPageBreak/>
        <w:t xml:space="preserve">In </w:t>
      </w:r>
      <w:r w:rsidRPr="0085079D">
        <w:rPr>
          <w:rFonts w:cstheme="minorHAnsi"/>
        </w:rPr>
        <w:t>assessing</w:t>
      </w:r>
      <w:r>
        <w:t xml:space="preserve"> an environment plan, NOPSEMA will consider whether the titleholder has </w:t>
      </w:r>
      <w:r w:rsidRPr="00703791">
        <w:rPr>
          <w:rFonts w:cstheme="minorHAnsi"/>
        </w:rPr>
        <w:t>identified</w:t>
      </w:r>
      <w:r>
        <w:t xml:space="preserve"> all environmental impacts and risks associated with the </w:t>
      </w:r>
      <w:proofErr w:type="gramStart"/>
      <w:r>
        <w:t>activity, and</w:t>
      </w:r>
      <w:proofErr w:type="gramEnd"/>
      <w:r>
        <w:t xml:space="preserve"> demonstrated how those </w:t>
      </w:r>
      <w:r w:rsidRPr="00250D66">
        <w:rPr>
          <w:rFonts w:cstheme="minorHAnsi"/>
        </w:rPr>
        <w:t>impacts</w:t>
      </w:r>
      <w:r>
        <w:t xml:space="preserve"> and risks will be managed to ALARP and acceptable levels. Further, in the context of decommissioning, the environment plan is the key permissioning document assessed by NOPSEMA through which titleholders can demonstrate compliance with </w:t>
      </w:r>
      <w:proofErr w:type="gramStart"/>
      <w:r>
        <w:t>the majority of</w:t>
      </w:r>
      <w:proofErr w:type="gramEnd"/>
      <w:r>
        <w:t xml:space="preserve"> decommissioning obligations under s 270(3) of the OPGGS Act (relating to surrender of title). </w:t>
      </w:r>
    </w:p>
    <w:p w14:paraId="0BEEEC78" w14:textId="3E37430F" w:rsidR="001808AC" w:rsidRDefault="001808AC" w:rsidP="00250D66">
      <w:pPr>
        <w:pStyle w:val="List2"/>
        <w:numPr>
          <w:ilvl w:val="1"/>
          <w:numId w:val="35"/>
        </w:numPr>
        <w:tabs>
          <w:tab w:val="clear" w:pos="454"/>
        </w:tabs>
        <w:ind w:left="720" w:hanging="720"/>
      </w:pPr>
      <w:r w:rsidRPr="0085079D">
        <w:rPr>
          <w:rFonts w:cstheme="minorHAnsi"/>
        </w:rPr>
        <w:t>Consequently</w:t>
      </w:r>
      <w:r>
        <w:t>, where a titleholder is seeking to surrender a title post</w:t>
      </w:r>
      <w:r w:rsidR="00026F81">
        <w:t>-</w:t>
      </w:r>
      <w:r>
        <w:t>decommissioning, the titleholder should ensure the environment plan for the relevant activity or activities addresses the following matters:</w:t>
      </w:r>
    </w:p>
    <w:p w14:paraId="67F261ED" w14:textId="164154C7" w:rsidR="001808AC" w:rsidRDefault="001808AC" w:rsidP="00250D66">
      <w:pPr>
        <w:pStyle w:val="List2"/>
        <w:numPr>
          <w:ilvl w:val="2"/>
          <w:numId w:val="29"/>
        </w:numPr>
        <w:tabs>
          <w:tab w:val="clear" w:pos="1430"/>
        </w:tabs>
        <w:ind w:left="1224"/>
      </w:pPr>
      <w:r>
        <w:t xml:space="preserve">the removal of all property to which the plan relates, or alternative arrangements for that </w:t>
      </w:r>
      <w:r w:rsidRPr="00250D66">
        <w:rPr>
          <w:rFonts w:cstheme="minorHAnsi"/>
        </w:rPr>
        <w:t>property</w:t>
      </w:r>
      <w:r>
        <w:t xml:space="preserve"> (</w:t>
      </w:r>
      <w:proofErr w:type="gramStart"/>
      <w:r>
        <w:t>e.g.</w:t>
      </w:r>
      <w:proofErr w:type="gramEnd"/>
      <w:r>
        <w:t xml:space="preserve"> partial or complete decommissioning in-situ).</w:t>
      </w:r>
    </w:p>
    <w:p w14:paraId="58A3B2FD" w14:textId="77777777" w:rsidR="001808AC" w:rsidRPr="00BE29E7" w:rsidRDefault="001808AC" w:rsidP="00250D66">
      <w:pPr>
        <w:pStyle w:val="List2"/>
        <w:numPr>
          <w:ilvl w:val="2"/>
          <w:numId w:val="29"/>
        </w:numPr>
        <w:tabs>
          <w:tab w:val="clear" w:pos="1430"/>
        </w:tabs>
        <w:ind w:left="1224"/>
      </w:pPr>
      <w:r>
        <w:t xml:space="preserve">the </w:t>
      </w:r>
      <w:r w:rsidRPr="00250D66">
        <w:rPr>
          <w:rFonts w:cstheme="minorHAnsi"/>
        </w:rPr>
        <w:t>protection</w:t>
      </w:r>
      <w:r>
        <w:t xml:space="preserve"> and conservation of natural resources (as they relate to environmental management) in the area to which the environment plan relates.</w:t>
      </w:r>
      <w:r>
        <w:rPr>
          <w:rStyle w:val="FootnoteReference"/>
        </w:rPr>
        <w:footnoteReference w:id="7"/>
      </w:r>
      <w:r>
        <w:t xml:space="preserve"> </w:t>
      </w:r>
    </w:p>
    <w:p w14:paraId="1B167159" w14:textId="77777777" w:rsidR="001808AC" w:rsidRPr="00C66EC1" w:rsidRDefault="001808AC" w:rsidP="00250D66">
      <w:pPr>
        <w:pStyle w:val="List2"/>
        <w:numPr>
          <w:ilvl w:val="2"/>
          <w:numId w:val="29"/>
        </w:numPr>
        <w:tabs>
          <w:tab w:val="clear" w:pos="1430"/>
        </w:tabs>
        <w:ind w:left="1224"/>
      </w:pPr>
      <w:r>
        <w:t xml:space="preserve">any </w:t>
      </w:r>
      <w:r w:rsidRPr="00250D66">
        <w:rPr>
          <w:rFonts w:cstheme="minorHAnsi"/>
        </w:rPr>
        <w:t>measures</w:t>
      </w:r>
      <w:r>
        <w:t xml:space="preserve"> necessary to make good any damage to the seabed or subsoil in the title area. </w:t>
      </w:r>
    </w:p>
    <w:p w14:paraId="47072A37" w14:textId="2E228B89" w:rsidR="001808AC" w:rsidRDefault="001808AC" w:rsidP="00250D66">
      <w:pPr>
        <w:pStyle w:val="List2"/>
        <w:numPr>
          <w:ilvl w:val="1"/>
          <w:numId w:val="35"/>
        </w:numPr>
        <w:tabs>
          <w:tab w:val="clear" w:pos="454"/>
        </w:tabs>
        <w:ind w:left="720" w:hanging="720"/>
      </w:pPr>
      <w:r w:rsidRPr="001E64DF">
        <w:t xml:space="preserve">For </w:t>
      </w:r>
      <w:r w:rsidRPr="0085079D">
        <w:rPr>
          <w:rFonts w:cstheme="minorHAnsi"/>
        </w:rPr>
        <w:t>NOPSEMA</w:t>
      </w:r>
      <w:r w:rsidRPr="001E64DF">
        <w:t xml:space="preserve"> to accept an environment plan, the plan must meet </w:t>
      </w:r>
      <w:proofErr w:type="gramStart"/>
      <w:r w:rsidRPr="001E64DF">
        <w:t>all of</w:t>
      </w:r>
      <w:proofErr w:type="gramEnd"/>
      <w:r w:rsidRPr="001E64DF">
        <w:t xml:space="preserve"> the criteria in </w:t>
      </w:r>
      <w:r w:rsidR="00026F81">
        <w:t xml:space="preserve">the relevant </w:t>
      </w:r>
      <w:r w:rsidR="00660B7A">
        <w:t>provision</w:t>
      </w:r>
      <w:r w:rsidR="00026F81">
        <w:t xml:space="preserve"> </w:t>
      </w:r>
      <w:r w:rsidRPr="001E64DF">
        <w:t>o</w:t>
      </w:r>
      <w:r w:rsidRPr="008535A2">
        <w:t>f the Environment Regulations.</w:t>
      </w:r>
      <w:r>
        <w:t xml:space="preserve"> </w:t>
      </w:r>
    </w:p>
    <w:p w14:paraId="78EB535F" w14:textId="2A688B3C" w:rsidR="001808AC" w:rsidRDefault="001808AC" w:rsidP="00250D66">
      <w:pPr>
        <w:pStyle w:val="List2"/>
        <w:numPr>
          <w:ilvl w:val="1"/>
          <w:numId w:val="35"/>
        </w:numPr>
        <w:tabs>
          <w:tab w:val="clear" w:pos="454"/>
        </w:tabs>
        <w:ind w:left="720" w:hanging="720"/>
      </w:pPr>
      <w:r>
        <w:t xml:space="preserve">In </w:t>
      </w:r>
      <w:r w:rsidRPr="0085079D">
        <w:rPr>
          <w:rFonts w:cstheme="minorHAnsi"/>
        </w:rPr>
        <w:t>February</w:t>
      </w:r>
      <w:r>
        <w:t xml:space="preserve"> 2014, NOPSEMA’s environmental management authorisation process was endorsed by the Minister for the Environment under Part 10 of the </w:t>
      </w:r>
      <w:hyperlink r:id="rId25" w:tooltip="https://www.legislation.gov.au/Details/C2016C00777" w:history="1">
        <w:r w:rsidR="009C111B" w:rsidRPr="005C32FD">
          <w:rPr>
            <w:rStyle w:val="Hyperlink"/>
            <w:i/>
          </w:rPr>
          <w:t>Environment Protection and Biodiversity Conservation Act 1999</w:t>
        </w:r>
      </w:hyperlink>
      <w:r w:rsidR="009C111B">
        <w:rPr>
          <w:i/>
        </w:rPr>
        <w:t xml:space="preserve"> </w:t>
      </w:r>
      <w:r w:rsidR="009C111B">
        <w:t>(</w:t>
      </w:r>
      <w:r>
        <w:t>EPBC Act</w:t>
      </w:r>
      <w:r w:rsidR="009C111B">
        <w:t>)</w:t>
      </w:r>
      <w:r>
        <w:t xml:space="preserve"> as a Program which meets the </w:t>
      </w:r>
      <w:r w:rsidRPr="00250D66">
        <w:rPr>
          <w:rFonts w:cstheme="minorHAnsi"/>
        </w:rPr>
        <w:t>requirements</w:t>
      </w:r>
      <w:r>
        <w:t xml:space="preserve"> of the EPBC Act, effectively streamlining environmental assessment and approvals for applicable offshore petroleum and greenhouse gas activities. </w:t>
      </w:r>
    </w:p>
    <w:p w14:paraId="76EA6A14" w14:textId="77777777" w:rsidR="001808AC" w:rsidRDefault="001808AC" w:rsidP="00250D66">
      <w:pPr>
        <w:pStyle w:val="List2"/>
        <w:numPr>
          <w:ilvl w:val="1"/>
          <w:numId w:val="35"/>
        </w:numPr>
        <w:tabs>
          <w:tab w:val="clear" w:pos="454"/>
        </w:tabs>
        <w:ind w:left="720" w:hanging="720"/>
      </w:pPr>
      <w:r>
        <w:t xml:space="preserve">The Program requires the consideration of all environmental impacts and risks arising from the </w:t>
      </w:r>
      <w:r w:rsidRPr="0085079D">
        <w:rPr>
          <w:rFonts w:cstheme="minorHAnsi"/>
        </w:rPr>
        <w:t>activities</w:t>
      </w:r>
      <w:r>
        <w:t>, including those relevant to matters protected under the EPBC Act.</w:t>
      </w:r>
    </w:p>
    <w:p w14:paraId="19F48A2A" w14:textId="39F148BA" w:rsidR="001808AC" w:rsidRDefault="001808AC" w:rsidP="00250D66">
      <w:pPr>
        <w:pStyle w:val="List2"/>
        <w:numPr>
          <w:ilvl w:val="1"/>
          <w:numId w:val="35"/>
        </w:numPr>
        <w:tabs>
          <w:tab w:val="clear" w:pos="454"/>
        </w:tabs>
        <w:ind w:left="720" w:hanging="720"/>
      </w:pPr>
      <w:r>
        <w:t xml:space="preserve">Any decommissioning of applicable offshore petroleum and greenhouse gas activities are activities covered by the Program’s streamlined approvals arrangements. This means that for </w:t>
      </w:r>
      <w:r w:rsidRPr="0085079D">
        <w:rPr>
          <w:rFonts w:cstheme="minorHAnsi"/>
        </w:rPr>
        <w:t>applicable</w:t>
      </w:r>
      <w:r>
        <w:t xml:space="preserve"> </w:t>
      </w:r>
      <w:r w:rsidRPr="00250D66">
        <w:rPr>
          <w:rFonts w:cstheme="minorHAnsi"/>
        </w:rPr>
        <w:t>decommissioning</w:t>
      </w:r>
      <w:r>
        <w:t xml:space="preserve"> activities authorised under the endorsed Program, it is not necessary for the duty holder to seek separate environmental approvals under the EPBC Act</w:t>
      </w:r>
      <w:r w:rsidR="00A0300E">
        <w:rPr>
          <w:rStyle w:val="FootnoteReference"/>
        </w:rPr>
        <w:footnoteReference w:id="8"/>
      </w:r>
      <w:r>
        <w:t xml:space="preserve">. </w:t>
      </w:r>
      <w:r w:rsidRPr="002C1D5D">
        <w:t>Further information is provided in</w:t>
      </w:r>
      <w:r w:rsidR="00C34031">
        <w:t xml:space="preserve"> the</w:t>
      </w:r>
      <w:r w:rsidRPr="002C1D5D">
        <w:t xml:space="preserve"> </w:t>
      </w:r>
      <w:r w:rsidR="00C34031">
        <w:t xml:space="preserve">section below on the </w:t>
      </w:r>
      <w:r>
        <w:t>‘</w:t>
      </w:r>
      <w:r w:rsidRPr="00641BED">
        <w:rPr>
          <w:i/>
        </w:rPr>
        <w:fldChar w:fldCharType="begin"/>
      </w:r>
      <w:r w:rsidRPr="00641BED">
        <w:rPr>
          <w:i/>
        </w:rPr>
        <w:instrText xml:space="preserve"> REF _Ref82774489 \h </w:instrText>
      </w:r>
      <w:r w:rsidR="00C34031">
        <w:rPr>
          <w:i/>
        </w:rPr>
        <w:instrText xml:space="preserve"> \* MERGEFORMAT </w:instrText>
      </w:r>
      <w:r w:rsidRPr="00641BED">
        <w:rPr>
          <w:i/>
        </w:rPr>
      </w:r>
      <w:r w:rsidRPr="00641BED">
        <w:rPr>
          <w:i/>
        </w:rPr>
        <w:fldChar w:fldCharType="separate"/>
      </w:r>
      <w:r w:rsidR="00C917F9" w:rsidRPr="00C917F9">
        <w:rPr>
          <w:i/>
        </w:rPr>
        <w:t>Environment Protection and Biodiversity Conservation Act 1999</w:t>
      </w:r>
      <w:r w:rsidRPr="00641BED">
        <w:rPr>
          <w:i/>
        </w:rPr>
        <w:fldChar w:fldCharType="end"/>
      </w:r>
      <w:r>
        <w:t>’.</w:t>
      </w:r>
    </w:p>
    <w:p w14:paraId="55651B56" w14:textId="77777777" w:rsidR="001808AC" w:rsidRDefault="001808AC" w:rsidP="001808AC">
      <w:pPr>
        <w:pStyle w:val="Calloutbox"/>
      </w:pPr>
      <w:r w:rsidRPr="005A7121">
        <w:lastRenderedPageBreak/>
        <w:t xml:space="preserve">NOPSEMA has published on its website a suite of </w:t>
      </w:r>
      <w:hyperlink r:id="rId26" w:tooltip="https://www.nopsema.gov.au/environmental-management/environment-resources/" w:history="1">
        <w:r w:rsidRPr="00737FC3">
          <w:rPr>
            <w:rStyle w:val="Hyperlink"/>
          </w:rPr>
          <w:t>policy guidance</w:t>
        </w:r>
      </w:hyperlink>
      <w:r w:rsidRPr="005A7121">
        <w:t xml:space="preserve"> on </w:t>
      </w:r>
      <w:r>
        <w:t>environmental</w:t>
      </w:r>
      <w:r w:rsidRPr="005A7121">
        <w:t xml:space="preserve"> management</w:t>
      </w:r>
      <w:r>
        <w:t xml:space="preserve"> (including specific guidance for environment plans and OPPs), as well as </w:t>
      </w:r>
      <w:hyperlink r:id="rId27" w:tooltip="https://www.nopsema.gov.au/assets/Guidelines/A524696.pdf" w:history="1">
        <w:r w:rsidRPr="00580A1D">
          <w:rPr>
            <w:rStyle w:val="Hyperlink"/>
          </w:rPr>
          <w:t>additional guidance</w:t>
        </w:r>
      </w:hyperlink>
      <w:r>
        <w:t xml:space="preserve"> on its decision-making process for environment plans.</w:t>
      </w:r>
    </w:p>
    <w:p w14:paraId="22D6A748" w14:textId="77777777" w:rsidR="001808AC" w:rsidRPr="000B22A9" w:rsidRDefault="001808AC" w:rsidP="001808AC">
      <w:pPr>
        <w:pStyle w:val="Heading4"/>
      </w:pPr>
      <w:r w:rsidRPr="000B22A9">
        <w:t>End of operation of an environment plan</w:t>
      </w:r>
    </w:p>
    <w:p w14:paraId="1FDC445C" w14:textId="7E4FCEEC" w:rsidR="001808AC" w:rsidRDefault="001808AC" w:rsidP="00250D66">
      <w:pPr>
        <w:pStyle w:val="List2"/>
        <w:numPr>
          <w:ilvl w:val="1"/>
          <w:numId w:val="35"/>
        </w:numPr>
        <w:tabs>
          <w:tab w:val="clear" w:pos="454"/>
        </w:tabs>
        <w:ind w:left="720" w:hanging="720"/>
      </w:pPr>
      <w:r>
        <w:t xml:space="preserve">Under the Environment Regulations, to bring an environment plan to an end the </w:t>
      </w:r>
      <w:r w:rsidRPr="00703791">
        <w:t>titleholder</w:t>
      </w:r>
      <w:r>
        <w:t xml:space="preserve"> must notify NOPSEMA that the activity or activities to which the plan relates have </w:t>
      </w:r>
      <w:r w:rsidRPr="00250D66">
        <w:rPr>
          <w:rFonts w:cstheme="minorHAnsi"/>
        </w:rPr>
        <w:t>ended</w:t>
      </w:r>
      <w:r>
        <w:t xml:space="preserve">, </w:t>
      </w:r>
      <w:r w:rsidRPr="000B46BC">
        <w:t>and</w:t>
      </w:r>
      <w:r>
        <w:t xml:space="preserve"> </w:t>
      </w:r>
      <w:r w:rsidRPr="005371DF">
        <w:t>that</w:t>
      </w:r>
      <w:r>
        <w:t xml:space="preserve"> </w:t>
      </w:r>
      <w:proofErr w:type="gramStart"/>
      <w:r>
        <w:t>all of</w:t>
      </w:r>
      <w:proofErr w:type="gramEnd"/>
      <w:r>
        <w:t xml:space="preserve"> the obligations under the environment plan have been completed.</w:t>
      </w:r>
    </w:p>
    <w:p w14:paraId="603730AC" w14:textId="77777777" w:rsidR="001808AC" w:rsidRDefault="001808AC" w:rsidP="00250D66">
      <w:pPr>
        <w:pStyle w:val="List2"/>
        <w:numPr>
          <w:ilvl w:val="1"/>
          <w:numId w:val="35"/>
        </w:numPr>
        <w:tabs>
          <w:tab w:val="clear" w:pos="454"/>
        </w:tabs>
        <w:ind w:left="720" w:hanging="720"/>
      </w:pPr>
      <w:r w:rsidRPr="005F1289">
        <w:t xml:space="preserve">The </w:t>
      </w:r>
      <w:r w:rsidRPr="00250D66">
        <w:rPr>
          <w:rFonts w:cstheme="minorHAnsi"/>
        </w:rPr>
        <w:t>obligations</w:t>
      </w:r>
      <w:r w:rsidRPr="005F1289">
        <w:t xml:space="preserve"> under an</w:t>
      </w:r>
      <w:r>
        <w:t xml:space="preserve"> environment plan</w:t>
      </w:r>
      <w:r w:rsidRPr="005F1289">
        <w:t xml:space="preserve"> are taken to be </w:t>
      </w:r>
      <w:proofErr w:type="gramStart"/>
      <w:r w:rsidRPr="005F1289">
        <w:t>all of</w:t>
      </w:r>
      <w:proofErr w:type="gramEnd"/>
      <w:r w:rsidRPr="005F1289">
        <w:t xml:space="preserve"> the commitments and performance standards contained within the </w:t>
      </w:r>
      <w:r>
        <w:t>environment plan,</w:t>
      </w:r>
      <w:r w:rsidRPr="005F1289">
        <w:t xml:space="preserve"> as well as other relevant regulatory requirements</w:t>
      </w:r>
      <w:r>
        <w:t xml:space="preserve">, </w:t>
      </w:r>
      <w:r w:rsidRPr="00FE7968">
        <w:t>such as</w:t>
      </w:r>
      <w:r>
        <w:t xml:space="preserve"> the provision of all relevant reports in relation to the environment plan.</w:t>
      </w:r>
    </w:p>
    <w:p w14:paraId="4053199D" w14:textId="56C230DD" w:rsidR="001808AC" w:rsidRDefault="001808AC" w:rsidP="00250D66">
      <w:pPr>
        <w:pStyle w:val="List2"/>
        <w:numPr>
          <w:ilvl w:val="1"/>
          <w:numId w:val="35"/>
        </w:numPr>
        <w:tabs>
          <w:tab w:val="clear" w:pos="454"/>
        </w:tabs>
        <w:ind w:left="720" w:hanging="720"/>
      </w:pPr>
      <w:r>
        <w:t xml:space="preserve">Once a titleholder has given </w:t>
      </w:r>
      <w:r w:rsidR="00CC6F38">
        <w:t xml:space="preserve">the required </w:t>
      </w:r>
      <w:r>
        <w:t xml:space="preserve">notification, NOPSEMA will conduct its own </w:t>
      </w:r>
      <w:r w:rsidRPr="0085079D">
        <w:rPr>
          <w:rFonts w:cstheme="minorHAnsi"/>
        </w:rPr>
        <w:t>verification</w:t>
      </w:r>
      <w:r>
        <w:t xml:space="preserve"> to confirm all obligations under the environment plan have been completed. This will include checking the status of inspection recommendations, incidents, reporting, and </w:t>
      </w:r>
      <w:r w:rsidRPr="00250D66">
        <w:rPr>
          <w:rFonts w:cstheme="minorHAnsi"/>
        </w:rPr>
        <w:t>environmental</w:t>
      </w:r>
      <w:r>
        <w:t xml:space="preserve"> performance. </w:t>
      </w:r>
    </w:p>
    <w:p w14:paraId="4F0A81CA" w14:textId="77777777" w:rsidR="001808AC" w:rsidRDefault="001808AC" w:rsidP="00250D66">
      <w:pPr>
        <w:pStyle w:val="List2"/>
        <w:numPr>
          <w:ilvl w:val="1"/>
          <w:numId w:val="35"/>
        </w:numPr>
        <w:tabs>
          <w:tab w:val="clear" w:pos="454"/>
        </w:tabs>
        <w:ind w:left="720" w:hanging="720"/>
      </w:pPr>
      <w:r w:rsidRPr="00062B9A">
        <w:t>NOPSEMA will advise the titleholder when the notification has been accepted</w:t>
      </w:r>
      <w:r>
        <w:t>,</w:t>
      </w:r>
      <w:r w:rsidRPr="00062B9A">
        <w:t xml:space="preserve"> or if further </w:t>
      </w:r>
      <w:r w:rsidRPr="0085079D">
        <w:rPr>
          <w:rFonts w:cstheme="minorHAnsi"/>
        </w:rPr>
        <w:t>action</w:t>
      </w:r>
      <w:r w:rsidRPr="00062B9A">
        <w:t xml:space="preserve"> is </w:t>
      </w:r>
      <w:r w:rsidRPr="00250D66">
        <w:rPr>
          <w:rFonts w:cstheme="minorHAnsi"/>
        </w:rPr>
        <w:t>required</w:t>
      </w:r>
      <w:r w:rsidRPr="00062B9A">
        <w:t xml:space="preserve"> prior to NOPSEMA being able to accept the notification. </w:t>
      </w:r>
    </w:p>
    <w:p w14:paraId="63CDF571" w14:textId="77777777" w:rsidR="001808AC" w:rsidRDefault="001808AC" w:rsidP="00250D66">
      <w:pPr>
        <w:pStyle w:val="List2"/>
        <w:numPr>
          <w:ilvl w:val="1"/>
          <w:numId w:val="35"/>
        </w:numPr>
        <w:tabs>
          <w:tab w:val="clear" w:pos="454"/>
        </w:tabs>
        <w:ind w:left="720" w:hanging="720"/>
      </w:pPr>
      <w:r w:rsidRPr="00062B9A">
        <w:t xml:space="preserve">Once the </w:t>
      </w:r>
      <w:r w:rsidRPr="00250D66">
        <w:rPr>
          <w:rFonts w:cstheme="minorHAnsi"/>
        </w:rPr>
        <w:t>notification</w:t>
      </w:r>
      <w:r w:rsidRPr="00062B9A">
        <w:t xml:space="preserve"> is accepted, the </w:t>
      </w:r>
      <w:r>
        <w:t>environment plan</w:t>
      </w:r>
      <w:r w:rsidRPr="00062B9A">
        <w:t xml:space="preserve"> </w:t>
      </w:r>
      <w:r>
        <w:t xml:space="preserve">ends, meaning it </w:t>
      </w:r>
      <w:r w:rsidRPr="00917EDE">
        <w:t>is no longer in</w:t>
      </w:r>
      <w:r>
        <w:t xml:space="preserve"> </w:t>
      </w:r>
      <w:r w:rsidRPr="00062B9A">
        <w:t>force</w:t>
      </w:r>
      <w:r>
        <w:t xml:space="preserve"> for the activity</w:t>
      </w:r>
      <w:r w:rsidRPr="00062B9A">
        <w:t xml:space="preserve">, and the </w:t>
      </w:r>
      <w:r>
        <w:t>ability</w:t>
      </w:r>
      <w:r w:rsidRPr="00062B9A">
        <w:t xml:space="preserve"> to conduct the activity </w:t>
      </w:r>
      <w:r>
        <w:t>under that environment plan ceases</w:t>
      </w:r>
      <w:r w:rsidRPr="00062B9A">
        <w:t xml:space="preserve">. </w:t>
      </w:r>
    </w:p>
    <w:p w14:paraId="6DED3E5D" w14:textId="6F4DE23D" w:rsidR="001808AC" w:rsidRDefault="001808AC" w:rsidP="00250D66">
      <w:pPr>
        <w:pStyle w:val="List2"/>
        <w:numPr>
          <w:ilvl w:val="1"/>
          <w:numId w:val="35"/>
        </w:numPr>
        <w:tabs>
          <w:tab w:val="clear" w:pos="454"/>
        </w:tabs>
        <w:ind w:left="720" w:hanging="720"/>
      </w:pPr>
      <w:r w:rsidRPr="00062B9A">
        <w:t xml:space="preserve">The </w:t>
      </w:r>
      <w:r w:rsidRPr="00250D66">
        <w:rPr>
          <w:rFonts w:cstheme="minorHAnsi"/>
        </w:rPr>
        <w:t>environment</w:t>
      </w:r>
      <w:r>
        <w:t xml:space="preserve"> plan</w:t>
      </w:r>
      <w:r w:rsidRPr="00062B9A">
        <w:t xml:space="preserve"> cannot be reactivated or revised after this time.</w:t>
      </w:r>
      <w:r>
        <w:t xml:space="preserve"> </w:t>
      </w:r>
    </w:p>
    <w:p w14:paraId="417E5937" w14:textId="77777777" w:rsidR="001808AC" w:rsidRPr="003F5BAB" w:rsidRDefault="001808AC" w:rsidP="001808AC">
      <w:pPr>
        <w:pStyle w:val="Calloutbox"/>
      </w:pPr>
      <w:r w:rsidRPr="003F5BAB">
        <w:t xml:space="preserve">NOPSEMA has published </w:t>
      </w:r>
      <w:hyperlink r:id="rId28" w:tooltip="https://www.nopsema.gov.au/assets/Guidelines/A492753.pdf" w:history="1">
        <w:r w:rsidRPr="003F5BAB">
          <w:rPr>
            <w:rStyle w:val="Hyperlink"/>
            <w:rFonts w:ascii="Calibri" w:hAnsi="Calibri"/>
          </w:rPr>
          <w:t>guidance</w:t>
        </w:r>
      </w:hyperlink>
      <w:r w:rsidRPr="003F5BAB">
        <w:t xml:space="preserve"> on the end of operation of environment plans on its website. It is recommended that titleholders are familiar with this guidance and with obligations under the Environment Regulations in determining whether a particular environment plan has ended.</w:t>
      </w:r>
    </w:p>
    <w:p w14:paraId="27316E52" w14:textId="77777777" w:rsidR="001808AC" w:rsidRPr="00870A73" w:rsidRDefault="001808AC" w:rsidP="001808AC">
      <w:pPr>
        <w:pStyle w:val="Heading3"/>
      </w:pPr>
      <w:bookmarkStart w:id="210" w:name="_Toc486939255"/>
      <w:bookmarkStart w:id="211" w:name="_Toc486939328"/>
      <w:bookmarkEnd w:id="210"/>
      <w:bookmarkEnd w:id="211"/>
      <w:r w:rsidRPr="00870A73">
        <w:t>Safety</w:t>
      </w:r>
    </w:p>
    <w:p w14:paraId="2E620360" w14:textId="19ED3779" w:rsidR="001808AC" w:rsidRDefault="001808AC" w:rsidP="00250D66">
      <w:pPr>
        <w:pStyle w:val="List2"/>
        <w:numPr>
          <w:ilvl w:val="1"/>
          <w:numId w:val="35"/>
        </w:numPr>
        <w:tabs>
          <w:tab w:val="clear" w:pos="454"/>
        </w:tabs>
        <w:ind w:left="720" w:hanging="720"/>
      </w:pPr>
      <w:r>
        <w:t>Safety</w:t>
      </w:r>
      <w:r w:rsidRPr="002F605A">
        <w:t xml:space="preserve"> </w:t>
      </w:r>
      <w:r>
        <w:t>of offshore petroleum activities</w:t>
      </w:r>
      <w:r w:rsidRPr="002F605A">
        <w:t xml:space="preserve"> is regulated under Schedu</w:t>
      </w:r>
      <w:r>
        <w:t xml:space="preserve">le 3 to the OPGGS Act and </w:t>
      </w:r>
      <w:r w:rsidRPr="00250D66">
        <w:rPr>
          <w:rFonts w:cstheme="minorHAnsi"/>
        </w:rPr>
        <w:t>under</w:t>
      </w:r>
      <w:r>
        <w:t xml:space="preserve"> </w:t>
      </w:r>
      <w:r w:rsidRPr="002F605A">
        <w:t xml:space="preserve">the </w:t>
      </w:r>
      <w:hyperlink r:id="rId29" w:tooltip="https://www.legislation.gov.au/Details/F2013C00945" w:history="1">
        <w:r w:rsidRPr="005B693C">
          <w:rPr>
            <w:rStyle w:val="Hyperlink"/>
          </w:rPr>
          <w:t>Offshore Petroleum and Greenhouse Gas Storage (Safety) Regulations 2009</w:t>
        </w:r>
      </w:hyperlink>
      <w:r w:rsidRPr="000A4D9D">
        <w:rPr>
          <w:i/>
        </w:rPr>
        <w:t xml:space="preserve"> </w:t>
      </w:r>
      <w:r w:rsidRPr="002F605A">
        <w:t>(Safety Regulations)</w:t>
      </w:r>
      <w:r>
        <w:t>.</w:t>
      </w:r>
    </w:p>
    <w:p w14:paraId="01284D93" w14:textId="77777777" w:rsidR="001808AC" w:rsidRPr="000A4D9D" w:rsidRDefault="001808AC" w:rsidP="001808AC">
      <w:pPr>
        <w:pStyle w:val="Heading4"/>
      </w:pPr>
      <w:r w:rsidRPr="000A4D9D">
        <w:t>Safety cases</w:t>
      </w:r>
    </w:p>
    <w:p w14:paraId="0234AFC3" w14:textId="77777777" w:rsidR="001808AC" w:rsidRDefault="001808AC" w:rsidP="00250D66">
      <w:pPr>
        <w:pStyle w:val="List2"/>
        <w:numPr>
          <w:ilvl w:val="1"/>
          <w:numId w:val="35"/>
        </w:numPr>
        <w:tabs>
          <w:tab w:val="clear" w:pos="454"/>
        </w:tabs>
        <w:ind w:left="720" w:hanging="720"/>
      </w:pPr>
      <w:r>
        <w:t xml:space="preserve">Decommissioning activities (particularly removing property) will often involve work undertaken at or </w:t>
      </w:r>
      <w:r w:rsidRPr="0085079D">
        <w:rPr>
          <w:rFonts w:cstheme="minorHAnsi"/>
        </w:rPr>
        <w:t>near</w:t>
      </w:r>
      <w:r>
        <w:t xml:space="preserve"> a facility. </w:t>
      </w:r>
    </w:p>
    <w:p w14:paraId="3A477786" w14:textId="77777777" w:rsidR="001808AC" w:rsidRDefault="001808AC" w:rsidP="00250D66">
      <w:pPr>
        <w:pStyle w:val="List2"/>
        <w:numPr>
          <w:ilvl w:val="1"/>
          <w:numId w:val="35"/>
        </w:numPr>
        <w:tabs>
          <w:tab w:val="clear" w:pos="454"/>
        </w:tabs>
        <w:ind w:left="720" w:hanging="720"/>
      </w:pPr>
      <w:r>
        <w:t>Under the Safety Regulations, persons are not permitted to undertake</w:t>
      </w:r>
      <w:r w:rsidRPr="002F605A">
        <w:t xml:space="preserve"> any work</w:t>
      </w:r>
      <w:r>
        <w:t xml:space="preserve"> with respect to a </w:t>
      </w:r>
      <w:r w:rsidRPr="0085079D">
        <w:rPr>
          <w:rFonts w:cstheme="minorHAnsi"/>
        </w:rPr>
        <w:t>facility</w:t>
      </w:r>
      <w:r w:rsidRPr="002F605A">
        <w:t xml:space="preserve"> in Commonwealth waters </w:t>
      </w:r>
      <w:r>
        <w:t xml:space="preserve">– </w:t>
      </w:r>
      <w:r w:rsidRPr="002F605A">
        <w:t xml:space="preserve">including </w:t>
      </w:r>
      <w:r>
        <w:t>decommissioning a facility or part of a facility – without a safety case in force that provides for the relevant activity.</w:t>
      </w:r>
    </w:p>
    <w:p w14:paraId="62C1310B" w14:textId="72D9754F" w:rsidR="001808AC" w:rsidRDefault="001808AC" w:rsidP="00250D66">
      <w:pPr>
        <w:pStyle w:val="List2"/>
        <w:numPr>
          <w:ilvl w:val="1"/>
          <w:numId w:val="35"/>
        </w:numPr>
        <w:tabs>
          <w:tab w:val="clear" w:pos="454"/>
        </w:tabs>
        <w:ind w:left="720" w:hanging="720"/>
      </w:pPr>
      <w:r>
        <w:t xml:space="preserve">If the operator of a facility wishes to have a safety case accepted for that facility, they must </w:t>
      </w:r>
      <w:r w:rsidRPr="0085079D">
        <w:rPr>
          <w:rFonts w:cstheme="minorHAnsi"/>
        </w:rPr>
        <w:t>submit</w:t>
      </w:r>
      <w:r>
        <w:t xml:space="preserve"> the safety case to NOPSEMA </w:t>
      </w:r>
      <w:proofErr w:type="gramStart"/>
      <w:r>
        <w:t xml:space="preserve">under </w:t>
      </w:r>
      <w:r w:rsidR="00CF0C3E">
        <w:t xml:space="preserve"> </w:t>
      </w:r>
      <w:r>
        <w:t>the</w:t>
      </w:r>
      <w:proofErr w:type="gramEnd"/>
      <w:r>
        <w:t xml:space="preserve"> Safety Regulations. </w:t>
      </w:r>
      <w:r w:rsidRPr="002F605A">
        <w:t xml:space="preserve">The </w:t>
      </w:r>
      <w:r>
        <w:t xml:space="preserve">safety </w:t>
      </w:r>
      <w:r w:rsidRPr="00250D66">
        <w:rPr>
          <w:rFonts w:cstheme="minorHAnsi"/>
        </w:rPr>
        <w:t>case</w:t>
      </w:r>
      <w:r w:rsidRPr="002F605A">
        <w:t xml:space="preserve"> is </w:t>
      </w:r>
      <w:r>
        <w:t xml:space="preserve">then </w:t>
      </w:r>
      <w:r w:rsidRPr="002F605A">
        <w:t xml:space="preserve">subject to an </w:t>
      </w:r>
      <w:r>
        <w:t>assessment</w:t>
      </w:r>
      <w:r w:rsidRPr="002F605A">
        <w:t xml:space="preserve"> process, which enables NOPSEMA to </w:t>
      </w:r>
      <w:r>
        <w:t>evaluate</w:t>
      </w:r>
      <w:r w:rsidRPr="002F605A">
        <w:t xml:space="preserve"> and challenge t</w:t>
      </w:r>
      <w:r>
        <w:t xml:space="preserve">he operator’s proposed risk management arrangements, </w:t>
      </w:r>
      <w:r w:rsidRPr="002F605A">
        <w:t xml:space="preserve">performance standards and control </w:t>
      </w:r>
      <w:r>
        <w:t xml:space="preserve">measures. </w:t>
      </w:r>
    </w:p>
    <w:p w14:paraId="28837107" w14:textId="1B764E8A" w:rsidR="001808AC" w:rsidRDefault="001808AC" w:rsidP="00250D66">
      <w:pPr>
        <w:pStyle w:val="List2"/>
        <w:numPr>
          <w:ilvl w:val="1"/>
          <w:numId w:val="35"/>
        </w:numPr>
        <w:tabs>
          <w:tab w:val="clear" w:pos="454"/>
        </w:tabs>
        <w:ind w:left="720" w:hanging="720"/>
      </w:pPr>
      <w:r>
        <w:lastRenderedPageBreak/>
        <w:t xml:space="preserve">If a safety case is already in force for a facility, but decommissioning is not adequately </w:t>
      </w:r>
      <w:r w:rsidRPr="0085079D">
        <w:rPr>
          <w:rFonts w:cstheme="minorHAnsi"/>
        </w:rPr>
        <w:t>addressed</w:t>
      </w:r>
      <w:r>
        <w:t xml:space="preserve"> therein, the operator must submit a revised safety case</w:t>
      </w:r>
      <w:r w:rsidR="00CC6F38">
        <w:t xml:space="preserve">, </w:t>
      </w:r>
      <w:r>
        <w:t>and have the revised case accepted by NOPSEMA, before decommissioning the facility.</w:t>
      </w:r>
    </w:p>
    <w:p w14:paraId="5593E0F3" w14:textId="77777777" w:rsidR="001808AC" w:rsidRDefault="001808AC" w:rsidP="001808AC">
      <w:pPr>
        <w:pStyle w:val="Calloutbox"/>
      </w:pPr>
      <w:r w:rsidRPr="005A7121">
        <w:t>NOPSEM</w:t>
      </w:r>
      <w:r>
        <w:t>A has published on its website</w:t>
      </w:r>
      <w:r w:rsidRPr="005A7121">
        <w:t xml:space="preserve"> comprehensive </w:t>
      </w:r>
      <w:hyperlink r:id="rId30" w:tooltip="https://www.nopsema.gov.au/safety/safety-resources/" w:history="1">
        <w:r w:rsidRPr="00163C33">
          <w:rPr>
            <w:rStyle w:val="Hyperlink"/>
          </w:rPr>
          <w:t>policy guidance</w:t>
        </w:r>
      </w:hyperlink>
      <w:r w:rsidRPr="005A7121">
        <w:t xml:space="preserve"> on safety risk management</w:t>
      </w:r>
      <w:r>
        <w:t xml:space="preserve"> (including the safety case framework). </w:t>
      </w:r>
      <w:r w:rsidRPr="005A7121">
        <w:t xml:space="preserve">It is recommended </w:t>
      </w:r>
      <w:r>
        <w:t>that titleholders are familiar</w:t>
      </w:r>
      <w:r w:rsidRPr="005A7121">
        <w:t xml:space="preserve"> with this guidance and with </w:t>
      </w:r>
      <w:r>
        <w:t xml:space="preserve">their </w:t>
      </w:r>
      <w:r w:rsidRPr="005A7121">
        <w:t>obligations und</w:t>
      </w:r>
      <w:r>
        <w:t>er the OPGGS Act and the Safety </w:t>
      </w:r>
      <w:r w:rsidRPr="005A7121">
        <w:t>Regulations before undertaking any activity in relation to a facility.</w:t>
      </w:r>
    </w:p>
    <w:p w14:paraId="2529A817" w14:textId="77777777" w:rsidR="001808AC" w:rsidRDefault="001808AC" w:rsidP="001808AC">
      <w:pPr>
        <w:pStyle w:val="Calloutbox"/>
      </w:pPr>
    </w:p>
    <w:p w14:paraId="1EA67AA3" w14:textId="5166E96B" w:rsidR="001808AC" w:rsidRDefault="001808AC" w:rsidP="001808AC">
      <w:pPr>
        <w:pStyle w:val="Calloutbox"/>
      </w:pPr>
      <w:r>
        <w:t xml:space="preserve">NOPSEMA also provides an </w:t>
      </w:r>
      <w:hyperlink r:id="rId31" w:tooltip="https://www.nopsema.gov.au/assets/Information-papers/A60309.pdf" w:history="1">
        <w:r w:rsidRPr="00B05D17">
          <w:rPr>
            <w:rStyle w:val="Hyperlink"/>
          </w:rPr>
          <w:t>overview</w:t>
        </w:r>
      </w:hyperlink>
      <w:r>
        <w:t xml:space="preserve"> of applicable occupational health and safety (OHS) laws on its website. </w:t>
      </w:r>
    </w:p>
    <w:p w14:paraId="73BB7AEE" w14:textId="77777777" w:rsidR="001808AC" w:rsidRPr="00A1002D" w:rsidRDefault="001808AC" w:rsidP="001808AC">
      <w:pPr>
        <w:pStyle w:val="Heading3"/>
      </w:pPr>
      <w:r w:rsidRPr="00A1002D">
        <w:t>Well integrity</w:t>
      </w:r>
    </w:p>
    <w:p w14:paraId="7A67F3BE" w14:textId="77777777" w:rsidR="001808AC" w:rsidRPr="0037047F" w:rsidRDefault="001808AC" w:rsidP="00250D66">
      <w:pPr>
        <w:pStyle w:val="List2"/>
        <w:numPr>
          <w:ilvl w:val="1"/>
          <w:numId w:val="35"/>
        </w:numPr>
        <w:tabs>
          <w:tab w:val="clear" w:pos="454"/>
        </w:tabs>
        <w:ind w:left="720" w:hanging="720"/>
        <w:rPr>
          <w:i/>
          <w:iCs/>
        </w:rPr>
      </w:pPr>
      <w:r>
        <w:t xml:space="preserve">Well </w:t>
      </w:r>
      <w:r w:rsidRPr="00703791">
        <w:t>integrity</w:t>
      </w:r>
      <w:r>
        <w:t xml:space="preserve"> in the offshore petroleum sector is regulated under Part 5 of the </w:t>
      </w:r>
      <w:hyperlink r:id="rId32">
        <w:r w:rsidRPr="00C81811">
          <w:rPr>
            <w:rStyle w:val="Hyperlink"/>
            <w:iCs/>
          </w:rPr>
          <w:t>Offshore Petroleum and Greenhouse Gas Storage (Resource Management and Administration) Regulations 2011</w:t>
        </w:r>
      </w:hyperlink>
      <w:r>
        <w:t xml:space="preserve"> (RMA Regulations). </w:t>
      </w:r>
      <w:r w:rsidRPr="00792F9D">
        <w:t>Titleholders also have OHS duties relating to wells under Schedule 3 to the OPGGS Act.</w:t>
      </w:r>
    </w:p>
    <w:p w14:paraId="00FEC6D3" w14:textId="77777777" w:rsidR="001808AC" w:rsidRPr="00A1002D" w:rsidRDefault="001808AC" w:rsidP="001808AC">
      <w:pPr>
        <w:pStyle w:val="Heading4"/>
      </w:pPr>
      <w:r w:rsidRPr="00A1002D">
        <w:t>Well operations management plans</w:t>
      </w:r>
    </w:p>
    <w:p w14:paraId="663EB87E" w14:textId="77777777" w:rsidR="001808AC" w:rsidRDefault="001808AC" w:rsidP="00250D66">
      <w:pPr>
        <w:pStyle w:val="List2"/>
        <w:numPr>
          <w:ilvl w:val="1"/>
          <w:numId w:val="35"/>
        </w:numPr>
        <w:tabs>
          <w:tab w:val="clear" w:pos="454"/>
        </w:tabs>
        <w:ind w:left="720" w:hanging="720"/>
      </w:pPr>
      <w:r w:rsidRPr="00250D66">
        <w:rPr>
          <w:rFonts w:cstheme="minorHAnsi"/>
        </w:rPr>
        <w:t>Decommissioning</w:t>
      </w:r>
      <w:r>
        <w:t xml:space="preserve"> a field typically involves the permanent </w:t>
      </w:r>
      <w:r w:rsidRPr="007F739A">
        <w:t>plugging and abandonment</w:t>
      </w:r>
      <w:r w:rsidRPr="007F739A">
        <w:rPr>
          <w:rStyle w:val="FootnoteReference"/>
        </w:rPr>
        <w:footnoteReference w:id="9"/>
      </w:r>
      <w:r>
        <w:t xml:space="preserve"> of wells. Plugging and abandonment is a well activity for the purposes of Part 5 of the RMA Regulations. </w:t>
      </w:r>
    </w:p>
    <w:p w14:paraId="274192AA" w14:textId="0F38B8B5" w:rsidR="001808AC" w:rsidRDefault="001808AC" w:rsidP="00250D66">
      <w:pPr>
        <w:pStyle w:val="List2"/>
        <w:numPr>
          <w:ilvl w:val="1"/>
          <w:numId w:val="35"/>
        </w:numPr>
        <w:tabs>
          <w:tab w:val="clear" w:pos="454"/>
        </w:tabs>
        <w:ind w:left="720" w:hanging="720"/>
      </w:pPr>
      <w:r>
        <w:t>Prior to undertaking a well activity, t</w:t>
      </w:r>
      <w:r w:rsidRPr="002F605A">
        <w:t>itleholder</w:t>
      </w:r>
      <w:r>
        <w:t>s</w:t>
      </w:r>
      <w:r w:rsidRPr="002F605A">
        <w:t xml:space="preserve"> must have an accepted </w:t>
      </w:r>
      <w:r>
        <w:t xml:space="preserve">well operations </w:t>
      </w:r>
      <w:r w:rsidRPr="00250D66">
        <w:rPr>
          <w:rFonts w:cstheme="minorHAnsi"/>
        </w:rPr>
        <w:t>management</w:t>
      </w:r>
      <w:r>
        <w:t xml:space="preserve"> plan (</w:t>
      </w:r>
      <w:r w:rsidRPr="002F605A">
        <w:t>WOMP</w:t>
      </w:r>
      <w:r>
        <w:t>)</w:t>
      </w:r>
      <w:r w:rsidRPr="002F605A">
        <w:t xml:space="preserve"> </w:t>
      </w:r>
      <w:r>
        <w:t xml:space="preserve">that applies to that activity. </w:t>
      </w:r>
      <w:r w:rsidRPr="002F605A">
        <w:t xml:space="preserve">The WOMP </w:t>
      </w:r>
      <w:r>
        <w:t>is required to cover the life of the relevant</w:t>
      </w:r>
      <w:r w:rsidRPr="002F605A">
        <w:t xml:space="preserve"> well</w:t>
      </w:r>
      <w:r>
        <w:t>,</w:t>
      </w:r>
      <w:r w:rsidRPr="002F605A">
        <w:t xml:space="preserve"> up to and including permanent abandonment</w:t>
      </w:r>
      <w:r>
        <w:t xml:space="preserve">. </w:t>
      </w:r>
    </w:p>
    <w:p w14:paraId="19A453EF" w14:textId="77777777" w:rsidR="001808AC" w:rsidRDefault="001808AC" w:rsidP="00250D66">
      <w:pPr>
        <w:pStyle w:val="List2"/>
        <w:numPr>
          <w:ilvl w:val="1"/>
          <w:numId w:val="35"/>
        </w:numPr>
        <w:tabs>
          <w:tab w:val="clear" w:pos="454"/>
        </w:tabs>
        <w:ind w:left="720" w:hanging="720"/>
      </w:pPr>
      <w:r>
        <w:t>It is an offence to carry out a well activity in Commonwealth waters without a WOMP,</w:t>
      </w:r>
      <w:r w:rsidRPr="002F605A">
        <w:t xml:space="preserve"> or in a </w:t>
      </w:r>
      <w:r w:rsidRPr="00250D66">
        <w:rPr>
          <w:rFonts w:cstheme="minorHAnsi"/>
        </w:rPr>
        <w:t>manner</w:t>
      </w:r>
      <w:r w:rsidRPr="002F605A">
        <w:t xml:space="preserve"> inconsistent wit</w:t>
      </w:r>
      <w:r>
        <w:t>h an accepted WOMP.</w:t>
      </w:r>
    </w:p>
    <w:p w14:paraId="73072D95" w14:textId="77777777" w:rsidR="00E72AB4" w:rsidRDefault="001808AC" w:rsidP="00250D66">
      <w:pPr>
        <w:pStyle w:val="List2"/>
        <w:numPr>
          <w:ilvl w:val="1"/>
          <w:numId w:val="35"/>
        </w:numPr>
        <w:tabs>
          <w:tab w:val="clear" w:pos="454"/>
        </w:tabs>
        <w:ind w:left="720" w:hanging="720"/>
      </w:pPr>
      <w:r>
        <w:t xml:space="preserve">On </w:t>
      </w:r>
      <w:r w:rsidRPr="00250D66">
        <w:rPr>
          <w:rFonts w:cstheme="minorHAnsi"/>
        </w:rPr>
        <w:t>submission</w:t>
      </w:r>
      <w:r>
        <w:t xml:space="preserve"> of a WOMP by a titleholder, NOPSEMA assesses the WOMP to evaluate whether the titleholder has provided for risks to well integrity to be reduced to ALARP. All WOMPs must describe the arrangements that will be in place for suspensi</w:t>
      </w:r>
      <w:r w:rsidR="00E72AB4">
        <w:t xml:space="preserve">on and </w:t>
      </w:r>
      <w:r w:rsidR="00E72AB4" w:rsidRPr="00250D66">
        <w:rPr>
          <w:rFonts w:cstheme="minorHAnsi"/>
        </w:rPr>
        <w:t>abandonment</w:t>
      </w:r>
      <w:r w:rsidR="00E72AB4">
        <w:t xml:space="preserve"> of the well.</w:t>
      </w:r>
    </w:p>
    <w:p w14:paraId="11A7A31C" w14:textId="04A227A8" w:rsidR="001808AC" w:rsidRDefault="001808AC" w:rsidP="00250D66">
      <w:pPr>
        <w:pStyle w:val="List2"/>
        <w:numPr>
          <w:ilvl w:val="1"/>
          <w:numId w:val="35"/>
        </w:numPr>
        <w:tabs>
          <w:tab w:val="clear" w:pos="454"/>
        </w:tabs>
        <w:ind w:left="720" w:hanging="720"/>
      </w:pPr>
      <w:r>
        <w:t>Titleholders must also provide advance notification to NOPSEMA, copied to NOPTA</w:t>
      </w:r>
      <w:r w:rsidRPr="007F739A">
        <w:t xml:space="preserve"> (the Title </w:t>
      </w:r>
      <w:r w:rsidRPr="00250D66">
        <w:rPr>
          <w:rFonts w:cstheme="minorHAnsi"/>
        </w:rPr>
        <w:t>Administrator</w:t>
      </w:r>
      <w:r w:rsidRPr="007F739A">
        <w:t>),</w:t>
      </w:r>
      <w:r>
        <w:t xml:space="preserve"> before commencing specified well activities, including plugging and abandonment, in accordance with the requirements of</w:t>
      </w:r>
      <w:r w:rsidR="00A8757D">
        <w:t xml:space="preserve"> the</w:t>
      </w:r>
      <w:r>
        <w:t xml:space="preserve"> </w:t>
      </w:r>
      <w:r w:rsidR="00712367">
        <w:t xml:space="preserve">RMA </w:t>
      </w:r>
      <w:r w:rsidR="00A8757D">
        <w:t>R</w:t>
      </w:r>
      <w:r>
        <w:t>egulation</w:t>
      </w:r>
      <w:r w:rsidR="00A8757D">
        <w:t>s</w:t>
      </w:r>
      <w:r>
        <w:t>.</w:t>
      </w:r>
    </w:p>
    <w:p w14:paraId="67292D6E" w14:textId="77777777" w:rsidR="001808AC" w:rsidRPr="00FD5B86" w:rsidRDefault="001808AC" w:rsidP="001808AC">
      <w:pPr>
        <w:pStyle w:val="Heading4"/>
      </w:pPr>
      <w:r w:rsidRPr="00FD5B86">
        <w:t>End of a well operations management plan</w:t>
      </w:r>
    </w:p>
    <w:p w14:paraId="31C0C102" w14:textId="5BD8158C" w:rsidR="001808AC" w:rsidRDefault="001808AC" w:rsidP="00250D66">
      <w:pPr>
        <w:pStyle w:val="List2"/>
        <w:numPr>
          <w:ilvl w:val="1"/>
          <w:numId w:val="35"/>
        </w:numPr>
        <w:tabs>
          <w:tab w:val="clear" w:pos="454"/>
        </w:tabs>
        <w:ind w:left="720" w:hanging="720"/>
      </w:pPr>
      <w:r>
        <w:t xml:space="preserve">Under the RMA Regulations, to bring a WOMP to an end the titleholder must have </w:t>
      </w:r>
      <w:r w:rsidRPr="00703791">
        <w:t>permanently</w:t>
      </w:r>
      <w:r>
        <w:t xml:space="preserve"> abandoned the well or wells to which the WOMP relates and given </w:t>
      </w:r>
      <w:r w:rsidRPr="00250D66">
        <w:rPr>
          <w:rFonts w:cstheme="minorHAnsi"/>
        </w:rPr>
        <w:t>NOPSEMA</w:t>
      </w:r>
      <w:r>
        <w:t xml:space="preserve"> a written report of the process undertaken in abandoning the well(s) (including the outcomes of that process).</w:t>
      </w:r>
    </w:p>
    <w:p w14:paraId="4AB940B8" w14:textId="77777777" w:rsidR="001808AC" w:rsidRDefault="001808AC" w:rsidP="00250D66">
      <w:pPr>
        <w:pStyle w:val="List2"/>
        <w:numPr>
          <w:ilvl w:val="1"/>
          <w:numId w:val="35"/>
        </w:numPr>
        <w:tabs>
          <w:tab w:val="clear" w:pos="454"/>
        </w:tabs>
        <w:ind w:left="720" w:hanging="720"/>
      </w:pPr>
      <w:r w:rsidRPr="00703791">
        <w:t>NOPSEMA</w:t>
      </w:r>
      <w:r w:rsidRPr="00836AEC">
        <w:t xml:space="preserve"> will advise the titleholder when </w:t>
      </w:r>
      <w:r>
        <w:t>it is reasonably satisfied that the process of abandoning the well or wells was undertaken in accordance with the WOMP,</w:t>
      </w:r>
      <w:r w:rsidRPr="00836AEC">
        <w:t xml:space="preserve"> or if further </w:t>
      </w:r>
      <w:r w:rsidRPr="00836AEC">
        <w:lastRenderedPageBreak/>
        <w:t xml:space="preserve">action, </w:t>
      </w:r>
      <w:proofErr w:type="gramStart"/>
      <w:r w:rsidRPr="00250D66">
        <w:rPr>
          <w:rFonts w:cstheme="minorHAnsi"/>
        </w:rPr>
        <w:t>information</w:t>
      </w:r>
      <w:proofErr w:type="gramEnd"/>
      <w:r w:rsidRPr="00836AEC">
        <w:t xml:space="preserve"> or confirmation is required prior to NOPSEMA being able to accept the </w:t>
      </w:r>
      <w:r>
        <w:t>written report</w:t>
      </w:r>
      <w:r w:rsidRPr="00836AEC">
        <w:t xml:space="preserve">. </w:t>
      </w:r>
    </w:p>
    <w:p w14:paraId="3FF4A843" w14:textId="77777777" w:rsidR="001808AC" w:rsidRDefault="001808AC" w:rsidP="00250D66">
      <w:pPr>
        <w:pStyle w:val="List2"/>
        <w:numPr>
          <w:ilvl w:val="1"/>
          <w:numId w:val="35"/>
        </w:numPr>
        <w:tabs>
          <w:tab w:val="clear" w:pos="454"/>
        </w:tabs>
        <w:ind w:left="720" w:hanging="720"/>
      </w:pPr>
      <w:r>
        <w:t>O</w:t>
      </w:r>
      <w:r w:rsidRPr="00836AEC">
        <w:t xml:space="preserve">nce </w:t>
      </w:r>
      <w:r>
        <w:t>reports for all wells to which the WOMP relates are</w:t>
      </w:r>
      <w:r w:rsidRPr="00836AEC">
        <w:t xml:space="preserve"> accepted, the </w:t>
      </w:r>
      <w:r>
        <w:t>WOMP</w:t>
      </w:r>
      <w:r w:rsidRPr="00836AEC">
        <w:t xml:space="preserve"> </w:t>
      </w:r>
      <w:r>
        <w:t xml:space="preserve">ends, meaning it </w:t>
      </w:r>
      <w:r w:rsidRPr="00917EDE">
        <w:t xml:space="preserve">is no </w:t>
      </w:r>
      <w:r w:rsidRPr="00250D66">
        <w:rPr>
          <w:rFonts w:cstheme="minorHAnsi"/>
        </w:rPr>
        <w:t>longer</w:t>
      </w:r>
      <w:r w:rsidRPr="00917EDE">
        <w:t xml:space="preserve"> in</w:t>
      </w:r>
      <w:r>
        <w:t xml:space="preserve"> </w:t>
      </w:r>
      <w:r w:rsidRPr="00836AEC">
        <w:t xml:space="preserve">force and the </w:t>
      </w:r>
      <w:r>
        <w:t>ability</w:t>
      </w:r>
      <w:r w:rsidRPr="00836AEC">
        <w:t xml:space="preserve"> to conduct </w:t>
      </w:r>
      <w:r>
        <w:t>well activities</w:t>
      </w:r>
      <w:r w:rsidRPr="00836AEC">
        <w:t xml:space="preserve"> </w:t>
      </w:r>
      <w:r>
        <w:t>under that WOMP ceases</w:t>
      </w:r>
      <w:r w:rsidRPr="00836AEC">
        <w:t xml:space="preserve">. The </w:t>
      </w:r>
      <w:r>
        <w:t>WOMP</w:t>
      </w:r>
      <w:r w:rsidRPr="00836AEC">
        <w:t xml:space="preserve"> cannot be reactivated or revised after this time.</w:t>
      </w:r>
      <w:r>
        <w:t xml:space="preserve"> </w:t>
      </w:r>
    </w:p>
    <w:p w14:paraId="27E7EEE1" w14:textId="0E129FB2" w:rsidR="001808AC" w:rsidRDefault="001808AC" w:rsidP="001808AC">
      <w:pPr>
        <w:pStyle w:val="Calloutbox"/>
      </w:pPr>
      <w:r>
        <w:t xml:space="preserve">NOPSEMA has published on its website a comprehensive suite of </w:t>
      </w:r>
      <w:hyperlink r:id="rId33" w:tooltip="https://www.nopsema.gov.au/well-integrity/well-integrity-resources/" w:history="1">
        <w:r w:rsidRPr="00163C33">
          <w:rPr>
            <w:rStyle w:val="Hyperlink"/>
          </w:rPr>
          <w:t>policy guidance</w:t>
        </w:r>
      </w:hyperlink>
      <w:r>
        <w:t xml:space="preserve"> on well activities. It is recommended that titleholders are familiar with this guidance and with their obligations under the RMA Regulations, before undertaking any activity in relation to a well.</w:t>
      </w:r>
    </w:p>
    <w:p w14:paraId="0283D70F" w14:textId="77777777" w:rsidR="001808AC" w:rsidRPr="00FD5B86" w:rsidRDefault="001808AC" w:rsidP="001808AC">
      <w:pPr>
        <w:pStyle w:val="Heading2"/>
      </w:pPr>
      <w:bookmarkStart w:id="212" w:name="_Toc83029549"/>
      <w:bookmarkStart w:id="213" w:name="_Toc83033996"/>
      <w:bookmarkStart w:id="214" w:name="_Toc93925217"/>
      <w:r w:rsidRPr="00FD5B86">
        <w:t>Approvals from the Joint Authority</w:t>
      </w:r>
      <w:bookmarkEnd w:id="212"/>
      <w:bookmarkEnd w:id="213"/>
      <w:bookmarkEnd w:id="214"/>
    </w:p>
    <w:p w14:paraId="16DE0FCD" w14:textId="0BBF7A92" w:rsidR="001808AC" w:rsidRDefault="001808AC" w:rsidP="00250D66">
      <w:pPr>
        <w:pStyle w:val="List2"/>
        <w:numPr>
          <w:ilvl w:val="1"/>
          <w:numId w:val="35"/>
        </w:numPr>
        <w:tabs>
          <w:tab w:val="clear" w:pos="454"/>
        </w:tabs>
        <w:ind w:left="720" w:hanging="720"/>
      </w:pPr>
      <w:r>
        <w:t xml:space="preserve">The Joint Authority is responsible for assessing and accepting production licensees’ field </w:t>
      </w:r>
      <w:r w:rsidRPr="0085079D">
        <w:rPr>
          <w:rFonts w:cstheme="minorHAnsi"/>
        </w:rPr>
        <w:t>development</w:t>
      </w:r>
      <w:r>
        <w:t xml:space="preserve"> plans (FDPs) under the RMA Regulations. The Joint Authority will consider advice provided by NOPTA in making decisions on FDPs.</w:t>
      </w:r>
    </w:p>
    <w:p w14:paraId="6010EB89" w14:textId="387B0050" w:rsidR="001808AC" w:rsidRDefault="001808AC" w:rsidP="00250D66">
      <w:pPr>
        <w:pStyle w:val="List2"/>
        <w:numPr>
          <w:ilvl w:val="1"/>
          <w:numId w:val="35"/>
        </w:numPr>
        <w:tabs>
          <w:tab w:val="clear" w:pos="454"/>
        </w:tabs>
        <w:ind w:left="720" w:hanging="720"/>
      </w:pPr>
      <w:r>
        <w:t xml:space="preserve">Under the RMA Regulations, a production licensee may not recover </w:t>
      </w:r>
      <w:r w:rsidRPr="0085079D">
        <w:rPr>
          <w:rFonts w:cstheme="minorHAnsi"/>
        </w:rPr>
        <w:t>petroleum</w:t>
      </w:r>
      <w:r>
        <w:t xml:space="preserve">, unless on an appraisal basis, without an accepted FDP in place. </w:t>
      </w:r>
    </w:p>
    <w:p w14:paraId="0428E33B" w14:textId="2CAC5CA4" w:rsidR="001808AC" w:rsidRDefault="000841AA" w:rsidP="00250D66">
      <w:pPr>
        <w:pStyle w:val="List2"/>
        <w:numPr>
          <w:ilvl w:val="1"/>
          <w:numId w:val="35"/>
        </w:numPr>
        <w:tabs>
          <w:tab w:val="clear" w:pos="454"/>
        </w:tabs>
        <w:ind w:left="720" w:hanging="720"/>
      </w:pPr>
      <w:r>
        <w:t>T</w:t>
      </w:r>
      <w:r w:rsidR="001808AC">
        <w:t xml:space="preserve">he FDP will be accepted by the Joint Authority if it </w:t>
      </w:r>
      <w:r w:rsidR="001808AC" w:rsidRPr="0085079D">
        <w:rPr>
          <w:rFonts w:cstheme="minorHAnsi"/>
        </w:rPr>
        <w:t>is</w:t>
      </w:r>
      <w:r w:rsidR="001808AC">
        <w:t xml:space="preserve"> satisfied that the FDP </w:t>
      </w:r>
      <w:r w:rsidR="001808AC" w:rsidRPr="00062B9A">
        <w:t xml:space="preserve">includes the matters in </w:t>
      </w:r>
      <w:r>
        <w:t xml:space="preserve">the relevant provision of the RMA </w:t>
      </w:r>
      <w:proofErr w:type="gramStart"/>
      <w:r>
        <w:t>Regulations</w:t>
      </w:r>
      <w:r w:rsidR="001808AC">
        <w:t>,</w:t>
      </w:r>
      <w:r w:rsidR="001808AC" w:rsidRPr="00062B9A">
        <w:t xml:space="preserve"> and</w:t>
      </w:r>
      <w:proofErr w:type="gramEnd"/>
      <w:r w:rsidR="001808AC" w:rsidRPr="00062B9A">
        <w:t xml:space="preserve"> demonstrates that the person will conduct pool management in the field consiste</w:t>
      </w:r>
      <w:r w:rsidR="001808AC">
        <w:t xml:space="preserve">nt with good oilfield practice </w:t>
      </w:r>
      <w:r w:rsidR="001808AC" w:rsidRPr="00062B9A">
        <w:t xml:space="preserve">and </w:t>
      </w:r>
      <w:r w:rsidR="001808AC" w:rsidRPr="00250D66">
        <w:rPr>
          <w:rFonts w:cstheme="minorHAnsi"/>
        </w:rPr>
        <w:t>compatible</w:t>
      </w:r>
      <w:r w:rsidR="001808AC" w:rsidRPr="00062B9A">
        <w:t xml:space="preserve"> with optimum </w:t>
      </w:r>
      <w:r w:rsidR="001808AC">
        <w:t>long-term</w:t>
      </w:r>
      <w:r w:rsidR="001808AC" w:rsidRPr="00062B9A">
        <w:t xml:space="preserve"> recovery of the petroleum.</w:t>
      </w:r>
    </w:p>
    <w:p w14:paraId="2FA1F699" w14:textId="24942AEF" w:rsidR="001808AC" w:rsidRDefault="001808AC" w:rsidP="00250D66">
      <w:pPr>
        <w:pStyle w:val="List2"/>
        <w:numPr>
          <w:ilvl w:val="1"/>
          <w:numId w:val="35"/>
        </w:numPr>
        <w:tabs>
          <w:tab w:val="clear" w:pos="454"/>
        </w:tabs>
        <w:ind w:left="720" w:hanging="720"/>
      </w:pPr>
      <w:r w:rsidRPr="00D01BDF">
        <w:rPr>
          <w:rFonts w:eastAsia="Times New Roman" w:cs="Times New Roman"/>
          <w:lang w:eastAsia="en-AU"/>
        </w:rPr>
        <w:t xml:space="preserve">While </w:t>
      </w:r>
      <w:r>
        <w:t>t</w:t>
      </w:r>
      <w:r w:rsidRPr="002F605A">
        <w:t>here is</w:t>
      </w:r>
      <w:r w:rsidR="0006566C">
        <w:t xml:space="preserve"> currently</w:t>
      </w:r>
      <w:r w:rsidRPr="002F605A">
        <w:t xml:space="preserve"> no express requirement to incl</w:t>
      </w:r>
      <w:r>
        <w:t xml:space="preserve">ude decommissioning in the FDP, the plan must include the project schedule and development strategy. Further, where a production licensee </w:t>
      </w:r>
      <w:r w:rsidRPr="0085079D">
        <w:rPr>
          <w:rFonts w:cstheme="minorHAnsi"/>
        </w:rPr>
        <w:t>proposes</w:t>
      </w:r>
      <w:r>
        <w:t xml:space="preserve"> to cease production, permanently or for the long term, before the date proposed in the FDP, this would constitute a ‘major </w:t>
      </w:r>
      <w:r w:rsidR="00883AE7">
        <w:t xml:space="preserve">change. </w:t>
      </w:r>
      <w:r w:rsidR="000841AA">
        <w:t>The RMA Regulations</w:t>
      </w:r>
      <w:r>
        <w:t xml:space="preserve"> require an application to the Joint Authority, through NOPTA, for a variation to the accepted FDP.</w:t>
      </w:r>
    </w:p>
    <w:p w14:paraId="737E0CD7" w14:textId="77777777" w:rsidR="001808AC" w:rsidRDefault="001808AC" w:rsidP="00250D66">
      <w:pPr>
        <w:pStyle w:val="List2"/>
        <w:numPr>
          <w:ilvl w:val="1"/>
          <w:numId w:val="35"/>
        </w:numPr>
        <w:tabs>
          <w:tab w:val="clear" w:pos="454"/>
        </w:tabs>
        <w:ind w:left="720" w:hanging="720"/>
      </w:pPr>
      <w:r w:rsidRPr="0085079D">
        <w:rPr>
          <w:rFonts w:cstheme="minorHAnsi"/>
        </w:rPr>
        <w:t>Where</w:t>
      </w:r>
      <w:r>
        <w:t xml:space="preserve"> a titleholder is considering ceasing production, it is recommended they contact NOPTA for further information on the applicable process. </w:t>
      </w:r>
    </w:p>
    <w:p w14:paraId="45BF9C53" w14:textId="77777777" w:rsidR="001808AC" w:rsidRDefault="001808AC" w:rsidP="00250D66">
      <w:pPr>
        <w:pStyle w:val="List2"/>
        <w:numPr>
          <w:ilvl w:val="1"/>
          <w:numId w:val="35"/>
        </w:numPr>
        <w:tabs>
          <w:tab w:val="clear" w:pos="454"/>
        </w:tabs>
        <w:ind w:left="720" w:hanging="720"/>
      </w:pPr>
      <w:r>
        <w:t xml:space="preserve">Once decommissioning activities have been satisfactorily completed, the Joint Authority is also the </w:t>
      </w:r>
      <w:r w:rsidRPr="00250D66">
        <w:rPr>
          <w:rFonts w:cstheme="minorHAnsi"/>
        </w:rPr>
        <w:t>decision</w:t>
      </w:r>
      <w:r>
        <w:t xml:space="preserve">-maker on an application to surrender an offshore petroleum title. </w:t>
      </w:r>
    </w:p>
    <w:p w14:paraId="7116FD1D" w14:textId="544C34A9" w:rsidR="00A5398A" w:rsidRDefault="00A5398A" w:rsidP="00250D66">
      <w:pPr>
        <w:pStyle w:val="List2"/>
        <w:numPr>
          <w:ilvl w:val="1"/>
          <w:numId w:val="35"/>
        </w:numPr>
        <w:tabs>
          <w:tab w:val="clear" w:pos="454"/>
        </w:tabs>
        <w:ind w:left="720" w:hanging="720"/>
      </w:pPr>
      <w:r>
        <w:t xml:space="preserve">As part </w:t>
      </w:r>
      <w:r w:rsidRPr="00250D66">
        <w:rPr>
          <w:rFonts w:cstheme="minorHAnsi"/>
        </w:rPr>
        <w:t>of</w:t>
      </w:r>
      <w:r>
        <w:t xml:space="preserve"> implementing the </w:t>
      </w:r>
      <w:r w:rsidR="007F7384">
        <w:t>e</w:t>
      </w:r>
      <w:r>
        <w:t xml:space="preserve">nhanced decommissioning framework, the government is considering how FDPs </w:t>
      </w:r>
      <w:r w:rsidR="00B950C4">
        <w:t>could</w:t>
      </w:r>
      <w:r w:rsidRPr="00A5398A">
        <w:t xml:space="preserve"> be used to support decommissioning planning</w:t>
      </w:r>
      <w:r>
        <w:t>.</w:t>
      </w:r>
      <w:r w:rsidRPr="00A5398A">
        <w:t xml:space="preserve"> </w:t>
      </w:r>
    </w:p>
    <w:p w14:paraId="62DCFEAE" w14:textId="5DCD32E3" w:rsidR="001808AC" w:rsidRDefault="001808AC" w:rsidP="001808AC">
      <w:pPr>
        <w:pStyle w:val="Calloutbox"/>
      </w:pPr>
      <w:r w:rsidRPr="00703791">
        <w:t>Further information about the Joint Authorities</w:t>
      </w:r>
      <w:r>
        <w:t xml:space="preserve"> is available on the </w:t>
      </w:r>
      <w:hyperlink r:id="rId34" w:history="1">
        <w:r w:rsidRPr="001F228B">
          <w:rPr>
            <w:rStyle w:val="Hyperlink"/>
          </w:rPr>
          <w:t>NOPTA website</w:t>
        </w:r>
      </w:hyperlink>
      <w:r>
        <w:t xml:space="preserve">. Also available are </w:t>
      </w:r>
      <w:hyperlink r:id="rId35" w:tooltip="http://www.nopta.gov.au/guidelines-and-factsheets/offshore-petroleum-guidelines.html" w:history="1">
        <w:r w:rsidRPr="00C01348">
          <w:rPr>
            <w:rStyle w:val="Hyperlink"/>
          </w:rPr>
          <w:t>operating protocols</w:t>
        </w:r>
      </w:hyperlink>
      <w:r>
        <w:t xml:space="preserve"> for the Joint Authorities and </w:t>
      </w:r>
      <w:hyperlink r:id="rId36" w:tooltip="http://www.nopta.gov.au/guidelines-and-factsheets/offshore-petroleum-guidelines.html" w:history="1">
        <w:r w:rsidRPr="00FC7443">
          <w:rPr>
            <w:rStyle w:val="Hyperlink"/>
          </w:rPr>
          <w:t>guidelines for Joint Authority decisions</w:t>
        </w:r>
      </w:hyperlink>
      <w:r>
        <w:t>.</w:t>
      </w:r>
    </w:p>
    <w:p w14:paraId="33AA8572" w14:textId="017653A2" w:rsidR="001808AC" w:rsidRDefault="001808AC" w:rsidP="0013127F">
      <w:pPr>
        <w:pStyle w:val="Heading1"/>
        <w:numPr>
          <w:ilvl w:val="0"/>
          <w:numId w:val="35"/>
        </w:numPr>
        <w:tabs>
          <w:tab w:val="left" w:pos="709"/>
        </w:tabs>
        <w:ind w:hanging="454"/>
      </w:pPr>
      <w:bookmarkStart w:id="215" w:name="_Toc83029550"/>
      <w:bookmarkStart w:id="216" w:name="_Toc83033997"/>
      <w:bookmarkStart w:id="217" w:name="_Toc93925218"/>
      <w:r>
        <w:t>General and remedial directions</w:t>
      </w:r>
      <w:bookmarkEnd w:id="215"/>
      <w:bookmarkEnd w:id="216"/>
      <w:bookmarkEnd w:id="217"/>
    </w:p>
    <w:p w14:paraId="30D56B9A" w14:textId="2A7B213F" w:rsidR="000E4A03" w:rsidRPr="000B22A9" w:rsidRDefault="000E4A03" w:rsidP="000B22A9">
      <w:pPr>
        <w:pStyle w:val="Heading2"/>
      </w:pPr>
      <w:bookmarkStart w:id="218" w:name="_Toc83029551"/>
      <w:bookmarkStart w:id="219" w:name="_Toc83033998"/>
      <w:bookmarkStart w:id="220" w:name="_Toc93925219"/>
      <w:r w:rsidRPr="000B22A9">
        <w:t>General power to issue directions</w:t>
      </w:r>
      <w:bookmarkEnd w:id="196"/>
      <w:bookmarkEnd w:id="197"/>
      <w:bookmarkEnd w:id="198"/>
      <w:bookmarkEnd w:id="199"/>
      <w:bookmarkEnd w:id="200"/>
      <w:bookmarkEnd w:id="201"/>
      <w:bookmarkEnd w:id="202"/>
      <w:bookmarkEnd w:id="203"/>
      <w:bookmarkEnd w:id="218"/>
      <w:bookmarkEnd w:id="219"/>
      <w:bookmarkEnd w:id="220"/>
    </w:p>
    <w:p w14:paraId="068DB27D" w14:textId="483F8748" w:rsidR="000E4A03" w:rsidRPr="006F6221" w:rsidRDefault="000E4A03" w:rsidP="00250D66">
      <w:pPr>
        <w:pStyle w:val="List2"/>
        <w:numPr>
          <w:ilvl w:val="1"/>
          <w:numId w:val="36"/>
        </w:numPr>
        <w:tabs>
          <w:tab w:val="clear" w:pos="454"/>
        </w:tabs>
        <w:ind w:left="720" w:hanging="720"/>
        <w:rPr>
          <w:rFonts w:cstheme="minorHAnsi"/>
        </w:rPr>
      </w:pPr>
      <w:r w:rsidRPr="0085079D">
        <w:t>Under</w:t>
      </w:r>
      <w:r w:rsidRPr="006F6221">
        <w:rPr>
          <w:rFonts w:cstheme="minorHAnsi"/>
        </w:rPr>
        <w:t xml:space="preserve"> </w:t>
      </w:r>
      <w:r w:rsidR="00834F21">
        <w:rPr>
          <w:rFonts w:cstheme="minorHAnsi"/>
        </w:rPr>
        <w:t>s</w:t>
      </w:r>
      <w:r w:rsidRPr="006F6221">
        <w:rPr>
          <w:rFonts w:cstheme="minorHAnsi"/>
        </w:rPr>
        <w:t xml:space="preserve"> 574 of the OPGGS Act, NOPSEMA may give a direction to a titleholder as to any matter in relation to which regulations may be made. </w:t>
      </w:r>
      <w:r w:rsidR="004C3B03" w:rsidRPr="006F6221">
        <w:rPr>
          <w:rFonts w:cstheme="minorHAnsi"/>
        </w:rPr>
        <w:t>Specific</w:t>
      </w:r>
      <w:r w:rsidRPr="006F6221">
        <w:rPr>
          <w:rFonts w:cstheme="minorHAnsi"/>
        </w:rPr>
        <w:t xml:space="preserve"> matters in relation to which regulations may be made are set out in </w:t>
      </w:r>
      <w:r w:rsidR="00834F21">
        <w:rPr>
          <w:rFonts w:cstheme="minorHAnsi"/>
        </w:rPr>
        <w:t>s</w:t>
      </w:r>
      <w:r w:rsidRPr="006F6221">
        <w:rPr>
          <w:rFonts w:cstheme="minorHAnsi"/>
        </w:rPr>
        <w:t xml:space="preserve"> 782 of the OPGGS Act, and include, but are not limited to:</w:t>
      </w:r>
    </w:p>
    <w:p w14:paraId="4E229895" w14:textId="4DF397F6" w:rsidR="00C8496D" w:rsidRPr="006F6221" w:rsidRDefault="00C8496D" w:rsidP="00A00029">
      <w:pPr>
        <w:pStyle w:val="ListParagraph"/>
        <w:numPr>
          <w:ilvl w:val="2"/>
          <w:numId w:val="20"/>
        </w:numPr>
        <w:spacing w:before="120" w:after="120"/>
        <w:contextualSpacing w:val="0"/>
        <w:rPr>
          <w:rFonts w:cstheme="minorHAnsi"/>
        </w:rPr>
      </w:pPr>
      <w:r w:rsidRPr="006F6221">
        <w:rPr>
          <w:rFonts w:cstheme="minorHAnsi"/>
        </w:rPr>
        <w:lastRenderedPageBreak/>
        <w:t xml:space="preserve">the exploration for and recovery of petroleum, and the carrying on of </w:t>
      </w:r>
      <w:r w:rsidRPr="006F6221" w:rsidDel="00C67D18">
        <w:rPr>
          <w:rFonts w:cstheme="minorHAnsi"/>
        </w:rPr>
        <w:t>operations</w:t>
      </w:r>
      <w:r w:rsidRPr="006F6221">
        <w:rPr>
          <w:rFonts w:cstheme="minorHAnsi"/>
        </w:rPr>
        <w:t xml:space="preserve"> or works for those purposes</w:t>
      </w:r>
    </w:p>
    <w:p w14:paraId="7DDA2C4D" w14:textId="332EAA66" w:rsidR="00C8496D" w:rsidRPr="006F6221" w:rsidRDefault="00C8496D" w:rsidP="00A00029">
      <w:pPr>
        <w:pStyle w:val="ListParagraph"/>
        <w:numPr>
          <w:ilvl w:val="2"/>
          <w:numId w:val="20"/>
        </w:numPr>
        <w:spacing w:before="120" w:after="120"/>
        <w:contextualSpacing w:val="0"/>
        <w:rPr>
          <w:rFonts w:cstheme="minorHAnsi"/>
        </w:rPr>
      </w:pPr>
      <w:r w:rsidRPr="006F6221">
        <w:rPr>
          <w:rFonts w:cstheme="minorHAnsi"/>
        </w:rPr>
        <w:t>the conservation of, and prevention of the waste of, the natural resources (whether petroleum or otherwise) of the continental shelf</w:t>
      </w:r>
    </w:p>
    <w:p w14:paraId="7FFE1AEC" w14:textId="5EB62006" w:rsidR="00C8496D" w:rsidRPr="006F6221" w:rsidRDefault="00C8496D" w:rsidP="00A00029">
      <w:pPr>
        <w:pStyle w:val="ListParagraph"/>
        <w:numPr>
          <w:ilvl w:val="2"/>
          <w:numId w:val="20"/>
        </w:numPr>
        <w:spacing w:before="120" w:after="120"/>
        <w:contextualSpacing w:val="0"/>
        <w:rPr>
          <w:rFonts w:cstheme="minorHAnsi"/>
        </w:rPr>
      </w:pPr>
      <w:r w:rsidRPr="006F6221">
        <w:rPr>
          <w:rFonts w:cstheme="minorHAnsi"/>
        </w:rPr>
        <w:t>the maintaining in good condition and repair all structures, equipment and other property used or intended to be used in connection with exploring for or exploiting petroleum</w:t>
      </w:r>
    </w:p>
    <w:p w14:paraId="3B8DD39D" w14:textId="77777777" w:rsidR="00F22B37" w:rsidRPr="006F6221" w:rsidRDefault="00C8496D" w:rsidP="00A00029">
      <w:pPr>
        <w:pStyle w:val="ListParagraph"/>
        <w:numPr>
          <w:ilvl w:val="2"/>
          <w:numId w:val="20"/>
        </w:numPr>
        <w:spacing w:before="120" w:after="120"/>
        <w:contextualSpacing w:val="0"/>
        <w:rPr>
          <w:rFonts w:cstheme="minorHAnsi"/>
        </w:rPr>
      </w:pPr>
      <w:r w:rsidRPr="006F6221">
        <w:rPr>
          <w:rFonts w:cstheme="minorHAnsi"/>
        </w:rPr>
        <w:t xml:space="preserve">the removal from an offshore area of structures, equipment and other items of property that have been brought into the offshore area for or in connection with exploring for or exploiting petroleum, and are no longer used, or intended to be used, for those purposes. </w:t>
      </w:r>
    </w:p>
    <w:p w14:paraId="7C827E38" w14:textId="4F5BF4BD" w:rsidR="00014CA3" w:rsidRPr="006F6221" w:rsidRDefault="000E4A03" w:rsidP="00250D66">
      <w:pPr>
        <w:pStyle w:val="List2"/>
        <w:numPr>
          <w:ilvl w:val="1"/>
          <w:numId w:val="36"/>
        </w:numPr>
        <w:tabs>
          <w:tab w:val="clear" w:pos="454"/>
        </w:tabs>
        <w:ind w:left="720" w:hanging="720"/>
        <w:rPr>
          <w:rFonts w:cstheme="minorHAnsi"/>
        </w:rPr>
      </w:pPr>
      <w:r w:rsidRPr="006F6221">
        <w:rPr>
          <w:rFonts w:cstheme="minorHAnsi"/>
        </w:rPr>
        <w:t xml:space="preserve">The responsible Commonwealth Minister may issue similar directions under </w:t>
      </w:r>
      <w:r w:rsidR="00834F21">
        <w:rPr>
          <w:rFonts w:cstheme="minorHAnsi"/>
        </w:rPr>
        <w:t>s</w:t>
      </w:r>
      <w:r w:rsidRPr="006F6221">
        <w:rPr>
          <w:rFonts w:cstheme="minorHAnsi"/>
        </w:rPr>
        <w:t xml:space="preserve"> 574A of the </w:t>
      </w:r>
      <w:r w:rsidRPr="0085079D">
        <w:t>OPGGS</w:t>
      </w:r>
      <w:r w:rsidRPr="006F6221">
        <w:rPr>
          <w:rFonts w:cstheme="minorHAnsi"/>
        </w:rPr>
        <w:t xml:space="preserve"> Act. However, a direction issued by the responsible Commonwealth Minister must relate to resource management, resource security or data management</w:t>
      </w:r>
      <w:r w:rsidR="00C8496D" w:rsidRPr="006F6221">
        <w:rPr>
          <w:rFonts w:cstheme="minorHAnsi"/>
        </w:rPr>
        <w:t>.</w:t>
      </w:r>
    </w:p>
    <w:p w14:paraId="3228A287" w14:textId="2986818E" w:rsidR="00611857" w:rsidRPr="000B22A9" w:rsidRDefault="0091582C" w:rsidP="008660F2">
      <w:pPr>
        <w:pStyle w:val="Heading2"/>
        <w:ind w:left="720" w:hanging="720"/>
      </w:pPr>
      <w:bookmarkStart w:id="221" w:name="_Toc81319783"/>
      <w:bookmarkStart w:id="222" w:name="_Toc81322591"/>
      <w:bookmarkStart w:id="223" w:name="_Toc81324979"/>
      <w:bookmarkStart w:id="224" w:name="_Toc81327232"/>
      <w:bookmarkStart w:id="225" w:name="_Toc81327504"/>
      <w:bookmarkStart w:id="226" w:name="_Ref82767184"/>
      <w:bookmarkStart w:id="227" w:name="_Toc82785079"/>
      <w:bookmarkStart w:id="228" w:name="_Toc82787198"/>
      <w:bookmarkStart w:id="229" w:name="_Toc82788246"/>
      <w:bookmarkStart w:id="230" w:name="_Toc83029552"/>
      <w:bookmarkStart w:id="231" w:name="_Toc83033999"/>
      <w:bookmarkStart w:id="232" w:name="_Toc93925220"/>
      <w:r w:rsidRPr="000B22A9">
        <w:t>P</w:t>
      </w:r>
      <w:r w:rsidR="00611857" w:rsidRPr="000B22A9">
        <w:t>ower to issue remedial directions and trailing</w:t>
      </w:r>
      <w:r w:rsidR="00345118">
        <w:t xml:space="preserve"> </w:t>
      </w:r>
      <w:r w:rsidR="00611857" w:rsidRPr="000B22A9">
        <w:t>liability</w:t>
      </w:r>
      <w:bookmarkEnd w:id="221"/>
      <w:bookmarkEnd w:id="222"/>
      <w:bookmarkEnd w:id="223"/>
      <w:bookmarkEnd w:id="224"/>
      <w:bookmarkEnd w:id="225"/>
      <w:bookmarkEnd w:id="226"/>
      <w:bookmarkEnd w:id="227"/>
      <w:bookmarkEnd w:id="228"/>
      <w:bookmarkEnd w:id="229"/>
      <w:bookmarkEnd w:id="230"/>
      <w:bookmarkEnd w:id="231"/>
      <w:bookmarkEnd w:id="232"/>
    </w:p>
    <w:p w14:paraId="5F8216EA" w14:textId="77777777" w:rsidR="00584FCE" w:rsidRDefault="00611857" w:rsidP="00250D66">
      <w:pPr>
        <w:pStyle w:val="List2"/>
        <w:numPr>
          <w:ilvl w:val="1"/>
          <w:numId w:val="36"/>
        </w:numPr>
        <w:tabs>
          <w:tab w:val="clear" w:pos="454"/>
        </w:tabs>
        <w:ind w:left="720" w:hanging="720"/>
        <w:rPr>
          <w:rFonts w:ascii="Calibri" w:hAnsi="Calibri"/>
        </w:rPr>
      </w:pPr>
      <w:r w:rsidRPr="00703791">
        <w:t>Under</w:t>
      </w:r>
      <w:r w:rsidRPr="00F94268">
        <w:rPr>
          <w:rFonts w:ascii="Calibri" w:hAnsi="Calibri"/>
        </w:rPr>
        <w:t xml:space="preserve"> </w:t>
      </w:r>
      <w:r w:rsidRPr="00250D66">
        <w:rPr>
          <w:rFonts w:cstheme="minorHAnsi"/>
        </w:rPr>
        <w:t>sections</w:t>
      </w:r>
      <w:r w:rsidRPr="00F94268">
        <w:rPr>
          <w:rFonts w:ascii="Calibri" w:hAnsi="Calibri"/>
        </w:rPr>
        <w:t xml:space="preserve"> 586, 586A, 587 and 587A</w:t>
      </w:r>
      <w:r w:rsidR="00A758E4">
        <w:rPr>
          <w:rFonts w:ascii="Calibri" w:hAnsi="Calibri"/>
        </w:rPr>
        <w:t xml:space="preserve"> of the OPGGS Act</w:t>
      </w:r>
      <w:r w:rsidRPr="00F94268">
        <w:rPr>
          <w:rFonts w:ascii="Calibri" w:hAnsi="Calibri"/>
        </w:rPr>
        <w:t xml:space="preserve">, the </w:t>
      </w:r>
      <w:r w:rsidR="0091582C">
        <w:rPr>
          <w:rFonts w:ascii="Calibri" w:hAnsi="Calibri"/>
        </w:rPr>
        <w:t>r</w:t>
      </w:r>
      <w:r w:rsidRPr="00F94268">
        <w:rPr>
          <w:rFonts w:ascii="Calibri" w:hAnsi="Calibri"/>
        </w:rPr>
        <w:t>esponsible Commonwealth Minister</w:t>
      </w:r>
      <w:r w:rsidR="00026330" w:rsidRPr="00F94268">
        <w:rPr>
          <w:rFonts w:ascii="Calibri" w:hAnsi="Calibri"/>
        </w:rPr>
        <w:t xml:space="preserve"> </w:t>
      </w:r>
      <w:r w:rsidR="0091582C">
        <w:rPr>
          <w:rFonts w:ascii="Calibri" w:hAnsi="Calibri"/>
        </w:rPr>
        <w:t xml:space="preserve">and </w:t>
      </w:r>
      <w:r w:rsidRPr="00F94268">
        <w:rPr>
          <w:rFonts w:ascii="Calibri" w:hAnsi="Calibri"/>
        </w:rPr>
        <w:t>NOPSEMA</w:t>
      </w:r>
      <w:r w:rsidR="0091582C">
        <w:rPr>
          <w:rFonts w:ascii="Calibri" w:hAnsi="Calibri"/>
        </w:rPr>
        <w:t xml:space="preserve"> have</w:t>
      </w:r>
      <w:r w:rsidRPr="00F94268">
        <w:rPr>
          <w:rFonts w:ascii="Calibri" w:hAnsi="Calibri"/>
        </w:rPr>
        <w:t xml:space="preserve"> the power to issue remedial directions. </w:t>
      </w:r>
    </w:p>
    <w:p w14:paraId="2F9552C0" w14:textId="1CB5E900" w:rsidR="00311E18" w:rsidRPr="00F94268" w:rsidRDefault="00611857" w:rsidP="00250D66">
      <w:pPr>
        <w:pStyle w:val="List2"/>
        <w:numPr>
          <w:ilvl w:val="1"/>
          <w:numId w:val="36"/>
        </w:numPr>
        <w:tabs>
          <w:tab w:val="clear" w:pos="454"/>
        </w:tabs>
        <w:ind w:left="720" w:hanging="720"/>
        <w:rPr>
          <w:rFonts w:ascii="Calibri" w:hAnsi="Calibri"/>
        </w:rPr>
      </w:pPr>
      <w:r w:rsidRPr="00F94268">
        <w:rPr>
          <w:rFonts w:ascii="Calibri" w:hAnsi="Calibri"/>
        </w:rPr>
        <w:t xml:space="preserve">Remedial directions can compel a person to undertake </w:t>
      </w:r>
      <w:r w:rsidR="005602BE">
        <w:rPr>
          <w:rFonts w:ascii="Calibri" w:hAnsi="Calibri"/>
        </w:rPr>
        <w:t xml:space="preserve">remedial works, including </w:t>
      </w:r>
      <w:r w:rsidR="00026330" w:rsidRPr="00250D66">
        <w:rPr>
          <w:rFonts w:cstheme="minorHAnsi"/>
        </w:rPr>
        <w:t>decommissioning</w:t>
      </w:r>
      <w:r w:rsidRPr="00F94268">
        <w:rPr>
          <w:rFonts w:ascii="Calibri" w:hAnsi="Calibri"/>
        </w:rPr>
        <w:t xml:space="preserve">. They can be issued to various persons who are, or who have been, involved in or benefited from a petroleum activity and are the mechanism through which trailing liability is implemented. </w:t>
      </w:r>
    </w:p>
    <w:p w14:paraId="2117F03F" w14:textId="77777777" w:rsidR="00584FCE" w:rsidRDefault="00611857" w:rsidP="00250D66">
      <w:pPr>
        <w:pStyle w:val="List2"/>
        <w:numPr>
          <w:ilvl w:val="1"/>
          <w:numId w:val="36"/>
        </w:numPr>
        <w:tabs>
          <w:tab w:val="clear" w:pos="454"/>
        </w:tabs>
        <w:ind w:left="720" w:hanging="720"/>
        <w:rPr>
          <w:rFonts w:ascii="Calibri" w:hAnsi="Calibri"/>
        </w:rPr>
      </w:pPr>
      <w:r w:rsidRPr="00F94268">
        <w:rPr>
          <w:rFonts w:ascii="Calibri" w:hAnsi="Calibri"/>
        </w:rPr>
        <w:t xml:space="preserve">Trailing liability </w:t>
      </w:r>
      <w:r w:rsidR="00311E18" w:rsidRPr="00F94268">
        <w:rPr>
          <w:rFonts w:ascii="Calibri" w:hAnsi="Calibri"/>
        </w:rPr>
        <w:t xml:space="preserve">refers to the </w:t>
      </w:r>
      <w:r w:rsidR="00026330" w:rsidRPr="00F94268">
        <w:rPr>
          <w:rFonts w:ascii="Calibri" w:hAnsi="Calibri"/>
        </w:rPr>
        <w:t xml:space="preserve">power for </w:t>
      </w:r>
      <w:r w:rsidRPr="00F94268">
        <w:rPr>
          <w:rFonts w:ascii="Calibri" w:hAnsi="Calibri"/>
        </w:rPr>
        <w:t>a titleh</w:t>
      </w:r>
      <w:r w:rsidR="004146D9">
        <w:rPr>
          <w:rFonts w:ascii="Calibri" w:hAnsi="Calibri"/>
        </w:rPr>
        <w:t>older, former titleholder or a ‘related person’</w:t>
      </w:r>
      <w:r w:rsidRPr="00F94268">
        <w:rPr>
          <w:rFonts w:ascii="Calibri" w:hAnsi="Calibri"/>
        </w:rPr>
        <w:t xml:space="preserve"> </w:t>
      </w:r>
      <w:r w:rsidR="00424569" w:rsidRPr="00F94268">
        <w:rPr>
          <w:rFonts w:ascii="Calibri" w:hAnsi="Calibri"/>
        </w:rPr>
        <w:t xml:space="preserve">to </w:t>
      </w:r>
      <w:r w:rsidRPr="00F94268">
        <w:rPr>
          <w:rFonts w:ascii="Calibri" w:hAnsi="Calibri"/>
        </w:rPr>
        <w:t xml:space="preserve">be </w:t>
      </w:r>
      <w:r w:rsidRPr="00703791">
        <w:t>called</w:t>
      </w:r>
      <w:r w:rsidRPr="00F94268">
        <w:rPr>
          <w:rFonts w:ascii="Calibri" w:hAnsi="Calibri"/>
        </w:rPr>
        <w:t xml:space="preserve"> </w:t>
      </w:r>
      <w:r w:rsidRPr="00250D66">
        <w:rPr>
          <w:rFonts w:cstheme="minorHAnsi"/>
        </w:rPr>
        <w:t>back</w:t>
      </w:r>
      <w:r w:rsidRPr="00F94268">
        <w:rPr>
          <w:rFonts w:ascii="Calibri" w:hAnsi="Calibri"/>
        </w:rPr>
        <w:t xml:space="preserve"> (through a remedial direction) to undertake decommissioning </w:t>
      </w:r>
      <w:r w:rsidR="0037390B">
        <w:rPr>
          <w:rFonts w:ascii="Calibri" w:hAnsi="Calibri"/>
        </w:rPr>
        <w:t xml:space="preserve">and remediation </w:t>
      </w:r>
      <w:r w:rsidRPr="00F94268">
        <w:rPr>
          <w:rFonts w:ascii="Calibri" w:hAnsi="Calibri"/>
        </w:rPr>
        <w:t>activities</w:t>
      </w:r>
      <w:r w:rsidR="00424569" w:rsidRPr="00F94268">
        <w:rPr>
          <w:rFonts w:ascii="Calibri" w:hAnsi="Calibri"/>
        </w:rPr>
        <w:t xml:space="preserve">. </w:t>
      </w:r>
    </w:p>
    <w:p w14:paraId="3A8F1662" w14:textId="77777777" w:rsidR="00584FCE" w:rsidRDefault="00424569" w:rsidP="00250D66">
      <w:pPr>
        <w:pStyle w:val="List2"/>
        <w:numPr>
          <w:ilvl w:val="1"/>
          <w:numId w:val="36"/>
        </w:numPr>
        <w:tabs>
          <w:tab w:val="clear" w:pos="454"/>
        </w:tabs>
        <w:ind w:left="720" w:hanging="720"/>
        <w:rPr>
          <w:rFonts w:ascii="Calibri" w:hAnsi="Calibri"/>
        </w:rPr>
      </w:pPr>
      <w:r w:rsidRPr="00F94268">
        <w:rPr>
          <w:rFonts w:ascii="Calibri" w:hAnsi="Calibri"/>
        </w:rPr>
        <w:t xml:space="preserve">Trailing </w:t>
      </w:r>
      <w:r w:rsidRPr="00703791">
        <w:t>liability</w:t>
      </w:r>
      <w:r w:rsidRPr="00F94268">
        <w:rPr>
          <w:rFonts w:ascii="Calibri" w:hAnsi="Calibri"/>
        </w:rPr>
        <w:t xml:space="preserve"> </w:t>
      </w:r>
      <w:r w:rsidR="00611857" w:rsidRPr="00F94268">
        <w:rPr>
          <w:rFonts w:ascii="Calibri" w:hAnsi="Calibri"/>
        </w:rPr>
        <w:t xml:space="preserve">ensures that the costs and liabilities that are associated with a petroleum activity </w:t>
      </w:r>
      <w:r w:rsidR="00611857" w:rsidRPr="00250D66">
        <w:rPr>
          <w:rFonts w:cstheme="minorHAnsi"/>
        </w:rPr>
        <w:t>remain</w:t>
      </w:r>
      <w:r w:rsidR="00611857" w:rsidRPr="00F94268">
        <w:rPr>
          <w:rFonts w:ascii="Calibri" w:hAnsi="Calibri"/>
        </w:rPr>
        <w:t xml:space="preserve"> the responsibility of those who</w:t>
      </w:r>
      <w:r w:rsidR="008B408A">
        <w:rPr>
          <w:rFonts w:ascii="Calibri" w:hAnsi="Calibri"/>
        </w:rPr>
        <w:t xml:space="preserve"> held the </w:t>
      </w:r>
      <w:proofErr w:type="gramStart"/>
      <w:r w:rsidR="008B408A">
        <w:rPr>
          <w:rFonts w:ascii="Calibri" w:hAnsi="Calibri"/>
        </w:rPr>
        <w:t>title, or</w:t>
      </w:r>
      <w:proofErr w:type="gramEnd"/>
      <w:r w:rsidR="008B408A">
        <w:rPr>
          <w:rFonts w:ascii="Calibri" w:hAnsi="Calibri"/>
        </w:rPr>
        <w:t xml:space="preserve"> had the ability to influence activities under the title</w:t>
      </w:r>
      <w:r w:rsidR="00611857" w:rsidRPr="00F94268">
        <w:rPr>
          <w:rFonts w:ascii="Calibri" w:hAnsi="Calibri"/>
        </w:rPr>
        <w:t xml:space="preserve">. </w:t>
      </w:r>
    </w:p>
    <w:p w14:paraId="45D815D5" w14:textId="1E5A7F6D" w:rsidR="004146D9" w:rsidRDefault="00611857" w:rsidP="00250D66">
      <w:pPr>
        <w:pStyle w:val="List2"/>
        <w:numPr>
          <w:ilvl w:val="1"/>
          <w:numId w:val="36"/>
        </w:numPr>
        <w:tabs>
          <w:tab w:val="clear" w:pos="454"/>
        </w:tabs>
        <w:ind w:left="720" w:hanging="720"/>
        <w:rPr>
          <w:rFonts w:ascii="Calibri" w:hAnsi="Calibri"/>
        </w:rPr>
      </w:pPr>
      <w:r w:rsidRPr="00703791">
        <w:t>Trailing</w:t>
      </w:r>
      <w:r w:rsidRPr="00F94268">
        <w:rPr>
          <w:rFonts w:ascii="Calibri" w:hAnsi="Calibri"/>
        </w:rPr>
        <w:t xml:space="preserve"> </w:t>
      </w:r>
      <w:r w:rsidRPr="00250D66">
        <w:rPr>
          <w:rFonts w:cstheme="minorHAnsi"/>
        </w:rPr>
        <w:t>liability</w:t>
      </w:r>
      <w:r w:rsidRPr="00F94268">
        <w:rPr>
          <w:rFonts w:ascii="Calibri" w:hAnsi="Calibri"/>
        </w:rPr>
        <w:t xml:space="preserve"> is used as a measure of last resort where all other regulatory options have been exhausted</w:t>
      </w:r>
      <w:r w:rsidR="00026330" w:rsidRPr="00F94268">
        <w:rPr>
          <w:rFonts w:ascii="Calibri" w:hAnsi="Calibri"/>
        </w:rPr>
        <w:t>.</w:t>
      </w:r>
      <w:r w:rsidR="00F94268">
        <w:rPr>
          <w:rFonts w:ascii="Calibri" w:hAnsi="Calibri"/>
        </w:rPr>
        <w:t xml:space="preserve"> </w:t>
      </w:r>
    </w:p>
    <w:p w14:paraId="71A28808" w14:textId="66E0FF2C" w:rsidR="00793CC4" w:rsidRDefault="00793CC4" w:rsidP="00FC2A56">
      <w:pPr>
        <w:pStyle w:val="Calloutbox"/>
        <w:keepNext/>
        <w:keepLines/>
        <w:spacing w:before="120" w:after="120"/>
        <w:contextualSpacing w:val="0"/>
      </w:pPr>
      <w:r>
        <w:lastRenderedPageBreak/>
        <w:t>T</w:t>
      </w:r>
      <w:r w:rsidRPr="00F94268">
        <w:t xml:space="preserve">he </w:t>
      </w:r>
      <w:r w:rsidRPr="00F94268">
        <w:rPr>
          <w:i/>
        </w:rPr>
        <w:t xml:space="preserve">Offshore Petroleum and Greenhouse Gas Storage Amendment (Titles Administration and Other Measures) Act 2021 </w:t>
      </w:r>
      <w:r w:rsidR="009C111B">
        <w:t>amends</w:t>
      </w:r>
      <w:r>
        <w:t xml:space="preserve"> </w:t>
      </w:r>
      <w:r w:rsidRPr="00F94268">
        <w:t>sections of the OPGGS Act dealing with remedial directions</w:t>
      </w:r>
      <w:r>
        <w:t xml:space="preserve">. These amendments extend the reach of existing </w:t>
      </w:r>
      <w:r w:rsidRPr="00F94268">
        <w:t xml:space="preserve">trailing liability </w:t>
      </w:r>
      <w:r>
        <w:t xml:space="preserve">provisions </w:t>
      </w:r>
      <w:r w:rsidR="009C111B">
        <w:t xml:space="preserve">and are a key element of a suite of policy measures that will enhance the </w:t>
      </w:r>
      <w:r w:rsidRPr="00F94268">
        <w:t xml:space="preserve">decommissioning framework. Changes </w:t>
      </w:r>
      <w:r>
        <w:t xml:space="preserve">relating to remedial directions </w:t>
      </w:r>
      <w:r w:rsidRPr="00F94268">
        <w:t>apply only to titles, and their relevant titleholders</w:t>
      </w:r>
      <w:r>
        <w:t xml:space="preserve"> and related persons</w:t>
      </w:r>
      <w:r w:rsidRPr="00F94268">
        <w:t xml:space="preserve">, as they exist </w:t>
      </w:r>
      <w:r>
        <w:t>on or after</w:t>
      </w:r>
      <w:r w:rsidRPr="00F94268">
        <w:t xml:space="preserve"> 1 January 2021. </w:t>
      </w:r>
      <w:r>
        <w:t>Directions can be issued in relation to t</w:t>
      </w:r>
      <w:r w:rsidRPr="00F94268">
        <w:t xml:space="preserve">itles that ceased to be in force before this date </w:t>
      </w:r>
      <w:r>
        <w:t>in accordance with</w:t>
      </w:r>
      <w:r w:rsidRPr="00F94268">
        <w:t xml:space="preserve"> previous versions of the OPGGS Act. </w:t>
      </w:r>
    </w:p>
    <w:p w14:paraId="0349836F" w14:textId="09AFF781" w:rsidR="00793CC4" w:rsidRDefault="00793CC4" w:rsidP="00FC2A56">
      <w:pPr>
        <w:pStyle w:val="Calloutbox"/>
        <w:keepNext/>
        <w:keepLines/>
        <w:spacing w:before="120" w:after="120"/>
        <w:contextualSpacing w:val="0"/>
      </w:pPr>
      <w:r>
        <w:t>A new guideline specifically relating to trailing liability will be made available in 2022</w:t>
      </w:r>
      <w:r w:rsidR="00BF1F8F">
        <w:t>. T</w:t>
      </w:r>
      <w:r>
        <w:t>his guideline will provide additional information about when the trailing liability provisions may be used, and what factors may be considered to determine which former titleholder or related person would be called back to address issues.</w:t>
      </w:r>
    </w:p>
    <w:p w14:paraId="35C3B405" w14:textId="6FCBB23B" w:rsidR="00611857" w:rsidRPr="000B22A9" w:rsidRDefault="00611857" w:rsidP="00C4427D">
      <w:pPr>
        <w:pStyle w:val="Heading3"/>
      </w:pPr>
      <w:bookmarkStart w:id="233" w:name="_Toc81319784"/>
      <w:bookmarkStart w:id="234" w:name="_Toc81322592"/>
      <w:bookmarkStart w:id="235" w:name="_Toc81324980"/>
      <w:bookmarkStart w:id="236" w:name="_Toc81327233"/>
      <w:bookmarkStart w:id="237" w:name="_Toc81327505"/>
      <w:bookmarkStart w:id="238" w:name="_Toc82785080"/>
      <w:r w:rsidRPr="000B22A9">
        <w:t xml:space="preserve">Remedial directions can apply to titles that are in force or titles that have </w:t>
      </w:r>
      <w:r w:rsidR="00203F8C" w:rsidRPr="000B22A9">
        <w:t>ceased to be in force</w:t>
      </w:r>
      <w:bookmarkEnd w:id="233"/>
      <w:bookmarkEnd w:id="234"/>
      <w:bookmarkEnd w:id="235"/>
      <w:bookmarkEnd w:id="236"/>
      <w:bookmarkEnd w:id="237"/>
      <w:bookmarkEnd w:id="238"/>
    </w:p>
    <w:p w14:paraId="16AA8DA5" w14:textId="509CC7A4" w:rsidR="00816EF7" w:rsidRDefault="00611857" w:rsidP="00250D66">
      <w:pPr>
        <w:pStyle w:val="List2"/>
        <w:numPr>
          <w:ilvl w:val="1"/>
          <w:numId w:val="36"/>
        </w:numPr>
        <w:tabs>
          <w:tab w:val="clear" w:pos="454"/>
        </w:tabs>
        <w:ind w:left="720" w:hanging="720"/>
        <w:rPr>
          <w:rFonts w:ascii="Calibri" w:hAnsi="Calibri"/>
        </w:rPr>
      </w:pPr>
      <w:r w:rsidRPr="00703791">
        <w:t>Remedial</w:t>
      </w:r>
      <w:r w:rsidRPr="00F94268">
        <w:rPr>
          <w:rFonts w:ascii="Calibri" w:hAnsi="Calibri"/>
        </w:rPr>
        <w:t xml:space="preserve"> directions can </w:t>
      </w:r>
      <w:r w:rsidR="00ED2488">
        <w:rPr>
          <w:rFonts w:ascii="Calibri" w:hAnsi="Calibri"/>
        </w:rPr>
        <w:t>be given</w:t>
      </w:r>
      <w:r w:rsidRPr="00F94268">
        <w:rPr>
          <w:rFonts w:ascii="Calibri" w:hAnsi="Calibri"/>
        </w:rPr>
        <w:t xml:space="preserve"> </w:t>
      </w:r>
      <w:r w:rsidR="00026330" w:rsidRPr="00F94268">
        <w:rPr>
          <w:rFonts w:ascii="Calibri" w:hAnsi="Calibri"/>
        </w:rPr>
        <w:t xml:space="preserve">in relation </w:t>
      </w:r>
      <w:r w:rsidRPr="00F94268">
        <w:rPr>
          <w:rFonts w:ascii="Calibri" w:hAnsi="Calibri"/>
        </w:rPr>
        <w:t>to</w:t>
      </w:r>
      <w:r w:rsidR="00DF044B" w:rsidRPr="00F94268">
        <w:rPr>
          <w:rFonts w:ascii="Calibri" w:hAnsi="Calibri"/>
        </w:rPr>
        <w:t xml:space="preserve"> </w:t>
      </w:r>
      <w:r w:rsidRPr="00F94268">
        <w:rPr>
          <w:rFonts w:ascii="Calibri" w:hAnsi="Calibri"/>
        </w:rPr>
        <w:t>titles that a</w:t>
      </w:r>
      <w:r w:rsidR="00306483">
        <w:rPr>
          <w:rFonts w:ascii="Calibri" w:hAnsi="Calibri"/>
        </w:rPr>
        <w:t>re in force</w:t>
      </w:r>
      <w:r w:rsidR="000B2BF7">
        <w:rPr>
          <w:rFonts w:ascii="Calibri" w:hAnsi="Calibri"/>
        </w:rPr>
        <w:t>,</w:t>
      </w:r>
      <w:r w:rsidR="00306483">
        <w:rPr>
          <w:rFonts w:ascii="Calibri" w:hAnsi="Calibri"/>
        </w:rPr>
        <w:t xml:space="preserve"> or titles that </w:t>
      </w:r>
      <w:r w:rsidR="007A4C57">
        <w:rPr>
          <w:rFonts w:ascii="Calibri" w:hAnsi="Calibri"/>
        </w:rPr>
        <w:t xml:space="preserve">have </w:t>
      </w:r>
      <w:r w:rsidRPr="00F94268">
        <w:rPr>
          <w:rFonts w:ascii="Calibri" w:hAnsi="Calibri"/>
        </w:rPr>
        <w:t>wholly or partly ceased to be in force.</w:t>
      </w:r>
      <w:r w:rsidR="00963C66">
        <w:rPr>
          <w:rFonts w:ascii="Calibri" w:hAnsi="Calibri"/>
        </w:rPr>
        <w:t xml:space="preserve"> </w:t>
      </w:r>
    </w:p>
    <w:p w14:paraId="1AEB93A7" w14:textId="240CD24B" w:rsidR="009F3490" w:rsidDel="009F3490" w:rsidRDefault="009F3490" w:rsidP="00250D66">
      <w:pPr>
        <w:pStyle w:val="List2"/>
        <w:numPr>
          <w:ilvl w:val="1"/>
          <w:numId w:val="36"/>
        </w:numPr>
        <w:tabs>
          <w:tab w:val="clear" w:pos="454"/>
        </w:tabs>
        <w:ind w:left="720" w:hanging="720"/>
        <w:rPr>
          <w:rFonts w:ascii="Calibri" w:hAnsi="Calibri"/>
        </w:rPr>
      </w:pPr>
      <w:r w:rsidRPr="007F739A">
        <w:rPr>
          <w:rFonts w:ascii="Calibri" w:hAnsi="Calibri"/>
        </w:rPr>
        <w:t xml:space="preserve">In </w:t>
      </w:r>
      <w:r w:rsidRPr="00703791">
        <w:t>relation</w:t>
      </w:r>
      <w:r w:rsidRPr="007F739A">
        <w:rPr>
          <w:rFonts w:ascii="Calibri" w:hAnsi="Calibri"/>
        </w:rPr>
        <w:t xml:space="preserve"> to titles that are in force, NOPSEMA</w:t>
      </w:r>
      <w:r w:rsidR="006E29E3" w:rsidRPr="007F739A">
        <w:rPr>
          <w:rFonts w:ascii="Calibri" w:hAnsi="Calibri"/>
        </w:rPr>
        <w:t xml:space="preserve"> or the responsible Commonwealth Minister</w:t>
      </w:r>
      <w:r w:rsidRPr="007F739A">
        <w:rPr>
          <w:rFonts w:ascii="Calibri" w:hAnsi="Calibri"/>
        </w:rPr>
        <w:t xml:space="preserve"> can require the direction to be complied with on or before the ‘applicable date’. The ‘applicable date’ is </w:t>
      </w:r>
      <w:r w:rsidRPr="00250D66">
        <w:rPr>
          <w:rFonts w:cstheme="minorHAnsi"/>
        </w:rPr>
        <w:t>generally</w:t>
      </w:r>
      <w:r w:rsidRPr="007F739A">
        <w:rPr>
          <w:rFonts w:ascii="Calibri" w:hAnsi="Calibri"/>
        </w:rPr>
        <w:t xml:space="preserve"> the expiry date of the title; however, in the case of a production licence, infrastructure licence, or pipeline licence, the ‘applicable date’ is the first date on which the licence can be terminated under the OPGGS Act.</w:t>
      </w:r>
    </w:p>
    <w:p w14:paraId="630F805C" w14:textId="7FBB4455" w:rsidR="0039642A" w:rsidRPr="00B83F38" w:rsidRDefault="00901225" w:rsidP="00250D66">
      <w:pPr>
        <w:pStyle w:val="List2"/>
        <w:numPr>
          <w:ilvl w:val="1"/>
          <w:numId w:val="36"/>
        </w:numPr>
        <w:tabs>
          <w:tab w:val="clear" w:pos="454"/>
        </w:tabs>
        <w:ind w:left="720" w:hanging="720"/>
        <w:rPr>
          <w:rFonts w:ascii="Calibri" w:hAnsi="Calibri"/>
        </w:rPr>
      </w:pPr>
      <w:r w:rsidRPr="0039642A">
        <w:rPr>
          <w:rFonts w:ascii="Calibri" w:hAnsi="Calibri"/>
        </w:rPr>
        <w:t xml:space="preserve">In </w:t>
      </w:r>
      <w:r w:rsidRPr="00250D66">
        <w:rPr>
          <w:rFonts w:cstheme="minorHAnsi"/>
        </w:rPr>
        <w:t>relation</w:t>
      </w:r>
      <w:r w:rsidRPr="0039642A">
        <w:rPr>
          <w:rFonts w:ascii="Calibri" w:hAnsi="Calibri"/>
        </w:rPr>
        <w:t xml:space="preserve"> to titles that have wholly </w:t>
      </w:r>
      <w:r w:rsidR="0039642A" w:rsidRPr="0039642A">
        <w:rPr>
          <w:rFonts w:ascii="Calibri" w:hAnsi="Calibri"/>
        </w:rPr>
        <w:t>or partly ceased to be in force</w:t>
      </w:r>
      <w:r w:rsidR="0039642A">
        <w:rPr>
          <w:rFonts w:ascii="Calibri" w:hAnsi="Calibri"/>
        </w:rPr>
        <w:t xml:space="preserve"> </w:t>
      </w:r>
      <w:r w:rsidR="0039642A" w:rsidRPr="00816EF7">
        <w:t>on or after 1</w:t>
      </w:r>
      <w:r w:rsidR="002A47D8">
        <w:t> </w:t>
      </w:r>
      <w:r w:rsidR="0039642A" w:rsidRPr="00816EF7">
        <w:t>January</w:t>
      </w:r>
      <w:r w:rsidR="002A47D8">
        <w:t> </w:t>
      </w:r>
      <w:r w:rsidR="0039642A" w:rsidRPr="00816EF7">
        <w:t xml:space="preserve">2021, remedial directions can be issued </w:t>
      </w:r>
      <w:r w:rsidR="0039642A">
        <w:t>in relation to the vacated area</w:t>
      </w:r>
      <w:r w:rsidR="000973B6">
        <w:rPr>
          <w:rStyle w:val="FootnoteReference"/>
        </w:rPr>
        <w:footnoteReference w:id="10"/>
      </w:r>
      <w:r w:rsidR="0039642A">
        <w:t xml:space="preserve"> </w:t>
      </w:r>
      <w:r w:rsidR="0039642A" w:rsidRPr="00816EF7">
        <w:t>regardless of how the title ceased to be in force</w:t>
      </w:r>
      <w:r w:rsidR="0039642A">
        <w:t>.</w:t>
      </w:r>
    </w:p>
    <w:p w14:paraId="619E97BB" w14:textId="4EE14E86" w:rsidR="00B052D5" w:rsidRPr="0039642A" w:rsidRDefault="0039642A" w:rsidP="00250D66">
      <w:pPr>
        <w:pStyle w:val="List2"/>
        <w:numPr>
          <w:ilvl w:val="1"/>
          <w:numId w:val="36"/>
        </w:numPr>
        <w:tabs>
          <w:tab w:val="clear" w:pos="454"/>
        </w:tabs>
        <w:ind w:left="720" w:hanging="720"/>
        <w:rPr>
          <w:rFonts w:ascii="Calibri" w:hAnsi="Calibri"/>
        </w:rPr>
      </w:pPr>
      <w:r w:rsidRPr="0039642A">
        <w:rPr>
          <w:rFonts w:ascii="Calibri" w:hAnsi="Calibri"/>
        </w:rPr>
        <w:t>In relation to titles that have wholly or partly ceased to be in force</w:t>
      </w:r>
      <w:r>
        <w:rPr>
          <w:rFonts w:ascii="Calibri" w:hAnsi="Calibri"/>
        </w:rPr>
        <w:t xml:space="preserve"> </w:t>
      </w:r>
      <w:r w:rsidR="00816EF7" w:rsidRPr="3446EB29">
        <w:t xml:space="preserve">prior to 1 January 2021, remedial directions can be issued </w:t>
      </w:r>
      <w:r>
        <w:t>in relation to the vacated area</w:t>
      </w:r>
      <w:r w:rsidR="00602332">
        <w:rPr>
          <w:vertAlign w:val="superscript"/>
        </w:rPr>
        <w:t>9</w:t>
      </w:r>
      <w:r>
        <w:t xml:space="preserve"> only </w:t>
      </w:r>
      <w:r w:rsidR="00816EF7" w:rsidRPr="3446EB29">
        <w:t>if the title ceased to be in force other than by way of surrender. However, in the case of an access authority or special prospecting authority that ceased to be in force prior to 1 January 2021, a direction can be issued regardless of how the title ceased to be in force.</w:t>
      </w:r>
    </w:p>
    <w:p w14:paraId="224934B8" w14:textId="41DF55EB" w:rsidR="00B55603" w:rsidRDefault="00B55603" w:rsidP="00250D66">
      <w:pPr>
        <w:pStyle w:val="List2"/>
        <w:numPr>
          <w:ilvl w:val="1"/>
          <w:numId w:val="36"/>
        </w:numPr>
        <w:tabs>
          <w:tab w:val="clear" w:pos="454"/>
        </w:tabs>
        <w:ind w:left="720" w:hanging="720"/>
      </w:pPr>
      <w:r>
        <w:t xml:space="preserve">It is important to note that even if a new title is granted over part or </w:t>
      </w:r>
      <w:proofErr w:type="gramStart"/>
      <w:r>
        <w:t>all of</w:t>
      </w:r>
      <w:proofErr w:type="gramEnd"/>
      <w:r>
        <w:t xml:space="preserve"> the ‘vacated area’ of a previous title, NOPSEMA and the </w:t>
      </w:r>
      <w:r w:rsidR="00277A26">
        <w:t xml:space="preserve">relevant </w:t>
      </w:r>
      <w:r>
        <w:t xml:space="preserve">Commonwealth Minister can still issue a direction under </w:t>
      </w:r>
      <w:r w:rsidR="009C111B">
        <w:t xml:space="preserve">s </w:t>
      </w:r>
      <w:r>
        <w:t xml:space="preserve">587 or </w:t>
      </w:r>
      <w:r w:rsidR="009C111B">
        <w:t xml:space="preserve">s </w:t>
      </w:r>
      <w:r>
        <w:t xml:space="preserve">587A </w:t>
      </w:r>
      <w:r w:rsidR="00742996">
        <w:t xml:space="preserve">to a former titleholder </w:t>
      </w:r>
      <w:r>
        <w:t>in respect to the part of the vacated area over which the new title is in force or the remaining part of the vacated area.</w:t>
      </w:r>
    </w:p>
    <w:p w14:paraId="7A44983E" w14:textId="1194136A" w:rsidR="00716F50" w:rsidRDefault="00716F50" w:rsidP="00250D66">
      <w:pPr>
        <w:pStyle w:val="List2"/>
        <w:numPr>
          <w:ilvl w:val="2"/>
          <w:numId w:val="36"/>
        </w:numPr>
        <w:tabs>
          <w:tab w:val="clear" w:pos="1430"/>
        </w:tabs>
        <w:ind w:left="1224"/>
      </w:pPr>
      <w:r>
        <w:t xml:space="preserve">It is </w:t>
      </w:r>
      <w:r w:rsidRPr="00250D66">
        <w:rPr>
          <w:rFonts w:cstheme="minorHAnsi"/>
        </w:rPr>
        <w:t>important</w:t>
      </w:r>
      <w:r>
        <w:t xml:space="preserve"> to note that the holder of the new permit would not be issued a direction in relation to actions taken under the previous title.</w:t>
      </w:r>
    </w:p>
    <w:p w14:paraId="2AC81D3E" w14:textId="03C28513" w:rsidR="00611857" w:rsidRPr="000B22A9" w:rsidRDefault="00611857" w:rsidP="00C4427D">
      <w:pPr>
        <w:pStyle w:val="Heading3"/>
      </w:pPr>
      <w:bookmarkStart w:id="239" w:name="_Toc81319785"/>
      <w:bookmarkStart w:id="240" w:name="_Toc81322593"/>
      <w:bookmarkStart w:id="241" w:name="_Toc81324981"/>
      <w:bookmarkStart w:id="242" w:name="_Toc81327234"/>
      <w:bookmarkStart w:id="243" w:name="_Toc81327506"/>
      <w:bookmarkStart w:id="244" w:name="_Toc82785081"/>
      <w:r w:rsidRPr="00C4427D">
        <w:t>Purposes</w:t>
      </w:r>
      <w:r w:rsidRPr="000B22A9">
        <w:t xml:space="preserve"> for which remedial directions can be issued</w:t>
      </w:r>
      <w:bookmarkEnd w:id="239"/>
      <w:bookmarkEnd w:id="240"/>
      <w:bookmarkEnd w:id="241"/>
      <w:bookmarkEnd w:id="242"/>
      <w:bookmarkEnd w:id="243"/>
      <w:bookmarkEnd w:id="244"/>
    </w:p>
    <w:p w14:paraId="32CC1D0B" w14:textId="4805982E" w:rsidR="00611857" w:rsidRPr="002E12BC" w:rsidRDefault="00611857" w:rsidP="00250D66">
      <w:pPr>
        <w:pStyle w:val="List2"/>
        <w:numPr>
          <w:ilvl w:val="1"/>
          <w:numId w:val="36"/>
        </w:numPr>
        <w:tabs>
          <w:tab w:val="clear" w:pos="454"/>
        </w:tabs>
        <w:ind w:left="720" w:hanging="720"/>
        <w:rPr>
          <w:rFonts w:cstheme="minorHAnsi"/>
        </w:rPr>
      </w:pPr>
      <w:r w:rsidRPr="00250D66">
        <w:rPr>
          <w:rFonts w:cstheme="minorHAnsi"/>
        </w:rPr>
        <w:t>NOPSEMA</w:t>
      </w:r>
      <w:r w:rsidRPr="002E12BC">
        <w:rPr>
          <w:rFonts w:cstheme="minorHAnsi"/>
        </w:rPr>
        <w:t xml:space="preserve"> and the </w:t>
      </w:r>
      <w:r w:rsidR="006C1E37" w:rsidRPr="002E12BC">
        <w:rPr>
          <w:rFonts w:cstheme="minorHAnsi"/>
        </w:rPr>
        <w:t>responsible Commonwealth Minister</w:t>
      </w:r>
      <w:r w:rsidR="00B547B7" w:rsidRPr="002E12BC">
        <w:rPr>
          <w:rFonts w:cstheme="minorHAnsi"/>
        </w:rPr>
        <w:t xml:space="preserve"> </w:t>
      </w:r>
      <w:r w:rsidRPr="002E12BC">
        <w:rPr>
          <w:rFonts w:cstheme="minorHAnsi"/>
        </w:rPr>
        <w:t xml:space="preserve">can issue directions </w:t>
      </w:r>
      <w:r w:rsidR="00B547B7" w:rsidRPr="002E12BC">
        <w:rPr>
          <w:rFonts w:cstheme="minorHAnsi"/>
        </w:rPr>
        <w:t xml:space="preserve">to </w:t>
      </w:r>
      <w:r w:rsidRPr="002E12BC">
        <w:rPr>
          <w:rFonts w:cstheme="minorHAnsi"/>
        </w:rPr>
        <w:t>do one or more of the following things, where a title is in force or has wholly or partly ceased to be in force:</w:t>
      </w:r>
    </w:p>
    <w:p w14:paraId="73B670B2" w14:textId="2D0CD98F" w:rsidR="008956DE" w:rsidRPr="00687853" w:rsidRDefault="008956DE" w:rsidP="00250D66">
      <w:pPr>
        <w:pStyle w:val="List2"/>
        <w:numPr>
          <w:ilvl w:val="2"/>
          <w:numId w:val="22"/>
        </w:numPr>
        <w:tabs>
          <w:tab w:val="clear" w:pos="1430"/>
        </w:tabs>
        <w:ind w:left="1224"/>
        <w:rPr>
          <w:rFonts w:cstheme="minorHAnsi"/>
        </w:rPr>
      </w:pPr>
      <w:r w:rsidRPr="002E12BC">
        <w:rPr>
          <w:rFonts w:cstheme="minorHAnsi"/>
        </w:rPr>
        <w:lastRenderedPageBreak/>
        <w:t>plug or close off</w:t>
      </w:r>
      <w:r w:rsidR="00611857" w:rsidRPr="002E12BC">
        <w:rPr>
          <w:rFonts w:cstheme="minorHAnsi"/>
        </w:rPr>
        <w:t xml:space="preserve"> wells</w:t>
      </w:r>
      <w:r w:rsidR="00AB5AE1" w:rsidRPr="002E12BC">
        <w:rPr>
          <w:rFonts w:cstheme="minorHAnsi"/>
        </w:rPr>
        <w:t xml:space="preserve"> drilled in the title area or vacated area by any person engaged or concerned in the </w:t>
      </w:r>
      <w:r w:rsidR="00C67D18" w:rsidRPr="00820EA0">
        <w:rPr>
          <w:rFonts w:cstheme="minorHAnsi"/>
        </w:rPr>
        <w:t>activities</w:t>
      </w:r>
      <w:r w:rsidR="00AB5AE1" w:rsidRPr="004525E3">
        <w:rPr>
          <w:rFonts w:cstheme="minorHAnsi"/>
        </w:rPr>
        <w:t xml:space="preserve"> authorised by the title</w:t>
      </w:r>
    </w:p>
    <w:p w14:paraId="35E385F9" w14:textId="49E59D7B" w:rsidR="00611857" w:rsidRPr="008A1D28" w:rsidRDefault="00611857" w:rsidP="00250D66">
      <w:pPr>
        <w:pStyle w:val="List2"/>
        <w:numPr>
          <w:ilvl w:val="2"/>
          <w:numId w:val="22"/>
        </w:numPr>
        <w:tabs>
          <w:tab w:val="clear" w:pos="1430"/>
        </w:tabs>
        <w:ind w:left="1224"/>
        <w:rPr>
          <w:rFonts w:cstheme="minorHAnsi"/>
        </w:rPr>
      </w:pPr>
      <w:r w:rsidRPr="008A1D28">
        <w:rPr>
          <w:rFonts w:cstheme="minorHAnsi"/>
        </w:rPr>
        <w:t>provide</w:t>
      </w:r>
      <w:r w:rsidR="008956DE" w:rsidRPr="008A1D28">
        <w:rPr>
          <w:rFonts w:cstheme="minorHAnsi"/>
        </w:rPr>
        <w:t xml:space="preserve"> </w:t>
      </w:r>
      <w:r w:rsidRPr="008A1D28">
        <w:rPr>
          <w:rFonts w:cstheme="minorHAnsi"/>
        </w:rPr>
        <w:t>for the conservation and protection of the natural resources in the title area</w:t>
      </w:r>
      <w:r w:rsidR="00AB5AE1" w:rsidRPr="008A1D28">
        <w:rPr>
          <w:rFonts w:cstheme="minorHAnsi"/>
        </w:rPr>
        <w:t xml:space="preserve"> or vacated area</w:t>
      </w:r>
    </w:p>
    <w:p w14:paraId="0BB3B6E4" w14:textId="1EC51C91" w:rsidR="00B547B7" w:rsidRPr="008A1D28" w:rsidRDefault="00611857" w:rsidP="00250D66">
      <w:pPr>
        <w:pStyle w:val="List2"/>
        <w:numPr>
          <w:ilvl w:val="2"/>
          <w:numId w:val="22"/>
        </w:numPr>
        <w:tabs>
          <w:tab w:val="clear" w:pos="1430"/>
        </w:tabs>
        <w:ind w:left="1224"/>
        <w:rPr>
          <w:rFonts w:cstheme="minorHAnsi"/>
        </w:rPr>
      </w:pPr>
      <w:r w:rsidRPr="008A1D28">
        <w:rPr>
          <w:rFonts w:cstheme="minorHAnsi"/>
        </w:rPr>
        <w:t>make good</w:t>
      </w:r>
      <w:r w:rsidR="008956DE" w:rsidRPr="008A1D28">
        <w:rPr>
          <w:rFonts w:cstheme="minorHAnsi"/>
        </w:rPr>
        <w:t xml:space="preserve"> </w:t>
      </w:r>
      <w:r w:rsidRPr="008A1D28">
        <w:rPr>
          <w:rFonts w:cstheme="minorHAnsi"/>
        </w:rPr>
        <w:t xml:space="preserve">any damage to the seabed or subsoil in the title area or vacated area caused by any person engaged or concerned in the </w:t>
      </w:r>
      <w:r w:rsidR="00C67D18" w:rsidRPr="008A1D28">
        <w:rPr>
          <w:rFonts w:cstheme="minorHAnsi"/>
        </w:rPr>
        <w:t>activities</w:t>
      </w:r>
      <w:r w:rsidR="007D34CF" w:rsidRPr="008A1D28">
        <w:rPr>
          <w:rFonts w:cstheme="minorHAnsi"/>
        </w:rPr>
        <w:t xml:space="preserve"> authorised by the title</w:t>
      </w:r>
    </w:p>
    <w:p w14:paraId="36D3E3EF" w14:textId="748B9477" w:rsidR="00162504" w:rsidRPr="002E12BC" w:rsidRDefault="00B547B7" w:rsidP="00250D66">
      <w:pPr>
        <w:pStyle w:val="List2"/>
        <w:numPr>
          <w:ilvl w:val="1"/>
          <w:numId w:val="36"/>
        </w:numPr>
        <w:tabs>
          <w:tab w:val="clear" w:pos="454"/>
        </w:tabs>
        <w:ind w:left="720" w:hanging="720"/>
        <w:rPr>
          <w:rFonts w:cstheme="minorHAnsi"/>
        </w:rPr>
      </w:pPr>
      <w:r w:rsidRPr="0085079D">
        <w:t>NOPSEMA</w:t>
      </w:r>
      <w:r w:rsidRPr="002E12BC">
        <w:rPr>
          <w:rFonts w:cstheme="minorHAnsi"/>
        </w:rPr>
        <w:t xml:space="preserve"> </w:t>
      </w:r>
      <w:r w:rsidR="00CD3C1C" w:rsidRPr="002E12BC">
        <w:rPr>
          <w:rFonts w:cstheme="minorHAnsi"/>
        </w:rPr>
        <w:t xml:space="preserve">also </w:t>
      </w:r>
      <w:r w:rsidR="00AB5AE1" w:rsidRPr="002E12BC">
        <w:rPr>
          <w:rFonts w:cstheme="minorHAnsi"/>
        </w:rPr>
        <w:t xml:space="preserve">has the power to </w:t>
      </w:r>
      <w:r w:rsidR="00CD3C1C" w:rsidRPr="002E12BC">
        <w:rPr>
          <w:rFonts w:cstheme="minorHAnsi"/>
        </w:rPr>
        <w:t>issue remedial directions to</w:t>
      </w:r>
      <w:r w:rsidR="00AB5AE1" w:rsidRPr="002E12BC">
        <w:rPr>
          <w:rFonts w:cstheme="minorHAnsi"/>
        </w:rPr>
        <w:t xml:space="preserve"> require a person to</w:t>
      </w:r>
      <w:r w:rsidR="00162504" w:rsidRPr="002E12BC">
        <w:rPr>
          <w:rFonts w:cstheme="minorHAnsi"/>
        </w:rPr>
        <w:t>:</w:t>
      </w:r>
      <w:r w:rsidR="00CD3C1C" w:rsidRPr="002E12BC">
        <w:rPr>
          <w:rFonts w:cstheme="minorHAnsi"/>
        </w:rPr>
        <w:t xml:space="preserve"> </w:t>
      </w:r>
    </w:p>
    <w:p w14:paraId="22DB31DD" w14:textId="61030ABB" w:rsidR="00AB5AE1" w:rsidRPr="00687853" w:rsidRDefault="00B547B7" w:rsidP="00250D66">
      <w:pPr>
        <w:pStyle w:val="List2"/>
        <w:numPr>
          <w:ilvl w:val="2"/>
          <w:numId w:val="23"/>
        </w:numPr>
        <w:tabs>
          <w:tab w:val="clear" w:pos="1430"/>
        </w:tabs>
        <w:ind w:left="1224"/>
        <w:rPr>
          <w:rFonts w:cstheme="minorHAnsi"/>
        </w:rPr>
      </w:pPr>
      <w:r w:rsidRPr="002E12BC">
        <w:rPr>
          <w:rFonts w:cstheme="minorHAnsi"/>
        </w:rPr>
        <w:t>remove</w:t>
      </w:r>
      <w:r w:rsidR="00AB5AE1" w:rsidRPr="002E12BC">
        <w:rPr>
          <w:rFonts w:cstheme="minorHAnsi"/>
        </w:rPr>
        <w:t xml:space="preserve"> property brought into the title area </w:t>
      </w:r>
      <w:r w:rsidR="00F9064C" w:rsidRPr="002E12BC">
        <w:rPr>
          <w:rFonts w:cstheme="minorHAnsi"/>
        </w:rPr>
        <w:t xml:space="preserve">or vacated area by any person engaged or concerned in </w:t>
      </w:r>
      <w:r w:rsidR="00C67D18" w:rsidRPr="00820EA0">
        <w:rPr>
          <w:rFonts w:cstheme="minorHAnsi"/>
        </w:rPr>
        <w:t>activities</w:t>
      </w:r>
      <w:r w:rsidR="00F9064C" w:rsidRPr="00820EA0">
        <w:rPr>
          <w:rFonts w:cstheme="minorHAnsi"/>
        </w:rPr>
        <w:t xml:space="preserve"> authorised by the title </w:t>
      </w:r>
      <w:r w:rsidRPr="004525E3">
        <w:rPr>
          <w:rFonts w:cstheme="minorHAnsi"/>
        </w:rPr>
        <w:t xml:space="preserve"> </w:t>
      </w:r>
    </w:p>
    <w:p w14:paraId="29A8AF12" w14:textId="425B3E29" w:rsidR="00B547B7" w:rsidRPr="008A1D28" w:rsidRDefault="00B547B7" w:rsidP="00250D66">
      <w:pPr>
        <w:pStyle w:val="List2"/>
        <w:numPr>
          <w:ilvl w:val="2"/>
          <w:numId w:val="23"/>
        </w:numPr>
        <w:tabs>
          <w:tab w:val="clear" w:pos="1430"/>
        </w:tabs>
        <w:ind w:left="1224"/>
        <w:rPr>
          <w:rFonts w:cstheme="minorHAnsi"/>
        </w:rPr>
      </w:pPr>
      <w:proofErr w:type="gramStart"/>
      <w:r w:rsidRPr="008A1D28">
        <w:rPr>
          <w:rFonts w:cstheme="minorHAnsi"/>
        </w:rPr>
        <w:t>make arrangements</w:t>
      </w:r>
      <w:proofErr w:type="gramEnd"/>
      <w:r w:rsidRPr="008A1D28">
        <w:rPr>
          <w:rFonts w:cstheme="minorHAnsi"/>
        </w:rPr>
        <w:t xml:space="preserve"> </w:t>
      </w:r>
      <w:r w:rsidR="00F9064C" w:rsidRPr="008A1D28">
        <w:rPr>
          <w:rFonts w:cstheme="minorHAnsi"/>
        </w:rPr>
        <w:t>in relation to that</w:t>
      </w:r>
      <w:r w:rsidRPr="008A1D28">
        <w:rPr>
          <w:rFonts w:cstheme="minorHAnsi"/>
        </w:rPr>
        <w:t xml:space="preserve"> property</w:t>
      </w:r>
      <w:r w:rsidR="00CD3C1C" w:rsidRPr="008A1D28">
        <w:rPr>
          <w:rFonts w:cstheme="minorHAnsi"/>
        </w:rPr>
        <w:t>.</w:t>
      </w:r>
    </w:p>
    <w:p w14:paraId="19FAA828" w14:textId="0469CDA7" w:rsidR="00611857" w:rsidRPr="002E12BC" w:rsidRDefault="00611857" w:rsidP="00250D66">
      <w:pPr>
        <w:pStyle w:val="List2"/>
        <w:numPr>
          <w:ilvl w:val="1"/>
          <w:numId w:val="36"/>
        </w:numPr>
        <w:tabs>
          <w:tab w:val="clear" w:pos="454"/>
        </w:tabs>
        <w:ind w:left="720" w:hanging="720"/>
        <w:rPr>
          <w:rFonts w:cstheme="minorHAnsi"/>
        </w:rPr>
      </w:pPr>
      <w:r w:rsidRPr="002E12BC">
        <w:rPr>
          <w:rFonts w:cstheme="minorHAnsi"/>
        </w:rPr>
        <w:t xml:space="preserve">A </w:t>
      </w:r>
      <w:r w:rsidR="008C6813" w:rsidRPr="0085079D">
        <w:t>remedial</w:t>
      </w:r>
      <w:r w:rsidR="008C6813" w:rsidRPr="002E12BC">
        <w:rPr>
          <w:rFonts w:cstheme="minorHAnsi"/>
        </w:rPr>
        <w:t xml:space="preserve"> </w:t>
      </w:r>
      <w:r w:rsidRPr="002E12BC">
        <w:rPr>
          <w:rFonts w:cstheme="minorHAnsi"/>
        </w:rPr>
        <w:t xml:space="preserve">direction can only be issued by the responsible Commonwealth Minister where </w:t>
      </w:r>
      <w:r w:rsidR="00F9064C" w:rsidRPr="002E12BC">
        <w:rPr>
          <w:rFonts w:cstheme="minorHAnsi"/>
        </w:rPr>
        <w:t>the</w:t>
      </w:r>
      <w:r w:rsidRPr="002E12BC">
        <w:rPr>
          <w:rFonts w:cstheme="minorHAnsi"/>
        </w:rPr>
        <w:t xml:space="preserve"> purpose </w:t>
      </w:r>
      <w:r w:rsidR="00F9064C" w:rsidRPr="002E12BC">
        <w:rPr>
          <w:rFonts w:cstheme="minorHAnsi"/>
        </w:rPr>
        <w:t xml:space="preserve">of the direction </w:t>
      </w:r>
      <w:r w:rsidRPr="002E12BC">
        <w:rPr>
          <w:rFonts w:cstheme="minorHAnsi"/>
        </w:rPr>
        <w:t>relates to resource management or resource security.</w:t>
      </w:r>
    </w:p>
    <w:p w14:paraId="7B22CEDC" w14:textId="5CCBE885" w:rsidR="00611857" w:rsidRPr="00611857" w:rsidRDefault="00611857" w:rsidP="00C4427D">
      <w:pPr>
        <w:pStyle w:val="Heading3"/>
      </w:pPr>
      <w:bookmarkStart w:id="245" w:name="_Toc81319786"/>
      <w:bookmarkStart w:id="246" w:name="_Toc81322594"/>
      <w:bookmarkStart w:id="247" w:name="_Toc81324982"/>
      <w:bookmarkStart w:id="248" w:name="_Toc81327235"/>
      <w:bookmarkStart w:id="249" w:name="_Toc81327507"/>
      <w:bookmarkStart w:id="250" w:name="_Toc82785082"/>
      <w:r w:rsidRPr="00611857">
        <w:t>Persons that can be issued a remedial direction</w:t>
      </w:r>
      <w:bookmarkEnd w:id="245"/>
      <w:bookmarkEnd w:id="246"/>
      <w:bookmarkEnd w:id="247"/>
      <w:bookmarkEnd w:id="248"/>
      <w:bookmarkEnd w:id="249"/>
      <w:bookmarkEnd w:id="250"/>
    </w:p>
    <w:p w14:paraId="417BC42C" w14:textId="77777777" w:rsidR="00C84D3F" w:rsidRPr="002E12BC" w:rsidRDefault="00611857" w:rsidP="00250D66">
      <w:pPr>
        <w:pStyle w:val="List2"/>
        <w:numPr>
          <w:ilvl w:val="1"/>
          <w:numId w:val="36"/>
        </w:numPr>
        <w:tabs>
          <w:tab w:val="clear" w:pos="454"/>
        </w:tabs>
        <w:ind w:left="720" w:hanging="720"/>
        <w:rPr>
          <w:rFonts w:cstheme="minorHAnsi"/>
        </w:rPr>
      </w:pPr>
      <w:r w:rsidRPr="0085079D">
        <w:t>NOPSEMA</w:t>
      </w:r>
      <w:r w:rsidRPr="002E12BC">
        <w:rPr>
          <w:rFonts w:cstheme="minorHAnsi"/>
        </w:rPr>
        <w:t xml:space="preserve"> or the responsible Commonwealth Minister may issue a remedial direction to any of the following:</w:t>
      </w:r>
    </w:p>
    <w:p w14:paraId="0B02939A" w14:textId="3FEE0264" w:rsidR="00D557D6" w:rsidRPr="002E12BC" w:rsidRDefault="001850CC" w:rsidP="00CF0C3E">
      <w:pPr>
        <w:pStyle w:val="List2"/>
        <w:numPr>
          <w:ilvl w:val="2"/>
          <w:numId w:val="36"/>
        </w:numPr>
        <w:tabs>
          <w:tab w:val="clear" w:pos="1430"/>
        </w:tabs>
        <w:ind w:left="1224"/>
        <w:rPr>
          <w:rFonts w:cstheme="minorHAnsi"/>
        </w:rPr>
      </w:pPr>
      <w:r w:rsidRPr="00250D66">
        <w:rPr>
          <w:rFonts w:cstheme="minorHAnsi"/>
        </w:rPr>
        <w:t>w</w:t>
      </w:r>
      <w:r w:rsidR="00611857" w:rsidRPr="00250D66">
        <w:rPr>
          <w:rFonts w:cstheme="minorHAnsi"/>
        </w:rPr>
        <w:t>here</w:t>
      </w:r>
      <w:r w:rsidR="00611857" w:rsidRPr="002E12BC">
        <w:rPr>
          <w:rFonts w:cstheme="minorHAnsi"/>
        </w:rPr>
        <w:t xml:space="preserve"> the title is in force:</w:t>
      </w:r>
    </w:p>
    <w:p w14:paraId="025AFCBC" w14:textId="205D16B0" w:rsidR="00611857" w:rsidRPr="002E12BC" w:rsidRDefault="00611857" w:rsidP="00CF0C3E">
      <w:pPr>
        <w:pStyle w:val="ListParagraph"/>
        <w:numPr>
          <w:ilvl w:val="3"/>
          <w:numId w:val="24"/>
        </w:numPr>
        <w:spacing w:before="120" w:after="120"/>
        <w:contextualSpacing w:val="0"/>
        <w:rPr>
          <w:rFonts w:cstheme="minorHAnsi"/>
        </w:rPr>
      </w:pPr>
      <w:r w:rsidRPr="002E12BC">
        <w:rPr>
          <w:rFonts w:cstheme="minorHAnsi"/>
        </w:rPr>
        <w:t xml:space="preserve">the </w:t>
      </w:r>
      <w:r w:rsidR="001F3B50" w:rsidRPr="002E12BC">
        <w:rPr>
          <w:rFonts w:cstheme="minorHAnsi"/>
          <w:b/>
        </w:rPr>
        <w:t>current</w:t>
      </w:r>
      <w:r w:rsidR="001F3B50" w:rsidRPr="002E12BC">
        <w:rPr>
          <w:rFonts w:cstheme="minorHAnsi"/>
        </w:rPr>
        <w:t xml:space="preserve"> </w:t>
      </w:r>
      <w:r w:rsidRPr="002E12BC">
        <w:rPr>
          <w:rFonts w:cstheme="minorHAnsi"/>
        </w:rPr>
        <w:t xml:space="preserve">registered holder of the permit, </w:t>
      </w:r>
      <w:proofErr w:type="gramStart"/>
      <w:r w:rsidRPr="002E12BC">
        <w:rPr>
          <w:rFonts w:cstheme="minorHAnsi"/>
        </w:rPr>
        <w:t>lease</w:t>
      </w:r>
      <w:proofErr w:type="gramEnd"/>
      <w:r w:rsidRPr="002E12BC">
        <w:rPr>
          <w:rFonts w:cstheme="minorHAnsi"/>
        </w:rPr>
        <w:t xml:space="preserve"> or licence; </w:t>
      </w:r>
      <w:r w:rsidR="004C7A8F" w:rsidRPr="002E12BC">
        <w:rPr>
          <w:rFonts w:cstheme="minorHAnsi"/>
        </w:rPr>
        <w:t>or</w:t>
      </w:r>
    </w:p>
    <w:p w14:paraId="779E6999" w14:textId="0434C9A9" w:rsidR="00611857" w:rsidRPr="002E12BC" w:rsidRDefault="00611857" w:rsidP="00CF0C3E">
      <w:pPr>
        <w:pStyle w:val="ListParagraph"/>
        <w:numPr>
          <w:ilvl w:val="3"/>
          <w:numId w:val="24"/>
        </w:numPr>
        <w:spacing w:before="120" w:after="120"/>
        <w:contextualSpacing w:val="0"/>
        <w:rPr>
          <w:rFonts w:cstheme="minorHAnsi"/>
        </w:rPr>
      </w:pPr>
      <w:r w:rsidRPr="002E12BC">
        <w:rPr>
          <w:rFonts w:cstheme="minorHAnsi"/>
        </w:rPr>
        <w:t>a related body corporate of the</w:t>
      </w:r>
      <w:r w:rsidR="001F3B50" w:rsidRPr="002E12BC">
        <w:rPr>
          <w:rFonts w:cstheme="minorHAnsi"/>
          <w:b/>
        </w:rPr>
        <w:t xml:space="preserve"> current</w:t>
      </w:r>
      <w:r w:rsidRPr="002E12BC">
        <w:rPr>
          <w:rFonts w:cstheme="minorHAnsi"/>
        </w:rPr>
        <w:t xml:space="preserve"> registered holder of the permit, </w:t>
      </w:r>
      <w:proofErr w:type="gramStart"/>
      <w:r w:rsidRPr="002E12BC">
        <w:rPr>
          <w:rFonts w:cstheme="minorHAnsi"/>
        </w:rPr>
        <w:t>lease</w:t>
      </w:r>
      <w:proofErr w:type="gramEnd"/>
      <w:r w:rsidRPr="002E12BC">
        <w:rPr>
          <w:rFonts w:cstheme="minorHAnsi"/>
        </w:rPr>
        <w:t xml:space="preserve"> or licence;</w:t>
      </w:r>
      <w:r w:rsidR="004C7A8F" w:rsidRPr="002E12BC">
        <w:rPr>
          <w:rFonts w:cstheme="minorHAnsi"/>
        </w:rPr>
        <w:t xml:space="preserve"> or</w:t>
      </w:r>
    </w:p>
    <w:p w14:paraId="1346005B" w14:textId="0EDA7040" w:rsidR="00611857" w:rsidRPr="002E12BC" w:rsidRDefault="00611857" w:rsidP="00CF0C3E">
      <w:pPr>
        <w:pStyle w:val="ListParagraph"/>
        <w:numPr>
          <w:ilvl w:val="3"/>
          <w:numId w:val="24"/>
        </w:numPr>
        <w:spacing w:before="120" w:after="120"/>
        <w:contextualSpacing w:val="0"/>
        <w:rPr>
          <w:rFonts w:cstheme="minorHAnsi"/>
        </w:rPr>
      </w:pPr>
      <w:r w:rsidRPr="002E12BC">
        <w:rPr>
          <w:rFonts w:cstheme="minorHAnsi"/>
          <w:b/>
        </w:rPr>
        <w:t>any</w:t>
      </w:r>
      <w:r w:rsidRPr="002E12BC">
        <w:rPr>
          <w:rFonts w:cstheme="minorHAnsi"/>
        </w:rPr>
        <w:t xml:space="preserve"> </w:t>
      </w:r>
      <w:r w:rsidRPr="002E12BC">
        <w:rPr>
          <w:rFonts w:cstheme="minorHAnsi"/>
          <w:b/>
        </w:rPr>
        <w:t>former</w:t>
      </w:r>
      <w:r w:rsidRPr="002E12BC">
        <w:rPr>
          <w:rFonts w:cstheme="minorHAnsi"/>
        </w:rPr>
        <w:t xml:space="preserve"> registered holder of the permit, lease or licence</w:t>
      </w:r>
      <w:r w:rsidR="00162504" w:rsidRPr="002E12BC">
        <w:rPr>
          <w:rFonts w:cstheme="minorHAnsi"/>
        </w:rPr>
        <w:t xml:space="preserve"> that held the title on or after 1 January 2021</w:t>
      </w:r>
      <w:r w:rsidRPr="002E12BC">
        <w:rPr>
          <w:rFonts w:cstheme="minorHAnsi"/>
        </w:rPr>
        <w:t xml:space="preserve">; </w:t>
      </w:r>
      <w:r w:rsidR="004C7A8F" w:rsidRPr="002E12BC">
        <w:rPr>
          <w:rFonts w:cstheme="minorHAnsi"/>
        </w:rPr>
        <w:t>or</w:t>
      </w:r>
    </w:p>
    <w:p w14:paraId="7F887181" w14:textId="2FEFFC54" w:rsidR="00611857" w:rsidRPr="002E12BC" w:rsidRDefault="00611857" w:rsidP="00CF0C3E">
      <w:pPr>
        <w:pStyle w:val="ListParagraph"/>
        <w:numPr>
          <w:ilvl w:val="3"/>
          <w:numId w:val="24"/>
        </w:numPr>
        <w:spacing w:before="120" w:after="120"/>
        <w:contextualSpacing w:val="0"/>
        <w:rPr>
          <w:rFonts w:cstheme="minorHAnsi"/>
        </w:rPr>
      </w:pPr>
      <w:r w:rsidRPr="002E12BC">
        <w:rPr>
          <w:rFonts w:cstheme="minorHAnsi"/>
        </w:rPr>
        <w:t>a person who</w:t>
      </w:r>
      <w:r w:rsidR="00441DB7" w:rsidRPr="002E12BC">
        <w:rPr>
          <w:rFonts w:cstheme="minorHAnsi"/>
        </w:rPr>
        <w:t xml:space="preserve"> </w:t>
      </w:r>
      <w:r w:rsidRPr="002E12BC">
        <w:rPr>
          <w:rFonts w:cstheme="minorHAnsi"/>
        </w:rPr>
        <w:t xml:space="preserve">was a </w:t>
      </w:r>
      <w:r w:rsidR="00F61023">
        <w:rPr>
          <w:rFonts w:cstheme="minorHAnsi"/>
        </w:rPr>
        <w:t>‘</w:t>
      </w:r>
      <w:r w:rsidRPr="002E12BC">
        <w:rPr>
          <w:rFonts w:cstheme="minorHAnsi"/>
        </w:rPr>
        <w:t>related body corporate</w:t>
      </w:r>
      <w:r w:rsidR="00F61023">
        <w:rPr>
          <w:rFonts w:cstheme="minorHAnsi"/>
        </w:rPr>
        <w:t>’</w:t>
      </w:r>
      <w:r w:rsidRPr="002E12BC">
        <w:rPr>
          <w:rFonts w:cstheme="minorHAnsi"/>
        </w:rPr>
        <w:t xml:space="preserve"> of </w:t>
      </w:r>
      <w:r w:rsidRPr="002E12BC">
        <w:rPr>
          <w:rFonts w:cstheme="minorHAnsi"/>
          <w:b/>
        </w:rPr>
        <w:t>any</w:t>
      </w:r>
      <w:r w:rsidRPr="002E12BC">
        <w:rPr>
          <w:rFonts w:cstheme="minorHAnsi"/>
        </w:rPr>
        <w:t xml:space="preserve"> </w:t>
      </w:r>
      <w:r w:rsidRPr="002E12BC">
        <w:rPr>
          <w:rFonts w:cstheme="minorHAnsi"/>
          <w:b/>
        </w:rPr>
        <w:t>former</w:t>
      </w:r>
      <w:r w:rsidRPr="002E12BC">
        <w:rPr>
          <w:rFonts w:cstheme="minorHAnsi"/>
        </w:rPr>
        <w:t xml:space="preserve"> registered holder of the permit, </w:t>
      </w:r>
      <w:proofErr w:type="gramStart"/>
      <w:r w:rsidRPr="002E12BC">
        <w:rPr>
          <w:rFonts w:cstheme="minorHAnsi"/>
        </w:rPr>
        <w:t>lease</w:t>
      </w:r>
      <w:proofErr w:type="gramEnd"/>
      <w:r w:rsidRPr="002E12BC">
        <w:rPr>
          <w:rFonts w:cstheme="minorHAnsi"/>
        </w:rPr>
        <w:t xml:space="preserve"> or licence at the time the permit, lease or licence was in force</w:t>
      </w:r>
      <w:r w:rsidR="00904133" w:rsidRPr="002E12BC">
        <w:rPr>
          <w:rFonts w:cstheme="minorHAnsi"/>
        </w:rPr>
        <w:t>, if the former registered holder held the permit, lease or licence</w:t>
      </w:r>
      <w:r w:rsidR="006B7101" w:rsidRPr="002E12BC">
        <w:rPr>
          <w:rFonts w:cstheme="minorHAnsi"/>
        </w:rPr>
        <w:t xml:space="preserve"> on or after 1 January 2021</w:t>
      </w:r>
      <w:r w:rsidR="00BA545F">
        <w:rPr>
          <w:rFonts w:cstheme="minorHAnsi"/>
        </w:rPr>
        <w:t xml:space="preserve"> – see note </w:t>
      </w:r>
      <w:r w:rsidR="009C111B">
        <w:rPr>
          <w:rFonts w:cstheme="minorHAnsi"/>
        </w:rPr>
        <w:t>1</w:t>
      </w:r>
      <w:r w:rsidRPr="002E12BC">
        <w:rPr>
          <w:rFonts w:cstheme="minorHAnsi"/>
        </w:rPr>
        <w:t xml:space="preserve">; </w:t>
      </w:r>
      <w:r w:rsidR="004C7A8F" w:rsidRPr="002E12BC">
        <w:rPr>
          <w:rFonts w:cstheme="minorHAnsi"/>
        </w:rPr>
        <w:t>or</w:t>
      </w:r>
    </w:p>
    <w:p w14:paraId="48A714E2" w14:textId="24AFE1D5" w:rsidR="00690DE7" w:rsidRPr="002E12BC" w:rsidRDefault="00690DE7" w:rsidP="00CF0C3E">
      <w:pPr>
        <w:pStyle w:val="ListParagraph"/>
        <w:numPr>
          <w:ilvl w:val="3"/>
          <w:numId w:val="24"/>
        </w:numPr>
        <w:spacing w:before="120" w:after="120"/>
        <w:contextualSpacing w:val="0"/>
        <w:rPr>
          <w:rFonts w:cstheme="minorHAnsi"/>
        </w:rPr>
      </w:pPr>
      <w:r w:rsidRPr="002E12BC">
        <w:rPr>
          <w:rFonts w:cstheme="minorHAnsi"/>
        </w:rPr>
        <w:t xml:space="preserve">a </w:t>
      </w:r>
      <w:r w:rsidR="004C7A8F" w:rsidRPr="002E12BC">
        <w:rPr>
          <w:rFonts w:cstheme="minorHAnsi"/>
        </w:rPr>
        <w:t>‘</w:t>
      </w:r>
      <w:r w:rsidRPr="002E12BC">
        <w:rPr>
          <w:rFonts w:cstheme="minorHAnsi"/>
        </w:rPr>
        <w:t>related person</w:t>
      </w:r>
      <w:r w:rsidR="004C7A8F" w:rsidRPr="002E12BC">
        <w:rPr>
          <w:rFonts w:cstheme="minorHAnsi"/>
        </w:rPr>
        <w:t xml:space="preserve">’ </w:t>
      </w:r>
      <w:r w:rsidR="00DA5D4B" w:rsidRPr="002E12BC">
        <w:rPr>
          <w:rFonts w:cstheme="minorHAnsi"/>
        </w:rPr>
        <w:t>in relation to</w:t>
      </w:r>
      <w:r w:rsidR="00441DB7" w:rsidRPr="002E12BC">
        <w:rPr>
          <w:rFonts w:cstheme="minorHAnsi"/>
        </w:rPr>
        <w:t xml:space="preserve"> the title on or after 1 January 2021 </w:t>
      </w:r>
      <w:r w:rsidR="001F1F84" w:rsidRPr="002E12BC">
        <w:rPr>
          <w:rFonts w:cstheme="minorHAnsi"/>
        </w:rPr>
        <w:t>– see note</w:t>
      </w:r>
      <w:r w:rsidR="003B5D12" w:rsidRPr="002E12BC">
        <w:rPr>
          <w:rFonts w:cstheme="minorHAnsi"/>
        </w:rPr>
        <w:t xml:space="preserve"> </w:t>
      </w:r>
      <w:r w:rsidR="009C111B">
        <w:rPr>
          <w:rFonts w:cstheme="minorHAnsi"/>
        </w:rPr>
        <w:t>2</w:t>
      </w:r>
      <w:r w:rsidR="004C7A8F" w:rsidRPr="002E12BC">
        <w:rPr>
          <w:rFonts w:cstheme="minorHAnsi"/>
        </w:rPr>
        <w:t>.</w:t>
      </w:r>
      <w:r w:rsidRPr="002E12BC">
        <w:rPr>
          <w:rFonts w:cstheme="minorHAnsi"/>
        </w:rPr>
        <w:t xml:space="preserve"> </w:t>
      </w:r>
    </w:p>
    <w:p w14:paraId="1B946471" w14:textId="6B068550" w:rsidR="00E04D12" w:rsidRDefault="001850CC" w:rsidP="00CF0C3E">
      <w:pPr>
        <w:pStyle w:val="List2"/>
        <w:numPr>
          <w:ilvl w:val="2"/>
          <w:numId w:val="36"/>
        </w:numPr>
        <w:tabs>
          <w:tab w:val="clear" w:pos="1430"/>
        </w:tabs>
        <w:ind w:left="1224"/>
        <w:rPr>
          <w:rFonts w:cstheme="minorHAnsi"/>
        </w:rPr>
      </w:pPr>
      <w:r w:rsidRPr="00250D66">
        <w:rPr>
          <w:rFonts w:cstheme="minorHAnsi"/>
        </w:rPr>
        <w:t>w</w:t>
      </w:r>
      <w:r w:rsidR="00EF642C" w:rsidRPr="00250D66">
        <w:rPr>
          <w:rFonts w:cstheme="minorHAnsi"/>
        </w:rPr>
        <w:t>here</w:t>
      </w:r>
      <w:r w:rsidR="00EF642C" w:rsidRPr="002E12BC">
        <w:rPr>
          <w:rFonts w:cstheme="minorHAnsi"/>
        </w:rPr>
        <w:t xml:space="preserve"> the title ceased to be in force </w:t>
      </w:r>
      <w:r w:rsidR="00DD08AE" w:rsidRPr="006373B2">
        <w:rPr>
          <w:rFonts w:cstheme="minorHAnsi"/>
          <w:u w:val="single"/>
        </w:rPr>
        <w:t>in part</w:t>
      </w:r>
      <w:r w:rsidR="00DD08AE">
        <w:rPr>
          <w:rFonts w:cstheme="minorHAnsi"/>
        </w:rPr>
        <w:t xml:space="preserve"> </w:t>
      </w:r>
      <w:r w:rsidR="00EF642C" w:rsidRPr="002E12BC">
        <w:rPr>
          <w:rFonts w:cstheme="minorHAnsi"/>
        </w:rPr>
        <w:t>before 1 January 2021</w:t>
      </w:r>
      <w:r w:rsidR="00AB5AFF">
        <w:rPr>
          <w:rFonts w:cstheme="minorHAnsi"/>
        </w:rPr>
        <w:t>,</w:t>
      </w:r>
      <w:r w:rsidR="00E04D12">
        <w:rPr>
          <w:rFonts w:cstheme="minorHAnsi"/>
        </w:rPr>
        <w:t xml:space="preserve"> </w:t>
      </w:r>
      <w:r w:rsidR="00943F09" w:rsidRPr="00E04D12">
        <w:rPr>
          <w:rFonts w:cstheme="minorHAnsi"/>
        </w:rPr>
        <w:t xml:space="preserve">the </w:t>
      </w:r>
      <w:r w:rsidR="00FE0DAB" w:rsidRPr="00E04D12">
        <w:rPr>
          <w:rFonts w:cstheme="minorHAnsi"/>
        </w:rPr>
        <w:t xml:space="preserve">holder of the title at the time it ceased to be in force </w:t>
      </w:r>
      <w:r w:rsidR="00DD08AE" w:rsidRPr="00E04D12">
        <w:rPr>
          <w:rFonts w:cstheme="minorHAnsi"/>
        </w:rPr>
        <w:t>in part</w:t>
      </w:r>
      <w:r w:rsidR="00451574" w:rsidRPr="00E04D12">
        <w:rPr>
          <w:rFonts w:cstheme="minorHAnsi"/>
        </w:rPr>
        <w:t xml:space="preserve">, </w:t>
      </w:r>
      <w:r w:rsidR="00943F09" w:rsidRPr="00E04D12">
        <w:rPr>
          <w:rFonts w:cstheme="minorHAnsi"/>
        </w:rPr>
        <w:t>if the title ceased to be in force other than by way of surrender</w:t>
      </w:r>
    </w:p>
    <w:p w14:paraId="0E8FB43D" w14:textId="0A776E84" w:rsidR="00451574" w:rsidRPr="00E04D12" w:rsidRDefault="001850CC" w:rsidP="00CF0C3E">
      <w:pPr>
        <w:pStyle w:val="List2"/>
        <w:numPr>
          <w:ilvl w:val="2"/>
          <w:numId w:val="36"/>
        </w:numPr>
        <w:tabs>
          <w:tab w:val="clear" w:pos="1430"/>
        </w:tabs>
        <w:ind w:left="1224"/>
        <w:rPr>
          <w:rFonts w:cstheme="minorHAnsi"/>
        </w:rPr>
      </w:pPr>
      <w:r w:rsidRPr="00250D66">
        <w:rPr>
          <w:rFonts w:cstheme="minorHAnsi"/>
        </w:rPr>
        <w:t>w</w:t>
      </w:r>
      <w:r w:rsidR="00E04D12" w:rsidRPr="00250D66">
        <w:rPr>
          <w:rFonts w:cstheme="minorHAnsi"/>
        </w:rPr>
        <w:t>here</w:t>
      </w:r>
      <w:r w:rsidR="00E04D12" w:rsidRPr="00451574">
        <w:t xml:space="preserve"> the title </w:t>
      </w:r>
      <w:r w:rsidR="00E04D12" w:rsidRPr="00FE0DAB">
        <w:rPr>
          <w:u w:val="single"/>
        </w:rPr>
        <w:t>wholly</w:t>
      </w:r>
      <w:r w:rsidR="00E04D12" w:rsidRPr="00451574">
        <w:t xml:space="preserve"> ceased to be in force before 1 January 2021</w:t>
      </w:r>
      <w:r>
        <w:t>,</w:t>
      </w:r>
      <w:r w:rsidR="00E04D12" w:rsidRPr="00E04D12">
        <w:rPr>
          <w:rFonts w:cstheme="minorHAnsi"/>
        </w:rPr>
        <w:t xml:space="preserve"> </w:t>
      </w:r>
      <w:r w:rsidR="00E04D12" w:rsidRPr="009A7E98">
        <w:rPr>
          <w:rFonts w:cstheme="minorHAnsi"/>
        </w:rPr>
        <w:t>the immediate former holder of the title</w:t>
      </w:r>
      <w:r w:rsidR="00E04D12">
        <w:rPr>
          <w:rFonts w:cstheme="minorHAnsi"/>
        </w:rPr>
        <w:t>,</w:t>
      </w:r>
      <w:r w:rsidR="00E04D12" w:rsidRPr="009A7E98">
        <w:rPr>
          <w:rFonts w:cstheme="minorHAnsi"/>
        </w:rPr>
        <w:t xml:space="preserve"> that is, the holder of the title at the time it</w:t>
      </w:r>
      <w:r w:rsidR="00E04D12">
        <w:rPr>
          <w:rFonts w:cstheme="minorHAnsi"/>
        </w:rPr>
        <w:t xml:space="preserve"> wholly</w:t>
      </w:r>
      <w:r w:rsidR="00E04D12" w:rsidRPr="009A7E98">
        <w:rPr>
          <w:rFonts w:cstheme="minorHAnsi"/>
        </w:rPr>
        <w:t xml:space="preserve"> ceased to be in force, if the title </w:t>
      </w:r>
      <w:r w:rsidR="00E04D12" w:rsidRPr="00451574">
        <w:rPr>
          <w:rFonts w:cstheme="minorHAnsi"/>
        </w:rPr>
        <w:t>wholly</w:t>
      </w:r>
      <w:r w:rsidR="00E04D12" w:rsidRPr="009A7E98">
        <w:rPr>
          <w:rFonts w:cstheme="minorHAnsi"/>
        </w:rPr>
        <w:t xml:space="preserve"> ceased to be in force other than by way of surrender</w:t>
      </w:r>
      <w:r w:rsidR="00E04D12" w:rsidRPr="00472AEA">
        <w:rPr>
          <w:vertAlign w:val="superscript"/>
        </w:rPr>
        <w:footnoteReference w:id="11"/>
      </w:r>
      <w:r w:rsidR="00E04D12">
        <w:t>.</w:t>
      </w:r>
    </w:p>
    <w:p w14:paraId="35CFC451" w14:textId="106D6107" w:rsidR="00611857" w:rsidRPr="002E12BC" w:rsidRDefault="001850CC" w:rsidP="00CF0C3E">
      <w:pPr>
        <w:pStyle w:val="List2"/>
        <w:numPr>
          <w:ilvl w:val="2"/>
          <w:numId w:val="36"/>
        </w:numPr>
        <w:tabs>
          <w:tab w:val="clear" w:pos="1430"/>
        </w:tabs>
        <w:ind w:left="1224"/>
        <w:rPr>
          <w:rFonts w:cstheme="minorHAnsi"/>
        </w:rPr>
      </w:pPr>
      <w:r w:rsidRPr="00250D66">
        <w:rPr>
          <w:rFonts w:cstheme="minorHAnsi"/>
        </w:rPr>
        <w:t>w</w:t>
      </w:r>
      <w:r w:rsidR="00943F09" w:rsidRPr="00250D66">
        <w:rPr>
          <w:rFonts w:cstheme="minorHAnsi"/>
        </w:rPr>
        <w:t>here</w:t>
      </w:r>
      <w:r w:rsidR="00611857" w:rsidRPr="002E12BC">
        <w:rPr>
          <w:rFonts w:cstheme="minorHAnsi"/>
        </w:rPr>
        <w:t xml:space="preserve"> the title ceased to be in force in whole or in part</w:t>
      </w:r>
      <w:r w:rsidR="007A6732" w:rsidRPr="002E12BC">
        <w:rPr>
          <w:rFonts w:cstheme="minorHAnsi"/>
        </w:rPr>
        <w:t xml:space="preserve"> on or after 1 January 2021</w:t>
      </w:r>
      <w:r w:rsidR="00611857" w:rsidRPr="002E12BC">
        <w:rPr>
          <w:rFonts w:cstheme="minorHAnsi"/>
        </w:rPr>
        <w:t xml:space="preserve">: </w:t>
      </w:r>
    </w:p>
    <w:p w14:paraId="0C3B0B7E" w14:textId="31F82536" w:rsidR="008D784C" w:rsidRPr="002E12BC" w:rsidRDefault="008D784C" w:rsidP="00CF0C3E">
      <w:pPr>
        <w:pStyle w:val="ListParagraph"/>
        <w:numPr>
          <w:ilvl w:val="3"/>
          <w:numId w:val="26"/>
        </w:numPr>
        <w:spacing w:before="120" w:after="120"/>
        <w:contextualSpacing w:val="0"/>
        <w:rPr>
          <w:rFonts w:cstheme="minorHAnsi"/>
        </w:rPr>
      </w:pPr>
      <w:r w:rsidRPr="002E12BC">
        <w:rPr>
          <w:rFonts w:cstheme="minorHAnsi"/>
        </w:rPr>
        <w:t xml:space="preserve">the </w:t>
      </w:r>
      <w:r w:rsidRPr="002E12BC">
        <w:rPr>
          <w:rFonts w:cstheme="minorHAnsi"/>
          <w:b/>
        </w:rPr>
        <w:t>current</w:t>
      </w:r>
      <w:r w:rsidRPr="002E12BC">
        <w:rPr>
          <w:rFonts w:cstheme="minorHAnsi"/>
        </w:rPr>
        <w:t xml:space="preserve"> registered holder of the title (if the title ceased to be in force in part); or </w:t>
      </w:r>
    </w:p>
    <w:p w14:paraId="5034AA0D" w14:textId="22D77208" w:rsidR="008D784C" w:rsidRPr="002E12BC" w:rsidRDefault="008D784C" w:rsidP="00CF0C3E">
      <w:pPr>
        <w:pStyle w:val="ListParagraph"/>
        <w:numPr>
          <w:ilvl w:val="3"/>
          <w:numId w:val="26"/>
        </w:numPr>
        <w:spacing w:before="120" w:after="120"/>
        <w:contextualSpacing w:val="0"/>
        <w:rPr>
          <w:rFonts w:cstheme="minorHAnsi"/>
        </w:rPr>
      </w:pPr>
      <w:r w:rsidRPr="002E12BC">
        <w:rPr>
          <w:rFonts w:cstheme="minorHAnsi"/>
        </w:rPr>
        <w:t xml:space="preserve">a ‘related body corporate’ of the </w:t>
      </w:r>
      <w:r w:rsidR="00FF5495" w:rsidRPr="002E12BC">
        <w:rPr>
          <w:rFonts w:cstheme="minorHAnsi"/>
          <w:b/>
        </w:rPr>
        <w:t>current</w:t>
      </w:r>
      <w:r w:rsidR="00FF5495" w:rsidRPr="002E12BC">
        <w:rPr>
          <w:rFonts w:cstheme="minorHAnsi"/>
        </w:rPr>
        <w:t xml:space="preserve"> </w:t>
      </w:r>
      <w:r w:rsidRPr="002E12BC">
        <w:rPr>
          <w:rFonts w:cstheme="minorHAnsi"/>
        </w:rPr>
        <w:t>registered holder of the title</w:t>
      </w:r>
      <w:r w:rsidR="00DE011C" w:rsidRPr="002E12BC">
        <w:rPr>
          <w:rFonts w:cstheme="minorHAnsi"/>
        </w:rPr>
        <w:t xml:space="preserve"> </w:t>
      </w:r>
      <w:r w:rsidRPr="002E12BC">
        <w:rPr>
          <w:rFonts w:cstheme="minorHAnsi"/>
        </w:rPr>
        <w:t>(if the title ceased to be in force in part)</w:t>
      </w:r>
      <w:r w:rsidR="00BA545F">
        <w:rPr>
          <w:rFonts w:cstheme="minorHAnsi"/>
        </w:rPr>
        <w:t xml:space="preserve"> – see note </w:t>
      </w:r>
      <w:r w:rsidR="009C111B">
        <w:rPr>
          <w:rFonts w:cstheme="minorHAnsi"/>
        </w:rPr>
        <w:t>1</w:t>
      </w:r>
      <w:r w:rsidRPr="002E12BC">
        <w:rPr>
          <w:rFonts w:cstheme="minorHAnsi"/>
        </w:rPr>
        <w:t>; or</w:t>
      </w:r>
    </w:p>
    <w:p w14:paraId="7EAB244C" w14:textId="7C59826F" w:rsidR="00611857" w:rsidRPr="002E12BC" w:rsidRDefault="00611857" w:rsidP="00CF0C3E">
      <w:pPr>
        <w:pStyle w:val="ListParagraph"/>
        <w:numPr>
          <w:ilvl w:val="3"/>
          <w:numId w:val="26"/>
        </w:numPr>
        <w:spacing w:before="120" w:after="120"/>
        <w:contextualSpacing w:val="0"/>
        <w:rPr>
          <w:rFonts w:cstheme="minorHAnsi"/>
        </w:rPr>
      </w:pPr>
      <w:r w:rsidRPr="002E12BC">
        <w:rPr>
          <w:rFonts w:cstheme="minorHAnsi"/>
          <w:b/>
        </w:rPr>
        <w:lastRenderedPageBreak/>
        <w:t>any</w:t>
      </w:r>
      <w:r w:rsidRPr="002E12BC">
        <w:rPr>
          <w:rFonts w:cstheme="minorHAnsi"/>
        </w:rPr>
        <w:t xml:space="preserve"> </w:t>
      </w:r>
      <w:r w:rsidRPr="002E12BC">
        <w:rPr>
          <w:rFonts w:cstheme="minorHAnsi"/>
          <w:b/>
        </w:rPr>
        <w:t>former</w:t>
      </w:r>
      <w:r w:rsidRPr="002E12BC">
        <w:rPr>
          <w:rFonts w:cstheme="minorHAnsi"/>
        </w:rPr>
        <w:t xml:space="preserve"> registered holder of the title</w:t>
      </w:r>
      <w:r w:rsidR="00441DB7" w:rsidRPr="002E12BC">
        <w:rPr>
          <w:rFonts w:cstheme="minorHAnsi"/>
        </w:rPr>
        <w:t xml:space="preserve"> </w:t>
      </w:r>
      <w:r w:rsidR="006B7101" w:rsidRPr="002E12BC">
        <w:rPr>
          <w:rFonts w:cstheme="minorHAnsi"/>
        </w:rPr>
        <w:t>that held the title on or after 1 January 2021</w:t>
      </w:r>
      <w:r w:rsidRPr="002E12BC">
        <w:rPr>
          <w:rFonts w:cstheme="minorHAnsi"/>
        </w:rPr>
        <w:t xml:space="preserve">; or </w:t>
      </w:r>
    </w:p>
    <w:p w14:paraId="069C85C1" w14:textId="3E3E5999" w:rsidR="007A6732" w:rsidRPr="002E12BC" w:rsidRDefault="00611857" w:rsidP="00CF0C3E">
      <w:pPr>
        <w:pStyle w:val="ListParagraph"/>
        <w:numPr>
          <w:ilvl w:val="3"/>
          <w:numId w:val="26"/>
        </w:numPr>
        <w:spacing w:before="120" w:after="120"/>
        <w:contextualSpacing w:val="0"/>
        <w:rPr>
          <w:rFonts w:cstheme="minorHAnsi"/>
        </w:rPr>
      </w:pPr>
      <w:r w:rsidRPr="002E12BC">
        <w:rPr>
          <w:rFonts w:cstheme="minorHAnsi"/>
        </w:rPr>
        <w:t xml:space="preserve">a person who was a </w:t>
      </w:r>
      <w:r w:rsidR="00F672AD" w:rsidRPr="002E12BC">
        <w:rPr>
          <w:rFonts w:cstheme="minorHAnsi"/>
        </w:rPr>
        <w:t>‘</w:t>
      </w:r>
      <w:r w:rsidRPr="002E12BC">
        <w:rPr>
          <w:rFonts w:cstheme="minorHAnsi"/>
        </w:rPr>
        <w:t>related body corporate</w:t>
      </w:r>
      <w:r w:rsidR="00F672AD" w:rsidRPr="002E12BC">
        <w:rPr>
          <w:rFonts w:cstheme="minorHAnsi"/>
        </w:rPr>
        <w:t>’</w:t>
      </w:r>
      <w:r w:rsidRPr="002E12BC">
        <w:rPr>
          <w:rFonts w:cstheme="minorHAnsi"/>
        </w:rPr>
        <w:t xml:space="preserve"> of </w:t>
      </w:r>
      <w:r w:rsidRPr="002E12BC">
        <w:rPr>
          <w:rFonts w:cstheme="minorHAnsi"/>
          <w:b/>
        </w:rPr>
        <w:t>any</w:t>
      </w:r>
      <w:r w:rsidRPr="002E12BC">
        <w:rPr>
          <w:rFonts w:cstheme="minorHAnsi"/>
        </w:rPr>
        <w:t xml:space="preserve"> </w:t>
      </w:r>
      <w:r w:rsidRPr="002E12BC">
        <w:rPr>
          <w:rFonts w:cstheme="minorHAnsi"/>
          <w:b/>
        </w:rPr>
        <w:t>former</w:t>
      </w:r>
      <w:r w:rsidRPr="002E12BC">
        <w:rPr>
          <w:rFonts w:cstheme="minorHAnsi"/>
        </w:rPr>
        <w:t xml:space="preserve"> registered holder of the title at the time the title was in force</w:t>
      </w:r>
      <w:r w:rsidR="00943F09" w:rsidRPr="002E12BC">
        <w:rPr>
          <w:rFonts w:cstheme="minorHAnsi"/>
        </w:rPr>
        <w:t>, if the former registered holder held the title</w:t>
      </w:r>
      <w:r w:rsidR="006B7101" w:rsidRPr="002E12BC">
        <w:rPr>
          <w:rFonts w:cstheme="minorHAnsi"/>
        </w:rPr>
        <w:t xml:space="preserve"> on or after 1 January 2021</w:t>
      </w:r>
      <w:r w:rsidR="00BA545F">
        <w:rPr>
          <w:rFonts w:cstheme="minorHAnsi"/>
        </w:rPr>
        <w:t xml:space="preserve"> – see note </w:t>
      </w:r>
      <w:r w:rsidR="009C111B">
        <w:rPr>
          <w:rFonts w:cstheme="minorHAnsi"/>
        </w:rPr>
        <w:t>1</w:t>
      </w:r>
      <w:r w:rsidR="00927D17" w:rsidRPr="002E12BC">
        <w:rPr>
          <w:rFonts w:cstheme="minorHAnsi"/>
        </w:rPr>
        <w:t>;</w:t>
      </w:r>
      <w:r w:rsidR="00097B50" w:rsidRPr="002E12BC">
        <w:rPr>
          <w:rFonts w:cstheme="minorHAnsi"/>
        </w:rPr>
        <w:t xml:space="preserve"> or</w:t>
      </w:r>
    </w:p>
    <w:p w14:paraId="1BB1FC50" w14:textId="7900215D" w:rsidR="00927D17" w:rsidRPr="002E12BC" w:rsidRDefault="00097B50" w:rsidP="00CF0C3E">
      <w:pPr>
        <w:pStyle w:val="ListParagraph"/>
        <w:numPr>
          <w:ilvl w:val="3"/>
          <w:numId w:val="26"/>
        </w:numPr>
        <w:spacing w:before="120" w:after="120"/>
        <w:contextualSpacing w:val="0"/>
        <w:rPr>
          <w:rFonts w:cstheme="minorHAnsi"/>
        </w:rPr>
      </w:pPr>
      <w:r w:rsidRPr="002E12BC">
        <w:rPr>
          <w:rFonts w:cstheme="minorHAnsi"/>
        </w:rPr>
        <w:t xml:space="preserve">a ‘related person’ </w:t>
      </w:r>
      <w:r w:rsidR="00975E4B" w:rsidRPr="002E12BC">
        <w:rPr>
          <w:rFonts w:cstheme="minorHAnsi"/>
        </w:rPr>
        <w:t>in relation to</w:t>
      </w:r>
      <w:r w:rsidR="006B7101" w:rsidRPr="002E12BC">
        <w:rPr>
          <w:rFonts w:cstheme="minorHAnsi"/>
        </w:rPr>
        <w:t xml:space="preserve"> the title on or after 1 January 2021 </w:t>
      </w:r>
      <w:r w:rsidR="001F1F84" w:rsidRPr="002E12BC">
        <w:rPr>
          <w:rFonts w:cstheme="minorHAnsi"/>
        </w:rPr>
        <w:t>– see note</w:t>
      </w:r>
      <w:r w:rsidR="003B5D12" w:rsidRPr="002E12BC">
        <w:rPr>
          <w:rFonts w:cstheme="minorHAnsi"/>
        </w:rPr>
        <w:t xml:space="preserve"> </w:t>
      </w:r>
      <w:r w:rsidR="009C111B">
        <w:rPr>
          <w:rFonts w:cstheme="minorHAnsi"/>
        </w:rPr>
        <w:t>2</w:t>
      </w:r>
      <w:r w:rsidRPr="002E12BC">
        <w:rPr>
          <w:rFonts w:cstheme="minorHAnsi"/>
        </w:rPr>
        <w:t>.</w:t>
      </w:r>
    </w:p>
    <w:p w14:paraId="01B50652" w14:textId="67C079C8" w:rsidR="007A6732" w:rsidRDefault="007A6732" w:rsidP="00703791">
      <w:pPr>
        <w:spacing w:before="120" w:after="120"/>
        <w:rPr>
          <w:rFonts w:cstheme="minorHAnsi"/>
        </w:rPr>
      </w:pPr>
      <w:r w:rsidRPr="002E12BC">
        <w:rPr>
          <w:rFonts w:cstheme="minorHAnsi"/>
          <w:b/>
        </w:rPr>
        <w:t>Note</w:t>
      </w:r>
      <w:r w:rsidR="003B5D12" w:rsidRPr="002E12BC">
        <w:rPr>
          <w:rFonts w:cstheme="minorHAnsi"/>
          <w:b/>
        </w:rPr>
        <w:t xml:space="preserve"> </w:t>
      </w:r>
      <w:r w:rsidR="009C111B">
        <w:rPr>
          <w:rFonts w:cstheme="minorHAnsi"/>
          <w:b/>
        </w:rPr>
        <w:t>1</w:t>
      </w:r>
      <w:r w:rsidR="00E72AB4">
        <w:rPr>
          <w:rFonts w:cstheme="minorHAnsi"/>
          <w:b/>
        </w:rPr>
        <w:t xml:space="preserve"> </w:t>
      </w:r>
      <w:r w:rsidR="003B5D12" w:rsidRPr="002E12BC">
        <w:rPr>
          <w:rFonts w:cstheme="minorHAnsi"/>
          <w:b/>
        </w:rPr>
        <w:t>-</w:t>
      </w:r>
      <w:r w:rsidR="003B5D12" w:rsidRPr="002E12BC">
        <w:rPr>
          <w:rFonts w:cstheme="minorHAnsi"/>
        </w:rPr>
        <w:t xml:space="preserve"> </w:t>
      </w:r>
      <w:r w:rsidR="00E90789" w:rsidRPr="002E12BC">
        <w:rPr>
          <w:rFonts w:cstheme="minorHAnsi"/>
        </w:rPr>
        <w:t>‘</w:t>
      </w:r>
      <w:r w:rsidR="00C32C8B" w:rsidRPr="002E12BC">
        <w:rPr>
          <w:rFonts w:cstheme="minorHAnsi"/>
        </w:rPr>
        <w:t xml:space="preserve">related </w:t>
      </w:r>
      <w:r w:rsidR="00E90789" w:rsidRPr="002E12BC">
        <w:rPr>
          <w:rFonts w:cstheme="minorHAnsi"/>
        </w:rPr>
        <w:t>body corporate’</w:t>
      </w:r>
      <w:r w:rsidRPr="002E12BC">
        <w:rPr>
          <w:rFonts w:cstheme="minorHAnsi"/>
        </w:rPr>
        <w:t xml:space="preserve">: </w:t>
      </w:r>
      <w:r w:rsidR="00E90789" w:rsidRPr="002E12BC">
        <w:rPr>
          <w:rFonts w:cstheme="minorHAnsi"/>
        </w:rPr>
        <w:t xml:space="preserve">Where the </w:t>
      </w:r>
      <w:r w:rsidR="00C32C8B" w:rsidRPr="002E12BC">
        <w:rPr>
          <w:rFonts w:cstheme="minorHAnsi"/>
        </w:rPr>
        <w:t xml:space="preserve">OPGGS </w:t>
      </w:r>
      <w:r w:rsidR="00E90789" w:rsidRPr="002E12BC">
        <w:rPr>
          <w:rFonts w:cstheme="minorHAnsi"/>
        </w:rPr>
        <w:t xml:space="preserve">Act refers to a </w:t>
      </w:r>
      <w:r w:rsidR="00C32C8B" w:rsidRPr="002E12BC">
        <w:rPr>
          <w:rFonts w:cstheme="minorHAnsi"/>
        </w:rPr>
        <w:t>‘</w:t>
      </w:r>
      <w:r w:rsidRPr="002E12BC">
        <w:rPr>
          <w:rFonts w:cstheme="minorHAnsi"/>
        </w:rPr>
        <w:t xml:space="preserve">related body corporate’ of a titleholder or former titleholder, this has the same meaning as in the </w:t>
      </w:r>
      <w:r w:rsidRPr="00E72AB4">
        <w:rPr>
          <w:rFonts w:cstheme="minorHAnsi"/>
        </w:rPr>
        <w:t>Corporations Act</w:t>
      </w:r>
      <w:r w:rsidR="00C32C8B" w:rsidRPr="00E72AB4">
        <w:rPr>
          <w:rFonts w:cstheme="minorHAnsi"/>
        </w:rPr>
        <w:t xml:space="preserve"> 2001</w:t>
      </w:r>
      <w:r w:rsidRPr="002E12BC">
        <w:rPr>
          <w:rFonts w:cstheme="minorHAnsi"/>
        </w:rPr>
        <w:t>, which includes a parent company or a subsidiary.</w:t>
      </w:r>
    </w:p>
    <w:p w14:paraId="4D4D213E" w14:textId="5E0CD8CD" w:rsidR="009C111B" w:rsidRPr="002E12BC" w:rsidRDefault="009C111B" w:rsidP="009C111B">
      <w:pPr>
        <w:spacing w:before="120" w:after="120"/>
        <w:rPr>
          <w:rFonts w:cstheme="minorHAnsi"/>
        </w:rPr>
      </w:pPr>
      <w:r w:rsidRPr="002E12BC">
        <w:rPr>
          <w:rFonts w:cstheme="minorHAnsi"/>
          <w:b/>
        </w:rPr>
        <w:t xml:space="preserve">Note </w:t>
      </w:r>
      <w:r>
        <w:rPr>
          <w:rFonts w:cstheme="minorHAnsi"/>
          <w:b/>
        </w:rPr>
        <w:t>2</w:t>
      </w:r>
      <w:r w:rsidRPr="002E12BC">
        <w:rPr>
          <w:rFonts w:cstheme="minorHAnsi"/>
          <w:b/>
        </w:rPr>
        <w:t xml:space="preserve"> -</w:t>
      </w:r>
      <w:r w:rsidRPr="002E12BC">
        <w:rPr>
          <w:rFonts w:cstheme="minorHAnsi"/>
        </w:rPr>
        <w:t xml:space="preserve"> ‘related </w:t>
      </w:r>
      <w:r w:rsidRPr="00E72AB4">
        <w:rPr>
          <w:rFonts w:cstheme="minorHAnsi"/>
        </w:rPr>
        <w:t>person’</w:t>
      </w:r>
      <w:r w:rsidRPr="002E12BC">
        <w:rPr>
          <w:rFonts w:cstheme="minorHAnsi"/>
        </w:rPr>
        <w:t xml:space="preserve">: The responsible Commonwealth Minister may determine that a remedial direction could be issued by NOPSEMA or the Minister to a related person in relation to a title, </w:t>
      </w:r>
      <w:proofErr w:type="gramStart"/>
      <w:r w:rsidRPr="002E12BC">
        <w:rPr>
          <w:rFonts w:cstheme="minorHAnsi"/>
        </w:rPr>
        <w:t>taking into account</w:t>
      </w:r>
      <w:proofErr w:type="gramEnd"/>
      <w:r w:rsidRPr="002E12BC">
        <w:rPr>
          <w:rFonts w:cstheme="minorHAnsi"/>
        </w:rPr>
        <w:t xml:space="preserve"> circumstances or events on or after 1 January 2021. To make the determination, the Minister must be satisfied that it is reasonable to do so on the basis that the related person is capable of significantly benefiting financially or has significantly benefited financially from the </w:t>
      </w:r>
      <w:r w:rsidRPr="0076133F">
        <w:rPr>
          <w:rFonts w:cstheme="minorHAnsi"/>
        </w:rPr>
        <w:t xml:space="preserve">activities authorised by the title, and/or is or </w:t>
      </w:r>
      <w:r w:rsidRPr="00820EA0">
        <w:rPr>
          <w:rFonts w:cstheme="minorHAnsi"/>
        </w:rPr>
        <w:t>has been in a position to influence compliance with obligations under the OPGGS Act</w:t>
      </w:r>
      <w:r w:rsidRPr="004525E3">
        <w:rPr>
          <w:rFonts w:cstheme="minorHAnsi"/>
        </w:rPr>
        <w:t>, and/or acts or has acted jointly with the current</w:t>
      </w:r>
      <w:r w:rsidRPr="00687853">
        <w:rPr>
          <w:rFonts w:cstheme="minorHAnsi"/>
        </w:rPr>
        <w:t xml:space="preserve"> or former titleholder</w:t>
      </w:r>
      <w:r w:rsidRPr="008A1D28">
        <w:rPr>
          <w:rFonts w:cstheme="minorHAnsi"/>
        </w:rPr>
        <w:t xml:space="preserve"> in relation to </w:t>
      </w:r>
      <w:r w:rsidRPr="00E72AB4">
        <w:rPr>
          <w:rFonts w:cstheme="minorHAnsi"/>
        </w:rPr>
        <w:t>activities</w:t>
      </w:r>
      <w:r w:rsidRPr="008A1D28">
        <w:rPr>
          <w:rFonts w:cstheme="minorHAnsi"/>
        </w:rPr>
        <w:t xml:space="preserve"> authorised by the title.</w:t>
      </w:r>
    </w:p>
    <w:p w14:paraId="29C8E39B" w14:textId="77777777" w:rsidR="009C111B" w:rsidRPr="002E12BC" w:rsidRDefault="009C111B" w:rsidP="00703791">
      <w:pPr>
        <w:spacing w:before="120" w:after="120"/>
        <w:rPr>
          <w:rFonts w:cstheme="minorHAnsi"/>
        </w:rPr>
      </w:pPr>
    </w:p>
    <w:p w14:paraId="53DE47C7" w14:textId="206A22FD" w:rsidR="001808AC" w:rsidRPr="001808AC" w:rsidRDefault="009275D4" w:rsidP="0013127F">
      <w:pPr>
        <w:pStyle w:val="Heading1"/>
        <w:numPr>
          <w:ilvl w:val="0"/>
          <w:numId w:val="30"/>
        </w:numPr>
        <w:tabs>
          <w:tab w:val="left" w:pos="709"/>
        </w:tabs>
        <w:ind w:hanging="454"/>
      </w:pPr>
      <w:bookmarkStart w:id="251" w:name="_Transfers_of_title"/>
      <w:bookmarkStart w:id="252" w:name="_Toc460234701"/>
      <w:bookmarkStart w:id="253" w:name="_Toc460246236"/>
      <w:bookmarkStart w:id="254" w:name="_Toc460260038"/>
      <w:bookmarkStart w:id="255" w:name="_Toc460341811"/>
      <w:bookmarkStart w:id="256" w:name="_Toc460421949"/>
      <w:bookmarkStart w:id="257" w:name="_Toc475055304"/>
      <w:bookmarkStart w:id="258" w:name="_Toc475358965"/>
      <w:bookmarkStart w:id="259" w:name="_Toc81319793"/>
      <w:bookmarkStart w:id="260" w:name="_Toc81322601"/>
      <w:bookmarkStart w:id="261" w:name="_Toc81324989"/>
      <w:bookmarkStart w:id="262" w:name="_Toc81327242"/>
      <w:bookmarkStart w:id="263" w:name="_Toc81327514"/>
      <w:bookmarkStart w:id="264" w:name="_Ref82767069"/>
      <w:bookmarkStart w:id="265" w:name="_Toc82785091"/>
      <w:bookmarkStart w:id="266" w:name="_Toc82787202"/>
      <w:bookmarkStart w:id="267" w:name="_Toc82788251"/>
      <w:bookmarkStart w:id="268" w:name="Part_5"/>
      <w:bookmarkStart w:id="269" w:name="_Toc83029554"/>
      <w:bookmarkStart w:id="270" w:name="_Toc83034000"/>
      <w:bookmarkStart w:id="271" w:name="_Toc93925221"/>
      <w:bookmarkStart w:id="272" w:name="_Toc435720053"/>
      <w:bookmarkStart w:id="273" w:name="_Toc445885381"/>
      <w:bookmarkStart w:id="274" w:name="_Toc445885556"/>
      <w:bookmarkStart w:id="275" w:name="_Toc448423051"/>
      <w:bookmarkStart w:id="276" w:name="_Toc448507415"/>
      <w:bookmarkStart w:id="277" w:name="_Toc454521723"/>
      <w:bookmarkStart w:id="278" w:name="_Toc454522466"/>
      <w:bookmarkStart w:id="279" w:name="_Toc454548025"/>
      <w:bookmarkEnd w:id="251"/>
      <w:r w:rsidRPr="00376A96">
        <w:t>Other</w:t>
      </w:r>
      <w:r w:rsidR="00A51101" w:rsidRPr="00376A96">
        <w:t xml:space="preserve"> </w:t>
      </w:r>
      <w:bookmarkEnd w:id="252"/>
      <w:bookmarkEnd w:id="253"/>
      <w:bookmarkEnd w:id="254"/>
      <w:bookmarkEnd w:id="255"/>
      <w:bookmarkEnd w:id="256"/>
      <w:bookmarkEnd w:id="257"/>
      <w:bookmarkEnd w:id="258"/>
      <w:r w:rsidR="004F19AC" w:rsidRPr="0084740F">
        <w:t>relevant</w:t>
      </w:r>
      <w:r w:rsidR="004F19AC" w:rsidRPr="00376A96">
        <w:t xml:space="preserve"> laws</w:t>
      </w:r>
      <w:bookmarkEnd w:id="259"/>
      <w:bookmarkEnd w:id="260"/>
      <w:bookmarkEnd w:id="261"/>
      <w:bookmarkEnd w:id="262"/>
      <w:bookmarkEnd w:id="263"/>
      <w:bookmarkEnd w:id="264"/>
      <w:bookmarkEnd w:id="265"/>
      <w:bookmarkEnd w:id="266"/>
      <w:bookmarkEnd w:id="267"/>
      <w:bookmarkEnd w:id="268"/>
      <w:bookmarkEnd w:id="269"/>
      <w:bookmarkEnd w:id="270"/>
      <w:bookmarkEnd w:id="271"/>
    </w:p>
    <w:p w14:paraId="123AEE83" w14:textId="77777777" w:rsidR="00572C6B" w:rsidRDefault="00DF255A" w:rsidP="00250D66">
      <w:pPr>
        <w:pStyle w:val="List2"/>
        <w:numPr>
          <w:ilvl w:val="1"/>
          <w:numId w:val="30"/>
        </w:numPr>
        <w:tabs>
          <w:tab w:val="clear" w:pos="454"/>
        </w:tabs>
        <w:ind w:left="720" w:hanging="720"/>
      </w:pPr>
      <w:r w:rsidRPr="001B7746">
        <w:t>T</w:t>
      </w:r>
      <w:r w:rsidR="00D65AA2" w:rsidRPr="001B7746">
        <w:t xml:space="preserve">he OPGGS Act </w:t>
      </w:r>
      <w:r w:rsidRPr="001B7746">
        <w:t xml:space="preserve">and </w:t>
      </w:r>
      <w:r w:rsidR="003419DB" w:rsidRPr="001B7746">
        <w:t>r</w:t>
      </w:r>
      <w:r w:rsidR="00D65AA2" w:rsidRPr="001B7746">
        <w:t>egulations are the primary instruments applicable to decommis</w:t>
      </w:r>
      <w:r w:rsidRPr="001B7746">
        <w:t xml:space="preserve">sioning in </w:t>
      </w:r>
      <w:r w:rsidRPr="00250D66">
        <w:rPr>
          <w:rFonts w:cstheme="minorHAnsi"/>
        </w:rPr>
        <w:t>Commonwealth</w:t>
      </w:r>
      <w:r w:rsidRPr="001B7746">
        <w:t xml:space="preserve"> waters. However, </w:t>
      </w:r>
      <w:proofErr w:type="gramStart"/>
      <w:r w:rsidR="00D65AA2" w:rsidRPr="001B7746">
        <w:t>a number of</w:t>
      </w:r>
      <w:proofErr w:type="gramEnd"/>
      <w:r w:rsidR="00D65AA2" w:rsidRPr="001B7746">
        <w:t xml:space="preserve"> other </w:t>
      </w:r>
      <w:r w:rsidR="004F19AC" w:rsidRPr="001B7746">
        <w:t>C</w:t>
      </w:r>
      <w:r w:rsidR="00D65AA2" w:rsidRPr="001B7746">
        <w:t xml:space="preserve">ommonwealth </w:t>
      </w:r>
      <w:r w:rsidR="00971251" w:rsidRPr="001B7746">
        <w:t xml:space="preserve">and State or Territory </w:t>
      </w:r>
      <w:r w:rsidR="004F19AC" w:rsidRPr="001B7746">
        <w:t>laws</w:t>
      </w:r>
      <w:r w:rsidR="00D65AA2" w:rsidRPr="001B7746">
        <w:t xml:space="preserve"> may </w:t>
      </w:r>
      <w:r w:rsidR="007C4A5A" w:rsidRPr="001B7746">
        <w:t>also apply to the</w:t>
      </w:r>
      <w:r w:rsidRPr="001B7746">
        <w:t xml:space="preserve"> decommissioning process. </w:t>
      </w:r>
      <w:r w:rsidR="009A5974">
        <w:t>Other key laws</w:t>
      </w:r>
      <w:r w:rsidR="00D65AA2" w:rsidRPr="001B7746">
        <w:t xml:space="preserve"> are</w:t>
      </w:r>
      <w:r w:rsidRPr="001B7746">
        <w:t xml:space="preserve"> </w:t>
      </w:r>
      <w:r w:rsidR="007C4A5A" w:rsidRPr="001B7746">
        <w:t>outlined below.</w:t>
      </w:r>
    </w:p>
    <w:p w14:paraId="545B54C5" w14:textId="4A12405E" w:rsidR="00C66EC1" w:rsidRPr="00FD5B86" w:rsidRDefault="00C66EC1" w:rsidP="00FD5B86">
      <w:pPr>
        <w:pStyle w:val="Heading2"/>
      </w:pPr>
      <w:bookmarkStart w:id="280" w:name="_Toc460341813"/>
      <w:bookmarkStart w:id="281" w:name="_Toc460421951"/>
      <w:bookmarkStart w:id="282" w:name="_Toc461973024"/>
      <w:bookmarkStart w:id="283" w:name="_Toc461973130"/>
      <w:bookmarkStart w:id="284" w:name="_Toc464748072"/>
      <w:bookmarkStart w:id="285" w:name="_Toc475055306"/>
      <w:bookmarkStart w:id="286" w:name="_Toc475358967"/>
      <w:bookmarkStart w:id="287" w:name="_Toc479770983"/>
      <w:bookmarkStart w:id="288" w:name="_Toc479778754"/>
      <w:bookmarkStart w:id="289" w:name="_Toc479845270"/>
      <w:bookmarkStart w:id="290" w:name="_Toc482364355"/>
      <w:bookmarkStart w:id="291" w:name="_Toc486939258"/>
      <w:bookmarkStart w:id="292" w:name="_Toc486939331"/>
      <w:bookmarkStart w:id="293" w:name="_Toc486950240"/>
      <w:bookmarkStart w:id="294" w:name="_Toc486956438"/>
      <w:bookmarkStart w:id="295" w:name="_Toc489460741"/>
      <w:bookmarkStart w:id="296" w:name="_Toc489460849"/>
      <w:bookmarkStart w:id="297" w:name="_Toc81319794"/>
      <w:bookmarkStart w:id="298" w:name="_Toc81322602"/>
      <w:bookmarkStart w:id="299" w:name="_Toc81324990"/>
      <w:bookmarkStart w:id="300" w:name="_Toc81327243"/>
      <w:bookmarkStart w:id="301" w:name="_Toc81327515"/>
      <w:bookmarkStart w:id="302" w:name="_Ref82774331"/>
      <w:bookmarkStart w:id="303" w:name="_Toc82785092"/>
      <w:bookmarkStart w:id="304" w:name="_Toc82787203"/>
      <w:bookmarkStart w:id="305" w:name="_Toc82788252"/>
      <w:bookmarkStart w:id="306" w:name="_Toc83034001"/>
      <w:bookmarkStart w:id="307" w:name="_Toc83029555"/>
      <w:bookmarkStart w:id="308" w:name="_Toc93925222"/>
      <w:bookmarkStart w:id="309" w:name="_Toc460341812"/>
      <w:bookmarkStart w:id="310" w:name="_Toc460421950"/>
      <w:bookmarkStart w:id="311" w:name="_Toc461973023"/>
      <w:bookmarkStart w:id="312" w:name="_Toc461973129"/>
      <w:bookmarkStart w:id="313" w:name="_Toc464748071"/>
      <w:bookmarkStart w:id="314" w:name="_Toc475055305"/>
      <w:bookmarkStart w:id="315" w:name="_Toc475358966"/>
      <w:bookmarkStart w:id="316" w:name="_Toc479770982"/>
      <w:bookmarkStart w:id="317" w:name="_Toc479778753"/>
      <w:bookmarkStart w:id="318" w:name="_Toc479845269"/>
      <w:bookmarkStart w:id="319" w:name="_Toc482364354"/>
      <w:bookmarkStart w:id="320" w:name="_Toc486939257"/>
      <w:bookmarkStart w:id="321" w:name="_Toc486939330"/>
      <w:bookmarkStart w:id="322" w:name="_Toc486950239"/>
      <w:bookmarkStart w:id="323" w:name="_Toc486956437"/>
      <w:bookmarkStart w:id="324" w:name="_Toc489460740"/>
      <w:bookmarkStart w:id="325" w:name="_Toc489460848"/>
      <w:r w:rsidRPr="00FD5B86">
        <w:t>Environment Protection (Sea Dumping) Act 1981</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EFA5C2F" w14:textId="5BF14149" w:rsidR="00BC6578" w:rsidRPr="001B7746" w:rsidRDefault="00C66EC1" w:rsidP="00250D66">
      <w:pPr>
        <w:pStyle w:val="List2"/>
        <w:numPr>
          <w:ilvl w:val="1"/>
          <w:numId w:val="30"/>
        </w:numPr>
        <w:tabs>
          <w:tab w:val="clear" w:pos="454"/>
        </w:tabs>
        <w:ind w:left="720" w:hanging="720"/>
      </w:pPr>
      <w:r>
        <w:t xml:space="preserve">Australian </w:t>
      </w:r>
      <w:r w:rsidRPr="00BF719E">
        <w:t>waters</w:t>
      </w:r>
      <w:r>
        <w:rPr>
          <w:rStyle w:val="FootnoteReference"/>
        </w:rPr>
        <w:footnoteReference w:id="12"/>
      </w:r>
      <w:r w:rsidRPr="00BF719E">
        <w:t xml:space="preserve"> are protected from wastes and pollution dumped at sea by the Sea </w:t>
      </w:r>
      <w:r w:rsidRPr="00250D66">
        <w:rPr>
          <w:rFonts w:cstheme="minorHAnsi"/>
        </w:rPr>
        <w:t>Dumping</w:t>
      </w:r>
      <w:r w:rsidRPr="00BF719E">
        <w:t xml:space="preserve"> Act, which regulates the loading</w:t>
      </w:r>
      <w:r>
        <w:t xml:space="preserve"> </w:t>
      </w:r>
      <w:r w:rsidRPr="00BF719E">
        <w:t>and</w:t>
      </w:r>
      <w:r>
        <w:t xml:space="preserve"> </w:t>
      </w:r>
      <w:r w:rsidRPr="00BF719E">
        <w:t>dumping of wastes at sea</w:t>
      </w:r>
      <w:r w:rsidR="002C1D5D">
        <w:t xml:space="preserve"> (including the subsoil thereof)</w:t>
      </w:r>
      <w:r>
        <w:t>, as well as the creation of artificial reefs</w:t>
      </w:r>
      <w:r w:rsidRPr="00BF719E">
        <w:t xml:space="preserve">. </w:t>
      </w:r>
      <w:r w:rsidR="00BC6578">
        <w:t xml:space="preserve">A </w:t>
      </w:r>
      <w:r w:rsidR="00BC6578" w:rsidRPr="001B7746">
        <w:t xml:space="preserve">proposal to dispose of </w:t>
      </w:r>
      <w:r w:rsidR="00BC6578" w:rsidRPr="007F739A">
        <w:t xml:space="preserve">property </w:t>
      </w:r>
      <w:r w:rsidR="00BC6578" w:rsidRPr="001B7746">
        <w:t xml:space="preserve">at sea, or to abandon </w:t>
      </w:r>
      <w:r w:rsidR="00BC6578" w:rsidRPr="007F739A">
        <w:t>property</w:t>
      </w:r>
      <w:r w:rsidR="00BC6578" w:rsidRPr="001B7746">
        <w:t xml:space="preserve"> in-situ, </w:t>
      </w:r>
      <w:r w:rsidR="00BC6578">
        <w:t>may</w:t>
      </w:r>
      <w:r w:rsidR="00BC6578" w:rsidRPr="001B7746">
        <w:t xml:space="preserve"> require a permit under the </w:t>
      </w:r>
      <w:hyperlink r:id="rId37" w:tooltip="https://www.legislation.gov.au/Details/C2016C00778" w:history="1">
        <w:r w:rsidR="00BC6578" w:rsidRPr="00572C6B">
          <w:rPr>
            <w:rStyle w:val="Hyperlink"/>
            <w:rFonts w:ascii="Calibri" w:hAnsi="Calibri"/>
            <w:i/>
          </w:rPr>
          <w:t>Environment Protection (Sea Dumping) Act 1981</w:t>
        </w:r>
      </w:hyperlink>
      <w:r w:rsidR="00BC6578" w:rsidRPr="00572C6B">
        <w:rPr>
          <w:i/>
        </w:rPr>
        <w:t xml:space="preserve"> </w:t>
      </w:r>
      <w:r w:rsidR="00BC6578" w:rsidRPr="001B7746">
        <w:t>(Sea Dumping Act).</w:t>
      </w:r>
    </w:p>
    <w:p w14:paraId="4ECFE833" w14:textId="53CAD8D9" w:rsidR="00C66EC1" w:rsidRPr="00BF719E" w:rsidRDefault="00C66EC1" w:rsidP="00250D66">
      <w:pPr>
        <w:pStyle w:val="List2"/>
        <w:numPr>
          <w:ilvl w:val="1"/>
          <w:numId w:val="30"/>
        </w:numPr>
        <w:tabs>
          <w:tab w:val="clear" w:pos="454"/>
        </w:tabs>
        <w:ind w:left="720" w:hanging="720"/>
      </w:pPr>
      <w:r>
        <w:t xml:space="preserve">The Sea Dumping Act </w:t>
      </w:r>
      <w:r w:rsidR="002C1D5D">
        <w:t xml:space="preserve">implements Australia’s international obligations under the </w:t>
      </w:r>
      <w:r w:rsidR="002C1D5D" w:rsidRPr="00530009">
        <w:rPr>
          <w:rFonts w:eastAsia="Times New Roman"/>
          <w:lang w:eastAsia="en-AU"/>
        </w:rPr>
        <w:t xml:space="preserve">London </w:t>
      </w:r>
      <w:r w:rsidR="002C1D5D" w:rsidRPr="00250D66">
        <w:rPr>
          <w:rFonts w:cstheme="minorHAnsi"/>
        </w:rPr>
        <w:t>Protocol</w:t>
      </w:r>
      <w:r w:rsidR="002C1D5D" w:rsidRPr="00530009">
        <w:rPr>
          <w:rFonts w:eastAsia="Times New Roman"/>
          <w:lang w:eastAsia="en-AU"/>
        </w:rPr>
        <w:t>.</w:t>
      </w:r>
      <w:r w:rsidR="002C1D5D" w:rsidRPr="007F739A">
        <w:t xml:space="preserve"> </w:t>
      </w:r>
      <w:r w:rsidR="002C1D5D">
        <w:t xml:space="preserve">The Sea Dumping Act </w:t>
      </w:r>
      <w:r>
        <w:t>is administered by</w:t>
      </w:r>
      <w:r w:rsidR="001B7746">
        <w:t xml:space="preserve"> the Department of </w:t>
      </w:r>
      <w:r w:rsidR="00246BD8">
        <w:t xml:space="preserve">Agriculture, </w:t>
      </w:r>
      <w:proofErr w:type="gramStart"/>
      <w:r w:rsidR="00246BD8">
        <w:t>Water</w:t>
      </w:r>
      <w:proofErr w:type="gramEnd"/>
      <w:r w:rsidR="00246BD8">
        <w:t xml:space="preserve"> and the Environment </w:t>
      </w:r>
      <w:r w:rsidR="001B7746" w:rsidRPr="007F739A">
        <w:t>(</w:t>
      </w:r>
      <w:r w:rsidR="00246BD8" w:rsidRPr="007F739A">
        <w:t>DAWE</w:t>
      </w:r>
      <w:r w:rsidR="001B7746" w:rsidRPr="007F739A">
        <w:t>)</w:t>
      </w:r>
      <w:r w:rsidRPr="007F739A">
        <w:t>.</w:t>
      </w:r>
      <w:r>
        <w:t xml:space="preserve"> </w:t>
      </w:r>
      <w:r w:rsidRPr="00BF719E">
        <w:t xml:space="preserve">Under </w:t>
      </w:r>
      <w:r>
        <w:t xml:space="preserve">the </w:t>
      </w:r>
      <w:r w:rsidRPr="00BF719E">
        <w:t xml:space="preserve">Act, the Commonwealth aims to </w:t>
      </w:r>
      <w:r>
        <w:t>address</w:t>
      </w:r>
      <w:r w:rsidRPr="00BF719E">
        <w:t xml:space="preserve"> marine pollution by:</w:t>
      </w:r>
    </w:p>
    <w:p w14:paraId="190BD62E" w14:textId="55666E13" w:rsidR="00C66EC1" w:rsidRPr="00250D66" w:rsidRDefault="00C66EC1" w:rsidP="00250D66">
      <w:pPr>
        <w:pStyle w:val="List2"/>
        <w:numPr>
          <w:ilvl w:val="2"/>
          <w:numId w:val="29"/>
        </w:numPr>
        <w:tabs>
          <w:tab w:val="clear" w:pos="1430"/>
        </w:tabs>
        <w:ind w:left="1224"/>
        <w:rPr>
          <w:rFonts w:cstheme="minorHAnsi"/>
        </w:rPr>
      </w:pPr>
      <w:r w:rsidRPr="00250D66">
        <w:rPr>
          <w:rFonts w:cstheme="minorHAnsi"/>
        </w:rPr>
        <w:t xml:space="preserve">prohibiting ocean disposal of waste considered too harmful to be </w:t>
      </w:r>
      <w:r w:rsidR="002C1D5D" w:rsidRPr="00250D66">
        <w:rPr>
          <w:rFonts w:cstheme="minorHAnsi"/>
        </w:rPr>
        <w:t>dumped</w:t>
      </w:r>
      <w:r w:rsidR="009A5974" w:rsidRPr="00250D66">
        <w:rPr>
          <w:rFonts w:cstheme="minorHAnsi"/>
        </w:rPr>
        <w:t>.</w:t>
      </w:r>
    </w:p>
    <w:p w14:paraId="76245A88" w14:textId="5599B301" w:rsidR="00C66EC1" w:rsidRPr="00250D66" w:rsidRDefault="00C66EC1" w:rsidP="00250D66">
      <w:pPr>
        <w:pStyle w:val="List2"/>
        <w:numPr>
          <w:ilvl w:val="2"/>
          <w:numId w:val="29"/>
        </w:numPr>
        <w:tabs>
          <w:tab w:val="clear" w:pos="1430"/>
        </w:tabs>
        <w:ind w:left="1224"/>
        <w:rPr>
          <w:rFonts w:cstheme="minorHAnsi"/>
        </w:rPr>
      </w:pPr>
      <w:r w:rsidRPr="00250D66">
        <w:rPr>
          <w:rFonts w:cstheme="minorHAnsi"/>
        </w:rPr>
        <w:lastRenderedPageBreak/>
        <w:t xml:space="preserve">regulating the disposal of controlled </w:t>
      </w:r>
      <w:r w:rsidR="00A63D7D" w:rsidRPr="00250D66">
        <w:rPr>
          <w:rFonts w:cstheme="minorHAnsi"/>
        </w:rPr>
        <w:t>material</w:t>
      </w:r>
      <w:r w:rsidRPr="00250D66">
        <w:rPr>
          <w:rFonts w:cstheme="minorHAnsi"/>
        </w:rPr>
        <w:t xml:space="preserve"> and the creation of artificial reefs, to ensure that environmental impacts are minimised</w:t>
      </w:r>
      <w:r w:rsidR="009A5974" w:rsidRPr="00250D66">
        <w:rPr>
          <w:rFonts w:cstheme="minorHAnsi"/>
        </w:rPr>
        <w:t>.</w:t>
      </w:r>
    </w:p>
    <w:p w14:paraId="6BB1F99B" w14:textId="77777777" w:rsidR="00C66EC1" w:rsidRPr="00250D66" w:rsidRDefault="00C66EC1" w:rsidP="00250D66">
      <w:pPr>
        <w:pStyle w:val="List2"/>
        <w:numPr>
          <w:ilvl w:val="2"/>
          <w:numId w:val="29"/>
        </w:numPr>
        <w:tabs>
          <w:tab w:val="clear" w:pos="1430"/>
        </w:tabs>
        <w:ind w:left="1224"/>
        <w:rPr>
          <w:rFonts w:cstheme="minorHAnsi"/>
        </w:rPr>
      </w:pPr>
      <w:r w:rsidRPr="00250D66">
        <w:rPr>
          <w:rFonts w:cstheme="minorHAnsi"/>
        </w:rPr>
        <w:t>prohibiting incineration at sea of wastes and other matter.</w:t>
      </w:r>
    </w:p>
    <w:p w14:paraId="1D5C7064" w14:textId="2AFDC783" w:rsidR="00A63D7D" w:rsidRPr="00250D66" w:rsidRDefault="00A63D7D" w:rsidP="00250D66">
      <w:pPr>
        <w:pStyle w:val="List2"/>
        <w:numPr>
          <w:ilvl w:val="2"/>
          <w:numId w:val="29"/>
        </w:numPr>
        <w:tabs>
          <w:tab w:val="clear" w:pos="1430"/>
        </w:tabs>
        <w:ind w:left="1224"/>
        <w:rPr>
          <w:rFonts w:cstheme="minorHAnsi"/>
        </w:rPr>
      </w:pPr>
      <w:r w:rsidRPr="00250D66">
        <w:rPr>
          <w:rFonts w:cstheme="minorHAnsi"/>
        </w:rPr>
        <w:t>prohibiting export of wastes and other matte</w:t>
      </w:r>
      <w:r w:rsidR="00F15DE6" w:rsidRPr="00250D66">
        <w:rPr>
          <w:rFonts w:cstheme="minorHAnsi"/>
        </w:rPr>
        <w:t>r</w:t>
      </w:r>
      <w:r w:rsidRPr="00250D66">
        <w:rPr>
          <w:rFonts w:cstheme="minorHAnsi"/>
        </w:rPr>
        <w:t xml:space="preserve"> for dumping at sea.</w:t>
      </w:r>
    </w:p>
    <w:p w14:paraId="18BACEB0" w14:textId="15CB9023" w:rsidR="00A663EC" w:rsidRDefault="00A663EC" w:rsidP="00250D66">
      <w:pPr>
        <w:pStyle w:val="List2"/>
        <w:numPr>
          <w:ilvl w:val="1"/>
          <w:numId w:val="30"/>
        </w:numPr>
        <w:tabs>
          <w:tab w:val="clear" w:pos="454"/>
        </w:tabs>
        <w:ind w:left="720" w:hanging="720"/>
      </w:pPr>
      <w:r w:rsidRPr="00A663EC">
        <w:t xml:space="preserve">Under the Sea Dumping Act, titleholders may require a sea dumping permit during any phase of offshore works that is not exploration, </w:t>
      </w:r>
      <w:proofErr w:type="gramStart"/>
      <w:r w:rsidRPr="00A663EC">
        <w:t>exploitation</w:t>
      </w:r>
      <w:proofErr w:type="gramEnd"/>
      <w:r w:rsidRPr="00A663EC">
        <w:t xml:space="preserve"> or offshore processing. If a titleholder </w:t>
      </w:r>
      <w:r w:rsidRPr="00250D66">
        <w:rPr>
          <w:rFonts w:cstheme="minorHAnsi"/>
        </w:rPr>
        <w:t>proposes</w:t>
      </w:r>
      <w:r w:rsidRPr="00A663EC">
        <w:t xml:space="preserve"> to leave property partially or wholly in-situ, or dispose of property at a different site, or create an artificial reef, a permit under the Sea Dumping Act may be required</w:t>
      </w:r>
      <w:r>
        <w:t>.</w:t>
      </w:r>
    </w:p>
    <w:p w14:paraId="644F662B" w14:textId="6A97137D" w:rsidR="00A63D7D" w:rsidRDefault="00C66EC1" w:rsidP="00250D66">
      <w:pPr>
        <w:pStyle w:val="List2"/>
        <w:numPr>
          <w:ilvl w:val="1"/>
          <w:numId w:val="30"/>
        </w:numPr>
        <w:tabs>
          <w:tab w:val="clear" w:pos="454"/>
        </w:tabs>
        <w:ind w:left="720" w:hanging="720"/>
      </w:pPr>
      <w:r>
        <w:t>Under the Sea Dumping Act, “d</w:t>
      </w:r>
      <w:r w:rsidRPr="007C4A5A">
        <w:t>umping</w:t>
      </w:r>
      <w:r>
        <w:t>”</w:t>
      </w:r>
      <w:r w:rsidRPr="007C4A5A">
        <w:t xml:space="preserve"> inc</w:t>
      </w:r>
      <w:r w:rsidR="00FE6704">
        <w:t>ludes</w:t>
      </w:r>
      <w:r w:rsidR="00A63D7D">
        <w:t>:</w:t>
      </w:r>
    </w:p>
    <w:p w14:paraId="6D259A7A" w14:textId="77777777" w:rsidR="00A63D7D" w:rsidRPr="00250D66" w:rsidRDefault="00A63D7D" w:rsidP="00250D66">
      <w:pPr>
        <w:pStyle w:val="List2"/>
        <w:numPr>
          <w:ilvl w:val="2"/>
          <w:numId w:val="29"/>
        </w:numPr>
        <w:tabs>
          <w:tab w:val="clear" w:pos="1430"/>
        </w:tabs>
        <w:ind w:left="1224"/>
        <w:rPr>
          <w:rFonts w:cstheme="minorHAnsi"/>
        </w:rPr>
      </w:pPr>
      <w:r w:rsidRPr="00250D66">
        <w:rPr>
          <w:rFonts w:cstheme="minorHAnsi"/>
        </w:rPr>
        <w:t xml:space="preserve">deliberate disposal into the sea of wastes from platforms, </w:t>
      </w:r>
      <w:proofErr w:type="gramStart"/>
      <w:r w:rsidRPr="00250D66">
        <w:rPr>
          <w:rFonts w:cstheme="minorHAnsi"/>
        </w:rPr>
        <w:t>vessels</w:t>
      </w:r>
      <w:proofErr w:type="gramEnd"/>
      <w:r w:rsidRPr="00250D66">
        <w:rPr>
          <w:rFonts w:cstheme="minorHAnsi"/>
        </w:rPr>
        <w:t xml:space="preserve"> or other man-made structures at sea. </w:t>
      </w:r>
    </w:p>
    <w:p w14:paraId="32EB6335" w14:textId="56A4308E" w:rsidR="00A63D7D" w:rsidRPr="00250D66" w:rsidRDefault="00A63D7D" w:rsidP="00250D66">
      <w:pPr>
        <w:pStyle w:val="List2"/>
        <w:numPr>
          <w:ilvl w:val="2"/>
          <w:numId w:val="29"/>
        </w:numPr>
        <w:tabs>
          <w:tab w:val="clear" w:pos="1430"/>
        </w:tabs>
        <w:ind w:left="1224"/>
        <w:rPr>
          <w:rFonts w:cstheme="minorHAnsi"/>
        </w:rPr>
      </w:pPr>
      <w:r w:rsidRPr="00250D66">
        <w:rPr>
          <w:rFonts w:cstheme="minorHAnsi"/>
        </w:rPr>
        <w:t xml:space="preserve">deliberate disposal into the sea of platforms or other man-made structures at sea. </w:t>
      </w:r>
    </w:p>
    <w:p w14:paraId="6412B897" w14:textId="77777777" w:rsidR="00A63D7D" w:rsidRPr="00250D66" w:rsidRDefault="00A63D7D" w:rsidP="00250D66">
      <w:pPr>
        <w:pStyle w:val="List2"/>
        <w:numPr>
          <w:ilvl w:val="2"/>
          <w:numId w:val="29"/>
        </w:numPr>
        <w:tabs>
          <w:tab w:val="clear" w:pos="1430"/>
        </w:tabs>
        <w:ind w:left="1224"/>
        <w:rPr>
          <w:rFonts w:cstheme="minorHAnsi"/>
        </w:rPr>
      </w:pPr>
      <w:r w:rsidRPr="00250D66">
        <w:rPr>
          <w:rFonts w:cstheme="minorHAnsi"/>
        </w:rPr>
        <w:t xml:space="preserve">any storage of wastes or other matter in the seabed or subsoil thereof from platforms, </w:t>
      </w:r>
      <w:proofErr w:type="gramStart"/>
      <w:r w:rsidRPr="00250D66">
        <w:rPr>
          <w:rFonts w:cstheme="minorHAnsi"/>
        </w:rPr>
        <w:t>vessels</w:t>
      </w:r>
      <w:proofErr w:type="gramEnd"/>
      <w:r w:rsidRPr="00250D66">
        <w:rPr>
          <w:rFonts w:cstheme="minorHAnsi"/>
        </w:rPr>
        <w:t xml:space="preserve"> or other man-made structures at sea.</w:t>
      </w:r>
    </w:p>
    <w:p w14:paraId="37C47CAC" w14:textId="283FB84C" w:rsidR="00C27FAA" w:rsidRPr="00250D66" w:rsidRDefault="00FE6704" w:rsidP="00250D66">
      <w:pPr>
        <w:pStyle w:val="List2"/>
        <w:numPr>
          <w:ilvl w:val="2"/>
          <w:numId w:val="29"/>
        </w:numPr>
        <w:tabs>
          <w:tab w:val="clear" w:pos="1430"/>
        </w:tabs>
        <w:ind w:left="1224"/>
        <w:rPr>
          <w:rFonts w:cstheme="minorHAnsi"/>
        </w:rPr>
      </w:pPr>
      <w:r w:rsidRPr="00250D66">
        <w:rPr>
          <w:rFonts w:cstheme="minorHAnsi"/>
        </w:rPr>
        <w:t>abandonment or toppling at</w:t>
      </w:r>
      <w:r w:rsidR="00C66EC1" w:rsidRPr="00250D66">
        <w:rPr>
          <w:rFonts w:cstheme="minorHAnsi"/>
        </w:rPr>
        <w:t xml:space="preserve"> site of platforms or o</w:t>
      </w:r>
      <w:r w:rsidRPr="00250D66">
        <w:rPr>
          <w:rFonts w:cstheme="minorHAnsi"/>
        </w:rPr>
        <w:t xml:space="preserve">ther man-made structures at sea. </w:t>
      </w:r>
    </w:p>
    <w:p w14:paraId="11129660" w14:textId="45A461F9" w:rsidR="00C66EC1" w:rsidRDefault="00A663EC" w:rsidP="00250D66">
      <w:pPr>
        <w:pStyle w:val="List2"/>
        <w:numPr>
          <w:ilvl w:val="1"/>
          <w:numId w:val="30"/>
        </w:numPr>
        <w:tabs>
          <w:tab w:val="clear" w:pos="454"/>
        </w:tabs>
        <w:ind w:left="720" w:hanging="720"/>
      </w:pPr>
      <w:r w:rsidRPr="00250D66">
        <w:rPr>
          <w:rFonts w:cstheme="minorHAnsi"/>
        </w:rPr>
        <w:t>Proponents</w:t>
      </w:r>
      <w:r>
        <w:rPr>
          <w:iCs/>
        </w:rPr>
        <w:t xml:space="preserve"> are recommended to contact the Department</w:t>
      </w:r>
      <w:r w:rsidR="00053E82">
        <w:rPr>
          <w:iCs/>
        </w:rPr>
        <w:t xml:space="preserve"> </w:t>
      </w:r>
      <w:r w:rsidR="009C111B">
        <w:rPr>
          <w:iCs/>
        </w:rPr>
        <w:t xml:space="preserve">of </w:t>
      </w:r>
      <w:r w:rsidR="00053E82">
        <w:rPr>
          <w:iCs/>
        </w:rPr>
        <w:t xml:space="preserve">Agriculture, </w:t>
      </w:r>
      <w:proofErr w:type="gramStart"/>
      <w:r w:rsidR="00053E82">
        <w:rPr>
          <w:iCs/>
        </w:rPr>
        <w:t>Water</w:t>
      </w:r>
      <w:proofErr w:type="gramEnd"/>
      <w:r w:rsidR="00053E82">
        <w:rPr>
          <w:iCs/>
        </w:rPr>
        <w:t xml:space="preserve"> and the Environment</w:t>
      </w:r>
      <w:r>
        <w:rPr>
          <w:iCs/>
        </w:rPr>
        <w:t xml:space="preserve"> to clarify their obligations early in their planning phases. </w:t>
      </w:r>
      <w:r w:rsidR="00C66EC1" w:rsidRPr="007C4A5A">
        <w:t>A permit may be granted or refused after consideration of</w:t>
      </w:r>
      <w:r w:rsidR="00A63D7D">
        <w:t xml:space="preserve"> relevant sections of the London Protocol.</w:t>
      </w:r>
      <w:r w:rsidR="00FE6704">
        <w:t xml:space="preserve"> </w:t>
      </w:r>
    </w:p>
    <w:p w14:paraId="2B5AE23B" w14:textId="50171325" w:rsidR="00C66EC1" w:rsidRDefault="00C66EC1" w:rsidP="00250D66">
      <w:pPr>
        <w:pStyle w:val="List2"/>
        <w:numPr>
          <w:ilvl w:val="1"/>
          <w:numId w:val="30"/>
        </w:numPr>
        <w:tabs>
          <w:tab w:val="clear" w:pos="454"/>
        </w:tabs>
        <w:ind w:left="720" w:hanging="720"/>
      </w:pPr>
      <w:r>
        <w:t xml:space="preserve">The </w:t>
      </w:r>
      <w:r w:rsidR="009A5974" w:rsidRPr="00D65AA2">
        <w:t>EPBC Act</w:t>
      </w:r>
      <w:r w:rsidR="009A5974">
        <w:t xml:space="preserve"> is also relevant to sea </w:t>
      </w:r>
      <w:r>
        <w:t xml:space="preserve">dumping activities. Under </w:t>
      </w:r>
      <w:r w:rsidR="00834F21">
        <w:t>s</w:t>
      </w:r>
      <w:r>
        <w:t xml:space="preserve"> 160(1) of the EPBC Act, if an action that would be authorised by a sea dumping permit </w:t>
      </w:r>
      <w:r w:rsidR="00A663EC" w:rsidRPr="00B42A50">
        <w:t>will have, or is likely to have, a significant impact on a matter of national environmental significance</w:t>
      </w:r>
      <w:r>
        <w:t xml:space="preserve">, the Minister for the </w:t>
      </w:r>
      <w:r w:rsidRPr="007F739A">
        <w:t>Environment’s</w:t>
      </w:r>
      <w:r>
        <w:t xml:space="preserve"> advice must be </w:t>
      </w:r>
      <w:r w:rsidRPr="00250D66">
        <w:rPr>
          <w:rFonts w:cstheme="minorHAnsi"/>
        </w:rPr>
        <w:t>obtained</w:t>
      </w:r>
      <w:r>
        <w:t xml:space="preserve"> before</w:t>
      </w:r>
      <w:r w:rsidR="00A63D7D">
        <w:t xml:space="preserve"> a </w:t>
      </w:r>
      <w:r>
        <w:t>permit is granted.</w:t>
      </w:r>
    </w:p>
    <w:p w14:paraId="7B911095" w14:textId="77777777" w:rsidR="005C32FD" w:rsidRPr="005C32FD" w:rsidRDefault="00C917F9" w:rsidP="005C32FD">
      <w:pPr>
        <w:pStyle w:val="Calloutbox"/>
      </w:pPr>
      <w:hyperlink r:id="rId38" w:tooltip="https://www.environment.gov.au/marine/marine-pollution/sea-dumping" w:history="1">
        <w:r w:rsidR="005C32FD" w:rsidRPr="00492AA7">
          <w:rPr>
            <w:rStyle w:val="Hyperlink"/>
          </w:rPr>
          <w:t>Further information on sea dumping</w:t>
        </w:r>
      </w:hyperlink>
      <w:r w:rsidR="005C32FD">
        <w:t xml:space="preserve"> is available on the DAWE website.</w:t>
      </w:r>
    </w:p>
    <w:p w14:paraId="47C299A4" w14:textId="7C29A493" w:rsidR="00D65AA2" w:rsidRPr="00FD5B86" w:rsidRDefault="00C66EC1" w:rsidP="00FD5B86">
      <w:pPr>
        <w:pStyle w:val="Heading2"/>
      </w:pPr>
      <w:bookmarkStart w:id="326" w:name="_Toc81319795"/>
      <w:bookmarkStart w:id="327" w:name="_Toc81322603"/>
      <w:bookmarkStart w:id="328" w:name="_Toc81324991"/>
      <w:bookmarkStart w:id="329" w:name="_Toc81327244"/>
      <w:bookmarkStart w:id="330" w:name="_Toc81327516"/>
      <w:bookmarkStart w:id="331" w:name="_Ref82774489"/>
      <w:bookmarkStart w:id="332" w:name="_Toc82785093"/>
      <w:bookmarkStart w:id="333" w:name="_Toc82787204"/>
      <w:bookmarkStart w:id="334" w:name="_Toc82788253"/>
      <w:bookmarkStart w:id="335" w:name="_Toc83029556"/>
      <w:bookmarkStart w:id="336" w:name="_Toc83034002"/>
      <w:bookmarkStart w:id="337" w:name="_Toc93925223"/>
      <w:r w:rsidRPr="00FD5B86">
        <w:t>En</w:t>
      </w:r>
      <w:r w:rsidR="00D65AA2" w:rsidRPr="00FD5B86">
        <w:t>vironment Protection and Biodiversity Conservation Act 1999</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00D65AA2" w:rsidRPr="00FD5B86">
        <w:t xml:space="preserve"> </w:t>
      </w:r>
    </w:p>
    <w:p w14:paraId="31436D59" w14:textId="5CD2E927" w:rsidR="00631752" w:rsidRPr="006A2544" w:rsidRDefault="00A63D7D" w:rsidP="00250D66">
      <w:pPr>
        <w:pStyle w:val="List2"/>
        <w:numPr>
          <w:ilvl w:val="1"/>
          <w:numId w:val="30"/>
        </w:numPr>
        <w:tabs>
          <w:tab w:val="clear" w:pos="454"/>
        </w:tabs>
        <w:ind w:left="720" w:hanging="720"/>
        <w:rPr>
          <w:rFonts w:cstheme="minorHAnsi"/>
          <w:color w:val="000000" w:themeColor="text1"/>
        </w:rPr>
      </w:pPr>
      <w:r w:rsidRPr="006A2544">
        <w:rPr>
          <w:rFonts w:eastAsia="Calibri" w:cstheme="minorHAnsi"/>
        </w:rPr>
        <w:t xml:space="preserve">The EPBC Act, administered by DAWE, is the Commonwealth’s </w:t>
      </w:r>
      <w:r w:rsidR="00A8236A" w:rsidRPr="006A2544">
        <w:rPr>
          <w:rFonts w:eastAsia="Calibri" w:cstheme="minorHAnsi"/>
        </w:rPr>
        <w:t>pr</w:t>
      </w:r>
      <w:r w:rsidR="00A8236A">
        <w:rPr>
          <w:rFonts w:eastAsia="Calibri" w:cstheme="minorHAnsi"/>
        </w:rPr>
        <w:t>imary</w:t>
      </w:r>
      <w:r w:rsidR="00A8236A" w:rsidRPr="006A2544">
        <w:rPr>
          <w:rFonts w:eastAsia="Calibri" w:cstheme="minorHAnsi"/>
        </w:rPr>
        <w:t xml:space="preserve"> </w:t>
      </w:r>
      <w:r w:rsidRPr="006A2544">
        <w:rPr>
          <w:rFonts w:eastAsia="Calibri" w:cstheme="minorHAnsi"/>
        </w:rPr>
        <w:t xml:space="preserve">environmental </w:t>
      </w:r>
      <w:r w:rsidRPr="00250D66">
        <w:rPr>
          <w:rFonts w:cstheme="minorHAnsi"/>
        </w:rPr>
        <w:t>legislation</w:t>
      </w:r>
      <w:r w:rsidRPr="006A2544">
        <w:rPr>
          <w:rFonts w:eastAsia="Calibri" w:cstheme="minorHAnsi"/>
        </w:rPr>
        <w:t xml:space="preserve">. </w:t>
      </w:r>
      <w:r w:rsidR="00F731E5">
        <w:rPr>
          <w:rFonts w:eastAsia="Calibri" w:cstheme="minorHAnsi"/>
        </w:rPr>
        <w:t>A</w:t>
      </w:r>
      <w:r w:rsidRPr="006A2544">
        <w:rPr>
          <w:rFonts w:eastAsia="Calibri" w:cstheme="minorHAnsi"/>
        </w:rPr>
        <w:t xml:space="preserve">ctivities that will, or are likely to, have a significant impact on </w:t>
      </w:r>
      <w:r w:rsidR="00657F95">
        <w:rPr>
          <w:rFonts w:eastAsia="Calibri" w:cstheme="minorHAnsi"/>
        </w:rPr>
        <w:t xml:space="preserve">a </w:t>
      </w:r>
      <w:r w:rsidRPr="006A2544">
        <w:rPr>
          <w:rFonts w:eastAsia="Calibri" w:cstheme="minorHAnsi"/>
        </w:rPr>
        <w:t xml:space="preserve">Matter of National Environmental Significance require approval from the Minister for the Environment under the EPBC Act before </w:t>
      </w:r>
      <w:r w:rsidRPr="00703791">
        <w:t>they</w:t>
      </w:r>
      <w:r w:rsidRPr="006A2544">
        <w:rPr>
          <w:rFonts w:eastAsia="Calibri" w:cstheme="minorHAnsi"/>
        </w:rPr>
        <w:t xml:space="preserve"> can proceed. </w:t>
      </w:r>
    </w:p>
    <w:p w14:paraId="52A46AD1" w14:textId="77777777" w:rsidR="00631752" w:rsidRPr="006A2544" w:rsidRDefault="00A63D7D" w:rsidP="00250D66">
      <w:pPr>
        <w:pStyle w:val="List2"/>
        <w:numPr>
          <w:ilvl w:val="1"/>
          <w:numId w:val="30"/>
        </w:numPr>
        <w:tabs>
          <w:tab w:val="clear" w:pos="454"/>
        </w:tabs>
        <w:ind w:left="720" w:hanging="720"/>
        <w:rPr>
          <w:rFonts w:cstheme="minorHAnsi"/>
          <w:color w:val="000000" w:themeColor="text1"/>
        </w:rPr>
      </w:pPr>
      <w:r w:rsidRPr="006A2544">
        <w:rPr>
          <w:rFonts w:cstheme="minorHAnsi"/>
          <w:color w:val="000000"/>
        </w:rPr>
        <w:t xml:space="preserve">Under an initiative to streamline environmental regulation of petroleum and related activities in </w:t>
      </w:r>
      <w:r w:rsidRPr="00250D66">
        <w:rPr>
          <w:rFonts w:cstheme="minorHAnsi"/>
        </w:rPr>
        <w:t>Commonwealth</w:t>
      </w:r>
      <w:r w:rsidRPr="006A2544">
        <w:rPr>
          <w:rFonts w:cstheme="minorHAnsi"/>
          <w:color w:val="000000"/>
        </w:rPr>
        <w:t xml:space="preserve"> waters, a Strategic Assessment was approved under Part 10 of the EPBC Act on 27 February 2014 (</w:t>
      </w:r>
      <w:r w:rsidRPr="006A2544">
        <w:rPr>
          <w:rFonts w:cstheme="minorHAnsi"/>
          <w:i/>
          <w:iCs/>
          <w:color w:val="000000"/>
        </w:rPr>
        <w:t>Strategic Assessment of the environmental management authorisation process for petroleum and greenhouse gas storage activities administered by the National Offshore Petroleum Safety and Environmental Management Authority under the Offshore Petroleum and Greenhouse Gas Storage Act 2006</w:t>
      </w:r>
      <w:r w:rsidRPr="006A2544">
        <w:rPr>
          <w:rFonts w:cstheme="minorHAnsi"/>
          <w:color w:val="000000"/>
        </w:rPr>
        <w:t xml:space="preserve"> (‘the Program’)). NOPSEMA is the regulator and approval holder under this Strategic Assessment.</w:t>
      </w:r>
    </w:p>
    <w:p w14:paraId="1B8D7E9C" w14:textId="7680FE22" w:rsidR="00631752" w:rsidRPr="00F447EA" w:rsidRDefault="00A63D7D" w:rsidP="00250D66">
      <w:pPr>
        <w:pStyle w:val="List2"/>
        <w:numPr>
          <w:ilvl w:val="1"/>
          <w:numId w:val="30"/>
        </w:numPr>
        <w:tabs>
          <w:tab w:val="clear" w:pos="454"/>
        </w:tabs>
        <w:ind w:left="720" w:hanging="720"/>
        <w:rPr>
          <w:rFonts w:eastAsia="Calibri" w:cstheme="minorHAnsi"/>
        </w:rPr>
      </w:pPr>
      <w:r w:rsidRPr="006A2544">
        <w:rPr>
          <w:rFonts w:cstheme="minorHAnsi"/>
          <w:color w:val="000000"/>
        </w:rPr>
        <w:t xml:space="preserve">Under ‘the Program’, entities seeking to undertake </w:t>
      </w:r>
      <w:r w:rsidR="008E2FE5">
        <w:rPr>
          <w:rFonts w:cstheme="minorHAnsi"/>
          <w:color w:val="000000"/>
        </w:rPr>
        <w:t xml:space="preserve">most </w:t>
      </w:r>
      <w:r w:rsidR="006721F9">
        <w:rPr>
          <w:rFonts w:cstheme="minorHAnsi"/>
          <w:color w:val="000000"/>
        </w:rPr>
        <w:t xml:space="preserve">offshore petroleum activities (including decommissioning) </w:t>
      </w:r>
      <w:r w:rsidR="00E96490">
        <w:rPr>
          <w:rFonts w:cstheme="minorHAnsi"/>
          <w:color w:val="000000"/>
        </w:rPr>
        <w:t>in Commonwealth waters</w:t>
      </w:r>
      <w:r w:rsidR="00E96490" w:rsidDel="00D01DD4">
        <w:rPr>
          <w:rFonts w:cstheme="minorHAnsi"/>
          <w:color w:val="000000"/>
        </w:rPr>
        <w:t xml:space="preserve"> </w:t>
      </w:r>
      <w:r w:rsidR="00D01DD4">
        <w:rPr>
          <w:rFonts w:cstheme="minorHAnsi"/>
          <w:color w:val="000000"/>
        </w:rPr>
        <w:t>are</w:t>
      </w:r>
      <w:r w:rsidR="0045507C">
        <w:rPr>
          <w:rFonts w:cstheme="minorHAnsi"/>
          <w:color w:val="000000"/>
        </w:rPr>
        <w:t xml:space="preserve"> regulated by NOPSEMA and </w:t>
      </w:r>
      <w:r w:rsidR="00E96490">
        <w:rPr>
          <w:rFonts w:cstheme="minorHAnsi"/>
          <w:color w:val="000000"/>
        </w:rPr>
        <w:t>do not require</w:t>
      </w:r>
      <w:r w:rsidRPr="006A2544">
        <w:rPr>
          <w:rFonts w:cstheme="minorHAnsi"/>
          <w:color w:val="000000"/>
        </w:rPr>
        <w:t xml:space="preserve"> separate approval under Part 7, 8 and 9 of the EPBC Act. </w:t>
      </w:r>
    </w:p>
    <w:p w14:paraId="5D3E67C7" w14:textId="31E22F07" w:rsidR="00631752" w:rsidRPr="006A2544" w:rsidRDefault="00A63D7D" w:rsidP="00250D66">
      <w:pPr>
        <w:pStyle w:val="List2"/>
        <w:numPr>
          <w:ilvl w:val="1"/>
          <w:numId w:val="30"/>
        </w:numPr>
        <w:tabs>
          <w:tab w:val="clear" w:pos="454"/>
        </w:tabs>
        <w:ind w:left="720" w:hanging="720"/>
        <w:rPr>
          <w:rFonts w:cstheme="minorHAnsi"/>
        </w:rPr>
      </w:pPr>
      <w:r w:rsidRPr="00250D66">
        <w:rPr>
          <w:rFonts w:cstheme="minorHAnsi"/>
        </w:rPr>
        <w:lastRenderedPageBreak/>
        <w:t>However</w:t>
      </w:r>
      <w:r w:rsidRPr="006A2544">
        <w:rPr>
          <w:rFonts w:eastAsia="Calibri" w:cstheme="minorHAnsi"/>
        </w:rPr>
        <w:t xml:space="preserve">, in circumstances where decommissioning activities </w:t>
      </w:r>
      <w:r w:rsidR="00E96490">
        <w:rPr>
          <w:rFonts w:eastAsia="Calibri" w:cstheme="minorHAnsi"/>
        </w:rPr>
        <w:t>are related</w:t>
      </w:r>
      <w:r w:rsidR="00E96490" w:rsidRPr="006A2544">
        <w:rPr>
          <w:rFonts w:eastAsia="Calibri" w:cstheme="minorHAnsi"/>
        </w:rPr>
        <w:t xml:space="preserve"> </w:t>
      </w:r>
      <w:r w:rsidRPr="006A2544">
        <w:rPr>
          <w:rFonts w:eastAsia="Calibri" w:cstheme="minorHAnsi"/>
        </w:rPr>
        <w:t xml:space="preserve">to an approval granted under the EPBC Act prior to the Program commencing, </w:t>
      </w:r>
      <w:r w:rsidR="006721F9">
        <w:rPr>
          <w:rFonts w:eastAsia="Calibri" w:cstheme="minorHAnsi"/>
        </w:rPr>
        <w:t>those conditions must be met for the activity to proceed</w:t>
      </w:r>
      <w:r w:rsidRPr="006A2544">
        <w:rPr>
          <w:rFonts w:cstheme="minorHAnsi"/>
          <w:color w:val="000000"/>
        </w:rPr>
        <w:t xml:space="preserve">. </w:t>
      </w:r>
    </w:p>
    <w:p w14:paraId="1C3B5F09" w14:textId="778A4DE7" w:rsidR="008E2FE5" w:rsidRPr="006721F9" w:rsidRDefault="008E2FE5" w:rsidP="00250D66">
      <w:pPr>
        <w:pStyle w:val="List2"/>
        <w:numPr>
          <w:ilvl w:val="1"/>
          <w:numId w:val="30"/>
        </w:numPr>
        <w:tabs>
          <w:tab w:val="clear" w:pos="454"/>
        </w:tabs>
        <w:ind w:left="720" w:hanging="720"/>
        <w:rPr>
          <w:rFonts w:cstheme="minorHAnsi"/>
          <w:color w:val="000000"/>
        </w:rPr>
      </w:pPr>
      <w:r w:rsidRPr="006721F9">
        <w:rPr>
          <w:rFonts w:cstheme="minorHAnsi"/>
          <w:color w:val="000000"/>
        </w:rPr>
        <w:t xml:space="preserve">Where it is unclear whether an activity or part of an activity is authorised under the Program, the titleholder </w:t>
      </w:r>
      <w:r>
        <w:rPr>
          <w:rFonts w:cstheme="minorHAnsi"/>
          <w:color w:val="000000"/>
        </w:rPr>
        <w:t>should</w:t>
      </w:r>
      <w:r w:rsidRPr="006721F9">
        <w:rPr>
          <w:rFonts w:cstheme="minorHAnsi"/>
          <w:color w:val="000000"/>
        </w:rPr>
        <w:t xml:space="preserve"> consult with NOPSEMA</w:t>
      </w:r>
      <w:r w:rsidR="0045507C">
        <w:rPr>
          <w:rFonts w:cstheme="minorHAnsi"/>
          <w:color w:val="000000"/>
        </w:rPr>
        <w:t xml:space="preserve"> in the first instance to clarify what approvals may be required</w:t>
      </w:r>
      <w:r>
        <w:rPr>
          <w:rFonts w:cstheme="minorHAnsi"/>
          <w:color w:val="000000"/>
        </w:rPr>
        <w:t>.</w:t>
      </w:r>
    </w:p>
    <w:p w14:paraId="74C379B6" w14:textId="6A64A749" w:rsidR="00A63D7D" w:rsidRPr="00AD0837" w:rsidRDefault="00A63D7D" w:rsidP="00250D66">
      <w:pPr>
        <w:pStyle w:val="List2"/>
        <w:numPr>
          <w:ilvl w:val="1"/>
          <w:numId w:val="30"/>
        </w:numPr>
        <w:tabs>
          <w:tab w:val="clear" w:pos="454"/>
        </w:tabs>
        <w:ind w:left="720" w:hanging="720"/>
        <w:rPr>
          <w:rFonts w:cstheme="minorHAnsi"/>
          <w:color w:val="000000"/>
        </w:rPr>
      </w:pPr>
      <w:r w:rsidRPr="006A2544">
        <w:rPr>
          <w:rFonts w:eastAsia="Calibri" w:cstheme="minorHAnsi"/>
        </w:rPr>
        <w:t xml:space="preserve">In addition, if decommissioning activities occur wholly, or in part, in State or Territory marine </w:t>
      </w:r>
      <w:r w:rsidRPr="00250D66">
        <w:rPr>
          <w:rFonts w:cstheme="minorHAnsi"/>
        </w:rPr>
        <w:t>waters</w:t>
      </w:r>
      <w:r w:rsidRPr="006A2544">
        <w:rPr>
          <w:rFonts w:eastAsia="Calibri" w:cstheme="minorHAnsi"/>
        </w:rPr>
        <w:t xml:space="preserve">, and </w:t>
      </w:r>
      <w:r w:rsidR="00F731E5">
        <w:rPr>
          <w:rFonts w:eastAsia="Calibri" w:cstheme="minorHAnsi"/>
        </w:rPr>
        <w:t xml:space="preserve">will, or are likely to, have a significant </w:t>
      </w:r>
      <w:r w:rsidR="006721F9">
        <w:rPr>
          <w:rFonts w:eastAsia="Calibri" w:cstheme="minorHAnsi"/>
        </w:rPr>
        <w:t xml:space="preserve">impact </w:t>
      </w:r>
      <w:r w:rsidR="00F731E5">
        <w:rPr>
          <w:rFonts w:eastAsia="Calibri" w:cstheme="minorHAnsi"/>
        </w:rPr>
        <w:t>on</w:t>
      </w:r>
      <w:r w:rsidRPr="006A2544">
        <w:rPr>
          <w:rFonts w:eastAsia="Calibri" w:cstheme="minorHAnsi"/>
        </w:rPr>
        <w:t xml:space="preserve"> a Matter of National Environmental </w:t>
      </w:r>
      <w:r w:rsidRPr="00703791">
        <w:t>Significance</w:t>
      </w:r>
      <w:r w:rsidRPr="006A2544">
        <w:rPr>
          <w:rFonts w:eastAsia="Calibri" w:cstheme="minorHAnsi"/>
        </w:rPr>
        <w:t xml:space="preserve">, then a referral under </w:t>
      </w:r>
      <w:r w:rsidRPr="006A2544">
        <w:rPr>
          <w:rFonts w:cstheme="minorHAnsi"/>
          <w:color w:val="000000"/>
        </w:rPr>
        <w:t>Part 7</w:t>
      </w:r>
      <w:r w:rsidR="0045507C">
        <w:rPr>
          <w:rFonts w:cstheme="minorHAnsi"/>
          <w:color w:val="000000"/>
        </w:rPr>
        <w:t xml:space="preserve"> </w:t>
      </w:r>
      <w:r w:rsidRPr="006A2544">
        <w:rPr>
          <w:rFonts w:cstheme="minorHAnsi"/>
          <w:color w:val="000000"/>
        </w:rPr>
        <w:t>of the EPBC Act is likely to be required</w:t>
      </w:r>
      <w:r w:rsidR="00E96490">
        <w:rPr>
          <w:rFonts w:cstheme="minorHAnsi"/>
          <w:color w:val="000000"/>
        </w:rPr>
        <w:t>, in addition to any necessary State or Territory approvals</w:t>
      </w:r>
      <w:r w:rsidRPr="006A2544">
        <w:rPr>
          <w:rFonts w:cstheme="minorHAnsi"/>
          <w:color w:val="000000"/>
        </w:rPr>
        <w:t xml:space="preserve">. </w:t>
      </w:r>
      <w:r w:rsidR="008E2FE5" w:rsidRPr="008E2FE5">
        <w:rPr>
          <w:rFonts w:cstheme="minorHAnsi"/>
          <w:color w:val="000000"/>
        </w:rPr>
        <w:t xml:space="preserve"> </w:t>
      </w:r>
    </w:p>
    <w:p w14:paraId="5A6E4B59" w14:textId="2DA99302" w:rsidR="00631752" w:rsidRDefault="00631752" w:rsidP="00703791">
      <w:pPr>
        <w:pStyle w:val="Calloutbox"/>
      </w:pPr>
      <w:r>
        <w:t>Further information is available on the DAWE website:</w:t>
      </w:r>
    </w:p>
    <w:p w14:paraId="544D78B0" w14:textId="77777777" w:rsidR="00631752" w:rsidRDefault="00C917F9" w:rsidP="00631752">
      <w:pPr>
        <w:pStyle w:val="Calloutbox"/>
      </w:pPr>
      <w:hyperlink r:id="rId39" w:history="1">
        <w:r w:rsidR="00631752">
          <w:rPr>
            <w:rStyle w:val="Hyperlink"/>
          </w:rPr>
          <w:t xml:space="preserve">Referral, </w:t>
        </w:r>
        <w:proofErr w:type="gramStart"/>
        <w:r w:rsidR="00631752">
          <w:rPr>
            <w:rStyle w:val="Hyperlink"/>
          </w:rPr>
          <w:t>assessment</w:t>
        </w:r>
        <w:proofErr w:type="gramEnd"/>
        <w:r w:rsidR="00631752">
          <w:rPr>
            <w:rStyle w:val="Hyperlink"/>
          </w:rPr>
          <w:t xml:space="preserve"> and approval processes under the EPBC Act</w:t>
        </w:r>
      </w:hyperlink>
    </w:p>
    <w:p w14:paraId="4FA94E87" w14:textId="48939CA7" w:rsidR="00631752" w:rsidRDefault="00C917F9" w:rsidP="00FF27C5">
      <w:pPr>
        <w:pStyle w:val="Calloutbox"/>
      </w:pPr>
      <w:hyperlink r:id="rId40" w:history="1">
        <w:r w:rsidR="00631752" w:rsidRPr="00A63D7D">
          <w:rPr>
            <w:rStyle w:val="Hyperlink"/>
          </w:rPr>
          <w:t>NOPSEMA Strategic Assessment</w:t>
        </w:r>
      </w:hyperlink>
    </w:p>
    <w:p w14:paraId="78C32AC5" w14:textId="038B85BF" w:rsidR="00850DC5" w:rsidRPr="00FD5B86" w:rsidRDefault="00850DC5" w:rsidP="00FD5B86">
      <w:pPr>
        <w:pStyle w:val="Heading2"/>
      </w:pPr>
      <w:bookmarkStart w:id="338" w:name="_5.3.2_Environment_Protection"/>
      <w:bookmarkStart w:id="339" w:name="_Toc81319796"/>
      <w:bookmarkStart w:id="340" w:name="_Toc81322604"/>
      <w:bookmarkStart w:id="341" w:name="_Toc81324992"/>
      <w:bookmarkStart w:id="342" w:name="_Toc81327245"/>
      <w:bookmarkStart w:id="343" w:name="_Toc81327517"/>
      <w:bookmarkStart w:id="344" w:name="_Toc82785094"/>
      <w:bookmarkStart w:id="345" w:name="_Toc82787205"/>
      <w:bookmarkStart w:id="346" w:name="_Toc82788254"/>
      <w:bookmarkStart w:id="347" w:name="_Toc83029557"/>
      <w:bookmarkStart w:id="348" w:name="_Toc83034003"/>
      <w:bookmarkStart w:id="349" w:name="_Toc93925224"/>
      <w:bookmarkEnd w:id="338"/>
      <w:r w:rsidRPr="00FD5B86">
        <w:t>Hazardous Wastes (Regulation of Exports and Imports) Act 1989</w:t>
      </w:r>
      <w:bookmarkEnd w:id="339"/>
      <w:bookmarkEnd w:id="340"/>
      <w:bookmarkEnd w:id="341"/>
      <w:bookmarkEnd w:id="342"/>
      <w:bookmarkEnd w:id="343"/>
      <w:bookmarkEnd w:id="344"/>
      <w:bookmarkEnd w:id="345"/>
      <w:bookmarkEnd w:id="346"/>
      <w:bookmarkEnd w:id="347"/>
      <w:bookmarkEnd w:id="348"/>
      <w:bookmarkEnd w:id="349"/>
      <w:r w:rsidRPr="00FD5B86">
        <w:t xml:space="preserve"> </w:t>
      </w:r>
    </w:p>
    <w:p w14:paraId="5DFE2D0A" w14:textId="0EE414CA" w:rsidR="00D404DC" w:rsidRDefault="009275D4" w:rsidP="00250D66">
      <w:pPr>
        <w:pStyle w:val="List2"/>
        <w:numPr>
          <w:ilvl w:val="1"/>
          <w:numId w:val="30"/>
        </w:numPr>
        <w:tabs>
          <w:tab w:val="clear" w:pos="454"/>
        </w:tabs>
        <w:ind w:left="720" w:hanging="720"/>
      </w:pPr>
      <w:r w:rsidRPr="00850DC5">
        <w:t xml:space="preserve">The </w:t>
      </w:r>
      <w:hyperlink r:id="rId41" w:tooltip="https://www.legislation.gov.au/Details/C2017C00194" w:history="1">
        <w:r w:rsidRPr="00671C69">
          <w:rPr>
            <w:rStyle w:val="Hyperlink"/>
            <w:i/>
          </w:rPr>
          <w:t>Hazardous Wastes (Regulation o</w:t>
        </w:r>
        <w:r w:rsidR="00366289" w:rsidRPr="00671C69">
          <w:rPr>
            <w:rStyle w:val="Hyperlink"/>
            <w:i/>
          </w:rPr>
          <w:t>f Exports and Imports) Act 1989</w:t>
        </w:r>
      </w:hyperlink>
      <w:r w:rsidR="001D597D">
        <w:t xml:space="preserve"> </w:t>
      </w:r>
      <w:r w:rsidRPr="00850DC5">
        <w:t xml:space="preserve">regulates the export and </w:t>
      </w:r>
      <w:r w:rsidRPr="00250D66">
        <w:rPr>
          <w:rFonts w:cstheme="minorHAnsi"/>
        </w:rPr>
        <w:t>import</w:t>
      </w:r>
      <w:r w:rsidRPr="00850DC5">
        <w:t xml:space="preserve"> of controlled wastes</w:t>
      </w:r>
      <w:r w:rsidR="00DA78A3">
        <w:t xml:space="preserve">. </w:t>
      </w:r>
      <w:r w:rsidR="00366289">
        <w:t xml:space="preserve">Under the Act, </w:t>
      </w:r>
      <w:r w:rsidR="00850DC5" w:rsidRPr="00850DC5">
        <w:t xml:space="preserve">interested parties may apply to the Minister for the Environment for a permit to </w:t>
      </w:r>
      <w:r w:rsidR="00366289">
        <w:t>transport controlled wastes in</w:t>
      </w:r>
      <w:r w:rsidR="00850DC5" w:rsidRPr="00850DC5">
        <w:t xml:space="preserve"> and out of Australia</w:t>
      </w:r>
      <w:bookmarkStart w:id="350" w:name="_5.4_State_and"/>
      <w:bookmarkStart w:id="351" w:name="_Toc479770984"/>
      <w:bookmarkStart w:id="352" w:name="_Toc479778755"/>
      <w:bookmarkStart w:id="353" w:name="_Toc479845271"/>
      <w:bookmarkStart w:id="354" w:name="_Toc482364356"/>
      <w:bookmarkStart w:id="355" w:name="_Toc460234702"/>
      <w:bookmarkStart w:id="356" w:name="_Toc460246237"/>
      <w:bookmarkStart w:id="357" w:name="_Toc460260039"/>
      <w:bookmarkStart w:id="358" w:name="_Toc460341814"/>
      <w:bookmarkStart w:id="359" w:name="_Toc460421952"/>
      <w:bookmarkEnd w:id="272"/>
      <w:bookmarkEnd w:id="273"/>
      <w:bookmarkEnd w:id="274"/>
      <w:bookmarkEnd w:id="275"/>
      <w:bookmarkEnd w:id="276"/>
      <w:bookmarkEnd w:id="277"/>
      <w:bookmarkEnd w:id="278"/>
      <w:bookmarkEnd w:id="279"/>
      <w:bookmarkEnd w:id="350"/>
      <w:r w:rsidR="00DA78A3">
        <w:t>.</w:t>
      </w:r>
    </w:p>
    <w:p w14:paraId="6C88B554" w14:textId="6AEA4BCF" w:rsidR="00671C69" w:rsidRDefault="00C917F9" w:rsidP="00671C69">
      <w:pPr>
        <w:pStyle w:val="Calloutbox"/>
      </w:pPr>
      <w:hyperlink r:id="rId42" w:tooltip="https://www.environment.gov.au/protection/hazardous-waste" w:history="1">
        <w:r w:rsidR="00671C69" w:rsidRPr="00FC7443">
          <w:rPr>
            <w:rStyle w:val="Hyperlink"/>
          </w:rPr>
          <w:t xml:space="preserve">Further information on the hazardous </w:t>
        </w:r>
        <w:proofErr w:type="gramStart"/>
        <w:r w:rsidR="00671C69" w:rsidRPr="00FC7443">
          <w:rPr>
            <w:rStyle w:val="Hyperlink"/>
          </w:rPr>
          <w:t>wastes</w:t>
        </w:r>
        <w:proofErr w:type="gramEnd"/>
        <w:r w:rsidR="00671C69" w:rsidRPr="00FC7443">
          <w:rPr>
            <w:rStyle w:val="Hyperlink"/>
          </w:rPr>
          <w:t xml:space="preserve"> regime</w:t>
        </w:r>
      </w:hyperlink>
      <w:r w:rsidR="00671C69" w:rsidRPr="00850DC5">
        <w:t xml:space="preserve"> </w:t>
      </w:r>
      <w:r w:rsidR="00671C69">
        <w:t xml:space="preserve">is available on the DAWE website. </w:t>
      </w:r>
    </w:p>
    <w:p w14:paraId="330C9927" w14:textId="61E68C45" w:rsidR="005B4AEB" w:rsidRPr="00FD5B86" w:rsidRDefault="005B4AEB" w:rsidP="00761C16">
      <w:pPr>
        <w:pStyle w:val="Heading2"/>
        <w:rPr>
          <w:rStyle w:val="Hyperlink"/>
          <w:color w:val="005677" w:themeColor="text2"/>
          <w:u w:val="none"/>
        </w:rPr>
      </w:pPr>
      <w:bookmarkStart w:id="360" w:name="_Toc486939259"/>
      <w:bookmarkStart w:id="361" w:name="_Toc486939332"/>
      <w:bookmarkStart w:id="362" w:name="_Toc486950241"/>
      <w:bookmarkStart w:id="363" w:name="_Toc486956439"/>
      <w:bookmarkStart w:id="364" w:name="_Toc489460742"/>
      <w:bookmarkStart w:id="365" w:name="_Toc489460850"/>
      <w:bookmarkStart w:id="366" w:name="_Toc81319797"/>
      <w:bookmarkStart w:id="367" w:name="_Toc81322605"/>
      <w:bookmarkStart w:id="368" w:name="_Toc81324993"/>
      <w:bookmarkStart w:id="369" w:name="_Toc81327246"/>
      <w:bookmarkStart w:id="370" w:name="_Toc81327518"/>
      <w:bookmarkStart w:id="371" w:name="_Toc82785095"/>
      <w:bookmarkStart w:id="372" w:name="_Toc82787206"/>
      <w:bookmarkStart w:id="373" w:name="_Toc82788255"/>
      <w:bookmarkStart w:id="374" w:name="_Toc83029558"/>
      <w:bookmarkStart w:id="375" w:name="_Toc83034004"/>
      <w:bookmarkStart w:id="376" w:name="_Toc93925225"/>
      <w:r w:rsidRPr="00FD5B86">
        <w:rPr>
          <w:rStyle w:val="Hyperlink"/>
          <w:color w:val="005677" w:themeColor="text2"/>
          <w:u w:val="none"/>
        </w:rPr>
        <w:t>State and Territory waste management legislation</w:t>
      </w:r>
      <w:bookmarkEnd w:id="351"/>
      <w:bookmarkEnd w:id="352"/>
      <w:bookmarkEnd w:id="353"/>
      <w:bookmarkEnd w:id="354"/>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50A2FB1" w14:textId="20464C95" w:rsidR="00671C69" w:rsidRPr="006A2544" w:rsidRDefault="00204944" w:rsidP="00250D66">
      <w:pPr>
        <w:pStyle w:val="List2"/>
        <w:numPr>
          <w:ilvl w:val="1"/>
          <w:numId w:val="30"/>
        </w:numPr>
        <w:tabs>
          <w:tab w:val="clear" w:pos="454"/>
        </w:tabs>
        <w:ind w:left="720" w:hanging="720"/>
        <w:rPr>
          <w:rFonts w:cstheme="minorHAnsi"/>
        </w:rPr>
      </w:pPr>
      <w:r w:rsidRPr="006A2544">
        <w:rPr>
          <w:rFonts w:cstheme="minorHAnsi"/>
          <w:lang w:val="en"/>
        </w:rPr>
        <w:t>The de</w:t>
      </w:r>
      <w:r w:rsidR="00015B1F" w:rsidRPr="006A2544">
        <w:rPr>
          <w:rFonts w:cstheme="minorHAnsi"/>
          <w:lang w:val="en"/>
        </w:rPr>
        <w:t xml:space="preserve">commissioning process typically involves dealing with a variety of waste products, </w:t>
      </w:r>
      <w:r w:rsidR="00015B1F" w:rsidRPr="00250D66">
        <w:rPr>
          <w:rFonts w:cstheme="minorHAnsi"/>
        </w:rPr>
        <w:t>including</w:t>
      </w:r>
      <w:r w:rsidR="00111FA5" w:rsidRPr="006A2544">
        <w:rPr>
          <w:rFonts w:cstheme="minorHAnsi"/>
          <w:lang w:val="en"/>
        </w:rPr>
        <w:t xml:space="preserve"> property </w:t>
      </w:r>
      <w:r w:rsidR="00015B1F" w:rsidRPr="006A2544">
        <w:rPr>
          <w:rFonts w:cstheme="minorHAnsi"/>
          <w:lang w:val="en"/>
        </w:rPr>
        <w:t>(</w:t>
      </w:r>
      <w:r w:rsidR="00111FA5" w:rsidRPr="006A2544">
        <w:rPr>
          <w:rFonts w:cstheme="minorHAnsi"/>
          <w:lang w:val="en"/>
        </w:rPr>
        <w:t xml:space="preserve">such as </w:t>
      </w:r>
      <w:r w:rsidR="00015B1F" w:rsidRPr="006A2544">
        <w:rPr>
          <w:rFonts w:cstheme="minorHAnsi"/>
          <w:lang w:val="en"/>
        </w:rPr>
        <w:t xml:space="preserve">facilities, pipelines, wellheads, anchors, etc.) used to support petroleum </w:t>
      </w:r>
      <w:r w:rsidR="00C67D18" w:rsidRPr="006A2544">
        <w:rPr>
          <w:rFonts w:cstheme="minorHAnsi"/>
          <w:lang w:val="en"/>
        </w:rPr>
        <w:t>activities</w:t>
      </w:r>
      <w:r w:rsidR="00015B1F" w:rsidRPr="006A2544">
        <w:rPr>
          <w:rFonts w:cstheme="minorHAnsi"/>
          <w:lang w:val="en"/>
        </w:rPr>
        <w:t xml:space="preserve">, drill </w:t>
      </w:r>
      <w:r w:rsidR="00015B1F" w:rsidRPr="00703791">
        <w:t>cuttings</w:t>
      </w:r>
      <w:r w:rsidR="00015B1F" w:rsidRPr="006A2544">
        <w:rPr>
          <w:rFonts w:cstheme="minorHAnsi"/>
          <w:lang w:val="en"/>
        </w:rPr>
        <w:t xml:space="preserve"> and other debris generated during the decommissioning </w:t>
      </w:r>
      <w:r w:rsidR="00015B1F" w:rsidRPr="00703791">
        <w:t>process</w:t>
      </w:r>
      <w:r w:rsidR="00015B1F" w:rsidRPr="006A2544">
        <w:rPr>
          <w:rFonts w:cstheme="minorHAnsi"/>
          <w:lang w:val="en"/>
        </w:rPr>
        <w:t xml:space="preserve">, and </w:t>
      </w:r>
      <w:r w:rsidR="007F739A" w:rsidRPr="006A2544">
        <w:rPr>
          <w:rFonts w:cstheme="minorHAnsi"/>
          <w:lang w:val="en"/>
        </w:rPr>
        <w:t>oils</w:t>
      </w:r>
      <w:r w:rsidR="00015B1F" w:rsidRPr="006A2544">
        <w:rPr>
          <w:rFonts w:cstheme="minorHAnsi"/>
          <w:lang w:val="en"/>
        </w:rPr>
        <w:t xml:space="preserve"> and other wastes generated when cleaning </w:t>
      </w:r>
      <w:r w:rsidR="00F93551" w:rsidRPr="006A2544">
        <w:rPr>
          <w:rFonts w:cstheme="minorHAnsi"/>
          <w:lang w:val="en"/>
        </w:rPr>
        <w:t>decommissioned</w:t>
      </w:r>
      <w:r w:rsidR="00A4093D" w:rsidRPr="006A2544">
        <w:rPr>
          <w:rFonts w:cstheme="minorHAnsi"/>
          <w:lang w:val="en"/>
        </w:rPr>
        <w:t xml:space="preserve"> </w:t>
      </w:r>
      <w:r w:rsidR="00111FA5" w:rsidRPr="006A2544">
        <w:rPr>
          <w:rFonts w:cstheme="minorHAnsi"/>
          <w:lang w:val="en"/>
        </w:rPr>
        <w:t xml:space="preserve">property. </w:t>
      </w:r>
      <w:r w:rsidR="00A4093D" w:rsidRPr="006A2544">
        <w:rPr>
          <w:rFonts w:cstheme="minorHAnsi"/>
          <w:lang w:val="en"/>
        </w:rPr>
        <w:t xml:space="preserve"> </w:t>
      </w:r>
    </w:p>
    <w:p w14:paraId="7B44DC92" w14:textId="77777777" w:rsidR="00671C69" w:rsidRPr="006A2544" w:rsidRDefault="005E510B" w:rsidP="00250D66">
      <w:pPr>
        <w:pStyle w:val="List2"/>
        <w:numPr>
          <w:ilvl w:val="1"/>
          <w:numId w:val="30"/>
        </w:numPr>
        <w:tabs>
          <w:tab w:val="clear" w:pos="454"/>
        </w:tabs>
        <w:ind w:left="720" w:hanging="720"/>
        <w:rPr>
          <w:rFonts w:cstheme="minorHAnsi"/>
          <w:lang w:val="en"/>
        </w:rPr>
      </w:pPr>
      <w:r w:rsidRPr="006A2544">
        <w:rPr>
          <w:rFonts w:cstheme="minorHAnsi"/>
          <w:lang w:val="en"/>
        </w:rPr>
        <w:t xml:space="preserve">Where onshore treatment and disposal of wastes is to be undertaken as a component of </w:t>
      </w:r>
      <w:r w:rsidRPr="00250D66">
        <w:rPr>
          <w:rFonts w:cstheme="minorHAnsi"/>
        </w:rPr>
        <w:t>decommissioning</w:t>
      </w:r>
      <w:r w:rsidRPr="006A2544">
        <w:rPr>
          <w:rFonts w:cstheme="minorHAnsi"/>
          <w:lang w:val="en"/>
        </w:rPr>
        <w:t xml:space="preserve">, </w:t>
      </w:r>
      <w:r w:rsidR="00015B1F" w:rsidRPr="006A2544">
        <w:rPr>
          <w:rFonts w:cstheme="minorHAnsi"/>
          <w:lang w:val="en"/>
        </w:rPr>
        <w:t>management</w:t>
      </w:r>
      <w:r w:rsidRPr="006A2544">
        <w:rPr>
          <w:rFonts w:cstheme="minorHAnsi"/>
          <w:lang w:val="en"/>
        </w:rPr>
        <w:t xml:space="preserve"> of this waste</w:t>
      </w:r>
      <w:r w:rsidR="00AB12DD" w:rsidRPr="006A2544">
        <w:rPr>
          <w:rFonts w:cstheme="minorHAnsi"/>
          <w:lang w:val="en"/>
        </w:rPr>
        <w:t xml:space="preserve"> is primarily the responsibility of the States and Territories, which regulate and manage </w:t>
      </w:r>
      <w:r w:rsidR="00AB12DD" w:rsidRPr="00703791">
        <w:t>waste</w:t>
      </w:r>
      <w:r w:rsidR="00AB12DD" w:rsidRPr="006A2544">
        <w:rPr>
          <w:rFonts w:cstheme="minorHAnsi"/>
          <w:lang w:val="en"/>
        </w:rPr>
        <w:t xml:space="preserve"> in accordance with their respective legislation, </w:t>
      </w:r>
      <w:proofErr w:type="gramStart"/>
      <w:r w:rsidR="00AB12DD" w:rsidRPr="006A2544">
        <w:rPr>
          <w:rFonts w:cstheme="minorHAnsi"/>
          <w:lang w:val="en"/>
        </w:rPr>
        <w:t>policies</w:t>
      </w:r>
      <w:proofErr w:type="gramEnd"/>
      <w:r w:rsidR="00AB12DD" w:rsidRPr="006A2544">
        <w:rPr>
          <w:rFonts w:cstheme="minorHAnsi"/>
          <w:lang w:val="en"/>
        </w:rPr>
        <w:t xml:space="preserve"> and programs. This </w:t>
      </w:r>
      <w:proofErr w:type="gramStart"/>
      <w:r w:rsidR="00AB12DD" w:rsidRPr="006A2544">
        <w:rPr>
          <w:rFonts w:cstheme="minorHAnsi"/>
          <w:lang w:val="en"/>
        </w:rPr>
        <w:t>includes</w:t>
      </w:r>
      <w:r w:rsidR="00F51EC6" w:rsidRPr="006A2544">
        <w:rPr>
          <w:rFonts w:cstheme="minorHAnsi"/>
          <w:lang w:val="en"/>
        </w:rPr>
        <w:t>:</w:t>
      </w:r>
      <w:proofErr w:type="gramEnd"/>
      <w:r w:rsidR="00AB12DD" w:rsidRPr="006A2544">
        <w:rPr>
          <w:rFonts w:cstheme="minorHAnsi"/>
          <w:lang w:val="en"/>
        </w:rPr>
        <w:t xml:space="preserve"> planning for waste management and waste avoidance, </w:t>
      </w:r>
      <w:r w:rsidR="00856352" w:rsidRPr="006A2544">
        <w:rPr>
          <w:rFonts w:cstheme="minorHAnsi"/>
          <w:lang w:val="en"/>
        </w:rPr>
        <w:t>minimization</w:t>
      </w:r>
      <w:r w:rsidR="00AB12DD" w:rsidRPr="006A2544">
        <w:rPr>
          <w:rFonts w:cstheme="minorHAnsi"/>
          <w:lang w:val="en"/>
        </w:rPr>
        <w:t xml:space="preserve"> and reuse</w:t>
      </w:r>
      <w:r w:rsidR="00F51EC6" w:rsidRPr="006A2544">
        <w:rPr>
          <w:rFonts w:cstheme="minorHAnsi"/>
          <w:lang w:val="en"/>
        </w:rPr>
        <w:t>;</w:t>
      </w:r>
      <w:r w:rsidR="00AB12DD" w:rsidRPr="006A2544">
        <w:rPr>
          <w:rFonts w:cstheme="minorHAnsi"/>
          <w:lang w:val="en"/>
        </w:rPr>
        <w:t xml:space="preserve"> licensing and regulation of waste transport, storage, treatment, resource recovery and disposal</w:t>
      </w:r>
      <w:r w:rsidR="00F51EC6" w:rsidRPr="006A2544">
        <w:rPr>
          <w:rFonts w:cstheme="minorHAnsi"/>
          <w:lang w:val="en"/>
        </w:rPr>
        <w:t>;</w:t>
      </w:r>
      <w:r w:rsidR="00AB12DD" w:rsidRPr="006A2544">
        <w:rPr>
          <w:rFonts w:cstheme="minorHAnsi"/>
          <w:lang w:val="en"/>
        </w:rPr>
        <w:t xml:space="preserve"> and managing the impacts of waste management activities.</w:t>
      </w:r>
    </w:p>
    <w:p w14:paraId="1F5A6D9C" w14:textId="73E33E2F" w:rsidR="008A1D28" w:rsidRPr="006A2544" w:rsidRDefault="005A1B1A" w:rsidP="00250D66">
      <w:pPr>
        <w:pStyle w:val="List2"/>
        <w:numPr>
          <w:ilvl w:val="1"/>
          <w:numId w:val="30"/>
        </w:numPr>
        <w:tabs>
          <w:tab w:val="clear" w:pos="454"/>
        </w:tabs>
        <w:ind w:left="720" w:hanging="720"/>
        <w:rPr>
          <w:rFonts w:cstheme="minorHAnsi"/>
          <w:lang w:val="en"/>
        </w:rPr>
        <w:sectPr w:rsidR="008A1D28" w:rsidRPr="006A2544" w:rsidSect="003A402E">
          <w:headerReference w:type="default" r:id="rId43"/>
          <w:footerReference w:type="default" r:id="rId44"/>
          <w:headerReference w:type="first" r:id="rId45"/>
          <w:footerReference w:type="first" r:id="rId46"/>
          <w:pgSz w:w="11906" w:h="16838"/>
          <w:pgMar w:top="993" w:right="1440" w:bottom="1440" w:left="1440" w:header="851" w:footer="709" w:gutter="0"/>
          <w:cols w:space="708"/>
          <w:titlePg/>
          <w:docGrid w:linePitch="360"/>
        </w:sectPr>
      </w:pPr>
      <w:r w:rsidRPr="006A2544">
        <w:rPr>
          <w:rFonts w:cstheme="minorHAnsi"/>
          <w:noProof/>
          <w:lang w:eastAsia="en-AU"/>
        </w:rPr>
        <w:lastRenderedPageBreak/>
        <mc:AlternateContent>
          <mc:Choice Requires="wps">
            <w:drawing>
              <wp:anchor distT="45720" distB="45720" distL="114300" distR="114300" simplePos="0" relativeHeight="251658243" behindDoc="0" locked="0" layoutInCell="1" allowOverlap="1" wp14:anchorId="6BCAE52A" wp14:editId="1275E4E4">
                <wp:simplePos x="0" y="0"/>
                <wp:positionH relativeFrom="margin">
                  <wp:posOffset>0</wp:posOffset>
                </wp:positionH>
                <wp:positionV relativeFrom="paragraph">
                  <wp:posOffset>540385</wp:posOffset>
                </wp:positionV>
                <wp:extent cx="5715000" cy="17430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43075"/>
                        </a:xfrm>
                        <a:prstGeom prst="rect">
                          <a:avLst/>
                        </a:prstGeom>
                        <a:solidFill>
                          <a:schemeClr val="accent4">
                            <a:lumMod val="20000"/>
                            <a:lumOff val="80000"/>
                          </a:schemeClr>
                        </a:solidFill>
                        <a:ln w="9525">
                          <a:noFill/>
                          <a:miter lim="800000"/>
                          <a:headEnd/>
                          <a:tailEnd/>
                        </a:ln>
                      </wps:spPr>
                      <wps:txbx>
                        <w:txbxContent>
                          <w:p w14:paraId="5DEB8FC3" w14:textId="3627F87D" w:rsidR="009C111B" w:rsidRDefault="009C111B" w:rsidP="00856352">
                            <w:pPr>
                              <w:spacing w:before="120" w:after="120" w:line="276" w:lineRule="auto"/>
                            </w:pPr>
                            <w:r>
                              <w:t xml:space="preserve">An </w:t>
                            </w:r>
                            <w:hyperlink r:id="rId47" w:tooltip="http://www.environment.gov.au/topics/environment-protection/nwp/reporting/policies-and-governance" w:history="1">
                              <w:r w:rsidRPr="00856352">
                                <w:rPr>
                                  <w:rStyle w:val="Hyperlink"/>
                                </w:rPr>
                                <w:t>outline</w:t>
                              </w:r>
                            </w:hyperlink>
                            <w:r>
                              <w:t xml:space="preserve"> of the waste management legislation and strategies for each Australian jurisdiction is provided on the DAWE website. A more comprehensive overview for each jurisdiction is also provided in the following factsheets: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70"/>
                            </w:tblGrid>
                            <w:tr w:rsidR="009C111B" w14:paraId="2D044E2B" w14:textId="77777777" w:rsidTr="005A1B1A">
                              <w:tc>
                                <w:tcPr>
                                  <w:tcW w:w="4158" w:type="dxa"/>
                                </w:tcPr>
                                <w:p w14:paraId="05E1799C" w14:textId="10F62933" w:rsidR="009C111B" w:rsidRPr="005A1B1A" w:rsidRDefault="00C917F9" w:rsidP="00A00029">
                                  <w:pPr>
                                    <w:numPr>
                                      <w:ilvl w:val="0"/>
                                      <w:numId w:val="4"/>
                                    </w:numPr>
                                    <w:spacing w:before="120" w:after="120" w:line="276" w:lineRule="auto"/>
                                    <w:contextualSpacing/>
                                  </w:pPr>
                                  <w:hyperlink r:id="rId48" w:tooltip="http://www.environment.gov.au/system/files/resources/0a517ed7-74cb-418b-9319-7624491e4921/files/factsheet-waste-profile-act.pdf" w:history="1">
                                    <w:r w:rsidR="009C111B" w:rsidRPr="005A1B1A">
                                      <w:rPr>
                                        <w:color w:val="0070AE" w:themeColor="hyperlink"/>
                                        <w:u w:val="single"/>
                                      </w:rPr>
                                      <w:t>Australian Capital Territory</w:t>
                                    </w:r>
                                  </w:hyperlink>
                                  <w:r w:rsidR="009C111B" w:rsidRPr="005A1B1A">
                                    <w:t xml:space="preserve"> </w:t>
                                  </w:r>
                                </w:p>
                              </w:tc>
                              <w:tc>
                                <w:tcPr>
                                  <w:tcW w:w="4170" w:type="dxa"/>
                                </w:tcPr>
                                <w:p w14:paraId="360305DA" w14:textId="146A50D1" w:rsidR="009C111B" w:rsidRPr="005A1B1A" w:rsidRDefault="00C917F9" w:rsidP="00A00029">
                                  <w:pPr>
                                    <w:numPr>
                                      <w:ilvl w:val="0"/>
                                      <w:numId w:val="4"/>
                                    </w:numPr>
                                    <w:spacing w:before="120" w:after="120" w:line="276" w:lineRule="auto"/>
                                    <w:contextualSpacing/>
                                  </w:pPr>
                                  <w:hyperlink r:id="rId49" w:tooltip="http://www.environment.gov.au/system/files/resources/0a517ed7-74cb-418b-9319-7624491e4921/files/factsheet-waste-profile-nsw.pdf" w:history="1">
                                    <w:r w:rsidR="009C111B" w:rsidRPr="005A1B1A">
                                      <w:rPr>
                                        <w:color w:val="0070AE" w:themeColor="hyperlink"/>
                                        <w:u w:val="single"/>
                                      </w:rPr>
                                      <w:t>New South Wales</w:t>
                                    </w:r>
                                  </w:hyperlink>
                                </w:p>
                              </w:tc>
                            </w:tr>
                            <w:tr w:rsidR="009C111B" w14:paraId="15980C7D" w14:textId="77777777" w:rsidTr="005A1B1A">
                              <w:tc>
                                <w:tcPr>
                                  <w:tcW w:w="4158" w:type="dxa"/>
                                </w:tcPr>
                                <w:p w14:paraId="19379686" w14:textId="442DBD3B" w:rsidR="009C111B" w:rsidRPr="005A1B1A" w:rsidRDefault="00C917F9" w:rsidP="00A00029">
                                  <w:pPr>
                                    <w:numPr>
                                      <w:ilvl w:val="0"/>
                                      <w:numId w:val="4"/>
                                    </w:numPr>
                                    <w:spacing w:before="120" w:after="120" w:line="276" w:lineRule="auto"/>
                                    <w:contextualSpacing/>
                                  </w:pPr>
                                  <w:hyperlink r:id="rId50" w:tooltip="http://www.environment.gov.au/system/files/resources/0a517ed7-74cb-418b-9319-7624491e4921/files/factsheet-waste-profile-nt.pdf" w:history="1">
                                    <w:r w:rsidR="009C111B" w:rsidRPr="005A1B1A">
                                      <w:rPr>
                                        <w:rStyle w:val="Hyperlink"/>
                                      </w:rPr>
                                      <w:t>Northern Territory</w:t>
                                    </w:r>
                                  </w:hyperlink>
                                </w:p>
                              </w:tc>
                              <w:tc>
                                <w:tcPr>
                                  <w:tcW w:w="4170" w:type="dxa"/>
                                </w:tcPr>
                                <w:p w14:paraId="0496506D" w14:textId="735F7810" w:rsidR="009C111B" w:rsidRPr="005A1B1A" w:rsidRDefault="00C917F9" w:rsidP="00A00029">
                                  <w:pPr>
                                    <w:numPr>
                                      <w:ilvl w:val="0"/>
                                      <w:numId w:val="4"/>
                                    </w:numPr>
                                    <w:spacing w:before="120" w:after="120" w:line="276" w:lineRule="auto"/>
                                    <w:contextualSpacing/>
                                  </w:pPr>
                                  <w:hyperlink r:id="rId51" w:tooltip="http://www.environment.gov.au/system/files/resources/0a517ed7-74cb-418b-9319-7624491e4921/files/factsheet-waste-profile-qld_0.pdf" w:history="1">
                                    <w:r w:rsidR="009C111B" w:rsidRPr="005A1B1A">
                                      <w:rPr>
                                        <w:rStyle w:val="Hyperlink"/>
                                      </w:rPr>
                                      <w:t>Queensland</w:t>
                                    </w:r>
                                  </w:hyperlink>
                                </w:p>
                              </w:tc>
                            </w:tr>
                            <w:tr w:rsidR="009C111B" w14:paraId="7A50EEE7" w14:textId="77777777" w:rsidTr="005A1B1A">
                              <w:tc>
                                <w:tcPr>
                                  <w:tcW w:w="4158" w:type="dxa"/>
                                </w:tcPr>
                                <w:p w14:paraId="0523D54E" w14:textId="4DF34A59" w:rsidR="009C111B" w:rsidRPr="005A1B1A" w:rsidRDefault="00C917F9" w:rsidP="00A00029">
                                  <w:pPr>
                                    <w:numPr>
                                      <w:ilvl w:val="0"/>
                                      <w:numId w:val="4"/>
                                    </w:numPr>
                                    <w:spacing w:before="120" w:after="120" w:line="276" w:lineRule="auto"/>
                                    <w:contextualSpacing/>
                                  </w:pPr>
                                  <w:hyperlink r:id="rId52" w:tooltip="http://www.environment.gov.au/system/files/resources/0a517ed7-74cb-418b-9319-7624491e4921/files/factsheet-waste-profile-sa.pdf" w:history="1">
                                    <w:r w:rsidR="009C111B" w:rsidRPr="005A1B1A">
                                      <w:rPr>
                                        <w:rStyle w:val="Hyperlink"/>
                                      </w:rPr>
                                      <w:t>South Australia</w:t>
                                    </w:r>
                                  </w:hyperlink>
                                </w:p>
                              </w:tc>
                              <w:tc>
                                <w:tcPr>
                                  <w:tcW w:w="4170" w:type="dxa"/>
                                </w:tcPr>
                                <w:p w14:paraId="4ABAC629" w14:textId="1FBB9CDC" w:rsidR="009C111B" w:rsidRPr="005A1B1A" w:rsidRDefault="00C917F9" w:rsidP="00A00029">
                                  <w:pPr>
                                    <w:numPr>
                                      <w:ilvl w:val="0"/>
                                      <w:numId w:val="4"/>
                                    </w:numPr>
                                    <w:spacing w:before="120" w:after="120" w:line="276" w:lineRule="auto"/>
                                    <w:contextualSpacing/>
                                  </w:pPr>
                                  <w:hyperlink r:id="rId53" w:tooltip="http://www.environment.gov.au/system/files/resources/0a517ed7-74cb-418b-9319-7624491e4921/files/factsheet-waste-profile-tas.pdf" w:history="1">
                                    <w:r w:rsidR="009C111B" w:rsidRPr="005A1B1A">
                                      <w:rPr>
                                        <w:rStyle w:val="Hyperlink"/>
                                      </w:rPr>
                                      <w:t>Tasmania</w:t>
                                    </w:r>
                                  </w:hyperlink>
                                </w:p>
                              </w:tc>
                            </w:tr>
                            <w:tr w:rsidR="009C111B" w14:paraId="4150B106" w14:textId="77777777" w:rsidTr="005A1B1A">
                              <w:tc>
                                <w:tcPr>
                                  <w:tcW w:w="4158" w:type="dxa"/>
                                </w:tcPr>
                                <w:p w14:paraId="0DEA1639" w14:textId="00177C97" w:rsidR="009C111B" w:rsidRPr="005A1B1A" w:rsidRDefault="00C917F9" w:rsidP="00A00029">
                                  <w:pPr>
                                    <w:numPr>
                                      <w:ilvl w:val="0"/>
                                      <w:numId w:val="4"/>
                                    </w:numPr>
                                    <w:spacing w:before="120" w:after="120" w:line="276" w:lineRule="auto"/>
                                    <w:contextualSpacing/>
                                  </w:pPr>
                                  <w:hyperlink r:id="rId54" w:tooltip="http://www.environment.gov.au/system/files/resources/0a517ed7-74cb-418b-9319-7624491e4921/files/factsheet-waste-profile-vic.pdf" w:history="1">
                                    <w:r w:rsidR="009C111B" w:rsidRPr="005A1B1A">
                                      <w:rPr>
                                        <w:rStyle w:val="Hyperlink"/>
                                      </w:rPr>
                                      <w:t>Victoria</w:t>
                                    </w:r>
                                  </w:hyperlink>
                                </w:p>
                              </w:tc>
                              <w:tc>
                                <w:tcPr>
                                  <w:tcW w:w="4170" w:type="dxa"/>
                                </w:tcPr>
                                <w:p w14:paraId="68633763" w14:textId="67FB68FD" w:rsidR="009C111B" w:rsidRPr="005A1B1A" w:rsidRDefault="00C917F9" w:rsidP="00A00029">
                                  <w:pPr>
                                    <w:numPr>
                                      <w:ilvl w:val="0"/>
                                      <w:numId w:val="4"/>
                                    </w:numPr>
                                    <w:spacing w:before="120" w:after="120" w:line="276" w:lineRule="auto"/>
                                    <w:contextualSpacing/>
                                  </w:pPr>
                                  <w:hyperlink r:id="rId55" w:tooltip="http://www.environment.gov.au/system/files/resources/0a517ed7-74cb-418b-9319-7624491e4921/files/factsheet-waste-profile-wa.pdf" w:history="1">
                                    <w:r w:rsidR="009C111B" w:rsidRPr="005A1B1A">
                                      <w:rPr>
                                        <w:rStyle w:val="Hyperlink"/>
                                      </w:rPr>
                                      <w:t>Western Australia</w:t>
                                    </w:r>
                                  </w:hyperlink>
                                </w:p>
                              </w:tc>
                            </w:tr>
                          </w:tbl>
                          <w:p w14:paraId="166BC434" w14:textId="46180844" w:rsidR="009C111B" w:rsidRPr="005A1B1A" w:rsidRDefault="009C111B" w:rsidP="005A1B1A">
                            <w:pPr>
                              <w:spacing w:before="120" w:after="120" w:line="276" w:lineRule="auto"/>
                              <w:ind w:left="360"/>
                              <w:contextualSpacing/>
                            </w:pPr>
                          </w:p>
                          <w:p w14:paraId="027BA18D" w14:textId="481AE1DD" w:rsidR="009C111B" w:rsidRDefault="009C111B" w:rsidP="00856352">
                            <w:pPr>
                              <w:spacing w:before="120" w:after="120" w:line="276" w:lineRule="auto"/>
                            </w:pPr>
                          </w:p>
                          <w:p w14:paraId="5BF14628" w14:textId="77777777" w:rsidR="009C111B" w:rsidRDefault="009C111B" w:rsidP="008563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AE52A" id="_x0000_t202" coordsize="21600,21600" o:spt="202" path="m,l,21600r21600,l21600,xe">
                <v:stroke joinstyle="miter"/>
                <v:path gradientshapeok="t" o:connecttype="rect"/>
              </v:shapetype>
              <v:shape id="Text Box 2" o:spid="_x0000_s1026" type="#_x0000_t202" style="position:absolute;left:0;text-align:left;margin-left:0;margin-top:42.55pt;width:450pt;height:137.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" fillcolor="#dff3f3 [663]" stroked="f">
                <v:textbox>
                  <w:txbxContent>
                    <w:p w14:paraId="5DEB8FC3" w14:textId="3627F87D" w:rsidR="009C111B" w:rsidRDefault="009C111B" w:rsidP="00856352">
                      <w:pPr>
                        <w:spacing w:before="120" w:after="120" w:line="276" w:lineRule="auto"/>
                      </w:pPr>
                      <w:r>
                        <w:t xml:space="preserve">An </w:t>
                      </w:r>
                      <w:hyperlink r:id="rId56" w:tooltip="http://www.environment.gov.au/topics/environment-protection/nwp/reporting/policies-and-governance" w:history="1">
                        <w:r w:rsidRPr="00856352">
                          <w:rPr>
                            <w:rStyle w:val="Hyperlink"/>
                          </w:rPr>
                          <w:t>outline</w:t>
                        </w:r>
                      </w:hyperlink>
                      <w:r>
                        <w:t xml:space="preserve"> of the waste management legislation and strategies for each Australian jurisdiction is provided on the DAWE website. A more comprehensive overview for each jurisdiction is also provided in the following factsheets: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70"/>
                      </w:tblGrid>
                      <w:tr w:rsidR="009C111B" w14:paraId="2D044E2B" w14:textId="77777777" w:rsidTr="005A1B1A">
                        <w:tc>
                          <w:tcPr>
                            <w:tcW w:w="4158" w:type="dxa"/>
                          </w:tcPr>
                          <w:p w14:paraId="05E1799C" w14:textId="10F62933" w:rsidR="009C111B" w:rsidRPr="005A1B1A" w:rsidRDefault="00C917F9" w:rsidP="00A00029">
                            <w:pPr>
                              <w:numPr>
                                <w:ilvl w:val="0"/>
                                <w:numId w:val="4"/>
                              </w:numPr>
                              <w:spacing w:before="120" w:after="120" w:line="276" w:lineRule="auto"/>
                              <w:contextualSpacing/>
                            </w:pPr>
                            <w:hyperlink r:id="rId57" w:tooltip="http://www.environment.gov.au/system/files/resources/0a517ed7-74cb-418b-9319-7624491e4921/files/factsheet-waste-profile-act.pdf" w:history="1">
                              <w:r w:rsidR="009C111B" w:rsidRPr="005A1B1A">
                                <w:rPr>
                                  <w:color w:val="0070AE" w:themeColor="hyperlink"/>
                                  <w:u w:val="single"/>
                                </w:rPr>
                                <w:t>Australian Capital Territory</w:t>
                              </w:r>
                            </w:hyperlink>
                            <w:r w:rsidR="009C111B" w:rsidRPr="005A1B1A">
                              <w:t xml:space="preserve"> </w:t>
                            </w:r>
                          </w:p>
                        </w:tc>
                        <w:tc>
                          <w:tcPr>
                            <w:tcW w:w="4170" w:type="dxa"/>
                          </w:tcPr>
                          <w:p w14:paraId="360305DA" w14:textId="146A50D1" w:rsidR="009C111B" w:rsidRPr="005A1B1A" w:rsidRDefault="00C917F9" w:rsidP="00A00029">
                            <w:pPr>
                              <w:numPr>
                                <w:ilvl w:val="0"/>
                                <w:numId w:val="4"/>
                              </w:numPr>
                              <w:spacing w:before="120" w:after="120" w:line="276" w:lineRule="auto"/>
                              <w:contextualSpacing/>
                            </w:pPr>
                            <w:hyperlink r:id="rId58" w:tooltip="http://www.environment.gov.au/system/files/resources/0a517ed7-74cb-418b-9319-7624491e4921/files/factsheet-waste-profile-nsw.pdf" w:history="1">
                              <w:r w:rsidR="009C111B" w:rsidRPr="005A1B1A">
                                <w:rPr>
                                  <w:color w:val="0070AE" w:themeColor="hyperlink"/>
                                  <w:u w:val="single"/>
                                </w:rPr>
                                <w:t>New South Wales</w:t>
                              </w:r>
                            </w:hyperlink>
                          </w:p>
                        </w:tc>
                      </w:tr>
                      <w:tr w:rsidR="009C111B" w14:paraId="15980C7D" w14:textId="77777777" w:rsidTr="005A1B1A">
                        <w:tc>
                          <w:tcPr>
                            <w:tcW w:w="4158" w:type="dxa"/>
                          </w:tcPr>
                          <w:p w14:paraId="19379686" w14:textId="442DBD3B" w:rsidR="009C111B" w:rsidRPr="005A1B1A" w:rsidRDefault="00C917F9" w:rsidP="00A00029">
                            <w:pPr>
                              <w:numPr>
                                <w:ilvl w:val="0"/>
                                <w:numId w:val="4"/>
                              </w:numPr>
                              <w:spacing w:before="120" w:after="120" w:line="276" w:lineRule="auto"/>
                              <w:contextualSpacing/>
                            </w:pPr>
                            <w:hyperlink r:id="rId59" w:tooltip="http://www.environment.gov.au/system/files/resources/0a517ed7-74cb-418b-9319-7624491e4921/files/factsheet-waste-profile-nt.pdf" w:history="1">
                              <w:r w:rsidR="009C111B" w:rsidRPr="005A1B1A">
                                <w:rPr>
                                  <w:rStyle w:val="Hyperlink"/>
                                </w:rPr>
                                <w:t>Northern Territory</w:t>
                              </w:r>
                            </w:hyperlink>
                          </w:p>
                        </w:tc>
                        <w:tc>
                          <w:tcPr>
                            <w:tcW w:w="4170" w:type="dxa"/>
                          </w:tcPr>
                          <w:p w14:paraId="0496506D" w14:textId="735F7810" w:rsidR="009C111B" w:rsidRPr="005A1B1A" w:rsidRDefault="00C917F9" w:rsidP="00A00029">
                            <w:pPr>
                              <w:numPr>
                                <w:ilvl w:val="0"/>
                                <w:numId w:val="4"/>
                              </w:numPr>
                              <w:spacing w:before="120" w:after="120" w:line="276" w:lineRule="auto"/>
                              <w:contextualSpacing/>
                            </w:pPr>
                            <w:hyperlink r:id="rId60" w:tooltip="http://www.environment.gov.au/system/files/resources/0a517ed7-74cb-418b-9319-7624491e4921/files/factsheet-waste-profile-qld_0.pdf" w:history="1">
                              <w:r w:rsidR="009C111B" w:rsidRPr="005A1B1A">
                                <w:rPr>
                                  <w:rStyle w:val="Hyperlink"/>
                                </w:rPr>
                                <w:t>Queensland</w:t>
                              </w:r>
                            </w:hyperlink>
                          </w:p>
                        </w:tc>
                      </w:tr>
                      <w:tr w:rsidR="009C111B" w14:paraId="7A50EEE7" w14:textId="77777777" w:rsidTr="005A1B1A">
                        <w:tc>
                          <w:tcPr>
                            <w:tcW w:w="4158" w:type="dxa"/>
                          </w:tcPr>
                          <w:p w14:paraId="0523D54E" w14:textId="4DF34A59" w:rsidR="009C111B" w:rsidRPr="005A1B1A" w:rsidRDefault="00C917F9" w:rsidP="00A00029">
                            <w:pPr>
                              <w:numPr>
                                <w:ilvl w:val="0"/>
                                <w:numId w:val="4"/>
                              </w:numPr>
                              <w:spacing w:before="120" w:after="120" w:line="276" w:lineRule="auto"/>
                              <w:contextualSpacing/>
                            </w:pPr>
                            <w:hyperlink r:id="rId61" w:tooltip="http://www.environment.gov.au/system/files/resources/0a517ed7-74cb-418b-9319-7624491e4921/files/factsheet-waste-profile-sa.pdf" w:history="1">
                              <w:r w:rsidR="009C111B" w:rsidRPr="005A1B1A">
                                <w:rPr>
                                  <w:rStyle w:val="Hyperlink"/>
                                </w:rPr>
                                <w:t>South Australia</w:t>
                              </w:r>
                            </w:hyperlink>
                          </w:p>
                        </w:tc>
                        <w:tc>
                          <w:tcPr>
                            <w:tcW w:w="4170" w:type="dxa"/>
                          </w:tcPr>
                          <w:p w14:paraId="4ABAC629" w14:textId="1FBB9CDC" w:rsidR="009C111B" w:rsidRPr="005A1B1A" w:rsidRDefault="00C917F9" w:rsidP="00A00029">
                            <w:pPr>
                              <w:numPr>
                                <w:ilvl w:val="0"/>
                                <w:numId w:val="4"/>
                              </w:numPr>
                              <w:spacing w:before="120" w:after="120" w:line="276" w:lineRule="auto"/>
                              <w:contextualSpacing/>
                            </w:pPr>
                            <w:hyperlink r:id="rId62" w:tooltip="http://www.environment.gov.au/system/files/resources/0a517ed7-74cb-418b-9319-7624491e4921/files/factsheet-waste-profile-tas.pdf" w:history="1">
                              <w:r w:rsidR="009C111B" w:rsidRPr="005A1B1A">
                                <w:rPr>
                                  <w:rStyle w:val="Hyperlink"/>
                                </w:rPr>
                                <w:t>Tasmania</w:t>
                              </w:r>
                            </w:hyperlink>
                          </w:p>
                        </w:tc>
                      </w:tr>
                      <w:tr w:rsidR="009C111B" w14:paraId="4150B106" w14:textId="77777777" w:rsidTr="005A1B1A">
                        <w:tc>
                          <w:tcPr>
                            <w:tcW w:w="4158" w:type="dxa"/>
                          </w:tcPr>
                          <w:p w14:paraId="0DEA1639" w14:textId="00177C97" w:rsidR="009C111B" w:rsidRPr="005A1B1A" w:rsidRDefault="00C917F9" w:rsidP="00A00029">
                            <w:pPr>
                              <w:numPr>
                                <w:ilvl w:val="0"/>
                                <w:numId w:val="4"/>
                              </w:numPr>
                              <w:spacing w:before="120" w:after="120" w:line="276" w:lineRule="auto"/>
                              <w:contextualSpacing/>
                            </w:pPr>
                            <w:hyperlink r:id="rId63" w:tooltip="http://www.environment.gov.au/system/files/resources/0a517ed7-74cb-418b-9319-7624491e4921/files/factsheet-waste-profile-vic.pdf" w:history="1">
                              <w:r w:rsidR="009C111B" w:rsidRPr="005A1B1A">
                                <w:rPr>
                                  <w:rStyle w:val="Hyperlink"/>
                                </w:rPr>
                                <w:t>Victoria</w:t>
                              </w:r>
                            </w:hyperlink>
                          </w:p>
                        </w:tc>
                        <w:tc>
                          <w:tcPr>
                            <w:tcW w:w="4170" w:type="dxa"/>
                          </w:tcPr>
                          <w:p w14:paraId="68633763" w14:textId="67FB68FD" w:rsidR="009C111B" w:rsidRPr="005A1B1A" w:rsidRDefault="00C917F9" w:rsidP="00A00029">
                            <w:pPr>
                              <w:numPr>
                                <w:ilvl w:val="0"/>
                                <w:numId w:val="4"/>
                              </w:numPr>
                              <w:spacing w:before="120" w:after="120" w:line="276" w:lineRule="auto"/>
                              <w:contextualSpacing/>
                            </w:pPr>
                            <w:hyperlink r:id="rId64" w:tooltip="http://www.environment.gov.au/system/files/resources/0a517ed7-74cb-418b-9319-7624491e4921/files/factsheet-waste-profile-wa.pdf" w:history="1">
                              <w:r w:rsidR="009C111B" w:rsidRPr="005A1B1A">
                                <w:rPr>
                                  <w:rStyle w:val="Hyperlink"/>
                                </w:rPr>
                                <w:t>Western Australia</w:t>
                              </w:r>
                            </w:hyperlink>
                          </w:p>
                        </w:tc>
                      </w:tr>
                    </w:tbl>
                    <w:p w14:paraId="166BC434" w14:textId="46180844" w:rsidR="009C111B" w:rsidRPr="005A1B1A" w:rsidRDefault="009C111B" w:rsidP="005A1B1A">
                      <w:pPr>
                        <w:spacing w:before="120" w:after="120" w:line="276" w:lineRule="auto"/>
                        <w:ind w:left="360"/>
                        <w:contextualSpacing/>
                      </w:pPr>
                    </w:p>
                    <w:p w14:paraId="027BA18D" w14:textId="481AE1DD" w:rsidR="009C111B" w:rsidRDefault="009C111B" w:rsidP="00856352">
                      <w:pPr>
                        <w:spacing w:before="120" w:after="120" w:line="276" w:lineRule="auto"/>
                      </w:pPr>
                    </w:p>
                    <w:p w14:paraId="5BF14628" w14:textId="77777777" w:rsidR="009C111B" w:rsidRDefault="009C111B" w:rsidP="00856352"/>
                  </w:txbxContent>
                </v:textbox>
                <w10:wrap type="square" anchorx="margin"/>
              </v:shape>
            </w:pict>
          </mc:Fallback>
        </mc:AlternateContent>
      </w:r>
      <w:r w:rsidR="00AB12DD" w:rsidRPr="006A2544">
        <w:rPr>
          <w:rFonts w:cstheme="minorHAnsi"/>
          <w:lang w:val="en"/>
        </w:rPr>
        <w:t xml:space="preserve">All </w:t>
      </w:r>
      <w:r w:rsidR="00DC457C">
        <w:rPr>
          <w:rFonts w:cstheme="minorHAnsi"/>
          <w:lang w:val="en"/>
        </w:rPr>
        <w:t>S</w:t>
      </w:r>
      <w:proofErr w:type="spellStart"/>
      <w:r w:rsidR="00DC457C">
        <w:t>tate</w:t>
      </w:r>
      <w:proofErr w:type="spellEnd"/>
      <w:r w:rsidR="00AB12DD" w:rsidRPr="00703791">
        <w:t xml:space="preserve"> and </w:t>
      </w:r>
      <w:r w:rsidR="00DC457C">
        <w:t>T</w:t>
      </w:r>
      <w:r w:rsidR="00AB12DD" w:rsidRPr="00703791">
        <w:t xml:space="preserve">erritory governments have enacted comprehensive legislative and policy </w:t>
      </w:r>
      <w:r w:rsidR="00AB12DD" w:rsidRPr="00250D66">
        <w:rPr>
          <w:rFonts w:cstheme="minorHAnsi"/>
        </w:rPr>
        <w:t>instruments</w:t>
      </w:r>
      <w:r w:rsidR="00AB12DD" w:rsidRPr="006A2544">
        <w:rPr>
          <w:rFonts w:cstheme="minorHAnsi"/>
          <w:lang w:val="en"/>
        </w:rPr>
        <w:t xml:space="preserve"> to protect the environment and </w:t>
      </w:r>
      <w:r w:rsidR="0086616E" w:rsidRPr="006A2544">
        <w:rPr>
          <w:rFonts w:cstheme="minorHAnsi"/>
          <w:lang w:val="en"/>
        </w:rPr>
        <w:t>to</w:t>
      </w:r>
      <w:r w:rsidR="00AB12DD" w:rsidRPr="006A2544">
        <w:rPr>
          <w:rFonts w:cstheme="minorHAnsi"/>
          <w:lang w:val="en"/>
        </w:rPr>
        <w:t xml:space="preserve"> c</w:t>
      </w:r>
      <w:r w:rsidR="005D1B0C">
        <w:rPr>
          <w:rFonts w:cstheme="minorHAnsi"/>
          <w:lang w:val="en"/>
        </w:rPr>
        <w:t>onserve natural resource</w:t>
      </w:r>
      <w:r w:rsidR="005D018D">
        <w:rPr>
          <w:rFonts w:cstheme="minorHAnsi"/>
          <w:lang w:val="en"/>
        </w:rPr>
        <w:t>s.</w:t>
      </w:r>
    </w:p>
    <w:p w14:paraId="7B36A0EA" w14:textId="7C44BB84" w:rsidR="0090330E" w:rsidRPr="00224F42" w:rsidRDefault="008B1F18" w:rsidP="00224F42">
      <w:bookmarkStart w:id="377" w:name="_Annex_1:_Approvals"/>
      <w:bookmarkStart w:id="378" w:name="_Toc82785096"/>
      <w:bookmarkStart w:id="379" w:name="_Toc82787207"/>
      <w:bookmarkStart w:id="380" w:name="_Toc479770987"/>
      <w:bookmarkStart w:id="381" w:name="_Toc479778758"/>
      <w:bookmarkStart w:id="382" w:name="_Toc479845274"/>
      <w:bookmarkStart w:id="383" w:name="_Toc482364361"/>
      <w:bookmarkStart w:id="384" w:name="_Toc486939264"/>
      <w:bookmarkStart w:id="385" w:name="_Toc486939337"/>
      <w:bookmarkStart w:id="386" w:name="_Toc486950242"/>
      <w:bookmarkStart w:id="387" w:name="_Toc81322606"/>
      <w:bookmarkStart w:id="388" w:name="_Toc81324994"/>
      <w:bookmarkStart w:id="389" w:name="_Toc81327247"/>
      <w:bookmarkStart w:id="390" w:name="_Toc81327519"/>
      <w:bookmarkStart w:id="391" w:name="_Toc82788256"/>
      <w:bookmarkStart w:id="392" w:name="_Toc83029559"/>
      <w:bookmarkStart w:id="393" w:name="_Toc83034005"/>
      <w:bookmarkStart w:id="394" w:name="_Toc93925226"/>
      <w:bookmarkStart w:id="395" w:name="_Toc81319798"/>
      <w:bookmarkStart w:id="396" w:name="_Toc475055244"/>
      <w:bookmarkStart w:id="397" w:name="_Toc475358896"/>
      <w:bookmarkEnd w:id="377"/>
      <w:r w:rsidRPr="005D1B0C">
        <w:rPr>
          <w:rStyle w:val="Heading1Char"/>
        </w:rPr>
        <w:lastRenderedPageBreak/>
        <w:t>Attachment 1</w:t>
      </w:r>
      <w:bookmarkEnd w:id="378"/>
      <w:bookmarkEnd w:id="379"/>
      <w:r w:rsidR="00583731">
        <w:rPr>
          <w:rStyle w:val="Heading1Char"/>
        </w:rPr>
        <w:t xml:space="preserve">: </w:t>
      </w:r>
      <w:r w:rsidR="0084740F">
        <w:rPr>
          <w:rStyle w:val="Heading1Char"/>
        </w:rPr>
        <w:t>Process for</w:t>
      </w:r>
      <w:r w:rsidR="00F46E57" w:rsidRPr="0084740F">
        <w:rPr>
          <w:rStyle w:val="Heading1Char"/>
        </w:rPr>
        <w:t xml:space="preserve"> decommissioning and surrender</w:t>
      </w:r>
      <w:r w:rsidR="00F46E57">
        <w:rPr>
          <w:rStyle w:val="Heading1Char"/>
        </w:rPr>
        <w:t xml:space="preserve"> of title</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bookmarkEnd w:id="395"/>
    <w:p w14:paraId="046B6500" w14:textId="02962FF1" w:rsidR="00C02767" w:rsidRDefault="00C02767" w:rsidP="00C02767">
      <w:r w:rsidRPr="00325FA8">
        <w:rPr>
          <w:b/>
          <w:noProof/>
          <w:lang w:eastAsia="en-AU"/>
        </w:rPr>
        <mc:AlternateContent>
          <mc:Choice Requires="wps">
            <w:drawing>
              <wp:anchor distT="0" distB="0" distL="114300" distR="114300" simplePos="0" relativeHeight="251658249" behindDoc="0" locked="0" layoutInCell="1" allowOverlap="1" wp14:anchorId="799DA97D" wp14:editId="2A6E7E7F">
                <wp:simplePos x="0" y="0"/>
                <wp:positionH relativeFrom="column">
                  <wp:posOffset>3817620</wp:posOffset>
                </wp:positionH>
                <wp:positionV relativeFrom="paragraph">
                  <wp:posOffset>29372</wp:posOffset>
                </wp:positionV>
                <wp:extent cx="4194810" cy="294322"/>
                <wp:effectExtent l="0" t="0" r="15240" b="10795"/>
                <wp:wrapNone/>
                <wp:docPr id="332" name="Text Box 2" title="Proponent submits Offshore Project Proposal (OPP) to NOPSEM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810" cy="294322"/>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84FC5B1" w14:textId="1DD0FF61" w:rsidR="009C111B" w:rsidRPr="005609F1" w:rsidRDefault="009C111B" w:rsidP="00FE6704">
                            <w:pPr>
                              <w:jc w:val="center"/>
                              <w:rPr>
                                <w:rFonts w:ascii="Calibri" w:hAnsi="Calibri"/>
                                <w:color w:val="FFFFFF" w:themeColor="background1"/>
                                <w:sz w:val="18"/>
                                <w:szCs w:val="18"/>
                              </w:rPr>
                            </w:pPr>
                            <w:r w:rsidRPr="005609F1">
                              <w:rPr>
                                <w:rFonts w:ascii="Calibri" w:hAnsi="Calibri"/>
                                <w:color w:val="FFFFFF" w:themeColor="background1"/>
                                <w:sz w:val="18"/>
                                <w:szCs w:val="18"/>
                                <w:u w:val="single"/>
                              </w:rPr>
                              <w:t>Proponent</w:t>
                            </w:r>
                            <w:r w:rsidRPr="005609F1">
                              <w:rPr>
                                <w:rFonts w:ascii="Calibri" w:hAnsi="Calibri"/>
                                <w:color w:val="FFFFFF" w:themeColor="background1"/>
                                <w:sz w:val="18"/>
                                <w:szCs w:val="18"/>
                              </w:rPr>
                              <w:t xml:space="preserve"> submits Offshore P</w:t>
                            </w:r>
                            <w:r>
                              <w:rPr>
                                <w:rFonts w:ascii="Calibri" w:hAnsi="Calibri"/>
                                <w:color w:val="FFFFFF" w:themeColor="background1"/>
                                <w:sz w:val="18"/>
                                <w:szCs w:val="18"/>
                              </w:rPr>
                              <w:t>roject Proposal (OPP) to NOPSEMA (if relevant).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99DA97D" id="_x0000_s1027" alt="Title: Proponent submits Offshore Project Proposal (OPP) to NOPSEMA." style="position:absolute;margin-left:300.6pt;margin-top:2.3pt;width:330.3pt;height:23.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" fillcolor="#7f7f7f [1612]" strokecolor="#7f7f7f [1612]" strokeweight="1pt">
                <v:stroke joinstyle="miter"/>
                <v:textbox>
                  <w:txbxContent>
                    <w:p w14:paraId="184FC5B1" w14:textId="1DD0FF61" w:rsidR="009C111B" w:rsidRPr="005609F1" w:rsidRDefault="009C111B" w:rsidP="00FE6704">
                      <w:pPr>
                        <w:jc w:val="center"/>
                        <w:rPr>
                          <w:rFonts w:ascii="Calibri" w:hAnsi="Calibri"/>
                          <w:color w:val="FFFFFF" w:themeColor="background1"/>
                          <w:sz w:val="18"/>
                          <w:szCs w:val="18"/>
                        </w:rPr>
                      </w:pPr>
                      <w:r w:rsidRPr="005609F1">
                        <w:rPr>
                          <w:rFonts w:ascii="Calibri" w:hAnsi="Calibri"/>
                          <w:color w:val="FFFFFF" w:themeColor="background1"/>
                          <w:sz w:val="18"/>
                          <w:szCs w:val="18"/>
                          <w:u w:val="single"/>
                        </w:rPr>
                        <w:t>Proponent</w:t>
                      </w:r>
                      <w:r w:rsidRPr="005609F1">
                        <w:rPr>
                          <w:rFonts w:ascii="Calibri" w:hAnsi="Calibri"/>
                          <w:color w:val="FFFFFF" w:themeColor="background1"/>
                          <w:sz w:val="18"/>
                          <w:szCs w:val="18"/>
                        </w:rPr>
                        <w:t xml:space="preserve"> submits Offshore P</w:t>
                      </w:r>
                      <w:r>
                        <w:rPr>
                          <w:rFonts w:ascii="Calibri" w:hAnsi="Calibri"/>
                          <w:color w:val="FFFFFF" w:themeColor="background1"/>
                          <w:sz w:val="18"/>
                          <w:szCs w:val="18"/>
                        </w:rPr>
                        <w:t>roject Proposal (OPP) to NOPSEMA (if relevant).</w:t>
                      </w:r>
                    </w:p>
                  </w:txbxContent>
                </v:textbox>
              </v:roundrect>
            </w:pict>
          </mc:Fallback>
        </mc:AlternateContent>
      </w:r>
    </w:p>
    <w:p w14:paraId="53FB7261" w14:textId="52F0793E" w:rsidR="00C02767" w:rsidRDefault="005C25C9" w:rsidP="00C02767">
      <w:r>
        <w:rPr>
          <w:rFonts w:ascii="Cambria" w:hAnsi="Cambria"/>
          <w:b/>
          <w:noProof/>
          <w:lang w:eastAsia="en-AU"/>
        </w:rPr>
        <mc:AlternateContent>
          <mc:Choice Requires="wps">
            <w:drawing>
              <wp:anchor distT="0" distB="0" distL="114300" distR="114300" simplePos="0" relativeHeight="251658253" behindDoc="0" locked="0" layoutInCell="1" allowOverlap="1" wp14:anchorId="18C7A261" wp14:editId="46A9CFAF">
                <wp:simplePos x="0" y="0"/>
                <wp:positionH relativeFrom="column">
                  <wp:posOffset>5775960</wp:posOffset>
                </wp:positionH>
                <wp:positionV relativeFrom="paragraph">
                  <wp:posOffset>73025</wp:posOffset>
                </wp:positionV>
                <wp:extent cx="395605" cy="161925"/>
                <wp:effectExtent l="38100" t="0" r="4445" b="47625"/>
                <wp:wrapNone/>
                <wp:docPr id="2" name="Down Arrow 2"/>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2ED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454.8pt;margin-top:5.75pt;width:31.1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" adj="10800" fillcolor="#1b9590 [3206]" strokecolor="#0d4947 [1606]" strokeweight="1pt"/>
            </w:pict>
          </mc:Fallback>
        </mc:AlternateContent>
      </w:r>
      <w:r w:rsidR="00F3729B" w:rsidRPr="00325FA8">
        <w:rPr>
          <w:b/>
          <w:noProof/>
          <w:lang w:eastAsia="en-AU"/>
        </w:rPr>
        <mc:AlternateContent>
          <mc:Choice Requires="wps">
            <w:drawing>
              <wp:anchor distT="0" distB="0" distL="114300" distR="114300" simplePos="0" relativeHeight="251658251" behindDoc="0" locked="0" layoutInCell="1" allowOverlap="1" wp14:anchorId="2E433377" wp14:editId="24550895">
                <wp:simplePos x="0" y="0"/>
                <wp:positionH relativeFrom="column">
                  <wp:posOffset>-258445</wp:posOffset>
                </wp:positionH>
                <wp:positionV relativeFrom="paragraph">
                  <wp:posOffset>256540</wp:posOffset>
                </wp:positionV>
                <wp:extent cx="3524250" cy="457200"/>
                <wp:effectExtent l="0" t="0" r="19050" b="19050"/>
                <wp:wrapNone/>
                <wp:docPr id="21" name="Text Box 2" title="Titleholder submits field development plan (FDP) to the Joint Authority through NOPT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57200"/>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32BBA5BF" w14:textId="77777777" w:rsidR="009C111B" w:rsidRPr="005609F1" w:rsidRDefault="009C111B" w:rsidP="005609F1">
                            <w:pPr>
                              <w:jc w:val="center"/>
                              <w:rPr>
                                <w:rFonts w:ascii="Calibri" w:hAnsi="Calibri"/>
                                <w:color w:val="FFFFFF" w:themeColor="background1"/>
                                <w:sz w:val="18"/>
                                <w:szCs w:val="18"/>
                              </w:rPr>
                            </w:pPr>
                            <w:r w:rsidRPr="00111ECC">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submits field development plan (FDP) to the Joint Authority through NOPTA</w:t>
                            </w:r>
                            <w:r>
                              <w:rPr>
                                <w:rFonts w:ascii="Calibri" w:hAnsi="Calibri"/>
                                <w:color w:val="FFFFFF" w:themeColor="background1"/>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E433377" id="_x0000_s1028" alt="Title: Titleholder submits field development plan (FDP) to the Joint Authority through NOPTA. " style="position:absolute;margin-left:-20.35pt;margin-top:20.2pt;width:277.5pt;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" fillcolor="#7f7f7f [1612]" strokecolor="#7f7f7f [1612]" strokeweight="1pt">
                <v:stroke joinstyle="miter"/>
                <v:textbox>
                  <w:txbxContent>
                    <w:p w14:paraId="32BBA5BF" w14:textId="77777777" w:rsidR="009C111B" w:rsidRPr="005609F1" w:rsidRDefault="009C111B" w:rsidP="005609F1">
                      <w:pPr>
                        <w:jc w:val="center"/>
                        <w:rPr>
                          <w:rFonts w:ascii="Calibri" w:hAnsi="Calibri"/>
                          <w:color w:val="FFFFFF" w:themeColor="background1"/>
                          <w:sz w:val="18"/>
                          <w:szCs w:val="18"/>
                        </w:rPr>
                      </w:pPr>
                      <w:r w:rsidRPr="00111ECC">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submits field development plan (FDP) to the Joint Authority through NOPTA</w:t>
                      </w:r>
                      <w:r>
                        <w:rPr>
                          <w:rFonts w:ascii="Calibri" w:hAnsi="Calibri"/>
                          <w:color w:val="FFFFFF" w:themeColor="background1"/>
                          <w:sz w:val="18"/>
                          <w:szCs w:val="18"/>
                        </w:rPr>
                        <w:t xml:space="preserve">. </w:t>
                      </w:r>
                    </w:p>
                  </w:txbxContent>
                </v:textbox>
              </v:roundrect>
            </w:pict>
          </mc:Fallback>
        </mc:AlternateContent>
      </w:r>
      <w:r w:rsidR="00F3729B" w:rsidRPr="00325FA8">
        <w:rPr>
          <w:b/>
          <w:noProof/>
          <w:lang w:eastAsia="en-AU"/>
        </w:rPr>
        <mc:AlternateContent>
          <mc:Choice Requires="wps">
            <w:drawing>
              <wp:anchor distT="0" distB="0" distL="114300" distR="114300" simplePos="0" relativeHeight="251658250" behindDoc="0" locked="0" layoutInCell="1" allowOverlap="1" wp14:anchorId="640FB17D" wp14:editId="5535F10C">
                <wp:simplePos x="0" y="0"/>
                <wp:positionH relativeFrom="column">
                  <wp:posOffset>3409950</wp:posOffset>
                </wp:positionH>
                <wp:positionV relativeFrom="paragraph">
                  <wp:posOffset>255107</wp:posOffset>
                </wp:positionV>
                <wp:extent cx="6181725" cy="457200"/>
                <wp:effectExtent l="0" t="0" r="28575" b="19050"/>
                <wp:wrapNone/>
                <wp:docPr id="22" name="Text Box 22" title="Operator submits safety case (SC), and titleholder submits environment plan (EP) and well operations management plan (WOMP) to NOPSEMA for relevant production activities (or submits a revision if appropri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57200"/>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63D262E2" w14:textId="5CC0D5B2" w:rsidR="009C111B" w:rsidRPr="005609F1" w:rsidRDefault="009C111B" w:rsidP="00FE6704">
                            <w:pPr>
                              <w:jc w:val="center"/>
                              <w:rPr>
                                <w:rFonts w:ascii="Calibri" w:hAnsi="Calibri"/>
                                <w:color w:val="FFFFFF" w:themeColor="background1"/>
                                <w:sz w:val="18"/>
                                <w:szCs w:val="18"/>
                              </w:rPr>
                            </w:pPr>
                            <w:r w:rsidRPr="00111ECC">
                              <w:rPr>
                                <w:rFonts w:ascii="Calibri" w:hAnsi="Calibri"/>
                                <w:color w:val="FFFFFF" w:themeColor="background1"/>
                                <w:sz w:val="18"/>
                                <w:szCs w:val="18"/>
                                <w:u w:val="single"/>
                              </w:rPr>
                              <w:t>Operator</w:t>
                            </w:r>
                            <w:r w:rsidRPr="005609F1">
                              <w:rPr>
                                <w:rFonts w:ascii="Calibri" w:hAnsi="Calibri"/>
                                <w:color w:val="FFFFFF" w:themeColor="background1"/>
                                <w:sz w:val="18"/>
                                <w:szCs w:val="18"/>
                              </w:rPr>
                              <w:t xml:space="preserve"> submits safety case (SC), and </w:t>
                            </w:r>
                            <w:r w:rsidRPr="00E155A1">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submits environment plan (EP) and well operations management plan (WOMP) to NOPSEMA for relevant activities (or submits a revision if appropriate)</w:t>
                            </w:r>
                            <w:r>
                              <w:rPr>
                                <w:rFonts w:ascii="Calibri" w:hAnsi="Calibri"/>
                                <w:color w:val="FFFFFF" w:themeColor="background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0FB17D" id="Text Box 22" o:spid="_x0000_s1029" alt="Title: Operator submits safety case (SC), and titleholder submits environment plan (EP) and well operations management plan (WOMP) to NOPSEMA for relevant production activities (or submits a revision if appropriate)." style="position:absolute;margin-left:268.5pt;margin-top:20.1pt;width:486.75pt;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" fillcolor="#7f7f7f [1612]" strokecolor="#7f7f7f [1612]" strokeweight="1pt">
                <v:stroke joinstyle="miter"/>
                <v:textbox>
                  <w:txbxContent>
                    <w:p w14:paraId="63D262E2" w14:textId="5CC0D5B2" w:rsidR="009C111B" w:rsidRPr="005609F1" w:rsidRDefault="009C111B" w:rsidP="00FE6704">
                      <w:pPr>
                        <w:jc w:val="center"/>
                        <w:rPr>
                          <w:rFonts w:ascii="Calibri" w:hAnsi="Calibri"/>
                          <w:color w:val="FFFFFF" w:themeColor="background1"/>
                          <w:sz w:val="18"/>
                          <w:szCs w:val="18"/>
                        </w:rPr>
                      </w:pPr>
                      <w:r w:rsidRPr="00111ECC">
                        <w:rPr>
                          <w:rFonts w:ascii="Calibri" w:hAnsi="Calibri"/>
                          <w:color w:val="FFFFFF" w:themeColor="background1"/>
                          <w:sz w:val="18"/>
                          <w:szCs w:val="18"/>
                          <w:u w:val="single"/>
                        </w:rPr>
                        <w:t>Operator</w:t>
                      </w:r>
                      <w:r w:rsidRPr="005609F1">
                        <w:rPr>
                          <w:rFonts w:ascii="Calibri" w:hAnsi="Calibri"/>
                          <w:color w:val="FFFFFF" w:themeColor="background1"/>
                          <w:sz w:val="18"/>
                          <w:szCs w:val="18"/>
                        </w:rPr>
                        <w:t xml:space="preserve"> submits safety case (SC), and </w:t>
                      </w:r>
                      <w:r w:rsidRPr="00E155A1">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submits environment plan (EP) and well operations management plan (WOMP) to NOPSEMA for relevant activities (or submits a revision if appropriate)</w:t>
                      </w:r>
                      <w:r>
                        <w:rPr>
                          <w:rFonts w:ascii="Calibri" w:hAnsi="Calibri"/>
                          <w:color w:val="FFFFFF" w:themeColor="background1"/>
                          <w:sz w:val="18"/>
                          <w:szCs w:val="18"/>
                        </w:rPr>
                        <w:t>.</w:t>
                      </w:r>
                    </w:p>
                  </w:txbxContent>
                </v:textbox>
              </v:roundrect>
            </w:pict>
          </mc:Fallback>
        </mc:AlternateContent>
      </w:r>
    </w:p>
    <w:p w14:paraId="69F14356" w14:textId="11393203" w:rsidR="00C02767" w:rsidRDefault="00C02767" w:rsidP="00C02767"/>
    <w:p w14:paraId="6DE78CCA" w14:textId="1C60CDD5" w:rsidR="00C02767" w:rsidRDefault="00F3729B" w:rsidP="00C02767">
      <w:r>
        <w:rPr>
          <w:rFonts w:ascii="Cambria" w:hAnsi="Cambria"/>
          <w:b/>
          <w:noProof/>
          <w:lang w:eastAsia="en-AU"/>
        </w:rPr>
        <mc:AlternateContent>
          <mc:Choice Requires="wps">
            <w:drawing>
              <wp:anchor distT="0" distB="0" distL="114300" distR="114300" simplePos="0" relativeHeight="251658256" behindDoc="0" locked="0" layoutInCell="1" allowOverlap="1" wp14:anchorId="79D02368" wp14:editId="58E5FE21">
                <wp:simplePos x="0" y="0"/>
                <wp:positionH relativeFrom="column">
                  <wp:posOffset>1373505</wp:posOffset>
                </wp:positionH>
                <wp:positionV relativeFrom="paragraph">
                  <wp:posOffset>164465</wp:posOffset>
                </wp:positionV>
                <wp:extent cx="395605" cy="161925"/>
                <wp:effectExtent l="38100" t="0" r="4445" b="47625"/>
                <wp:wrapNone/>
                <wp:docPr id="307" name="Down Arrow 307"/>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9D805" id="Down Arrow 307" o:spid="_x0000_s1026" type="#_x0000_t67" style="position:absolute;margin-left:108.15pt;margin-top:12.95pt;width:31.1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" adj="10800" fillcolor="#1b9590 [3206]" strokecolor="#0d4947 [1606]" strokeweight="1pt"/>
            </w:pict>
          </mc:Fallback>
        </mc:AlternateContent>
      </w:r>
      <w:r>
        <w:rPr>
          <w:rFonts w:ascii="Cambria" w:hAnsi="Cambria"/>
          <w:b/>
          <w:noProof/>
          <w:lang w:eastAsia="en-AU"/>
        </w:rPr>
        <mc:AlternateContent>
          <mc:Choice Requires="wps">
            <w:drawing>
              <wp:anchor distT="0" distB="0" distL="114300" distR="114300" simplePos="0" relativeHeight="251658257" behindDoc="0" locked="0" layoutInCell="1" allowOverlap="1" wp14:anchorId="3391B863" wp14:editId="0A53228A">
                <wp:simplePos x="0" y="0"/>
                <wp:positionH relativeFrom="column">
                  <wp:posOffset>5792470</wp:posOffset>
                </wp:positionH>
                <wp:positionV relativeFrom="paragraph">
                  <wp:posOffset>160492</wp:posOffset>
                </wp:positionV>
                <wp:extent cx="395605" cy="161925"/>
                <wp:effectExtent l="38100" t="0" r="4445" b="47625"/>
                <wp:wrapNone/>
                <wp:docPr id="308" name="Down Arrow 308"/>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E0637" id="Down Arrow 308" o:spid="_x0000_s1026" type="#_x0000_t67" style="position:absolute;margin-left:456.1pt;margin-top:12.65pt;width:31.1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" adj="10800" fillcolor="#1b9590 [3206]" strokecolor="#0d4947 [1606]" strokeweight="1pt"/>
            </w:pict>
          </mc:Fallback>
        </mc:AlternateContent>
      </w:r>
    </w:p>
    <w:p w14:paraId="76D4CD10" w14:textId="079299DD" w:rsidR="00C02767" w:rsidRDefault="00F3729B" w:rsidP="00C02767">
      <w:r w:rsidRPr="00325FA8">
        <w:rPr>
          <w:b/>
          <w:noProof/>
          <w:lang w:eastAsia="en-AU"/>
        </w:rPr>
        <mc:AlternateContent>
          <mc:Choice Requires="wps">
            <w:drawing>
              <wp:anchor distT="0" distB="0" distL="114300" distR="114300" simplePos="0" relativeHeight="251658252" behindDoc="0" locked="0" layoutInCell="1" allowOverlap="1" wp14:anchorId="27BC978A" wp14:editId="6C2FAD96">
                <wp:simplePos x="0" y="0"/>
                <wp:positionH relativeFrom="column">
                  <wp:posOffset>880171</wp:posOffset>
                </wp:positionH>
                <wp:positionV relativeFrom="paragraph">
                  <wp:posOffset>51194</wp:posOffset>
                </wp:positionV>
                <wp:extent cx="5734050" cy="596560"/>
                <wp:effectExtent l="0" t="0" r="19050" b="13335"/>
                <wp:wrapNone/>
                <wp:docPr id="26" name="Text Box 2" title="Production commences. Throughout the course of the development project, titleholders must consider their ongoing obligation to remove disused property from the title area, and to maintain property in good condition and repai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96560"/>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287EBE4" w14:textId="014375B2" w:rsidR="009C111B" w:rsidRPr="005609F1" w:rsidRDefault="009C111B" w:rsidP="005609F1">
                            <w:pPr>
                              <w:jc w:val="center"/>
                              <w:rPr>
                                <w:rFonts w:ascii="Calibri" w:hAnsi="Calibri"/>
                                <w:color w:val="FFFFFF" w:themeColor="background1"/>
                                <w:sz w:val="18"/>
                                <w:szCs w:val="18"/>
                              </w:rPr>
                            </w:pPr>
                            <w:r w:rsidRPr="005609F1">
                              <w:rPr>
                                <w:rFonts w:ascii="Calibri" w:hAnsi="Calibri"/>
                                <w:color w:val="FFFFFF" w:themeColor="background1"/>
                                <w:sz w:val="18"/>
                                <w:szCs w:val="18"/>
                              </w:rPr>
                              <w:t>Production commences</w:t>
                            </w:r>
                            <w:r>
                              <w:rPr>
                                <w:rFonts w:ascii="Calibri" w:hAnsi="Calibri"/>
                                <w:color w:val="FFFFFF" w:themeColor="background1"/>
                                <w:sz w:val="18"/>
                                <w:szCs w:val="18"/>
                              </w:rPr>
                              <w:t xml:space="preserve">. </w:t>
                            </w:r>
                            <w:r w:rsidRPr="005609F1">
                              <w:rPr>
                                <w:rFonts w:ascii="Calibri" w:hAnsi="Calibri"/>
                                <w:color w:val="FFFFFF" w:themeColor="background1"/>
                                <w:sz w:val="18"/>
                                <w:szCs w:val="18"/>
                              </w:rPr>
                              <w:t xml:space="preserve">Throughout the course of </w:t>
                            </w:r>
                            <w:r w:rsidRPr="00914F8C">
                              <w:rPr>
                                <w:rFonts w:ascii="Calibri" w:hAnsi="Calibri"/>
                                <w:color w:val="FFFFFF" w:themeColor="background1"/>
                                <w:sz w:val="18"/>
                                <w:szCs w:val="18"/>
                              </w:rPr>
                              <w:t>offshore petroleum activities</w:t>
                            </w:r>
                            <w:r w:rsidRPr="005609F1">
                              <w:rPr>
                                <w:rFonts w:ascii="Calibri" w:hAnsi="Calibri"/>
                                <w:color w:val="FFFFFF" w:themeColor="background1"/>
                                <w:sz w:val="18"/>
                                <w:szCs w:val="18"/>
                              </w:rPr>
                              <w:t xml:space="preserve">, </w:t>
                            </w:r>
                            <w:r w:rsidRPr="001F7DA7">
                              <w:rPr>
                                <w:rFonts w:ascii="Calibri" w:hAnsi="Calibri"/>
                                <w:color w:val="FFFFFF" w:themeColor="background1"/>
                                <w:sz w:val="18"/>
                                <w:szCs w:val="18"/>
                                <w:u w:val="single"/>
                              </w:rPr>
                              <w:t>titleholders</w:t>
                            </w:r>
                            <w:r w:rsidRPr="005609F1">
                              <w:rPr>
                                <w:rFonts w:ascii="Calibri" w:hAnsi="Calibri"/>
                                <w:color w:val="FFFFFF" w:themeColor="background1"/>
                                <w:sz w:val="18"/>
                                <w:szCs w:val="18"/>
                              </w:rPr>
                              <w:t xml:space="preserve"> must consider their ongoing obligation to remove disused property from the title area, and to maintain property in good condition and repair</w:t>
                            </w:r>
                            <w:r>
                              <w:rPr>
                                <w:rFonts w:ascii="Calibri" w:hAnsi="Calibri"/>
                                <w:color w:val="FFFFFF" w:themeColor="background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7BC978A" id="_x0000_s1030" alt="Title: Production commences. Throughout the course of the development project, titleholders must consider their ongoing obligation to remove disused property from the title area, and to maintain property in good condition and repair" style="position:absolute;margin-left:69.3pt;margin-top:4.05pt;width:451.5pt;height:46.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" fillcolor="#7f7f7f [1612]" strokecolor="#7f7f7f [1612]" strokeweight="1pt">
                <v:stroke joinstyle="miter"/>
                <v:textbox>
                  <w:txbxContent>
                    <w:p w14:paraId="1287EBE4" w14:textId="014375B2" w:rsidR="009C111B" w:rsidRPr="005609F1" w:rsidRDefault="009C111B" w:rsidP="005609F1">
                      <w:pPr>
                        <w:jc w:val="center"/>
                        <w:rPr>
                          <w:rFonts w:ascii="Calibri" w:hAnsi="Calibri"/>
                          <w:color w:val="FFFFFF" w:themeColor="background1"/>
                          <w:sz w:val="18"/>
                          <w:szCs w:val="18"/>
                        </w:rPr>
                      </w:pPr>
                      <w:r w:rsidRPr="005609F1">
                        <w:rPr>
                          <w:rFonts w:ascii="Calibri" w:hAnsi="Calibri"/>
                          <w:color w:val="FFFFFF" w:themeColor="background1"/>
                          <w:sz w:val="18"/>
                          <w:szCs w:val="18"/>
                        </w:rPr>
                        <w:t>Production commences</w:t>
                      </w:r>
                      <w:r>
                        <w:rPr>
                          <w:rFonts w:ascii="Calibri" w:hAnsi="Calibri"/>
                          <w:color w:val="FFFFFF" w:themeColor="background1"/>
                          <w:sz w:val="18"/>
                          <w:szCs w:val="18"/>
                        </w:rPr>
                        <w:t xml:space="preserve">. </w:t>
                      </w:r>
                      <w:r w:rsidRPr="005609F1">
                        <w:rPr>
                          <w:rFonts w:ascii="Calibri" w:hAnsi="Calibri"/>
                          <w:color w:val="FFFFFF" w:themeColor="background1"/>
                          <w:sz w:val="18"/>
                          <w:szCs w:val="18"/>
                        </w:rPr>
                        <w:t xml:space="preserve">Throughout the course of </w:t>
                      </w:r>
                      <w:r w:rsidRPr="00914F8C">
                        <w:rPr>
                          <w:rFonts w:ascii="Calibri" w:hAnsi="Calibri"/>
                          <w:color w:val="FFFFFF" w:themeColor="background1"/>
                          <w:sz w:val="18"/>
                          <w:szCs w:val="18"/>
                        </w:rPr>
                        <w:t>offshore petroleum activities</w:t>
                      </w:r>
                      <w:r w:rsidRPr="005609F1">
                        <w:rPr>
                          <w:rFonts w:ascii="Calibri" w:hAnsi="Calibri"/>
                          <w:color w:val="FFFFFF" w:themeColor="background1"/>
                          <w:sz w:val="18"/>
                          <w:szCs w:val="18"/>
                        </w:rPr>
                        <w:t xml:space="preserve">, </w:t>
                      </w:r>
                      <w:r w:rsidRPr="001F7DA7">
                        <w:rPr>
                          <w:rFonts w:ascii="Calibri" w:hAnsi="Calibri"/>
                          <w:color w:val="FFFFFF" w:themeColor="background1"/>
                          <w:sz w:val="18"/>
                          <w:szCs w:val="18"/>
                          <w:u w:val="single"/>
                        </w:rPr>
                        <w:t>titleholders</w:t>
                      </w:r>
                      <w:r w:rsidRPr="005609F1">
                        <w:rPr>
                          <w:rFonts w:ascii="Calibri" w:hAnsi="Calibri"/>
                          <w:color w:val="FFFFFF" w:themeColor="background1"/>
                          <w:sz w:val="18"/>
                          <w:szCs w:val="18"/>
                        </w:rPr>
                        <w:t xml:space="preserve"> must consider their ongoing obligation to remove disused property from the title area, and to maintain property in good condition and repair</w:t>
                      </w:r>
                      <w:r>
                        <w:rPr>
                          <w:rFonts w:ascii="Calibri" w:hAnsi="Calibri"/>
                          <w:color w:val="FFFFFF" w:themeColor="background1"/>
                          <w:sz w:val="18"/>
                          <w:szCs w:val="18"/>
                        </w:rPr>
                        <w:t>.</w:t>
                      </w:r>
                    </w:p>
                  </w:txbxContent>
                </v:textbox>
              </v:roundrect>
            </w:pict>
          </mc:Fallback>
        </mc:AlternateContent>
      </w:r>
    </w:p>
    <w:p w14:paraId="6B40B5F1" w14:textId="62CD8EE2" w:rsidR="00C02767" w:rsidRDefault="00C02767" w:rsidP="00C02767"/>
    <w:p w14:paraId="47D517B0" w14:textId="59EFAB6A" w:rsidR="00C02767" w:rsidRDefault="00DC2D8A" w:rsidP="00C02767">
      <w:r>
        <w:rPr>
          <w:rFonts w:ascii="Cambria" w:hAnsi="Cambria"/>
          <w:b/>
          <w:noProof/>
          <w:lang w:eastAsia="en-AU"/>
        </w:rPr>
        <mc:AlternateContent>
          <mc:Choice Requires="wps">
            <w:drawing>
              <wp:anchor distT="0" distB="0" distL="114300" distR="114300" simplePos="0" relativeHeight="251658258" behindDoc="0" locked="0" layoutInCell="1" allowOverlap="1" wp14:anchorId="334DB17F" wp14:editId="5C886671">
                <wp:simplePos x="0" y="0"/>
                <wp:positionH relativeFrom="column">
                  <wp:posOffset>3429000</wp:posOffset>
                </wp:positionH>
                <wp:positionV relativeFrom="paragraph">
                  <wp:posOffset>61405</wp:posOffset>
                </wp:positionV>
                <wp:extent cx="395605" cy="161925"/>
                <wp:effectExtent l="38100" t="0" r="4445" b="47625"/>
                <wp:wrapNone/>
                <wp:docPr id="309" name="Down Arrow 309"/>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36E7" id="Down Arrow 309" o:spid="_x0000_s1026" type="#_x0000_t67" style="position:absolute;margin-left:270pt;margin-top:4.85pt;width:31.1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" adj="10800" fillcolor="#1b9590 [3206]" strokecolor="#0d4947 [1606]" strokeweight="1pt"/>
            </w:pict>
          </mc:Fallback>
        </mc:AlternateContent>
      </w:r>
      <w:r w:rsidRPr="00325FA8">
        <w:rPr>
          <w:b/>
          <w:noProof/>
          <w:lang w:eastAsia="en-AU"/>
        </w:rPr>
        <mc:AlternateContent>
          <mc:Choice Requires="wps">
            <w:drawing>
              <wp:anchor distT="0" distB="0" distL="114300" distR="114300" simplePos="0" relativeHeight="251658244" behindDoc="0" locked="0" layoutInCell="1" allowOverlap="1" wp14:anchorId="35773BA3" wp14:editId="590FF7D3">
                <wp:simplePos x="0" y="0"/>
                <wp:positionH relativeFrom="column">
                  <wp:posOffset>1671955</wp:posOffset>
                </wp:positionH>
                <wp:positionV relativeFrom="paragraph">
                  <wp:posOffset>232220</wp:posOffset>
                </wp:positionV>
                <wp:extent cx="4100830" cy="273685"/>
                <wp:effectExtent l="0" t="0" r="13970" b="12065"/>
                <wp:wrapNone/>
                <wp:docPr id="27" name="Text Box 27" title="Titleholder decides to cease production and decommission title are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830" cy="273685"/>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5F9A8AB6" w14:textId="2D08B0BE" w:rsidR="009C111B" w:rsidRPr="005609F1" w:rsidRDefault="009C111B" w:rsidP="00DC2EE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decides to cease production and decommission title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5773BA3" id="Text Box 27" o:spid="_x0000_s1031" alt="Title: Titleholder decides to cease production and decommission title area" style="position:absolute;margin-left:131.65pt;margin-top:18.3pt;width:322.9pt;height:21.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" fillcolor="#7f7f7f [1612]" strokecolor="#7f7f7f [1612]" strokeweight="1pt">
                <v:stroke joinstyle="miter"/>
                <v:textbox>
                  <w:txbxContent>
                    <w:p w14:paraId="5F9A8AB6" w14:textId="2D08B0BE" w:rsidR="009C111B" w:rsidRPr="005609F1" w:rsidRDefault="009C111B" w:rsidP="00DC2EE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decides to cease production and decommission title area.</w:t>
                      </w:r>
                    </w:p>
                  </w:txbxContent>
                </v:textbox>
              </v:roundrect>
            </w:pict>
          </mc:Fallback>
        </mc:AlternateContent>
      </w:r>
    </w:p>
    <w:p w14:paraId="62F479AC" w14:textId="28C89655" w:rsidR="00C02767" w:rsidRPr="00C02767" w:rsidRDefault="00610D53" w:rsidP="00C02767">
      <w:r w:rsidRPr="00325FA8">
        <w:rPr>
          <w:b/>
          <w:noProof/>
          <w:lang w:eastAsia="en-AU"/>
        </w:rPr>
        <mc:AlternateContent>
          <mc:Choice Requires="wps">
            <w:drawing>
              <wp:anchor distT="0" distB="0" distL="114300" distR="114300" simplePos="0" relativeHeight="251658241" behindDoc="0" locked="0" layoutInCell="1" allowOverlap="1" wp14:anchorId="679B0157" wp14:editId="3AF6924E">
                <wp:simplePos x="0" y="0"/>
                <wp:positionH relativeFrom="margin">
                  <wp:posOffset>-659765</wp:posOffset>
                </wp:positionH>
                <wp:positionV relativeFrom="paragraph">
                  <wp:posOffset>303085</wp:posOffset>
                </wp:positionV>
                <wp:extent cx="2009775" cy="1550035"/>
                <wp:effectExtent l="0" t="0" r="28575" b="12065"/>
                <wp:wrapNone/>
                <wp:docPr id="28" name="Text Box 2" descr="If decommissioning includes disposal or abandonment of infrastructure at sea, proponent (likely the titleholder) applies to the Minister for the Environment and Energy for a sea dumping permit. " title="Sea Dumping A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50035"/>
                        </a:xfrm>
                        <a:prstGeom prst="roundRect">
                          <a:avLst/>
                        </a:prstGeom>
                        <a:solidFill>
                          <a:schemeClr val="accent6"/>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46C85C68" w14:textId="77777777"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Sea Dumping Act</w:t>
                            </w:r>
                          </w:p>
                          <w:p w14:paraId="0F8DD807" w14:textId="247F8C91" w:rsidR="009C111B" w:rsidRPr="00E303D8" w:rsidRDefault="009C111B" w:rsidP="00111ECC">
                            <w:pPr>
                              <w:jc w:val="center"/>
                              <w:rPr>
                                <w:rFonts w:ascii="Calibri" w:hAnsi="Calibri"/>
                                <w:color w:val="FFFFFF" w:themeColor="background1"/>
                                <w:sz w:val="18"/>
                                <w:szCs w:val="18"/>
                              </w:rPr>
                            </w:pPr>
                            <w:r w:rsidRPr="00FE6704">
                              <w:rPr>
                                <w:rFonts w:ascii="Calibri" w:hAnsi="Calibri"/>
                                <w:i/>
                                <w:color w:val="FFFFFF" w:themeColor="background1"/>
                                <w:sz w:val="18"/>
                                <w:szCs w:val="18"/>
                              </w:rPr>
                              <w:t xml:space="preserve">If decommissioning includes disposal or abandonment of </w:t>
                            </w:r>
                            <w:r w:rsidRPr="00914F8C">
                              <w:rPr>
                                <w:rFonts w:ascii="Calibri" w:hAnsi="Calibri"/>
                                <w:i/>
                                <w:color w:val="FFFFFF" w:themeColor="background1"/>
                                <w:sz w:val="18"/>
                                <w:szCs w:val="18"/>
                              </w:rPr>
                              <w:t xml:space="preserve">property </w:t>
                            </w:r>
                            <w:r w:rsidRPr="00FE6704">
                              <w:rPr>
                                <w:rFonts w:ascii="Calibri" w:hAnsi="Calibri"/>
                                <w:i/>
                                <w:color w:val="FFFFFF" w:themeColor="background1"/>
                                <w:sz w:val="18"/>
                                <w:szCs w:val="18"/>
                              </w:rPr>
                              <w:t>at sea</w:t>
                            </w:r>
                            <w:r w:rsidRPr="00E303D8">
                              <w:rPr>
                                <w:rFonts w:ascii="Calibri" w:hAnsi="Calibri"/>
                                <w:color w:val="FFFFFF" w:themeColor="background1"/>
                                <w:sz w:val="18"/>
                                <w:szCs w:val="18"/>
                              </w:rPr>
                              <w:t xml:space="preserve">, proponent (likely the titleholder) applies to the Minister for </w:t>
                            </w:r>
                            <w:r>
                              <w:rPr>
                                <w:rFonts w:ascii="Calibri" w:hAnsi="Calibri"/>
                                <w:color w:val="FFFFFF" w:themeColor="background1"/>
                                <w:sz w:val="18"/>
                                <w:szCs w:val="18"/>
                              </w:rPr>
                              <w:t xml:space="preserve">the </w:t>
                            </w:r>
                            <w:r w:rsidRPr="00E303D8">
                              <w:rPr>
                                <w:rFonts w:ascii="Calibri" w:hAnsi="Calibri"/>
                                <w:color w:val="FFFFFF" w:themeColor="background1"/>
                                <w:sz w:val="18"/>
                                <w:szCs w:val="18"/>
                              </w:rPr>
                              <w:t>Environment for a sea dumping permit</w:t>
                            </w:r>
                            <w:r>
                              <w:rPr>
                                <w:rFonts w:ascii="Calibri" w:hAnsi="Calibri"/>
                                <w:color w:val="FFFFFF" w:themeColor="background1"/>
                                <w:sz w:val="18"/>
                                <w:szCs w:val="18"/>
                              </w:rPr>
                              <w:t xml:space="preserve">. </w:t>
                            </w:r>
                          </w:p>
                          <w:p w14:paraId="4FA53AA4" w14:textId="77777777" w:rsidR="009C111B" w:rsidRPr="005609F1" w:rsidRDefault="009C111B" w:rsidP="005609F1">
                            <w:pPr>
                              <w:jc w:val="center"/>
                              <w:rPr>
                                <w:rFonts w:ascii="Calibri" w:hAnsi="Calibri"/>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9B0157" id="_x0000_s1032" alt="Title: Sea Dumping Act - Description: If decommissioning includes disposal or abandonment of infrastructure at sea, proponent (likely the titleholder) applies to the Minister for the Environment and Energy for a sea dumping permit. " style="position:absolute;margin-left:-51.95pt;margin-top:23.85pt;width:158.25pt;height:122.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" fillcolor="#c973af [3209]" strokecolor="#6d6f72 [2404]" strokeweight="1pt">
                <v:stroke joinstyle="miter"/>
                <v:textbox>
                  <w:txbxContent>
                    <w:p w14:paraId="46C85C68" w14:textId="77777777"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Sea Dumping Act</w:t>
                      </w:r>
                    </w:p>
                    <w:p w14:paraId="0F8DD807" w14:textId="247F8C91" w:rsidR="009C111B" w:rsidRPr="00E303D8" w:rsidRDefault="009C111B" w:rsidP="00111ECC">
                      <w:pPr>
                        <w:jc w:val="center"/>
                        <w:rPr>
                          <w:rFonts w:ascii="Calibri" w:hAnsi="Calibri"/>
                          <w:color w:val="FFFFFF" w:themeColor="background1"/>
                          <w:sz w:val="18"/>
                          <w:szCs w:val="18"/>
                        </w:rPr>
                      </w:pPr>
                      <w:r w:rsidRPr="00FE6704">
                        <w:rPr>
                          <w:rFonts w:ascii="Calibri" w:hAnsi="Calibri"/>
                          <w:i/>
                          <w:color w:val="FFFFFF" w:themeColor="background1"/>
                          <w:sz w:val="18"/>
                          <w:szCs w:val="18"/>
                        </w:rPr>
                        <w:t xml:space="preserve">If decommissioning includes disposal or abandonment of </w:t>
                      </w:r>
                      <w:r w:rsidRPr="00914F8C">
                        <w:rPr>
                          <w:rFonts w:ascii="Calibri" w:hAnsi="Calibri"/>
                          <w:i/>
                          <w:color w:val="FFFFFF" w:themeColor="background1"/>
                          <w:sz w:val="18"/>
                          <w:szCs w:val="18"/>
                        </w:rPr>
                        <w:t xml:space="preserve">property </w:t>
                      </w:r>
                      <w:r w:rsidRPr="00FE6704">
                        <w:rPr>
                          <w:rFonts w:ascii="Calibri" w:hAnsi="Calibri"/>
                          <w:i/>
                          <w:color w:val="FFFFFF" w:themeColor="background1"/>
                          <w:sz w:val="18"/>
                          <w:szCs w:val="18"/>
                        </w:rPr>
                        <w:t>at sea</w:t>
                      </w:r>
                      <w:r w:rsidRPr="00E303D8">
                        <w:rPr>
                          <w:rFonts w:ascii="Calibri" w:hAnsi="Calibri"/>
                          <w:color w:val="FFFFFF" w:themeColor="background1"/>
                          <w:sz w:val="18"/>
                          <w:szCs w:val="18"/>
                        </w:rPr>
                        <w:t xml:space="preserve">, proponent (likely the titleholder) applies to the Minister for </w:t>
                      </w:r>
                      <w:r>
                        <w:rPr>
                          <w:rFonts w:ascii="Calibri" w:hAnsi="Calibri"/>
                          <w:color w:val="FFFFFF" w:themeColor="background1"/>
                          <w:sz w:val="18"/>
                          <w:szCs w:val="18"/>
                        </w:rPr>
                        <w:t xml:space="preserve">the </w:t>
                      </w:r>
                      <w:r w:rsidRPr="00E303D8">
                        <w:rPr>
                          <w:rFonts w:ascii="Calibri" w:hAnsi="Calibri"/>
                          <w:color w:val="FFFFFF" w:themeColor="background1"/>
                          <w:sz w:val="18"/>
                          <w:szCs w:val="18"/>
                        </w:rPr>
                        <w:t>Environment for a sea dumping permit</w:t>
                      </w:r>
                      <w:r>
                        <w:rPr>
                          <w:rFonts w:ascii="Calibri" w:hAnsi="Calibri"/>
                          <w:color w:val="FFFFFF" w:themeColor="background1"/>
                          <w:sz w:val="18"/>
                          <w:szCs w:val="18"/>
                        </w:rPr>
                        <w:t xml:space="preserve">. </w:t>
                      </w:r>
                    </w:p>
                    <w:p w14:paraId="4FA53AA4" w14:textId="77777777" w:rsidR="009C111B" w:rsidRPr="005609F1" w:rsidRDefault="009C111B" w:rsidP="005609F1">
                      <w:pPr>
                        <w:jc w:val="center"/>
                        <w:rPr>
                          <w:rFonts w:ascii="Calibri" w:hAnsi="Calibri"/>
                          <w:color w:val="FFFFFF" w:themeColor="background1"/>
                          <w:sz w:val="18"/>
                          <w:szCs w:val="18"/>
                        </w:rPr>
                      </w:pPr>
                    </w:p>
                  </w:txbxContent>
                </v:textbox>
                <w10:wrap anchorx="margin"/>
              </v:roundrect>
            </w:pict>
          </mc:Fallback>
        </mc:AlternateContent>
      </w:r>
      <w:r w:rsidR="00DC2D8A">
        <w:rPr>
          <w:rFonts w:ascii="Cambria" w:hAnsi="Cambria"/>
          <w:b/>
          <w:noProof/>
          <w:lang w:eastAsia="en-AU"/>
        </w:rPr>
        <mc:AlternateContent>
          <mc:Choice Requires="wps">
            <w:drawing>
              <wp:anchor distT="0" distB="0" distL="114300" distR="114300" simplePos="0" relativeHeight="251658259" behindDoc="0" locked="0" layoutInCell="1" allowOverlap="1" wp14:anchorId="76B44B85" wp14:editId="323BFAB8">
                <wp:simplePos x="0" y="0"/>
                <wp:positionH relativeFrom="column">
                  <wp:posOffset>3429190</wp:posOffset>
                </wp:positionH>
                <wp:positionV relativeFrom="paragraph">
                  <wp:posOffset>271780</wp:posOffset>
                </wp:positionV>
                <wp:extent cx="395605" cy="161925"/>
                <wp:effectExtent l="38100" t="0" r="4445" b="47625"/>
                <wp:wrapNone/>
                <wp:docPr id="310" name="Down Arrow 310"/>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2A35C" id="Down Arrow 310" o:spid="_x0000_s1026" type="#_x0000_t67" style="position:absolute;margin-left:270pt;margin-top:21.4pt;width:31.1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" adj="10800" fillcolor="#1b9590 [3206]" strokecolor="#0d4947 [1606]" strokeweight="1pt"/>
            </w:pict>
          </mc:Fallback>
        </mc:AlternateContent>
      </w:r>
    </w:p>
    <w:p w14:paraId="06C48699" w14:textId="2C9A25E9" w:rsidR="00C02767" w:rsidRDefault="007D4A66" w:rsidP="00C02767">
      <w:r w:rsidRPr="00325FA8">
        <w:rPr>
          <w:b/>
          <w:noProof/>
          <w:lang w:eastAsia="en-AU"/>
        </w:rPr>
        <mc:AlternateContent>
          <mc:Choice Requires="wps">
            <w:drawing>
              <wp:anchor distT="0" distB="0" distL="114300" distR="114300" simplePos="0" relativeHeight="251658240" behindDoc="0" locked="0" layoutInCell="1" allowOverlap="1" wp14:anchorId="58147D43" wp14:editId="40C0534A">
                <wp:simplePos x="0" y="0"/>
                <wp:positionH relativeFrom="column">
                  <wp:posOffset>7901981</wp:posOffset>
                </wp:positionH>
                <wp:positionV relativeFrom="paragraph">
                  <wp:posOffset>121509</wp:posOffset>
                </wp:positionV>
                <wp:extent cx="1695450" cy="1223390"/>
                <wp:effectExtent l="0" t="0" r="19050" b="15240"/>
                <wp:wrapNone/>
                <wp:docPr id="24" name="Text Box 2" descr="Operator submits new decommissioning-specific SC to NOPSEMA, or revises existing SC to cover decommissioning. " title="OPGGS (Safety) Regul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23390"/>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70FFB40D" w14:textId="23AC9320"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Safety Regulations</w:t>
                            </w:r>
                          </w:p>
                          <w:p w14:paraId="1CAB3E33" w14:textId="1C8D5974" w:rsidR="009C111B" w:rsidRPr="00E303D8"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Operator</w:t>
                            </w:r>
                            <w:r w:rsidRPr="00E303D8">
                              <w:rPr>
                                <w:rFonts w:ascii="Calibri" w:hAnsi="Calibri"/>
                                <w:color w:val="FFFFFF" w:themeColor="background1"/>
                                <w:sz w:val="18"/>
                                <w:szCs w:val="18"/>
                              </w:rPr>
                              <w:t xml:space="preserve"> submits </w:t>
                            </w:r>
                            <w:r>
                              <w:rPr>
                                <w:rFonts w:ascii="Calibri" w:hAnsi="Calibri"/>
                                <w:color w:val="FFFFFF" w:themeColor="background1"/>
                                <w:sz w:val="18"/>
                                <w:szCs w:val="18"/>
                              </w:rPr>
                              <w:t>new decommissioning-specific SC</w:t>
                            </w:r>
                            <w:r w:rsidRPr="00E303D8" w:rsidDel="00C84AEF">
                              <w:rPr>
                                <w:rFonts w:ascii="Calibri" w:hAnsi="Calibri"/>
                                <w:color w:val="FFFFFF" w:themeColor="background1"/>
                                <w:sz w:val="18"/>
                                <w:szCs w:val="18"/>
                              </w:rPr>
                              <w:t xml:space="preserve"> </w:t>
                            </w:r>
                            <w:r w:rsidRPr="00E303D8">
                              <w:rPr>
                                <w:rFonts w:ascii="Calibri" w:hAnsi="Calibri"/>
                                <w:color w:val="FFFFFF" w:themeColor="background1"/>
                                <w:sz w:val="18"/>
                                <w:szCs w:val="18"/>
                              </w:rPr>
                              <w:t>to NOPSEMA, or revises existi</w:t>
                            </w:r>
                            <w:r>
                              <w:rPr>
                                <w:rFonts w:ascii="Calibri" w:hAnsi="Calibri"/>
                                <w:color w:val="FFFFFF" w:themeColor="background1"/>
                                <w:sz w:val="18"/>
                                <w:szCs w:val="18"/>
                              </w:rPr>
                              <w:t xml:space="preserve">ng SC </w:t>
                            </w:r>
                            <w:r w:rsidRPr="00E303D8">
                              <w:rPr>
                                <w:rFonts w:ascii="Calibri" w:hAnsi="Calibri"/>
                                <w:color w:val="FFFFFF" w:themeColor="background1"/>
                                <w:sz w:val="18"/>
                                <w:szCs w:val="18"/>
                              </w:rPr>
                              <w:t>to cover decommissioning</w:t>
                            </w:r>
                            <w:r>
                              <w:rPr>
                                <w:rFonts w:ascii="Calibri" w:hAnsi="Calibri"/>
                                <w:color w:val="FFFFFF" w:themeColor="background1"/>
                                <w:sz w:val="18"/>
                                <w:szCs w:val="18"/>
                              </w:rPr>
                              <w:t xml:space="preserve">. </w:t>
                            </w:r>
                          </w:p>
                          <w:p w14:paraId="707DFE85" w14:textId="77777777" w:rsidR="009C111B" w:rsidRPr="005609F1" w:rsidRDefault="009C111B" w:rsidP="005609F1">
                            <w:pPr>
                              <w:jc w:val="center"/>
                              <w:rPr>
                                <w:rFonts w:ascii="Calibri" w:hAnsi="Calibri"/>
                                <w:b/>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8147D43" id="_x0000_s1033" alt="Title: OPGGS (Safety) Regulations - Description: Operator submits new decommissioning-specific SC to NOPSEMA, or revises existing SC to cover decommissioning. " style="position:absolute;margin-left:622.2pt;margin-top:9.55pt;width:133.5pt;height:9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" fillcolor="#1b9590 [3206]" strokecolor="#6d6f72 [2404]" strokeweight="1pt">
                <v:stroke joinstyle="miter"/>
                <v:textbox>
                  <w:txbxContent>
                    <w:p w14:paraId="70FFB40D" w14:textId="23AC9320"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Safety Regulations</w:t>
                      </w:r>
                    </w:p>
                    <w:p w14:paraId="1CAB3E33" w14:textId="1C8D5974" w:rsidR="009C111B" w:rsidRPr="00E303D8"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Operator</w:t>
                      </w:r>
                      <w:r w:rsidRPr="00E303D8">
                        <w:rPr>
                          <w:rFonts w:ascii="Calibri" w:hAnsi="Calibri"/>
                          <w:color w:val="FFFFFF" w:themeColor="background1"/>
                          <w:sz w:val="18"/>
                          <w:szCs w:val="18"/>
                        </w:rPr>
                        <w:t xml:space="preserve"> submits </w:t>
                      </w:r>
                      <w:r>
                        <w:rPr>
                          <w:rFonts w:ascii="Calibri" w:hAnsi="Calibri"/>
                          <w:color w:val="FFFFFF" w:themeColor="background1"/>
                          <w:sz w:val="18"/>
                          <w:szCs w:val="18"/>
                        </w:rPr>
                        <w:t>new decommissioning-specific SC</w:t>
                      </w:r>
                      <w:r w:rsidRPr="00E303D8" w:rsidDel="00C84AEF">
                        <w:rPr>
                          <w:rFonts w:ascii="Calibri" w:hAnsi="Calibri"/>
                          <w:color w:val="FFFFFF" w:themeColor="background1"/>
                          <w:sz w:val="18"/>
                          <w:szCs w:val="18"/>
                        </w:rPr>
                        <w:t xml:space="preserve"> </w:t>
                      </w:r>
                      <w:r w:rsidRPr="00E303D8">
                        <w:rPr>
                          <w:rFonts w:ascii="Calibri" w:hAnsi="Calibri"/>
                          <w:color w:val="FFFFFF" w:themeColor="background1"/>
                          <w:sz w:val="18"/>
                          <w:szCs w:val="18"/>
                        </w:rPr>
                        <w:t>to NOPSEMA, or revises existi</w:t>
                      </w:r>
                      <w:r>
                        <w:rPr>
                          <w:rFonts w:ascii="Calibri" w:hAnsi="Calibri"/>
                          <w:color w:val="FFFFFF" w:themeColor="background1"/>
                          <w:sz w:val="18"/>
                          <w:szCs w:val="18"/>
                        </w:rPr>
                        <w:t xml:space="preserve">ng SC </w:t>
                      </w:r>
                      <w:r w:rsidRPr="00E303D8">
                        <w:rPr>
                          <w:rFonts w:ascii="Calibri" w:hAnsi="Calibri"/>
                          <w:color w:val="FFFFFF" w:themeColor="background1"/>
                          <w:sz w:val="18"/>
                          <w:szCs w:val="18"/>
                        </w:rPr>
                        <w:t>to cover decommissioning</w:t>
                      </w:r>
                      <w:r>
                        <w:rPr>
                          <w:rFonts w:ascii="Calibri" w:hAnsi="Calibri"/>
                          <w:color w:val="FFFFFF" w:themeColor="background1"/>
                          <w:sz w:val="18"/>
                          <w:szCs w:val="18"/>
                        </w:rPr>
                        <w:t xml:space="preserve">. </w:t>
                      </w:r>
                    </w:p>
                    <w:p w14:paraId="707DFE85" w14:textId="77777777" w:rsidR="009C111B" w:rsidRPr="005609F1" w:rsidRDefault="009C111B" w:rsidP="005609F1">
                      <w:pPr>
                        <w:jc w:val="center"/>
                        <w:rPr>
                          <w:rFonts w:ascii="Calibri" w:hAnsi="Calibri"/>
                          <w:b/>
                          <w:color w:val="FFFFFF" w:themeColor="background1"/>
                          <w:sz w:val="18"/>
                          <w:szCs w:val="18"/>
                        </w:rPr>
                      </w:pPr>
                    </w:p>
                  </w:txbxContent>
                </v:textbox>
              </v:roundrect>
            </w:pict>
          </mc:Fallback>
        </mc:AlternateContent>
      </w:r>
      <w:r w:rsidR="000B2DA5" w:rsidRPr="00325FA8">
        <w:rPr>
          <w:b/>
          <w:noProof/>
          <w:lang w:eastAsia="en-AU"/>
        </w:rPr>
        <mc:AlternateContent>
          <mc:Choice Requires="wps">
            <w:drawing>
              <wp:anchor distT="0" distB="0" distL="114300" distR="114300" simplePos="0" relativeHeight="251658254" behindDoc="0" locked="0" layoutInCell="1" allowOverlap="1" wp14:anchorId="0F9941CE" wp14:editId="5821421B">
                <wp:simplePos x="0" y="0"/>
                <wp:positionH relativeFrom="column">
                  <wp:posOffset>5831840</wp:posOffset>
                </wp:positionH>
                <wp:positionV relativeFrom="paragraph">
                  <wp:posOffset>110490</wp:posOffset>
                </wp:positionV>
                <wp:extent cx="1966595" cy="1268730"/>
                <wp:effectExtent l="0" t="0" r="14605" b="26670"/>
                <wp:wrapNone/>
                <wp:docPr id="29" name="Text Box 2" descr="Titleholder submits WOMP (covering well abandonment) to NOPSEMA, if necessary. Titleholder notifies NOPSEMA before commencing abandonment.&#10;&#10;&#10;" title="OPGGS (RMA) Regulations (wel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1268730"/>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0C784F7" w14:textId="4ECD28AF"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 xml:space="preserve">RMA Regulations </w:t>
                            </w:r>
                            <w:r>
                              <w:rPr>
                                <w:rFonts w:ascii="Calibri" w:hAnsi="Calibri"/>
                                <w:b/>
                                <w:color w:val="FFFFFF" w:themeColor="background1"/>
                                <w:sz w:val="18"/>
                                <w:szCs w:val="18"/>
                                <w:u w:val="single"/>
                              </w:rPr>
                              <w:t>- Wells</w:t>
                            </w:r>
                          </w:p>
                          <w:p w14:paraId="5144B3F9" w14:textId="77777777" w:rsidR="009C111B"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sidRPr="006D17FF">
                              <w:rPr>
                                <w:rFonts w:ascii="Calibri" w:hAnsi="Calibri"/>
                                <w:color w:val="FFFFFF" w:themeColor="background1"/>
                                <w:sz w:val="18"/>
                                <w:szCs w:val="18"/>
                              </w:rPr>
                              <w:t xml:space="preserve"> </w:t>
                            </w:r>
                            <w:r>
                              <w:rPr>
                                <w:rFonts w:ascii="Calibri" w:hAnsi="Calibri"/>
                                <w:color w:val="FFFFFF" w:themeColor="background1"/>
                                <w:sz w:val="18"/>
                                <w:szCs w:val="18"/>
                              </w:rPr>
                              <w:t xml:space="preserve">submits WOMP (covering well abandonment) to NOPSEMA, if necessary. </w:t>
                            </w: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before commencing abandonment.</w:t>
                            </w:r>
                          </w:p>
                          <w:p w14:paraId="53B932CB" w14:textId="77777777" w:rsidR="009C111B" w:rsidRDefault="009C111B" w:rsidP="005609F1">
                            <w:pPr>
                              <w:rPr>
                                <w:rFonts w:ascii="Calibri" w:hAnsi="Calibri"/>
                                <w:color w:val="FFFFFF" w:themeColor="background1"/>
                                <w:sz w:val="18"/>
                                <w:szCs w:val="18"/>
                              </w:rPr>
                            </w:pPr>
                          </w:p>
                          <w:p w14:paraId="02DE7FB3" w14:textId="77777777" w:rsidR="009C111B" w:rsidRPr="005609F1" w:rsidRDefault="009C111B" w:rsidP="005609F1">
                            <w:pPr>
                              <w:jc w:val="center"/>
                              <w:rPr>
                                <w:rFonts w:ascii="Calibri" w:hAnsi="Calibri"/>
                                <w:b/>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F9941CE" id="_x0000_s1034" alt="Title: OPGGS (RMA) Regulations (wells) - Description: Titleholder submits WOMP (covering well abandonment) to NOPSEMA, if necessary. Titleholder notifies NOPSEMA before commencing abandonment.&#10;&#10;&#10;" style="position:absolute;margin-left:459.2pt;margin-top:8.7pt;width:154.85pt;height:99.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" fillcolor="#1b9590 [3206]" strokecolor="#6d6f72 [2404]" strokeweight="1pt">
                <v:stroke joinstyle="miter"/>
                <v:textbox>
                  <w:txbxContent>
                    <w:p w14:paraId="10C784F7" w14:textId="4ECD28AF"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 xml:space="preserve">RMA Regulations </w:t>
                      </w:r>
                      <w:r>
                        <w:rPr>
                          <w:rFonts w:ascii="Calibri" w:hAnsi="Calibri"/>
                          <w:b/>
                          <w:color w:val="FFFFFF" w:themeColor="background1"/>
                          <w:sz w:val="18"/>
                          <w:szCs w:val="18"/>
                          <w:u w:val="single"/>
                        </w:rPr>
                        <w:t>- Wells</w:t>
                      </w:r>
                    </w:p>
                    <w:p w14:paraId="5144B3F9" w14:textId="77777777" w:rsidR="009C111B"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sidRPr="006D17FF">
                        <w:rPr>
                          <w:rFonts w:ascii="Calibri" w:hAnsi="Calibri"/>
                          <w:color w:val="FFFFFF" w:themeColor="background1"/>
                          <w:sz w:val="18"/>
                          <w:szCs w:val="18"/>
                        </w:rPr>
                        <w:t xml:space="preserve"> </w:t>
                      </w:r>
                      <w:r>
                        <w:rPr>
                          <w:rFonts w:ascii="Calibri" w:hAnsi="Calibri"/>
                          <w:color w:val="FFFFFF" w:themeColor="background1"/>
                          <w:sz w:val="18"/>
                          <w:szCs w:val="18"/>
                        </w:rPr>
                        <w:t xml:space="preserve">submits WOMP (covering well abandonment) to NOPSEMA, if necessary. </w:t>
                      </w: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before commencing abandonment.</w:t>
                      </w:r>
                    </w:p>
                    <w:p w14:paraId="53B932CB" w14:textId="77777777" w:rsidR="009C111B" w:rsidRDefault="009C111B" w:rsidP="005609F1">
                      <w:pPr>
                        <w:rPr>
                          <w:rFonts w:ascii="Calibri" w:hAnsi="Calibri"/>
                          <w:color w:val="FFFFFF" w:themeColor="background1"/>
                          <w:sz w:val="18"/>
                          <w:szCs w:val="18"/>
                        </w:rPr>
                      </w:pPr>
                    </w:p>
                    <w:p w14:paraId="02DE7FB3" w14:textId="77777777" w:rsidR="009C111B" w:rsidRPr="005609F1" w:rsidRDefault="009C111B" w:rsidP="005609F1">
                      <w:pPr>
                        <w:jc w:val="center"/>
                        <w:rPr>
                          <w:rFonts w:ascii="Calibri" w:hAnsi="Calibri"/>
                          <w:b/>
                          <w:color w:val="FFFFFF" w:themeColor="background1"/>
                          <w:sz w:val="18"/>
                          <w:szCs w:val="18"/>
                        </w:rPr>
                      </w:pPr>
                    </w:p>
                  </w:txbxContent>
                </v:textbox>
              </v:roundrect>
            </w:pict>
          </mc:Fallback>
        </mc:AlternateContent>
      </w:r>
      <w:r w:rsidR="000B2DA5" w:rsidRPr="00325FA8">
        <w:rPr>
          <w:b/>
          <w:noProof/>
          <w:lang w:eastAsia="en-AU"/>
        </w:rPr>
        <mc:AlternateContent>
          <mc:Choice Requires="wps">
            <w:drawing>
              <wp:anchor distT="0" distB="0" distL="114300" distR="114300" simplePos="0" relativeHeight="251658255" behindDoc="0" locked="0" layoutInCell="1" allowOverlap="1" wp14:anchorId="48387953" wp14:editId="7BD0422E">
                <wp:simplePos x="0" y="0"/>
                <wp:positionH relativeFrom="column">
                  <wp:posOffset>3677920</wp:posOffset>
                </wp:positionH>
                <wp:positionV relativeFrom="paragraph">
                  <wp:posOffset>110490</wp:posOffset>
                </wp:positionV>
                <wp:extent cx="2048510" cy="1233170"/>
                <wp:effectExtent l="0" t="0" r="27940" b="24130"/>
                <wp:wrapNone/>
                <wp:docPr id="288" name="Text Box 2" descr="If production is to cease earlier than agreed in the initial FDP, titleholder submits revised FDP to NOPTA for acceptance by the Joint Authority. &#10;&#10;" title="OPGGS (RMA) Regulations (field develop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1233170"/>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2CD5A35C" w14:textId="102E9229" w:rsidR="009C111B" w:rsidRPr="00B96487" w:rsidRDefault="009C111B" w:rsidP="005609F1">
                            <w:pPr>
                              <w:jc w:val="center"/>
                              <w:rPr>
                                <w:rFonts w:ascii="Calibri" w:hAnsi="Calibri"/>
                                <w:b/>
                                <w:color w:val="FFFFFF" w:themeColor="background1"/>
                                <w:sz w:val="18"/>
                                <w:szCs w:val="18"/>
                                <w:u w:val="single"/>
                              </w:rPr>
                            </w:pPr>
                            <w:r w:rsidRPr="00B96487">
                              <w:rPr>
                                <w:rFonts w:ascii="Calibri" w:hAnsi="Calibri"/>
                                <w:b/>
                                <w:color w:val="FFFFFF" w:themeColor="background1"/>
                                <w:sz w:val="18"/>
                                <w:szCs w:val="18"/>
                                <w:u w:val="single"/>
                              </w:rPr>
                              <w:t xml:space="preserve">RMA Regulations </w:t>
                            </w:r>
                            <w:r>
                              <w:rPr>
                                <w:rFonts w:ascii="Calibri" w:hAnsi="Calibri"/>
                                <w:b/>
                                <w:color w:val="FFFFFF" w:themeColor="background1"/>
                                <w:sz w:val="18"/>
                                <w:szCs w:val="18"/>
                                <w:u w:val="single"/>
                              </w:rPr>
                              <w:t>- Field</w:t>
                            </w:r>
                            <w:r w:rsidRPr="00B96487">
                              <w:rPr>
                                <w:rFonts w:ascii="Calibri" w:hAnsi="Calibri"/>
                                <w:b/>
                                <w:color w:val="FFFFFF" w:themeColor="background1"/>
                                <w:sz w:val="18"/>
                                <w:szCs w:val="18"/>
                                <w:u w:val="single"/>
                              </w:rPr>
                              <w:t xml:space="preserve"> development</w:t>
                            </w:r>
                          </w:p>
                          <w:p w14:paraId="1AE8D625" w14:textId="77777777" w:rsidR="009C111B" w:rsidRPr="006D17FF" w:rsidRDefault="009C111B" w:rsidP="00111ECC">
                            <w:pPr>
                              <w:jc w:val="center"/>
                              <w:rPr>
                                <w:rFonts w:ascii="Calibri" w:hAnsi="Calibri"/>
                                <w:color w:val="FFFFFF" w:themeColor="background1"/>
                                <w:sz w:val="18"/>
                                <w:szCs w:val="18"/>
                              </w:rPr>
                            </w:pPr>
                            <w:r w:rsidRPr="00E303D8">
                              <w:rPr>
                                <w:rFonts w:ascii="Calibri" w:hAnsi="Calibri"/>
                                <w:color w:val="FFFFFF" w:themeColor="background1"/>
                                <w:sz w:val="18"/>
                                <w:szCs w:val="18"/>
                              </w:rPr>
                              <w:t xml:space="preserve">If production is to cease earlier than </w:t>
                            </w:r>
                            <w:r>
                              <w:rPr>
                                <w:rFonts w:ascii="Calibri" w:hAnsi="Calibri"/>
                                <w:color w:val="FFFFFF" w:themeColor="background1"/>
                                <w:sz w:val="18"/>
                                <w:szCs w:val="18"/>
                              </w:rPr>
                              <w:t xml:space="preserve">agreed in the initial FDP, </w:t>
                            </w:r>
                            <w:r w:rsidRPr="001F7DA7">
                              <w:rPr>
                                <w:rFonts w:ascii="Calibri" w:hAnsi="Calibri"/>
                                <w:color w:val="FFFFFF" w:themeColor="background1"/>
                                <w:sz w:val="18"/>
                                <w:szCs w:val="18"/>
                                <w:u w:val="single"/>
                              </w:rPr>
                              <w:t>titleholder</w:t>
                            </w:r>
                            <w:r w:rsidRPr="00E303D8">
                              <w:rPr>
                                <w:rFonts w:ascii="Calibri" w:hAnsi="Calibri"/>
                                <w:color w:val="FFFFFF" w:themeColor="background1"/>
                                <w:sz w:val="18"/>
                                <w:szCs w:val="18"/>
                              </w:rPr>
                              <w:t xml:space="preserve"> submits revised FDP to NOPTA</w:t>
                            </w:r>
                            <w:r>
                              <w:rPr>
                                <w:rFonts w:ascii="Calibri" w:hAnsi="Calibri"/>
                                <w:color w:val="FFFFFF" w:themeColor="background1"/>
                                <w:sz w:val="18"/>
                                <w:szCs w:val="18"/>
                              </w:rPr>
                              <w:t xml:space="preserve"> for acceptance by the Joint A</w:t>
                            </w:r>
                            <w:r w:rsidRPr="006D17FF">
                              <w:rPr>
                                <w:rFonts w:ascii="Calibri" w:hAnsi="Calibri"/>
                                <w:color w:val="FFFFFF" w:themeColor="background1"/>
                                <w:sz w:val="18"/>
                                <w:szCs w:val="18"/>
                              </w:rPr>
                              <w:t>uthority</w:t>
                            </w:r>
                            <w:r>
                              <w:rPr>
                                <w:rFonts w:ascii="Calibri" w:hAnsi="Calibri"/>
                                <w:color w:val="FFFFFF" w:themeColor="background1"/>
                                <w:sz w:val="18"/>
                                <w:szCs w:val="18"/>
                              </w:rPr>
                              <w:t xml:space="preserve">. </w:t>
                            </w:r>
                          </w:p>
                          <w:p w14:paraId="716C0C20" w14:textId="77777777" w:rsidR="009C111B" w:rsidRPr="005609F1" w:rsidRDefault="009C111B" w:rsidP="005609F1">
                            <w:pPr>
                              <w:jc w:val="center"/>
                              <w:rPr>
                                <w:rFonts w:ascii="Calibri" w:hAnsi="Calibri"/>
                                <w:b/>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8387953" id="_x0000_s1035" alt="Title: OPGGS (RMA) Regulations (field development) - Description: If production is to cease earlier than agreed in the initial FDP, titleholder submits revised FDP to NOPTA for acceptance by the Joint Authority. &#10;&#10;" style="position:absolute;margin-left:289.6pt;margin-top:8.7pt;width:161.3pt;height:97.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" fillcolor="#1b9590 [3206]" strokecolor="#6d6f72 [2404]" strokeweight="1pt">
                <v:stroke joinstyle="miter"/>
                <v:textbox>
                  <w:txbxContent>
                    <w:p w14:paraId="2CD5A35C" w14:textId="102E9229" w:rsidR="009C111B" w:rsidRPr="00B96487" w:rsidRDefault="009C111B" w:rsidP="005609F1">
                      <w:pPr>
                        <w:jc w:val="center"/>
                        <w:rPr>
                          <w:rFonts w:ascii="Calibri" w:hAnsi="Calibri"/>
                          <w:b/>
                          <w:color w:val="FFFFFF" w:themeColor="background1"/>
                          <w:sz w:val="18"/>
                          <w:szCs w:val="18"/>
                          <w:u w:val="single"/>
                        </w:rPr>
                      </w:pPr>
                      <w:r w:rsidRPr="00B96487">
                        <w:rPr>
                          <w:rFonts w:ascii="Calibri" w:hAnsi="Calibri"/>
                          <w:b/>
                          <w:color w:val="FFFFFF" w:themeColor="background1"/>
                          <w:sz w:val="18"/>
                          <w:szCs w:val="18"/>
                          <w:u w:val="single"/>
                        </w:rPr>
                        <w:t xml:space="preserve">RMA Regulations </w:t>
                      </w:r>
                      <w:r>
                        <w:rPr>
                          <w:rFonts w:ascii="Calibri" w:hAnsi="Calibri"/>
                          <w:b/>
                          <w:color w:val="FFFFFF" w:themeColor="background1"/>
                          <w:sz w:val="18"/>
                          <w:szCs w:val="18"/>
                          <w:u w:val="single"/>
                        </w:rPr>
                        <w:t>- Field</w:t>
                      </w:r>
                      <w:r w:rsidRPr="00B96487">
                        <w:rPr>
                          <w:rFonts w:ascii="Calibri" w:hAnsi="Calibri"/>
                          <w:b/>
                          <w:color w:val="FFFFFF" w:themeColor="background1"/>
                          <w:sz w:val="18"/>
                          <w:szCs w:val="18"/>
                          <w:u w:val="single"/>
                        </w:rPr>
                        <w:t xml:space="preserve"> development</w:t>
                      </w:r>
                    </w:p>
                    <w:p w14:paraId="1AE8D625" w14:textId="77777777" w:rsidR="009C111B" w:rsidRPr="006D17FF" w:rsidRDefault="009C111B" w:rsidP="00111ECC">
                      <w:pPr>
                        <w:jc w:val="center"/>
                        <w:rPr>
                          <w:rFonts w:ascii="Calibri" w:hAnsi="Calibri"/>
                          <w:color w:val="FFFFFF" w:themeColor="background1"/>
                          <w:sz w:val="18"/>
                          <w:szCs w:val="18"/>
                        </w:rPr>
                      </w:pPr>
                      <w:r w:rsidRPr="00E303D8">
                        <w:rPr>
                          <w:rFonts w:ascii="Calibri" w:hAnsi="Calibri"/>
                          <w:color w:val="FFFFFF" w:themeColor="background1"/>
                          <w:sz w:val="18"/>
                          <w:szCs w:val="18"/>
                        </w:rPr>
                        <w:t xml:space="preserve">If production is to cease earlier than </w:t>
                      </w:r>
                      <w:r>
                        <w:rPr>
                          <w:rFonts w:ascii="Calibri" w:hAnsi="Calibri"/>
                          <w:color w:val="FFFFFF" w:themeColor="background1"/>
                          <w:sz w:val="18"/>
                          <w:szCs w:val="18"/>
                        </w:rPr>
                        <w:t xml:space="preserve">agreed in the initial FDP, </w:t>
                      </w:r>
                      <w:r w:rsidRPr="001F7DA7">
                        <w:rPr>
                          <w:rFonts w:ascii="Calibri" w:hAnsi="Calibri"/>
                          <w:color w:val="FFFFFF" w:themeColor="background1"/>
                          <w:sz w:val="18"/>
                          <w:szCs w:val="18"/>
                          <w:u w:val="single"/>
                        </w:rPr>
                        <w:t>titleholder</w:t>
                      </w:r>
                      <w:r w:rsidRPr="00E303D8">
                        <w:rPr>
                          <w:rFonts w:ascii="Calibri" w:hAnsi="Calibri"/>
                          <w:color w:val="FFFFFF" w:themeColor="background1"/>
                          <w:sz w:val="18"/>
                          <w:szCs w:val="18"/>
                        </w:rPr>
                        <w:t xml:space="preserve"> submits revised FDP to NOPTA</w:t>
                      </w:r>
                      <w:r>
                        <w:rPr>
                          <w:rFonts w:ascii="Calibri" w:hAnsi="Calibri"/>
                          <w:color w:val="FFFFFF" w:themeColor="background1"/>
                          <w:sz w:val="18"/>
                          <w:szCs w:val="18"/>
                        </w:rPr>
                        <w:t xml:space="preserve"> for acceptance by the Joint A</w:t>
                      </w:r>
                      <w:r w:rsidRPr="006D17FF">
                        <w:rPr>
                          <w:rFonts w:ascii="Calibri" w:hAnsi="Calibri"/>
                          <w:color w:val="FFFFFF" w:themeColor="background1"/>
                          <w:sz w:val="18"/>
                          <w:szCs w:val="18"/>
                        </w:rPr>
                        <w:t>uthority</w:t>
                      </w:r>
                      <w:r>
                        <w:rPr>
                          <w:rFonts w:ascii="Calibri" w:hAnsi="Calibri"/>
                          <w:color w:val="FFFFFF" w:themeColor="background1"/>
                          <w:sz w:val="18"/>
                          <w:szCs w:val="18"/>
                        </w:rPr>
                        <w:t xml:space="preserve">. </w:t>
                      </w:r>
                    </w:p>
                    <w:p w14:paraId="716C0C20" w14:textId="77777777" w:rsidR="009C111B" w:rsidRPr="005609F1" w:rsidRDefault="009C111B" w:rsidP="005609F1">
                      <w:pPr>
                        <w:jc w:val="center"/>
                        <w:rPr>
                          <w:rFonts w:ascii="Calibri" w:hAnsi="Calibri"/>
                          <w:b/>
                          <w:color w:val="FFFFFF" w:themeColor="background1"/>
                          <w:sz w:val="18"/>
                          <w:szCs w:val="18"/>
                        </w:rPr>
                      </w:pPr>
                    </w:p>
                  </w:txbxContent>
                </v:textbox>
              </v:roundrect>
            </w:pict>
          </mc:Fallback>
        </mc:AlternateContent>
      </w:r>
      <w:r w:rsidR="000B2DA5" w:rsidRPr="00325FA8">
        <w:rPr>
          <w:b/>
          <w:noProof/>
          <w:lang w:eastAsia="en-AU"/>
        </w:rPr>
        <mc:AlternateContent>
          <mc:Choice Requires="wps">
            <w:drawing>
              <wp:anchor distT="0" distB="0" distL="114300" distR="114300" simplePos="0" relativeHeight="251658242" behindDoc="0" locked="0" layoutInCell="1" allowOverlap="1" wp14:anchorId="4962ED64" wp14:editId="57FD06A9">
                <wp:simplePos x="0" y="0"/>
                <wp:positionH relativeFrom="column">
                  <wp:posOffset>1450975</wp:posOffset>
                </wp:positionH>
                <wp:positionV relativeFrom="paragraph">
                  <wp:posOffset>186055</wp:posOffset>
                </wp:positionV>
                <wp:extent cx="2143125" cy="1068070"/>
                <wp:effectExtent l="0" t="0" r="28575" b="17780"/>
                <wp:wrapNone/>
                <wp:docPr id="289" name="Text Box 2" title="OPGGS (Environment) Regul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068070"/>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591A1ACA" w14:textId="0FEB9865"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Environment Regulations</w:t>
                            </w:r>
                          </w:p>
                          <w:p w14:paraId="59829844" w14:textId="77777777" w:rsidR="009C111B" w:rsidRPr="00E303D8"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submits decommissioning</w:t>
                            </w:r>
                            <w:r>
                              <w:rPr>
                                <w:rFonts w:ascii="Calibri" w:hAnsi="Calibri"/>
                                <w:color w:val="FFFFFF" w:themeColor="background1"/>
                                <w:sz w:val="18"/>
                                <w:szCs w:val="18"/>
                              </w:rPr>
                              <w:noBreakHyphen/>
                            </w:r>
                            <w:r w:rsidRPr="00E303D8">
                              <w:rPr>
                                <w:rFonts w:ascii="Calibri" w:hAnsi="Calibri"/>
                                <w:color w:val="FFFFFF" w:themeColor="background1"/>
                                <w:sz w:val="18"/>
                                <w:szCs w:val="18"/>
                              </w:rPr>
                              <w:t>specific EP(s) to NOPSEMA, or revises existing EP</w:t>
                            </w:r>
                            <w:r>
                              <w:rPr>
                                <w:rFonts w:ascii="Calibri" w:hAnsi="Calibri"/>
                                <w:color w:val="FFFFFF" w:themeColor="background1"/>
                                <w:sz w:val="18"/>
                                <w:szCs w:val="18"/>
                              </w:rPr>
                              <w:t>(s)</w:t>
                            </w:r>
                            <w:r w:rsidRPr="00E303D8">
                              <w:rPr>
                                <w:rFonts w:ascii="Calibri" w:hAnsi="Calibri"/>
                                <w:color w:val="FFFFFF" w:themeColor="background1"/>
                                <w:sz w:val="18"/>
                                <w:szCs w:val="18"/>
                              </w:rPr>
                              <w:t xml:space="preserve"> to cover decommissioning</w:t>
                            </w:r>
                            <w:r>
                              <w:rPr>
                                <w:rFonts w:ascii="Calibri" w:hAnsi="Calibri"/>
                                <w:color w:val="FFFFFF" w:themeColor="background1"/>
                                <w:sz w:val="18"/>
                                <w:szCs w:val="18"/>
                              </w:rPr>
                              <w:t>.</w:t>
                            </w:r>
                          </w:p>
                          <w:p w14:paraId="02183D3A" w14:textId="77777777" w:rsidR="009C111B" w:rsidRPr="005609F1" w:rsidRDefault="009C111B" w:rsidP="005609F1">
                            <w:pPr>
                              <w:jc w:val="center"/>
                              <w:rPr>
                                <w:rFonts w:ascii="Calibri" w:hAnsi="Calibri"/>
                                <w:b/>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962ED64" id="_x0000_s1036" alt="Title: OPGGS (Environment) Regulations" style="position:absolute;margin-left:114.25pt;margin-top:14.65pt;width:168.75pt;height:8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" fillcolor="#1b9590 [3206]" strokecolor="#6d6f72 [2404]" strokeweight="1pt">
                <v:stroke joinstyle="miter"/>
                <v:textbox>
                  <w:txbxContent>
                    <w:p w14:paraId="591A1ACA" w14:textId="0FEB9865" w:rsidR="009C111B" w:rsidRPr="005609F1" w:rsidRDefault="009C111B" w:rsidP="005609F1">
                      <w:pPr>
                        <w:jc w:val="center"/>
                        <w:rPr>
                          <w:rFonts w:ascii="Calibri" w:hAnsi="Calibri"/>
                          <w:b/>
                          <w:color w:val="FFFFFF" w:themeColor="background1"/>
                          <w:sz w:val="18"/>
                          <w:szCs w:val="18"/>
                          <w:u w:val="single"/>
                        </w:rPr>
                      </w:pPr>
                      <w:r w:rsidRPr="005609F1">
                        <w:rPr>
                          <w:rFonts w:ascii="Calibri" w:hAnsi="Calibri"/>
                          <w:b/>
                          <w:color w:val="FFFFFF" w:themeColor="background1"/>
                          <w:sz w:val="18"/>
                          <w:szCs w:val="18"/>
                          <w:u w:val="single"/>
                        </w:rPr>
                        <w:t>Environment Regulations</w:t>
                      </w:r>
                    </w:p>
                    <w:p w14:paraId="59829844" w14:textId="77777777" w:rsidR="009C111B" w:rsidRPr="00E303D8" w:rsidRDefault="009C111B" w:rsidP="00111ECC">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submits decommissioning</w:t>
                      </w:r>
                      <w:r>
                        <w:rPr>
                          <w:rFonts w:ascii="Calibri" w:hAnsi="Calibri"/>
                          <w:color w:val="FFFFFF" w:themeColor="background1"/>
                          <w:sz w:val="18"/>
                          <w:szCs w:val="18"/>
                        </w:rPr>
                        <w:noBreakHyphen/>
                      </w:r>
                      <w:r w:rsidRPr="00E303D8">
                        <w:rPr>
                          <w:rFonts w:ascii="Calibri" w:hAnsi="Calibri"/>
                          <w:color w:val="FFFFFF" w:themeColor="background1"/>
                          <w:sz w:val="18"/>
                          <w:szCs w:val="18"/>
                        </w:rPr>
                        <w:t>specific EP(s) to NOPSEMA, or revises existing EP</w:t>
                      </w:r>
                      <w:r>
                        <w:rPr>
                          <w:rFonts w:ascii="Calibri" w:hAnsi="Calibri"/>
                          <w:color w:val="FFFFFF" w:themeColor="background1"/>
                          <w:sz w:val="18"/>
                          <w:szCs w:val="18"/>
                        </w:rPr>
                        <w:t>(s)</w:t>
                      </w:r>
                      <w:r w:rsidRPr="00E303D8">
                        <w:rPr>
                          <w:rFonts w:ascii="Calibri" w:hAnsi="Calibri"/>
                          <w:color w:val="FFFFFF" w:themeColor="background1"/>
                          <w:sz w:val="18"/>
                          <w:szCs w:val="18"/>
                        </w:rPr>
                        <w:t xml:space="preserve"> to cover decommissioning</w:t>
                      </w:r>
                      <w:r>
                        <w:rPr>
                          <w:rFonts w:ascii="Calibri" w:hAnsi="Calibri"/>
                          <w:color w:val="FFFFFF" w:themeColor="background1"/>
                          <w:sz w:val="18"/>
                          <w:szCs w:val="18"/>
                        </w:rPr>
                        <w:t>.</w:t>
                      </w:r>
                    </w:p>
                    <w:p w14:paraId="02183D3A" w14:textId="77777777" w:rsidR="009C111B" w:rsidRPr="005609F1" w:rsidRDefault="009C111B" w:rsidP="005609F1">
                      <w:pPr>
                        <w:jc w:val="center"/>
                        <w:rPr>
                          <w:rFonts w:ascii="Calibri" w:hAnsi="Calibri"/>
                          <w:b/>
                          <w:color w:val="FFFFFF" w:themeColor="background1"/>
                          <w:sz w:val="18"/>
                          <w:szCs w:val="18"/>
                        </w:rPr>
                      </w:pPr>
                    </w:p>
                  </w:txbxContent>
                </v:textbox>
              </v:roundrect>
            </w:pict>
          </mc:Fallback>
        </mc:AlternateContent>
      </w:r>
    </w:p>
    <w:p w14:paraId="3BDEB05D" w14:textId="1B02BBF4" w:rsidR="00C02767" w:rsidRDefault="00C02767" w:rsidP="00C02767"/>
    <w:p w14:paraId="0EAD669C" w14:textId="10E61449" w:rsidR="0090330E" w:rsidRPr="00A825ED" w:rsidRDefault="0090330E" w:rsidP="0090330E"/>
    <w:p w14:paraId="2D4619C2" w14:textId="421C9092" w:rsidR="0090330E" w:rsidRDefault="0090330E" w:rsidP="0090330E"/>
    <w:p w14:paraId="22A716F5" w14:textId="4AB82DCE" w:rsidR="0090330E" w:rsidRDefault="000B2DA5" w:rsidP="0090330E">
      <w:r>
        <w:rPr>
          <w:rFonts w:ascii="Cambria" w:hAnsi="Cambria"/>
          <w:b/>
          <w:noProof/>
          <w:lang w:eastAsia="en-AU"/>
        </w:rPr>
        <mc:AlternateContent>
          <mc:Choice Requires="wps">
            <w:drawing>
              <wp:anchor distT="0" distB="0" distL="114300" distR="114300" simplePos="0" relativeHeight="251658262" behindDoc="0" locked="0" layoutInCell="1" allowOverlap="1" wp14:anchorId="3D1F5008" wp14:editId="095CFACA">
                <wp:simplePos x="0" y="0"/>
                <wp:positionH relativeFrom="column">
                  <wp:posOffset>3429000</wp:posOffset>
                </wp:positionH>
                <wp:positionV relativeFrom="paragraph">
                  <wp:posOffset>192850</wp:posOffset>
                </wp:positionV>
                <wp:extent cx="395605" cy="161925"/>
                <wp:effectExtent l="38100" t="0" r="4445" b="47625"/>
                <wp:wrapNone/>
                <wp:docPr id="314" name="Down Arrow 314"/>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3FF5" id="Down Arrow 314" o:spid="_x0000_s1026" type="#_x0000_t67" style="position:absolute;margin-left:270pt;margin-top:15.2pt;width:31.1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" adj="10800" fillcolor="#1b9590 [3206]" strokecolor="#0d4947 [1606]" strokeweight="1pt"/>
            </w:pict>
          </mc:Fallback>
        </mc:AlternateContent>
      </w:r>
    </w:p>
    <w:p w14:paraId="7F287FB4" w14:textId="5BC7A4F4" w:rsidR="0090330E" w:rsidRDefault="000B2DA5" w:rsidP="0090330E">
      <w:r w:rsidRPr="00325FA8">
        <w:rPr>
          <w:b/>
          <w:noProof/>
          <w:lang w:eastAsia="en-AU"/>
        </w:rPr>
        <mc:AlternateContent>
          <mc:Choice Requires="wps">
            <w:drawing>
              <wp:anchor distT="0" distB="0" distL="114300" distR="114300" simplePos="0" relativeHeight="251658245" behindDoc="0" locked="0" layoutInCell="1" allowOverlap="1" wp14:anchorId="78C591F8" wp14:editId="024FD34D">
                <wp:simplePos x="0" y="0"/>
                <wp:positionH relativeFrom="margin">
                  <wp:posOffset>674370</wp:posOffset>
                </wp:positionH>
                <wp:positionV relativeFrom="paragraph">
                  <wp:posOffset>174180</wp:posOffset>
                </wp:positionV>
                <wp:extent cx="7305420" cy="327619"/>
                <wp:effectExtent l="0" t="0" r="10160" b="15875"/>
                <wp:wrapNone/>
                <wp:docPr id="292" name="Text Box 2" title="Titleholder decommissions infrastructure (including plugging and abandoning wells) in accordance with accepted permissioning docum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420" cy="327619"/>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0C64E4FD" w14:textId="55BCC2AD" w:rsidR="009C111B" w:rsidRPr="005609F1" w:rsidRDefault="009C111B" w:rsidP="005609F1">
                            <w:pPr>
                              <w:jc w:val="center"/>
                              <w:rPr>
                                <w:rFonts w:ascii="Calibri" w:hAnsi="Calibri"/>
                                <w:color w:val="FFFFFF" w:themeColor="background1"/>
                                <w:sz w:val="18"/>
                                <w:szCs w:val="18"/>
                              </w:rPr>
                            </w:pPr>
                            <w:r>
                              <w:rPr>
                                <w:rFonts w:ascii="Calibri" w:hAnsi="Calibri"/>
                                <w:color w:val="FFFFFF" w:themeColor="background1"/>
                                <w:sz w:val="18"/>
                                <w:szCs w:val="18"/>
                              </w:rPr>
                              <w:t>Titleholder decommissions property (including plugging and abandoning wells) in accordance with accepted permissioning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8C591F8" id="_x0000_s1037" alt="Title: Titleholder decommissions infrastructure (including plugging and abandoning wells) in accordance with accepted permissioning documents" style="position:absolute;margin-left:53.1pt;margin-top:13.7pt;width:575.25pt;height:25.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" fillcolor="#7f7f7f [1612]" strokecolor="#7f7f7f [1612]" strokeweight="1pt">
                <v:stroke joinstyle="miter"/>
                <v:textbox>
                  <w:txbxContent>
                    <w:p w14:paraId="0C64E4FD" w14:textId="55BCC2AD" w:rsidR="009C111B" w:rsidRPr="005609F1" w:rsidRDefault="009C111B" w:rsidP="005609F1">
                      <w:pPr>
                        <w:jc w:val="center"/>
                        <w:rPr>
                          <w:rFonts w:ascii="Calibri" w:hAnsi="Calibri"/>
                          <w:color w:val="FFFFFF" w:themeColor="background1"/>
                          <w:sz w:val="18"/>
                          <w:szCs w:val="18"/>
                        </w:rPr>
                      </w:pPr>
                      <w:r>
                        <w:rPr>
                          <w:rFonts w:ascii="Calibri" w:hAnsi="Calibri"/>
                          <w:color w:val="FFFFFF" w:themeColor="background1"/>
                          <w:sz w:val="18"/>
                          <w:szCs w:val="18"/>
                        </w:rPr>
                        <w:t>Titleholder decommissions property (including plugging and abandoning wells) in accordance with accepted permissioning documents.</w:t>
                      </w:r>
                    </w:p>
                  </w:txbxContent>
                </v:textbox>
                <w10:wrap anchorx="margin"/>
              </v:roundrect>
            </w:pict>
          </mc:Fallback>
        </mc:AlternateContent>
      </w:r>
    </w:p>
    <w:p w14:paraId="4FB82044" w14:textId="2F64530D" w:rsidR="0090330E" w:rsidRDefault="000B2DA5" w:rsidP="0090330E">
      <w:r>
        <w:rPr>
          <w:rFonts w:ascii="Cambria" w:hAnsi="Cambria"/>
          <w:b/>
          <w:noProof/>
          <w:lang w:eastAsia="en-AU"/>
        </w:rPr>
        <mc:AlternateContent>
          <mc:Choice Requires="wps">
            <w:drawing>
              <wp:anchor distT="0" distB="0" distL="114300" distR="114300" simplePos="0" relativeHeight="251658260" behindDoc="0" locked="0" layoutInCell="1" allowOverlap="1" wp14:anchorId="62283244" wp14:editId="205B7804">
                <wp:simplePos x="0" y="0"/>
                <wp:positionH relativeFrom="column">
                  <wp:posOffset>3429000</wp:posOffset>
                </wp:positionH>
                <wp:positionV relativeFrom="paragraph">
                  <wp:posOffset>259525</wp:posOffset>
                </wp:positionV>
                <wp:extent cx="395605" cy="161925"/>
                <wp:effectExtent l="38100" t="0" r="4445" b="47625"/>
                <wp:wrapNone/>
                <wp:docPr id="312" name="Down Arrow 312"/>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D64C9" id="Down Arrow 312" o:spid="_x0000_s1026" type="#_x0000_t67" style="position:absolute;margin-left:270pt;margin-top:20.45pt;width:31.1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" adj="10800" fillcolor="#1b9590 [3206]" strokecolor="#0d4947 [1606]" strokeweight="1pt"/>
            </w:pict>
          </mc:Fallback>
        </mc:AlternateContent>
      </w:r>
    </w:p>
    <w:p w14:paraId="65BA9E8D" w14:textId="30AD1D35" w:rsidR="0090330E" w:rsidRDefault="00610D53" w:rsidP="0090330E">
      <w:bookmarkStart w:id="398" w:name="_Toc475055252"/>
      <w:bookmarkStart w:id="399" w:name="_Toc475358904"/>
      <w:bookmarkStart w:id="400" w:name="_Toc475055254"/>
      <w:bookmarkStart w:id="401" w:name="_Toc475358906"/>
      <w:bookmarkEnd w:id="398"/>
      <w:bookmarkEnd w:id="399"/>
      <w:bookmarkEnd w:id="400"/>
      <w:bookmarkEnd w:id="401"/>
      <w:r w:rsidRPr="00325FA8">
        <w:rPr>
          <w:b/>
          <w:noProof/>
          <w:lang w:eastAsia="en-AU"/>
        </w:rPr>
        <mc:AlternateContent>
          <mc:Choice Requires="wps">
            <w:drawing>
              <wp:anchor distT="0" distB="0" distL="114300" distR="114300" simplePos="0" relativeHeight="251658248" behindDoc="0" locked="0" layoutInCell="1" allowOverlap="1" wp14:anchorId="2A2A4F73" wp14:editId="777BAB02">
                <wp:simplePos x="0" y="0"/>
                <wp:positionH relativeFrom="column">
                  <wp:posOffset>3950990</wp:posOffset>
                </wp:positionH>
                <wp:positionV relativeFrom="paragraph">
                  <wp:posOffset>87610</wp:posOffset>
                </wp:positionV>
                <wp:extent cx="2543175" cy="714476"/>
                <wp:effectExtent l="0" t="0" r="28575" b="28575"/>
                <wp:wrapNone/>
                <wp:docPr id="293" name="Text Box 2" title="OPGGS (RMA) Regul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714476"/>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5B17F53" w14:textId="289CBF42" w:rsidR="009C111B" w:rsidRPr="00111ECC" w:rsidRDefault="009C111B" w:rsidP="00645199">
                            <w:pPr>
                              <w:jc w:val="center"/>
                              <w:rPr>
                                <w:rFonts w:ascii="Calibri" w:hAnsi="Calibri"/>
                                <w:b/>
                                <w:color w:val="FFFFFF" w:themeColor="background1"/>
                                <w:sz w:val="18"/>
                                <w:szCs w:val="18"/>
                                <w:u w:val="single"/>
                              </w:rPr>
                            </w:pPr>
                            <w:r>
                              <w:rPr>
                                <w:rFonts w:ascii="Calibri" w:hAnsi="Calibri"/>
                                <w:b/>
                                <w:color w:val="FFFFFF" w:themeColor="background1"/>
                                <w:sz w:val="18"/>
                                <w:szCs w:val="18"/>
                                <w:u w:val="single"/>
                              </w:rPr>
                              <w:t>RMA Regulations</w:t>
                            </w:r>
                          </w:p>
                          <w:p w14:paraId="556E5C95" w14:textId="77777777" w:rsidR="009C111B" w:rsidRPr="00E303D8" w:rsidRDefault="009C111B" w:rsidP="00645199">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of end of well activities, and submits abandonment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A2A4F73" id="_x0000_s1038" alt="Title: OPGGS (RMA) Regulations" style="position:absolute;margin-left:311.1pt;margin-top:6.9pt;width:200.25pt;height:56.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" fillcolor="#1b9590 [3206]" strokecolor="#6d6f72 [2404]" strokeweight="1pt">
                <v:stroke joinstyle="miter"/>
                <v:textbox>
                  <w:txbxContent>
                    <w:p w14:paraId="15B17F53" w14:textId="289CBF42" w:rsidR="009C111B" w:rsidRPr="00111ECC" w:rsidRDefault="009C111B" w:rsidP="00645199">
                      <w:pPr>
                        <w:jc w:val="center"/>
                        <w:rPr>
                          <w:rFonts w:ascii="Calibri" w:hAnsi="Calibri"/>
                          <w:b/>
                          <w:color w:val="FFFFFF" w:themeColor="background1"/>
                          <w:sz w:val="18"/>
                          <w:szCs w:val="18"/>
                          <w:u w:val="single"/>
                        </w:rPr>
                      </w:pPr>
                      <w:r>
                        <w:rPr>
                          <w:rFonts w:ascii="Calibri" w:hAnsi="Calibri"/>
                          <w:b/>
                          <w:color w:val="FFFFFF" w:themeColor="background1"/>
                          <w:sz w:val="18"/>
                          <w:szCs w:val="18"/>
                          <w:u w:val="single"/>
                        </w:rPr>
                        <w:t>RMA Regulations</w:t>
                      </w:r>
                    </w:p>
                    <w:p w14:paraId="556E5C95" w14:textId="77777777" w:rsidR="009C111B" w:rsidRPr="00E303D8" w:rsidRDefault="009C111B" w:rsidP="00645199">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of end of well activities, and submits abandonment report. </w:t>
                      </w:r>
                    </w:p>
                  </w:txbxContent>
                </v:textbox>
              </v:roundrect>
            </w:pict>
          </mc:Fallback>
        </mc:AlternateContent>
      </w:r>
      <w:r w:rsidRPr="00325FA8">
        <w:rPr>
          <w:b/>
          <w:noProof/>
          <w:lang w:eastAsia="en-AU"/>
        </w:rPr>
        <mc:AlternateContent>
          <mc:Choice Requires="wps">
            <w:drawing>
              <wp:anchor distT="0" distB="0" distL="114300" distR="114300" simplePos="0" relativeHeight="251658247" behindDoc="0" locked="0" layoutInCell="1" allowOverlap="1" wp14:anchorId="39C0FD8A" wp14:editId="7D3B3CCA">
                <wp:simplePos x="0" y="0"/>
                <wp:positionH relativeFrom="column">
                  <wp:posOffset>1261579</wp:posOffset>
                </wp:positionH>
                <wp:positionV relativeFrom="paragraph">
                  <wp:posOffset>102278</wp:posOffset>
                </wp:positionV>
                <wp:extent cx="2047875" cy="699807"/>
                <wp:effectExtent l="0" t="0" r="28575" b="24130"/>
                <wp:wrapNone/>
                <wp:docPr id="294" name="Text Box 2" title="OPGGS (Environment) Regula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699807"/>
                        </a:xfrm>
                        <a:prstGeom prst="roundRect">
                          <a:avLst/>
                        </a:prstGeom>
                        <a:solidFill>
                          <a:schemeClr val="accent3"/>
                        </a:solidFill>
                        <a:ln>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05E29A46" w14:textId="12B6C4B5" w:rsidR="009C111B" w:rsidRPr="00111ECC" w:rsidRDefault="009C111B" w:rsidP="00645199">
                            <w:pPr>
                              <w:jc w:val="center"/>
                              <w:rPr>
                                <w:rFonts w:ascii="Calibri" w:hAnsi="Calibri"/>
                                <w:b/>
                                <w:color w:val="FFFFFF" w:themeColor="background1"/>
                                <w:sz w:val="18"/>
                                <w:szCs w:val="18"/>
                                <w:u w:val="single"/>
                              </w:rPr>
                            </w:pPr>
                            <w:r>
                              <w:rPr>
                                <w:rFonts w:ascii="Calibri" w:hAnsi="Calibri"/>
                                <w:b/>
                                <w:color w:val="FFFFFF" w:themeColor="background1"/>
                                <w:sz w:val="18"/>
                                <w:szCs w:val="18"/>
                                <w:u w:val="single"/>
                              </w:rPr>
                              <w:t>Environment Regulations</w:t>
                            </w:r>
                          </w:p>
                          <w:p w14:paraId="6145103F" w14:textId="77777777" w:rsidR="009C111B" w:rsidRPr="00E303D8" w:rsidRDefault="009C111B" w:rsidP="00645199">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of end of activities under EP.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9C0FD8A" id="_x0000_s1039" alt="Title: OPGGS (Environment) Regulations" style="position:absolute;margin-left:99.35pt;margin-top:8.05pt;width:161.25pt;height:55.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" fillcolor="#1b9590 [3206]" strokecolor="#6d6f72 [2404]" strokeweight="1pt">
                <v:stroke joinstyle="miter"/>
                <v:textbox>
                  <w:txbxContent>
                    <w:p w14:paraId="05E29A46" w14:textId="12B6C4B5" w:rsidR="009C111B" w:rsidRPr="00111ECC" w:rsidRDefault="009C111B" w:rsidP="00645199">
                      <w:pPr>
                        <w:jc w:val="center"/>
                        <w:rPr>
                          <w:rFonts w:ascii="Calibri" w:hAnsi="Calibri"/>
                          <w:b/>
                          <w:color w:val="FFFFFF" w:themeColor="background1"/>
                          <w:sz w:val="18"/>
                          <w:szCs w:val="18"/>
                          <w:u w:val="single"/>
                        </w:rPr>
                      </w:pPr>
                      <w:r>
                        <w:rPr>
                          <w:rFonts w:ascii="Calibri" w:hAnsi="Calibri"/>
                          <w:b/>
                          <w:color w:val="FFFFFF" w:themeColor="background1"/>
                          <w:sz w:val="18"/>
                          <w:szCs w:val="18"/>
                          <w:u w:val="single"/>
                        </w:rPr>
                        <w:t>Environment Regulations</w:t>
                      </w:r>
                    </w:p>
                    <w:p w14:paraId="6145103F" w14:textId="77777777" w:rsidR="009C111B" w:rsidRPr="00E303D8" w:rsidRDefault="009C111B" w:rsidP="00645199">
                      <w:pPr>
                        <w:jc w:val="center"/>
                        <w:rPr>
                          <w:rFonts w:ascii="Calibri" w:hAnsi="Calibri"/>
                          <w:color w:val="FFFFFF" w:themeColor="background1"/>
                          <w:sz w:val="18"/>
                          <w:szCs w:val="18"/>
                        </w:rPr>
                      </w:pPr>
                      <w:r w:rsidRPr="001F7DA7">
                        <w:rPr>
                          <w:rFonts w:ascii="Calibri" w:hAnsi="Calibri"/>
                          <w:color w:val="FFFFFF" w:themeColor="background1"/>
                          <w:sz w:val="18"/>
                          <w:szCs w:val="18"/>
                          <w:u w:val="single"/>
                        </w:rPr>
                        <w:t>Titleholder</w:t>
                      </w:r>
                      <w:r>
                        <w:rPr>
                          <w:rFonts w:ascii="Calibri" w:hAnsi="Calibri"/>
                          <w:color w:val="FFFFFF" w:themeColor="background1"/>
                          <w:sz w:val="18"/>
                          <w:szCs w:val="18"/>
                        </w:rPr>
                        <w:t xml:space="preserve"> notifies NOPSEMA of end of activities under EP. </w:t>
                      </w:r>
                    </w:p>
                  </w:txbxContent>
                </v:textbox>
              </v:roundrect>
            </w:pict>
          </mc:Fallback>
        </mc:AlternateContent>
      </w:r>
    </w:p>
    <w:p w14:paraId="37E199F6" w14:textId="1FDFD743" w:rsidR="0090330E" w:rsidRPr="00C02767" w:rsidRDefault="00DC2D8A" w:rsidP="00C02767">
      <w:pPr>
        <w:sectPr w:rsidR="0090330E" w:rsidRPr="00C02767" w:rsidSect="0084740F">
          <w:headerReference w:type="even" r:id="rId65"/>
          <w:headerReference w:type="default" r:id="rId66"/>
          <w:headerReference w:type="first" r:id="rId67"/>
          <w:pgSz w:w="16838" w:h="11906" w:orient="landscape"/>
          <w:pgMar w:top="1135" w:right="1440" w:bottom="1440" w:left="1440" w:header="283" w:footer="283" w:gutter="0"/>
          <w:cols w:space="708"/>
          <w:docGrid w:linePitch="360"/>
        </w:sectPr>
      </w:pPr>
      <w:r>
        <w:rPr>
          <w:rFonts w:ascii="Cambria" w:hAnsi="Cambria"/>
          <w:b/>
          <w:noProof/>
          <w:lang w:eastAsia="en-AU"/>
        </w:rPr>
        <mc:AlternateContent>
          <mc:Choice Requires="wps">
            <w:drawing>
              <wp:anchor distT="0" distB="0" distL="114300" distR="114300" simplePos="0" relativeHeight="251658261" behindDoc="0" locked="0" layoutInCell="1" allowOverlap="1" wp14:anchorId="6DE0F9AD" wp14:editId="2955042B">
                <wp:simplePos x="0" y="0"/>
                <wp:positionH relativeFrom="column">
                  <wp:posOffset>3429000</wp:posOffset>
                </wp:positionH>
                <wp:positionV relativeFrom="paragraph">
                  <wp:posOffset>401130</wp:posOffset>
                </wp:positionV>
                <wp:extent cx="395605" cy="161925"/>
                <wp:effectExtent l="38100" t="0" r="4445" b="47625"/>
                <wp:wrapNone/>
                <wp:docPr id="313" name="Down Arrow 313"/>
                <wp:cNvGraphicFramePr/>
                <a:graphic xmlns:a="http://schemas.openxmlformats.org/drawingml/2006/main">
                  <a:graphicData uri="http://schemas.microsoft.com/office/word/2010/wordprocessingShape">
                    <wps:wsp>
                      <wps:cNvSpPr/>
                      <wps:spPr>
                        <a:xfrm>
                          <a:off x="0" y="0"/>
                          <a:ext cx="395605" cy="16192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3DEF0" id="Down Arrow 313" o:spid="_x0000_s1026" type="#_x0000_t67" style="position:absolute;margin-left:270pt;margin-top:31.6pt;width:31.1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" adj="10800" fillcolor="#1b9590 [3206]" strokecolor="#0d4947 [1606]" strokeweight="1pt"/>
            </w:pict>
          </mc:Fallback>
        </mc:AlternateContent>
      </w:r>
      <w:r w:rsidR="000B2DA5" w:rsidRPr="00325FA8">
        <w:rPr>
          <w:b/>
          <w:noProof/>
          <w:lang w:eastAsia="en-AU"/>
        </w:rPr>
        <mc:AlternateContent>
          <mc:Choice Requires="wps">
            <w:drawing>
              <wp:anchor distT="0" distB="0" distL="114300" distR="114300" simplePos="0" relativeHeight="251658246" behindDoc="0" locked="0" layoutInCell="1" allowOverlap="1" wp14:anchorId="426A85CD" wp14:editId="51167F1B">
                <wp:simplePos x="0" y="0"/>
                <wp:positionH relativeFrom="margin">
                  <wp:posOffset>-210023</wp:posOffset>
                </wp:positionH>
                <wp:positionV relativeFrom="paragraph">
                  <wp:posOffset>584200</wp:posOffset>
                </wp:positionV>
                <wp:extent cx="8829675" cy="314325"/>
                <wp:effectExtent l="0" t="0" r="28575" b="28575"/>
                <wp:wrapNone/>
                <wp:docPr id="365" name="Text Box 2" title="Titleholder makes an application to surrender title to the Joint Authority. Once the Joint Authority consents to the surrender, title area becomes vacant acre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9675" cy="314325"/>
                        </a:xfrm>
                        <a:prstGeom prst="roundRect">
                          <a:avLst/>
                        </a:prstGeom>
                        <a:solidFill>
                          <a:schemeClr val="bg1">
                            <a:lumMod val="50000"/>
                          </a:schemeClr>
                        </a:solidFill>
                        <a:ln>
                          <a:solidFill>
                            <a:schemeClr val="bg1">
                              <a:lumMod val="50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131B6C71" w14:textId="46224B47" w:rsidR="009C111B" w:rsidRPr="005609F1" w:rsidRDefault="009C111B" w:rsidP="00FE6704">
                            <w:pPr>
                              <w:jc w:val="center"/>
                              <w:rPr>
                                <w:rFonts w:ascii="Calibri" w:hAnsi="Calibri"/>
                                <w:color w:val="FFFFFF" w:themeColor="background1"/>
                                <w:sz w:val="18"/>
                                <w:szCs w:val="18"/>
                              </w:rPr>
                            </w:pPr>
                            <w:bookmarkStart w:id="402" w:name="_Toc475055258"/>
                            <w:bookmarkStart w:id="403" w:name="_Toc475358910"/>
                            <w:bookmarkStart w:id="404" w:name="_Toc479770989"/>
                            <w:bookmarkStart w:id="405" w:name="_Toc479778760"/>
                            <w:bookmarkStart w:id="406" w:name="_Toc479845276"/>
                            <w:bookmarkStart w:id="407" w:name="_Toc482364363"/>
                            <w:bookmarkStart w:id="408" w:name="_Toc486939266"/>
                            <w:bookmarkStart w:id="409" w:name="_Toc486939339"/>
                            <w:bookmarkStart w:id="410" w:name="_Toc486950244"/>
                            <w:bookmarkStart w:id="411" w:name="_Toc486956442"/>
                            <w:bookmarkStart w:id="412" w:name="_Toc489460745"/>
                            <w:bookmarkStart w:id="413" w:name="_Toc489460853"/>
                            <w:r w:rsidRPr="001F7DA7">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makes</w:t>
                            </w:r>
                            <w:r>
                              <w:rPr>
                                <w:rFonts w:ascii="Calibri" w:hAnsi="Calibri"/>
                                <w:color w:val="FFFFFF" w:themeColor="background1"/>
                                <w:sz w:val="18"/>
                                <w:szCs w:val="18"/>
                              </w:rPr>
                              <w:t xml:space="preserve"> an</w:t>
                            </w:r>
                            <w:r w:rsidRPr="005609F1">
                              <w:rPr>
                                <w:rFonts w:ascii="Calibri" w:hAnsi="Calibri"/>
                                <w:color w:val="FFFFFF" w:themeColor="background1"/>
                                <w:sz w:val="18"/>
                                <w:szCs w:val="18"/>
                              </w:rPr>
                              <w:t xml:space="preserve"> application to surrender title</w:t>
                            </w:r>
                            <w:bookmarkEnd w:id="402"/>
                            <w:bookmarkEnd w:id="403"/>
                            <w:r>
                              <w:rPr>
                                <w:rFonts w:ascii="Calibri" w:hAnsi="Calibri"/>
                                <w:color w:val="FFFFFF" w:themeColor="background1"/>
                                <w:sz w:val="18"/>
                                <w:szCs w:val="18"/>
                              </w:rPr>
                              <w:t xml:space="preserve"> to the Joint Authority. </w:t>
                            </w:r>
                            <w:r w:rsidRPr="005609F1">
                              <w:rPr>
                                <w:rFonts w:ascii="Calibri" w:hAnsi="Calibri"/>
                                <w:color w:val="FFFFFF" w:themeColor="background1"/>
                                <w:sz w:val="18"/>
                                <w:szCs w:val="18"/>
                              </w:rPr>
                              <w:t>Once the Joint Authority consents to the surrender, title area becomes vacant acreage</w:t>
                            </w:r>
                            <w:bookmarkEnd w:id="404"/>
                            <w:bookmarkEnd w:id="405"/>
                            <w:bookmarkEnd w:id="406"/>
                            <w:bookmarkEnd w:id="407"/>
                            <w:bookmarkEnd w:id="408"/>
                            <w:bookmarkEnd w:id="409"/>
                            <w:bookmarkEnd w:id="410"/>
                            <w:r w:rsidRPr="005609F1">
                              <w:rPr>
                                <w:rFonts w:ascii="Calibri" w:hAnsi="Calibri"/>
                                <w:color w:val="FFFFFF" w:themeColor="background1"/>
                                <w:sz w:val="18"/>
                                <w:szCs w:val="18"/>
                              </w:rPr>
                              <w:t>.</w:t>
                            </w:r>
                            <w:bookmarkEnd w:id="411"/>
                            <w:bookmarkEnd w:id="412"/>
                            <w:bookmarkEnd w:id="41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26A85CD" id="_x0000_s1040" alt="Title: Titleholder makes an application to surrender title to the Joint Authority. Once the Joint Authority consents to the surrender, title area becomes vacant acreage." style="position:absolute;margin-left:-16.55pt;margin-top:46pt;width:695.25pt;height:24.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" fillcolor="#7f7f7f [1612]" strokecolor="#7f7f7f [1612]" strokeweight="1pt">
                <v:stroke joinstyle="miter"/>
                <v:textbox>
                  <w:txbxContent>
                    <w:p w14:paraId="131B6C71" w14:textId="46224B47" w:rsidR="009C111B" w:rsidRPr="005609F1" w:rsidRDefault="009C111B" w:rsidP="00FE6704">
                      <w:pPr>
                        <w:jc w:val="center"/>
                        <w:rPr>
                          <w:rFonts w:ascii="Calibri" w:hAnsi="Calibri"/>
                          <w:color w:val="FFFFFF" w:themeColor="background1"/>
                          <w:sz w:val="18"/>
                          <w:szCs w:val="18"/>
                        </w:rPr>
                      </w:pPr>
                      <w:bookmarkStart w:id="414" w:name="_Toc475055258"/>
                      <w:bookmarkStart w:id="415" w:name="_Toc475358910"/>
                      <w:bookmarkStart w:id="416" w:name="_Toc479770989"/>
                      <w:bookmarkStart w:id="417" w:name="_Toc479778760"/>
                      <w:bookmarkStart w:id="418" w:name="_Toc479845276"/>
                      <w:bookmarkStart w:id="419" w:name="_Toc482364363"/>
                      <w:bookmarkStart w:id="420" w:name="_Toc486939266"/>
                      <w:bookmarkStart w:id="421" w:name="_Toc486939339"/>
                      <w:bookmarkStart w:id="422" w:name="_Toc486950244"/>
                      <w:bookmarkStart w:id="423" w:name="_Toc486956442"/>
                      <w:bookmarkStart w:id="424" w:name="_Toc489460745"/>
                      <w:bookmarkStart w:id="425" w:name="_Toc489460853"/>
                      <w:r w:rsidRPr="001F7DA7">
                        <w:rPr>
                          <w:rFonts w:ascii="Calibri" w:hAnsi="Calibri"/>
                          <w:color w:val="FFFFFF" w:themeColor="background1"/>
                          <w:sz w:val="18"/>
                          <w:szCs w:val="18"/>
                          <w:u w:val="single"/>
                        </w:rPr>
                        <w:t>Titleholder</w:t>
                      </w:r>
                      <w:r w:rsidRPr="005609F1">
                        <w:rPr>
                          <w:rFonts w:ascii="Calibri" w:hAnsi="Calibri"/>
                          <w:color w:val="FFFFFF" w:themeColor="background1"/>
                          <w:sz w:val="18"/>
                          <w:szCs w:val="18"/>
                        </w:rPr>
                        <w:t xml:space="preserve"> makes</w:t>
                      </w:r>
                      <w:r>
                        <w:rPr>
                          <w:rFonts w:ascii="Calibri" w:hAnsi="Calibri"/>
                          <w:color w:val="FFFFFF" w:themeColor="background1"/>
                          <w:sz w:val="18"/>
                          <w:szCs w:val="18"/>
                        </w:rPr>
                        <w:t xml:space="preserve"> an</w:t>
                      </w:r>
                      <w:r w:rsidRPr="005609F1">
                        <w:rPr>
                          <w:rFonts w:ascii="Calibri" w:hAnsi="Calibri"/>
                          <w:color w:val="FFFFFF" w:themeColor="background1"/>
                          <w:sz w:val="18"/>
                          <w:szCs w:val="18"/>
                        </w:rPr>
                        <w:t xml:space="preserve"> application to surrender title</w:t>
                      </w:r>
                      <w:bookmarkEnd w:id="414"/>
                      <w:bookmarkEnd w:id="415"/>
                      <w:r>
                        <w:rPr>
                          <w:rFonts w:ascii="Calibri" w:hAnsi="Calibri"/>
                          <w:color w:val="FFFFFF" w:themeColor="background1"/>
                          <w:sz w:val="18"/>
                          <w:szCs w:val="18"/>
                        </w:rPr>
                        <w:t xml:space="preserve"> to the Joint Authority. </w:t>
                      </w:r>
                      <w:r w:rsidRPr="005609F1">
                        <w:rPr>
                          <w:rFonts w:ascii="Calibri" w:hAnsi="Calibri"/>
                          <w:color w:val="FFFFFF" w:themeColor="background1"/>
                          <w:sz w:val="18"/>
                          <w:szCs w:val="18"/>
                        </w:rPr>
                        <w:t>Once the Joint Authority consents to the surrender, title area becomes vacant acreage</w:t>
                      </w:r>
                      <w:bookmarkEnd w:id="416"/>
                      <w:bookmarkEnd w:id="417"/>
                      <w:bookmarkEnd w:id="418"/>
                      <w:bookmarkEnd w:id="419"/>
                      <w:bookmarkEnd w:id="420"/>
                      <w:bookmarkEnd w:id="421"/>
                      <w:bookmarkEnd w:id="422"/>
                      <w:r w:rsidRPr="005609F1">
                        <w:rPr>
                          <w:rFonts w:ascii="Calibri" w:hAnsi="Calibri"/>
                          <w:color w:val="FFFFFF" w:themeColor="background1"/>
                          <w:sz w:val="18"/>
                          <w:szCs w:val="18"/>
                        </w:rPr>
                        <w:t>.</w:t>
                      </w:r>
                      <w:bookmarkEnd w:id="423"/>
                      <w:bookmarkEnd w:id="424"/>
                      <w:bookmarkEnd w:id="425"/>
                    </w:p>
                  </w:txbxContent>
                </v:textbox>
                <w10:wrap anchorx="margin"/>
              </v:roundrect>
            </w:pict>
          </mc:Fallback>
        </mc:AlternateContent>
      </w:r>
    </w:p>
    <w:p w14:paraId="6628654B" w14:textId="62DEEAB2" w:rsidR="006F1E42" w:rsidRPr="00FD5B86" w:rsidRDefault="00583731" w:rsidP="00FD5B86">
      <w:pPr>
        <w:pStyle w:val="Heading1"/>
      </w:pPr>
      <w:bookmarkStart w:id="426" w:name="_Toc479778777"/>
      <w:bookmarkStart w:id="427" w:name="_Toc479845292"/>
      <w:bookmarkStart w:id="428" w:name="_Toc81319799"/>
      <w:bookmarkStart w:id="429" w:name="_Toc81322607"/>
      <w:bookmarkStart w:id="430" w:name="_Toc81324995"/>
      <w:bookmarkStart w:id="431" w:name="_Toc81327248"/>
      <w:bookmarkStart w:id="432" w:name="_Toc81327520"/>
      <w:bookmarkStart w:id="433" w:name="_Toc82785097"/>
      <w:bookmarkStart w:id="434" w:name="_Toc82787208"/>
      <w:bookmarkStart w:id="435" w:name="_Toc82788257"/>
      <w:bookmarkStart w:id="436" w:name="_Toc83029560"/>
      <w:bookmarkStart w:id="437" w:name="_Toc83034006"/>
      <w:bookmarkStart w:id="438" w:name="_Toc93925227"/>
      <w:bookmarkEnd w:id="355"/>
      <w:bookmarkEnd w:id="356"/>
      <w:bookmarkEnd w:id="357"/>
      <w:bookmarkEnd w:id="358"/>
      <w:bookmarkEnd w:id="359"/>
      <w:bookmarkEnd w:id="396"/>
      <w:bookmarkEnd w:id="397"/>
      <w:r>
        <w:lastRenderedPageBreak/>
        <w:t xml:space="preserve">Attachment 2: </w:t>
      </w:r>
      <w:r w:rsidR="006F1E42" w:rsidRPr="00FD5B86">
        <w:t>Glossary of key terms</w:t>
      </w:r>
      <w:bookmarkEnd w:id="426"/>
      <w:bookmarkEnd w:id="427"/>
      <w:bookmarkEnd w:id="428"/>
      <w:bookmarkEnd w:id="429"/>
      <w:bookmarkEnd w:id="430"/>
      <w:bookmarkEnd w:id="431"/>
      <w:bookmarkEnd w:id="432"/>
      <w:bookmarkEnd w:id="433"/>
      <w:bookmarkEnd w:id="434"/>
      <w:bookmarkEnd w:id="435"/>
      <w:bookmarkEnd w:id="436"/>
      <w:bookmarkEnd w:id="437"/>
      <w:bookmarkEnd w:id="438"/>
    </w:p>
    <w:p w14:paraId="701E19EF" w14:textId="7E71170B" w:rsidR="00E60C61" w:rsidRPr="00F670B6" w:rsidRDefault="00342CC5" w:rsidP="00D40D19">
      <w:pPr>
        <w:spacing w:before="120" w:after="120" w:line="276" w:lineRule="auto"/>
        <w:rPr>
          <w:rFonts w:cstheme="minorHAnsi"/>
        </w:rPr>
      </w:pPr>
      <w:r w:rsidRPr="00F670B6">
        <w:rPr>
          <w:rFonts w:cstheme="minorHAnsi"/>
        </w:rPr>
        <w:t xml:space="preserve">Provided below are definitions of </w:t>
      </w:r>
      <w:r w:rsidR="00580A1D" w:rsidRPr="00F670B6">
        <w:rPr>
          <w:rFonts w:cstheme="minorHAnsi"/>
        </w:rPr>
        <w:t>some of the key terms used throughout the</w:t>
      </w:r>
      <w:r w:rsidRPr="00F670B6">
        <w:rPr>
          <w:rFonts w:cstheme="minorHAnsi"/>
        </w:rPr>
        <w:t xml:space="preserve"> </w:t>
      </w:r>
      <w:r w:rsidR="00C50E8E">
        <w:rPr>
          <w:rFonts w:cstheme="minorHAnsi"/>
        </w:rPr>
        <w:t>g</w:t>
      </w:r>
      <w:r w:rsidRPr="00F670B6">
        <w:rPr>
          <w:rFonts w:cstheme="minorHAnsi"/>
        </w:rPr>
        <w:t>uideline</w:t>
      </w:r>
      <w:r w:rsidR="00A4093D" w:rsidRPr="00F670B6">
        <w:rPr>
          <w:rFonts w:cstheme="minorHAnsi"/>
        </w:rPr>
        <w:t xml:space="preserve">. </w:t>
      </w:r>
      <w:r w:rsidRPr="00F670B6">
        <w:rPr>
          <w:rFonts w:cstheme="minorHAnsi"/>
        </w:rPr>
        <w:t xml:space="preserve">Please note </w:t>
      </w:r>
      <w:r w:rsidR="00905385" w:rsidRPr="00F670B6">
        <w:rPr>
          <w:rFonts w:cstheme="minorHAnsi"/>
        </w:rPr>
        <w:t>that these</w:t>
      </w:r>
      <w:r w:rsidRPr="00F670B6">
        <w:rPr>
          <w:rFonts w:cstheme="minorHAnsi"/>
        </w:rPr>
        <w:t xml:space="preserve"> definitions </w:t>
      </w:r>
      <w:r w:rsidR="002F0F80" w:rsidRPr="00F670B6">
        <w:rPr>
          <w:rFonts w:cstheme="minorHAnsi"/>
        </w:rPr>
        <w:t>are</w:t>
      </w:r>
      <w:r w:rsidRPr="00F670B6">
        <w:rPr>
          <w:rFonts w:cstheme="minorHAnsi"/>
        </w:rPr>
        <w:t xml:space="preserve"> for the </w:t>
      </w:r>
      <w:r w:rsidR="002F0F80" w:rsidRPr="00F670B6">
        <w:rPr>
          <w:rFonts w:cstheme="minorHAnsi"/>
        </w:rPr>
        <w:t>purposes of this document only. They</w:t>
      </w:r>
      <w:r w:rsidRPr="00F670B6">
        <w:rPr>
          <w:rFonts w:cstheme="minorHAnsi"/>
        </w:rPr>
        <w:t xml:space="preserve"> should not be taken as a substitute for definitions provided in the OPGGS Act</w:t>
      </w:r>
      <w:r w:rsidR="00905385" w:rsidRPr="00F670B6">
        <w:rPr>
          <w:rFonts w:cstheme="minorHAnsi"/>
        </w:rPr>
        <w:t>, the regulations,</w:t>
      </w:r>
      <w:r w:rsidRPr="00F670B6">
        <w:rPr>
          <w:rFonts w:cstheme="minorHAnsi"/>
        </w:rPr>
        <w:t xml:space="preserve"> or other relevant legislation</w:t>
      </w:r>
      <w:r w:rsidR="00E60C61" w:rsidRPr="00F670B6">
        <w:rPr>
          <w:rFonts w:cstheme="minorHAnsi"/>
        </w:rPr>
        <w:t>.</w:t>
      </w:r>
    </w:p>
    <w:p w14:paraId="1949DD5D" w14:textId="25053A50" w:rsidR="00366289" w:rsidRPr="00F670B6" w:rsidRDefault="00905385" w:rsidP="00F670B6">
      <w:pPr>
        <w:pStyle w:val="Heading6"/>
      </w:pPr>
      <w:bookmarkStart w:id="439" w:name="_Toc475358974"/>
      <w:bookmarkStart w:id="440" w:name="_Toc479771007"/>
      <w:bookmarkStart w:id="441" w:name="_Toc479778778"/>
      <w:bookmarkStart w:id="442" w:name="_Toc479845293"/>
      <w:bookmarkStart w:id="443" w:name="_Toc482364379"/>
      <w:bookmarkStart w:id="444" w:name="_Toc486939355"/>
      <w:bookmarkStart w:id="445" w:name="_Toc486950253"/>
      <w:bookmarkStart w:id="446" w:name="_Toc486956450"/>
      <w:bookmarkStart w:id="447" w:name="_Toc489460855"/>
      <w:r w:rsidRPr="00F670B6">
        <w:t>As l</w:t>
      </w:r>
      <w:r w:rsidR="002E66F3" w:rsidRPr="00F670B6">
        <w:t xml:space="preserve">ow as </w:t>
      </w:r>
      <w:r w:rsidRPr="00F670B6">
        <w:t>reasonably p</w:t>
      </w:r>
      <w:r w:rsidR="00366289" w:rsidRPr="00F670B6">
        <w:t>racticable</w:t>
      </w:r>
      <w:bookmarkEnd w:id="439"/>
      <w:bookmarkEnd w:id="440"/>
      <w:bookmarkEnd w:id="441"/>
      <w:bookmarkEnd w:id="442"/>
      <w:bookmarkEnd w:id="443"/>
      <w:bookmarkEnd w:id="444"/>
      <w:bookmarkEnd w:id="445"/>
      <w:bookmarkEnd w:id="446"/>
      <w:bookmarkEnd w:id="447"/>
    </w:p>
    <w:p w14:paraId="001D5330" w14:textId="323623A9" w:rsidR="002E66F3" w:rsidRPr="00F670B6" w:rsidRDefault="00905385" w:rsidP="00D40D19">
      <w:pPr>
        <w:spacing w:before="120" w:after="120" w:line="276" w:lineRule="auto"/>
        <w:rPr>
          <w:rFonts w:cstheme="minorHAnsi"/>
        </w:rPr>
      </w:pPr>
      <w:r w:rsidRPr="00F670B6">
        <w:rPr>
          <w:rFonts w:cstheme="minorHAnsi"/>
        </w:rPr>
        <w:t xml:space="preserve">Refers to reducing impacts and risks to a level that is as low as reasonably practicable (ALARP). </w:t>
      </w:r>
      <w:r w:rsidR="005A13A3" w:rsidRPr="00F670B6">
        <w:rPr>
          <w:rFonts w:cstheme="minorHAnsi"/>
        </w:rPr>
        <w:t>In </w:t>
      </w:r>
      <w:r w:rsidR="00DE76AA" w:rsidRPr="00F670B6">
        <w:rPr>
          <w:rFonts w:cstheme="minorHAnsi"/>
        </w:rPr>
        <w:t>practice, this means the duty</w:t>
      </w:r>
      <w:r w:rsidR="00DA3897" w:rsidRPr="00F670B6">
        <w:rPr>
          <w:rFonts w:cstheme="minorHAnsi"/>
        </w:rPr>
        <w:t xml:space="preserve"> holder (</w:t>
      </w:r>
      <w:proofErr w:type="gramStart"/>
      <w:r w:rsidR="00DA3897" w:rsidRPr="00F670B6">
        <w:rPr>
          <w:rFonts w:cstheme="minorHAnsi"/>
        </w:rPr>
        <w:t>e.g.</w:t>
      </w:r>
      <w:proofErr w:type="gramEnd"/>
      <w:r w:rsidR="00DA3897" w:rsidRPr="00F670B6">
        <w:rPr>
          <w:rFonts w:cstheme="minorHAnsi"/>
        </w:rPr>
        <w:t xml:space="preserve"> titleholder or operator) </w:t>
      </w:r>
      <w:r w:rsidRPr="00F670B6">
        <w:rPr>
          <w:rFonts w:cstheme="minorHAnsi"/>
        </w:rPr>
        <w:t>must</w:t>
      </w:r>
      <w:r w:rsidR="00DE76AA" w:rsidRPr="00F670B6">
        <w:rPr>
          <w:rFonts w:cstheme="minorHAnsi"/>
        </w:rPr>
        <w:t xml:space="preserve"> show</w:t>
      </w:r>
      <w:r w:rsidRPr="00F670B6">
        <w:rPr>
          <w:rFonts w:cstheme="minorHAnsi"/>
        </w:rPr>
        <w:t>,</w:t>
      </w:r>
      <w:r w:rsidR="00DE76AA" w:rsidRPr="00F670B6">
        <w:rPr>
          <w:rFonts w:cstheme="minorHAnsi"/>
        </w:rPr>
        <w:t xml:space="preserve"> through reasoned and supported arguments</w:t>
      </w:r>
      <w:r w:rsidRPr="00F670B6">
        <w:rPr>
          <w:rFonts w:cstheme="minorHAnsi"/>
        </w:rPr>
        <w:t>,</w:t>
      </w:r>
      <w:r w:rsidR="00DE76AA" w:rsidRPr="00F670B6">
        <w:rPr>
          <w:rFonts w:cstheme="minorHAnsi"/>
        </w:rPr>
        <w:t xml:space="preserve"> that there are no other practicable </w:t>
      </w:r>
      <w:r w:rsidR="00DA3897" w:rsidRPr="00F670B6">
        <w:rPr>
          <w:rFonts w:cstheme="minorHAnsi"/>
        </w:rPr>
        <w:t>options</w:t>
      </w:r>
      <w:r w:rsidR="00DE76AA" w:rsidRPr="00F670B6">
        <w:rPr>
          <w:rFonts w:cstheme="minorHAnsi"/>
        </w:rPr>
        <w:t xml:space="preserve"> that could reasonably be adopted to reduce risks further. </w:t>
      </w:r>
      <w:r w:rsidRPr="00F670B6">
        <w:rPr>
          <w:rFonts w:cstheme="minorHAnsi"/>
        </w:rPr>
        <w:t>Risk</w:t>
      </w:r>
      <w:r w:rsidR="004F3733" w:rsidRPr="00F670B6">
        <w:rPr>
          <w:rFonts w:cstheme="minorHAnsi"/>
        </w:rPr>
        <w:t>s</w:t>
      </w:r>
      <w:r w:rsidRPr="00F670B6">
        <w:rPr>
          <w:rFonts w:cstheme="minorHAnsi"/>
        </w:rPr>
        <w:t xml:space="preserve"> are generally considered to be reduced to ALARP when the costs of reducing risks further are considered grossly disproportionate to the level of risk reduction achieved.</w:t>
      </w:r>
    </w:p>
    <w:p w14:paraId="10995850" w14:textId="5B8ADCFA" w:rsidR="00D315C0" w:rsidRPr="00F670B6" w:rsidRDefault="00D315C0" w:rsidP="00F670B6">
      <w:pPr>
        <w:pStyle w:val="Heading6"/>
      </w:pPr>
      <w:bookmarkStart w:id="448" w:name="_Toc479771008"/>
      <w:bookmarkStart w:id="449" w:name="_Toc479778779"/>
      <w:bookmarkStart w:id="450" w:name="_Toc479845294"/>
      <w:bookmarkStart w:id="451" w:name="_Toc482364380"/>
      <w:bookmarkStart w:id="452" w:name="_Toc486939356"/>
      <w:bookmarkStart w:id="453" w:name="_Toc486950254"/>
      <w:bookmarkStart w:id="454" w:name="_Toc486956451"/>
      <w:bookmarkStart w:id="455" w:name="_Toc489460856"/>
      <w:bookmarkStart w:id="456" w:name="_Toc475358975"/>
      <w:r w:rsidRPr="00F670B6">
        <w:t>Coastal waters</w:t>
      </w:r>
      <w:bookmarkEnd w:id="448"/>
      <w:bookmarkEnd w:id="449"/>
      <w:bookmarkEnd w:id="450"/>
      <w:bookmarkEnd w:id="451"/>
      <w:bookmarkEnd w:id="452"/>
      <w:bookmarkEnd w:id="453"/>
      <w:bookmarkEnd w:id="454"/>
      <w:bookmarkEnd w:id="455"/>
    </w:p>
    <w:p w14:paraId="2C9B43F5" w14:textId="589BA588" w:rsidR="00D315C0" w:rsidRPr="00F670B6" w:rsidRDefault="002F0F80" w:rsidP="008B7C22">
      <w:pPr>
        <w:spacing w:line="276" w:lineRule="auto"/>
        <w:rPr>
          <w:rFonts w:cstheme="minorHAnsi"/>
        </w:rPr>
      </w:pPr>
      <w:r w:rsidRPr="00F670B6">
        <w:rPr>
          <w:rFonts w:cstheme="minorHAnsi"/>
        </w:rPr>
        <w:t>S</w:t>
      </w:r>
      <w:r w:rsidR="00D315C0" w:rsidRPr="00F670B6">
        <w:rPr>
          <w:rFonts w:cstheme="minorHAnsi"/>
        </w:rPr>
        <w:t xml:space="preserve">o much of the scheduled area of a State or the Northern Territory as </w:t>
      </w:r>
      <w:r w:rsidRPr="00F670B6">
        <w:rPr>
          <w:rFonts w:cstheme="minorHAnsi"/>
        </w:rPr>
        <w:t>consists of the territorial sea</w:t>
      </w:r>
      <w:r w:rsidR="00D315C0" w:rsidRPr="00F670B6">
        <w:rPr>
          <w:rFonts w:cstheme="minorHAnsi"/>
        </w:rPr>
        <w:t xml:space="preserve"> and waters </w:t>
      </w:r>
      <w:r w:rsidRPr="00F670B6">
        <w:rPr>
          <w:rFonts w:cstheme="minorHAnsi"/>
        </w:rPr>
        <w:t>landward</w:t>
      </w:r>
      <w:r w:rsidR="00D315C0" w:rsidRPr="00F670B6">
        <w:rPr>
          <w:rFonts w:cstheme="minorHAnsi"/>
        </w:rPr>
        <w:t xml:space="preserve"> of the territorial sea that are not within </w:t>
      </w:r>
      <w:r w:rsidR="00A410E4" w:rsidRPr="00F670B6">
        <w:rPr>
          <w:rFonts w:cstheme="minorHAnsi"/>
        </w:rPr>
        <w:t>the limits of the State or Territory</w:t>
      </w:r>
      <w:r w:rsidR="00A4093D" w:rsidRPr="00F670B6">
        <w:rPr>
          <w:rFonts w:cstheme="minorHAnsi"/>
        </w:rPr>
        <w:t xml:space="preserve">. </w:t>
      </w:r>
      <w:r w:rsidR="008B7C22" w:rsidRPr="00F670B6">
        <w:rPr>
          <w:rFonts w:cstheme="minorHAnsi"/>
        </w:rPr>
        <w:t>The territorial sea comprises wa</w:t>
      </w:r>
      <w:r w:rsidRPr="00F670B6">
        <w:rPr>
          <w:rFonts w:cstheme="minorHAnsi"/>
        </w:rPr>
        <w:t>ters of the sea within three</w:t>
      </w:r>
      <w:r w:rsidR="008B7C22" w:rsidRPr="00F670B6">
        <w:rPr>
          <w:rFonts w:cstheme="minorHAnsi"/>
        </w:rPr>
        <w:t xml:space="preserve"> nautical miles of the territorial sea baseline. </w:t>
      </w:r>
    </w:p>
    <w:p w14:paraId="12D16BEF" w14:textId="77777777" w:rsidR="00366289" w:rsidRPr="00F670B6" w:rsidRDefault="00366289" w:rsidP="00F670B6">
      <w:pPr>
        <w:pStyle w:val="Heading6"/>
      </w:pPr>
      <w:bookmarkStart w:id="457" w:name="_Toc479771009"/>
      <w:bookmarkStart w:id="458" w:name="_Toc479778780"/>
      <w:bookmarkStart w:id="459" w:name="_Toc479845295"/>
      <w:bookmarkStart w:id="460" w:name="_Toc482364381"/>
      <w:bookmarkStart w:id="461" w:name="_Toc486939357"/>
      <w:bookmarkStart w:id="462" w:name="_Toc486950255"/>
      <w:bookmarkStart w:id="463" w:name="_Toc486956452"/>
      <w:bookmarkStart w:id="464" w:name="_Toc489460857"/>
      <w:r w:rsidRPr="00F670B6">
        <w:t>Commonwealth waters</w:t>
      </w:r>
      <w:bookmarkEnd w:id="456"/>
      <w:bookmarkEnd w:id="457"/>
      <w:bookmarkEnd w:id="458"/>
      <w:bookmarkEnd w:id="459"/>
      <w:bookmarkEnd w:id="460"/>
      <w:bookmarkEnd w:id="461"/>
      <w:bookmarkEnd w:id="462"/>
      <w:bookmarkEnd w:id="463"/>
      <w:bookmarkEnd w:id="464"/>
    </w:p>
    <w:p w14:paraId="69F000BF" w14:textId="6F6E3992" w:rsidR="006F1E42" w:rsidRPr="00F670B6" w:rsidRDefault="004B5E15" w:rsidP="3446EB29">
      <w:pPr>
        <w:shd w:val="clear" w:color="auto" w:fill="FFFFFF" w:themeFill="background1"/>
        <w:spacing w:before="120" w:after="120" w:line="276" w:lineRule="auto"/>
        <w:rPr>
          <w:rFonts w:cstheme="minorHAnsi"/>
        </w:rPr>
      </w:pPr>
      <w:r w:rsidRPr="00F670B6">
        <w:rPr>
          <w:rFonts w:cstheme="minorHAnsi"/>
        </w:rPr>
        <w:t>Under the OPGGS Act, a</w:t>
      </w:r>
      <w:r w:rsidR="006F1E42" w:rsidRPr="00F670B6">
        <w:rPr>
          <w:rFonts w:cstheme="minorHAnsi"/>
        </w:rPr>
        <w:t xml:space="preserve">ny area of </w:t>
      </w:r>
      <w:r w:rsidR="00580A1D" w:rsidRPr="00F670B6">
        <w:rPr>
          <w:rFonts w:cstheme="minorHAnsi"/>
        </w:rPr>
        <w:t>water situated between three</w:t>
      </w:r>
      <w:r w:rsidR="006F1E42" w:rsidRPr="00F670B6">
        <w:rPr>
          <w:rFonts w:cstheme="minorHAnsi"/>
        </w:rPr>
        <w:t xml:space="preserve"> nautical miles</w:t>
      </w:r>
      <w:r w:rsidR="00D21C2E" w:rsidRPr="00F670B6">
        <w:rPr>
          <w:rFonts w:cstheme="minorHAnsi"/>
        </w:rPr>
        <w:t xml:space="preserve"> from the territorial sea baseline </w:t>
      </w:r>
      <w:r w:rsidR="0033678A" w:rsidRPr="00F670B6">
        <w:rPr>
          <w:rFonts w:cstheme="minorHAnsi"/>
        </w:rPr>
        <w:t>and</w:t>
      </w:r>
      <w:r w:rsidR="00D21C2E" w:rsidRPr="00F670B6">
        <w:rPr>
          <w:rFonts w:cstheme="minorHAnsi"/>
        </w:rPr>
        <w:t xml:space="preserve"> the outer limits of </w:t>
      </w:r>
      <w:r w:rsidR="0033678A" w:rsidRPr="00F670B6">
        <w:rPr>
          <w:rFonts w:cstheme="minorHAnsi"/>
        </w:rPr>
        <w:t xml:space="preserve">the </w:t>
      </w:r>
      <w:r w:rsidR="00D21C2E" w:rsidRPr="00F670B6">
        <w:rPr>
          <w:rFonts w:cstheme="minorHAnsi"/>
        </w:rPr>
        <w:t>Australia</w:t>
      </w:r>
      <w:r w:rsidR="0033678A" w:rsidRPr="00F670B6">
        <w:rPr>
          <w:rFonts w:cstheme="minorHAnsi"/>
        </w:rPr>
        <w:t>n</w:t>
      </w:r>
      <w:r w:rsidR="00D21C2E" w:rsidRPr="00F670B6">
        <w:rPr>
          <w:rFonts w:cstheme="minorHAnsi"/>
        </w:rPr>
        <w:t xml:space="preserve"> continental shelf</w:t>
      </w:r>
      <w:r w:rsidR="00A4093D" w:rsidRPr="00F670B6">
        <w:rPr>
          <w:rFonts w:cstheme="minorHAnsi"/>
        </w:rPr>
        <w:t xml:space="preserve">. </w:t>
      </w:r>
      <w:r w:rsidR="00A410E4" w:rsidRPr="00F670B6">
        <w:rPr>
          <w:rFonts w:cstheme="minorHAnsi"/>
        </w:rPr>
        <w:t>Generally</w:t>
      </w:r>
      <w:r w:rsidR="00580A1D" w:rsidRPr="00F670B6">
        <w:rPr>
          <w:rFonts w:cstheme="minorHAnsi"/>
        </w:rPr>
        <w:t>, this</w:t>
      </w:r>
      <w:r w:rsidR="00A410E4" w:rsidRPr="00F670B6">
        <w:rPr>
          <w:rFonts w:cstheme="minorHAnsi"/>
        </w:rPr>
        <w:t xml:space="preserve"> refers t</w:t>
      </w:r>
      <w:r w:rsidR="00580A1D" w:rsidRPr="00F670B6">
        <w:rPr>
          <w:rFonts w:cstheme="minorHAnsi"/>
        </w:rPr>
        <w:t>o waters in the offshore area of a</w:t>
      </w:r>
      <w:r w:rsidR="00A410E4" w:rsidRPr="00F670B6">
        <w:rPr>
          <w:rFonts w:cstheme="minorHAnsi"/>
        </w:rPr>
        <w:t xml:space="preserve"> S</w:t>
      </w:r>
      <w:r w:rsidR="00580A1D" w:rsidRPr="00F670B6">
        <w:rPr>
          <w:rFonts w:cstheme="minorHAnsi"/>
        </w:rPr>
        <w:t xml:space="preserve">tate or </w:t>
      </w:r>
      <w:r w:rsidR="00A410E4" w:rsidRPr="00F670B6">
        <w:rPr>
          <w:rFonts w:cstheme="minorHAnsi"/>
        </w:rPr>
        <w:t>the Northern Territory.</w:t>
      </w:r>
    </w:p>
    <w:p w14:paraId="3BB99280" w14:textId="77777777" w:rsidR="00366289" w:rsidRPr="00F670B6" w:rsidRDefault="00366289" w:rsidP="00F670B6">
      <w:pPr>
        <w:pStyle w:val="Heading6"/>
      </w:pPr>
      <w:bookmarkStart w:id="465" w:name="_Toc479771011"/>
      <w:bookmarkStart w:id="466" w:name="_Toc479778782"/>
      <w:bookmarkStart w:id="467" w:name="_Toc479845297"/>
      <w:bookmarkStart w:id="468" w:name="_Toc482364383"/>
      <w:bookmarkStart w:id="469" w:name="_Toc486939359"/>
      <w:bookmarkStart w:id="470" w:name="_Toc486950257"/>
      <w:bookmarkStart w:id="471" w:name="_Toc486956454"/>
      <w:bookmarkStart w:id="472" w:name="_Toc489460859"/>
      <w:r w:rsidRPr="00F670B6">
        <w:t>Decommissioning</w:t>
      </w:r>
      <w:bookmarkEnd w:id="465"/>
      <w:bookmarkEnd w:id="466"/>
      <w:bookmarkEnd w:id="467"/>
      <w:bookmarkEnd w:id="468"/>
      <w:bookmarkEnd w:id="469"/>
      <w:bookmarkEnd w:id="470"/>
      <w:bookmarkEnd w:id="471"/>
      <w:bookmarkEnd w:id="472"/>
    </w:p>
    <w:p w14:paraId="205A2409" w14:textId="6DB39835" w:rsidR="00E9075C" w:rsidRPr="00F670B6" w:rsidRDefault="00AA32B1" w:rsidP="00B10584">
      <w:pPr>
        <w:spacing w:before="120" w:after="120" w:line="276" w:lineRule="auto"/>
        <w:rPr>
          <w:rFonts w:cstheme="minorHAnsi"/>
        </w:rPr>
      </w:pPr>
      <w:r w:rsidRPr="00F670B6">
        <w:rPr>
          <w:rFonts w:cstheme="minorHAnsi"/>
          <w:bCs/>
        </w:rPr>
        <w:t>The process of removing or otherwise s</w:t>
      </w:r>
      <w:r w:rsidRPr="00F670B6">
        <w:rPr>
          <w:rFonts w:cstheme="minorHAnsi"/>
        </w:rPr>
        <w:t xml:space="preserve">atisfactorily dealing with offshore petroleum property and wells in a safe and environmentally responsible manner, at the end of its useful life. This includes </w:t>
      </w:r>
      <w:r w:rsidRPr="00F670B6">
        <w:rPr>
          <w:rFonts w:cstheme="minorHAnsi"/>
          <w:bCs/>
        </w:rPr>
        <w:t xml:space="preserve">plugging and permanently abandoning all wells, </w:t>
      </w:r>
      <w:r w:rsidRPr="00F670B6">
        <w:rPr>
          <w:rFonts w:cstheme="minorHAnsi"/>
        </w:rPr>
        <w:t>removing structures, plant</w:t>
      </w:r>
      <w:r w:rsidR="00394871" w:rsidRPr="00F670B6">
        <w:rPr>
          <w:rFonts w:cstheme="minorHAnsi"/>
        </w:rPr>
        <w:t xml:space="preserve">, </w:t>
      </w:r>
      <w:proofErr w:type="gramStart"/>
      <w:r w:rsidRPr="00F670B6">
        <w:rPr>
          <w:rFonts w:cstheme="minorHAnsi"/>
        </w:rPr>
        <w:t>equipment</w:t>
      </w:r>
      <w:proofErr w:type="gramEnd"/>
      <w:r w:rsidRPr="00F670B6">
        <w:rPr>
          <w:rFonts w:cstheme="minorHAnsi"/>
        </w:rPr>
        <w:t xml:space="preserve"> and </w:t>
      </w:r>
      <w:r w:rsidR="00394871" w:rsidRPr="00F670B6">
        <w:rPr>
          <w:rFonts w:cstheme="minorHAnsi"/>
        </w:rPr>
        <w:t xml:space="preserve">other </w:t>
      </w:r>
      <w:r w:rsidRPr="00F670B6">
        <w:rPr>
          <w:rFonts w:cstheme="minorHAnsi"/>
        </w:rPr>
        <w:t>property, rehabilitating the site and carrying out any necessary monitoring. </w:t>
      </w:r>
    </w:p>
    <w:p w14:paraId="7E81F070" w14:textId="0985D303" w:rsidR="00366289" w:rsidRPr="00F670B6" w:rsidRDefault="006F1E42" w:rsidP="00F670B6">
      <w:pPr>
        <w:pStyle w:val="Heading6"/>
      </w:pPr>
      <w:bookmarkStart w:id="473" w:name="_Toc475358977"/>
      <w:bookmarkStart w:id="474" w:name="_Toc479771012"/>
      <w:bookmarkStart w:id="475" w:name="_Toc479778783"/>
      <w:bookmarkStart w:id="476" w:name="_Toc479845298"/>
      <w:bookmarkStart w:id="477" w:name="_Toc482364384"/>
      <w:bookmarkStart w:id="478" w:name="_Toc486939360"/>
      <w:bookmarkStart w:id="479" w:name="_Toc486950258"/>
      <w:bookmarkStart w:id="480" w:name="_Toc486956455"/>
      <w:bookmarkStart w:id="481" w:name="_Toc489460860"/>
      <w:r w:rsidRPr="00F670B6">
        <w:t xml:space="preserve">Environment </w:t>
      </w:r>
      <w:r w:rsidR="00905385" w:rsidRPr="00F670B6">
        <w:t>p</w:t>
      </w:r>
      <w:r w:rsidRPr="00F670B6">
        <w:t>lan</w:t>
      </w:r>
      <w:bookmarkEnd w:id="473"/>
      <w:bookmarkEnd w:id="474"/>
      <w:bookmarkEnd w:id="475"/>
      <w:bookmarkEnd w:id="476"/>
      <w:bookmarkEnd w:id="477"/>
      <w:bookmarkEnd w:id="478"/>
      <w:bookmarkEnd w:id="479"/>
      <w:bookmarkEnd w:id="480"/>
      <w:bookmarkEnd w:id="481"/>
      <w:r w:rsidR="00366289" w:rsidRPr="00F670B6">
        <w:t xml:space="preserve"> </w:t>
      </w:r>
    </w:p>
    <w:p w14:paraId="6C593B1F" w14:textId="0D0A756D" w:rsidR="006F1E42" w:rsidRPr="00F670B6" w:rsidRDefault="001D597D" w:rsidP="00D40D19">
      <w:pPr>
        <w:spacing w:before="120" w:after="120" w:line="276" w:lineRule="auto"/>
        <w:rPr>
          <w:rFonts w:cstheme="minorHAnsi"/>
        </w:rPr>
      </w:pPr>
      <w:r w:rsidRPr="00F670B6">
        <w:rPr>
          <w:rFonts w:cstheme="minorHAnsi"/>
        </w:rPr>
        <w:t xml:space="preserve">An </w:t>
      </w:r>
      <w:r w:rsidR="00366289" w:rsidRPr="00F670B6">
        <w:rPr>
          <w:rFonts w:cstheme="minorHAnsi"/>
        </w:rPr>
        <w:t>environment plan</w:t>
      </w:r>
      <w:r w:rsidR="00905385" w:rsidRPr="00F670B6">
        <w:rPr>
          <w:rFonts w:cstheme="minorHAnsi"/>
        </w:rPr>
        <w:t xml:space="preserve"> </w:t>
      </w:r>
      <w:r w:rsidRPr="00F670B6">
        <w:rPr>
          <w:rFonts w:cstheme="minorHAnsi"/>
        </w:rPr>
        <w:t xml:space="preserve">is a document by which a titleholder identifies potential impacts and risks of a petroleum activity to the receiving </w:t>
      </w:r>
      <w:proofErr w:type="gramStart"/>
      <w:r w:rsidRPr="00F670B6">
        <w:rPr>
          <w:rFonts w:cstheme="minorHAnsi"/>
        </w:rPr>
        <w:t>environment, and</w:t>
      </w:r>
      <w:proofErr w:type="gramEnd"/>
      <w:r w:rsidRPr="00F670B6">
        <w:rPr>
          <w:rFonts w:cstheme="minorHAnsi"/>
        </w:rPr>
        <w:t xml:space="preserve"> sets out </w:t>
      </w:r>
      <w:r w:rsidR="00580A1D" w:rsidRPr="00F670B6">
        <w:rPr>
          <w:rFonts w:cstheme="minorHAnsi"/>
        </w:rPr>
        <w:t>control measures to reduce</w:t>
      </w:r>
      <w:r w:rsidRPr="00F670B6">
        <w:rPr>
          <w:rFonts w:cstheme="minorHAnsi"/>
        </w:rPr>
        <w:t xml:space="preserve"> impacts and risks to </w:t>
      </w:r>
      <w:r w:rsidR="00905385" w:rsidRPr="00F670B6">
        <w:rPr>
          <w:rFonts w:cstheme="minorHAnsi"/>
        </w:rPr>
        <w:t>ALARP and</w:t>
      </w:r>
      <w:r w:rsidR="00580A1D" w:rsidRPr="00F670B6">
        <w:rPr>
          <w:rFonts w:cstheme="minorHAnsi"/>
        </w:rPr>
        <w:t xml:space="preserve"> to</w:t>
      </w:r>
      <w:r w:rsidRPr="00F670B6">
        <w:rPr>
          <w:rFonts w:cstheme="minorHAnsi"/>
        </w:rPr>
        <w:t xml:space="preserve"> acceptable levels</w:t>
      </w:r>
      <w:r w:rsidR="00A4093D" w:rsidRPr="00F670B6">
        <w:rPr>
          <w:rFonts w:cstheme="minorHAnsi"/>
        </w:rPr>
        <w:t xml:space="preserve">. </w:t>
      </w:r>
      <w:r w:rsidR="00580A1D" w:rsidRPr="00F670B6">
        <w:rPr>
          <w:rFonts w:cstheme="minorHAnsi"/>
        </w:rPr>
        <w:t>It is an offence to undertake a</w:t>
      </w:r>
      <w:r w:rsidR="00DE76AA" w:rsidRPr="00F670B6">
        <w:rPr>
          <w:rFonts w:cstheme="minorHAnsi"/>
        </w:rPr>
        <w:t xml:space="preserve"> petroleum activity in Commonweal</w:t>
      </w:r>
      <w:r w:rsidR="00905385" w:rsidRPr="00F670B6">
        <w:rPr>
          <w:rFonts w:cstheme="minorHAnsi"/>
        </w:rPr>
        <w:t>th waters without an accepted environment plan</w:t>
      </w:r>
      <w:r w:rsidR="00DE76AA" w:rsidRPr="00F670B6">
        <w:rPr>
          <w:rFonts w:cstheme="minorHAnsi"/>
        </w:rPr>
        <w:t xml:space="preserve"> that provides for that activity. </w:t>
      </w:r>
    </w:p>
    <w:p w14:paraId="6F045C2A" w14:textId="7F35F4A7" w:rsidR="00E60C61" w:rsidRPr="00F670B6" w:rsidRDefault="00E60C61">
      <w:pPr>
        <w:pStyle w:val="Heading6"/>
        <w:keepNext w:val="0"/>
        <w:keepLines w:val="0"/>
      </w:pPr>
      <w:bookmarkStart w:id="482" w:name="_Toc475358979"/>
      <w:bookmarkStart w:id="483" w:name="_Toc479771014"/>
      <w:bookmarkStart w:id="484" w:name="_Toc479778785"/>
      <w:bookmarkStart w:id="485" w:name="_Toc479845300"/>
      <w:bookmarkStart w:id="486" w:name="_Toc482364386"/>
      <w:bookmarkStart w:id="487" w:name="_Toc486939362"/>
      <w:bookmarkStart w:id="488" w:name="_Toc486950260"/>
      <w:bookmarkStart w:id="489" w:name="_Toc486956457"/>
      <w:bookmarkStart w:id="490" w:name="_Toc489460861"/>
      <w:r w:rsidRPr="00F670B6">
        <w:t>Facility</w:t>
      </w:r>
      <w:bookmarkEnd w:id="482"/>
      <w:bookmarkEnd w:id="483"/>
      <w:bookmarkEnd w:id="484"/>
      <w:bookmarkEnd w:id="485"/>
      <w:bookmarkEnd w:id="486"/>
      <w:bookmarkEnd w:id="487"/>
      <w:bookmarkEnd w:id="488"/>
      <w:bookmarkEnd w:id="489"/>
      <w:bookmarkEnd w:id="490"/>
    </w:p>
    <w:p w14:paraId="0DA17F86" w14:textId="4EF4B361" w:rsidR="00E60C61" w:rsidRPr="00F670B6" w:rsidRDefault="00905385">
      <w:pPr>
        <w:autoSpaceDE w:val="0"/>
        <w:autoSpaceDN w:val="0"/>
        <w:adjustRightInd w:val="0"/>
        <w:spacing w:before="120" w:after="120" w:line="276" w:lineRule="auto"/>
        <w:rPr>
          <w:rFonts w:cstheme="minorHAnsi"/>
        </w:rPr>
      </w:pPr>
      <w:r w:rsidRPr="00F670B6">
        <w:rPr>
          <w:rFonts w:cstheme="minorHAnsi"/>
        </w:rPr>
        <w:t>Under</w:t>
      </w:r>
      <w:r w:rsidR="00E60C61" w:rsidRPr="00F670B6">
        <w:rPr>
          <w:rFonts w:cstheme="minorHAnsi"/>
        </w:rPr>
        <w:t xml:space="preserve"> clause 4 of Schedule 3 to the OPGGS Act, a facility is any vessel or structure located at a </w:t>
      </w:r>
      <w:r w:rsidR="00580A1D" w:rsidRPr="00F670B6">
        <w:rPr>
          <w:rFonts w:cstheme="minorHAnsi"/>
        </w:rPr>
        <w:t>site in Commonwealth waters,</w:t>
      </w:r>
      <w:r w:rsidR="00E60C61" w:rsidRPr="00F670B6">
        <w:rPr>
          <w:rFonts w:cstheme="minorHAnsi"/>
        </w:rPr>
        <w:t xml:space="preserve"> </w:t>
      </w:r>
      <w:r w:rsidR="00580A1D" w:rsidRPr="00F670B6">
        <w:rPr>
          <w:rFonts w:cstheme="minorHAnsi"/>
        </w:rPr>
        <w:t xml:space="preserve">which </w:t>
      </w:r>
      <w:r w:rsidR="00E60C61" w:rsidRPr="00F670B6">
        <w:rPr>
          <w:rFonts w:cstheme="minorHAnsi"/>
        </w:rPr>
        <w:t>is being used or pr</w:t>
      </w:r>
      <w:r w:rsidRPr="00F670B6">
        <w:rPr>
          <w:rFonts w:cstheme="minorHAnsi"/>
        </w:rPr>
        <w:t xml:space="preserve">epared for use at that site </w:t>
      </w:r>
      <w:r w:rsidR="005D018D">
        <w:rPr>
          <w:rFonts w:cstheme="minorHAnsi"/>
        </w:rPr>
        <w:t xml:space="preserve">for </w:t>
      </w:r>
      <w:r w:rsidRPr="00F670B6">
        <w:rPr>
          <w:rFonts w:cstheme="minorHAnsi"/>
        </w:rPr>
        <w:t>any of the following:</w:t>
      </w:r>
    </w:p>
    <w:p w14:paraId="27577C11" w14:textId="23760555"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t>recovery, processing, or storage or offloading of petroleum, or any com</w:t>
      </w:r>
      <w:r w:rsidR="00905385" w:rsidRPr="00F670B6">
        <w:rPr>
          <w:rFonts w:cstheme="minorHAnsi"/>
        </w:rPr>
        <w:t>bination of those activities</w:t>
      </w:r>
      <w:r w:rsidR="00640CDB" w:rsidRPr="00F670B6">
        <w:rPr>
          <w:rFonts w:cstheme="minorHAnsi"/>
        </w:rPr>
        <w:t>; or</w:t>
      </w:r>
    </w:p>
    <w:p w14:paraId="261D65C8" w14:textId="4526E9A5"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t>provision of accommodation for persons working on another facility; or</w:t>
      </w:r>
    </w:p>
    <w:p w14:paraId="11FCAB83" w14:textId="0487B59B"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t>drilling or servicing a well for petroleum or doing work associated with the d</w:t>
      </w:r>
      <w:r w:rsidR="00905385" w:rsidRPr="00F670B6">
        <w:rPr>
          <w:rFonts w:cstheme="minorHAnsi"/>
        </w:rPr>
        <w:t>rilling or servicing process</w:t>
      </w:r>
      <w:r w:rsidR="00640CDB" w:rsidRPr="00F670B6">
        <w:rPr>
          <w:rFonts w:cstheme="minorHAnsi"/>
        </w:rPr>
        <w:t>; or</w:t>
      </w:r>
    </w:p>
    <w:p w14:paraId="4C347FB3" w14:textId="73900F9B"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lastRenderedPageBreak/>
        <w:t>laying pipes for petrol</w:t>
      </w:r>
      <w:r w:rsidR="00905385" w:rsidRPr="00F670B6">
        <w:rPr>
          <w:rFonts w:cstheme="minorHAnsi"/>
        </w:rPr>
        <w:t xml:space="preserve">eum, including manufacturing </w:t>
      </w:r>
      <w:r w:rsidRPr="00F670B6">
        <w:rPr>
          <w:rFonts w:cstheme="minorHAnsi"/>
        </w:rPr>
        <w:t>such pipes, or doing work on an</w:t>
      </w:r>
      <w:r w:rsidR="00905385" w:rsidRPr="00F670B6">
        <w:rPr>
          <w:rFonts w:cstheme="minorHAnsi"/>
        </w:rPr>
        <w:t xml:space="preserve"> existing pipe</w:t>
      </w:r>
      <w:r w:rsidR="00640CDB" w:rsidRPr="00F670B6">
        <w:rPr>
          <w:rFonts w:cstheme="minorHAnsi"/>
        </w:rPr>
        <w:t>; or</w:t>
      </w:r>
    </w:p>
    <w:p w14:paraId="6507EF1F" w14:textId="4F84168D"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t>erection, dismantling or decommissioning a vessel or structure referred to in paragraphs (a)</w:t>
      </w:r>
      <w:r w:rsidR="00EB039A" w:rsidRPr="00F670B6">
        <w:rPr>
          <w:rFonts w:cstheme="minorHAnsi"/>
        </w:rPr>
        <w:noBreakHyphen/>
      </w:r>
      <w:r w:rsidR="00905385" w:rsidRPr="00F670B6">
        <w:rPr>
          <w:rFonts w:cstheme="minorHAnsi"/>
        </w:rPr>
        <w:t>(d);</w:t>
      </w:r>
      <w:r w:rsidR="00640CDB" w:rsidRPr="00F670B6">
        <w:rPr>
          <w:rFonts w:cstheme="minorHAnsi"/>
        </w:rPr>
        <w:t xml:space="preserve"> or</w:t>
      </w:r>
    </w:p>
    <w:p w14:paraId="692A80E3" w14:textId="35F91926" w:rsidR="00E60C61" w:rsidRPr="00F670B6" w:rsidRDefault="00E60C61" w:rsidP="00A00029">
      <w:pPr>
        <w:pStyle w:val="ListParagraph"/>
        <w:numPr>
          <w:ilvl w:val="0"/>
          <w:numId w:val="3"/>
        </w:numPr>
        <w:autoSpaceDE w:val="0"/>
        <w:autoSpaceDN w:val="0"/>
        <w:adjustRightInd w:val="0"/>
        <w:spacing w:before="120" w:after="120"/>
        <w:contextualSpacing w:val="0"/>
        <w:rPr>
          <w:rFonts w:cstheme="minorHAnsi"/>
        </w:rPr>
      </w:pPr>
      <w:r w:rsidRPr="00F670B6">
        <w:rPr>
          <w:rFonts w:cstheme="minorHAnsi"/>
        </w:rPr>
        <w:t>any other prescribed purpose related to offshore petroleum operations.</w:t>
      </w:r>
    </w:p>
    <w:p w14:paraId="254BC091" w14:textId="2D100AD3" w:rsidR="00E60C61" w:rsidRPr="00F670B6" w:rsidRDefault="00E60C61">
      <w:pPr>
        <w:autoSpaceDE w:val="0"/>
        <w:autoSpaceDN w:val="0"/>
        <w:adjustRightInd w:val="0"/>
        <w:spacing w:before="120" w:after="120" w:line="276" w:lineRule="auto"/>
        <w:rPr>
          <w:rFonts w:cstheme="minorHAnsi"/>
        </w:rPr>
      </w:pPr>
      <w:r w:rsidRPr="00F670B6">
        <w:rPr>
          <w:rFonts w:cstheme="minorHAnsi"/>
        </w:rPr>
        <w:t>Pipelines subject to pipeline licen</w:t>
      </w:r>
      <w:r w:rsidR="00053D99" w:rsidRPr="00F670B6">
        <w:rPr>
          <w:rFonts w:cstheme="minorHAnsi"/>
        </w:rPr>
        <w:t>c</w:t>
      </w:r>
      <w:r w:rsidRPr="00F670B6">
        <w:rPr>
          <w:rFonts w:cstheme="minorHAnsi"/>
        </w:rPr>
        <w:t>es are facilities for the purposes of Schedule 3 to the OPGGS Act.</w:t>
      </w:r>
    </w:p>
    <w:p w14:paraId="21515E01" w14:textId="0A2CFC66" w:rsidR="00E60C61" w:rsidRPr="00F670B6" w:rsidRDefault="00837276">
      <w:pPr>
        <w:autoSpaceDE w:val="0"/>
        <w:autoSpaceDN w:val="0"/>
        <w:adjustRightInd w:val="0"/>
        <w:spacing w:before="120" w:after="120" w:line="276" w:lineRule="auto"/>
        <w:rPr>
          <w:rFonts w:cstheme="minorHAnsi"/>
        </w:rPr>
      </w:pPr>
      <w:r w:rsidRPr="00F670B6">
        <w:rPr>
          <w:rFonts w:cstheme="minorHAnsi"/>
        </w:rPr>
        <w:t xml:space="preserve">The following are </w:t>
      </w:r>
      <w:r w:rsidRPr="00F670B6">
        <w:rPr>
          <w:rFonts w:cstheme="minorHAnsi"/>
          <w:u w:val="single"/>
        </w:rPr>
        <w:t>not</w:t>
      </w:r>
      <w:r w:rsidRPr="00F670B6">
        <w:rPr>
          <w:rFonts w:cstheme="minorHAnsi"/>
        </w:rPr>
        <w:t xml:space="preserve"> facilities for the purposes of the OPGG</w:t>
      </w:r>
      <w:r w:rsidR="00AF1300" w:rsidRPr="00F670B6">
        <w:rPr>
          <w:rFonts w:cstheme="minorHAnsi"/>
        </w:rPr>
        <w:t>S</w:t>
      </w:r>
      <w:r w:rsidRPr="00F670B6">
        <w:rPr>
          <w:rFonts w:cstheme="minorHAnsi"/>
        </w:rPr>
        <w:t xml:space="preserve"> Act:</w:t>
      </w:r>
      <w:r w:rsidR="00E60C61" w:rsidRPr="00F670B6">
        <w:rPr>
          <w:rFonts w:cstheme="minorHAnsi"/>
        </w:rPr>
        <w:t xml:space="preserve"> </w:t>
      </w:r>
      <w:r w:rsidRPr="00F670B6">
        <w:rPr>
          <w:rFonts w:cstheme="minorHAnsi"/>
        </w:rPr>
        <w:t xml:space="preserve">offtake tankers, </w:t>
      </w:r>
      <w:proofErr w:type="gramStart"/>
      <w:r w:rsidRPr="00F670B6">
        <w:rPr>
          <w:rFonts w:cstheme="minorHAnsi"/>
        </w:rPr>
        <w:t>tugs</w:t>
      </w:r>
      <w:proofErr w:type="gramEnd"/>
      <w:r w:rsidRPr="00F670B6">
        <w:rPr>
          <w:rFonts w:cstheme="minorHAnsi"/>
        </w:rPr>
        <w:t xml:space="preserve"> and anchor handlers;</w:t>
      </w:r>
      <w:r w:rsidR="00E60C61" w:rsidRPr="00F670B6">
        <w:rPr>
          <w:rFonts w:cstheme="minorHAnsi"/>
        </w:rPr>
        <w:t xml:space="preserve"> vessels and structures used for supplying a facility or otherwise travelling between</w:t>
      </w:r>
      <w:r w:rsidRPr="00F670B6">
        <w:rPr>
          <w:rFonts w:cstheme="minorHAnsi"/>
        </w:rPr>
        <w:t xml:space="preserve"> a facility and the shore;</w:t>
      </w:r>
      <w:r w:rsidR="00E60C61" w:rsidRPr="00F670B6">
        <w:rPr>
          <w:rFonts w:cstheme="minorHAnsi"/>
        </w:rPr>
        <w:t xml:space="preserve"> </w:t>
      </w:r>
      <w:r w:rsidRPr="00F670B6">
        <w:rPr>
          <w:rFonts w:cstheme="minorHAnsi"/>
        </w:rPr>
        <w:t>vessels and structures declared by the regulations not to be facilities.</w:t>
      </w:r>
    </w:p>
    <w:p w14:paraId="69FAEE5E" w14:textId="77777777" w:rsidR="00366289" w:rsidRPr="00F670B6" w:rsidRDefault="00366289" w:rsidP="00F670B6">
      <w:pPr>
        <w:pStyle w:val="Heading6"/>
      </w:pPr>
      <w:bookmarkStart w:id="491" w:name="_Toc475358980"/>
      <w:bookmarkStart w:id="492" w:name="_Toc479771015"/>
      <w:bookmarkStart w:id="493" w:name="_Toc479778786"/>
      <w:bookmarkStart w:id="494" w:name="_Toc479845301"/>
      <w:bookmarkStart w:id="495" w:name="_Toc482364387"/>
      <w:bookmarkStart w:id="496" w:name="_Toc486939363"/>
      <w:bookmarkStart w:id="497" w:name="_Toc486950261"/>
      <w:bookmarkStart w:id="498" w:name="_Toc486956458"/>
      <w:bookmarkStart w:id="499" w:name="_Toc489460862"/>
      <w:r w:rsidRPr="00F670B6">
        <w:t>Good oilfield practice</w:t>
      </w:r>
      <w:bookmarkEnd w:id="491"/>
      <w:bookmarkEnd w:id="492"/>
      <w:bookmarkEnd w:id="493"/>
      <w:bookmarkEnd w:id="494"/>
      <w:bookmarkEnd w:id="495"/>
      <w:bookmarkEnd w:id="496"/>
      <w:bookmarkEnd w:id="497"/>
      <w:bookmarkEnd w:id="498"/>
      <w:bookmarkEnd w:id="499"/>
    </w:p>
    <w:p w14:paraId="3ED52A1A" w14:textId="09911E81" w:rsidR="006F1E42" w:rsidRPr="00F670B6" w:rsidRDefault="00342CC5" w:rsidP="00D40D19">
      <w:pPr>
        <w:autoSpaceDE w:val="0"/>
        <w:autoSpaceDN w:val="0"/>
        <w:adjustRightInd w:val="0"/>
        <w:spacing w:before="120" w:after="120" w:line="276" w:lineRule="auto"/>
        <w:rPr>
          <w:rFonts w:cstheme="minorHAnsi"/>
        </w:rPr>
      </w:pPr>
      <w:r w:rsidRPr="00F670B6">
        <w:rPr>
          <w:rFonts w:cstheme="minorHAnsi"/>
        </w:rPr>
        <w:t xml:space="preserve">As defined in </w:t>
      </w:r>
      <w:r w:rsidR="00834F21">
        <w:rPr>
          <w:rFonts w:cstheme="minorHAnsi"/>
        </w:rPr>
        <w:t>s</w:t>
      </w:r>
      <w:r w:rsidRPr="00F670B6">
        <w:rPr>
          <w:rFonts w:cstheme="minorHAnsi"/>
        </w:rPr>
        <w:t xml:space="preserve"> 7 of the OPGGS Act, a</w:t>
      </w:r>
      <w:r w:rsidR="006F1E42" w:rsidRPr="00F670B6">
        <w:rPr>
          <w:rFonts w:cstheme="minorHAnsi"/>
        </w:rPr>
        <w:t>ll those things that are generally accepted as good and safe in the carrying on of exploration for petroleum, or petroleum recovery operations.</w:t>
      </w:r>
    </w:p>
    <w:p w14:paraId="1D9BDC75" w14:textId="7BCD9CD7" w:rsidR="0022427F" w:rsidRPr="00F670B6" w:rsidRDefault="0022427F" w:rsidP="00F670B6">
      <w:pPr>
        <w:pStyle w:val="Heading6"/>
      </w:pPr>
      <w:bookmarkStart w:id="500" w:name="_Toc489460863"/>
      <w:bookmarkStart w:id="501" w:name="_Toc479771016"/>
      <w:bookmarkStart w:id="502" w:name="_Toc479778787"/>
      <w:bookmarkStart w:id="503" w:name="_Toc479845302"/>
      <w:bookmarkStart w:id="504" w:name="_Toc482364388"/>
      <w:bookmarkStart w:id="505" w:name="_Toc486939364"/>
      <w:bookmarkStart w:id="506" w:name="_Toc486950262"/>
      <w:bookmarkStart w:id="507" w:name="_Toc486956459"/>
      <w:bookmarkStart w:id="508" w:name="_Toc475358982"/>
      <w:r w:rsidRPr="00F670B6">
        <w:t>Joint Authority</w:t>
      </w:r>
      <w:bookmarkEnd w:id="500"/>
    </w:p>
    <w:p w14:paraId="5352C2D8" w14:textId="251E28C0" w:rsidR="0022427F" w:rsidRPr="00F670B6" w:rsidRDefault="0022427F" w:rsidP="0022427F">
      <w:pPr>
        <w:spacing w:before="120" w:after="120" w:line="276" w:lineRule="auto"/>
        <w:rPr>
          <w:rFonts w:cstheme="minorHAnsi"/>
        </w:rPr>
      </w:pPr>
      <w:r w:rsidRPr="00F670B6">
        <w:rPr>
          <w:rFonts w:cstheme="minorHAnsi"/>
        </w:rPr>
        <w:t>The Joint Authority for the offshore area of each State (except Tasmania) and the Northern Territory comprises the responsible Commonwealth Minister</w:t>
      </w:r>
      <w:r w:rsidRPr="00F670B6">
        <w:rPr>
          <w:rStyle w:val="FootnoteReference"/>
          <w:rFonts w:cstheme="minorHAnsi"/>
        </w:rPr>
        <w:footnoteReference w:id="13"/>
      </w:r>
      <w:r w:rsidRPr="00F670B6">
        <w:rPr>
          <w:rFonts w:cstheme="minorHAnsi"/>
        </w:rPr>
        <w:t xml:space="preserve"> and the relevant State or Territory Minister</w:t>
      </w:r>
      <w:r w:rsidR="00A4093D" w:rsidRPr="00F670B6">
        <w:rPr>
          <w:rFonts w:cstheme="minorHAnsi"/>
        </w:rPr>
        <w:t xml:space="preserve">. </w:t>
      </w:r>
      <w:r w:rsidRPr="00F670B6">
        <w:rPr>
          <w:rFonts w:cstheme="minorHAnsi"/>
        </w:rPr>
        <w:t>For Tasmania, the Eastern Greater Sunrise offshore area, and external Territories (</w:t>
      </w:r>
      <w:proofErr w:type="gramStart"/>
      <w:r w:rsidRPr="00F670B6">
        <w:rPr>
          <w:rFonts w:cstheme="minorHAnsi"/>
        </w:rPr>
        <w:t>e.g.</w:t>
      </w:r>
      <w:proofErr w:type="gramEnd"/>
      <w:r w:rsidRPr="00F670B6">
        <w:rPr>
          <w:rFonts w:cstheme="minorHAnsi"/>
        </w:rPr>
        <w:t xml:space="preserve"> the Territory of Ashmore and Cartier Islands), the Joint Authority is the responsible Commonwealth Minister only.</w:t>
      </w:r>
    </w:p>
    <w:p w14:paraId="4873C09C" w14:textId="6F7E85FD" w:rsidR="003E065B" w:rsidRPr="00F670B6" w:rsidRDefault="003E065B" w:rsidP="00F670B6">
      <w:pPr>
        <w:pStyle w:val="Heading6"/>
      </w:pPr>
      <w:r w:rsidRPr="00F670B6">
        <w:t>Offshore area</w:t>
      </w:r>
      <w:bookmarkEnd w:id="501"/>
      <w:bookmarkEnd w:id="502"/>
      <w:bookmarkEnd w:id="503"/>
      <w:bookmarkEnd w:id="504"/>
      <w:bookmarkEnd w:id="505"/>
      <w:bookmarkEnd w:id="506"/>
      <w:bookmarkEnd w:id="507"/>
    </w:p>
    <w:p w14:paraId="01661722" w14:textId="4188C30A" w:rsidR="003E065B" w:rsidRPr="00F670B6" w:rsidRDefault="002F0F80" w:rsidP="3446EB29">
      <w:pPr>
        <w:shd w:val="clear" w:color="auto" w:fill="FFFFFF" w:themeFill="background1"/>
        <w:spacing w:before="120" w:after="120" w:line="276" w:lineRule="auto"/>
        <w:rPr>
          <w:rFonts w:cstheme="minorHAnsi"/>
        </w:rPr>
      </w:pPr>
      <w:r w:rsidRPr="00F670B6">
        <w:rPr>
          <w:rFonts w:cstheme="minorHAnsi"/>
        </w:rPr>
        <w:t xml:space="preserve">So much of the Scheduled Area of a </w:t>
      </w:r>
      <w:r w:rsidR="003E065B" w:rsidRPr="00F670B6">
        <w:rPr>
          <w:rFonts w:cstheme="minorHAnsi"/>
        </w:rPr>
        <w:t xml:space="preserve">State or </w:t>
      </w:r>
      <w:r w:rsidRPr="00F670B6">
        <w:rPr>
          <w:rFonts w:cstheme="minorHAnsi"/>
        </w:rPr>
        <w:t xml:space="preserve">the Northern </w:t>
      </w:r>
      <w:r w:rsidR="003E065B" w:rsidRPr="00F670B6">
        <w:rPr>
          <w:rFonts w:cstheme="minorHAnsi"/>
        </w:rPr>
        <w:t xml:space="preserve">Territory </w:t>
      </w:r>
      <w:r w:rsidRPr="00F670B6">
        <w:rPr>
          <w:rFonts w:cstheme="minorHAnsi"/>
        </w:rPr>
        <w:t>comprising</w:t>
      </w:r>
      <w:r w:rsidR="003E065B" w:rsidRPr="00F670B6">
        <w:rPr>
          <w:rFonts w:cstheme="minorHAnsi"/>
        </w:rPr>
        <w:t xml:space="preserve"> waters of the sea beyond the outer limits of the coastal waters and within the limits of the Continental Shelf</w:t>
      </w:r>
      <w:r w:rsidR="00A4093D" w:rsidRPr="00F670B6">
        <w:rPr>
          <w:rFonts w:cstheme="minorHAnsi"/>
        </w:rPr>
        <w:t xml:space="preserve">. </w:t>
      </w:r>
    </w:p>
    <w:p w14:paraId="54140A9B" w14:textId="7657ED68" w:rsidR="00366289" w:rsidRPr="00F670B6" w:rsidRDefault="00574958" w:rsidP="00DC457C">
      <w:pPr>
        <w:pStyle w:val="Heading6"/>
        <w:keepNext w:val="0"/>
        <w:keepLines w:val="0"/>
      </w:pPr>
      <w:bookmarkStart w:id="509" w:name="_Toc475358983"/>
      <w:bookmarkStart w:id="510" w:name="_Toc479771018"/>
      <w:bookmarkStart w:id="511" w:name="_Toc479778789"/>
      <w:bookmarkStart w:id="512" w:name="_Toc479845304"/>
      <w:bookmarkStart w:id="513" w:name="_Toc482364390"/>
      <w:bookmarkStart w:id="514" w:name="_Toc486939366"/>
      <w:bookmarkStart w:id="515" w:name="_Toc486950264"/>
      <w:bookmarkStart w:id="516" w:name="_Toc486956461"/>
      <w:bookmarkStart w:id="517" w:name="_Toc489460865"/>
      <w:bookmarkEnd w:id="508"/>
      <w:r w:rsidRPr="00F670B6">
        <w:t>Offshore Project Proposal</w:t>
      </w:r>
      <w:bookmarkEnd w:id="509"/>
      <w:bookmarkEnd w:id="510"/>
      <w:bookmarkEnd w:id="511"/>
      <w:bookmarkEnd w:id="512"/>
      <w:bookmarkEnd w:id="513"/>
      <w:bookmarkEnd w:id="514"/>
      <w:bookmarkEnd w:id="515"/>
      <w:bookmarkEnd w:id="516"/>
      <w:bookmarkEnd w:id="517"/>
    </w:p>
    <w:p w14:paraId="59329E77" w14:textId="6549835B" w:rsidR="00905385" w:rsidRPr="00F670B6" w:rsidRDefault="001129B7" w:rsidP="00DC457C">
      <w:pPr>
        <w:spacing w:before="120" w:after="120" w:line="276" w:lineRule="auto"/>
        <w:ind w:right="357"/>
        <w:rPr>
          <w:rFonts w:cstheme="minorHAnsi"/>
          <w:color w:val="000000" w:themeColor="text1"/>
        </w:rPr>
      </w:pPr>
      <w:r w:rsidRPr="00F670B6">
        <w:rPr>
          <w:rFonts w:cstheme="minorHAnsi"/>
          <w:color w:val="000000"/>
        </w:rPr>
        <w:t>The Offshore Project Proposal</w:t>
      </w:r>
      <w:r w:rsidR="001D597D" w:rsidRPr="00F670B6">
        <w:rPr>
          <w:rFonts w:cstheme="minorHAnsi"/>
          <w:color w:val="000000"/>
        </w:rPr>
        <w:t xml:space="preserve"> </w:t>
      </w:r>
      <w:r w:rsidRPr="00F670B6">
        <w:rPr>
          <w:rFonts w:cstheme="minorHAnsi"/>
          <w:color w:val="000000"/>
        </w:rPr>
        <w:t>(</w:t>
      </w:r>
      <w:r w:rsidR="001D597D" w:rsidRPr="00F670B6">
        <w:rPr>
          <w:rFonts w:cstheme="minorHAnsi"/>
          <w:color w:val="000000"/>
        </w:rPr>
        <w:t>OPP</w:t>
      </w:r>
      <w:r w:rsidRPr="00F670B6">
        <w:rPr>
          <w:rFonts w:cstheme="minorHAnsi"/>
          <w:color w:val="000000"/>
        </w:rPr>
        <w:t>)</w:t>
      </w:r>
      <w:r w:rsidR="001D597D" w:rsidRPr="00F670B6">
        <w:rPr>
          <w:rFonts w:cstheme="minorHAnsi"/>
          <w:color w:val="000000"/>
        </w:rPr>
        <w:t xml:space="preserve"> is a document submitted t</w:t>
      </w:r>
      <w:r w:rsidRPr="00F670B6">
        <w:rPr>
          <w:rFonts w:cstheme="minorHAnsi"/>
          <w:color w:val="000000"/>
        </w:rPr>
        <w:t>o NOPSEMA seeking approval to undertake</w:t>
      </w:r>
      <w:r w:rsidR="001D597D" w:rsidRPr="00F670B6">
        <w:rPr>
          <w:rFonts w:cstheme="minorHAnsi"/>
          <w:color w:val="000000"/>
        </w:rPr>
        <w:t xml:space="preserve"> an offshore project</w:t>
      </w:r>
      <w:r w:rsidR="004D2F3F" w:rsidRPr="00F670B6">
        <w:rPr>
          <w:rFonts w:cstheme="minorHAnsi"/>
          <w:color w:val="000000"/>
        </w:rPr>
        <w:t>, as defined under the Environment Regulations</w:t>
      </w:r>
      <w:r w:rsidR="00A4093D" w:rsidRPr="00F670B6">
        <w:rPr>
          <w:rFonts w:cstheme="minorHAnsi"/>
          <w:color w:val="000000"/>
        </w:rPr>
        <w:t xml:space="preserve">. </w:t>
      </w:r>
      <w:r w:rsidR="001D597D" w:rsidRPr="00F670B6">
        <w:rPr>
          <w:rFonts w:cstheme="minorHAnsi"/>
          <w:color w:val="000000"/>
        </w:rPr>
        <w:t xml:space="preserve">The OPP </w:t>
      </w:r>
      <w:r w:rsidR="00865581" w:rsidRPr="00F670B6">
        <w:rPr>
          <w:rFonts w:cstheme="minorHAnsi"/>
          <w:color w:val="000000"/>
        </w:rPr>
        <w:t>requires the proponent to identify, assess and consult on all the potential impacts and risk posed by the relevant project, and provides the opportunity for NOPSEMA and the public to consider a project on a holistic basis</w:t>
      </w:r>
      <w:r w:rsidR="00A4093D" w:rsidRPr="00F670B6">
        <w:rPr>
          <w:rFonts w:cstheme="minorHAnsi"/>
          <w:color w:val="000000"/>
        </w:rPr>
        <w:t>.</w:t>
      </w:r>
    </w:p>
    <w:p w14:paraId="50A8F80F" w14:textId="39FEE7EE" w:rsidR="001129B7" w:rsidRPr="00F670B6" w:rsidRDefault="00905385" w:rsidP="00DC457C">
      <w:pPr>
        <w:spacing w:before="120" w:after="120" w:line="276" w:lineRule="auto"/>
        <w:ind w:right="357"/>
        <w:rPr>
          <w:rFonts w:cstheme="minorHAnsi"/>
          <w:color w:val="000000" w:themeColor="text1"/>
        </w:rPr>
      </w:pPr>
      <w:r w:rsidRPr="00F670B6">
        <w:rPr>
          <w:rFonts w:cstheme="minorHAnsi"/>
          <w:color w:val="000000" w:themeColor="text1"/>
        </w:rPr>
        <w:t xml:space="preserve">A titleholder may </w:t>
      </w:r>
      <w:r w:rsidRPr="00F670B6">
        <w:rPr>
          <w:rFonts w:cstheme="minorHAnsi"/>
          <w:color w:val="000000" w:themeColor="text1"/>
          <w:u w:val="single"/>
        </w:rPr>
        <w:t>not</w:t>
      </w:r>
      <w:r w:rsidRPr="00F670B6">
        <w:rPr>
          <w:rFonts w:cstheme="minorHAnsi"/>
          <w:color w:val="000000" w:themeColor="text1"/>
        </w:rPr>
        <w:t xml:space="preserve"> submit an environment plan for a component activity of an offshore project unless NOPSEMA has accepted an OPP for the project that provides for the activity.</w:t>
      </w:r>
    </w:p>
    <w:p w14:paraId="28FEA7CD" w14:textId="263B9D01" w:rsidR="00865581" w:rsidRPr="00F670B6" w:rsidRDefault="002F0F80" w:rsidP="00DC457C">
      <w:pPr>
        <w:spacing w:before="120" w:after="120" w:line="276" w:lineRule="auto"/>
        <w:ind w:right="357"/>
        <w:rPr>
          <w:rFonts w:cstheme="minorHAnsi"/>
          <w:color w:val="000000" w:themeColor="text1"/>
        </w:rPr>
      </w:pPr>
      <w:r w:rsidRPr="00F670B6">
        <w:rPr>
          <w:rFonts w:cstheme="minorHAnsi"/>
          <w:color w:val="000000"/>
        </w:rPr>
        <w:t>T</w:t>
      </w:r>
      <w:r w:rsidR="00865581" w:rsidRPr="00F670B6">
        <w:rPr>
          <w:rFonts w:cstheme="minorHAnsi"/>
          <w:color w:val="000000"/>
        </w:rPr>
        <w:t>he OPP framework replaces previous requirement</w:t>
      </w:r>
      <w:r w:rsidRPr="00F670B6">
        <w:rPr>
          <w:rFonts w:cstheme="minorHAnsi"/>
          <w:color w:val="000000"/>
        </w:rPr>
        <w:t>s</w:t>
      </w:r>
      <w:r w:rsidR="00865581" w:rsidRPr="00F670B6">
        <w:rPr>
          <w:rFonts w:cstheme="minorHAnsi"/>
          <w:color w:val="000000"/>
        </w:rPr>
        <w:t xml:space="preserve"> to refer an o</w:t>
      </w:r>
      <w:r w:rsidR="00BF334F" w:rsidRPr="00F670B6">
        <w:rPr>
          <w:rFonts w:cstheme="minorHAnsi"/>
          <w:color w:val="000000"/>
        </w:rPr>
        <w:t>ffshore project to the Minister </w:t>
      </w:r>
      <w:r w:rsidR="00865581" w:rsidRPr="00F670B6">
        <w:rPr>
          <w:rFonts w:cstheme="minorHAnsi"/>
          <w:color w:val="000000"/>
        </w:rPr>
        <w:t xml:space="preserve">for the Environment for assessment and approval under the </w:t>
      </w:r>
      <w:r w:rsidR="001129B7" w:rsidRPr="00F670B6">
        <w:rPr>
          <w:rFonts w:cstheme="minorHAnsi"/>
        </w:rPr>
        <w:t>EPBC Act.</w:t>
      </w:r>
    </w:p>
    <w:p w14:paraId="1C7D1728" w14:textId="77777777" w:rsidR="00366289" w:rsidRPr="00F670B6" w:rsidRDefault="00366289" w:rsidP="00BF7E8E">
      <w:pPr>
        <w:pStyle w:val="Heading6"/>
      </w:pPr>
      <w:bookmarkStart w:id="518" w:name="_Toc475358984"/>
      <w:bookmarkStart w:id="519" w:name="_Toc479771019"/>
      <w:bookmarkStart w:id="520" w:name="_Toc479778790"/>
      <w:bookmarkStart w:id="521" w:name="_Toc479845305"/>
      <w:bookmarkStart w:id="522" w:name="_Toc482364391"/>
      <w:bookmarkStart w:id="523" w:name="_Toc486939367"/>
      <w:bookmarkStart w:id="524" w:name="_Toc486950265"/>
      <w:bookmarkStart w:id="525" w:name="_Toc486956462"/>
      <w:bookmarkStart w:id="526" w:name="_Toc489460866"/>
      <w:r w:rsidRPr="00F670B6">
        <w:lastRenderedPageBreak/>
        <w:t>Operator</w:t>
      </w:r>
      <w:bookmarkEnd w:id="518"/>
      <w:bookmarkEnd w:id="519"/>
      <w:bookmarkEnd w:id="520"/>
      <w:bookmarkEnd w:id="521"/>
      <w:bookmarkEnd w:id="522"/>
      <w:bookmarkEnd w:id="523"/>
      <w:bookmarkEnd w:id="524"/>
      <w:bookmarkEnd w:id="525"/>
      <w:bookmarkEnd w:id="526"/>
    </w:p>
    <w:p w14:paraId="69F42C45" w14:textId="79930FB1" w:rsidR="006F1E42" w:rsidRPr="00F670B6" w:rsidRDefault="00342CC5" w:rsidP="00DC457C">
      <w:pPr>
        <w:pStyle w:val="Default"/>
        <w:keepNext/>
        <w:keepLines/>
        <w:spacing w:before="120" w:after="120" w:line="276" w:lineRule="auto"/>
        <w:rPr>
          <w:rFonts w:asciiTheme="minorHAnsi" w:hAnsiTheme="minorHAnsi" w:cstheme="minorHAnsi"/>
          <w:color w:val="auto"/>
          <w:sz w:val="22"/>
          <w:szCs w:val="22"/>
        </w:rPr>
      </w:pPr>
      <w:r w:rsidRPr="00F670B6">
        <w:rPr>
          <w:rFonts w:asciiTheme="minorHAnsi" w:hAnsiTheme="minorHAnsi" w:cstheme="minorHAnsi"/>
          <w:sz w:val="22"/>
          <w:szCs w:val="22"/>
        </w:rPr>
        <w:t>For the purposes of the Safety Regulations, t</w:t>
      </w:r>
      <w:r w:rsidR="00865581" w:rsidRPr="00F670B6">
        <w:rPr>
          <w:rFonts w:asciiTheme="minorHAnsi" w:hAnsiTheme="minorHAnsi" w:cstheme="minorHAnsi"/>
          <w:sz w:val="22"/>
          <w:szCs w:val="22"/>
        </w:rPr>
        <w:t xml:space="preserve">he </w:t>
      </w:r>
      <w:r w:rsidR="00865581" w:rsidRPr="00F670B6">
        <w:rPr>
          <w:rFonts w:asciiTheme="minorHAnsi" w:hAnsiTheme="minorHAnsi" w:cstheme="minorHAnsi"/>
          <w:color w:val="auto"/>
          <w:sz w:val="22"/>
          <w:szCs w:val="22"/>
        </w:rPr>
        <w:t>operator</w:t>
      </w:r>
      <w:r w:rsidRPr="00F670B6">
        <w:rPr>
          <w:rFonts w:asciiTheme="minorHAnsi" w:hAnsiTheme="minorHAnsi" w:cstheme="minorHAnsi"/>
          <w:color w:val="auto"/>
          <w:sz w:val="22"/>
          <w:szCs w:val="22"/>
        </w:rPr>
        <w:t xml:space="preserve"> with respect to</w:t>
      </w:r>
      <w:r w:rsidR="00865581" w:rsidRPr="00F670B6">
        <w:rPr>
          <w:rFonts w:asciiTheme="minorHAnsi" w:hAnsiTheme="minorHAnsi" w:cstheme="minorHAnsi"/>
          <w:color w:val="auto"/>
          <w:sz w:val="22"/>
          <w:szCs w:val="22"/>
        </w:rPr>
        <w:t xml:space="preserve"> a facility is the person</w:t>
      </w:r>
      <w:r w:rsidR="002F0F80" w:rsidRPr="00F670B6">
        <w:rPr>
          <w:rFonts w:asciiTheme="minorHAnsi" w:hAnsiTheme="minorHAnsi" w:cstheme="minorHAnsi"/>
          <w:color w:val="auto"/>
          <w:sz w:val="22"/>
          <w:szCs w:val="22"/>
        </w:rPr>
        <w:t xml:space="preserve"> (including a corporate entity</w:t>
      </w:r>
      <w:r w:rsidR="00865581" w:rsidRPr="00F670B6">
        <w:rPr>
          <w:rFonts w:asciiTheme="minorHAnsi" w:hAnsiTheme="minorHAnsi" w:cstheme="minorHAnsi"/>
          <w:color w:val="auto"/>
          <w:sz w:val="22"/>
          <w:szCs w:val="22"/>
        </w:rPr>
        <w:t>)</w:t>
      </w:r>
      <w:r w:rsidR="006F1E42" w:rsidRPr="00F670B6">
        <w:rPr>
          <w:rFonts w:asciiTheme="minorHAnsi" w:hAnsiTheme="minorHAnsi" w:cstheme="minorHAnsi"/>
          <w:color w:val="auto"/>
          <w:sz w:val="22"/>
          <w:szCs w:val="22"/>
        </w:rPr>
        <w:t xml:space="preserve"> </w:t>
      </w:r>
      <w:r w:rsidRPr="00F670B6">
        <w:rPr>
          <w:rFonts w:asciiTheme="minorHAnsi" w:hAnsiTheme="minorHAnsi" w:cstheme="minorHAnsi"/>
          <w:color w:val="auto"/>
          <w:sz w:val="22"/>
          <w:szCs w:val="22"/>
        </w:rPr>
        <w:t>with</w:t>
      </w:r>
      <w:r w:rsidR="006F1E42" w:rsidRPr="00F670B6">
        <w:rPr>
          <w:rFonts w:asciiTheme="minorHAnsi" w:hAnsiTheme="minorHAnsi" w:cstheme="minorHAnsi"/>
          <w:color w:val="auto"/>
          <w:sz w:val="22"/>
          <w:szCs w:val="22"/>
        </w:rPr>
        <w:t xml:space="preserve"> day-to-day management and control of </w:t>
      </w:r>
      <w:r w:rsidR="00865581" w:rsidRPr="00F670B6">
        <w:rPr>
          <w:rFonts w:asciiTheme="minorHAnsi" w:hAnsiTheme="minorHAnsi" w:cstheme="minorHAnsi"/>
          <w:color w:val="auto"/>
          <w:sz w:val="22"/>
          <w:szCs w:val="22"/>
        </w:rPr>
        <w:t>the facility and its operation</w:t>
      </w:r>
      <w:r w:rsidRPr="00F670B6">
        <w:rPr>
          <w:rFonts w:asciiTheme="minorHAnsi" w:hAnsiTheme="minorHAnsi" w:cstheme="minorHAnsi"/>
          <w:color w:val="auto"/>
          <w:sz w:val="22"/>
          <w:szCs w:val="22"/>
        </w:rPr>
        <w:t>s</w:t>
      </w:r>
      <w:r w:rsidR="00A4093D" w:rsidRPr="00F670B6">
        <w:rPr>
          <w:rFonts w:asciiTheme="minorHAnsi" w:hAnsiTheme="minorHAnsi" w:cstheme="minorHAnsi"/>
          <w:color w:val="auto"/>
          <w:sz w:val="22"/>
          <w:szCs w:val="22"/>
        </w:rPr>
        <w:t xml:space="preserve">. </w:t>
      </w:r>
      <w:r w:rsidRPr="00F670B6">
        <w:rPr>
          <w:rFonts w:asciiTheme="minorHAnsi" w:hAnsiTheme="minorHAnsi" w:cstheme="minorHAnsi"/>
          <w:color w:val="auto"/>
          <w:sz w:val="22"/>
          <w:szCs w:val="22"/>
        </w:rPr>
        <w:t>Operators are registered by NOPSEMA under the Safety Regulations.</w:t>
      </w:r>
      <w:r w:rsidR="002F0F80" w:rsidRPr="00F670B6">
        <w:rPr>
          <w:rFonts w:asciiTheme="minorHAnsi" w:hAnsiTheme="minorHAnsi" w:cstheme="minorHAnsi"/>
          <w:color w:val="auto"/>
          <w:sz w:val="22"/>
          <w:szCs w:val="22"/>
        </w:rPr>
        <w:t xml:space="preserve"> </w:t>
      </w:r>
    </w:p>
    <w:p w14:paraId="72556459" w14:textId="51F78DB0" w:rsidR="002F0F80" w:rsidRPr="00F670B6" w:rsidRDefault="002F0F80" w:rsidP="00DC457C">
      <w:pPr>
        <w:pStyle w:val="Default"/>
        <w:keepNext/>
        <w:keepLines/>
        <w:spacing w:before="120" w:after="120" w:line="276" w:lineRule="auto"/>
        <w:rPr>
          <w:rFonts w:asciiTheme="minorHAnsi" w:hAnsiTheme="minorHAnsi" w:cstheme="minorHAnsi"/>
          <w:sz w:val="22"/>
          <w:szCs w:val="22"/>
        </w:rPr>
      </w:pPr>
      <w:r w:rsidRPr="00F670B6">
        <w:rPr>
          <w:rFonts w:asciiTheme="minorHAnsi" w:hAnsiTheme="minorHAnsi" w:cstheme="minorHAnsi"/>
          <w:sz w:val="22"/>
          <w:szCs w:val="22"/>
        </w:rPr>
        <w:t>Under the Safety Regulations, it is an offence to carry out work at a facility or part of the facility unless there is an operator in respect of the facility.</w:t>
      </w:r>
    </w:p>
    <w:p w14:paraId="128AD739" w14:textId="47DA0BDB" w:rsidR="00ED49DF" w:rsidRPr="00F670B6" w:rsidRDefault="00ED49DF" w:rsidP="00F670B6">
      <w:pPr>
        <w:pStyle w:val="Heading6"/>
      </w:pPr>
      <w:bookmarkStart w:id="527" w:name="_Toc486939368"/>
      <w:bookmarkStart w:id="528" w:name="_Toc486950266"/>
      <w:bookmarkStart w:id="529" w:name="_Toc486956463"/>
      <w:bookmarkStart w:id="530" w:name="_Toc489460867"/>
      <w:r w:rsidRPr="00F670B6">
        <w:t>Permissioning document</w:t>
      </w:r>
      <w:bookmarkEnd w:id="527"/>
      <w:bookmarkEnd w:id="528"/>
      <w:bookmarkEnd w:id="529"/>
      <w:bookmarkEnd w:id="530"/>
    </w:p>
    <w:p w14:paraId="32D6FEFB" w14:textId="70693B8C" w:rsidR="004A34D7" w:rsidRPr="00F670B6" w:rsidRDefault="00ED49DF" w:rsidP="00B10E21">
      <w:pPr>
        <w:spacing w:before="120" w:after="120" w:line="276" w:lineRule="auto"/>
        <w:rPr>
          <w:rFonts w:cstheme="minorHAnsi"/>
        </w:rPr>
      </w:pPr>
      <w:r w:rsidRPr="00F670B6">
        <w:rPr>
          <w:rFonts w:cstheme="minorHAnsi"/>
        </w:rPr>
        <w:t xml:space="preserve">A permissioning document is a document </w:t>
      </w:r>
      <w:r w:rsidR="00B10E21" w:rsidRPr="00F670B6">
        <w:rPr>
          <w:rFonts w:cstheme="minorHAnsi"/>
        </w:rPr>
        <w:t>prepared and</w:t>
      </w:r>
      <w:r w:rsidRPr="00F670B6">
        <w:rPr>
          <w:rFonts w:cstheme="minorHAnsi"/>
        </w:rPr>
        <w:t xml:space="preserve"> submitted by a </w:t>
      </w:r>
      <w:r w:rsidR="004A34D7" w:rsidRPr="00F670B6">
        <w:rPr>
          <w:rFonts w:cstheme="minorHAnsi"/>
        </w:rPr>
        <w:t>titleholder or operator</w:t>
      </w:r>
      <w:r w:rsidR="00BF334F" w:rsidRPr="00F670B6">
        <w:rPr>
          <w:rFonts w:cstheme="minorHAnsi"/>
        </w:rPr>
        <w:t xml:space="preserve"> (as </w:t>
      </w:r>
      <w:r w:rsidR="00053D99" w:rsidRPr="00F670B6">
        <w:rPr>
          <w:rFonts w:cstheme="minorHAnsi"/>
        </w:rPr>
        <w:t>applicable)</w:t>
      </w:r>
      <w:r w:rsidR="004A34D7" w:rsidRPr="00F670B6">
        <w:rPr>
          <w:rFonts w:cstheme="minorHAnsi"/>
        </w:rPr>
        <w:t xml:space="preserve"> for assessment and acceptance</w:t>
      </w:r>
      <w:r w:rsidR="00A4093D" w:rsidRPr="00F670B6">
        <w:rPr>
          <w:rFonts w:cstheme="minorHAnsi"/>
        </w:rPr>
        <w:t xml:space="preserve">. </w:t>
      </w:r>
      <w:r w:rsidR="004A34D7" w:rsidRPr="00F670B6">
        <w:rPr>
          <w:rFonts w:cstheme="minorHAnsi"/>
        </w:rPr>
        <w:t xml:space="preserve">The approval of </w:t>
      </w:r>
      <w:r w:rsidR="00B10E21" w:rsidRPr="00F670B6">
        <w:rPr>
          <w:rFonts w:cstheme="minorHAnsi"/>
        </w:rPr>
        <w:t>these</w:t>
      </w:r>
      <w:r w:rsidR="004A34D7" w:rsidRPr="00F670B6">
        <w:rPr>
          <w:rFonts w:cstheme="minorHAnsi"/>
        </w:rPr>
        <w:t xml:space="preserve"> documents (generally by NOPSEMA or </w:t>
      </w:r>
      <w:r w:rsidR="002F0F80" w:rsidRPr="00F670B6">
        <w:rPr>
          <w:rFonts w:cstheme="minorHAnsi"/>
        </w:rPr>
        <w:t xml:space="preserve">by </w:t>
      </w:r>
      <w:r w:rsidR="00053D99" w:rsidRPr="00F670B6">
        <w:rPr>
          <w:rFonts w:cstheme="minorHAnsi"/>
        </w:rPr>
        <w:t>the Joint Authority</w:t>
      </w:r>
      <w:r w:rsidR="004A34D7" w:rsidRPr="00F670B6">
        <w:rPr>
          <w:rFonts w:cstheme="minorHAnsi"/>
        </w:rPr>
        <w:t xml:space="preserve">) provides the duty holder with permission to undertake the activity or activities described therein, in accordance with the accepted document. </w:t>
      </w:r>
    </w:p>
    <w:p w14:paraId="30E1D1EE" w14:textId="5FCBB033" w:rsidR="00B10E21" w:rsidRPr="00F670B6" w:rsidRDefault="004A34D7" w:rsidP="00B10E21">
      <w:pPr>
        <w:spacing w:before="120" w:after="120" w:line="276" w:lineRule="auto"/>
        <w:rPr>
          <w:rFonts w:cstheme="minorHAnsi"/>
        </w:rPr>
      </w:pPr>
      <w:r w:rsidRPr="00F670B6">
        <w:rPr>
          <w:rFonts w:cstheme="minorHAnsi"/>
        </w:rPr>
        <w:t>Permissioning documents are eff</w:t>
      </w:r>
      <w:r w:rsidR="00B10E21" w:rsidRPr="00F670B6">
        <w:rPr>
          <w:rFonts w:cstheme="minorHAnsi"/>
        </w:rPr>
        <w:t xml:space="preserve">ectively risk management </w:t>
      </w:r>
      <w:proofErr w:type="gramStart"/>
      <w:r w:rsidR="00B10E21" w:rsidRPr="00F670B6">
        <w:rPr>
          <w:rFonts w:cstheme="minorHAnsi"/>
        </w:rPr>
        <w:t>plans, and</w:t>
      </w:r>
      <w:proofErr w:type="gramEnd"/>
      <w:r w:rsidR="00B10E21" w:rsidRPr="00F670B6">
        <w:rPr>
          <w:rFonts w:cstheme="minorHAnsi"/>
        </w:rPr>
        <w:t xml:space="preserve"> allow relevant agencies to assess the measures proposed by the duty holder to, among other matters, reduce impacts and risks associated with their activities to as low as reasonably practicable (ALARP) and to acceptable levels</w:t>
      </w:r>
      <w:r w:rsidR="00F22B8F">
        <w:rPr>
          <w:rFonts w:cstheme="minorHAnsi"/>
        </w:rPr>
        <w:t xml:space="preserve"> (for environmental management)</w:t>
      </w:r>
      <w:r w:rsidR="00B10E21" w:rsidRPr="00F670B6">
        <w:rPr>
          <w:rFonts w:cstheme="minorHAnsi"/>
        </w:rPr>
        <w:t>.</w:t>
      </w:r>
    </w:p>
    <w:p w14:paraId="69A163D9" w14:textId="34440C9E" w:rsidR="00ED49DF" w:rsidRPr="00F670B6" w:rsidRDefault="00ED49DF" w:rsidP="00B10E21">
      <w:pPr>
        <w:spacing w:before="120" w:after="120" w:line="276" w:lineRule="auto"/>
        <w:rPr>
          <w:rFonts w:cstheme="minorHAnsi"/>
        </w:rPr>
      </w:pPr>
      <w:r w:rsidRPr="00F670B6">
        <w:rPr>
          <w:rFonts w:cstheme="minorHAnsi"/>
        </w:rPr>
        <w:t>Permissioning documents</w:t>
      </w:r>
      <w:r w:rsidR="00B10E21" w:rsidRPr="00F670B6">
        <w:rPr>
          <w:rFonts w:cstheme="minorHAnsi"/>
        </w:rPr>
        <w:t xml:space="preserve"> </w:t>
      </w:r>
      <w:r w:rsidRPr="00F670B6">
        <w:rPr>
          <w:rFonts w:cstheme="minorHAnsi"/>
        </w:rPr>
        <w:t xml:space="preserve">submitted to and approved by NOPSEMA include the </w:t>
      </w:r>
      <w:r w:rsidR="001129B7" w:rsidRPr="00F670B6">
        <w:rPr>
          <w:rFonts w:cstheme="minorHAnsi"/>
        </w:rPr>
        <w:t xml:space="preserve">OPP, </w:t>
      </w:r>
      <w:r w:rsidR="00BF334F" w:rsidRPr="00F670B6">
        <w:rPr>
          <w:rFonts w:cstheme="minorHAnsi"/>
        </w:rPr>
        <w:t>environment </w:t>
      </w:r>
      <w:r w:rsidRPr="00F670B6">
        <w:rPr>
          <w:rFonts w:cstheme="minorHAnsi"/>
        </w:rPr>
        <w:t xml:space="preserve">plan, safety case, </w:t>
      </w:r>
      <w:r w:rsidR="004A34D7" w:rsidRPr="00F670B6">
        <w:rPr>
          <w:rFonts w:cstheme="minorHAnsi"/>
        </w:rPr>
        <w:t>and well operations management plan (WOMP)</w:t>
      </w:r>
      <w:r w:rsidR="00A4093D" w:rsidRPr="00F670B6">
        <w:rPr>
          <w:rFonts w:cstheme="minorHAnsi"/>
        </w:rPr>
        <w:t xml:space="preserve">. </w:t>
      </w:r>
      <w:r w:rsidR="00B10E21" w:rsidRPr="00F670B6">
        <w:rPr>
          <w:rFonts w:cstheme="minorHAnsi"/>
        </w:rPr>
        <w:t>The field development plan</w:t>
      </w:r>
      <w:r w:rsidR="004A34D7" w:rsidRPr="00F670B6">
        <w:rPr>
          <w:rFonts w:cstheme="minorHAnsi"/>
        </w:rPr>
        <w:t xml:space="preserve"> </w:t>
      </w:r>
      <w:r w:rsidR="00B10E21" w:rsidRPr="00F670B6">
        <w:rPr>
          <w:rFonts w:cstheme="minorHAnsi"/>
        </w:rPr>
        <w:t>is the key permissioning document submitted to NOPTA</w:t>
      </w:r>
      <w:r w:rsidR="00F22B8F">
        <w:rPr>
          <w:rFonts w:cstheme="minorHAnsi"/>
        </w:rPr>
        <w:t>,</w:t>
      </w:r>
      <w:r w:rsidR="00B10E21" w:rsidRPr="00F670B6">
        <w:rPr>
          <w:rFonts w:cstheme="minorHAnsi"/>
        </w:rPr>
        <w:t xml:space="preserve"> for acceptance by the Joint Authority.</w:t>
      </w:r>
    </w:p>
    <w:p w14:paraId="59EDE17E" w14:textId="77777777" w:rsidR="00366289" w:rsidRPr="00F670B6" w:rsidRDefault="00366289" w:rsidP="00DC457C">
      <w:pPr>
        <w:pStyle w:val="Heading6"/>
        <w:keepNext w:val="0"/>
        <w:keepLines w:val="0"/>
      </w:pPr>
      <w:bookmarkStart w:id="531" w:name="_Toc475358985"/>
      <w:bookmarkStart w:id="532" w:name="_Toc479771020"/>
      <w:bookmarkStart w:id="533" w:name="_Toc479778791"/>
      <w:bookmarkStart w:id="534" w:name="_Toc479845306"/>
      <w:bookmarkStart w:id="535" w:name="_Toc482364392"/>
      <w:bookmarkStart w:id="536" w:name="_Toc486939369"/>
      <w:bookmarkStart w:id="537" w:name="_Toc486950267"/>
      <w:bookmarkStart w:id="538" w:name="_Toc486956464"/>
      <w:bookmarkStart w:id="539" w:name="_Toc489460868"/>
      <w:r w:rsidRPr="00F670B6">
        <w:t>Petroleum</w:t>
      </w:r>
      <w:bookmarkEnd w:id="531"/>
      <w:bookmarkEnd w:id="532"/>
      <w:bookmarkEnd w:id="533"/>
      <w:bookmarkEnd w:id="534"/>
      <w:bookmarkEnd w:id="535"/>
      <w:bookmarkEnd w:id="536"/>
      <w:bookmarkEnd w:id="537"/>
      <w:bookmarkEnd w:id="538"/>
      <w:bookmarkEnd w:id="539"/>
    </w:p>
    <w:p w14:paraId="3FF80093" w14:textId="4FF8EDF6" w:rsidR="00342CC5" w:rsidRPr="00F670B6" w:rsidRDefault="00E60C61" w:rsidP="00DC457C">
      <w:pPr>
        <w:shd w:val="clear" w:color="auto" w:fill="FFFFFF" w:themeFill="background1"/>
        <w:spacing w:before="120" w:after="120" w:line="276" w:lineRule="auto"/>
        <w:ind w:right="181"/>
        <w:rPr>
          <w:rFonts w:cstheme="minorHAnsi"/>
        </w:rPr>
      </w:pPr>
      <w:r w:rsidRPr="00F670B6">
        <w:rPr>
          <w:rFonts w:cstheme="minorHAnsi"/>
        </w:rPr>
        <w:t>Under the OPGGS Act, petroleum is:</w:t>
      </w:r>
    </w:p>
    <w:p w14:paraId="2E41D115" w14:textId="77369428" w:rsidR="006F1E42" w:rsidRPr="00F670B6" w:rsidRDefault="00342CC5"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a</w:t>
      </w:r>
      <w:r w:rsidR="006F1E42" w:rsidRPr="00F670B6">
        <w:rPr>
          <w:rFonts w:cstheme="minorHAnsi"/>
        </w:rPr>
        <w:t>ny naturally occurring hydrocarbon</w:t>
      </w:r>
      <w:r w:rsidRPr="00F670B6">
        <w:rPr>
          <w:rFonts w:cstheme="minorHAnsi"/>
        </w:rPr>
        <w:t xml:space="preserve">, whether in a gaseous, </w:t>
      </w:r>
      <w:proofErr w:type="gramStart"/>
      <w:r w:rsidRPr="00F670B6">
        <w:rPr>
          <w:rFonts w:cstheme="minorHAnsi"/>
        </w:rPr>
        <w:t>liquid</w:t>
      </w:r>
      <w:proofErr w:type="gramEnd"/>
      <w:r w:rsidRPr="00F670B6">
        <w:rPr>
          <w:rFonts w:cstheme="minorHAnsi"/>
        </w:rPr>
        <w:t xml:space="preserve"> or solid state; or</w:t>
      </w:r>
    </w:p>
    <w:p w14:paraId="626F74C5" w14:textId="74D02456" w:rsidR="00342CC5" w:rsidRPr="00F670B6" w:rsidRDefault="00342CC5"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 xml:space="preserve">any naturally occurring mix of hydrocarbons, whether in a gaseous, </w:t>
      </w:r>
      <w:proofErr w:type="gramStart"/>
      <w:r w:rsidRPr="00F670B6">
        <w:rPr>
          <w:rFonts w:cstheme="minorHAnsi"/>
        </w:rPr>
        <w:t>liquid</w:t>
      </w:r>
      <w:proofErr w:type="gramEnd"/>
      <w:r w:rsidRPr="00F670B6">
        <w:rPr>
          <w:rFonts w:cstheme="minorHAnsi"/>
        </w:rPr>
        <w:t xml:space="preserve"> or solid state; or</w:t>
      </w:r>
    </w:p>
    <w:p w14:paraId="16947588" w14:textId="3A5A1FC8" w:rsidR="00342CC5" w:rsidRPr="00F670B6" w:rsidRDefault="00342CC5"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any naturally occurring mixture of:</w:t>
      </w:r>
    </w:p>
    <w:p w14:paraId="06C7CEED" w14:textId="1E126296" w:rsidR="00342CC5" w:rsidRPr="00F670B6" w:rsidRDefault="00342CC5"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 xml:space="preserve">one or more hydrocarbons, whether in a gaseous, </w:t>
      </w:r>
      <w:proofErr w:type="gramStart"/>
      <w:r w:rsidRPr="00F670B6">
        <w:rPr>
          <w:rFonts w:cstheme="minorHAnsi"/>
        </w:rPr>
        <w:t>liquid</w:t>
      </w:r>
      <w:proofErr w:type="gramEnd"/>
      <w:r w:rsidRPr="00F670B6">
        <w:rPr>
          <w:rFonts w:cstheme="minorHAnsi"/>
        </w:rPr>
        <w:t xml:space="preserve"> or solid state; and</w:t>
      </w:r>
    </w:p>
    <w:p w14:paraId="6887FF8E" w14:textId="342398C6" w:rsidR="00342CC5" w:rsidRPr="00F670B6" w:rsidRDefault="00342CC5"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of hydrogen sulphide, nitr</w:t>
      </w:r>
      <w:r w:rsidR="00D40D19" w:rsidRPr="00F670B6">
        <w:rPr>
          <w:rFonts w:cstheme="minorHAnsi"/>
        </w:rPr>
        <w:t xml:space="preserve">ogen, </w:t>
      </w:r>
      <w:proofErr w:type="gramStart"/>
      <w:r w:rsidR="00D40D19" w:rsidRPr="00F670B6">
        <w:rPr>
          <w:rFonts w:cstheme="minorHAnsi"/>
        </w:rPr>
        <w:t>helium</w:t>
      </w:r>
      <w:proofErr w:type="gramEnd"/>
      <w:r w:rsidR="00D40D19" w:rsidRPr="00F670B6">
        <w:rPr>
          <w:rFonts w:cstheme="minorHAnsi"/>
        </w:rPr>
        <w:t xml:space="preserve"> and carbon dioxide; and</w:t>
      </w:r>
    </w:p>
    <w:p w14:paraId="59A1AC99" w14:textId="14572890" w:rsidR="00342CC5" w:rsidRPr="00F670B6" w:rsidRDefault="00342CC5"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inclu</w:t>
      </w:r>
      <w:r w:rsidR="00BD0642" w:rsidRPr="00F670B6">
        <w:rPr>
          <w:rFonts w:cstheme="minorHAnsi"/>
        </w:rPr>
        <w:t xml:space="preserve">des petroleum as defined by </w:t>
      </w:r>
      <w:r w:rsidRPr="00F670B6">
        <w:rPr>
          <w:rFonts w:cstheme="minorHAnsi"/>
        </w:rPr>
        <w:t>paragraphs</w:t>
      </w:r>
      <w:r w:rsidR="00BD0642" w:rsidRPr="00F670B6">
        <w:rPr>
          <w:rFonts w:cstheme="minorHAnsi"/>
        </w:rPr>
        <w:t xml:space="preserve"> (a), (b) or (c) </w:t>
      </w:r>
      <w:r w:rsidRPr="00F670B6">
        <w:rPr>
          <w:rFonts w:cstheme="minorHAnsi"/>
        </w:rPr>
        <w:t>that has been returned to a natural reservoir; and</w:t>
      </w:r>
    </w:p>
    <w:p w14:paraId="3112B481" w14:textId="6E4DCE67" w:rsidR="00342CC5" w:rsidRPr="00F670B6" w:rsidRDefault="00342CC5"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 xml:space="preserve">for the purposes of the </w:t>
      </w:r>
      <w:r w:rsidR="00BD0642" w:rsidRPr="00F670B6">
        <w:rPr>
          <w:rFonts w:cstheme="minorHAnsi"/>
        </w:rPr>
        <w:t>pipeline provisions, also includes any petroleum as defined by paragraphs (a), (b), (c) or (d), where:</w:t>
      </w:r>
    </w:p>
    <w:p w14:paraId="3713CD6A" w14:textId="14F87E2E"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things have been added</w:t>
      </w:r>
      <w:r w:rsidR="00BF334F" w:rsidRPr="00F670B6">
        <w:rPr>
          <w:rFonts w:cstheme="minorHAnsi"/>
        </w:rPr>
        <w:t>;</w:t>
      </w:r>
      <w:r w:rsidR="002A78FE" w:rsidRPr="00F670B6">
        <w:rPr>
          <w:rFonts w:cstheme="minorHAnsi"/>
        </w:rPr>
        <w:t xml:space="preserve"> or</w:t>
      </w:r>
    </w:p>
    <w:p w14:paraId="61919EB6" w14:textId="4B275A8C"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things have been wholly or partly removed, or both.</w:t>
      </w:r>
    </w:p>
    <w:p w14:paraId="37336E9D" w14:textId="60BD6364" w:rsidR="00BD0642" w:rsidRPr="00F670B6" w:rsidRDefault="00BD0642" w:rsidP="00A00029">
      <w:pPr>
        <w:pStyle w:val="ListParagraph"/>
        <w:numPr>
          <w:ilvl w:val="0"/>
          <w:numId w:val="2"/>
        </w:numPr>
        <w:shd w:val="clear" w:color="auto" w:fill="FFFFFF" w:themeFill="background1"/>
        <w:spacing w:before="60" w:after="60"/>
        <w:ind w:right="181"/>
        <w:contextualSpacing w:val="0"/>
        <w:rPr>
          <w:rFonts w:cstheme="minorHAnsi"/>
        </w:rPr>
      </w:pPr>
      <w:r w:rsidRPr="00F670B6">
        <w:rPr>
          <w:rFonts w:cstheme="minorHAnsi"/>
        </w:rPr>
        <w:t>for the purposes of the pipeline provisions, also includes any mixture that:</w:t>
      </w:r>
    </w:p>
    <w:p w14:paraId="55F98703" w14:textId="192C9881"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has been recovered from a well; and</w:t>
      </w:r>
    </w:p>
    <w:p w14:paraId="3AA6BD8B" w14:textId="2C55C678"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includes pe</w:t>
      </w:r>
      <w:r w:rsidR="001E798B" w:rsidRPr="00F670B6">
        <w:rPr>
          <w:rFonts w:cstheme="minorHAnsi"/>
        </w:rPr>
        <w:t>troleum as defined by paragraph</w:t>
      </w:r>
      <w:r w:rsidRPr="00F670B6">
        <w:rPr>
          <w:rFonts w:cstheme="minorHAnsi"/>
        </w:rPr>
        <w:t xml:space="preserve"> (a), (b), (c) or (d);</w:t>
      </w:r>
    </w:p>
    <w:p w14:paraId="76AEBD2F" w14:textId="462CDF47" w:rsidR="00BD0642" w:rsidRPr="00F670B6" w:rsidRDefault="00BD0642" w:rsidP="00DC457C">
      <w:pPr>
        <w:pStyle w:val="ListParagraph"/>
        <w:shd w:val="clear" w:color="auto" w:fill="FFFFFF" w:themeFill="background1"/>
        <w:spacing w:before="60" w:after="60"/>
        <w:ind w:right="181"/>
        <w:contextualSpacing w:val="0"/>
        <w:rPr>
          <w:rFonts w:cstheme="minorHAnsi"/>
        </w:rPr>
      </w:pPr>
      <w:r w:rsidRPr="00F670B6">
        <w:rPr>
          <w:rFonts w:cstheme="minorHAnsi"/>
        </w:rPr>
        <w:t>whether or not</w:t>
      </w:r>
    </w:p>
    <w:p w14:paraId="69E9B760" w14:textId="6C8E7C78"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things have been added; or</w:t>
      </w:r>
    </w:p>
    <w:p w14:paraId="704D9D0A" w14:textId="2AA57E56" w:rsidR="00BD0642" w:rsidRPr="00F670B6" w:rsidRDefault="00BD0642" w:rsidP="00A00029">
      <w:pPr>
        <w:pStyle w:val="ListParagraph"/>
        <w:numPr>
          <w:ilvl w:val="1"/>
          <w:numId w:val="2"/>
        </w:numPr>
        <w:shd w:val="clear" w:color="auto" w:fill="FFFFFF" w:themeFill="background1"/>
        <w:spacing w:before="60" w:after="60"/>
        <w:ind w:right="181"/>
        <w:contextualSpacing w:val="0"/>
        <w:rPr>
          <w:rFonts w:cstheme="minorHAnsi"/>
        </w:rPr>
      </w:pPr>
      <w:r w:rsidRPr="00F670B6">
        <w:rPr>
          <w:rFonts w:cstheme="minorHAnsi"/>
        </w:rPr>
        <w:t>one or more things hav</w:t>
      </w:r>
      <w:r w:rsidR="001129B7" w:rsidRPr="00F670B6">
        <w:rPr>
          <w:rFonts w:cstheme="minorHAnsi"/>
        </w:rPr>
        <w:t>e been wholly or partly removed</w:t>
      </w:r>
      <w:r w:rsidR="002F0F80" w:rsidRPr="00F670B6">
        <w:rPr>
          <w:rFonts w:cstheme="minorHAnsi"/>
        </w:rPr>
        <w:t>.</w:t>
      </w:r>
    </w:p>
    <w:p w14:paraId="0BF0A98F" w14:textId="53E070B1" w:rsidR="002F0F80" w:rsidRDefault="002F0F80" w:rsidP="00DC457C">
      <w:pPr>
        <w:pStyle w:val="ListParagraph"/>
        <w:shd w:val="clear" w:color="auto" w:fill="FFFFFF" w:themeFill="background1"/>
        <w:spacing w:before="60" w:after="60"/>
        <w:ind w:left="786" w:right="181"/>
        <w:contextualSpacing w:val="0"/>
        <w:rPr>
          <w:rFonts w:cstheme="minorHAnsi"/>
        </w:rPr>
      </w:pPr>
      <w:r w:rsidRPr="00F670B6">
        <w:rPr>
          <w:rFonts w:cstheme="minorHAnsi"/>
        </w:rPr>
        <w:t>or both.</w:t>
      </w:r>
    </w:p>
    <w:p w14:paraId="735AF946" w14:textId="78F30FE9" w:rsidR="00470E5F" w:rsidRPr="00F670B6" w:rsidRDefault="00470E5F" w:rsidP="00F670B6">
      <w:pPr>
        <w:pStyle w:val="Heading6"/>
      </w:pPr>
      <w:bookmarkStart w:id="540" w:name="_Toc475358986"/>
      <w:bookmarkStart w:id="541" w:name="_Toc479771021"/>
      <w:bookmarkStart w:id="542" w:name="_Toc479778792"/>
      <w:bookmarkStart w:id="543" w:name="_Toc479845307"/>
      <w:bookmarkStart w:id="544" w:name="_Toc482364393"/>
      <w:bookmarkStart w:id="545" w:name="_Toc486939370"/>
      <w:bookmarkStart w:id="546" w:name="_Toc486950268"/>
      <w:bookmarkStart w:id="547" w:name="_Toc486956465"/>
      <w:bookmarkStart w:id="548" w:name="_Toc489460869"/>
      <w:r w:rsidRPr="00F670B6">
        <w:lastRenderedPageBreak/>
        <w:t>Petroleum activity</w:t>
      </w:r>
      <w:bookmarkEnd w:id="540"/>
      <w:bookmarkEnd w:id="541"/>
      <w:bookmarkEnd w:id="542"/>
      <w:bookmarkEnd w:id="543"/>
      <w:bookmarkEnd w:id="544"/>
      <w:bookmarkEnd w:id="545"/>
      <w:bookmarkEnd w:id="546"/>
      <w:bookmarkEnd w:id="547"/>
      <w:bookmarkEnd w:id="548"/>
    </w:p>
    <w:p w14:paraId="1F07BCD9" w14:textId="59578007" w:rsidR="00470E5F" w:rsidRPr="00F670B6" w:rsidRDefault="00470E5F" w:rsidP="00D40D19">
      <w:pPr>
        <w:pStyle w:val="Default"/>
        <w:spacing w:before="120" w:after="120" w:line="276" w:lineRule="auto"/>
        <w:rPr>
          <w:rFonts w:asciiTheme="minorHAnsi" w:hAnsiTheme="minorHAnsi" w:cstheme="minorHAnsi"/>
          <w:sz w:val="22"/>
          <w:szCs w:val="22"/>
        </w:rPr>
      </w:pPr>
      <w:r w:rsidRPr="00F670B6">
        <w:rPr>
          <w:rFonts w:asciiTheme="minorHAnsi" w:hAnsiTheme="minorHAnsi" w:cstheme="minorHAnsi"/>
          <w:sz w:val="22"/>
          <w:szCs w:val="22"/>
        </w:rPr>
        <w:t xml:space="preserve">Under the </w:t>
      </w:r>
      <w:r w:rsidR="001129B7" w:rsidRPr="00F670B6">
        <w:rPr>
          <w:rFonts w:asciiTheme="minorHAnsi" w:hAnsiTheme="minorHAnsi" w:cstheme="minorHAnsi"/>
          <w:sz w:val="22"/>
          <w:szCs w:val="22"/>
        </w:rPr>
        <w:t>Environment Regulations</w:t>
      </w:r>
      <w:r w:rsidRPr="00F670B6">
        <w:rPr>
          <w:rFonts w:asciiTheme="minorHAnsi" w:hAnsiTheme="minorHAnsi" w:cstheme="minorHAnsi"/>
          <w:sz w:val="22"/>
          <w:szCs w:val="22"/>
        </w:rPr>
        <w:t xml:space="preserve">, operations or works in an offshore area undertaken for the purpose of (a) exercising a right conferred on a petroleum titleholder under the </w:t>
      </w:r>
      <w:r w:rsidR="001129B7" w:rsidRPr="00F670B6">
        <w:rPr>
          <w:rFonts w:asciiTheme="minorHAnsi" w:hAnsiTheme="minorHAnsi" w:cstheme="minorHAnsi"/>
          <w:sz w:val="22"/>
          <w:szCs w:val="22"/>
        </w:rPr>
        <w:t xml:space="preserve">OPGGS </w:t>
      </w:r>
      <w:r w:rsidRPr="00F670B6">
        <w:rPr>
          <w:rFonts w:asciiTheme="minorHAnsi" w:hAnsiTheme="minorHAnsi" w:cstheme="minorHAnsi"/>
          <w:sz w:val="22"/>
          <w:szCs w:val="22"/>
        </w:rPr>
        <w:t>Act by a petroleum title or (b) discharging an obligation imposed on a petroleum titleholder by the</w:t>
      </w:r>
      <w:r w:rsidR="00B25E30">
        <w:rPr>
          <w:rFonts w:asciiTheme="minorHAnsi" w:hAnsiTheme="minorHAnsi" w:cstheme="minorHAnsi"/>
          <w:sz w:val="22"/>
          <w:szCs w:val="22"/>
        </w:rPr>
        <w:t xml:space="preserve"> OPGGS</w:t>
      </w:r>
      <w:r w:rsidRPr="00F670B6">
        <w:rPr>
          <w:rFonts w:asciiTheme="minorHAnsi" w:hAnsiTheme="minorHAnsi" w:cstheme="minorHAnsi"/>
          <w:sz w:val="22"/>
          <w:szCs w:val="22"/>
        </w:rPr>
        <w:t xml:space="preserve"> Act or a legislative instrument under the </w:t>
      </w:r>
      <w:r w:rsidR="001129B7" w:rsidRPr="00F670B6">
        <w:rPr>
          <w:rFonts w:asciiTheme="minorHAnsi" w:hAnsiTheme="minorHAnsi" w:cstheme="minorHAnsi"/>
          <w:sz w:val="22"/>
          <w:szCs w:val="22"/>
        </w:rPr>
        <w:t xml:space="preserve">OPGGS </w:t>
      </w:r>
      <w:r w:rsidRPr="00F670B6">
        <w:rPr>
          <w:rFonts w:asciiTheme="minorHAnsi" w:hAnsiTheme="minorHAnsi" w:cstheme="minorHAnsi"/>
          <w:sz w:val="22"/>
          <w:szCs w:val="22"/>
        </w:rPr>
        <w:t>Act.</w:t>
      </w:r>
    </w:p>
    <w:p w14:paraId="5ED03694" w14:textId="293E47CE" w:rsidR="00B23712" w:rsidRPr="00F670B6" w:rsidRDefault="00B23712">
      <w:pPr>
        <w:pStyle w:val="Heading6"/>
        <w:rPr>
          <w:b/>
        </w:rPr>
      </w:pPr>
      <w:r w:rsidRPr="00F670B6">
        <w:t>Related Person</w:t>
      </w:r>
    </w:p>
    <w:p w14:paraId="60DA2525" w14:textId="77777777" w:rsidR="00914F8C" w:rsidRPr="00FF27C5" w:rsidRDefault="00914F8C" w:rsidP="00FF27C5">
      <w:pPr>
        <w:spacing w:before="120" w:after="120" w:line="276" w:lineRule="auto"/>
        <w:rPr>
          <w:rFonts w:cstheme="minorHAnsi"/>
          <w:color w:val="000000" w:themeColor="text1"/>
        </w:rPr>
      </w:pPr>
      <w:r w:rsidRPr="00FF27C5">
        <w:rPr>
          <w:rFonts w:cstheme="minorHAnsi"/>
          <w:color w:val="000000" w:themeColor="text1"/>
        </w:rPr>
        <w:t xml:space="preserve">Under sections 586, 586A, 587 and 587A of the OPGGS Act, a person other than the current or former titleholder or a related body corporate of a current or former titleholder can also be given a remedial direction by NOPSEMA and the responsible Commonwealth Minister; for the purposes of this </w:t>
      </w:r>
      <w:proofErr w:type="gramStart"/>
      <w:r w:rsidRPr="00FF27C5">
        <w:rPr>
          <w:rFonts w:cstheme="minorHAnsi"/>
          <w:color w:val="000000" w:themeColor="text1"/>
        </w:rPr>
        <w:t>guideline</w:t>
      </w:r>
      <w:proofErr w:type="gramEnd"/>
      <w:r w:rsidRPr="00FF27C5">
        <w:rPr>
          <w:rFonts w:cstheme="minorHAnsi"/>
          <w:color w:val="000000" w:themeColor="text1"/>
        </w:rPr>
        <w:t xml:space="preserve"> we will refer to these people as ‘related persons’.</w:t>
      </w:r>
    </w:p>
    <w:p w14:paraId="2BCFF24E" w14:textId="77777777" w:rsidR="00914F8C" w:rsidRPr="00FF27C5" w:rsidRDefault="00160277" w:rsidP="00FF27C5">
      <w:pPr>
        <w:spacing w:before="120" w:after="120" w:line="276" w:lineRule="auto"/>
        <w:rPr>
          <w:rFonts w:cstheme="minorHAnsi"/>
          <w:color w:val="000000" w:themeColor="text1"/>
        </w:rPr>
      </w:pPr>
      <w:r w:rsidRPr="00FF27C5">
        <w:rPr>
          <w:rFonts w:cstheme="minorHAnsi"/>
          <w:color w:val="000000" w:themeColor="text1"/>
        </w:rPr>
        <w:t xml:space="preserve">A ‘related person’ </w:t>
      </w:r>
      <w:r w:rsidR="005761D5" w:rsidRPr="00FF27C5">
        <w:rPr>
          <w:rFonts w:cstheme="minorHAnsi"/>
          <w:color w:val="000000" w:themeColor="text1"/>
        </w:rPr>
        <w:t xml:space="preserve">is a person who the </w:t>
      </w:r>
      <w:r w:rsidR="00867A78" w:rsidRPr="00FF27C5">
        <w:rPr>
          <w:rFonts w:cstheme="minorHAnsi"/>
          <w:color w:val="000000" w:themeColor="text1"/>
        </w:rPr>
        <w:t>responsible Commonwealth Minister determines</w:t>
      </w:r>
      <w:r w:rsidR="00B819AA" w:rsidRPr="00FF27C5">
        <w:rPr>
          <w:rFonts w:cstheme="minorHAnsi"/>
          <w:color w:val="000000" w:themeColor="text1"/>
        </w:rPr>
        <w:t xml:space="preserve"> </w:t>
      </w:r>
      <w:r w:rsidR="009C52B9" w:rsidRPr="00FF27C5">
        <w:rPr>
          <w:rFonts w:cstheme="minorHAnsi"/>
          <w:color w:val="000000" w:themeColor="text1"/>
        </w:rPr>
        <w:t xml:space="preserve">is </w:t>
      </w:r>
      <w:r w:rsidRPr="00FF27C5">
        <w:rPr>
          <w:rFonts w:cstheme="minorHAnsi"/>
          <w:color w:val="000000" w:themeColor="text1"/>
        </w:rPr>
        <w:t xml:space="preserve">capable of </w:t>
      </w:r>
      <w:r w:rsidR="00527DC2" w:rsidRPr="00FF27C5">
        <w:rPr>
          <w:rFonts w:cstheme="minorHAnsi"/>
          <w:color w:val="000000" w:themeColor="text1"/>
        </w:rPr>
        <w:t xml:space="preserve">significantly </w:t>
      </w:r>
      <w:r w:rsidRPr="00FF27C5">
        <w:rPr>
          <w:rFonts w:cstheme="minorHAnsi"/>
          <w:color w:val="000000" w:themeColor="text1"/>
        </w:rPr>
        <w:t xml:space="preserve">benefiting </w:t>
      </w:r>
      <w:r w:rsidR="00527DC2" w:rsidRPr="00FF27C5">
        <w:rPr>
          <w:rFonts w:cstheme="minorHAnsi"/>
          <w:color w:val="000000" w:themeColor="text1"/>
        </w:rPr>
        <w:t xml:space="preserve">financially </w:t>
      </w:r>
      <w:r w:rsidRPr="00FF27C5">
        <w:rPr>
          <w:rFonts w:cstheme="minorHAnsi"/>
          <w:color w:val="000000" w:themeColor="text1"/>
        </w:rPr>
        <w:t xml:space="preserve">or has significantly </w:t>
      </w:r>
      <w:r w:rsidR="008B3DB4" w:rsidRPr="00FF27C5">
        <w:rPr>
          <w:rFonts w:cstheme="minorHAnsi"/>
          <w:color w:val="000000" w:themeColor="text1"/>
        </w:rPr>
        <w:t xml:space="preserve">benefited </w:t>
      </w:r>
      <w:r w:rsidRPr="00FF27C5">
        <w:rPr>
          <w:rFonts w:cstheme="minorHAnsi"/>
          <w:color w:val="000000" w:themeColor="text1"/>
        </w:rPr>
        <w:t xml:space="preserve">financially from the </w:t>
      </w:r>
      <w:r w:rsidR="00914F8C" w:rsidRPr="00FF27C5">
        <w:rPr>
          <w:rFonts w:cstheme="minorHAnsi"/>
          <w:color w:val="000000" w:themeColor="text1"/>
        </w:rPr>
        <w:t>activities</w:t>
      </w:r>
      <w:r w:rsidR="00527DC2" w:rsidRPr="00FF27C5">
        <w:rPr>
          <w:rFonts w:cstheme="minorHAnsi"/>
          <w:color w:val="000000" w:themeColor="text1"/>
        </w:rPr>
        <w:t xml:space="preserve"> authorised by the title</w:t>
      </w:r>
      <w:r w:rsidR="008B3DB4" w:rsidRPr="00FF27C5">
        <w:rPr>
          <w:rFonts w:cstheme="minorHAnsi"/>
          <w:color w:val="000000" w:themeColor="text1"/>
        </w:rPr>
        <w:t>,</w:t>
      </w:r>
      <w:r w:rsidRPr="00FF27C5">
        <w:rPr>
          <w:rFonts w:cstheme="minorHAnsi"/>
          <w:color w:val="000000" w:themeColor="text1"/>
        </w:rPr>
        <w:t xml:space="preserve"> </w:t>
      </w:r>
      <w:r w:rsidR="00654CED" w:rsidRPr="00FF27C5">
        <w:rPr>
          <w:rFonts w:cstheme="minorHAnsi"/>
          <w:color w:val="000000" w:themeColor="text1"/>
        </w:rPr>
        <w:t>and/</w:t>
      </w:r>
      <w:r w:rsidR="009C52B9" w:rsidRPr="00FF27C5">
        <w:rPr>
          <w:rFonts w:cstheme="minorHAnsi"/>
          <w:color w:val="000000" w:themeColor="text1"/>
        </w:rPr>
        <w:t xml:space="preserve">or </w:t>
      </w:r>
      <w:r w:rsidR="00527DC2" w:rsidRPr="00FF27C5">
        <w:rPr>
          <w:rFonts w:cstheme="minorHAnsi"/>
          <w:color w:val="000000" w:themeColor="text1"/>
        </w:rPr>
        <w:t xml:space="preserve">is or </w:t>
      </w:r>
      <w:r w:rsidRPr="00FF27C5">
        <w:rPr>
          <w:rFonts w:cstheme="minorHAnsi"/>
          <w:color w:val="000000" w:themeColor="text1"/>
        </w:rPr>
        <w:t xml:space="preserve">has been </w:t>
      </w:r>
      <w:proofErr w:type="gramStart"/>
      <w:r w:rsidRPr="00FF27C5">
        <w:rPr>
          <w:rFonts w:cstheme="minorHAnsi"/>
          <w:color w:val="000000" w:themeColor="text1"/>
        </w:rPr>
        <w:t>in a position</w:t>
      </w:r>
      <w:proofErr w:type="gramEnd"/>
      <w:r w:rsidRPr="00FF27C5">
        <w:rPr>
          <w:rFonts w:cstheme="minorHAnsi"/>
          <w:color w:val="000000" w:themeColor="text1"/>
        </w:rPr>
        <w:t xml:space="preserve"> to influence compliance</w:t>
      </w:r>
      <w:r w:rsidR="00527DC2" w:rsidRPr="00FF27C5">
        <w:rPr>
          <w:rFonts w:cstheme="minorHAnsi"/>
          <w:color w:val="000000" w:themeColor="text1"/>
        </w:rPr>
        <w:t xml:space="preserve"> with obligations under the OPGGS Act</w:t>
      </w:r>
      <w:r w:rsidR="008B3DB4" w:rsidRPr="00FF27C5">
        <w:rPr>
          <w:rFonts w:cstheme="minorHAnsi"/>
          <w:color w:val="000000" w:themeColor="text1"/>
        </w:rPr>
        <w:t xml:space="preserve">, </w:t>
      </w:r>
      <w:r w:rsidRPr="00FF27C5">
        <w:rPr>
          <w:rFonts w:cstheme="minorHAnsi"/>
          <w:color w:val="000000" w:themeColor="text1"/>
        </w:rPr>
        <w:t xml:space="preserve">and/or </w:t>
      </w:r>
      <w:r w:rsidR="008B3DB4" w:rsidRPr="00FF27C5">
        <w:rPr>
          <w:rFonts w:cstheme="minorHAnsi"/>
          <w:color w:val="000000" w:themeColor="text1"/>
        </w:rPr>
        <w:t xml:space="preserve">acts </w:t>
      </w:r>
      <w:r w:rsidRPr="00FF27C5">
        <w:rPr>
          <w:rFonts w:cstheme="minorHAnsi"/>
          <w:color w:val="000000" w:themeColor="text1"/>
        </w:rPr>
        <w:t xml:space="preserve">or has acted jointly with the </w:t>
      </w:r>
      <w:r w:rsidR="00914F8C" w:rsidRPr="00FF27C5">
        <w:rPr>
          <w:rFonts w:cstheme="minorHAnsi"/>
          <w:color w:val="000000" w:themeColor="text1"/>
        </w:rPr>
        <w:t>current</w:t>
      </w:r>
      <w:r w:rsidR="009C52B9" w:rsidRPr="00FF27C5">
        <w:rPr>
          <w:rFonts w:cstheme="minorHAnsi"/>
          <w:color w:val="000000" w:themeColor="text1"/>
        </w:rPr>
        <w:t xml:space="preserve"> or former </w:t>
      </w:r>
      <w:r w:rsidRPr="00FF27C5">
        <w:rPr>
          <w:rFonts w:cstheme="minorHAnsi"/>
          <w:color w:val="000000" w:themeColor="text1"/>
        </w:rPr>
        <w:t>titleholder</w:t>
      </w:r>
      <w:r w:rsidR="00527DC2" w:rsidRPr="00FF27C5">
        <w:rPr>
          <w:rFonts w:cstheme="minorHAnsi"/>
          <w:color w:val="000000" w:themeColor="text1"/>
        </w:rPr>
        <w:t xml:space="preserve"> in relation to </w:t>
      </w:r>
      <w:r w:rsidR="00914F8C" w:rsidRPr="00FF27C5">
        <w:rPr>
          <w:rFonts w:cstheme="minorHAnsi"/>
          <w:color w:val="000000" w:themeColor="text1"/>
        </w:rPr>
        <w:t>activities</w:t>
      </w:r>
      <w:r w:rsidR="00527DC2" w:rsidRPr="00FF27C5">
        <w:rPr>
          <w:rFonts w:cstheme="minorHAnsi"/>
          <w:color w:val="000000" w:themeColor="text1"/>
        </w:rPr>
        <w:t xml:space="preserve"> authorised by the title</w:t>
      </w:r>
      <w:r w:rsidR="00B819AA" w:rsidRPr="00FF27C5">
        <w:rPr>
          <w:rFonts w:cstheme="minorHAnsi"/>
          <w:color w:val="000000" w:themeColor="text1"/>
        </w:rPr>
        <w:t>.</w:t>
      </w:r>
      <w:r w:rsidR="00914F8C" w:rsidRPr="00FF27C5">
        <w:rPr>
          <w:rFonts w:cstheme="minorHAnsi"/>
          <w:color w:val="000000" w:themeColor="text1"/>
        </w:rPr>
        <w:t xml:space="preserve"> </w:t>
      </w:r>
    </w:p>
    <w:p w14:paraId="21535CF7" w14:textId="46BDF77C" w:rsidR="008318BA" w:rsidRPr="00FF27C5" w:rsidRDefault="00914F8C" w:rsidP="00FF27C5">
      <w:pPr>
        <w:spacing w:before="120" w:after="120" w:line="276" w:lineRule="auto"/>
        <w:rPr>
          <w:rFonts w:cstheme="minorHAnsi"/>
          <w:color w:val="000000" w:themeColor="text1"/>
        </w:rPr>
      </w:pPr>
      <w:r w:rsidRPr="00FF27C5">
        <w:rPr>
          <w:rFonts w:cstheme="minorHAnsi"/>
          <w:color w:val="000000" w:themeColor="text1"/>
        </w:rPr>
        <w:t xml:space="preserve">The Minister may only determine that a person is a related person </w:t>
      </w:r>
      <w:proofErr w:type="gramStart"/>
      <w:r w:rsidRPr="00FF27C5">
        <w:rPr>
          <w:rFonts w:cstheme="minorHAnsi"/>
          <w:color w:val="000000" w:themeColor="text1"/>
        </w:rPr>
        <w:t>taking into account</w:t>
      </w:r>
      <w:proofErr w:type="gramEnd"/>
      <w:r w:rsidRPr="00FF27C5">
        <w:rPr>
          <w:rFonts w:cstheme="minorHAnsi"/>
          <w:color w:val="000000" w:themeColor="text1"/>
        </w:rPr>
        <w:t xml:space="preserve"> circumstances or events on or after 1 January 2021</w:t>
      </w:r>
      <w:r w:rsidR="00B819AA" w:rsidRPr="00FF27C5">
        <w:rPr>
          <w:rFonts w:cstheme="minorHAnsi"/>
          <w:color w:val="000000" w:themeColor="text1"/>
        </w:rPr>
        <w:t>.</w:t>
      </w:r>
      <w:r w:rsidR="008318BA" w:rsidRPr="00FF27C5">
        <w:rPr>
          <w:rFonts w:cstheme="minorHAnsi"/>
          <w:color w:val="000000" w:themeColor="text1"/>
        </w:rPr>
        <w:t xml:space="preserve"> </w:t>
      </w:r>
    </w:p>
    <w:p w14:paraId="2A32E9BB" w14:textId="78648140" w:rsidR="007F739A" w:rsidRPr="00FF27C5" w:rsidRDefault="007F739A" w:rsidP="00FF27C5">
      <w:pPr>
        <w:pStyle w:val="Heading6"/>
        <w:spacing w:before="120"/>
      </w:pPr>
      <w:r w:rsidRPr="00FF27C5">
        <w:t>Plugged and Abandoned</w:t>
      </w:r>
    </w:p>
    <w:p w14:paraId="39FC909F" w14:textId="1CA8EB20" w:rsidR="00B052D5" w:rsidRPr="00FF27C5" w:rsidRDefault="007F739A" w:rsidP="00FF27C5">
      <w:pPr>
        <w:spacing w:before="120" w:after="120" w:line="276" w:lineRule="auto"/>
      </w:pPr>
      <w:r w:rsidRPr="00260370">
        <w:rPr>
          <w:rFonts w:cstheme="minorHAnsi"/>
          <w:color w:val="000000" w:themeColor="text1"/>
        </w:rPr>
        <w:t xml:space="preserve">Where this document refers to plugging and abandonment, it has the same meaning as “plugged and </w:t>
      </w:r>
      <w:r w:rsidRPr="00FF27C5">
        <w:rPr>
          <w:rFonts w:cstheme="minorHAnsi"/>
          <w:color w:val="000000" w:themeColor="text1"/>
        </w:rPr>
        <w:t>closed</w:t>
      </w:r>
      <w:r w:rsidRPr="00260370">
        <w:rPr>
          <w:rFonts w:cstheme="minorHAnsi"/>
          <w:color w:val="000000" w:themeColor="text1"/>
        </w:rPr>
        <w:t xml:space="preserve"> off” in the OPGGS Act and “permanently aban</w:t>
      </w:r>
      <w:r w:rsidRPr="00FF27C5">
        <w:rPr>
          <w:rFonts w:cstheme="minorHAnsi"/>
          <w:color w:val="000000" w:themeColor="text1"/>
        </w:rPr>
        <w:t>doned” in the RMA Regulations.</w:t>
      </w:r>
    </w:p>
    <w:p w14:paraId="7D23A3F8" w14:textId="6BECCBCD" w:rsidR="00366289" w:rsidRPr="00F670B6" w:rsidRDefault="00366289" w:rsidP="00F670B6">
      <w:pPr>
        <w:pStyle w:val="Heading6"/>
      </w:pPr>
      <w:bookmarkStart w:id="549" w:name="_Toc475358987"/>
      <w:bookmarkStart w:id="550" w:name="_Toc479771022"/>
      <w:bookmarkStart w:id="551" w:name="_Toc479778793"/>
      <w:bookmarkStart w:id="552" w:name="_Toc479845308"/>
      <w:bookmarkStart w:id="553" w:name="_Toc482364394"/>
      <w:bookmarkStart w:id="554" w:name="_Toc486939371"/>
      <w:bookmarkStart w:id="555" w:name="_Toc486950269"/>
      <w:bookmarkStart w:id="556" w:name="_Toc486956466"/>
      <w:bookmarkStart w:id="557" w:name="_Toc489460870"/>
      <w:r w:rsidRPr="00F670B6">
        <w:t>Safety Case</w:t>
      </w:r>
      <w:bookmarkEnd w:id="549"/>
      <w:bookmarkEnd w:id="550"/>
      <w:bookmarkEnd w:id="551"/>
      <w:bookmarkEnd w:id="552"/>
      <w:bookmarkEnd w:id="553"/>
      <w:bookmarkEnd w:id="554"/>
      <w:bookmarkEnd w:id="555"/>
      <w:bookmarkEnd w:id="556"/>
      <w:bookmarkEnd w:id="557"/>
      <w:r w:rsidR="006F1E42" w:rsidRPr="00F670B6">
        <w:t xml:space="preserve"> </w:t>
      </w:r>
    </w:p>
    <w:p w14:paraId="21A7D1DC" w14:textId="5ED70BC8" w:rsidR="001129B7" w:rsidRPr="00F670B6" w:rsidRDefault="002F0F80" w:rsidP="00D40D19">
      <w:pPr>
        <w:pStyle w:val="Default"/>
        <w:spacing w:before="120" w:after="120" w:line="276" w:lineRule="auto"/>
        <w:rPr>
          <w:rFonts w:asciiTheme="minorHAnsi" w:hAnsiTheme="minorHAnsi" w:cstheme="minorHAnsi"/>
          <w:sz w:val="22"/>
          <w:szCs w:val="22"/>
        </w:rPr>
      </w:pPr>
      <w:r w:rsidRPr="00F670B6">
        <w:rPr>
          <w:rFonts w:asciiTheme="minorHAnsi" w:hAnsiTheme="minorHAnsi" w:cstheme="minorHAnsi"/>
          <w:sz w:val="22"/>
          <w:szCs w:val="22"/>
        </w:rPr>
        <w:t>A safety case is a</w:t>
      </w:r>
      <w:r w:rsidR="00D947D8" w:rsidRPr="00F670B6">
        <w:rPr>
          <w:rFonts w:asciiTheme="minorHAnsi" w:hAnsiTheme="minorHAnsi" w:cstheme="minorHAnsi"/>
          <w:sz w:val="22"/>
          <w:szCs w:val="22"/>
        </w:rPr>
        <w:t xml:space="preserve"> document setting out</w:t>
      </w:r>
      <w:r w:rsidR="006F1E42" w:rsidRPr="00F670B6">
        <w:rPr>
          <w:rFonts w:asciiTheme="minorHAnsi" w:hAnsiTheme="minorHAnsi" w:cstheme="minorHAnsi"/>
          <w:sz w:val="22"/>
          <w:szCs w:val="22"/>
        </w:rPr>
        <w:t xml:space="preserve"> the arrangements for health and safety that are used by managers, </w:t>
      </w:r>
      <w:proofErr w:type="gramStart"/>
      <w:r w:rsidR="006F1E42" w:rsidRPr="00F670B6">
        <w:rPr>
          <w:rFonts w:asciiTheme="minorHAnsi" w:hAnsiTheme="minorHAnsi" w:cstheme="minorHAnsi"/>
          <w:sz w:val="22"/>
          <w:szCs w:val="22"/>
        </w:rPr>
        <w:t>supervisors</w:t>
      </w:r>
      <w:proofErr w:type="gramEnd"/>
      <w:r w:rsidR="006F1E42" w:rsidRPr="00F670B6">
        <w:rPr>
          <w:rFonts w:asciiTheme="minorHAnsi" w:hAnsiTheme="minorHAnsi" w:cstheme="minorHAnsi"/>
          <w:sz w:val="22"/>
          <w:szCs w:val="22"/>
        </w:rPr>
        <w:t xml:space="preserve"> and the workforce to understand health and safety issues and their </w:t>
      </w:r>
      <w:r w:rsidRPr="00F670B6">
        <w:rPr>
          <w:rFonts w:asciiTheme="minorHAnsi" w:hAnsiTheme="minorHAnsi" w:cstheme="minorHAnsi"/>
          <w:sz w:val="22"/>
          <w:szCs w:val="22"/>
        </w:rPr>
        <w:t>controls.</w:t>
      </w:r>
    </w:p>
    <w:p w14:paraId="731761D7" w14:textId="7AEBF250" w:rsidR="006F1E42" w:rsidRPr="00F670B6" w:rsidRDefault="006F1E42" w:rsidP="002F0F80">
      <w:pPr>
        <w:pStyle w:val="Default"/>
        <w:spacing w:before="120" w:after="120" w:line="276" w:lineRule="auto"/>
        <w:rPr>
          <w:rFonts w:asciiTheme="minorHAnsi" w:hAnsiTheme="minorHAnsi" w:cstheme="minorHAnsi"/>
          <w:sz w:val="22"/>
          <w:szCs w:val="22"/>
        </w:rPr>
      </w:pPr>
      <w:r w:rsidRPr="00F670B6">
        <w:rPr>
          <w:rFonts w:asciiTheme="minorHAnsi" w:hAnsiTheme="minorHAnsi" w:cstheme="minorHAnsi"/>
          <w:sz w:val="22"/>
          <w:szCs w:val="22"/>
        </w:rPr>
        <w:t xml:space="preserve">The </w:t>
      </w:r>
      <w:r w:rsidR="00D947D8" w:rsidRPr="00F670B6">
        <w:rPr>
          <w:rFonts w:asciiTheme="minorHAnsi" w:hAnsiTheme="minorHAnsi" w:cstheme="minorHAnsi"/>
          <w:sz w:val="22"/>
          <w:szCs w:val="22"/>
        </w:rPr>
        <w:t>safety case</w:t>
      </w:r>
      <w:r w:rsidRPr="00F670B6">
        <w:rPr>
          <w:rFonts w:asciiTheme="minorHAnsi" w:hAnsiTheme="minorHAnsi" w:cstheme="minorHAnsi"/>
          <w:sz w:val="22"/>
          <w:szCs w:val="22"/>
        </w:rPr>
        <w:t xml:space="preserve"> sets out the operator’s commitments to reducing </w:t>
      </w:r>
      <w:r w:rsidR="001129B7" w:rsidRPr="00F670B6">
        <w:rPr>
          <w:rFonts w:asciiTheme="minorHAnsi" w:hAnsiTheme="minorHAnsi" w:cstheme="minorHAnsi"/>
          <w:sz w:val="22"/>
          <w:szCs w:val="22"/>
        </w:rPr>
        <w:t xml:space="preserve">safety </w:t>
      </w:r>
      <w:r w:rsidRPr="00F670B6">
        <w:rPr>
          <w:rFonts w:asciiTheme="minorHAnsi" w:hAnsiTheme="minorHAnsi" w:cstheme="minorHAnsi"/>
          <w:sz w:val="22"/>
          <w:szCs w:val="22"/>
        </w:rPr>
        <w:t xml:space="preserve">risks to a level that is as low as reasonably practicable. The </w:t>
      </w:r>
      <w:r w:rsidR="00053D99" w:rsidRPr="00F670B6">
        <w:rPr>
          <w:rFonts w:asciiTheme="minorHAnsi" w:hAnsiTheme="minorHAnsi" w:cstheme="minorHAnsi"/>
          <w:sz w:val="22"/>
          <w:szCs w:val="22"/>
        </w:rPr>
        <w:t>c</w:t>
      </w:r>
      <w:r w:rsidR="00574958" w:rsidRPr="00F670B6">
        <w:rPr>
          <w:rFonts w:asciiTheme="minorHAnsi" w:hAnsiTheme="minorHAnsi" w:cstheme="minorHAnsi"/>
          <w:sz w:val="22"/>
          <w:szCs w:val="22"/>
        </w:rPr>
        <w:t>ase must include, among</w:t>
      </w:r>
      <w:r w:rsidRPr="00F670B6">
        <w:rPr>
          <w:rFonts w:asciiTheme="minorHAnsi" w:hAnsiTheme="minorHAnsi" w:cstheme="minorHAnsi"/>
          <w:sz w:val="22"/>
          <w:szCs w:val="22"/>
        </w:rPr>
        <w:t xml:space="preserve"> other </w:t>
      </w:r>
      <w:r w:rsidR="00574958" w:rsidRPr="00F670B6">
        <w:rPr>
          <w:rFonts w:asciiTheme="minorHAnsi" w:hAnsiTheme="minorHAnsi" w:cstheme="minorHAnsi"/>
          <w:sz w:val="22"/>
          <w:szCs w:val="22"/>
        </w:rPr>
        <w:t>matters</w:t>
      </w:r>
      <w:r w:rsidRPr="00F670B6">
        <w:rPr>
          <w:rFonts w:asciiTheme="minorHAnsi" w:hAnsiTheme="minorHAnsi" w:cstheme="minorHAnsi"/>
          <w:sz w:val="22"/>
          <w:szCs w:val="22"/>
        </w:rPr>
        <w:t>, a detailed description of the safety manageme</w:t>
      </w:r>
      <w:r w:rsidR="001129B7" w:rsidRPr="00F670B6">
        <w:rPr>
          <w:rFonts w:asciiTheme="minorHAnsi" w:hAnsiTheme="minorHAnsi" w:cstheme="minorHAnsi"/>
          <w:sz w:val="22"/>
          <w:szCs w:val="22"/>
        </w:rPr>
        <w:t>nt system (SMS) for a facility.</w:t>
      </w:r>
    </w:p>
    <w:p w14:paraId="2A411FAA" w14:textId="18CF7318" w:rsidR="001129B7" w:rsidRPr="00F670B6" w:rsidRDefault="001129B7" w:rsidP="002F0F80">
      <w:pPr>
        <w:pStyle w:val="Default"/>
        <w:spacing w:before="120" w:after="120" w:line="276" w:lineRule="auto"/>
        <w:rPr>
          <w:rFonts w:asciiTheme="minorHAnsi" w:hAnsiTheme="minorHAnsi" w:cstheme="minorHAnsi"/>
          <w:sz w:val="22"/>
          <w:szCs w:val="22"/>
        </w:rPr>
      </w:pPr>
      <w:r w:rsidRPr="00F670B6">
        <w:rPr>
          <w:rFonts w:asciiTheme="minorHAnsi" w:hAnsiTheme="minorHAnsi" w:cstheme="minorHAnsi"/>
          <w:sz w:val="22"/>
          <w:szCs w:val="22"/>
        </w:rPr>
        <w:t xml:space="preserve">Under the Safety Regulations, it </w:t>
      </w:r>
      <w:r w:rsidR="002F0F80" w:rsidRPr="00F670B6">
        <w:rPr>
          <w:rFonts w:asciiTheme="minorHAnsi" w:hAnsiTheme="minorHAnsi" w:cstheme="minorHAnsi"/>
          <w:sz w:val="22"/>
          <w:szCs w:val="22"/>
        </w:rPr>
        <w:t>is an offence to carry out work at a</w:t>
      </w:r>
      <w:r w:rsidRPr="00F670B6">
        <w:rPr>
          <w:rFonts w:asciiTheme="minorHAnsi" w:hAnsiTheme="minorHAnsi" w:cstheme="minorHAnsi"/>
          <w:sz w:val="22"/>
          <w:szCs w:val="22"/>
        </w:rPr>
        <w:t xml:space="preserve"> facility</w:t>
      </w:r>
      <w:r w:rsidR="002F0F80" w:rsidRPr="00F670B6">
        <w:rPr>
          <w:rFonts w:asciiTheme="minorHAnsi" w:hAnsiTheme="minorHAnsi" w:cstheme="minorHAnsi"/>
          <w:sz w:val="22"/>
          <w:szCs w:val="22"/>
        </w:rPr>
        <w:t xml:space="preserve"> or part of the facility without an accepted safety case in force that provides for the relevant activity or activities.</w:t>
      </w:r>
    </w:p>
    <w:p w14:paraId="6158D2E4" w14:textId="7CA4304F" w:rsidR="003E065B" w:rsidRPr="00F670B6" w:rsidRDefault="003E065B" w:rsidP="00F670B6">
      <w:pPr>
        <w:pStyle w:val="Heading6"/>
      </w:pPr>
      <w:bookmarkStart w:id="558" w:name="_Toc479771023"/>
      <w:bookmarkStart w:id="559" w:name="_Toc479778794"/>
      <w:bookmarkStart w:id="560" w:name="_Toc479845309"/>
      <w:bookmarkStart w:id="561" w:name="_Toc482364395"/>
      <w:bookmarkStart w:id="562" w:name="_Toc486939372"/>
      <w:bookmarkStart w:id="563" w:name="_Toc486950270"/>
      <w:bookmarkStart w:id="564" w:name="_Toc486956467"/>
      <w:bookmarkStart w:id="565" w:name="_Toc489460871"/>
      <w:bookmarkStart w:id="566" w:name="_Toc475358988"/>
      <w:r w:rsidRPr="00F670B6">
        <w:t>Scheduled Area</w:t>
      </w:r>
      <w:bookmarkEnd w:id="558"/>
      <w:bookmarkEnd w:id="559"/>
      <w:bookmarkEnd w:id="560"/>
      <w:bookmarkEnd w:id="561"/>
      <w:bookmarkEnd w:id="562"/>
      <w:bookmarkEnd w:id="563"/>
      <w:bookmarkEnd w:id="564"/>
      <w:bookmarkEnd w:id="565"/>
    </w:p>
    <w:p w14:paraId="429581DF" w14:textId="250DA66C" w:rsidR="003E065B" w:rsidRPr="00F670B6" w:rsidRDefault="001129B7" w:rsidP="002F0F80">
      <w:pPr>
        <w:spacing w:before="120" w:after="120"/>
        <w:rPr>
          <w:rFonts w:cstheme="minorHAnsi"/>
        </w:rPr>
      </w:pPr>
      <w:r w:rsidRPr="00F670B6">
        <w:rPr>
          <w:rFonts w:cstheme="minorHAnsi"/>
        </w:rPr>
        <w:t>The Scheduled Area, f</w:t>
      </w:r>
      <w:r w:rsidR="00D00D23" w:rsidRPr="00F670B6">
        <w:rPr>
          <w:rFonts w:cstheme="minorHAnsi"/>
        </w:rPr>
        <w:t>or a State</w:t>
      </w:r>
      <w:r w:rsidRPr="00F670B6">
        <w:rPr>
          <w:rFonts w:cstheme="minorHAnsi"/>
        </w:rPr>
        <w:t xml:space="preserve"> or </w:t>
      </w:r>
      <w:r w:rsidR="003E065B" w:rsidRPr="00F670B6">
        <w:rPr>
          <w:rFonts w:cstheme="minorHAnsi"/>
        </w:rPr>
        <w:t xml:space="preserve">the Northern Territory, </w:t>
      </w:r>
      <w:r w:rsidRPr="00F670B6">
        <w:rPr>
          <w:rFonts w:cstheme="minorHAnsi"/>
        </w:rPr>
        <w:t xml:space="preserve">refers to </w:t>
      </w:r>
      <w:r w:rsidR="003E065B" w:rsidRPr="00F670B6">
        <w:rPr>
          <w:rFonts w:cstheme="minorHAnsi"/>
        </w:rPr>
        <w:t>the</w:t>
      </w:r>
      <w:r w:rsidR="00D00D23" w:rsidRPr="00F670B6">
        <w:rPr>
          <w:rFonts w:cstheme="minorHAnsi"/>
        </w:rPr>
        <w:t xml:space="preserve"> ar</w:t>
      </w:r>
      <w:r w:rsidRPr="00F670B6">
        <w:rPr>
          <w:rFonts w:cstheme="minorHAnsi"/>
        </w:rPr>
        <w:t>ea delineated in</w:t>
      </w:r>
      <w:r w:rsidR="00D00D23" w:rsidRPr="00F670B6">
        <w:rPr>
          <w:rFonts w:cstheme="minorHAnsi"/>
        </w:rPr>
        <w:t xml:space="preserve"> Schedule 1 (clauses 1-8) </w:t>
      </w:r>
      <w:r w:rsidR="003E065B" w:rsidRPr="00F670B6">
        <w:rPr>
          <w:rFonts w:cstheme="minorHAnsi"/>
        </w:rPr>
        <w:t>of the OPGGS Act</w:t>
      </w:r>
      <w:r w:rsidR="00A4093D" w:rsidRPr="00F670B6">
        <w:rPr>
          <w:rFonts w:cstheme="minorHAnsi"/>
        </w:rPr>
        <w:t xml:space="preserve">. </w:t>
      </w:r>
    </w:p>
    <w:p w14:paraId="7FE1A3F2" w14:textId="19C9900C" w:rsidR="00366289" w:rsidRPr="00F670B6" w:rsidRDefault="00366289" w:rsidP="00F670B6">
      <w:pPr>
        <w:pStyle w:val="Heading6"/>
      </w:pPr>
      <w:bookmarkStart w:id="567" w:name="_Toc479771024"/>
      <w:bookmarkStart w:id="568" w:name="_Toc479778795"/>
      <w:bookmarkStart w:id="569" w:name="_Toc479845310"/>
      <w:bookmarkStart w:id="570" w:name="_Toc482364396"/>
      <w:bookmarkStart w:id="571" w:name="_Toc486939373"/>
      <w:bookmarkStart w:id="572" w:name="_Toc486950271"/>
      <w:bookmarkStart w:id="573" w:name="_Toc486956468"/>
      <w:bookmarkStart w:id="574" w:name="_Toc489460872"/>
      <w:r w:rsidRPr="00F670B6">
        <w:t>Stakeholder</w:t>
      </w:r>
      <w:bookmarkEnd w:id="566"/>
      <w:bookmarkEnd w:id="567"/>
      <w:bookmarkEnd w:id="568"/>
      <w:bookmarkEnd w:id="569"/>
      <w:bookmarkEnd w:id="570"/>
      <w:bookmarkEnd w:id="571"/>
      <w:bookmarkEnd w:id="572"/>
      <w:bookmarkEnd w:id="573"/>
      <w:bookmarkEnd w:id="574"/>
    </w:p>
    <w:p w14:paraId="38565AB3" w14:textId="6EFA3901" w:rsidR="006F1E42" w:rsidRPr="00F670B6" w:rsidRDefault="00D00D23" w:rsidP="002F0F80">
      <w:pPr>
        <w:spacing w:before="120" w:after="120" w:line="276" w:lineRule="auto"/>
        <w:rPr>
          <w:rFonts w:cstheme="minorHAnsi"/>
          <w:color w:val="000000" w:themeColor="text1"/>
        </w:rPr>
      </w:pPr>
      <w:r w:rsidRPr="00F670B6">
        <w:rPr>
          <w:rFonts w:cstheme="minorHAnsi"/>
          <w:color w:val="000000" w:themeColor="text1"/>
        </w:rPr>
        <w:t>A person with an interest (a ‘stake’) in an enterprise, and/or a person involved or affected by a particular course of action.</w:t>
      </w:r>
    </w:p>
    <w:p w14:paraId="06AB0D4F" w14:textId="77777777" w:rsidR="00366289" w:rsidRPr="00F670B6" w:rsidRDefault="00366289" w:rsidP="00BF7E8E">
      <w:pPr>
        <w:pStyle w:val="Heading6"/>
      </w:pPr>
      <w:bookmarkStart w:id="575" w:name="_Toc475358989"/>
      <w:bookmarkStart w:id="576" w:name="_Toc479771025"/>
      <w:bookmarkStart w:id="577" w:name="_Toc479778796"/>
      <w:bookmarkStart w:id="578" w:name="_Toc479845311"/>
      <w:bookmarkStart w:id="579" w:name="_Toc482364397"/>
      <w:bookmarkStart w:id="580" w:name="_Toc486939374"/>
      <w:bookmarkStart w:id="581" w:name="_Toc486950272"/>
      <w:bookmarkStart w:id="582" w:name="_Toc486956469"/>
      <w:bookmarkStart w:id="583" w:name="_Toc489460873"/>
      <w:r w:rsidRPr="00F670B6">
        <w:lastRenderedPageBreak/>
        <w:t>Territorial sea baseline</w:t>
      </w:r>
      <w:bookmarkEnd w:id="575"/>
      <w:bookmarkEnd w:id="576"/>
      <w:bookmarkEnd w:id="577"/>
      <w:bookmarkEnd w:id="578"/>
      <w:bookmarkEnd w:id="579"/>
      <w:bookmarkEnd w:id="580"/>
      <w:bookmarkEnd w:id="581"/>
      <w:bookmarkEnd w:id="582"/>
      <w:bookmarkEnd w:id="583"/>
    </w:p>
    <w:p w14:paraId="402ED837" w14:textId="6E1218B1" w:rsidR="00E60C61" w:rsidRPr="00F670B6" w:rsidRDefault="000B3ADB" w:rsidP="00DC457C">
      <w:pPr>
        <w:keepLines/>
        <w:spacing w:before="120" w:after="120" w:line="276" w:lineRule="auto"/>
        <w:rPr>
          <w:rFonts w:cstheme="minorHAnsi"/>
          <w:color w:val="000000" w:themeColor="text1"/>
        </w:rPr>
      </w:pPr>
      <w:r w:rsidRPr="00F670B6">
        <w:rPr>
          <w:rFonts w:cstheme="minorHAnsi"/>
          <w:color w:val="000000" w:themeColor="text1"/>
        </w:rPr>
        <w:t>The line from which the seaward limits of Australia’s Maritime Zones are measured</w:t>
      </w:r>
      <w:r w:rsidR="00A4093D" w:rsidRPr="00F670B6">
        <w:rPr>
          <w:rFonts w:cstheme="minorHAnsi"/>
          <w:color w:val="000000" w:themeColor="text1"/>
        </w:rPr>
        <w:t xml:space="preserve">. </w:t>
      </w:r>
      <w:r w:rsidRPr="00F670B6">
        <w:rPr>
          <w:rFonts w:cstheme="minorHAnsi"/>
          <w:color w:val="000000" w:themeColor="text1"/>
        </w:rPr>
        <w:t>The baseline broadly corresponds with the low water line along the coast, including the coasts of islands</w:t>
      </w:r>
      <w:r w:rsidR="00A4093D" w:rsidRPr="00F670B6">
        <w:rPr>
          <w:rFonts w:cstheme="minorHAnsi"/>
          <w:color w:val="000000" w:themeColor="text1"/>
        </w:rPr>
        <w:t xml:space="preserve">. </w:t>
      </w:r>
      <w:r w:rsidR="0033678A" w:rsidRPr="00F670B6">
        <w:rPr>
          <w:rFonts w:cstheme="minorHAnsi"/>
          <w:color w:val="000000" w:themeColor="text1"/>
        </w:rPr>
        <w:t>Under</w:t>
      </w:r>
      <w:r w:rsidRPr="00F670B6">
        <w:rPr>
          <w:rFonts w:cstheme="minorHAnsi"/>
          <w:color w:val="000000" w:themeColor="text1"/>
        </w:rPr>
        <w:t xml:space="preserve"> international law, a normal baseline may be d</w:t>
      </w:r>
      <w:r w:rsidR="00D00D23" w:rsidRPr="00F670B6">
        <w:rPr>
          <w:rFonts w:cstheme="minorHAnsi"/>
          <w:color w:val="000000" w:themeColor="text1"/>
        </w:rPr>
        <w:t>rawn around low tide elevations –</w:t>
      </w:r>
      <w:r w:rsidRPr="00F670B6">
        <w:rPr>
          <w:rFonts w:cstheme="minorHAnsi"/>
          <w:color w:val="000000" w:themeColor="text1"/>
        </w:rPr>
        <w:t xml:space="preserve"> defined as naturally formed areas of land surrounded by and above water at low tide but submerged at high tide, provided they are wholly or partly within 12 nautical miles of the coast</w:t>
      </w:r>
      <w:r w:rsidR="00A4093D" w:rsidRPr="00F670B6">
        <w:rPr>
          <w:rFonts w:cstheme="minorHAnsi"/>
          <w:color w:val="000000" w:themeColor="text1"/>
        </w:rPr>
        <w:t xml:space="preserve">. </w:t>
      </w:r>
    </w:p>
    <w:p w14:paraId="524C9876" w14:textId="2CE4DBD4" w:rsidR="0008604D" w:rsidRPr="00F670B6" w:rsidRDefault="3446EB29" w:rsidP="00DC457C">
      <w:pPr>
        <w:keepLines/>
        <w:spacing w:before="120" w:after="120" w:line="276" w:lineRule="auto"/>
        <w:rPr>
          <w:rFonts w:cstheme="minorHAnsi"/>
        </w:rPr>
      </w:pPr>
      <w:r w:rsidRPr="00F670B6">
        <w:rPr>
          <w:rFonts w:cstheme="minorHAnsi"/>
          <w:color w:val="000000" w:themeColor="text1"/>
        </w:rPr>
        <w:t xml:space="preserve">The territorial sea baseline is defined by proclamation – currently by the </w:t>
      </w:r>
      <w:hyperlink r:id="rId68">
        <w:r w:rsidRPr="00F670B6">
          <w:rPr>
            <w:rStyle w:val="Hyperlink"/>
            <w:rFonts w:cstheme="minorHAnsi"/>
            <w:i/>
            <w:iCs/>
          </w:rPr>
          <w:t>Seas and Submerged Lands (Territorial Sea Baseline) Proclamation 2016.</w:t>
        </w:r>
      </w:hyperlink>
    </w:p>
    <w:p w14:paraId="46792491" w14:textId="77777777" w:rsidR="00366289" w:rsidRPr="00F670B6" w:rsidRDefault="001D597D" w:rsidP="00F670B6">
      <w:pPr>
        <w:pStyle w:val="Heading6"/>
      </w:pPr>
      <w:bookmarkStart w:id="584" w:name="_Toc475358990"/>
      <w:bookmarkStart w:id="585" w:name="_Toc479771026"/>
      <w:bookmarkStart w:id="586" w:name="_Toc479778797"/>
      <w:bookmarkStart w:id="587" w:name="_Toc479845312"/>
      <w:bookmarkStart w:id="588" w:name="_Toc482364398"/>
      <w:bookmarkStart w:id="589" w:name="_Toc486939375"/>
      <w:bookmarkStart w:id="590" w:name="_Toc486950273"/>
      <w:bookmarkStart w:id="591" w:name="_Toc486956470"/>
      <w:bookmarkStart w:id="592" w:name="_Toc489460874"/>
      <w:r w:rsidRPr="00F670B6">
        <w:t xml:space="preserve">(Petroleum) </w:t>
      </w:r>
      <w:r w:rsidR="00366289" w:rsidRPr="00F670B6">
        <w:t>Titleholder</w:t>
      </w:r>
      <w:bookmarkEnd w:id="584"/>
      <w:bookmarkEnd w:id="585"/>
      <w:bookmarkEnd w:id="586"/>
      <w:bookmarkEnd w:id="587"/>
      <w:bookmarkEnd w:id="588"/>
      <w:bookmarkEnd w:id="589"/>
      <w:bookmarkEnd w:id="590"/>
      <w:bookmarkEnd w:id="591"/>
      <w:bookmarkEnd w:id="592"/>
    </w:p>
    <w:p w14:paraId="0C4B0BE9" w14:textId="3FACF248" w:rsidR="006F1E42" w:rsidRPr="00F670B6" w:rsidRDefault="001D597D" w:rsidP="002F0F80">
      <w:pPr>
        <w:spacing w:before="120" w:after="120" w:line="276" w:lineRule="auto"/>
        <w:rPr>
          <w:rFonts w:cstheme="minorHAnsi"/>
        </w:rPr>
      </w:pPr>
      <w:r w:rsidRPr="00F670B6">
        <w:rPr>
          <w:rFonts w:cstheme="minorHAnsi"/>
        </w:rPr>
        <w:t xml:space="preserve">The </w:t>
      </w:r>
      <w:r w:rsidR="002F0F80" w:rsidRPr="00F670B6">
        <w:rPr>
          <w:rFonts w:cstheme="minorHAnsi"/>
        </w:rPr>
        <w:t>entity or entities</w:t>
      </w:r>
      <w:r w:rsidRPr="00F670B6">
        <w:rPr>
          <w:rFonts w:cstheme="minorHAnsi"/>
        </w:rPr>
        <w:t xml:space="preserve"> registered as </w:t>
      </w:r>
      <w:r w:rsidR="001129B7" w:rsidRPr="00F670B6">
        <w:rPr>
          <w:rFonts w:cstheme="minorHAnsi"/>
        </w:rPr>
        <w:t xml:space="preserve">the </w:t>
      </w:r>
      <w:r w:rsidRPr="00F670B6">
        <w:rPr>
          <w:rFonts w:cstheme="minorHAnsi"/>
        </w:rPr>
        <w:t>holder(s) of a petroleum exploration permit, petroleum retention lease, petroleum production licen</w:t>
      </w:r>
      <w:r w:rsidR="00BD0642" w:rsidRPr="00F670B6">
        <w:rPr>
          <w:rFonts w:cstheme="minorHAnsi"/>
        </w:rPr>
        <w:t>c</w:t>
      </w:r>
      <w:r w:rsidRPr="00F670B6">
        <w:rPr>
          <w:rFonts w:cstheme="minorHAnsi"/>
        </w:rPr>
        <w:t>e, pipeline licen</w:t>
      </w:r>
      <w:r w:rsidR="00BD0642" w:rsidRPr="00F670B6">
        <w:rPr>
          <w:rFonts w:cstheme="minorHAnsi"/>
        </w:rPr>
        <w:t>c</w:t>
      </w:r>
      <w:r w:rsidRPr="00F670B6">
        <w:rPr>
          <w:rFonts w:cstheme="minorHAnsi"/>
        </w:rPr>
        <w:t>e, infrastructure licen</w:t>
      </w:r>
      <w:r w:rsidR="00BD0642" w:rsidRPr="00F670B6">
        <w:rPr>
          <w:rFonts w:cstheme="minorHAnsi"/>
        </w:rPr>
        <w:t>c</w:t>
      </w:r>
      <w:r w:rsidRPr="00F670B6">
        <w:rPr>
          <w:rFonts w:cstheme="minorHAnsi"/>
        </w:rPr>
        <w:t>e, petroleum special prospecting authority or petroleum access authority.</w:t>
      </w:r>
    </w:p>
    <w:p w14:paraId="04E87D56" w14:textId="44C5589F" w:rsidR="00366289" w:rsidRPr="00F670B6" w:rsidRDefault="001129B7" w:rsidP="001013D0">
      <w:pPr>
        <w:pStyle w:val="Heading6"/>
      </w:pPr>
      <w:bookmarkStart w:id="593" w:name="_Toc475358991"/>
      <w:bookmarkStart w:id="594" w:name="_Toc479771027"/>
      <w:bookmarkStart w:id="595" w:name="_Toc479778798"/>
      <w:bookmarkStart w:id="596" w:name="_Toc479845313"/>
      <w:bookmarkStart w:id="597" w:name="_Toc482364399"/>
      <w:bookmarkStart w:id="598" w:name="_Toc486939376"/>
      <w:bookmarkStart w:id="599" w:name="_Toc486950274"/>
      <w:bookmarkStart w:id="600" w:name="_Toc486956471"/>
      <w:bookmarkStart w:id="601" w:name="_Toc489460875"/>
      <w:r w:rsidRPr="00F670B6">
        <w:t>Well operations management p</w:t>
      </w:r>
      <w:r w:rsidR="006F1E42" w:rsidRPr="00F670B6">
        <w:t>lan</w:t>
      </w:r>
      <w:bookmarkEnd w:id="593"/>
      <w:bookmarkEnd w:id="594"/>
      <w:bookmarkEnd w:id="595"/>
      <w:bookmarkEnd w:id="596"/>
      <w:bookmarkEnd w:id="597"/>
      <w:bookmarkEnd w:id="598"/>
      <w:bookmarkEnd w:id="599"/>
      <w:bookmarkEnd w:id="600"/>
      <w:bookmarkEnd w:id="601"/>
      <w:r w:rsidR="007F739A" w:rsidRPr="00F670B6">
        <w:t xml:space="preserve"> (WOMP)</w:t>
      </w:r>
    </w:p>
    <w:p w14:paraId="25E9904C" w14:textId="26B22EEC" w:rsidR="00DA78A3" w:rsidRPr="00F670B6" w:rsidRDefault="00D00D23" w:rsidP="001013D0">
      <w:pPr>
        <w:keepNext/>
        <w:keepLines/>
        <w:spacing w:before="120" w:after="120" w:line="276" w:lineRule="auto"/>
        <w:rPr>
          <w:rFonts w:cstheme="minorHAnsi"/>
        </w:rPr>
      </w:pPr>
      <w:r w:rsidRPr="00F670B6">
        <w:rPr>
          <w:rFonts w:cstheme="minorHAnsi"/>
        </w:rPr>
        <w:t xml:space="preserve">A </w:t>
      </w:r>
      <w:r w:rsidR="002F0F80" w:rsidRPr="00F670B6">
        <w:rPr>
          <w:rFonts w:cstheme="minorHAnsi"/>
        </w:rPr>
        <w:t xml:space="preserve">WOMP </w:t>
      </w:r>
      <w:r w:rsidRPr="00F670B6">
        <w:rPr>
          <w:rFonts w:cstheme="minorHAnsi"/>
        </w:rPr>
        <w:t>is a</w:t>
      </w:r>
      <w:r w:rsidR="002E66F3" w:rsidRPr="00F670B6">
        <w:rPr>
          <w:rFonts w:cstheme="minorHAnsi"/>
        </w:rPr>
        <w:t xml:space="preserve"> document by which a titleholder identifies risks posed by activities </w:t>
      </w:r>
      <w:r w:rsidRPr="00F670B6">
        <w:rPr>
          <w:rFonts w:cstheme="minorHAnsi"/>
        </w:rPr>
        <w:t xml:space="preserve">relating to a well that are carried out during the life </w:t>
      </w:r>
      <w:r w:rsidR="001D3EB9" w:rsidRPr="00F670B6">
        <w:rPr>
          <w:rFonts w:cstheme="minorHAnsi"/>
        </w:rPr>
        <w:t xml:space="preserve">of </w:t>
      </w:r>
      <w:r w:rsidRPr="00F670B6">
        <w:rPr>
          <w:rFonts w:cstheme="minorHAnsi"/>
        </w:rPr>
        <w:t>the</w:t>
      </w:r>
      <w:r w:rsidR="002E66F3" w:rsidRPr="00F670B6">
        <w:rPr>
          <w:rFonts w:cstheme="minorHAnsi"/>
        </w:rPr>
        <w:t xml:space="preserve"> well</w:t>
      </w:r>
      <w:r w:rsidRPr="00F670B6">
        <w:rPr>
          <w:rFonts w:cstheme="minorHAnsi"/>
        </w:rPr>
        <w:t xml:space="preserve"> (well activities</w:t>
      </w:r>
      <w:proofErr w:type="gramStart"/>
      <w:r w:rsidRPr="00F670B6">
        <w:rPr>
          <w:rFonts w:cstheme="minorHAnsi"/>
        </w:rPr>
        <w:t>)</w:t>
      </w:r>
      <w:r w:rsidR="002E66F3" w:rsidRPr="00F670B6">
        <w:rPr>
          <w:rFonts w:cstheme="minorHAnsi"/>
        </w:rPr>
        <w:t>, and</w:t>
      </w:r>
      <w:proofErr w:type="gramEnd"/>
      <w:r w:rsidR="002E66F3" w:rsidRPr="00F670B6">
        <w:rPr>
          <w:rFonts w:cstheme="minorHAnsi"/>
        </w:rPr>
        <w:t xml:space="preserve"> sets out measures to ensure risks to well integrity </w:t>
      </w:r>
      <w:r w:rsidRPr="00F670B6">
        <w:rPr>
          <w:rFonts w:cstheme="minorHAnsi"/>
        </w:rPr>
        <w:t>are</w:t>
      </w:r>
      <w:r w:rsidR="002E66F3" w:rsidRPr="00F670B6">
        <w:rPr>
          <w:rFonts w:cstheme="minorHAnsi"/>
        </w:rPr>
        <w:t xml:space="preserve"> reduced to as low as reasonably practicable</w:t>
      </w:r>
      <w:r w:rsidR="00A4093D" w:rsidRPr="00F670B6">
        <w:rPr>
          <w:rFonts w:cstheme="minorHAnsi"/>
        </w:rPr>
        <w:t xml:space="preserve">. </w:t>
      </w:r>
    </w:p>
    <w:p w14:paraId="070AB9CF" w14:textId="00DEE1A7" w:rsidR="00751954" w:rsidRPr="00F670B6" w:rsidRDefault="00D00D23" w:rsidP="001013D0">
      <w:pPr>
        <w:keepNext/>
        <w:keepLines/>
        <w:spacing w:before="120" w:after="120" w:line="276" w:lineRule="auto"/>
        <w:rPr>
          <w:rFonts w:cstheme="minorHAnsi"/>
        </w:rPr>
      </w:pPr>
      <w:r w:rsidRPr="00F670B6">
        <w:rPr>
          <w:rFonts w:cstheme="minorHAnsi"/>
        </w:rPr>
        <w:t xml:space="preserve">After it is prepared by the titleholder, the WOMP is submitted to NOPSEMA. NOPSEMA then assesses the WOMP against the criteria set down in the RMA </w:t>
      </w:r>
      <w:proofErr w:type="gramStart"/>
      <w:r w:rsidRPr="00F670B6">
        <w:rPr>
          <w:rFonts w:cstheme="minorHAnsi"/>
        </w:rPr>
        <w:t>Regulations, and</w:t>
      </w:r>
      <w:proofErr w:type="gramEnd"/>
      <w:r w:rsidRPr="00F670B6">
        <w:rPr>
          <w:rFonts w:cstheme="minorHAnsi"/>
        </w:rPr>
        <w:t xml:space="preserve"> determines whether to accept or reject the WOMP. It is an offence to undertake a</w:t>
      </w:r>
      <w:r w:rsidR="00751954" w:rsidRPr="00F670B6">
        <w:rPr>
          <w:rFonts w:cstheme="minorHAnsi"/>
        </w:rPr>
        <w:t xml:space="preserve"> well activity in Commonwealth waters without an accepted WOMP that provides for </w:t>
      </w:r>
      <w:r w:rsidRPr="00F670B6">
        <w:rPr>
          <w:rFonts w:cstheme="minorHAnsi"/>
        </w:rPr>
        <w:t>the</w:t>
      </w:r>
      <w:r w:rsidR="00751954" w:rsidRPr="00F670B6">
        <w:rPr>
          <w:rFonts w:cstheme="minorHAnsi"/>
        </w:rPr>
        <w:t xml:space="preserve"> activity. </w:t>
      </w:r>
    </w:p>
    <w:p w14:paraId="513A18A5" w14:textId="3B9837C1" w:rsidR="007C5804" w:rsidRPr="00F670B6" w:rsidRDefault="00D00D23" w:rsidP="001013D0">
      <w:pPr>
        <w:keepNext/>
        <w:keepLines/>
        <w:spacing w:before="120" w:after="120" w:line="276" w:lineRule="auto"/>
        <w:rPr>
          <w:rFonts w:cstheme="minorHAnsi"/>
        </w:rPr>
      </w:pPr>
      <w:r w:rsidRPr="00F670B6">
        <w:rPr>
          <w:rFonts w:cstheme="minorHAnsi"/>
        </w:rPr>
        <w:t>F</w:t>
      </w:r>
      <w:r w:rsidR="002E66F3" w:rsidRPr="00F670B6">
        <w:rPr>
          <w:rFonts w:cstheme="minorHAnsi"/>
        </w:rPr>
        <w:t>or certain well activities, the titleholder must also provide NOPSEMA with advance notice of the activity before it commences.</w:t>
      </w:r>
    </w:p>
    <w:sectPr w:rsidR="007C5804" w:rsidRPr="00F670B6" w:rsidSect="00CD3D65">
      <w:headerReference w:type="even" r:id="rId69"/>
      <w:headerReference w:type="default" r:id="rId70"/>
      <w:headerReference w:type="first" r:id="rId71"/>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7AE1" w14:textId="77777777" w:rsidR="00F86D1E" w:rsidRDefault="00F86D1E" w:rsidP="00114FE8">
      <w:r>
        <w:separator/>
      </w:r>
    </w:p>
  </w:endnote>
  <w:endnote w:type="continuationSeparator" w:id="0">
    <w:p w14:paraId="58A6C981" w14:textId="77777777" w:rsidR="00F86D1E" w:rsidRDefault="00F86D1E" w:rsidP="00114FE8">
      <w:r>
        <w:continuationSeparator/>
      </w:r>
    </w:p>
  </w:endnote>
  <w:endnote w:type="continuationNotice" w:id="1">
    <w:p w14:paraId="758E9DD0" w14:textId="77777777" w:rsidR="00F86D1E" w:rsidRDefault="00F86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4F19" w14:textId="398AA34C" w:rsidR="009C111B" w:rsidRDefault="00C917F9" w:rsidP="009D45E9">
    <w:pPr>
      <w:pStyle w:val="Footer"/>
      <w:jc w:val="right"/>
      <w:rPr>
        <w:noProof/>
      </w:rPr>
    </w:pPr>
    <w:sdt>
      <w:sdtPr>
        <w:id w:val="1938016898"/>
        <w:docPartObj>
          <w:docPartGallery w:val="Page Numbers (Bottom of Page)"/>
          <w:docPartUnique/>
        </w:docPartObj>
      </w:sdtPr>
      <w:sdtEndPr>
        <w:rPr>
          <w:noProof/>
        </w:rPr>
      </w:sdtEndPr>
      <w:sdtContent>
        <w:r w:rsidR="009C111B">
          <w:fldChar w:fldCharType="begin"/>
        </w:r>
        <w:r w:rsidR="009C111B">
          <w:instrText xml:space="preserve"> PAGE   \* MERGEFORMAT </w:instrText>
        </w:r>
        <w:r w:rsidR="009C111B">
          <w:fldChar w:fldCharType="separate"/>
        </w:r>
        <w:r w:rsidR="002A47D8">
          <w:rPr>
            <w:noProof/>
          </w:rPr>
          <w:t>2</w:t>
        </w:r>
        <w:r w:rsidR="009C111B">
          <w:rPr>
            <w:noProof/>
          </w:rPr>
          <w:fldChar w:fldCharType="end"/>
        </w:r>
      </w:sdtContent>
    </w:sdt>
  </w:p>
  <w:p w14:paraId="5355666B" w14:textId="0EDFCEF4" w:rsidR="009C111B" w:rsidRPr="00303507" w:rsidRDefault="009C111B" w:rsidP="009D45E9">
    <w:pPr>
      <w:pStyle w:val="Header"/>
      <w:jc w:val="both"/>
    </w:pPr>
    <w:r>
      <w:t>Guideline: Offshore petroleum</w:t>
    </w:r>
    <w:r w:rsidR="0079158F">
      <w:t xml:space="preserve"> </w:t>
    </w:r>
    <w:r>
      <w:t>decommissioning</w:t>
    </w:r>
    <w:r w:rsidR="00B8382B">
      <w:tab/>
    </w:r>
    <w:r w:rsidR="00B8382B">
      <w:tab/>
      <w:t>industry.gov.au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1C74" w14:textId="3A72526F" w:rsidR="009C111B" w:rsidRDefault="009C111B" w:rsidP="0038106E">
    <w:pPr>
      <w:pStyle w:val="Header"/>
      <w:jc w:val="center"/>
      <w:rPr>
        <w:b/>
        <w:color w:val="FF0000"/>
        <w:sz w:val="28"/>
        <w:szCs w:val="28"/>
      </w:rPr>
    </w:pPr>
  </w:p>
  <w:p w14:paraId="632553E0" w14:textId="77777777" w:rsidR="009C111B" w:rsidRPr="00FF27C5" w:rsidRDefault="009C111B" w:rsidP="00FF27C5">
    <w:pPr>
      <w:pStyle w:val="Header"/>
      <w:jc w:val="both"/>
      <w:rPr>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A5819" w14:textId="77777777" w:rsidR="00F86D1E" w:rsidRDefault="00F86D1E" w:rsidP="00114FE8">
      <w:r>
        <w:separator/>
      </w:r>
    </w:p>
  </w:footnote>
  <w:footnote w:type="continuationSeparator" w:id="0">
    <w:p w14:paraId="3BA6F382" w14:textId="77777777" w:rsidR="00F86D1E" w:rsidRDefault="00F86D1E" w:rsidP="00114FE8">
      <w:r>
        <w:continuationSeparator/>
      </w:r>
    </w:p>
  </w:footnote>
  <w:footnote w:type="continuationNotice" w:id="1">
    <w:p w14:paraId="278342DE" w14:textId="77777777" w:rsidR="00F86D1E" w:rsidRDefault="00F86D1E"/>
  </w:footnote>
  <w:footnote w:id="2">
    <w:p w14:paraId="4D2315DF" w14:textId="15F810B9" w:rsidR="009C111B" w:rsidRPr="00BA7D19" w:rsidRDefault="009C111B" w:rsidP="00A51101">
      <w:pPr>
        <w:pStyle w:val="FootnoteText"/>
        <w:spacing w:before="120" w:after="120"/>
        <w:rPr>
          <w:rFonts w:cstheme="minorHAnsi"/>
        </w:rPr>
      </w:pPr>
      <w:r w:rsidRPr="00BA7D19">
        <w:rPr>
          <w:rStyle w:val="FootnoteReference"/>
          <w:rFonts w:cstheme="minorHAnsi"/>
        </w:rPr>
        <w:footnoteRef/>
      </w:r>
      <w:r w:rsidRPr="00BA7D19">
        <w:rPr>
          <w:rFonts w:cstheme="minorHAnsi"/>
        </w:rPr>
        <w:t xml:space="preserve"> From 1 July 2017, one penalty unit equates to $210 under </w:t>
      </w:r>
      <w:r>
        <w:rPr>
          <w:rFonts w:cstheme="minorHAnsi"/>
        </w:rPr>
        <w:t>s</w:t>
      </w:r>
      <w:r w:rsidRPr="00BA7D19">
        <w:rPr>
          <w:rFonts w:cstheme="minorHAnsi"/>
        </w:rPr>
        <w:t xml:space="preserve"> 4AA of the </w:t>
      </w:r>
      <w:hyperlink r:id="rId1" w:history="1">
        <w:r w:rsidRPr="00BA7D19">
          <w:rPr>
            <w:rStyle w:val="Hyperlink"/>
            <w:rFonts w:cstheme="minorHAnsi"/>
          </w:rPr>
          <w:t>Crimes Act 1914</w:t>
        </w:r>
      </w:hyperlink>
      <w:r w:rsidRPr="00BA7D19">
        <w:rPr>
          <w:rFonts w:cstheme="minorHAnsi"/>
        </w:rPr>
        <w:t>. Consumer Price Indexation adjustment of the penalty unit amount occurs every three years thereafter.</w:t>
      </w:r>
    </w:p>
  </w:footnote>
  <w:footnote w:id="3">
    <w:p w14:paraId="4AAE5126" w14:textId="4380251C" w:rsidR="009C111B" w:rsidRDefault="009C111B" w:rsidP="004113A5">
      <w:pPr>
        <w:pStyle w:val="FootnoteText"/>
        <w:rPr>
          <w:rFonts w:ascii="Calibri" w:hAnsi="Calibri"/>
        </w:rPr>
      </w:pPr>
      <w:r w:rsidRPr="0008604D">
        <w:rPr>
          <w:rStyle w:val="FootnoteReference"/>
          <w:rFonts w:ascii="Calibri" w:hAnsi="Calibri"/>
        </w:rPr>
        <w:footnoteRef/>
      </w:r>
      <w:r w:rsidRPr="0008604D">
        <w:rPr>
          <w:rFonts w:ascii="Calibri" w:hAnsi="Calibri"/>
        </w:rPr>
        <w:t xml:space="preserve"> Under the OPGGS Act, the </w:t>
      </w:r>
      <w:r w:rsidRPr="006971AD">
        <w:rPr>
          <w:rFonts w:ascii="Calibri" w:hAnsi="Calibri"/>
          <w:b/>
          <w:i/>
        </w:rPr>
        <w:t>surrender area</w:t>
      </w:r>
      <w:r>
        <w:rPr>
          <w:rFonts w:ascii="Calibri" w:hAnsi="Calibri"/>
        </w:rPr>
        <w:t xml:space="preserve"> is, in the case of a petroleum production licence or petroleum exploration permit, </w:t>
      </w:r>
      <w:r w:rsidRPr="0008604D">
        <w:rPr>
          <w:rFonts w:ascii="Calibri" w:hAnsi="Calibri"/>
        </w:rPr>
        <w:t xml:space="preserve">the area constituted by the block or blocks </w:t>
      </w:r>
      <w:r>
        <w:rPr>
          <w:rFonts w:ascii="Calibri" w:hAnsi="Calibri"/>
        </w:rPr>
        <w:t>as</w:t>
      </w:r>
      <w:r w:rsidRPr="0008604D">
        <w:rPr>
          <w:rFonts w:ascii="Calibri" w:hAnsi="Calibri"/>
        </w:rPr>
        <w:t xml:space="preserve"> to which the </w:t>
      </w:r>
      <w:r>
        <w:rPr>
          <w:rFonts w:ascii="Calibri" w:hAnsi="Calibri"/>
        </w:rPr>
        <w:t>permit or licence</w:t>
      </w:r>
      <w:r w:rsidRPr="0008604D">
        <w:rPr>
          <w:rFonts w:ascii="Calibri" w:hAnsi="Calibri"/>
        </w:rPr>
        <w:t xml:space="preserve"> will be surrendered. </w:t>
      </w:r>
      <w:r>
        <w:rPr>
          <w:rFonts w:ascii="Calibri" w:hAnsi="Calibri"/>
        </w:rPr>
        <w:t xml:space="preserve">For retention leases and </w:t>
      </w:r>
      <w:r w:rsidRPr="004D2F3F">
        <w:rPr>
          <w:rFonts w:ascii="Calibri" w:hAnsi="Calibri"/>
        </w:rPr>
        <w:t>infrastructure</w:t>
      </w:r>
      <w:r>
        <w:rPr>
          <w:rFonts w:ascii="Calibri" w:hAnsi="Calibri"/>
        </w:rPr>
        <w:t xml:space="preserve"> licences, the </w:t>
      </w:r>
      <w:r>
        <w:rPr>
          <w:rFonts w:ascii="Calibri" w:hAnsi="Calibri"/>
          <w:b/>
          <w:i/>
        </w:rPr>
        <w:t>surrender area</w:t>
      </w:r>
      <w:r>
        <w:rPr>
          <w:rFonts w:ascii="Calibri" w:hAnsi="Calibri"/>
        </w:rPr>
        <w:t xml:space="preserve"> is the title area. </w:t>
      </w:r>
    </w:p>
    <w:p w14:paraId="560AF85B" w14:textId="3A931856" w:rsidR="009C111B" w:rsidRPr="0008604D" w:rsidRDefault="009C111B" w:rsidP="004113A5">
      <w:pPr>
        <w:pStyle w:val="FootnoteText"/>
        <w:spacing w:before="120" w:after="120"/>
        <w:rPr>
          <w:rFonts w:ascii="Calibri" w:hAnsi="Calibri"/>
        </w:rPr>
      </w:pPr>
      <w:r>
        <w:rPr>
          <w:rFonts w:ascii="Calibri" w:hAnsi="Calibri"/>
        </w:rPr>
        <w:t xml:space="preserve">For pipeline licences, the </w:t>
      </w:r>
      <w:r>
        <w:rPr>
          <w:rFonts w:ascii="Calibri" w:hAnsi="Calibri"/>
          <w:b/>
          <w:i/>
        </w:rPr>
        <w:t xml:space="preserve">surrender area </w:t>
      </w:r>
      <w:r>
        <w:rPr>
          <w:rFonts w:ascii="Calibri" w:hAnsi="Calibri"/>
        </w:rPr>
        <w:t>is the part of the offshore area in which the pipeline is constructed (if the licence is to be surrendered as to the whole of the pipeline), or the part of the offshore area in which the relevant part of the pipeline is constructed (if the licence is to be surrendered as to a part of the pipeline).</w:t>
      </w:r>
    </w:p>
  </w:footnote>
  <w:footnote w:id="4">
    <w:p w14:paraId="13EE69A9" w14:textId="77777777" w:rsidR="009C111B" w:rsidRDefault="009C111B" w:rsidP="00E5003A">
      <w:pPr>
        <w:pStyle w:val="FootnoteText"/>
      </w:pPr>
      <w:r>
        <w:rPr>
          <w:rStyle w:val="FootnoteReference"/>
        </w:rPr>
        <w:footnoteRef/>
      </w:r>
      <w:r>
        <w:t xml:space="preserve"> </w:t>
      </w:r>
      <w:r w:rsidRPr="00FE7968">
        <w:t>‘</w:t>
      </w:r>
      <w:r w:rsidRPr="00FE7968">
        <w:rPr>
          <w:rFonts w:cs="Arial"/>
        </w:rPr>
        <w:t>Vacant acreage’ is the term generally used to refer to an area not subject to an existing petroleum exploration permit, retention lease or production licence.</w:t>
      </w:r>
    </w:p>
  </w:footnote>
  <w:footnote w:id="5">
    <w:p w14:paraId="0B9AD116" w14:textId="77777777" w:rsidR="009C111B" w:rsidRDefault="009C111B" w:rsidP="00E72AB4">
      <w:pPr>
        <w:pStyle w:val="ListParagraph"/>
        <w:spacing w:before="120" w:after="120"/>
        <w:ind w:left="0" w:firstLine="0"/>
        <w:contextualSpacing w:val="0"/>
      </w:pPr>
      <w:r>
        <w:rPr>
          <w:rStyle w:val="FootnoteReference"/>
        </w:rPr>
        <w:footnoteRef/>
      </w:r>
      <w:r>
        <w:t xml:space="preserve"> </w:t>
      </w:r>
      <w:hyperlink r:id="rId2" w:tooltip="https://www.nopsema.gov.au/assets/Guidance-notes/A138249.pdf" w:history="1">
        <w:r w:rsidRPr="00C4427D">
          <w:rPr>
            <w:rFonts w:ascii="Calibri" w:eastAsia="Times New Roman" w:hAnsi="Calibri" w:cs="Times New Roman"/>
            <w:color w:val="0070C0"/>
            <w:sz w:val="20"/>
            <w:szCs w:val="20"/>
            <w:u w:val="single"/>
            <w:lang w:eastAsia="en-AU"/>
          </w:rPr>
          <w:t>Further guidance on ‘ALARP</w:t>
        </w:r>
      </w:hyperlink>
      <w:r w:rsidRPr="00C4427D">
        <w:rPr>
          <w:rFonts w:ascii="Calibri" w:eastAsia="Times New Roman" w:hAnsi="Calibri" w:cs="Times New Roman"/>
          <w:color w:val="0070C0"/>
          <w:sz w:val="20"/>
          <w:szCs w:val="20"/>
          <w:u w:val="single"/>
          <w:lang w:eastAsia="en-AU"/>
        </w:rPr>
        <w:t>’</w:t>
      </w:r>
      <w:r w:rsidRPr="00C4427D">
        <w:rPr>
          <w:rFonts w:ascii="Calibri" w:eastAsia="Times New Roman" w:hAnsi="Calibri" w:cs="Times New Roman"/>
          <w:sz w:val="20"/>
          <w:szCs w:val="20"/>
          <w:lang w:eastAsia="en-AU"/>
        </w:rPr>
        <w:t xml:space="preserve"> and ‘acceptable’ is available on the </w:t>
      </w:r>
      <w:hyperlink r:id="rId3" w:history="1">
        <w:r w:rsidRPr="00C4427D">
          <w:rPr>
            <w:rStyle w:val="Hyperlink"/>
            <w:rFonts w:ascii="Calibri" w:eastAsia="Times New Roman" w:hAnsi="Calibri" w:cs="Times New Roman"/>
            <w:sz w:val="20"/>
            <w:szCs w:val="20"/>
            <w:lang w:eastAsia="en-AU"/>
          </w:rPr>
          <w:t>NOPSEMA website</w:t>
        </w:r>
      </w:hyperlink>
      <w:r w:rsidRPr="00C4427D">
        <w:rPr>
          <w:rFonts w:ascii="Calibri" w:eastAsia="Times New Roman" w:hAnsi="Calibri" w:cs="Times New Roman"/>
          <w:sz w:val="20"/>
          <w:szCs w:val="20"/>
          <w:lang w:eastAsia="en-AU"/>
        </w:rPr>
        <w:t>.</w:t>
      </w:r>
    </w:p>
  </w:footnote>
  <w:footnote w:id="6">
    <w:p w14:paraId="4D53EBDE" w14:textId="77777777" w:rsidR="009C111B" w:rsidRPr="00421B24" w:rsidRDefault="009C111B" w:rsidP="001808AC">
      <w:pPr>
        <w:pStyle w:val="FootnoteText"/>
        <w:spacing w:before="120" w:after="120"/>
        <w:rPr>
          <w:rFonts w:cstheme="minorHAnsi"/>
        </w:rPr>
      </w:pPr>
      <w:r w:rsidRPr="00421B24">
        <w:rPr>
          <w:rStyle w:val="FootnoteReference"/>
          <w:rFonts w:cstheme="minorHAnsi"/>
        </w:rPr>
        <w:footnoteRef/>
      </w:r>
      <w:r w:rsidRPr="00421B24">
        <w:rPr>
          <w:rFonts w:cstheme="minorHAnsi"/>
        </w:rPr>
        <w:t xml:space="preserve"> Under the Environment Regulations, a </w:t>
      </w:r>
      <w:r w:rsidRPr="00421B24">
        <w:rPr>
          <w:rFonts w:cstheme="minorHAnsi"/>
          <w:b/>
          <w:i/>
        </w:rPr>
        <w:t>petroleum activity</w:t>
      </w:r>
      <w:r w:rsidRPr="00421B24">
        <w:rPr>
          <w:rFonts w:cstheme="minorHAnsi"/>
        </w:rPr>
        <w:t xml:space="preserve"> means operations or works in an offshore area, undertaken for the purpose of:</w:t>
      </w:r>
    </w:p>
    <w:p w14:paraId="278C8A4D" w14:textId="77777777" w:rsidR="009C111B" w:rsidRPr="00421B24" w:rsidRDefault="009C111B" w:rsidP="001808AC">
      <w:pPr>
        <w:pStyle w:val="FootnoteText"/>
        <w:rPr>
          <w:rFonts w:cstheme="minorHAnsi"/>
        </w:rPr>
      </w:pPr>
      <w:r w:rsidRPr="00421B24">
        <w:rPr>
          <w:rFonts w:cstheme="minorHAnsi"/>
        </w:rPr>
        <w:t>(a) exercising a right conferred on a petroleum titleholder under the OPGGS Act by a petroleum title; or</w:t>
      </w:r>
    </w:p>
    <w:p w14:paraId="55A27FF7" w14:textId="77777777" w:rsidR="009C111B" w:rsidRPr="00371125" w:rsidRDefault="009C111B" w:rsidP="001808AC">
      <w:pPr>
        <w:pStyle w:val="FootnoteText"/>
        <w:spacing w:before="120" w:after="120"/>
        <w:rPr>
          <w:rFonts w:ascii="Calibri" w:hAnsi="Calibri"/>
        </w:rPr>
      </w:pPr>
      <w:r w:rsidRPr="00421B24">
        <w:rPr>
          <w:rFonts w:cstheme="minorHAnsi"/>
        </w:rPr>
        <w:t>(b) discharging an obligation imposed on a petroleum titleholder by the OPGGS Act or a legislative instrument under the Act.</w:t>
      </w:r>
    </w:p>
  </w:footnote>
  <w:footnote w:id="7">
    <w:p w14:paraId="56141852" w14:textId="77777777" w:rsidR="009C111B" w:rsidRPr="009D532F" w:rsidRDefault="009C111B" w:rsidP="001808AC">
      <w:pPr>
        <w:pStyle w:val="Definition"/>
        <w:spacing w:before="120" w:after="120"/>
        <w:ind w:left="0"/>
        <w:rPr>
          <w:rFonts w:cstheme="minorHAnsi"/>
          <w:sz w:val="20"/>
        </w:rPr>
      </w:pPr>
      <w:r w:rsidRPr="009D532F">
        <w:rPr>
          <w:rStyle w:val="FootnoteReference"/>
          <w:rFonts w:cstheme="minorHAnsi"/>
          <w:sz w:val="20"/>
        </w:rPr>
        <w:footnoteRef/>
      </w:r>
      <w:r w:rsidRPr="009D532F">
        <w:rPr>
          <w:rFonts w:cstheme="minorHAnsi"/>
          <w:sz w:val="20"/>
        </w:rPr>
        <w:t xml:space="preserve"> For the purposes of the OPGGS Act, </w:t>
      </w:r>
      <w:r w:rsidRPr="009D532F">
        <w:rPr>
          <w:rFonts w:cstheme="minorHAnsi"/>
          <w:b/>
          <w:i/>
          <w:sz w:val="20"/>
        </w:rPr>
        <w:t>natural resources</w:t>
      </w:r>
      <w:r w:rsidRPr="009D532F">
        <w:rPr>
          <w:rFonts w:cstheme="minorHAnsi"/>
          <w:sz w:val="20"/>
        </w:rPr>
        <w:t xml:space="preserve"> has the meaning given by Article 77, paragraph 4 of the United Nations Convention on the Law of the Sea (UNCLOS), which states:</w:t>
      </w:r>
    </w:p>
    <w:p w14:paraId="0413E8DA" w14:textId="41C102B9" w:rsidR="009C111B" w:rsidRDefault="009C111B" w:rsidP="00A0300E">
      <w:pPr>
        <w:pStyle w:val="Definition"/>
        <w:spacing w:before="120" w:after="120"/>
        <w:ind w:left="0"/>
      </w:pPr>
      <w:r w:rsidRPr="009D532F">
        <w:rPr>
          <w:rFonts w:cstheme="minorHAnsi"/>
          <w:sz w:val="20"/>
        </w:rPr>
        <w:tab/>
        <w:t>“The natural resources referred to in this Part consist of the mineral and other non</w:t>
      </w:r>
      <w:r w:rsidRPr="009D532F">
        <w:rPr>
          <w:rFonts w:cstheme="minorHAnsi"/>
          <w:sz w:val="20"/>
        </w:rPr>
        <w:noBreakHyphen/>
        <w:t xml:space="preserve">living resources of </w:t>
      </w:r>
      <w:r w:rsidRPr="009D532F">
        <w:rPr>
          <w:rFonts w:cstheme="minorHAnsi"/>
          <w:sz w:val="20"/>
        </w:rPr>
        <w:tab/>
        <w:t xml:space="preserve">the seabed and subsoil together with living organisms belonging to sedentary species, that is to say, </w:t>
      </w:r>
      <w:r w:rsidRPr="009D532F">
        <w:rPr>
          <w:rFonts w:cstheme="minorHAnsi"/>
          <w:sz w:val="20"/>
        </w:rPr>
        <w:tab/>
        <w:t xml:space="preserve">organisms which, at the harvestable stage, either are immobile on or under the seabed or are unable </w:t>
      </w:r>
      <w:r w:rsidRPr="009D532F">
        <w:rPr>
          <w:rFonts w:cstheme="minorHAnsi"/>
          <w:sz w:val="20"/>
        </w:rPr>
        <w:tab/>
        <w:t>to move except in constant physical contact with the seabed or the</w:t>
      </w:r>
      <w:r w:rsidRPr="005371DF">
        <w:rPr>
          <w:rFonts w:ascii="Calibri" w:hAnsi="Calibri"/>
          <w:sz w:val="20"/>
        </w:rPr>
        <w:t xml:space="preserve"> subsoil.”</w:t>
      </w:r>
    </w:p>
  </w:footnote>
  <w:footnote w:id="8">
    <w:p w14:paraId="3ECDDED4" w14:textId="24A3FCB9" w:rsidR="009C111B" w:rsidRDefault="009C111B">
      <w:pPr>
        <w:pStyle w:val="FootnoteText"/>
      </w:pPr>
      <w:r>
        <w:rPr>
          <w:rStyle w:val="FootnoteReference"/>
        </w:rPr>
        <w:footnoteRef/>
      </w:r>
      <w:r>
        <w:t xml:space="preserve"> Where deviations from removal of all property are proposed, EPBC Act approvals may be needed in line with sea dumping requirements.</w:t>
      </w:r>
    </w:p>
  </w:footnote>
  <w:footnote w:id="9">
    <w:p w14:paraId="0AD89EBB" w14:textId="77777777" w:rsidR="009C111B" w:rsidRDefault="009C111B" w:rsidP="001808AC">
      <w:pPr>
        <w:pStyle w:val="FootnoteText"/>
      </w:pPr>
      <w:r w:rsidRPr="007F739A">
        <w:rPr>
          <w:rStyle w:val="FootnoteReference"/>
        </w:rPr>
        <w:footnoteRef/>
      </w:r>
      <w:r w:rsidRPr="007F739A">
        <w:t xml:space="preserve"> Where this document refers to plugging and abandonment, it has the same meaning as “plugged and closed off” in the OPGGS Act and “permanently abandoned” in the RMA Regulations.</w:t>
      </w:r>
    </w:p>
  </w:footnote>
  <w:footnote w:id="10">
    <w:p w14:paraId="66454F30" w14:textId="3342C729" w:rsidR="009C111B" w:rsidRDefault="009C111B">
      <w:pPr>
        <w:pStyle w:val="FootnoteText"/>
      </w:pPr>
      <w:r>
        <w:rPr>
          <w:rStyle w:val="FootnoteReference"/>
        </w:rPr>
        <w:footnoteRef/>
      </w:r>
      <w:r>
        <w:t xml:space="preserve"> ‘Vacated area’ is defined in section 14 of the OPGGS Act.</w:t>
      </w:r>
    </w:p>
  </w:footnote>
  <w:footnote w:id="11">
    <w:p w14:paraId="7131B908" w14:textId="77777777" w:rsidR="009C111B" w:rsidRPr="007E3BE3" w:rsidRDefault="009C111B" w:rsidP="00E04D12">
      <w:pPr>
        <w:pStyle w:val="Heading1"/>
        <w:tabs>
          <w:tab w:val="left" w:pos="709"/>
        </w:tabs>
      </w:pPr>
      <w:r w:rsidRPr="00DF02D5">
        <w:rPr>
          <w:rStyle w:val="FootnoteReference"/>
          <w:color w:val="auto"/>
          <w:sz w:val="20"/>
          <w:szCs w:val="20"/>
        </w:rPr>
        <w:footnoteRef/>
      </w:r>
      <w:r w:rsidRPr="00DF02D5">
        <w:rPr>
          <w:color w:val="auto"/>
          <w:sz w:val="20"/>
          <w:szCs w:val="20"/>
        </w:rPr>
        <w:t xml:space="preserve"> </w:t>
      </w:r>
      <w:r w:rsidRPr="00DF02D5">
        <w:rPr>
          <w:rFonts w:ascii="Calibri" w:eastAsia="Times New Roman" w:hAnsi="Calibri" w:cs="Times New Roman"/>
          <w:color w:val="auto"/>
          <w:sz w:val="20"/>
          <w:szCs w:val="20"/>
          <w:lang w:eastAsia="en-AU"/>
        </w:rPr>
        <w:t>Except in the case of special prospecting authorities and access authorities.</w:t>
      </w:r>
    </w:p>
  </w:footnote>
  <w:footnote w:id="12">
    <w:p w14:paraId="11B21441" w14:textId="7D02F063" w:rsidR="009C111B" w:rsidRPr="00530009" w:rsidRDefault="009C111B" w:rsidP="00C66EC1">
      <w:pPr>
        <w:pStyle w:val="FootnoteText"/>
        <w:rPr>
          <w:rFonts w:cstheme="minorHAnsi"/>
        </w:rPr>
      </w:pPr>
      <w:r w:rsidRPr="00530009">
        <w:rPr>
          <w:rStyle w:val="FootnoteReference"/>
          <w:rFonts w:cstheme="minorHAnsi"/>
        </w:rPr>
        <w:footnoteRef/>
      </w:r>
      <w:r w:rsidRPr="00530009">
        <w:rPr>
          <w:rFonts w:cstheme="minorHAnsi"/>
        </w:rPr>
        <w:t xml:space="preserve"> ‘Australian waters’, as defined for the purposes of the Sea Dumping Act, cover the territorial seas (other than seas within the limits of a state or the Northern Territory), the exclusive economic zone, and waters above the Australian continental shelf. This is broader than the coverage of ‘Commonwealth waters’ under the OPGGS Act, which extends from three nautical miles seaward of the territorial sea baseline.</w:t>
      </w:r>
    </w:p>
  </w:footnote>
  <w:footnote w:id="13">
    <w:p w14:paraId="2909C1BF" w14:textId="124D45A6" w:rsidR="009C111B" w:rsidRPr="00F670B6" w:rsidRDefault="009C111B" w:rsidP="0022427F">
      <w:pPr>
        <w:pStyle w:val="FootnoteText"/>
        <w:spacing w:before="120" w:after="120"/>
        <w:rPr>
          <w:rFonts w:cstheme="minorHAnsi"/>
        </w:rPr>
      </w:pPr>
      <w:r w:rsidRPr="006F5DD2">
        <w:rPr>
          <w:rStyle w:val="FootnoteReference"/>
          <w:rFonts w:ascii="Calibri" w:hAnsi="Calibri"/>
        </w:rPr>
        <w:footnoteRef/>
      </w:r>
      <w:r w:rsidRPr="006F5DD2">
        <w:rPr>
          <w:rFonts w:ascii="Calibri" w:hAnsi="Calibri"/>
        </w:rPr>
        <w:t xml:space="preserve"> </w:t>
      </w:r>
      <w:r w:rsidRPr="00F670B6">
        <w:rPr>
          <w:rFonts w:cstheme="minorHAnsi"/>
        </w:rPr>
        <w:t xml:space="preserve">Under the OPGGS Act, the responsible Commonwealth Minister is the Minister who is responsible for the administration of that Act. This is typically the Minister with portfolio responsibility for resources matters.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EFB0" w14:textId="13F63E7D" w:rsidR="009C111B" w:rsidRDefault="009C111B" w:rsidP="009D45E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4417" w14:textId="1EAE1296" w:rsidR="009C111B" w:rsidRDefault="009C111B" w:rsidP="003A402E">
    <w:pPr>
      <w:pStyle w:val="Header"/>
      <w:jc w:val="center"/>
      <w:rPr>
        <w:b/>
        <w:color w:val="FF0000"/>
        <w:sz w:val="28"/>
        <w:szCs w:val="28"/>
      </w:rPr>
    </w:pPr>
  </w:p>
  <w:p w14:paraId="709A7B7C" w14:textId="07025DC3" w:rsidR="009C111B" w:rsidRPr="003A402E" w:rsidRDefault="009C111B" w:rsidP="003A402E">
    <w:pPr>
      <w:pStyle w:val="Header"/>
    </w:pPr>
    <w:r>
      <w:rPr>
        <w:noProof/>
        <w:lang w:eastAsia="en-AU"/>
      </w:rPr>
      <w:drawing>
        <wp:inline distT="0" distB="0" distL="0" distR="0" wp14:anchorId="7A985536" wp14:editId="4109FD51">
          <wp:extent cx="2678430" cy="694055"/>
          <wp:effectExtent l="0" t="0" r="7620" b="0"/>
          <wp:docPr id="1" name="Picture 1" descr="Australian Government | Department of Industry, Science, Energy and Resources logo" title="Australian Government | Department of Industry, Science, Energy and Resources"/>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Energy and Resources logo" title="Australian Government | Department of Industry, Science, Energy and Resources"/>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1605" cy="6946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82F2" w14:textId="5C15A299" w:rsidR="009C111B" w:rsidRDefault="009C11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6EF7" w14:textId="450BB234" w:rsidR="009C111B" w:rsidRDefault="009C111B">
    <w:pPr>
      <w:pStyle w:val="Header"/>
    </w:pPr>
  </w:p>
  <w:p w14:paraId="1F634549" w14:textId="08D26734" w:rsidR="009C111B" w:rsidRPr="00FD5B86" w:rsidRDefault="009C111B" w:rsidP="005D1B0C">
    <w:pPr>
      <w:pStyle w:val="Header"/>
      <w:tabs>
        <w:tab w:val="left" w:pos="6804"/>
        <w:tab w:val="left" w:pos="6946"/>
        <w:tab w:val="left" w:pos="7088"/>
      </w:tabs>
    </w:pPr>
    <w:r>
      <w:rPr>
        <w:b/>
        <w:color w:val="FF0000"/>
        <w:sz w:val="28"/>
        <w:szCs w:val="28"/>
      </w:rPr>
      <w:t xml:space="preserve">                                                                                                     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2A15" w14:textId="68C80285" w:rsidR="009C111B" w:rsidRDefault="009C11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852C" w14:textId="2B53AE2E" w:rsidR="009C111B" w:rsidRDefault="009C11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E58E" w14:textId="444DF034" w:rsidR="009C111B" w:rsidRPr="00FD5B86" w:rsidRDefault="009C111B" w:rsidP="00CD3D65">
    <w:pPr>
      <w:pStyle w:val="Header"/>
      <w:jc w:val="center"/>
    </w:pPr>
    <w:r>
      <w:rPr>
        <w:b/>
        <w:color w:val="FF0000"/>
        <w:sz w:val="28"/>
        <w:szCs w:val="28"/>
      </w:rPr>
      <w:t>OFFICIAL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A14B" w14:textId="6CC060EF" w:rsidR="009C111B" w:rsidRDefault="009C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A905E7C"/>
    <w:lvl w:ilvl="0">
      <w:start w:val="1"/>
      <w:numFmt w:val="bullet"/>
      <w:pStyle w:val="ListBullet2"/>
      <w:lvlText w:val=""/>
      <w:lvlJc w:val="left"/>
      <w:pPr>
        <w:tabs>
          <w:tab w:val="num" w:pos="2204"/>
        </w:tabs>
        <w:ind w:left="2204" w:hanging="360"/>
      </w:pPr>
      <w:rPr>
        <w:rFonts w:ascii="Symbol" w:hAnsi="Symbol" w:hint="default"/>
      </w:rPr>
    </w:lvl>
  </w:abstractNum>
  <w:abstractNum w:abstractNumId="1" w15:restartNumberingAfterBreak="0">
    <w:nsid w:val="022E550F"/>
    <w:multiLevelType w:val="hybridMultilevel"/>
    <w:tmpl w:val="C16CE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03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1592" w:hanging="360"/>
      </w:pPr>
      <w:rPr>
        <w:rFonts w:ascii="Symbol" w:hAnsi="Symbol" w:hint="default"/>
      </w:rPr>
    </w:lvl>
    <w:lvl w:ilvl="4" w:tplc="0C090003" w:tentative="1">
      <w:start w:val="1"/>
      <w:numFmt w:val="bullet"/>
      <w:lvlText w:val="o"/>
      <w:lvlJc w:val="left"/>
      <w:pPr>
        <w:ind w:left="-872" w:hanging="360"/>
      </w:pPr>
      <w:rPr>
        <w:rFonts w:ascii="Courier New" w:hAnsi="Courier New" w:cs="Courier New" w:hint="default"/>
      </w:rPr>
    </w:lvl>
    <w:lvl w:ilvl="5" w:tplc="0C090005" w:tentative="1">
      <w:start w:val="1"/>
      <w:numFmt w:val="bullet"/>
      <w:lvlText w:val=""/>
      <w:lvlJc w:val="left"/>
      <w:pPr>
        <w:ind w:left="-152" w:hanging="360"/>
      </w:pPr>
      <w:rPr>
        <w:rFonts w:ascii="Wingdings" w:hAnsi="Wingdings" w:hint="default"/>
      </w:rPr>
    </w:lvl>
    <w:lvl w:ilvl="6" w:tplc="0C090001" w:tentative="1">
      <w:start w:val="1"/>
      <w:numFmt w:val="bullet"/>
      <w:lvlText w:val=""/>
      <w:lvlJc w:val="left"/>
      <w:pPr>
        <w:ind w:left="568" w:hanging="360"/>
      </w:pPr>
      <w:rPr>
        <w:rFonts w:ascii="Symbol" w:hAnsi="Symbol" w:hint="default"/>
      </w:rPr>
    </w:lvl>
    <w:lvl w:ilvl="7" w:tplc="0C090003" w:tentative="1">
      <w:start w:val="1"/>
      <w:numFmt w:val="bullet"/>
      <w:lvlText w:val="o"/>
      <w:lvlJc w:val="left"/>
      <w:pPr>
        <w:ind w:left="1288" w:hanging="360"/>
      </w:pPr>
      <w:rPr>
        <w:rFonts w:ascii="Courier New" w:hAnsi="Courier New" w:cs="Courier New" w:hint="default"/>
      </w:rPr>
    </w:lvl>
    <w:lvl w:ilvl="8" w:tplc="0C090005" w:tentative="1">
      <w:start w:val="1"/>
      <w:numFmt w:val="bullet"/>
      <w:lvlText w:val=""/>
      <w:lvlJc w:val="left"/>
      <w:pPr>
        <w:ind w:left="2008" w:hanging="360"/>
      </w:pPr>
      <w:rPr>
        <w:rFonts w:ascii="Wingdings" w:hAnsi="Wingdings" w:hint="default"/>
      </w:rPr>
    </w:lvl>
  </w:abstractNum>
  <w:abstractNum w:abstractNumId="2" w15:restartNumberingAfterBreak="0">
    <w:nsid w:val="032E27C7"/>
    <w:multiLevelType w:val="hybridMultilevel"/>
    <w:tmpl w:val="E36C5FAE"/>
    <w:lvl w:ilvl="0" w:tplc="0C090017">
      <w:start w:val="1"/>
      <w:numFmt w:val="lowerLetter"/>
      <w:lvlText w:val="%1)"/>
      <w:lvlJc w:val="left"/>
      <w:pPr>
        <w:ind w:left="360" w:hanging="360"/>
      </w:pPr>
    </w:lvl>
    <w:lvl w:ilvl="1" w:tplc="0C09001B">
      <w:start w:val="1"/>
      <w:numFmt w:val="lowerRoman"/>
      <w:lvlText w:val="%2."/>
      <w:lvlJc w:val="right"/>
      <w:pPr>
        <w:ind w:left="786"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0D6C1F"/>
    <w:multiLevelType w:val="multilevel"/>
    <w:tmpl w:val="57ACB374"/>
    <w:lvl w:ilvl="0">
      <w:start w:val="3"/>
      <w:numFmt w:val="decimal"/>
      <w:lvlText w:val="%1."/>
      <w:lvlJc w:val="left"/>
      <w:pPr>
        <w:tabs>
          <w:tab w:val="num" w:pos="454"/>
        </w:tabs>
        <w:ind w:left="454" w:hanging="341"/>
      </w:pPr>
      <w:rPr>
        <w:rFonts w:hint="default"/>
      </w:rPr>
    </w:lvl>
    <w:lvl w:ilvl="1">
      <w:start w:val="43"/>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B229B4"/>
    <w:multiLevelType w:val="multilevel"/>
    <w:tmpl w:val="F5BE065A"/>
    <w:styleLink w:val="Style2"/>
    <w:lvl w:ilvl="0">
      <w:start w:val="1"/>
      <w:numFmt w:val="decimal"/>
      <w:lvlText w:val="%1."/>
      <w:lvlJc w:val="left"/>
      <w:pPr>
        <w:ind w:left="360" w:hanging="360"/>
      </w:pPr>
      <w:rPr>
        <w:rFonts w:ascii="Calibri Light" w:eastAsiaTheme="majorEastAsia" w:hAnsi="Calibri Light" w:cstheme="majorBidi" w:hint="default"/>
        <w:b w:val="0"/>
        <w:i w:val="0"/>
        <w:sz w:val="48"/>
      </w:rPr>
    </w:lvl>
    <w:lvl w:ilvl="1">
      <w:start w:val="1"/>
      <w:numFmt w:val="decimal"/>
      <w:lvlText w:val="%1.%2."/>
      <w:lvlJc w:val="left"/>
      <w:pPr>
        <w:ind w:left="432" w:hanging="432"/>
      </w:pPr>
      <w:rPr>
        <w:rFonts w:asciiTheme="minorHAnsi" w:hAnsiTheme="minorHAnsi" w:cstheme="minorHAnsi" w:hint="default"/>
        <w:b w:val="0"/>
        <w:i w:val="0"/>
        <w:color w:val="auto"/>
        <w:sz w:val="22"/>
        <w:szCs w:val="22"/>
      </w:rPr>
    </w:lvl>
    <w:lvl w:ilvl="2">
      <w:start w:val="1"/>
      <w:numFmt w:val="bullet"/>
      <w:lvlText w:val=""/>
      <w:lvlJc w:val="left"/>
      <w:pPr>
        <w:ind w:left="1224" w:hanging="504"/>
      </w:pPr>
      <w:rPr>
        <w:rFonts w:ascii="Symbol" w:hAnsi="Symbol" w:hint="default"/>
        <w:b w:val="0"/>
        <w:i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C04EBC"/>
    <w:multiLevelType w:val="multilevel"/>
    <w:tmpl w:val="1C36AEA0"/>
    <w:styleLink w:val="Style21"/>
    <w:lvl w:ilvl="0">
      <w:start w:val="3"/>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767C0E"/>
    <w:multiLevelType w:val="multilevel"/>
    <w:tmpl w:val="945E4C14"/>
    <w:styleLink w:val="Style11"/>
    <w:lvl w:ilvl="0">
      <w:start w:val="5"/>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4C748D"/>
    <w:multiLevelType w:val="multilevel"/>
    <w:tmpl w:val="945E4C14"/>
    <w:styleLink w:val="Style8"/>
    <w:lvl w:ilvl="0">
      <w:start w:val="3"/>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1689F"/>
    <w:multiLevelType w:val="multilevel"/>
    <w:tmpl w:val="945E4C14"/>
    <w:numStyleLink w:val="Style10"/>
  </w:abstractNum>
  <w:abstractNum w:abstractNumId="9" w15:restartNumberingAfterBreak="0">
    <w:nsid w:val="1F5A065B"/>
    <w:multiLevelType w:val="multilevel"/>
    <w:tmpl w:val="ED322A96"/>
    <w:lvl w:ilvl="0">
      <w:start w:val="3"/>
      <w:numFmt w:val="decimal"/>
      <w:lvlText w:val="%1."/>
      <w:lvlJc w:val="left"/>
      <w:pPr>
        <w:tabs>
          <w:tab w:val="num" w:pos="454"/>
        </w:tabs>
        <w:ind w:left="454" w:hanging="341"/>
      </w:pPr>
      <w:rPr>
        <w:rFonts w:hint="default"/>
      </w:rPr>
    </w:lvl>
    <w:lvl w:ilvl="1">
      <w:start w:val="34"/>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F801F8F"/>
    <w:multiLevelType w:val="multilevel"/>
    <w:tmpl w:val="E8F47DCE"/>
    <w:styleLink w:val="Style12"/>
    <w:lvl w:ilvl="0">
      <w:start w:val="6"/>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02B3DCE"/>
    <w:multiLevelType w:val="multilevel"/>
    <w:tmpl w:val="945E4C14"/>
    <w:numStyleLink w:val="Style10"/>
  </w:abstractNum>
  <w:abstractNum w:abstractNumId="12" w15:restartNumberingAfterBreak="0">
    <w:nsid w:val="23E134C3"/>
    <w:multiLevelType w:val="multilevel"/>
    <w:tmpl w:val="171AB264"/>
    <w:lvl w:ilvl="0">
      <w:start w:val="3"/>
      <w:numFmt w:val="decimal"/>
      <w:lvlText w:val="%1."/>
      <w:lvlJc w:val="left"/>
      <w:pPr>
        <w:tabs>
          <w:tab w:val="num" w:pos="454"/>
        </w:tabs>
        <w:ind w:left="454" w:hanging="341"/>
      </w:pPr>
      <w:rPr>
        <w:rFonts w:hint="default"/>
      </w:rPr>
    </w:lvl>
    <w:lvl w:ilvl="1">
      <w:start w:val="26"/>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501758"/>
    <w:multiLevelType w:val="multilevel"/>
    <w:tmpl w:val="A9965602"/>
    <w:styleLink w:val="Style5"/>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1F735D"/>
    <w:multiLevelType w:val="multilevel"/>
    <w:tmpl w:val="945E4C14"/>
    <w:styleLink w:val="Style10"/>
    <w:lvl w:ilvl="0">
      <w:start w:val="4"/>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95B4230"/>
    <w:multiLevelType w:val="multilevel"/>
    <w:tmpl w:val="0C09001D"/>
    <w:styleLink w:val="Style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931F81"/>
    <w:multiLevelType w:val="hybridMultilevel"/>
    <w:tmpl w:val="F6220E02"/>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1B65AB"/>
    <w:multiLevelType w:val="multilevel"/>
    <w:tmpl w:val="945E4C14"/>
    <w:numStyleLink w:val="Style11"/>
  </w:abstractNum>
  <w:abstractNum w:abstractNumId="18" w15:restartNumberingAfterBreak="0">
    <w:nsid w:val="394677C5"/>
    <w:multiLevelType w:val="multilevel"/>
    <w:tmpl w:val="945E4C14"/>
    <w:numStyleLink w:val="Style8"/>
  </w:abstractNum>
  <w:abstractNum w:abstractNumId="19" w15:restartNumberingAfterBreak="0">
    <w:nsid w:val="3D0D53E9"/>
    <w:multiLevelType w:val="multilevel"/>
    <w:tmpl w:val="0014788E"/>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738"/>
        </w:tabs>
        <w:ind w:left="738" w:hanging="738"/>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E1C74E5"/>
    <w:multiLevelType w:val="multilevel"/>
    <w:tmpl w:val="945E4C14"/>
    <w:numStyleLink w:val="Style7"/>
  </w:abstractNum>
  <w:abstractNum w:abstractNumId="21" w15:restartNumberingAfterBreak="0">
    <w:nsid w:val="3FC774A3"/>
    <w:multiLevelType w:val="multilevel"/>
    <w:tmpl w:val="945E4C14"/>
    <w:numStyleLink w:val="Style8"/>
  </w:abstractNum>
  <w:abstractNum w:abstractNumId="22" w15:restartNumberingAfterBreak="0">
    <w:nsid w:val="411036E4"/>
    <w:multiLevelType w:val="multilevel"/>
    <w:tmpl w:val="57ACB374"/>
    <w:styleLink w:val="Style9"/>
    <w:lvl w:ilvl="0">
      <w:start w:val="4"/>
      <w:numFmt w:val="decimal"/>
      <w:lvlText w:val="%1."/>
      <w:lvlJc w:val="left"/>
      <w:pPr>
        <w:tabs>
          <w:tab w:val="num" w:pos="454"/>
        </w:tabs>
        <w:ind w:left="454" w:hanging="341"/>
      </w:pPr>
      <w:rPr>
        <w:rFonts w:hint="default"/>
      </w:rPr>
    </w:lvl>
    <w:lvl w:ilvl="1">
      <w:start w:val="43"/>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655570"/>
    <w:multiLevelType w:val="multilevel"/>
    <w:tmpl w:val="0C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DF45BD9"/>
    <w:multiLevelType w:val="hybridMultilevel"/>
    <w:tmpl w:val="B9A0A7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E6A0554"/>
    <w:multiLevelType w:val="multilevel"/>
    <w:tmpl w:val="945E4C14"/>
    <w:numStyleLink w:val="Style8"/>
  </w:abstractNum>
  <w:abstractNum w:abstractNumId="26" w15:restartNumberingAfterBreak="0">
    <w:nsid w:val="550F67D9"/>
    <w:multiLevelType w:val="multilevel"/>
    <w:tmpl w:val="945E4C14"/>
    <w:numStyleLink w:val="Style8"/>
  </w:abstractNum>
  <w:abstractNum w:abstractNumId="27" w15:restartNumberingAfterBreak="0">
    <w:nsid w:val="55C82F63"/>
    <w:multiLevelType w:val="multilevel"/>
    <w:tmpl w:val="1C36AEA0"/>
    <w:numStyleLink w:val="Style21"/>
  </w:abstractNum>
  <w:abstractNum w:abstractNumId="28" w15:restartNumberingAfterBreak="0">
    <w:nsid w:val="56A07EE5"/>
    <w:multiLevelType w:val="multilevel"/>
    <w:tmpl w:val="945E4C14"/>
    <w:styleLink w:val="Style7"/>
    <w:lvl w:ilvl="0">
      <w:start w:val="2"/>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6B06DFA"/>
    <w:multiLevelType w:val="multilevel"/>
    <w:tmpl w:val="E8F47DCE"/>
    <w:styleLink w:val="Style13"/>
    <w:lvl w:ilvl="0">
      <w:start w:val="7"/>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1F65A09"/>
    <w:multiLevelType w:val="multilevel"/>
    <w:tmpl w:val="E8F47DCE"/>
    <w:numStyleLink w:val="Style6"/>
  </w:abstractNum>
  <w:abstractNum w:abstractNumId="31" w15:restartNumberingAfterBreak="0">
    <w:nsid w:val="623025ED"/>
    <w:multiLevelType w:val="multilevel"/>
    <w:tmpl w:val="E8F47DCE"/>
    <w:styleLink w:val="Style6"/>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738"/>
        </w:tabs>
        <w:ind w:left="738"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84047C"/>
    <w:multiLevelType w:val="multilevel"/>
    <w:tmpl w:val="E8F47DCE"/>
    <w:numStyleLink w:val="Style13"/>
  </w:abstractNum>
  <w:abstractNum w:abstractNumId="33" w15:restartNumberingAfterBreak="0">
    <w:nsid w:val="76920BC4"/>
    <w:multiLevelType w:val="multilevel"/>
    <w:tmpl w:val="945E4C14"/>
    <w:numStyleLink w:val="Style8"/>
  </w:abstractNum>
  <w:abstractNum w:abstractNumId="34" w15:restartNumberingAfterBreak="0">
    <w:nsid w:val="78D37869"/>
    <w:multiLevelType w:val="multilevel"/>
    <w:tmpl w:val="945E4C14"/>
    <w:numStyleLink w:val="Style8"/>
  </w:abstractNum>
  <w:abstractNum w:abstractNumId="35" w15:restartNumberingAfterBreak="0">
    <w:nsid w:val="7A62634D"/>
    <w:multiLevelType w:val="multilevel"/>
    <w:tmpl w:val="E8F47DCE"/>
    <w:lvl w:ilvl="0">
      <w:start w:val="6"/>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bullet"/>
      <w:lvlText w:val="o"/>
      <w:lvlJc w:val="left"/>
      <w:pPr>
        <w:tabs>
          <w:tab w:val="num" w:pos="1800"/>
        </w:tabs>
        <w:ind w:left="1728" w:hanging="648"/>
      </w:pPr>
      <w:rPr>
        <w:rFonts w:ascii="Courier New" w:hAnsi="Courier New" w:cs="Courier New"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
  </w:num>
  <w:num w:numId="3">
    <w:abstractNumId w:val="16"/>
  </w:num>
  <w:num w:numId="4">
    <w:abstractNumId w:val="1"/>
  </w:num>
  <w:num w:numId="5">
    <w:abstractNumId w:val="24"/>
  </w:num>
  <w:num w:numId="6">
    <w:abstractNumId w:val="30"/>
  </w:num>
  <w:num w:numId="7">
    <w:abstractNumId w:val="4"/>
  </w:num>
  <w:num w:numId="8">
    <w:abstractNumId w:val="23"/>
  </w:num>
  <w:num w:numId="9">
    <w:abstractNumId w:val="15"/>
  </w:num>
  <w:num w:numId="10">
    <w:abstractNumId w:val="27"/>
  </w:num>
  <w:num w:numId="11">
    <w:abstractNumId w:val="13"/>
  </w:num>
  <w:num w:numId="12">
    <w:abstractNumId w:val="5"/>
  </w:num>
  <w:num w:numId="13">
    <w:abstractNumId w:val="19"/>
  </w:num>
  <w:num w:numId="14">
    <w:abstractNumId w:val="31"/>
  </w:num>
  <w:num w:numId="15">
    <w:abstractNumId w:val="28"/>
  </w:num>
  <w:num w:numId="16">
    <w:abstractNumId w:val="8"/>
    <w:lvlOverride w:ilvl="0">
      <w:lvl w:ilvl="0">
        <w:start w:val="4"/>
        <w:numFmt w:val="decimal"/>
        <w:lvlText w:val="%1."/>
        <w:lvlJc w:val="left"/>
        <w:pPr>
          <w:tabs>
            <w:tab w:val="num" w:pos="454"/>
          </w:tabs>
          <w:ind w:left="454" w:hanging="341"/>
        </w:pPr>
        <w:rPr>
          <w:rFonts w:hint="default"/>
        </w:rPr>
      </w:lvl>
    </w:lvlOverride>
  </w:num>
  <w:num w:numId="17">
    <w:abstractNumId w:val="7"/>
  </w:num>
  <w:num w:numId="18">
    <w:abstractNumId w:val="21"/>
  </w:num>
  <w:num w:numId="19">
    <w:abstractNumId w:val="18"/>
  </w:num>
  <w:num w:numId="20">
    <w:abstractNumId w:val="33"/>
  </w:num>
  <w:num w:numId="21">
    <w:abstractNumId w:val="9"/>
  </w:num>
  <w:num w:numId="22">
    <w:abstractNumId w:val="25"/>
  </w:num>
  <w:num w:numId="23">
    <w:abstractNumId w:val="12"/>
  </w:num>
  <w:num w:numId="24">
    <w:abstractNumId w:val="34"/>
  </w:num>
  <w:num w:numId="25">
    <w:abstractNumId w:val="26"/>
  </w:num>
  <w:num w:numId="26">
    <w:abstractNumId w:val="3"/>
  </w:num>
  <w:num w:numId="27">
    <w:abstractNumId w:val="22"/>
  </w:num>
  <w:num w:numId="28">
    <w:abstractNumId w:val="14"/>
  </w:num>
  <w:num w:numId="29">
    <w:abstractNumId w:val="11"/>
  </w:num>
  <w:num w:numId="30">
    <w:abstractNumId w:val="32"/>
    <w:lvlOverride w:ilvl="0">
      <w:lvl w:ilvl="0">
        <w:start w:val="7"/>
        <w:numFmt w:val="decimal"/>
        <w:lvlText w:val="%1."/>
        <w:lvlJc w:val="left"/>
        <w:pPr>
          <w:tabs>
            <w:tab w:val="num" w:pos="454"/>
          </w:tabs>
          <w:ind w:left="454" w:hanging="341"/>
        </w:pPr>
        <w:rPr>
          <w:rFonts w:hint="default"/>
        </w:rPr>
      </w:lvl>
    </w:lvlOverride>
  </w:num>
  <w:num w:numId="31">
    <w:abstractNumId w:val="6"/>
  </w:num>
  <w:num w:numId="32">
    <w:abstractNumId w:val="20"/>
  </w:num>
  <w:num w:numId="33">
    <w:abstractNumId w:val="19"/>
  </w:num>
  <w:num w:numId="34">
    <w:abstractNumId w:val="10"/>
  </w:num>
  <w:num w:numId="35">
    <w:abstractNumId w:val="17"/>
    <w:lvlOverride w:ilvl="0">
      <w:lvl w:ilvl="0">
        <w:start w:val="5"/>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454"/>
          </w:tabs>
          <w:ind w:left="454" w:hanging="454"/>
        </w:pPr>
        <w:rPr>
          <w:rFonts w:hint="default"/>
          <w:b w:val="0"/>
          <w:i w:val="0"/>
          <w:sz w:val="22"/>
          <w:szCs w:val="22"/>
        </w:rPr>
      </w:lvl>
    </w:lvlOverride>
  </w:num>
  <w:num w:numId="36">
    <w:abstractNumId w:val="35"/>
  </w:num>
  <w:num w:numId="37">
    <w:abstractNumId w:val="29"/>
  </w:num>
  <w:num w:numId="38">
    <w:abstractNumId w:val="19"/>
    <w:lvlOverride w:ilvl="0">
      <w:lvl w:ilvl="0">
        <w:start w:val="1"/>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454"/>
          </w:tabs>
          <w:ind w:left="454" w:hanging="454"/>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800"/>
          </w:tabs>
          <w:ind w:left="1728" w:hanging="648"/>
        </w:pPr>
        <w:rPr>
          <w:rFonts w:ascii="Courier New" w:hAnsi="Courier New" w:cs="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19"/>
    <w:lvlOverride w:ilvl="0">
      <w:lvl w:ilvl="0">
        <w:start w:val="1"/>
        <w:numFmt w:val="decimal"/>
        <w:lvlText w:val="%1."/>
        <w:lvlJc w:val="left"/>
        <w:pPr>
          <w:tabs>
            <w:tab w:val="num" w:pos="454"/>
          </w:tabs>
          <w:ind w:left="454" w:hanging="341"/>
        </w:pPr>
        <w:rPr>
          <w:rFonts w:hint="default"/>
        </w:rPr>
      </w:lvl>
    </w:lvlOverride>
    <w:lvlOverride w:ilvl="1">
      <w:lvl w:ilvl="1">
        <w:start w:val="1"/>
        <w:numFmt w:val="decimal"/>
        <w:lvlText w:val="%1.%2."/>
        <w:lvlJc w:val="left"/>
        <w:pPr>
          <w:tabs>
            <w:tab w:val="num" w:pos="454"/>
          </w:tabs>
          <w:ind w:left="454" w:hanging="454"/>
        </w:pPr>
        <w:rPr>
          <w:rFonts w:hint="default"/>
          <w:b w:val="0"/>
          <w:sz w:val="22"/>
          <w:szCs w:val="22"/>
        </w:rPr>
      </w:lvl>
    </w:lvlOverride>
    <w:lvlOverride w:ilvl="2">
      <w:lvl w:ilvl="2">
        <w:start w:val="1"/>
        <w:numFmt w:val="bullet"/>
        <w:lvlText w:val=""/>
        <w:lvlJc w:val="left"/>
        <w:pPr>
          <w:tabs>
            <w:tab w:val="num" w:pos="1430"/>
          </w:tabs>
          <w:ind w:left="1214" w:hanging="504"/>
        </w:pPr>
        <w:rPr>
          <w:rFonts w:ascii="Symbol" w:hAnsi="Symbol" w:hint="default"/>
          <w:b w:val="0"/>
          <w:sz w:val="22"/>
          <w:szCs w:val="22"/>
        </w:rPr>
      </w:lvl>
    </w:lvlOverride>
    <w:lvlOverride w:ilvl="3">
      <w:lvl w:ilvl="3">
        <w:start w:val="1"/>
        <w:numFmt w:val="bullet"/>
        <w:lvlText w:val="o"/>
        <w:lvlJc w:val="left"/>
        <w:pPr>
          <w:tabs>
            <w:tab w:val="num" w:pos="1800"/>
          </w:tabs>
          <w:ind w:left="1728" w:hanging="648"/>
        </w:pPr>
        <w:rPr>
          <w:rFonts w:ascii="Courier New" w:hAnsi="Courier New" w:cs="Courier New" w:hint="default"/>
          <w:b w:val="0"/>
        </w:rPr>
      </w:lvl>
    </w:lvlOverride>
    <w:lvlOverride w:ilvl="4">
      <w:lvl w:ilvl="4">
        <w:start w:val="1"/>
        <w:numFmt w:val="lowerRoman"/>
        <w:lvlText w:val="%5."/>
        <w:lvlJc w:val="righ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E8"/>
    <w:rsid w:val="000001CA"/>
    <w:rsid w:val="00000302"/>
    <w:rsid w:val="00000DDD"/>
    <w:rsid w:val="000013D0"/>
    <w:rsid w:val="0000169E"/>
    <w:rsid w:val="00001EEB"/>
    <w:rsid w:val="00002729"/>
    <w:rsid w:val="000035AA"/>
    <w:rsid w:val="00003630"/>
    <w:rsid w:val="000039AA"/>
    <w:rsid w:val="00003F90"/>
    <w:rsid w:val="000046BE"/>
    <w:rsid w:val="00004733"/>
    <w:rsid w:val="0000577A"/>
    <w:rsid w:val="00005B8A"/>
    <w:rsid w:val="00005BF3"/>
    <w:rsid w:val="00005D1B"/>
    <w:rsid w:val="000063B3"/>
    <w:rsid w:val="0000703A"/>
    <w:rsid w:val="000079C3"/>
    <w:rsid w:val="00007E01"/>
    <w:rsid w:val="00010F79"/>
    <w:rsid w:val="00012056"/>
    <w:rsid w:val="000126D0"/>
    <w:rsid w:val="0001309B"/>
    <w:rsid w:val="00013A9A"/>
    <w:rsid w:val="000149A0"/>
    <w:rsid w:val="00014CA3"/>
    <w:rsid w:val="00014D1C"/>
    <w:rsid w:val="00014FC6"/>
    <w:rsid w:val="000159BE"/>
    <w:rsid w:val="00015B1F"/>
    <w:rsid w:val="00016099"/>
    <w:rsid w:val="00016331"/>
    <w:rsid w:val="00016D2F"/>
    <w:rsid w:val="00016D4C"/>
    <w:rsid w:val="00016D63"/>
    <w:rsid w:val="00017749"/>
    <w:rsid w:val="00020702"/>
    <w:rsid w:val="0002125A"/>
    <w:rsid w:val="00021353"/>
    <w:rsid w:val="000216B4"/>
    <w:rsid w:val="000219C1"/>
    <w:rsid w:val="00021C45"/>
    <w:rsid w:val="00022024"/>
    <w:rsid w:val="00022487"/>
    <w:rsid w:val="0002249D"/>
    <w:rsid w:val="000238F8"/>
    <w:rsid w:val="00024489"/>
    <w:rsid w:val="00024F6E"/>
    <w:rsid w:val="00025E9D"/>
    <w:rsid w:val="00026330"/>
    <w:rsid w:val="00026F81"/>
    <w:rsid w:val="0002774E"/>
    <w:rsid w:val="000278F0"/>
    <w:rsid w:val="00030B8B"/>
    <w:rsid w:val="00030E24"/>
    <w:rsid w:val="0003126D"/>
    <w:rsid w:val="00031864"/>
    <w:rsid w:val="00031A71"/>
    <w:rsid w:val="00031B3B"/>
    <w:rsid w:val="00031CCF"/>
    <w:rsid w:val="0003224C"/>
    <w:rsid w:val="00032727"/>
    <w:rsid w:val="00033937"/>
    <w:rsid w:val="00034607"/>
    <w:rsid w:val="000348E5"/>
    <w:rsid w:val="0003507D"/>
    <w:rsid w:val="00036F20"/>
    <w:rsid w:val="0003737C"/>
    <w:rsid w:val="00037D6E"/>
    <w:rsid w:val="000404FF"/>
    <w:rsid w:val="00041A60"/>
    <w:rsid w:val="00041FA9"/>
    <w:rsid w:val="00042474"/>
    <w:rsid w:val="00042FF0"/>
    <w:rsid w:val="00043608"/>
    <w:rsid w:val="0004385D"/>
    <w:rsid w:val="00043C17"/>
    <w:rsid w:val="00043E86"/>
    <w:rsid w:val="000442B1"/>
    <w:rsid w:val="00044356"/>
    <w:rsid w:val="00044918"/>
    <w:rsid w:val="00044CEC"/>
    <w:rsid w:val="000453DB"/>
    <w:rsid w:val="000455E0"/>
    <w:rsid w:val="00045C05"/>
    <w:rsid w:val="000473BF"/>
    <w:rsid w:val="0005071C"/>
    <w:rsid w:val="0005075E"/>
    <w:rsid w:val="00051A0F"/>
    <w:rsid w:val="00052C57"/>
    <w:rsid w:val="00052CF1"/>
    <w:rsid w:val="00053832"/>
    <w:rsid w:val="00053D99"/>
    <w:rsid w:val="00053E82"/>
    <w:rsid w:val="00053E88"/>
    <w:rsid w:val="0005465E"/>
    <w:rsid w:val="00054DE4"/>
    <w:rsid w:val="00054E40"/>
    <w:rsid w:val="00055005"/>
    <w:rsid w:val="000564C9"/>
    <w:rsid w:val="000565A0"/>
    <w:rsid w:val="00056D7F"/>
    <w:rsid w:val="00057875"/>
    <w:rsid w:val="00060C09"/>
    <w:rsid w:val="000612D9"/>
    <w:rsid w:val="000620BC"/>
    <w:rsid w:val="0006219F"/>
    <w:rsid w:val="00062BBF"/>
    <w:rsid w:val="000635CA"/>
    <w:rsid w:val="0006391D"/>
    <w:rsid w:val="00065162"/>
    <w:rsid w:val="0006566C"/>
    <w:rsid w:val="00065D71"/>
    <w:rsid w:val="00066374"/>
    <w:rsid w:val="00066644"/>
    <w:rsid w:val="00066B38"/>
    <w:rsid w:val="00067283"/>
    <w:rsid w:val="00067806"/>
    <w:rsid w:val="00067A5C"/>
    <w:rsid w:val="00070CE0"/>
    <w:rsid w:val="00071CC3"/>
    <w:rsid w:val="0007299A"/>
    <w:rsid w:val="00074A2A"/>
    <w:rsid w:val="00074E17"/>
    <w:rsid w:val="00075530"/>
    <w:rsid w:val="00075D11"/>
    <w:rsid w:val="00077831"/>
    <w:rsid w:val="00077983"/>
    <w:rsid w:val="00077CD3"/>
    <w:rsid w:val="000805C8"/>
    <w:rsid w:val="00080AB8"/>
    <w:rsid w:val="00081560"/>
    <w:rsid w:val="000817AA"/>
    <w:rsid w:val="000835F1"/>
    <w:rsid w:val="00083D00"/>
    <w:rsid w:val="00083E78"/>
    <w:rsid w:val="0008402A"/>
    <w:rsid w:val="000841AA"/>
    <w:rsid w:val="0008604D"/>
    <w:rsid w:val="000876AB"/>
    <w:rsid w:val="00087AC9"/>
    <w:rsid w:val="00087F29"/>
    <w:rsid w:val="00092673"/>
    <w:rsid w:val="000951AB"/>
    <w:rsid w:val="00095313"/>
    <w:rsid w:val="00095322"/>
    <w:rsid w:val="00095592"/>
    <w:rsid w:val="000958F9"/>
    <w:rsid w:val="00095EE1"/>
    <w:rsid w:val="0009649F"/>
    <w:rsid w:val="00096E38"/>
    <w:rsid w:val="000973B6"/>
    <w:rsid w:val="000974A2"/>
    <w:rsid w:val="00097B50"/>
    <w:rsid w:val="000A096E"/>
    <w:rsid w:val="000A1326"/>
    <w:rsid w:val="000A1C5F"/>
    <w:rsid w:val="000A22FC"/>
    <w:rsid w:val="000A3D88"/>
    <w:rsid w:val="000A41BC"/>
    <w:rsid w:val="000A4BB4"/>
    <w:rsid w:val="000A4D9D"/>
    <w:rsid w:val="000A66F0"/>
    <w:rsid w:val="000A6BD8"/>
    <w:rsid w:val="000B0299"/>
    <w:rsid w:val="000B0F46"/>
    <w:rsid w:val="000B22A9"/>
    <w:rsid w:val="000B2BF7"/>
    <w:rsid w:val="000B2DA5"/>
    <w:rsid w:val="000B2E9F"/>
    <w:rsid w:val="000B341B"/>
    <w:rsid w:val="000B3550"/>
    <w:rsid w:val="000B373E"/>
    <w:rsid w:val="000B3962"/>
    <w:rsid w:val="000B3ADB"/>
    <w:rsid w:val="000B3F39"/>
    <w:rsid w:val="000B46BC"/>
    <w:rsid w:val="000B48E7"/>
    <w:rsid w:val="000B51CF"/>
    <w:rsid w:val="000B545E"/>
    <w:rsid w:val="000B5760"/>
    <w:rsid w:val="000B5A37"/>
    <w:rsid w:val="000C015D"/>
    <w:rsid w:val="000C09A9"/>
    <w:rsid w:val="000C0D9B"/>
    <w:rsid w:val="000C1B76"/>
    <w:rsid w:val="000C2007"/>
    <w:rsid w:val="000C2A6C"/>
    <w:rsid w:val="000C3024"/>
    <w:rsid w:val="000C337C"/>
    <w:rsid w:val="000C3A08"/>
    <w:rsid w:val="000C46FD"/>
    <w:rsid w:val="000C571A"/>
    <w:rsid w:val="000C571F"/>
    <w:rsid w:val="000C5B65"/>
    <w:rsid w:val="000C5BAF"/>
    <w:rsid w:val="000C673C"/>
    <w:rsid w:val="000C6A2A"/>
    <w:rsid w:val="000C76D6"/>
    <w:rsid w:val="000C781F"/>
    <w:rsid w:val="000C79DE"/>
    <w:rsid w:val="000D001C"/>
    <w:rsid w:val="000D067D"/>
    <w:rsid w:val="000D1389"/>
    <w:rsid w:val="000D2D2F"/>
    <w:rsid w:val="000D2FB6"/>
    <w:rsid w:val="000D3125"/>
    <w:rsid w:val="000D37D8"/>
    <w:rsid w:val="000D38E8"/>
    <w:rsid w:val="000D4C72"/>
    <w:rsid w:val="000D6264"/>
    <w:rsid w:val="000D7F60"/>
    <w:rsid w:val="000E027A"/>
    <w:rsid w:val="000E02AD"/>
    <w:rsid w:val="000E1733"/>
    <w:rsid w:val="000E1AA7"/>
    <w:rsid w:val="000E1CC7"/>
    <w:rsid w:val="000E25A8"/>
    <w:rsid w:val="000E3FF8"/>
    <w:rsid w:val="000E4A03"/>
    <w:rsid w:val="000E5E78"/>
    <w:rsid w:val="000E6962"/>
    <w:rsid w:val="000E705D"/>
    <w:rsid w:val="000E7792"/>
    <w:rsid w:val="000E78F2"/>
    <w:rsid w:val="000F0A4F"/>
    <w:rsid w:val="000F0E73"/>
    <w:rsid w:val="000F2BC3"/>
    <w:rsid w:val="000F380C"/>
    <w:rsid w:val="000F3AB0"/>
    <w:rsid w:val="000F4789"/>
    <w:rsid w:val="000F4CF6"/>
    <w:rsid w:val="000F5238"/>
    <w:rsid w:val="000F5D5B"/>
    <w:rsid w:val="000F7027"/>
    <w:rsid w:val="000F7316"/>
    <w:rsid w:val="000F79A3"/>
    <w:rsid w:val="001001DB"/>
    <w:rsid w:val="001009DF"/>
    <w:rsid w:val="001013D0"/>
    <w:rsid w:val="001014B1"/>
    <w:rsid w:val="00101609"/>
    <w:rsid w:val="001043AD"/>
    <w:rsid w:val="00104EE9"/>
    <w:rsid w:val="001051CF"/>
    <w:rsid w:val="00105DF3"/>
    <w:rsid w:val="00105E07"/>
    <w:rsid w:val="001068E3"/>
    <w:rsid w:val="00107C40"/>
    <w:rsid w:val="00110122"/>
    <w:rsid w:val="00110236"/>
    <w:rsid w:val="001104FB"/>
    <w:rsid w:val="00110CC9"/>
    <w:rsid w:val="00111ECC"/>
    <w:rsid w:val="00111FA5"/>
    <w:rsid w:val="001129B7"/>
    <w:rsid w:val="00112A88"/>
    <w:rsid w:val="00112FC9"/>
    <w:rsid w:val="001143D3"/>
    <w:rsid w:val="00114415"/>
    <w:rsid w:val="00114FE8"/>
    <w:rsid w:val="00115664"/>
    <w:rsid w:val="00115A6A"/>
    <w:rsid w:val="00115F20"/>
    <w:rsid w:val="00116699"/>
    <w:rsid w:val="00116845"/>
    <w:rsid w:val="001177E9"/>
    <w:rsid w:val="001204BD"/>
    <w:rsid w:val="00120628"/>
    <w:rsid w:val="00122357"/>
    <w:rsid w:val="001232C3"/>
    <w:rsid w:val="00123EFE"/>
    <w:rsid w:val="001242A2"/>
    <w:rsid w:val="00124721"/>
    <w:rsid w:val="00125D28"/>
    <w:rsid w:val="0012635D"/>
    <w:rsid w:val="00126D5E"/>
    <w:rsid w:val="0012784C"/>
    <w:rsid w:val="0013070D"/>
    <w:rsid w:val="00130B08"/>
    <w:rsid w:val="00130D6A"/>
    <w:rsid w:val="0013127F"/>
    <w:rsid w:val="00131A27"/>
    <w:rsid w:val="001320D2"/>
    <w:rsid w:val="0013226B"/>
    <w:rsid w:val="0013369B"/>
    <w:rsid w:val="00133B41"/>
    <w:rsid w:val="00133B92"/>
    <w:rsid w:val="00134468"/>
    <w:rsid w:val="00134F0B"/>
    <w:rsid w:val="00135428"/>
    <w:rsid w:val="00135489"/>
    <w:rsid w:val="00135A6D"/>
    <w:rsid w:val="00135EBE"/>
    <w:rsid w:val="00135F18"/>
    <w:rsid w:val="0013701A"/>
    <w:rsid w:val="00137C18"/>
    <w:rsid w:val="001408BC"/>
    <w:rsid w:val="00140911"/>
    <w:rsid w:val="00140EF2"/>
    <w:rsid w:val="00142A0F"/>
    <w:rsid w:val="00142D78"/>
    <w:rsid w:val="00143367"/>
    <w:rsid w:val="001433F3"/>
    <w:rsid w:val="001436A1"/>
    <w:rsid w:val="00143D5B"/>
    <w:rsid w:val="00143DD9"/>
    <w:rsid w:val="001445E1"/>
    <w:rsid w:val="00144763"/>
    <w:rsid w:val="00144B22"/>
    <w:rsid w:val="00144D1F"/>
    <w:rsid w:val="00145E4C"/>
    <w:rsid w:val="001475F5"/>
    <w:rsid w:val="00147B70"/>
    <w:rsid w:val="00150BF5"/>
    <w:rsid w:val="00150C13"/>
    <w:rsid w:val="00151C03"/>
    <w:rsid w:val="00152D58"/>
    <w:rsid w:val="0015355A"/>
    <w:rsid w:val="00153650"/>
    <w:rsid w:val="00155831"/>
    <w:rsid w:val="00155880"/>
    <w:rsid w:val="00155ABB"/>
    <w:rsid w:val="00156CF5"/>
    <w:rsid w:val="00157156"/>
    <w:rsid w:val="00157704"/>
    <w:rsid w:val="00157D28"/>
    <w:rsid w:val="00160277"/>
    <w:rsid w:val="00160487"/>
    <w:rsid w:val="00161FC9"/>
    <w:rsid w:val="00162504"/>
    <w:rsid w:val="001626F1"/>
    <w:rsid w:val="00162700"/>
    <w:rsid w:val="00162DD6"/>
    <w:rsid w:val="00163C33"/>
    <w:rsid w:val="00163E88"/>
    <w:rsid w:val="00164A41"/>
    <w:rsid w:val="00164ED2"/>
    <w:rsid w:val="00164F6D"/>
    <w:rsid w:val="00165286"/>
    <w:rsid w:val="00165A2E"/>
    <w:rsid w:val="001668F2"/>
    <w:rsid w:val="00166F26"/>
    <w:rsid w:val="0016700A"/>
    <w:rsid w:val="0016755C"/>
    <w:rsid w:val="00167D5E"/>
    <w:rsid w:val="00170458"/>
    <w:rsid w:val="001705CD"/>
    <w:rsid w:val="0017141D"/>
    <w:rsid w:val="00171C07"/>
    <w:rsid w:val="001723F8"/>
    <w:rsid w:val="00173352"/>
    <w:rsid w:val="00173A62"/>
    <w:rsid w:val="0017595C"/>
    <w:rsid w:val="00176161"/>
    <w:rsid w:val="00177249"/>
    <w:rsid w:val="0017763E"/>
    <w:rsid w:val="001776DC"/>
    <w:rsid w:val="001808AC"/>
    <w:rsid w:val="00180FC8"/>
    <w:rsid w:val="0018153C"/>
    <w:rsid w:val="00181850"/>
    <w:rsid w:val="00182048"/>
    <w:rsid w:val="001830A7"/>
    <w:rsid w:val="00183138"/>
    <w:rsid w:val="0018330E"/>
    <w:rsid w:val="0018336E"/>
    <w:rsid w:val="00183B0B"/>
    <w:rsid w:val="00183DF9"/>
    <w:rsid w:val="001850CC"/>
    <w:rsid w:val="00185337"/>
    <w:rsid w:val="001858D6"/>
    <w:rsid w:val="00185BB9"/>
    <w:rsid w:val="0018635E"/>
    <w:rsid w:val="00186676"/>
    <w:rsid w:val="0018678F"/>
    <w:rsid w:val="00186E32"/>
    <w:rsid w:val="00190676"/>
    <w:rsid w:val="001923D0"/>
    <w:rsid w:val="00193D36"/>
    <w:rsid w:val="001949AA"/>
    <w:rsid w:val="00195508"/>
    <w:rsid w:val="001955A2"/>
    <w:rsid w:val="00196C40"/>
    <w:rsid w:val="001975AB"/>
    <w:rsid w:val="00197EED"/>
    <w:rsid w:val="001A12C7"/>
    <w:rsid w:val="001A1516"/>
    <w:rsid w:val="001A19CE"/>
    <w:rsid w:val="001A1E8E"/>
    <w:rsid w:val="001A2A93"/>
    <w:rsid w:val="001A3172"/>
    <w:rsid w:val="001A36F3"/>
    <w:rsid w:val="001A3CEB"/>
    <w:rsid w:val="001A46B1"/>
    <w:rsid w:val="001A4943"/>
    <w:rsid w:val="001A541B"/>
    <w:rsid w:val="001A564C"/>
    <w:rsid w:val="001A5832"/>
    <w:rsid w:val="001A5A00"/>
    <w:rsid w:val="001A5B6E"/>
    <w:rsid w:val="001A66EC"/>
    <w:rsid w:val="001A7B5E"/>
    <w:rsid w:val="001B0349"/>
    <w:rsid w:val="001B0776"/>
    <w:rsid w:val="001B230B"/>
    <w:rsid w:val="001B2315"/>
    <w:rsid w:val="001B2B78"/>
    <w:rsid w:val="001B2C9A"/>
    <w:rsid w:val="001B2D0D"/>
    <w:rsid w:val="001B359C"/>
    <w:rsid w:val="001B37D3"/>
    <w:rsid w:val="001B3B1F"/>
    <w:rsid w:val="001B453B"/>
    <w:rsid w:val="001B457B"/>
    <w:rsid w:val="001B4992"/>
    <w:rsid w:val="001B5772"/>
    <w:rsid w:val="001B6704"/>
    <w:rsid w:val="001B72A4"/>
    <w:rsid w:val="001B758C"/>
    <w:rsid w:val="001B7746"/>
    <w:rsid w:val="001C00C5"/>
    <w:rsid w:val="001C0A42"/>
    <w:rsid w:val="001C0A9A"/>
    <w:rsid w:val="001C0D6A"/>
    <w:rsid w:val="001C11F3"/>
    <w:rsid w:val="001C15D7"/>
    <w:rsid w:val="001C4655"/>
    <w:rsid w:val="001C597E"/>
    <w:rsid w:val="001C5C74"/>
    <w:rsid w:val="001C7D42"/>
    <w:rsid w:val="001D0661"/>
    <w:rsid w:val="001D0C29"/>
    <w:rsid w:val="001D229B"/>
    <w:rsid w:val="001D2ADB"/>
    <w:rsid w:val="001D3BBB"/>
    <w:rsid w:val="001D3EB9"/>
    <w:rsid w:val="001D4BD7"/>
    <w:rsid w:val="001D4FA7"/>
    <w:rsid w:val="001D597D"/>
    <w:rsid w:val="001D7D35"/>
    <w:rsid w:val="001E1BCB"/>
    <w:rsid w:val="001E1ED0"/>
    <w:rsid w:val="001E33EB"/>
    <w:rsid w:val="001E39F6"/>
    <w:rsid w:val="001E3CC8"/>
    <w:rsid w:val="001E439C"/>
    <w:rsid w:val="001E46F2"/>
    <w:rsid w:val="001E509A"/>
    <w:rsid w:val="001E5261"/>
    <w:rsid w:val="001E64DF"/>
    <w:rsid w:val="001E6D39"/>
    <w:rsid w:val="001E715A"/>
    <w:rsid w:val="001E798B"/>
    <w:rsid w:val="001F06AE"/>
    <w:rsid w:val="001F0E95"/>
    <w:rsid w:val="001F110C"/>
    <w:rsid w:val="001F1F84"/>
    <w:rsid w:val="001F20C6"/>
    <w:rsid w:val="001F228B"/>
    <w:rsid w:val="001F2DCC"/>
    <w:rsid w:val="001F3B50"/>
    <w:rsid w:val="001F413B"/>
    <w:rsid w:val="001F445A"/>
    <w:rsid w:val="001F4565"/>
    <w:rsid w:val="001F487B"/>
    <w:rsid w:val="001F4915"/>
    <w:rsid w:val="001F5236"/>
    <w:rsid w:val="001F5335"/>
    <w:rsid w:val="001F5464"/>
    <w:rsid w:val="001F55FA"/>
    <w:rsid w:val="001F57DC"/>
    <w:rsid w:val="001F5884"/>
    <w:rsid w:val="001F5EFC"/>
    <w:rsid w:val="001F6102"/>
    <w:rsid w:val="001F63F6"/>
    <w:rsid w:val="001F7149"/>
    <w:rsid w:val="001F7803"/>
    <w:rsid w:val="001F7DA7"/>
    <w:rsid w:val="00200320"/>
    <w:rsid w:val="002003B6"/>
    <w:rsid w:val="00200E33"/>
    <w:rsid w:val="00201BE7"/>
    <w:rsid w:val="00201FC9"/>
    <w:rsid w:val="002021C7"/>
    <w:rsid w:val="0020226E"/>
    <w:rsid w:val="002039A5"/>
    <w:rsid w:val="00203E9A"/>
    <w:rsid w:val="00203F08"/>
    <w:rsid w:val="00203F8C"/>
    <w:rsid w:val="00204032"/>
    <w:rsid w:val="00204944"/>
    <w:rsid w:val="00204AA9"/>
    <w:rsid w:val="00205181"/>
    <w:rsid w:val="002051D3"/>
    <w:rsid w:val="00206352"/>
    <w:rsid w:val="0020701F"/>
    <w:rsid w:val="00207D8C"/>
    <w:rsid w:val="00210667"/>
    <w:rsid w:val="0021075D"/>
    <w:rsid w:val="002107CD"/>
    <w:rsid w:val="0021260F"/>
    <w:rsid w:val="00215242"/>
    <w:rsid w:val="002163E7"/>
    <w:rsid w:val="002178D1"/>
    <w:rsid w:val="00217CA6"/>
    <w:rsid w:val="00217D78"/>
    <w:rsid w:val="00220190"/>
    <w:rsid w:val="00220A04"/>
    <w:rsid w:val="00220FBA"/>
    <w:rsid w:val="00221E19"/>
    <w:rsid w:val="00221E92"/>
    <w:rsid w:val="002226FD"/>
    <w:rsid w:val="0022427F"/>
    <w:rsid w:val="00224380"/>
    <w:rsid w:val="0022438A"/>
    <w:rsid w:val="002249A1"/>
    <w:rsid w:val="00224C54"/>
    <w:rsid w:val="00224F42"/>
    <w:rsid w:val="00225F92"/>
    <w:rsid w:val="0022761C"/>
    <w:rsid w:val="00227A4E"/>
    <w:rsid w:val="00227BF1"/>
    <w:rsid w:val="0023089A"/>
    <w:rsid w:val="00230A08"/>
    <w:rsid w:val="00230BAD"/>
    <w:rsid w:val="002316B4"/>
    <w:rsid w:val="0023186C"/>
    <w:rsid w:val="00231B51"/>
    <w:rsid w:val="002323D9"/>
    <w:rsid w:val="00232EB0"/>
    <w:rsid w:val="002330C3"/>
    <w:rsid w:val="00233137"/>
    <w:rsid w:val="0023343B"/>
    <w:rsid w:val="00234301"/>
    <w:rsid w:val="002346E0"/>
    <w:rsid w:val="00235510"/>
    <w:rsid w:val="00236A39"/>
    <w:rsid w:val="00237EAD"/>
    <w:rsid w:val="002407F9"/>
    <w:rsid w:val="0024113F"/>
    <w:rsid w:val="00241E36"/>
    <w:rsid w:val="002427EB"/>
    <w:rsid w:val="00242BEB"/>
    <w:rsid w:val="00243B65"/>
    <w:rsid w:val="00243F4C"/>
    <w:rsid w:val="00243F6C"/>
    <w:rsid w:val="00244168"/>
    <w:rsid w:val="00244231"/>
    <w:rsid w:val="0024467E"/>
    <w:rsid w:val="00244CF6"/>
    <w:rsid w:val="002451FF"/>
    <w:rsid w:val="00245456"/>
    <w:rsid w:val="0024583B"/>
    <w:rsid w:val="00246BD8"/>
    <w:rsid w:val="0024743D"/>
    <w:rsid w:val="00247482"/>
    <w:rsid w:val="00247AC2"/>
    <w:rsid w:val="00250653"/>
    <w:rsid w:val="00250D66"/>
    <w:rsid w:val="00250D79"/>
    <w:rsid w:val="00251196"/>
    <w:rsid w:val="00251DAA"/>
    <w:rsid w:val="00253274"/>
    <w:rsid w:val="002538F2"/>
    <w:rsid w:val="00253A78"/>
    <w:rsid w:val="00253AFD"/>
    <w:rsid w:val="0025412B"/>
    <w:rsid w:val="00254663"/>
    <w:rsid w:val="00254DBD"/>
    <w:rsid w:val="00254E97"/>
    <w:rsid w:val="00254F06"/>
    <w:rsid w:val="0025577B"/>
    <w:rsid w:val="00255D38"/>
    <w:rsid w:val="00256616"/>
    <w:rsid w:val="0025683E"/>
    <w:rsid w:val="00256AF5"/>
    <w:rsid w:val="00256C53"/>
    <w:rsid w:val="00256D44"/>
    <w:rsid w:val="00256E52"/>
    <w:rsid w:val="0025787A"/>
    <w:rsid w:val="00260130"/>
    <w:rsid w:val="0026024A"/>
    <w:rsid w:val="00260370"/>
    <w:rsid w:val="00261074"/>
    <w:rsid w:val="002610F6"/>
    <w:rsid w:val="0026168F"/>
    <w:rsid w:val="00262E75"/>
    <w:rsid w:val="0026351F"/>
    <w:rsid w:val="002639F3"/>
    <w:rsid w:val="00264564"/>
    <w:rsid w:val="002645D1"/>
    <w:rsid w:val="00264CDE"/>
    <w:rsid w:val="00264EA5"/>
    <w:rsid w:val="002662FA"/>
    <w:rsid w:val="002665C4"/>
    <w:rsid w:val="00267180"/>
    <w:rsid w:val="00270C6A"/>
    <w:rsid w:val="00270DD3"/>
    <w:rsid w:val="0027184B"/>
    <w:rsid w:val="00272040"/>
    <w:rsid w:val="00272503"/>
    <w:rsid w:val="00272C83"/>
    <w:rsid w:val="00273F14"/>
    <w:rsid w:val="00274CD0"/>
    <w:rsid w:val="00275310"/>
    <w:rsid w:val="00275CCA"/>
    <w:rsid w:val="00275CCC"/>
    <w:rsid w:val="00275FD6"/>
    <w:rsid w:val="00276D45"/>
    <w:rsid w:val="002772BE"/>
    <w:rsid w:val="0027743F"/>
    <w:rsid w:val="00277A26"/>
    <w:rsid w:val="0028076E"/>
    <w:rsid w:val="0028144F"/>
    <w:rsid w:val="00281B5E"/>
    <w:rsid w:val="00282B32"/>
    <w:rsid w:val="002830B4"/>
    <w:rsid w:val="00284CA7"/>
    <w:rsid w:val="00284E6A"/>
    <w:rsid w:val="00285092"/>
    <w:rsid w:val="00285760"/>
    <w:rsid w:val="00286959"/>
    <w:rsid w:val="002869F1"/>
    <w:rsid w:val="00287429"/>
    <w:rsid w:val="00287540"/>
    <w:rsid w:val="0028785F"/>
    <w:rsid w:val="00290203"/>
    <w:rsid w:val="00290432"/>
    <w:rsid w:val="00290AF9"/>
    <w:rsid w:val="00290DFD"/>
    <w:rsid w:val="002915BA"/>
    <w:rsid w:val="0029194B"/>
    <w:rsid w:val="00291BA9"/>
    <w:rsid w:val="002921C9"/>
    <w:rsid w:val="002928F8"/>
    <w:rsid w:val="00293406"/>
    <w:rsid w:val="00293B7F"/>
    <w:rsid w:val="00294012"/>
    <w:rsid w:val="00294157"/>
    <w:rsid w:val="00294E4C"/>
    <w:rsid w:val="0029549B"/>
    <w:rsid w:val="00295838"/>
    <w:rsid w:val="002968D2"/>
    <w:rsid w:val="00297126"/>
    <w:rsid w:val="002A0BD5"/>
    <w:rsid w:val="002A10D0"/>
    <w:rsid w:val="002A126F"/>
    <w:rsid w:val="002A217A"/>
    <w:rsid w:val="002A25CB"/>
    <w:rsid w:val="002A2FA0"/>
    <w:rsid w:val="002A3AD0"/>
    <w:rsid w:val="002A3F80"/>
    <w:rsid w:val="002A47D8"/>
    <w:rsid w:val="002A4922"/>
    <w:rsid w:val="002A6BAD"/>
    <w:rsid w:val="002A78FE"/>
    <w:rsid w:val="002A7979"/>
    <w:rsid w:val="002A7E09"/>
    <w:rsid w:val="002B0069"/>
    <w:rsid w:val="002B01C3"/>
    <w:rsid w:val="002B029F"/>
    <w:rsid w:val="002B0E0B"/>
    <w:rsid w:val="002B1D09"/>
    <w:rsid w:val="002B2205"/>
    <w:rsid w:val="002B28DB"/>
    <w:rsid w:val="002B2D85"/>
    <w:rsid w:val="002B2DDE"/>
    <w:rsid w:val="002B2E13"/>
    <w:rsid w:val="002B34DB"/>
    <w:rsid w:val="002B4522"/>
    <w:rsid w:val="002B4D8E"/>
    <w:rsid w:val="002B53FF"/>
    <w:rsid w:val="002B55AE"/>
    <w:rsid w:val="002B56F6"/>
    <w:rsid w:val="002B61D4"/>
    <w:rsid w:val="002B6998"/>
    <w:rsid w:val="002B6E01"/>
    <w:rsid w:val="002B7F0F"/>
    <w:rsid w:val="002C024B"/>
    <w:rsid w:val="002C1830"/>
    <w:rsid w:val="002C1D5D"/>
    <w:rsid w:val="002C2B6E"/>
    <w:rsid w:val="002C2D11"/>
    <w:rsid w:val="002C3679"/>
    <w:rsid w:val="002C3A61"/>
    <w:rsid w:val="002C3F66"/>
    <w:rsid w:val="002C49D5"/>
    <w:rsid w:val="002C61AA"/>
    <w:rsid w:val="002D016B"/>
    <w:rsid w:val="002D0ECD"/>
    <w:rsid w:val="002D1613"/>
    <w:rsid w:val="002D1BE7"/>
    <w:rsid w:val="002D2094"/>
    <w:rsid w:val="002D2840"/>
    <w:rsid w:val="002D28FE"/>
    <w:rsid w:val="002D2A86"/>
    <w:rsid w:val="002D2B3E"/>
    <w:rsid w:val="002D31AD"/>
    <w:rsid w:val="002D430D"/>
    <w:rsid w:val="002D4ECB"/>
    <w:rsid w:val="002D5AC3"/>
    <w:rsid w:val="002D674C"/>
    <w:rsid w:val="002E12BC"/>
    <w:rsid w:val="002E2C9A"/>
    <w:rsid w:val="002E3E70"/>
    <w:rsid w:val="002E489B"/>
    <w:rsid w:val="002E5EBC"/>
    <w:rsid w:val="002E66F3"/>
    <w:rsid w:val="002E67D8"/>
    <w:rsid w:val="002E69FE"/>
    <w:rsid w:val="002E7843"/>
    <w:rsid w:val="002E7DDC"/>
    <w:rsid w:val="002F06FD"/>
    <w:rsid w:val="002F0A5B"/>
    <w:rsid w:val="002F0AFB"/>
    <w:rsid w:val="002F0BA0"/>
    <w:rsid w:val="002F0CF5"/>
    <w:rsid w:val="002F0F80"/>
    <w:rsid w:val="002F1D4D"/>
    <w:rsid w:val="002F1E8C"/>
    <w:rsid w:val="002F260B"/>
    <w:rsid w:val="002F4123"/>
    <w:rsid w:val="002F5D10"/>
    <w:rsid w:val="002F605A"/>
    <w:rsid w:val="002F691A"/>
    <w:rsid w:val="002F69A8"/>
    <w:rsid w:val="002F71ED"/>
    <w:rsid w:val="002F76FD"/>
    <w:rsid w:val="002F78CF"/>
    <w:rsid w:val="002F7958"/>
    <w:rsid w:val="002F7C5A"/>
    <w:rsid w:val="00300509"/>
    <w:rsid w:val="003016A6"/>
    <w:rsid w:val="00301769"/>
    <w:rsid w:val="0030198B"/>
    <w:rsid w:val="00301EB7"/>
    <w:rsid w:val="003024E7"/>
    <w:rsid w:val="00303400"/>
    <w:rsid w:val="00303507"/>
    <w:rsid w:val="00304770"/>
    <w:rsid w:val="00304AD7"/>
    <w:rsid w:val="00306483"/>
    <w:rsid w:val="0030750E"/>
    <w:rsid w:val="003078C1"/>
    <w:rsid w:val="00307AB2"/>
    <w:rsid w:val="00310158"/>
    <w:rsid w:val="0031056D"/>
    <w:rsid w:val="00310EEA"/>
    <w:rsid w:val="00311E18"/>
    <w:rsid w:val="003127CC"/>
    <w:rsid w:val="003139BA"/>
    <w:rsid w:val="003155D2"/>
    <w:rsid w:val="00315FAC"/>
    <w:rsid w:val="003160FB"/>
    <w:rsid w:val="00316247"/>
    <w:rsid w:val="0031697B"/>
    <w:rsid w:val="00316992"/>
    <w:rsid w:val="00320759"/>
    <w:rsid w:val="00321264"/>
    <w:rsid w:val="00321616"/>
    <w:rsid w:val="003220A5"/>
    <w:rsid w:val="003236F5"/>
    <w:rsid w:val="00324F85"/>
    <w:rsid w:val="003256B9"/>
    <w:rsid w:val="00325D8D"/>
    <w:rsid w:val="0032624A"/>
    <w:rsid w:val="003266B7"/>
    <w:rsid w:val="0032683B"/>
    <w:rsid w:val="00326D06"/>
    <w:rsid w:val="003270BE"/>
    <w:rsid w:val="003271C7"/>
    <w:rsid w:val="0033027A"/>
    <w:rsid w:val="0033054F"/>
    <w:rsid w:val="00330E9F"/>
    <w:rsid w:val="00331194"/>
    <w:rsid w:val="00331210"/>
    <w:rsid w:val="0033166F"/>
    <w:rsid w:val="00332286"/>
    <w:rsid w:val="003323C8"/>
    <w:rsid w:val="003328A0"/>
    <w:rsid w:val="00334716"/>
    <w:rsid w:val="00334B22"/>
    <w:rsid w:val="00334CA3"/>
    <w:rsid w:val="003357D2"/>
    <w:rsid w:val="0033596F"/>
    <w:rsid w:val="0033673A"/>
    <w:rsid w:val="0033678A"/>
    <w:rsid w:val="003400BC"/>
    <w:rsid w:val="003402FC"/>
    <w:rsid w:val="0034077E"/>
    <w:rsid w:val="003419DB"/>
    <w:rsid w:val="00342399"/>
    <w:rsid w:val="0034258B"/>
    <w:rsid w:val="00342776"/>
    <w:rsid w:val="00342CC5"/>
    <w:rsid w:val="00343516"/>
    <w:rsid w:val="00343B9E"/>
    <w:rsid w:val="00344674"/>
    <w:rsid w:val="00345118"/>
    <w:rsid w:val="00345BE4"/>
    <w:rsid w:val="003461F9"/>
    <w:rsid w:val="00346989"/>
    <w:rsid w:val="00347889"/>
    <w:rsid w:val="003502DB"/>
    <w:rsid w:val="00351A1F"/>
    <w:rsid w:val="00351D95"/>
    <w:rsid w:val="0035240C"/>
    <w:rsid w:val="0035262F"/>
    <w:rsid w:val="003540D6"/>
    <w:rsid w:val="003542AE"/>
    <w:rsid w:val="00354854"/>
    <w:rsid w:val="00356B9E"/>
    <w:rsid w:val="0035780E"/>
    <w:rsid w:val="003601F0"/>
    <w:rsid w:val="003612CA"/>
    <w:rsid w:val="00361308"/>
    <w:rsid w:val="003613D5"/>
    <w:rsid w:val="0036188B"/>
    <w:rsid w:val="00361DEF"/>
    <w:rsid w:val="00362269"/>
    <w:rsid w:val="00362273"/>
    <w:rsid w:val="003622F9"/>
    <w:rsid w:val="00362EF5"/>
    <w:rsid w:val="00363912"/>
    <w:rsid w:val="00363D4A"/>
    <w:rsid w:val="0036476A"/>
    <w:rsid w:val="003649B7"/>
    <w:rsid w:val="0036546B"/>
    <w:rsid w:val="00365ACD"/>
    <w:rsid w:val="00365D3D"/>
    <w:rsid w:val="00365E42"/>
    <w:rsid w:val="003660B4"/>
    <w:rsid w:val="003661E1"/>
    <w:rsid w:val="00366289"/>
    <w:rsid w:val="00366B73"/>
    <w:rsid w:val="0036795A"/>
    <w:rsid w:val="0037047F"/>
    <w:rsid w:val="00371125"/>
    <w:rsid w:val="0037136A"/>
    <w:rsid w:val="00371EBB"/>
    <w:rsid w:val="00371FF4"/>
    <w:rsid w:val="003725D5"/>
    <w:rsid w:val="00372969"/>
    <w:rsid w:val="00372FB5"/>
    <w:rsid w:val="00373518"/>
    <w:rsid w:val="0037390B"/>
    <w:rsid w:val="00373AD4"/>
    <w:rsid w:val="0037442F"/>
    <w:rsid w:val="00374F27"/>
    <w:rsid w:val="00376A96"/>
    <w:rsid w:val="00376B76"/>
    <w:rsid w:val="00376FBA"/>
    <w:rsid w:val="003775D5"/>
    <w:rsid w:val="003778AD"/>
    <w:rsid w:val="00377CB7"/>
    <w:rsid w:val="00377EE5"/>
    <w:rsid w:val="003804D4"/>
    <w:rsid w:val="00380690"/>
    <w:rsid w:val="00380A8C"/>
    <w:rsid w:val="00380D37"/>
    <w:rsid w:val="0038106E"/>
    <w:rsid w:val="0038134C"/>
    <w:rsid w:val="00382BC2"/>
    <w:rsid w:val="003834B8"/>
    <w:rsid w:val="00383520"/>
    <w:rsid w:val="0038507A"/>
    <w:rsid w:val="00385E02"/>
    <w:rsid w:val="00387679"/>
    <w:rsid w:val="003879DD"/>
    <w:rsid w:val="003900A1"/>
    <w:rsid w:val="00391331"/>
    <w:rsid w:val="003919C0"/>
    <w:rsid w:val="00391D8F"/>
    <w:rsid w:val="00392B1B"/>
    <w:rsid w:val="00393A57"/>
    <w:rsid w:val="00393F35"/>
    <w:rsid w:val="00394820"/>
    <w:rsid w:val="00394871"/>
    <w:rsid w:val="00394CD3"/>
    <w:rsid w:val="0039518C"/>
    <w:rsid w:val="00396279"/>
    <w:rsid w:val="0039642A"/>
    <w:rsid w:val="00397883"/>
    <w:rsid w:val="003A026E"/>
    <w:rsid w:val="003A1928"/>
    <w:rsid w:val="003A1F42"/>
    <w:rsid w:val="003A3026"/>
    <w:rsid w:val="003A30AC"/>
    <w:rsid w:val="003A39D4"/>
    <w:rsid w:val="003A402E"/>
    <w:rsid w:val="003A503D"/>
    <w:rsid w:val="003A50FF"/>
    <w:rsid w:val="003A52BB"/>
    <w:rsid w:val="003A6193"/>
    <w:rsid w:val="003A6A03"/>
    <w:rsid w:val="003A6ABA"/>
    <w:rsid w:val="003A6AF2"/>
    <w:rsid w:val="003A6B86"/>
    <w:rsid w:val="003A6FC7"/>
    <w:rsid w:val="003A706D"/>
    <w:rsid w:val="003A7824"/>
    <w:rsid w:val="003B0626"/>
    <w:rsid w:val="003B0B79"/>
    <w:rsid w:val="003B10CD"/>
    <w:rsid w:val="003B1781"/>
    <w:rsid w:val="003B1DC5"/>
    <w:rsid w:val="003B283A"/>
    <w:rsid w:val="003B2AD9"/>
    <w:rsid w:val="003B33D6"/>
    <w:rsid w:val="003B4738"/>
    <w:rsid w:val="003B4DBF"/>
    <w:rsid w:val="003B5002"/>
    <w:rsid w:val="003B51F0"/>
    <w:rsid w:val="003B5792"/>
    <w:rsid w:val="003B5D12"/>
    <w:rsid w:val="003C0EAB"/>
    <w:rsid w:val="003C34B9"/>
    <w:rsid w:val="003C4177"/>
    <w:rsid w:val="003C4379"/>
    <w:rsid w:val="003C4803"/>
    <w:rsid w:val="003C59C7"/>
    <w:rsid w:val="003D019F"/>
    <w:rsid w:val="003D08DD"/>
    <w:rsid w:val="003D11BF"/>
    <w:rsid w:val="003D21E0"/>
    <w:rsid w:val="003D238F"/>
    <w:rsid w:val="003D2994"/>
    <w:rsid w:val="003D2BC9"/>
    <w:rsid w:val="003D2F61"/>
    <w:rsid w:val="003D3BAC"/>
    <w:rsid w:val="003D4583"/>
    <w:rsid w:val="003D48AB"/>
    <w:rsid w:val="003D5B14"/>
    <w:rsid w:val="003D6535"/>
    <w:rsid w:val="003D6B81"/>
    <w:rsid w:val="003D7997"/>
    <w:rsid w:val="003E00F9"/>
    <w:rsid w:val="003E04A0"/>
    <w:rsid w:val="003E065B"/>
    <w:rsid w:val="003E0B85"/>
    <w:rsid w:val="003E2597"/>
    <w:rsid w:val="003E2748"/>
    <w:rsid w:val="003E2B90"/>
    <w:rsid w:val="003E2CBE"/>
    <w:rsid w:val="003E3E79"/>
    <w:rsid w:val="003E4D08"/>
    <w:rsid w:val="003E4FC0"/>
    <w:rsid w:val="003E566E"/>
    <w:rsid w:val="003E56DF"/>
    <w:rsid w:val="003E56F3"/>
    <w:rsid w:val="003E6637"/>
    <w:rsid w:val="003E6D57"/>
    <w:rsid w:val="003E73C9"/>
    <w:rsid w:val="003E76CF"/>
    <w:rsid w:val="003E7CC6"/>
    <w:rsid w:val="003F01B2"/>
    <w:rsid w:val="003F12E8"/>
    <w:rsid w:val="003F30AD"/>
    <w:rsid w:val="003F3650"/>
    <w:rsid w:val="003F3B28"/>
    <w:rsid w:val="003F582B"/>
    <w:rsid w:val="003F58E0"/>
    <w:rsid w:val="003F5BAB"/>
    <w:rsid w:val="003F6C1C"/>
    <w:rsid w:val="0040054F"/>
    <w:rsid w:val="00400774"/>
    <w:rsid w:val="0040115A"/>
    <w:rsid w:val="00402FB4"/>
    <w:rsid w:val="004039D7"/>
    <w:rsid w:val="0040468D"/>
    <w:rsid w:val="00404CFF"/>
    <w:rsid w:val="00405FDD"/>
    <w:rsid w:val="00406283"/>
    <w:rsid w:val="004066AF"/>
    <w:rsid w:val="00407850"/>
    <w:rsid w:val="00407BC6"/>
    <w:rsid w:val="00407DDB"/>
    <w:rsid w:val="0041082D"/>
    <w:rsid w:val="004113A5"/>
    <w:rsid w:val="004117D6"/>
    <w:rsid w:val="00412071"/>
    <w:rsid w:val="00412926"/>
    <w:rsid w:val="00413564"/>
    <w:rsid w:val="00413942"/>
    <w:rsid w:val="00413C27"/>
    <w:rsid w:val="00413EAD"/>
    <w:rsid w:val="0041435F"/>
    <w:rsid w:val="004146D9"/>
    <w:rsid w:val="00414983"/>
    <w:rsid w:val="0041519B"/>
    <w:rsid w:val="00416CFD"/>
    <w:rsid w:val="004170CC"/>
    <w:rsid w:val="004172F3"/>
    <w:rsid w:val="00417B0E"/>
    <w:rsid w:val="00417CAB"/>
    <w:rsid w:val="004200BA"/>
    <w:rsid w:val="00420233"/>
    <w:rsid w:val="0042046A"/>
    <w:rsid w:val="004218EC"/>
    <w:rsid w:val="00421B24"/>
    <w:rsid w:val="00421DE7"/>
    <w:rsid w:val="0042324B"/>
    <w:rsid w:val="00423D31"/>
    <w:rsid w:val="00423E2D"/>
    <w:rsid w:val="004243C5"/>
    <w:rsid w:val="00424569"/>
    <w:rsid w:val="00424CF6"/>
    <w:rsid w:val="00424D88"/>
    <w:rsid w:val="00425E50"/>
    <w:rsid w:val="00426099"/>
    <w:rsid w:val="004265C3"/>
    <w:rsid w:val="00426C9E"/>
    <w:rsid w:val="00426D38"/>
    <w:rsid w:val="00426F07"/>
    <w:rsid w:val="00430019"/>
    <w:rsid w:val="00430217"/>
    <w:rsid w:val="004315A5"/>
    <w:rsid w:val="0043182B"/>
    <w:rsid w:val="00432235"/>
    <w:rsid w:val="00432B4C"/>
    <w:rsid w:val="00433221"/>
    <w:rsid w:val="004337C6"/>
    <w:rsid w:val="00433C9A"/>
    <w:rsid w:val="00434E66"/>
    <w:rsid w:val="00435C5E"/>
    <w:rsid w:val="00436A8A"/>
    <w:rsid w:val="00436DC5"/>
    <w:rsid w:val="0043749E"/>
    <w:rsid w:val="0044030D"/>
    <w:rsid w:val="0044097C"/>
    <w:rsid w:val="00440E15"/>
    <w:rsid w:val="00440EA3"/>
    <w:rsid w:val="0044192E"/>
    <w:rsid w:val="00441DB7"/>
    <w:rsid w:val="00442420"/>
    <w:rsid w:val="004427BD"/>
    <w:rsid w:val="00442DBD"/>
    <w:rsid w:val="004438D7"/>
    <w:rsid w:val="00445153"/>
    <w:rsid w:val="0044530A"/>
    <w:rsid w:val="00445772"/>
    <w:rsid w:val="0044579F"/>
    <w:rsid w:val="00446340"/>
    <w:rsid w:val="004466FA"/>
    <w:rsid w:val="004469A8"/>
    <w:rsid w:val="00447B8F"/>
    <w:rsid w:val="00451574"/>
    <w:rsid w:val="00451CB0"/>
    <w:rsid w:val="004521E9"/>
    <w:rsid w:val="004525E3"/>
    <w:rsid w:val="00453645"/>
    <w:rsid w:val="00453BDF"/>
    <w:rsid w:val="00453DE7"/>
    <w:rsid w:val="00454B36"/>
    <w:rsid w:val="00454DD6"/>
    <w:rsid w:val="0045507C"/>
    <w:rsid w:val="00455C42"/>
    <w:rsid w:val="0045606E"/>
    <w:rsid w:val="004579B7"/>
    <w:rsid w:val="0046054A"/>
    <w:rsid w:val="00460AF4"/>
    <w:rsid w:val="004613A2"/>
    <w:rsid w:val="00462621"/>
    <w:rsid w:val="00462D39"/>
    <w:rsid w:val="00463735"/>
    <w:rsid w:val="00463866"/>
    <w:rsid w:val="00463E32"/>
    <w:rsid w:val="00463FA9"/>
    <w:rsid w:val="004648CC"/>
    <w:rsid w:val="00465575"/>
    <w:rsid w:val="00466262"/>
    <w:rsid w:val="00467E24"/>
    <w:rsid w:val="00470E5F"/>
    <w:rsid w:val="004725CF"/>
    <w:rsid w:val="00472AEA"/>
    <w:rsid w:val="00472D25"/>
    <w:rsid w:val="0047398D"/>
    <w:rsid w:val="0047462B"/>
    <w:rsid w:val="00474668"/>
    <w:rsid w:val="0047563B"/>
    <w:rsid w:val="004759DC"/>
    <w:rsid w:val="0047704D"/>
    <w:rsid w:val="0047713B"/>
    <w:rsid w:val="00477738"/>
    <w:rsid w:val="00477D31"/>
    <w:rsid w:val="004800C4"/>
    <w:rsid w:val="00480A50"/>
    <w:rsid w:val="00481614"/>
    <w:rsid w:val="004816E2"/>
    <w:rsid w:val="00481E97"/>
    <w:rsid w:val="00482164"/>
    <w:rsid w:val="004823C3"/>
    <w:rsid w:val="004823D2"/>
    <w:rsid w:val="00482A93"/>
    <w:rsid w:val="00482D34"/>
    <w:rsid w:val="0048304A"/>
    <w:rsid w:val="00483313"/>
    <w:rsid w:val="0048391D"/>
    <w:rsid w:val="0048398D"/>
    <w:rsid w:val="00483DBE"/>
    <w:rsid w:val="00483F9F"/>
    <w:rsid w:val="00484A0A"/>
    <w:rsid w:val="00485C90"/>
    <w:rsid w:val="00485FF0"/>
    <w:rsid w:val="0048620E"/>
    <w:rsid w:val="00486211"/>
    <w:rsid w:val="0048728E"/>
    <w:rsid w:val="004872F6"/>
    <w:rsid w:val="00487606"/>
    <w:rsid w:val="004877EA"/>
    <w:rsid w:val="00490823"/>
    <w:rsid w:val="00490D7C"/>
    <w:rsid w:val="00490DDA"/>
    <w:rsid w:val="0049100E"/>
    <w:rsid w:val="0049152F"/>
    <w:rsid w:val="00491DEE"/>
    <w:rsid w:val="004922C0"/>
    <w:rsid w:val="00492AA7"/>
    <w:rsid w:val="0049312E"/>
    <w:rsid w:val="004940C1"/>
    <w:rsid w:val="00494A31"/>
    <w:rsid w:val="00494B86"/>
    <w:rsid w:val="00494E64"/>
    <w:rsid w:val="00494ED2"/>
    <w:rsid w:val="00496870"/>
    <w:rsid w:val="00496F84"/>
    <w:rsid w:val="0049788E"/>
    <w:rsid w:val="004A059C"/>
    <w:rsid w:val="004A09AC"/>
    <w:rsid w:val="004A0FF2"/>
    <w:rsid w:val="004A237F"/>
    <w:rsid w:val="004A2414"/>
    <w:rsid w:val="004A251F"/>
    <w:rsid w:val="004A2A13"/>
    <w:rsid w:val="004A348C"/>
    <w:rsid w:val="004A34D7"/>
    <w:rsid w:val="004A359A"/>
    <w:rsid w:val="004A41B0"/>
    <w:rsid w:val="004A4C08"/>
    <w:rsid w:val="004A4EC3"/>
    <w:rsid w:val="004A53B2"/>
    <w:rsid w:val="004A69B2"/>
    <w:rsid w:val="004A6F1A"/>
    <w:rsid w:val="004A7EB8"/>
    <w:rsid w:val="004B0638"/>
    <w:rsid w:val="004B0CC0"/>
    <w:rsid w:val="004B1353"/>
    <w:rsid w:val="004B14BA"/>
    <w:rsid w:val="004B26CC"/>
    <w:rsid w:val="004B282B"/>
    <w:rsid w:val="004B2D19"/>
    <w:rsid w:val="004B4A45"/>
    <w:rsid w:val="004B5E15"/>
    <w:rsid w:val="004B67DE"/>
    <w:rsid w:val="004B754D"/>
    <w:rsid w:val="004C148F"/>
    <w:rsid w:val="004C1BCB"/>
    <w:rsid w:val="004C24D3"/>
    <w:rsid w:val="004C291E"/>
    <w:rsid w:val="004C2B66"/>
    <w:rsid w:val="004C31C7"/>
    <w:rsid w:val="004C3B03"/>
    <w:rsid w:val="004C40FD"/>
    <w:rsid w:val="004C4C6A"/>
    <w:rsid w:val="004C67CC"/>
    <w:rsid w:val="004C680E"/>
    <w:rsid w:val="004C7A3B"/>
    <w:rsid w:val="004C7A8F"/>
    <w:rsid w:val="004C7F86"/>
    <w:rsid w:val="004D0C2D"/>
    <w:rsid w:val="004D14C1"/>
    <w:rsid w:val="004D1B5A"/>
    <w:rsid w:val="004D2A07"/>
    <w:rsid w:val="004D2F3F"/>
    <w:rsid w:val="004D2F81"/>
    <w:rsid w:val="004D38D2"/>
    <w:rsid w:val="004D3939"/>
    <w:rsid w:val="004D43A3"/>
    <w:rsid w:val="004D4B4E"/>
    <w:rsid w:val="004D4C4F"/>
    <w:rsid w:val="004D61F5"/>
    <w:rsid w:val="004D6378"/>
    <w:rsid w:val="004D63F4"/>
    <w:rsid w:val="004D67FC"/>
    <w:rsid w:val="004D7FAA"/>
    <w:rsid w:val="004D7FF1"/>
    <w:rsid w:val="004E1638"/>
    <w:rsid w:val="004E1644"/>
    <w:rsid w:val="004E1BB0"/>
    <w:rsid w:val="004E20A2"/>
    <w:rsid w:val="004E2460"/>
    <w:rsid w:val="004E2DD2"/>
    <w:rsid w:val="004E380D"/>
    <w:rsid w:val="004E398B"/>
    <w:rsid w:val="004E413C"/>
    <w:rsid w:val="004E4548"/>
    <w:rsid w:val="004E491B"/>
    <w:rsid w:val="004E4FB1"/>
    <w:rsid w:val="004E6AEE"/>
    <w:rsid w:val="004E6C4D"/>
    <w:rsid w:val="004E6F70"/>
    <w:rsid w:val="004E6F88"/>
    <w:rsid w:val="004F0D83"/>
    <w:rsid w:val="004F19AC"/>
    <w:rsid w:val="004F2490"/>
    <w:rsid w:val="004F30C7"/>
    <w:rsid w:val="004F3733"/>
    <w:rsid w:val="004F37D9"/>
    <w:rsid w:val="004F3937"/>
    <w:rsid w:val="004F3C03"/>
    <w:rsid w:val="004F4D07"/>
    <w:rsid w:val="004F4E79"/>
    <w:rsid w:val="004F6FDC"/>
    <w:rsid w:val="004F71EC"/>
    <w:rsid w:val="004F739C"/>
    <w:rsid w:val="004F76BE"/>
    <w:rsid w:val="004F795B"/>
    <w:rsid w:val="004F799F"/>
    <w:rsid w:val="005004DE"/>
    <w:rsid w:val="0050204E"/>
    <w:rsid w:val="00503064"/>
    <w:rsid w:val="00503F3D"/>
    <w:rsid w:val="00504D98"/>
    <w:rsid w:val="00504ECF"/>
    <w:rsid w:val="005054C2"/>
    <w:rsid w:val="00505712"/>
    <w:rsid w:val="0050597C"/>
    <w:rsid w:val="00505E06"/>
    <w:rsid w:val="00506EED"/>
    <w:rsid w:val="00510303"/>
    <w:rsid w:val="00510618"/>
    <w:rsid w:val="00511269"/>
    <w:rsid w:val="005115D5"/>
    <w:rsid w:val="005119CD"/>
    <w:rsid w:val="00511A73"/>
    <w:rsid w:val="005131C4"/>
    <w:rsid w:val="00513F25"/>
    <w:rsid w:val="005141AE"/>
    <w:rsid w:val="00514D80"/>
    <w:rsid w:val="005153FA"/>
    <w:rsid w:val="005155FC"/>
    <w:rsid w:val="00516BE3"/>
    <w:rsid w:val="00516DA5"/>
    <w:rsid w:val="005177AA"/>
    <w:rsid w:val="00517870"/>
    <w:rsid w:val="00517CF6"/>
    <w:rsid w:val="00520243"/>
    <w:rsid w:val="005202DA"/>
    <w:rsid w:val="005206CC"/>
    <w:rsid w:val="00521DFA"/>
    <w:rsid w:val="005223C9"/>
    <w:rsid w:val="0052275C"/>
    <w:rsid w:val="005230DA"/>
    <w:rsid w:val="005235AA"/>
    <w:rsid w:val="0052396E"/>
    <w:rsid w:val="00523A29"/>
    <w:rsid w:val="00524A6A"/>
    <w:rsid w:val="00527048"/>
    <w:rsid w:val="0052719F"/>
    <w:rsid w:val="00527AFF"/>
    <w:rsid w:val="00527DC2"/>
    <w:rsid w:val="00530009"/>
    <w:rsid w:val="005300D5"/>
    <w:rsid w:val="0053038D"/>
    <w:rsid w:val="00530EF8"/>
    <w:rsid w:val="005310D2"/>
    <w:rsid w:val="00532176"/>
    <w:rsid w:val="00532B14"/>
    <w:rsid w:val="005341AD"/>
    <w:rsid w:val="00534229"/>
    <w:rsid w:val="00535A55"/>
    <w:rsid w:val="005368B8"/>
    <w:rsid w:val="005371DF"/>
    <w:rsid w:val="00540855"/>
    <w:rsid w:val="00540CCE"/>
    <w:rsid w:val="00540D14"/>
    <w:rsid w:val="00540FAB"/>
    <w:rsid w:val="00541DF5"/>
    <w:rsid w:val="00543747"/>
    <w:rsid w:val="00543FC4"/>
    <w:rsid w:val="00544112"/>
    <w:rsid w:val="005447B3"/>
    <w:rsid w:val="00544FFA"/>
    <w:rsid w:val="0054524F"/>
    <w:rsid w:val="00546121"/>
    <w:rsid w:val="005461B4"/>
    <w:rsid w:val="00547145"/>
    <w:rsid w:val="00550645"/>
    <w:rsid w:val="00551A41"/>
    <w:rsid w:val="00551BDA"/>
    <w:rsid w:val="00551EF4"/>
    <w:rsid w:val="00551FAE"/>
    <w:rsid w:val="005523AB"/>
    <w:rsid w:val="00552567"/>
    <w:rsid w:val="00552BA3"/>
    <w:rsid w:val="0055309D"/>
    <w:rsid w:val="00554889"/>
    <w:rsid w:val="005553C0"/>
    <w:rsid w:val="00555EEA"/>
    <w:rsid w:val="00556A10"/>
    <w:rsid w:val="00556F40"/>
    <w:rsid w:val="0055793E"/>
    <w:rsid w:val="0056013C"/>
    <w:rsid w:val="005602BE"/>
    <w:rsid w:val="005609F1"/>
    <w:rsid w:val="00561A4F"/>
    <w:rsid w:val="00561CBA"/>
    <w:rsid w:val="00561EC2"/>
    <w:rsid w:val="00562EBE"/>
    <w:rsid w:val="00564B6F"/>
    <w:rsid w:val="00565DB3"/>
    <w:rsid w:val="005660A2"/>
    <w:rsid w:val="005667B2"/>
    <w:rsid w:val="00566B1E"/>
    <w:rsid w:val="00567E40"/>
    <w:rsid w:val="00571FB1"/>
    <w:rsid w:val="00572C6B"/>
    <w:rsid w:val="00573C30"/>
    <w:rsid w:val="00574016"/>
    <w:rsid w:val="0057468F"/>
    <w:rsid w:val="00574958"/>
    <w:rsid w:val="005761D5"/>
    <w:rsid w:val="00576F61"/>
    <w:rsid w:val="0057799B"/>
    <w:rsid w:val="00577DF9"/>
    <w:rsid w:val="00580A1D"/>
    <w:rsid w:val="005816BE"/>
    <w:rsid w:val="0058170B"/>
    <w:rsid w:val="005826F6"/>
    <w:rsid w:val="00582E20"/>
    <w:rsid w:val="00583731"/>
    <w:rsid w:val="00583BA7"/>
    <w:rsid w:val="005846A8"/>
    <w:rsid w:val="00584FCE"/>
    <w:rsid w:val="005851CA"/>
    <w:rsid w:val="00585516"/>
    <w:rsid w:val="00586DFA"/>
    <w:rsid w:val="005901A1"/>
    <w:rsid w:val="0059068E"/>
    <w:rsid w:val="00590718"/>
    <w:rsid w:val="00590CDA"/>
    <w:rsid w:val="00590DFF"/>
    <w:rsid w:val="0059197D"/>
    <w:rsid w:val="00592328"/>
    <w:rsid w:val="00592D73"/>
    <w:rsid w:val="00594102"/>
    <w:rsid w:val="00594477"/>
    <w:rsid w:val="00594E10"/>
    <w:rsid w:val="00596D68"/>
    <w:rsid w:val="00597195"/>
    <w:rsid w:val="005971A1"/>
    <w:rsid w:val="005974F3"/>
    <w:rsid w:val="00597547"/>
    <w:rsid w:val="00597645"/>
    <w:rsid w:val="005A0859"/>
    <w:rsid w:val="005A13A3"/>
    <w:rsid w:val="005A1645"/>
    <w:rsid w:val="005A1901"/>
    <w:rsid w:val="005A1B1A"/>
    <w:rsid w:val="005A2B23"/>
    <w:rsid w:val="005A2C94"/>
    <w:rsid w:val="005A34EE"/>
    <w:rsid w:val="005A4555"/>
    <w:rsid w:val="005A6046"/>
    <w:rsid w:val="005A6CE3"/>
    <w:rsid w:val="005A7121"/>
    <w:rsid w:val="005A771C"/>
    <w:rsid w:val="005B0246"/>
    <w:rsid w:val="005B0AD5"/>
    <w:rsid w:val="005B1C6C"/>
    <w:rsid w:val="005B1C77"/>
    <w:rsid w:val="005B1DD7"/>
    <w:rsid w:val="005B1E6B"/>
    <w:rsid w:val="005B265D"/>
    <w:rsid w:val="005B2768"/>
    <w:rsid w:val="005B31AD"/>
    <w:rsid w:val="005B38FA"/>
    <w:rsid w:val="005B4AEB"/>
    <w:rsid w:val="005B644E"/>
    <w:rsid w:val="005B6700"/>
    <w:rsid w:val="005B693C"/>
    <w:rsid w:val="005C03ED"/>
    <w:rsid w:val="005C041E"/>
    <w:rsid w:val="005C1511"/>
    <w:rsid w:val="005C1CD2"/>
    <w:rsid w:val="005C25C9"/>
    <w:rsid w:val="005C32FD"/>
    <w:rsid w:val="005C5233"/>
    <w:rsid w:val="005C6F19"/>
    <w:rsid w:val="005C71D1"/>
    <w:rsid w:val="005C71FC"/>
    <w:rsid w:val="005C765D"/>
    <w:rsid w:val="005C77B2"/>
    <w:rsid w:val="005D00EA"/>
    <w:rsid w:val="005D018D"/>
    <w:rsid w:val="005D0BAD"/>
    <w:rsid w:val="005D16CF"/>
    <w:rsid w:val="005D1B0C"/>
    <w:rsid w:val="005D2299"/>
    <w:rsid w:val="005D2525"/>
    <w:rsid w:val="005D26E7"/>
    <w:rsid w:val="005D35C9"/>
    <w:rsid w:val="005D4F3C"/>
    <w:rsid w:val="005D55AD"/>
    <w:rsid w:val="005D56F1"/>
    <w:rsid w:val="005D69A9"/>
    <w:rsid w:val="005D6B95"/>
    <w:rsid w:val="005D7422"/>
    <w:rsid w:val="005D7468"/>
    <w:rsid w:val="005D76AD"/>
    <w:rsid w:val="005E0023"/>
    <w:rsid w:val="005E0BA0"/>
    <w:rsid w:val="005E0D3C"/>
    <w:rsid w:val="005E40EF"/>
    <w:rsid w:val="005E45FC"/>
    <w:rsid w:val="005E49D3"/>
    <w:rsid w:val="005E4BB5"/>
    <w:rsid w:val="005E510B"/>
    <w:rsid w:val="005E6B89"/>
    <w:rsid w:val="005E6D14"/>
    <w:rsid w:val="005F0D24"/>
    <w:rsid w:val="005F1172"/>
    <w:rsid w:val="005F2208"/>
    <w:rsid w:val="005F2789"/>
    <w:rsid w:val="005F2F28"/>
    <w:rsid w:val="005F3002"/>
    <w:rsid w:val="005F368D"/>
    <w:rsid w:val="005F4881"/>
    <w:rsid w:val="005F701B"/>
    <w:rsid w:val="005F76CB"/>
    <w:rsid w:val="00600463"/>
    <w:rsid w:val="0060074F"/>
    <w:rsid w:val="00602332"/>
    <w:rsid w:val="006023D0"/>
    <w:rsid w:val="0060249B"/>
    <w:rsid w:val="00603CF0"/>
    <w:rsid w:val="00603ECF"/>
    <w:rsid w:val="00605514"/>
    <w:rsid w:val="0060645C"/>
    <w:rsid w:val="006072DA"/>
    <w:rsid w:val="00610B00"/>
    <w:rsid w:val="00610BB0"/>
    <w:rsid w:val="00610D53"/>
    <w:rsid w:val="006117D3"/>
    <w:rsid w:val="00611857"/>
    <w:rsid w:val="00611BF7"/>
    <w:rsid w:val="0061222F"/>
    <w:rsid w:val="006126FD"/>
    <w:rsid w:val="00614193"/>
    <w:rsid w:val="00614540"/>
    <w:rsid w:val="0061487D"/>
    <w:rsid w:val="0061495E"/>
    <w:rsid w:val="00614CBC"/>
    <w:rsid w:val="00616072"/>
    <w:rsid w:val="0061687A"/>
    <w:rsid w:val="006172B6"/>
    <w:rsid w:val="006202E9"/>
    <w:rsid w:val="006204FF"/>
    <w:rsid w:val="00620619"/>
    <w:rsid w:val="0062118A"/>
    <w:rsid w:val="00622A13"/>
    <w:rsid w:val="006231A0"/>
    <w:rsid w:val="006231D5"/>
    <w:rsid w:val="00623AEB"/>
    <w:rsid w:val="00624166"/>
    <w:rsid w:val="00624A91"/>
    <w:rsid w:val="0062568C"/>
    <w:rsid w:val="00626E3E"/>
    <w:rsid w:val="006273B0"/>
    <w:rsid w:val="006310A0"/>
    <w:rsid w:val="006310D8"/>
    <w:rsid w:val="006313EA"/>
    <w:rsid w:val="006314CC"/>
    <w:rsid w:val="00631752"/>
    <w:rsid w:val="00631F9A"/>
    <w:rsid w:val="00632A58"/>
    <w:rsid w:val="00633E76"/>
    <w:rsid w:val="00633F05"/>
    <w:rsid w:val="00634334"/>
    <w:rsid w:val="0063475B"/>
    <w:rsid w:val="00634975"/>
    <w:rsid w:val="00634F3C"/>
    <w:rsid w:val="00635B90"/>
    <w:rsid w:val="00635D06"/>
    <w:rsid w:val="00636175"/>
    <w:rsid w:val="00636294"/>
    <w:rsid w:val="00636EAD"/>
    <w:rsid w:val="00637397"/>
    <w:rsid w:val="006373B2"/>
    <w:rsid w:val="0063744F"/>
    <w:rsid w:val="00637581"/>
    <w:rsid w:val="00637773"/>
    <w:rsid w:val="00637B9E"/>
    <w:rsid w:val="0064069D"/>
    <w:rsid w:val="0064089E"/>
    <w:rsid w:val="00640CDB"/>
    <w:rsid w:val="00641923"/>
    <w:rsid w:val="00641BED"/>
    <w:rsid w:val="00641DF8"/>
    <w:rsid w:val="00641FE0"/>
    <w:rsid w:val="006431B2"/>
    <w:rsid w:val="00643658"/>
    <w:rsid w:val="00643AA8"/>
    <w:rsid w:val="00644433"/>
    <w:rsid w:val="006444A3"/>
    <w:rsid w:val="0064470A"/>
    <w:rsid w:val="00644AA9"/>
    <w:rsid w:val="00645199"/>
    <w:rsid w:val="00645B81"/>
    <w:rsid w:val="006465AC"/>
    <w:rsid w:val="006465AE"/>
    <w:rsid w:val="006476B4"/>
    <w:rsid w:val="00647AD7"/>
    <w:rsid w:val="00647D8F"/>
    <w:rsid w:val="00650A0D"/>
    <w:rsid w:val="006510AF"/>
    <w:rsid w:val="00651E53"/>
    <w:rsid w:val="00652316"/>
    <w:rsid w:val="00653162"/>
    <w:rsid w:val="0065342E"/>
    <w:rsid w:val="00653855"/>
    <w:rsid w:val="0065396D"/>
    <w:rsid w:val="00654CED"/>
    <w:rsid w:val="00655274"/>
    <w:rsid w:val="00655A57"/>
    <w:rsid w:val="006565A2"/>
    <w:rsid w:val="006569DA"/>
    <w:rsid w:val="00656EFA"/>
    <w:rsid w:val="00657610"/>
    <w:rsid w:val="00657D47"/>
    <w:rsid w:val="00657F95"/>
    <w:rsid w:val="00660725"/>
    <w:rsid w:val="006609B4"/>
    <w:rsid w:val="00660B7A"/>
    <w:rsid w:val="0066106C"/>
    <w:rsid w:val="00661DD0"/>
    <w:rsid w:val="00662320"/>
    <w:rsid w:val="00662DB3"/>
    <w:rsid w:val="0066383E"/>
    <w:rsid w:val="00663B0B"/>
    <w:rsid w:val="0066426E"/>
    <w:rsid w:val="00664540"/>
    <w:rsid w:val="006645F0"/>
    <w:rsid w:val="0066478F"/>
    <w:rsid w:val="00664BB7"/>
    <w:rsid w:val="00665A2B"/>
    <w:rsid w:val="00665AE5"/>
    <w:rsid w:val="0066670C"/>
    <w:rsid w:val="00666859"/>
    <w:rsid w:val="0066798B"/>
    <w:rsid w:val="00667EB1"/>
    <w:rsid w:val="006703B0"/>
    <w:rsid w:val="006706EA"/>
    <w:rsid w:val="00670C3A"/>
    <w:rsid w:val="00671606"/>
    <w:rsid w:val="00671C69"/>
    <w:rsid w:val="006721F9"/>
    <w:rsid w:val="00672A90"/>
    <w:rsid w:val="00673045"/>
    <w:rsid w:val="00674CC4"/>
    <w:rsid w:val="00674EF6"/>
    <w:rsid w:val="006755CB"/>
    <w:rsid w:val="00676309"/>
    <w:rsid w:val="006764EE"/>
    <w:rsid w:val="00676BB9"/>
    <w:rsid w:val="00676ED6"/>
    <w:rsid w:val="00680060"/>
    <w:rsid w:val="00680451"/>
    <w:rsid w:val="0068057A"/>
    <w:rsid w:val="00680DC3"/>
    <w:rsid w:val="00680E8E"/>
    <w:rsid w:val="00681143"/>
    <w:rsid w:val="006812FE"/>
    <w:rsid w:val="00681B3F"/>
    <w:rsid w:val="00681EB0"/>
    <w:rsid w:val="0068470B"/>
    <w:rsid w:val="0068540E"/>
    <w:rsid w:val="00685B2B"/>
    <w:rsid w:val="00685DB5"/>
    <w:rsid w:val="0068668B"/>
    <w:rsid w:val="00687853"/>
    <w:rsid w:val="00687AFC"/>
    <w:rsid w:val="00687CE9"/>
    <w:rsid w:val="00690DE7"/>
    <w:rsid w:val="006915F8"/>
    <w:rsid w:val="00691AFC"/>
    <w:rsid w:val="00692034"/>
    <w:rsid w:val="006920E2"/>
    <w:rsid w:val="00692427"/>
    <w:rsid w:val="00692C8D"/>
    <w:rsid w:val="00694E50"/>
    <w:rsid w:val="00696879"/>
    <w:rsid w:val="0069688A"/>
    <w:rsid w:val="006971AD"/>
    <w:rsid w:val="006973E1"/>
    <w:rsid w:val="00697710"/>
    <w:rsid w:val="00697AD0"/>
    <w:rsid w:val="00697DA1"/>
    <w:rsid w:val="006A0959"/>
    <w:rsid w:val="006A0B82"/>
    <w:rsid w:val="006A1080"/>
    <w:rsid w:val="006A16FA"/>
    <w:rsid w:val="006A2544"/>
    <w:rsid w:val="006A3715"/>
    <w:rsid w:val="006A44AF"/>
    <w:rsid w:val="006A63C6"/>
    <w:rsid w:val="006A65BB"/>
    <w:rsid w:val="006A663E"/>
    <w:rsid w:val="006A695B"/>
    <w:rsid w:val="006A7F07"/>
    <w:rsid w:val="006B00BB"/>
    <w:rsid w:val="006B1B1F"/>
    <w:rsid w:val="006B2422"/>
    <w:rsid w:val="006B2876"/>
    <w:rsid w:val="006B2DFE"/>
    <w:rsid w:val="006B3726"/>
    <w:rsid w:val="006B393E"/>
    <w:rsid w:val="006B4CDB"/>
    <w:rsid w:val="006B51BC"/>
    <w:rsid w:val="006B5C72"/>
    <w:rsid w:val="006B68D1"/>
    <w:rsid w:val="006B7101"/>
    <w:rsid w:val="006B7282"/>
    <w:rsid w:val="006B7891"/>
    <w:rsid w:val="006C0A25"/>
    <w:rsid w:val="006C1E37"/>
    <w:rsid w:val="006C26F9"/>
    <w:rsid w:val="006C29DC"/>
    <w:rsid w:val="006C2DD8"/>
    <w:rsid w:val="006C484D"/>
    <w:rsid w:val="006C4BCA"/>
    <w:rsid w:val="006C6629"/>
    <w:rsid w:val="006C6C50"/>
    <w:rsid w:val="006D17FF"/>
    <w:rsid w:val="006D2665"/>
    <w:rsid w:val="006D3624"/>
    <w:rsid w:val="006D3C66"/>
    <w:rsid w:val="006D4907"/>
    <w:rsid w:val="006D4C7F"/>
    <w:rsid w:val="006D5559"/>
    <w:rsid w:val="006D58A3"/>
    <w:rsid w:val="006D7C13"/>
    <w:rsid w:val="006D7D2C"/>
    <w:rsid w:val="006E030C"/>
    <w:rsid w:val="006E0E75"/>
    <w:rsid w:val="006E133F"/>
    <w:rsid w:val="006E2897"/>
    <w:rsid w:val="006E29E3"/>
    <w:rsid w:val="006E3BB6"/>
    <w:rsid w:val="006E4C07"/>
    <w:rsid w:val="006E55BA"/>
    <w:rsid w:val="006E6189"/>
    <w:rsid w:val="006E6758"/>
    <w:rsid w:val="006F02BE"/>
    <w:rsid w:val="006F0DC0"/>
    <w:rsid w:val="006F1210"/>
    <w:rsid w:val="006F1AC4"/>
    <w:rsid w:val="006F1E42"/>
    <w:rsid w:val="006F25D0"/>
    <w:rsid w:val="006F35F9"/>
    <w:rsid w:val="006F3A96"/>
    <w:rsid w:val="006F3CB6"/>
    <w:rsid w:val="006F5742"/>
    <w:rsid w:val="006F5C69"/>
    <w:rsid w:val="006F5DD2"/>
    <w:rsid w:val="006F6221"/>
    <w:rsid w:val="006F6C5A"/>
    <w:rsid w:val="006F7854"/>
    <w:rsid w:val="0070085B"/>
    <w:rsid w:val="00700FDF"/>
    <w:rsid w:val="00701D8F"/>
    <w:rsid w:val="00702044"/>
    <w:rsid w:val="00703076"/>
    <w:rsid w:val="00703791"/>
    <w:rsid w:val="00703BC1"/>
    <w:rsid w:val="007045A0"/>
    <w:rsid w:val="00704698"/>
    <w:rsid w:val="00704A64"/>
    <w:rsid w:val="00704ADF"/>
    <w:rsid w:val="00705AA1"/>
    <w:rsid w:val="00706256"/>
    <w:rsid w:val="007067A8"/>
    <w:rsid w:val="007068AD"/>
    <w:rsid w:val="007073BA"/>
    <w:rsid w:val="00707514"/>
    <w:rsid w:val="007078B0"/>
    <w:rsid w:val="00710191"/>
    <w:rsid w:val="007114AE"/>
    <w:rsid w:val="00711910"/>
    <w:rsid w:val="00711933"/>
    <w:rsid w:val="00712367"/>
    <w:rsid w:val="007135AC"/>
    <w:rsid w:val="00713633"/>
    <w:rsid w:val="007139BF"/>
    <w:rsid w:val="007145EB"/>
    <w:rsid w:val="00714D77"/>
    <w:rsid w:val="00715594"/>
    <w:rsid w:val="00715603"/>
    <w:rsid w:val="00715617"/>
    <w:rsid w:val="007158AC"/>
    <w:rsid w:val="00716F50"/>
    <w:rsid w:val="0071797A"/>
    <w:rsid w:val="00717D99"/>
    <w:rsid w:val="00721AD2"/>
    <w:rsid w:val="00721E61"/>
    <w:rsid w:val="0072272E"/>
    <w:rsid w:val="00723CEA"/>
    <w:rsid w:val="00724B2B"/>
    <w:rsid w:val="00724F5B"/>
    <w:rsid w:val="007252F1"/>
    <w:rsid w:val="00726B07"/>
    <w:rsid w:val="00727A82"/>
    <w:rsid w:val="00727D1D"/>
    <w:rsid w:val="00727DCB"/>
    <w:rsid w:val="007302B2"/>
    <w:rsid w:val="00730522"/>
    <w:rsid w:val="00730BA9"/>
    <w:rsid w:val="00731486"/>
    <w:rsid w:val="00731575"/>
    <w:rsid w:val="00731861"/>
    <w:rsid w:val="00731DC9"/>
    <w:rsid w:val="00732FD9"/>
    <w:rsid w:val="00733194"/>
    <w:rsid w:val="00733E06"/>
    <w:rsid w:val="0073432C"/>
    <w:rsid w:val="00735668"/>
    <w:rsid w:val="00735DB3"/>
    <w:rsid w:val="00735E03"/>
    <w:rsid w:val="00737DEA"/>
    <w:rsid w:val="00737FAF"/>
    <w:rsid w:val="00737FC3"/>
    <w:rsid w:val="0074005B"/>
    <w:rsid w:val="007407FD"/>
    <w:rsid w:val="00740E2A"/>
    <w:rsid w:val="00741751"/>
    <w:rsid w:val="00741B74"/>
    <w:rsid w:val="00742996"/>
    <w:rsid w:val="00742A1E"/>
    <w:rsid w:val="00742EE6"/>
    <w:rsid w:val="00743ACF"/>
    <w:rsid w:val="007441A1"/>
    <w:rsid w:val="007446EE"/>
    <w:rsid w:val="007471AF"/>
    <w:rsid w:val="00747367"/>
    <w:rsid w:val="00747D2A"/>
    <w:rsid w:val="00751346"/>
    <w:rsid w:val="007517FD"/>
    <w:rsid w:val="00751954"/>
    <w:rsid w:val="00751BAF"/>
    <w:rsid w:val="00752E15"/>
    <w:rsid w:val="00753B76"/>
    <w:rsid w:val="0075598E"/>
    <w:rsid w:val="007563E8"/>
    <w:rsid w:val="007578A7"/>
    <w:rsid w:val="00757D17"/>
    <w:rsid w:val="0076040E"/>
    <w:rsid w:val="00760413"/>
    <w:rsid w:val="00760EBB"/>
    <w:rsid w:val="0076133F"/>
    <w:rsid w:val="0076165B"/>
    <w:rsid w:val="00761C16"/>
    <w:rsid w:val="0076215F"/>
    <w:rsid w:val="0076329C"/>
    <w:rsid w:val="0076329E"/>
    <w:rsid w:val="00763BF5"/>
    <w:rsid w:val="00764B36"/>
    <w:rsid w:val="00764B59"/>
    <w:rsid w:val="00764E29"/>
    <w:rsid w:val="00765690"/>
    <w:rsid w:val="00765896"/>
    <w:rsid w:val="00765AC5"/>
    <w:rsid w:val="00766491"/>
    <w:rsid w:val="00766B35"/>
    <w:rsid w:val="00766DCC"/>
    <w:rsid w:val="0076736D"/>
    <w:rsid w:val="00767AE9"/>
    <w:rsid w:val="00771204"/>
    <w:rsid w:val="00771479"/>
    <w:rsid w:val="0077200C"/>
    <w:rsid w:val="00772079"/>
    <w:rsid w:val="007720D0"/>
    <w:rsid w:val="00772440"/>
    <w:rsid w:val="00772542"/>
    <w:rsid w:val="00775636"/>
    <w:rsid w:val="00776463"/>
    <w:rsid w:val="0077652C"/>
    <w:rsid w:val="007778CB"/>
    <w:rsid w:val="00777ABF"/>
    <w:rsid w:val="00780089"/>
    <w:rsid w:val="00780EC3"/>
    <w:rsid w:val="00782541"/>
    <w:rsid w:val="007828EB"/>
    <w:rsid w:val="00783914"/>
    <w:rsid w:val="007839B3"/>
    <w:rsid w:val="00783FA0"/>
    <w:rsid w:val="00784669"/>
    <w:rsid w:val="00784D43"/>
    <w:rsid w:val="00785705"/>
    <w:rsid w:val="0078616F"/>
    <w:rsid w:val="0078639B"/>
    <w:rsid w:val="007873C3"/>
    <w:rsid w:val="007901DB"/>
    <w:rsid w:val="00790412"/>
    <w:rsid w:val="007904A9"/>
    <w:rsid w:val="0079158F"/>
    <w:rsid w:val="007918FC"/>
    <w:rsid w:val="0079222B"/>
    <w:rsid w:val="007928E5"/>
    <w:rsid w:val="00792F9D"/>
    <w:rsid w:val="007933DE"/>
    <w:rsid w:val="00793BDF"/>
    <w:rsid w:val="00793CC4"/>
    <w:rsid w:val="00794509"/>
    <w:rsid w:val="00794A67"/>
    <w:rsid w:val="00794E1A"/>
    <w:rsid w:val="00795007"/>
    <w:rsid w:val="007952C9"/>
    <w:rsid w:val="00795CA5"/>
    <w:rsid w:val="00795EFD"/>
    <w:rsid w:val="007965DB"/>
    <w:rsid w:val="007969E7"/>
    <w:rsid w:val="007A0AAB"/>
    <w:rsid w:val="007A1CB1"/>
    <w:rsid w:val="007A2F26"/>
    <w:rsid w:val="007A32E5"/>
    <w:rsid w:val="007A348D"/>
    <w:rsid w:val="007A4C57"/>
    <w:rsid w:val="007A52E8"/>
    <w:rsid w:val="007A5BC8"/>
    <w:rsid w:val="007A6732"/>
    <w:rsid w:val="007A697D"/>
    <w:rsid w:val="007A6E4B"/>
    <w:rsid w:val="007A727A"/>
    <w:rsid w:val="007A7A24"/>
    <w:rsid w:val="007A7CD0"/>
    <w:rsid w:val="007B0773"/>
    <w:rsid w:val="007B0974"/>
    <w:rsid w:val="007B0A9E"/>
    <w:rsid w:val="007B0AA7"/>
    <w:rsid w:val="007B0FC7"/>
    <w:rsid w:val="007B2A31"/>
    <w:rsid w:val="007B3150"/>
    <w:rsid w:val="007B3204"/>
    <w:rsid w:val="007B37EB"/>
    <w:rsid w:val="007B39D8"/>
    <w:rsid w:val="007B3C8C"/>
    <w:rsid w:val="007B41B4"/>
    <w:rsid w:val="007B4701"/>
    <w:rsid w:val="007B587D"/>
    <w:rsid w:val="007B5A2C"/>
    <w:rsid w:val="007B5E4C"/>
    <w:rsid w:val="007B601A"/>
    <w:rsid w:val="007B63A4"/>
    <w:rsid w:val="007B69EE"/>
    <w:rsid w:val="007B6B9E"/>
    <w:rsid w:val="007B6C98"/>
    <w:rsid w:val="007B6F2F"/>
    <w:rsid w:val="007C1238"/>
    <w:rsid w:val="007C1BA3"/>
    <w:rsid w:val="007C1CAB"/>
    <w:rsid w:val="007C26C8"/>
    <w:rsid w:val="007C305F"/>
    <w:rsid w:val="007C309F"/>
    <w:rsid w:val="007C39ED"/>
    <w:rsid w:val="007C3CAF"/>
    <w:rsid w:val="007C3E5E"/>
    <w:rsid w:val="007C43AF"/>
    <w:rsid w:val="007C4A5A"/>
    <w:rsid w:val="007C4F39"/>
    <w:rsid w:val="007C50F3"/>
    <w:rsid w:val="007C536B"/>
    <w:rsid w:val="007C56A9"/>
    <w:rsid w:val="007C57B2"/>
    <w:rsid w:val="007C5804"/>
    <w:rsid w:val="007C5F3C"/>
    <w:rsid w:val="007C693F"/>
    <w:rsid w:val="007D0720"/>
    <w:rsid w:val="007D07F1"/>
    <w:rsid w:val="007D1A3F"/>
    <w:rsid w:val="007D22AC"/>
    <w:rsid w:val="007D2475"/>
    <w:rsid w:val="007D2AA2"/>
    <w:rsid w:val="007D34CF"/>
    <w:rsid w:val="007D3F2F"/>
    <w:rsid w:val="007D4A37"/>
    <w:rsid w:val="007D4A66"/>
    <w:rsid w:val="007D51BB"/>
    <w:rsid w:val="007D5B16"/>
    <w:rsid w:val="007D6BD7"/>
    <w:rsid w:val="007D71CC"/>
    <w:rsid w:val="007E0841"/>
    <w:rsid w:val="007E0E2A"/>
    <w:rsid w:val="007E0EA3"/>
    <w:rsid w:val="007E151D"/>
    <w:rsid w:val="007E1837"/>
    <w:rsid w:val="007E228A"/>
    <w:rsid w:val="007E2968"/>
    <w:rsid w:val="007E338C"/>
    <w:rsid w:val="007E3BE3"/>
    <w:rsid w:val="007E4197"/>
    <w:rsid w:val="007E437F"/>
    <w:rsid w:val="007E48F4"/>
    <w:rsid w:val="007E5BCE"/>
    <w:rsid w:val="007E6406"/>
    <w:rsid w:val="007E7F0B"/>
    <w:rsid w:val="007F039D"/>
    <w:rsid w:val="007F03AB"/>
    <w:rsid w:val="007F0A45"/>
    <w:rsid w:val="007F13CA"/>
    <w:rsid w:val="007F264C"/>
    <w:rsid w:val="007F2712"/>
    <w:rsid w:val="007F3E59"/>
    <w:rsid w:val="007F3F91"/>
    <w:rsid w:val="007F40B1"/>
    <w:rsid w:val="007F47C3"/>
    <w:rsid w:val="007F536E"/>
    <w:rsid w:val="007F61EB"/>
    <w:rsid w:val="007F7384"/>
    <w:rsid w:val="007F739A"/>
    <w:rsid w:val="0080052F"/>
    <w:rsid w:val="00800EEC"/>
    <w:rsid w:val="008021C8"/>
    <w:rsid w:val="008023CA"/>
    <w:rsid w:val="00802EB6"/>
    <w:rsid w:val="0080412E"/>
    <w:rsid w:val="008049E5"/>
    <w:rsid w:val="00806C78"/>
    <w:rsid w:val="00807297"/>
    <w:rsid w:val="008101E3"/>
    <w:rsid w:val="00810605"/>
    <w:rsid w:val="00811599"/>
    <w:rsid w:val="00811CDF"/>
    <w:rsid w:val="008126CD"/>
    <w:rsid w:val="008134F6"/>
    <w:rsid w:val="0081429E"/>
    <w:rsid w:val="008146B5"/>
    <w:rsid w:val="00814779"/>
    <w:rsid w:val="008152DA"/>
    <w:rsid w:val="00815A98"/>
    <w:rsid w:val="00815DB2"/>
    <w:rsid w:val="00815E57"/>
    <w:rsid w:val="00816EF7"/>
    <w:rsid w:val="00817398"/>
    <w:rsid w:val="00817D72"/>
    <w:rsid w:val="008206B6"/>
    <w:rsid w:val="00820EA0"/>
    <w:rsid w:val="008221EF"/>
    <w:rsid w:val="00822B68"/>
    <w:rsid w:val="00822F07"/>
    <w:rsid w:val="008234B7"/>
    <w:rsid w:val="00823C8E"/>
    <w:rsid w:val="0082456F"/>
    <w:rsid w:val="00824BDC"/>
    <w:rsid w:val="00824BEE"/>
    <w:rsid w:val="00825797"/>
    <w:rsid w:val="00826499"/>
    <w:rsid w:val="00826846"/>
    <w:rsid w:val="00827B7D"/>
    <w:rsid w:val="00827C2C"/>
    <w:rsid w:val="00830199"/>
    <w:rsid w:val="008308B5"/>
    <w:rsid w:val="008318BA"/>
    <w:rsid w:val="00832B2A"/>
    <w:rsid w:val="00832E57"/>
    <w:rsid w:val="00833403"/>
    <w:rsid w:val="00834006"/>
    <w:rsid w:val="008349B2"/>
    <w:rsid w:val="008349E5"/>
    <w:rsid w:val="00834A7A"/>
    <w:rsid w:val="00834F21"/>
    <w:rsid w:val="0083551C"/>
    <w:rsid w:val="00835FA8"/>
    <w:rsid w:val="008365FA"/>
    <w:rsid w:val="00836B3A"/>
    <w:rsid w:val="00836C34"/>
    <w:rsid w:val="00837074"/>
    <w:rsid w:val="00837276"/>
    <w:rsid w:val="00840239"/>
    <w:rsid w:val="008407BD"/>
    <w:rsid w:val="00840919"/>
    <w:rsid w:val="00840A31"/>
    <w:rsid w:val="008430B5"/>
    <w:rsid w:val="0084325B"/>
    <w:rsid w:val="008442C9"/>
    <w:rsid w:val="00844FD8"/>
    <w:rsid w:val="0084740F"/>
    <w:rsid w:val="008476B5"/>
    <w:rsid w:val="00847975"/>
    <w:rsid w:val="0085079D"/>
    <w:rsid w:val="00850DC5"/>
    <w:rsid w:val="00850F0A"/>
    <w:rsid w:val="0085135A"/>
    <w:rsid w:val="0085201F"/>
    <w:rsid w:val="00852548"/>
    <w:rsid w:val="00852B11"/>
    <w:rsid w:val="008535A2"/>
    <w:rsid w:val="00853BDF"/>
    <w:rsid w:val="00853CA5"/>
    <w:rsid w:val="00853DE6"/>
    <w:rsid w:val="00854F2D"/>
    <w:rsid w:val="008552A9"/>
    <w:rsid w:val="00855726"/>
    <w:rsid w:val="00856352"/>
    <w:rsid w:val="0085637D"/>
    <w:rsid w:val="00856924"/>
    <w:rsid w:val="008602A9"/>
    <w:rsid w:val="00860C45"/>
    <w:rsid w:val="00860E7D"/>
    <w:rsid w:val="008613B8"/>
    <w:rsid w:val="0086150E"/>
    <w:rsid w:val="00861535"/>
    <w:rsid w:val="00863064"/>
    <w:rsid w:val="008637E9"/>
    <w:rsid w:val="008640B7"/>
    <w:rsid w:val="00864517"/>
    <w:rsid w:val="0086526C"/>
    <w:rsid w:val="00865581"/>
    <w:rsid w:val="008660F2"/>
    <w:rsid w:val="0086616E"/>
    <w:rsid w:val="00866440"/>
    <w:rsid w:val="00866C36"/>
    <w:rsid w:val="0086730F"/>
    <w:rsid w:val="0086774C"/>
    <w:rsid w:val="00867A78"/>
    <w:rsid w:val="00870254"/>
    <w:rsid w:val="0087051C"/>
    <w:rsid w:val="0087055D"/>
    <w:rsid w:val="008707B1"/>
    <w:rsid w:val="00870A73"/>
    <w:rsid w:val="0087180D"/>
    <w:rsid w:val="00871AA4"/>
    <w:rsid w:val="008726D6"/>
    <w:rsid w:val="008737F9"/>
    <w:rsid w:val="00873E75"/>
    <w:rsid w:val="00874545"/>
    <w:rsid w:val="008745A8"/>
    <w:rsid w:val="00874605"/>
    <w:rsid w:val="00876FF7"/>
    <w:rsid w:val="00877749"/>
    <w:rsid w:val="00880D55"/>
    <w:rsid w:val="00880F24"/>
    <w:rsid w:val="008816BB"/>
    <w:rsid w:val="00881745"/>
    <w:rsid w:val="0088184D"/>
    <w:rsid w:val="00881B0E"/>
    <w:rsid w:val="00882215"/>
    <w:rsid w:val="0088240C"/>
    <w:rsid w:val="008835B7"/>
    <w:rsid w:val="00883AE7"/>
    <w:rsid w:val="00884D9B"/>
    <w:rsid w:val="00885C37"/>
    <w:rsid w:val="00886A08"/>
    <w:rsid w:val="00886AAD"/>
    <w:rsid w:val="00890646"/>
    <w:rsid w:val="00890B45"/>
    <w:rsid w:val="00890CAD"/>
    <w:rsid w:val="008923B6"/>
    <w:rsid w:val="00892D01"/>
    <w:rsid w:val="00892E2C"/>
    <w:rsid w:val="00894232"/>
    <w:rsid w:val="00895137"/>
    <w:rsid w:val="0089560D"/>
    <w:rsid w:val="008956DE"/>
    <w:rsid w:val="00895ABD"/>
    <w:rsid w:val="00897BE3"/>
    <w:rsid w:val="008A0321"/>
    <w:rsid w:val="008A03A2"/>
    <w:rsid w:val="008A056F"/>
    <w:rsid w:val="008A125D"/>
    <w:rsid w:val="008A178C"/>
    <w:rsid w:val="008A1D28"/>
    <w:rsid w:val="008A2A8D"/>
    <w:rsid w:val="008A373C"/>
    <w:rsid w:val="008A55EE"/>
    <w:rsid w:val="008A650C"/>
    <w:rsid w:val="008A6DB1"/>
    <w:rsid w:val="008B02F5"/>
    <w:rsid w:val="008B096B"/>
    <w:rsid w:val="008B1378"/>
    <w:rsid w:val="008B1543"/>
    <w:rsid w:val="008B15C6"/>
    <w:rsid w:val="008B17CF"/>
    <w:rsid w:val="008B1882"/>
    <w:rsid w:val="008B1F18"/>
    <w:rsid w:val="008B2147"/>
    <w:rsid w:val="008B2B70"/>
    <w:rsid w:val="008B2F2C"/>
    <w:rsid w:val="008B3D4E"/>
    <w:rsid w:val="008B3DB4"/>
    <w:rsid w:val="008B408A"/>
    <w:rsid w:val="008B41CE"/>
    <w:rsid w:val="008B4821"/>
    <w:rsid w:val="008B4DD4"/>
    <w:rsid w:val="008B65D3"/>
    <w:rsid w:val="008B77C8"/>
    <w:rsid w:val="008B7C22"/>
    <w:rsid w:val="008C0E17"/>
    <w:rsid w:val="008C2290"/>
    <w:rsid w:val="008C241F"/>
    <w:rsid w:val="008C2804"/>
    <w:rsid w:val="008C2CB2"/>
    <w:rsid w:val="008C2F69"/>
    <w:rsid w:val="008C300C"/>
    <w:rsid w:val="008C3A5A"/>
    <w:rsid w:val="008C3D0B"/>
    <w:rsid w:val="008C677C"/>
    <w:rsid w:val="008C6813"/>
    <w:rsid w:val="008D017C"/>
    <w:rsid w:val="008D1658"/>
    <w:rsid w:val="008D24FD"/>
    <w:rsid w:val="008D2713"/>
    <w:rsid w:val="008D2768"/>
    <w:rsid w:val="008D2DA9"/>
    <w:rsid w:val="008D307B"/>
    <w:rsid w:val="008D3796"/>
    <w:rsid w:val="008D3984"/>
    <w:rsid w:val="008D3A77"/>
    <w:rsid w:val="008D3EC9"/>
    <w:rsid w:val="008D434C"/>
    <w:rsid w:val="008D4724"/>
    <w:rsid w:val="008D50EB"/>
    <w:rsid w:val="008D557E"/>
    <w:rsid w:val="008D595A"/>
    <w:rsid w:val="008D5B9A"/>
    <w:rsid w:val="008D6A66"/>
    <w:rsid w:val="008D6D61"/>
    <w:rsid w:val="008D784C"/>
    <w:rsid w:val="008D7E80"/>
    <w:rsid w:val="008E09F6"/>
    <w:rsid w:val="008E1440"/>
    <w:rsid w:val="008E1F38"/>
    <w:rsid w:val="008E1FEF"/>
    <w:rsid w:val="008E2FE5"/>
    <w:rsid w:val="008E50ED"/>
    <w:rsid w:val="008E693A"/>
    <w:rsid w:val="008E6D3F"/>
    <w:rsid w:val="008E6D67"/>
    <w:rsid w:val="008F2001"/>
    <w:rsid w:val="008F2441"/>
    <w:rsid w:val="008F25C8"/>
    <w:rsid w:val="008F2ACF"/>
    <w:rsid w:val="008F2B5C"/>
    <w:rsid w:val="008F37EF"/>
    <w:rsid w:val="008F3C1B"/>
    <w:rsid w:val="008F6602"/>
    <w:rsid w:val="008F735F"/>
    <w:rsid w:val="008F770C"/>
    <w:rsid w:val="00900D86"/>
    <w:rsid w:val="00901225"/>
    <w:rsid w:val="0090198B"/>
    <w:rsid w:val="00902580"/>
    <w:rsid w:val="0090330E"/>
    <w:rsid w:val="00903E8B"/>
    <w:rsid w:val="00903EFD"/>
    <w:rsid w:val="00904133"/>
    <w:rsid w:val="0090531E"/>
    <w:rsid w:val="00905385"/>
    <w:rsid w:val="00906CA5"/>
    <w:rsid w:val="00906E02"/>
    <w:rsid w:val="00907782"/>
    <w:rsid w:val="00907E2E"/>
    <w:rsid w:val="009108AA"/>
    <w:rsid w:val="00911417"/>
    <w:rsid w:val="009127B7"/>
    <w:rsid w:val="00912AEE"/>
    <w:rsid w:val="009141B9"/>
    <w:rsid w:val="00914E1A"/>
    <w:rsid w:val="00914F8C"/>
    <w:rsid w:val="0091582C"/>
    <w:rsid w:val="009162E0"/>
    <w:rsid w:val="009163AA"/>
    <w:rsid w:val="009168BB"/>
    <w:rsid w:val="009169A5"/>
    <w:rsid w:val="00916F9F"/>
    <w:rsid w:val="009200C0"/>
    <w:rsid w:val="0092030B"/>
    <w:rsid w:val="009212F4"/>
    <w:rsid w:val="00921936"/>
    <w:rsid w:val="009226A8"/>
    <w:rsid w:val="00922B5A"/>
    <w:rsid w:val="00922D01"/>
    <w:rsid w:val="00923765"/>
    <w:rsid w:val="00923993"/>
    <w:rsid w:val="009247C1"/>
    <w:rsid w:val="0092542C"/>
    <w:rsid w:val="00926933"/>
    <w:rsid w:val="00926D48"/>
    <w:rsid w:val="009275D4"/>
    <w:rsid w:val="00927B72"/>
    <w:rsid w:val="00927D17"/>
    <w:rsid w:val="00927F52"/>
    <w:rsid w:val="00930028"/>
    <w:rsid w:val="009306B2"/>
    <w:rsid w:val="009307A4"/>
    <w:rsid w:val="00931121"/>
    <w:rsid w:val="0093182F"/>
    <w:rsid w:val="00931CDE"/>
    <w:rsid w:val="0093232E"/>
    <w:rsid w:val="0093279E"/>
    <w:rsid w:val="009328A5"/>
    <w:rsid w:val="009332AF"/>
    <w:rsid w:val="009332D2"/>
    <w:rsid w:val="0093339A"/>
    <w:rsid w:val="0093413C"/>
    <w:rsid w:val="0093478C"/>
    <w:rsid w:val="00934BB8"/>
    <w:rsid w:val="00934C02"/>
    <w:rsid w:val="00934F2F"/>
    <w:rsid w:val="00935B4B"/>
    <w:rsid w:val="00936B50"/>
    <w:rsid w:val="0093702C"/>
    <w:rsid w:val="00937DD1"/>
    <w:rsid w:val="00940049"/>
    <w:rsid w:val="009403BF"/>
    <w:rsid w:val="009406B6"/>
    <w:rsid w:val="00940717"/>
    <w:rsid w:val="009411CC"/>
    <w:rsid w:val="00942221"/>
    <w:rsid w:val="00942569"/>
    <w:rsid w:val="00942900"/>
    <w:rsid w:val="00942BA4"/>
    <w:rsid w:val="0094360C"/>
    <w:rsid w:val="00943F09"/>
    <w:rsid w:val="0094426D"/>
    <w:rsid w:val="0094528B"/>
    <w:rsid w:val="00945504"/>
    <w:rsid w:val="009463C1"/>
    <w:rsid w:val="00946A2D"/>
    <w:rsid w:val="00947ADC"/>
    <w:rsid w:val="00947D19"/>
    <w:rsid w:val="00947E38"/>
    <w:rsid w:val="009505CC"/>
    <w:rsid w:val="00950852"/>
    <w:rsid w:val="00951D08"/>
    <w:rsid w:val="00953188"/>
    <w:rsid w:val="00953AEB"/>
    <w:rsid w:val="00953BA8"/>
    <w:rsid w:val="009543E6"/>
    <w:rsid w:val="009547BA"/>
    <w:rsid w:val="00954BBF"/>
    <w:rsid w:val="00955DEC"/>
    <w:rsid w:val="009564AD"/>
    <w:rsid w:val="00956609"/>
    <w:rsid w:val="00957D26"/>
    <w:rsid w:val="009605C0"/>
    <w:rsid w:val="00960BA7"/>
    <w:rsid w:val="00962441"/>
    <w:rsid w:val="00962792"/>
    <w:rsid w:val="00962854"/>
    <w:rsid w:val="00962C03"/>
    <w:rsid w:val="0096336E"/>
    <w:rsid w:val="00963C66"/>
    <w:rsid w:val="00964E72"/>
    <w:rsid w:val="00965E52"/>
    <w:rsid w:val="00966148"/>
    <w:rsid w:val="00966467"/>
    <w:rsid w:val="009667B9"/>
    <w:rsid w:val="00966DFE"/>
    <w:rsid w:val="0097034B"/>
    <w:rsid w:val="009703F8"/>
    <w:rsid w:val="0097119D"/>
    <w:rsid w:val="00971251"/>
    <w:rsid w:val="009729D2"/>
    <w:rsid w:val="009743FC"/>
    <w:rsid w:val="00974D88"/>
    <w:rsid w:val="00974FAA"/>
    <w:rsid w:val="00975E4B"/>
    <w:rsid w:val="009767E4"/>
    <w:rsid w:val="00977600"/>
    <w:rsid w:val="00977895"/>
    <w:rsid w:val="00981032"/>
    <w:rsid w:val="009821BC"/>
    <w:rsid w:val="00982783"/>
    <w:rsid w:val="00983F25"/>
    <w:rsid w:val="00983FCD"/>
    <w:rsid w:val="00984CBA"/>
    <w:rsid w:val="009863C5"/>
    <w:rsid w:val="0098731E"/>
    <w:rsid w:val="00990DFE"/>
    <w:rsid w:val="009911CC"/>
    <w:rsid w:val="0099134A"/>
    <w:rsid w:val="00992025"/>
    <w:rsid w:val="00992712"/>
    <w:rsid w:val="0099368A"/>
    <w:rsid w:val="00993883"/>
    <w:rsid w:val="00993DDF"/>
    <w:rsid w:val="009946E5"/>
    <w:rsid w:val="009948A5"/>
    <w:rsid w:val="0099592B"/>
    <w:rsid w:val="009971B5"/>
    <w:rsid w:val="0099744D"/>
    <w:rsid w:val="00997D2A"/>
    <w:rsid w:val="009A18AC"/>
    <w:rsid w:val="009A1ABB"/>
    <w:rsid w:val="009A1F24"/>
    <w:rsid w:val="009A2D2F"/>
    <w:rsid w:val="009A3733"/>
    <w:rsid w:val="009A3EDF"/>
    <w:rsid w:val="009A460B"/>
    <w:rsid w:val="009A47E7"/>
    <w:rsid w:val="009A564C"/>
    <w:rsid w:val="009A57BB"/>
    <w:rsid w:val="009A5974"/>
    <w:rsid w:val="009A59A1"/>
    <w:rsid w:val="009A612C"/>
    <w:rsid w:val="009A7282"/>
    <w:rsid w:val="009A7D63"/>
    <w:rsid w:val="009A7E98"/>
    <w:rsid w:val="009B05C3"/>
    <w:rsid w:val="009B0A8D"/>
    <w:rsid w:val="009B163C"/>
    <w:rsid w:val="009B16E7"/>
    <w:rsid w:val="009B18A6"/>
    <w:rsid w:val="009B2563"/>
    <w:rsid w:val="009B263B"/>
    <w:rsid w:val="009B3CFD"/>
    <w:rsid w:val="009B52C9"/>
    <w:rsid w:val="009B550E"/>
    <w:rsid w:val="009B698F"/>
    <w:rsid w:val="009B69C8"/>
    <w:rsid w:val="009B6B42"/>
    <w:rsid w:val="009B7A2B"/>
    <w:rsid w:val="009C05B7"/>
    <w:rsid w:val="009C05DB"/>
    <w:rsid w:val="009C0937"/>
    <w:rsid w:val="009C111B"/>
    <w:rsid w:val="009C25B4"/>
    <w:rsid w:val="009C2689"/>
    <w:rsid w:val="009C31B6"/>
    <w:rsid w:val="009C34B6"/>
    <w:rsid w:val="009C46B9"/>
    <w:rsid w:val="009C4F7C"/>
    <w:rsid w:val="009C52B9"/>
    <w:rsid w:val="009C5A06"/>
    <w:rsid w:val="009C62EC"/>
    <w:rsid w:val="009C65A2"/>
    <w:rsid w:val="009D1731"/>
    <w:rsid w:val="009D2DED"/>
    <w:rsid w:val="009D3253"/>
    <w:rsid w:val="009D3ED0"/>
    <w:rsid w:val="009D4474"/>
    <w:rsid w:val="009D45E9"/>
    <w:rsid w:val="009D532F"/>
    <w:rsid w:val="009D5F61"/>
    <w:rsid w:val="009D60C5"/>
    <w:rsid w:val="009D6E3B"/>
    <w:rsid w:val="009D6FCB"/>
    <w:rsid w:val="009E0409"/>
    <w:rsid w:val="009E0C44"/>
    <w:rsid w:val="009E208E"/>
    <w:rsid w:val="009E2242"/>
    <w:rsid w:val="009E2B73"/>
    <w:rsid w:val="009E2F65"/>
    <w:rsid w:val="009E36CF"/>
    <w:rsid w:val="009E3811"/>
    <w:rsid w:val="009E454E"/>
    <w:rsid w:val="009E4DD7"/>
    <w:rsid w:val="009E4E43"/>
    <w:rsid w:val="009E5679"/>
    <w:rsid w:val="009E5FAF"/>
    <w:rsid w:val="009E6465"/>
    <w:rsid w:val="009E67D7"/>
    <w:rsid w:val="009E7683"/>
    <w:rsid w:val="009F0088"/>
    <w:rsid w:val="009F2720"/>
    <w:rsid w:val="009F29E8"/>
    <w:rsid w:val="009F3490"/>
    <w:rsid w:val="009F4674"/>
    <w:rsid w:val="009F4AB5"/>
    <w:rsid w:val="009F64F7"/>
    <w:rsid w:val="009F65EE"/>
    <w:rsid w:val="009F6615"/>
    <w:rsid w:val="009F6813"/>
    <w:rsid w:val="009F69A7"/>
    <w:rsid w:val="009F7049"/>
    <w:rsid w:val="009F7B86"/>
    <w:rsid w:val="00A00029"/>
    <w:rsid w:val="00A00073"/>
    <w:rsid w:val="00A000CA"/>
    <w:rsid w:val="00A00301"/>
    <w:rsid w:val="00A005D0"/>
    <w:rsid w:val="00A01133"/>
    <w:rsid w:val="00A01B46"/>
    <w:rsid w:val="00A01E15"/>
    <w:rsid w:val="00A02FFE"/>
    <w:rsid w:val="00A0300E"/>
    <w:rsid w:val="00A03A70"/>
    <w:rsid w:val="00A03D0C"/>
    <w:rsid w:val="00A04881"/>
    <w:rsid w:val="00A04C3A"/>
    <w:rsid w:val="00A0525D"/>
    <w:rsid w:val="00A06E55"/>
    <w:rsid w:val="00A071C6"/>
    <w:rsid w:val="00A1002D"/>
    <w:rsid w:val="00A10053"/>
    <w:rsid w:val="00A10207"/>
    <w:rsid w:val="00A10A0B"/>
    <w:rsid w:val="00A11A1C"/>
    <w:rsid w:val="00A11CC6"/>
    <w:rsid w:val="00A12528"/>
    <w:rsid w:val="00A13031"/>
    <w:rsid w:val="00A131DB"/>
    <w:rsid w:val="00A13408"/>
    <w:rsid w:val="00A13F23"/>
    <w:rsid w:val="00A14195"/>
    <w:rsid w:val="00A1639D"/>
    <w:rsid w:val="00A16C9E"/>
    <w:rsid w:val="00A17666"/>
    <w:rsid w:val="00A20B79"/>
    <w:rsid w:val="00A2194F"/>
    <w:rsid w:val="00A21CE2"/>
    <w:rsid w:val="00A2289A"/>
    <w:rsid w:val="00A24A51"/>
    <w:rsid w:val="00A2551E"/>
    <w:rsid w:val="00A26F79"/>
    <w:rsid w:val="00A2789D"/>
    <w:rsid w:val="00A27B97"/>
    <w:rsid w:val="00A30136"/>
    <w:rsid w:val="00A30565"/>
    <w:rsid w:val="00A3060D"/>
    <w:rsid w:val="00A30A4D"/>
    <w:rsid w:val="00A315B8"/>
    <w:rsid w:val="00A317FB"/>
    <w:rsid w:val="00A33DA2"/>
    <w:rsid w:val="00A345D2"/>
    <w:rsid w:val="00A351DB"/>
    <w:rsid w:val="00A35365"/>
    <w:rsid w:val="00A35377"/>
    <w:rsid w:val="00A359AB"/>
    <w:rsid w:val="00A35C51"/>
    <w:rsid w:val="00A35C86"/>
    <w:rsid w:val="00A37907"/>
    <w:rsid w:val="00A37C92"/>
    <w:rsid w:val="00A37FBA"/>
    <w:rsid w:val="00A40107"/>
    <w:rsid w:val="00A4093D"/>
    <w:rsid w:val="00A40A06"/>
    <w:rsid w:val="00A40A8E"/>
    <w:rsid w:val="00A410E4"/>
    <w:rsid w:val="00A41169"/>
    <w:rsid w:val="00A41301"/>
    <w:rsid w:val="00A43267"/>
    <w:rsid w:val="00A43557"/>
    <w:rsid w:val="00A436DD"/>
    <w:rsid w:val="00A45160"/>
    <w:rsid w:val="00A458FE"/>
    <w:rsid w:val="00A45A83"/>
    <w:rsid w:val="00A45E5F"/>
    <w:rsid w:val="00A4707D"/>
    <w:rsid w:val="00A4714E"/>
    <w:rsid w:val="00A475C9"/>
    <w:rsid w:val="00A47785"/>
    <w:rsid w:val="00A47D9E"/>
    <w:rsid w:val="00A50A0D"/>
    <w:rsid w:val="00A50C20"/>
    <w:rsid w:val="00A50CEC"/>
    <w:rsid w:val="00A50F3C"/>
    <w:rsid w:val="00A51101"/>
    <w:rsid w:val="00A5132B"/>
    <w:rsid w:val="00A5202E"/>
    <w:rsid w:val="00A52D70"/>
    <w:rsid w:val="00A53715"/>
    <w:rsid w:val="00A5398A"/>
    <w:rsid w:val="00A5403A"/>
    <w:rsid w:val="00A54269"/>
    <w:rsid w:val="00A56652"/>
    <w:rsid w:val="00A56B81"/>
    <w:rsid w:val="00A56E75"/>
    <w:rsid w:val="00A576F6"/>
    <w:rsid w:val="00A57DB4"/>
    <w:rsid w:val="00A60A9A"/>
    <w:rsid w:val="00A611AE"/>
    <w:rsid w:val="00A61FCA"/>
    <w:rsid w:val="00A625D1"/>
    <w:rsid w:val="00A6282C"/>
    <w:rsid w:val="00A63D7D"/>
    <w:rsid w:val="00A64120"/>
    <w:rsid w:val="00A64CC5"/>
    <w:rsid w:val="00A663EC"/>
    <w:rsid w:val="00A66D3E"/>
    <w:rsid w:val="00A66E46"/>
    <w:rsid w:val="00A67AB2"/>
    <w:rsid w:val="00A67B3B"/>
    <w:rsid w:val="00A70146"/>
    <w:rsid w:val="00A7039A"/>
    <w:rsid w:val="00A708B2"/>
    <w:rsid w:val="00A711EF"/>
    <w:rsid w:val="00A73878"/>
    <w:rsid w:val="00A73985"/>
    <w:rsid w:val="00A73A59"/>
    <w:rsid w:val="00A73AAF"/>
    <w:rsid w:val="00A73E20"/>
    <w:rsid w:val="00A7466E"/>
    <w:rsid w:val="00A74A9A"/>
    <w:rsid w:val="00A74D29"/>
    <w:rsid w:val="00A758A1"/>
    <w:rsid w:val="00A758E4"/>
    <w:rsid w:val="00A76A88"/>
    <w:rsid w:val="00A7700B"/>
    <w:rsid w:val="00A77037"/>
    <w:rsid w:val="00A77802"/>
    <w:rsid w:val="00A77F4B"/>
    <w:rsid w:val="00A80A62"/>
    <w:rsid w:val="00A81A1E"/>
    <w:rsid w:val="00A8236A"/>
    <w:rsid w:val="00A824C0"/>
    <w:rsid w:val="00A827B0"/>
    <w:rsid w:val="00A82AFA"/>
    <w:rsid w:val="00A82E89"/>
    <w:rsid w:val="00A82FC3"/>
    <w:rsid w:val="00A835C4"/>
    <w:rsid w:val="00A83C19"/>
    <w:rsid w:val="00A844E4"/>
    <w:rsid w:val="00A85F25"/>
    <w:rsid w:val="00A86C69"/>
    <w:rsid w:val="00A8757D"/>
    <w:rsid w:val="00A875A1"/>
    <w:rsid w:val="00A877F2"/>
    <w:rsid w:val="00A90A31"/>
    <w:rsid w:val="00A915CD"/>
    <w:rsid w:val="00A932FC"/>
    <w:rsid w:val="00A95092"/>
    <w:rsid w:val="00A951CC"/>
    <w:rsid w:val="00A9527B"/>
    <w:rsid w:val="00A955B4"/>
    <w:rsid w:val="00A960DA"/>
    <w:rsid w:val="00A96AD1"/>
    <w:rsid w:val="00A96C88"/>
    <w:rsid w:val="00A96D1D"/>
    <w:rsid w:val="00A9731D"/>
    <w:rsid w:val="00A97392"/>
    <w:rsid w:val="00A97DB2"/>
    <w:rsid w:val="00A97F2F"/>
    <w:rsid w:val="00AA02BE"/>
    <w:rsid w:val="00AA0BA6"/>
    <w:rsid w:val="00AA1426"/>
    <w:rsid w:val="00AA2B8A"/>
    <w:rsid w:val="00AA32B1"/>
    <w:rsid w:val="00AA3429"/>
    <w:rsid w:val="00AA36B9"/>
    <w:rsid w:val="00AA3713"/>
    <w:rsid w:val="00AA4563"/>
    <w:rsid w:val="00AA47DA"/>
    <w:rsid w:val="00AA52DE"/>
    <w:rsid w:val="00AA5A06"/>
    <w:rsid w:val="00AA6384"/>
    <w:rsid w:val="00AA76DA"/>
    <w:rsid w:val="00AA77F4"/>
    <w:rsid w:val="00AA78EF"/>
    <w:rsid w:val="00AA7E1D"/>
    <w:rsid w:val="00AA7EF0"/>
    <w:rsid w:val="00AB0236"/>
    <w:rsid w:val="00AB038D"/>
    <w:rsid w:val="00AB0688"/>
    <w:rsid w:val="00AB0899"/>
    <w:rsid w:val="00AB0E1C"/>
    <w:rsid w:val="00AB12DD"/>
    <w:rsid w:val="00AB1F9C"/>
    <w:rsid w:val="00AB2BF7"/>
    <w:rsid w:val="00AB3937"/>
    <w:rsid w:val="00AB3962"/>
    <w:rsid w:val="00AB5AE1"/>
    <w:rsid w:val="00AB5AFF"/>
    <w:rsid w:val="00AB5BB6"/>
    <w:rsid w:val="00AB6668"/>
    <w:rsid w:val="00AB69E1"/>
    <w:rsid w:val="00AB6A37"/>
    <w:rsid w:val="00AB762B"/>
    <w:rsid w:val="00AB7979"/>
    <w:rsid w:val="00AB7A6F"/>
    <w:rsid w:val="00AC14D0"/>
    <w:rsid w:val="00AC1AF9"/>
    <w:rsid w:val="00AC1B87"/>
    <w:rsid w:val="00AC1DB9"/>
    <w:rsid w:val="00AC2429"/>
    <w:rsid w:val="00AC3B0B"/>
    <w:rsid w:val="00AC41A2"/>
    <w:rsid w:val="00AC5544"/>
    <w:rsid w:val="00AC5E70"/>
    <w:rsid w:val="00AC5F26"/>
    <w:rsid w:val="00AC67AB"/>
    <w:rsid w:val="00AC72BD"/>
    <w:rsid w:val="00AC72EB"/>
    <w:rsid w:val="00AC7AC2"/>
    <w:rsid w:val="00AD02D0"/>
    <w:rsid w:val="00AD02E9"/>
    <w:rsid w:val="00AD0837"/>
    <w:rsid w:val="00AD0C72"/>
    <w:rsid w:val="00AD0F17"/>
    <w:rsid w:val="00AD10B2"/>
    <w:rsid w:val="00AD148B"/>
    <w:rsid w:val="00AD2BBB"/>
    <w:rsid w:val="00AD32B9"/>
    <w:rsid w:val="00AD4D6C"/>
    <w:rsid w:val="00AD51FC"/>
    <w:rsid w:val="00AD6601"/>
    <w:rsid w:val="00AD7DAA"/>
    <w:rsid w:val="00AE07F6"/>
    <w:rsid w:val="00AE134C"/>
    <w:rsid w:val="00AE1872"/>
    <w:rsid w:val="00AE1EC4"/>
    <w:rsid w:val="00AE292C"/>
    <w:rsid w:val="00AE2DD0"/>
    <w:rsid w:val="00AE2E99"/>
    <w:rsid w:val="00AE3103"/>
    <w:rsid w:val="00AE4139"/>
    <w:rsid w:val="00AE4812"/>
    <w:rsid w:val="00AE526C"/>
    <w:rsid w:val="00AE5D35"/>
    <w:rsid w:val="00AE6C7E"/>
    <w:rsid w:val="00AE777C"/>
    <w:rsid w:val="00AE7839"/>
    <w:rsid w:val="00AE7978"/>
    <w:rsid w:val="00AF05FC"/>
    <w:rsid w:val="00AF1300"/>
    <w:rsid w:val="00AF28F9"/>
    <w:rsid w:val="00AF332A"/>
    <w:rsid w:val="00AF3334"/>
    <w:rsid w:val="00AF34BC"/>
    <w:rsid w:val="00AF35B3"/>
    <w:rsid w:val="00AF4A85"/>
    <w:rsid w:val="00AF4E48"/>
    <w:rsid w:val="00AF4FF8"/>
    <w:rsid w:val="00AF5310"/>
    <w:rsid w:val="00AF5C07"/>
    <w:rsid w:val="00AF6075"/>
    <w:rsid w:val="00AF710C"/>
    <w:rsid w:val="00B01024"/>
    <w:rsid w:val="00B013EB"/>
    <w:rsid w:val="00B01E9C"/>
    <w:rsid w:val="00B052D5"/>
    <w:rsid w:val="00B055DA"/>
    <w:rsid w:val="00B05D17"/>
    <w:rsid w:val="00B076A9"/>
    <w:rsid w:val="00B07C5B"/>
    <w:rsid w:val="00B103D1"/>
    <w:rsid w:val="00B10584"/>
    <w:rsid w:val="00B10E21"/>
    <w:rsid w:val="00B11212"/>
    <w:rsid w:val="00B1156B"/>
    <w:rsid w:val="00B11D69"/>
    <w:rsid w:val="00B1201B"/>
    <w:rsid w:val="00B125F5"/>
    <w:rsid w:val="00B127DF"/>
    <w:rsid w:val="00B12BEE"/>
    <w:rsid w:val="00B14A4D"/>
    <w:rsid w:val="00B1690B"/>
    <w:rsid w:val="00B16970"/>
    <w:rsid w:val="00B169EA"/>
    <w:rsid w:val="00B16CAC"/>
    <w:rsid w:val="00B17C38"/>
    <w:rsid w:val="00B2024B"/>
    <w:rsid w:val="00B203B1"/>
    <w:rsid w:val="00B206CA"/>
    <w:rsid w:val="00B20CCC"/>
    <w:rsid w:val="00B21EFE"/>
    <w:rsid w:val="00B22174"/>
    <w:rsid w:val="00B231A7"/>
    <w:rsid w:val="00B23712"/>
    <w:rsid w:val="00B239BE"/>
    <w:rsid w:val="00B2493F"/>
    <w:rsid w:val="00B24D14"/>
    <w:rsid w:val="00B25E30"/>
    <w:rsid w:val="00B26EA8"/>
    <w:rsid w:val="00B27210"/>
    <w:rsid w:val="00B309F7"/>
    <w:rsid w:val="00B30D6B"/>
    <w:rsid w:val="00B314C5"/>
    <w:rsid w:val="00B33BEB"/>
    <w:rsid w:val="00B34405"/>
    <w:rsid w:val="00B34952"/>
    <w:rsid w:val="00B3552C"/>
    <w:rsid w:val="00B35834"/>
    <w:rsid w:val="00B35C0D"/>
    <w:rsid w:val="00B35D57"/>
    <w:rsid w:val="00B36810"/>
    <w:rsid w:val="00B36891"/>
    <w:rsid w:val="00B370AC"/>
    <w:rsid w:val="00B3731C"/>
    <w:rsid w:val="00B423A1"/>
    <w:rsid w:val="00B432C7"/>
    <w:rsid w:val="00B43756"/>
    <w:rsid w:val="00B43907"/>
    <w:rsid w:val="00B441FF"/>
    <w:rsid w:val="00B44519"/>
    <w:rsid w:val="00B44C28"/>
    <w:rsid w:val="00B44E59"/>
    <w:rsid w:val="00B44E8C"/>
    <w:rsid w:val="00B44F1B"/>
    <w:rsid w:val="00B4569E"/>
    <w:rsid w:val="00B45A86"/>
    <w:rsid w:val="00B47088"/>
    <w:rsid w:val="00B47508"/>
    <w:rsid w:val="00B47A6F"/>
    <w:rsid w:val="00B47B9C"/>
    <w:rsid w:val="00B505D5"/>
    <w:rsid w:val="00B51AF6"/>
    <w:rsid w:val="00B52070"/>
    <w:rsid w:val="00B53611"/>
    <w:rsid w:val="00B53A3D"/>
    <w:rsid w:val="00B547B7"/>
    <w:rsid w:val="00B55603"/>
    <w:rsid w:val="00B5634B"/>
    <w:rsid w:val="00B56FFF"/>
    <w:rsid w:val="00B57181"/>
    <w:rsid w:val="00B5751C"/>
    <w:rsid w:val="00B57C1B"/>
    <w:rsid w:val="00B6006B"/>
    <w:rsid w:val="00B623BC"/>
    <w:rsid w:val="00B62607"/>
    <w:rsid w:val="00B63ECD"/>
    <w:rsid w:val="00B64ED1"/>
    <w:rsid w:val="00B65095"/>
    <w:rsid w:val="00B65F83"/>
    <w:rsid w:val="00B667C5"/>
    <w:rsid w:val="00B66AAD"/>
    <w:rsid w:val="00B66E50"/>
    <w:rsid w:val="00B67796"/>
    <w:rsid w:val="00B67EFE"/>
    <w:rsid w:val="00B67F83"/>
    <w:rsid w:val="00B70665"/>
    <w:rsid w:val="00B70D76"/>
    <w:rsid w:val="00B715C1"/>
    <w:rsid w:val="00B71EA2"/>
    <w:rsid w:val="00B72402"/>
    <w:rsid w:val="00B734EE"/>
    <w:rsid w:val="00B74371"/>
    <w:rsid w:val="00B74431"/>
    <w:rsid w:val="00B74716"/>
    <w:rsid w:val="00B74847"/>
    <w:rsid w:val="00B74CB3"/>
    <w:rsid w:val="00B74D1C"/>
    <w:rsid w:val="00B74F6E"/>
    <w:rsid w:val="00B769DE"/>
    <w:rsid w:val="00B77ACC"/>
    <w:rsid w:val="00B81588"/>
    <w:rsid w:val="00B819AA"/>
    <w:rsid w:val="00B83368"/>
    <w:rsid w:val="00B83569"/>
    <w:rsid w:val="00B8382B"/>
    <w:rsid w:val="00B83D48"/>
    <w:rsid w:val="00B83F38"/>
    <w:rsid w:val="00B84FA2"/>
    <w:rsid w:val="00B8513C"/>
    <w:rsid w:val="00B853B0"/>
    <w:rsid w:val="00B8597A"/>
    <w:rsid w:val="00B87626"/>
    <w:rsid w:val="00B90B86"/>
    <w:rsid w:val="00B90EEC"/>
    <w:rsid w:val="00B91219"/>
    <w:rsid w:val="00B919E6"/>
    <w:rsid w:val="00B92599"/>
    <w:rsid w:val="00B92906"/>
    <w:rsid w:val="00B93BEF"/>
    <w:rsid w:val="00B93C4A"/>
    <w:rsid w:val="00B943F5"/>
    <w:rsid w:val="00B950C4"/>
    <w:rsid w:val="00B9533F"/>
    <w:rsid w:val="00B95667"/>
    <w:rsid w:val="00B96487"/>
    <w:rsid w:val="00B9698B"/>
    <w:rsid w:val="00B973CF"/>
    <w:rsid w:val="00B9791C"/>
    <w:rsid w:val="00BA212E"/>
    <w:rsid w:val="00BA25AD"/>
    <w:rsid w:val="00BA2FA4"/>
    <w:rsid w:val="00BA3E85"/>
    <w:rsid w:val="00BA4F31"/>
    <w:rsid w:val="00BA5008"/>
    <w:rsid w:val="00BA50D9"/>
    <w:rsid w:val="00BA545F"/>
    <w:rsid w:val="00BA592B"/>
    <w:rsid w:val="00BA5C88"/>
    <w:rsid w:val="00BA60EE"/>
    <w:rsid w:val="00BA620A"/>
    <w:rsid w:val="00BA6C1D"/>
    <w:rsid w:val="00BA7399"/>
    <w:rsid w:val="00BA7A2C"/>
    <w:rsid w:val="00BA7CDB"/>
    <w:rsid w:val="00BA7D19"/>
    <w:rsid w:val="00BA7E6E"/>
    <w:rsid w:val="00BB00AE"/>
    <w:rsid w:val="00BB1F47"/>
    <w:rsid w:val="00BB27AE"/>
    <w:rsid w:val="00BB2972"/>
    <w:rsid w:val="00BB29BD"/>
    <w:rsid w:val="00BB2CA7"/>
    <w:rsid w:val="00BB38C5"/>
    <w:rsid w:val="00BB45A0"/>
    <w:rsid w:val="00BB4622"/>
    <w:rsid w:val="00BB4DD7"/>
    <w:rsid w:val="00BB59F2"/>
    <w:rsid w:val="00BB68AE"/>
    <w:rsid w:val="00BB6B3B"/>
    <w:rsid w:val="00BB6D1A"/>
    <w:rsid w:val="00BB7BE9"/>
    <w:rsid w:val="00BC013B"/>
    <w:rsid w:val="00BC103E"/>
    <w:rsid w:val="00BC1149"/>
    <w:rsid w:val="00BC1BF0"/>
    <w:rsid w:val="00BC34C5"/>
    <w:rsid w:val="00BC422A"/>
    <w:rsid w:val="00BC4261"/>
    <w:rsid w:val="00BC540B"/>
    <w:rsid w:val="00BC6578"/>
    <w:rsid w:val="00BC6647"/>
    <w:rsid w:val="00BC67FD"/>
    <w:rsid w:val="00BC6990"/>
    <w:rsid w:val="00BC6A02"/>
    <w:rsid w:val="00BC6D61"/>
    <w:rsid w:val="00BC6EB7"/>
    <w:rsid w:val="00BC7460"/>
    <w:rsid w:val="00BC7A15"/>
    <w:rsid w:val="00BC7DF4"/>
    <w:rsid w:val="00BC7F74"/>
    <w:rsid w:val="00BD0642"/>
    <w:rsid w:val="00BD0993"/>
    <w:rsid w:val="00BD1083"/>
    <w:rsid w:val="00BD18A3"/>
    <w:rsid w:val="00BD22D9"/>
    <w:rsid w:val="00BD2F8C"/>
    <w:rsid w:val="00BD33C9"/>
    <w:rsid w:val="00BD3638"/>
    <w:rsid w:val="00BD37FB"/>
    <w:rsid w:val="00BD3F89"/>
    <w:rsid w:val="00BD6725"/>
    <w:rsid w:val="00BD678E"/>
    <w:rsid w:val="00BD7E3C"/>
    <w:rsid w:val="00BE0204"/>
    <w:rsid w:val="00BE0C28"/>
    <w:rsid w:val="00BE1651"/>
    <w:rsid w:val="00BE298D"/>
    <w:rsid w:val="00BE29E8"/>
    <w:rsid w:val="00BE2BDF"/>
    <w:rsid w:val="00BE330F"/>
    <w:rsid w:val="00BE38C0"/>
    <w:rsid w:val="00BE3E2A"/>
    <w:rsid w:val="00BE4C8F"/>
    <w:rsid w:val="00BE5377"/>
    <w:rsid w:val="00BE56D9"/>
    <w:rsid w:val="00BE5A5E"/>
    <w:rsid w:val="00BE601F"/>
    <w:rsid w:val="00BE6253"/>
    <w:rsid w:val="00BE7151"/>
    <w:rsid w:val="00BE7EF4"/>
    <w:rsid w:val="00BF1F8F"/>
    <w:rsid w:val="00BF209B"/>
    <w:rsid w:val="00BF334F"/>
    <w:rsid w:val="00BF38CB"/>
    <w:rsid w:val="00BF3F0D"/>
    <w:rsid w:val="00BF41FA"/>
    <w:rsid w:val="00BF4811"/>
    <w:rsid w:val="00BF4B95"/>
    <w:rsid w:val="00BF515B"/>
    <w:rsid w:val="00BF5469"/>
    <w:rsid w:val="00BF55A6"/>
    <w:rsid w:val="00BF6A4B"/>
    <w:rsid w:val="00BF719E"/>
    <w:rsid w:val="00BF7977"/>
    <w:rsid w:val="00BF7E8E"/>
    <w:rsid w:val="00C01112"/>
    <w:rsid w:val="00C01348"/>
    <w:rsid w:val="00C0181D"/>
    <w:rsid w:val="00C02063"/>
    <w:rsid w:val="00C022EE"/>
    <w:rsid w:val="00C02767"/>
    <w:rsid w:val="00C03B33"/>
    <w:rsid w:val="00C048A1"/>
    <w:rsid w:val="00C06D8C"/>
    <w:rsid w:val="00C07981"/>
    <w:rsid w:val="00C07A93"/>
    <w:rsid w:val="00C07B7A"/>
    <w:rsid w:val="00C1034F"/>
    <w:rsid w:val="00C10A66"/>
    <w:rsid w:val="00C10B2D"/>
    <w:rsid w:val="00C114A1"/>
    <w:rsid w:val="00C1156F"/>
    <w:rsid w:val="00C11621"/>
    <w:rsid w:val="00C1229B"/>
    <w:rsid w:val="00C127E7"/>
    <w:rsid w:val="00C12C1A"/>
    <w:rsid w:val="00C14548"/>
    <w:rsid w:val="00C15CB9"/>
    <w:rsid w:val="00C15E4D"/>
    <w:rsid w:val="00C162F3"/>
    <w:rsid w:val="00C16565"/>
    <w:rsid w:val="00C1693C"/>
    <w:rsid w:val="00C17412"/>
    <w:rsid w:val="00C17A9A"/>
    <w:rsid w:val="00C207D0"/>
    <w:rsid w:val="00C2141D"/>
    <w:rsid w:val="00C2204D"/>
    <w:rsid w:val="00C22402"/>
    <w:rsid w:val="00C23712"/>
    <w:rsid w:val="00C24373"/>
    <w:rsid w:val="00C24957"/>
    <w:rsid w:val="00C24A97"/>
    <w:rsid w:val="00C24F4D"/>
    <w:rsid w:val="00C2506C"/>
    <w:rsid w:val="00C255C3"/>
    <w:rsid w:val="00C255F3"/>
    <w:rsid w:val="00C25E84"/>
    <w:rsid w:val="00C26D24"/>
    <w:rsid w:val="00C27B95"/>
    <w:rsid w:val="00C27BB9"/>
    <w:rsid w:val="00C27FAA"/>
    <w:rsid w:val="00C30AAD"/>
    <w:rsid w:val="00C3104A"/>
    <w:rsid w:val="00C313C8"/>
    <w:rsid w:val="00C31DCE"/>
    <w:rsid w:val="00C32271"/>
    <w:rsid w:val="00C32A75"/>
    <w:rsid w:val="00C32C8B"/>
    <w:rsid w:val="00C3304A"/>
    <w:rsid w:val="00C33A76"/>
    <w:rsid w:val="00C34031"/>
    <w:rsid w:val="00C34A68"/>
    <w:rsid w:val="00C35B20"/>
    <w:rsid w:val="00C35CAE"/>
    <w:rsid w:val="00C36385"/>
    <w:rsid w:val="00C36EC4"/>
    <w:rsid w:val="00C37971"/>
    <w:rsid w:val="00C405DE"/>
    <w:rsid w:val="00C408DE"/>
    <w:rsid w:val="00C40BBE"/>
    <w:rsid w:val="00C412BF"/>
    <w:rsid w:val="00C4158B"/>
    <w:rsid w:val="00C41FAA"/>
    <w:rsid w:val="00C421D2"/>
    <w:rsid w:val="00C422E2"/>
    <w:rsid w:val="00C435D0"/>
    <w:rsid w:val="00C43BC2"/>
    <w:rsid w:val="00C4427D"/>
    <w:rsid w:val="00C456F3"/>
    <w:rsid w:val="00C45E1C"/>
    <w:rsid w:val="00C45F20"/>
    <w:rsid w:val="00C45FBF"/>
    <w:rsid w:val="00C46AFB"/>
    <w:rsid w:val="00C46F35"/>
    <w:rsid w:val="00C46F39"/>
    <w:rsid w:val="00C47392"/>
    <w:rsid w:val="00C504CC"/>
    <w:rsid w:val="00C50E8E"/>
    <w:rsid w:val="00C5112A"/>
    <w:rsid w:val="00C5211E"/>
    <w:rsid w:val="00C521C9"/>
    <w:rsid w:val="00C52408"/>
    <w:rsid w:val="00C542FC"/>
    <w:rsid w:val="00C544F7"/>
    <w:rsid w:val="00C54D60"/>
    <w:rsid w:val="00C54FAF"/>
    <w:rsid w:val="00C5680A"/>
    <w:rsid w:val="00C570A8"/>
    <w:rsid w:val="00C616B7"/>
    <w:rsid w:val="00C61F30"/>
    <w:rsid w:val="00C624D0"/>
    <w:rsid w:val="00C62D90"/>
    <w:rsid w:val="00C62D96"/>
    <w:rsid w:val="00C630DB"/>
    <w:rsid w:val="00C64CB0"/>
    <w:rsid w:val="00C653E4"/>
    <w:rsid w:val="00C653F7"/>
    <w:rsid w:val="00C65492"/>
    <w:rsid w:val="00C655E9"/>
    <w:rsid w:val="00C65BED"/>
    <w:rsid w:val="00C66150"/>
    <w:rsid w:val="00C6661B"/>
    <w:rsid w:val="00C66EC1"/>
    <w:rsid w:val="00C6720F"/>
    <w:rsid w:val="00C67D18"/>
    <w:rsid w:val="00C707B1"/>
    <w:rsid w:val="00C70DB6"/>
    <w:rsid w:val="00C70E1A"/>
    <w:rsid w:val="00C70FF1"/>
    <w:rsid w:val="00C73CA1"/>
    <w:rsid w:val="00C73F3B"/>
    <w:rsid w:val="00C746BE"/>
    <w:rsid w:val="00C74701"/>
    <w:rsid w:val="00C74A0D"/>
    <w:rsid w:val="00C76C17"/>
    <w:rsid w:val="00C771F1"/>
    <w:rsid w:val="00C773AF"/>
    <w:rsid w:val="00C77543"/>
    <w:rsid w:val="00C80764"/>
    <w:rsid w:val="00C80C9B"/>
    <w:rsid w:val="00C8122D"/>
    <w:rsid w:val="00C812EA"/>
    <w:rsid w:val="00C81811"/>
    <w:rsid w:val="00C831D9"/>
    <w:rsid w:val="00C8496D"/>
    <w:rsid w:val="00C84AEF"/>
    <w:rsid w:val="00C84B5A"/>
    <w:rsid w:val="00C84D3F"/>
    <w:rsid w:val="00C85077"/>
    <w:rsid w:val="00C87A46"/>
    <w:rsid w:val="00C87EBC"/>
    <w:rsid w:val="00C90326"/>
    <w:rsid w:val="00C9041D"/>
    <w:rsid w:val="00C90927"/>
    <w:rsid w:val="00C90AAD"/>
    <w:rsid w:val="00C90B64"/>
    <w:rsid w:val="00C90FB6"/>
    <w:rsid w:val="00C917F9"/>
    <w:rsid w:val="00C91902"/>
    <w:rsid w:val="00C923C2"/>
    <w:rsid w:val="00C92982"/>
    <w:rsid w:val="00C94987"/>
    <w:rsid w:val="00C9575F"/>
    <w:rsid w:val="00C97852"/>
    <w:rsid w:val="00C97B6B"/>
    <w:rsid w:val="00CA0454"/>
    <w:rsid w:val="00CA105E"/>
    <w:rsid w:val="00CA1631"/>
    <w:rsid w:val="00CA17D8"/>
    <w:rsid w:val="00CA2853"/>
    <w:rsid w:val="00CA2FBB"/>
    <w:rsid w:val="00CA50D2"/>
    <w:rsid w:val="00CA6032"/>
    <w:rsid w:val="00CA619B"/>
    <w:rsid w:val="00CA6319"/>
    <w:rsid w:val="00CA64B0"/>
    <w:rsid w:val="00CA6583"/>
    <w:rsid w:val="00CA6F6C"/>
    <w:rsid w:val="00CA7414"/>
    <w:rsid w:val="00CA794A"/>
    <w:rsid w:val="00CA7A20"/>
    <w:rsid w:val="00CB25A0"/>
    <w:rsid w:val="00CB286D"/>
    <w:rsid w:val="00CB3AB2"/>
    <w:rsid w:val="00CB4FBA"/>
    <w:rsid w:val="00CB52A6"/>
    <w:rsid w:val="00CB6536"/>
    <w:rsid w:val="00CB6CAA"/>
    <w:rsid w:val="00CC0684"/>
    <w:rsid w:val="00CC0DB2"/>
    <w:rsid w:val="00CC11ED"/>
    <w:rsid w:val="00CC1C6D"/>
    <w:rsid w:val="00CC1D2D"/>
    <w:rsid w:val="00CC592C"/>
    <w:rsid w:val="00CC6D98"/>
    <w:rsid w:val="00CC6F38"/>
    <w:rsid w:val="00CC71F4"/>
    <w:rsid w:val="00CC731D"/>
    <w:rsid w:val="00CC7B61"/>
    <w:rsid w:val="00CC7C05"/>
    <w:rsid w:val="00CD07F7"/>
    <w:rsid w:val="00CD1231"/>
    <w:rsid w:val="00CD1BAF"/>
    <w:rsid w:val="00CD35D3"/>
    <w:rsid w:val="00CD3AAA"/>
    <w:rsid w:val="00CD3C1C"/>
    <w:rsid w:val="00CD3D65"/>
    <w:rsid w:val="00CD4924"/>
    <w:rsid w:val="00CD69E1"/>
    <w:rsid w:val="00CD6EB1"/>
    <w:rsid w:val="00CD70B6"/>
    <w:rsid w:val="00CD7290"/>
    <w:rsid w:val="00CD7A54"/>
    <w:rsid w:val="00CD7A6A"/>
    <w:rsid w:val="00CD7E2E"/>
    <w:rsid w:val="00CE0105"/>
    <w:rsid w:val="00CE053B"/>
    <w:rsid w:val="00CE0900"/>
    <w:rsid w:val="00CE0BA0"/>
    <w:rsid w:val="00CE1A83"/>
    <w:rsid w:val="00CE1EF9"/>
    <w:rsid w:val="00CE25B8"/>
    <w:rsid w:val="00CE27A7"/>
    <w:rsid w:val="00CE3904"/>
    <w:rsid w:val="00CE4B64"/>
    <w:rsid w:val="00CE4D9E"/>
    <w:rsid w:val="00CE5023"/>
    <w:rsid w:val="00CE6F35"/>
    <w:rsid w:val="00CE71DF"/>
    <w:rsid w:val="00CE7289"/>
    <w:rsid w:val="00CE7979"/>
    <w:rsid w:val="00CE79DF"/>
    <w:rsid w:val="00CF0205"/>
    <w:rsid w:val="00CF070C"/>
    <w:rsid w:val="00CF0C3E"/>
    <w:rsid w:val="00CF17F1"/>
    <w:rsid w:val="00CF2175"/>
    <w:rsid w:val="00CF2521"/>
    <w:rsid w:val="00CF2823"/>
    <w:rsid w:val="00CF3D56"/>
    <w:rsid w:val="00CF50CA"/>
    <w:rsid w:val="00CF57BE"/>
    <w:rsid w:val="00CF6EE9"/>
    <w:rsid w:val="00CF6FF5"/>
    <w:rsid w:val="00CF711E"/>
    <w:rsid w:val="00CF750C"/>
    <w:rsid w:val="00CF79F3"/>
    <w:rsid w:val="00D00D23"/>
    <w:rsid w:val="00D00DA4"/>
    <w:rsid w:val="00D01628"/>
    <w:rsid w:val="00D01BDF"/>
    <w:rsid w:val="00D01C76"/>
    <w:rsid w:val="00D01DD4"/>
    <w:rsid w:val="00D029F1"/>
    <w:rsid w:val="00D02F12"/>
    <w:rsid w:val="00D035C5"/>
    <w:rsid w:val="00D05756"/>
    <w:rsid w:val="00D07560"/>
    <w:rsid w:val="00D10051"/>
    <w:rsid w:val="00D119AE"/>
    <w:rsid w:val="00D11F06"/>
    <w:rsid w:val="00D13BED"/>
    <w:rsid w:val="00D13D8C"/>
    <w:rsid w:val="00D152FF"/>
    <w:rsid w:val="00D15E69"/>
    <w:rsid w:val="00D179BA"/>
    <w:rsid w:val="00D17C0E"/>
    <w:rsid w:val="00D20012"/>
    <w:rsid w:val="00D204C2"/>
    <w:rsid w:val="00D21C2E"/>
    <w:rsid w:val="00D22122"/>
    <w:rsid w:val="00D22631"/>
    <w:rsid w:val="00D22A12"/>
    <w:rsid w:val="00D24109"/>
    <w:rsid w:val="00D24B5A"/>
    <w:rsid w:val="00D25D8B"/>
    <w:rsid w:val="00D26794"/>
    <w:rsid w:val="00D2714E"/>
    <w:rsid w:val="00D27475"/>
    <w:rsid w:val="00D276EE"/>
    <w:rsid w:val="00D27C4F"/>
    <w:rsid w:val="00D27CDB"/>
    <w:rsid w:val="00D3082B"/>
    <w:rsid w:val="00D30E1E"/>
    <w:rsid w:val="00D31470"/>
    <w:rsid w:val="00D3149C"/>
    <w:rsid w:val="00D315C0"/>
    <w:rsid w:val="00D3265F"/>
    <w:rsid w:val="00D33592"/>
    <w:rsid w:val="00D338FA"/>
    <w:rsid w:val="00D33DE5"/>
    <w:rsid w:val="00D33EA8"/>
    <w:rsid w:val="00D342DB"/>
    <w:rsid w:val="00D34632"/>
    <w:rsid w:val="00D361D0"/>
    <w:rsid w:val="00D37597"/>
    <w:rsid w:val="00D40096"/>
    <w:rsid w:val="00D401A9"/>
    <w:rsid w:val="00D402AF"/>
    <w:rsid w:val="00D404DC"/>
    <w:rsid w:val="00D40D19"/>
    <w:rsid w:val="00D40F61"/>
    <w:rsid w:val="00D41811"/>
    <w:rsid w:val="00D4204D"/>
    <w:rsid w:val="00D436F3"/>
    <w:rsid w:val="00D44588"/>
    <w:rsid w:val="00D44C6D"/>
    <w:rsid w:val="00D44F19"/>
    <w:rsid w:val="00D455D8"/>
    <w:rsid w:val="00D46BF8"/>
    <w:rsid w:val="00D47AF6"/>
    <w:rsid w:val="00D50AAC"/>
    <w:rsid w:val="00D51AD0"/>
    <w:rsid w:val="00D527EC"/>
    <w:rsid w:val="00D53B2C"/>
    <w:rsid w:val="00D543A7"/>
    <w:rsid w:val="00D5492F"/>
    <w:rsid w:val="00D54A6F"/>
    <w:rsid w:val="00D54A7F"/>
    <w:rsid w:val="00D557D6"/>
    <w:rsid w:val="00D5632A"/>
    <w:rsid w:val="00D56F31"/>
    <w:rsid w:val="00D57025"/>
    <w:rsid w:val="00D5720D"/>
    <w:rsid w:val="00D57679"/>
    <w:rsid w:val="00D577CC"/>
    <w:rsid w:val="00D623AD"/>
    <w:rsid w:val="00D62BDE"/>
    <w:rsid w:val="00D62DB5"/>
    <w:rsid w:val="00D6398F"/>
    <w:rsid w:val="00D63DBD"/>
    <w:rsid w:val="00D64DCC"/>
    <w:rsid w:val="00D650A5"/>
    <w:rsid w:val="00D6519D"/>
    <w:rsid w:val="00D65254"/>
    <w:rsid w:val="00D65AA2"/>
    <w:rsid w:val="00D660E1"/>
    <w:rsid w:val="00D676B7"/>
    <w:rsid w:val="00D67E01"/>
    <w:rsid w:val="00D7035D"/>
    <w:rsid w:val="00D7061E"/>
    <w:rsid w:val="00D706A6"/>
    <w:rsid w:val="00D70749"/>
    <w:rsid w:val="00D70B42"/>
    <w:rsid w:val="00D7112F"/>
    <w:rsid w:val="00D715CA"/>
    <w:rsid w:val="00D72671"/>
    <w:rsid w:val="00D72DC4"/>
    <w:rsid w:val="00D7330C"/>
    <w:rsid w:val="00D73666"/>
    <w:rsid w:val="00D7481D"/>
    <w:rsid w:val="00D74BEE"/>
    <w:rsid w:val="00D7516D"/>
    <w:rsid w:val="00D76E06"/>
    <w:rsid w:val="00D76FCA"/>
    <w:rsid w:val="00D77133"/>
    <w:rsid w:val="00D77379"/>
    <w:rsid w:val="00D773E7"/>
    <w:rsid w:val="00D7769A"/>
    <w:rsid w:val="00D778DB"/>
    <w:rsid w:val="00D779C6"/>
    <w:rsid w:val="00D80215"/>
    <w:rsid w:val="00D80722"/>
    <w:rsid w:val="00D808F3"/>
    <w:rsid w:val="00D81F4D"/>
    <w:rsid w:val="00D82562"/>
    <w:rsid w:val="00D83726"/>
    <w:rsid w:val="00D840B4"/>
    <w:rsid w:val="00D85471"/>
    <w:rsid w:val="00D858E3"/>
    <w:rsid w:val="00D85DD6"/>
    <w:rsid w:val="00D85F30"/>
    <w:rsid w:val="00D86297"/>
    <w:rsid w:val="00D86EE0"/>
    <w:rsid w:val="00D87500"/>
    <w:rsid w:val="00D8766F"/>
    <w:rsid w:val="00D87762"/>
    <w:rsid w:val="00D87CF3"/>
    <w:rsid w:val="00D90AEC"/>
    <w:rsid w:val="00D9104F"/>
    <w:rsid w:val="00D93F70"/>
    <w:rsid w:val="00D9466F"/>
    <w:rsid w:val="00D947D8"/>
    <w:rsid w:val="00D95D8B"/>
    <w:rsid w:val="00D95DBF"/>
    <w:rsid w:val="00D965C4"/>
    <w:rsid w:val="00D9682C"/>
    <w:rsid w:val="00D96AEB"/>
    <w:rsid w:val="00DA037B"/>
    <w:rsid w:val="00DA25FC"/>
    <w:rsid w:val="00DA2BD4"/>
    <w:rsid w:val="00DA345B"/>
    <w:rsid w:val="00DA3897"/>
    <w:rsid w:val="00DA4107"/>
    <w:rsid w:val="00DA4F92"/>
    <w:rsid w:val="00DA5777"/>
    <w:rsid w:val="00DA5D4B"/>
    <w:rsid w:val="00DA5D9D"/>
    <w:rsid w:val="00DA6119"/>
    <w:rsid w:val="00DA6E8D"/>
    <w:rsid w:val="00DA738D"/>
    <w:rsid w:val="00DA78A3"/>
    <w:rsid w:val="00DB14BE"/>
    <w:rsid w:val="00DB187B"/>
    <w:rsid w:val="00DB22A9"/>
    <w:rsid w:val="00DB295A"/>
    <w:rsid w:val="00DB3580"/>
    <w:rsid w:val="00DB4086"/>
    <w:rsid w:val="00DB40A8"/>
    <w:rsid w:val="00DB6672"/>
    <w:rsid w:val="00DB72FA"/>
    <w:rsid w:val="00DB76BA"/>
    <w:rsid w:val="00DC013A"/>
    <w:rsid w:val="00DC020E"/>
    <w:rsid w:val="00DC0586"/>
    <w:rsid w:val="00DC0BE8"/>
    <w:rsid w:val="00DC114F"/>
    <w:rsid w:val="00DC11E1"/>
    <w:rsid w:val="00DC14B0"/>
    <w:rsid w:val="00DC1CAF"/>
    <w:rsid w:val="00DC2C02"/>
    <w:rsid w:val="00DC2D8A"/>
    <w:rsid w:val="00DC2EEC"/>
    <w:rsid w:val="00DC390C"/>
    <w:rsid w:val="00DC457C"/>
    <w:rsid w:val="00DC5205"/>
    <w:rsid w:val="00DC561D"/>
    <w:rsid w:val="00DC5779"/>
    <w:rsid w:val="00DC64C4"/>
    <w:rsid w:val="00DC6749"/>
    <w:rsid w:val="00DC6854"/>
    <w:rsid w:val="00DC6B67"/>
    <w:rsid w:val="00DC73B8"/>
    <w:rsid w:val="00DC7623"/>
    <w:rsid w:val="00DC7EA4"/>
    <w:rsid w:val="00DD0425"/>
    <w:rsid w:val="00DD049A"/>
    <w:rsid w:val="00DD0678"/>
    <w:rsid w:val="00DD08AE"/>
    <w:rsid w:val="00DD137E"/>
    <w:rsid w:val="00DD20B6"/>
    <w:rsid w:val="00DD2741"/>
    <w:rsid w:val="00DD3DC5"/>
    <w:rsid w:val="00DD433A"/>
    <w:rsid w:val="00DD5E75"/>
    <w:rsid w:val="00DD61F1"/>
    <w:rsid w:val="00DD6D6A"/>
    <w:rsid w:val="00DD7CEC"/>
    <w:rsid w:val="00DE011C"/>
    <w:rsid w:val="00DE15A9"/>
    <w:rsid w:val="00DE174A"/>
    <w:rsid w:val="00DE229C"/>
    <w:rsid w:val="00DE2984"/>
    <w:rsid w:val="00DE37BC"/>
    <w:rsid w:val="00DE3FC5"/>
    <w:rsid w:val="00DE41EA"/>
    <w:rsid w:val="00DE4C88"/>
    <w:rsid w:val="00DE4CD3"/>
    <w:rsid w:val="00DE5BB6"/>
    <w:rsid w:val="00DE65C4"/>
    <w:rsid w:val="00DE6862"/>
    <w:rsid w:val="00DE6F22"/>
    <w:rsid w:val="00DE73D7"/>
    <w:rsid w:val="00DE76AA"/>
    <w:rsid w:val="00DE7C7A"/>
    <w:rsid w:val="00DF02D5"/>
    <w:rsid w:val="00DF02E0"/>
    <w:rsid w:val="00DF044B"/>
    <w:rsid w:val="00DF04CD"/>
    <w:rsid w:val="00DF1603"/>
    <w:rsid w:val="00DF185C"/>
    <w:rsid w:val="00DF2245"/>
    <w:rsid w:val="00DF255A"/>
    <w:rsid w:val="00DF2789"/>
    <w:rsid w:val="00DF2BA5"/>
    <w:rsid w:val="00DF38E3"/>
    <w:rsid w:val="00DF4A03"/>
    <w:rsid w:val="00DF5428"/>
    <w:rsid w:val="00DF6216"/>
    <w:rsid w:val="00DF674E"/>
    <w:rsid w:val="00DF751D"/>
    <w:rsid w:val="00DF7A44"/>
    <w:rsid w:val="00E00052"/>
    <w:rsid w:val="00E003FE"/>
    <w:rsid w:val="00E00B9A"/>
    <w:rsid w:val="00E00B9D"/>
    <w:rsid w:val="00E012BF"/>
    <w:rsid w:val="00E02041"/>
    <w:rsid w:val="00E03BB9"/>
    <w:rsid w:val="00E04A5E"/>
    <w:rsid w:val="00E04D12"/>
    <w:rsid w:val="00E04FF0"/>
    <w:rsid w:val="00E0517D"/>
    <w:rsid w:val="00E05701"/>
    <w:rsid w:val="00E05838"/>
    <w:rsid w:val="00E06CD5"/>
    <w:rsid w:val="00E06DC2"/>
    <w:rsid w:val="00E07097"/>
    <w:rsid w:val="00E0728B"/>
    <w:rsid w:val="00E105AB"/>
    <w:rsid w:val="00E10879"/>
    <w:rsid w:val="00E109CB"/>
    <w:rsid w:val="00E10A43"/>
    <w:rsid w:val="00E10AAE"/>
    <w:rsid w:val="00E10D9F"/>
    <w:rsid w:val="00E10F26"/>
    <w:rsid w:val="00E128EB"/>
    <w:rsid w:val="00E12DA9"/>
    <w:rsid w:val="00E1332E"/>
    <w:rsid w:val="00E13936"/>
    <w:rsid w:val="00E1452A"/>
    <w:rsid w:val="00E155A1"/>
    <w:rsid w:val="00E1576B"/>
    <w:rsid w:val="00E16058"/>
    <w:rsid w:val="00E16896"/>
    <w:rsid w:val="00E17F2C"/>
    <w:rsid w:val="00E20160"/>
    <w:rsid w:val="00E20C17"/>
    <w:rsid w:val="00E20D40"/>
    <w:rsid w:val="00E2136C"/>
    <w:rsid w:val="00E219D5"/>
    <w:rsid w:val="00E22862"/>
    <w:rsid w:val="00E239D1"/>
    <w:rsid w:val="00E24A1D"/>
    <w:rsid w:val="00E253DB"/>
    <w:rsid w:val="00E264A4"/>
    <w:rsid w:val="00E26872"/>
    <w:rsid w:val="00E26959"/>
    <w:rsid w:val="00E277A4"/>
    <w:rsid w:val="00E27BD3"/>
    <w:rsid w:val="00E27CB2"/>
    <w:rsid w:val="00E30293"/>
    <w:rsid w:val="00E3112E"/>
    <w:rsid w:val="00E31FE9"/>
    <w:rsid w:val="00E33360"/>
    <w:rsid w:val="00E34395"/>
    <w:rsid w:val="00E34EE5"/>
    <w:rsid w:val="00E34FD6"/>
    <w:rsid w:val="00E35BBD"/>
    <w:rsid w:val="00E35BCC"/>
    <w:rsid w:val="00E36DF2"/>
    <w:rsid w:val="00E3752E"/>
    <w:rsid w:val="00E4090E"/>
    <w:rsid w:val="00E41318"/>
    <w:rsid w:val="00E417EC"/>
    <w:rsid w:val="00E41FE0"/>
    <w:rsid w:val="00E435E6"/>
    <w:rsid w:val="00E43F44"/>
    <w:rsid w:val="00E4457D"/>
    <w:rsid w:val="00E4470B"/>
    <w:rsid w:val="00E44712"/>
    <w:rsid w:val="00E4641D"/>
    <w:rsid w:val="00E46724"/>
    <w:rsid w:val="00E47C67"/>
    <w:rsid w:val="00E5003A"/>
    <w:rsid w:val="00E50E45"/>
    <w:rsid w:val="00E50EB7"/>
    <w:rsid w:val="00E51F1A"/>
    <w:rsid w:val="00E52C19"/>
    <w:rsid w:val="00E52CA5"/>
    <w:rsid w:val="00E544FE"/>
    <w:rsid w:val="00E54F54"/>
    <w:rsid w:val="00E550D0"/>
    <w:rsid w:val="00E553AF"/>
    <w:rsid w:val="00E55531"/>
    <w:rsid w:val="00E55A30"/>
    <w:rsid w:val="00E56EFA"/>
    <w:rsid w:val="00E57462"/>
    <w:rsid w:val="00E57660"/>
    <w:rsid w:val="00E57E27"/>
    <w:rsid w:val="00E6010F"/>
    <w:rsid w:val="00E60C61"/>
    <w:rsid w:val="00E6301D"/>
    <w:rsid w:val="00E63128"/>
    <w:rsid w:val="00E63152"/>
    <w:rsid w:val="00E63AF2"/>
    <w:rsid w:val="00E63CAB"/>
    <w:rsid w:val="00E67A1A"/>
    <w:rsid w:val="00E70374"/>
    <w:rsid w:val="00E71503"/>
    <w:rsid w:val="00E72391"/>
    <w:rsid w:val="00E727DD"/>
    <w:rsid w:val="00E72AB4"/>
    <w:rsid w:val="00E73A08"/>
    <w:rsid w:val="00E73A48"/>
    <w:rsid w:val="00E73CB9"/>
    <w:rsid w:val="00E74968"/>
    <w:rsid w:val="00E74CFB"/>
    <w:rsid w:val="00E74DE9"/>
    <w:rsid w:val="00E7511A"/>
    <w:rsid w:val="00E75853"/>
    <w:rsid w:val="00E75871"/>
    <w:rsid w:val="00E77371"/>
    <w:rsid w:val="00E77437"/>
    <w:rsid w:val="00E774BA"/>
    <w:rsid w:val="00E80293"/>
    <w:rsid w:val="00E8047C"/>
    <w:rsid w:val="00E805DE"/>
    <w:rsid w:val="00E80687"/>
    <w:rsid w:val="00E81300"/>
    <w:rsid w:val="00E83C52"/>
    <w:rsid w:val="00E840EA"/>
    <w:rsid w:val="00E84551"/>
    <w:rsid w:val="00E84DFB"/>
    <w:rsid w:val="00E85ABC"/>
    <w:rsid w:val="00E85FEC"/>
    <w:rsid w:val="00E86B80"/>
    <w:rsid w:val="00E86C9A"/>
    <w:rsid w:val="00E8719A"/>
    <w:rsid w:val="00E87313"/>
    <w:rsid w:val="00E9075C"/>
    <w:rsid w:val="00E90789"/>
    <w:rsid w:val="00E91B98"/>
    <w:rsid w:val="00E92148"/>
    <w:rsid w:val="00E92778"/>
    <w:rsid w:val="00E92C3F"/>
    <w:rsid w:val="00E95B37"/>
    <w:rsid w:val="00E96490"/>
    <w:rsid w:val="00E9657F"/>
    <w:rsid w:val="00E9796F"/>
    <w:rsid w:val="00EA03AA"/>
    <w:rsid w:val="00EA047E"/>
    <w:rsid w:val="00EA0D3A"/>
    <w:rsid w:val="00EA0DB6"/>
    <w:rsid w:val="00EA1F08"/>
    <w:rsid w:val="00EA2BCB"/>
    <w:rsid w:val="00EA3585"/>
    <w:rsid w:val="00EA3B95"/>
    <w:rsid w:val="00EA4FB5"/>
    <w:rsid w:val="00EA560A"/>
    <w:rsid w:val="00EA5A24"/>
    <w:rsid w:val="00EA77A9"/>
    <w:rsid w:val="00EB039A"/>
    <w:rsid w:val="00EB1006"/>
    <w:rsid w:val="00EB1BD4"/>
    <w:rsid w:val="00EB1C79"/>
    <w:rsid w:val="00EB1CBB"/>
    <w:rsid w:val="00EB208E"/>
    <w:rsid w:val="00EB32AD"/>
    <w:rsid w:val="00EB393B"/>
    <w:rsid w:val="00EB3A5C"/>
    <w:rsid w:val="00EB3B1D"/>
    <w:rsid w:val="00EB3D66"/>
    <w:rsid w:val="00EB40AA"/>
    <w:rsid w:val="00EB4219"/>
    <w:rsid w:val="00EB562B"/>
    <w:rsid w:val="00EB571F"/>
    <w:rsid w:val="00EB5838"/>
    <w:rsid w:val="00EB6320"/>
    <w:rsid w:val="00EB6C1C"/>
    <w:rsid w:val="00EB7109"/>
    <w:rsid w:val="00EB765F"/>
    <w:rsid w:val="00EC2A6B"/>
    <w:rsid w:val="00EC324C"/>
    <w:rsid w:val="00EC43D5"/>
    <w:rsid w:val="00EC52CC"/>
    <w:rsid w:val="00EC580D"/>
    <w:rsid w:val="00EC580F"/>
    <w:rsid w:val="00EC6085"/>
    <w:rsid w:val="00EC7236"/>
    <w:rsid w:val="00EC7F81"/>
    <w:rsid w:val="00ED026D"/>
    <w:rsid w:val="00ED063C"/>
    <w:rsid w:val="00ED1E3E"/>
    <w:rsid w:val="00ED1EAD"/>
    <w:rsid w:val="00ED216C"/>
    <w:rsid w:val="00ED22F9"/>
    <w:rsid w:val="00ED2488"/>
    <w:rsid w:val="00ED3931"/>
    <w:rsid w:val="00ED3B17"/>
    <w:rsid w:val="00ED3D7E"/>
    <w:rsid w:val="00ED3EBA"/>
    <w:rsid w:val="00ED45D9"/>
    <w:rsid w:val="00ED4730"/>
    <w:rsid w:val="00ED49DF"/>
    <w:rsid w:val="00ED6540"/>
    <w:rsid w:val="00ED666F"/>
    <w:rsid w:val="00ED69CA"/>
    <w:rsid w:val="00EE0258"/>
    <w:rsid w:val="00EE0765"/>
    <w:rsid w:val="00EE1E3C"/>
    <w:rsid w:val="00EE2762"/>
    <w:rsid w:val="00EE2DDD"/>
    <w:rsid w:val="00EE2E7B"/>
    <w:rsid w:val="00EE2ED1"/>
    <w:rsid w:val="00EE3F51"/>
    <w:rsid w:val="00EE48D0"/>
    <w:rsid w:val="00EE4FBF"/>
    <w:rsid w:val="00EE5406"/>
    <w:rsid w:val="00EE5998"/>
    <w:rsid w:val="00EE7AA6"/>
    <w:rsid w:val="00EF0326"/>
    <w:rsid w:val="00EF1DB1"/>
    <w:rsid w:val="00EF2503"/>
    <w:rsid w:val="00EF27D4"/>
    <w:rsid w:val="00EF2DFA"/>
    <w:rsid w:val="00EF3206"/>
    <w:rsid w:val="00EF420E"/>
    <w:rsid w:val="00EF449B"/>
    <w:rsid w:val="00EF5E85"/>
    <w:rsid w:val="00EF62C5"/>
    <w:rsid w:val="00EF642C"/>
    <w:rsid w:val="00EF6FD1"/>
    <w:rsid w:val="00F001B3"/>
    <w:rsid w:val="00F01889"/>
    <w:rsid w:val="00F028ED"/>
    <w:rsid w:val="00F029E6"/>
    <w:rsid w:val="00F02DDA"/>
    <w:rsid w:val="00F038F5"/>
    <w:rsid w:val="00F0549F"/>
    <w:rsid w:val="00F05F45"/>
    <w:rsid w:val="00F061B2"/>
    <w:rsid w:val="00F063F0"/>
    <w:rsid w:val="00F06BEC"/>
    <w:rsid w:val="00F070F2"/>
    <w:rsid w:val="00F07605"/>
    <w:rsid w:val="00F07834"/>
    <w:rsid w:val="00F07D1F"/>
    <w:rsid w:val="00F1196B"/>
    <w:rsid w:val="00F11C52"/>
    <w:rsid w:val="00F12203"/>
    <w:rsid w:val="00F1258C"/>
    <w:rsid w:val="00F12FD7"/>
    <w:rsid w:val="00F142A6"/>
    <w:rsid w:val="00F14CB3"/>
    <w:rsid w:val="00F14E39"/>
    <w:rsid w:val="00F14FD4"/>
    <w:rsid w:val="00F15DE6"/>
    <w:rsid w:val="00F1699A"/>
    <w:rsid w:val="00F177D6"/>
    <w:rsid w:val="00F179D7"/>
    <w:rsid w:val="00F17D1D"/>
    <w:rsid w:val="00F17DF0"/>
    <w:rsid w:val="00F17EC5"/>
    <w:rsid w:val="00F203FB"/>
    <w:rsid w:val="00F2045F"/>
    <w:rsid w:val="00F2057B"/>
    <w:rsid w:val="00F2070C"/>
    <w:rsid w:val="00F22B37"/>
    <w:rsid w:val="00F22B8F"/>
    <w:rsid w:val="00F22EC5"/>
    <w:rsid w:val="00F22EFF"/>
    <w:rsid w:val="00F23D43"/>
    <w:rsid w:val="00F23FE2"/>
    <w:rsid w:val="00F24365"/>
    <w:rsid w:val="00F24A39"/>
    <w:rsid w:val="00F24FEF"/>
    <w:rsid w:val="00F25275"/>
    <w:rsid w:val="00F2626B"/>
    <w:rsid w:val="00F268D1"/>
    <w:rsid w:val="00F26A07"/>
    <w:rsid w:val="00F26A8B"/>
    <w:rsid w:val="00F26FD5"/>
    <w:rsid w:val="00F27846"/>
    <w:rsid w:val="00F27B25"/>
    <w:rsid w:val="00F27CD3"/>
    <w:rsid w:val="00F301D7"/>
    <w:rsid w:val="00F3021A"/>
    <w:rsid w:val="00F304F1"/>
    <w:rsid w:val="00F30CB0"/>
    <w:rsid w:val="00F30E5D"/>
    <w:rsid w:val="00F310F3"/>
    <w:rsid w:val="00F3163F"/>
    <w:rsid w:val="00F31812"/>
    <w:rsid w:val="00F31F18"/>
    <w:rsid w:val="00F3210F"/>
    <w:rsid w:val="00F32A1A"/>
    <w:rsid w:val="00F32E98"/>
    <w:rsid w:val="00F34A52"/>
    <w:rsid w:val="00F354EE"/>
    <w:rsid w:val="00F35DA0"/>
    <w:rsid w:val="00F36D36"/>
    <w:rsid w:val="00F371D0"/>
    <w:rsid w:val="00F3729B"/>
    <w:rsid w:val="00F40197"/>
    <w:rsid w:val="00F40AFB"/>
    <w:rsid w:val="00F4110D"/>
    <w:rsid w:val="00F414DE"/>
    <w:rsid w:val="00F41552"/>
    <w:rsid w:val="00F41625"/>
    <w:rsid w:val="00F417E5"/>
    <w:rsid w:val="00F42799"/>
    <w:rsid w:val="00F4321F"/>
    <w:rsid w:val="00F4334D"/>
    <w:rsid w:val="00F444DF"/>
    <w:rsid w:val="00F44594"/>
    <w:rsid w:val="00F447EA"/>
    <w:rsid w:val="00F4483C"/>
    <w:rsid w:val="00F46E57"/>
    <w:rsid w:val="00F47223"/>
    <w:rsid w:val="00F50097"/>
    <w:rsid w:val="00F5010D"/>
    <w:rsid w:val="00F506F8"/>
    <w:rsid w:val="00F50B4D"/>
    <w:rsid w:val="00F50C89"/>
    <w:rsid w:val="00F50D79"/>
    <w:rsid w:val="00F51EC6"/>
    <w:rsid w:val="00F522F9"/>
    <w:rsid w:val="00F533CF"/>
    <w:rsid w:val="00F551DB"/>
    <w:rsid w:val="00F55981"/>
    <w:rsid w:val="00F55AAB"/>
    <w:rsid w:val="00F57840"/>
    <w:rsid w:val="00F60254"/>
    <w:rsid w:val="00F605FD"/>
    <w:rsid w:val="00F60657"/>
    <w:rsid w:val="00F60ECD"/>
    <w:rsid w:val="00F61023"/>
    <w:rsid w:val="00F625CD"/>
    <w:rsid w:val="00F6274C"/>
    <w:rsid w:val="00F62A15"/>
    <w:rsid w:val="00F63B4E"/>
    <w:rsid w:val="00F63C07"/>
    <w:rsid w:val="00F6478E"/>
    <w:rsid w:val="00F65BAF"/>
    <w:rsid w:val="00F662F7"/>
    <w:rsid w:val="00F66431"/>
    <w:rsid w:val="00F6686C"/>
    <w:rsid w:val="00F66881"/>
    <w:rsid w:val="00F670A9"/>
    <w:rsid w:val="00F670B6"/>
    <w:rsid w:val="00F672AD"/>
    <w:rsid w:val="00F67CC2"/>
    <w:rsid w:val="00F67E37"/>
    <w:rsid w:val="00F7066E"/>
    <w:rsid w:val="00F70F05"/>
    <w:rsid w:val="00F719F7"/>
    <w:rsid w:val="00F71F7F"/>
    <w:rsid w:val="00F71F87"/>
    <w:rsid w:val="00F72063"/>
    <w:rsid w:val="00F731E5"/>
    <w:rsid w:val="00F73BE5"/>
    <w:rsid w:val="00F740A7"/>
    <w:rsid w:val="00F74733"/>
    <w:rsid w:val="00F74E85"/>
    <w:rsid w:val="00F75E1A"/>
    <w:rsid w:val="00F775EC"/>
    <w:rsid w:val="00F800BB"/>
    <w:rsid w:val="00F80960"/>
    <w:rsid w:val="00F8139B"/>
    <w:rsid w:val="00F81C01"/>
    <w:rsid w:val="00F837A5"/>
    <w:rsid w:val="00F83BAE"/>
    <w:rsid w:val="00F84520"/>
    <w:rsid w:val="00F84A3E"/>
    <w:rsid w:val="00F850C3"/>
    <w:rsid w:val="00F853B2"/>
    <w:rsid w:val="00F853FF"/>
    <w:rsid w:val="00F8542B"/>
    <w:rsid w:val="00F86D1E"/>
    <w:rsid w:val="00F86F10"/>
    <w:rsid w:val="00F8731E"/>
    <w:rsid w:val="00F901E7"/>
    <w:rsid w:val="00F9064C"/>
    <w:rsid w:val="00F906C2"/>
    <w:rsid w:val="00F90AA5"/>
    <w:rsid w:val="00F92A9D"/>
    <w:rsid w:val="00F93551"/>
    <w:rsid w:val="00F94268"/>
    <w:rsid w:val="00F9477C"/>
    <w:rsid w:val="00F94C0D"/>
    <w:rsid w:val="00F9559D"/>
    <w:rsid w:val="00F956E8"/>
    <w:rsid w:val="00F97674"/>
    <w:rsid w:val="00F97D83"/>
    <w:rsid w:val="00F97DCD"/>
    <w:rsid w:val="00FA0435"/>
    <w:rsid w:val="00FA0B83"/>
    <w:rsid w:val="00FA14A7"/>
    <w:rsid w:val="00FA16E9"/>
    <w:rsid w:val="00FA1759"/>
    <w:rsid w:val="00FA1A7C"/>
    <w:rsid w:val="00FA1F71"/>
    <w:rsid w:val="00FA2101"/>
    <w:rsid w:val="00FA2114"/>
    <w:rsid w:val="00FA301B"/>
    <w:rsid w:val="00FA443F"/>
    <w:rsid w:val="00FA5569"/>
    <w:rsid w:val="00FA6754"/>
    <w:rsid w:val="00FA69AB"/>
    <w:rsid w:val="00FA70BD"/>
    <w:rsid w:val="00FA7244"/>
    <w:rsid w:val="00FB0461"/>
    <w:rsid w:val="00FB0E87"/>
    <w:rsid w:val="00FB1EFB"/>
    <w:rsid w:val="00FB2865"/>
    <w:rsid w:val="00FB3A50"/>
    <w:rsid w:val="00FB3DC9"/>
    <w:rsid w:val="00FB4553"/>
    <w:rsid w:val="00FB49FE"/>
    <w:rsid w:val="00FB4C07"/>
    <w:rsid w:val="00FB4C60"/>
    <w:rsid w:val="00FB5559"/>
    <w:rsid w:val="00FB595F"/>
    <w:rsid w:val="00FB73A6"/>
    <w:rsid w:val="00FB7707"/>
    <w:rsid w:val="00FB77C5"/>
    <w:rsid w:val="00FC0366"/>
    <w:rsid w:val="00FC0AE0"/>
    <w:rsid w:val="00FC0D0E"/>
    <w:rsid w:val="00FC2249"/>
    <w:rsid w:val="00FC2821"/>
    <w:rsid w:val="00FC2A56"/>
    <w:rsid w:val="00FC3055"/>
    <w:rsid w:val="00FC375A"/>
    <w:rsid w:val="00FC3A2E"/>
    <w:rsid w:val="00FC3C70"/>
    <w:rsid w:val="00FC3D08"/>
    <w:rsid w:val="00FC4301"/>
    <w:rsid w:val="00FC49BC"/>
    <w:rsid w:val="00FC4A76"/>
    <w:rsid w:val="00FC4E97"/>
    <w:rsid w:val="00FC7443"/>
    <w:rsid w:val="00FC75E8"/>
    <w:rsid w:val="00FC78C9"/>
    <w:rsid w:val="00FC7E5F"/>
    <w:rsid w:val="00FD003F"/>
    <w:rsid w:val="00FD18E2"/>
    <w:rsid w:val="00FD1A9F"/>
    <w:rsid w:val="00FD2466"/>
    <w:rsid w:val="00FD2ED9"/>
    <w:rsid w:val="00FD3542"/>
    <w:rsid w:val="00FD522E"/>
    <w:rsid w:val="00FD5A65"/>
    <w:rsid w:val="00FD5A73"/>
    <w:rsid w:val="00FD5B60"/>
    <w:rsid w:val="00FD5B86"/>
    <w:rsid w:val="00FD5C3B"/>
    <w:rsid w:val="00FD7473"/>
    <w:rsid w:val="00FE0233"/>
    <w:rsid w:val="00FE032B"/>
    <w:rsid w:val="00FE04F5"/>
    <w:rsid w:val="00FE0DAB"/>
    <w:rsid w:val="00FE12B7"/>
    <w:rsid w:val="00FE1F9F"/>
    <w:rsid w:val="00FE28EA"/>
    <w:rsid w:val="00FE2D67"/>
    <w:rsid w:val="00FE3AD2"/>
    <w:rsid w:val="00FE3C9A"/>
    <w:rsid w:val="00FE50C4"/>
    <w:rsid w:val="00FE5969"/>
    <w:rsid w:val="00FE6704"/>
    <w:rsid w:val="00FE6C9A"/>
    <w:rsid w:val="00FE782A"/>
    <w:rsid w:val="00FE7968"/>
    <w:rsid w:val="00FE7B01"/>
    <w:rsid w:val="00FE7C22"/>
    <w:rsid w:val="00FF019C"/>
    <w:rsid w:val="00FF0342"/>
    <w:rsid w:val="00FF07DB"/>
    <w:rsid w:val="00FF1AC6"/>
    <w:rsid w:val="00FF20DF"/>
    <w:rsid w:val="00FF250C"/>
    <w:rsid w:val="00FF27C5"/>
    <w:rsid w:val="00FF2AB5"/>
    <w:rsid w:val="00FF3CAD"/>
    <w:rsid w:val="00FF409D"/>
    <w:rsid w:val="00FF4813"/>
    <w:rsid w:val="00FF4DFB"/>
    <w:rsid w:val="00FF5495"/>
    <w:rsid w:val="00FF54A6"/>
    <w:rsid w:val="00FF572E"/>
    <w:rsid w:val="00FF5F98"/>
    <w:rsid w:val="00FF68D4"/>
    <w:rsid w:val="00FF6F51"/>
    <w:rsid w:val="00FF6FA0"/>
    <w:rsid w:val="00FF7095"/>
    <w:rsid w:val="00FF73D9"/>
    <w:rsid w:val="3446EB29"/>
    <w:rsid w:val="770BB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B8C5A"/>
  <w15:chartTrackingRefBased/>
  <w15:docId w15:val="{00F6D457-EB47-46AE-B409-7AB766B7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18"/>
  </w:style>
  <w:style w:type="paragraph" w:styleId="Heading1">
    <w:name w:val="heading 1"/>
    <w:basedOn w:val="Normal"/>
    <w:next w:val="Normal"/>
    <w:link w:val="Heading1Char"/>
    <w:uiPriority w:val="9"/>
    <w:qFormat/>
    <w:rsid w:val="00590718"/>
    <w:pPr>
      <w:keepNext/>
      <w:keepLines/>
      <w:spacing w:before="360" w:after="80"/>
      <w:outlineLvl w:val="0"/>
    </w:pPr>
    <w:rPr>
      <w:rFonts w:asciiTheme="majorHAnsi" w:eastAsiaTheme="majorEastAsia" w:hAnsiTheme="majorHAnsi" w:cstheme="majorBidi"/>
      <w:color w:val="005677" w:themeColor="text2"/>
      <w:sz w:val="48"/>
      <w:szCs w:val="32"/>
    </w:rPr>
  </w:style>
  <w:style w:type="paragraph" w:styleId="Heading2">
    <w:name w:val="heading 2"/>
    <w:basedOn w:val="Normal"/>
    <w:next w:val="Normal"/>
    <w:link w:val="Heading2Char"/>
    <w:uiPriority w:val="9"/>
    <w:unhideWhenUsed/>
    <w:qFormat/>
    <w:rsid w:val="00BB6D1A"/>
    <w:pPr>
      <w:keepNext/>
      <w:keepLines/>
      <w:spacing w:before="120" w:after="40"/>
      <w:outlineLvl w:val="1"/>
    </w:pPr>
    <w:rPr>
      <w:rFonts w:asciiTheme="majorHAnsi" w:eastAsiaTheme="majorEastAsia" w:hAnsiTheme="majorHAnsi" w:cstheme="majorBidi"/>
      <w:color w:val="005677" w:themeColor="text2"/>
      <w:sz w:val="40"/>
      <w:szCs w:val="48"/>
    </w:rPr>
  </w:style>
  <w:style w:type="paragraph" w:styleId="Heading3">
    <w:name w:val="heading 3"/>
    <w:basedOn w:val="Normal"/>
    <w:next w:val="Normal"/>
    <w:link w:val="Heading3Char"/>
    <w:uiPriority w:val="9"/>
    <w:unhideWhenUsed/>
    <w:qFormat/>
    <w:rsid w:val="00590718"/>
    <w:pPr>
      <w:keepNext/>
      <w:keepLines/>
      <w:spacing w:before="40" w:after="0"/>
      <w:outlineLvl w:val="2"/>
    </w:pPr>
    <w:rPr>
      <w:rFonts w:asciiTheme="majorHAnsi" w:eastAsiaTheme="majorEastAsia" w:hAnsiTheme="majorHAnsi" w:cstheme="majorBidi"/>
      <w:color w:val="005677" w:themeColor="text2"/>
      <w:sz w:val="32"/>
      <w:szCs w:val="40"/>
    </w:rPr>
  </w:style>
  <w:style w:type="paragraph" w:styleId="Heading4">
    <w:name w:val="heading 4"/>
    <w:basedOn w:val="Normal"/>
    <w:next w:val="Normal"/>
    <w:link w:val="Heading4Char"/>
    <w:uiPriority w:val="9"/>
    <w:unhideWhenUsed/>
    <w:qFormat/>
    <w:rsid w:val="00590718"/>
    <w:pPr>
      <w:keepNext/>
      <w:keepLines/>
      <w:spacing w:before="40" w:after="0"/>
      <w:outlineLvl w:val="3"/>
    </w:pPr>
    <w:rPr>
      <w:rFonts w:asciiTheme="majorHAnsi" w:eastAsiaTheme="majorEastAsia" w:hAnsiTheme="majorHAnsi" w:cstheme="majorBidi"/>
      <w:iCs/>
      <w:color w:val="005677" w:themeColor="text2"/>
      <w:sz w:val="28"/>
      <w:szCs w:val="28"/>
    </w:rPr>
  </w:style>
  <w:style w:type="paragraph" w:styleId="Heading5">
    <w:name w:val="heading 5"/>
    <w:basedOn w:val="Normal"/>
    <w:next w:val="Normal"/>
    <w:link w:val="Heading5Char"/>
    <w:uiPriority w:val="9"/>
    <w:unhideWhenUsed/>
    <w:qFormat/>
    <w:rsid w:val="00590718"/>
    <w:pPr>
      <w:keepNext/>
      <w:keepLines/>
      <w:spacing w:before="40" w:after="0"/>
      <w:outlineLvl w:val="4"/>
    </w:pPr>
    <w:rPr>
      <w:rFonts w:asciiTheme="majorHAnsi" w:eastAsiaTheme="majorEastAsia" w:hAnsiTheme="majorHAnsi" w:cstheme="majorBidi"/>
      <w:color w:val="005677" w:themeColor="text2"/>
      <w:sz w:val="26"/>
      <w:szCs w:val="26"/>
    </w:rPr>
  </w:style>
  <w:style w:type="paragraph" w:styleId="Heading6">
    <w:name w:val="heading 6"/>
    <w:basedOn w:val="Normal"/>
    <w:next w:val="Normal"/>
    <w:link w:val="Heading6Char"/>
    <w:uiPriority w:val="9"/>
    <w:unhideWhenUsed/>
    <w:qFormat/>
    <w:rsid w:val="00E8047C"/>
    <w:pPr>
      <w:keepNext/>
      <w:keepLines/>
      <w:spacing w:before="40" w:after="0"/>
      <w:outlineLvl w:val="5"/>
    </w:pPr>
    <w:rPr>
      <w:rFonts w:asciiTheme="majorHAnsi" w:eastAsiaTheme="majorEastAsia" w:hAnsiTheme="majorHAnsi" w:cstheme="majorBidi"/>
      <w:color w:val="005677"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718"/>
  </w:style>
  <w:style w:type="paragraph" w:styleId="Footer">
    <w:name w:val="footer"/>
    <w:basedOn w:val="Normal"/>
    <w:link w:val="FooterChar"/>
    <w:uiPriority w:val="99"/>
    <w:unhideWhenUsed/>
    <w:rsid w:val="00590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718"/>
  </w:style>
  <w:style w:type="character" w:customStyle="1" w:styleId="Heading1Char">
    <w:name w:val="Heading 1 Char"/>
    <w:basedOn w:val="DefaultParagraphFont"/>
    <w:link w:val="Heading1"/>
    <w:uiPriority w:val="9"/>
    <w:rsid w:val="00590718"/>
    <w:rPr>
      <w:rFonts w:asciiTheme="majorHAnsi" w:eastAsiaTheme="majorEastAsia" w:hAnsiTheme="majorHAnsi" w:cstheme="majorBidi"/>
      <w:color w:val="005677" w:themeColor="text2"/>
      <w:sz w:val="48"/>
      <w:szCs w:val="32"/>
    </w:rPr>
  </w:style>
  <w:style w:type="paragraph" w:styleId="FootnoteText">
    <w:name w:val="footnote text"/>
    <w:basedOn w:val="Normal"/>
    <w:link w:val="FootnoteTextChar"/>
    <w:uiPriority w:val="99"/>
    <w:rsid w:val="00114FE8"/>
    <w:rPr>
      <w:sz w:val="20"/>
      <w:szCs w:val="20"/>
    </w:rPr>
  </w:style>
  <w:style w:type="character" w:customStyle="1" w:styleId="FootnoteTextChar">
    <w:name w:val="Footnote Text Char"/>
    <w:basedOn w:val="DefaultParagraphFont"/>
    <w:link w:val="FootnoteText"/>
    <w:uiPriority w:val="99"/>
    <w:rsid w:val="00114FE8"/>
    <w:rPr>
      <w:rFonts w:ascii="Times New Roman" w:eastAsia="Times New Roman" w:hAnsi="Times New Roman" w:cs="Times New Roman"/>
      <w:sz w:val="20"/>
      <w:szCs w:val="20"/>
      <w:lang w:eastAsia="en-AU"/>
    </w:rPr>
  </w:style>
  <w:style w:type="character" w:styleId="FootnoteReference">
    <w:name w:val="footnote reference"/>
    <w:uiPriority w:val="99"/>
    <w:rsid w:val="00114FE8"/>
    <w:rPr>
      <w:vertAlign w:val="superscript"/>
    </w:rPr>
  </w:style>
  <w:style w:type="character" w:styleId="CommentReference">
    <w:name w:val="annotation reference"/>
    <w:basedOn w:val="DefaultParagraphFont"/>
    <w:uiPriority w:val="99"/>
    <w:unhideWhenUsed/>
    <w:rsid w:val="00114FE8"/>
    <w:rPr>
      <w:sz w:val="16"/>
      <w:szCs w:val="16"/>
    </w:rPr>
  </w:style>
  <w:style w:type="paragraph" w:styleId="CommentText">
    <w:name w:val="annotation text"/>
    <w:basedOn w:val="Normal"/>
    <w:link w:val="CommentTextChar"/>
    <w:uiPriority w:val="99"/>
    <w:unhideWhenUsed/>
    <w:rsid w:val="00114FE8"/>
    <w:pPr>
      <w:spacing w:after="200"/>
    </w:pPr>
    <w:rPr>
      <w:sz w:val="20"/>
      <w:szCs w:val="20"/>
    </w:rPr>
  </w:style>
  <w:style w:type="character" w:customStyle="1" w:styleId="CommentTextChar">
    <w:name w:val="Comment Text Char"/>
    <w:basedOn w:val="DefaultParagraphFont"/>
    <w:link w:val="CommentText"/>
    <w:uiPriority w:val="99"/>
    <w:rsid w:val="00114FE8"/>
    <w:rPr>
      <w:sz w:val="20"/>
      <w:szCs w:val="20"/>
    </w:rPr>
  </w:style>
  <w:style w:type="paragraph" w:styleId="BalloonText">
    <w:name w:val="Balloon Text"/>
    <w:basedOn w:val="Normal"/>
    <w:link w:val="BalloonTextChar"/>
    <w:uiPriority w:val="99"/>
    <w:semiHidden/>
    <w:unhideWhenUsed/>
    <w:rsid w:val="00590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718"/>
    <w:rPr>
      <w:rFonts w:ascii="Segoe UI" w:hAnsi="Segoe UI" w:cs="Segoe UI"/>
      <w:sz w:val="18"/>
      <w:szCs w:val="18"/>
    </w:rPr>
  </w:style>
  <w:style w:type="character" w:customStyle="1" w:styleId="Heading2Char">
    <w:name w:val="Heading 2 Char"/>
    <w:basedOn w:val="DefaultParagraphFont"/>
    <w:link w:val="Heading2"/>
    <w:uiPriority w:val="9"/>
    <w:rsid w:val="00BB6D1A"/>
    <w:rPr>
      <w:rFonts w:asciiTheme="majorHAnsi" w:eastAsiaTheme="majorEastAsia" w:hAnsiTheme="majorHAnsi" w:cstheme="majorBidi"/>
      <w:color w:val="005677" w:themeColor="text2"/>
      <w:sz w:val="40"/>
      <w:szCs w:val="48"/>
    </w:rPr>
  </w:style>
  <w:style w:type="character" w:customStyle="1" w:styleId="Heading3Char">
    <w:name w:val="Heading 3 Char"/>
    <w:basedOn w:val="DefaultParagraphFont"/>
    <w:link w:val="Heading3"/>
    <w:uiPriority w:val="9"/>
    <w:rsid w:val="00590718"/>
    <w:rPr>
      <w:rFonts w:asciiTheme="majorHAnsi" w:eastAsiaTheme="majorEastAsia" w:hAnsiTheme="majorHAnsi" w:cstheme="majorBidi"/>
      <w:color w:val="005677" w:themeColor="text2"/>
      <w:sz w:val="32"/>
      <w:szCs w:val="40"/>
    </w:rPr>
  </w:style>
  <w:style w:type="paragraph" w:styleId="ListParagraph">
    <w:name w:val="List Paragraph"/>
    <w:aliases w:val="L,List Paragraph1,List Paragraph11,Recommendation,bullet point list,Bulleted Para,CV text,Dot pt,F5 List Paragraph,FooterText,List Paragraph111,List Paragraph2,Medium Grid 1 - Accent 21,NFP GP Bulleted List,Numbered Paragraph,Table text"/>
    <w:basedOn w:val="Normal"/>
    <w:link w:val="ListParagraphChar"/>
    <w:uiPriority w:val="34"/>
    <w:qFormat/>
    <w:rsid w:val="00590718"/>
    <w:pPr>
      <w:ind w:left="720" w:hanging="360"/>
      <w:contextualSpacing/>
    </w:pPr>
  </w:style>
  <w:style w:type="character" w:customStyle="1" w:styleId="ListParagraphChar">
    <w:name w:val="List Paragraph Char"/>
    <w:aliases w:val="L Char,List Paragraph1 Char,List Paragraph11 Char,Recommendation Char,bullet point list Char,Bulleted Para Char,CV text Char,Dot pt Char,F5 List Paragraph Char,FooterText Char,List Paragraph111 Char,List Paragraph2 Char"/>
    <w:basedOn w:val="DefaultParagraphFont"/>
    <w:link w:val="ListParagraph"/>
    <w:uiPriority w:val="34"/>
    <w:locked/>
    <w:rsid w:val="000F380C"/>
  </w:style>
  <w:style w:type="paragraph" w:styleId="ListBullet2">
    <w:name w:val="List Bullet 2"/>
    <w:basedOn w:val="Normal"/>
    <w:link w:val="ListBullet2Char"/>
    <w:rsid w:val="00D76E06"/>
    <w:pPr>
      <w:numPr>
        <w:numId w:val="1"/>
      </w:numPr>
    </w:pPr>
  </w:style>
  <w:style w:type="character" w:customStyle="1" w:styleId="ListBullet2Char">
    <w:name w:val="List Bullet 2 Char"/>
    <w:link w:val="ListBullet2"/>
    <w:rsid w:val="00D76E06"/>
  </w:style>
  <w:style w:type="character" w:styleId="Hyperlink">
    <w:name w:val="Hyperlink"/>
    <w:basedOn w:val="DefaultParagraphFont"/>
    <w:uiPriority w:val="99"/>
    <w:unhideWhenUsed/>
    <w:rsid w:val="00590718"/>
    <w:rPr>
      <w:color w:val="0070AE" w:themeColor="hyperlink"/>
      <w:u w:val="single"/>
    </w:rPr>
  </w:style>
  <w:style w:type="paragraph" w:styleId="CommentSubject">
    <w:name w:val="annotation subject"/>
    <w:basedOn w:val="CommentText"/>
    <w:next w:val="CommentText"/>
    <w:link w:val="CommentSubjectChar"/>
    <w:uiPriority w:val="99"/>
    <w:semiHidden/>
    <w:unhideWhenUsed/>
    <w:rsid w:val="00B62607"/>
    <w:pPr>
      <w:spacing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B62607"/>
    <w:rPr>
      <w:rFonts w:ascii="Times New Roman" w:eastAsia="Times New Roman" w:hAnsi="Times New Roman" w:cs="Times New Roman"/>
      <w:b/>
      <w:bCs/>
      <w:sz w:val="20"/>
      <w:szCs w:val="20"/>
      <w:lang w:eastAsia="en-AU"/>
    </w:rPr>
  </w:style>
  <w:style w:type="paragraph" w:styleId="TOCHeading">
    <w:name w:val="TOC Heading"/>
    <w:basedOn w:val="Heading1"/>
    <w:next w:val="Normal"/>
    <w:uiPriority w:val="39"/>
    <w:unhideWhenUsed/>
    <w:qFormat/>
    <w:rsid w:val="00590718"/>
    <w:pPr>
      <w:spacing w:after="480"/>
      <w:outlineLvl w:val="9"/>
    </w:pPr>
    <w:rPr>
      <w:lang w:val="en-US"/>
    </w:rPr>
  </w:style>
  <w:style w:type="paragraph" w:styleId="TOC1">
    <w:name w:val="toc 1"/>
    <w:basedOn w:val="Normal"/>
    <w:next w:val="Normal"/>
    <w:autoRedefine/>
    <w:uiPriority w:val="39"/>
    <w:unhideWhenUsed/>
    <w:rsid w:val="00590718"/>
    <w:pPr>
      <w:tabs>
        <w:tab w:val="right" w:leader="dot" w:pos="9016"/>
      </w:tabs>
      <w:spacing w:after="100"/>
    </w:pPr>
  </w:style>
  <w:style w:type="paragraph" w:styleId="TOC2">
    <w:name w:val="toc 2"/>
    <w:basedOn w:val="Normal"/>
    <w:next w:val="Normal"/>
    <w:autoRedefine/>
    <w:uiPriority w:val="39"/>
    <w:unhideWhenUsed/>
    <w:rsid w:val="00590718"/>
    <w:pPr>
      <w:spacing w:after="100"/>
      <w:ind w:left="220"/>
    </w:pPr>
  </w:style>
  <w:style w:type="paragraph" w:styleId="TOC3">
    <w:name w:val="toc 3"/>
    <w:basedOn w:val="Normal"/>
    <w:next w:val="Normal"/>
    <w:autoRedefine/>
    <w:uiPriority w:val="39"/>
    <w:unhideWhenUsed/>
    <w:rsid w:val="00590718"/>
    <w:pPr>
      <w:spacing w:after="100"/>
      <w:ind w:left="440"/>
    </w:pPr>
  </w:style>
  <w:style w:type="character" w:customStyle="1" w:styleId="Heading4Char">
    <w:name w:val="Heading 4 Char"/>
    <w:basedOn w:val="DefaultParagraphFont"/>
    <w:link w:val="Heading4"/>
    <w:uiPriority w:val="9"/>
    <w:rsid w:val="00590718"/>
    <w:rPr>
      <w:rFonts w:asciiTheme="majorHAnsi" w:eastAsiaTheme="majorEastAsia" w:hAnsiTheme="majorHAnsi" w:cstheme="majorBidi"/>
      <w:iCs/>
      <w:color w:val="005677" w:themeColor="text2"/>
      <w:sz w:val="28"/>
      <w:szCs w:val="28"/>
    </w:rPr>
  </w:style>
  <w:style w:type="paragraph" w:customStyle="1" w:styleId="Default">
    <w:name w:val="Default"/>
    <w:rsid w:val="006F1E4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resultbodyblack1">
    <w:name w:val="resultbodyblack1"/>
    <w:basedOn w:val="DefaultParagraphFont"/>
    <w:rsid w:val="006F1E42"/>
    <w:rPr>
      <w:rFonts w:ascii="MS Reference Sans Serif" w:hAnsi="MS Reference Sans Serif" w:hint="default"/>
      <w:b/>
      <w:bCs/>
      <w:color w:val="000000"/>
      <w:sz w:val="22"/>
      <w:szCs w:val="22"/>
    </w:rPr>
  </w:style>
  <w:style w:type="character" w:customStyle="1" w:styleId="Heading5Char">
    <w:name w:val="Heading 5 Char"/>
    <w:basedOn w:val="DefaultParagraphFont"/>
    <w:link w:val="Heading5"/>
    <w:uiPriority w:val="9"/>
    <w:rsid w:val="00590718"/>
    <w:rPr>
      <w:rFonts w:asciiTheme="majorHAnsi" w:eastAsiaTheme="majorEastAsia" w:hAnsiTheme="majorHAnsi" w:cstheme="majorBidi"/>
      <w:color w:val="005677" w:themeColor="text2"/>
      <w:sz w:val="26"/>
      <w:szCs w:val="26"/>
    </w:rPr>
  </w:style>
  <w:style w:type="paragraph" w:styleId="NoSpacing">
    <w:name w:val="No Spacing"/>
    <w:link w:val="NoSpacingChar"/>
    <w:uiPriority w:val="1"/>
    <w:qFormat/>
    <w:rsid w:val="0059071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90718"/>
    <w:rPr>
      <w:rFonts w:eastAsiaTheme="minorEastAsia"/>
      <w:lang w:val="en-US"/>
    </w:rPr>
  </w:style>
  <w:style w:type="paragraph" w:styleId="Revision">
    <w:name w:val="Revision"/>
    <w:hidden/>
    <w:uiPriority w:val="99"/>
    <w:semiHidden/>
    <w:rsid w:val="00210667"/>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3078C1"/>
    <w:rPr>
      <w:color w:val="551A8B" w:themeColor="followedHyperlink"/>
      <w:u w:val="single"/>
    </w:rPr>
  </w:style>
  <w:style w:type="table" w:styleId="TableGrid">
    <w:name w:val="Table Grid"/>
    <w:basedOn w:val="TableNormal"/>
    <w:uiPriority w:val="39"/>
    <w:rsid w:val="00590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26C8"/>
    <w:pPr>
      <w:spacing w:after="100"/>
      <w:ind w:left="660"/>
    </w:pPr>
    <w:rPr>
      <w:rFonts w:eastAsiaTheme="minorEastAsia"/>
    </w:rPr>
  </w:style>
  <w:style w:type="paragraph" w:styleId="TOC5">
    <w:name w:val="toc 5"/>
    <w:basedOn w:val="Normal"/>
    <w:next w:val="Normal"/>
    <w:autoRedefine/>
    <w:uiPriority w:val="39"/>
    <w:unhideWhenUsed/>
    <w:rsid w:val="007C26C8"/>
    <w:pPr>
      <w:spacing w:after="100"/>
      <w:ind w:left="880"/>
    </w:pPr>
    <w:rPr>
      <w:rFonts w:eastAsiaTheme="minorEastAsia"/>
    </w:rPr>
  </w:style>
  <w:style w:type="paragraph" w:styleId="TOC6">
    <w:name w:val="toc 6"/>
    <w:basedOn w:val="Normal"/>
    <w:next w:val="Normal"/>
    <w:autoRedefine/>
    <w:uiPriority w:val="39"/>
    <w:unhideWhenUsed/>
    <w:rsid w:val="007C26C8"/>
    <w:pPr>
      <w:spacing w:after="100"/>
      <w:ind w:left="1100"/>
    </w:pPr>
    <w:rPr>
      <w:rFonts w:eastAsiaTheme="minorEastAsia"/>
    </w:rPr>
  </w:style>
  <w:style w:type="paragraph" w:styleId="TOC7">
    <w:name w:val="toc 7"/>
    <w:basedOn w:val="Normal"/>
    <w:next w:val="Normal"/>
    <w:autoRedefine/>
    <w:uiPriority w:val="39"/>
    <w:unhideWhenUsed/>
    <w:rsid w:val="007C26C8"/>
    <w:pPr>
      <w:spacing w:after="100"/>
      <w:ind w:left="1320"/>
    </w:pPr>
    <w:rPr>
      <w:rFonts w:eastAsiaTheme="minorEastAsia"/>
    </w:rPr>
  </w:style>
  <w:style w:type="paragraph" w:styleId="TOC8">
    <w:name w:val="toc 8"/>
    <w:basedOn w:val="Normal"/>
    <w:next w:val="Normal"/>
    <w:autoRedefine/>
    <w:uiPriority w:val="39"/>
    <w:unhideWhenUsed/>
    <w:rsid w:val="007C26C8"/>
    <w:pPr>
      <w:spacing w:after="100"/>
      <w:ind w:left="1540"/>
    </w:pPr>
    <w:rPr>
      <w:rFonts w:eastAsiaTheme="minorEastAsia"/>
    </w:rPr>
  </w:style>
  <w:style w:type="paragraph" w:styleId="TOC9">
    <w:name w:val="toc 9"/>
    <w:basedOn w:val="Normal"/>
    <w:next w:val="Normal"/>
    <w:autoRedefine/>
    <w:uiPriority w:val="39"/>
    <w:unhideWhenUsed/>
    <w:rsid w:val="007C26C8"/>
    <w:pPr>
      <w:spacing w:after="100"/>
      <w:ind w:left="1760"/>
    </w:pPr>
    <w:rPr>
      <w:rFonts w:eastAsiaTheme="minorEastAsia"/>
    </w:rPr>
  </w:style>
  <w:style w:type="paragraph" w:styleId="NormalWeb">
    <w:name w:val="Normal (Web)"/>
    <w:basedOn w:val="Normal"/>
    <w:uiPriority w:val="99"/>
    <w:unhideWhenUsed/>
    <w:rsid w:val="006B68D1"/>
    <w:pPr>
      <w:spacing w:before="100" w:beforeAutospacing="1" w:after="100" w:afterAutospacing="1" w:line="336" w:lineRule="atLeast"/>
    </w:pPr>
  </w:style>
  <w:style w:type="character" w:styleId="Emphasis">
    <w:name w:val="Emphasis"/>
    <w:basedOn w:val="DefaultParagraphFont"/>
    <w:uiPriority w:val="20"/>
    <w:qFormat/>
    <w:rsid w:val="00590718"/>
    <w:rPr>
      <w:i/>
      <w:iCs/>
    </w:rPr>
  </w:style>
  <w:style w:type="paragraph" w:styleId="Title">
    <w:name w:val="Title"/>
    <w:basedOn w:val="Normal"/>
    <w:next w:val="Normal"/>
    <w:link w:val="TitleChar"/>
    <w:uiPriority w:val="10"/>
    <w:qFormat/>
    <w:rsid w:val="00590718"/>
    <w:pPr>
      <w:pBdr>
        <w:bottom w:val="single" w:sz="8" w:space="1" w:color="005677" w:themeColor="text2"/>
      </w:pBdr>
      <w:spacing w:before="360" w:after="120" w:line="240" w:lineRule="auto"/>
      <w:contextualSpacing/>
      <w:outlineLvl w:val="0"/>
    </w:pPr>
    <w:rPr>
      <w:rFonts w:asciiTheme="majorHAnsi" w:eastAsiaTheme="majorEastAsia" w:hAnsiTheme="majorHAnsi" w:cstheme="majorBidi"/>
      <w:color w:val="005677" w:themeColor="text2"/>
      <w:spacing w:val="-10"/>
      <w:kern w:val="28"/>
      <w:sz w:val="56"/>
      <w:szCs w:val="72"/>
    </w:rPr>
  </w:style>
  <w:style w:type="character" w:customStyle="1" w:styleId="TitleChar">
    <w:name w:val="Title Char"/>
    <w:basedOn w:val="DefaultParagraphFont"/>
    <w:link w:val="Title"/>
    <w:uiPriority w:val="10"/>
    <w:rsid w:val="00590718"/>
    <w:rPr>
      <w:rFonts w:asciiTheme="majorHAnsi" w:eastAsiaTheme="majorEastAsia" w:hAnsiTheme="majorHAnsi" w:cstheme="majorBidi"/>
      <w:color w:val="005677" w:themeColor="text2"/>
      <w:spacing w:val="-10"/>
      <w:kern w:val="28"/>
      <w:sz w:val="56"/>
      <w:szCs w:val="72"/>
    </w:rPr>
  </w:style>
  <w:style w:type="paragraph" w:customStyle="1" w:styleId="Definition">
    <w:name w:val="Definition"/>
    <w:aliases w:val="dd"/>
    <w:basedOn w:val="Normal"/>
    <w:rsid w:val="005371DF"/>
    <w:pPr>
      <w:spacing w:before="180"/>
      <w:ind w:left="1134"/>
    </w:pPr>
    <w:rPr>
      <w:szCs w:val="20"/>
    </w:rPr>
  </w:style>
  <w:style w:type="paragraph" w:customStyle="1" w:styleId="notetext">
    <w:name w:val="note(text)"/>
    <w:aliases w:val="n"/>
    <w:basedOn w:val="Normal"/>
    <w:link w:val="notetextChar"/>
    <w:rsid w:val="005371DF"/>
    <w:pPr>
      <w:spacing w:before="122"/>
      <w:ind w:left="1985" w:hanging="851"/>
    </w:pPr>
    <w:rPr>
      <w:sz w:val="18"/>
      <w:szCs w:val="20"/>
    </w:rPr>
  </w:style>
  <w:style w:type="character" w:customStyle="1" w:styleId="notetextChar">
    <w:name w:val="note(text) Char"/>
    <w:aliases w:val="n Char"/>
    <w:basedOn w:val="DefaultParagraphFont"/>
    <w:link w:val="notetext"/>
    <w:rsid w:val="005371DF"/>
    <w:rPr>
      <w:rFonts w:ascii="Times New Roman" w:eastAsia="Times New Roman" w:hAnsi="Times New Roman" w:cs="Times New Roman"/>
      <w:sz w:val="18"/>
      <w:szCs w:val="20"/>
      <w:lang w:eastAsia="en-AU"/>
    </w:rPr>
  </w:style>
  <w:style w:type="paragraph" w:styleId="BodyText">
    <w:name w:val="Body Text"/>
    <w:basedOn w:val="Normal"/>
    <w:link w:val="BodyTextChar"/>
    <w:uiPriority w:val="1"/>
    <w:qFormat/>
    <w:rsid w:val="0055793E"/>
    <w:pPr>
      <w:spacing w:before="240" w:after="120"/>
    </w:pPr>
    <w:rPr>
      <w:rFonts w:ascii="Arial" w:hAnsi="Arial"/>
    </w:rPr>
  </w:style>
  <w:style w:type="character" w:customStyle="1" w:styleId="BodyTextChar">
    <w:name w:val="Body Text Char"/>
    <w:basedOn w:val="DefaultParagraphFont"/>
    <w:link w:val="BodyText"/>
    <w:uiPriority w:val="1"/>
    <w:rsid w:val="0055793E"/>
    <w:rPr>
      <w:rFonts w:ascii="Arial" w:eastAsia="Times New Roman" w:hAnsi="Arial" w:cs="Times New Roman"/>
      <w:sz w:val="24"/>
      <w:szCs w:val="24"/>
    </w:rPr>
  </w:style>
  <w:style w:type="paragraph" w:customStyle="1" w:styleId="Bolt">
    <w:name w:val="Bolt"/>
    <w:basedOn w:val="Normal"/>
    <w:link w:val="BoltChar"/>
    <w:autoRedefine/>
    <w:rsid w:val="00F22B37"/>
    <w:pPr>
      <w:autoSpaceDE w:val="0"/>
      <w:autoSpaceDN w:val="0"/>
      <w:adjustRightInd w:val="0"/>
      <w:spacing w:before="120" w:after="120"/>
      <w:jc w:val="center"/>
    </w:pPr>
    <w:rPr>
      <w:rFonts w:ascii="Arial" w:hAnsi="Arial"/>
      <w:b/>
    </w:rPr>
  </w:style>
  <w:style w:type="character" w:customStyle="1" w:styleId="BoltChar">
    <w:name w:val="Bolt Char"/>
    <w:basedOn w:val="DefaultParagraphFont"/>
    <w:link w:val="Bolt"/>
    <w:locked/>
    <w:rsid w:val="00F22B37"/>
    <w:rPr>
      <w:rFonts w:ascii="Arial" w:eastAsia="Times New Roman" w:hAnsi="Arial" w:cs="Times New Roman"/>
      <w:b/>
      <w:sz w:val="24"/>
      <w:szCs w:val="24"/>
    </w:rPr>
  </w:style>
  <w:style w:type="character" w:customStyle="1" w:styleId="UnresolvedMention1">
    <w:name w:val="Unresolved Mention1"/>
    <w:basedOn w:val="DefaultParagraphFont"/>
    <w:uiPriority w:val="99"/>
    <w:semiHidden/>
    <w:unhideWhenUsed/>
    <w:rsid w:val="004E1644"/>
    <w:rPr>
      <w:color w:val="605E5C"/>
      <w:shd w:val="clear" w:color="auto" w:fill="E1DFDD"/>
    </w:rPr>
  </w:style>
  <w:style w:type="paragraph" w:styleId="List2">
    <w:name w:val="List 2"/>
    <w:basedOn w:val="Normal"/>
    <w:rsid w:val="00037D6E"/>
    <w:pPr>
      <w:spacing w:after="120"/>
    </w:pPr>
  </w:style>
  <w:style w:type="paragraph" w:customStyle="1" w:styleId="subsection">
    <w:name w:val="subsection"/>
    <w:basedOn w:val="Normal"/>
    <w:rsid w:val="005300D5"/>
    <w:pPr>
      <w:spacing w:before="100" w:beforeAutospacing="1" w:after="100" w:afterAutospacing="1"/>
    </w:pPr>
  </w:style>
  <w:style w:type="paragraph" w:customStyle="1" w:styleId="paragraph">
    <w:name w:val="paragraph"/>
    <w:basedOn w:val="Normal"/>
    <w:rsid w:val="005300D5"/>
    <w:pPr>
      <w:spacing w:before="100" w:beforeAutospacing="1" w:after="100" w:afterAutospacing="1"/>
    </w:pPr>
  </w:style>
  <w:style w:type="paragraph" w:customStyle="1" w:styleId="notetext0">
    <w:name w:val="notetext"/>
    <w:basedOn w:val="Normal"/>
    <w:rsid w:val="00AC5F26"/>
    <w:pPr>
      <w:spacing w:before="100" w:beforeAutospacing="1" w:after="100" w:afterAutospacing="1"/>
    </w:pPr>
  </w:style>
  <w:style w:type="paragraph" w:customStyle="1" w:styleId="paragraphsub">
    <w:name w:val="paragraphsub"/>
    <w:basedOn w:val="Normal"/>
    <w:rsid w:val="00AC5F26"/>
    <w:pPr>
      <w:spacing w:before="100" w:beforeAutospacing="1" w:after="100" w:afterAutospacing="1"/>
    </w:pPr>
  </w:style>
  <w:style w:type="paragraph" w:customStyle="1" w:styleId="subsection2">
    <w:name w:val="subsection2"/>
    <w:basedOn w:val="Normal"/>
    <w:rsid w:val="00AC5F26"/>
    <w:pPr>
      <w:spacing w:before="100" w:beforeAutospacing="1" w:after="100" w:afterAutospacing="1"/>
    </w:pPr>
  </w:style>
  <w:style w:type="paragraph" w:customStyle="1" w:styleId="definition0">
    <w:name w:val="definition"/>
    <w:basedOn w:val="Normal"/>
    <w:rsid w:val="00D85471"/>
    <w:pPr>
      <w:spacing w:before="100" w:beforeAutospacing="1" w:after="100" w:afterAutospacing="1"/>
    </w:pPr>
  </w:style>
  <w:style w:type="paragraph" w:customStyle="1" w:styleId="acthead5">
    <w:name w:val="acthead5"/>
    <w:basedOn w:val="Normal"/>
    <w:rsid w:val="009F4674"/>
    <w:pPr>
      <w:spacing w:before="100" w:beforeAutospacing="1" w:after="100" w:afterAutospacing="1"/>
    </w:pPr>
  </w:style>
  <w:style w:type="character" w:customStyle="1" w:styleId="charsectno">
    <w:name w:val="charsectno"/>
    <w:basedOn w:val="DefaultParagraphFont"/>
    <w:rsid w:val="009F4674"/>
  </w:style>
  <w:style w:type="paragraph" w:styleId="Subtitle">
    <w:name w:val="Subtitle"/>
    <w:basedOn w:val="Normal"/>
    <w:next w:val="Normal"/>
    <w:link w:val="SubtitleChar"/>
    <w:uiPriority w:val="11"/>
    <w:qFormat/>
    <w:rsid w:val="00590718"/>
    <w:pPr>
      <w:numPr>
        <w:ilvl w:val="1"/>
      </w:numPr>
    </w:pPr>
    <w:rPr>
      <w:rFonts w:eastAsiaTheme="minorEastAsia"/>
      <w:color w:val="58595B" w:themeColor="background2"/>
      <w:sz w:val="32"/>
    </w:rPr>
  </w:style>
  <w:style w:type="character" w:customStyle="1" w:styleId="SubtitleChar">
    <w:name w:val="Subtitle Char"/>
    <w:basedOn w:val="DefaultParagraphFont"/>
    <w:link w:val="Subtitle"/>
    <w:uiPriority w:val="11"/>
    <w:rsid w:val="00590718"/>
    <w:rPr>
      <w:rFonts w:eastAsiaTheme="minorEastAsia"/>
      <w:color w:val="58595B" w:themeColor="background2"/>
      <w:sz w:val="32"/>
    </w:rPr>
  </w:style>
  <w:style w:type="paragraph" w:customStyle="1" w:styleId="Address">
    <w:name w:val="Address"/>
    <w:basedOn w:val="Subtitle"/>
    <w:qFormat/>
    <w:rsid w:val="00590718"/>
    <w:pPr>
      <w:spacing w:after="0"/>
    </w:pPr>
    <w:rPr>
      <w:sz w:val="24"/>
    </w:rPr>
  </w:style>
  <w:style w:type="paragraph" w:customStyle="1" w:styleId="Calloutbox">
    <w:name w:val="Call out box"/>
    <w:basedOn w:val="Normal"/>
    <w:qFormat/>
    <w:rsid w:val="00590718"/>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contextualSpacing/>
    </w:pPr>
  </w:style>
  <w:style w:type="paragraph" w:styleId="Caption">
    <w:name w:val="caption"/>
    <w:basedOn w:val="Normal"/>
    <w:next w:val="Normal"/>
    <w:uiPriority w:val="35"/>
    <w:unhideWhenUsed/>
    <w:qFormat/>
    <w:rsid w:val="00590718"/>
    <w:pPr>
      <w:spacing w:after="120" w:line="240" w:lineRule="auto"/>
    </w:pPr>
    <w:rPr>
      <w:i/>
      <w:iCs/>
      <w:color w:val="005677" w:themeColor="text2"/>
      <w:szCs w:val="18"/>
    </w:rPr>
  </w:style>
  <w:style w:type="table" w:styleId="GridTable1Light">
    <w:name w:val="Grid Table 1 Light"/>
    <w:basedOn w:val="TableNormal"/>
    <w:uiPriority w:val="46"/>
    <w:rsid w:val="005907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90718"/>
    <w:pPr>
      <w:spacing w:after="0" w:line="240" w:lineRule="auto"/>
    </w:pPr>
    <w:tblPr>
      <w:tblStyleRowBandSize w:val="1"/>
      <w:tblStyleColBandSize w:val="1"/>
      <w:tblBorders>
        <w:top w:val="single" w:sz="4" w:space="0" w:color="4BBFFF" w:themeColor="accent2" w:themeTint="66"/>
        <w:left w:val="single" w:sz="4" w:space="0" w:color="4BBFFF" w:themeColor="accent2" w:themeTint="66"/>
        <w:bottom w:val="single" w:sz="4" w:space="0" w:color="4BBFFF" w:themeColor="accent2" w:themeTint="66"/>
        <w:right w:val="single" w:sz="4" w:space="0" w:color="4BBFFF" w:themeColor="accent2" w:themeTint="66"/>
        <w:insideH w:val="single" w:sz="4" w:space="0" w:color="4BBFFF" w:themeColor="accent2" w:themeTint="66"/>
        <w:insideV w:val="single" w:sz="4" w:space="0" w:color="4BBFFF" w:themeColor="accent2" w:themeTint="66"/>
      </w:tblBorders>
    </w:tblPr>
    <w:tblStylePr w:type="firstRow">
      <w:rPr>
        <w:b/>
        <w:bCs/>
      </w:rPr>
      <w:tblPr/>
      <w:tcPr>
        <w:tcBorders>
          <w:bottom w:val="single" w:sz="12" w:space="0" w:color="009AF1" w:themeColor="accent2" w:themeTint="99"/>
        </w:tcBorders>
      </w:tcPr>
    </w:tblStylePr>
    <w:tblStylePr w:type="lastRow">
      <w:rPr>
        <w:b/>
        <w:bCs/>
      </w:rPr>
      <w:tblPr/>
      <w:tcPr>
        <w:tcBorders>
          <w:top w:val="double" w:sz="2" w:space="0" w:color="009AF1"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90718"/>
    <w:pPr>
      <w:spacing w:after="0" w:line="240" w:lineRule="auto"/>
    </w:pPr>
    <w:tblPr>
      <w:tblStyleRowBandSize w:val="1"/>
      <w:tblStyleColBandSize w:val="1"/>
      <w:tblBorders>
        <w:top w:val="single" w:sz="4" w:space="0" w:color="BEBFC1" w:themeColor="accent1" w:themeTint="99"/>
        <w:left w:val="single" w:sz="4" w:space="0" w:color="BEBFC1" w:themeColor="accent1" w:themeTint="99"/>
        <w:bottom w:val="single" w:sz="4" w:space="0" w:color="BEBFC1" w:themeColor="accent1" w:themeTint="99"/>
        <w:right w:val="single" w:sz="4" w:space="0" w:color="BEBFC1" w:themeColor="accent1" w:themeTint="99"/>
        <w:insideH w:val="single" w:sz="4" w:space="0" w:color="BEBFC1" w:themeColor="accent1" w:themeTint="99"/>
        <w:insideV w:val="single" w:sz="4" w:space="0" w:color="BEBFC1" w:themeColor="accent1" w:themeTint="99"/>
      </w:tblBorders>
    </w:tblPr>
    <w:tblStylePr w:type="firstRow">
      <w:rPr>
        <w:b/>
        <w:bCs/>
        <w:color w:val="FFFFFF" w:themeColor="background1"/>
      </w:rPr>
      <w:tblPr/>
      <w:tcPr>
        <w:tcBorders>
          <w:top w:val="single" w:sz="4" w:space="0" w:color="939598" w:themeColor="accent1"/>
          <w:left w:val="single" w:sz="4" w:space="0" w:color="939598" w:themeColor="accent1"/>
          <w:bottom w:val="single" w:sz="4" w:space="0" w:color="939598" w:themeColor="accent1"/>
          <w:right w:val="single" w:sz="4" w:space="0" w:color="939598" w:themeColor="accent1"/>
          <w:insideH w:val="nil"/>
          <w:insideV w:val="nil"/>
        </w:tcBorders>
        <w:shd w:val="clear" w:color="auto" w:fill="939598" w:themeFill="accent1"/>
      </w:tcPr>
    </w:tblStylePr>
    <w:tblStylePr w:type="lastRow">
      <w:rPr>
        <w:b/>
        <w:bCs/>
      </w:rPr>
      <w:tblPr/>
      <w:tcPr>
        <w:tcBorders>
          <w:top w:val="double" w:sz="4" w:space="0" w:color="939598" w:themeColor="accent1"/>
        </w:tcBorders>
      </w:tcPr>
    </w:tblStylePr>
    <w:tblStylePr w:type="firstCol">
      <w:rPr>
        <w:b/>
        <w:bCs/>
      </w:rPr>
    </w:tblStylePr>
    <w:tblStylePr w:type="lastCol">
      <w:rPr>
        <w:b/>
        <w:bCs/>
      </w:rPr>
    </w:tblStylePr>
    <w:tblStylePr w:type="band1Vert">
      <w:tblPr/>
      <w:tcPr>
        <w:shd w:val="clear" w:color="auto" w:fill="E9E9EA" w:themeFill="accent1" w:themeFillTint="33"/>
      </w:tcPr>
    </w:tblStylePr>
    <w:tblStylePr w:type="band1Horz">
      <w:tblPr/>
      <w:tcPr>
        <w:shd w:val="clear" w:color="auto" w:fill="E9E9EA" w:themeFill="accent1" w:themeFillTint="33"/>
      </w:tcPr>
    </w:tblStylePr>
  </w:style>
  <w:style w:type="table" w:styleId="GridTable4-Accent2">
    <w:name w:val="Grid Table 4 Accent 2"/>
    <w:basedOn w:val="TableNormal"/>
    <w:uiPriority w:val="49"/>
    <w:rsid w:val="00590718"/>
    <w:pPr>
      <w:spacing w:after="0" w:line="240" w:lineRule="auto"/>
    </w:pPr>
    <w:tblPr>
      <w:tblStyleRowBandSize w:val="1"/>
      <w:tblStyleColBandSize w:val="1"/>
      <w:tblBorders>
        <w:top w:val="single" w:sz="4" w:space="0" w:color="009AF1" w:themeColor="accent2" w:themeTint="99"/>
        <w:left w:val="single" w:sz="4" w:space="0" w:color="009AF1" w:themeColor="accent2" w:themeTint="99"/>
        <w:bottom w:val="single" w:sz="4" w:space="0" w:color="009AF1" w:themeColor="accent2" w:themeTint="99"/>
        <w:right w:val="single" w:sz="4" w:space="0" w:color="009AF1" w:themeColor="accent2" w:themeTint="99"/>
        <w:insideH w:val="single" w:sz="4" w:space="0" w:color="009AF1" w:themeColor="accent2" w:themeTint="99"/>
        <w:insideV w:val="single" w:sz="4" w:space="0" w:color="009AF1" w:themeColor="accent2" w:themeTint="99"/>
      </w:tblBorders>
    </w:tblPr>
    <w:tblStylePr w:type="firstRow">
      <w:rPr>
        <w:b/>
        <w:bCs/>
        <w:color w:val="FFFFFF" w:themeColor="background1"/>
      </w:rPr>
      <w:tblPr/>
      <w:tcPr>
        <w:tcBorders>
          <w:top w:val="single" w:sz="4" w:space="0" w:color="00283E" w:themeColor="accent2"/>
          <w:left w:val="single" w:sz="4" w:space="0" w:color="00283E" w:themeColor="accent2"/>
          <w:bottom w:val="single" w:sz="4" w:space="0" w:color="00283E" w:themeColor="accent2"/>
          <w:right w:val="single" w:sz="4" w:space="0" w:color="00283E" w:themeColor="accent2"/>
          <w:insideH w:val="nil"/>
          <w:insideV w:val="nil"/>
        </w:tcBorders>
        <w:shd w:val="clear" w:color="auto" w:fill="00283E" w:themeFill="accent2"/>
      </w:tcPr>
    </w:tblStylePr>
    <w:tblStylePr w:type="lastRow">
      <w:rPr>
        <w:b/>
        <w:bCs/>
      </w:rPr>
      <w:tblPr/>
      <w:tcPr>
        <w:tcBorders>
          <w:top w:val="double" w:sz="4" w:space="0" w:color="00283E" w:themeColor="accent2"/>
        </w:tcBorders>
      </w:tcPr>
    </w:tblStylePr>
    <w:tblStylePr w:type="firstCol">
      <w:rPr>
        <w:b/>
        <w:bCs/>
      </w:rPr>
    </w:tblStylePr>
    <w:tblStylePr w:type="lastCol">
      <w:rPr>
        <w:b/>
        <w:bCs/>
      </w:rPr>
    </w:tblStylePr>
    <w:tblStylePr w:type="band1Vert">
      <w:tblPr/>
      <w:tcPr>
        <w:shd w:val="clear" w:color="auto" w:fill="A5DFFF" w:themeFill="accent2" w:themeFillTint="33"/>
      </w:tcPr>
    </w:tblStylePr>
    <w:tblStylePr w:type="band1Horz">
      <w:tblPr/>
      <w:tcPr>
        <w:shd w:val="clear" w:color="auto" w:fill="A5DFFF" w:themeFill="accent2" w:themeFillTint="33"/>
      </w:tcPr>
    </w:tblStylePr>
  </w:style>
  <w:style w:type="table" w:styleId="GridTable4-Accent3">
    <w:name w:val="Grid Table 4 Accent 3"/>
    <w:basedOn w:val="TableNormal"/>
    <w:uiPriority w:val="49"/>
    <w:rsid w:val="00590718"/>
    <w:pPr>
      <w:spacing w:after="0" w:line="240" w:lineRule="auto"/>
    </w:pPr>
    <w:tblPr>
      <w:tblStyleRowBandSize w:val="1"/>
      <w:tblStyleColBandSize w:val="1"/>
      <w:tblBorders>
        <w:top w:val="single" w:sz="4" w:space="0" w:color="55E0DA" w:themeColor="accent3" w:themeTint="99"/>
        <w:left w:val="single" w:sz="4" w:space="0" w:color="55E0DA" w:themeColor="accent3" w:themeTint="99"/>
        <w:bottom w:val="single" w:sz="4" w:space="0" w:color="55E0DA" w:themeColor="accent3" w:themeTint="99"/>
        <w:right w:val="single" w:sz="4" w:space="0" w:color="55E0DA" w:themeColor="accent3" w:themeTint="99"/>
        <w:insideH w:val="single" w:sz="4" w:space="0" w:color="55E0DA" w:themeColor="accent3" w:themeTint="99"/>
        <w:insideV w:val="single" w:sz="4" w:space="0" w:color="55E0DA" w:themeColor="accent3" w:themeTint="99"/>
      </w:tblBorders>
    </w:tblPr>
    <w:tblStylePr w:type="firstRow">
      <w:rPr>
        <w:b/>
        <w:bCs/>
        <w:color w:val="FFFFFF" w:themeColor="background1"/>
      </w:rPr>
      <w:tblPr/>
      <w:tcPr>
        <w:tcBorders>
          <w:top w:val="single" w:sz="4" w:space="0" w:color="1B9590" w:themeColor="accent3"/>
          <w:left w:val="single" w:sz="4" w:space="0" w:color="1B9590" w:themeColor="accent3"/>
          <w:bottom w:val="single" w:sz="4" w:space="0" w:color="1B9590" w:themeColor="accent3"/>
          <w:right w:val="single" w:sz="4" w:space="0" w:color="1B9590" w:themeColor="accent3"/>
          <w:insideH w:val="nil"/>
          <w:insideV w:val="nil"/>
        </w:tcBorders>
        <w:shd w:val="clear" w:color="auto" w:fill="1B9590" w:themeFill="accent3"/>
      </w:tcPr>
    </w:tblStylePr>
    <w:tblStylePr w:type="lastRow">
      <w:rPr>
        <w:b/>
        <w:bCs/>
      </w:rPr>
      <w:tblPr/>
      <w:tcPr>
        <w:tcBorders>
          <w:top w:val="double" w:sz="4" w:space="0" w:color="1B9590" w:themeColor="accent3"/>
        </w:tcBorders>
      </w:tcPr>
    </w:tblStylePr>
    <w:tblStylePr w:type="firstCol">
      <w:rPr>
        <w:b/>
        <w:bCs/>
      </w:rPr>
    </w:tblStylePr>
    <w:tblStylePr w:type="lastCol">
      <w:rPr>
        <w:b/>
        <w:bCs/>
      </w:rPr>
    </w:tblStylePr>
    <w:tblStylePr w:type="band1Vert">
      <w:tblPr/>
      <w:tcPr>
        <w:shd w:val="clear" w:color="auto" w:fill="C6F4F2" w:themeFill="accent3" w:themeFillTint="33"/>
      </w:tcPr>
    </w:tblStylePr>
    <w:tblStylePr w:type="band1Horz">
      <w:tblPr/>
      <w:tcPr>
        <w:shd w:val="clear" w:color="auto" w:fill="C6F4F2" w:themeFill="accent3" w:themeFillTint="33"/>
      </w:tcPr>
    </w:tblStylePr>
  </w:style>
  <w:style w:type="table" w:styleId="GridTable4-Accent4">
    <w:name w:val="Grid Table 4 Accent 4"/>
    <w:basedOn w:val="TableNormal"/>
    <w:uiPriority w:val="49"/>
    <w:rsid w:val="00590718"/>
    <w:pPr>
      <w:spacing w:after="0" w:line="240" w:lineRule="auto"/>
    </w:pPr>
    <w:tblPr>
      <w:tblStyleRowBandSize w:val="1"/>
      <w:tblStyleColBandSize w:val="1"/>
      <w:tblBorders>
        <w:top w:val="single" w:sz="4" w:space="0" w:color="A0DCDC" w:themeColor="accent4" w:themeTint="99"/>
        <w:left w:val="single" w:sz="4" w:space="0" w:color="A0DCDC" w:themeColor="accent4" w:themeTint="99"/>
        <w:bottom w:val="single" w:sz="4" w:space="0" w:color="A0DCDC" w:themeColor="accent4" w:themeTint="99"/>
        <w:right w:val="single" w:sz="4" w:space="0" w:color="A0DCDC" w:themeColor="accent4" w:themeTint="99"/>
        <w:insideH w:val="single" w:sz="4" w:space="0" w:color="A0DCDC" w:themeColor="accent4" w:themeTint="99"/>
        <w:insideV w:val="single" w:sz="4" w:space="0" w:color="A0DCDC" w:themeColor="accent4" w:themeTint="99"/>
      </w:tblBorders>
    </w:tblPr>
    <w:tblStylePr w:type="firstRow">
      <w:rPr>
        <w:b/>
        <w:bCs/>
        <w:color w:val="FFFFFF" w:themeColor="background1"/>
      </w:rPr>
      <w:tblPr/>
      <w:tcPr>
        <w:tcBorders>
          <w:top w:val="single" w:sz="4" w:space="0" w:color="61C6C6" w:themeColor="accent4"/>
          <w:left w:val="single" w:sz="4" w:space="0" w:color="61C6C6" w:themeColor="accent4"/>
          <w:bottom w:val="single" w:sz="4" w:space="0" w:color="61C6C6" w:themeColor="accent4"/>
          <w:right w:val="single" w:sz="4" w:space="0" w:color="61C6C6" w:themeColor="accent4"/>
          <w:insideH w:val="nil"/>
          <w:insideV w:val="nil"/>
        </w:tcBorders>
        <w:shd w:val="clear" w:color="auto" w:fill="61C6C6" w:themeFill="accent4"/>
      </w:tcPr>
    </w:tblStylePr>
    <w:tblStylePr w:type="lastRow">
      <w:rPr>
        <w:b/>
        <w:bCs/>
      </w:rPr>
      <w:tblPr/>
      <w:tcPr>
        <w:tcBorders>
          <w:top w:val="double" w:sz="4" w:space="0" w:color="61C6C6" w:themeColor="accent4"/>
        </w:tcBorders>
      </w:tcPr>
    </w:tblStylePr>
    <w:tblStylePr w:type="firstCol">
      <w:rPr>
        <w:b/>
        <w:bCs/>
      </w:rPr>
    </w:tblStylePr>
    <w:tblStylePr w:type="lastCol">
      <w:rPr>
        <w:b/>
        <w:bCs/>
      </w:rPr>
    </w:tblStylePr>
    <w:tblStylePr w:type="band1Vert">
      <w:tblPr/>
      <w:tcPr>
        <w:shd w:val="clear" w:color="auto" w:fill="DFF3F3" w:themeFill="accent4" w:themeFillTint="33"/>
      </w:tcPr>
    </w:tblStylePr>
    <w:tblStylePr w:type="band1Horz">
      <w:tblPr/>
      <w:tcPr>
        <w:shd w:val="clear" w:color="auto" w:fill="DFF3F3" w:themeFill="accent4" w:themeFillTint="33"/>
      </w:tcPr>
    </w:tblStylePr>
  </w:style>
  <w:style w:type="table" w:styleId="GridTable4-Accent5">
    <w:name w:val="Grid Table 4 Accent 5"/>
    <w:basedOn w:val="TableNormal"/>
    <w:uiPriority w:val="49"/>
    <w:rsid w:val="00590718"/>
    <w:pPr>
      <w:spacing w:after="0" w:line="240" w:lineRule="auto"/>
    </w:pPr>
    <w:tblPr>
      <w:tblStyleRowBandSize w:val="1"/>
      <w:tblStyleColBandSize w:val="1"/>
      <w:tblBorders>
        <w:top w:val="single" w:sz="4" w:space="0" w:color="C3E8EC" w:themeColor="accent5" w:themeTint="99"/>
        <w:left w:val="single" w:sz="4" w:space="0" w:color="C3E8EC" w:themeColor="accent5" w:themeTint="99"/>
        <w:bottom w:val="single" w:sz="4" w:space="0" w:color="C3E8EC" w:themeColor="accent5" w:themeTint="99"/>
        <w:right w:val="single" w:sz="4" w:space="0" w:color="C3E8EC" w:themeColor="accent5" w:themeTint="99"/>
        <w:insideH w:val="single" w:sz="4" w:space="0" w:color="C3E8EC" w:themeColor="accent5" w:themeTint="99"/>
        <w:insideV w:val="single" w:sz="4" w:space="0" w:color="C3E8EC" w:themeColor="accent5" w:themeTint="99"/>
      </w:tblBorders>
    </w:tblPr>
    <w:tblStylePr w:type="firstRow">
      <w:rPr>
        <w:b/>
        <w:bCs/>
        <w:color w:val="FFFFFF" w:themeColor="background1"/>
      </w:rPr>
      <w:tblPr/>
      <w:tcPr>
        <w:tcBorders>
          <w:top w:val="single" w:sz="4" w:space="0" w:color="9CD9E0" w:themeColor="accent5"/>
          <w:left w:val="single" w:sz="4" w:space="0" w:color="9CD9E0" w:themeColor="accent5"/>
          <w:bottom w:val="single" w:sz="4" w:space="0" w:color="9CD9E0" w:themeColor="accent5"/>
          <w:right w:val="single" w:sz="4" w:space="0" w:color="9CD9E0" w:themeColor="accent5"/>
          <w:insideH w:val="nil"/>
          <w:insideV w:val="nil"/>
        </w:tcBorders>
        <w:shd w:val="clear" w:color="auto" w:fill="9CD9E0" w:themeFill="accent5"/>
      </w:tcPr>
    </w:tblStylePr>
    <w:tblStylePr w:type="lastRow">
      <w:rPr>
        <w:b/>
        <w:bCs/>
      </w:rPr>
      <w:tblPr/>
      <w:tcPr>
        <w:tcBorders>
          <w:top w:val="double" w:sz="4" w:space="0" w:color="9CD9E0" w:themeColor="accent5"/>
        </w:tcBorders>
      </w:tcPr>
    </w:tblStylePr>
    <w:tblStylePr w:type="firstCol">
      <w:rPr>
        <w:b/>
        <w:bCs/>
      </w:rPr>
    </w:tblStylePr>
    <w:tblStylePr w:type="lastCol">
      <w:rPr>
        <w:b/>
        <w:bCs/>
      </w:rPr>
    </w:tblStylePr>
    <w:tblStylePr w:type="band1Vert">
      <w:tblPr/>
      <w:tcPr>
        <w:shd w:val="clear" w:color="auto" w:fill="EBF7F8" w:themeFill="accent5" w:themeFillTint="33"/>
      </w:tcPr>
    </w:tblStylePr>
    <w:tblStylePr w:type="band1Horz">
      <w:tblPr/>
      <w:tcPr>
        <w:shd w:val="clear" w:color="auto" w:fill="EBF7F8" w:themeFill="accent5" w:themeFillTint="33"/>
      </w:tcPr>
    </w:tblStylePr>
  </w:style>
  <w:style w:type="table" w:styleId="GridTable5Dark-Accent1">
    <w:name w:val="Grid Table 5 Dark Accent 1"/>
    <w:basedOn w:val="TableNormal"/>
    <w:uiPriority w:val="50"/>
    <w:rsid w:val="005907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1"/>
      </w:tcPr>
    </w:tblStylePr>
    <w:tblStylePr w:type="band1Vert">
      <w:tblPr/>
      <w:tcPr>
        <w:shd w:val="clear" w:color="auto" w:fill="D3D4D5" w:themeFill="accent1" w:themeFillTint="66"/>
      </w:tcPr>
    </w:tblStylePr>
    <w:tblStylePr w:type="band1Horz">
      <w:tblPr/>
      <w:tcPr>
        <w:shd w:val="clear" w:color="auto" w:fill="D3D4D5" w:themeFill="accent1" w:themeFillTint="66"/>
      </w:tcPr>
    </w:tblStylePr>
  </w:style>
  <w:style w:type="character" w:customStyle="1" w:styleId="Heading6Char">
    <w:name w:val="Heading 6 Char"/>
    <w:basedOn w:val="DefaultParagraphFont"/>
    <w:link w:val="Heading6"/>
    <w:uiPriority w:val="9"/>
    <w:rsid w:val="00590718"/>
    <w:rPr>
      <w:rFonts w:asciiTheme="majorHAnsi" w:eastAsiaTheme="majorEastAsia" w:hAnsiTheme="majorHAnsi" w:cstheme="majorBidi"/>
      <w:color w:val="005677" w:themeColor="text2"/>
      <w:sz w:val="26"/>
    </w:rPr>
  </w:style>
  <w:style w:type="paragraph" w:styleId="IntenseQuote">
    <w:name w:val="Intense Quote"/>
    <w:basedOn w:val="Normal"/>
    <w:next w:val="Normal"/>
    <w:link w:val="IntenseQuoteChar"/>
    <w:uiPriority w:val="30"/>
    <w:qFormat/>
    <w:rsid w:val="00590718"/>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spacing w:before="360" w:after="360"/>
      <w:ind w:left="864" w:right="864"/>
      <w:jc w:val="center"/>
    </w:pPr>
    <w:rPr>
      <w:i/>
      <w:iCs/>
    </w:rPr>
  </w:style>
  <w:style w:type="character" w:customStyle="1" w:styleId="IntenseQuoteChar">
    <w:name w:val="Intense Quote Char"/>
    <w:basedOn w:val="DefaultParagraphFont"/>
    <w:link w:val="IntenseQuote"/>
    <w:uiPriority w:val="30"/>
    <w:rsid w:val="00590718"/>
    <w:rPr>
      <w:i/>
      <w:iCs/>
      <w:shd w:val="clear" w:color="auto" w:fill="DFF3F3" w:themeFill="accent4" w:themeFillTint="33"/>
    </w:rPr>
  </w:style>
  <w:style w:type="table" w:styleId="ListTable3-Accent2">
    <w:name w:val="List Table 3 Accent 2"/>
    <w:basedOn w:val="TableNormal"/>
    <w:uiPriority w:val="48"/>
    <w:rsid w:val="00590718"/>
    <w:pPr>
      <w:spacing w:after="0" w:line="240" w:lineRule="auto"/>
    </w:pPr>
    <w:tblPr>
      <w:tblStyleRowBandSize w:val="1"/>
      <w:tblStyleColBandSize w:val="1"/>
      <w:tblBorders>
        <w:top w:val="single" w:sz="4" w:space="0" w:color="00283E" w:themeColor="accent2"/>
        <w:left w:val="single" w:sz="4" w:space="0" w:color="00283E" w:themeColor="accent2"/>
        <w:bottom w:val="single" w:sz="4" w:space="0" w:color="00283E" w:themeColor="accent2"/>
        <w:right w:val="single" w:sz="4" w:space="0" w:color="00283E" w:themeColor="accent2"/>
      </w:tblBorders>
    </w:tblPr>
    <w:tblStylePr w:type="firstRow">
      <w:rPr>
        <w:b/>
        <w:bCs/>
        <w:color w:val="FFFFFF" w:themeColor="background1"/>
      </w:rPr>
      <w:tblPr/>
      <w:tcPr>
        <w:shd w:val="clear" w:color="auto" w:fill="00283E" w:themeFill="accent2"/>
      </w:tcPr>
    </w:tblStylePr>
    <w:tblStylePr w:type="lastRow">
      <w:rPr>
        <w:b/>
        <w:bCs/>
      </w:rPr>
      <w:tblPr/>
      <w:tcPr>
        <w:tcBorders>
          <w:top w:val="double" w:sz="4" w:space="0" w:color="00283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3E" w:themeColor="accent2"/>
          <w:right w:val="single" w:sz="4" w:space="0" w:color="00283E" w:themeColor="accent2"/>
        </w:tcBorders>
      </w:tcPr>
    </w:tblStylePr>
    <w:tblStylePr w:type="band1Horz">
      <w:tblPr/>
      <w:tcPr>
        <w:tcBorders>
          <w:top w:val="single" w:sz="4" w:space="0" w:color="00283E" w:themeColor="accent2"/>
          <w:bottom w:val="single" w:sz="4" w:space="0" w:color="00283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themeColor="accent2"/>
          <w:left w:val="nil"/>
        </w:tcBorders>
      </w:tcPr>
    </w:tblStylePr>
    <w:tblStylePr w:type="swCell">
      <w:tblPr/>
      <w:tcPr>
        <w:tcBorders>
          <w:top w:val="double" w:sz="4" w:space="0" w:color="00283E" w:themeColor="accent2"/>
          <w:right w:val="nil"/>
        </w:tcBorders>
      </w:tcPr>
    </w:tblStylePr>
  </w:style>
  <w:style w:type="table" w:styleId="ListTable3-Accent3">
    <w:name w:val="List Table 3 Accent 3"/>
    <w:basedOn w:val="TableNormal"/>
    <w:uiPriority w:val="48"/>
    <w:rsid w:val="00590718"/>
    <w:pPr>
      <w:spacing w:after="0" w:line="240" w:lineRule="auto"/>
    </w:pPr>
    <w:tblPr>
      <w:tblStyleRowBandSize w:val="1"/>
      <w:tblStyleColBandSize w:val="1"/>
      <w:tblBorders>
        <w:top w:val="single" w:sz="4" w:space="0" w:color="1B9590" w:themeColor="accent3"/>
        <w:left w:val="single" w:sz="4" w:space="0" w:color="1B9590" w:themeColor="accent3"/>
        <w:bottom w:val="single" w:sz="4" w:space="0" w:color="1B9590" w:themeColor="accent3"/>
        <w:right w:val="single" w:sz="4" w:space="0" w:color="1B9590" w:themeColor="accent3"/>
      </w:tblBorders>
    </w:tblPr>
    <w:tblStylePr w:type="firstRow">
      <w:rPr>
        <w:b/>
        <w:bCs/>
        <w:color w:val="FFFFFF" w:themeColor="background1"/>
      </w:rPr>
      <w:tblPr/>
      <w:tcPr>
        <w:shd w:val="clear" w:color="auto" w:fill="1B9590" w:themeFill="accent3"/>
      </w:tcPr>
    </w:tblStylePr>
    <w:tblStylePr w:type="lastRow">
      <w:rPr>
        <w:b/>
        <w:bCs/>
      </w:rPr>
      <w:tblPr/>
      <w:tcPr>
        <w:tcBorders>
          <w:top w:val="double" w:sz="4" w:space="0" w:color="1B95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9590" w:themeColor="accent3"/>
          <w:right w:val="single" w:sz="4" w:space="0" w:color="1B9590" w:themeColor="accent3"/>
        </w:tcBorders>
      </w:tcPr>
    </w:tblStylePr>
    <w:tblStylePr w:type="band1Horz">
      <w:tblPr/>
      <w:tcPr>
        <w:tcBorders>
          <w:top w:val="single" w:sz="4" w:space="0" w:color="1B9590" w:themeColor="accent3"/>
          <w:bottom w:val="single" w:sz="4" w:space="0" w:color="1B95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themeColor="accent3"/>
          <w:left w:val="nil"/>
        </w:tcBorders>
      </w:tcPr>
    </w:tblStylePr>
    <w:tblStylePr w:type="swCell">
      <w:tblPr/>
      <w:tcPr>
        <w:tcBorders>
          <w:top w:val="double" w:sz="4" w:space="0" w:color="1B9590" w:themeColor="accent3"/>
          <w:right w:val="nil"/>
        </w:tcBorders>
      </w:tcPr>
    </w:tblStylePr>
  </w:style>
  <w:style w:type="character" w:styleId="PlaceholderText">
    <w:name w:val="Placeholder Text"/>
    <w:basedOn w:val="DefaultParagraphFont"/>
    <w:uiPriority w:val="99"/>
    <w:semiHidden/>
    <w:rsid w:val="00590718"/>
    <w:rPr>
      <w:color w:val="808080"/>
    </w:rPr>
  </w:style>
  <w:style w:type="table" w:styleId="PlainTable2">
    <w:name w:val="Plain Table 2"/>
    <w:basedOn w:val="TableNormal"/>
    <w:uiPriority w:val="42"/>
    <w:rsid w:val="005907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590718"/>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590718"/>
    <w:rPr>
      <w:i/>
      <w:iCs/>
      <w:color w:val="000000" w:themeColor="text1"/>
      <w:szCs w:val="24"/>
    </w:rPr>
  </w:style>
  <w:style w:type="character" w:styleId="Strong">
    <w:name w:val="Strong"/>
    <w:basedOn w:val="DefaultParagraphFont"/>
    <w:uiPriority w:val="22"/>
    <w:qFormat/>
    <w:rsid w:val="00590718"/>
    <w:rPr>
      <w:b/>
      <w:bCs/>
    </w:rPr>
  </w:style>
  <w:style w:type="paragraph" w:customStyle="1" w:styleId="Style1">
    <w:name w:val="Style1"/>
    <w:basedOn w:val="Normal"/>
    <w:link w:val="Style1Char"/>
    <w:qFormat/>
    <w:rsid w:val="00590718"/>
  </w:style>
  <w:style w:type="character" w:customStyle="1" w:styleId="Style1Char">
    <w:name w:val="Style1 Char"/>
    <w:basedOn w:val="DefaultParagraphFont"/>
    <w:link w:val="Style1"/>
    <w:rsid w:val="00590718"/>
  </w:style>
  <w:style w:type="character" w:customStyle="1" w:styleId="Hyperlink1">
    <w:name w:val="Hyperlink1"/>
    <w:basedOn w:val="DefaultParagraphFont"/>
    <w:uiPriority w:val="99"/>
    <w:unhideWhenUsed/>
    <w:rsid w:val="00A63D7D"/>
    <w:rPr>
      <w:color w:val="0070AE"/>
      <w:u w:val="single"/>
    </w:rPr>
  </w:style>
  <w:style w:type="paragraph" w:customStyle="1" w:styleId="ShortT">
    <w:name w:val="ShortT"/>
    <w:basedOn w:val="Normal"/>
    <w:next w:val="Normal"/>
    <w:qFormat/>
    <w:rsid w:val="00760EBB"/>
    <w:rPr>
      <w:b/>
      <w:sz w:val="40"/>
      <w:szCs w:val="20"/>
    </w:rPr>
  </w:style>
  <w:style w:type="numbering" w:customStyle="1" w:styleId="Style2">
    <w:name w:val="Style2"/>
    <w:uiPriority w:val="99"/>
    <w:rsid w:val="00AA3713"/>
    <w:pPr>
      <w:numPr>
        <w:numId w:val="7"/>
      </w:numPr>
    </w:pPr>
  </w:style>
  <w:style w:type="numbering" w:customStyle="1" w:styleId="Style3">
    <w:name w:val="Style3"/>
    <w:uiPriority w:val="99"/>
    <w:rsid w:val="007B601A"/>
    <w:pPr>
      <w:numPr>
        <w:numId w:val="8"/>
      </w:numPr>
    </w:pPr>
  </w:style>
  <w:style w:type="numbering" w:customStyle="1" w:styleId="Style4">
    <w:name w:val="Style4"/>
    <w:uiPriority w:val="99"/>
    <w:rsid w:val="007B601A"/>
    <w:pPr>
      <w:numPr>
        <w:numId w:val="9"/>
      </w:numPr>
    </w:pPr>
  </w:style>
  <w:style w:type="numbering" w:customStyle="1" w:styleId="Style5">
    <w:name w:val="Style5"/>
    <w:uiPriority w:val="99"/>
    <w:rsid w:val="00EA3585"/>
    <w:pPr>
      <w:numPr>
        <w:numId w:val="11"/>
      </w:numPr>
    </w:pPr>
  </w:style>
  <w:style w:type="numbering" w:customStyle="1" w:styleId="Style21">
    <w:name w:val="Style21"/>
    <w:uiPriority w:val="99"/>
    <w:rsid w:val="00EA3585"/>
    <w:pPr>
      <w:numPr>
        <w:numId w:val="12"/>
      </w:numPr>
    </w:pPr>
  </w:style>
  <w:style w:type="numbering" w:customStyle="1" w:styleId="Style6">
    <w:name w:val="Style6"/>
    <w:uiPriority w:val="99"/>
    <w:rsid w:val="00EA3585"/>
    <w:pPr>
      <w:numPr>
        <w:numId w:val="14"/>
      </w:numPr>
    </w:pPr>
  </w:style>
  <w:style w:type="numbering" w:customStyle="1" w:styleId="Style7">
    <w:name w:val="Style7"/>
    <w:uiPriority w:val="99"/>
    <w:rsid w:val="004265C3"/>
    <w:pPr>
      <w:numPr>
        <w:numId w:val="15"/>
      </w:numPr>
    </w:pPr>
  </w:style>
  <w:style w:type="numbering" w:customStyle="1" w:styleId="Style8">
    <w:name w:val="Style8"/>
    <w:uiPriority w:val="99"/>
    <w:rsid w:val="003139BA"/>
    <w:pPr>
      <w:numPr>
        <w:numId w:val="17"/>
      </w:numPr>
    </w:pPr>
  </w:style>
  <w:style w:type="numbering" w:customStyle="1" w:styleId="Style9">
    <w:name w:val="Style9"/>
    <w:uiPriority w:val="99"/>
    <w:rsid w:val="008A1D28"/>
    <w:pPr>
      <w:numPr>
        <w:numId w:val="27"/>
      </w:numPr>
    </w:pPr>
  </w:style>
  <w:style w:type="numbering" w:customStyle="1" w:styleId="Style10">
    <w:name w:val="Style10"/>
    <w:uiPriority w:val="99"/>
    <w:rsid w:val="008A1D28"/>
    <w:pPr>
      <w:numPr>
        <w:numId w:val="28"/>
      </w:numPr>
    </w:pPr>
  </w:style>
  <w:style w:type="numbering" w:customStyle="1" w:styleId="Style11">
    <w:name w:val="Style11"/>
    <w:uiPriority w:val="99"/>
    <w:rsid w:val="00572C6B"/>
    <w:pPr>
      <w:numPr>
        <w:numId w:val="31"/>
      </w:numPr>
    </w:pPr>
  </w:style>
  <w:style w:type="numbering" w:customStyle="1" w:styleId="Style12">
    <w:name w:val="Style12"/>
    <w:uiPriority w:val="99"/>
    <w:rsid w:val="00795EFD"/>
    <w:pPr>
      <w:numPr>
        <w:numId w:val="34"/>
      </w:numPr>
    </w:pPr>
  </w:style>
  <w:style w:type="numbering" w:customStyle="1" w:styleId="Style13">
    <w:name w:val="Style13"/>
    <w:uiPriority w:val="99"/>
    <w:rsid w:val="001E5261"/>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0024">
      <w:bodyDiv w:val="1"/>
      <w:marLeft w:val="0"/>
      <w:marRight w:val="0"/>
      <w:marTop w:val="0"/>
      <w:marBottom w:val="0"/>
      <w:divBdr>
        <w:top w:val="none" w:sz="0" w:space="0" w:color="auto"/>
        <w:left w:val="none" w:sz="0" w:space="0" w:color="auto"/>
        <w:bottom w:val="none" w:sz="0" w:space="0" w:color="auto"/>
        <w:right w:val="none" w:sz="0" w:space="0" w:color="auto"/>
      </w:divBdr>
    </w:div>
    <w:div w:id="51856507">
      <w:bodyDiv w:val="1"/>
      <w:marLeft w:val="0"/>
      <w:marRight w:val="0"/>
      <w:marTop w:val="0"/>
      <w:marBottom w:val="0"/>
      <w:divBdr>
        <w:top w:val="none" w:sz="0" w:space="0" w:color="auto"/>
        <w:left w:val="none" w:sz="0" w:space="0" w:color="auto"/>
        <w:bottom w:val="none" w:sz="0" w:space="0" w:color="auto"/>
        <w:right w:val="none" w:sz="0" w:space="0" w:color="auto"/>
      </w:divBdr>
    </w:div>
    <w:div w:id="198781290">
      <w:bodyDiv w:val="1"/>
      <w:marLeft w:val="0"/>
      <w:marRight w:val="0"/>
      <w:marTop w:val="0"/>
      <w:marBottom w:val="0"/>
      <w:divBdr>
        <w:top w:val="none" w:sz="0" w:space="0" w:color="auto"/>
        <w:left w:val="none" w:sz="0" w:space="0" w:color="auto"/>
        <w:bottom w:val="none" w:sz="0" w:space="0" w:color="auto"/>
        <w:right w:val="none" w:sz="0" w:space="0" w:color="auto"/>
      </w:divBdr>
    </w:div>
    <w:div w:id="244462492">
      <w:bodyDiv w:val="1"/>
      <w:marLeft w:val="0"/>
      <w:marRight w:val="0"/>
      <w:marTop w:val="0"/>
      <w:marBottom w:val="0"/>
      <w:divBdr>
        <w:top w:val="none" w:sz="0" w:space="0" w:color="auto"/>
        <w:left w:val="none" w:sz="0" w:space="0" w:color="auto"/>
        <w:bottom w:val="none" w:sz="0" w:space="0" w:color="auto"/>
        <w:right w:val="none" w:sz="0" w:space="0" w:color="auto"/>
      </w:divBdr>
    </w:div>
    <w:div w:id="253900236">
      <w:bodyDiv w:val="1"/>
      <w:marLeft w:val="0"/>
      <w:marRight w:val="0"/>
      <w:marTop w:val="0"/>
      <w:marBottom w:val="0"/>
      <w:divBdr>
        <w:top w:val="none" w:sz="0" w:space="0" w:color="auto"/>
        <w:left w:val="none" w:sz="0" w:space="0" w:color="auto"/>
        <w:bottom w:val="none" w:sz="0" w:space="0" w:color="auto"/>
        <w:right w:val="none" w:sz="0" w:space="0" w:color="auto"/>
      </w:divBdr>
    </w:div>
    <w:div w:id="269970549">
      <w:bodyDiv w:val="1"/>
      <w:marLeft w:val="0"/>
      <w:marRight w:val="0"/>
      <w:marTop w:val="0"/>
      <w:marBottom w:val="0"/>
      <w:divBdr>
        <w:top w:val="none" w:sz="0" w:space="0" w:color="auto"/>
        <w:left w:val="none" w:sz="0" w:space="0" w:color="auto"/>
        <w:bottom w:val="none" w:sz="0" w:space="0" w:color="auto"/>
        <w:right w:val="none" w:sz="0" w:space="0" w:color="auto"/>
      </w:divBdr>
    </w:div>
    <w:div w:id="319650813">
      <w:bodyDiv w:val="1"/>
      <w:marLeft w:val="0"/>
      <w:marRight w:val="0"/>
      <w:marTop w:val="0"/>
      <w:marBottom w:val="0"/>
      <w:divBdr>
        <w:top w:val="none" w:sz="0" w:space="0" w:color="auto"/>
        <w:left w:val="none" w:sz="0" w:space="0" w:color="auto"/>
        <w:bottom w:val="none" w:sz="0" w:space="0" w:color="auto"/>
        <w:right w:val="none" w:sz="0" w:space="0" w:color="auto"/>
      </w:divBdr>
    </w:div>
    <w:div w:id="513494920">
      <w:bodyDiv w:val="1"/>
      <w:marLeft w:val="0"/>
      <w:marRight w:val="0"/>
      <w:marTop w:val="0"/>
      <w:marBottom w:val="0"/>
      <w:divBdr>
        <w:top w:val="none" w:sz="0" w:space="0" w:color="auto"/>
        <w:left w:val="none" w:sz="0" w:space="0" w:color="auto"/>
        <w:bottom w:val="none" w:sz="0" w:space="0" w:color="auto"/>
        <w:right w:val="none" w:sz="0" w:space="0" w:color="auto"/>
      </w:divBdr>
    </w:div>
    <w:div w:id="589000933">
      <w:bodyDiv w:val="1"/>
      <w:marLeft w:val="0"/>
      <w:marRight w:val="0"/>
      <w:marTop w:val="0"/>
      <w:marBottom w:val="0"/>
      <w:divBdr>
        <w:top w:val="none" w:sz="0" w:space="0" w:color="auto"/>
        <w:left w:val="none" w:sz="0" w:space="0" w:color="auto"/>
        <w:bottom w:val="none" w:sz="0" w:space="0" w:color="auto"/>
        <w:right w:val="none" w:sz="0" w:space="0" w:color="auto"/>
      </w:divBdr>
    </w:div>
    <w:div w:id="643511553">
      <w:bodyDiv w:val="1"/>
      <w:marLeft w:val="0"/>
      <w:marRight w:val="0"/>
      <w:marTop w:val="0"/>
      <w:marBottom w:val="0"/>
      <w:divBdr>
        <w:top w:val="none" w:sz="0" w:space="0" w:color="auto"/>
        <w:left w:val="none" w:sz="0" w:space="0" w:color="auto"/>
        <w:bottom w:val="none" w:sz="0" w:space="0" w:color="auto"/>
        <w:right w:val="none" w:sz="0" w:space="0" w:color="auto"/>
      </w:divBdr>
    </w:div>
    <w:div w:id="661008937">
      <w:bodyDiv w:val="1"/>
      <w:marLeft w:val="0"/>
      <w:marRight w:val="0"/>
      <w:marTop w:val="0"/>
      <w:marBottom w:val="0"/>
      <w:divBdr>
        <w:top w:val="none" w:sz="0" w:space="0" w:color="auto"/>
        <w:left w:val="none" w:sz="0" w:space="0" w:color="auto"/>
        <w:bottom w:val="none" w:sz="0" w:space="0" w:color="auto"/>
        <w:right w:val="none" w:sz="0" w:space="0" w:color="auto"/>
      </w:divBdr>
    </w:div>
    <w:div w:id="749349840">
      <w:bodyDiv w:val="1"/>
      <w:marLeft w:val="0"/>
      <w:marRight w:val="0"/>
      <w:marTop w:val="0"/>
      <w:marBottom w:val="0"/>
      <w:divBdr>
        <w:top w:val="none" w:sz="0" w:space="0" w:color="auto"/>
        <w:left w:val="none" w:sz="0" w:space="0" w:color="auto"/>
        <w:bottom w:val="none" w:sz="0" w:space="0" w:color="auto"/>
        <w:right w:val="none" w:sz="0" w:space="0" w:color="auto"/>
      </w:divBdr>
    </w:div>
    <w:div w:id="897664943">
      <w:bodyDiv w:val="1"/>
      <w:marLeft w:val="0"/>
      <w:marRight w:val="0"/>
      <w:marTop w:val="0"/>
      <w:marBottom w:val="0"/>
      <w:divBdr>
        <w:top w:val="none" w:sz="0" w:space="0" w:color="auto"/>
        <w:left w:val="none" w:sz="0" w:space="0" w:color="auto"/>
        <w:bottom w:val="none" w:sz="0" w:space="0" w:color="auto"/>
        <w:right w:val="none" w:sz="0" w:space="0" w:color="auto"/>
      </w:divBdr>
    </w:div>
    <w:div w:id="902057822">
      <w:bodyDiv w:val="1"/>
      <w:marLeft w:val="0"/>
      <w:marRight w:val="0"/>
      <w:marTop w:val="0"/>
      <w:marBottom w:val="0"/>
      <w:divBdr>
        <w:top w:val="none" w:sz="0" w:space="0" w:color="auto"/>
        <w:left w:val="none" w:sz="0" w:space="0" w:color="auto"/>
        <w:bottom w:val="none" w:sz="0" w:space="0" w:color="auto"/>
        <w:right w:val="none" w:sz="0" w:space="0" w:color="auto"/>
      </w:divBdr>
      <w:divsChild>
        <w:div w:id="2044206497">
          <w:marLeft w:val="0"/>
          <w:marRight w:val="0"/>
          <w:marTop w:val="0"/>
          <w:marBottom w:val="0"/>
          <w:divBdr>
            <w:top w:val="none" w:sz="0" w:space="0" w:color="auto"/>
            <w:left w:val="none" w:sz="0" w:space="0" w:color="auto"/>
            <w:bottom w:val="none" w:sz="0" w:space="0" w:color="auto"/>
            <w:right w:val="none" w:sz="0" w:space="0" w:color="auto"/>
          </w:divBdr>
          <w:divsChild>
            <w:div w:id="1364748178">
              <w:marLeft w:val="0"/>
              <w:marRight w:val="0"/>
              <w:marTop w:val="0"/>
              <w:marBottom w:val="0"/>
              <w:divBdr>
                <w:top w:val="none" w:sz="0" w:space="0" w:color="auto"/>
                <w:left w:val="none" w:sz="0" w:space="0" w:color="auto"/>
                <w:bottom w:val="none" w:sz="0" w:space="0" w:color="auto"/>
                <w:right w:val="none" w:sz="0" w:space="0" w:color="auto"/>
              </w:divBdr>
              <w:divsChild>
                <w:div w:id="1043870749">
                  <w:marLeft w:val="0"/>
                  <w:marRight w:val="0"/>
                  <w:marTop w:val="0"/>
                  <w:marBottom w:val="0"/>
                  <w:divBdr>
                    <w:top w:val="none" w:sz="0" w:space="0" w:color="auto"/>
                    <w:left w:val="none" w:sz="0" w:space="0" w:color="auto"/>
                    <w:bottom w:val="none" w:sz="0" w:space="0" w:color="auto"/>
                    <w:right w:val="none" w:sz="0" w:space="0" w:color="auto"/>
                  </w:divBdr>
                  <w:divsChild>
                    <w:div w:id="1376812479">
                      <w:marLeft w:val="0"/>
                      <w:marRight w:val="0"/>
                      <w:marTop w:val="0"/>
                      <w:marBottom w:val="0"/>
                      <w:divBdr>
                        <w:top w:val="none" w:sz="0" w:space="0" w:color="auto"/>
                        <w:left w:val="none" w:sz="0" w:space="0" w:color="auto"/>
                        <w:bottom w:val="none" w:sz="0" w:space="0" w:color="auto"/>
                        <w:right w:val="none" w:sz="0" w:space="0" w:color="auto"/>
                      </w:divBdr>
                      <w:divsChild>
                        <w:div w:id="598029705">
                          <w:marLeft w:val="0"/>
                          <w:marRight w:val="0"/>
                          <w:marTop w:val="0"/>
                          <w:marBottom w:val="0"/>
                          <w:divBdr>
                            <w:top w:val="none" w:sz="0" w:space="0" w:color="auto"/>
                            <w:left w:val="none" w:sz="0" w:space="0" w:color="auto"/>
                            <w:bottom w:val="none" w:sz="0" w:space="0" w:color="auto"/>
                            <w:right w:val="none" w:sz="0" w:space="0" w:color="auto"/>
                          </w:divBdr>
                          <w:divsChild>
                            <w:div w:id="1867062979">
                              <w:marLeft w:val="0"/>
                              <w:marRight w:val="0"/>
                              <w:marTop w:val="2100"/>
                              <w:marBottom w:val="0"/>
                              <w:divBdr>
                                <w:top w:val="none" w:sz="0" w:space="0" w:color="auto"/>
                                <w:left w:val="none" w:sz="0" w:space="0" w:color="auto"/>
                                <w:bottom w:val="none" w:sz="0" w:space="0" w:color="auto"/>
                                <w:right w:val="none" w:sz="0" w:space="0" w:color="auto"/>
                              </w:divBdr>
                              <w:divsChild>
                                <w:div w:id="1412577737">
                                  <w:marLeft w:val="0"/>
                                  <w:marRight w:val="0"/>
                                  <w:marTop w:val="0"/>
                                  <w:marBottom w:val="0"/>
                                  <w:divBdr>
                                    <w:top w:val="none" w:sz="0" w:space="0" w:color="auto"/>
                                    <w:left w:val="none" w:sz="0" w:space="0" w:color="auto"/>
                                    <w:bottom w:val="none" w:sz="0" w:space="0" w:color="auto"/>
                                    <w:right w:val="none" w:sz="0" w:space="0" w:color="auto"/>
                                  </w:divBdr>
                                  <w:divsChild>
                                    <w:div w:id="1608736370">
                                      <w:marLeft w:val="0"/>
                                      <w:marRight w:val="0"/>
                                      <w:marTop w:val="0"/>
                                      <w:marBottom w:val="0"/>
                                      <w:divBdr>
                                        <w:top w:val="none" w:sz="0" w:space="0" w:color="auto"/>
                                        <w:left w:val="none" w:sz="0" w:space="0" w:color="auto"/>
                                        <w:bottom w:val="none" w:sz="0" w:space="0" w:color="auto"/>
                                        <w:right w:val="none" w:sz="0" w:space="0" w:color="auto"/>
                                      </w:divBdr>
                                      <w:divsChild>
                                        <w:div w:id="275719883">
                                          <w:marLeft w:val="0"/>
                                          <w:marRight w:val="0"/>
                                          <w:marTop w:val="0"/>
                                          <w:marBottom w:val="0"/>
                                          <w:divBdr>
                                            <w:top w:val="none" w:sz="0" w:space="0" w:color="auto"/>
                                            <w:left w:val="none" w:sz="0" w:space="0" w:color="auto"/>
                                            <w:bottom w:val="none" w:sz="0" w:space="0" w:color="auto"/>
                                            <w:right w:val="none" w:sz="0" w:space="0" w:color="auto"/>
                                          </w:divBdr>
                                          <w:divsChild>
                                            <w:div w:id="15142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073947">
      <w:bodyDiv w:val="1"/>
      <w:marLeft w:val="0"/>
      <w:marRight w:val="0"/>
      <w:marTop w:val="0"/>
      <w:marBottom w:val="0"/>
      <w:divBdr>
        <w:top w:val="none" w:sz="0" w:space="0" w:color="auto"/>
        <w:left w:val="none" w:sz="0" w:space="0" w:color="auto"/>
        <w:bottom w:val="none" w:sz="0" w:space="0" w:color="auto"/>
        <w:right w:val="none" w:sz="0" w:space="0" w:color="auto"/>
      </w:divBdr>
    </w:div>
    <w:div w:id="963467175">
      <w:bodyDiv w:val="1"/>
      <w:marLeft w:val="0"/>
      <w:marRight w:val="0"/>
      <w:marTop w:val="0"/>
      <w:marBottom w:val="0"/>
      <w:divBdr>
        <w:top w:val="none" w:sz="0" w:space="0" w:color="auto"/>
        <w:left w:val="none" w:sz="0" w:space="0" w:color="auto"/>
        <w:bottom w:val="none" w:sz="0" w:space="0" w:color="auto"/>
        <w:right w:val="none" w:sz="0" w:space="0" w:color="auto"/>
      </w:divBdr>
    </w:div>
    <w:div w:id="1150946721">
      <w:bodyDiv w:val="1"/>
      <w:marLeft w:val="0"/>
      <w:marRight w:val="0"/>
      <w:marTop w:val="0"/>
      <w:marBottom w:val="0"/>
      <w:divBdr>
        <w:top w:val="none" w:sz="0" w:space="0" w:color="auto"/>
        <w:left w:val="none" w:sz="0" w:space="0" w:color="auto"/>
        <w:bottom w:val="none" w:sz="0" w:space="0" w:color="auto"/>
        <w:right w:val="none" w:sz="0" w:space="0" w:color="auto"/>
      </w:divBdr>
    </w:div>
    <w:div w:id="1346590512">
      <w:bodyDiv w:val="1"/>
      <w:marLeft w:val="0"/>
      <w:marRight w:val="0"/>
      <w:marTop w:val="0"/>
      <w:marBottom w:val="0"/>
      <w:divBdr>
        <w:top w:val="none" w:sz="0" w:space="0" w:color="auto"/>
        <w:left w:val="none" w:sz="0" w:space="0" w:color="auto"/>
        <w:bottom w:val="none" w:sz="0" w:space="0" w:color="auto"/>
        <w:right w:val="none" w:sz="0" w:space="0" w:color="auto"/>
      </w:divBdr>
    </w:div>
    <w:div w:id="1425803149">
      <w:bodyDiv w:val="1"/>
      <w:marLeft w:val="0"/>
      <w:marRight w:val="0"/>
      <w:marTop w:val="0"/>
      <w:marBottom w:val="0"/>
      <w:divBdr>
        <w:top w:val="none" w:sz="0" w:space="0" w:color="auto"/>
        <w:left w:val="none" w:sz="0" w:space="0" w:color="auto"/>
        <w:bottom w:val="none" w:sz="0" w:space="0" w:color="auto"/>
        <w:right w:val="none" w:sz="0" w:space="0" w:color="auto"/>
      </w:divBdr>
    </w:div>
    <w:div w:id="1437864017">
      <w:bodyDiv w:val="1"/>
      <w:marLeft w:val="0"/>
      <w:marRight w:val="0"/>
      <w:marTop w:val="0"/>
      <w:marBottom w:val="0"/>
      <w:divBdr>
        <w:top w:val="none" w:sz="0" w:space="0" w:color="auto"/>
        <w:left w:val="none" w:sz="0" w:space="0" w:color="auto"/>
        <w:bottom w:val="none" w:sz="0" w:space="0" w:color="auto"/>
        <w:right w:val="none" w:sz="0" w:space="0" w:color="auto"/>
      </w:divBdr>
    </w:div>
    <w:div w:id="1466660643">
      <w:bodyDiv w:val="1"/>
      <w:marLeft w:val="0"/>
      <w:marRight w:val="0"/>
      <w:marTop w:val="0"/>
      <w:marBottom w:val="0"/>
      <w:divBdr>
        <w:top w:val="none" w:sz="0" w:space="0" w:color="auto"/>
        <w:left w:val="none" w:sz="0" w:space="0" w:color="auto"/>
        <w:bottom w:val="none" w:sz="0" w:space="0" w:color="auto"/>
        <w:right w:val="none" w:sz="0" w:space="0" w:color="auto"/>
      </w:divBdr>
    </w:div>
    <w:div w:id="1496531553">
      <w:bodyDiv w:val="1"/>
      <w:marLeft w:val="0"/>
      <w:marRight w:val="0"/>
      <w:marTop w:val="0"/>
      <w:marBottom w:val="0"/>
      <w:divBdr>
        <w:top w:val="none" w:sz="0" w:space="0" w:color="auto"/>
        <w:left w:val="none" w:sz="0" w:space="0" w:color="auto"/>
        <w:bottom w:val="none" w:sz="0" w:space="0" w:color="auto"/>
        <w:right w:val="none" w:sz="0" w:space="0" w:color="auto"/>
      </w:divBdr>
    </w:div>
    <w:div w:id="1542086159">
      <w:bodyDiv w:val="1"/>
      <w:marLeft w:val="0"/>
      <w:marRight w:val="0"/>
      <w:marTop w:val="0"/>
      <w:marBottom w:val="0"/>
      <w:divBdr>
        <w:top w:val="none" w:sz="0" w:space="0" w:color="auto"/>
        <w:left w:val="none" w:sz="0" w:space="0" w:color="auto"/>
        <w:bottom w:val="none" w:sz="0" w:space="0" w:color="auto"/>
        <w:right w:val="none" w:sz="0" w:space="0" w:color="auto"/>
      </w:divBdr>
    </w:div>
    <w:div w:id="1573198925">
      <w:bodyDiv w:val="1"/>
      <w:marLeft w:val="0"/>
      <w:marRight w:val="0"/>
      <w:marTop w:val="0"/>
      <w:marBottom w:val="0"/>
      <w:divBdr>
        <w:top w:val="none" w:sz="0" w:space="0" w:color="auto"/>
        <w:left w:val="none" w:sz="0" w:space="0" w:color="auto"/>
        <w:bottom w:val="none" w:sz="0" w:space="0" w:color="auto"/>
        <w:right w:val="none" w:sz="0" w:space="0" w:color="auto"/>
      </w:divBdr>
    </w:div>
    <w:div w:id="1597397605">
      <w:bodyDiv w:val="1"/>
      <w:marLeft w:val="0"/>
      <w:marRight w:val="0"/>
      <w:marTop w:val="0"/>
      <w:marBottom w:val="0"/>
      <w:divBdr>
        <w:top w:val="none" w:sz="0" w:space="0" w:color="auto"/>
        <w:left w:val="none" w:sz="0" w:space="0" w:color="auto"/>
        <w:bottom w:val="none" w:sz="0" w:space="0" w:color="auto"/>
        <w:right w:val="none" w:sz="0" w:space="0" w:color="auto"/>
      </w:divBdr>
    </w:div>
    <w:div w:id="1782215649">
      <w:bodyDiv w:val="1"/>
      <w:marLeft w:val="0"/>
      <w:marRight w:val="0"/>
      <w:marTop w:val="0"/>
      <w:marBottom w:val="0"/>
      <w:divBdr>
        <w:top w:val="none" w:sz="0" w:space="0" w:color="auto"/>
        <w:left w:val="none" w:sz="0" w:space="0" w:color="auto"/>
        <w:bottom w:val="none" w:sz="0" w:space="0" w:color="auto"/>
        <w:right w:val="none" w:sz="0" w:space="0" w:color="auto"/>
      </w:divBdr>
    </w:div>
    <w:div w:id="1879245527">
      <w:bodyDiv w:val="1"/>
      <w:marLeft w:val="0"/>
      <w:marRight w:val="0"/>
      <w:marTop w:val="0"/>
      <w:marBottom w:val="0"/>
      <w:divBdr>
        <w:top w:val="none" w:sz="0" w:space="0" w:color="auto"/>
        <w:left w:val="none" w:sz="0" w:space="0" w:color="auto"/>
        <w:bottom w:val="none" w:sz="0" w:space="0" w:color="auto"/>
        <w:right w:val="none" w:sz="0" w:space="0" w:color="auto"/>
      </w:divBdr>
    </w:div>
    <w:div w:id="1901164252">
      <w:bodyDiv w:val="1"/>
      <w:marLeft w:val="0"/>
      <w:marRight w:val="0"/>
      <w:marTop w:val="0"/>
      <w:marBottom w:val="0"/>
      <w:divBdr>
        <w:top w:val="none" w:sz="0" w:space="0" w:color="auto"/>
        <w:left w:val="none" w:sz="0" w:space="0" w:color="auto"/>
        <w:bottom w:val="none" w:sz="0" w:space="0" w:color="auto"/>
        <w:right w:val="none" w:sz="0" w:space="0" w:color="auto"/>
      </w:divBdr>
    </w:div>
    <w:div w:id="1943758196">
      <w:bodyDiv w:val="1"/>
      <w:marLeft w:val="0"/>
      <w:marRight w:val="0"/>
      <w:marTop w:val="0"/>
      <w:marBottom w:val="0"/>
      <w:divBdr>
        <w:top w:val="none" w:sz="0" w:space="0" w:color="auto"/>
        <w:left w:val="none" w:sz="0" w:space="0" w:color="auto"/>
        <w:bottom w:val="none" w:sz="0" w:space="0" w:color="auto"/>
        <w:right w:val="none" w:sz="0" w:space="0" w:color="auto"/>
      </w:divBdr>
    </w:div>
    <w:div w:id="1993244136">
      <w:bodyDiv w:val="1"/>
      <w:marLeft w:val="0"/>
      <w:marRight w:val="0"/>
      <w:marTop w:val="0"/>
      <w:marBottom w:val="0"/>
      <w:divBdr>
        <w:top w:val="none" w:sz="0" w:space="0" w:color="auto"/>
        <w:left w:val="none" w:sz="0" w:space="0" w:color="auto"/>
        <w:bottom w:val="none" w:sz="0" w:space="0" w:color="auto"/>
        <w:right w:val="none" w:sz="0" w:space="0" w:color="auto"/>
      </w:divBdr>
    </w:div>
    <w:div w:id="20222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dustry.gov.au/Pages/default.aspx" TargetMode="External"/><Relationship Id="rId18" Type="http://schemas.openxmlformats.org/officeDocument/2006/relationships/hyperlink" Target="https://www.nopsema.gov.au/sites/default/files/documents/2021-07/A720369.pdf" TargetMode="External"/><Relationship Id="rId26" Type="http://schemas.openxmlformats.org/officeDocument/2006/relationships/hyperlink" Target="https://www.nopsema.gov.au/offshore-industry/environmental-management/assessment-process" TargetMode="External"/><Relationship Id="rId39" Type="http://schemas.openxmlformats.org/officeDocument/2006/relationships/hyperlink" Target="https://www.environment.gov.au/epbc/environment-assessment-and-approvals" TargetMode="External"/><Relationship Id="rId21" Type="http://schemas.openxmlformats.org/officeDocument/2006/relationships/hyperlink" Target="https://www.legislation.gov.au/Series/F1999B00221" TargetMode="External"/><Relationship Id="rId34" Type="http://schemas.openxmlformats.org/officeDocument/2006/relationships/hyperlink" Target="https://www.nopta.gov.au/joint-authorities.html" TargetMode="External"/><Relationship Id="rId42" Type="http://schemas.openxmlformats.org/officeDocument/2006/relationships/hyperlink" Target="https://www.environment.gov.au/protection/hazardous-waste" TargetMode="External"/><Relationship Id="rId47" Type="http://schemas.openxmlformats.org/officeDocument/2006/relationships/hyperlink" Target="http://www.environment.gov.au/topics/environment-protection/nwp/reporting/policies-and-governance" TargetMode="External"/><Relationship Id="rId50" Type="http://schemas.openxmlformats.org/officeDocument/2006/relationships/hyperlink" Target="http://www.environment.gov.au/system/files/resources/0a517ed7-74cb-418b-9319-7624491e4921/files/factsheet-waste-profile-nt.pdf" TargetMode="External"/><Relationship Id="rId55" Type="http://schemas.openxmlformats.org/officeDocument/2006/relationships/hyperlink" Target="http://www.environment.gov.au/system/files/resources/0a517ed7-74cb-418b-9319-7624491e4921/files/factsheet-waste-profile-wa.pdf" TargetMode="External"/><Relationship Id="rId63" Type="http://schemas.openxmlformats.org/officeDocument/2006/relationships/hyperlink" Target="http://www.environment.gov.au/system/files/resources/0a517ed7-74cb-418b-9319-7624491e4921/files/factsheet-waste-profile-vic.pdf" TargetMode="External"/><Relationship Id="rId68" Type="http://schemas.openxmlformats.org/officeDocument/2006/relationships/hyperlink" Target="https://www.legislation.gov.au/Series/F2016L00302" TargetMode="External"/><Relationship Id="rId7" Type="http://schemas.openxmlformats.org/officeDocument/2006/relationships/styles" Target="styles.xml"/><Relationship Id="rId71"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legislation.gov.au/Series/C2004A02478" TargetMode="External"/><Relationship Id="rId29" Type="http://schemas.openxmlformats.org/officeDocument/2006/relationships/hyperlink" Target="https://www.legislation.gov.au/Series/F2009L04578" TargetMode="External"/><Relationship Id="rId11" Type="http://schemas.openxmlformats.org/officeDocument/2006/relationships/endnotes" Target="endnotes.xml"/><Relationship Id="rId24" Type="http://schemas.openxmlformats.org/officeDocument/2006/relationships/hyperlink" Target="http://www.nopsema.gov.au/" TargetMode="External"/><Relationship Id="rId32" Type="http://schemas.openxmlformats.org/officeDocument/2006/relationships/hyperlink" Target="https://www.legislation.gov.au/Series/F2011L00647" TargetMode="External"/><Relationship Id="rId37" Type="http://schemas.openxmlformats.org/officeDocument/2006/relationships/hyperlink" Target="https://www.legislation.gov.au/Series/C2004A02478" TargetMode="External"/><Relationship Id="rId40" Type="http://schemas.openxmlformats.org/officeDocument/2006/relationships/hyperlink" Target="https://www.environment.gov.au/protection/assessments/strategic/offshore-petroleum-greenhouse-gas" TargetMode="External"/><Relationship Id="rId45" Type="http://schemas.openxmlformats.org/officeDocument/2006/relationships/header" Target="header2.xml"/><Relationship Id="rId53" Type="http://schemas.openxmlformats.org/officeDocument/2006/relationships/hyperlink" Target="http://www.environment.gov.au/system/files/resources/0a517ed7-74cb-418b-9319-7624491e4921/files/factsheet-waste-profile-tas.pdf" TargetMode="External"/><Relationship Id="rId58" Type="http://schemas.openxmlformats.org/officeDocument/2006/relationships/hyperlink" Target="http://www.environment.gov.au/system/files/resources/0a517ed7-74cb-418b-9319-7624491e4921/files/factsheet-waste-profile-nsw.pdf" TargetMode="External"/><Relationship Id="rId66"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legislation.gov.au/Series/C2006A00014" TargetMode="External"/><Relationship Id="rId23" Type="http://schemas.openxmlformats.org/officeDocument/2006/relationships/hyperlink" Target="http://www.nopta.gov.au/guidelines-and-factsheets/fact-sheets.html" TargetMode="External"/><Relationship Id="rId28" Type="http://schemas.openxmlformats.org/officeDocument/2006/relationships/hyperlink" Target="https://www.nopsema.gov.au/assets/Guidelines/A492753.pdf" TargetMode="External"/><Relationship Id="rId36" Type="http://schemas.openxmlformats.org/officeDocument/2006/relationships/hyperlink" Target="http://www.nopta.gov.au/guidelines-and-factsheets/offshore-petroleum-guidelines.html" TargetMode="External"/><Relationship Id="rId49" Type="http://schemas.openxmlformats.org/officeDocument/2006/relationships/hyperlink" Target="http://www.environment.gov.au/system/files/resources/0a517ed7-74cb-418b-9319-7624491e4921/files/factsheet-waste-profile-nsw.pdf" TargetMode="External"/><Relationship Id="rId57" Type="http://schemas.openxmlformats.org/officeDocument/2006/relationships/hyperlink" Target="http://www.environment.gov.au/system/files/resources/0a517ed7-74cb-418b-9319-7624491e4921/files/factsheet-waste-profile-act.pdf" TargetMode="External"/><Relationship Id="rId61" Type="http://schemas.openxmlformats.org/officeDocument/2006/relationships/hyperlink" Target="http://www.environment.gov.au/system/files/resources/0a517ed7-74cb-418b-9319-7624491e4921/files/factsheet-waste-profile-sa.pdf" TargetMode="External"/><Relationship Id="rId10" Type="http://schemas.openxmlformats.org/officeDocument/2006/relationships/footnotes" Target="footnotes.xml"/><Relationship Id="rId19" Type="http://schemas.openxmlformats.org/officeDocument/2006/relationships/hyperlink" Target="https://www.nopsema.gov.au/sites/default/files/documents/2021-03/A590072.pdf" TargetMode="External"/><Relationship Id="rId31" Type="http://schemas.openxmlformats.org/officeDocument/2006/relationships/hyperlink" Target="https://www.nopsema.gov.au/assets/Information-papers/A60309.pdf" TargetMode="External"/><Relationship Id="rId44" Type="http://schemas.openxmlformats.org/officeDocument/2006/relationships/footer" Target="footer1.xml"/><Relationship Id="rId52" Type="http://schemas.openxmlformats.org/officeDocument/2006/relationships/hyperlink" Target="http://www.environment.gov.au/system/files/resources/0a517ed7-74cb-418b-9319-7624491e4921/files/factsheet-waste-profile-sa.pdf" TargetMode="External"/><Relationship Id="rId60" Type="http://schemas.openxmlformats.org/officeDocument/2006/relationships/hyperlink" Target="http://www.environment.gov.au/system/files/resources/0a517ed7-74cb-418b-9319-7624491e4921/files/factsheet-waste-profile-qld_0.pdf" TargetMode="External"/><Relationship Id="rId65" Type="http://schemas.openxmlformats.org/officeDocument/2006/relationships/header" Target="header3.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pta.gov.au/" TargetMode="External"/><Relationship Id="rId22" Type="http://schemas.openxmlformats.org/officeDocument/2006/relationships/hyperlink" Target="https://www.nopsema.gov.au/sites/default/files/documents/2021-07/A720369.pdf" TargetMode="External"/><Relationship Id="rId27" Type="http://schemas.openxmlformats.org/officeDocument/2006/relationships/hyperlink" Target="https://www.nopsema.gov.au/assets/Guidelines/A524696.pdf" TargetMode="External"/><Relationship Id="rId30" Type="http://schemas.openxmlformats.org/officeDocument/2006/relationships/hyperlink" Target="https://www.nopsema.gov.au/safety/safety-resources/" TargetMode="External"/><Relationship Id="rId35" Type="http://schemas.openxmlformats.org/officeDocument/2006/relationships/hyperlink" Target="https://www.nopta.gov.au/_documents/JA-operating-protocols-july2015.pdf" TargetMode="External"/><Relationship Id="rId43" Type="http://schemas.openxmlformats.org/officeDocument/2006/relationships/header" Target="header1.xml"/><Relationship Id="rId48" Type="http://schemas.openxmlformats.org/officeDocument/2006/relationships/hyperlink" Target="http://www.environment.gov.au/system/files/resources/0a517ed7-74cb-418b-9319-7624491e4921/files/factsheet-waste-profile-act.pdf" TargetMode="External"/><Relationship Id="rId56" Type="http://schemas.openxmlformats.org/officeDocument/2006/relationships/hyperlink" Target="http://www.environment.gov.au/topics/environment-protection/nwp/reporting/policies-and-governance" TargetMode="External"/><Relationship Id="rId64" Type="http://schemas.openxmlformats.org/officeDocument/2006/relationships/hyperlink" Target="http://www.environment.gov.au/system/files/resources/0a517ed7-74cb-418b-9319-7624491e4921/files/factsheet-waste-profile-wa.pdf" TargetMode="External"/><Relationship Id="rId69"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www.environment.gov.au/system/files/resources/0a517ed7-74cb-418b-9319-7624491e4921/files/factsheet-waste-profile-qld_0.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legislation.gov.au/Series/C2006A00014" TargetMode="External"/><Relationship Id="rId17" Type="http://schemas.openxmlformats.org/officeDocument/2006/relationships/hyperlink" Target="https://wwwcdn.imo.org/localresources/en/KnowledgeCentre/IndexofIMOResolutions/AssemblyDocuments/A.672(16).pdf" TargetMode="External"/><Relationship Id="rId25" Type="http://schemas.openxmlformats.org/officeDocument/2006/relationships/hyperlink" Target="https://www.legislation.gov.au/Series/C2004A00485" TargetMode="External"/><Relationship Id="rId33" Type="http://schemas.openxmlformats.org/officeDocument/2006/relationships/hyperlink" Target="https://www.nopsema.gov.au/well-integrity/well-integrity-resources/" TargetMode="External"/><Relationship Id="rId38" Type="http://schemas.openxmlformats.org/officeDocument/2006/relationships/hyperlink" Target="https://www.environment.gov.au/marine/marine-pollution/sea-dumping" TargetMode="External"/><Relationship Id="rId46" Type="http://schemas.openxmlformats.org/officeDocument/2006/relationships/footer" Target="footer2.xml"/><Relationship Id="rId59" Type="http://schemas.openxmlformats.org/officeDocument/2006/relationships/hyperlink" Target="http://www.environment.gov.au/system/files/resources/0a517ed7-74cb-418b-9319-7624491e4921/files/factsheet-waste-profile-nt.pdf" TargetMode="External"/><Relationship Id="rId67" Type="http://schemas.openxmlformats.org/officeDocument/2006/relationships/header" Target="header5.xml"/><Relationship Id="rId20" Type="http://schemas.openxmlformats.org/officeDocument/2006/relationships/hyperlink" Target="https://www.nopsema.gov.au/sites/default/files/documents/2021-07/A720369.pdf" TargetMode="External"/><Relationship Id="rId41" Type="http://schemas.openxmlformats.org/officeDocument/2006/relationships/hyperlink" Target="https://www.legislation.gov.au/Details/C2017C00194" TargetMode="External"/><Relationship Id="rId54" Type="http://schemas.openxmlformats.org/officeDocument/2006/relationships/hyperlink" Target="http://www.environment.gov.au/system/files/resources/0a517ed7-74cb-418b-9319-7624491e4921/files/factsheet-waste-profile-vic.pdf" TargetMode="External"/><Relationship Id="rId62" Type="http://schemas.openxmlformats.org/officeDocument/2006/relationships/hyperlink" Target="http://www.environment.gov.au/system/files/resources/0a517ed7-74cb-418b-9319-7624491e4921/files/factsheet-waste-profile-tas.pdf" TargetMode="External"/><Relationship Id="rId7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www.nopsema.gov.au/" TargetMode="External"/><Relationship Id="rId2" Type="http://schemas.openxmlformats.org/officeDocument/2006/relationships/hyperlink" Target="https://www.nopsema.gov.au/assets/Guidance-notes/A138249.pdf" TargetMode="External"/><Relationship Id="rId1" Type="http://schemas.openxmlformats.org/officeDocument/2006/relationships/hyperlink" Target="https://www.legislation.gov.au/Series/C1914A000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SER colours">
      <a:dk1>
        <a:srgbClr val="000000"/>
      </a:dk1>
      <a:lt1>
        <a:srgbClr val="FFFFFF"/>
      </a:lt1>
      <a:dk2>
        <a:srgbClr val="005677"/>
      </a:dk2>
      <a:lt2>
        <a:srgbClr val="58595B"/>
      </a:lt2>
      <a:accent1>
        <a:srgbClr val="939598"/>
      </a:accent1>
      <a:accent2>
        <a:srgbClr val="00283E"/>
      </a:accent2>
      <a:accent3>
        <a:srgbClr val="1B9590"/>
      </a:accent3>
      <a:accent4>
        <a:srgbClr val="61C6C6"/>
      </a:accent4>
      <a:accent5>
        <a:srgbClr val="9CD9E0"/>
      </a:accent5>
      <a:accent6>
        <a:srgbClr val="C973AF"/>
      </a:accent6>
      <a:hlink>
        <a:srgbClr val="0070AE"/>
      </a:hlink>
      <a:folHlink>
        <a:srgbClr val="551A8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4EBC41CBB87686458B4EADC66475DA23" ma:contentTypeVersion="2624" ma:contentTypeDescription="Create a new document." ma:contentTypeScope="" ma:versionID="5aec22723ef92be49f75011597dc21db">
  <xsd:schema xmlns:xsd="http://www.w3.org/2001/XMLSchema" xmlns:xs="http://www.w3.org/2001/XMLSchema" xmlns:p="http://schemas.microsoft.com/office/2006/metadata/properties" xmlns:ns1="http://schemas.microsoft.com/sharepoint/v3" xmlns:ns2="7012054d-3a07-4b40-940b-a148fc76e5c4" xmlns:ns3="http://schemas.microsoft.com/sharepoint/v3/fields" xmlns:ns4="e1c7fc68-f963-4fbf-ab17-100a6bd4a79c" xmlns:ns5="a8fdb9f5-4e6c-4c4a-a24d-2c5439f6d702" xmlns:ns6="http://schemas.microsoft.com/sharepoint/v4" targetNamespace="http://schemas.microsoft.com/office/2006/metadata/properties" ma:root="true" ma:fieldsID="6d1970a631b6ec9264d65a4013c63a96" ns1:_="" ns2:_="" ns3:_="" ns4:_="" ns5:_="" ns6:_="">
    <xsd:import namespace="http://schemas.microsoft.com/sharepoint/v3"/>
    <xsd:import namespace="7012054d-3a07-4b40-940b-a148fc76e5c4"/>
    <xsd:import namespace="http://schemas.microsoft.com/sharepoint/v3/fields"/>
    <xsd:import namespace="e1c7fc68-f963-4fbf-ab17-100a6bd4a79c"/>
    <xsd:import namespace="a8fdb9f5-4e6c-4c4a-a24d-2c5439f6d702"/>
    <xsd:import namespace="http://schemas.microsoft.com/sharepoint/v4"/>
    <xsd:element name="properties">
      <xsd:complexType>
        <xsd:sequence>
          <xsd:element name="documentManagement">
            <xsd:complexType>
              <xsd:all>
                <xsd:element ref="ns2:AGRkMSDescription" minOccurs="0"/>
                <xsd:element ref="ns2:SecurityClassification"/>
                <xsd:element ref="ns2:RightsType"/>
                <xsd:element ref="ns2:RightsStatus"/>
                <xsd:element ref="ns2:OfNationalSignificance"/>
                <xsd:element ref="ns1:AssignedTo" minOccurs="0"/>
                <xsd:element ref="ns3:_Status" minOccurs="0"/>
                <xsd:element ref="ns1:DocumentSetDescription"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TaxCatchAllLabel" minOccurs="0"/>
                <xsd:element ref="ns2:TaxKeywordTaxHTField" minOccurs="0"/>
                <xsd:element ref="ns3:_DCDateCreated"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5" nillable="true" ma:displayName="Assigned To"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hidden="true" ma:internalName="AGRkMSDescription" ma:readOnly="false">
      <xsd:simpleType>
        <xsd:restriction base="dms:Note"/>
      </xsd:simpleType>
    </xsd:element>
    <xsd:element name="SecurityClassification" ma:index="9"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OfNationalSignificance" ma:index="13" ma:displayName="Of National Significance" ma:format="Dropdown" ma:internalName="OfNationalSignificance" ma:readOnly="false">
      <xsd:simpleType>
        <xsd:restriction base="dms:Choice">
          <xsd:enumeration value="Yes"/>
          <xsd:enumeration value="No"/>
        </xsd:restriction>
      </xsd:simple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TaxCatchAllLabel" ma:index="69"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70"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6" nillable="true" ma:displayName="Status" ma:default="Not Started" ma:format="Dropdown"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Created" ma:index="71"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c7fc68-f963-4fbf-ab17-100a6bd4a79c" elementFormDefault="qualified">
    <xsd:import namespace="http://schemas.microsoft.com/office/2006/documentManagement/types"/>
    <xsd:import namespace="http://schemas.microsoft.com/office/infopath/2007/PartnerControls"/>
    <xsd:element name="MediaServiceMetadata" ma:index="75" nillable="true" ma:displayName="MediaServiceMetadata" ma:hidden="true" ma:internalName="MediaServiceMetadata" ma:readOnly="true">
      <xsd:simpleType>
        <xsd:restriction base="dms:Note"/>
      </xsd:simpleType>
    </xsd:element>
    <xsd:element name="MediaServiceFastMetadata" ma:index="76" nillable="true" ma:displayName="MediaServiceFastMetadata" ma:hidden="true" ma:internalName="MediaServiceFastMetadata" ma:readOnly="true">
      <xsd:simpleType>
        <xsd:restriction base="dms:Note"/>
      </xsd:simpleType>
    </xsd:element>
    <xsd:element name="MediaServiceAutoKeyPoints" ma:index="79" nillable="true" ma:displayName="MediaServiceAutoKeyPoints" ma:hidden="true" ma:internalName="MediaServiceAutoKeyPoints" ma:readOnly="true">
      <xsd:simpleType>
        <xsd:restriction base="dms:Note"/>
      </xsd:simpleType>
    </xsd:element>
    <xsd:element name="MediaServiceKeyPoints" ma:index="8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db9f5-4e6c-4c4a-a24d-2c5439f6d702" elementFormDefault="qualified">
    <xsd:import namespace="http://schemas.microsoft.com/office/2006/documentManagement/types"/>
    <xsd:import namespace="http://schemas.microsoft.com/office/infopath/2007/PartnerControls"/>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2" ma:displayName="Title"/>
        <xsd:element ref="dc:subject" minOccurs="0" maxOccurs="1"/>
        <xsd:element ref="dc:description" minOccurs="0" maxOccurs="1" ma:index="1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7012054d-3a07-4b40-940b-a148fc76e5c4">NOPTANET-1686289485-950</_dlc_DocId>
    <TaxCatchAll xmlns="7012054d-3a07-4b40-940b-a148fc76e5c4">
      <Value>424</Value>
      <Value>3017</Value>
      <Value>3968</Value>
      <Value>4679</Value>
      <Value>4575</Value>
      <Value>137</Value>
    </TaxCatchAll>
    <_dlc_DocIdUrl xmlns="7012054d-3a07-4b40-940b-a148fc76e5c4">
      <Url>https://nopta.sharepoint.com/team/LCT/_layouts/15/DocIdRedir.aspx?ID=NOPTANET-1686289485-950</Url>
      <Description>NOPTANET-1686289485-950</Description>
    </_dlc_DocIdUrl>
    <_dlc_DocIdPersistId xmlns="7012054d-3a07-4b40-940b-a148fc76e5c4" xsi:nil="true"/>
    <BusinessFunction_Note xmlns="7012054d-3a07-4b40-940b-a148fc76e5c4">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0aba567e-029a-4f4e-8490-2b79d5a5a825</TermId>
        </TermInfo>
      </Terms>
    </BusinessFunction_Note>
    <CaveatCategory xmlns="7012054d-3a07-4b40-940b-a148fc76e5c4">DLM: For Official Use Only</CaveatCategory>
    <FormatVersion xmlns="7012054d-3a07-4b40-940b-a148fc76e5c4">2013</FormatVersion>
    <RecordKeywords xmlns="7012054d-3a07-4b40-940b-a148fc76e5c4" xsi:nil="true"/>
    <RightsStatement xmlns="7012054d-3a07-4b40-940b-a148fc76e5c4">NOPTA Members Only</RightsStatement>
    <CreatingApplicationVersion xmlns="7012054d-3a07-4b40-940b-a148fc76e5c4">2013</CreatingApplicationVersion>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CaveatText xmlns="7012054d-3a07-4b40-940b-a148fc76e5c4">PSPF</CaveatText>
    <SpatialCoverage xmlns="7012054d-3a07-4b40-940b-a148fc76e5c4">Commonwealth of Australia</SpatialCoverage>
    <NameScheme xmlns="7012054d-3a07-4b40-940b-a148fc76e5c4" xsi:nil="true"/>
    <m3f2ca6b2c9a4802967adedbb4af06ae xmlns="7012054d-3a07-4b40-940b-a148fc76e5c4">
      <Terms xmlns="http://schemas.microsoft.com/office/infopath/2007/PartnerControls"/>
    </m3f2ca6b2c9a4802967adedbb4af06ae>
    <RightsStatus xmlns="7012054d-3a07-4b40-940b-a148fc76e5c4">Open</RightsStatus>
    <AssignedTo xmlns="http://schemas.microsoft.com/sharepoint/v3">
      <UserInfo>
        <DisplayName/>
        <AccountId xsi:nil="true"/>
        <AccountType/>
      </UserInfo>
    </AssignedTo>
    <KeywordScheme xmlns="7012054d-3a07-4b40-940b-a148fc76e5c4" xsi:nil="true"/>
    <FormatName xmlns="7012054d-3a07-4b40-940b-a148fc76e5c4">Word</FormatName>
    <RecordContactDetails xmlns="7012054d-3a07-4b40-940b-a148fc76e5c4" xsi:nil="true"/>
    <_Status xmlns="http://schemas.microsoft.com/sharepoint/v3/fields">Not Started</_Status>
    <Quantity xmlns="7012054d-3a07-4b40-940b-a148fc76e5c4" xsi:nil="true"/>
    <Medium xmlns="7012054d-3a07-4b40-940b-a148fc76e5c4">Digital File</Medium>
    <DocumentForm xmlns="7012054d-3a07-4b40-940b-a148fc76e5c4" xsi:nil="true"/>
    <OfNationalSignificance xmlns="7012054d-3a07-4b40-940b-a148fc76e5c4">No</OfNationalSignificance>
    <DocumentSetDescription xmlns="http://schemas.microsoft.com/sharepoint/v3">Offshore petroleum decommissioning guideline</DocumentSetDescription>
    <KeywordID xmlns="7012054d-3a07-4b40-940b-a148fc76e5c4" xsi:nil="true"/>
    <FormatRegistry xmlns="7012054d-3a07-4b40-940b-a148fc76e5c4">System generated</FormatRegistry>
    <Entity xmlns="7012054d-3a07-4b40-940b-a148fc76e5c4" xsi:nil="true"/>
    <Precedence xmlns="7012054d-3a07-4b40-940b-a148fc76e5c4" xsi:nil="true"/>
    <Identifier xmlns="7012054d-3a07-4b40-940b-a148fc76e5c4">0</Identifier>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d1b666ff-1768-485a-b83d-c8693c6a4acc</TermId>
        </TermInfo>
      </Terms>
    </DocumentType_Note>
    <pfcb0be319e247388db2251ff9d23f72 xmlns="7012054d-3a07-4b40-940b-a148fc76e5c4">
      <Terms xmlns="http://schemas.microsoft.com/office/infopath/2007/PartnerControls"/>
    </pfcb0be319e247388db2251ff9d23f72>
    <AGRkMSLanguage xmlns="7012054d-3a07-4b40-940b-a148fc76e5c4">en-au</AGRkMSLanguage>
    <MessageDigest xmlns="7012054d-3a07-4b40-940b-a148fc76e5c4" xsi:nil="true"/>
    <TemporalCoverage xmlns="7012054d-3a07-4b40-940b-a148fc76e5c4" xsi:nil="true"/>
    <HashFunctionName xmlns="7012054d-3a07-4b40-940b-a148fc76e5c4">MD5</HashFunctionName>
    <DateRangeStart xmlns="7012054d-3a07-4b40-940b-a148fc76e5c4" xsi:nil="true"/>
    <AGRkMSCategory xmlns="7012054d-3a07-4b40-940b-a148fc76e5c4">Item</AGRkMSCategory>
    <JurisdictionalCoverage xmlns="7012054d-3a07-4b40-940b-a148fc76e5c4">
      <Value>Commonwealth of Australia (AU)</Value>
    </JurisdictionalCoverage>
    <RightsType xmlns="7012054d-3a07-4b40-940b-a148fc76e5c4">Use Permission</RightsType>
    <TaxKeywordTaxHTField xmlns="7012054d-3a07-4b40-940b-a148fc76e5c4">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bd1945c2-7cae-49b3-b286-449954ace43c</TermId>
        </TermInfo>
        <TermInfo xmlns="http://schemas.microsoft.com/office/infopath/2007/PartnerControls">
          <TermName xmlns="http://schemas.microsoft.com/office/infopath/2007/PartnerControls">Guidelines</TermName>
          <TermId xmlns="http://schemas.microsoft.com/office/infopath/2007/PartnerControls">2f155a20-2806-4609-83fa-0f837c3a6035</TermId>
        </TermInfo>
        <TermInfo xmlns="http://schemas.microsoft.com/office/infopath/2007/PartnerControls">
          <TermName xmlns="http://schemas.microsoft.com/office/infopath/2007/PartnerControls">Decomissioning</TermName>
          <TermId xmlns="http://schemas.microsoft.com/office/infopath/2007/PartnerControls">2975ef25-20db-4897-af13-0a7c2f252cdb</TermId>
        </TermInfo>
      </Terms>
    </TaxKeywordTaxHTField>
    <g91dc4f691a04421b1edf463601fabf6 xmlns="7012054d-3a07-4b40-940b-a148fc76e5c4">
      <Terms xmlns="http://schemas.microsoft.com/office/infopath/2007/PartnerControls"/>
    </g91dc4f691a04421b1edf463601fabf6>
    <KeywordSchemeType xmlns="7012054d-3a07-4b40-940b-a148fc76e5c4" xsi:nil="true"/>
    <CreatingApplicationName xmlns="7012054d-3a07-4b40-940b-a148fc76e5c4">Microsoft Word</CreatingApplicationName>
    <Units xmlns="7012054d-3a07-4b40-940b-a148fc76e5c4">KB</Units>
    <Titles_Note xmlns="7012054d-3a07-4b40-940b-a148fc76e5c4">
      <Terms xmlns="http://schemas.microsoft.com/office/infopath/2007/PartnerControls"/>
    </Titles_Note>
    <SecurityClassification xmlns="7012054d-3a07-4b40-940b-a148fc76e5c4">OFFICIAL</SecurityClassification>
    <Jurisdiction xmlns="7012054d-3a07-4b40-940b-a148fc76e5c4">
      <Value>AU</Value>
    </Jurisdiction>
    <IdentifierScheme xmlns="7012054d-3a07-4b40-940b-a148fc76e5c4">RecordPoint</IdentifierScheme>
    <_DCDateCreated xmlns="http://schemas.microsoft.com/sharepoint/v3/fields"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11AAC-7A4D-4CE0-87BD-CBC8E61C43FD}">
  <ds:schemaRefs>
    <ds:schemaRef ds:uri="http://schemas.microsoft.com/sharepoint/events"/>
  </ds:schemaRefs>
</ds:datastoreItem>
</file>

<file path=customXml/itemProps2.xml><?xml version="1.0" encoding="utf-8"?>
<ds:datastoreItem xmlns:ds="http://schemas.openxmlformats.org/officeDocument/2006/customXml" ds:itemID="{A813BABB-C8BB-48D5-8F81-C3B702F46882}">
  <ds:schemaRefs>
    <ds:schemaRef ds:uri="http://schemas.openxmlformats.org/officeDocument/2006/bibliography"/>
  </ds:schemaRefs>
</ds:datastoreItem>
</file>

<file path=customXml/itemProps3.xml><?xml version="1.0" encoding="utf-8"?>
<ds:datastoreItem xmlns:ds="http://schemas.openxmlformats.org/officeDocument/2006/customXml" ds:itemID="{EF9A100F-DD80-4CF4-AA17-6EEF2D3D8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http://schemas.microsoft.com/sharepoint/v3/fields"/>
    <ds:schemaRef ds:uri="e1c7fc68-f963-4fbf-ab17-100a6bd4a79c"/>
    <ds:schemaRef ds:uri="a8fdb9f5-4e6c-4c4a-a24d-2c5439f6d70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91BCB-BC7E-4515-9BFE-A2D5728F9E4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sharepoint/v4"/>
    <ds:schemaRef ds:uri="http://purl.org/dc/terms/"/>
    <ds:schemaRef ds:uri="a8fdb9f5-4e6c-4c4a-a24d-2c5439f6d702"/>
    <ds:schemaRef ds:uri="e1c7fc68-f963-4fbf-ab17-100a6bd4a79c"/>
    <ds:schemaRef ds:uri="http://purl.org/dc/dcmitype/"/>
    <ds:schemaRef ds:uri="http://schemas.microsoft.com/sharepoint/v3/fields"/>
    <ds:schemaRef ds:uri="7012054d-3a07-4b40-940b-a148fc76e5c4"/>
    <ds:schemaRef ds:uri="http://www.w3.org/XML/1998/namespace"/>
  </ds:schemaRefs>
</ds:datastoreItem>
</file>

<file path=customXml/itemProps5.xml><?xml version="1.0" encoding="utf-8"?>
<ds:datastoreItem xmlns:ds="http://schemas.openxmlformats.org/officeDocument/2006/customXml" ds:itemID="{6C6FFB04-E41F-4841-8F98-B0A3108D8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10050</TotalTime>
  <Pages>28</Pages>
  <Words>9904</Words>
  <Characters>56457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Decommissioning Guideline</vt:lpstr>
    </vt:vector>
  </TitlesOfParts>
  <Company/>
  <LinksUpToDate>false</LinksUpToDate>
  <CharactersWithSpaces>66229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Decommissioning Guideline</dc:title>
  <dc:subject/>
  <dc:creator>Wechmann, Lisa</dc:creator>
  <cp:keywords>Decomissioning; website; Guidelines</cp:keywords>
  <dc:description>Update with new Department name</dc:description>
  <cp:lastModifiedBy>Mark Price</cp:lastModifiedBy>
  <cp:revision>699</cp:revision>
  <cp:lastPrinted>2022-02-21T01:43:00Z</cp:lastPrinted>
  <dcterms:created xsi:type="dcterms:W3CDTF">2021-07-21T05:33:00Z</dcterms:created>
  <dcterms:modified xsi:type="dcterms:W3CDTF">2022-02-21T01:43:00Z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Function">
    <vt:lpwstr>4575</vt:lpwstr>
  </property>
  <property fmtid="{D5CDD505-2E9C-101B-9397-08002B2CF9AE}" pid="3" name="ContentTypeId">
    <vt:lpwstr>0x01010063547D135F865547B104B3688A6EB0DB004EBC41CBB87686458B4EADC66475DA23</vt:lpwstr>
  </property>
  <property fmtid="{D5CDD505-2E9C-101B-9397-08002B2CF9AE}" pid="4" name="_dlc_DocIdItemGuid">
    <vt:lpwstr>87a24b8f-dbda-4a56-854b-e428b3073f3b</vt:lpwstr>
  </property>
  <property fmtid="{D5CDD505-2E9C-101B-9397-08002B2CF9AE}" pid="5" name="TaxKeyword">
    <vt:lpwstr>3968;#website|bd1945c2-7cae-49b3-b286-449954ace43c;#4679;#Guidelines|2f155a20-2806-4609-83fa-0f837c3a6035;#3017;#Decomissioning|2975ef25-20db-4897-af13-0a7c2f252cdb</vt:lpwstr>
  </property>
  <property fmtid="{D5CDD505-2E9C-101B-9397-08002B2CF9AE}" pid="6" name="Titles">
    <vt:lpwstr/>
  </property>
  <property fmtid="{D5CDD505-2E9C-101B-9397-08002B2CF9AE}" pid="7" name="Title Type">
    <vt:lpwstr/>
  </property>
  <property fmtid="{D5CDD505-2E9C-101B-9397-08002B2CF9AE}" pid="8" name="DocumentType">
    <vt:lpwstr>137;#Guideline|d1b666ff-1768-485a-b83d-c8693c6a4acc</vt:lpwstr>
  </property>
  <property fmtid="{D5CDD505-2E9C-101B-9397-08002B2CF9AE}" pid="9" name="Offshore Region">
    <vt:lpwstr/>
  </property>
  <property fmtid="{D5CDD505-2E9C-101B-9397-08002B2CF9AE}" pid="10" name="Application Library">
    <vt:lpwstr/>
  </property>
  <property fmtid="{D5CDD505-2E9C-101B-9397-08002B2CF9AE}" pid="11" name="Team">
    <vt:lpwstr>424;#Legislative Compliance|cb4b5b1d-0a66-42b0-ad54-d9e1e7b82ef0</vt:lpwstr>
  </property>
  <property fmtid="{D5CDD505-2E9C-101B-9397-08002B2CF9AE}" pid="12" name="DocHub_GroupsOtherEntities">
    <vt:lpwstr/>
  </property>
  <property fmtid="{D5CDD505-2E9C-101B-9397-08002B2CF9AE}" pid="13" name="DocHub_DocumentType">
    <vt:lpwstr>81;#Guideline|1cb7cffe-f5b4-42ac-8a71-3f61d9d0fa0a</vt:lpwstr>
  </property>
  <property fmtid="{D5CDD505-2E9C-101B-9397-08002B2CF9AE}" pid="14" name="DocHub_SecurityClassification">
    <vt:lpwstr>1;#OFFICIAL|6106d03b-a1a0-4e30-9d91-d5e9fb4314f9</vt:lpwstr>
  </property>
  <property fmtid="{D5CDD505-2E9C-101B-9397-08002B2CF9AE}" pid="15" name="DocHub_GovernmentEntities">
    <vt:lpwstr/>
  </property>
  <property fmtid="{D5CDD505-2E9C-101B-9397-08002B2CF9AE}" pid="16" name="DocHub_OrganisationEntities">
    <vt:lpwstr/>
  </property>
  <property fmtid="{D5CDD505-2E9C-101B-9397-08002B2CF9AE}" pid="17" name="DocHub_WorkActivity">
    <vt:lpwstr>295;#Policy Implementation|76a12992-328c-489f-9a4f-d0b6b90382c5</vt:lpwstr>
  </property>
  <property fmtid="{D5CDD505-2E9C-101B-9397-08002B2CF9AE}" pid="18" name="DocHub_WorkTopic">
    <vt:lpwstr>909;#Administrative Guidelines|f07964ad-13ca-4d49-8baf-8456f5b7da2d</vt:lpwstr>
  </property>
  <property fmtid="{D5CDD505-2E9C-101B-9397-08002B2CF9AE}" pid="19" name="DocHub_EnergyMineralResources">
    <vt:lpwstr/>
  </property>
  <property fmtid="{D5CDD505-2E9C-101B-9397-08002B2CF9AE}" pid="20" name="DocHub_Keywords">
    <vt:lpwstr>1809;#Decommissioning review|e5aa62ad-e9b7-41ab-8c14-cd7f6b81ac64</vt:lpwstr>
  </property>
  <property fmtid="{D5CDD505-2E9C-101B-9397-08002B2CF9AE}" pid="21" name="DocHub_Year">
    <vt:lpwstr>4052;#2021|712d5b50-1b62-44de-9d3e-74234783b265</vt:lpwstr>
  </property>
  <property fmtid="{D5CDD505-2E9C-101B-9397-08002B2CF9AE}" pid="22" name="DocHub_SittingPeriod">
    <vt:lpwstr/>
  </property>
  <property fmtid="{D5CDD505-2E9C-101B-9397-08002B2CF9AE}" pid="23" name="e63cd534a94446d68abe1904a0bcdfb2">
    <vt:lpwstr>Administrative Guidelines|f07964ad-13ca-4d49-8baf-8456f5b7da2d</vt:lpwstr>
  </property>
  <property fmtid="{D5CDD505-2E9C-101B-9397-08002B2CF9AE}" pid="24" name="g7cee4c3f49f4a8d957fe196d6fcc5b5">
    <vt:lpwstr/>
  </property>
  <property fmtid="{D5CDD505-2E9C-101B-9397-08002B2CF9AE}" pid="25" name="f26de360fc5e40c78d93b560b6cc664b">
    <vt:lpwstr/>
  </property>
  <property fmtid="{D5CDD505-2E9C-101B-9397-08002B2CF9AE}" pid="26" name="DocHub_PDMSNumber">
    <vt:lpwstr/>
  </property>
  <property fmtid="{D5CDD505-2E9C-101B-9397-08002B2CF9AE}" pid="27" name="g04c65e7758e4a9bb076ed3b2f3b54e3">
    <vt:lpwstr/>
  </property>
  <property fmtid="{D5CDD505-2E9C-101B-9397-08002B2CF9AE}" pid="28" name="DocHub_LegalLexID">
    <vt:lpwstr/>
  </property>
  <property fmtid="{D5CDD505-2E9C-101B-9397-08002B2CF9AE}" pid="29" name="d34056e35d444dee82a795b7b19350c2">
    <vt:lpwstr/>
  </property>
</Properties>
</file>