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3DBB1" w14:textId="213EB908" w:rsidR="009E0C44" w:rsidRDefault="009E0C44" w:rsidP="00366289"/>
    <w:p w14:paraId="5731D1FD" w14:textId="77777777" w:rsidR="009C4F7C" w:rsidRDefault="009C4F7C" w:rsidP="00366289"/>
    <w:p w14:paraId="2D51BE9D" w14:textId="77777777" w:rsidR="009C4F7C" w:rsidRDefault="009C4F7C" w:rsidP="00366289"/>
    <w:p w14:paraId="38200312" w14:textId="77777777" w:rsidR="009E0C44" w:rsidRDefault="009E0C44" w:rsidP="00366289"/>
    <w:p w14:paraId="61061087" w14:textId="77777777" w:rsidR="00A27B97" w:rsidRDefault="00A27B97" w:rsidP="00A27B97">
      <w:pPr>
        <w:rPr>
          <w:noProof/>
        </w:rPr>
      </w:pPr>
    </w:p>
    <w:p w14:paraId="3F22A76D" w14:textId="649FC99A" w:rsidR="009E0C44" w:rsidRDefault="00A27B97" w:rsidP="00A27B97">
      <w:r>
        <w:rPr>
          <w:noProof/>
        </w:rPr>
        <w:drawing>
          <wp:inline distT="0" distB="0" distL="0" distR="0" wp14:anchorId="4E6D237C" wp14:editId="0778BC7C">
            <wp:extent cx="2681605" cy="695960"/>
            <wp:effectExtent l="0" t="0" r="4445" b="8890"/>
            <wp:docPr id="2" name="Picture 2" descr="Australian Government logo - Department of Industry, Science, Energy and Resou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1605" cy="695960"/>
                    </a:xfrm>
                    <a:prstGeom prst="rect">
                      <a:avLst/>
                    </a:prstGeom>
                    <a:noFill/>
                    <a:ln>
                      <a:noFill/>
                    </a:ln>
                  </pic:spPr>
                </pic:pic>
              </a:graphicData>
            </a:graphic>
          </wp:inline>
        </w:drawing>
      </w:r>
    </w:p>
    <w:p w14:paraId="7FF2FD86" w14:textId="77777777" w:rsidR="009C4F7C" w:rsidRDefault="009C4F7C" w:rsidP="00366289"/>
    <w:p w14:paraId="27F4FCFC" w14:textId="77777777" w:rsidR="009C4F7C" w:rsidRDefault="009C4F7C" w:rsidP="00366289"/>
    <w:p w14:paraId="7C9A1A66" w14:textId="77777777" w:rsidR="009C4F7C" w:rsidRDefault="009C4F7C" w:rsidP="00366289"/>
    <w:p w14:paraId="3EF3A681" w14:textId="77777777" w:rsidR="009C4F7C" w:rsidRDefault="009C4F7C" w:rsidP="00366289"/>
    <w:p w14:paraId="244768A0" w14:textId="77777777" w:rsidR="009C4F7C" w:rsidRDefault="009C4F7C" w:rsidP="00366289"/>
    <w:p w14:paraId="628579B8" w14:textId="77777777" w:rsidR="009C4F7C" w:rsidRDefault="009C4F7C" w:rsidP="00366289"/>
    <w:p w14:paraId="2F7DCAEE" w14:textId="77777777" w:rsidR="009E0C44" w:rsidRDefault="009E0C44" w:rsidP="00366289"/>
    <w:p w14:paraId="07DEC722" w14:textId="77777777" w:rsidR="009E0C44" w:rsidRDefault="009E0C44" w:rsidP="00366289"/>
    <w:p w14:paraId="088A1F73" w14:textId="77777777" w:rsidR="009E0C44" w:rsidRDefault="009E0C44" w:rsidP="00366289"/>
    <w:p w14:paraId="35E525D1" w14:textId="77777777" w:rsidR="009E0C44" w:rsidRPr="009E0C44" w:rsidRDefault="009E0C44" w:rsidP="00366289"/>
    <w:p w14:paraId="58B95A6F" w14:textId="77777777" w:rsidR="009C4F7C" w:rsidRPr="00EC7080" w:rsidRDefault="009C4F7C" w:rsidP="009C4F7C">
      <w:pPr>
        <w:pStyle w:val="Title"/>
        <w:jc w:val="center"/>
      </w:pPr>
      <w:r w:rsidRPr="00EC7080">
        <w:t xml:space="preserve">Offshore Petroleum </w:t>
      </w:r>
      <w:r>
        <w:t>Decommissioning Guideline</w:t>
      </w:r>
    </w:p>
    <w:p w14:paraId="405A26F4" w14:textId="77777777" w:rsidR="00114FE8" w:rsidRPr="00D76E06" w:rsidRDefault="00114FE8" w:rsidP="00366289">
      <w:pPr>
        <w:pStyle w:val="Heading1"/>
        <w:rPr>
          <w:i/>
          <w:sz w:val="22"/>
          <w:szCs w:val="22"/>
        </w:rPr>
      </w:pPr>
    </w:p>
    <w:p w14:paraId="72050073" w14:textId="77777777" w:rsidR="009C4F7C" w:rsidRDefault="009C4F7C" w:rsidP="00366289">
      <w:pPr>
        <w:pStyle w:val="Heading1"/>
        <w:rPr>
          <w:rFonts w:ascii="Arial" w:eastAsia="Times New Roman" w:hAnsi="Arial" w:cs="Arial"/>
          <w:color w:val="auto"/>
          <w:sz w:val="24"/>
          <w:szCs w:val="24"/>
        </w:rPr>
      </w:pPr>
    </w:p>
    <w:p w14:paraId="5D953A80" w14:textId="60CA3875" w:rsidR="00114FE8" w:rsidRPr="00D76E06" w:rsidRDefault="009C4F7C" w:rsidP="00366289">
      <w:pPr>
        <w:pStyle w:val="Heading1"/>
        <w:rPr>
          <w:i/>
          <w:sz w:val="22"/>
          <w:szCs w:val="22"/>
        </w:rPr>
      </w:pPr>
      <w:bookmarkStart w:id="0" w:name="_Toc486949852"/>
      <w:bookmarkStart w:id="1" w:name="_Toc486950213"/>
      <w:bookmarkStart w:id="2" w:name="_Toc486956411"/>
      <w:bookmarkStart w:id="3" w:name="_Toc489460833"/>
      <w:r w:rsidRPr="00062B9A">
        <w:rPr>
          <w:rFonts w:ascii="Arial" w:eastAsia="Times New Roman" w:hAnsi="Arial" w:cs="Arial"/>
          <w:color w:val="auto"/>
          <w:sz w:val="24"/>
          <w:szCs w:val="24"/>
        </w:rPr>
        <w:t xml:space="preserve">Effective </w:t>
      </w:r>
      <w:r w:rsidR="0047713B">
        <w:rPr>
          <w:rFonts w:ascii="Arial" w:eastAsia="Times New Roman" w:hAnsi="Arial" w:cs="Arial"/>
          <w:color w:val="auto"/>
          <w:sz w:val="24"/>
          <w:szCs w:val="24"/>
        </w:rPr>
        <w:t>17</w:t>
      </w:r>
      <w:r w:rsidRPr="00561CBA">
        <w:rPr>
          <w:rFonts w:ascii="Arial" w:eastAsia="Times New Roman" w:hAnsi="Arial" w:cs="Arial"/>
          <w:color w:val="auto"/>
          <w:sz w:val="24"/>
          <w:szCs w:val="24"/>
        </w:rPr>
        <w:t xml:space="preserve"> </w:t>
      </w:r>
      <w:r w:rsidR="0047713B">
        <w:rPr>
          <w:rFonts w:ascii="Arial" w:eastAsia="Times New Roman" w:hAnsi="Arial" w:cs="Arial"/>
          <w:color w:val="auto"/>
          <w:sz w:val="24"/>
          <w:szCs w:val="24"/>
        </w:rPr>
        <w:t>January</w:t>
      </w:r>
      <w:r w:rsidRPr="00062B9A">
        <w:rPr>
          <w:rFonts w:ascii="Arial" w:eastAsia="Times New Roman" w:hAnsi="Arial" w:cs="Arial"/>
          <w:color w:val="auto"/>
          <w:sz w:val="24"/>
          <w:szCs w:val="24"/>
        </w:rPr>
        <w:t xml:space="preserve"> 201</w:t>
      </w:r>
      <w:bookmarkEnd w:id="0"/>
      <w:bookmarkEnd w:id="1"/>
      <w:bookmarkEnd w:id="2"/>
      <w:bookmarkEnd w:id="3"/>
      <w:r w:rsidR="0047713B">
        <w:rPr>
          <w:rFonts w:ascii="Arial" w:eastAsia="Times New Roman" w:hAnsi="Arial" w:cs="Arial"/>
          <w:color w:val="auto"/>
          <w:sz w:val="24"/>
          <w:szCs w:val="24"/>
        </w:rPr>
        <w:t>8</w:t>
      </w:r>
    </w:p>
    <w:p w14:paraId="54A5097B" w14:textId="77777777" w:rsidR="009C4F7C" w:rsidRDefault="009C4F7C" w:rsidP="009C4F7C">
      <w:pPr>
        <w:autoSpaceDE w:val="0"/>
        <w:autoSpaceDN w:val="0"/>
        <w:rPr>
          <w:rFonts w:ascii="Arial" w:hAnsi="Arial" w:cs="Arial"/>
          <w:color w:val="000000"/>
          <w:sz w:val="18"/>
          <w:szCs w:val="20"/>
        </w:rPr>
      </w:pPr>
    </w:p>
    <w:p w14:paraId="5A69A6C6" w14:textId="77777777" w:rsidR="009C4F7C" w:rsidRDefault="009C4F7C" w:rsidP="009C4F7C">
      <w:pPr>
        <w:autoSpaceDE w:val="0"/>
        <w:autoSpaceDN w:val="0"/>
        <w:rPr>
          <w:rFonts w:ascii="Arial" w:hAnsi="Arial" w:cs="Arial"/>
          <w:color w:val="000000"/>
          <w:sz w:val="18"/>
          <w:szCs w:val="20"/>
        </w:rPr>
      </w:pPr>
    </w:p>
    <w:p w14:paraId="222FD3C5" w14:textId="77777777" w:rsidR="009C4F7C" w:rsidRDefault="009C4F7C" w:rsidP="009C4F7C">
      <w:pPr>
        <w:autoSpaceDE w:val="0"/>
        <w:autoSpaceDN w:val="0"/>
        <w:rPr>
          <w:rFonts w:ascii="Arial" w:hAnsi="Arial" w:cs="Arial"/>
          <w:color w:val="000000"/>
          <w:sz w:val="18"/>
          <w:szCs w:val="20"/>
        </w:rPr>
      </w:pPr>
    </w:p>
    <w:p w14:paraId="1FDBFE3E" w14:textId="77777777" w:rsidR="009C4F7C" w:rsidRDefault="009C4F7C" w:rsidP="009C4F7C">
      <w:pPr>
        <w:autoSpaceDE w:val="0"/>
        <w:autoSpaceDN w:val="0"/>
        <w:rPr>
          <w:rFonts w:ascii="Arial" w:hAnsi="Arial" w:cs="Arial"/>
          <w:color w:val="000000"/>
          <w:sz w:val="18"/>
          <w:szCs w:val="20"/>
        </w:rPr>
      </w:pPr>
    </w:p>
    <w:p w14:paraId="55B5438C" w14:textId="77777777" w:rsidR="009C4F7C" w:rsidRDefault="009C4F7C" w:rsidP="009C4F7C">
      <w:pPr>
        <w:autoSpaceDE w:val="0"/>
        <w:autoSpaceDN w:val="0"/>
        <w:rPr>
          <w:rFonts w:ascii="Arial" w:hAnsi="Arial" w:cs="Arial"/>
          <w:color w:val="000000"/>
          <w:sz w:val="18"/>
          <w:szCs w:val="20"/>
        </w:rPr>
      </w:pPr>
    </w:p>
    <w:p w14:paraId="25ED4673" w14:textId="77777777" w:rsidR="009C4F7C" w:rsidRDefault="009C4F7C" w:rsidP="009C4F7C">
      <w:pPr>
        <w:autoSpaceDE w:val="0"/>
        <w:autoSpaceDN w:val="0"/>
        <w:rPr>
          <w:rFonts w:ascii="Arial" w:hAnsi="Arial" w:cs="Arial"/>
          <w:color w:val="000000"/>
          <w:sz w:val="18"/>
          <w:szCs w:val="20"/>
        </w:rPr>
      </w:pPr>
    </w:p>
    <w:p w14:paraId="1AB47588" w14:textId="77777777" w:rsidR="009C4F7C" w:rsidRDefault="009C4F7C" w:rsidP="009C4F7C">
      <w:pPr>
        <w:autoSpaceDE w:val="0"/>
        <w:autoSpaceDN w:val="0"/>
        <w:rPr>
          <w:rFonts w:ascii="Arial" w:hAnsi="Arial" w:cs="Arial"/>
          <w:color w:val="000000"/>
          <w:sz w:val="18"/>
          <w:szCs w:val="20"/>
        </w:rPr>
      </w:pPr>
    </w:p>
    <w:p w14:paraId="180DAE63" w14:textId="77777777" w:rsidR="009C4F7C" w:rsidRDefault="009C4F7C" w:rsidP="009C4F7C">
      <w:pPr>
        <w:autoSpaceDE w:val="0"/>
        <w:autoSpaceDN w:val="0"/>
        <w:rPr>
          <w:rFonts w:ascii="Arial" w:hAnsi="Arial" w:cs="Arial"/>
          <w:color w:val="000000"/>
          <w:sz w:val="18"/>
          <w:szCs w:val="20"/>
        </w:rPr>
      </w:pPr>
    </w:p>
    <w:p w14:paraId="5FE7C67B" w14:textId="77777777" w:rsidR="009C4F7C" w:rsidRDefault="009C4F7C" w:rsidP="009C4F7C">
      <w:pPr>
        <w:autoSpaceDE w:val="0"/>
        <w:autoSpaceDN w:val="0"/>
        <w:rPr>
          <w:rFonts w:ascii="Arial" w:hAnsi="Arial" w:cs="Arial"/>
          <w:color w:val="000000"/>
          <w:sz w:val="18"/>
          <w:szCs w:val="20"/>
        </w:rPr>
      </w:pPr>
    </w:p>
    <w:p w14:paraId="604F9BA2" w14:textId="77777777" w:rsidR="009C4F7C" w:rsidRDefault="009C4F7C" w:rsidP="009C4F7C">
      <w:pPr>
        <w:autoSpaceDE w:val="0"/>
        <w:autoSpaceDN w:val="0"/>
        <w:rPr>
          <w:rFonts w:ascii="Arial" w:hAnsi="Arial" w:cs="Arial"/>
          <w:color w:val="000000"/>
          <w:sz w:val="18"/>
          <w:szCs w:val="20"/>
        </w:rPr>
      </w:pPr>
    </w:p>
    <w:p w14:paraId="691273A9" w14:textId="77777777" w:rsidR="009C4F7C" w:rsidRDefault="009C4F7C" w:rsidP="009C4F7C">
      <w:pPr>
        <w:autoSpaceDE w:val="0"/>
        <w:autoSpaceDN w:val="0"/>
        <w:rPr>
          <w:rFonts w:ascii="Arial" w:hAnsi="Arial" w:cs="Arial"/>
          <w:color w:val="000000"/>
          <w:sz w:val="18"/>
          <w:szCs w:val="20"/>
        </w:rPr>
      </w:pPr>
    </w:p>
    <w:p w14:paraId="03EC041F" w14:textId="77777777" w:rsidR="009C4F7C" w:rsidRDefault="009C4F7C" w:rsidP="009C4F7C">
      <w:pPr>
        <w:autoSpaceDE w:val="0"/>
        <w:autoSpaceDN w:val="0"/>
        <w:rPr>
          <w:rFonts w:ascii="Arial" w:hAnsi="Arial" w:cs="Arial"/>
          <w:color w:val="000000"/>
          <w:sz w:val="18"/>
          <w:szCs w:val="20"/>
        </w:rPr>
      </w:pPr>
    </w:p>
    <w:p w14:paraId="1066D80E" w14:textId="77777777" w:rsidR="009C4F7C" w:rsidRPr="00442DBD" w:rsidRDefault="009C4F7C" w:rsidP="009C4F7C">
      <w:pPr>
        <w:autoSpaceDE w:val="0"/>
        <w:autoSpaceDN w:val="0"/>
        <w:rPr>
          <w:rFonts w:ascii="Calibri" w:hAnsi="Calibri" w:cs="Arial"/>
          <w:color w:val="000000"/>
          <w:sz w:val="22"/>
          <w:szCs w:val="22"/>
        </w:rPr>
      </w:pPr>
    </w:p>
    <w:p w14:paraId="547B4CCE" w14:textId="77777777" w:rsidR="009C4F7C" w:rsidRPr="00442DBD" w:rsidRDefault="009C4F7C" w:rsidP="009C4F7C">
      <w:pPr>
        <w:autoSpaceDE w:val="0"/>
        <w:autoSpaceDN w:val="0"/>
        <w:rPr>
          <w:rFonts w:ascii="Calibri" w:hAnsi="Calibri" w:cs="Arial"/>
          <w:color w:val="000000"/>
          <w:sz w:val="22"/>
          <w:szCs w:val="22"/>
        </w:rPr>
      </w:pPr>
    </w:p>
    <w:p w14:paraId="12B94749" w14:textId="745EB3E0" w:rsidR="009C4F7C" w:rsidRPr="00F029E6" w:rsidRDefault="009C4F7C" w:rsidP="009C4F7C">
      <w:pPr>
        <w:autoSpaceDE w:val="0"/>
        <w:autoSpaceDN w:val="0"/>
        <w:rPr>
          <w:rFonts w:ascii="Calibri" w:hAnsi="Calibri" w:cs="Arial"/>
          <w:color w:val="000000"/>
          <w:sz w:val="20"/>
          <w:szCs w:val="20"/>
        </w:rPr>
      </w:pPr>
      <w:r w:rsidRPr="00F029E6">
        <w:rPr>
          <w:rFonts w:ascii="Calibri" w:hAnsi="Calibri" w:cs="Arial"/>
          <w:color w:val="000000"/>
          <w:sz w:val="20"/>
          <w:szCs w:val="20"/>
        </w:rPr>
        <w:t>This document has been developed as a general guide only. It is subject to, and does not replace or amend the requirements of</w:t>
      </w:r>
      <w:r w:rsidR="003323C8">
        <w:rPr>
          <w:rFonts w:ascii="Calibri" w:hAnsi="Calibri" w:cs="Arial"/>
          <w:color w:val="000000"/>
          <w:sz w:val="20"/>
          <w:szCs w:val="20"/>
        </w:rPr>
        <w:t>,</w:t>
      </w:r>
      <w:r w:rsidRPr="00F029E6">
        <w:rPr>
          <w:rFonts w:ascii="Calibri" w:hAnsi="Calibri" w:cs="Arial"/>
          <w:color w:val="000000"/>
          <w:sz w:val="20"/>
          <w:szCs w:val="20"/>
        </w:rPr>
        <w:t xml:space="preserve"> the</w:t>
      </w:r>
      <w:r w:rsidRPr="00F029E6">
        <w:rPr>
          <w:rStyle w:val="Hyperlink"/>
          <w:rFonts w:ascii="Calibri" w:hAnsi="Calibri"/>
          <w:i/>
          <w:sz w:val="20"/>
          <w:szCs w:val="20"/>
        </w:rPr>
        <w:t xml:space="preserve"> </w:t>
      </w:r>
      <w:hyperlink r:id="rId13" w:tooltip="https://www.legislation.gov.au/Details/C2016C00227" w:history="1">
        <w:r w:rsidRPr="00F029E6">
          <w:rPr>
            <w:rStyle w:val="Hyperlink"/>
            <w:rFonts w:ascii="Calibri" w:hAnsi="Calibri" w:cs="Arial"/>
            <w:i/>
            <w:sz w:val="20"/>
            <w:szCs w:val="20"/>
          </w:rPr>
          <w:t>Offshore Petroleum and Greenhouse Gas Storage Act 2006</w:t>
        </w:r>
      </w:hyperlink>
      <w:r w:rsidRPr="00F029E6">
        <w:rPr>
          <w:rFonts w:ascii="Calibri" w:hAnsi="Calibri" w:cs="Arial"/>
          <w:color w:val="000000"/>
          <w:sz w:val="20"/>
          <w:szCs w:val="20"/>
        </w:rPr>
        <w:t xml:space="preserve"> </w:t>
      </w:r>
      <w:r w:rsidR="00AB762B">
        <w:rPr>
          <w:rFonts w:ascii="Calibri" w:hAnsi="Calibri" w:cs="Arial"/>
          <w:color w:val="000000"/>
          <w:sz w:val="20"/>
          <w:szCs w:val="20"/>
        </w:rPr>
        <w:t>(OPGGS Act)</w:t>
      </w:r>
      <w:r w:rsidR="00752E15">
        <w:rPr>
          <w:rFonts w:ascii="Calibri" w:hAnsi="Calibri" w:cs="Arial"/>
          <w:color w:val="000000"/>
          <w:sz w:val="20"/>
          <w:szCs w:val="20"/>
        </w:rPr>
        <w:t xml:space="preserve"> </w:t>
      </w:r>
      <w:r w:rsidRPr="00F029E6">
        <w:rPr>
          <w:rFonts w:ascii="Calibri" w:hAnsi="Calibri" w:cs="Arial"/>
          <w:color w:val="000000"/>
          <w:sz w:val="20"/>
          <w:szCs w:val="20"/>
        </w:rPr>
        <w:t xml:space="preserve">and associated </w:t>
      </w:r>
      <w:r w:rsidR="003323C8">
        <w:rPr>
          <w:rFonts w:ascii="Calibri" w:hAnsi="Calibri" w:cs="Arial"/>
          <w:color w:val="000000"/>
          <w:sz w:val="20"/>
          <w:szCs w:val="20"/>
        </w:rPr>
        <w:t>r</w:t>
      </w:r>
      <w:r w:rsidRPr="00F029E6">
        <w:rPr>
          <w:rFonts w:ascii="Calibri" w:hAnsi="Calibri" w:cs="Arial"/>
          <w:color w:val="000000"/>
          <w:sz w:val="20"/>
          <w:szCs w:val="20"/>
        </w:rPr>
        <w:t>egulations, which should be read in conjunction with this guideline.</w:t>
      </w:r>
    </w:p>
    <w:p w14:paraId="68F06A0C" w14:textId="77777777" w:rsidR="009C4F7C" w:rsidRPr="00F029E6" w:rsidRDefault="009C4F7C" w:rsidP="009C4F7C">
      <w:pPr>
        <w:autoSpaceDE w:val="0"/>
        <w:autoSpaceDN w:val="0"/>
        <w:rPr>
          <w:rFonts w:ascii="Calibri" w:hAnsi="Calibri" w:cs="Arial"/>
          <w:color w:val="000000"/>
          <w:sz w:val="20"/>
          <w:szCs w:val="20"/>
        </w:rPr>
      </w:pPr>
    </w:p>
    <w:p w14:paraId="6A2146D8" w14:textId="4A5338F4" w:rsidR="009C4F7C" w:rsidRPr="00F029E6" w:rsidRDefault="009C4F7C" w:rsidP="009C4F7C">
      <w:pPr>
        <w:spacing w:after="200"/>
        <w:rPr>
          <w:rFonts w:ascii="Calibri" w:hAnsi="Calibri" w:cs="Arial"/>
          <w:sz w:val="20"/>
          <w:szCs w:val="20"/>
        </w:rPr>
      </w:pPr>
      <w:r w:rsidRPr="00F029E6">
        <w:rPr>
          <w:rFonts w:ascii="Calibri" w:hAnsi="Calibri" w:cs="Arial"/>
          <w:color w:val="000000"/>
          <w:sz w:val="20"/>
          <w:szCs w:val="20"/>
        </w:rPr>
        <w:t>This guideline is made available by the Australian Government for information only. Before relying on this material, users should carefully evaluate the accuracy, currency, completeness and relevance of the inf</w:t>
      </w:r>
      <w:r w:rsidR="00AA5A06">
        <w:rPr>
          <w:rFonts w:ascii="Calibri" w:hAnsi="Calibri" w:cs="Arial"/>
          <w:color w:val="000000"/>
          <w:sz w:val="20"/>
          <w:szCs w:val="20"/>
        </w:rPr>
        <w:t>ormation and obtain independent</w:t>
      </w:r>
      <w:r w:rsidRPr="00F029E6">
        <w:rPr>
          <w:rFonts w:ascii="Calibri" w:hAnsi="Calibri" w:cs="Arial"/>
          <w:color w:val="000000"/>
          <w:sz w:val="20"/>
          <w:szCs w:val="20"/>
        </w:rPr>
        <w:t xml:space="preserve"> </w:t>
      </w:r>
      <w:r w:rsidRPr="00F029E6">
        <w:rPr>
          <w:rFonts w:ascii="Calibri" w:hAnsi="Calibri" w:cs="Arial"/>
          <w:sz w:val="20"/>
          <w:szCs w:val="20"/>
        </w:rPr>
        <w:t xml:space="preserve">legal or other </w:t>
      </w:r>
      <w:r w:rsidRPr="00F029E6">
        <w:rPr>
          <w:rFonts w:ascii="Calibri" w:hAnsi="Calibri" w:cs="Arial"/>
          <w:color w:val="000000"/>
          <w:sz w:val="20"/>
          <w:szCs w:val="20"/>
        </w:rPr>
        <w:t>professional advice relevant to their circumstances.</w:t>
      </w:r>
    </w:p>
    <w:p w14:paraId="19A7A94F" w14:textId="03CBE392" w:rsidR="009C4F7C" w:rsidRPr="00F029E6" w:rsidRDefault="009C4F7C" w:rsidP="009C4F7C">
      <w:pPr>
        <w:rPr>
          <w:rFonts w:ascii="Calibri" w:hAnsi="Calibri" w:cs="Arial"/>
          <w:sz w:val="20"/>
          <w:szCs w:val="20"/>
        </w:rPr>
      </w:pPr>
      <w:r w:rsidRPr="00F029E6">
        <w:rPr>
          <w:rFonts w:ascii="Calibri" w:hAnsi="Calibri" w:cs="Arial"/>
          <w:sz w:val="20"/>
          <w:szCs w:val="20"/>
        </w:rPr>
        <w:t xml:space="preserve">This document has been prepared by the </w:t>
      </w:r>
      <w:hyperlink r:id="rId14" w:tooltip="http://www.industry.gov.au/Pages/default.aspx" w:history="1">
        <w:r w:rsidRPr="004E1644">
          <w:rPr>
            <w:rStyle w:val="Hyperlink"/>
            <w:rFonts w:ascii="Calibri" w:hAnsi="Calibri" w:cs="Arial"/>
            <w:sz w:val="20"/>
            <w:szCs w:val="20"/>
          </w:rPr>
          <w:t xml:space="preserve">Australian Government </w:t>
        </w:r>
        <w:r w:rsidR="004E1644" w:rsidRPr="004E1644">
          <w:rPr>
            <w:rStyle w:val="Hyperlink"/>
            <w:rFonts w:ascii="Calibri" w:hAnsi="Calibri" w:cs="Arial"/>
            <w:sz w:val="20"/>
            <w:szCs w:val="20"/>
          </w:rPr>
          <w:t>Department of Industry, Science, Energy and Resources</w:t>
        </w:r>
        <w:r w:rsidR="004E1644">
          <w:rPr>
            <w:rStyle w:val="Hyperlink"/>
            <w:rFonts w:ascii="Calibri" w:hAnsi="Calibri" w:cs="Arial"/>
            <w:sz w:val="20"/>
            <w:szCs w:val="20"/>
          </w:rPr>
          <w:t xml:space="preserve"> </w:t>
        </w:r>
      </w:hyperlink>
      <w:r w:rsidRPr="00F029E6">
        <w:rPr>
          <w:rFonts w:ascii="Calibri" w:hAnsi="Calibri" w:cs="Arial"/>
          <w:sz w:val="20"/>
          <w:szCs w:val="20"/>
        </w:rPr>
        <w:t>. It will be reviewed and updated as required.</w:t>
      </w:r>
    </w:p>
    <w:p w14:paraId="5016F133" w14:textId="77777777" w:rsidR="009C4F7C" w:rsidRPr="00F029E6" w:rsidRDefault="009C4F7C" w:rsidP="009C4F7C">
      <w:pPr>
        <w:rPr>
          <w:rFonts w:ascii="Calibri" w:hAnsi="Calibri" w:cs="Arial"/>
          <w:sz w:val="20"/>
          <w:szCs w:val="20"/>
        </w:rPr>
      </w:pPr>
    </w:p>
    <w:p w14:paraId="2446F976" w14:textId="2974F1B6" w:rsidR="00114FE8" w:rsidRPr="00F029E6" w:rsidRDefault="009C4F7C" w:rsidP="009C4F7C">
      <w:pPr>
        <w:spacing w:after="160"/>
        <w:rPr>
          <w:rFonts w:asciiTheme="majorHAnsi" w:eastAsiaTheme="majorEastAsia" w:hAnsiTheme="majorHAnsi" w:cstheme="majorBidi"/>
          <w:color w:val="2E74B5" w:themeColor="accent1" w:themeShade="BF"/>
          <w:sz w:val="20"/>
          <w:szCs w:val="20"/>
          <w:lang w:eastAsia="en-US"/>
        </w:rPr>
      </w:pPr>
      <w:r w:rsidRPr="00F029E6">
        <w:rPr>
          <w:rFonts w:ascii="Calibri" w:hAnsi="Calibri" w:cs="Arial"/>
          <w:sz w:val="20"/>
          <w:szCs w:val="20"/>
        </w:rPr>
        <w:t xml:space="preserve">This document is available online at </w:t>
      </w:r>
      <w:hyperlink r:id="rId15" w:tooltip="http://www.nopta.gov.au/" w:history="1">
        <w:r w:rsidRPr="00F029E6">
          <w:rPr>
            <w:rStyle w:val="Hyperlink"/>
            <w:rFonts w:ascii="Calibri" w:hAnsi="Calibri" w:cs="Arial"/>
            <w:sz w:val="20"/>
            <w:szCs w:val="20"/>
          </w:rPr>
          <w:t>www.nopta.gov.au</w:t>
        </w:r>
      </w:hyperlink>
      <w:r w:rsidRPr="00F029E6">
        <w:rPr>
          <w:rStyle w:val="Hyperlink"/>
          <w:rFonts w:ascii="Calibri" w:hAnsi="Calibri" w:cs="Arial"/>
          <w:sz w:val="20"/>
          <w:szCs w:val="20"/>
        </w:rPr>
        <w:t>.</w:t>
      </w:r>
      <w:r w:rsidRPr="00F029E6">
        <w:rPr>
          <w:sz w:val="20"/>
          <w:szCs w:val="20"/>
        </w:rPr>
        <w:br w:type="page"/>
      </w:r>
    </w:p>
    <w:sdt>
      <w:sdtPr>
        <w:rPr>
          <w:rFonts w:ascii="Times New Roman" w:eastAsia="Times New Roman" w:hAnsi="Times New Roman" w:cs="Times New Roman"/>
          <w:color w:val="auto"/>
          <w:sz w:val="24"/>
          <w:szCs w:val="24"/>
          <w:lang w:val="en-AU" w:eastAsia="en-AU"/>
        </w:rPr>
        <w:id w:val="-1994168667"/>
        <w:docPartObj>
          <w:docPartGallery w:val="Table of Contents"/>
          <w:docPartUnique/>
        </w:docPartObj>
      </w:sdtPr>
      <w:sdtEndPr>
        <w:rPr>
          <w:bCs/>
          <w:noProof/>
        </w:rPr>
      </w:sdtEndPr>
      <w:sdtContent>
        <w:p w14:paraId="7080D54E" w14:textId="77777777" w:rsidR="007C26C8" w:rsidRDefault="002F605A" w:rsidP="007C26C8">
          <w:pPr>
            <w:pStyle w:val="TOCHeading"/>
            <w:spacing w:line="240" w:lineRule="auto"/>
            <w:rPr>
              <w:rFonts w:ascii="Cambria" w:hAnsi="Cambria"/>
              <w:b/>
            </w:rPr>
          </w:pPr>
          <w:r w:rsidRPr="009127B7">
            <w:rPr>
              <w:rFonts w:ascii="Cambria" w:hAnsi="Cambria"/>
              <w:b/>
            </w:rPr>
            <w:t>Contents</w:t>
          </w:r>
        </w:p>
        <w:p w14:paraId="3E68C9C6" w14:textId="554507FF" w:rsidR="002921C9" w:rsidRPr="00CE7289" w:rsidRDefault="002F605A" w:rsidP="00125D28">
          <w:pPr>
            <w:pStyle w:val="TOC1"/>
            <w:rPr>
              <w:rFonts w:eastAsiaTheme="minorEastAsia" w:cstheme="minorBidi"/>
              <w:noProof/>
            </w:rPr>
          </w:pPr>
          <w:r w:rsidRPr="00CE7289">
            <w:fldChar w:fldCharType="begin"/>
          </w:r>
          <w:r w:rsidRPr="00CE7289">
            <w:instrText xml:space="preserve"> TOC \o "1-3" \h \z \u </w:instrText>
          </w:r>
          <w:r w:rsidRPr="00CE7289">
            <w:fldChar w:fldCharType="separate"/>
          </w:r>
        </w:p>
        <w:p w14:paraId="551174F7" w14:textId="554507FF" w:rsidR="002921C9" w:rsidRPr="00CE7289" w:rsidRDefault="000A096E" w:rsidP="00125D28">
          <w:pPr>
            <w:pStyle w:val="TOC1"/>
            <w:rPr>
              <w:rFonts w:eastAsiaTheme="minorEastAsia" w:cstheme="minorBidi"/>
              <w:noProof/>
            </w:rPr>
          </w:pPr>
          <w:hyperlink w:anchor="_Toc489460834" w:history="1">
            <w:r w:rsidR="002921C9" w:rsidRPr="00CE7289">
              <w:rPr>
                <w:rStyle w:val="Hyperlink"/>
                <w:rFonts w:ascii="Calibri" w:hAnsi="Calibri"/>
                <w:noProof/>
                <w:sz w:val="22"/>
                <w:szCs w:val="22"/>
                <w:lang w:eastAsia="en-US"/>
              </w:rPr>
              <w:t>1</w:t>
            </w:r>
            <w:r w:rsidR="002921C9" w:rsidRPr="00CE7289">
              <w:rPr>
                <w:rFonts w:eastAsiaTheme="minorEastAsia" w:cstheme="minorBidi"/>
                <w:noProof/>
              </w:rPr>
              <w:tab/>
            </w:r>
            <w:r w:rsidR="002921C9" w:rsidRPr="00CE7289">
              <w:rPr>
                <w:rStyle w:val="Hyperlink"/>
                <w:rFonts w:ascii="Calibri" w:hAnsi="Calibri"/>
                <w:noProof/>
                <w:sz w:val="22"/>
                <w:szCs w:val="22"/>
                <w:lang w:eastAsia="en-US"/>
              </w:rPr>
              <w:t>Purpose</w:t>
            </w:r>
            <w:r w:rsidR="002921C9" w:rsidRPr="00CE7289">
              <w:rPr>
                <w:noProof/>
                <w:webHidden/>
              </w:rPr>
              <w:tab/>
            </w:r>
            <w:r w:rsidR="002921C9" w:rsidRPr="00CE7289">
              <w:rPr>
                <w:noProof/>
                <w:webHidden/>
              </w:rPr>
              <w:fldChar w:fldCharType="begin"/>
            </w:r>
            <w:r w:rsidR="002921C9" w:rsidRPr="00CE7289">
              <w:rPr>
                <w:noProof/>
                <w:webHidden/>
              </w:rPr>
              <w:instrText xml:space="preserve"> PAGEREF _Toc489460834 \h </w:instrText>
            </w:r>
            <w:r w:rsidR="002921C9" w:rsidRPr="00CE7289">
              <w:rPr>
                <w:noProof/>
                <w:webHidden/>
              </w:rPr>
            </w:r>
            <w:r w:rsidR="002921C9" w:rsidRPr="00CE7289">
              <w:rPr>
                <w:noProof/>
                <w:webHidden/>
              </w:rPr>
              <w:fldChar w:fldCharType="separate"/>
            </w:r>
            <w:r w:rsidR="008D3796">
              <w:rPr>
                <w:noProof/>
                <w:webHidden/>
              </w:rPr>
              <w:t>3</w:t>
            </w:r>
            <w:r w:rsidR="002921C9" w:rsidRPr="00CE7289">
              <w:rPr>
                <w:noProof/>
                <w:webHidden/>
              </w:rPr>
              <w:fldChar w:fldCharType="end"/>
            </w:r>
          </w:hyperlink>
        </w:p>
        <w:p w14:paraId="19C0FEE0" w14:textId="77777777" w:rsidR="002921C9" w:rsidRPr="00CE7289" w:rsidRDefault="000A096E" w:rsidP="00125D28">
          <w:pPr>
            <w:pStyle w:val="TOC1"/>
            <w:rPr>
              <w:rFonts w:eastAsiaTheme="minorEastAsia" w:cstheme="minorBidi"/>
              <w:noProof/>
            </w:rPr>
          </w:pPr>
          <w:hyperlink w:anchor="_Toc489460835" w:history="1">
            <w:r w:rsidR="002921C9" w:rsidRPr="00CE7289">
              <w:rPr>
                <w:rStyle w:val="Hyperlink"/>
                <w:rFonts w:ascii="Calibri" w:hAnsi="Calibri"/>
                <w:bCs/>
                <w:noProof/>
                <w:sz w:val="22"/>
                <w:szCs w:val="22"/>
                <w:lang w:eastAsia="en-US"/>
              </w:rPr>
              <w:t>2</w:t>
            </w:r>
            <w:r w:rsidR="002921C9" w:rsidRPr="00CE7289">
              <w:rPr>
                <w:rFonts w:eastAsiaTheme="minorEastAsia" w:cstheme="minorBidi"/>
                <w:noProof/>
              </w:rPr>
              <w:tab/>
            </w:r>
            <w:r w:rsidR="002921C9" w:rsidRPr="00CE7289">
              <w:rPr>
                <w:rStyle w:val="Hyperlink"/>
                <w:rFonts w:ascii="Calibri" w:hAnsi="Calibri"/>
                <w:bCs/>
                <w:noProof/>
                <w:sz w:val="22"/>
                <w:szCs w:val="22"/>
                <w:lang w:eastAsia="en-US"/>
              </w:rPr>
              <w:t>Commonwealth decommissioning policies</w:t>
            </w:r>
            <w:r w:rsidR="002921C9" w:rsidRPr="00CE7289">
              <w:rPr>
                <w:noProof/>
                <w:webHidden/>
              </w:rPr>
              <w:tab/>
            </w:r>
            <w:r w:rsidR="002921C9" w:rsidRPr="00CE7289">
              <w:rPr>
                <w:noProof/>
                <w:webHidden/>
              </w:rPr>
              <w:fldChar w:fldCharType="begin"/>
            </w:r>
            <w:r w:rsidR="002921C9" w:rsidRPr="00CE7289">
              <w:rPr>
                <w:noProof/>
                <w:webHidden/>
              </w:rPr>
              <w:instrText xml:space="preserve"> PAGEREF _Toc489460835 \h </w:instrText>
            </w:r>
            <w:r w:rsidR="002921C9" w:rsidRPr="00CE7289">
              <w:rPr>
                <w:noProof/>
                <w:webHidden/>
              </w:rPr>
            </w:r>
            <w:r w:rsidR="002921C9" w:rsidRPr="00CE7289">
              <w:rPr>
                <w:noProof/>
                <w:webHidden/>
              </w:rPr>
              <w:fldChar w:fldCharType="separate"/>
            </w:r>
            <w:r w:rsidR="008D3796">
              <w:rPr>
                <w:noProof/>
                <w:webHidden/>
              </w:rPr>
              <w:t>4</w:t>
            </w:r>
            <w:r w:rsidR="002921C9" w:rsidRPr="00CE7289">
              <w:rPr>
                <w:noProof/>
                <w:webHidden/>
              </w:rPr>
              <w:fldChar w:fldCharType="end"/>
            </w:r>
          </w:hyperlink>
        </w:p>
        <w:p w14:paraId="670C3889" w14:textId="4C73DD3C" w:rsidR="002921C9" w:rsidRPr="00CE7289" w:rsidRDefault="000A096E" w:rsidP="00125D28">
          <w:pPr>
            <w:pStyle w:val="TOC1"/>
            <w:rPr>
              <w:rFonts w:eastAsiaTheme="minorEastAsia" w:cstheme="minorBidi"/>
              <w:noProof/>
            </w:rPr>
          </w:pPr>
          <w:hyperlink w:anchor="_Toc489460840" w:history="1">
            <w:r w:rsidR="002921C9" w:rsidRPr="00CE7289">
              <w:rPr>
                <w:rStyle w:val="Hyperlink"/>
                <w:rFonts w:ascii="Calibri" w:hAnsi="Calibri"/>
                <w:bCs/>
                <w:noProof/>
                <w:sz w:val="22"/>
                <w:szCs w:val="22"/>
                <w:lang w:eastAsia="en-US"/>
              </w:rPr>
              <w:t>3</w:t>
            </w:r>
            <w:r w:rsidR="002921C9" w:rsidRPr="00CE7289">
              <w:rPr>
                <w:rFonts w:eastAsiaTheme="minorEastAsia" w:cstheme="minorBidi"/>
                <w:noProof/>
              </w:rPr>
              <w:tab/>
            </w:r>
            <w:r w:rsidR="002921C9" w:rsidRPr="00CE7289">
              <w:rPr>
                <w:rStyle w:val="Hyperlink"/>
                <w:rFonts w:ascii="Calibri" w:hAnsi="Calibri"/>
                <w:bCs/>
                <w:noProof/>
                <w:sz w:val="22"/>
                <w:szCs w:val="22"/>
                <w:lang w:eastAsia="en-US"/>
              </w:rPr>
              <w:t>Core decommissioning provisions: OPGGS Act</w:t>
            </w:r>
            <w:r w:rsidR="002921C9" w:rsidRPr="00CE7289">
              <w:rPr>
                <w:noProof/>
                <w:webHidden/>
              </w:rPr>
              <w:tab/>
            </w:r>
            <w:r w:rsidR="002921C9" w:rsidRPr="00CE7289">
              <w:rPr>
                <w:noProof/>
                <w:webHidden/>
              </w:rPr>
              <w:fldChar w:fldCharType="begin"/>
            </w:r>
            <w:r w:rsidR="002921C9" w:rsidRPr="00CE7289">
              <w:rPr>
                <w:noProof/>
                <w:webHidden/>
              </w:rPr>
              <w:instrText xml:space="preserve"> PAGEREF _Toc489460840 \h </w:instrText>
            </w:r>
            <w:r w:rsidR="002921C9" w:rsidRPr="00CE7289">
              <w:rPr>
                <w:noProof/>
                <w:webHidden/>
              </w:rPr>
            </w:r>
            <w:r w:rsidR="002921C9" w:rsidRPr="00CE7289">
              <w:rPr>
                <w:noProof/>
                <w:webHidden/>
              </w:rPr>
              <w:fldChar w:fldCharType="separate"/>
            </w:r>
            <w:r w:rsidR="008D3796">
              <w:rPr>
                <w:noProof/>
                <w:webHidden/>
              </w:rPr>
              <w:t>6</w:t>
            </w:r>
            <w:r w:rsidR="002921C9" w:rsidRPr="00CE7289">
              <w:rPr>
                <w:noProof/>
                <w:webHidden/>
              </w:rPr>
              <w:fldChar w:fldCharType="end"/>
            </w:r>
          </w:hyperlink>
        </w:p>
        <w:p w14:paraId="4671A086" w14:textId="6300D8E6" w:rsidR="002921C9" w:rsidRPr="00CE7289" w:rsidRDefault="000A096E" w:rsidP="00125D28">
          <w:pPr>
            <w:pStyle w:val="TOC1"/>
            <w:rPr>
              <w:rFonts w:eastAsiaTheme="minorEastAsia" w:cstheme="minorBidi"/>
              <w:noProof/>
            </w:rPr>
          </w:pPr>
          <w:hyperlink w:anchor="_Toc489460843" w:history="1">
            <w:r w:rsidR="002921C9" w:rsidRPr="00CE7289">
              <w:rPr>
                <w:rStyle w:val="Hyperlink"/>
                <w:rFonts w:ascii="Calibri" w:hAnsi="Calibri"/>
                <w:bCs/>
                <w:noProof/>
                <w:sz w:val="22"/>
                <w:szCs w:val="22"/>
                <w:lang w:eastAsia="en-US"/>
              </w:rPr>
              <w:t>4</w:t>
            </w:r>
            <w:r w:rsidR="002921C9" w:rsidRPr="00CE7289">
              <w:rPr>
                <w:rFonts w:eastAsiaTheme="minorEastAsia" w:cstheme="minorBidi"/>
                <w:noProof/>
              </w:rPr>
              <w:tab/>
            </w:r>
            <w:r w:rsidR="002921C9" w:rsidRPr="00CE7289">
              <w:rPr>
                <w:rStyle w:val="Hyperlink"/>
                <w:rFonts w:ascii="Calibri" w:hAnsi="Calibri"/>
                <w:bCs/>
                <w:noProof/>
                <w:sz w:val="22"/>
                <w:szCs w:val="22"/>
                <w:lang w:eastAsia="en-US"/>
              </w:rPr>
              <w:t>Regulatory requirements</w:t>
            </w:r>
            <w:r w:rsidR="002921C9" w:rsidRPr="00CE7289">
              <w:rPr>
                <w:noProof/>
                <w:webHidden/>
              </w:rPr>
              <w:tab/>
            </w:r>
            <w:r w:rsidR="002921C9" w:rsidRPr="00CE7289">
              <w:rPr>
                <w:noProof/>
                <w:webHidden/>
              </w:rPr>
              <w:fldChar w:fldCharType="begin"/>
            </w:r>
            <w:r w:rsidR="002921C9" w:rsidRPr="00CE7289">
              <w:rPr>
                <w:noProof/>
                <w:webHidden/>
              </w:rPr>
              <w:instrText xml:space="preserve"> PAGEREF _Toc489460843 \h </w:instrText>
            </w:r>
            <w:r w:rsidR="002921C9" w:rsidRPr="00CE7289">
              <w:rPr>
                <w:noProof/>
                <w:webHidden/>
              </w:rPr>
            </w:r>
            <w:r w:rsidR="002921C9" w:rsidRPr="00CE7289">
              <w:rPr>
                <w:noProof/>
                <w:webHidden/>
              </w:rPr>
              <w:fldChar w:fldCharType="separate"/>
            </w:r>
            <w:r w:rsidR="008D3796">
              <w:rPr>
                <w:noProof/>
                <w:webHidden/>
              </w:rPr>
              <w:t>9</w:t>
            </w:r>
            <w:r w:rsidR="002921C9" w:rsidRPr="00CE7289">
              <w:rPr>
                <w:noProof/>
                <w:webHidden/>
              </w:rPr>
              <w:fldChar w:fldCharType="end"/>
            </w:r>
          </w:hyperlink>
        </w:p>
        <w:p w14:paraId="00648A28" w14:textId="328DCC65" w:rsidR="002921C9" w:rsidRPr="00CE7289" w:rsidRDefault="000A096E" w:rsidP="00125D28">
          <w:pPr>
            <w:pStyle w:val="TOC1"/>
            <w:rPr>
              <w:rFonts w:eastAsiaTheme="minorEastAsia" w:cstheme="minorBidi"/>
              <w:noProof/>
            </w:rPr>
          </w:pPr>
          <w:hyperlink w:anchor="_Toc489460847" w:history="1">
            <w:r w:rsidR="002921C9" w:rsidRPr="00CE7289">
              <w:rPr>
                <w:rStyle w:val="Hyperlink"/>
                <w:rFonts w:ascii="Calibri" w:hAnsi="Calibri"/>
                <w:noProof/>
                <w:sz w:val="22"/>
                <w:szCs w:val="22"/>
              </w:rPr>
              <w:t>5</w:t>
            </w:r>
            <w:r w:rsidR="002921C9" w:rsidRPr="00CE7289">
              <w:rPr>
                <w:rFonts w:eastAsiaTheme="minorEastAsia" w:cstheme="minorBidi"/>
                <w:noProof/>
              </w:rPr>
              <w:tab/>
            </w:r>
            <w:r w:rsidR="002921C9" w:rsidRPr="00CE7289">
              <w:rPr>
                <w:rStyle w:val="Hyperlink"/>
                <w:rFonts w:ascii="Calibri" w:hAnsi="Calibri"/>
                <w:noProof/>
                <w:sz w:val="22"/>
                <w:szCs w:val="22"/>
              </w:rPr>
              <w:t>Other relevant laws</w:t>
            </w:r>
            <w:r w:rsidR="002921C9" w:rsidRPr="00CE7289">
              <w:rPr>
                <w:noProof/>
                <w:webHidden/>
              </w:rPr>
              <w:tab/>
            </w:r>
            <w:r w:rsidR="002921C9" w:rsidRPr="00CE7289">
              <w:rPr>
                <w:noProof/>
                <w:webHidden/>
              </w:rPr>
              <w:fldChar w:fldCharType="begin"/>
            </w:r>
            <w:r w:rsidR="002921C9" w:rsidRPr="00CE7289">
              <w:rPr>
                <w:noProof/>
                <w:webHidden/>
              </w:rPr>
              <w:instrText xml:space="preserve"> PAGEREF _Toc489460847 \h </w:instrText>
            </w:r>
            <w:r w:rsidR="002921C9" w:rsidRPr="00CE7289">
              <w:rPr>
                <w:noProof/>
                <w:webHidden/>
              </w:rPr>
            </w:r>
            <w:r w:rsidR="002921C9" w:rsidRPr="00CE7289">
              <w:rPr>
                <w:noProof/>
                <w:webHidden/>
              </w:rPr>
              <w:fldChar w:fldCharType="separate"/>
            </w:r>
            <w:r w:rsidR="008D3796">
              <w:rPr>
                <w:noProof/>
                <w:webHidden/>
              </w:rPr>
              <w:t>14</w:t>
            </w:r>
            <w:r w:rsidR="002921C9" w:rsidRPr="00CE7289">
              <w:rPr>
                <w:noProof/>
                <w:webHidden/>
              </w:rPr>
              <w:fldChar w:fldCharType="end"/>
            </w:r>
          </w:hyperlink>
        </w:p>
        <w:p w14:paraId="02E93255" w14:textId="21B14752" w:rsidR="002921C9" w:rsidRPr="00CE7289" w:rsidRDefault="000A096E" w:rsidP="00125D28">
          <w:pPr>
            <w:pStyle w:val="TOC1"/>
            <w:rPr>
              <w:rFonts w:eastAsiaTheme="minorEastAsia" w:cstheme="minorBidi"/>
              <w:noProof/>
            </w:rPr>
          </w:pPr>
          <w:hyperlink w:anchor="_Toc489460851" w:history="1">
            <w:r w:rsidR="00CE7289">
              <w:rPr>
                <w:rStyle w:val="Hyperlink"/>
                <w:rFonts w:ascii="Calibri" w:hAnsi="Calibri"/>
                <w:noProof/>
                <w:sz w:val="22"/>
                <w:szCs w:val="22"/>
              </w:rPr>
              <w:t>Annex 1</w:t>
            </w:r>
            <w:r w:rsidR="00125D28">
              <w:rPr>
                <w:rStyle w:val="Hyperlink"/>
                <w:rFonts w:ascii="Calibri" w:hAnsi="Calibri"/>
                <w:noProof/>
                <w:sz w:val="22"/>
                <w:szCs w:val="22"/>
              </w:rPr>
              <w:tab/>
            </w:r>
            <w:r w:rsidR="002921C9" w:rsidRPr="00CE7289">
              <w:rPr>
                <w:rStyle w:val="Hyperlink"/>
                <w:rFonts w:ascii="Calibri" w:hAnsi="Calibri"/>
                <w:noProof/>
                <w:sz w:val="22"/>
                <w:szCs w:val="22"/>
              </w:rPr>
              <w:t>Approvals process: decommissioning and surrender of title</w:t>
            </w:r>
            <w:r w:rsidR="002921C9" w:rsidRPr="00CE7289">
              <w:rPr>
                <w:noProof/>
                <w:webHidden/>
              </w:rPr>
              <w:tab/>
            </w:r>
            <w:r w:rsidR="002921C9" w:rsidRPr="00CE7289">
              <w:rPr>
                <w:noProof/>
                <w:webHidden/>
              </w:rPr>
              <w:fldChar w:fldCharType="begin"/>
            </w:r>
            <w:r w:rsidR="002921C9" w:rsidRPr="00CE7289">
              <w:rPr>
                <w:noProof/>
                <w:webHidden/>
              </w:rPr>
              <w:instrText xml:space="preserve"> PAGEREF _Toc489460851 \h </w:instrText>
            </w:r>
            <w:r w:rsidR="002921C9" w:rsidRPr="00CE7289">
              <w:rPr>
                <w:noProof/>
                <w:webHidden/>
              </w:rPr>
            </w:r>
            <w:r w:rsidR="002921C9" w:rsidRPr="00CE7289">
              <w:rPr>
                <w:noProof/>
                <w:webHidden/>
              </w:rPr>
              <w:fldChar w:fldCharType="separate"/>
            </w:r>
            <w:r w:rsidR="008D3796">
              <w:rPr>
                <w:noProof/>
                <w:webHidden/>
              </w:rPr>
              <w:t>16</w:t>
            </w:r>
            <w:r w:rsidR="002921C9" w:rsidRPr="00CE7289">
              <w:rPr>
                <w:noProof/>
                <w:webHidden/>
              </w:rPr>
              <w:fldChar w:fldCharType="end"/>
            </w:r>
          </w:hyperlink>
        </w:p>
        <w:p w14:paraId="4EF9ADA2" w14:textId="0B4405B2" w:rsidR="002F605A" w:rsidRPr="00CE7289" w:rsidRDefault="000A096E" w:rsidP="00125D28">
          <w:pPr>
            <w:pStyle w:val="TOC1"/>
            <w:rPr>
              <w:rFonts w:eastAsiaTheme="minorEastAsia" w:cstheme="minorBidi"/>
              <w:noProof/>
            </w:rPr>
          </w:pPr>
          <w:hyperlink w:anchor="_Toc489460854" w:history="1">
            <w:r w:rsidR="002921C9" w:rsidRPr="00CE7289">
              <w:rPr>
                <w:rStyle w:val="Hyperlink"/>
                <w:rFonts w:ascii="Calibri" w:hAnsi="Calibri"/>
                <w:noProof/>
                <w:sz w:val="22"/>
                <w:szCs w:val="22"/>
                <w:lang w:eastAsia="en-US"/>
              </w:rPr>
              <w:t>Annex 2</w:t>
            </w:r>
            <w:r w:rsidR="002921C9" w:rsidRPr="00CE7289">
              <w:rPr>
                <w:rFonts w:eastAsiaTheme="minorEastAsia" w:cstheme="minorBidi"/>
                <w:noProof/>
              </w:rPr>
              <w:tab/>
            </w:r>
            <w:r w:rsidR="002921C9" w:rsidRPr="00CE7289">
              <w:rPr>
                <w:rStyle w:val="Hyperlink"/>
                <w:rFonts w:ascii="Calibri" w:hAnsi="Calibri"/>
                <w:noProof/>
                <w:sz w:val="22"/>
                <w:szCs w:val="22"/>
                <w:lang w:eastAsia="en-US"/>
              </w:rPr>
              <w:t>Glossary of key terms</w:t>
            </w:r>
            <w:r w:rsidR="002921C9" w:rsidRPr="00CE7289">
              <w:rPr>
                <w:noProof/>
                <w:webHidden/>
              </w:rPr>
              <w:tab/>
            </w:r>
            <w:r w:rsidR="002921C9" w:rsidRPr="00CE7289">
              <w:rPr>
                <w:noProof/>
                <w:webHidden/>
              </w:rPr>
              <w:fldChar w:fldCharType="begin"/>
            </w:r>
            <w:r w:rsidR="002921C9" w:rsidRPr="00CE7289">
              <w:rPr>
                <w:noProof/>
                <w:webHidden/>
              </w:rPr>
              <w:instrText xml:space="preserve"> PAGEREF _Toc489460854 \h </w:instrText>
            </w:r>
            <w:r w:rsidR="002921C9" w:rsidRPr="00CE7289">
              <w:rPr>
                <w:noProof/>
                <w:webHidden/>
              </w:rPr>
            </w:r>
            <w:r w:rsidR="002921C9" w:rsidRPr="00CE7289">
              <w:rPr>
                <w:noProof/>
                <w:webHidden/>
              </w:rPr>
              <w:fldChar w:fldCharType="separate"/>
            </w:r>
            <w:r w:rsidR="008D3796">
              <w:rPr>
                <w:noProof/>
                <w:webHidden/>
              </w:rPr>
              <w:t>17</w:t>
            </w:r>
            <w:r w:rsidR="002921C9" w:rsidRPr="00CE7289">
              <w:rPr>
                <w:noProof/>
                <w:webHidden/>
              </w:rPr>
              <w:fldChar w:fldCharType="end"/>
            </w:r>
          </w:hyperlink>
          <w:r w:rsidR="002F605A" w:rsidRPr="00CE7289">
            <w:rPr>
              <w:bCs/>
              <w:noProof/>
            </w:rPr>
            <w:fldChar w:fldCharType="end"/>
          </w:r>
        </w:p>
      </w:sdtContent>
    </w:sdt>
    <w:p w14:paraId="36548590" w14:textId="77777777" w:rsidR="00580A1D" w:rsidRDefault="00580A1D" w:rsidP="009C4F7C">
      <w:pPr>
        <w:pStyle w:val="Heading1"/>
        <w:rPr>
          <w:sz w:val="22"/>
          <w:szCs w:val="22"/>
        </w:rPr>
      </w:pPr>
    </w:p>
    <w:p w14:paraId="3FEF722E" w14:textId="77777777" w:rsidR="00580A1D" w:rsidRPr="00E155A1" w:rsidRDefault="00580A1D" w:rsidP="00125D28">
      <w:pPr>
        <w:pStyle w:val="Heading2"/>
      </w:pPr>
      <w:r w:rsidRPr="00E155A1">
        <w:t>Table of revisions</w:t>
      </w:r>
    </w:p>
    <w:p w14:paraId="5FFC17D7" w14:textId="77777777" w:rsidR="00580A1D" w:rsidRDefault="00580A1D" w:rsidP="00580A1D">
      <w:pPr>
        <w:pStyle w:val="Default"/>
        <w:rPr>
          <w:rFonts w:ascii="Arial" w:hAnsi="Arial" w:cs="Arial"/>
          <w:b/>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097"/>
        <w:gridCol w:w="4035"/>
        <w:gridCol w:w="1884"/>
      </w:tblGrid>
      <w:tr w:rsidR="00580A1D" w:rsidRPr="00880BE1" w14:paraId="3356C368" w14:textId="77777777" w:rsidTr="00D30E1E">
        <w:trPr>
          <w:tblHeader/>
        </w:trPr>
        <w:tc>
          <w:tcPr>
            <w:tcW w:w="2306" w:type="dxa"/>
            <w:shd w:val="clear" w:color="auto" w:fill="002060"/>
          </w:tcPr>
          <w:p w14:paraId="652B77BB" w14:textId="77777777" w:rsidR="00580A1D" w:rsidRPr="002E3D1B" w:rsidRDefault="00580A1D" w:rsidP="00D30E1E">
            <w:pPr>
              <w:pStyle w:val="Bolt"/>
              <w:rPr>
                <w:sz w:val="22"/>
                <w:szCs w:val="22"/>
              </w:rPr>
            </w:pPr>
            <w:r w:rsidRPr="002E3D1B">
              <w:rPr>
                <w:sz w:val="22"/>
                <w:szCs w:val="22"/>
              </w:rPr>
              <w:t>Date</w:t>
            </w:r>
          </w:p>
        </w:tc>
        <w:tc>
          <w:tcPr>
            <w:tcW w:w="1097" w:type="dxa"/>
            <w:shd w:val="clear" w:color="auto" w:fill="002060"/>
          </w:tcPr>
          <w:p w14:paraId="4F9D3EF6" w14:textId="77777777" w:rsidR="00580A1D" w:rsidRPr="002E3D1B" w:rsidRDefault="00580A1D" w:rsidP="00D30E1E">
            <w:pPr>
              <w:pStyle w:val="Bolt"/>
              <w:rPr>
                <w:sz w:val="22"/>
                <w:szCs w:val="22"/>
              </w:rPr>
            </w:pPr>
            <w:r w:rsidRPr="002E3D1B">
              <w:rPr>
                <w:sz w:val="22"/>
                <w:szCs w:val="22"/>
              </w:rPr>
              <w:t>Version</w:t>
            </w:r>
          </w:p>
        </w:tc>
        <w:tc>
          <w:tcPr>
            <w:tcW w:w="4035" w:type="dxa"/>
            <w:shd w:val="clear" w:color="auto" w:fill="002060"/>
          </w:tcPr>
          <w:p w14:paraId="5E855123" w14:textId="77777777" w:rsidR="00580A1D" w:rsidRPr="002E3D1B" w:rsidRDefault="00580A1D" w:rsidP="00D30E1E">
            <w:pPr>
              <w:pStyle w:val="Bolt"/>
              <w:rPr>
                <w:sz w:val="22"/>
                <w:szCs w:val="22"/>
              </w:rPr>
            </w:pPr>
            <w:r w:rsidRPr="002E3D1B">
              <w:rPr>
                <w:sz w:val="22"/>
                <w:szCs w:val="22"/>
              </w:rPr>
              <w:t>Purpose</w:t>
            </w:r>
          </w:p>
        </w:tc>
        <w:tc>
          <w:tcPr>
            <w:tcW w:w="1884" w:type="dxa"/>
            <w:shd w:val="clear" w:color="auto" w:fill="002060"/>
          </w:tcPr>
          <w:p w14:paraId="3B868987" w14:textId="77777777" w:rsidR="00580A1D" w:rsidRPr="002E3D1B" w:rsidRDefault="00580A1D" w:rsidP="00D30E1E">
            <w:pPr>
              <w:pStyle w:val="Bolt"/>
              <w:rPr>
                <w:sz w:val="22"/>
                <w:szCs w:val="22"/>
              </w:rPr>
            </w:pPr>
            <w:r w:rsidRPr="002E3D1B">
              <w:rPr>
                <w:sz w:val="22"/>
                <w:szCs w:val="22"/>
              </w:rPr>
              <w:t>Jurisdiction</w:t>
            </w:r>
          </w:p>
        </w:tc>
      </w:tr>
      <w:tr w:rsidR="000B3F39" w:rsidRPr="00880BE1" w14:paraId="1FD6CB6C" w14:textId="77777777" w:rsidTr="00D30E1E">
        <w:tc>
          <w:tcPr>
            <w:tcW w:w="2306" w:type="dxa"/>
            <w:shd w:val="clear" w:color="auto" w:fill="F2F2F2" w:themeFill="background1" w:themeFillShade="F2"/>
          </w:tcPr>
          <w:p w14:paraId="56288592" w14:textId="2B405B7F" w:rsidR="000B3F39" w:rsidRDefault="000B3F39" w:rsidP="0047713B">
            <w:pPr>
              <w:pStyle w:val="BodyText"/>
              <w:autoSpaceDE w:val="0"/>
              <w:autoSpaceDN w:val="0"/>
              <w:adjustRightInd w:val="0"/>
              <w:spacing w:before="120"/>
              <w:jc w:val="center"/>
              <w:rPr>
                <w:rFonts w:cs="Arial"/>
                <w:sz w:val="22"/>
                <w:szCs w:val="22"/>
              </w:rPr>
            </w:pPr>
            <w:r>
              <w:rPr>
                <w:rFonts w:cs="Arial"/>
                <w:sz w:val="22"/>
                <w:szCs w:val="22"/>
              </w:rPr>
              <w:t>February 2020</w:t>
            </w:r>
          </w:p>
        </w:tc>
        <w:tc>
          <w:tcPr>
            <w:tcW w:w="1097" w:type="dxa"/>
            <w:shd w:val="clear" w:color="auto" w:fill="F2F2F2" w:themeFill="background1" w:themeFillShade="F2"/>
          </w:tcPr>
          <w:p w14:paraId="6B990A9A" w14:textId="5F02D46D" w:rsidR="000B3F39" w:rsidRPr="002E3D1B" w:rsidRDefault="000B3F39" w:rsidP="00D30E1E">
            <w:pPr>
              <w:pStyle w:val="BodyText"/>
              <w:autoSpaceDE w:val="0"/>
              <w:autoSpaceDN w:val="0"/>
              <w:adjustRightInd w:val="0"/>
              <w:spacing w:before="120"/>
              <w:jc w:val="center"/>
              <w:rPr>
                <w:rFonts w:cs="Arial"/>
                <w:sz w:val="22"/>
                <w:szCs w:val="22"/>
              </w:rPr>
            </w:pPr>
            <w:r>
              <w:rPr>
                <w:rFonts w:cs="Arial"/>
                <w:sz w:val="22"/>
                <w:szCs w:val="22"/>
              </w:rPr>
              <w:t>2</w:t>
            </w:r>
          </w:p>
        </w:tc>
        <w:tc>
          <w:tcPr>
            <w:tcW w:w="4035" w:type="dxa"/>
            <w:shd w:val="clear" w:color="auto" w:fill="F2F2F2" w:themeFill="background1" w:themeFillShade="F2"/>
          </w:tcPr>
          <w:p w14:paraId="6938AA9B" w14:textId="3E0F72A3" w:rsidR="000B3F39" w:rsidRPr="002E3D1B" w:rsidRDefault="000B3F39" w:rsidP="00D30E1E">
            <w:pPr>
              <w:pStyle w:val="BodyText"/>
              <w:autoSpaceDE w:val="0"/>
              <w:autoSpaceDN w:val="0"/>
              <w:adjustRightInd w:val="0"/>
              <w:spacing w:before="120"/>
              <w:jc w:val="center"/>
              <w:rPr>
                <w:rFonts w:cs="Arial"/>
                <w:sz w:val="22"/>
                <w:szCs w:val="22"/>
              </w:rPr>
            </w:pPr>
            <w:r>
              <w:rPr>
                <w:rFonts w:cs="Arial"/>
                <w:sz w:val="22"/>
                <w:szCs w:val="22"/>
              </w:rPr>
              <w:t>Update departments name</w:t>
            </w:r>
          </w:p>
        </w:tc>
        <w:tc>
          <w:tcPr>
            <w:tcW w:w="1884" w:type="dxa"/>
            <w:shd w:val="clear" w:color="auto" w:fill="F2F2F2" w:themeFill="background1" w:themeFillShade="F2"/>
          </w:tcPr>
          <w:p w14:paraId="3DF5F578" w14:textId="6A6F544B" w:rsidR="000B3F39" w:rsidRPr="002E3D1B" w:rsidRDefault="000B3F39" w:rsidP="00D30E1E">
            <w:pPr>
              <w:pStyle w:val="BodyText"/>
              <w:autoSpaceDE w:val="0"/>
              <w:autoSpaceDN w:val="0"/>
              <w:adjustRightInd w:val="0"/>
              <w:spacing w:before="120"/>
              <w:jc w:val="center"/>
              <w:rPr>
                <w:rFonts w:cs="Arial"/>
                <w:sz w:val="22"/>
                <w:szCs w:val="22"/>
              </w:rPr>
            </w:pPr>
            <w:r>
              <w:rPr>
                <w:rFonts w:cs="Arial"/>
                <w:sz w:val="22"/>
                <w:szCs w:val="22"/>
              </w:rPr>
              <w:t>Commonwealth</w:t>
            </w:r>
          </w:p>
        </w:tc>
      </w:tr>
      <w:tr w:rsidR="00580A1D" w:rsidRPr="00880BE1" w14:paraId="4E8B524C" w14:textId="77777777" w:rsidTr="00D30E1E">
        <w:tc>
          <w:tcPr>
            <w:tcW w:w="2306" w:type="dxa"/>
            <w:shd w:val="clear" w:color="auto" w:fill="F2F2F2" w:themeFill="background1" w:themeFillShade="F2"/>
          </w:tcPr>
          <w:p w14:paraId="22932B93" w14:textId="78C3FD4A" w:rsidR="00580A1D" w:rsidRPr="002E3D1B" w:rsidRDefault="0047713B" w:rsidP="0047713B">
            <w:pPr>
              <w:pStyle w:val="BodyText"/>
              <w:autoSpaceDE w:val="0"/>
              <w:autoSpaceDN w:val="0"/>
              <w:adjustRightInd w:val="0"/>
              <w:spacing w:before="120"/>
              <w:jc w:val="center"/>
              <w:rPr>
                <w:rFonts w:cs="Arial"/>
                <w:sz w:val="22"/>
                <w:szCs w:val="22"/>
              </w:rPr>
            </w:pPr>
            <w:r>
              <w:rPr>
                <w:rFonts w:cs="Arial"/>
                <w:sz w:val="22"/>
                <w:szCs w:val="22"/>
              </w:rPr>
              <w:t>January</w:t>
            </w:r>
            <w:r w:rsidR="00580A1D" w:rsidRPr="002E3D1B">
              <w:rPr>
                <w:rFonts w:cs="Arial"/>
                <w:sz w:val="22"/>
                <w:szCs w:val="22"/>
              </w:rPr>
              <w:t xml:space="preserve"> 201</w:t>
            </w:r>
            <w:r>
              <w:rPr>
                <w:rFonts w:cs="Arial"/>
                <w:sz w:val="22"/>
                <w:szCs w:val="22"/>
              </w:rPr>
              <w:t>8</w:t>
            </w:r>
          </w:p>
        </w:tc>
        <w:tc>
          <w:tcPr>
            <w:tcW w:w="1097" w:type="dxa"/>
            <w:shd w:val="clear" w:color="auto" w:fill="F2F2F2" w:themeFill="background1" w:themeFillShade="F2"/>
          </w:tcPr>
          <w:p w14:paraId="02FB6220" w14:textId="77777777" w:rsidR="00580A1D" w:rsidRPr="002E3D1B" w:rsidRDefault="00580A1D" w:rsidP="00D30E1E">
            <w:pPr>
              <w:pStyle w:val="BodyText"/>
              <w:autoSpaceDE w:val="0"/>
              <w:autoSpaceDN w:val="0"/>
              <w:adjustRightInd w:val="0"/>
              <w:spacing w:before="120"/>
              <w:jc w:val="center"/>
              <w:rPr>
                <w:rFonts w:cs="Arial"/>
                <w:sz w:val="22"/>
                <w:szCs w:val="22"/>
              </w:rPr>
            </w:pPr>
            <w:r w:rsidRPr="002E3D1B">
              <w:rPr>
                <w:rFonts w:cs="Arial"/>
                <w:sz w:val="22"/>
                <w:szCs w:val="22"/>
              </w:rPr>
              <w:t>1</w:t>
            </w:r>
          </w:p>
        </w:tc>
        <w:tc>
          <w:tcPr>
            <w:tcW w:w="4035" w:type="dxa"/>
            <w:shd w:val="clear" w:color="auto" w:fill="F2F2F2" w:themeFill="background1" w:themeFillShade="F2"/>
          </w:tcPr>
          <w:p w14:paraId="00F01030" w14:textId="77777777" w:rsidR="00580A1D" w:rsidRPr="002E3D1B" w:rsidRDefault="00580A1D" w:rsidP="00D30E1E">
            <w:pPr>
              <w:pStyle w:val="BodyText"/>
              <w:autoSpaceDE w:val="0"/>
              <w:autoSpaceDN w:val="0"/>
              <w:adjustRightInd w:val="0"/>
              <w:spacing w:before="120"/>
              <w:jc w:val="center"/>
              <w:rPr>
                <w:rFonts w:cs="Arial"/>
                <w:sz w:val="22"/>
                <w:szCs w:val="22"/>
              </w:rPr>
            </w:pPr>
            <w:r w:rsidRPr="002E3D1B">
              <w:rPr>
                <w:rFonts w:cs="Arial"/>
                <w:sz w:val="22"/>
                <w:szCs w:val="22"/>
              </w:rPr>
              <w:t xml:space="preserve">To establish a Guideline for </w:t>
            </w:r>
            <w:r w:rsidRPr="00E155A1">
              <w:rPr>
                <w:rFonts w:cs="Arial"/>
                <w:sz w:val="22"/>
                <w:szCs w:val="22"/>
              </w:rPr>
              <w:t>the Commonwealth offshore petroleum decommissioning regime</w:t>
            </w:r>
            <w:r w:rsidRPr="002E3D1B">
              <w:rPr>
                <w:rFonts w:cs="Arial"/>
                <w:sz w:val="22"/>
                <w:szCs w:val="22"/>
              </w:rPr>
              <w:t>.</w:t>
            </w:r>
          </w:p>
        </w:tc>
        <w:tc>
          <w:tcPr>
            <w:tcW w:w="1884" w:type="dxa"/>
            <w:shd w:val="clear" w:color="auto" w:fill="F2F2F2" w:themeFill="background1" w:themeFillShade="F2"/>
          </w:tcPr>
          <w:p w14:paraId="14A9BB83" w14:textId="77777777" w:rsidR="00580A1D" w:rsidRPr="002E3D1B" w:rsidRDefault="00580A1D" w:rsidP="00D30E1E">
            <w:pPr>
              <w:pStyle w:val="BodyText"/>
              <w:autoSpaceDE w:val="0"/>
              <w:autoSpaceDN w:val="0"/>
              <w:adjustRightInd w:val="0"/>
              <w:spacing w:before="120"/>
              <w:jc w:val="center"/>
              <w:rPr>
                <w:rFonts w:cs="Arial"/>
                <w:sz w:val="22"/>
                <w:szCs w:val="22"/>
              </w:rPr>
            </w:pPr>
            <w:r w:rsidRPr="002E3D1B">
              <w:rPr>
                <w:rFonts w:cs="Arial"/>
                <w:sz w:val="22"/>
                <w:szCs w:val="22"/>
              </w:rPr>
              <w:t>Commonwealth</w:t>
            </w:r>
          </w:p>
        </w:tc>
      </w:tr>
    </w:tbl>
    <w:p w14:paraId="58699C01" w14:textId="5ADEE464" w:rsidR="001723F8" w:rsidRPr="009C4F7C" w:rsidRDefault="00114FE8" w:rsidP="009C4F7C">
      <w:pPr>
        <w:pStyle w:val="Heading1"/>
        <w:rPr>
          <w:rFonts w:ascii="Cambria" w:hAnsi="Cambria"/>
          <w:b/>
          <w:sz w:val="22"/>
          <w:szCs w:val="22"/>
          <w:lang w:eastAsia="en-US"/>
        </w:rPr>
      </w:pPr>
      <w:r w:rsidRPr="00D76E06">
        <w:rPr>
          <w:sz w:val="22"/>
          <w:szCs w:val="22"/>
        </w:rPr>
        <w:br w:type="page"/>
      </w:r>
      <w:bookmarkStart w:id="4" w:name="_Toc479778728"/>
      <w:bookmarkStart w:id="5" w:name="_Toc479845244"/>
      <w:bookmarkStart w:id="6" w:name="_Toc489460834"/>
      <w:r w:rsidR="0022761C">
        <w:rPr>
          <w:rFonts w:ascii="Cambria" w:hAnsi="Cambria"/>
          <w:b/>
          <w:lang w:eastAsia="en-US"/>
        </w:rPr>
        <w:lastRenderedPageBreak/>
        <w:t>1</w:t>
      </w:r>
      <w:r w:rsidR="00F3210F" w:rsidRPr="009C4F7C">
        <w:rPr>
          <w:rFonts w:ascii="Cambria" w:hAnsi="Cambria"/>
          <w:b/>
          <w:lang w:eastAsia="en-US"/>
        </w:rPr>
        <w:tab/>
      </w:r>
      <w:bookmarkEnd w:id="4"/>
      <w:bookmarkEnd w:id="5"/>
      <w:r w:rsidR="009C4F7C">
        <w:rPr>
          <w:rFonts w:ascii="Cambria" w:hAnsi="Cambria"/>
          <w:b/>
          <w:lang w:eastAsia="en-US"/>
        </w:rPr>
        <w:t>Purpose</w:t>
      </w:r>
      <w:bookmarkEnd w:id="6"/>
    </w:p>
    <w:p w14:paraId="163374E3" w14:textId="3FE60825" w:rsidR="001F7DA7" w:rsidRDefault="00EB6C1C" w:rsidP="00B10E21">
      <w:pPr>
        <w:spacing w:before="120" w:after="120" w:line="276" w:lineRule="auto"/>
        <w:rPr>
          <w:rFonts w:ascii="Calibri" w:hAnsi="Calibri"/>
          <w:sz w:val="22"/>
          <w:szCs w:val="22"/>
        </w:rPr>
      </w:pPr>
      <w:r>
        <w:rPr>
          <w:rFonts w:ascii="Calibri" w:hAnsi="Calibri"/>
          <w:sz w:val="22"/>
          <w:szCs w:val="22"/>
        </w:rPr>
        <w:t>T</w:t>
      </w:r>
      <w:r w:rsidR="009C4F7C">
        <w:rPr>
          <w:rFonts w:ascii="Calibri" w:hAnsi="Calibri"/>
          <w:sz w:val="22"/>
          <w:szCs w:val="22"/>
        </w:rPr>
        <w:t>h</w:t>
      </w:r>
      <w:r w:rsidR="00204AA9">
        <w:rPr>
          <w:rFonts w:ascii="Calibri" w:hAnsi="Calibri"/>
          <w:sz w:val="22"/>
          <w:szCs w:val="22"/>
        </w:rPr>
        <w:t>e purpose of th</w:t>
      </w:r>
      <w:r w:rsidR="009C4F7C">
        <w:rPr>
          <w:rFonts w:ascii="Calibri" w:hAnsi="Calibri"/>
          <w:sz w:val="22"/>
          <w:szCs w:val="22"/>
        </w:rPr>
        <w:t>is</w:t>
      </w:r>
      <w:r w:rsidR="00CE7979">
        <w:rPr>
          <w:rFonts w:ascii="Calibri" w:hAnsi="Calibri"/>
          <w:sz w:val="22"/>
          <w:szCs w:val="22"/>
        </w:rPr>
        <w:t xml:space="preserve"> G</w:t>
      </w:r>
      <w:r w:rsidR="009C4F7C">
        <w:rPr>
          <w:rFonts w:ascii="Calibri" w:hAnsi="Calibri"/>
          <w:sz w:val="22"/>
          <w:szCs w:val="22"/>
        </w:rPr>
        <w:t>uideline</w:t>
      </w:r>
      <w:r>
        <w:rPr>
          <w:rFonts w:ascii="Calibri" w:hAnsi="Calibri"/>
          <w:sz w:val="22"/>
          <w:szCs w:val="22"/>
        </w:rPr>
        <w:t xml:space="preserve"> </w:t>
      </w:r>
      <w:r w:rsidR="00204AA9">
        <w:rPr>
          <w:rFonts w:ascii="Calibri" w:hAnsi="Calibri"/>
          <w:sz w:val="22"/>
          <w:szCs w:val="22"/>
        </w:rPr>
        <w:t xml:space="preserve">is </w:t>
      </w:r>
      <w:r w:rsidR="009127B7">
        <w:rPr>
          <w:rFonts w:ascii="Calibri" w:hAnsi="Calibri"/>
          <w:sz w:val="22"/>
          <w:szCs w:val="22"/>
        </w:rPr>
        <w:t>to clarify</w:t>
      </w:r>
      <w:r w:rsidR="00561CBA">
        <w:rPr>
          <w:rFonts w:ascii="Calibri" w:hAnsi="Calibri"/>
          <w:sz w:val="22"/>
          <w:szCs w:val="22"/>
        </w:rPr>
        <w:t xml:space="preserve"> the</w:t>
      </w:r>
      <w:r w:rsidR="009127B7">
        <w:rPr>
          <w:rFonts w:ascii="Calibri" w:hAnsi="Calibri"/>
          <w:sz w:val="22"/>
          <w:szCs w:val="22"/>
        </w:rPr>
        <w:t xml:space="preserve"> </w:t>
      </w:r>
      <w:r w:rsidR="00CE7289">
        <w:rPr>
          <w:rFonts w:ascii="Calibri" w:hAnsi="Calibri"/>
          <w:sz w:val="22"/>
          <w:szCs w:val="22"/>
        </w:rPr>
        <w:t>application, operation and interaction between components of</w:t>
      </w:r>
      <w:r w:rsidR="00561CBA">
        <w:rPr>
          <w:rFonts w:ascii="Calibri" w:hAnsi="Calibri"/>
          <w:sz w:val="22"/>
          <w:szCs w:val="22"/>
        </w:rPr>
        <w:t xml:space="preserve"> the Commonwealth regime for decommissioning offshore petroleum infrastructure </w:t>
      </w:r>
      <w:r w:rsidR="001F7DA7">
        <w:rPr>
          <w:rFonts w:ascii="Calibri" w:hAnsi="Calibri"/>
          <w:sz w:val="22"/>
          <w:szCs w:val="22"/>
        </w:rPr>
        <w:t xml:space="preserve">in Commonwealth waters </w:t>
      </w:r>
      <w:r w:rsidR="00561CBA">
        <w:rPr>
          <w:rFonts w:ascii="Calibri" w:hAnsi="Calibri"/>
          <w:sz w:val="22"/>
          <w:szCs w:val="22"/>
        </w:rPr>
        <w:t xml:space="preserve">under the </w:t>
      </w:r>
      <w:hyperlink r:id="rId16" w:tooltip="https://www.legislation.gov.au/Details/C2017C00051" w:history="1">
        <w:r w:rsidR="00561CBA" w:rsidRPr="00CD7A6A">
          <w:rPr>
            <w:rStyle w:val="Hyperlink"/>
            <w:rFonts w:ascii="Calibri" w:hAnsi="Calibri"/>
            <w:i/>
            <w:sz w:val="22"/>
            <w:szCs w:val="22"/>
          </w:rPr>
          <w:t>Offshore Petroleum and Greenhouse Gas Storage Act 2006</w:t>
        </w:r>
      </w:hyperlink>
      <w:r w:rsidR="00561CBA">
        <w:rPr>
          <w:rFonts w:ascii="Calibri" w:hAnsi="Calibri"/>
          <w:i/>
          <w:sz w:val="22"/>
          <w:szCs w:val="22"/>
        </w:rPr>
        <w:t xml:space="preserve"> </w:t>
      </w:r>
      <w:r w:rsidR="00561CBA">
        <w:rPr>
          <w:rFonts w:ascii="Calibri" w:hAnsi="Calibri"/>
          <w:sz w:val="22"/>
          <w:szCs w:val="22"/>
        </w:rPr>
        <w:t xml:space="preserve">(OPGGS Act), associated regulations and, where applicable, other Commonwealth laws. </w:t>
      </w:r>
    </w:p>
    <w:p w14:paraId="121CB868" w14:textId="6DAAE9F9" w:rsidR="004E4FB1" w:rsidRPr="00125D28" w:rsidRDefault="00A81A1E" w:rsidP="00125D28">
      <w:pPr>
        <w:spacing w:before="120" w:after="120" w:line="276" w:lineRule="auto"/>
        <w:rPr>
          <w:rFonts w:ascii="Calibri" w:hAnsi="Calibri"/>
          <w:sz w:val="22"/>
          <w:szCs w:val="22"/>
        </w:rPr>
      </w:pPr>
      <w:r>
        <w:rPr>
          <w:rFonts w:ascii="Calibri" w:hAnsi="Calibri"/>
          <w:sz w:val="22"/>
          <w:szCs w:val="22"/>
        </w:rPr>
        <w:t>This is</w:t>
      </w:r>
      <w:r w:rsidR="00272C83">
        <w:rPr>
          <w:rFonts w:ascii="Calibri" w:hAnsi="Calibri"/>
          <w:sz w:val="22"/>
          <w:szCs w:val="22"/>
        </w:rPr>
        <w:t xml:space="preserve"> </w:t>
      </w:r>
      <w:r w:rsidR="00250653">
        <w:rPr>
          <w:rFonts w:ascii="Calibri" w:hAnsi="Calibri"/>
          <w:sz w:val="22"/>
          <w:szCs w:val="22"/>
        </w:rPr>
        <w:t xml:space="preserve">to assist </w:t>
      </w:r>
      <w:r w:rsidR="001F7DA7">
        <w:rPr>
          <w:rFonts w:ascii="Calibri" w:hAnsi="Calibri"/>
          <w:sz w:val="22"/>
          <w:szCs w:val="22"/>
        </w:rPr>
        <w:t xml:space="preserve">offshore </w:t>
      </w:r>
      <w:r w:rsidR="00561CBA">
        <w:rPr>
          <w:rFonts w:ascii="Calibri" w:hAnsi="Calibri"/>
          <w:sz w:val="22"/>
          <w:szCs w:val="22"/>
        </w:rPr>
        <w:t xml:space="preserve">petroleum </w:t>
      </w:r>
      <w:r w:rsidR="009C4F7C">
        <w:rPr>
          <w:rFonts w:ascii="Calibri" w:hAnsi="Calibri"/>
          <w:sz w:val="22"/>
          <w:szCs w:val="22"/>
        </w:rPr>
        <w:t>titleholders</w:t>
      </w:r>
      <w:r w:rsidR="00250653">
        <w:rPr>
          <w:rFonts w:ascii="Calibri" w:hAnsi="Calibri"/>
          <w:sz w:val="22"/>
          <w:szCs w:val="22"/>
        </w:rPr>
        <w:t xml:space="preserve"> </w:t>
      </w:r>
      <w:r w:rsidR="002E67D8">
        <w:rPr>
          <w:rFonts w:ascii="Calibri" w:hAnsi="Calibri"/>
          <w:sz w:val="22"/>
          <w:szCs w:val="22"/>
        </w:rPr>
        <w:t xml:space="preserve">to </w:t>
      </w:r>
      <w:r w:rsidR="00BA592B">
        <w:rPr>
          <w:rFonts w:ascii="Calibri" w:hAnsi="Calibri"/>
          <w:sz w:val="22"/>
          <w:szCs w:val="22"/>
        </w:rPr>
        <w:t>plan</w:t>
      </w:r>
      <w:r w:rsidR="00250653">
        <w:rPr>
          <w:rFonts w:ascii="Calibri" w:hAnsi="Calibri"/>
          <w:sz w:val="22"/>
          <w:szCs w:val="22"/>
        </w:rPr>
        <w:t xml:space="preserve"> and seek</w:t>
      </w:r>
      <w:r w:rsidR="00272C83">
        <w:rPr>
          <w:rFonts w:ascii="Calibri" w:hAnsi="Calibri"/>
          <w:sz w:val="22"/>
          <w:szCs w:val="22"/>
        </w:rPr>
        <w:t xml:space="preserve"> </w:t>
      </w:r>
      <w:r w:rsidR="00561CBA">
        <w:rPr>
          <w:rFonts w:ascii="Calibri" w:hAnsi="Calibri"/>
          <w:sz w:val="22"/>
          <w:szCs w:val="22"/>
        </w:rPr>
        <w:t>the regulatory approvals necessary to undertake a decommissioning project, and to understand the ex</w:t>
      </w:r>
      <w:r w:rsidR="00C812EA">
        <w:rPr>
          <w:rFonts w:ascii="Calibri" w:hAnsi="Calibri"/>
          <w:sz w:val="22"/>
          <w:szCs w:val="22"/>
        </w:rPr>
        <w:t>pectations of relevant decision</w:t>
      </w:r>
      <w:r w:rsidR="00C812EA">
        <w:rPr>
          <w:rFonts w:ascii="Calibri" w:hAnsi="Calibri"/>
          <w:sz w:val="22"/>
          <w:szCs w:val="22"/>
        </w:rPr>
        <w:noBreakHyphen/>
      </w:r>
      <w:r w:rsidR="00561CBA">
        <w:rPr>
          <w:rFonts w:ascii="Calibri" w:hAnsi="Calibri"/>
          <w:sz w:val="22"/>
          <w:szCs w:val="22"/>
        </w:rPr>
        <w:t>makers.</w:t>
      </w:r>
      <w:bookmarkStart w:id="7" w:name="_Toc467772136"/>
      <w:bookmarkStart w:id="8" w:name="_Toc467841676"/>
      <w:bookmarkStart w:id="9" w:name="_Toc467856980"/>
    </w:p>
    <w:p w14:paraId="0B7F9810" w14:textId="77777777" w:rsidR="00CB6CAA" w:rsidRDefault="00CB6CAA">
      <w:pPr>
        <w:spacing w:after="160" w:line="259" w:lineRule="auto"/>
        <w:rPr>
          <w:rFonts w:asciiTheme="minorHAnsi" w:eastAsiaTheme="majorEastAsia" w:hAnsiTheme="minorHAnsi" w:cstheme="majorBidi"/>
          <w:b/>
          <w:bCs/>
          <w:color w:val="2E74B5" w:themeColor="accent1" w:themeShade="BF"/>
          <w:sz w:val="32"/>
          <w:szCs w:val="32"/>
          <w:lang w:eastAsia="en-US"/>
        </w:rPr>
      </w:pPr>
      <w:r>
        <w:rPr>
          <w:rFonts w:asciiTheme="minorHAnsi" w:hAnsiTheme="minorHAnsi"/>
          <w:b/>
          <w:bCs/>
          <w:lang w:eastAsia="en-US"/>
        </w:rPr>
        <w:br w:type="page"/>
      </w:r>
    </w:p>
    <w:p w14:paraId="10AE2053" w14:textId="2F7D1443" w:rsidR="004E4FB1" w:rsidRPr="00B10E21" w:rsidRDefault="001B453B" w:rsidP="009163AA">
      <w:pPr>
        <w:pStyle w:val="Heading1"/>
        <w:spacing w:before="120" w:after="120" w:line="276" w:lineRule="auto"/>
        <w:ind w:left="567" w:hanging="567"/>
        <w:rPr>
          <w:rFonts w:ascii="Cambria" w:hAnsi="Cambria"/>
          <w:b/>
          <w:bCs/>
          <w:lang w:eastAsia="en-US"/>
        </w:rPr>
      </w:pPr>
      <w:bookmarkStart w:id="10" w:name="_Toc479778731"/>
      <w:bookmarkStart w:id="11" w:name="_Toc479845247"/>
      <w:bookmarkStart w:id="12" w:name="_Toc486939236"/>
      <w:bookmarkStart w:id="13" w:name="_Toc489460835"/>
      <w:r>
        <w:rPr>
          <w:rFonts w:ascii="Cambria" w:hAnsi="Cambria"/>
          <w:b/>
          <w:bCs/>
          <w:lang w:eastAsia="en-US"/>
        </w:rPr>
        <w:lastRenderedPageBreak/>
        <w:t>2</w:t>
      </w:r>
      <w:r w:rsidR="004E4FB1" w:rsidRPr="00B10E21">
        <w:rPr>
          <w:rFonts w:ascii="Cambria" w:hAnsi="Cambria"/>
          <w:b/>
          <w:bCs/>
          <w:lang w:eastAsia="en-US"/>
        </w:rPr>
        <w:tab/>
        <w:t>Com</w:t>
      </w:r>
      <w:r w:rsidR="00272C83" w:rsidRPr="00B10E21">
        <w:rPr>
          <w:rFonts w:ascii="Cambria" w:hAnsi="Cambria"/>
          <w:b/>
          <w:bCs/>
          <w:lang w:eastAsia="en-US"/>
        </w:rPr>
        <w:t>monwealth decommissioning polic</w:t>
      </w:r>
      <w:bookmarkEnd w:id="10"/>
      <w:bookmarkEnd w:id="11"/>
      <w:bookmarkEnd w:id="12"/>
      <w:r w:rsidR="00A01E15">
        <w:rPr>
          <w:rFonts w:ascii="Cambria" w:hAnsi="Cambria"/>
          <w:b/>
          <w:bCs/>
          <w:lang w:eastAsia="en-US"/>
        </w:rPr>
        <w:t>ies</w:t>
      </w:r>
      <w:bookmarkEnd w:id="13"/>
    </w:p>
    <w:p w14:paraId="05F1D754" w14:textId="4220FCDA" w:rsidR="00A01E15" w:rsidRDefault="00A01E15" w:rsidP="009163AA">
      <w:pPr>
        <w:spacing w:before="120" w:after="120"/>
        <w:rPr>
          <w:rFonts w:ascii="Calibri" w:hAnsi="Calibri"/>
          <w:sz w:val="22"/>
          <w:szCs w:val="22"/>
          <w:lang w:eastAsia="en-US"/>
        </w:rPr>
      </w:pPr>
      <w:r w:rsidRPr="003725D5">
        <w:rPr>
          <w:rFonts w:ascii="Calibri" w:hAnsi="Calibri"/>
          <w:sz w:val="22"/>
          <w:szCs w:val="22"/>
          <w:lang w:eastAsia="en-US"/>
        </w:rPr>
        <w:t xml:space="preserve">This </w:t>
      </w:r>
      <w:r w:rsidR="002249A1">
        <w:rPr>
          <w:rFonts w:ascii="Calibri" w:hAnsi="Calibri"/>
          <w:sz w:val="22"/>
          <w:szCs w:val="22"/>
          <w:lang w:eastAsia="en-US"/>
        </w:rPr>
        <w:t>P</w:t>
      </w:r>
      <w:r>
        <w:rPr>
          <w:rFonts w:ascii="Calibri" w:hAnsi="Calibri"/>
          <w:sz w:val="22"/>
          <w:szCs w:val="22"/>
          <w:lang w:eastAsia="en-US"/>
        </w:rPr>
        <w:t>art</w:t>
      </w:r>
      <w:r w:rsidRPr="003725D5">
        <w:rPr>
          <w:rFonts w:ascii="Calibri" w:hAnsi="Calibri"/>
          <w:sz w:val="22"/>
          <w:szCs w:val="22"/>
          <w:lang w:eastAsia="en-US"/>
        </w:rPr>
        <w:t xml:space="preserve"> outlines</w:t>
      </w:r>
      <w:r>
        <w:rPr>
          <w:rFonts w:ascii="Calibri" w:hAnsi="Calibri"/>
          <w:sz w:val="22"/>
          <w:szCs w:val="22"/>
          <w:lang w:eastAsia="en-US"/>
        </w:rPr>
        <w:t xml:space="preserve"> the key</w:t>
      </w:r>
      <w:r w:rsidRPr="003725D5">
        <w:rPr>
          <w:rFonts w:ascii="Calibri" w:hAnsi="Calibri"/>
          <w:sz w:val="22"/>
          <w:szCs w:val="22"/>
          <w:lang w:eastAsia="en-US"/>
        </w:rPr>
        <w:t xml:space="preserve"> </w:t>
      </w:r>
      <w:r>
        <w:rPr>
          <w:rFonts w:ascii="Calibri" w:hAnsi="Calibri"/>
          <w:sz w:val="22"/>
          <w:szCs w:val="22"/>
          <w:lang w:eastAsia="en-US"/>
        </w:rPr>
        <w:t>Australian Government policies</w:t>
      </w:r>
      <w:r w:rsidRPr="003725D5">
        <w:rPr>
          <w:rFonts w:ascii="Calibri" w:hAnsi="Calibri"/>
          <w:sz w:val="22"/>
          <w:szCs w:val="22"/>
          <w:lang w:eastAsia="en-US"/>
        </w:rPr>
        <w:t xml:space="preserve"> </w:t>
      </w:r>
      <w:r>
        <w:rPr>
          <w:rFonts w:ascii="Calibri" w:hAnsi="Calibri"/>
          <w:sz w:val="22"/>
          <w:szCs w:val="22"/>
          <w:lang w:eastAsia="en-US"/>
        </w:rPr>
        <w:t>relevant</w:t>
      </w:r>
      <w:r w:rsidRPr="003725D5">
        <w:rPr>
          <w:rFonts w:ascii="Calibri" w:hAnsi="Calibri"/>
          <w:sz w:val="22"/>
          <w:szCs w:val="22"/>
          <w:lang w:eastAsia="en-US"/>
        </w:rPr>
        <w:t xml:space="preserve"> to decommissioning. </w:t>
      </w:r>
    </w:p>
    <w:p w14:paraId="08BF64F9" w14:textId="5EBBC4EF" w:rsidR="002F1D4D" w:rsidRPr="002F1D4D" w:rsidRDefault="002249A1" w:rsidP="009163AA">
      <w:pPr>
        <w:spacing w:before="120" w:after="120" w:line="276" w:lineRule="auto"/>
        <w:rPr>
          <w:rFonts w:ascii="Calibri" w:hAnsi="Calibri"/>
          <w:sz w:val="22"/>
          <w:szCs w:val="22"/>
        </w:rPr>
      </w:pPr>
      <w:r>
        <w:rPr>
          <w:rFonts w:ascii="Calibri" w:hAnsi="Calibri"/>
          <w:sz w:val="22"/>
          <w:szCs w:val="22"/>
        </w:rPr>
        <w:t>D</w:t>
      </w:r>
      <w:r w:rsidR="009C4F7C">
        <w:rPr>
          <w:rFonts w:ascii="Calibri" w:hAnsi="Calibri"/>
          <w:sz w:val="22"/>
          <w:szCs w:val="22"/>
        </w:rPr>
        <w:t xml:space="preserve">ecommissioning is a </w:t>
      </w:r>
      <w:r w:rsidR="009C4F7C" w:rsidRPr="00A01E15">
        <w:rPr>
          <w:rFonts w:ascii="Calibri" w:hAnsi="Calibri"/>
          <w:sz w:val="22"/>
          <w:szCs w:val="22"/>
          <w:u w:val="single"/>
        </w:rPr>
        <w:t>normal activity</w:t>
      </w:r>
      <w:r w:rsidR="009C4F7C">
        <w:rPr>
          <w:rFonts w:ascii="Calibri" w:hAnsi="Calibri"/>
          <w:sz w:val="22"/>
          <w:szCs w:val="22"/>
        </w:rPr>
        <w:t xml:space="preserve"> in the lifetime of </w:t>
      </w:r>
      <w:r w:rsidR="00A01E15">
        <w:rPr>
          <w:rFonts w:ascii="Calibri" w:hAnsi="Calibri"/>
          <w:sz w:val="22"/>
          <w:szCs w:val="22"/>
        </w:rPr>
        <w:t xml:space="preserve">an offshore petroleum project. </w:t>
      </w:r>
      <w:r w:rsidR="009C4F7C">
        <w:rPr>
          <w:rFonts w:ascii="Calibri" w:hAnsi="Calibri"/>
          <w:sz w:val="22"/>
          <w:szCs w:val="22"/>
        </w:rPr>
        <w:t xml:space="preserve">Its purpose is to remove </w:t>
      </w:r>
      <w:r w:rsidR="009C4F7C" w:rsidRPr="003B4DBF">
        <w:rPr>
          <w:rFonts w:ascii="Calibri" w:hAnsi="Calibri"/>
          <w:sz w:val="22"/>
          <w:szCs w:val="22"/>
        </w:rPr>
        <w:t>or otherwise satisfactorily deal with</w:t>
      </w:r>
      <w:r>
        <w:rPr>
          <w:rFonts w:ascii="Calibri" w:hAnsi="Calibri"/>
          <w:sz w:val="22"/>
          <w:szCs w:val="22"/>
        </w:rPr>
        <w:t>, in a safe and environmentally responsible manner,</w:t>
      </w:r>
      <w:r w:rsidR="009C4F7C" w:rsidRPr="003B4DBF">
        <w:rPr>
          <w:rFonts w:ascii="Calibri" w:hAnsi="Calibri"/>
          <w:sz w:val="22"/>
          <w:szCs w:val="22"/>
        </w:rPr>
        <w:t xml:space="preserve"> infrastructure</w:t>
      </w:r>
      <w:r w:rsidR="009C4F7C" w:rsidRPr="00185BB9">
        <w:rPr>
          <w:rFonts w:ascii="Calibri" w:hAnsi="Calibri"/>
          <w:sz w:val="22"/>
          <w:szCs w:val="22"/>
        </w:rPr>
        <w:t xml:space="preserve"> </w:t>
      </w:r>
      <w:r w:rsidR="009C4F7C">
        <w:rPr>
          <w:rFonts w:ascii="Calibri" w:hAnsi="Calibri"/>
          <w:sz w:val="22"/>
          <w:szCs w:val="22"/>
        </w:rPr>
        <w:t>previously used to support operations</w:t>
      </w:r>
      <w:r w:rsidR="001F7DA7">
        <w:rPr>
          <w:rFonts w:ascii="Calibri" w:hAnsi="Calibri"/>
          <w:sz w:val="22"/>
          <w:szCs w:val="22"/>
        </w:rPr>
        <w:t>. This</w:t>
      </w:r>
      <w:r w:rsidR="009C4F7C" w:rsidRPr="003B4DBF">
        <w:rPr>
          <w:rFonts w:ascii="Calibri" w:hAnsi="Calibri"/>
          <w:sz w:val="22"/>
          <w:szCs w:val="22"/>
        </w:rPr>
        <w:t xml:space="preserve"> </w:t>
      </w:r>
      <w:r w:rsidR="001F7DA7">
        <w:rPr>
          <w:rFonts w:ascii="Calibri" w:hAnsi="Calibri"/>
          <w:sz w:val="22"/>
          <w:szCs w:val="22"/>
        </w:rPr>
        <w:t>includes</w:t>
      </w:r>
      <w:r w:rsidR="009C4F7C">
        <w:rPr>
          <w:rFonts w:ascii="Calibri" w:hAnsi="Calibri"/>
          <w:sz w:val="22"/>
          <w:szCs w:val="22"/>
        </w:rPr>
        <w:t xml:space="preserve"> </w:t>
      </w:r>
      <w:r w:rsidR="009C4F7C" w:rsidRPr="003B4DBF">
        <w:rPr>
          <w:rFonts w:ascii="Calibri" w:hAnsi="Calibri"/>
          <w:sz w:val="22"/>
          <w:szCs w:val="22"/>
        </w:rPr>
        <w:t xml:space="preserve">plugging and abandoning wells, rehabilitating the site and </w:t>
      </w:r>
      <w:r w:rsidR="009C4F7C">
        <w:rPr>
          <w:rFonts w:ascii="Calibri" w:hAnsi="Calibri"/>
          <w:sz w:val="22"/>
          <w:szCs w:val="22"/>
        </w:rPr>
        <w:t>carrying out any</w:t>
      </w:r>
      <w:r w:rsidR="009C4F7C" w:rsidRPr="003B4DBF">
        <w:rPr>
          <w:rFonts w:ascii="Calibri" w:hAnsi="Calibri"/>
          <w:sz w:val="22"/>
          <w:szCs w:val="22"/>
        </w:rPr>
        <w:t xml:space="preserve"> necessary monitoring</w:t>
      </w:r>
      <w:bookmarkStart w:id="14" w:name="_Toc486949856"/>
      <w:bookmarkStart w:id="15" w:name="_Toc486950217"/>
      <w:bookmarkStart w:id="16" w:name="_Toc486956415"/>
      <w:r w:rsidR="00A4093D">
        <w:rPr>
          <w:rFonts w:ascii="Calibri" w:hAnsi="Calibri"/>
          <w:sz w:val="22"/>
          <w:szCs w:val="22"/>
        </w:rPr>
        <w:t xml:space="preserve">. </w:t>
      </w:r>
    </w:p>
    <w:p w14:paraId="0F6CEB6C" w14:textId="0D3EF053" w:rsidR="00BB45A0" w:rsidRPr="00125D28" w:rsidRDefault="00BB45A0" w:rsidP="00125D28">
      <w:pPr>
        <w:pStyle w:val="Heading2"/>
      </w:pPr>
      <w:bookmarkStart w:id="17" w:name="_Toc489460728"/>
      <w:bookmarkStart w:id="18" w:name="_Toc489460836"/>
      <w:r w:rsidRPr="00125D28">
        <w:t>2.1</w:t>
      </w:r>
      <w:r w:rsidRPr="00125D28">
        <w:tab/>
        <w:t>Decommissioning is the responsibility of titleholders</w:t>
      </w:r>
      <w:bookmarkEnd w:id="17"/>
      <w:bookmarkEnd w:id="18"/>
    </w:p>
    <w:p w14:paraId="60904BC0" w14:textId="49E7CB35" w:rsidR="00BB45A0" w:rsidRDefault="00BB45A0" w:rsidP="009163AA">
      <w:pPr>
        <w:spacing w:before="120" w:after="120" w:line="276" w:lineRule="auto"/>
        <w:rPr>
          <w:rFonts w:ascii="Calibri" w:hAnsi="Calibri"/>
          <w:sz w:val="22"/>
          <w:szCs w:val="22"/>
        </w:rPr>
      </w:pPr>
      <w:r w:rsidRPr="00E544FE">
        <w:rPr>
          <w:rFonts w:ascii="Calibri" w:hAnsi="Calibri"/>
          <w:sz w:val="22"/>
          <w:szCs w:val="22"/>
        </w:rPr>
        <w:t xml:space="preserve">Decommissioning </w:t>
      </w:r>
      <w:r w:rsidR="00CD7A6A">
        <w:rPr>
          <w:rFonts w:ascii="Calibri" w:hAnsi="Calibri"/>
          <w:sz w:val="22"/>
          <w:szCs w:val="22"/>
        </w:rPr>
        <w:t>activities</w:t>
      </w:r>
      <w:r w:rsidRPr="00E544FE">
        <w:rPr>
          <w:rFonts w:ascii="Calibri" w:hAnsi="Calibri"/>
          <w:sz w:val="22"/>
          <w:szCs w:val="22"/>
        </w:rPr>
        <w:t xml:space="preserve"> are </w:t>
      </w:r>
      <w:r>
        <w:rPr>
          <w:rFonts w:ascii="Calibri" w:hAnsi="Calibri"/>
          <w:sz w:val="22"/>
          <w:szCs w:val="22"/>
        </w:rPr>
        <w:t xml:space="preserve">the responsibility of the </w:t>
      </w:r>
      <w:r w:rsidR="00FE7968">
        <w:rPr>
          <w:rFonts w:ascii="Calibri" w:hAnsi="Calibri"/>
          <w:sz w:val="22"/>
          <w:szCs w:val="22"/>
        </w:rPr>
        <w:t xml:space="preserve">registered </w:t>
      </w:r>
      <w:r w:rsidRPr="00E544FE">
        <w:rPr>
          <w:rFonts w:ascii="Calibri" w:hAnsi="Calibri"/>
          <w:sz w:val="22"/>
          <w:szCs w:val="22"/>
        </w:rPr>
        <w:t xml:space="preserve">holder </w:t>
      </w:r>
      <w:r w:rsidR="00BD678E">
        <w:rPr>
          <w:rFonts w:ascii="Calibri" w:hAnsi="Calibri"/>
          <w:sz w:val="22"/>
          <w:szCs w:val="22"/>
        </w:rPr>
        <w:t>of the title</w:t>
      </w:r>
      <w:r w:rsidR="00FE7968">
        <w:rPr>
          <w:rFonts w:ascii="Calibri" w:hAnsi="Calibri"/>
          <w:sz w:val="22"/>
          <w:szCs w:val="22"/>
        </w:rPr>
        <w:t xml:space="preserve"> </w:t>
      </w:r>
      <w:r w:rsidR="00E35BCC">
        <w:rPr>
          <w:rFonts w:ascii="Calibri" w:hAnsi="Calibri"/>
          <w:sz w:val="22"/>
          <w:szCs w:val="22"/>
        </w:rPr>
        <w:t xml:space="preserve">under which </w:t>
      </w:r>
      <w:r w:rsidR="00BD678E">
        <w:rPr>
          <w:rFonts w:ascii="Calibri" w:hAnsi="Calibri"/>
          <w:sz w:val="22"/>
          <w:szCs w:val="22"/>
        </w:rPr>
        <w:t xml:space="preserve">the </w:t>
      </w:r>
      <w:r w:rsidR="00CD7A6A">
        <w:rPr>
          <w:rFonts w:ascii="Calibri" w:hAnsi="Calibri"/>
          <w:sz w:val="22"/>
          <w:szCs w:val="22"/>
        </w:rPr>
        <w:t>activities</w:t>
      </w:r>
      <w:r w:rsidR="00E35BCC">
        <w:rPr>
          <w:rFonts w:ascii="Calibri" w:hAnsi="Calibri"/>
          <w:sz w:val="22"/>
          <w:szCs w:val="22"/>
        </w:rPr>
        <w:t xml:space="preserve"> </w:t>
      </w:r>
      <w:r w:rsidR="00BD678E">
        <w:rPr>
          <w:rFonts w:ascii="Calibri" w:hAnsi="Calibri"/>
          <w:sz w:val="22"/>
          <w:szCs w:val="22"/>
        </w:rPr>
        <w:t>take</w:t>
      </w:r>
      <w:r w:rsidR="00E35BCC">
        <w:rPr>
          <w:rFonts w:ascii="Calibri" w:hAnsi="Calibri"/>
          <w:sz w:val="22"/>
          <w:szCs w:val="22"/>
        </w:rPr>
        <w:t xml:space="preserve"> place</w:t>
      </w:r>
      <w:r w:rsidRPr="00E544FE">
        <w:rPr>
          <w:rFonts w:ascii="Calibri" w:hAnsi="Calibri"/>
          <w:sz w:val="22"/>
          <w:szCs w:val="22"/>
        </w:rPr>
        <w:t xml:space="preserve">. This includes timely and effective planning, obtaining necessary approvals, and executing the </w:t>
      </w:r>
      <w:r w:rsidR="00BD678E">
        <w:rPr>
          <w:rFonts w:ascii="Calibri" w:hAnsi="Calibri"/>
          <w:sz w:val="22"/>
          <w:szCs w:val="22"/>
        </w:rPr>
        <w:t>activities</w:t>
      </w:r>
      <w:r>
        <w:rPr>
          <w:rFonts w:ascii="Calibri" w:hAnsi="Calibri"/>
          <w:sz w:val="22"/>
          <w:szCs w:val="22"/>
        </w:rPr>
        <w:t xml:space="preserve"> in compliance with the OPGGS Act, the regulations (including ac</w:t>
      </w:r>
      <w:r w:rsidR="00BD678E">
        <w:rPr>
          <w:rFonts w:ascii="Calibri" w:hAnsi="Calibri"/>
          <w:sz w:val="22"/>
          <w:szCs w:val="22"/>
        </w:rPr>
        <w:t xml:space="preserve">cepted </w:t>
      </w:r>
      <w:proofErr w:type="spellStart"/>
      <w:r w:rsidR="00BD678E">
        <w:rPr>
          <w:rFonts w:ascii="Calibri" w:hAnsi="Calibri"/>
          <w:sz w:val="22"/>
          <w:szCs w:val="22"/>
        </w:rPr>
        <w:t>permissioning</w:t>
      </w:r>
      <w:proofErr w:type="spellEnd"/>
      <w:r w:rsidR="00BD678E">
        <w:rPr>
          <w:rFonts w:ascii="Calibri" w:hAnsi="Calibri"/>
          <w:sz w:val="22"/>
          <w:szCs w:val="22"/>
        </w:rPr>
        <w:t xml:space="preserve"> documents)</w:t>
      </w:r>
      <w:r>
        <w:rPr>
          <w:rFonts w:ascii="Calibri" w:hAnsi="Calibri"/>
          <w:sz w:val="22"/>
          <w:szCs w:val="22"/>
        </w:rPr>
        <w:t xml:space="preserve"> and other </w:t>
      </w:r>
      <w:r w:rsidR="00BD678E">
        <w:rPr>
          <w:rFonts w:ascii="Calibri" w:hAnsi="Calibri"/>
          <w:sz w:val="22"/>
          <w:szCs w:val="22"/>
        </w:rPr>
        <w:t>applicable domestic and international</w:t>
      </w:r>
      <w:r>
        <w:rPr>
          <w:rFonts w:ascii="Calibri" w:hAnsi="Calibri"/>
          <w:sz w:val="22"/>
          <w:szCs w:val="22"/>
        </w:rPr>
        <w:t xml:space="preserve"> laws</w:t>
      </w:r>
      <w:r w:rsidRPr="00E544FE">
        <w:rPr>
          <w:rFonts w:ascii="Calibri" w:hAnsi="Calibri"/>
          <w:sz w:val="22"/>
          <w:szCs w:val="22"/>
        </w:rPr>
        <w:t xml:space="preserve">. </w:t>
      </w:r>
    </w:p>
    <w:p w14:paraId="0B613DC3" w14:textId="13B1B6C5" w:rsidR="0022761C" w:rsidRDefault="004F19AC" w:rsidP="00125D28">
      <w:pPr>
        <w:pStyle w:val="Heading2"/>
      </w:pPr>
      <w:bookmarkStart w:id="19" w:name="_Toc489460729"/>
      <w:bookmarkStart w:id="20" w:name="_Toc489460837"/>
      <w:r>
        <w:t>2</w:t>
      </w:r>
      <w:r w:rsidR="0022761C" w:rsidRPr="00B10E21">
        <w:t>.</w:t>
      </w:r>
      <w:r w:rsidR="00BB45A0">
        <w:t>2</w:t>
      </w:r>
      <w:r w:rsidR="0022761C" w:rsidRPr="00B10E21">
        <w:tab/>
      </w:r>
      <w:r w:rsidR="00A81A1E">
        <w:t>E</w:t>
      </w:r>
      <w:r w:rsidR="0022761C">
        <w:t xml:space="preserve">arly </w:t>
      </w:r>
      <w:r w:rsidR="007C43AF">
        <w:t>planning for</w:t>
      </w:r>
      <w:r w:rsidR="002F1D4D">
        <w:t xml:space="preserve"> decommissioning</w:t>
      </w:r>
      <w:bookmarkEnd w:id="14"/>
      <w:bookmarkEnd w:id="15"/>
      <w:r w:rsidR="00F46E57">
        <w:t xml:space="preserve"> is encouraged</w:t>
      </w:r>
      <w:bookmarkEnd w:id="16"/>
      <w:bookmarkEnd w:id="19"/>
      <w:bookmarkEnd w:id="20"/>
    </w:p>
    <w:p w14:paraId="1B491505" w14:textId="0A270DD6" w:rsidR="00E70374" w:rsidRPr="002F1D4D" w:rsidRDefault="002F1D4D" w:rsidP="009163AA">
      <w:pPr>
        <w:spacing w:before="120" w:after="120" w:line="276" w:lineRule="auto"/>
        <w:rPr>
          <w:rFonts w:asciiTheme="minorHAnsi" w:hAnsiTheme="minorHAnsi"/>
          <w:sz w:val="22"/>
          <w:szCs w:val="22"/>
        </w:rPr>
      </w:pPr>
      <w:r>
        <w:rPr>
          <w:rFonts w:asciiTheme="minorHAnsi" w:hAnsiTheme="minorHAnsi"/>
          <w:sz w:val="22"/>
          <w:szCs w:val="22"/>
        </w:rPr>
        <w:t xml:space="preserve">Titleholders are encouraged to </w:t>
      </w:r>
      <w:r w:rsidR="007C43AF">
        <w:rPr>
          <w:rFonts w:asciiTheme="minorHAnsi" w:hAnsiTheme="minorHAnsi"/>
          <w:sz w:val="22"/>
          <w:szCs w:val="22"/>
        </w:rPr>
        <w:t>plan for</w:t>
      </w:r>
      <w:r>
        <w:rPr>
          <w:rFonts w:asciiTheme="minorHAnsi" w:hAnsiTheme="minorHAnsi"/>
          <w:sz w:val="22"/>
          <w:szCs w:val="22"/>
        </w:rPr>
        <w:t xml:space="preserve"> decommissioning </w:t>
      </w:r>
      <w:r w:rsidR="007C43AF">
        <w:rPr>
          <w:rFonts w:asciiTheme="minorHAnsi" w:hAnsiTheme="minorHAnsi"/>
          <w:sz w:val="22"/>
          <w:szCs w:val="22"/>
        </w:rPr>
        <w:t>at the</w:t>
      </w:r>
      <w:r>
        <w:rPr>
          <w:rFonts w:asciiTheme="minorHAnsi" w:hAnsiTheme="minorHAnsi"/>
          <w:sz w:val="22"/>
          <w:szCs w:val="22"/>
        </w:rPr>
        <w:t xml:space="preserve"> early </w:t>
      </w:r>
      <w:r w:rsidR="007C43AF">
        <w:rPr>
          <w:rFonts w:asciiTheme="minorHAnsi" w:hAnsiTheme="minorHAnsi"/>
          <w:sz w:val="22"/>
          <w:szCs w:val="22"/>
        </w:rPr>
        <w:t>stages of project development</w:t>
      </w:r>
      <w:r w:rsidR="001F7DA7">
        <w:rPr>
          <w:rFonts w:asciiTheme="minorHAnsi" w:hAnsiTheme="minorHAnsi"/>
          <w:sz w:val="22"/>
          <w:szCs w:val="22"/>
        </w:rPr>
        <w:t xml:space="preserve">, </w:t>
      </w:r>
      <w:r w:rsidR="004A2A13">
        <w:rPr>
          <w:rFonts w:asciiTheme="minorHAnsi" w:hAnsiTheme="minorHAnsi"/>
          <w:sz w:val="22"/>
          <w:szCs w:val="22"/>
        </w:rPr>
        <w:t>as</w:t>
      </w:r>
      <w:r w:rsidR="00BD678E">
        <w:rPr>
          <w:rFonts w:asciiTheme="minorHAnsi" w:hAnsiTheme="minorHAnsi"/>
          <w:sz w:val="22"/>
          <w:szCs w:val="22"/>
        </w:rPr>
        <w:t xml:space="preserve"> </w:t>
      </w:r>
      <w:r w:rsidR="004A2A13">
        <w:rPr>
          <w:rFonts w:asciiTheme="minorHAnsi" w:hAnsiTheme="minorHAnsi"/>
          <w:sz w:val="22"/>
          <w:szCs w:val="22"/>
        </w:rPr>
        <w:t>part of</w:t>
      </w:r>
      <w:r w:rsidR="00FE7968">
        <w:rPr>
          <w:rFonts w:asciiTheme="minorHAnsi" w:hAnsiTheme="minorHAnsi"/>
          <w:sz w:val="22"/>
          <w:szCs w:val="22"/>
        </w:rPr>
        <w:t xml:space="preserve"> an</w:t>
      </w:r>
      <w:r w:rsidR="004A2A13">
        <w:rPr>
          <w:rFonts w:asciiTheme="minorHAnsi" w:hAnsiTheme="minorHAnsi"/>
          <w:sz w:val="22"/>
          <w:szCs w:val="22"/>
        </w:rPr>
        <w:t xml:space="preserve"> overall field development strategy.</w:t>
      </w:r>
      <w:r w:rsidR="00A00073">
        <w:rPr>
          <w:rFonts w:asciiTheme="minorHAnsi" w:hAnsiTheme="minorHAnsi"/>
          <w:sz w:val="22"/>
          <w:szCs w:val="22"/>
        </w:rPr>
        <w:t xml:space="preserve"> Decommissioning should also be considered as part of the design and concept selection stages of facility development.</w:t>
      </w:r>
      <w:r w:rsidR="004A2A13">
        <w:rPr>
          <w:rFonts w:asciiTheme="minorHAnsi" w:hAnsiTheme="minorHAnsi"/>
          <w:sz w:val="22"/>
          <w:szCs w:val="22"/>
        </w:rPr>
        <w:t xml:space="preserve"> This will ensure decommissioning </w:t>
      </w:r>
      <w:r w:rsidR="00A00073">
        <w:rPr>
          <w:rFonts w:asciiTheme="minorHAnsi" w:hAnsiTheme="minorHAnsi"/>
          <w:sz w:val="22"/>
          <w:szCs w:val="22"/>
        </w:rPr>
        <w:t xml:space="preserve">obligations and </w:t>
      </w:r>
      <w:r w:rsidR="001F7DA7">
        <w:rPr>
          <w:rFonts w:asciiTheme="minorHAnsi" w:hAnsiTheme="minorHAnsi"/>
          <w:sz w:val="22"/>
          <w:szCs w:val="22"/>
        </w:rPr>
        <w:t xml:space="preserve">associated </w:t>
      </w:r>
      <w:r w:rsidR="004A2A13">
        <w:rPr>
          <w:rFonts w:asciiTheme="minorHAnsi" w:hAnsiTheme="minorHAnsi"/>
          <w:sz w:val="22"/>
          <w:szCs w:val="22"/>
        </w:rPr>
        <w:t xml:space="preserve">costs </w:t>
      </w:r>
      <w:r w:rsidR="00A00073">
        <w:rPr>
          <w:rFonts w:asciiTheme="minorHAnsi" w:hAnsiTheme="minorHAnsi"/>
          <w:sz w:val="22"/>
          <w:szCs w:val="22"/>
        </w:rPr>
        <w:t>can be</w:t>
      </w:r>
      <w:r w:rsidR="004A2A13">
        <w:rPr>
          <w:rFonts w:asciiTheme="minorHAnsi" w:hAnsiTheme="minorHAnsi"/>
          <w:sz w:val="22"/>
          <w:szCs w:val="22"/>
        </w:rPr>
        <w:t xml:space="preserve"> factored into overall project costs</w:t>
      </w:r>
      <w:r w:rsidR="00E70374">
        <w:rPr>
          <w:rFonts w:asciiTheme="minorHAnsi" w:hAnsiTheme="minorHAnsi"/>
          <w:sz w:val="22"/>
          <w:szCs w:val="22"/>
        </w:rPr>
        <w:t xml:space="preserve"> and planning</w:t>
      </w:r>
      <w:r w:rsidR="004A2A13">
        <w:rPr>
          <w:rFonts w:asciiTheme="minorHAnsi" w:hAnsiTheme="minorHAnsi"/>
          <w:sz w:val="22"/>
          <w:szCs w:val="22"/>
        </w:rPr>
        <w:t>.</w:t>
      </w:r>
    </w:p>
    <w:p w14:paraId="242D7776" w14:textId="3D762096" w:rsidR="00272C83" w:rsidRPr="00B10E21" w:rsidRDefault="004F19AC" w:rsidP="00125D28">
      <w:pPr>
        <w:pStyle w:val="Heading2"/>
      </w:pPr>
      <w:bookmarkStart w:id="21" w:name="_Toc479770961"/>
      <w:bookmarkStart w:id="22" w:name="_Toc479778732"/>
      <w:bookmarkStart w:id="23" w:name="_Toc479845248"/>
      <w:bookmarkStart w:id="24" w:name="_Toc482364333"/>
      <w:bookmarkStart w:id="25" w:name="_Toc486939237"/>
      <w:bookmarkStart w:id="26" w:name="_Toc486939310"/>
      <w:bookmarkStart w:id="27" w:name="_Toc486949857"/>
      <w:bookmarkStart w:id="28" w:name="_Toc486950218"/>
      <w:bookmarkStart w:id="29" w:name="_Toc486956416"/>
      <w:r>
        <w:t>2.</w:t>
      </w:r>
      <w:r w:rsidR="00BB45A0">
        <w:t>3</w:t>
      </w:r>
      <w:r w:rsidR="00BB4622" w:rsidRPr="00B10E21">
        <w:tab/>
        <w:t xml:space="preserve"> </w:t>
      </w:r>
      <w:r w:rsidR="002E69FE" w:rsidRPr="00B10E21">
        <w:t>Complete removal</w:t>
      </w:r>
      <w:r w:rsidR="00135489" w:rsidRPr="00B10E21">
        <w:t xml:space="preserve"> of </w:t>
      </w:r>
      <w:r w:rsidR="007E5BCE" w:rsidRPr="00B10E21">
        <w:t xml:space="preserve">infrastructure </w:t>
      </w:r>
      <w:r w:rsidR="002E69FE" w:rsidRPr="00B10E21">
        <w:t>is the “base case”</w:t>
      </w:r>
      <w:bookmarkEnd w:id="21"/>
      <w:bookmarkEnd w:id="22"/>
      <w:bookmarkEnd w:id="23"/>
      <w:bookmarkEnd w:id="24"/>
      <w:bookmarkEnd w:id="25"/>
      <w:bookmarkEnd w:id="26"/>
      <w:bookmarkEnd w:id="27"/>
      <w:bookmarkEnd w:id="28"/>
      <w:bookmarkEnd w:id="29"/>
      <w:r w:rsidR="00D119AE" w:rsidRPr="00B10E21">
        <w:t xml:space="preserve"> </w:t>
      </w:r>
      <w:r w:rsidR="00272C83" w:rsidRPr="00B10E21">
        <w:t xml:space="preserve"> </w:t>
      </w:r>
    </w:p>
    <w:p w14:paraId="58CE0FED" w14:textId="3013747D" w:rsidR="0022761C" w:rsidRDefault="00294157" w:rsidP="009163AA">
      <w:pPr>
        <w:pStyle w:val="ListParagraph"/>
        <w:spacing w:before="120" w:after="120"/>
        <w:ind w:left="0"/>
        <w:contextualSpacing w:val="0"/>
      </w:pPr>
      <w:r>
        <w:t>The c</w:t>
      </w:r>
      <w:r w:rsidR="004E4FB1" w:rsidRPr="00E63AF2">
        <w:t>omplete remova</w:t>
      </w:r>
      <w:r>
        <w:t xml:space="preserve">l of </w:t>
      </w:r>
      <w:r w:rsidR="003B4DBF">
        <w:t>infrastructure</w:t>
      </w:r>
      <w:r>
        <w:t xml:space="preserve"> and the pl</w:t>
      </w:r>
      <w:r w:rsidR="003B4DBF">
        <w:t>ugging and abandonment of wells is t</w:t>
      </w:r>
      <w:r w:rsidR="00B83569" w:rsidDel="00634334">
        <w:t xml:space="preserve">he </w:t>
      </w:r>
      <w:r w:rsidR="00135489">
        <w:t xml:space="preserve">default </w:t>
      </w:r>
      <w:r w:rsidR="004E4FB1">
        <w:t xml:space="preserve">decommissioning </w:t>
      </w:r>
      <w:r w:rsidR="00B83569">
        <w:t>requirement</w:t>
      </w:r>
      <w:r w:rsidR="002E67D8">
        <w:t xml:space="preserve"> under the OPGGS Act</w:t>
      </w:r>
      <w:r w:rsidR="004E4FB1" w:rsidRPr="00E63AF2">
        <w:t xml:space="preserve">. </w:t>
      </w:r>
      <w:r w:rsidR="000442B1">
        <w:t>This is consistent with Australia’s</w:t>
      </w:r>
      <w:r w:rsidR="00735DB3">
        <w:t xml:space="preserve"> international</w:t>
      </w:r>
      <w:r w:rsidR="000442B1">
        <w:t xml:space="preserve"> obligations</w:t>
      </w:r>
      <w:r w:rsidR="00735DB3">
        <w:t>, primarily</w:t>
      </w:r>
      <w:r w:rsidR="000442B1">
        <w:t xml:space="preserve"> under the United Nations Convention on the Law of the Sea</w:t>
      </w:r>
      <w:r w:rsidR="00735DB3">
        <w:t xml:space="preserve"> (UNCLOS)</w:t>
      </w:r>
      <w:r w:rsidR="00AB6668">
        <w:rPr>
          <w:rStyle w:val="FootnoteReference"/>
        </w:rPr>
        <w:footnoteReference w:id="2"/>
      </w:r>
      <w:r w:rsidR="00735DB3">
        <w:t xml:space="preserve"> and the Convention on the Prevention of Marine Pollution by Dumping of </w:t>
      </w:r>
      <w:r w:rsidR="00DC5205">
        <w:t>Wastes and Other Matter (London </w:t>
      </w:r>
      <w:r w:rsidR="00735DB3">
        <w:t xml:space="preserve">Convention) and associated Protocol, </w:t>
      </w:r>
      <w:r w:rsidR="000442B1">
        <w:t>to remove disused installations and structures and</w:t>
      </w:r>
      <w:r w:rsidR="00735DB3">
        <w:t xml:space="preserve"> to</w:t>
      </w:r>
      <w:r w:rsidR="000442B1">
        <w:t xml:space="preserve"> preserve and protect the marine environment</w:t>
      </w:r>
      <w:r w:rsidR="00133B92">
        <w:t>.</w:t>
      </w:r>
      <w:r w:rsidR="000442B1">
        <w:t xml:space="preserve"> </w:t>
      </w:r>
      <w:r w:rsidR="009163AA">
        <w:t>This</w:t>
      </w:r>
      <w:r w:rsidR="002E67D8">
        <w:t xml:space="preserve"> requirement is </w:t>
      </w:r>
      <w:r w:rsidR="00735DB3">
        <w:t xml:space="preserve">however </w:t>
      </w:r>
      <w:r w:rsidR="002E67D8">
        <w:t xml:space="preserve">subject to other </w:t>
      </w:r>
      <w:r w:rsidR="00CA6583">
        <w:t xml:space="preserve">provisions </w:t>
      </w:r>
      <w:r w:rsidR="002E67D8">
        <w:t>of the OPGGS Act</w:t>
      </w:r>
      <w:r w:rsidR="00CA6583">
        <w:t xml:space="preserve"> and</w:t>
      </w:r>
      <w:r w:rsidR="002E67D8">
        <w:t xml:space="preserve"> </w:t>
      </w:r>
      <w:r w:rsidR="004A2A13">
        <w:t>r</w:t>
      </w:r>
      <w:r w:rsidR="002E67D8">
        <w:t xml:space="preserve">egulations, directions given by </w:t>
      </w:r>
      <w:r w:rsidR="00413C27">
        <w:t xml:space="preserve">the </w:t>
      </w:r>
      <w:r w:rsidR="00707514">
        <w:t>N</w:t>
      </w:r>
      <w:r w:rsidR="00413C27">
        <w:t xml:space="preserve">ational </w:t>
      </w:r>
      <w:r w:rsidR="00707514">
        <w:t>O</w:t>
      </w:r>
      <w:r w:rsidR="00413C27">
        <w:t xml:space="preserve">ffshore </w:t>
      </w:r>
      <w:r w:rsidR="00707514">
        <w:t>P</w:t>
      </w:r>
      <w:r w:rsidR="00413C27">
        <w:t xml:space="preserve">etroleum </w:t>
      </w:r>
      <w:r w:rsidR="00707514">
        <w:t>S</w:t>
      </w:r>
      <w:r w:rsidR="00413C27">
        <w:t xml:space="preserve">afety and </w:t>
      </w:r>
      <w:r w:rsidR="00707514">
        <w:t>E</w:t>
      </w:r>
      <w:r w:rsidR="00413C27">
        <w:t xml:space="preserve">nvironmental </w:t>
      </w:r>
      <w:r w:rsidR="00707514">
        <w:t>M</w:t>
      </w:r>
      <w:r w:rsidR="00413C27">
        <w:t xml:space="preserve">anagement </w:t>
      </w:r>
      <w:r w:rsidR="00707514">
        <w:t>A</w:t>
      </w:r>
      <w:r w:rsidR="00413C27">
        <w:t>uthority (NOPSEMA)</w:t>
      </w:r>
      <w:r w:rsidR="002E67D8">
        <w:t xml:space="preserve"> or</w:t>
      </w:r>
      <w:r w:rsidR="008D3984">
        <w:t xml:space="preserve"> the</w:t>
      </w:r>
      <w:r w:rsidR="002E67D8">
        <w:t xml:space="preserve"> responsible Commonwealth Minister</w:t>
      </w:r>
      <w:r w:rsidR="008D3984">
        <w:t>,</w:t>
      </w:r>
      <w:r w:rsidR="002E67D8">
        <w:t xml:space="preserve"> and other</w:t>
      </w:r>
      <w:r w:rsidR="008D3984">
        <w:t xml:space="preserve"> applicable</w:t>
      </w:r>
      <w:r w:rsidR="002E67D8">
        <w:t xml:space="preserve"> law</w:t>
      </w:r>
      <w:r w:rsidR="008D3984">
        <w:t>s</w:t>
      </w:r>
      <w:r w:rsidR="00A4093D">
        <w:t>.</w:t>
      </w:r>
      <w:r w:rsidR="00735DB3">
        <w:rPr>
          <w:rStyle w:val="FootnoteReference"/>
        </w:rPr>
        <w:footnoteReference w:id="3"/>
      </w:r>
      <w:r w:rsidR="00A4093D">
        <w:t xml:space="preserve"> </w:t>
      </w:r>
    </w:p>
    <w:p w14:paraId="6B8A87FB" w14:textId="7B58A982" w:rsidR="002E67D8" w:rsidRDefault="002E67D8" w:rsidP="009163AA">
      <w:pPr>
        <w:pStyle w:val="ListParagraph"/>
        <w:spacing w:before="120" w:after="120"/>
        <w:ind w:left="0"/>
        <w:contextualSpacing w:val="0"/>
      </w:pPr>
      <w:r>
        <w:t xml:space="preserve">This means options </w:t>
      </w:r>
      <w:r w:rsidR="004218EC">
        <w:t>other than complete removal</w:t>
      </w:r>
      <w:r w:rsidR="004E4FB1" w:rsidRPr="00E63AF2">
        <w:t xml:space="preserve"> </w:t>
      </w:r>
      <w:r w:rsidR="004E4FB1" w:rsidRPr="002C61AA">
        <w:t xml:space="preserve">may </w:t>
      </w:r>
      <w:r w:rsidR="004E4FB1">
        <w:t xml:space="preserve">be </w:t>
      </w:r>
      <w:r w:rsidR="00854F2D">
        <w:t>considered</w:t>
      </w:r>
      <w:r w:rsidR="00ED49DF">
        <w:t>,</w:t>
      </w:r>
      <w:r w:rsidR="00294157">
        <w:t xml:space="preserve"> </w:t>
      </w:r>
      <w:r w:rsidR="00854F2D">
        <w:t>however</w:t>
      </w:r>
      <w:r w:rsidR="00854F2D" w:rsidRPr="00E63AF2">
        <w:t xml:space="preserve"> </w:t>
      </w:r>
      <w:r w:rsidR="0062118A">
        <w:t xml:space="preserve">the titleholder </w:t>
      </w:r>
      <w:r w:rsidR="00854F2D">
        <w:t xml:space="preserve">must </w:t>
      </w:r>
      <w:r w:rsidR="0062118A">
        <w:t xml:space="preserve">demonstrate </w:t>
      </w:r>
      <w:r w:rsidR="00BD678E">
        <w:t xml:space="preserve">that the </w:t>
      </w:r>
      <w:r w:rsidR="00CA6583">
        <w:t xml:space="preserve">alternative </w:t>
      </w:r>
      <w:r w:rsidR="008D3984">
        <w:t xml:space="preserve">decommissioning </w:t>
      </w:r>
      <w:r>
        <w:t>approach</w:t>
      </w:r>
      <w:r w:rsidR="00BE56D9">
        <w:t xml:space="preserve"> </w:t>
      </w:r>
      <w:r w:rsidR="004E4FB1" w:rsidRPr="00E63AF2">
        <w:t>deliver</w:t>
      </w:r>
      <w:r w:rsidR="00BE56D9">
        <w:t>s</w:t>
      </w:r>
      <w:r w:rsidR="004E4FB1">
        <w:t xml:space="preserve"> equal or better</w:t>
      </w:r>
      <w:r w:rsidR="004E4FB1" w:rsidRPr="00E63AF2">
        <w:t xml:space="preserve"> environmental, safety and well integrity outcomes</w:t>
      </w:r>
      <w:r w:rsidR="004E4FB1">
        <w:t xml:space="preserve"> compared to complete removal,</w:t>
      </w:r>
      <w:r w:rsidR="00E544FE">
        <w:t xml:space="preserve"> and</w:t>
      </w:r>
      <w:r>
        <w:t xml:space="preserve"> that the approach complies</w:t>
      </w:r>
      <w:r w:rsidR="00E544FE">
        <w:t xml:space="preserve"> with</w:t>
      </w:r>
      <w:r w:rsidR="004E4FB1">
        <w:t xml:space="preserve"> </w:t>
      </w:r>
      <w:r w:rsidR="0062118A">
        <w:t xml:space="preserve">all </w:t>
      </w:r>
      <w:r w:rsidR="00FF6FA0">
        <w:t xml:space="preserve">other </w:t>
      </w:r>
      <w:r w:rsidR="004E4FB1">
        <w:t>leg</w:t>
      </w:r>
      <w:r w:rsidR="00A30A4D">
        <w:t xml:space="preserve">islative and regulatory </w:t>
      </w:r>
      <w:r w:rsidR="00CD7A6A">
        <w:t>requirements –</w:t>
      </w:r>
      <w:r w:rsidR="00895ABD">
        <w:t xml:space="preserve"> including requirements under other Commonwealth laws.</w:t>
      </w:r>
      <w:r w:rsidR="004E4FB1" w:rsidRPr="00E63AF2">
        <w:t xml:space="preserve"> </w:t>
      </w:r>
      <w:r>
        <w:t xml:space="preserve">Titleholders </w:t>
      </w:r>
      <w:r w:rsidR="00556F40">
        <w:t>can</w:t>
      </w:r>
      <w:r>
        <w:t xml:space="preserve"> demonstrate </w:t>
      </w:r>
      <w:r w:rsidR="00BD678E">
        <w:t>these matters</w:t>
      </w:r>
      <w:r>
        <w:t xml:space="preserve"> through s</w:t>
      </w:r>
      <w:r w:rsidR="00556F40">
        <w:t xml:space="preserve">ubmission of </w:t>
      </w:r>
      <w:proofErr w:type="spellStart"/>
      <w:r w:rsidR="00556F40">
        <w:t>permissioning</w:t>
      </w:r>
      <w:proofErr w:type="spellEnd"/>
      <w:r>
        <w:t xml:space="preserve"> documents to NOPSEMA under the OPGGS </w:t>
      </w:r>
      <w:r w:rsidR="00CA6583">
        <w:t>r</w:t>
      </w:r>
      <w:r>
        <w:t>egulations</w:t>
      </w:r>
      <w:r w:rsidR="00A4093D">
        <w:t xml:space="preserve">. </w:t>
      </w:r>
    </w:p>
    <w:p w14:paraId="1B4FABCC" w14:textId="6874A38B" w:rsidR="003B4DBF" w:rsidRDefault="003B4DBF" w:rsidP="00B10E21">
      <w:pPr>
        <w:pStyle w:val="ListParagraph"/>
        <w:spacing w:before="120" w:after="120"/>
        <w:ind w:left="0"/>
        <w:contextualSpacing w:val="0"/>
      </w:pPr>
      <w:r>
        <w:lastRenderedPageBreak/>
        <w:t xml:space="preserve">This acknowledges the variability of factors (including </w:t>
      </w:r>
      <w:r w:rsidR="00AF332A">
        <w:t xml:space="preserve">site-specific </w:t>
      </w:r>
      <w:r>
        <w:t xml:space="preserve">environmental and safety risks, type of infrastructure, costs, and available technology) </w:t>
      </w:r>
      <w:r w:rsidR="00AF332A">
        <w:t xml:space="preserve">that may </w:t>
      </w:r>
      <w:r w:rsidR="00895ABD">
        <w:t>affect</w:t>
      </w:r>
      <w:r w:rsidR="00413C27">
        <w:t xml:space="preserve"> titleholder</w:t>
      </w:r>
      <w:r>
        <w:t>s</w:t>
      </w:r>
      <w:r w:rsidR="00413C27">
        <w:t>’</w:t>
      </w:r>
      <w:r>
        <w:t xml:space="preserve"> considerations. </w:t>
      </w:r>
    </w:p>
    <w:p w14:paraId="2A223D2C" w14:textId="3B4B5BFB" w:rsidR="004E4FB1" w:rsidRPr="00D404DC" w:rsidRDefault="004F19AC" w:rsidP="00125D28">
      <w:pPr>
        <w:pStyle w:val="Heading2"/>
      </w:pPr>
      <w:bookmarkStart w:id="30" w:name="_Toc479770962"/>
      <w:bookmarkStart w:id="31" w:name="_Toc479778733"/>
      <w:bookmarkStart w:id="32" w:name="_Toc479845249"/>
      <w:bookmarkStart w:id="33" w:name="_Toc482364334"/>
      <w:bookmarkStart w:id="34" w:name="_Toc486939238"/>
      <w:bookmarkStart w:id="35" w:name="_Toc486939311"/>
      <w:bookmarkStart w:id="36" w:name="_Toc486949858"/>
      <w:bookmarkStart w:id="37" w:name="_Toc486950219"/>
      <w:bookmarkStart w:id="38" w:name="_Toc486956417"/>
      <w:bookmarkStart w:id="39" w:name="_Toc489460730"/>
      <w:bookmarkStart w:id="40" w:name="_Toc489460838"/>
      <w:r>
        <w:t>2</w:t>
      </w:r>
      <w:r w:rsidR="008B15C6" w:rsidRPr="00D404DC">
        <w:t>.</w:t>
      </w:r>
      <w:r w:rsidR="00BB45A0">
        <w:t>4</w:t>
      </w:r>
      <w:r w:rsidR="00921936" w:rsidRPr="00D404DC">
        <w:tab/>
      </w:r>
      <w:r w:rsidR="002E69FE" w:rsidRPr="00D404DC">
        <w:t xml:space="preserve">Decommissioning </w:t>
      </w:r>
      <w:r w:rsidR="00FC3C70" w:rsidRPr="00D404DC">
        <w:t>must be</w:t>
      </w:r>
      <w:r w:rsidR="004E4FB1" w:rsidRPr="00D404DC">
        <w:t xml:space="preserve"> completed before the end of title</w:t>
      </w:r>
      <w:bookmarkEnd w:id="30"/>
      <w:bookmarkEnd w:id="31"/>
      <w:bookmarkEnd w:id="32"/>
      <w:bookmarkEnd w:id="33"/>
      <w:bookmarkEnd w:id="34"/>
      <w:bookmarkEnd w:id="35"/>
      <w:bookmarkEnd w:id="36"/>
      <w:bookmarkEnd w:id="37"/>
      <w:bookmarkEnd w:id="38"/>
      <w:bookmarkEnd w:id="39"/>
      <w:bookmarkEnd w:id="40"/>
    </w:p>
    <w:p w14:paraId="0BBC0C91" w14:textId="6DF5269C" w:rsidR="002E69FE" w:rsidRDefault="00F3021A" w:rsidP="00B10E21">
      <w:pPr>
        <w:spacing w:before="120" w:after="120" w:line="276" w:lineRule="auto"/>
        <w:rPr>
          <w:rFonts w:ascii="Calibri" w:hAnsi="Calibri"/>
          <w:color w:val="000000"/>
          <w:sz w:val="22"/>
          <w:szCs w:val="22"/>
        </w:rPr>
      </w:pPr>
      <w:r>
        <w:rPr>
          <w:rFonts w:ascii="Calibri" w:hAnsi="Calibri"/>
          <w:color w:val="000000"/>
          <w:sz w:val="22"/>
          <w:szCs w:val="22"/>
        </w:rPr>
        <w:t>A</w:t>
      </w:r>
      <w:r w:rsidR="00E92778">
        <w:rPr>
          <w:rFonts w:ascii="Calibri" w:hAnsi="Calibri"/>
          <w:color w:val="000000"/>
          <w:sz w:val="22"/>
          <w:szCs w:val="22"/>
        </w:rPr>
        <w:t xml:space="preserve">ll decommissioning </w:t>
      </w:r>
      <w:r w:rsidR="002E69FE">
        <w:rPr>
          <w:rFonts w:ascii="Calibri" w:hAnsi="Calibri"/>
          <w:color w:val="000000"/>
          <w:sz w:val="22"/>
          <w:szCs w:val="22"/>
        </w:rPr>
        <w:t xml:space="preserve">activities </w:t>
      </w:r>
      <w:r w:rsidR="00307AB2">
        <w:rPr>
          <w:rFonts w:ascii="Calibri" w:hAnsi="Calibri"/>
          <w:color w:val="000000"/>
          <w:sz w:val="22"/>
          <w:szCs w:val="22"/>
        </w:rPr>
        <w:t xml:space="preserve">should be </w:t>
      </w:r>
      <w:r w:rsidR="002E69FE">
        <w:rPr>
          <w:rFonts w:ascii="Calibri" w:hAnsi="Calibri"/>
          <w:color w:val="000000"/>
          <w:sz w:val="22"/>
          <w:szCs w:val="22"/>
        </w:rPr>
        <w:t>undertaken while a title is still in force. This is to:</w:t>
      </w:r>
    </w:p>
    <w:p w14:paraId="54DFB509" w14:textId="5602ABAB" w:rsidR="00E92778" w:rsidRDefault="00F3021A" w:rsidP="002921C9">
      <w:pPr>
        <w:pStyle w:val="ListParagraph"/>
        <w:numPr>
          <w:ilvl w:val="0"/>
          <w:numId w:val="7"/>
        </w:numPr>
        <w:spacing w:before="120" w:after="120"/>
        <w:ind w:left="357" w:hanging="357"/>
        <w:contextualSpacing w:val="0"/>
        <w:rPr>
          <w:rFonts w:ascii="Calibri" w:hAnsi="Calibri"/>
          <w:color w:val="000000"/>
        </w:rPr>
      </w:pPr>
      <w:r>
        <w:rPr>
          <w:rFonts w:ascii="Calibri" w:hAnsi="Calibri"/>
          <w:color w:val="000000"/>
        </w:rPr>
        <w:t>E</w:t>
      </w:r>
      <w:r w:rsidR="002E69FE">
        <w:rPr>
          <w:rFonts w:ascii="Calibri" w:hAnsi="Calibri"/>
          <w:color w:val="000000"/>
        </w:rPr>
        <w:t xml:space="preserve">nsure that </w:t>
      </w:r>
      <w:r w:rsidR="002E69FE" w:rsidRPr="002E69FE">
        <w:rPr>
          <w:rFonts w:ascii="Calibri" w:hAnsi="Calibri"/>
          <w:color w:val="000000"/>
        </w:rPr>
        <w:t xml:space="preserve">all </w:t>
      </w:r>
      <w:r w:rsidR="002E69FE">
        <w:rPr>
          <w:rFonts w:ascii="Calibri" w:hAnsi="Calibri"/>
          <w:color w:val="000000"/>
        </w:rPr>
        <w:t xml:space="preserve">decommissioning </w:t>
      </w:r>
      <w:r w:rsidR="002E69FE" w:rsidRPr="002E69FE">
        <w:rPr>
          <w:rFonts w:ascii="Calibri" w:hAnsi="Calibri"/>
          <w:color w:val="000000"/>
        </w:rPr>
        <w:t xml:space="preserve">activities are </w:t>
      </w:r>
      <w:r w:rsidR="002E67D8">
        <w:rPr>
          <w:rFonts w:ascii="Calibri" w:hAnsi="Calibri"/>
          <w:color w:val="000000"/>
        </w:rPr>
        <w:t>conducted under the framework of the O</w:t>
      </w:r>
      <w:r w:rsidR="00373AD4">
        <w:rPr>
          <w:rFonts w:ascii="Calibri" w:hAnsi="Calibri"/>
          <w:color w:val="000000"/>
        </w:rPr>
        <w:t>PGGS Act and r</w:t>
      </w:r>
      <w:r w:rsidR="002E67D8">
        <w:rPr>
          <w:rFonts w:ascii="Calibri" w:hAnsi="Calibri"/>
          <w:color w:val="000000"/>
        </w:rPr>
        <w:t>egulations, providing legal and proces</w:t>
      </w:r>
      <w:r w:rsidR="00373AD4">
        <w:rPr>
          <w:rFonts w:ascii="Calibri" w:hAnsi="Calibri"/>
          <w:color w:val="000000"/>
        </w:rPr>
        <w:t>s certainty to all stakeholders and ensuring risks to safety, well integrity and environmental management are effectively managed.</w:t>
      </w:r>
    </w:p>
    <w:p w14:paraId="67D0A686" w14:textId="2BDD3FAD" w:rsidR="002E69FE" w:rsidRPr="002E69FE" w:rsidRDefault="00F3021A" w:rsidP="002921C9">
      <w:pPr>
        <w:pStyle w:val="ListParagraph"/>
        <w:numPr>
          <w:ilvl w:val="0"/>
          <w:numId w:val="7"/>
        </w:numPr>
        <w:spacing w:before="120" w:after="120"/>
        <w:ind w:left="357" w:hanging="357"/>
        <w:contextualSpacing w:val="0"/>
        <w:rPr>
          <w:rFonts w:ascii="Calibri" w:hAnsi="Calibri"/>
          <w:color w:val="000000"/>
        </w:rPr>
      </w:pPr>
      <w:r>
        <w:rPr>
          <w:rFonts w:ascii="Calibri" w:hAnsi="Calibri"/>
          <w:color w:val="000000"/>
        </w:rPr>
        <w:t>P</w:t>
      </w:r>
      <w:r w:rsidR="002E69FE">
        <w:rPr>
          <w:rFonts w:ascii="Calibri" w:hAnsi="Calibri"/>
          <w:color w:val="000000"/>
        </w:rPr>
        <w:t xml:space="preserve">rovide </w:t>
      </w:r>
      <w:r w:rsidR="002E67D8">
        <w:rPr>
          <w:rFonts w:ascii="Calibri" w:hAnsi="Calibri"/>
          <w:color w:val="000000"/>
        </w:rPr>
        <w:t>a structured process for</w:t>
      </w:r>
      <w:r w:rsidR="002E69FE">
        <w:rPr>
          <w:rFonts w:ascii="Calibri" w:hAnsi="Calibri"/>
          <w:color w:val="000000"/>
        </w:rPr>
        <w:t xml:space="preserve"> </w:t>
      </w:r>
      <w:r w:rsidR="002E67D8">
        <w:rPr>
          <w:rFonts w:ascii="Calibri" w:hAnsi="Calibri"/>
          <w:color w:val="000000"/>
        </w:rPr>
        <w:t>titleholders</w:t>
      </w:r>
      <w:r w:rsidR="002E69FE">
        <w:rPr>
          <w:rFonts w:ascii="Calibri" w:hAnsi="Calibri"/>
          <w:color w:val="000000"/>
        </w:rPr>
        <w:t xml:space="preserve"> see</w:t>
      </w:r>
      <w:r w:rsidR="00ED49DF">
        <w:rPr>
          <w:rFonts w:ascii="Calibri" w:hAnsi="Calibri"/>
          <w:color w:val="000000"/>
        </w:rPr>
        <w:t xml:space="preserve">king to vacate a title area, </w:t>
      </w:r>
      <w:r w:rsidR="002E67D8">
        <w:rPr>
          <w:rFonts w:ascii="Calibri" w:hAnsi="Calibri"/>
          <w:color w:val="000000"/>
        </w:rPr>
        <w:t xml:space="preserve">through ensuring all </w:t>
      </w:r>
      <w:r w:rsidR="001F7DA7">
        <w:rPr>
          <w:rFonts w:ascii="Calibri" w:hAnsi="Calibri"/>
          <w:color w:val="000000"/>
        </w:rPr>
        <w:t>applicable</w:t>
      </w:r>
      <w:r w:rsidR="002E67D8">
        <w:rPr>
          <w:rFonts w:ascii="Calibri" w:hAnsi="Calibri"/>
          <w:color w:val="000000"/>
        </w:rPr>
        <w:t xml:space="preserve"> legislative and regulatory obligations have been met prior to a title ending</w:t>
      </w:r>
      <w:r w:rsidR="00A4093D">
        <w:rPr>
          <w:rFonts w:ascii="Calibri" w:hAnsi="Calibri"/>
          <w:color w:val="000000"/>
        </w:rPr>
        <w:t xml:space="preserve">. </w:t>
      </w:r>
    </w:p>
    <w:p w14:paraId="6FA7C56E" w14:textId="4BAB4124" w:rsidR="0029194B" w:rsidRPr="00125D28" w:rsidRDefault="009C4F7C" w:rsidP="00125D28">
      <w:pPr>
        <w:rPr>
          <w:rFonts w:asciiTheme="minorHAnsi" w:hAnsiTheme="minorHAnsi"/>
          <w:sz w:val="22"/>
          <w:szCs w:val="22"/>
        </w:rPr>
      </w:pPr>
      <w:bookmarkStart w:id="41" w:name="_Toc489460731"/>
      <w:bookmarkStart w:id="42" w:name="_Toc489460839"/>
      <w:r w:rsidRPr="00125D28">
        <w:rPr>
          <w:rFonts w:asciiTheme="minorHAnsi" w:hAnsiTheme="minorHAnsi"/>
          <w:sz w:val="22"/>
          <w:szCs w:val="22"/>
        </w:rPr>
        <w:t>T</w:t>
      </w:r>
      <w:r w:rsidR="001B2315" w:rsidRPr="00125D28">
        <w:rPr>
          <w:rFonts w:asciiTheme="minorHAnsi" w:hAnsiTheme="minorHAnsi"/>
          <w:sz w:val="22"/>
          <w:szCs w:val="22"/>
        </w:rPr>
        <w:t xml:space="preserve">he Commonwealth </w:t>
      </w:r>
      <w:r w:rsidR="008835B7" w:rsidRPr="00125D28">
        <w:rPr>
          <w:rFonts w:asciiTheme="minorHAnsi" w:hAnsiTheme="minorHAnsi"/>
          <w:sz w:val="22"/>
          <w:szCs w:val="22"/>
        </w:rPr>
        <w:t xml:space="preserve">expects </w:t>
      </w:r>
      <w:r w:rsidR="00E544FE" w:rsidRPr="00125D28">
        <w:rPr>
          <w:rFonts w:asciiTheme="minorHAnsi" w:hAnsiTheme="minorHAnsi"/>
          <w:sz w:val="22"/>
          <w:szCs w:val="22"/>
        </w:rPr>
        <w:t>titleholder</w:t>
      </w:r>
      <w:r w:rsidRPr="00125D28">
        <w:rPr>
          <w:rFonts w:asciiTheme="minorHAnsi" w:hAnsiTheme="minorHAnsi"/>
          <w:sz w:val="22"/>
          <w:szCs w:val="22"/>
        </w:rPr>
        <w:t>s</w:t>
      </w:r>
      <w:r w:rsidR="00E544FE" w:rsidRPr="00125D28">
        <w:rPr>
          <w:rFonts w:asciiTheme="minorHAnsi" w:hAnsiTheme="minorHAnsi"/>
          <w:sz w:val="22"/>
          <w:szCs w:val="22"/>
        </w:rPr>
        <w:t xml:space="preserve"> will complete</w:t>
      </w:r>
      <w:r w:rsidR="00373AD4" w:rsidRPr="00125D28">
        <w:rPr>
          <w:rFonts w:asciiTheme="minorHAnsi" w:hAnsiTheme="minorHAnsi"/>
          <w:sz w:val="22"/>
          <w:szCs w:val="22"/>
        </w:rPr>
        <w:t xml:space="preserve"> all </w:t>
      </w:r>
      <w:r w:rsidR="001B2315" w:rsidRPr="00125D28">
        <w:rPr>
          <w:rFonts w:asciiTheme="minorHAnsi" w:hAnsiTheme="minorHAnsi"/>
          <w:sz w:val="22"/>
          <w:szCs w:val="22"/>
        </w:rPr>
        <w:t>d</w:t>
      </w:r>
      <w:r w:rsidR="004E4FB1" w:rsidRPr="00125D28">
        <w:rPr>
          <w:rFonts w:asciiTheme="minorHAnsi" w:hAnsiTheme="minorHAnsi"/>
          <w:sz w:val="22"/>
          <w:szCs w:val="22"/>
        </w:rPr>
        <w:t>ecommissioning</w:t>
      </w:r>
      <w:r w:rsidR="00373AD4" w:rsidRPr="00125D28">
        <w:rPr>
          <w:rFonts w:asciiTheme="minorHAnsi" w:hAnsiTheme="minorHAnsi"/>
          <w:sz w:val="22"/>
          <w:szCs w:val="22"/>
        </w:rPr>
        <w:t xml:space="preserve"> activities</w:t>
      </w:r>
      <w:r w:rsidR="002E69FE" w:rsidRPr="00125D28">
        <w:rPr>
          <w:rFonts w:asciiTheme="minorHAnsi" w:hAnsiTheme="minorHAnsi"/>
          <w:sz w:val="22"/>
          <w:szCs w:val="22"/>
        </w:rPr>
        <w:t xml:space="preserve"> </w:t>
      </w:r>
      <w:r w:rsidR="004E4FB1" w:rsidRPr="00125D28">
        <w:rPr>
          <w:rFonts w:asciiTheme="minorHAnsi" w:hAnsiTheme="minorHAnsi"/>
          <w:sz w:val="22"/>
          <w:szCs w:val="22"/>
        </w:rPr>
        <w:t xml:space="preserve">before </w:t>
      </w:r>
      <w:r w:rsidR="00ED49DF" w:rsidRPr="00125D28">
        <w:rPr>
          <w:rFonts w:asciiTheme="minorHAnsi" w:hAnsiTheme="minorHAnsi"/>
          <w:sz w:val="22"/>
          <w:szCs w:val="22"/>
        </w:rPr>
        <w:t>their</w:t>
      </w:r>
      <w:r w:rsidR="004C4C6A" w:rsidRPr="00125D28">
        <w:rPr>
          <w:rFonts w:asciiTheme="minorHAnsi" w:hAnsiTheme="minorHAnsi"/>
          <w:sz w:val="22"/>
          <w:szCs w:val="22"/>
        </w:rPr>
        <w:t xml:space="preserve"> </w:t>
      </w:r>
      <w:r w:rsidR="004E4FB1" w:rsidRPr="00125D28">
        <w:rPr>
          <w:rFonts w:asciiTheme="minorHAnsi" w:hAnsiTheme="minorHAnsi"/>
          <w:sz w:val="22"/>
          <w:szCs w:val="22"/>
        </w:rPr>
        <w:t xml:space="preserve">title </w:t>
      </w:r>
      <w:r w:rsidR="00135489" w:rsidRPr="00125D28">
        <w:rPr>
          <w:rFonts w:asciiTheme="minorHAnsi" w:hAnsiTheme="minorHAnsi"/>
          <w:sz w:val="22"/>
          <w:szCs w:val="22"/>
        </w:rPr>
        <w:t>ends</w:t>
      </w:r>
      <w:r w:rsidR="004E4FB1" w:rsidRPr="00125D28">
        <w:rPr>
          <w:rFonts w:asciiTheme="minorHAnsi" w:hAnsiTheme="minorHAnsi"/>
          <w:sz w:val="22"/>
          <w:szCs w:val="22"/>
        </w:rPr>
        <w:t xml:space="preserve"> over all or </w:t>
      </w:r>
      <w:r w:rsidR="00F3021A" w:rsidRPr="00125D28">
        <w:rPr>
          <w:rFonts w:asciiTheme="minorHAnsi" w:hAnsiTheme="minorHAnsi"/>
          <w:sz w:val="22"/>
          <w:szCs w:val="22"/>
        </w:rPr>
        <w:t xml:space="preserve">the relevant </w:t>
      </w:r>
      <w:r w:rsidR="004E4FB1" w:rsidRPr="00125D28">
        <w:rPr>
          <w:rFonts w:asciiTheme="minorHAnsi" w:hAnsiTheme="minorHAnsi"/>
          <w:sz w:val="22"/>
          <w:szCs w:val="22"/>
        </w:rPr>
        <w:t xml:space="preserve">part of the area to which it relates. </w:t>
      </w:r>
      <w:r w:rsidR="001B2315" w:rsidRPr="00125D28">
        <w:rPr>
          <w:rFonts w:asciiTheme="minorHAnsi" w:hAnsiTheme="minorHAnsi"/>
          <w:sz w:val="22"/>
          <w:szCs w:val="22"/>
        </w:rPr>
        <w:t xml:space="preserve">This includes where a title is </w:t>
      </w:r>
      <w:proofErr w:type="gramStart"/>
      <w:r w:rsidR="001B2315" w:rsidRPr="00125D28">
        <w:rPr>
          <w:rFonts w:asciiTheme="minorHAnsi" w:hAnsiTheme="minorHAnsi"/>
          <w:sz w:val="22"/>
          <w:szCs w:val="22"/>
        </w:rPr>
        <w:t>brought to an end</w:t>
      </w:r>
      <w:proofErr w:type="gramEnd"/>
      <w:r w:rsidR="001B2315" w:rsidRPr="00125D28">
        <w:rPr>
          <w:rFonts w:asciiTheme="minorHAnsi" w:hAnsiTheme="minorHAnsi"/>
          <w:sz w:val="22"/>
          <w:szCs w:val="22"/>
        </w:rPr>
        <w:t xml:space="preserve"> by a </w:t>
      </w:r>
      <w:r w:rsidR="00135489" w:rsidRPr="00125D28">
        <w:rPr>
          <w:rFonts w:asciiTheme="minorHAnsi" w:hAnsiTheme="minorHAnsi"/>
          <w:sz w:val="22"/>
          <w:szCs w:val="22"/>
        </w:rPr>
        <w:t xml:space="preserve">decision of a </w:t>
      </w:r>
      <w:r w:rsidR="00E92778" w:rsidRPr="00125D28">
        <w:rPr>
          <w:rFonts w:asciiTheme="minorHAnsi" w:hAnsiTheme="minorHAnsi"/>
          <w:sz w:val="22"/>
          <w:szCs w:val="22"/>
        </w:rPr>
        <w:t xml:space="preserve">Joint Authority </w:t>
      </w:r>
      <w:r w:rsidR="001B2315" w:rsidRPr="00125D28">
        <w:rPr>
          <w:rFonts w:asciiTheme="minorHAnsi" w:hAnsiTheme="minorHAnsi"/>
          <w:sz w:val="22"/>
          <w:szCs w:val="22"/>
        </w:rPr>
        <w:t xml:space="preserve">(e.g. </w:t>
      </w:r>
      <w:r w:rsidR="00DF02E0" w:rsidRPr="00125D28">
        <w:rPr>
          <w:rFonts w:asciiTheme="minorHAnsi" w:hAnsiTheme="minorHAnsi"/>
          <w:sz w:val="22"/>
          <w:szCs w:val="22"/>
        </w:rPr>
        <w:t xml:space="preserve">where the Joint Authority </w:t>
      </w:r>
      <w:r w:rsidR="00E92778" w:rsidRPr="00125D28">
        <w:rPr>
          <w:rFonts w:asciiTheme="minorHAnsi" w:hAnsiTheme="minorHAnsi"/>
          <w:sz w:val="22"/>
          <w:szCs w:val="22"/>
        </w:rPr>
        <w:t>consent</w:t>
      </w:r>
      <w:r w:rsidR="00DF02E0" w:rsidRPr="00125D28">
        <w:rPr>
          <w:rFonts w:asciiTheme="minorHAnsi" w:hAnsiTheme="minorHAnsi"/>
          <w:sz w:val="22"/>
          <w:szCs w:val="22"/>
        </w:rPr>
        <w:t>s</w:t>
      </w:r>
      <w:r w:rsidR="00E92778" w:rsidRPr="00125D28">
        <w:rPr>
          <w:rFonts w:asciiTheme="minorHAnsi" w:hAnsiTheme="minorHAnsi"/>
          <w:sz w:val="22"/>
          <w:szCs w:val="22"/>
        </w:rPr>
        <w:t xml:space="preserve"> to surrender a</w:t>
      </w:r>
      <w:r w:rsidR="001B2315" w:rsidRPr="00125D28">
        <w:rPr>
          <w:rFonts w:asciiTheme="minorHAnsi" w:hAnsiTheme="minorHAnsi"/>
          <w:sz w:val="22"/>
          <w:szCs w:val="22"/>
        </w:rPr>
        <w:t xml:space="preserve"> title</w:t>
      </w:r>
      <w:r w:rsidR="00E92778" w:rsidRPr="00125D28">
        <w:rPr>
          <w:rFonts w:asciiTheme="minorHAnsi" w:hAnsiTheme="minorHAnsi"/>
          <w:sz w:val="22"/>
          <w:szCs w:val="22"/>
        </w:rPr>
        <w:t xml:space="preserve">) or by the </w:t>
      </w:r>
      <w:r w:rsidR="00135489" w:rsidRPr="00125D28">
        <w:rPr>
          <w:rFonts w:asciiTheme="minorHAnsi" w:hAnsiTheme="minorHAnsi"/>
          <w:sz w:val="22"/>
          <w:szCs w:val="22"/>
        </w:rPr>
        <w:t xml:space="preserve">direct </w:t>
      </w:r>
      <w:r w:rsidR="00E92778" w:rsidRPr="00125D28">
        <w:rPr>
          <w:rFonts w:asciiTheme="minorHAnsi" w:hAnsiTheme="minorHAnsi"/>
          <w:sz w:val="22"/>
          <w:szCs w:val="22"/>
        </w:rPr>
        <w:t>operation of the OPGGS Act (e.g. where a title expires).</w:t>
      </w:r>
      <w:bookmarkEnd w:id="41"/>
      <w:bookmarkEnd w:id="42"/>
    </w:p>
    <w:p w14:paraId="2437DF38" w14:textId="77777777" w:rsidR="00DF02E0" w:rsidRDefault="0029194B" w:rsidP="00DF02E0">
      <w:pPr>
        <w:spacing w:before="120" w:after="120" w:line="276" w:lineRule="auto"/>
        <w:rPr>
          <w:rFonts w:asciiTheme="minorHAnsi" w:hAnsiTheme="minorHAnsi"/>
          <w:sz w:val="22"/>
          <w:szCs w:val="22"/>
        </w:rPr>
      </w:pPr>
      <w:r w:rsidRPr="005553C0">
        <w:rPr>
          <w:rFonts w:asciiTheme="minorHAnsi" w:hAnsiTheme="minorHAnsi"/>
          <w:sz w:val="22"/>
          <w:szCs w:val="22"/>
        </w:rPr>
        <w:t>If a title is proposed to be transferred before the title comes to an end, the National Offshore Petroleum Titles Administrator (NOPTA)</w:t>
      </w:r>
      <w:r w:rsidR="00C62D90">
        <w:rPr>
          <w:rFonts w:asciiTheme="minorHAnsi" w:hAnsiTheme="minorHAnsi"/>
          <w:sz w:val="22"/>
          <w:szCs w:val="22"/>
        </w:rPr>
        <w:t xml:space="preserve">, in undertaking its function of managing </w:t>
      </w:r>
      <w:r w:rsidR="00FE7968">
        <w:rPr>
          <w:rFonts w:asciiTheme="minorHAnsi" w:hAnsiTheme="minorHAnsi"/>
          <w:sz w:val="22"/>
          <w:szCs w:val="22"/>
        </w:rPr>
        <w:t xml:space="preserve">the </w:t>
      </w:r>
      <w:r w:rsidR="00C62D90">
        <w:rPr>
          <w:rFonts w:asciiTheme="minorHAnsi" w:hAnsiTheme="minorHAnsi"/>
          <w:sz w:val="22"/>
          <w:szCs w:val="22"/>
        </w:rPr>
        <w:t>transfer of title</w:t>
      </w:r>
      <w:r w:rsidR="005553C0">
        <w:rPr>
          <w:rFonts w:asciiTheme="minorHAnsi" w:hAnsiTheme="minorHAnsi"/>
          <w:sz w:val="22"/>
          <w:szCs w:val="22"/>
        </w:rPr>
        <w:t>s</w:t>
      </w:r>
      <w:r w:rsidR="00C62D90">
        <w:rPr>
          <w:rFonts w:asciiTheme="minorHAnsi" w:hAnsiTheme="minorHAnsi"/>
          <w:sz w:val="22"/>
          <w:szCs w:val="22"/>
        </w:rPr>
        <w:t xml:space="preserve"> under Part 4.3 of the OPGGS Act,</w:t>
      </w:r>
      <w:r w:rsidRPr="005553C0">
        <w:rPr>
          <w:rFonts w:asciiTheme="minorHAnsi" w:hAnsiTheme="minorHAnsi"/>
          <w:sz w:val="22"/>
          <w:szCs w:val="22"/>
        </w:rPr>
        <w:t xml:space="preserve"> will </w:t>
      </w:r>
      <w:r w:rsidRPr="00C62D90">
        <w:rPr>
          <w:rFonts w:asciiTheme="minorHAnsi" w:hAnsiTheme="minorHAnsi"/>
          <w:sz w:val="22"/>
          <w:szCs w:val="22"/>
        </w:rPr>
        <w:t>assess</w:t>
      </w:r>
      <w:r>
        <w:rPr>
          <w:rFonts w:asciiTheme="minorHAnsi" w:hAnsiTheme="minorHAnsi"/>
          <w:sz w:val="22"/>
          <w:szCs w:val="22"/>
        </w:rPr>
        <w:t xml:space="preserve"> whether </w:t>
      </w:r>
      <w:r w:rsidR="00C62D90">
        <w:rPr>
          <w:rFonts w:asciiTheme="minorHAnsi" w:hAnsiTheme="minorHAnsi"/>
          <w:sz w:val="22"/>
          <w:szCs w:val="22"/>
        </w:rPr>
        <w:t xml:space="preserve">the </w:t>
      </w:r>
      <w:r>
        <w:rPr>
          <w:rFonts w:asciiTheme="minorHAnsi" w:hAnsiTheme="minorHAnsi"/>
          <w:sz w:val="22"/>
          <w:szCs w:val="22"/>
        </w:rPr>
        <w:t>transferee</w:t>
      </w:r>
      <w:r w:rsidR="00C62D90">
        <w:rPr>
          <w:rFonts w:asciiTheme="minorHAnsi" w:hAnsiTheme="minorHAnsi"/>
          <w:sz w:val="22"/>
          <w:szCs w:val="22"/>
        </w:rPr>
        <w:t>(</w:t>
      </w:r>
      <w:r>
        <w:rPr>
          <w:rFonts w:asciiTheme="minorHAnsi" w:hAnsiTheme="minorHAnsi"/>
          <w:sz w:val="22"/>
          <w:szCs w:val="22"/>
        </w:rPr>
        <w:t>s</w:t>
      </w:r>
      <w:r w:rsidR="00C62D90">
        <w:rPr>
          <w:rFonts w:asciiTheme="minorHAnsi" w:hAnsiTheme="minorHAnsi"/>
          <w:sz w:val="22"/>
          <w:szCs w:val="22"/>
        </w:rPr>
        <w:t>)</w:t>
      </w:r>
      <w:r>
        <w:rPr>
          <w:rFonts w:asciiTheme="minorHAnsi" w:hAnsiTheme="minorHAnsi"/>
          <w:sz w:val="22"/>
          <w:szCs w:val="22"/>
        </w:rPr>
        <w:t xml:space="preserve"> have the</w:t>
      </w:r>
      <w:r w:rsidR="00FE7968">
        <w:rPr>
          <w:rFonts w:asciiTheme="minorHAnsi" w:hAnsiTheme="minorHAnsi"/>
          <w:sz w:val="22"/>
          <w:szCs w:val="22"/>
        </w:rPr>
        <w:t xml:space="preserve"> technical and financial</w:t>
      </w:r>
      <w:r>
        <w:rPr>
          <w:rFonts w:asciiTheme="minorHAnsi" w:hAnsiTheme="minorHAnsi"/>
          <w:sz w:val="22"/>
          <w:szCs w:val="22"/>
        </w:rPr>
        <w:t xml:space="preserve"> capacity to comply with their obligations</w:t>
      </w:r>
      <w:r w:rsidR="00FE7968">
        <w:rPr>
          <w:rFonts w:asciiTheme="minorHAnsi" w:hAnsiTheme="minorHAnsi"/>
          <w:sz w:val="22"/>
          <w:szCs w:val="22"/>
        </w:rPr>
        <w:t>. This will include consideration of</w:t>
      </w:r>
      <w:r>
        <w:rPr>
          <w:rFonts w:asciiTheme="minorHAnsi" w:hAnsiTheme="minorHAnsi"/>
          <w:sz w:val="22"/>
          <w:szCs w:val="22"/>
        </w:rPr>
        <w:t xml:space="preserve"> the timing and scale of</w:t>
      </w:r>
      <w:r w:rsidR="00FE7968">
        <w:rPr>
          <w:rFonts w:asciiTheme="minorHAnsi" w:hAnsiTheme="minorHAnsi"/>
          <w:sz w:val="22"/>
          <w:szCs w:val="22"/>
        </w:rPr>
        <w:t xml:space="preserve"> any</w:t>
      </w:r>
      <w:r>
        <w:rPr>
          <w:rFonts w:asciiTheme="minorHAnsi" w:hAnsiTheme="minorHAnsi"/>
          <w:sz w:val="22"/>
          <w:szCs w:val="22"/>
        </w:rPr>
        <w:t xml:space="preserve"> </w:t>
      </w:r>
      <w:r w:rsidR="00FE7968">
        <w:rPr>
          <w:rFonts w:asciiTheme="minorHAnsi" w:hAnsiTheme="minorHAnsi"/>
          <w:sz w:val="22"/>
          <w:szCs w:val="22"/>
        </w:rPr>
        <w:t>decommissioning obligations</w:t>
      </w:r>
      <w:r>
        <w:rPr>
          <w:rFonts w:asciiTheme="minorHAnsi" w:hAnsiTheme="minorHAnsi"/>
          <w:sz w:val="22"/>
          <w:szCs w:val="22"/>
        </w:rPr>
        <w:t>.</w:t>
      </w:r>
      <w:r w:rsidR="00960BA7">
        <w:rPr>
          <w:rStyle w:val="FootnoteReference"/>
          <w:rFonts w:asciiTheme="minorHAnsi" w:hAnsiTheme="minorHAnsi"/>
          <w:sz w:val="22"/>
          <w:szCs w:val="22"/>
        </w:rPr>
        <w:footnoteReference w:id="4"/>
      </w:r>
    </w:p>
    <w:p w14:paraId="5636A332" w14:textId="21F4C58D" w:rsidR="0029194B" w:rsidRPr="00DF02E0" w:rsidRDefault="005553C0" w:rsidP="00DF02E0">
      <w:pPr>
        <w:spacing w:before="120" w:after="120" w:line="276" w:lineRule="auto"/>
        <w:rPr>
          <w:rFonts w:asciiTheme="minorHAnsi" w:hAnsiTheme="minorHAnsi"/>
          <w:sz w:val="22"/>
          <w:szCs w:val="22"/>
        </w:rPr>
      </w:pPr>
      <w:r>
        <w:rPr>
          <w:rFonts w:asciiTheme="minorHAnsi" w:hAnsiTheme="minorHAnsi"/>
          <w:sz w:val="22"/>
          <w:szCs w:val="22"/>
        </w:rPr>
        <w:t>Until a transfer is approved and registered by NOPTA, the corporate entity registered as the titleholder remains the titleholder under the OPGGS Act, with full responsibility for ensuring its obli</w:t>
      </w:r>
      <w:r w:rsidR="00CD7A6A">
        <w:rPr>
          <w:rFonts w:asciiTheme="minorHAnsi" w:hAnsiTheme="minorHAnsi"/>
          <w:sz w:val="22"/>
          <w:szCs w:val="22"/>
        </w:rPr>
        <w:t>gations and liabilities are met</w:t>
      </w:r>
      <w:r>
        <w:rPr>
          <w:rFonts w:asciiTheme="minorHAnsi" w:hAnsiTheme="minorHAnsi"/>
          <w:sz w:val="22"/>
          <w:szCs w:val="22"/>
        </w:rPr>
        <w:t>.</w:t>
      </w:r>
    </w:p>
    <w:p w14:paraId="39221837" w14:textId="3FCE8F47" w:rsidR="00971251" w:rsidRDefault="002E69FE">
      <w:pPr>
        <w:spacing w:after="160" w:line="259" w:lineRule="auto"/>
        <w:rPr>
          <w:rFonts w:ascii="Calibri" w:hAnsi="Calibri"/>
          <w:sz w:val="22"/>
          <w:szCs w:val="22"/>
        </w:rPr>
      </w:pPr>
      <w:r>
        <w:rPr>
          <w:rFonts w:ascii="Calibri" w:hAnsi="Calibri"/>
          <w:color w:val="000000"/>
          <w:sz w:val="22"/>
          <w:szCs w:val="22"/>
        </w:rPr>
        <w:t xml:space="preserve"> </w:t>
      </w:r>
      <w:bookmarkEnd w:id="7"/>
      <w:bookmarkEnd w:id="8"/>
      <w:bookmarkEnd w:id="9"/>
      <w:r w:rsidR="00971251">
        <w:rPr>
          <w:rFonts w:ascii="Calibri" w:hAnsi="Calibri"/>
          <w:sz w:val="22"/>
          <w:szCs w:val="22"/>
        </w:rPr>
        <w:br w:type="page"/>
      </w:r>
    </w:p>
    <w:p w14:paraId="01FB153B" w14:textId="441C2E69" w:rsidR="00A51101" w:rsidRPr="00BB6B3B" w:rsidRDefault="004F19AC" w:rsidP="00A51101">
      <w:pPr>
        <w:pStyle w:val="Heading1"/>
        <w:spacing w:before="120" w:after="120" w:line="276" w:lineRule="auto"/>
        <w:ind w:left="567" w:hanging="567"/>
        <w:rPr>
          <w:rFonts w:ascii="Cambria" w:hAnsi="Cambria"/>
          <w:b/>
          <w:bCs/>
          <w:lang w:eastAsia="en-US"/>
        </w:rPr>
      </w:pPr>
      <w:bookmarkStart w:id="43" w:name="_Toc479778744"/>
      <w:bookmarkStart w:id="44" w:name="_Toc479845260"/>
      <w:bookmarkStart w:id="45" w:name="_Toc489460840"/>
      <w:r>
        <w:rPr>
          <w:rFonts w:ascii="Cambria" w:hAnsi="Cambria"/>
          <w:b/>
          <w:bCs/>
          <w:lang w:eastAsia="en-US"/>
        </w:rPr>
        <w:lastRenderedPageBreak/>
        <w:t>3</w:t>
      </w:r>
      <w:r w:rsidR="00A51101" w:rsidRPr="00BB6B3B">
        <w:rPr>
          <w:rFonts w:ascii="Cambria" w:hAnsi="Cambria"/>
          <w:b/>
          <w:bCs/>
          <w:lang w:eastAsia="en-US"/>
        </w:rPr>
        <w:tab/>
      </w:r>
      <w:bookmarkEnd w:id="43"/>
      <w:bookmarkEnd w:id="44"/>
      <w:r w:rsidR="00C24957">
        <w:rPr>
          <w:rFonts w:ascii="Cambria" w:hAnsi="Cambria"/>
          <w:b/>
          <w:bCs/>
          <w:lang w:eastAsia="en-US"/>
        </w:rPr>
        <w:t>Core decommissioning provisions: OPGGS Act</w:t>
      </w:r>
      <w:bookmarkEnd w:id="45"/>
    </w:p>
    <w:p w14:paraId="575C871F" w14:textId="38D5B1D2" w:rsidR="00C24957" w:rsidRDefault="00971251" w:rsidP="006F6C5A">
      <w:pPr>
        <w:spacing w:before="120" w:after="120" w:line="276" w:lineRule="auto"/>
        <w:rPr>
          <w:rFonts w:asciiTheme="minorHAnsi" w:hAnsiTheme="minorHAnsi"/>
          <w:sz w:val="22"/>
          <w:szCs w:val="22"/>
        </w:rPr>
      </w:pPr>
      <w:r>
        <w:rPr>
          <w:rFonts w:asciiTheme="minorHAnsi" w:hAnsiTheme="minorHAnsi"/>
          <w:sz w:val="22"/>
          <w:szCs w:val="22"/>
        </w:rPr>
        <w:t>T</w:t>
      </w:r>
      <w:r w:rsidR="006F6C5A">
        <w:rPr>
          <w:rFonts w:asciiTheme="minorHAnsi" w:hAnsiTheme="minorHAnsi"/>
          <w:sz w:val="22"/>
          <w:szCs w:val="22"/>
        </w:rPr>
        <w:t>he core decommissioning provisions</w:t>
      </w:r>
      <w:r>
        <w:rPr>
          <w:rFonts w:asciiTheme="minorHAnsi" w:hAnsiTheme="minorHAnsi"/>
          <w:sz w:val="22"/>
          <w:szCs w:val="22"/>
        </w:rPr>
        <w:t xml:space="preserve"> under the OPGGS Act</w:t>
      </w:r>
      <w:r w:rsidR="00580A1D">
        <w:rPr>
          <w:rFonts w:asciiTheme="minorHAnsi" w:hAnsiTheme="minorHAnsi"/>
          <w:sz w:val="22"/>
          <w:szCs w:val="22"/>
        </w:rPr>
        <w:t xml:space="preserve"> are the</w:t>
      </w:r>
      <w:r w:rsidR="00C24957">
        <w:rPr>
          <w:rFonts w:asciiTheme="minorHAnsi" w:hAnsiTheme="minorHAnsi"/>
          <w:sz w:val="22"/>
          <w:szCs w:val="22"/>
        </w:rPr>
        <w:t xml:space="preserve"> obligation </w:t>
      </w:r>
      <w:r w:rsidR="006F6C5A">
        <w:rPr>
          <w:rFonts w:asciiTheme="minorHAnsi" w:hAnsiTheme="minorHAnsi"/>
          <w:sz w:val="22"/>
          <w:szCs w:val="22"/>
        </w:rPr>
        <w:t>to remove disuse</w:t>
      </w:r>
      <w:r w:rsidR="00C24957">
        <w:rPr>
          <w:rFonts w:asciiTheme="minorHAnsi" w:hAnsiTheme="minorHAnsi"/>
          <w:sz w:val="22"/>
          <w:szCs w:val="22"/>
        </w:rPr>
        <w:t>d property from the title area</w:t>
      </w:r>
      <w:r w:rsidR="006F6C5A">
        <w:rPr>
          <w:rFonts w:asciiTheme="minorHAnsi" w:hAnsiTheme="minorHAnsi"/>
          <w:sz w:val="22"/>
          <w:szCs w:val="22"/>
        </w:rPr>
        <w:t>, and the criteria that must be met</w:t>
      </w:r>
      <w:r w:rsidR="00C24957">
        <w:rPr>
          <w:rFonts w:asciiTheme="minorHAnsi" w:hAnsiTheme="minorHAnsi"/>
          <w:sz w:val="22"/>
          <w:szCs w:val="22"/>
        </w:rPr>
        <w:t xml:space="preserve"> before the Joint Authority may</w:t>
      </w:r>
      <w:r w:rsidR="006F6C5A">
        <w:rPr>
          <w:rFonts w:asciiTheme="minorHAnsi" w:hAnsiTheme="minorHAnsi"/>
          <w:sz w:val="22"/>
          <w:szCs w:val="22"/>
        </w:rPr>
        <w:t xml:space="preserve"> consent to surrender a petroleum title.</w:t>
      </w:r>
      <w:r w:rsidR="00580A1D">
        <w:rPr>
          <w:rFonts w:asciiTheme="minorHAnsi" w:hAnsiTheme="minorHAnsi"/>
          <w:sz w:val="22"/>
          <w:szCs w:val="22"/>
        </w:rPr>
        <w:t xml:space="preserve"> An overview of the</w:t>
      </w:r>
      <w:r w:rsidR="00C24957">
        <w:rPr>
          <w:rFonts w:asciiTheme="minorHAnsi" w:hAnsiTheme="minorHAnsi"/>
          <w:sz w:val="22"/>
          <w:szCs w:val="22"/>
        </w:rPr>
        <w:t>se provisions is provided below.</w:t>
      </w:r>
      <w:r w:rsidR="00E20160">
        <w:rPr>
          <w:rFonts w:asciiTheme="minorHAnsi" w:hAnsiTheme="minorHAnsi"/>
          <w:sz w:val="22"/>
          <w:szCs w:val="22"/>
        </w:rPr>
        <w:t xml:space="preserve"> This Part also prov</w:t>
      </w:r>
      <w:r w:rsidR="00580A1D">
        <w:rPr>
          <w:rFonts w:asciiTheme="minorHAnsi" w:hAnsiTheme="minorHAnsi"/>
          <w:sz w:val="22"/>
          <w:szCs w:val="22"/>
        </w:rPr>
        <w:t xml:space="preserve">ides an overview of relevant </w:t>
      </w:r>
      <w:r w:rsidR="00E20160">
        <w:rPr>
          <w:rFonts w:asciiTheme="minorHAnsi" w:hAnsiTheme="minorHAnsi"/>
          <w:sz w:val="22"/>
          <w:szCs w:val="22"/>
        </w:rPr>
        <w:t>directions that may be issued under the OPGGS Act.</w:t>
      </w:r>
      <w:r w:rsidR="00C24957">
        <w:rPr>
          <w:rFonts w:asciiTheme="minorHAnsi" w:hAnsiTheme="minorHAnsi"/>
          <w:sz w:val="22"/>
          <w:szCs w:val="22"/>
        </w:rPr>
        <w:t xml:space="preserve"> </w:t>
      </w:r>
    </w:p>
    <w:p w14:paraId="30CFCCA8" w14:textId="341E979B" w:rsidR="00971251" w:rsidRDefault="00971251" w:rsidP="00971251">
      <w:pPr>
        <w:spacing w:before="120" w:after="120" w:line="276" w:lineRule="auto"/>
        <w:rPr>
          <w:rFonts w:asciiTheme="minorHAnsi" w:hAnsiTheme="minorHAnsi"/>
          <w:sz w:val="22"/>
          <w:szCs w:val="22"/>
        </w:rPr>
      </w:pPr>
      <w:r>
        <w:rPr>
          <w:rFonts w:asciiTheme="minorHAnsi" w:hAnsiTheme="minorHAnsi"/>
          <w:sz w:val="22"/>
          <w:szCs w:val="22"/>
        </w:rPr>
        <w:t xml:space="preserve">Other domestic laws (including Commonwealth laws and laws of the States and Territories) will also apply to decommissioning in relevant circumstances. These are outlined in </w:t>
      </w:r>
      <w:hyperlink w:anchor="Part_5" w:tooltip="Part 5" w:history="1">
        <w:r w:rsidRPr="004E4548">
          <w:rPr>
            <w:rStyle w:val="Hyperlink"/>
            <w:rFonts w:asciiTheme="minorHAnsi" w:hAnsiTheme="minorHAnsi"/>
            <w:sz w:val="22"/>
            <w:szCs w:val="22"/>
          </w:rPr>
          <w:t xml:space="preserve">Part </w:t>
        </w:r>
        <w:r w:rsidR="00E20160" w:rsidRPr="004E4548">
          <w:rPr>
            <w:rStyle w:val="Hyperlink"/>
            <w:rFonts w:asciiTheme="minorHAnsi" w:hAnsiTheme="minorHAnsi"/>
            <w:sz w:val="22"/>
            <w:szCs w:val="22"/>
          </w:rPr>
          <w:t>5</w:t>
        </w:r>
      </w:hyperlink>
      <w:r>
        <w:rPr>
          <w:rFonts w:asciiTheme="minorHAnsi" w:hAnsiTheme="minorHAnsi"/>
          <w:sz w:val="22"/>
          <w:szCs w:val="22"/>
        </w:rPr>
        <w:t xml:space="preserve"> below.</w:t>
      </w:r>
      <w:r w:rsidR="00052CF1">
        <w:rPr>
          <w:rFonts w:asciiTheme="minorHAnsi" w:hAnsiTheme="minorHAnsi"/>
          <w:sz w:val="22"/>
          <w:szCs w:val="22"/>
        </w:rPr>
        <w:t xml:space="preserve"> </w:t>
      </w:r>
    </w:p>
    <w:p w14:paraId="7B6238AE" w14:textId="0970276D" w:rsidR="00A51101" w:rsidRPr="006F6C5A" w:rsidRDefault="004F19AC" w:rsidP="00125D28">
      <w:pPr>
        <w:pStyle w:val="Heading2"/>
        <w:tabs>
          <w:tab w:val="left" w:pos="709"/>
        </w:tabs>
      </w:pPr>
      <w:bookmarkStart w:id="46" w:name="_Toc460246215"/>
      <w:bookmarkStart w:id="47" w:name="_Toc460260015"/>
      <w:bookmarkStart w:id="48" w:name="_Toc460341788"/>
      <w:bookmarkStart w:id="49" w:name="_Toc460421925"/>
      <w:bookmarkStart w:id="50" w:name="_Toc461973104"/>
      <w:bookmarkStart w:id="51" w:name="_Toc464748046"/>
      <w:bookmarkStart w:id="52" w:name="_Toc475055297"/>
      <w:bookmarkStart w:id="53" w:name="_Toc475358949"/>
      <w:bookmarkStart w:id="54" w:name="_Toc479770975"/>
      <w:bookmarkStart w:id="55" w:name="_Toc479778746"/>
      <w:bookmarkStart w:id="56" w:name="_Toc479845262"/>
      <w:bookmarkStart w:id="57" w:name="_Toc482364346"/>
      <w:bookmarkStart w:id="58" w:name="_Toc486939249"/>
      <w:bookmarkStart w:id="59" w:name="_Toc486939322"/>
      <w:bookmarkStart w:id="60" w:name="_Toc486949861"/>
      <w:bookmarkStart w:id="61" w:name="_Toc486950222"/>
      <w:bookmarkStart w:id="62" w:name="_Toc486956420"/>
      <w:bookmarkStart w:id="63" w:name="_Toc489460733"/>
      <w:bookmarkStart w:id="64" w:name="_Toc489460841"/>
      <w:r>
        <w:t>3</w:t>
      </w:r>
      <w:r w:rsidR="00A51101" w:rsidRPr="006F6C5A">
        <w:t>.1</w:t>
      </w:r>
      <w:r w:rsidR="00A51101" w:rsidRPr="006F6C5A">
        <w:tab/>
      </w:r>
      <w:bookmarkEnd w:id="46"/>
      <w:bookmarkEnd w:id="47"/>
      <w:bookmarkEnd w:id="48"/>
      <w:bookmarkEnd w:id="49"/>
      <w:bookmarkEnd w:id="50"/>
      <w:bookmarkEnd w:id="51"/>
      <w:bookmarkEnd w:id="52"/>
      <w:bookmarkEnd w:id="53"/>
      <w:bookmarkEnd w:id="54"/>
      <w:bookmarkEnd w:id="55"/>
      <w:bookmarkEnd w:id="56"/>
      <w:bookmarkEnd w:id="57"/>
      <w:bookmarkEnd w:id="58"/>
      <w:bookmarkEnd w:id="59"/>
      <w:r w:rsidR="00A51101" w:rsidRPr="006F6C5A">
        <w:t>Removal, maintenance and repair of property</w:t>
      </w:r>
      <w:bookmarkEnd w:id="60"/>
      <w:bookmarkEnd w:id="61"/>
      <w:bookmarkEnd w:id="62"/>
      <w:bookmarkEnd w:id="63"/>
      <w:bookmarkEnd w:id="64"/>
      <w:r w:rsidR="00A51101" w:rsidRPr="006F6C5A">
        <w:t xml:space="preserve"> </w:t>
      </w:r>
    </w:p>
    <w:p w14:paraId="6FBC1D15" w14:textId="3B596B9F" w:rsidR="00A51101" w:rsidRDefault="00A51101" w:rsidP="00A51101">
      <w:pPr>
        <w:spacing w:before="120" w:after="120" w:line="276" w:lineRule="auto"/>
        <w:rPr>
          <w:rFonts w:asciiTheme="minorHAnsi" w:hAnsiTheme="minorHAnsi"/>
          <w:sz w:val="22"/>
          <w:szCs w:val="22"/>
        </w:rPr>
      </w:pPr>
      <w:bookmarkStart w:id="65" w:name="_Removal,_maintenance_and"/>
      <w:bookmarkEnd w:id="65"/>
      <w:r>
        <w:rPr>
          <w:rFonts w:asciiTheme="minorHAnsi" w:hAnsiTheme="minorHAnsi"/>
          <w:sz w:val="22"/>
          <w:szCs w:val="22"/>
        </w:rPr>
        <w:t>Under s</w:t>
      </w:r>
      <w:r w:rsidRPr="002F605A">
        <w:rPr>
          <w:rFonts w:asciiTheme="minorHAnsi" w:hAnsiTheme="minorHAnsi"/>
          <w:sz w:val="22"/>
          <w:szCs w:val="22"/>
        </w:rPr>
        <w:t>ubsection 572(3)</w:t>
      </w:r>
      <w:r w:rsidR="006A63C6">
        <w:rPr>
          <w:rFonts w:asciiTheme="minorHAnsi" w:hAnsiTheme="minorHAnsi"/>
          <w:sz w:val="22"/>
          <w:szCs w:val="22"/>
        </w:rPr>
        <w:t xml:space="preserve"> of the OPGGS Act</w:t>
      </w:r>
      <w:r>
        <w:rPr>
          <w:rFonts w:asciiTheme="minorHAnsi" w:hAnsiTheme="minorHAnsi"/>
          <w:sz w:val="22"/>
          <w:szCs w:val="22"/>
        </w:rPr>
        <w:t>,</w:t>
      </w:r>
      <w:r w:rsidRPr="002F605A">
        <w:rPr>
          <w:rFonts w:asciiTheme="minorHAnsi" w:hAnsiTheme="minorHAnsi"/>
          <w:sz w:val="22"/>
          <w:szCs w:val="22"/>
        </w:rPr>
        <w:t xml:space="preserve"> </w:t>
      </w:r>
      <w:r>
        <w:rPr>
          <w:rFonts w:asciiTheme="minorHAnsi" w:hAnsiTheme="minorHAnsi"/>
          <w:sz w:val="22"/>
          <w:szCs w:val="22"/>
        </w:rPr>
        <w:t xml:space="preserve">a titleholder must remove all </w:t>
      </w:r>
      <w:r w:rsidR="006A63C6">
        <w:rPr>
          <w:rFonts w:asciiTheme="minorHAnsi" w:hAnsiTheme="minorHAnsi"/>
          <w:sz w:val="22"/>
          <w:szCs w:val="22"/>
        </w:rPr>
        <w:t xml:space="preserve">equipment and other </w:t>
      </w:r>
      <w:r>
        <w:rPr>
          <w:rFonts w:asciiTheme="minorHAnsi" w:hAnsiTheme="minorHAnsi"/>
          <w:sz w:val="22"/>
          <w:szCs w:val="22"/>
        </w:rPr>
        <w:t>property in their title area that is neither used, nor to be used, for operations authorised by their title</w:t>
      </w:r>
      <w:r w:rsidR="00A4093D">
        <w:rPr>
          <w:rFonts w:asciiTheme="minorHAnsi" w:hAnsiTheme="minorHAnsi"/>
          <w:sz w:val="22"/>
          <w:szCs w:val="22"/>
        </w:rPr>
        <w:t xml:space="preserve">. </w:t>
      </w:r>
      <w:r>
        <w:rPr>
          <w:rFonts w:asciiTheme="minorHAnsi" w:hAnsiTheme="minorHAnsi"/>
          <w:sz w:val="22"/>
          <w:szCs w:val="22"/>
        </w:rPr>
        <w:t xml:space="preserve">This obligation is </w:t>
      </w:r>
      <w:proofErr w:type="gramStart"/>
      <w:r>
        <w:rPr>
          <w:rFonts w:asciiTheme="minorHAnsi" w:hAnsiTheme="minorHAnsi"/>
          <w:sz w:val="22"/>
          <w:szCs w:val="22"/>
        </w:rPr>
        <w:t>ongoing, and</w:t>
      </w:r>
      <w:proofErr w:type="gramEnd"/>
      <w:r>
        <w:rPr>
          <w:rFonts w:asciiTheme="minorHAnsi" w:hAnsiTheme="minorHAnsi"/>
          <w:sz w:val="22"/>
          <w:szCs w:val="22"/>
        </w:rPr>
        <w:t xml:space="preserve"> covers </w:t>
      </w:r>
      <w:r w:rsidRPr="00BB6B3B">
        <w:rPr>
          <w:rFonts w:asciiTheme="minorHAnsi" w:hAnsiTheme="minorHAnsi"/>
          <w:sz w:val="22"/>
          <w:szCs w:val="22"/>
          <w:u w:val="single"/>
        </w:rPr>
        <w:t>both</w:t>
      </w:r>
      <w:r w:rsidRPr="00BB6B3B">
        <w:rPr>
          <w:rFonts w:asciiTheme="minorHAnsi" w:hAnsiTheme="minorHAnsi"/>
          <w:sz w:val="22"/>
          <w:szCs w:val="22"/>
        </w:rPr>
        <w:t xml:space="preserve"> </w:t>
      </w:r>
      <w:r>
        <w:rPr>
          <w:rFonts w:asciiTheme="minorHAnsi" w:hAnsiTheme="minorHAnsi"/>
          <w:sz w:val="22"/>
          <w:szCs w:val="22"/>
        </w:rPr>
        <w:t>the removal of property at the end of production</w:t>
      </w:r>
      <w:r w:rsidDel="006D4C7F">
        <w:rPr>
          <w:rFonts w:asciiTheme="minorHAnsi" w:hAnsiTheme="minorHAnsi"/>
          <w:sz w:val="22"/>
          <w:szCs w:val="22"/>
        </w:rPr>
        <w:t xml:space="preserve"> </w:t>
      </w:r>
      <w:r w:rsidRPr="003D4583">
        <w:rPr>
          <w:rFonts w:asciiTheme="minorHAnsi" w:hAnsiTheme="minorHAnsi"/>
          <w:sz w:val="22"/>
          <w:szCs w:val="22"/>
          <w:u w:val="single"/>
        </w:rPr>
        <w:t>and</w:t>
      </w:r>
      <w:r w:rsidRPr="00BB6B3B">
        <w:rPr>
          <w:rFonts w:asciiTheme="minorHAnsi" w:hAnsiTheme="minorHAnsi"/>
          <w:sz w:val="22"/>
          <w:szCs w:val="22"/>
        </w:rPr>
        <w:t xml:space="preserve"> </w:t>
      </w:r>
      <w:r>
        <w:rPr>
          <w:rFonts w:asciiTheme="minorHAnsi" w:hAnsiTheme="minorHAnsi"/>
          <w:sz w:val="22"/>
          <w:szCs w:val="22"/>
        </w:rPr>
        <w:t>the removal of disused infrastructure at appropriate points throughout the life of a project</w:t>
      </w:r>
      <w:r w:rsidR="00A4093D">
        <w:rPr>
          <w:rFonts w:asciiTheme="minorHAnsi" w:hAnsiTheme="minorHAnsi"/>
          <w:sz w:val="22"/>
          <w:szCs w:val="22"/>
        </w:rPr>
        <w:t xml:space="preserve">. </w:t>
      </w:r>
    </w:p>
    <w:p w14:paraId="548EAB31" w14:textId="7082822F" w:rsidR="00AD7DAA" w:rsidRPr="00AD7DAA" w:rsidRDefault="00AD7DAA" w:rsidP="00AD7DAA">
      <w:pPr>
        <w:spacing w:before="120" w:after="120" w:line="276" w:lineRule="auto"/>
        <w:ind w:left="720"/>
        <w:rPr>
          <w:rFonts w:asciiTheme="minorHAnsi" w:hAnsiTheme="minorHAnsi"/>
          <w:sz w:val="20"/>
          <w:szCs w:val="20"/>
        </w:rPr>
      </w:pPr>
      <w:r w:rsidRPr="00FE7968">
        <w:rPr>
          <w:rFonts w:asciiTheme="minorHAnsi" w:hAnsiTheme="minorHAnsi"/>
          <w:b/>
          <w:sz w:val="20"/>
          <w:szCs w:val="20"/>
        </w:rPr>
        <w:t>Example:</w:t>
      </w:r>
      <w:r w:rsidRPr="003D4583">
        <w:rPr>
          <w:rFonts w:asciiTheme="minorHAnsi" w:hAnsiTheme="minorHAnsi"/>
          <w:b/>
          <w:sz w:val="20"/>
          <w:szCs w:val="20"/>
        </w:rPr>
        <w:t xml:space="preserve"> </w:t>
      </w:r>
      <w:r>
        <w:rPr>
          <w:rFonts w:asciiTheme="minorHAnsi" w:hAnsiTheme="minorHAnsi"/>
          <w:sz w:val="20"/>
          <w:szCs w:val="20"/>
        </w:rPr>
        <w:t>Exploration and appraisal wells that are not to be reused should be progressively plugged and abandoned, and wellheads removed (or alternative arrangements made), over the life of a title</w:t>
      </w:r>
      <w:r w:rsidR="00A4093D">
        <w:rPr>
          <w:rFonts w:asciiTheme="minorHAnsi" w:hAnsiTheme="minorHAnsi"/>
          <w:sz w:val="20"/>
          <w:szCs w:val="20"/>
        </w:rPr>
        <w:t xml:space="preserve">. </w:t>
      </w:r>
    </w:p>
    <w:p w14:paraId="1EB49549" w14:textId="59ACD1C4" w:rsidR="00A51101" w:rsidRDefault="00A51101" w:rsidP="00A51101">
      <w:pPr>
        <w:spacing w:before="120" w:after="120" w:line="276" w:lineRule="auto"/>
        <w:rPr>
          <w:rFonts w:asciiTheme="minorHAnsi" w:hAnsiTheme="minorHAnsi"/>
          <w:sz w:val="22"/>
          <w:szCs w:val="22"/>
        </w:rPr>
      </w:pPr>
      <w:r w:rsidRPr="005D7468">
        <w:rPr>
          <w:rFonts w:asciiTheme="minorHAnsi" w:hAnsiTheme="minorHAnsi"/>
          <w:sz w:val="22"/>
          <w:szCs w:val="22"/>
        </w:rPr>
        <w:t xml:space="preserve">Under subsection 572(2), titleholders must </w:t>
      </w:r>
      <w:r>
        <w:rPr>
          <w:rFonts w:asciiTheme="minorHAnsi" w:hAnsiTheme="minorHAnsi"/>
          <w:sz w:val="22"/>
          <w:szCs w:val="22"/>
        </w:rPr>
        <w:t xml:space="preserve">also </w:t>
      </w:r>
      <w:r w:rsidRPr="005D7468">
        <w:rPr>
          <w:rFonts w:asciiTheme="minorHAnsi" w:hAnsiTheme="minorHAnsi"/>
          <w:sz w:val="22"/>
          <w:szCs w:val="22"/>
        </w:rPr>
        <w:t>maintain in good condition and repair all structures that are, and all equipment and other prope</w:t>
      </w:r>
      <w:r>
        <w:rPr>
          <w:rFonts w:asciiTheme="minorHAnsi" w:hAnsiTheme="minorHAnsi"/>
          <w:sz w:val="22"/>
          <w:szCs w:val="22"/>
        </w:rPr>
        <w:t>rty that is, in the title area and used for operations authorised by the relevant title</w:t>
      </w:r>
      <w:r w:rsidR="00A4093D">
        <w:rPr>
          <w:rFonts w:asciiTheme="minorHAnsi" w:hAnsiTheme="minorHAnsi"/>
          <w:sz w:val="22"/>
          <w:szCs w:val="22"/>
        </w:rPr>
        <w:t xml:space="preserve">. </w:t>
      </w:r>
      <w:r>
        <w:rPr>
          <w:rFonts w:asciiTheme="minorHAnsi" w:hAnsiTheme="minorHAnsi"/>
          <w:sz w:val="22"/>
          <w:szCs w:val="22"/>
        </w:rPr>
        <w:t>This is also an ongoing obligation under the OPGGS Act.</w:t>
      </w:r>
    </w:p>
    <w:p w14:paraId="7E64559B" w14:textId="35B03452" w:rsidR="006A63C6" w:rsidRDefault="006A63C6" w:rsidP="006A63C6">
      <w:pPr>
        <w:spacing w:before="120" w:after="120" w:line="276" w:lineRule="auto"/>
        <w:rPr>
          <w:rFonts w:asciiTheme="minorHAnsi" w:hAnsiTheme="minorHAnsi"/>
          <w:sz w:val="22"/>
          <w:szCs w:val="22"/>
        </w:rPr>
      </w:pPr>
      <w:r>
        <w:rPr>
          <w:rFonts w:asciiTheme="minorHAnsi" w:hAnsiTheme="minorHAnsi"/>
          <w:sz w:val="22"/>
          <w:szCs w:val="22"/>
        </w:rPr>
        <w:t>The property removal, maintenance and repair obligations</w:t>
      </w:r>
      <w:r w:rsidRPr="002F605A">
        <w:rPr>
          <w:rFonts w:asciiTheme="minorHAnsi" w:hAnsiTheme="minorHAnsi"/>
          <w:sz w:val="22"/>
          <w:szCs w:val="22"/>
        </w:rPr>
        <w:t xml:space="preserve"> </w:t>
      </w:r>
      <w:r>
        <w:rPr>
          <w:rFonts w:asciiTheme="minorHAnsi" w:hAnsiTheme="minorHAnsi"/>
          <w:sz w:val="22"/>
          <w:szCs w:val="22"/>
        </w:rPr>
        <w:t xml:space="preserve">are </w:t>
      </w:r>
      <w:r w:rsidRPr="002F605A">
        <w:rPr>
          <w:rFonts w:asciiTheme="minorHAnsi" w:hAnsiTheme="minorHAnsi"/>
          <w:sz w:val="22"/>
          <w:szCs w:val="22"/>
        </w:rPr>
        <w:t xml:space="preserve">subject to </w:t>
      </w:r>
      <w:r>
        <w:rPr>
          <w:rFonts w:asciiTheme="minorHAnsi" w:hAnsiTheme="minorHAnsi"/>
          <w:sz w:val="22"/>
          <w:szCs w:val="22"/>
        </w:rPr>
        <w:t xml:space="preserve">other </w:t>
      </w:r>
      <w:r w:rsidRPr="002F605A">
        <w:rPr>
          <w:rFonts w:asciiTheme="minorHAnsi" w:hAnsiTheme="minorHAnsi"/>
          <w:sz w:val="22"/>
          <w:szCs w:val="22"/>
        </w:rPr>
        <w:t>p</w:t>
      </w:r>
      <w:r>
        <w:rPr>
          <w:rFonts w:asciiTheme="minorHAnsi" w:hAnsiTheme="minorHAnsi"/>
          <w:sz w:val="22"/>
          <w:szCs w:val="22"/>
        </w:rPr>
        <w:t>rovisions of the OPGGS Act, the r</w:t>
      </w:r>
      <w:r w:rsidRPr="002F605A">
        <w:rPr>
          <w:rFonts w:asciiTheme="minorHAnsi" w:hAnsiTheme="minorHAnsi"/>
          <w:sz w:val="22"/>
          <w:szCs w:val="22"/>
        </w:rPr>
        <w:t xml:space="preserve">egulations, directions given by NOPSEMA </w:t>
      </w:r>
      <w:r>
        <w:rPr>
          <w:rFonts w:asciiTheme="minorHAnsi" w:hAnsiTheme="minorHAnsi"/>
          <w:sz w:val="22"/>
          <w:szCs w:val="22"/>
        </w:rPr>
        <w:t>or</w:t>
      </w:r>
      <w:r w:rsidRPr="002F605A">
        <w:rPr>
          <w:rFonts w:asciiTheme="minorHAnsi" w:hAnsiTheme="minorHAnsi"/>
          <w:sz w:val="22"/>
          <w:szCs w:val="22"/>
        </w:rPr>
        <w:t xml:space="preserve"> the </w:t>
      </w:r>
      <w:r>
        <w:rPr>
          <w:rFonts w:asciiTheme="minorHAnsi" w:hAnsiTheme="minorHAnsi"/>
          <w:sz w:val="22"/>
          <w:szCs w:val="22"/>
        </w:rPr>
        <w:t xml:space="preserve">responsible </w:t>
      </w:r>
      <w:r w:rsidDel="00C048A1">
        <w:rPr>
          <w:rFonts w:asciiTheme="minorHAnsi" w:hAnsiTheme="minorHAnsi"/>
          <w:sz w:val="22"/>
          <w:szCs w:val="22"/>
        </w:rPr>
        <w:t>C</w:t>
      </w:r>
      <w:r>
        <w:rPr>
          <w:rFonts w:asciiTheme="minorHAnsi" w:hAnsiTheme="minorHAnsi"/>
          <w:sz w:val="22"/>
          <w:szCs w:val="22"/>
        </w:rPr>
        <w:t xml:space="preserve">ommonwealth </w:t>
      </w:r>
      <w:r w:rsidDel="00C048A1">
        <w:rPr>
          <w:rFonts w:asciiTheme="minorHAnsi" w:hAnsiTheme="minorHAnsi"/>
          <w:sz w:val="22"/>
          <w:szCs w:val="22"/>
        </w:rPr>
        <w:t>M</w:t>
      </w:r>
      <w:r>
        <w:rPr>
          <w:rFonts w:asciiTheme="minorHAnsi" w:hAnsiTheme="minorHAnsi"/>
          <w:sz w:val="22"/>
          <w:szCs w:val="22"/>
        </w:rPr>
        <w:t>inister, and other applicable laws</w:t>
      </w:r>
      <w:r w:rsidR="00A4093D">
        <w:rPr>
          <w:rFonts w:asciiTheme="minorHAnsi" w:hAnsiTheme="minorHAnsi"/>
          <w:sz w:val="22"/>
          <w:szCs w:val="22"/>
        </w:rPr>
        <w:t xml:space="preserve">. </w:t>
      </w:r>
      <w:r>
        <w:rPr>
          <w:rFonts w:asciiTheme="minorHAnsi" w:hAnsiTheme="minorHAnsi"/>
          <w:sz w:val="22"/>
          <w:szCs w:val="22"/>
        </w:rPr>
        <w:t>The obligations therefore do not substitute for or override other provisions of</w:t>
      </w:r>
      <w:r w:rsidR="00935B4B">
        <w:rPr>
          <w:rFonts w:asciiTheme="minorHAnsi" w:hAnsiTheme="minorHAnsi"/>
          <w:sz w:val="22"/>
          <w:szCs w:val="22"/>
        </w:rPr>
        <w:t>,</w:t>
      </w:r>
      <w:r>
        <w:rPr>
          <w:rFonts w:asciiTheme="minorHAnsi" w:hAnsiTheme="minorHAnsi"/>
          <w:sz w:val="22"/>
          <w:szCs w:val="22"/>
        </w:rPr>
        <w:t xml:space="preserve"> or arrangements made under</w:t>
      </w:r>
      <w:r w:rsidR="00935B4B">
        <w:rPr>
          <w:rFonts w:asciiTheme="minorHAnsi" w:hAnsiTheme="minorHAnsi"/>
          <w:sz w:val="22"/>
          <w:szCs w:val="22"/>
        </w:rPr>
        <w:t>,</w:t>
      </w:r>
      <w:r>
        <w:rPr>
          <w:rFonts w:asciiTheme="minorHAnsi" w:hAnsiTheme="minorHAnsi"/>
          <w:sz w:val="22"/>
          <w:szCs w:val="22"/>
        </w:rPr>
        <w:t xml:space="preserve"> the OPGGS Act or regulations</w:t>
      </w:r>
      <w:r w:rsidR="00A4093D">
        <w:rPr>
          <w:rFonts w:asciiTheme="minorHAnsi" w:hAnsiTheme="minorHAnsi"/>
          <w:sz w:val="22"/>
          <w:szCs w:val="22"/>
        </w:rPr>
        <w:t xml:space="preserve">. </w:t>
      </w:r>
    </w:p>
    <w:p w14:paraId="1C88DFFF" w14:textId="210F6E70" w:rsidR="00052CF1" w:rsidRDefault="00FE7968" w:rsidP="0026351F">
      <w:pPr>
        <w:spacing w:before="120" w:after="120" w:line="276" w:lineRule="auto"/>
        <w:ind w:left="720"/>
        <w:rPr>
          <w:rFonts w:asciiTheme="minorHAnsi" w:hAnsiTheme="minorHAnsi"/>
          <w:sz w:val="20"/>
          <w:szCs w:val="20"/>
        </w:rPr>
      </w:pPr>
      <w:r w:rsidRPr="00FE7968">
        <w:rPr>
          <w:rFonts w:asciiTheme="minorHAnsi" w:hAnsiTheme="minorHAnsi"/>
          <w:b/>
          <w:sz w:val="20"/>
          <w:szCs w:val="20"/>
        </w:rPr>
        <w:t>Example:</w:t>
      </w:r>
      <w:r w:rsidRPr="003D4583">
        <w:rPr>
          <w:rFonts w:asciiTheme="minorHAnsi" w:hAnsiTheme="minorHAnsi"/>
          <w:b/>
          <w:sz w:val="20"/>
          <w:szCs w:val="20"/>
        </w:rPr>
        <w:t xml:space="preserve"> </w:t>
      </w:r>
      <w:r w:rsidRPr="0087559D">
        <w:rPr>
          <w:rFonts w:asciiTheme="minorHAnsi" w:hAnsiTheme="minorHAnsi"/>
          <w:sz w:val="20"/>
          <w:szCs w:val="20"/>
        </w:rPr>
        <w:t xml:space="preserve">Under the </w:t>
      </w:r>
      <w:hyperlink r:id="rId17" w:tooltip="https://www.legislation.gov.au/Details/F2015C00069" w:history="1">
        <w:r w:rsidRPr="00CD7A6A">
          <w:rPr>
            <w:rStyle w:val="Hyperlink"/>
            <w:rFonts w:asciiTheme="minorHAnsi" w:hAnsiTheme="minorHAnsi"/>
            <w:i/>
            <w:sz w:val="20"/>
            <w:szCs w:val="20"/>
          </w:rPr>
          <w:t>O</w:t>
        </w:r>
        <w:r w:rsidR="00E91B98" w:rsidRPr="00CD7A6A">
          <w:rPr>
            <w:rStyle w:val="Hyperlink"/>
            <w:rFonts w:asciiTheme="minorHAnsi" w:hAnsiTheme="minorHAnsi"/>
            <w:i/>
            <w:sz w:val="20"/>
            <w:szCs w:val="20"/>
          </w:rPr>
          <w:t xml:space="preserve">ffshore </w:t>
        </w:r>
        <w:r w:rsidRPr="00CD7A6A">
          <w:rPr>
            <w:rStyle w:val="Hyperlink"/>
            <w:rFonts w:asciiTheme="minorHAnsi" w:hAnsiTheme="minorHAnsi"/>
            <w:i/>
            <w:sz w:val="20"/>
            <w:szCs w:val="20"/>
          </w:rPr>
          <w:t>P</w:t>
        </w:r>
        <w:r w:rsidR="00E91B98" w:rsidRPr="00CD7A6A">
          <w:rPr>
            <w:rStyle w:val="Hyperlink"/>
            <w:rFonts w:asciiTheme="minorHAnsi" w:hAnsiTheme="minorHAnsi"/>
            <w:i/>
            <w:sz w:val="20"/>
            <w:szCs w:val="20"/>
          </w:rPr>
          <w:t xml:space="preserve">etroleum and </w:t>
        </w:r>
        <w:r w:rsidRPr="00CD7A6A">
          <w:rPr>
            <w:rStyle w:val="Hyperlink"/>
            <w:rFonts w:asciiTheme="minorHAnsi" w:hAnsiTheme="minorHAnsi"/>
            <w:i/>
            <w:sz w:val="20"/>
            <w:szCs w:val="20"/>
          </w:rPr>
          <w:t>G</w:t>
        </w:r>
        <w:r w:rsidR="00E91B98" w:rsidRPr="00CD7A6A">
          <w:rPr>
            <w:rStyle w:val="Hyperlink"/>
            <w:rFonts w:asciiTheme="minorHAnsi" w:hAnsiTheme="minorHAnsi"/>
            <w:i/>
            <w:sz w:val="20"/>
            <w:szCs w:val="20"/>
          </w:rPr>
          <w:t xml:space="preserve">reenhouse </w:t>
        </w:r>
        <w:r w:rsidRPr="00CD7A6A">
          <w:rPr>
            <w:rStyle w:val="Hyperlink"/>
            <w:rFonts w:asciiTheme="minorHAnsi" w:hAnsiTheme="minorHAnsi"/>
            <w:i/>
            <w:sz w:val="20"/>
            <w:szCs w:val="20"/>
          </w:rPr>
          <w:t>G</w:t>
        </w:r>
        <w:r w:rsidR="00E91B98" w:rsidRPr="00CD7A6A">
          <w:rPr>
            <w:rStyle w:val="Hyperlink"/>
            <w:rFonts w:asciiTheme="minorHAnsi" w:hAnsiTheme="minorHAnsi"/>
            <w:i/>
            <w:sz w:val="20"/>
            <w:szCs w:val="20"/>
          </w:rPr>
          <w:t xml:space="preserve">as </w:t>
        </w:r>
        <w:r w:rsidRPr="00CD7A6A">
          <w:rPr>
            <w:rStyle w:val="Hyperlink"/>
            <w:rFonts w:asciiTheme="minorHAnsi" w:hAnsiTheme="minorHAnsi"/>
            <w:i/>
            <w:sz w:val="20"/>
            <w:szCs w:val="20"/>
          </w:rPr>
          <w:t>S</w:t>
        </w:r>
        <w:r w:rsidR="00E91B98" w:rsidRPr="00CD7A6A">
          <w:rPr>
            <w:rStyle w:val="Hyperlink"/>
            <w:rFonts w:asciiTheme="minorHAnsi" w:hAnsiTheme="minorHAnsi"/>
            <w:i/>
            <w:sz w:val="20"/>
            <w:szCs w:val="20"/>
          </w:rPr>
          <w:t>torage</w:t>
        </w:r>
        <w:r w:rsidRPr="00CD7A6A">
          <w:rPr>
            <w:rStyle w:val="Hyperlink"/>
            <w:rFonts w:asciiTheme="minorHAnsi" w:hAnsiTheme="minorHAnsi"/>
            <w:i/>
            <w:sz w:val="20"/>
            <w:szCs w:val="20"/>
          </w:rPr>
          <w:t xml:space="preserve"> (Environment) Regulations</w:t>
        </w:r>
        <w:r w:rsidR="000C46FD">
          <w:rPr>
            <w:rStyle w:val="Hyperlink"/>
            <w:rFonts w:asciiTheme="minorHAnsi" w:hAnsiTheme="minorHAnsi"/>
            <w:i/>
            <w:sz w:val="20"/>
            <w:szCs w:val="20"/>
          </w:rPr>
          <w:t> </w:t>
        </w:r>
        <w:r w:rsidR="00CD7A6A" w:rsidRPr="00CD7A6A">
          <w:rPr>
            <w:rStyle w:val="Hyperlink"/>
            <w:rFonts w:asciiTheme="minorHAnsi" w:hAnsiTheme="minorHAnsi"/>
            <w:i/>
            <w:sz w:val="20"/>
            <w:szCs w:val="20"/>
          </w:rPr>
          <w:t>2009</w:t>
        </w:r>
      </w:hyperlink>
      <w:r w:rsidRPr="0087559D">
        <w:rPr>
          <w:rFonts w:asciiTheme="minorHAnsi" w:hAnsiTheme="minorHAnsi"/>
          <w:sz w:val="20"/>
          <w:szCs w:val="20"/>
        </w:rPr>
        <w:t xml:space="preserve">, a titleholder may demonstrate through an environment plan that arrangements other than complete removal of equipment and property provide outcomes that reduce environmental impacts and risks to both acceptable levels and </w:t>
      </w:r>
      <w:r w:rsidR="00E91B98">
        <w:rPr>
          <w:rFonts w:asciiTheme="minorHAnsi" w:hAnsiTheme="minorHAnsi"/>
          <w:sz w:val="20"/>
          <w:szCs w:val="20"/>
        </w:rPr>
        <w:t>as low as reasonably practicable (</w:t>
      </w:r>
      <w:r w:rsidRPr="0087559D">
        <w:rPr>
          <w:rFonts w:asciiTheme="minorHAnsi" w:hAnsiTheme="minorHAnsi"/>
          <w:sz w:val="20"/>
          <w:szCs w:val="20"/>
        </w:rPr>
        <w:t>ALARP</w:t>
      </w:r>
      <w:r w:rsidR="00E91B98">
        <w:rPr>
          <w:rFonts w:asciiTheme="minorHAnsi" w:hAnsiTheme="minorHAnsi"/>
          <w:sz w:val="20"/>
          <w:szCs w:val="20"/>
        </w:rPr>
        <w:t>)</w:t>
      </w:r>
      <w:r w:rsidRPr="0087559D">
        <w:rPr>
          <w:rFonts w:asciiTheme="minorHAnsi" w:hAnsiTheme="minorHAnsi"/>
          <w:sz w:val="20"/>
          <w:szCs w:val="20"/>
        </w:rPr>
        <w:t xml:space="preserve">. </w:t>
      </w:r>
    </w:p>
    <w:p w14:paraId="2E17956F" w14:textId="61A72627" w:rsidR="00FE7968" w:rsidRPr="003D4583" w:rsidRDefault="00FE7968" w:rsidP="0026351F">
      <w:pPr>
        <w:spacing w:before="120" w:after="120" w:line="276" w:lineRule="auto"/>
        <w:ind w:left="720"/>
        <w:rPr>
          <w:rFonts w:asciiTheme="minorHAnsi" w:hAnsiTheme="minorHAnsi"/>
          <w:sz w:val="20"/>
          <w:szCs w:val="20"/>
        </w:rPr>
      </w:pPr>
      <w:r w:rsidRPr="0087559D">
        <w:rPr>
          <w:rFonts w:asciiTheme="minorHAnsi" w:hAnsiTheme="minorHAnsi"/>
          <w:sz w:val="20"/>
          <w:szCs w:val="20"/>
        </w:rPr>
        <w:t>If NOPSEMA accepts an environment plan that demonstrates these outcomes and meets all other criteria for acceptance under the regulations</w:t>
      </w:r>
      <w:r w:rsidR="00052CF1">
        <w:rPr>
          <w:rFonts w:asciiTheme="minorHAnsi" w:hAnsiTheme="minorHAnsi"/>
          <w:sz w:val="20"/>
          <w:szCs w:val="20"/>
        </w:rPr>
        <w:t>, and demonstrates compliance with all other legislative and regulatory requirements</w:t>
      </w:r>
      <w:r w:rsidR="0026351F">
        <w:rPr>
          <w:rFonts w:asciiTheme="minorHAnsi" w:hAnsiTheme="minorHAnsi"/>
          <w:sz w:val="20"/>
          <w:szCs w:val="20"/>
        </w:rPr>
        <w:t>,</w:t>
      </w:r>
      <w:r w:rsidR="00052CF1">
        <w:rPr>
          <w:rStyle w:val="FootnoteReference"/>
          <w:rFonts w:asciiTheme="minorHAnsi" w:hAnsiTheme="minorHAnsi"/>
          <w:sz w:val="20"/>
          <w:szCs w:val="20"/>
        </w:rPr>
        <w:footnoteReference w:id="5"/>
      </w:r>
      <w:r w:rsidRPr="0087559D">
        <w:rPr>
          <w:rFonts w:asciiTheme="minorHAnsi" w:hAnsiTheme="minorHAnsi"/>
          <w:sz w:val="20"/>
          <w:szCs w:val="20"/>
        </w:rPr>
        <w:t xml:space="preserve"> this would constitute</w:t>
      </w:r>
      <w:r>
        <w:rPr>
          <w:rFonts w:asciiTheme="minorHAnsi" w:hAnsiTheme="minorHAnsi"/>
          <w:sz w:val="20"/>
          <w:szCs w:val="20"/>
        </w:rPr>
        <w:t xml:space="preserve"> arrangements that are satisfactory to NOPSEMA in relation to the equipment and property covered under the environment plan. The titleholder would </w:t>
      </w:r>
      <w:r w:rsidR="009F7B86">
        <w:rPr>
          <w:rFonts w:asciiTheme="minorHAnsi" w:hAnsiTheme="minorHAnsi"/>
          <w:sz w:val="20"/>
          <w:szCs w:val="20"/>
        </w:rPr>
        <w:t xml:space="preserve">therefore </w:t>
      </w:r>
      <w:r>
        <w:rPr>
          <w:rFonts w:asciiTheme="minorHAnsi" w:hAnsiTheme="minorHAnsi"/>
          <w:sz w:val="20"/>
          <w:szCs w:val="20"/>
        </w:rPr>
        <w:t>not be required to remove the property under subsection 572(3).</w:t>
      </w:r>
    </w:p>
    <w:p w14:paraId="73A847FC" w14:textId="7156CB48" w:rsidR="006A63C6" w:rsidRDefault="00935B4B" w:rsidP="006A63C6">
      <w:pPr>
        <w:spacing w:before="120" w:after="120" w:line="276" w:lineRule="auto"/>
        <w:rPr>
          <w:rFonts w:asciiTheme="minorHAnsi" w:hAnsiTheme="minorHAnsi"/>
          <w:sz w:val="22"/>
          <w:szCs w:val="22"/>
        </w:rPr>
      </w:pPr>
      <w:r>
        <w:rPr>
          <w:rFonts w:asciiTheme="minorHAnsi" w:hAnsiTheme="minorHAnsi"/>
          <w:sz w:val="22"/>
          <w:szCs w:val="22"/>
        </w:rPr>
        <w:t>T</w:t>
      </w:r>
      <w:r w:rsidR="006A63C6">
        <w:rPr>
          <w:rFonts w:asciiTheme="minorHAnsi" w:hAnsiTheme="minorHAnsi"/>
          <w:sz w:val="22"/>
          <w:szCs w:val="22"/>
        </w:rPr>
        <w:t>itleholders are encouraged to keep, and to regularly review, an inventory of infrastructure in their title areas, including reference to any associated approvals. Titleholders may use the inventory to identify infrastruct</w:t>
      </w:r>
      <w:r w:rsidR="000E4A03">
        <w:rPr>
          <w:rFonts w:asciiTheme="minorHAnsi" w:hAnsiTheme="minorHAnsi"/>
          <w:sz w:val="22"/>
          <w:szCs w:val="22"/>
        </w:rPr>
        <w:t>ure that will no longer be used</w:t>
      </w:r>
      <w:r w:rsidR="006A63C6">
        <w:rPr>
          <w:rFonts w:asciiTheme="minorHAnsi" w:hAnsiTheme="minorHAnsi"/>
          <w:sz w:val="22"/>
          <w:szCs w:val="22"/>
        </w:rPr>
        <w:t xml:space="preserve"> and/or infrastructure that requires repair. </w:t>
      </w:r>
    </w:p>
    <w:p w14:paraId="19DE8323" w14:textId="43FAF616" w:rsidR="006A63C6" w:rsidRDefault="006A63C6" w:rsidP="006A63C6">
      <w:pPr>
        <w:spacing w:before="120" w:after="120" w:line="276" w:lineRule="auto"/>
        <w:rPr>
          <w:rFonts w:asciiTheme="minorHAnsi" w:hAnsiTheme="minorHAnsi"/>
          <w:sz w:val="22"/>
          <w:szCs w:val="22"/>
        </w:rPr>
      </w:pPr>
      <w:r>
        <w:rPr>
          <w:rFonts w:asciiTheme="minorHAnsi" w:hAnsiTheme="minorHAnsi"/>
          <w:sz w:val="22"/>
          <w:szCs w:val="22"/>
        </w:rPr>
        <w:t>Disused infrastructure should be removed as soon as practicable, or arrangements made to deal with the infrastructure in a manner that delivers appropriate environmental, well integrity and safety outcomes</w:t>
      </w:r>
      <w:r w:rsidR="00A4093D">
        <w:rPr>
          <w:rFonts w:asciiTheme="minorHAnsi" w:hAnsiTheme="minorHAnsi"/>
          <w:sz w:val="22"/>
          <w:szCs w:val="22"/>
        </w:rPr>
        <w:t xml:space="preserve">. </w:t>
      </w:r>
      <w:r>
        <w:rPr>
          <w:rFonts w:asciiTheme="minorHAnsi" w:hAnsiTheme="minorHAnsi"/>
          <w:sz w:val="22"/>
          <w:szCs w:val="22"/>
        </w:rPr>
        <w:t>Periodically removing infrastructure should also reduce the amount of infrastructure that must be dealt with at the end of production.</w:t>
      </w:r>
    </w:p>
    <w:p w14:paraId="10CFD63B" w14:textId="2164E584" w:rsidR="00A51101" w:rsidRDefault="00A51101" w:rsidP="00A51101">
      <w:pPr>
        <w:spacing w:before="120" w:after="120" w:line="276" w:lineRule="auto"/>
        <w:rPr>
          <w:rFonts w:asciiTheme="minorHAnsi" w:hAnsiTheme="minorHAnsi"/>
          <w:sz w:val="22"/>
          <w:szCs w:val="22"/>
        </w:rPr>
      </w:pPr>
      <w:r>
        <w:rPr>
          <w:rFonts w:asciiTheme="minorHAnsi" w:hAnsiTheme="minorHAnsi"/>
          <w:sz w:val="22"/>
          <w:szCs w:val="22"/>
        </w:rPr>
        <w:lastRenderedPageBreak/>
        <w:t xml:space="preserve">A failure to comply with </w:t>
      </w:r>
      <w:r w:rsidR="0026351F">
        <w:rPr>
          <w:rFonts w:asciiTheme="minorHAnsi" w:hAnsiTheme="minorHAnsi"/>
          <w:sz w:val="22"/>
          <w:szCs w:val="22"/>
        </w:rPr>
        <w:t xml:space="preserve">the </w:t>
      </w:r>
      <w:r>
        <w:rPr>
          <w:rFonts w:asciiTheme="minorHAnsi" w:hAnsiTheme="minorHAnsi"/>
          <w:sz w:val="22"/>
          <w:szCs w:val="22"/>
        </w:rPr>
        <w:t>property removal, maintenance or repair obligations may attract a criminal penalty of up to 100 penalty units, or a civil penalty of up to 525 penalty units.</w:t>
      </w:r>
      <w:r>
        <w:rPr>
          <w:rStyle w:val="FootnoteReference"/>
          <w:rFonts w:asciiTheme="minorHAnsi" w:hAnsiTheme="minorHAnsi"/>
          <w:sz w:val="22"/>
          <w:szCs w:val="22"/>
        </w:rPr>
        <w:footnoteReference w:id="6"/>
      </w:r>
      <w:r w:rsidR="00AD0C72">
        <w:rPr>
          <w:rFonts w:asciiTheme="minorHAnsi" w:hAnsiTheme="minorHAnsi"/>
          <w:sz w:val="22"/>
          <w:szCs w:val="22"/>
        </w:rPr>
        <w:t xml:space="preserve"> </w:t>
      </w:r>
      <w:r w:rsidR="00AD4D6C">
        <w:rPr>
          <w:rFonts w:asciiTheme="minorHAnsi" w:hAnsiTheme="minorHAnsi"/>
          <w:sz w:val="22"/>
          <w:szCs w:val="22"/>
        </w:rPr>
        <w:t>No</w:t>
      </w:r>
      <w:r w:rsidR="00AD0C72">
        <w:rPr>
          <w:rFonts w:asciiTheme="minorHAnsi" w:hAnsiTheme="minorHAnsi"/>
          <w:sz w:val="22"/>
          <w:szCs w:val="22"/>
        </w:rPr>
        <w:t>n</w:t>
      </w:r>
      <w:r w:rsidR="00AD0C72">
        <w:rPr>
          <w:rFonts w:asciiTheme="minorHAnsi" w:hAnsiTheme="minorHAnsi"/>
          <w:sz w:val="22"/>
          <w:szCs w:val="22"/>
        </w:rPr>
        <w:noBreakHyphen/>
      </w:r>
      <w:r>
        <w:rPr>
          <w:rFonts w:asciiTheme="minorHAnsi" w:hAnsiTheme="minorHAnsi"/>
          <w:sz w:val="22"/>
          <w:szCs w:val="22"/>
        </w:rPr>
        <w:t xml:space="preserve">compliance may also be grounds for enforcement action, including issuing </w:t>
      </w:r>
      <w:r w:rsidR="00E85FEC">
        <w:rPr>
          <w:rFonts w:asciiTheme="minorHAnsi" w:hAnsiTheme="minorHAnsi"/>
          <w:sz w:val="22"/>
          <w:szCs w:val="22"/>
        </w:rPr>
        <w:t xml:space="preserve">of </w:t>
      </w:r>
      <w:r>
        <w:rPr>
          <w:rFonts w:asciiTheme="minorHAnsi" w:hAnsiTheme="minorHAnsi"/>
          <w:sz w:val="22"/>
          <w:szCs w:val="22"/>
        </w:rPr>
        <w:t xml:space="preserve">a direction </w:t>
      </w:r>
      <w:r w:rsidR="00E85FEC">
        <w:rPr>
          <w:rFonts w:asciiTheme="minorHAnsi" w:hAnsiTheme="minorHAnsi"/>
          <w:sz w:val="22"/>
          <w:szCs w:val="22"/>
        </w:rPr>
        <w:t xml:space="preserve">by NOPSEMA </w:t>
      </w:r>
      <w:r>
        <w:rPr>
          <w:rFonts w:asciiTheme="minorHAnsi" w:hAnsiTheme="minorHAnsi"/>
          <w:sz w:val="22"/>
          <w:szCs w:val="22"/>
        </w:rPr>
        <w:t>or, ultimately, cancell</w:t>
      </w:r>
      <w:r w:rsidR="00E85FEC">
        <w:rPr>
          <w:rFonts w:asciiTheme="minorHAnsi" w:hAnsiTheme="minorHAnsi"/>
          <w:sz w:val="22"/>
          <w:szCs w:val="22"/>
        </w:rPr>
        <w:t>ation of</w:t>
      </w:r>
      <w:r w:rsidR="00CD7A6A">
        <w:rPr>
          <w:rFonts w:asciiTheme="minorHAnsi" w:hAnsiTheme="minorHAnsi"/>
          <w:sz w:val="22"/>
          <w:szCs w:val="22"/>
        </w:rPr>
        <w:t xml:space="preserve"> the relevant</w:t>
      </w:r>
      <w:r>
        <w:rPr>
          <w:rFonts w:asciiTheme="minorHAnsi" w:hAnsiTheme="minorHAnsi"/>
          <w:sz w:val="22"/>
          <w:szCs w:val="22"/>
        </w:rPr>
        <w:t xml:space="preserve"> title</w:t>
      </w:r>
      <w:r w:rsidR="00E85FEC">
        <w:rPr>
          <w:rFonts w:asciiTheme="minorHAnsi" w:hAnsiTheme="minorHAnsi"/>
          <w:sz w:val="22"/>
          <w:szCs w:val="22"/>
        </w:rPr>
        <w:t xml:space="preserve"> by a Joint Authority</w:t>
      </w:r>
      <w:r>
        <w:rPr>
          <w:rFonts w:asciiTheme="minorHAnsi" w:hAnsiTheme="minorHAnsi"/>
          <w:sz w:val="22"/>
          <w:szCs w:val="22"/>
        </w:rPr>
        <w:t>.</w:t>
      </w:r>
    </w:p>
    <w:p w14:paraId="25F9C3C9" w14:textId="46D3CFDF" w:rsidR="00A51101" w:rsidRDefault="00E85FEC" w:rsidP="00A51101">
      <w:pPr>
        <w:spacing w:before="120" w:after="120" w:line="276" w:lineRule="auto"/>
        <w:rPr>
          <w:rFonts w:asciiTheme="minorHAnsi" w:hAnsiTheme="minorHAnsi"/>
          <w:sz w:val="22"/>
          <w:szCs w:val="22"/>
        </w:rPr>
      </w:pPr>
      <w:r>
        <w:rPr>
          <w:rFonts w:asciiTheme="minorHAnsi" w:hAnsiTheme="minorHAnsi"/>
          <w:sz w:val="22"/>
          <w:szCs w:val="22"/>
        </w:rPr>
        <w:t>Compliance with t</w:t>
      </w:r>
      <w:r w:rsidR="00A51101">
        <w:rPr>
          <w:rFonts w:asciiTheme="minorHAnsi" w:hAnsiTheme="minorHAnsi"/>
          <w:sz w:val="22"/>
          <w:szCs w:val="22"/>
        </w:rPr>
        <w:t>he requirement</w:t>
      </w:r>
      <w:r>
        <w:rPr>
          <w:rFonts w:asciiTheme="minorHAnsi" w:hAnsiTheme="minorHAnsi"/>
          <w:sz w:val="22"/>
          <w:szCs w:val="22"/>
        </w:rPr>
        <w:t>s</w:t>
      </w:r>
      <w:r w:rsidR="00A51101">
        <w:rPr>
          <w:rFonts w:asciiTheme="minorHAnsi" w:hAnsiTheme="minorHAnsi"/>
          <w:sz w:val="22"/>
          <w:szCs w:val="22"/>
        </w:rPr>
        <w:t xml:space="preserve"> to remove disused property from the title area, and to maintain property in good condition and repair, are </w:t>
      </w:r>
      <w:r w:rsidR="00935B4B">
        <w:rPr>
          <w:rFonts w:asciiTheme="minorHAnsi" w:hAnsiTheme="minorHAnsi"/>
          <w:sz w:val="22"/>
          <w:szCs w:val="22"/>
        </w:rPr>
        <w:t xml:space="preserve">also </w:t>
      </w:r>
      <w:r w:rsidR="00A51101">
        <w:rPr>
          <w:rFonts w:asciiTheme="minorHAnsi" w:hAnsiTheme="minorHAnsi"/>
          <w:sz w:val="22"/>
          <w:szCs w:val="22"/>
        </w:rPr>
        <w:t>relevant considerations in</w:t>
      </w:r>
      <w:r w:rsidR="006F6C5A">
        <w:rPr>
          <w:rFonts w:asciiTheme="minorHAnsi" w:hAnsiTheme="minorHAnsi"/>
          <w:sz w:val="22"/>
          <w:szCs w:val="22"/>
        </w:rPr>
        <w:t xml:space="preserve"> </w:t>
      </w:r>
      <w:r w:rsidR="00935B4B">
        <w:rPr>
          <w:rFonts w:asciiTheme="minorHAnsi" w:hAnsiTheme="minorHAnsi"/>
          <w:sz w:val="22"/>
          <w:szCs w:val="22"/>
        </w:rPr>
        <w:t xml:space="preserve">some </w:t>
      </w:r>
      <w:r w:rsidR="00472D25">
        <w:rPr>
          <w:rFonts w:asciiTheme="minorHAnsi" w:hAnsiTheme="minorHAnsi"/>
          <w:sz w:val="22"/>
          <w:szCs w:val="22"/>
        </w:rPr>
        <w:t>titles decisions – for </w:t>
      </w:r>
      <w:r w:rsidR="006F6C5A">
        <w:rPr>
          <w:rFonts w:asciiTheme="minorHAnsi" w:hAnsiTheme="minorHAnsi"/>
          <w:sz w:val="22"/>
          <w:szCs w:val="22"/>
        </w:rPr>
        <w:t>example</w:t>
      </w:r>
      <w:r w:rsidR="0026351F">
        <w:rPr>
          <w:rFonts w:asciiTheme="minorHAnsi" w:hAnsiTheme="minorHAnsi"/>
          <w:sz w:val="22"/>
          <w:szCs w:val="22"/>
        </w:rPr>
        <w:t xml:space="preserve"> </w:t>
      </w:r>
      <w:r w:rsidR="006F6C5A">
        <w:rPr>
          <w:rFonts w:asciiTheme="minorHAnsi" w:hAnsiTheme="minorHAnsi"/>
          <w:sz w:val="22"/>
          <w:szCs w:val="22"/>
        </w:rPr>
        <w:t xml:space="preserve">decisions to renew </w:t>
      </w:r>
      <w:r w:rsidR="00A51101">
        <w:rPr>
          <w:rFonts w:asciiTheme="minorHAnsi" w:hAnsiTheme="minorHAnsi"/>
          <w:sz w:val="22"/>
          <w:szCs w:val="22"/>
        </w:rPr>
        <w:t>petroleum exploration permit</w:t>
      </w:r>
      <w:r w:rsidR="006F6C5A">
        <w:rPr>
          <w:rFonts w:asciiTheme="minorHAnsi" w:hAnsiTheme="minorHAnsi"/>
          <w:sz w:val="22"/>
          <w:szCs w:val="22"/>
        </w:rPr>
        <w:t>s</w:t>
      </w:r>
      <w:r w:rsidR="00A51101">
        <w:rPr>
          <w:rFonts w:asciiTheme="minorHAnsi" w:hAnsiTheme="minorHAnsi"/>
          <w:sz w:val="22"/>
          <w:szCs w:val="22"/>
        </w:rPr>
        <w:t xml:space="preserve"> under section 125</w:t>
      </w:r>
      <w:r w:rsidR="006F6C5A">
        <w:rPr>
          <w:rFonts w:asciiTheme="minorHAnsi" w:hAnsiTheme="minorHAnsi"/>
          <w:sz w:val="22"/>
          <w:szCs w:val="22"/>
        </w:rPr>
        <w:t xml:space="preserve"> and</w:t>
      </w:r>
      <w:r w:rsidR="00A51101">
        <w:rPr>
          <w:rFonts w:asciiTheme="minorHAnsi" w:hAnsiTheme="minorHAnsi"/>
          <w:sz w:val="22"/>
          <w:szCs w:val="22"/>
        </w:rPr>
        <w:t xml:space="preserve"> decisions to consent to surrender a title under section 270</w:t>
      </w:r>
      <w:r w:rsidR="00A4093D">
        <w:rPr>
          <w:rFonts w:asciiTheme="minorHAnsi" w:hAnsiTheme="minorHAnsi"/>
          <w:sz w:val="22"/>
          <w:szCs w:val="22"/>
        </w:rPr>
        <w:t xml:space="preserve">. </w:t>
      </w:r>
      <w:r w:rsidR="00A51101">
        <w:rPr>
          <w:rFonts w:asciiTheme="minorHAnsi" w:hAnsiTheme="minorHAnsi"/>
          <w:sz w:val="22"/>
          <w:szCs w:val="22"/>
        </w:rPr>
        <w:t xml:space="preserve">It is therefore in the interests of industry to ensure that legal obligations are understood and </w:t>
      </w:r>
      <w:r w:rsidR="006F6C5A">
        <w:rPr>
          <w:rFonts w:asciiTheme="minorHAnsi" w:hAnsiTheme="minorHAnsi"/>
          <w:sz w:val="22"/>
          <w:szCs w:val="22"/>
        </w:rPr>
        <w:t xml:space="preserve">that they are </w:t>
      </w:r>
      <w:r w:rsidR="00A51101">
        <w:rPr>
          <w:rFonts w:asciiTheme="minorHAnsi" w:hAnsiTheme="minorHAnsi"/>
          <w:sz w:val="22"/>
          <w:szCs w:val="22"/>
        </w:rPr>
        <w:t>met on an ongoing basis.</w:t>
      </w:r>
    </w:p>
    <w:p w14:paraId="75CE4AE2" w14:textId="1383864D" w:rsidR="00A51101" w:rsidRPr="006F6C5A" w:rsidRDefault="004F19AC" w:rsidP="00125D28">
      <w:pPr>
        <w:pStyle w:val="Heading2"/>
        <w:tabs>
          <w:tab w:val="left" w:pos="709"/>
        </w:tabs>
      </w:pPr>
      <w:bookmarkStart w:id="66" w:name="_Toc460246216"/>
      <w:bookmarkStart w:id="67" w:name="_Toc460260016"/>
      <w:bookmarkStart w:id="68" w:name="_Toc460341789"/>
      <w:bookmarkStart w:id="69" w:name="_Toc460421926"/>
      <w:bookmarkStart w:id="70" w:name="_Toc461973105"/>
      <w:bookmarkStart w:id="71" w:name="_Toc464748047"/>
      <w:bookmarkStart w:id="72" w:name="_Toc475055298"/>
      <w:bookmarkStart w:id="73" w:name="_Toc475358954"/>
      <w:bookmarkStart w:id="74" w:name="_Toc479770976"/>
      <w:bookmarkStart w:id="75" w:name="_Toc479778747"/>
      <w:bookmarkStart w:id="76" w:name="_Toc479845263"/>
      <w:bookmarkStart w:id="77" w:name="_Toc482364347"/>
      <w:bookmarkStart w:id="78" w:name="_Toc486939250"/>
      <w:bookmarkStart w:id="79" w:name="_Toc486939323"/>
      <w:bookmarkStart w:id="80" w:name="_Toc486949862"/>
      <w:bookmarkStart w:id="81" w:name="_Toc486950223"/>
      <w:bookmarkStart w:id="82" w:name="_Toc486956421"/>
      <w:bookmarkStart w:id="83" w:name="_Toc489460734"/>
      <w:bookmarkStart w:id="84" w:name="_Toc489460842"/>
      <w:r>
        <w:t>3</w:t>
      </w:r>
      <w:r w:rsidR="006F6C5A">
        <w:t>.</w:t>
      </w:r>
      <w:r w:rsidR="00A51101" w:rsidRPr="006F6C5A">
        <w:t>2</w:t>
      </w:r>
      <w:r w:rsidR="00A51101" w:rsidRPr="006F6C5A">
        <w:tab/>
      </w:r>
      <w:bookmarkEnd w:id="66"/>
      <w:bookmarkEnd w:id="67"/>
      <w:bookmarkEnd w:id="68"/>
      <w:bookmarkEnd w:id="69"/>
      <w:bookmarkEnd w:id="70"/>
      <w:bookmarkEnd w:id="71"/>
      <w:bookmarkEnd w:id="72"/>
      <w:bookmarkEnd w:id="73"/>
      <w:bookmarkEnd w:id="74"/>
      <w:bookmarkEnd w:id="75"/>
      <w:bookmarkEnd w:id="76"/>
      <w:bookmarkEnd w:id="77"/>
      <w:bookmarkEnd w:id="78"/>
      <w:bookmarkEnd w:id="79"/>
      <w:r w:rsidR="00A51101" w:rsidRPr="006F6C5A">
        <w:t>Surrender of titles</w:t>
      </w:r>
      <w:bookmarkEnd w:id="80"/>
      <w:bookmarkEnd w:id="81"/>
      <w:bookmarkEnd w:id="82"/>
      <w:bookmarkEnd w:id="83"/>
      <w:bookmarkEnd w:id="84"/>
    </w:p>
    <w:p w14:paraId="706870C5" w14:textId="6E0503B3" w:rsidR="00A51101" w:rsidRDefault="00A51101" w:rsidP="00A51101">
      <w:pPr>
        <w:spacing w:before="120" w:after="120" w:line="276" w:lineRule="auto"/>
        <w:rPr>
          <w:rFonts w:asciiTheme="minorHAnsi" w:hAnsiTheme="minorHAnsi"/>
          <w:sz w:val="22"/>
          <w:szCs w:val="22"/>
        </w:rPr>
      </w:pPr>
      <w:r w:rsidRPr="002F605A">
        <w:rPr>
          <w:rFonts w:asciiTheme="minorHAnsi" w:hAnsiTheme="minorHAnsi"/>
          <w:sz w:val="22"/>
          <w:szCs w:val="22"/>
        </w:rPr>
        <w:t>Under section 269</w:t>
      </w:r>
      <w:r w:rsidR="00CD7A6A">
        <w:rPr>
          <w:rFonts w:asciiTheme="minorHAnsi" w:hAnsiTheme="minorHAnsi"/>
          <w:sz w:val="22"/>
          <w:szCs w:val="22"/>
        </w:rPr>
        <w:t xml:space="preserve"> of the OPGGS Act</w:t>
      </w:r>
      <w:r w:rsidRPr="002F605A">
        <w:rPr>
          <w:rFonts w:asciiTheme="minorHAnsi" w:hAnsiTheme="minorHAnsi"/>
          <w:sz w:val="22"/>
          <w:szCs w:val="22"/>
        </w:rPr>
        <w:t xml:space="preserve">, </w:t>
      </w:r>
      <w:r>
        <w:rPr>
          <w:rFonts w:asciiTheme="minorHAnsi" w:hAnsiTheme="minorHAnsi"/>
          <w:sz w:val="22"/>
          <w:szCs w:val="22"/>
        </w:rPr>
        <w:t>a</w:t>
      </w:r>
      <w:r w:rsidRPr="002F605A">
        <w:rPr>
          <w:rFonts w:asciiTheme="minorHAnsi" w:hAnsiTheme="minorHAnsi"/>
          <w:sz w:val="22"/>
          <w:szCs w:val="22"/>
        </w:rPr>
        <w:t xml:space="preserve"> </w:t>
      </w:r>
      <w:r>
        <w:rPr>
          <w:rFonts w:asciiTheme="minorHAnsi" w:hAnsiTheme="minorHAnsi"/>
          <w:sz w:val="22"/>
          <w:szCs w:val="22"/>
        </w:rPr>
        <w:t>titleholder</w:t>
      </w:r>
      <w:r w:rsidRPr="002F605A">
        <w:rPr>
          <w:rFonts w:asciiTheme="minorHAnsi" w:hAnsiTheme="minorHAnsi"/>
          <w:sz w:val="22"/>
          <w:szCs w:val="22"/>
        </w:rPr>
        <w:t xml:space="preserve"> </w:t>
      </w:r>
      <w:r>
        <w:rPr>
          <w:rFonts w:asciiTheme="minorHAnsi" w:hAnsiTheme="minorHAnsi"/>
          <w:sz w:val="22"/>
          <w:szCs w:val="22"/>
        </w:rPr>
        <w:t xml:space="preserve">may apply to NOPTA for the Joint Authority’s </w:t>
      </w:r>
      <w:r w:rsidRPr="002F605A">
        <w:rPr>
          <w:rFonts w:asciiTheme="minorHAnsi" w:hAnsiTheme="minorHAnsi"/>
          <w:sz w:val="22"/>
          <w:szCs w:val="22"/>
        </w:rPr>
        <w:t>consent to surrender the</w:t>
      </w:r>
      <w:r>
        <w:rPr>
          <w:rFonts w:asciiTheme="minorHAnsi" w:hAnsiTheme="minorHAnsi"/>
          <w:sz w:val="22"/>
          <w:szCs w:val="22"/>
        </w:rPr>
        <w:t>ir</w:t>
      </w:r>
      <w:r w:rsidRPr="002F605A">
        <w:rPr>
          <w:rFonts w:asciiTheme="minorHAnsi" w:hAnsiTheme="minorHAnsi"/>
          <w:sz w:val="22"/>
          <w:szCs w:val="22"/>
        </w:rPr>
        <w:t xml:space="preserve"> title. </w:t>
      </w:r>
      <w:r>
        <w:rPr>
          <w:rFonts w:asciiTheme="minorHAnsi" w:hAnsiTheme="minorHAnsi"/>
          <w:sz w:val="22"/>
          <w:szCs w:val="22"/>
        </w:rPr>
        <w:t>Holders of exploration permits, production licences or pipeline licen</w:t>
      </w:r>
      <w:r w:rsidR="0065396D">
        <w:rPr>
          <w:rFonts w:asciiTheme="minorHAnsi" w:hAnsiTheme="minorHAnsi"/>
          <w:sz w:val="22"/>
          <w:szCs w:val="22"/>
        </w:rPr>
        <w:t>c</w:t>
      </w:r>
      <w:r>
        <w:rPr>
          <w:rFonts w:asciiTheme="minorHAnsi" w:hAnsiTheme="minorHAnsi"/>
          <w:sz w:val="22"/>
          <w:szCs w:val="22"/>
        </w:rPr>
        <w:t>es can apply to surrender the permit or licen</w:t>
      </w:r>
      <w:r w:rsidR="0065396D">
        <w:rPr>
          <w:rFonts w:asciiTheme="minorHAnsi" w:hAnsiTheme="minorHAnsi"/>
          <w:sz w:val="22"/>
          <w:szCs w:val="22"/>
        </w:rPr>
        <w:t>c</w:t>
      </w:r>
      <w:r w:rsidR="000E4A03">
        <w:rPr>
          <w:rFonts w:asciiTheme="minorHAnsi" w:hAnsiTheme="minorHAnsi"/>
          <w:sz w:val="22"/>
          <w:szCs w:val="22"/>
        </w:rPr>
        <w:t xml:space="preserve">e in whole or part. </w:t>
      </w:r>
      <w:r>
        <w:rPr>
          <w:rFonts w:asciiTheme="minorHAnsi" w:hAnsiTheme="minorHAnsi"/>
          <w:sz w:val="22"/>
          <w:szCs w:val="22"/>
        </w:rPr>
        <w:t>Retention leases and infrastructure licen</w:t>
      </w:r>
      <w:r w:rsidR="0065396D">
        <w:rPr>
          <w:rFonts w:asciiTheme="minorHAnsi" w:hAnsiTheme="minorHAnsi"/>
          <w:sz w:val="22"/>
          <w:szCs w:val="22"/>
        </w:rPr>
        <w:t>c</w:t>
      </w:r>
      <w:r>
        <w:rPr>
          <w:rFonts w:asciiTheme="minorHAnsi" w:hAnsiTheme="minorHAnsi"/>
          <w:sz w:val="22"/>
          <w:szCs w:val="22"/>
        </w:rPr>
        <w:t xml:space="preserve">es can only be surrendered in their entirety. </w:t>
      </w:r>
    </w:p>
    <w:p w14:paraId="71BB2236" w14:textId="1E2BF9E2" w:rsidR="00A51101" w:rsidRDefault="00A51101" w:rsidP="00A51101">
      <w:pPr>
        <w:spacing w:before="120" w:after="120" w:line="276" w:lineRule="auto"/>
        <w:rPr>
          <w:rFonts w:asciiTheme="minorHAnsi" w:hAnsiTheme="minorHAnsi"/>
          <w:sz w:val="22"/>
          <w:szCs w:val="22"/>
        </w:rPr>
      </w:pPr>
      <w:r>
        <w:rPr>
          <w:rFonts w:asciiTheme="minorHAnsi" w:hAnsiTheme="minorHAnsi"/>
          <w:sz w:val="22"/>
          <w:szCs w:val="22"/>
        </w:rPr>
        <w:t>Subs</w:t>
      </w:r>
      <w:r w:rsidRPr="002F605A">
        <w:rPr>
          <w:rFonts w:asciiTheme="minorHAnsi" w:hAnsiTheme="minorHAnsi"/>
          <w:sz w:val="22"/>
          <w:szCs w:val="22"/>
        </w:rPr>
        <w:t>ection 270</w:t>
      </w:r>
      <w:r>
        <w:rPr>
          <w:rFonts w:asciiTheme="minorHAnsi" w:hAnsiTheme="minorHAnsi"/>
          <w:sz w:val="22"/>
          <w:szCs w:val="22"/>
        </w:rPr>
        <w:t xml:space="preserve">(3) </w:t>
      </w:r>
      <w:r w:rsidRPr="002F605A">
        <w:rPr>
          <w:rFonts w:asciiTheme="minorHAnsi" w:hAnsiTheme="minorHAnsi"/>
          <w:sz w:val="22"/>
          <w:szCs w:val="22"/>
        </w:rPr>
        <w:t>sets out</w:t>
      </w:r>
      <w:r w:rsidR="0026351F">
        <w:rPr>
          <w:rFonts w:asciiTheme="minorHAnsi" w:hAnsiTheme="minorHAnsi"/>
          <w:sz w:val="22"/>
          <w:szCs w:val="22"/>
        </w:rPr>
        <w:t xml:space="preserve"> the</w:t>
      </w:r>
      <w:r w:rsidRPr="002F605A">
        <w:rPr>
          <w:rFonts w:asciiTheme="minorHAnsi" w:hAnsiTheme="minorHAnsi"/>
          <w:sz w:val="22"/>
          <w:szCs w:val="22"/>
        </w:rPr>
        <w:t xml:space="preserve"> criteria that must be </w:t>
      </w:r>
      <w:r>
        <w:rPr>
          <w:rFonts w:asciiTheme="minorHAnsi" w:hAnsiTheme="minorHAnsi"/>
          <w:sz w:val="22"/>
          <w:szCs w:val="22"/>
        </w:rPr>
        <w:t xml:space="preserve">met </w:t>
      </w:r>
      <w:r w:rsidRPr="002F605A">
        <w:rPr>
          <w:rFonts w:asciiTheme="minorHAnsi" w:hAnsiTheme="minorHAnsi"/>
          <w:sz w:val="22"/>
          <w:szCs w:val="22"/>
        </w:rPr>
        <w:t xml:space="preserve">before the </w:t>
      </w:r>
      <w:r>
        <w:rPr>
          <w:rFonts w:asciiTheme="minorHAnsi" w:hAnsiTheme="minorHAnsi"/>
          <w:sz w:val="22"/>
          <w:szCs w:val="22"/>
        </w:rPr>
        <w:t>Joint Authority</w:t>
      </w:r>
      <w:r w:rsidRPr="002F605A">
        <w:rPr>
          <w:rFonts w:asciiTheme="minorHAnsi" w:hAnsiTheme="minorHAnsi"/>
          <w:sz w:val="22"/>
          <w:szCs w:val="22"/>
        </w:rPr>
        <w:t xml:space="preserve"> </w:t>
      </w:r>
      <w:r w:rsidR="00C24957">
        <w:rPr>
          <w:rFonts w:asciiTheme="minorHAnsi" w:hAnsiTheme="minorHAnsi"/>
          <w:sz w:val="22"/>
          <w:szCs w:val="22"/>
        </w:rPr>
        <w:t>may</w:t>
      </w:r>
      <w:r w:rsidRPr="002F605A">
        <w:rPr>
          <w:rFonts w:asciiTheme="minorHAnsi" w:hAnsiTheme="minorHAnsi"/>
          <w:sz w:val="22"/>
          <w:szCs w:val="22"/>
        </w:rPr>
        <w:t xml:space="preserve"> consen</w:t>
      </w:r>
      <w:r w:rsidR="000E4A03">
        <w:rPr>
          <w:rFonts w:asciiTheme="minorHAnsi" w:hAnsiTheme="minorHAnsi"/>
          <w:sz w:val="22"/>
          <w:szCs w:val="22"/>
        </w:rPr>
        <w:t xml:space="preserve">t to the surrender of a title. </w:t>
      </w:r>
      <w:r>
        <w:rPr>
          <w:rFonts w:asciiTheme="minorHAnsi" w:hAnsiTheme="minorHAnsi"/>
          <w:sz w:val="22"/>
          <w:szCs w:val="22"/>
        </w:rPr>
        <w:t xml:space="preserve">These </w:t>
      </w:r>
      <w:r w:rsidR="0065396D">
        <w:rPr>
          <w:rFonts w:asciiTheme="minorHAnsi" w:hAnsiTheme="minorHAnsi"/>
          <w:sz w:val="22"/>
          <w:szCs w:val="22"/>
        </w:rPr>
        <w:t xml:space="preserve">include </w:t>
      </w:r>
      <w:proofErr w:type="gramStart"/>
      <w:r>
        <w:rPr>
          <w:rFonts w:asciiTheme="minorHAnsi" w:hAnsiTheme="minorHAnsi"/>
          <w:sz w:val="22"/>
          <w:szCs w:val="22"/>
        </w:rPr>
        <w:t>a number of</w:t>
      </w:r>
      <w:proofErr w:type="gramEnd"/>
      <w:r>
        <w:rPr>
          <w:rFonts w:asciiTheme="minorHAnsi" w:hAnsiTheme="minorHAnsi"/>
          <w:sz w:val="22"/>
          <w:szCs w:val="22"/>
        </w:rPr>
        <w:t xml:space="preserve"> decommissioning obligations</w:t>
      </w:r>
      <w:r w:rsidR="00A4093D">
        <w:rPr>
          <w:rFonts w:asciiTheme="minorHAnsi" w:hAnsiTheme="minorHAnsi"/>
          <w:sz w:val="22"/>
          <w:szCs w:val="22"/>
        </w:rPr>
        <w:t xml:space="preserve">. </w:t>
      </w:r>
      <w:r w:rsidR="0026351F">
        <w:rPr>
          <w:rFonts w:asciiTheme="minorHAnsi" w:hAnsiTheme="minorHAnsi"/>
          <w:sz w:val="22"/>
          <w:szCs w:val="22"/>
        </w:rPr>
        <w:t>In particular, t</w:t>
      </w:r>
      <w:r>
        <w:rPr>
          <w:rFonts w:asciiTheme="minorHAnsi" w:hAnsiTheme="minorHAnsi"/>
          <w:sz w:val="22"/>
          <w:szCs w:val="22"/>
        </w:rPr>
        <w:t>he titleholder must</w:t>
      </w:r>
      <w:r w:rsidR="0065396D">
        <w:rPr>
          <w:rFonts w:asciiTheme="minorHAnsi" w:hAnsiTheme="minorHAnsi"/>
          <w:sz w:val="22"/>
          <w:szCs w:val="22"/>
        </w:rPr>
        <w:t xml:space="preserve"> have</w:t>
      </w:r>
      <w:r>
        <w:rPr>
          <w:rFonts w:asciiTheme="minorHAnsi" w:hAnsiTheme="minorHAnsi"/>
          <w:sz w:val="22"/>
          <w:szCs w:val="22"/>
        </w:rPr>
        <w:t>, to the satisfaction of NOPSEMA:</w:t>
      </w:r>
    </w:p>
    <w:p w14:paraId="331C5A25" w14:textId="269AE5FE" w:rsidR="00A51101" w:rsidRDefault="00B21EFE" w:rsidP="0026351F">
      <w:pPr>
        <w:pStyle w:val="ListParagraph"/>
        <w:numPr>
          <w:ilvl w:val="0"/>
          <w:numId w:val="2"/>
        </w:numPr>
        <w:spacing w:before="80" w:after="80"/>
        <w:ind w:left="363" w:hanging="357"/>
        <w:contextualSpacing w:val="0"/>
      </w:pPr>
      <w:r>
        <w:t>r</w:t>
      </w:r>
      <w:r w:rsidR="00A51101">
        <w:t>emove</w:t>
      </w:r>
      <w:r w:rsidR="0065396D">
        <w:t>d</w:t>
      </w:r>
      <w:r>
        <w:t>,</w:t>
      </w:r>
      <w:r w:rsidR="00A51101">
        <w:t xml:space="preserve"> or cause</w:t>
      </w:r>
      <w:r w:rsidR="00FE7968">
        <w:t>d</w:t>
      </w:r>
      <w:r w:rsidR="00A51101">
        <w:t xml:space="preserve"> to be removed</w:t>
      </w:r>
      <w:r>
        <w:t>,</w:t>
      </w:r>
      <w:r w:rsidR="00A51101">
        <w:t xml:space="preserve"> all property brought into the surrender area</w:t>
      </w:r>
      <w:r w:rsidR="00A51101">
        <w:rPr>
          <w:rStyle w:val="FootnoteReference"/>
        </w:rPr>
        <w:footnoteReference w:id="7"/>
      </w:r>
      <w:r w:rsidR="00A51101">
        <w:t xml:space="preserve"> by any person engaged or concerned in operations authorised by the </w:t>
      </w:r>
      <w:proofErr w:type="gramStart"/>
      <w:r w:rsidR="00A51101">
        <w:t>title, or</w:t>
      </w:r>
      <w:proofErr w:type="gramEnd"/>
      <w:r w:rsidR="00A51101">
        <w:t xml:space="preserve"> ma</w:t>
      </w:r>
      <w:r w:rsidR="0065396D">
        <w:t>d</w:t>
      </w:r>
      <w:r w:rsidR="00A51101">
        <w:t>e arrangements that are satisfactory to NOPSEMA in relation to that property.</w:t>
      </w:r>
    </w:p>
    <w:p w14:paraId="61BAFFE7" w14:textId="5E6D61C5" w:rsidR="00A51101" w:rsidRDefault="00B21EFE" w:rsidP="0026351F">
      <w:pPr>
        <w:pStyle w:val="ListParagraph"/>
        <w:numPr>
          <w:ilvl w:val="0"/>
          <w:numId w:val="2"/>
        </w:numPr>
        <w:spacing w:before="80" w:after="80"/>
        <w:ind w:left="363" w:hanging="357"/>
        <w:contextualSpacing w:val="0"/>
      </w:pPr>
      <w:r>
        <w:t>pl</w:t>
      </w:r>
      <w:r w:rsidR="00A51101">
        <w:t>ug</w:t>
      </w:r>
      <w:r w:rsidR="0065396D">
        <w:t>ged</w:t>
      </w:r>
      <w:r w:rsidR="00A51101">
        <w:t xml:space="preserve"> or close</w:t>
      </w:r>
      <w:r w:rsidR="0065396D">
        <w:t>d</w:t>
      </w:r>
      <w:r w:rsidR="00A51101">
        <w:t xml:space="preserve"> off any wells made in the surrender area by any person engaged or concerned in the operations authorised by the title.</w:t>
      </w:r>
    </w:p>
    <w:p w14:paraId="5DF81F2D" w14:textId="7483BEAE" w:rsidR="00A51101" w:rsidRDefault="00B21EFE" w:rsidP="0026351F">
      <w:pPr>
        <w:pStyle w:val="ListParagraph"/>
        <w:numPr>
          <w:ilvl w:val="0"/>
          <w:numId w:val="2"/>
        </w:numPr>
        <w:spacing w:before="80" w:after="80"/>
        <w:ind w:left="363" w:hanging="357"/>
        <w:contextualSpacing w:val="0"/>
      </w:pPr>
      <w:r>
        <w:t>p</w:t>
      </w:r>
      <w:r w:rsidR="00A51101">
        <w:t>rovide</w:t>
      </w:r>
      <w:r w:rsidR="0065396D">
        <w:t>d</w:t>
      </w:r>
      <w:r w:rsidR="00A51101">
        <w:t xml:space="preserve"> for the conservation and protection of the natural resources in the surrender area.</w:t>
      </w:r>
    </w:p>
    <w:p w14:paraId="12D0EE85" w14:textId="0DF1DD74" w:rsidR="00A51101" w:rsidRPr="00AA47DA" w:rsidRDefault="00B21EFE" w:rsidP="0026351F">
      <w:pPr>
        <w:pStyle w:val="ListParagraph"/>
        <w:numPr>
          <w:ilvl w:val="0"/>
          <w:numId w:val="2"/>
        </w:numPr>
        <w:spacing w:before="80" w:after="80"/>
        <w:ind w:left="363" w:hanging="357"/>
        <w:contextualSpacing w:val="0"/>
      </w:pPr>
      <w:r>
        <w:t xml:space="preserve">made good any </w:t>
      </w:r>
      <w:r w:rsidR="00A51101">
        <w:t>damage to the seabed or subsoil in the surrender area caused by any person engaged or concerned in the operations authorised by the title.</w:t>
      </w:r>
    </w:p>
    <w:p w14:paraId="062328C2" w14:textId="5F2BDB54" w:rsidR="00371125" w:rsidRPr="000E4A03" w:rsidRDefault="0026351F" w:rsidP="000E4A03">
      <w:pPr>
        <w:spacing w:before="120" w:after="120" w:line="276" w:lineRule="auto"/>
        <w:rPr>
          <w:rFonts w:asciiTheme="minorHAnsi" w:hAnsiTheme="minorHAnsi"/>
          <w:sz w:val="22"/>
          <w:szCs w:val="22"/>
        </w:rPr>
      </w:pPr>
      <w:r w:rsidRPr="00BD3638">
        <w:rPr>
          <w:b/>
          <w:noProof/>
          <w:sz w:val="20"/>
          <w:szCs w:val="20"/>
        </w:rPr>
        <mc:AlternateContent>
          <mc:Choice Requires="wps">
            <w:drawing>
              <wp:anchor distT="45720" distB="45720" distL="114300" distR="114300" simplePos="0" relativeHeight="251658258" behindDoc="0" locked="0" layoutInCell="1" allowOverlap="1" wp14:anchorId="1F69E878" wp14:editId="2EFCDAB3">
                <wp:simplePos x="0" y="0"/>
                <wp:positionH relativeFrom="margin">
                  <wp:posOffset>-28575</wp:posOffset>
                </wp:positionH>
                <wp:positionV relativeFrom="paragraph">
                  <wp:posOffset>900430</wp:posOffset>
                </wp:positionV>
                <wp:extent cx="5728970" cy="457200"/>
                <wp:effectExtent l="0" t="0" r="24130" b="1905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457200"/>
                        </a:xfrm>
                        <a:prstGeom prst="rect">
                          <a:avLst/>
                        </a:prstGeom>
                        <a:solidFill>
                          <a:schemeClr val="accent1">
                            <a:lumMod val="20000"/>
                            <a:lumOff val="80000"/>
                          </a:schemeClr>
                        </a:solidFill>
                        <a:ln w="9525">
                          <a:solidFill>
                            <a:schemeClr val="tx1"/>
                          </a:solidFill>
                          <a:miter lim="800000"/>
                          <a:headEnd/>
                          <a:tailEnd/>
                        </a:ln>
                      </wps:spPr>
                      <wps:txbx>
                        <w:txbxContent>
                          <w:p w14:paraId="455C35F4" w14:textId="0F802E54" w:rsidR="00934F2F" w:rsidRPr="00D33EA8" w:rsidRDefault="000A096E" w:rsidP="00A81A1E">
                            <w:pPr>
                              <w:spacing w:before="120" w:after="120" w:line="276" w:lineRule="auto"/>
                              <w:rPr>
                                <w:rFonts w:asciiTheme="minorHAnsi" w:hAnsiTheme="minorHAnsi"/>
                                <w:sz w:val="22"/>
                                <w:szCs w:val="22"/>
                              </w:rPr>
                            </w:pPr>
                            <w:r>
                              <w:fldChar w:fldCharType="begin"/>
                            </w:r>
                            <w:r>
                              <w:instrText xml:space="preserve"> HYPERLINK "http://www.nopta.gov.au/guidelines-and-factsheets/fact-sheets.html" </w:instrText>
                            </w:r>
                            <w:r>
                              <w:fldChar w:fldCharType="separate"/>
                            </w:r>
                            <w:r w:rsidR="00934F2F" w:rsidRPr="00B05D17">
                              <w:rPr>
                                <w:rStyle w:val="Hyperlink"/>
                                <w:rFonts w:asciiTheme="minorHAnsi" w:hAnsiTheme="minorHAnsi"/>
                                <w:sz w:val="22"/>
                                <w:szCs w:val="22"/>
                              </w:rPr>
                              <w:t>Further information</w:t>
                            </w:r>
                            <w:r>
                              <w:rPr>
                                <w:rStyle w:val="Hyperlink"/>
                                <w:rFonts w:asciiTheme="minorHAnsi" w:hAnsiTheme="minorHAnsi"/>
                                <w:sz w:val="22"/>
                                <w:szCs w:val="22"/>
                              </w:rPr>
                              <w:fldChar w:fldCharType="end"/>
                            </w:r>
                            <w:r w:rsidR="00934F2F">
                              <w:rPr>
                                <w:rFonts w:asciiTheme="minorHAnsi" w:hAnsiTheme="minorHAnsi"/>
                                <w:sz w:val="22"/>
                                <w:szCs w:val="22"/>
                              </w:rPr>
                              <w:t xml:space="preserve"> on surrendering titles can be found in Fact Sheets on the NOPTA website.</w:t>
                            </w:r>
                          </w:p>
                          <w:p w14:paraId="7D8EBB96" w14:textId="77777777" w:rsidR="00934F2F" w:rsidRDefault="00934F2F" w:rsidP="00A81A1E">
                            <w:pPr>
                              <w:pStyle w:val="ListParagraph"/>
                              <w:spacing w:before="120" w:after="120"/>
                              <w:ind w:left="0"/>
                            </w:pPr>
                          </w:p>
                          <w:p w14:paraId="67BF638C" w14:textId="77777777" w:rsidR="00934F2F" w:rsidRDefault="00934F2F" w:rsidP="00A81A1E">
                            <w:pPr>
                              <w:pStyle w:val="ListParagraph"/>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69E878" id="_x0000_t202" coordsize="21600,21600" o:spt="202" path="m,l,21600r21600,l21600,xe">
                <v:stroke joinstyle="miter"/>
                <v:path gradientshapeok="t" o:connecttype="rect"/>
              </v:shapetype>
              <v:shape id="Text Box 2" o:spid="_x0000_s1026" type="#_x0000_t202" style="position:absolute;margin-left:-2.25pt;margin-top:70.9pt;width:451.1pt;height:36pt;z-index:25165825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" fillcolor="#deeaf6 [660]" strokecolor="black [3213]">
                <v:textbox>
                  <w:txbxContent>
                    <w:p w14:paraId="455C35F4" w14:textId="0F802E54" w:rsidR="00934F2F" w:rsidRPr="00D33EA8" w:rsidRDefault="000A096E" w:rsidP="00A81A1E">
                      <w:pPr>
                        <w:spacing w:before="120" w:after="120" w:line="276" w:lineRule="auto"/>
                        <w:rPr>
                          <w:rFonts w:asciiTheme="minorHAnsi" w:hAnsiTheme="minorHAnsi"/>
                          <w:sz w:val="22"/>
                          <w:szCs w:val="22"/>
                        </w:rPr>
                      </w:pPr>
                      <w:r>
                        <w:fldChar w:fldCharType="begin"/>
                      </w:r>
                      <w:r>
                        <w:instrText xml:space="preserve"> HYPERLINK "http://www.nopta.gov.au/guidelines-and-factsheets/fact-sheets.html" </w:instrText>
                      </w:r>
                      <w:r>
                        <w:fldChar w:fldCharType="separate"/>
                      </w:r>
                      <w:r w:rsidR="00934F2F" w:rsidRPr="00B05D17">
                        <w:rPr>
                          <w:rStyle w:val="Hyperlink"/>
                          <w:rFonts w:asciiTheme="minorHAnsi" w:hAnsiTheme="minorHAnsi"/>
                          <w:sz w:val="22"/>
                          <w:szCs w:val="22"/>
                        </w:rPr>
                        <w:t>Further information</w:t>
                      </w:r>
                      <w:r>
                        <w:rPr>
                          <w:rStyle w:val="Hyperlink"/>
                          <w:rFonts w:asciiTheme="minorHAnsi" w:hAnsiTheme="minorHAnsi"/>
                          <w:sz w:val="22"/>
                          <w:szCs w:val="22"/>
                        </w:rPr>
                        <w:fldChar w:fldCharType="end"/>
                      </w:r>
                      <w:r w:rsidR="00934F2F">
                        <w:rPr>
                          <w:rFonts w:asciiTheme="minorHAnsi" w:hAnsiTheme="minorHAnsi"/>
                          <w:sz w:val="22"/>
                          <w:szCs w:val="22"/>
                        </w:rPr>
                        <w:t xml:space="preserve"> on surrendering titles can be found in Fact Sheets on the NOPTA website.</w:t>
                      </w:r>
                    </w:p>
                    <w:p w14:paraId="7D8EBB96" w14:textId="77777777" w:rsidR="00934F2F" w:rsidRDefault="00934F2F" w:rsidP="00A81A1E">
                      <w:pPr>
                        <w:pStyle w:val="ListParagraph"/>
                        <w:spacing w:before="120" w:after="120"/>
                        <w:ind w:left="0"/>
                      </w:pPr>
                    </w:p>
                    <w:p w14:paraId="67BF638C" w14:textId="77777777" w:rsidR="00934F2F" w:rsidRDefault="00934F2F" w:rsidP="00A81A1E">
                      <w:pPr>
                        <w:pStyle w:val="ListParagraph"/>
                        <w:spacing w:before="120" w:after="120"/>
                      </w:pPr>
                    </w:p>
                  </w:txbxContent>
                </v:textbox>
                <w10:wrap type="square" anchorx="margin"/>
              </v:shape>
            </w:pict>
          </mc:Fallback>
        </mc:AlternateContent>
      </w:r>
      <w:r w:rsidR="00A51101">
        <w:rPr>
          <w:rFonts w:asciiTheme="minorHAnsi" w:hAnsiTheme="minorHAnsi"/>
          <w:sz w:val="22"/>
          <w:szCs w:val="22"/>
        </w:rPr>
        <w:t xml:space="preserve">NOPSEMA satisfies itself on reasonable grounds </w:t>
      </w:r>
      <w:r>
        <w:rPr>
          <w:rFonts w:asciiTheme="minorHAnsi" w:hAnsiTheme="minorHAnsi"/>
          <w:sz w:val="22"/>
          <w:szCs w:val="22"/>
        </w:rPr>
        <w:t>in relation to these</w:t>
      </w:r>
      <w:r w:rsidR="00A51101">
        <w:rPr>
          <w:rFonts w:asciiTheme="minorHAnsi" w:hAnsiTheme="minorHAnsi"/>
          <w:sz w:val="22"/>
          <w:szCs w:val="22"/>
        </w:rPr>
        <w:t xml:space="preserve"> </w:t>
      </w:r>
      <w:r>
        <w:rPr>
          <w:rFonts w:asciiTheme="minorHAnsi" w:hAnsiTheme="minorHAnsi"/>
          <w:sz w:val="22"/>
          <w:szCs w:val="22"/>
        </w:rPr>
        <w:t>criteria by assessing the</w:t>
      </w:r>
      <w:r w:rsidR="00A51101">
        <w:rPr>
          <w:rFonts w:asciiTheme="minorHAnsi" w:hAnsiTheme="minorHAnsi"/>
          <w:sz w:val="22"/>
          <w:szCs w:val="22"/>
        </w:rPr>
        <w:t xml:space="preserve"> titleholder’s </w:t>
      </w:r>
      <w:proofErr w:type="spellStart"/>
      <w:r w:rsidR="00A51101">
        <w:rPr>
          <w:rFonts w:asciiTheme="minorHAnsi" w:hAnsiTheme="minorHAnsi"/>
          <w:sz w:val="22"/>
          <w:szCs w:val="22"/>
        </w:rPr>
        <w:t>permissioning</w:t>
      </w:r>
      <w:proofErr w:type="spellEnd"/>
      <w:r w:rsidR="00A51101">
        <w:rPr>
          <w:rFonts w:asciiTheme="minorHAnsi" w:hAnsiTheme="minorHAnsi"/>
          <w:sz w:val="22"/>
          <w:szCs w:val="22"/>
        </w:rPr>
        <w:t xml:space="preserve"> documents and the extent </w:t>
      </w:r>
      <w:r>
        <w:rPr>
          <w:rFonts w:asciiTheme="minorHAnsi" w:hAnsiTheme="minorHAnsi"/>
          <w:sz w:val="22"/>
          <w:szCs w:val="22"/>
        </w:rPr>
        <w:t xml:space="preserve">to which the titleholder has complied with them once decommissioning is complete. </w:t>
      </w:r>
      <w:r>
        <w:rPr>
          <w:rFonts w:ascii="Calibri" w:hAnsi="Calibri"/>
          <w:sz w:val="22"/>
          <w:szCs w:val="22"/>
        </w:rPr>
        <w:t>Following</w:t>
      </w:r>
      <w:r w:rsidR="00371125">
        <w:rPr>
          <w:rFonts w:ascii="Calibri" w:hAnsi="Calibri"/>
          <w:sz w:val="22"/>
          <w:szCs w:val="22"/>
        </w:rPr>
        <w:t xml:space="preserve"> </w:t>
      </w:r>
      <w:r>
        <w:rPr>
          <w:rFonts w:ascii="Calibri" w:hAnsi="Calibri"/>
          <w:sz w:val="22"/>
          <w:szCs w:val="22"/>
        </w:rPr>
        <w:t xml:space="preserve">the </w:t>
      </w:r>
      <w:r w:rsidR="00371125">
        <w:rPr>
          <w:rFonts w:ascii="Calibri" w:hAnsi="Calibri"/>
          <w:sz w:val="22"/>
          <w:szCs w:val="22"/>
        </w:rPr>
        <w:t>surrender</w:t>
      </w:r>
      <w:r>
        <w:rPr>
          <w:rFonts w:ascii="Calibri" w:hAnsi="Calibri"/>
          <w:sz w:val="22"/>
          <w:szCs w:val="22"/>
        </w:rPr>
        <w:t xml:space="preserve"> of title</w:t>
      </w:r>
      <w:r w:rsidR="00371125">
        <w:rPr>
          <w:rFonts w:ascii="Calibri" w:hAnsi="Calibri"/>
          <w:sz w:val="22"/>
          <w:szCs w:val="22"/>
        </w:rPr>
        <w:t>, the</w:t>
      </w:r>
      <w:r>
        <w:rPr>
          <w:rFonts w:ascii="Calibri" w:hAnsi="Calibri"/>
          <w:sz w:val="22"/>
          <w:szCs w:val="22"/>
        </w:rPr>
        <w:t xml:space="preserve"> title</w:t>
      </w:r>
      <w:r w:rsidR="00371125">
        <w:rPr>
          <w:rFonts w:ascii="Calibri" w:hAnsi="Calibri"/>
          <w:sz w:val="22"/>
          <w:szCs w:val="22"/>
        </w:rPr>
        <w:t xml:space="preserve"> area becomes vacant acreage</w:t>
      </w:r>
      <w:r>
        <w:rPr>
          <w:rFonts w:ascii="Calibri" w:hAnsi="Calibri"/>
          <w:sz w:val="22"/>
          <w:szCs w:val="22"/>
        </w:rPr>
        <w:t xml:space="preserve"> in Commonwealth waters.</w:t>
      </w:r>
      <w:r w:rsidR="00FE7968">
        <w:rPr>
          <w:rStyle w:val="FootnoteReference"/>
          <w:rFonts w:ascii="Calibri" w:hAnsi="Calibri"/>
          <w:sz w:val="22"/>
          <w:szCs w:val="22"/>
        </w:rPr>
        <w:footnoteReference w:id="8"/>
      </w:r>
    </w:p>
    <w:p w14:paraId="30D56B9A" w14:textId="642D244F" w:rsidR="000E4A03" w:rsidRDefault="000E4A03" w:rsidP="00125D28">
      <w:pPr>
        <w:pStyle w:val="Heading2"/>
        <w:tabs>
          <w:tab w:val="left" w:pos="709"/>
        </w:tabs>
        <w:rPr>
          <w:i/>
        </w:rPr>
      </w:pPr>
      <w:r>
        <w:lastRenderedPageBreak/>
        <w:t>3.3</w:t>
      </w:r>
      <w:r w:rsidR="00125D28">
        <w:tab/>
      </w:r>
      <w:r>
        <w:t>General power to issue directions</w:t>
      </w:r>
    </w:p>
    <w:p w14:paraId="068DB27D" w14:textId="065CA57A" w:rsidR="000E4A03" w:rsidRDefault="000E4A03" w:rsidP="000E4A03">
      <w:pPr>
        <w:spacing w:before="120" w:after="120" w:line="276" w:lineRule="auto"/>
        <w:rPr>
          <w:rFonts w:ascii="Calibri" w:hAnsi="Calibri"/>
          <w:sz w:val="22"/>
          <w:szCs w:val="22"/>
        </w:rPr>
      </w:pPr>
      <w:r>
        <w:rPr>
          <w:rFonts w:ascii="Calibri" w:hAnsi="Calibri"/>
          <w:sz w:val="22"/>
          <w:szCs w:val="22"/>
        </w:rPr>
        <w:t xml:space="preserve">Under section 574 of the OPGGS Act, NOPSEMA may give a direction to a titleholder as to any matter in relation to which regulations may be made. </w:t>
      </w:r>
      <w:r w:rsidR="004C3B03">
        <w:rPr>
          <w:rFonts w:ascii="Calibri" w:hAnsi="Calibri"/>
          <w:sz w:val="22"/>
          <w:szCs w:val="22"/>
        </w:rPr>
        <w:t>Specific</w:t>
      </w:r>
      <w:r>
        <w:rPr>
          <w:rFonts w:ascii="Calibri" w:hAnsi="Calibri"/>
          <w:sz w:val="22"/>
          <w:szCs w:val="22"/>
        </w:rPr>
        <w:t xml:space="preserve"> matters in relation to which regulations may be made are set out in section 782 of the OPGGS Act, and include, but are not limited to:</w:t>
      </w:r>
    </w:p>
    <w:p w14:paraId="05051A17" w14:textId="77777777" w:rsidR="000E4A03" w:rsidRDefault="000E4A03" w:rsidP="000E4A03">
      <w:pPr>
        <w:pStyle w:val="ListParagraph"/>
        <w:numPr>
          <w:ilvl w:val="0"/>
          <w:numId w:val="8"/>
        </w:numPr>
        <w:spacing w:before="120" w:after="120"/>
        <w:contextualSpacing w:val="0"/>
      </w:pPr>
      <w:r>
        <w:t>the exploration for and recovery of petroleum, and the carrying on of operations or works for those purposes.</w:t>
      </w:r>
    </w:p>
    <w:p w14:paraId="2FC68C12" w14:textId="77777777" w:rsidR="000E4A03" w:rsidRDefault="000E4A03" w:rsidP="000E4A03">
      <w:pPr>
        <w:pStyle w:val="ListParagraph"/>
        <w:numPr>
          <w:ilvl w:val="0"/>
          <w:numId w:val="8"/>
        </w:numPr>
        <w:spacing w:before="120" w:after="120"/>
        <w:contextualSpacing w:val="0"/>
      </w:pPr>
      <w:r>
        <w:t>the conservation of, and prevention of the waste of, the natural resources (whether petroleum or otherwise) of the continental shelf.</w:t>
      </w:r>
    </w:p>
    <w:p w14:paraId="6EF84C5A" w14:textId="77777777" w:rsidR="000E4A03" w:rsidRDefault="000E4A03" w:rsidP="000E4A03">
      <w:pPr>
        <w:pStyle w:val="ListParagraph"/>
        <w:numPr>
          <w:ilvl w:val="0"/>
          <w:numId w:val="8"/>
        </w:numPr>
        <w:spacing w:before="120" w:after="120"/>
        <w:contextualSpacing w:val="0"/>
      </w:pPr>
      <w:r>
        <w:t>the maintaining in good condition and repair all structures, equipment and other property used or intended to be used in connection with exploring for or exploiting petroleum.</w:t>
      </w:r>
    </w:p>
    <w:p w14:paraId="46961347" w14:textId="77777777" w:rsidR="000E4A03" w:rsidRDefault="000E4A03" w:rsidP="000E4A03">
      <w:pPr>
        <w:pStyle w:val="ListParagraph"/>
        <w:numPr>
          <w:ilvl w:val="0"/>
          <w:numId w:val="8"/>
        </w:numPr>
        <w:spacing w:before="120" w:after="120"/>
        <w:contextualSpacing w:val="0"/>
      </w:pPr>
      <w:r>
        <w:t>the removal from an offshore area of structures, equipment and other items of property that have been brought into the offshore area for or in connection with exploring for or exploiting petroleum, and are no longer used, or intended to be used, for those purposes.</w:t>
      </w:r>
    </w:p>
    <w:p w14:paraId="59686F63" w14:textId="56312A3C" w:rsidR="000E4A03" w:rsidRPr="000E4A03" w:rsidRDefault="000E4A03" w:rsidP="000E4A03">
      <w:pPr>
        <w:pStyle w:val="ListParagraph"/>
        <w:spacing w:before="120" w:after="120"/>
        <w:ind w:left="0"/>
        <w:contextualSpacing w:val="0"/>
      </w:pPr>
      <w:r>
        <w:t>The responsible Commonwealth Minister may issue similar directions under section 574A of the OPGGS Act. However, a direction issued by the responsible Commonwealth Minister must relate to resource management, resource security or data management.</w:t>
      </w:r>
    </w:p>
    <w:p w14:paraId="3CC0DEE4" w14:textId="79A275BA" w:rsidR="00E20160" w:rsidRDefault="00E20160" w:rsidP="00125D28">
      <w:pPr>
        <w:pStyle w:val="Heading2"/>
        <w:tabs>
          <w:tab w:val="left" w:pos="709"/>
        </w:tabs>
        <w:ind w:left="709" w:hanging="709"/>
        <w:rPr>
          <w:i/>
        </w:rPr>
      </w:pPr>
      <w:r>
        <w:t>3.</w:t>
      </w:r>
      <w:r w:rsidR="000E4A03">
        <w:t>4</w:t>
      </w:r>
      <w:r w:rsidR="00125D28">
        <w:tab/>
      </w:r>
      <w:r>
        <w:t>Power to issue r</w:t>
      </w:r>
      <w:r w:rsidRPr="00A57DB4">
        <w:t>emedial directions</w:t>
      </w:r>
      <w:r w:rsidR="000F7316">
        <w:t xml:space="preserve"> to current and former titleholders</w:t>
      </w:r>
    </w:p>
    <w:p w14:paraId="4E3399CF" w14:textId="595DA18B" w:rsidR="00E20160" w:rsidRDefault="00E20160" w:rsidP="00E20160">
      <w:pPr>
        <w:spacing w:before="120" w:after="120" w:line="276" w:lineRule="auto"/>
        <w:rPr>
          <w:rFonts w:asciiTheme="minorHAnsi" w:hAnsiTheme="minorHAnsi"/>
          <w:sz w:val="22"/>
          <w:szCs w:val="22"/>
        </w:rPr>
      </w:pPr>
      <w:r>
        <w:rPr>
          <w:rFonts w:asciiTheme="minorHAnsi" w:hAnsiTheme="minorHAnsi"/>
          <w:sz w:val="22"/>
          <w:szCs w:val="22"/>
        </w:rPr>
        <w:t xml:space="preserve">Under sections 586 and 587 of the OPGGS Act respectively, </w:t>
      </w:r>
      <w:r w:rsidRPr="002F605A">
        <w:rPr>
          <w:rFonts w:asciiTheme="minorHAnsi" w:hAnsiTheme="minorHAnsi"/>
          <w:sz w:val="22"/>
          <w:szCs w:val="22"/>
        </w:rPr>
        <w:t>NOPSEMA may issue remedial directions to current</w:t>
      </w:r>
      <w:r>
        <w:rPr>
          <w:rFonts w:asciiTheme="minorHAnsi" w:hAnsiTheme="minorHAnsi"/>
          <w:sz w:val="22"/>
          <w:szCs w:val="22"/>
        </w:rPr>
        <w:t xml:space="preserve"> and former</w:t>
      </w:r>
      <w:r w:rsidRPr="002F605A">
        <w:rPr>
          <w:rFonts w:asciiTheme="minorHAnsi" w:hAnsiTheme="minorHAnsi"/>
          <w:i/>
          <w:sz w:val="22"/>
          <w:szCs w:val="22"/>
        </w:rPr>
        <w:t xml:space="preserve"> </w:t>
      </w:r>
      <w:r w:rsidRPr="002F605A">
        <w:rPr>
          <w:rFonts w:asciiTheme="minorHAnsi" w:hAnsiTheme="minorHAnsi"/>
          <w:sz w:val="22"/>
          <w:szCs w:val="22"/>
        </w:rPr>
        <w:t xml:space="preserve">titleholders. </w:t>
      </w:r>
      <w:r>
        <w:rPr>
          <w:rFonts w:asciiTheme="minorHAnsi" w:hAnsiTheme="minorHAnsi"/>
          <w:sz w:val="22"/>
          <w:szCs w:val="22"/>
        </w:rPr>
        <w:t xml:space="preserve">NOPSEMA may direct a </w:t>
      </w:r>
      <w:r w:rsidR="00203F08">
        <w:rPr>
          <w:rFonts w:asciiTheme="minorHAnsi" w:hAnsiTheme="minorHAnsi"/>
          <w:sz w:val="22"/>
          <w:szCs w:val="22"/>
        </w:rPr>
        <w:t xml:space="preserve">current or former </w:t>
      </w:r>
      <w:r>
        <w:rPr>
          <w:rFonts w:asciiTheme="minorHAnsi" w:hAnsiTheme="minorHAnsi"/>
          <w:sz w:val="22"/>
          <w:szCs w:val="22"/>
        </w:rPr>
        <w:t xml:space="preserve">titleholder to do any or </w:t>
      </w:r>
      <w:proofErr w:type="gramStart"/>
      <w:r>
        <w:rPr>
          <w:rFonts w:asciiTheme="minorHAnsi" w:hAnsiTheme="minorHAnsi"/>
          <w:sz w:val="22"/>
          <w:szCs w:val="22"/>
        </w:rPr>
        <w:t>all of</w:t>
      </w:r>
      <w:proofErr w:type="gramEnd"/>
      <w:r>
        <w:rPr>
          <w:rFonts w:asciiTheme="minorHAnsi" w:hAnsiTheme="minorHAnsi"/>
          <w:sz w:val="22"/>
          <w:szCs w:val="22"/>
        </w:rPr>
        <w:t xml:space="preserve"> the following to NOPSEMA’s satisfaction:</w:t>
      </w:r>
    </w:p>
    <w:p w14:paraId="2CA070E5" w14:textId="5D20E65A" w:rsidR="00E20160" w:rsidRDefault="00E20160" w:rsidP="002921C9">
      <w:pPr>
        <w:pStyle w:val="ListParagraph"/>
        <w:numPr>
          <w:ilvl w:val="0"/>
          <w:numId w:val="2"/>
        </w:numPr>
        <w:spacing w:before="80" w:after="80"/>
        <w:ind w:hanging="357"/>
        <w:contextualSpacing w:val="0"/>
      </w:pPr>
      <w:r>
        <w:t>remove</w:t>
      </w:r>
      <w:r w:rsidR="00203F08">
        <w:t>,</w:t>
      </w:r>
      <w:r>
        <w:t xml:space="preserve"> or cause to be removed</w:t>
      </w:r>
      <w:r w:rsidR="00203F08">
        <w:t>,</w:t>
      </w:r>
      <w:r>
        <w:t xml:space="preserve"> all property brought into the title area by any person engaged or concerned in operations authorised by the </w:t>
      </w:r>
      <w:proofErr w:type="gramStart"/>
      <w:r>
        <w:t>title, or</w:t>
      </w:r>
      <w:proofErr w:type="gramEnd"/>
      <w:r>
        <w:t xml:space="preserve"> make arrangements that are satisfactory to NOPSEMA in relation to that property</w:t>
      </w:r>
      <w:r w:rsidR="000E4A03">
        <w:t>.</w:t>
      </w:r>
    </w:p>
    <w:p w14:paraId="2217BABD" w14:textId="053F2F63" w:rsidR="00E20160" w:rsidRDefault="00E20160" w:rsidP="002921C9">
      <w:pPr>
        <w:pStyle w:val="ListParagraph"/>
        <w:numPr>
          <w:ilvl w:val="0"/>
          <w:numId w:val="2"/>
        </w:numPr>
        <w:spacing w:before="80" w:after="80"/>
        <w:ind w:hanging="357"/>
        <w:contextualSpacing w:val="0"/>
      </w:pPr>
      <w:r>
        <w:t>plug or close off wells made in the title area by any person engaged or concerned in the operations authorised by the title</w:t>
      </w:r>
      <w:r w:rsidR="000E4A03">
        <w:t>.</w:t>
      </w:r>
    </w:p>
    <w:p w14:paraId="0363AB52" w14:textId="3C3F2F3B" w:rsidR="00E20160" w:rsidRDefault="00E20160" w:rsidP="002921C9">
      <w:pPr>
        <w:pStyle w:val="ListParagraph"/>
        <w:numPr>
          <w:ilvl w:val="0"/>
          <w:numId w:val="2"/>
        </w:numPr>
        <w:spacing w:before="80" w:after="80"/>
        <w:ind w:hanging="357"/>
        <w:contextualSpacing w:val="0"/>
      </w:pPr>
      <w:r>
        <w:t>provide for the conservation and protection of the natural resources in the title area</w:t>
      </w:r>
      <w:r w:rsidR="000E4A03">
        <w:t>.</w:t>
      </w:r>
    </w:p>
    <w:p w14:paraId="21B02748" w14:textId="5559F69F" w:rsidR="00E20160" w:rsidRDefault="000D38E8" w:rsidP="002921C9">
      <w:pPr>
        <w:pStyle w:val="ListParagraph"/>
        <w:numPr>
          <w:ilvl w:val="0"/>
          <w:numId w:val="2"/>
        </w:numPr>
        <w:spacing w:before="80" w:after="80"/>
        <w:ind w:hanging="357"/>
        <w:contextualSpacing w:val="0"/>
      </w:pPr>
      <w:r>
        <w:t>mak</w:t>
      </w:r>
      <w:r w:rsidR="00B21EFE">
        <w:t xml:space="preserve">e good any </w:t>
      </w:r>
      <w:r w:rsidR="00E20160">
        <w:t xml:space="preserve">damage to the seabed or subsoil in the title area caused by any person engaged or concerned in the operations authorised by the title. </w:t>
      </w:r>
    </w:p>
    <w:p w14:paraId="03A2A7C7" w14:textId="79BDF327" w:rsidR="00203F08" w:rsidRDefault="00203F08" w:rsidP="00E20160">
      <w:pPr>
        <w:pStyle w:val="ListParagraph"/>
        <w:spacing w:before="120" w:after="120"/>
        <w:ind w:left="3"/>
        <w:contextualSpacing w:val="0"/>
      </w:pPr>
      <w:r>
        <w:t>In the case of a direction given to a current titleholder, NOPSEMA can require the direction to be complied with on or before the “applicable date”. The “applicable date” is generally the expiry date of the title; however, in the case of a production licence, infrastructure licence, or pipeline licence, the “applicable date” is the first date on which the licence can be terminated under the OPGGS Act</w:t>
      </w:r>
      <w:r w:rsidR="00A4093D">
        <w:t xml:space="preserve">. </w:t>
      </w:r>
    </w:p>
    <w:p w14:paraId="7DDFBB5C" w14:textId="41AF7830" w:rsidR="00E20160" w:rsidRDefault="00E20160" w:rsidP="00E20160">
      <w:pPr>
        <w:pStyle w:val="ListParagraph"/>
        <w:spacing w:before="120" w:after="120"/>
        <w:ind w:left="3"/>
        <w:contextualSpacing w:val="0"/>
      </w:pPr>
      <w:r>
        <w:t xml:space="preserve">The responsible Commonwealth Minister may issue similar directions </w:t>
      </w:r>
      <w:r w:rsidR="00203F08">
        <w:t xml:space="preserve">to current and former titleholders </w:t>
      </w:r>
      <w:r>
        <w:t>under sections 5</w:t>
      </w:r>
      <w:r w:rsidR="00203F08">
        <w:t xml:space="preserve">86A and 587A of the OPGGS Act respectively. </w:t>
      </w:r>
      <w:r>
        <w:t>However, the responsible Commonwealth Minister</w:t>
      </w:r>
      <w:r w:rsidR="00203F08">
        <w:t xml:space="preserve"> cannot issue remedial directions in relation to the removal of, or making of arrangements in relation to, property, and</w:t>
      </w:r>
      <w:r>
        <w:t xml:space="preserve"> may only give directions </w:t>
      </w:r>
      <w:r w:rsidR="00203F08">
        <w:t>for a purpose that relates to</w:t>
      </w:r>
      <w:r>
        <w:t xml:space="preserve"> resource management</w:t>
      </w:r>
      <w:r w:rsidR="00203F08">
        <w:t xml:space="preserve"> or</w:t>
      </w:r>
      <w:r>
        <w:t xml:space="preserve"> resource security.</w:t>
      </w:r>
    </w:p>
    <w:p w14:paraId="09AA4AAC" w14:textId="77B9A1FF" w:rsidR="00A51101" w:rsidRPr="0022761C" w:rsidRDefault="00A51101" w:rsidP="005B4AEB">
      <w:pPr>
        <w:spacing w:before="120" w:after="120" w:line="276" w:lineRule="auto"/>
        <w:rPr>
          <w:rFonts w:ascii="Calibri" w:hAnsi="Calibri"/>
          <w:sz w:val="22"/>
          <w:szCs w:val="22"/>
        </w:rPr>
        <w:sectPr w:rsidR="00A51101" w:rsidRPr="0022761C" w:rsidSect="009C4F7C">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titlePg/>
          <w:docGrid w:linePitch="360"/>
        </w:sectPr>
      </w:pPr>
    </w:p>
    <w:p w14:paraId="5169A860" w14:textId="145F3A93" w:rsidR="005141AE" w:rsidRPr="00733194" w:rsidRDefault="004F19AC" w:rsidP="000E1CC7">
      <w:pPr>
        <w:pStyle w:val="Heading1"/>
        <w:spacing w:before="120" w:after="120" w:line="276" w:lineRule="auto"/>
        <w:rPr>
          <w:rFonts w:ascii="Cambria" w:hAnsi="Cambria"/>
          <w:b/>
          <w:bCs/>
          <w:lang w:eastAsia="en-US"/>
        </w:rPr>
      </w:pPr>
      <w:bookmarkStart w:id="85" w:name="_Toc445885369"/>
      <w:bookmarkStart w:id="86" w:name="_Toc445885544"/>
      <w:bookmarkStart w:id="87" w:name="_Toc448423038"/>
      <w:bookmarkStart w:id="88" w:name="_Toc448507402"/>
      <w:bookmarkStart w:id="89" w:name="_Toc454521711"/>
      <w:bookmarkStart w:id="90" w:name="_Toc454522454"/>
      <w:bookmarkStart w:id="91" w:name="_Toc454548013"/>
      <w:bookmarkStart w:id="92" w:name="_Toc454548298"/>
      <w:bookmarkStart w:id="93" w:name="_Toc454550239"/>
      <w:bookmarkStart w:id="94" w:name="_Toc455500988"/>
      <w:bookmarkStart w:id="95" w:name="_Toc455504952"/>
      <w:bookmarkStart w:id="96" w:name="_Toc459993807"/>
      <w:bookmarkStart w:id="97" w:name="_Toc479770963"/>
      <w:bookmarkStart w:id="98" w:name="_Toc479778734"/>
      <w:bookmarkStart w:id="99" w:name="_Toc479845250"/>
      <w:bookmarkStart w:id="100" w:name="_Toc486939240"/>
      <w:bookmarkStart w:id="101" w:name="_Toc489460843"/>
      <w:bookmarkStart w:id="102" w:name="_Toc460230608"/>
      <w:bookmarkStart w:id="103" w:name="_Toc460234697"/>
      <w:r>
        <w:rPr>
          <w:rFonts w:ascii="Cambria" w:hAnsi="Cambria"/>
          <w:b/>
          <w:bCs/>
          <w:lang w:eastAsia="en-US"/>
        </w:rPr>
        <w:lastRenderedPageBreak/>
        <w:t>4</w:t>
      </w:r>
      <w:r w:rsidR="00065162" w:rsidRPr="00733194">
        <w:rPr>
          <w:rFonts w:ascii="Cambria" w:hAnsi="Cambria"/>
          <w:b/>
          <w:bCs/>
          <w:lang w:eastAsia="en-US"/>
        </w:rPr>
        <w:tab/>
      </w:r>
      <w:bookmarkEnd w:id="85"/>
      <w:bookmarkEnd w:id="86"/>
      <w:bookmarkEnd w:id="87"/>
      <w:bookmarkEnd w:id="88"/>
      <w:bookmarkEnd w:id="89"/>
      <w:bookmarkEnd w:id="90"/>
      <w:bookmarkEnd w:id="91"/>
      <w:bookmarkEnd w:id="92"/>
      <w:bookmarkEnd w:id="93"/>
      <w:bookmarkEnd w:id="94"/>
      <w:bookmarkEnd w:id="95"/>
      <w:bookmarkEnd w:id="96"/>
      <w:r w:rsidR="005141AE" w:rsidRPr="00733194">
        <w:rPr>
          <w:rFonts w:ascii="Cambria" w:hAnsi="Cambria"/>
          <w:b/>
          <w:bCs/>
          <w:lang w:eastAsia="en-US"/>
        </w:rPr>
        <w:t>R</w:t>
      </w:r>
      <w:r w:rsidR="002D2B3E">
        <w:rPr>
          <w:rFonts w:ascii="Cambria" w:hAnsi="Cambria"/>
          <w:b/>
          <w:bCs/>
          <w:lang w:eastAsia="en-US"/>
        </w:rPr>
        <w:t>egulatory requirements</w:t>
      </w:r>
      <w:bookmarkStart w:id="104" w:name="_Toc434326744"/>
      <w:bookmarkStart w:id="105" w:name="_Toc435720043"/>
      <w:bookmarkStart w:id="106" w:name="_Toc445885371"/>
      <w:bookmarkStart w:id="107" w:name="_Toc445885546"/>
      <w:bookmarkStart w:id="108" w:name="_Toc448423040"/>
      <w:bookmarkStart w:id="109" w:name="_Toc448507404"/>
      <w:bookmarkStart w:id="110" w:name="_Toc454521713"/>
      <w:bookmarkStart w:id="111" w:name="_Toc454522456"/>
      <w:bookmarkStart w:id="112" w:name="_Toc454548015"/>
      <w:bookmarkStart w:id="113" w:name="_Toc454548300"/>
      <w:bookmarkStart w:id="114" w:name="_Toc454550241"/>
      <w:bookmarkStart w:id="115" w:name="_Toc455500990"/>
      <w:bookmarkStart w:id="116" w:name="_Toc455504954"/>
      <w:bookmarkStart w:id="117" w:name="_Toc459993809"/>
      <w:bookmarkStart w:id="118" w:name="_Toc434326746"/>
      <w:bookmarkStart w:id="119" w:name="_Toc435720042"/>
      <w:bookmarkStart w:id="120" w:name="_Toc445885370"/>
      <w:bookmarkStart w:id="121" w:name="_Toc445885545"/>
      <w:bookmarkStart w:id="122" w:name="_Toc448423039"/>
      <w:bookmarkStart w:id="123" w:name="_Toc448507403"/>
      <w:bookmarkStart w:id="124" w:name="_Toc454521712"/>
      <w:bookmarkStart w:id="125" w:name="_Toc454522455"/>
      <w:bookmarkStart w:id="126" w:name="_Toc454548014"/>
      <w:bookmarkStart w:id="127" w:name="_Toc454548299"/>
      <w:bookmarkStart w:id="128" w:name="_Toc454550240"/>
      <w:bookmarkStart w:id="129" w:name="_Toc455500989"/>
      <w:bookmarkStart w:id="130" w:name="_Toc455504953"/>
      <w:bookmarkStart w:id="131" w:name="_Toc459993808"/>
      <w:bookmarkEnd w:id="97"/>
      <w:bookmarkEnd w:id="98"/>
      <w:bookmarkEnd w:id="99"/>
      <w:bookmarkEnd w:id="100"/>
      <w:bookmarkEnd w:id="101"/>
    </w:p>
    <w:p w14:paraId="652862A8" w14:textId="0302427D" w:rsidR="00203F08" w:rsidRPr="001626F1" w:rsidRDefault="00F26A8B" w:rsidP="000E1CC7">
      <w:pPr>
        <w:spacing w:line="276" w:lineRule="auto"/>
      </w:pPr>
      <w:r w:rsidRPr="00D8766F">
        <w:rPr>
          <w:rFonts w:ascii="Calibri" w:hAnsi="Calibri"/>
          <w:sz w:val="22"/>
          <w:szCs w:val="22"/>
        </w:rPr>
        <w:t xml:space="preserve">This </w:t>
      </w:r>
      <w:r w:rsidR="00E20160">
        <w:rPr>
          <w:rFonts w:ascii="Calibri" w:hAnsi="Calibri"/>
          <w:sz w:val="22"/>
          <w:szCs w:val="22"/>
        </w:rPr>
        <w:t>P</w:t>
      </w:r>
      <w:r w:rsidR="00F46E57" w:rsidRPr="00D8766F">
        <w:rPr>
          <w:rFonts w:ascii="Calibri" w:hAnsi="Calibri"/>
          <w:sz w:val="22"/>
          <w:szCs w:val="22"/>
        </w:rPr>
        <w:t>art</w:t>
      </w:r>
      <w:r w:rsidR="000C6A2A" w:rsidRPr="00D8766F">
        <w:rPr>
          <w:rFonts w:ascii="Calibri" w:hAnsi="Calibri"/>
          <w:sz w:val="22"/>
          <w:szCs w:val="22"/>
        </w:rPr>
        <w:t xml:space="preserve"> outlines the </w:t>
      </w:r>
      <w:r w:rsidR="00A24A51" w:rsidRPr="00D8766F">
        <w:rPr>
          <w:rFonts w:ascii="Calibri" w:hAnsi="Calibri"/>
          <w:sz w:val="22"/>
          <w:szCs w:val="22"/>
        </w:rPr>
        <w:t xml:space="preserve">regulatory approvals that must </w:t>
      </w:r>
      <w:r w:rsidR="00E20160">
        <w:rPr>
          <w:rFonts w:ascii="Calibri" w:hAnsi="Calibri"/>
          <w:sz w:val="22"/>
          <w:szCs w:val="22"/>
        </w:rPr>
        <w:t>be sought to decommission infrastructure</w:t>
      </w:r>
      <w:r w:rsidR="00A24A51" w:rsidRPr="00D8766F">
        <w:rPr>
          <w:rFonts w:ascii="Calibri" w:hAnsi="Calibri"/>
          <w:sz w:val="22"/>
          <w:szCs w:val="22"/>
        </w:rPr>
        <w:t>.</w:t>
      </w:r>
      <w:r w:rsidR="008D3984" w:rsidRPr="00D8766F">
        <w:rPr>
          <w:rFonts w:ascii="Calibri" w:hAnsi="Calibri"/>
          <w:sz w:val="22"/>
          <w:szCs w:val="22"/>
        </w:rPr>
        <w:t xml:space="preserve"> </w:t>
      </w:r>
      <w:r w:rsidR="000E1CC7">
        <w:rPr>
          <w:rFonts w:ascii="Calibri" w:hAnsi="Calibri"/>
          <w:sz w:val="22"/>
          <w:szCs w:val="22"/>
        </w:rPr>
        <w:t>A</w:t>
      </w:r>
      <w:r w:rsidR="00F46E57" w:rsidRPr="00D8766F" w:rsidDel="008F2ACF">
        <w:rPr>
          <w:rFonts w:ascii="Calibri" w:hAnsi="Calibri"/>
          <w:sz w:val="22"/>
          <w:szCs w:val="22"/>
        </w:rPr>
        <w:t xml:space="preserve"> </w:t>
      </w:r>
      <w:r w:rsidR="000E1CC7">
        <w:rPr>
          <w:rFonts w:ascii="Calibri" w:hAnsi="Calibri"/>
          <w:sz w:val="22"/>
          <w:szCs w:val="22"/>
        </w:rPr>
        <w:t xml:space="preserve">flowchart outlining these </w:t>
      </w:r>
      <w:r w:rsidR="00F46E57" w:rsidRPr="00D8766F" w:rsidDel="008F2ACF">
        <w:rPr>
          <w:rFonts w:ascii="Calibri" w:hAnsi="Calibri"/>
          <w:sz w:val="22"/>
          <w:szCs w:val="22"/>
        </w:rPr>
        <w:t>approvals process</w:t>
      </w:r>
      <w:r w:rsidR="000E1CC7">
        <w:rPr>
          <w:rFonts w:ascii="Calibri" w:hAnsi="Calibri"/>
          <w:sz w:val="22"/>
          <w:szCs w:val="22"/>
        </w:rPr>
        <w:t>es</w:t>
      </w:r>
      <w:r w:rsidR="00F46E57" w:rsidRPr="00D8766F" w:rsidDel="008F2ACF">
        <w:rPr>
          <w:rFonts w:ascii="Calibri" w:hAnsi="Calibri"/>
          <w:sz w:val="22"/>
          <w:szCs w:val="22"/>
        </w:rPr>
        <w:t xml:space="preserve"> is </w:t>
      </w:r>
      <w:r w:rsidR="008D3984" w:rsidRPr="00D8766F" w:rsidDel="008F2ACF">
        <w:rPr>
          <w:rFonts w:ascii="Calibri" w:hAnsi="Calibri"/>
          <w:sz w:val="22"/>
          <w:szCs w:val="22"/>
        </w:rPr>
        <w:t xml:space="preserve">also </w:t>
      </w:r>
      <w:r w:rsidR="00F46E57" w:rsidRPr="00D8766F" w:rsidDel="008F2ACF">
        <w:rPr>
          <w:rFonts w:ascii="Calibri" w:hAnsi="Calibri"/>
          <w:sz w:val="22"/>
          <w:szCs w:val="22"/>
        </w:rPr>
        <w:t xml:space="preserve">included for reference in </w:t>
      </w:r>
      <w:hyperlink w:anchor="_Annex_1:_Approvals" w:tooltip="Annex 1" w:history="1">
        <w:r w:rsidR="00F46E57" w:rsidRPr="00FE7968" w:rsidDel="008F2ACF">
          <w:rPr>
            <w:rStyle w:val="Hyperlink"/>
            <w:rFonts w:ascii="Calibri" w:hAnsi="Calibri"/>
            <w:sz w:val="22"/>
            <w:szCs w:val="22"/>
          </w:rPr>
          <w:t>Annex 1.</w:t>
        </w:r>
      </w:hyperlink>
    </w:p>
    <w:p w14:paraId="5D6D3C8C" w14:textId="5CC13896" w:rsidR="005141AE" w:rsidRPr="00D404DC" w:rsidRDefault="004F19AC" w:rsidP="00125D28">
      <w:pPr>
        <w:pStyle w:val="Heading2"/>
        <w:tabs>
          <w:tab w:val="left" w:pos="709"/>
        </w:tabs>
        <w:ind w:left="709" w:hanging="709"/>
      </w:pPr>
      <w:bookmarkStart w:id="132" w:name="_Toc460246206"/>
      <w:bookmarkStart w:id="133" w:name="_Toc460260006"/>
      <w:bookmarkStart w:id="134" w:name="_Toc460341779"/>
      <w:bookmarkStart w:id="135" w:name="_Toc460421916"/>
      <w:bookmarkStart w:id="136" w:name="_Toc461973095"/>
      <w:bookmarkStart w:id="137" w:name="_Toc464748037"/>
      <w:bookmarkStart w:id="138" w:name="_Toc475055283"/>
      <w:bookmarkStart w:id="139" w:name="_Toc475358935"/>
      <w:bookmarkStart w:id="140" w:name="_Toc479770964"/>
      <w:bookmarkStart w:id="141" w:name="_Toc479778735"/>
      <w:bookmarkStart w:id="142" w:name="_Toc479845251"/>
      <w:bookmarkStart w:id="143" w:name="_Toc482364337"/>
      <w:bookmarkStart w:id="144" w:name="_Toc486939241"/>
      <w:bookmarkStart w:id="145" w:name="_Toc486939314"/>
      <w:bookmarkStart w:id="146" w:name="_Toc486949864"/>
      <w:bookmarkStart w:id="147" w:name="_Toc486950225"/>
      <w:bookmarkStart w:id="148" w:name="_Toc486956423"/>
      <w:bookmarkStart w:id="149" w:name="_Toc489460736"/>
      <w:bookmarkStart w:id="150" w:name="_Toc489460844"/>
      <w:r>
        <w:t>4</w:t>
      </w:r>
      <w:r w:rsidR="001723F8" w:rsidRPr="00D404DC">
        <w:t>.1</w:t>
      </w:r>
      <w:r w:rsidR="001723F8" w:rsidRPr="00D404DC">
        <w:tab/>
      </w:r>
      <w:r w:rsidR="002D2B3E">
        <w:t xml:space="preserve">Approvals from the </w:t>
      </w:r>
      <w:r w:rsidR="005141AE" w:rsidRPr="00D404DC">
        <w:t>National Offshore Petroleum Safety and Environmental Management Authorit</w:t>
      </w:r>
      <w:bookmarkEnd w:id="104"/>
      <w:bookmarkEnd w:id="105"/>
      <w:bookmarkEnd w:id="106"/>
      <w:bookmarkEnd w:id="107"/>
      <w:r w:rsidR="005141AE" w:rsidRPr="00D404DC">
        <w:t>y</w:t>
      </w:r>
      <w:bookmarkEnd w:id="108"/>
      <w:bookmarkEnd w:id="109"/>
      <w:bookmarkEnd w:id="110"/>
      <w:bookmarkEnd w:id="111"/>
      <w:bookmarkEnd w:id="112"/>
      <w:bookmarkEnd w:id="113"/>
      <w:bookmarkEnd w:id="114"/>
      <w:bookmarkEnd w:id="115"/>
      <w:bookmarkEnd w:id="116"/>
      <w:bookmarkEnd w:id="11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29C3E8A" w14:textId="3D1F5E54" w:rsidR="002E67D8" w:rsidRDefault="00E02041" w:rsidP="000E1CC7">
      <w:pPr>
        <w:spacing w:before="120" w:after="120" w:line="276" w:lineRule="auto"/>
        <w:rPr>
          <w:rFonts w:ascii="Calibri" w:hAnsi="Calibri"/>
          <w:sz w:val="22"/>
          <w:szCs w:val="22"/>
        </w:rPr>
      </w:pPr>
      <w:r w:rsidRPr="00E544FE">
        <w:rPr>
          <w:rFonts w:ascii="Calibri" w:hAnsi="Calibri"/>
          <w:sz w:val="22"/>
          <w:szCs w:val="22"/>
        </w:rPr>
        <w:t xml:space="preserve">NOPSEMA </w:t>
      </w:r>
      <w:r w:rsidR="002E67D8">
        <w:rPr>
          <w:rFonts w:ascii="Calibri" w:hAnsi="Calibri"/>
          <w:sz w:val="22"/>
          <w:szCs w:val="22"/>
        </w:rPr>
        <w:t xml:space="preserve">is the independent </w:t>
      </w:r>
      <w:r w:rsidR="00F93551">
        <w:rPr>
          <w:rFonts w:ascii="Calibri" w:hAnsi="Calibri"/>
          <w:sz w:val="22"/>
          <w:szCs w:val="22"/>
        </w:rPr>
        <w:t>regulator</w:t>
      </w:r>
      <w:r w:rsidR="002E67D8">
        <w:rPr>
          <w:rFonts w:ascii="Calibri" w:hAnsi="Calibri"/>
          <w:sz w:val="22"/>
          <w:szCs w:val="22"/>
        </w:rPr>
        <w:t xml:space="preserve"> for safety, well integrity and environmental management for offshore petroleum activities, including decommissioning</w:t>
      </w:r>
      <w:r w:rsidR="00A4093D">
        <w:rPr>
          <w:rFonts w:ascii="Calibri" w:hAnsi="Calibri"/>
          <w:sz w:val="22"/>
          <w:szCs w:val="22"/>
        </w:rPr>
        <w:t xml:space="preserve">. </w:t>
      </w:r>
      <w:r w:rsidR="002E67D8">
        <w:rPr>
          <w:rFonts w:ascii="Calibri" w:hAnsi="Calibri"/>
          <w:sz w:val="22"/>
          <w:szCs w:val="22"/>
        </w:rPr>
        <w:t xml:space="preserve">NOPSEMA assesses duty holders’ </w:t>
      </w:r>
      <w:proofErr w:type="spellStart"/>
      <w:r w:rsidR="002E67D8">
        <w:rPr>
          <w:rFonts w:ascii="Calibri" w:hAnsi="Calibri"/>
          <w:sz w:val="22"/>
          <w:szCs w:val="22"/>
        </w:rPr>
        <w:t>permissioning</w:t>
      </w:r>
      <w:proofErr w:type="spellEnd"/>
      <w:r w:rsidR="002E67D8">
        <w:rPr>
          <w:rFonts w:ascii="Calibri" w:hAnsi="Calibri"/>
          <w:sz w:val="22"/>
          <w:szCs w:val="22"/>
        </w:rPr>
        <w:t xml:space="preserve"> documents, to determine whether safety, environmental and well integrity risks have been appropriately identified and will be managed to levels that are as low as reasonably practicable (ALARP)</w:t>
      </w:r>
      <w:r w:rsidR="007B0974">
        <w:rPr>
          <w:rStyle w:val="FootnoteReference"/>
          <w:rFonts w:asciiTheme="minorHAnsi" w:hAnsiTheme="minorHAnsi"/>
          <w:sz w:val="22"/>
          <w:szCs w:val="22"/>
        </w:rPr>
        <w:footnoteReference w:id="9"/>
      </w:r>
      <w:r w:rsidR="002E67D8">
        <w:rPr>
          <w:rFonts w:ascii="Calibri" w:hAnsi="Calibri"/>
          <w:sz w:val="22"/>
          <w:szCs w:val="22"/>
        </w:rPr>
        <w:t xml:space="preserve"> and, in the case of environmental risks, levels that are acceptable. NOPSEMA monitors and enforces compliance with </w:t>
      </w:r>
      <w:r w:rsidR="008D3984">
        <w:rPr>
          <w:rFonts w:ascii="Calibri" w:hAnsi="Calibri"/>
          <w:sz w:val="22"/>
          <w:szCs w:val="22"/>
        </w:rPr>
        <w:t>regulatory</w:t>
      </w:r>
      <w:r w:rsidR="002E67D8">
        <w:rPr>
          <w:rFonts w:ascii="Calibri" w:hAnsi="Calibri"/>
          <w:sz w:val="22"/>
          <w:szCs w:val="22"/>
        </w:rPr>
        <w:t xml:space="preserve"> req</w:t>
      </w:r>
      <w:r w:rsidR="008D3984">
        <w:rPr>
          <w:rFonts w:ascii="Calibri" w:hAnsi="Calibri"/>
          <w:sz w:val="22"/>
          <w:szCs w:val="22"/>
        </w:rPr>
        <w:t>uirements through implementing</w:t>
      </w:r>
      <w:r w:rsidR="002E67D8">
        <w:rPr>
          <w:rFonts w:ascii="Calibri" w:hAnsi="Calibri"/>
          <w:sz w:val="22"/>
          <w:szCs w:val="22"/>
        </w:rPr>
        <w:t xml:space="preserve"> its compliance strategy</w:t>
      </w:r>
      <w:r w:rsidR="00A4093D">
        <w:rPr>
          <w:rFonts w:ascii="Calibri" w:hAnsi="Calibri"/>
          <w:sz w:val="22"/>
          <w:szCs w:val="22"/>
        </w:rPr>
        <w:t xml:space="preserve">. </w:t>
      </w:r>
    </w:p>
    <w:p w14:paraId="7B018DB1" w14:textId="093DE7FD" w:rsidR="002E67D8" w:rsidRPr="00E544FE" w:rsidRDefault="002E67D8" w:rsidP="000E1CC7">
      <w:pPr>
        <w:spacing w:before="120" w:after="120" w:line="276" w:lineRule="auto"/>
        <w:rPr>
          <w:rFonts w:ascii="Calibri" w:hAnsi="Calibri"/>
          <w:sz w:val="22"/>
          <w:szCs w:val="22"/>
        </w:rPr>
      </w:pPr>
      <w:r>
        <w:rPr>
          <w:rFonts w:ascii="Calibri" w:hAnsi="Calibri"/>
          <w:sz w:val="22"/>
          <w:szCs w:val="22"/>
        </w:rPr>
        <w:t xml:space="preserve">It is an offence to undertake offshore petroleum </w:t>
      </w:r>
      <w:r w:rsidR="002D2B3E">
        <w:rPr>
          <w:rFonts w:ascii="Calibri" w:hAnsi="Calibri"/>
          <w:sz w:val="22"/>
          <w:szCs w:val="22"/>
        </w:rPr>
        <w:t>activities</w:t>
      </w:r>
      <w:r>
        <w:rPr>
          <w:rFonts w:ascii="Calibri" w:hAnsi="Calibri"/>
          <w:sz w:val="22"/>
          <w:szCs w:val="22"/>
        </w:rPr>
        <w:t xml:space="preserve"> (including decommissioning) </w:t>
      </w:r>
      <w:r w:rsidRPr="00E544FE">
        <w:rPr>
          <w:rFonts w:ascii="Calibri" w:hAnsi="Calibri"/>
          <w:sz w:val="22"/>
          <w:szCs w:val="22"/>
        </w:rPr>
        <w:t xml:space="preserve">in Commonwealth waters without </w:t>
      </w:r>
      <w:r w:rsidR="002D2B3E">
        <w:rPr>
          <w:rFonts w:ascii="Calibri" w:hAnsi="Calibri"/>
          <w:sz w:val="22"/>
          <w:szCs w:val="22"/>
        </w:rPr>
        <w:t>relevant</w:t>
      </w:r>
      <w:r w:rsidR="002D2B3E" w:rsidRPr="00E544FE">
        <w:rPr>
          <w:rFonts w:ascii="Calibri" w:hAnsi="Calibri"/>
          <w:sz w:val="22"/>
          <w:szCs w:val="22"/>
        </w:rPr>
        <w:t xml:space="preserve"> </w:t>
      </w:r>
      <w:proofErr w:type="spellStart"/>
      <w:r>
        <w:rPr>
          <w:rFonts w:ascii="Calibri" w:hAnsi="Calibri"/>
          <w:sz w:val="22"/>
          <w:szCs w:val="22"/>
        </w:rPr>
        <w:t>permissioning</w:t>
      </w:r>
      <w:proofErr w:type="spellEnd"/>
      <w:r>
        <w:rPr>
          <w:rFonts w:ascii="Calibri" w:hAnsi="Calibri"/>
          <w:sz w:val="22"/>
          <w:szCs w:val="22"/>
        </w:rPr>
        <w:t xml:space="preserve"> documents</w:t>
      </w:r>
      <w:r w:rsidRPr="00E544FE">
        <w:rPr>
          <w:rFonts w:ascii="Calibri" w:hAnsi="Calibri"/>
          <w:sz w:val="22"/>
          <w:szCs w:val="22"/>
        </w:rPr>
        <w:t xml:space="preserve"> (including a </w:t>
      </w:r>
      <w:hyperlink w:anchor="Safety_Case" w:tooltip="safety case" w:history="1">
        <w:r w:rsidRPr="00E544FE">
          <w:rPr>
            <w:rStyle w:val="Hyperlink"/>
            <w:rFonts w:ascii="Calibri" w:hAnsi="Calibri"/>
            <w:sz w:val="22"/>
            <w:szCs w:val="22"/>
          </w:rPr>
          <w:t>safety case</w:t>
        </w:r>
      </w:hyperlink>
      <w:r w:rsidRPr="00E544FE">
        <w:rPr>
          <w:rFonts w:ascii="Calibri" w:hAnsi="Calibri"/>
          <w:sz w:val="22"/>
          <w:szCs w:val="22"/>
        </w:rPr>
        <w:t xml:space="preserve">, </w:t>
      </w:r>
      <w:hyperlink w:anchor="Environment_Plan" w:tooltip="environment plan" w:history="1">
        <w:r w:rsidRPr="00E544FE">
          <w:rPr>
            <w:rStyle w:val="Hyperlink"/>
            <w:rFonts w:ascii="Calibri" w:hAnsi="Calibri"/>
            <w:sz w:val="22"/>
            <w:szCs w:val="22"/>
          </w:rPr>
          <w:t>environment plan</w:t>
        </w:r>
      </w:hyperlink>
      <w:r w:rsidRPr="00E544FE">
        <w:rPr>
          <w:rFonts w:ascii="Calibri" w:hAnsi="Calibri"/>
          <w:sz w:val="22"/>
          <w:szCs w:val="22"/>
        </w:rPr>
        <w:t xml:space="preserve"> and </w:t>
      </w:r>
      <w:hyperlink w:anchor="Well_operations" w:tooltip="WOMP" w:history="1">
        <w:r w:rsidRPr="0035262F">
          <w:rPr>
            <w:rStyle w:val="Hyperlink"/>
            <w:rFonts w:ascii="Calibri" w:hAnsi="Calibri"/>
            <w:sz w:val="22"/>
            <w:szCs w:val="22"/>
          </w:rPr>
          <w:t>WOMP</w:t>
        </w:r>
      </w:hyperlink>
      <w:r w:rsidRPr="00E544FE">
        <w:rPr>
          <w:rFonts w:ascii="Calibri" w:hAnsi="Calibri"/>
          <w:sz w:val="22"/>
          <w:szCs w:val="22"/>
        </w:rPr>
        <w:t>, as applicable) in force</w:t>
      </w:r>
      <w:r w:rsidR="0022761C">
        <w:rPr>
          <w:rFonts w:ascii="Calibri" w:hAnsi="Calibri"/>
          <w:sz w:val="22"/>
          <w:szCs w:val="22"/>
        </w:rPr>
        <w:t xml:space="preserve">. </w:t>
      </w:r>
      <w:r w:rsidRPr="00E544FE">
        <w:rPr>
          <w:rFonts w:ascii="Calibri" w:hAnsi="Calibri"/>
          <w:sz w:val="22"/>
          <w:szCs w:val="22"/>
        </w:rPr>
        <w:t xml:space="preserve">New or revised </w:t>
      </w:r>
      <w:r>
        <w:rPr>
          <w:rFonts w:ascii="Calibri" w:hAnsi="Calibri"/>
          <w:sz w:val="22"/>
          <w:szCs w:val="22"/>
        </w:rPr>
        <w:t>documents</w:t>
      </w:r>
      <w:r w:rsidRPr="00E544FE">
        <w:rPr>
          <w:rFonts w:ascii="Calibri" w:hAnsi="Calibri"/>
          <w:sz w:val="22"/>
          <w:szCs w:val="22"/>
        </w:rPr>
        <w:t xml:space="preserve"> submitted to NOPSEMA are assessed against the criteria set out in the OPGGS </w:t>
      </w:r>
      <w:r w:rsidR="002D2B3E">
        <w:rPr>
          <w:rFonts w:ascii="Calibri" w:hAnsi="Calibri"/>
          <w:sz w:val="22"/>
          <w:szCs w:val="22"/>
        </w:rPr>
        <w:t>r</w:t>
      </w:r>
      <w:r w:rsidRPr="00E544FE">
        <w:rPr>
          <w:rFonts w:ascii="Calibri" w:hAnsi="Calibri"/>
          <w:sz w:val="22"/>
          <w:szCs w:val="22"/>
        </w:rPr>
        <w:t>egulations</w:t>
      </w:r>
      <w:r w:rsidR="00A4093D">
        <w:rPr>
          <w:rFonts w:ascii="Calibri" w:hAnsi="Calibri"/>
          <w:sz w:val="22"/>
          <w:szCs w:val="22"/>
        </w:rPr>
        <w:t xml:space="preserve">. </w:t>
      </w:r>
    </w:p>
    <w:p w14:paraId="7A31FE2B" w14:textId="505446D0" w:rsidR="00426099" w:rsidRDefault="002D2B3E" w:rsidP="000E1CC7">
      <w:pPr>
        <w:spacing w:before="120" w:after="120" w:line="276" w:lineRule="auto"/>
        <w:rPr>
          <w:rFonts w:ascii="Calibri" w:hAnsi="Calibri"/>
          <w:sz w:val="22"/>
          <w:szCs w:val="22"/>
        </w:rPr>
      </w:pPr>
      <w:r w:rsidRPr="002D2B3E">
        <w:rPr>
          <w:b/>
          <w:noProof/>
          <w:sz w:val="20"/>
          <w:szCs w:val="20"/>
        </w:rPr>
        <mc:AlternateContent>
          <mc:Choice Requires="wps">
            <w:drawing>
              <wp:anchor distT="45720" distB="45720" distL="114300" distR="114300" simplePos="0" relativeHeight="251658253" behindDoc="0" locked="0" layoutInCell="1" allowOverlap="1" wp14:anchorId="1740599F" wp14:editId="1C6438C7">
                <wp:simplePos x="0" y="0"/>
                <wp:positionH relativeFrom="margin">
                  <wp:posOffset>-21590</wp:posOffset>
                </wp:positionH>
                <wp:positionV relativeFrom="paragraph">
                  <wp:posOffset>1236980</wp:posOffset>
                </wp:positionV>
                <wp:extent cx="5728970" cy="581025"/>
                <wp:effectExtent l="0" t="0" r="24130"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581025"/>
                        </a:xfrm>
                        <a:prstGeom prst="rect">
                          <a:avLst/>
                        </a:prstGeom>
                        <a:solidFill>
                          <a:schemeClr val="accent1">
                            <a:lumMod val="20000"/>
                            <a:lumOff val="80000"/>
                          </a:schemeClr>
                        </a:solidFill>
                        <a:ln w="9525">
                          <a:solidFill>
                            <a:schemeClr val="tx1"/>
                          </a:solidFill>
                          <a:miter lim="800000"/>
                          <a:headEnd/>
                          <a:tailEnd/>
                        </a:ln>
                      </wps:spPr>
                      <wps:txbx>
                        <w:txbxContent>
                          <w:p w14:paraId="463806F6" w14:textId="6CBB8B02" w:rsidR="00934F2F" w:rsidRPr="00D33EA8" w:rsidRDefault="00934F2F" w:rsidP="00E02041">
                            <w:pPr>
                              <w:spacing w:before="120" w:after="120" w:line="276" w:lineRule="auto"/>
                              <w:rPr>
                                <w:rFonts w:asciiTheme="minorHAnsi" w:hAnsiTheme="minorHAnsi"/>
                                <w:sz w:val="22"/>
                                <w:szCs w:val="22"/>
                              </w:rPr>
                            </w:pPr>
                            <w:r>
                              <w:rPr>
                                <w:rFonts w:asciiTheme="minorHAnsi" w:hAnsiTheme="minorHAnsi"/>
                                <w:sz w:val="22"/>
                                <w:szCs w:val="22"/>
                              </w:rPr>
                              <w:t xml:space="preserve">Further information about NOPSEMA, </w:t>
                            </w:r>
                            <w:r w:rsidRPr="009564AD">
                              <w:rPr>
                                <w:rFonts w:asciiTheme="minorHAnsi" w:hAnsiTheme="minorHAnsi"/>
                                <w:sz w:val="22"/>
                                <w:szCs w:val="22"/>
                              </w:rPr>
                              <w:t xml:space="preserve">as well </w:t>
                            </w:r>
                            <w:r>
                              <w:rPr>
                                <w:rFonts w:asciiTheme="minorHAnsi" w:hAnsiTheme="minorHAnsi"/>
                                <w:sz w:val="22"/>
                                <w:szCs w:val="22"/>
                              </w:rPr>
                              <w:t>as additional guidance on regulatory obligations and approvals processes, is</w:t>
                            </w:r>
                            <w:r w:rsidRPr="001723F8">
                              <w:rPr>
                                <w:rFonts w:asciiTheme="minorHAnsi" w:hAnsiTheme="minorHAnsi"/>
                                <w:sz w:val="22"/>
                                <w:szCs w:val="22"/>
                              </w:rPr>
                              <w:t xml:space="preserve"> available on the </w:t>
                            </w:r>
                            <w:hyperlink r:id="rId24" w:tooltip="http://www.nopsema.gov.au/" w:history="1">
                              <w:r w:rsidRPr="00B47B9C">
                                <w:rPr>
                                  <w:rStyle w:val="Hyperlink"/>
                                  <w:rFonts w:asciiTheme="minorHAnsi" w:hAnsiTheme="minorHAnsi"/>
                                  <w:sz w:val="22"/>
                                  <w:szCs w:val="22"/>
                                </w:rPr>
                                <w:t>NOPSEMA website</w:t>
                              </w:r>
                            </w:hyperlink>
                            <w:r>
                              <w:rPr>
                                <w:rFonts w:asciiTheme="minorHAnsi" w:hAnsiTheme="minorHAnsi"/>
                                <w:sz w:val="22"/>
                                <w:szCs w:val="22"/>
                              </w:rPr>
                              <w:t>.</w:t>
                            </w:r>
                          </w:p>
                          <w:p w14:paraId="6E6FEF8B" w14:textId="77777777" w:rsidR="00934F2F" w:rsidRDefault="00934F2F" w:rsidP="00E02041">
                            <w:pPr>
                              <w:pStyle w:val="ListParagraph"/>
                              <w:spacing w:before="120" w:after="120"/>
                              <w:ind w:left="0"/>
                            </w:pPr>
                          </w:p>
                          <w:p w14:paraId="5745A214" w14:textId="77777777" w:rsidR="00934F2F" w:rsidRDefault="00934F2F" w:rsidP="00E02041">
                            <w:pPr>
                              <w:pStyle w:val="ListParagraph"/>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40599F" id="_x0000_s1027" type="#_x0000_t202" style="position:absolute;margin-left:-1.7pt;margin-top:97.4pt;width:451.1pt;height:45.75pt;z-index:25165825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" fillcolor="#deeaf6 [660]" strokecolor="black [3213]">
                <v:textbox>
                  <w:txbxContent>
                    <w:p w14:paraId="463806F6" w14:textId="6CBB8B02" w:rsidR="00934F2F" w:rsidRPr="00D33EA8" w:rsidRDefault="00934F2F" w:rsidP="00E02041">
                      <w:pPr>
                        <w:spacing w:before="120" w:after="120" w:line="276" w:lineRule="auto"/>
                        <w:rPr>
                          <w:rFonts w:asciiTheme="minorHAnsi" w:hAnsiTheme="minorHAnsi"/>
                          <w:sz w:val="22"/>
                          <w:szCs w:val="22"/>
                        </w:rPr>
                      </w:pPr>
                      <w:r>
                        <w:rPr>
                          <w:rFonts w:asciiTheme="minorHAnsi" w:hAnsiTheme="minorHAnsi"/>
                          <w:sz w:val="22"/>
                          <w:szCs w:val="22"/>
                        </w:rPr>
                        <w:t xml:space="preserve">Further information about NOPSEMA, </w:t>
                      </w:r>
                      <w:r w:rsidRPr="009564AD">
                        <w:rPr>
                          <w:rFonts w:asciiTheme="minorHAnsi" w:hAnsiTheme="minorHAnsi"/>
                          <w:sz w:val="22"/>
                          <w:szCs w:val="22"/>
                        </w:rPr>
                        <w:t xml:space="preserve">as well </w:t>
                      </w:r>
                      <w:r>
                        <w:rPr>
                          <w:rFonts w:asciiTheme="minorHAnsi" w:hAnsiTheme="minorHAnsi"/>
                          <w:sz w:val="22"/>
                          <w:szCs w:val="22"/>
                        </w:rPr>
                        <w:t>as additional guidance on regulatory obligations and approvals processes, is</w:t>
                      </w:r>
                      <w:r w:rsidRPr="001723F8">
                        <w:rPr>
                          <w:rFonts w:asciiTheme="minorHAnsi" w:hAnsiTheme="minorHAnsi"/>
                          <w:sz w:val="22"/>
                          <w:szCs w:val="22"/>
                        </w:rPr>
                        <w:t xml:space="preserve"> available on the </w:t>
                      </w:r>
                      <w:hyperlink r:id="rId25" w:tooltip="http://www.nopsema.gov.au/" w:history="1">
                        <w:r w:rsidRPr="00B47B9C">
                          <w:rPr>
                            <w:rStyle w:val="Hyperlink"/>
                            <w:rFonts w:asciiTheme="minorHAnsi" w:hAnsiTheme="minorHAnsi"/>
                            <w:sz w:val="22"/>
                            <w:szCs w:val="22"/>
                          </w:rPr>
                          <w:t>NOPSEMA website</w:t>
                        </w:r>
                      </w:hyperlink>
                      <w:r>
                        <w:rPr>
                          <w:rFonts w:asciiTheme="minorHAnsi" w:hAnsiTheme="minorHAnsi"/>
                          <w:sz w:val="22"/>
                          <w:szCs w:val="22"/>
                        </w:rPr>
                        <w:t>.</w:t>
                      </w:r>
                    </w:p>
                    <w:p w14:paraId="6E6FEF8B" w14:textId="77777777" w:rsidR="00934F2F" w:rsidRDefault="00934F2F" w:rsidP="00E02041">
                      <w:pPr>
                        <w:pStyle w:val="ListParagraph"/>
                        <w:spacing w:before="120" w:after="120"/>
                        <w:ind w:left="0"/>
                      </w:pPr>
                    </w:p>
                    <w:p w14:paraId="5745A214" w14:textId="77777777" w:rsidR="00934F2F" w:rsidRDefault="00934F2F" w:rsidP="00E02041">
                      <w:pPr>
                        <w:pStyle w:val="ListParagraph"/>
                        <w:spacing w:before="120" w:after="120"/>
                      </w:pPr>
                    </w:p>
                  </w:txbxContent>
                </v:textbox>
                <w10:wrap type="square" anchorx="margin"/>
              </v:shape>
            </w:pict>
          </mc:Fallback>
        </mc:AlternateContent>
      </w:r>
      <w:r w:rsidR="00426099" w:rsidRPr="002D2B3E">
        <w:rPr>
          <w:rFonts w:ascii="Calibri" w:hAnsi="Calibri"/>
          <w:sz w:val="22"/>
          <w:szCs w:val="22"/>
        </w:rPr>
        <w:t xml:space="preserve">As part </w:t>
      </w:r>
      <w:r w:rsidR="00D2714E" w:rsidRPr="002D2B3E">
        <w:rPr>
          <w:rFonts w:ascii="Calibri" w:hAnsi="Calibri"/>
          <w:sz w:val="22"/>
          <w:szCs w:val="22"/>
        </w:rPr>
        <w:t xml:space="preserve">of </w:t>
      </w:r>
      <w:r w:rsidR="0022761C" w:rsidRPr="002D2B3E">
        <w:rPr>
          <w:rFonts w:ascii="Calibri" w:hAnsi="Calibri"/>
          <w:sz w:val="22"/>
          <w:szCs w:val="22"/>
        </w:rPr>
        <w:t>its assessment and approval</w:t>
      </w:r>
      <w:r w:rsidR="00426099" w:rsidRPr="002D2B3E">
        <w:rPr>
          <w:rFonts w:ascii="Calibri" w:hAnsi="Calibri"/>
          <w:sz w:val="22"/>
          <w:szCs w:val="22"/>
        </w:rPr>
        <w:t xml:space="preserve"> process</w:t>
      </w:r>
      <w:r w:rsidR="000C6A2A" w:rsidRPr="002D2B3E">
        <w:rPr>
          <w:rFonts w:ascii="Calibri" w:hAnsi="Calibri"/>
          <w:sz w:val="22"/>
          <w:szCs w:val="22"/>
        </w:rPr>
        <w:t>es</w:t>
      </w:r>
      <w:r w:rsidR="0022761C" w:rsidRPr="002D2B3E">
        <w:rPr>
          <w:rFonts w:ascii="Calibri" w:hAnsi="Calibri"/>
          <w:sz w:val="22"/>
          <w:szCs w:val="22"/>
        </w:rPr>
        <w:t>, NOPSEMA</w:t>
      </w:r>
      <w:r w:rsidR="00426099" w:rsidRPr="002D2B3E">
        <w:rPr>
          <w:rFonts w:ascii="Calibri" w:hAnsi="Calibri"/>
          <w:sz w:val="22"/>
          <w:szCs w:val="22"/>
        </w:rPr>
        <w:t xml:space="preserve"> consider</w:t>
      </w:r>
      <w:r w:rsidR="0022761C" w:rsidRPr="002D2B3E">
        <w:rPr>
          <w:rFonts w:ascii="Calibri" w:hAnsi="Calibri"/>
          <w:sz w:val="22"/>
          <w:szCs w:val="22"/>
        </w:rPr>
        <w:t>s</w:t>
      </w:r>
      <w:r w:rsidR="00426099" w:rsidRPr="002D2B3E">
        <w:rPr>
          <w:rFonts w:ascii="Calibri" w:hAnsi="Calibri"/>
          <w:sz w:val="22"/>
          <w:szCs w:val="22"/>
        </w:rPr>
        <w:t xml:space="preserve"> </w:t>
      </w:r>
      <w:r w:rsidR="0022761C" w:rsidRPr="002D2B3E">
        <w:rPr>
          <w:rFonts w:ascii="Calibri" w:hAnsi="Calibri"/>
          <w:sz w:val="22"/>
          <w:szCs w:val="22"/>
        </w:rPr>
        <w:t xml:space="preserve">proposed </w:t>
      </w:r>
      <w:r w:rsidR="00426099" w:rsidRPr="002D2B3E">
        <w:rPr>
          <w:rFonts w:ascii="Calibri" w:hAnsi="Calibri"/>
          <w:sz w:val="22"/>
          <w:szCs w:val="22"/>
        </w:rPr>
        <w:t>decommissioning approach</w:t>
      </w:r>
      <w:r w:rsidR="0022761C" w:rsidRPr="002D2B3E">
        <w:rPr>
          <w:rFonts w:ascii="Calibri" w:hAnsi="Calibri"/>
          <w:sz w:val="22"/>
          <w:szCs w:val="22"/>
        </w:rPr>
        <w:t>es</w:t>
      </w:r>
      <w:r w:rsidR="008D3984" w:rsidRPr="002D2B3E">
        <w:rPr>
          <w:rFonts w:ascii="Calibri" w:hAnsi="Calibri"/>
          <w:sz w:val="22"/>
          <w:szCs w:val="22"/>
        </w:rPr>
        <w:t xml:space="preserve">. </w:t>
      </w:r>
      <w:r w:rsidR="00BE56D9" w:rsidRPr="002D2B3E">
        <w:rPr>
          <w:rFonts w:ascii="Calibri" w:hAnsi="Calibri"/>
          <w:sz w:val="22"/>
          <w:szCs w:val="22"/>
        </w:rPr>
        <w:t xml:space="preserve">As outlined </w:t>
      </w:r>
      <w:r w:rsidR="000E1CC7">
        <w:rPr>
          <w:rFonts w:ascii="Calibri" w:hAnsi="Calibri"/>
          <w:sz w:val="22"/>
          <w:szCs w:val="22"/>
        </w:rPr>
        <w:t>above</w:t>
      </w:r>
      <w:r w:rsidR="00BE56D9" w:rsidRPr="002D2B3E">
        <w:rPr>
          <w:rFonts w:ascii="Calibri" w:hAnsi="Calibri"/>
          <w:sz w:val="22"/>
          <w:szCs w:val="22"/>
        </w:rPr>
        <w:t xml:space="preserve">, </w:t>
      </w:r>
      <w:r w:rsidR="00C66EC1">
        <w:rPr>
          <w:rFonts w:ascii="Calibri" w:hAnsi="Calibri"/>
          <w:sz w:val="22"/>
          <w:szCs w:val="22"/>
        </w:rPr>
        <w:t xml:space="preserve">complete </w:t>
      </w:r>
      <w:r w:rsidR="00BE56D9" w:rsidRPr="002D2B3E">
        <w:rPr>
          <w:rFonts w:ascii="Calibri" w:hAnsi="Calibri"/>
          <w:sz w:val="22"/>
          <w:szCs w:val="22"/>
        </w:rPr>
        <w:t>r</w:t>
      </w:r>
      <w:r w:rsidR="00426099" w:rsidRPr="002D2B3E">
        <w:rPr>
          <w:rFonts w:ascii="Calibri" w:hAnsi="Calibri"/>
          <w:sz w:val="22"/>
          <w:szCs w:val="22"/>
        </w:rPr>
        <w:t>emoval of infrastructure remains the</w:t>
      </w:r>
      <w:r w:rsidR="00E02041" w:rsidRPr="002D2B3E">
        <w:rPr>
          <w:rFonts w:ascii="Calibri" w:hAnsi="Calibri"/>
          <w:sz w:val="22"/>
          <w:szCs w:val="22"/>
        </w:rPr>
        <w:t xml:space="preserve"> decommissioning</w:t>
      </w:r>
      <w:r w:rsidR="00426099" w:rsidRPr="002D2B3E">
        <w:rPr>
          <w:rFonts w:ascii="Calibri" w:hAnsi="Calibri"/>
          <w:sz w:val="22"/>
          <w:szCs w:val="22"/>
        </w:rPr>
        <w:t xml:space="preserve"> ‘base case’</w:t>
      </w:r>
      <w:r w:rsidR="00C66EC1">
        <w:rPr>
          <w:rFonts w:ascii="Calibri" w:hAnsi="Calibri"/>
          <w:sz w:val="22"/>
          <w:szCs w:val="22"/>
        </w:rPr>
        <w:t xml:space="preserve"> and default legal obligation, consistent with UNCLOS and applicable international standards. Other options are considered only </w:t>
      </w:r>
      <w:r w:rsidR="00426099" w:rsidRPr="002D2B3E">
        <w:rPr>
          <w:rFonts w:ascii="Calibri" w:hAnsi="Calibri"/>
          <w:sz w:val="22"/>
          <w:szCs w:val="22"/>
        </w:rPr>
        <w:t>if the titleholder ca</w:t>
      </w:r>
      <w:r w:rsidR="00E02041" w:rsidRPr="001B0349">
        <w:rPr>
          <w:rFonts w:ascii="Calibri" w:hAnsi="Calibri"/>
          <w:sz w:val="22"/>
          <w:szCs w:val="22"/>
        </w:rPr>
        <w:t>n demonstrate the alternative approach</w:t>
      </w:r>
      <w:r w:rsidR="00426099" w:rsidRPr="00792F9D">
        <w:rPr>
          <w:rFonts w:ascii="Calibri" w:hAnsi="Calibri"/>
          <w:sz w:val="22"/>
          <w:szCs w:val="22"/>
        </w:rPr>
        <w:t xml:space="preserve"> meet</w:t>
      </w:r>
      <w:r w:rsidR="00E02041" w:rsidRPr="00792F9D">
        <w:rPr>
          <w:rFonts w:ascii="Calibri" w:hAnsi="Calibri"/>
          <w:sz w:val="22"/>
          <w:szCs w:val="22"/>
        </w:rPr>
        <w:t>s</w:t>
      </w:r>
      <w:r w:rsidR="00426099" w:rsidRPr="00CE79DF">
        <w:rPr>
          <w:rFonts w:ascii="Calibri" w:hAnsi="Calibri"/>
          <w:sz w:val="22"/>
          <w:szCs w:val="22"/>
        </w:rPr>
        <w:t xml:space="preserve"> all applicable </w:t>
      </w:r>
      <w:r w:rsidR="00E02041" w:rsidRPr="0029194B">
        <w:rPr>
          <w:rFonts w:ascii="Calibri" w:hAnsi="Calibri"/>
          <w:sz w:val="22"/>
          <w:szCs w:val="22"/>
        </w:rPr>
        <w:t>requi</w:t>
      </w:r>
      <w:r w:rsidR="00BE56D9" w:rsidRPr="0029194B">
        <w:rPr>
          <w:rFonts w:ascii="Calibri" w:hAnsi="Calibri"/>
          <w:sz w:val="22"/>
          <w:szCs w:val="22"/>
        </w:rPr>
        <w:t>rements under the OPGGS Act, the</w:t>
      </w:r>
      <w:r w:rsidR="00E02041" w:rsidRPr="0029194B">
        <w:rPr>
          <w:rFonts w:ascii="Calibri" w:hAnsi="Calibri"/>
          <w:sz w:val="22"/>
          <w:szCs w:val="22"/>
        </w:rPr>
        <w:t xml:space="preserve"> </w:t>
      </w:r>
      <w:r>
        <w:rPr>
          <w:rFonts w:ascii="Calibri" w:hAnsi="Calibri"/>
          <w:sz w:val="22"/>
          <w:szCs w:val="22"/>
        </w:rPr>
        <w:t>r</w:t>
      </w:r>
      <w:r w:rsidR="00E02041" w:rsidRPr="002D2B3E">
        <w:rPr>
          <w:rFonts w:ascii="Calibri" w:hAnsi="Calibri"/>
          <w:sz w:val="22"/>
          <w:szCs w:val="22"/>
        </w:rPr>
        <w:t>egulations</w:t>
      </w:r>
      <w:r w:rsidR="00426099" w:rsidRPr="002D2B3E">
        <w:rPr>
          <w:rFonts w:ascii="Calibri" w:hAnsi="Calibri"/>
          <w:sz w:val="22"/>
          <w:szCs w:val="22"/>
        </w:rPr>
        <w:t xml:space="preserve">, and other </w:t>
      </w:r>
      <w:r w:rsidR="00C313C8">
        <w:rPr>
          <w:rFonts w:ascii="Calibri" w:hAnsi="Calibri"/>
          <w:sz w:val="22"/>
          <w:szCs w:val="22"/>
        </w:rPr>
        <w:t>applicable laws</w:t>
      </w:r>
      <w:r w:rsidR="00426099" w:rsidRPr="002D2B3E">
        <w:rPr>
          <w:rFonts w:ascii="Calibri" w:hAnsi="Calibri"/>
          <w:sz w:val="22"/>
          <w:szCs w:val="22"/>
        </w:rPr>
        <w:t>.</w:t>
      </w:r>
      <w:r w:rsidR="00E02041">
        <w:rPr>
          <w:rFonts w:ascii="Calibri" w:hAnsi="Calibri"/>
          <w:sz w:val="22"/>
          <w:szCs w:val="22"/>
        </w:rPr>
        <w:t xml:space="preserve"> </w:t>
      </w:r>
    </w:p>
    <w:p w14:paraId="210322D8" w14:textId="60347AF0" w:rsidR="0061687A" w:rsidRPr="0061687A" w:rsidRDefault="00556F40" w:rsidP="00125D28">
      <w:pPr>
        <w:pStyle w:val="Heading3"/>
        <w:rPr>
          <w:rFonts w:ascii="Calibri" w:hAnsi="Calibri"/>
          <w:sz w:val="22"/>
          <w:szCs w:val="22"/>
        </w:rPr>
      </w:pPr>
      <w:bookmarkStart w:id="151" w:name="_Toc482364350"/>
      <w:bookmarkStart w:id="152" w:name="_Toc486939253"/>
      <w:bookmarkStart w:id="153" w:name="_Toc486939326"/>
      <w:bookmarkStart w:id="154" w:name="_Toc482364338"/>
      <w:r>
        <w:t>4</w:t>
      </w:r>
      <w:r w:rsidR="0061687A">
        <w:t>.1</w:t>
      </w:r>
      <w:r w:rsidR="0061687A" w:rsidRPr="00D404DC">
        <w:t>.1</w:t>
      </w:r>
      <w:r w:rsidR="0061687A" w:rsidRPr="00D404DC">
        <w:tab/>
      </w:r>
      <w:bookmarkEnd w:id="151"/>
      <w:bookmarkEnd w:id="152"/>
      <w:bookmarkEnd w:id="153"/>
      <w:r w:rsidR="0061687A">
        <w:t>Environmental management</w:t>
      </w:r>
    </w:p>
    <w:p w14:paraId="28A46F72" w14:textId="680C7C0D" w:rsidR="0061687A" w:rsidRPr="00227A4E" w:rsidRDefault="0061687A" w:rsidP="000E1CC7">
      <w:pPr>
        <w:spacing w:before="120" w:after="120" w:line="276" w:lineRule="auto"/>
        <w:rPr>
          <w:rFonts w:asciiTheme="minorHAnsi" w:hAnsiTheme="minorHAnsi"/>
          <w:sz w:val="22"/>
          <w:szCs w:val="22"/>
        </w:rPr>
      </w:pPr>
      <w:r w:rsidRPr="00227A4E">
        <w:rPr>
          <w:rFonts w:asciiTheme="minorHAnsi" w:hAnsiTheme="minorHAnsi"/>
          <w:sz w:val="22"/>
          <w:szCs w:val="22"/>
        </w:rPr>
        <w:t xml:space="preserve">Environmental management </w:t>
      </w:r>
      <w:r w:rsidR="000E1CC7" w:rsidRPr="00227A4E">
        <w:rPr>
          <w:rFonts w:asciiTheme="minorHAnsi" w:hAnsiTheme="minorHAnsi"/>
          <w:sz w:val="22"/>
          <w:szCs w:val="22"/>
        </w:rPr>
        <w:t xml:space="preserve">for </w:t>
      </w:r>
      <w:r w:rsidRPr="00227A4E">
        <w:rPr>
          <w:rFonts w:asciiTheme="minorHAnsi" w:hAnsiTheme="minorHAnsi"/>
          <w:sz w:val="22"/>
          <w:szCs w:val="22"/>
        </w:rPr>
        <w:t xml:space="preserve">petroleum activities </w:t>
      </w:r>
      <w:r w:rsidR="000E1CC7" w:rsidRPr="00227A4E">
        <w:rPr>
          <w:rFonts w:asciiTheme="minorHAnsi" w:hAnsiTheme="minorHAnsi"/>
          <w:sz w:val="22"/>
          <w:szCs w:val="22"/>
        </w:rPr>
        <w:t>is</w:t>
      </w:r>
      <w:r w:rsidRPr="00227A4E">
        <w:rPr>
          <w:rFonts w:asciiTheme="minorHAnsi" w:hAnsiTheme="minorHAnsi"/>
          <w:sz w:val="22"/>
          <w:szCs w:val="22"/>
        </w:rPr>
        <w:t xml:space="preserve"> regulated under the </w:t>
      </w:r>
      <w:hyperlink r:id="rId26" w:tooltip="https://www.legislation.gov.au/Details/F2015C00069" w:history="1">
        <w:r w:rsidR="00227A4E" w:rsidRPr="00227A4E">
          <w:rPr>
            <w:rStyle w:val="Hyperlink"/>
            <w:rFonts w:asciiTheme="minorHAnsi" w:hAnsiTheme="minorHAnsi"/>
            <w:i/>
            <w:sz w:val="22"/>
            <w:szCs w:val="22"/>
          </w:rPr>
          <w:t>Offshore Petroleum and Greenhouse Gas Storage (Environment) Regulations 2009</w:t>
        </w:r>
      </w:hyperlink>
      <w:r w:rsidR="00227A4E" w:rsidRPr="00227A4E">
        <w:rPr>
          <w:rFonts w:asciiTheme="minorHAnsi" w:hAnsiTheme="minorHAnsi"/>
          <w:sz w:val="22"/>
          <w:szCs w:val="22"/>
        </w:rPr>
        <w:t xml:space="preserve"> </w:t>
      </w:r>
      <w:r w:rsidRPr="00227A4E">
        <w:rPr>
          <w:rFonts w:asciiTheme="minorHAnsi" w:hAnsiTheme="minorHAnsi"/>
          <w:sz w:val="22"/>
          <w:szCs w:val="22"/>
        </w:rPr>
        <w:t xml:space="preserve">(Environment Regulations). </w:t>
      </w:r>
    </w:p>
    <w:p w14:paraId="3B223B6B" w14:textId="6A7839E5" w:rsidR="00E30293" w:rsidRPr="00125D28" w:rsidRDefault="00520243" w:rsidP="00125D28">
      <w:pPr>
        <w:pStyle w:val="Heading4"/>
      </w:pPr>
      <w:r w:rsidRPr="00125D28">
        <w:t>4</w:t>
      </w:r>
      <w:r w:rsidR="00EF5E85" w:rsidRPr="00125D28">
        <w:t>.</w:t>
      </w:r>
      <w:r w:rsidRPr="00125D28">
        <w:t>1</w:t>
      </w:r>
      <w:r w:rsidR="00EF5E85" w:rsidRPr="00125D28">
        <w:t>.1</w:t>
      </w:r>
      <w:r w:rsidRPr="00125D28">
        <w:t>.1</w:t>
      </w:r>
      <w:r w:rsidR="00EF5E85" w:rsidRPr="00125D28">
        <w:t xml:space="preserve"> </w:t>
      </w:r>
      <w:r w:rsidR="0061687A" w:rsidRPr="00125D28">
        <w:t>Offshore Project Proposals</w:t>
      </w:r>
    </w:p>
    <w:p w14:paraId="2CF42669" w14:textId="77777777" w:rsidR="00227A4E" w:rsidRDefault="00E30293" w:rsidP="0061687A">
      <w:pPr>
        <w:spacing w:before="120" w:after="120" w:line="276" w:lineRule="auto"/>
        <w:rPr>
          <w:rFonts w:asciiTheme="minorHAnsi" w:hAnsiTheme="minorHAnsi"/>
          <w:sz w:val="22"/>
          <w:szCs w:val="22"/>
        </w:rPr>
      </w:pPr>
      <w:r>
        <w:rPr>
          <w:rFonts w:asciiTheme="minorHAnsi" w:hAnsiTheme="minorHAnsi"/>
          <w:sz w:val="22"/>
          <w:szCs w:val="22"/>
        </w:rPr>
        <w:t>The</w:t>
      </w:r>
      <w:r w:rsidR="00CC1C6D">
        <w:rPr>
          <w:rFonts w:asciiTheme="minorHAnsi" w:hAnsiTheme="minorHAnsi"/>
          <w:sz w:val="22"/>
          <w:szCs w:val="22"/>
        </w:rPr>
        <w:t xml:space="preserve"> Offshore Project Proposal</w:t>
      </w:r>
      <w:r>
        <w:rPr>
          <w:rFonts w:asciiTheme="minorHAnsi" w:hAnsiTheme="minorHAnsi"/>
          <w:sz w:val="22"/>
          <w:szCs w:val="22"/>
        </w:rPr>
        <w:t xml:space="preserve"> </w:t>
      </w:r>
      <w:r w:rsidR="00CC1C6D">
        <w:rPr>
          <w:rFonts w:asciiTheme="minorHAnsi" w:hAnsiTheme="minorHAnsi"/>
          <w:sz w:val="22"/>
          <w:szCs w:val="22"/>
        </w:rPr>
        <w:t>(</w:t>
      </w:r>
      <w:r>
        <w:rPr>
          <w:rFonts w:asciiTheme="minorHAnsi" w:hAnsiTheme="minorHAnsi"/>
          <w:sz w:val="22"/>
          <w:szCs w:val="22"/>
        </w:rPr>
        <w:t>OPP</w:t>
      </w:r>
      <w:r w:rsidR="00CC1C6D">
        <w:rPr>
          <w:rFonts w:asciiTheme="minorHAnsi" w:hAnsiTheme="minorHAnsi"/>
          <w:sz w:val="22"/>
          <w:szCs w:val="22"/>
        </w:rPr>
        <w:t>)</w:t>
      </w:r>
      <w:r>
        <w:rPr>
          <w:rFonts w:asciiTheme="minorHAnsi" w:hAnsiTheme="minorHAnsi"/>
          <w:sz w:val="22"/>
          <w:szCs w:val="22"/>
        </w:rPr>
        <w:t xml:space="preserve"> framework </w:t>
      </w:r>
      <w:r w:rsidRPr="002F605A">
        <w:rPr>
          <w:rFonts w:asciiTheme="minorHAnsi" w:hAnsiTheme="minorHAnsi"/>
          <w:sz w:val="22"/>
          <w:szCs w:val="22"/>
        </w:rPr>
        <w:t xml:space="preserve">allows whole-of-project assessment by </w:t>
      </w:r>
      <w:proofErr w:type="gramStart"/>
      <w:r>
        <w:rPr>
          <w:rFonts w:asciiTheme="minorHAnsi" w:hAnsiTheme="minorHAnsi"/>
          <w:sz w:val="22"/>
          <w:szCs w:val="22"/>
        </w:rPr>
        <w:t>NOPSEMA</w:t>
      </w:r>
      <w:r w:rsidRPr="002F605A">
        <w:rPr>
          <w:rFonts w:asciiTheme="minorHAnsi" w:hAnsiTheme="minorHAnsi"/>
          <w:sz w:val="22"/>
          <w:szCs w:val="22"/>
        </w:rPr>
        <w:t>, and</w:t>
      </w:r>
      <w:proofErr w:type="gramEnd"/>
      <w:r w:rsidRPr="002F605A">
        <w:rPr>
          <w:rFonts w:asciiTheme="minorHAnsi" w:hAnsiTheme="minorHAnsi"/>
          <w:sz w:val="22"/>
          <w:szCs w:val="22"/>
        </w:rPr>
        <w:t xml:space="preserve"> </w:t>
      </w:r>
      <w:r>
        <w:rPr>
          <w:rFonts w:asciiTheme="minorHAnsi" w:hAnsiTheme="minorHAnsi"/>
          <w:sz w:val="22"/>
          <w:szCs w:val="22"/>
        </w:rPr>
        <w:t>p</w:t>
      </w:r>
      <w:r w:rsidRPr="002F605A">
        <w:rPr>
          <w:rFonts w:asciiTheme="minorHAnsi" w:hAnsiTheme="minorHAnsi"/>
          <w:sz w:val="22"/>
          <w:szCs w:val="22"/>
        </w:rPr>
        <w:t xml:space="preserve">ermits stakeholders to input into project development </w:t>
      </w:r>
      <w:r w:rsidR="00CC1C6D">
        <w:rPr>
          <w:rFonts w:asciiTheme="minorHAnsi" w:hAnsiTheme="minorHAnsi"/>
          <w:sz w:val="22"/>
          <w:szCs w:val="22"/>
        </w:rPr>
        <w:t xml:space="preserve">proposals </w:t>
      </w:r>
      <w:r w:rsidRPr="002F605A">
        <w:rPr>
          <w:rFonts w:asciiTheme="minorHAnsi" w:hAnsiTheme="minorHAnsi"/>
          <w:sz w:val="22"/>
          <w:szCs w:val="22"/>
        </w:rPr>
        <w:t>and raise concerns relating to environmental sensitivities, imp</w:t>
      </w:r>
      <w:r>
        <w:rPr>
          <w:rFonts w:asciiTheme="minorHAnsi" w:hAnsiTheme="minorHAnsi"/>
          <w:sz w:val="22"/>
          <w:szCs w:val="22"/>
        </w:rPr>
        <w:t>acts and risks. A</w:t>
      </w:r>
      <w:r w:rsidRPr="002F605A">
        <w:rPr>
          <w:rFonts w:asciiTheme="minorHAnsi" w:hAnsiTheme="minorHAnsi"/>
          <w:sz w:val="22"/>
          <w:szCs w:val="22"/>
        </w:rPr>
        <w:t xml:space="preserve"> proponent must</w:t>
      </w:r>
      <w:r>
        <w:rPr>
          <w:rFonts w:asciiTheme="minorHAnsi" w:hAnsiTheme="minorHAnsi"/>
          <w:sz w:val="22"/>
          <w:szCs w:val="22"/>
        </w:rPr>
        <w:t xml:space="preserve"> </w:t>
      </w:r>
      <w:r w:rsidRPr="002F605A">
        <w:rPr>
          <w:rFonts w:asciiTheme="minorHAnsi" w:hAnsiTheme="minorHAnsi"/>
          <w:sz w:val="22"/>
          <w:szCs w:val="22"/>
        </w:rPr>
        <w:t>include in the</w:t>
      </w:r>
      <w:r>
        <w:rPr>
          <w:rFonts w:asciiTheme="minorHAnsi" w:hAnsiTheme="minorHAnsi"/>
          <w:sz w:val="22"/>
          <w:szCs w:val="22"/>
        </w:rPr>
        <w:t>ir</w:t>
      </w:r>
      <w:r w:rsidRPr="002F605A">
        <w:rPr>
          <w:rFonts w:asciiTheme="minorHAnsi" w:hAnsiTheme="minorHAnsi"/>
          <w:sz w:val="22"/>
          <w:szCs w:val="22"/>
        </w:rPr>
        <w:t xml:space="preserve"> OPP a description of actions proposed to be taken, following completion of the pro</w:t>
      </w:r>
      <w:r>
        <w:rPr>
          <w:rFonts w:asciiTheme="minorHAnsi" w:hAnsiTheme="minorHAnsi"/>
          <w:sz w:val="22"/>
          <w:szCs w:val="22"/>
        </w:rPr>
        <w:t xml:space="preserve">ject, in relation to facilities. </w:t>
      </w:r>
      <w:r w:rsidR="002A4922">
        <w:rPr>
          <w:rFonts w:asciiTheme="minorHAnsi" w:hAnsiTheme="minorHAnsi"/>
          <w:sz w:val="22"/>
          <w:szCs w:val="22"/>
        </w:rPr>
        <w:t>This includes proposed decommissioning activities in relation to those facilities</w:t>
      </w:r>
      <w:r w:rsidR="00A4093D">
        <w:rPr>
          <w:rFonts w:asciiTheme="minorHAnsi" w:hAnsiTheme="minorHAnsi"/>
          <w:sz w:val="22"/>
          <w:szCs w:val="22"/>
        </w:rPr>
        <w:t xml:space="preserve">. </w:t>
      </w:r>
    </w:p>
    <w:p w14:paraId="713C2BF0" w14:textId="2D726316" w:rsidR="0061687A" w:rsidRPr="005054C2" w:rsidRDefault="00852B11" w:rsidP="0061687A">
      <w:pPr>
        <w:spacing w:before="120" w:after="120" w:line="276" w:lineRule="auto"/>
        <w:rPr>
          <w:rFonts w:asciiTheme="minorHAnsi" w:hAnsiTheme="minorHAnsi"/>
          <w:sz w:val="22"/>
          <w:szCs w:val="22"/>
        </w:rPr>
      </w:pPr>
      <w:r>
        <w:rPr>
          <w:rFonts w:asciiTheme="minorHAnsi" w:hAnsiTheme="minorHAnsi"/>
          <w:sz w:val="22"/>
          <w:szCs w:val="22"/>
        </w:rPr>
        <w:t>The Environment Regulations also permit t</w:t>
      </w:r>
      <w:r w:rsidR="0061687A">
        <w:rPr>
          <w:rFonts w:asciiTheme="minorHAnsi" w:hAnsiTheme="minorHAnsi"/>
          <w:sz w:val="22"/>
          <w:szCs w:val="22"/>
        </w:rPr>
        <w:t>itleholder</w:t>
      </w:r>
      <w:r w:rsidR="00B65095">
        <w:rPr>
          <w:rFonts w:asciiTheme="minorHAnsi" w:hAnsiTheme="minorHAnsi"/>
          <w:sz w:val="22"/>
          <w:szCs w:val="22"/>
        </w:rPr>
        <w:t>s</w:t>
      </w:r>
      <w:r w:rsidR="000E1CC7">
        <w:rPr>
          <w:rFonts w:asciiTheme="minorHAnsi" w:hAnsiTheme="minorHAnsi"/>
          <w:sz w:val="22"/>
          <w:szCs w:val="22"/>
        </w:rPr>
        <w:t xml:space="preserve"> </w:t>
      </w:r>
      <w:r>
        <w:rPr>
          <w:rFonts w:asciiTheme="minorHAnsi" w:hAnsiTheme="minorHAnsi"/>
          <w:sz w:val="22"/>
          <w:szCs w:val="22"/>
        </w:rPr>
        <w:t>t</w:t>
      </w:r>
      <w:r w:rsidR="000E1CC7">
        <w:rPr>
          <w:rFonts w:asciiTheme="minorHAnsi" w:hAnsiTheme="minorHAnsi"/>
          <w:sz w:val="22"/>
          <w:szCs w:val="22"/>
        </w:rPr>
        <w:t>o</w:t>
      </w:r>
      <w:r w:rsidR="0061687A">
        <w:rPr>
          <w:rFonts w:asciiTheme="minorHAnsi" w:hAnsiTheme="minorHAnsi"/>
          <w:sz w:val="22"/>
          <w:szCs w:val="22"/>
        </w:rPr>
        <w:t xml:space="preserve"> use </w:t>
      </w:r>
      <w:r w:rsidR="000E1CC7">
        <w:rPr>
          <w:rFonts w:asciiTheme="minorHAnsi" w:hAnsiTheme="minorHAnsi"/>
          <w:sz w:val="22"/>
          <w:szCs w:val="22"/>
        </w:rPr>
        <w:t xml:space="preserve">the </w:t>
      </w:r>
      <w:r w:rsidR="0061687A" w:rsidRPr="002F605A">
        <w:rPr>
          <w:rFonts w:asciiTheme="minorHAnsi" w:hAnsiTheme="minorHAnsi"/>
          <w:sz w:val="22"/>
          <w:szCs w:val="22"/>
        </w:rPr>
        <w:t xml:space="preserve">OPP </w:t>
      </w:r>
      <w:r w:rsidR="000E1CC7">
        <w:rPr>
          <w:rFonts w:asciiTheme="minorHAnsi" w:hAnsiTheme="minorHAnsi"/>
          <w:sz w:val="22"/>
          <w:szCs w:val="22"/>
        </w:rPr>
        <w:t xml:space="preserve">process </w:t>
      </w:r>
      <w:r w:rsidR="00B65095">
        <w:rPr>
          <w:rFonts w:asciiTheme="minorHAnsi" w:hAnsiTheme="minorHAnsi"/>
          <w:sz w:val="22"/>
          <w:szCs w:val="22"/>
        </w:rPr>
        <w:t>for</w:t>
      </w:r>
      <w:r w:rsidR="0061687A" w:rsidRPr="002F605A">
        <w:rPr>
          <w:rFonts w:asciiTheme="minorHAnsi" w:hAnsiTheme="minorHAnsi"/>
          <w:sz w:val="22"/>
          <w:szCs w:val="22"/>
        </w:rPr>
        <w:t xml:space="preserve"> </w:t>
      </w:r>
      <w:r w:rsidR="00382BC2">
        <w:rPr>
          <w:rFonts w:asciiTheme="minorHAnsi" w:hAnsiTheme="minorHAnsi"/>
          <w:sz w:val="22"/>
          <w:szCs w:val="22"/>
        </w:rPr>
        <w:t xml:space="preserve">a </w:t>
      </w:r>
      <w:r w:rsidR="008D3984">
        <w:rPr>
          <w:rFonts w:asciiTheme="minorHAnsi" w:hAnsiTheme="minorHAnsi"/>
          <w:sz w:val="22"/>
          <w:szCs w:val="22"/>
        </w:rPr>
        <w:t>stand-alone</w:t>
      </w:r>
      <w:r w:rsidR="0061687A">
        <w:rPr>
          <w:rFonts w:asciiTheme="minorHAnsi" w:hAnsiTheme="minorHAnsi"/>
          <w:sz w:val="22"/>
          <w:szCs w:val="22"/>
        </w:rPr>
        <w:t xml:space="preserve"> </w:t>
      </w:r>
      <w:r w:rsidR="0061687A" w:rsidRPr="002F605A">
        <w:rPr>
          <w:rFonts w:asciiTheme="minorHAnsi" w:hAnsiTheme="minorHAnsi"/>
          <w:sz w:val="22"/>
          <w:szCs w:val="22"/>
        </w:rPr>
        <w:t>decommissioning</w:t>
      </w:r>
      <w:r w:rsidR="00B65095">
        <w:rPr>
          <w:rFonts w:asciiTheme="minorHAnsi" w:hAnsiTheme="minorHAnsi"/>
          <w:sz w:val="22"/>
          <w:szCs w:val="22"/>
        </w:rPr>
        <w:t xml:space="preserve"> activit</w:t>
      </w:r>
      <w:r w:rsidR="00382BC2">
        <w:rPr>
          <w:rFonts w:asciiTheme="minorHAnsi" w:hAnsiTheme="minorHAnsi"/>
          <w:sz w:val="22"/>
          <w:szCs w:val="22"/>
        </w:rPr>
        <w:t>y</w:t>
      </w:r>
      <w:r w:rsidR="00A81A1E">
        <w:rPr>
          <w:rFonts w:asciiTheme="minorHAnsi" w:hAnsiTheme="minorHAnsi"/>
          <w:sz w:val="22"/>
          <w:szCs w:val="22"/>
        </w:rPr>
        <w:t xml:space="preserve">. </w:t>
      </w:r>
      <w:r w:rsidR="0061687A">
        <w:rPr>
          <w:rFonts w:asciiTheme="minorHAnsi" w:hAnsiTheme="minorHAnsi"/>
          <w:sz w:val="22"/>
          <w:szCs w:val="22"/>
        </w:rPr>
        <w:t>Howev</w:t>
      </w:r>
      <w:r w:rsidR="008D3984">
        <w:rPr>
          <w:rFonts w:asciiTheme="minorHAnsi" w:hAnsiTheme="minorHAnsi"/>
          <w:sz w:val="22"/>
          <w:szCs w:val="22"/>
        </w:rPr>
        <w:t>er, this is n</w:t>
      </w:r>
      <w:r w:rsidR="000E1CC7">
        <w:rPr>
          <w:rFonts w:asciiTheme="minorHAnsi" w:hAnsiTheme="minorHAnsi"/>
          <w:sz w:val="22"/>
          <w:szCs w:val="22"/>
        </w:rPr>
        <w:t>ot a requirement. W</w:t>
      </w:r>
      <w:r w:rsidR="0061687A">
        <w:rPr>
          <w:rFonts w:asciiTheme="minorHAnsi" w:hAnsiTheme="minorHAnsi"/>
          <w:sz w:val="22"/>
          <w:szCs w:val="22"/>
        </w:rPr>
        <w:t xml:space="preserve">here a titleholder is considering </w:t>
      </w:r>
      <w:r w:rsidR="00A81A1E">
        <w:rPr>
          <w:rFonts w:asciiTheme="minorHAnsi" w:hAnsiTheme="minorHAnsi"/>
          <w:sz w:val="22"/>
          <w:szCs w:val="22"/>
        </w:rPr>
        <w:t xml:space="preserve">using </w:t>
      </w:r>
      <w:r w:rsidR="0061687A">
        <w:rPr>
          <w:rFonts w:asciiTheme="minorHAnsi" w:hAnsiTheme="minorHAnsi"/>
          <w:sz w:val="22"/>
          <w:szCs w:val="22"/>
        </w:rPr>
        <w:t>the OPP process for a stand-alone decommissioning activity, early engagement with NOPSEMA is recommended.</w:t>
      </w:r>
    </w:p>
    <w:p w14:paraId="2C6E8DD9" w14:textId="028028D4" w:rsidR="0061687A" w:rsidRPr="00125D28" w:rsidRDefault="00520243" w:rsidP="00125D28">
      <w:pPr>
        <w:pStyle w:val="Heading4"/>
      </w:pPr>
      <w:bookmarkStart w:id="155" w:name="Environment_Plan"/>
      <w:r w:rsidRPr="00125D28">
        <w:lastRenderedPageBreak/>
        <w:t>4.1.1.</w:t>
      </w:r>
      <w:r w:rsidR="00EF5E85" w:rsidRPr="00125D28">
        <w:t xml:space="preserve">2 </w:t>
      </w:r>
      <w:r w:rsidR="00685DB5" w:rsidRPr="00125D28">
        <w:t>Environment p</w:t>
      </w:r>
      <w:r w:rsidR="0061687A" w:rsidRPr="00125D28">
        <w:t xml:space="preserve">lans </w:t>
      </w:r>
    </w:p>
    <w:bookmarkEnd w:id="155"/>
    <w:p w14:paraId="28449AD2" w14:textId="4BA0BD82" w:rsidR="0061687A" w:rsidRDefault="003D08DD" w:rsidP="00C70E1A">
      <w:pPr>
        <w:spacing w:before="120" w:after="120" w:line="276" w:lineRule="auto"/>
        <w:rPr>
          <w:rFonts w:asciiTheme="minorHAnsi" w:hAnsiTheme="minorHAnsi"/>
          <w:sz w:val="22"/>
          <w:szCs w:val="22"/>
        </w:rPr>
      </w:pPr>
      <w:r>
        <w:rPr>
          <w:rFonts w:asciiTheme="minorHAnsi" w:hAnsiTheme="minorHAnsi"/>
          <w:sz w:val="22"/>
          <w:szCs w:val="22"/>
        </w:rPr>
        <w:t>Decommissioning activities, including removing or otherwise dealing with property and remediating the title area, are petroleum activities</w:t>
      </w:r>
      <w:r>
        <w:rPr>
          <w:rStyle w:val="FootnoteReference"/>
          <w:rFonts w:asciiTheme="minorHAnsi" w:hAnsiTheme="minorHAnsi"/>
          <w:sz w:val="22"/>
          <w:szCs w:val="22"/>
        </w:rPr>
        <w:footnoteReference w:id="10"/>
      </w:r>
      <w:r>
        <w:rPr>
          <w:rFonts w:asciiTheme="minorHAnsi" w:hAnsiTheme="minorHAnsi"/>
          <w:sz w:val="22"/>
          <w:szCs w:val="22"/>
        </w:rPr>
        <w:t xml:space="preserve"> for the purposes of the Environment Regulations. The titleholder undertaking the activities will therefore need to submit and receive acceptance for an environment plan (or receive acceptance for a revision of an existing plan, if appropriate) before the relevant activities may commence. Titleholders </w:t>
      </w:r>
      <w:r w:rsidR="00671606">
        <w:rPr>
          <w:rFonts w:asciiTheme="minorHAnsi" w:hAnsiTheme="minorHAnsi"/>
          <w:sz w:val="22"/>
          <w:szCs w:val="22"/>
        </w:rPr>
        <w:t>must also undertake all activities in a manner consistent with their accepted environment plan</w:t>
      </w:r>
      <w:r w:rsidR="00C923C2">
        <w:rPr>
          <w:rFonts w:asciiTheme="minorHAnsi" w:hAnsiTheme="minorHAnsi"/>
          <w:sz w:val="22"/>
          <w:szCs w:val="22"/>
        </w:rPr>
        <w:t>.</w:t>
      </w:r>
      <w:r w:rsidR="00671606">
        <w:rPr>
          <w:rFonts w:asciiTheme="minorHAnsi" w:hAnsiTheme="minorHAnsi"/>
          <w:sz w:val="22"/>
          <w:szCs w:val="22"/>
        </w:rPr>
        <w:t xml:space="preserve"> </w:t>
      </w:r>
    </w:p>
    <w:p w14:paraId="348AFE54" w14:textId="49FF7A01" w:rsidR="0061687A" w:rsidRDefault="001E64DF" w:rsidP="00C70E1A">
      <w:pPr>
        <w:spacing w:before="120" w:after="120" w:line="276" w:lineRule="auto"/>
        <w:rPr>
          <w:rFonts w:asciiTheme="minorHAnsi" w:hAnsiTheme="minorHAnsi"/>
          <w:sz w:val="22"/>
          <w:szCs w:val="22"/>
        </w:rPr>
      </w:pPr>
      <w:r>
        <w:rPr>
          <w:rFonts w:asciiTheme="minorHAnsi" w:hAnsiTheme="minorHAnsi"/>
          <w:sz w:val="22"/>
          <w:szCs w:val="22"/>
        </w:rPr>
        <w:t>In assessing an environment plan, NOPSEMA will consider whether the titleholder has identified all risks</w:t>
      </w:r>
      <w:r w:rsidR="00C923C2">
        <w:rPr>
          <w:rFonts w:asciiTheme="minorHAnsi" w:hAnsiTheme="minorHAnsi"/>
          <w:sz w:val="22"/>
          <w:szCs w:val="22"/>
        </w:rPr>
        <w:t xml:space="preserve"> associated with the </w:t>
      </w:r>
      <w:proofErr w:type="gramStart"/>
      <w:r w:rsidR="00C923C2">
        <w:rPr>
          <w:rFonts w:asciiTheme="minorHAnsi" w:hAnsiTheme="minorHAnsi"/>
          <w:sz w:val="22"/>
          <w:szCs w:val="22"/>
        </w:rPr>
        <w:t>activity</w:t>
      </w:r>
      <w:r>
        <w:rPr>
          <w:rFonts w:asciiTheme="minorHAnsi" w:hAnsiTheme="minorHAnsi"/>
          <w:sz w:val="22"/>
          <w:szCs w:val="22"/>
        </w:rPr>
        <w:t>, and</w:t>
      </w:r>
      <w:proofErr w:type="gramEnd"/>
      <w:r>
        <w:rPr>
          <w:rFonts w:asciiTheme="minorHAnsi" w:hAnsiTheme="minorHAnsi"/>
          <w:sz w:val="22"/>
          <w:szCs w:val="22"/>
        </w:rPr>
        <w:t xml:space="preserve"> demonstrated how </w:t>
      </w:r>
      <w:r w:rsidR="00053D99">
        <w:rPr>
          <w:rFonts w:asciiTheme="minorHAnsi" w:hAnsiTheme="minorHAnsi"/>
          <w:sz w:val="22"/>
          <w:szCs w:val="22"/>
        </w:rPr>
        <w:t xml:space="preserve">those risks will be managed to </w:t>
      </w:r>
      <w:r w:rsidR="008535A2">
        <w:rPr>
          <w:rFonts w:asciiTheme="minorHAnsi" w:hAnsiTheme="minorHAnsi"/>
          <w:sz w:val="22"/>
          <w:szCs w:val="22"/>
        </w:rPr>
        <w:t xml:space="preserve">ALARP </w:t>
      </w:r>
      <w:r>
        <w:rPr>
          <w:rFonts w:asciiTheme="minorHAnsi" w:hAnsiTheme="minorHAnsi"/>
          <w:sz w:val="22"/>
          <w:szCs w:val="22"/>
        </w:rPr>
        <w:t>and acceptable levels. Further, i</w:t>
      </w:r>
      <w:r w:rsidR="0061687A">
        <w:rPr>
          <w:rFonts w:asciiTheme="minorHAnsi" w:hAnsiTheme="minorHAnsi"/>
          <w:sz w:val="22"/>
          <w:szCs w:val="22"/>
        </w:rPr>
        <w:t xml:space="preserve">n the context of decommissioning, the environment plan is the key </w:t>
      </w:r>
      <w:proofErr w:type="spellStart"/>
      <w:r w:rsidR="0061687A">
        <w:rPr>
          <w:rFonts w:asciiTheme="minorHAnsi" w:hAnsiTheme="minorHAnsi"/>
          <w:sz w:val="22"/>
          <w:szCs w:val="22"/>
        </w:rPr>
        <w:t>permissioning</w:t>
      </w:r>
      <w:proofErr w:type="spellEnd"/>
      <w:r w:rsidR="0061687A">
        <w:rPr>
          <w:rFonts w:asciiTheme="minorHAnsi" w:hAnsiTheme="minorHAnsi"/>
          <w:sz w:val="22"/>
          <w:szCs w:val="22"/>
        </w:rPr>
        <w:t xml:space="preserve"> document assessed by NOPSEMA through which titleholders can demonstrate compliance with </w:t>
      </w:r>
      <w:proofErr w:type="gramStart"/>
      <w:r w:rsidR="0061687A">
        <w:rPr>
          <w:rFonts w:asciiTheme="minorHAnsi" w:hAnsiTheme="minorHAnsi"/>
          <w:sz w:val="22"/>
          <w:szCs w:val="22"/>
        </w:rPr>
        <w:t>the majority of</w:t>
      </w:r>
      <w:proofErr w:type="gramEnd"/>
      <w:r>
        <w:rPr>
          <w:rFonts w:asciiTheme="minorHAnsi" w:hAnsiTheme="minorHAnsi"/>
          <w:sz w:val="22"/>
          <w:szCs w:val="22"/>
        </w:rPr>
        <w:t xml:space="preserve"> decommissioning</w:t>
      </w:r>
      <w:r w:rsidR="0061687A">
        <w:rPr>
          <w:rFonts w:asciiTheme="minorHAnsi" w:hAnsiTheme="minorHAnsi"/>
          <w:sz w:val="22"/>
          <w:szCs w:val="22"/>
        </w:rPr>
        <w:t xml:space="preserve"> o</w:t>
      </w:r>
      <w:r w:rsidR="00556F40">
        <w:rPr>
          <w:rFonts w:asciiTheme="minorHAnsi" w:hAnsiTheme="minorHAnsi"/>
          <w:sz w:val="22"/>
          <w:szCs w:val="22"/>
        </w:rPr>
        <w:t>bligations under subsection 270</w:t>
      </w:r>
      <w:r w:rsidR="0061687A">
        <w:rPr>
          <w:rFonts w:asciiTheme="minorHAnsi" w:hAnsiTheme="minorHAnsi"/>
          <w:sz w:val="22"/>
          <w:szCs w:val="22"/>
        </w:rPr>
        <w:t>(3) of the OPGGS</w:t>
      </w:r>
      <w:r w:rsidR="008D557E">
        <w:rPr>
          <w:rFonts w:asciiTheme="minorHAnsi" w:hAnsiTheme="minorHAnsi"/>
          <w:sz w:val="22"/>
          <w:szCs w:val="22"/>
        </w:rPr>
        <w:t> </w:t>
      </w:r>
      <w:r w:rsidR="0061687A">
        <w:rPr>
          <w:rFonts w:asciiTheme="minorHAnsi" w:hAnsiTheme="minorHAnsi"/>
          <w:sz w:val="22"/>
          <w:szCs w:val="22"/>
        </w:rPr>
        <w:t xml:space="preserve">Act </w:t>
      </w:r>
      <w:r w:rsidR="008D3984">
        <w:rPr>
          <w:rFonts w:asciiTheme="minorHAnsi" w:hAnsiTheme="minorHAnsi"/>
          <w:sz w:val="22"/>
          <w:szCs w:val="22"/>
        </w:rPr>
        <w:t>(relating to surrender</w:t>
      </w:r>
      <w:r>
        <w:rPr>
          <w:rFonts w:asciiTheme="minorHAnsi" w:hAnsiTheme="minorHAnsi"/>
          <w:sz w:val="22"/>
          <w:szCs w:val="22"/>
        </w:rPr>
        <w:t xml:space="preserve"> of title</w:t>
      </w:r>
      <w:r w:rsidR="008D3984">
        <w:rPr>
          <w:rFonts w:asciiTheme="minorHAnsi" w:hAnsiTheme="minorHAnsi"/>
          <w:sz w:val="22"/>
          <w:szCs w:val="22"/>
        </w:rPr>
        <w:t>)</w:t>
      </w:r>
      <w:r w:rsidR="00C70E1A">
        <w:rPr>
          <w:rFonts w:asciiTheme="minorHAnsi" w:hAnsiTheme="minorHAnsi"/>
          <w:sz w:val="22"/>
          <w:szCs w:val="22"/>
        </w:rPr>
        <w:t xml:space="preserve">. </w:t>
      </w:r>
      <w:r w:rsidR="00C66EC1">
        <w:rPr>
          <w:rFonts w:asciiTheme="minorHAnsi" w:hAnsiTheme="minorHAnsi"/>
          <w:sz w:val="22"/>
          <w:szCs w:val="22"/>
        </w:rPr>
        <w:t>Consequently, w</w:t>
      </w:r>
      <w:r w:rsidR="0061687A">
        <w:rPr>
          <w:rFonts w:asciiTheme="minorHAnsi" w:hAnsiTheme="minorHAnsi"/>
          <w:sz w:val="22"/>
          <w:szCs w:val="22"/>
        </w:rPr>
        <w:t xml:space="preserve">here a titleholder is seeking to </w:t>
      </w:r>
      <w:r w:rsidR="00671606">
        <w:rPr>
          <w:rFonts w:asciiTheme="minorHAnsi" w:hAnsiTheme="minorHAnsi"/>
          <w:sz w:val="22"/>
          <w:szCs w:val="22"/>
        </w:rPr>
        <w:t>surrender a title post</w:t>
      </w:r>
      <w:r w:rsidR="008D557E">
        <w:rPr>
          <w:rFonts w:asciiTheme="minorHAnsi" w:hAnsiTheme="minorHAnsi"/>
          <w:sz w:val="22"/>
          <w:szCs w:val="22"/>
        </w:rPr>
        <w:t xml:space="preserve"> </w:t>
      </w:r>
      <w:r w:rsidR="0061687A">
        <w:rPr>
          <w:rFonts w:asciiTheme="minorHAnsi" w:hAnsiTheme="minorHAnsi"/>
          <w:sz w:val="22"/>
          <w:szCs w:val="22"/>
        </w:rPr>
        <w:t xml:space="preserve">decommissioning, the </w:t>
      </w:r>
      <w:r w:rsidR="00C66EC1">
        <w:rPr>
          <w:rFonts w:asciiTheme="minorHAnsi" w:hAnsiTheme="minorHAnsi"/>
          <w:sz w:val="22"/>
          <w:szCs w:val="22"/>
        </w:rPr>
        <w:t xml:space="preserve">titleholder should ensure the </w:t>
      </w:r>
      <w:r w:rsidR="0061687A">
        <w:rPr>
          <w:rFonts w:asciiTheme="minorHAnsi" w:hAnsiTheme="minorHAnsi"/>
          <w:sz w:val="22"/>
          <w:szCs w:val="22"/>
        </w:rPr>
        <w:t>environme</w:t>
      </w:r>
      <w:r w:rsidR="00671606">
        <w:rPr>
          <w:rFonts w:asciiTheme="minorHAnsi" w:hAnsiTheme="minorHAnsi"/>
          <w:sz w:val="22"/>
          <w:szCs w:val="22"/>
        </w:rPr>
        <w:t xml:space="preserve">nt plan for the </w:t>
      </w:r>
      <w:r w:rsidR="00C66EC1">
        <w:rPr>
          <w:rFonts w:asciiTheme="minorHAnsi" w:hAnsiTheme="minorHAnsi"/>
          <w:sz w:val="22"/>
          <w:szCs w:val="22"/>
        </w:rPr>
        <w:t xml:space="preserve">relevant </w:t>
      </w:r>
      <w:r w:rsidR="00671606">
        <w:rPr>
          <w:rFonts w:asciiTheme="minorHAnsi" w:hAnsiTheme="minorHAnsi"/>
          <w:sz w:val="22"/>
          <w:szCs w:val="22"/>
        </w:rPr>
        <w:t xml:space="preserve">activity </w:t>
      </w:r>
      <w:r w:rsidR="00C66EC1">
        <w:rPr>
          <w:rFonts w:asciiTheme="minorHAnsi" w:hAnsiTheme="minorHAnsi"/>
          <w:sz w:val="22"/>
          <w:szCs w:val="22"/>
        </w:rPr>
        <w:t>or activities addresses the following matters:</w:t>
      </w:r>
    </w:p>
    <w:p w14:paraId="534BBA8D" w14:textId="6FED0603" w:rsidR="0061687A" w:rsidRDefault="00671606" w:rsidP="002921C9">
      <w:pPr>
        <w:pStyle w:val="ListParagraph"/>
        <w:numPr>
          <w:ilvl w:val="0"/>
          <w:numId w:val="2"/>
        </w:numPr>
        <w:spacing w:before="80" w:after="80"/>
        <w:ind w:left="363" w:hanging="357"/>
        <w:contextualSpacing w:val="0"/>
      </w:pPr>
      <w:r>
        <w:t xml:space="preserve">the </w:t>
      </w:r>
      <w:r w:rsidR="0061687A">
        <w:t>complete removal of all property to which the plan relates, or alternative arrangements for that property (e.g. partial or complete decommissioning in-situ).</w:t>
      </w:r>
    </w:p>
    <w:p w14:paraId="1B408B7E" w14:textId="2EADC34E" w:rsidR="0061687A" w:rsidRPr="00BE29E7" w:rsidRDefault="0061687A" w:rsidP="002921C9">
      <w:pPr>
        <w:pStyle w:val="ListParagraph"/>
        <w:numPr>
          <w:ilvl w:val="0"/>
          <w:numId w:val="2"/>
        </w:numPr>
        <w:spacing w:before="80" w:after="80"/>
        <w:ind w:left="363" w:hanging="357"/>
        <w:contextualSpacing w:val="0"/>
      </w:pPr>
      <w:r>
        <w:t xml:space="preserve">the protection and conservation </w:t>
      </w:r>
      <w:r w:rsidR="00B21EFE">
        <w:t xml:space="preserve">of natural resources (as </w:t>
      </w:r>
      <w:r>
        <w:t>they relate to environmental management) in the area to which the environment plan relates</w:t>
      </w:r>
      <w:r w:rsidR="00B65095">
        <w:t>.</w:t>
      </w:r>
      <w:r>
        <w:rPr>
          <w:rStyle w:val="FootnoteReference"/>
        </w:rPr>
        <w:footnoteReference w:id="11"/>
      </w:r>
      <w:r>
        <w:t xml:space="preserve"> </w:t>
      </w:r>
    </w:p>
    <w:p w14:paraId="1789E0F4" w14:textId="55DE2359" w:rsidR="00C66EC1" w:rsidRPr="00C66EC1" w:rsidRDefault="00671606" w:rsidP="00C66EC1">
      <w:pPr>
        <w:pStyle w:val="ListParagraph"/>
        <w:numPr>
          <w:ilvl w:val="0"/>
          <w:numId w:val="2"/>
        </w:numPr>
        <w:spacing w:before="80" w:after="80"/>
        <w:ind w:left="363" w:hanging="357"/>
        <w:contextualSpacing w:val="0"/>
      </w:pPr>
      <w:r>
        <w:t>any</w:t>
      </w:r>
      <w:r w:rsidR="0061687A">
        <w:t xml:space="preserve"> measures necessary to make good any damage to the seabed or subsoil in the title area. </w:t>
      </w:r>
    </w:p>
    <w:p w14:paraId="77973E02" w14:textId="5EE2233F" w:rsidR="0061687A" w:rsidRDefault="00433221" w:rsidP="00C70E1A">
      <w:pPr>
        <w:spacing w:before="120" w:after="120" w:line="276" w:lineRule="auto"/>
        <w:rPr>
          <w:rFonts w:asciiTheme="minorHAnsi" w:hAnsiTheme="minorHAnsi"/>
          <w:sz w:val="22"/>
          <w:szCs w:val="22"/>
        </w:rPr>
      </w:pPr>
      <w:r w:rsidRPr="001E64DF">
        <w:rPr>
          <w:noProof/>
        </w:rPr>
        <mc:AlternateContent>
          <mc:Choice Requires="wps">
            <w:drawing>
              <wp:anchor distT="45720" distB="45720" distL="114300" distR="114300" simplePos="0" relativeHeight="251658255" behindDoc="0" locked="0" layoutInCell="1" allowOverlap="1" wp14:anchorId="508126F3" wp14:editId="78AD15B8">
                <wp:simplePos x="0" y="0"/>
                <wp:positionH relativeFrom="margin">
                  <wp:align>right</wp:align>
                </wp:positionH>
                <wp:positionV relativeFrom="paragraph">
                  <wp:posOffset>510540</wp:posOffset>
                </wp:positionV>
                <wp:extent cx="5705475" cy="819150"/>
                <wp:effectExtent l="0" t="0" r="28575"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819150"/>
                        </a:xfrm>
                        <a:prstGeom prst="rect">
                          <a:avLst/>
                        </a:prstGeom>
                        <a:solidFill>
                          <a:schemeClr val="accent1">
                            <a:lumMod val="20000"/>
                            <a:lumOff val="80000"/>
                          </a:schemeClr>
                        </a:solidFill>
                        <a:ln w="9525">
                          <a:solidFill>
                            <a:schemeClr val="tx1"/>
                          </a:solidFill>
                          <a:miter lim="800000"/>
                          <a:headEnd/>
                          <a:tailEnd/>
                        </a:ln>
                      </wps:spPr>
                      <wps:txbx>
                        <w:txbxContent>
                          <w:p w14:paraId="1BE104B4" w14:textId="70D7A4E0" w:rsidR="00934F2F" w:rsidRDefault="00934F2F" w:rsidP="00B05D17">
                            <w:pPr>
                              <w:pStyle w:val="ListParagraph"/>
                              <w:spacing w:before="120" w:after="120"/>
                              <w:ind w:left="0"/>
                              <w:contextualSpacing w:val="0"/>
                            </w:pPr>
                            <w:r w:rsidRPr="005A7121">
                              <w:t xml:space="preserve">NOPSEMA has published on its website a suite of </w:t>
                            </w:r>
                            <w:hyperlink r:id="rId27" w:tooltip="https://www.nopsema.gov.au/environmental-management/environment-resources/" w:history="1">
                              <w:r w:rsidRPr="00737FC3">
                                <w:rPr>
                                  <w:rStyle w:val="Hyperlink"/>
                                </w:rPr>
                                <w:t>policy guidance</w:t>
                              </w:r>
                            </w:hyperlink>
                            <w:r w:rsidRPr="005A7121">
                              <w:t xml:space="preserve"> on </w:t>
                            </w:r>
                            <w:r>
                              <w:t>environmental</w:t>
                            </w:r>
                            <w:r w:rsidRPr="005A7121">
                              <w:t xml:space="preserve"> management</w:t>
                            </w:r>
                            <w:r>
                              <w:t xml:space="preserve"> (including specific guidance for environment plans and OPPs), as well as </w:t>
                            </w:r>
                            <w:hyperlink r:id="rId28" w:tooltip="https://www.nopsema.gov.au/assets/Guidelines/A524696.pdf" w:history="1">
                              <w:r w:rsidRPr="00580A1D">
                                <w:rPr>
                                  <w:rStyle w:val="Hyperlink"/>
                                </w:rPr>
                                <w:t>additional guidance</w:t>
                              </w:r>
                            </w:hyperlink>
                            <w:r>
                              <w:t xml:space="preserve"> on its decision-making process for environment plans.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8126F3" id="_x0000_s1028" type="#_x0000_t202" style="position:absolute;margin-left:398.05pt;margin-top:40.2pt;width:449.25pt;height:64.5pt;z-index:25165825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" fillcolor="#deeaf6 [660]" strokecolor="black [3213]">
                <v:textbox>
                  <w:txbxContent>
                    <w:p w14:paraId="1BE104B4" w14:textId="70D7A4E0" w:rsidR="00934F2F" w:rsidRDefault="00934F2F" w:rsidP="00B05D17">
                      <w:pPr>
                        <w:pStyle w:val="ListParagraph"/>
                        <w:spacing w:before="120" w:after="120"/>
                        <w:ind w:left="0"/>
                        <w:contextualSpacing w:val="0"/>
                      </w:pPr>
                      <w:r w:rsidRPr="005A7121">
                        <w:t xml:space="preserve">NOPSEMA has published on its website a suite of </w:t>
                      </w:r>
                      <w:hyperlink r:id="rId29" w:tooltip="https://www.nopsema.gov.au/environmental-management/environment-resources/" w:history="1">
                        <w:r w:rsidRPr="00737FC3">
                          <w:rPr>
                            <w:rStyle w:val="Hyperlink"/>
                          </w:rPr>
                          <w:t>policy guidance</w:t>
                        </w:r>
                      </w:hyperlink>
                      <w:r w:rsidRPr="005A7121">
                        <w:t xml:space="preserve"> on </w:t>
                      </w:r>
                      <w:r>
                        <w:t>environmental</w:t>
                      </w:r>
                      <w:r w:rsidRPr="005A7121">
                        <w:t xml:space="preserve"> management</w:t>
                      </w:r>
                      <w:r>
                        <w:t xml:space="preserve"> (including specific guidance for environment plans and OPPs), as well as </w:t>
                      </w:r>
                      <w:hyperlink r:id="rId30" w:tooltip="https://www.nopsema.gov.au/assets/Guidelines/A524696.pdf" w:history="1">
                        <w:r w:rsidRPr="00580A1D">
                          <w:rPr>
                            <w:rStyle w:val="Hyperlink"/>
                          </w:rPr>
                          <w:t>additional guidance</w:t>
                        </w:r>
                      </w:hyperlink>
                      <w:r>
                        <w:t xml:space="preserve"> on its decision-making process for environment plans.</w:t>
                      </w:r>
                    </w:p>
                  </w:txbxContent>
                </v:textbox>
                <w10:wrap type="square" anchorx="margin"/>
              </v:shape>
            </w:pict>
          </mc:Fallback>
        </mc:AlternateContent>
      </w:r>
      <w:r w:rsidR="0061687A" w:rsidRPr="001E64DF">
        <w:rPr>
          <w:rFonts w:asciiTheme="minorHAnsi" w:hAnsiTheme="minorHAnsi"/>
          <w:sz w:val="22"/>
          <w:szCs w:val="22"/>
        </w:rPr>
        <w:t xml:space="preserve">For NOPSEMA to accept an environment plan, the plan must meet </w:t>
      </w:r>
      <w:proofErr w:type="gramStart"/>
      <w:r w:rsidR="0061687A" w:rsidRPr="001E64DF">
        <w:rPr>
          <w:rFonts w:asciiTheme="minorHAnsi" w:hAnsiTheme="minorHAnsi"/>
          <w:sz w:val="22"/>
          <w:szCs w:val="22"/>
        </w:rPr>
        <w:t>all of</w:t>
      </w:r>
      <w:proofErr w:type="gramEnd"/>
      <w:r w:rsidR="0061687A" w:rsidRPr="001E64DF">
        <w:rPr>
          <w:rFonts w:asciiTheme="minorHAnsi" w:hAnsiTheme="minorHAnsi"/>
          <w:sz w:val="22"/>
          <w:szCs w:val="22"/>
        </w:rPr>
        <w:t xml:space="preserve"> the criteria in regulation 10A o</w:t>
      </w:r>
      <w:r w:rsidR="00671606" w:rsidRPr="008535A2">
        <w:rPr>
          <w:rFonts w:asciiTheme="minorHAnsi" w:hAnsiTheme="minorHAnsi"/>
          <w:sz w:val="22"/>
          <w:szCs w:val="22"/>
        </w:rPr>
        <w:t>f the Environment Regulations.</w:t>
      </w:r>
      <w:r w:rsidR="00671606">
        <w:rPr>
          <w:rFonts w:asciiTheme="minorHAnsi" w:hAnsiTheme="minorHAnsi"/>
          <w:sz w:val="22"/>
          <w:szCs w:val="22"/>
        </w:rPr>
        <w:t xml:space="preserve"> </w:t>
      </w:r>
    </w:p>
    <w:p w14:paraId="32691DA8" w14:textId="77777777" w:rsidR="00B05D17" w:rsidRDefault="00B05D17">
      <w:pPr>
        <w:spacing w:after="160" w:line="259" w:lineRule="auto"/>
        <w:rPr>
          <w:rFonts w:asciiTheme="majorHAnsi" w:eastAsiaTheme="majorEastAsia" w:hAnsiTheme="majorHAnsi" w:cstheme="majorBidi"/>
          <w:i/>
          <w:iCs/>
          <w:color w:val="2E74B5" w:themeColor="accent1" w:themeShade="BF"/>
        </w:rPr>
      </w:pPr>
      <w:r>
        <w:br w:type="page"/>
      </w:r>
    </w:p>
    <w:p w14:paraId="0032CFC9" w14:textId="232736AC" w:rsidR="0061687A" w:rsidRPr="00125D28" w:rsidRDefault="00520243" w:rsidP="00125D28">
      <w:pPr>
        <w:pStyle w:val="Heading4"/>
      </w:pPr>
      <w:r w:rsidRPr="00125D28">
        <w:lastRenderedPageBreak/>
        <w:t>4.1.1</w:t>
      </w:r>
      <w:r w:rsidR="00EF5E85" w:rsidRPr="00125D28">
        <w:t xml:space="preserve">.3 </w:t>
      </w:r>
      <w:r w:rsidR="0061687A" w:rsidRPr="00125D28">
        <w:t>End of operation</w:t>
      </w:r>
      <w:r w:rsidR="00685DB5" w:rsidRPr="00125D28">
        <w:t xml:space="preserve"> of an environment plan</w:t>
      </w:r>
    </w:p>
    <w:p w14:paraId="385A0BA4" w14:textId="03D89447" w:rsidR="0061687A" w:rsidRDefault="0061687A" w:rsidP="0061687A">
      <w:pPr>
        <w:spacing w:before="120" w:after="120" w:line="276" w:lineRule="auto"/>
        <w:rPr>
          <w:rFonts w:asciiTheme="minorHAnsi" w:hAnsiTheme="minorHAnsi"/>
          <w:sz w:val="22"/>
          <w:szCs w:val="22"/>
        </w:rPr>
      </w:pPr>
      <w:r>
        <w:rPr>
          <w:rFonts w:asciiTheme="minorHAnsi" w:hAnsiTheme="minorHAnsi"/>
          <w:sz w:val="22"/>
          <w:szCs w:val="22"/>
        </w:rPr>
        <w:t xml:space="preserve">Under regulation 25A of the Environment Regulations, to bring an environment plan to an end the titleholder must notify NOPSEMA that the activity or activities to which the plan relates have ended, </w:t>
      </w:r>
      <w:r w:rsidRPr="000B46BC">
        <w:rPr>
          <w:rFonts w:asciiTheme="minorHAnsi" w:hAnsiTheme="minorHAnsi"/>
          <w:sz w:val="22"/>
          <w:szCs w:val="22"/>
        </w:rPr>
        <w:t>and</w:t>
      </w:r>
      <w:r>
        <w:rPr>
          <w:rFonts w:asciiTheme="minorHAnsi" w:hAnsiTheme="minorHAnsi"/>
          <w:sz w:val="22"/>
          <w:szCs w:val="22"/>
        </w:rPr>
        <w:t xml:space="preserve"> </w:t>
      </w:r>
      <w:r w:rsidRPr="005371DF">
        <w:rPr>
          <w:rFonts w:asciiTheme="minorHAnsi" w:hAnsiTheme="minorHAnsi"/>
          <w:sz w:val="22"/>
          <w:szCs w:val="22"/>
        </w:rPr>
        <w:t>that</w:t>
      </w:r>
      <w:r>
        <w:rPr>
          <w:rFonts w:asciiTheme="minorHAnsi" w:hAnsiTheme="minorHAnsi"/>
          <w:sz w:val="22"/>
          <w:szCs w:val="22"/>
        </w:rPr>
        <w:t xml:space="preserve"> all of the obligations under the environment plan have been completed</w:t>
      </w:r>
      <w:r w:rsidR="00A4093D">
        <w:rPr>
          <w:rFonts w:asciiTheme="minorHAnsi" w:hAnsiTheme="minorHAnsi"/>
          <w:sz w:val="22"/>
          <w:szCs w:val="22"/>
        </w:rPr>
        <w:t xml:space="preserve">. </w:t>
      </w:r>
      <w:r w:rsidRPr="005F1289">
        <w:rPr>
          <w:rFonts w:asciiTheme="minorHAnsi" w:hAnsiTheme="minorHAnsi"/>
          <w:sz w:val="22"/>
          <w:szCs w:val="22"/>
        </w:rPr>
        <w:t>The obligations under an</w:t>
      </w:r>
      <w:r>
        <w:rPr>
          <w:rFonts w:asciiTheme="minorHAnsi" w:hAnsiTheme="minorHAnsi"/>
          <w:sz w:val="22"/>
          <w:szCs w:val="22"/>
        </w:rPr>
        <w:t xml:space="preserve"> environment plan</w:t>
      </w:r>
      <w:r w:rsidRPr="005F1289">
        <w:rPr>
          <w:rFonts w:asciiTheme="minorHAnsi" w:hAnsiTheme="minorHAnsi"/>
          <w:sz w:val="22"/>
          <w:szCs w:val="22"/>
        </w:rPr>
        <w:t xml:space="preserve"> are taken to be </w:t>
      </w:r>
      <w:proofErr w:type="gramStart"/>
      <w:r w:rsidRPr="005F1289">
        <w:rPr>
          <w:rFonts w:asciiTheme="minorHAnsi" w:hAnsiTheme="minorHAnsi"/>
          <w:sz w:val="22"/>
          <w:szCs w:val="22"/>
        </w:rPr>
        <w:t>all of</w:t>
      </w:r>
      <w:proofErr w:type="gramEnd"/>
      <w:r w:rsidRPr="005F1289">
        <w:rPr>
          <w:rFonts w:asciiTheme="minorHAnsi" w:hAnsiTheme="minorHAnsi"/>
          <w:sz w:val="22"/>
          <w:szCs w:val="22"/>
        </w:rPr>
        <w:t xml:space="preserve"> the commitments and performance standards contained within the </w:t>
      </w:r>
      <w:r>
        <w:rPr>
          <w:rFonts w:asciiTheme="minorHAnsi" w:hAnsiTheme="minorHAnsi"/>
          <w:sz w:val="22"/>
          <w:szCs w:val="22"/>
        </w:rPr>
        <w:t>environment plan</w:t>
      </w:r>
      <w:r w:rsidR="00C9575F">
        <w:rPr>
          <w:rFonts w:asciiTheme="minorHAnsi" w:hAnsiTheme="minorHAnsi"/>
          <w:sz w:val="22"/>
          <w:szCs w:val="22"/>
        </w:rPr>
        <w:t>,</w:t>
      </w:r>
      <w:r w:rsidRPr="005F1289">
        <w:rPr>
          <w:rFonts w:asciiTheme="minorHAnsi" w:hAnsiTheme="minorHAnsi"/>
          <w:sz w:val="22"/>
          <w:szCs w:val="22"/>
        </w:rPr>
        <w:t xml:space="preserve"> as well as other relevant regulatory requirements</w:t>
      </w:r>
      <w:r w:rsidR="00FE7968">
        <w:t xml:space="preserve">, </w:t>
      </w:r>
      <w:r w:rsidR="00FE7968" w:rsidRPr="00FE7968">
        <w:rPr>
          <w:rFonts w:asciiTheme="minorHAnsi" w:hAnsiTheme="minorHAnsi"/>
          <w:sz w:val="22"/>
          <w:szCs w:val="22"/>
        </w:rPr>
        <w:t>such as</w:t>
      </w:r>
      <w:r w:rsidR="00FE7968">
        <w:rPr>
          <w:rFonts w:asciiTheme="minorHAnsi" w:hAnsiTheme="minorHAnsi"/>
          <w:sz w:val="22"/>
          <w:szCs w:val="22"/>
        </w:rPr>
        <w:t xml:space="preserve"> the provision of all relevant reports in relation to the environment plan.</w:t>
      </w:r>
    </w:p>
    <w:p w14:paraId="6562EEBC" w14:textId="6EDFB441" w:rsidR="00DA78A3" w:rsidRDefault="00EE5406" w:rsidP="00685DB5">
      <w:pPr>
        <w:spacing w:before="120" w:after="120" w:line="276" w:lineRule="auto"/>
        <w:rPr>
          <w:rFonts w:asciiTheme="minorHAnsi" w:hAnsiTheme="minorHAnsi"/>
          <w:sz w:val="22"/>
          <w:szCs w:val="22"/>
        </w:rPr>
      </w:pPr>
      <w:r>
        <w:rPr>
          <w:rFonts w:asciiTheme="minorHAnsi" w:hAnsiTheme="minorHAnsi"/>
          <w:sz w:val="22"/>
          <w:szCs w:val="22"/>
        </w:rPr>
        <w:t xml:space="preserve">Once </w:t>
      </w:r>
      <w:r w:rsidR="00F97DCD">
        <w:rPr>
          <w:rFonts w:asciiTheme="minorHAnsi" w:hAnsiTheme="minorHAnsi"/>
          <w:sz w:val="22"/>
          <w:szCs w:val="22"/>
        </w:rPr>
        <w:t xml:space="preserve">a titleholder has given </w:t>
      </w:r>
      <w:r>
        <w:rPr>
          <w:rFonts w:asciiTheme="minorHAnsi" w:hAnsiTheme="minorHAnsi"/>
          <w:sz w:val="22"/>
          <w:szCs w:val="22"/>
        </w:rPr>
        <w:t xml:space="preserve">notification under regulation 25A, NOPSEMA will conduct its own verification to confirm all obligations under the environment plan have been completed. This will include checking the status of inspection recommendations, incidents, reporting, and environmental performance. </w:t>
      </w:r>
      <w:r w:rsidR="0061687A" w:rsidRPr="00062B9A">
        <w:rPr>
          <w:rFonts w:asciiTheme="minorHAnsi" w:hAnsiTheme="minorHAnsi"/>
          <w:sz w:val="22"/>
          <w:szCs w:val="22"/>
        </w:rPr>
        <w:t>NOPSEMA will advise the titleholder when the notification has been accepted</w:t>
      </w:r>
      <w:r w:rsidR="006B393E">
        <w:rPr>
          <w:rFonts w:asciiTheme="minorHAnsi" w:hAnsiTheme="minorHAnsi"/>
          <w:sz w:val="22"/>
          <w:szCs w:val="22"/>
        </w:rPr>
        <w:t>,</w:t>
      </w:r>
      <w:r w:rsidR="0061687A" w:rsidRPr="00062B9A">
        <w:rPr>
          <w:rFonts w:asciiTheme="minorHAnsi" w:hAnsiTheme="minorHAnsi"/>
          <w:sz w:val="22"/>
          <w:szCs w:val="22"/>
        </w:rPr>
        <w:t xml:space="preserve"> or if further action is required prior to NOPSEMA being able to accept the notification. </w:t>
      </w:r>
    </w:p>
    <w:p w14:paraId="6D6D6E4F" w14:textId="58B66F4A" w:rsidR="00433221" w:rsidRDefault="00DA78A3" w:rsidP="00685DB5">
      <w:pPr>
        <w:spacing w:before="120" w:after="120" w:line="276" w:lineRule="auto"/>
      </w:pPr>
      <w:r w:rsidRPr="00445153">
        <w:rPr>
          <w:rFonts w:asciiTheme="minorHAnsi" w:hAnsiTheme="minorHAnsi"/>
          <w:noProof/>
          <w:sz w:val="22"/>
          <w:szCs w:val="22"/>
        </w:rPr>
        <mc:AlternateContent>
          <mc:Choice Requires="wps">
            <w:drawing>
              <wp:anchor distT="45720" distB="45720" distL="114300" distR="114300" simplePos="0" relativeHeight="251664417" behindDoc="0" locked="0" layoutInCell="1" allowOverlap="1" wp14:anchorId="5433EC28" wp14:editId="1712286C">
                <wp:simplePos x="0" y="0"/>
                <wp:positionH relativeFrom="margin">
                  <wp:posOffset>0</wp:posOffset>
                </wp:positionH>
                <wp:positionV relativeFrom="paragraph">
                  <wp:posOffset>696595</wp:posOffset>
                </wp:positionV>
                <wp:extent cx="5705475" cy="752475"/>
                <wp:effectExtent l="0" t="0" r="28575"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752475"/>
                        </a:xfrm>
                        <a:prstGeom prst="rect">
                          <a:avLst/>
                        </a:prstGeom>
                        <a:solidFill>
                          <a:schemeClr val="accent1">
                            <a:lumMod val="20000"/>
                            <a:lumOff val="80000"/>
                          </a:schemeClr>
                        </a:solidFill>
                        <a:ln w="9525">
                          <a:solidFill>
                            <a:schemeClr val="tx1"/>
                          </a:solidFill>
                          <a:miter lim="800000"/>
                          <a:headEnd/>
                          <a:tailEnd/>
                        </a:ln>
                      </wps:spPr>
                      <wps:txbx>
                        <w:txbxContent>
                          <w:p w14:paraId="1B9B621F" w14:textId="17DB1F7B" w:rsidR="00934F2F" w:rsidRPr="00433221" w:rsidRDefault="00934F2F" w:rsidP="00DA78A3">
                            <w:pPr>
                              <w:spacing w:before="120" w:after="120" w:line="276" w:lineRule="auto"/>
                              <w:rPr>
                                <w:rFonts w:ascii="Calibri" w:hAnsi="Calibri"/>
                                <w:sz w:val="22"/>
                                <w:szCs w:val="22"/>
                              </w:rPr>
                            </w:pPr>
                            <w:r w:rsidRPr="00433221">
                              <w:rPr>
                                <w:rFonts w:ascii="Calibri" w:hAnsi="Calibri"/>
                                <w:sz w:val="22"/>
                                <w:szCs w:val="22"/>
                              </w:rPr>
                              <w:t xml:space="preserve">NOPSEMA has published </w:t>
                            </w:r>
                            <w:hyperlink r:id="rId31" w:tooltip="https://www.nopsema.gov.au/assets/Guidelines/A492753.pdf" w:history="1">
                              <w:r w:rsidRPr="00433221">
                                <w:rPr>
                                  <w:rStyle w:val="Hyperlink"/>
                                  <w:rFonts w:ascii="Calibri" w:hAnsi="Calibri"/>
                                  <w:sz w:val="22"/>
                                  <w:szCs w:val="22"/>
                                </w:rPr>
                                <w:t>guidance</w:t>
                              </w:r>
                            </w:hyperlink>
                            <w:r w:rsidRPr="00433221">
                              <w:rPr>
                                <w:rFonts w:ascii="Calibri" w:hAnsi="Calibri"/>
                                <w:sz w:val="22"/>
                                <w:szCs w:val="22"/>
                              </w:rPr>
                              <w:t xml:space="preserve"> </w:t>
                            </w:r>
                            <w:r>
                              <w:rPr>
                                <w:rFonts w:ascii="Calibri" w:hAnsi="Calibri"/>
                                <w:sz w:val="22"/>
                                <w:szCs w:val="22"/>
                              </w:rPr>
                              <w:t xml:space="preserve">on </w:t>
                            </w:r>
                            <w:r w:rsidRPr="00433221">
                              <w:rPr>
                                <w:rFonts w:ascii="Calibri" w:hAnsi="Calibri"/>
                                <w:sz w:val="22"/>
                                <w:szCs w:val="22"/>
                              </w:rPr>
                              <w:t xml:space="preserve">the end of operation of environment plans on its website. It is recommended that titleholders are familiar with this guidance and with obligations under the Environment Regulations in determining whether a </w:t>
                            </w:r>
                            <w:proofErr w:type="gramStart"/>
                            <w:r w:rsidRPr="00433221">
                              <w:rPr>
                                <w:rFonts w:ascii="Calibri" w:hAnsi="Calibri"/>
                                <w:sz w:val="22"/>
                                <w:szCs w:val="22"/>
                              </w:rPr>
                              <w:t>particular environment</w:t>
                            </w:r>
                            <w:proofErr w:type="gramEnd"/>
                            <w:r w:rsidRPr="00433221">
                              <w:rPr>
                                <w:rFonts w:ascii="Calibri" w:hAnsi="Calibri"/>
                                <w:sz w:val="22"/>
                                <w:szCs w:val="22"/>
                              </w:rPr>
                              <w:t xml:space="preserve"> plan has ended.</w:t>
                            </w:r>
                          </w:p>
                          <w:p w14:paraId="1BF31E35" w14:textId="7188791E" w:rsidR="00934F2F" w:rsidRDefault="00934F2F" w:rsidP="00DA78A3">
                            <w:pPr>
                              <w:pStyle w:val="ListParagraph"/>
                              <w:spacing w:before="120" w:after="120"/>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33EC28" id="_x0000_s1029" type="#_x0000_t202" style="position:absolute;margin-left:0;margin-top:54.85pt;width:449.25pt;height:59.25pt;z-index:25166441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" fillcolor="#deeaf6 [660]" strokecolor="black [3213]">
                <v:textbox>
                  <w:txbxContent>
                    <w:p w14:paraId="1B9B621F" w14:textId="17DB1F7B" w:rsidR="00934F2F" w:rsidRPr="00433221" w:rsidRDefault="00934F2F" w:rsidP="00DA78A3">
                      <w:pPr>
                        <w:spacing w:before="120" w:after="120" w:line="276" w:lineRule="auto"/>
                        <w:rPr>
                          <w:rFonts w:ascii="Calibri" w:hAnsi="Calibri"/>
                          <w:sz w:val="22"/>
                          <w:szCs w:val="22"/>
                        </w:rPr>
                      </w:pPr>
                      <w:r w:rsidRPr="00433221">
                        <w:rPr>
                          <w:rFonts w:ascii="Calibri" w:hAnsi="Calibri"/>
                          <w:sz w:val="22"/>
                          <w:szCs w:val="22"/>
                        </w:rPr>
                        <w:t xml:space="preserve">NOPSEMA has published </w:t>
                      </w:r>
                      <w:hyperlink r:id="rId32" w:tooltip="https://www.nopsema.gov.au/assets/Guidelines/A492753.pdf" w:history="1">
                        <w:r w:rsidRPr="00433221">
                          <w:rPr>
                            <w:rStyle w:val="Hyperlink"/>
                            <w:rFonts w:ascii="Calibri" w:hAnsi="Calibri"/>
                            <w:sz w:val="22"/>
                            <w:szCs w:val="22"/>
                          </w:rPr>
                          <w:t>guidance</w:t>
                        </w:r>
                      </w:hyperlink>
                      <w:r w:rsidRPr="00433221">
                        <w:rPr>
                          <w:rFonts w:ascii="Calibri" w:hAnsi="Calibri"/>
                          <w:sz w:val="22"/>
                          <w:szCs w:val="22"/>
                        </w:rPr>
                        <w:t xml:space="preserve"> </w:t>
                      </w:r>
                      <w:r>
                        <w:rPr>
                          <w:rFonts w:ascii="Calibri" w:hAnsi="Calibri"/>
                          <w:sz w:val="22"/>
                          <w:szCs w:val="22"/>
                        </w:rPr>
                        <w:t xml:space="preserve">on </w:t>
                      </w:r>
                      <w:r w:rsidRPr="00433221">
                        <w:rPr>
                          <w:rFonts w:ascii="Calibri" w:hAnsi="Calibri"/>
                          <w:sz w:val="22"/>
                          <w:szCs w:val="22"/>
                        </w:rPr>
                        <w:t xml:space="preserve">the end of operation of environment plans on its website. It is recommended that titleholders are familiar with this guidance and with obligations under the Environment Regulations in determining whether a </w:t>
                      </w:r>
                      <w:proofErr w:type="gramStart"/>
                      <w:r w:rsidRPr="00433221">
                        <w:rPr>
                          <w:rFonts w:ascii="Calibri" w:hAnsi="Calibri"/>
                          <w:sz w:val="22"/>
                          <w:szCs w:val="22"/>
                        </w:rPr>
                        <w:t>particular environment</w:t>
                      </w:r>
                      <w:proofErr w:type="gramEnd"/>
                      <w:r w:rsidRPr="00433221">
                        <w:rPr>
                          <w:rFonts w:ascii="Calibri" w:hAnsi="Calibri"/>
                          <w:sz w:val="22"/>
                          <w:szCs w:val="22"/>
                        </w:rPr>
                        <w:t xml:space="preserve"> plan has ended.</w:t>
                      </w:r>
                    </w:p>
                    <w:p w14:paraId="1BF31E35" w14:textId="7188791E" w:rsidR="00934F2F" w:rsidRDefault="00934F2F" w:rsidP="00DA78A3">
                      <w:pPr>
                        <w:pStyle w:val="ListParagraph"/>
                        <w:spacing w:before="120" w:after="120"/>
                        <w:ind w:left="0"/>
                      </w:pPr>
                    </w:p>
                  </w:txbxContent>
                </v:textbox>
                <w10:wrap type="square" anchorx="margin"/>
              </v:shape>
            </w:pict>
          </mc:Fallback>
        </mc:AlternateContent>
      </w:r>
      <w:r w:rsidR="0061687A" w:rsidRPr="00062B9A">
        <w:rPr>
          <w:rFonts w:asciiTheme="minorHAnsi" w:hAnsiTheme="minorHAnsi"/>
          <w:sz w:val="22"/>
          <w:szCs w:val="22"/>
        </w:rPr>
        <w:t xml:space="preserve">Once the notification is accepted, the </w:t>
      </w:r>
      <w:r w:rsidR="0061687A">
        <w:rPr>
          <w:rFonts w:asciiTheme="minorHAnsi" w:hAnsiTheme="minorHAnsi"/>
          <w:sz w:val="22"/>
          <w:szCs w:val="22"/>
        </w:rPr>
        <w:t>environment plan</w:t>
      </w:r>
      <w:r w:rsidR="0061687A" w:rsidRPr="00062B9A">
        <w:rPr>
          <w:rFonts w:asciiTheme="minorHAnsi" w:hAnsiTheme="minorHAnsi"/>
          <w:sz w:val="22"/>
          <w:szCs w:val="22"/>
        </w:rPr>
        <w:t xml:space="preserve"> </w:t>
      </w:r>
      <w:r w:rsidR="0061687A">
        <w:rPr>
          <w:rFonts w:asciiTheme="minorHAnsi" w:hAnsiTheme="minorHAnsi"/>
          <w:sz w:val="22"/>
          <w:szCs w:val="22"/>
        </w:rPr>
        <w:t>ends</w:t>
      </w:r>
      <w:r w:rsidR="00C9575F">
        <w:rPr>
          <w:rFonts w:asciiTheme="minorHAnsi" w:hAnsiTheme="minorHAnsi"/>
          <w:sz w:val="22"/>
          <w:szCs w:val="22"/>
        </w:rPr>
        <w:t>,</w:t>
      </w:r>
      <w:r w:rsidR="0061687A">
        <w:rPr>
          <w:rFonts w:asciiTheme="minorHAnsi" w:hAnsiTheme="minorHAnsi"/>
          <w:sz w:val="22"/>
          <w:szCs w:val="22"/>
        </w:rPr>
        <w:t xml:space="preserve"> meaning it </w:t>
      </w:r>
      <w:r w:rsidR="0061687A" w:rsidRPr="00917EDE">
        <w:rPr>
          <w:rFonts w:asciiTheme="minorHAnsi" w:hAnsiTheme="minorHAnsi"/>
          <w:sz w:val="22"/>
          <w:szCs w:val="22"/>
        </w:rPr>
        <w:t>is no longer in</w:t>
      </w:r>
      <w:r w:rsidR="0061687A">
        <w:rPr>
          <w:rFonts w:asciiTheme="minorHAnsi" w:hAnsiTheme="minorHAnsi"/>
          <w:sz w:val="22"/>
          <w:szCs w:val="22"/>
        </w:rPr>
        <w:t xml:space="preserve"> </w:t>
      </w:r>
      <w:r w:rsidR="0061687A" w:rsidRPr="00062B9A">
        <w:rPr>
          <w:rFonts w:asciiTheme="minorHAnsi" w:hAnsiTheme="minorHAnsi"/>
          <w:sz w:val="22"/>
          <w:szCs w:val="22"/>
        </w:rPr>
        <w:t>force</w:t>
      </w:r>
      <w:r w:rsidR="0061687A">
        <w:rPr>
          <w:rFonts w:asciiTheme="minorHAnsi" w:hAnsiTheme="minorHAnsi"/>
          <w:sz w:val="22"/>
          <w:szCs w:val="22"/>
        </w:rPr>
        <w:t xml:space="preserve"> for the activity</w:t>
      </w:r>
      <w:r w:rsidR="0061687A" w:rsidRPr="00062B9A">
        <w:rPr>
          <w:rFonts w:asciiTheme="minorHAnsi" w:hAnsiTheme="minorHAnsi"/>
          <w:sz w:val="22"/>
          <w:szCs w:val="22"/>
        </w:rPr>
        <w:t xml:space="preserve">, and the </w:t>
      </w:r>
      <w:r w:rsidR="0061687A">
        <w:rPr>
          <w:rFonts w:asciiTheme="minorHAnsi" w:hAnsiTheme="minorHAnsi"/>
          <w:sz w:val="22"/>
          <w:szCs w:val="22"/>
        </w:rPr>
        <w:t>ability</w:t>
      </w:r>
      <w:r w:rsidR="0061687A" w:rsidRPr="00062B9A">
        <w:rPr>
          <w:rFonts w:asciiTheme="minorHAnsi" w:hAnsiTheme="minorHAnsi"/>
          <w:sz w:val="22"/>
          <w:szCs w:val="22"/>
        </w:rPr>
        <w:t xml:space="preserve"> to conduct the activity </w:t>
      </w:r>
      <w:r w:rsidR="0061687A">
        <w:rPr>
          <w:rFonts w:asciiTheme="minorHAnsi" w:hAnsiTheme="minorHAnsi"/>
          <w:sz w:val="22"/>
          <w:szCs w:val="22"/>
        </w:rPr>
        <w:t>under that environment plan ceases</w:t>
      </w:r>
      <w:r w:rsidR="0061687A" w:rsidRPr="00062B9A">
        <w:rPr>
          <w:rFonts w:asciiTheme="minorHAnsi" w:hAnsiTheme="minorHAnsi"/>
          <w:sz w:val="22"/>
          <w:szCs w:val="22"/>
        </w:rPr>
        <w:t xml:space="preserve">. The </w:t>
      </w:r>
      <w:r w:rsidR="0061687A">
        <w:rPr>
          <w:rFonts w:asciiTheme="minorHAnsi" w:hAnsiTheme="minorHAnsi"/>
          <w:sz w:val="22"/>
          <w:szCs w:val="22"/>
        </w:rPr>
        <w:t>environment plan</w:t>
      </w:r>
      <w:r w:rsidR="0061687A" w:rsidRPr="00062B9A">
        <w:rPr>
          <w:rFonts w:asciiTheme="minorHAnsi" w:hAnsiTheme="minorHAnsi"/>
          <w:sz w:val="22"/>
          <w:szCs w:val="22"/>
        </w:rPr>
        <w:t xml:space="preserve"> cannot be reactivated or revised after this time.</w:t>
      </w:r>
      <w:r w:rsidR="0061687A">
        <w:t xml:space="preserve"> </w:t>
      </w:r>
    </w:p>
    <w:p w14:paraId="5D8033A9" w14:textId="56738DE3" w:rsidR="0061687A" w:rsidRPr="00125D28" w:rsidRDefault="00556F40" w:rsidP="00125D28">
      <w:pPr>
        <w:pStyle w:val="Heading3"/>
      </w:pPr>
      <w:bookmarkStart w:id="156" w:name="_Toc486939255"/>
      <w:bookmarkStart w:id="157" w:name="_Toc486939328"/>
      <w:bookmarkStart w:id="158" w:name="_Toc486949865"/>
      <w:bookmarkStart w:id="159" w:name="_Toc486950226"/>
      <w:bookmarkStart w:id="160" w:name="_Toc486956424"/>
      <w:bookmarkStart w:id="161" w:name="_Toc489460737"/>
      <w:bookmarkStart w:id="162" w:name="_Toc489460845"/>
      <w:r w:rsidRPr="00125D28">
        <w:t>4.1.</w:t>
      </w:r>
      <w:r w:rsidR="001A5832" w:rsidRPr="00125D28">
        <w:t>2</w:t>
      </w:r>
      <w:r w:rsidR="0061687A" w:rsidRPr="00125D28">
        <w:tab/>
      </w:r>
      <w:bookmarkEnd w:id="156"/>
      <w:bookmarkEnd w:id="157"/>
      <w:r w:rsidR="00685DB5" w:rsidRPr="00125D28">
        <w:t>Safety</w:t>
      </w:r>
      <w:bookmarkEnd w:id="158"/>
      <w:bookmarkEnd w:id="159"/>
      <w:bookmarkEnd w:id="160"/>
      <w:bookmarkEnd w:id="161"/>
      <w:bookmarkEnd w:id="162"/>
    </w:p>
    <w:p w14:paraId="1A4AB0F0" w14:textId="1387CB6C" w:rsidR="0061687A" w:rsidRDefault="0061687A" w:rsidP="0061687A">
      <w:pPr>
        <w:spacing w:before="120" w:after="120" w:line="276" w:lineRule="auto"/>
        <w:rPr>
          <w:rFonts w:asciiTheme="minorHAnsi" w:hAnsiTheme="minorHAnsi"/>
          <w:sz w:val="22"/>
          <w:szCs w:val="22"/>
        </w:rPr>
      </w:pPr>
      <w:r>
        <w:rPr>
          <w:rFonts w:asciiTheme="minorHAnsi" w:hAnsiTheme="minorHAnsi"/>
          <w:sz w:val="22"/>
          <w:szCs w:val="22"/>
        </w:rPr>
        <w:t>Safety</w:t>
      </w:r>
      <w:r w:rsidRPr="002F605A">
        <w:rPr>
          <w:rFonts w:asciiTheme="minorHAnsi" w:hAnsiTheme="minorHAnsi"/>
          <w:sz w:val="22"/>
          <w:szCs w:val="22"/>
        </w:rPr>
        <w:t xml:space="preserve"> </w:t>
      </w:r>
      <w:r w:rsidR="001A5832">
        <w:rPr>
          <w:rFonts w:asciiTheme="minorHAnsi" w:hAnsiTheme="minorHAnsi"/>
          <w:sz w:val="22"/>
          <w:szCs w:val="22"/>
        </w:rPr>
        <w:t>of</w:t>
      </w:r>
      <w:r>
        <w:rPr>
          <w:rFonts w:asciiTheme="minorHAnsi" w:hAnsiTheme="minorHAnsi"/>
          <w:sz w:val="22"/>
          <w:szCs w:val="22"/>
        </w:rPr>
        <w:t xml:space="preserve"> offshore petroleum </w:t>
      </w:r>
      <w:r w:rsidR="001A5832">
        <w:rPr>
          <w:rFonts w:asciiTheme="minorHAnsi" w:hAnsiTheme="minorHAnsi"/>
          <w:sz w:val="22"/>
          <w:szCs w:val="22"/>
        </w:rPr>
        <w:t>operations</w:t>
      </w:r>
      <w:r w:rsidRPr="002F605A">
        <w:rPr>
          <w:rFonts w:asciiTheme="minorHAnsi" w:hAnsiTheme="minorHAnsi"/>
          <w:sz w:val="22"/>
          <w:szCs w:val="22"/>
        </w:rPr>
        <w:t xml:space="preserve"> is regulated under Schedu</w:t>
      </w:r>
      <w:r>
        <w:rPr>
          <w:rFonts w:asciiTheme="minorHAnsi" w:hAnsiTheme="minorHAnsi"/>
          <w:sz w:val="22"/>
          <w:szCs w:val="22"/>
        </w:rPr>
        <w:t xml:space="preserve">le 3 to the OPGGS Act and under </w:t>
      </w:r>
      <w:r w:rsidRPr="002F605A">
        <w:rPr>
          <w:rFonts w:asciiTheme="minorHAnsi" w:hAnsiTheme="minorHAnsi"/>
          <w:sz w:val="22"/>
          <w:szCs w:val="22"/>
        </w:rPr>
        <w:t xml:space="preserve">the </w:t>
      </w:r>
      <w:hyperlink r:id="rId33" w:tooltip="https://www.legislation.gov.au/Details/F2013C00945" w:history="1">
        <w:r w:rsidRPr="001B7746">
          <w:rPr>
            <w:rStyle w:val="Hyperlink"/>
            <w:rFonts w:asciiTheme="minorHAnsi" w:hAnsiTheme="minorHAnsi"/>
            <w:i/>
            <w:sz w:val="22"/>
            <w:szCs w:val="22"/>
          </w:rPr>
          <w:t>Offshore Petroleum and Greenhouse Gas Storage (Safety) Regulations 2009</w:t>
        </w:r>
      </w:hyperlink>
      <w:r w:rsidRPr="002F605A">
        <w:rPr>
          <w:rFonts w:asciiTheme="minorHAnsi" w:hAnsiTheme="minorHAnsi"/>
          <w:i/>
          <w:sz w:val="22"/>
          <w:szCs w:val="22"/>
        </w:rPr>
        <w:t xml:space="preserve"> </w:t>
      </w:r>
      <w:r w:rsidRPr="002F605A">
        <w:rPr>
          <w:rFonts w:asciiTheme="minorHAnsi" w:hAnsiTheme="minorHAnsi"/>
          <w:sz w:val="22"/>
          <w:szCs w:val="22"/>
        </w:rPr>
        <w:t>(Safety Regulations)</w:t>
      </w:r>
      <w:r w:rsidR="00433221">
        <w:rPr>
          <w:rFonts w:asciiTheme="minorHAnsi" w:hAnsiTheme="minorHAnsi"/>
          <w:sz w:val="22"/>
          <w:szCs w:val="22"/>
        </w:rPr>
        <w:t>.</w:t>
      </w:r>
    </w:p>
    <w:p w14:paraId="3E72B929" w14:textId="34852313" w:rsidR="0061687A" w:rsidRPr="00125D28" w:rsidRDefault="001A5832" w:rsidP="00125D28">
      <w:pPr>
        <w:pStyle w:val="Heading4"/>
      </w:pPr>
      <w:bookmarkStart w:id="163" w:name="Safety_Case"/>
      <w:r w:rsidRPr="00125D28">
        <w:t xml:space="preserve">4.1.2.1 </w:t>
      </w:r>
      <w:r w:rsidR="00685DB5" w:rsidRPr="00125D28">
        <w:t>Safety c</w:t>
      </w:r>
      <w:r w:rsidR="0061687A" w:rsidRPr="00125D28">
        <w:t>ases</w:t>
      </w:r>
    </w:p>
    <w:bookmarkEnd w:id="163"/>
    <w:p w14:paraId="523628CB" w14:textId="6AAA8DA3" w:rsidR="0061687A" w:rsidRDefault="003D08DD" w:rsidP="0061687A">
      <w:pPr>
        <w:spacing w:before="120" w:after="120" w:line="276" w:lineRule="auto"/>
        <w:rPr>
          <w:rFonts w:asciiTheme="minorHAnsi" w:hAnsiTheme="minorHAnsi"/>
          <w:sz w:val="22"/>
          <w:szCs w:val="22"/>
        </w:rPr>
      </w:pPr>
      <w:r>
        <w:rPr>
          <w:rFonts w:asciiTheme="minorHAnsi" w:hAnsiTheme="minorHAnsi"/>
          <w:sz w:val="22"/>
          <w:szCs w:val="22"/>
        </w:rPr>
        <w:t xml:space="preserve">Decommissioning activities (particularly removing property) will often involve work undertaken at or near a facility. </w:t>
      </w:r>
      <w:r w:rsidR="0061687A">
        <w:rPr>
          <w:rFonts w:asciiTheme="minorHAnsi" w:hAnsiTheme="minorHAnsi"/>
          <w:sz w:val="22"/>
          <w:szCs w:val="22"/>
        </w:rPr>
        <w:t>Under the Safety Regulations, persons are not permitted to undertake</w:t>
      </w:r>
      <w:r w:rsidR="0061687A" w:rsidRPr="002F605A">
        <w:rPr>
          <w:rFonts w:asciiTheme="minorHAnsi" w:hAnsiTheme="minorHAnsi"/>
          <w:sz w:val="22"/>
          <w:szCs w:val="22"/>
        </w:rPr>
        <w:t xml:space="preserve"> any work</w:t>
      </w:r>
      <w:r w:rsidR="0061687A">
        <w:rPr>
          <w:rFonts w:asciiTheme="minorHAnsi" w:hAnsiTheme="minorHAnsi"/>
          <w:sz w:val="22"/>
          <w:szCs w:val="22"/>
        </w:rPr>
        <w:t xml:space="preserve"> with respect to a facility</w:t>
      </w:r>
      <w:r w:rsidR="0061687A" w:rsidRPr="002F605A">
        <w:rPr>
          <w:rFonts w:asciiTheme="minorHAnsi" w:hAnsiTheme="minorHAnsi"/>
          <w:sz w:val="22"/>
          <w:szCs w:val="22"/>
        </w:rPr>
        <w:t xml:space="preserve"> in Commonwealth waters </w:t>
      </w:r>
      <w:r w:rsidR="001A5832">
        <w:rPr>
          <w:rFonts w:asciiTheme="minorHAnsi" w:hAnsiTheme="minorHAnsi"/>
          <w:sz w:val="22"/>
          <w:szCs w:val="22"/>
        </w:rPr>
        <w:t>–</w:t>
      </w:r>
      <w:r w:rsidR="0061687A">
        <w:rPr>
          <w:rFonts w:asciiTheme="minorHAnsi" w:hAnsiTheme="minorHAnsi"/>
          <w:sz w:val="22"/>
          <w:szCs w:val="22"/>
        </w:rPr>
        <w:t xml:space="preserve"> </w:t>
      </w:r>
      <w:r w:rsidR="0061687A" w:rsidRPr="002F605A">
        <w:rPr>
          <w:rFonts w:asciiTheme="minorHAnsi" w:hAnsiTheme="minorHAnsi"/>
          <w:sz w:val="22"/>
          <w:szCs w:val="22"/>
        </w:rPr>
        <w:t xml:space="preserve">including </w:t>
      </w:r>
      <w:r w:rsidR="0061687A">
        <w:rPr>
          <w:rFonts w:asciiTheme="minorHAnsi" w:hAnsiTheme="minorHAnsi"/>
          <w:sz w:val="22"/>
          <w:szCs w:val="22"/>
        </w:rPr>
        <w:t>decommissioning</w:t>
      </w:r>
      <w:r w:rsidR="001A5832">
        <w:rPr>
          <w:rFonts w:asciiTheme="minorHAnsi" w:hAnsiTheme="minorHAnsi"/>
          <w:sz w:val="22"/>
          <w:szCs w:val="22"/>
        </w:rPr>
        <w:t xml:space="preserve"> a facility or part of a facility</w:t>
      </w:r>
      <w:r w:rsidR="0061687A">
        <w:rPr>
          <w:rFonts w:asciiTheme="minorHAnsi" w:hAnsiTheme="minorHAnsi"/>
          <w:sz w:val="22"/>
          <w:szCs w:val="22"/>
        </w:rPr>
        <w:t xml:space="preserve"> – without a safety case in force that provides for the relevant </w:t>
      </w:r>
      <w:r w:rsidR="001A5832">
        <w:rPr>
          <w:rFonts w:asciiTheme="minorHAnsi" w:hAnsiTheme="minorHAnsi"/>
          <w:sz w:val="22"/>
          <w:szCs w:val="22"/>
        </w:rPr>
        <w:t>activity</w:t>
      </w:r>
      <w:r w:rsidR="0061687A">
        <w:rPr>
          <w:rFonts w:asciiTheme="minorHAnsi" w:hAnsiTheme="minorHAnsi"/>
          <w:sz w:val="22"/>
          <w:szCs w:val="22"/>
        </w:rPr>
        <w:t>.</w:t>
      </w:r>
    </w:p>
    <w:p w14:paraId="02782009" w14:textId="77777777" w:rsidR="00F97DCD" w:rsidRDefault="0061687A" w:rsidP="0061687A">
      <w:pPr>
        <w:spacing w:before="120" w:after="120" w:line="276" w:lineRule="auto"/>
        <w:rPr>
          <w:rFonts w:asciiTheme="minorHAnsi" w:hAnsiTheme="minorHAnsi"/>
          <w:sz w:val="22"/>
          <w:szCs w:val="22"/>
        </w:rPr>
      </w:pPr>
      <w:r>
        <w:rPr>
          <w:rFonts w:asciiTheme="minorHAnsi" w:hAnsiTheme="minorHAnsi"/>
          <w:sz w:val="22"/>
          <w:szCs w:val="22"/>
        </w:rPr>
        <w:t>If the operator of a facility wishes to have a safety case accepted for that facility, they must submit the safety case to NOPSEMA</w:t>
      </w:r>
      <w:r w:rsidR="001A5832">
        <w:rPr>
          <w:rFonts w:asciiTheme="minorHAnsi" w:hAnsiTheme="minorHAnsi"/>
          <w:sz w:val="22"/>
          <w:szCs w:val="22"/>
        </w:rPr>
        <w:t xml:space="preserve"> under regulation 2.24 of the Safety Regulations</w:t>
      </w:r>
      <w:r w:rsidR="000E1CC7">
        <w:rPr>
          <w:rFonts w:asciiTheme="minorHAnsi" w:hAnsiTheme="minorHAnsi"/>
          <w:sz w:val="22"/>
          <w:szCs w:val="22"/>
        </w:rPr>
        <w:t xml:space="preserve">. </w:t>
      </w:r>
      <w:r w:rsidRPr="002F605A">
        <w:rPr>
          <w:rFonts w:asciiTheme="minorHAnsi" w:hAnsiTheme="minorHAnsi"/>
          <w:sz w:val="22"/>
          <w:szCs w:val="22"/>
        </w:rPr>
        <w:t xml:space="preserve">The </w:t>
      </w:r>
      <w:r>
        <w:rPr>
          <w:rFonts w:asciiTheme="minorHAnsi" w:hAnsiTheme="minorHAnsi"/>
          <w:sz w:val="22"/>
          <w:szCs w:val="22"/>
        </w:rPr>
        <w:t xml:space="preserve">safety </w:t>
      </w:r>
      <w:r w:rsidRPr="002F605A">
        <w:rPr>
          <w:rFonts w:asciiTheme="minorHAnsi" w:hAnsiTheme="minorHAnsi"/>
          <w:sz w:val="22"/>
          <w:szCs w:val="22"/>
        </w:rPr>
        <w:t xml:space="preserve">case is </w:t>
      </w:r>
      <w:r>
        <w:rPr>
          <w:rFonts w:asciiTheme="minorHAnsi" w:hAnsiTheme="minorHAnsi"/>
          <w:sz w:val="22"/>
          <w:szCs w:val="22"/>
        </w:rPr>
        <w:t xml:space="preserve">then </w:t>
      </w:r>
      <w:r w:rsidRPr="002F605A">
        <w:rPr>
          <w:rFonts w:asciiTheme="minorHAnsi" w:hAnsiTheme="minorHAnsi"/>
          <w:sz w:val="22"/>
          <w:szCs w:val="22"/>
        </w:rPr>
        <w:t xml:space="preserve">subject to an </w:t>
      </w:r>
      <w:r>
        <w:rPr>
          <w:rFonts w:asciiTheme="minorHAnsi" w:hAnsiTheme="minorHAnsi"/>
          <w:sz w:val="22"/>
          <w:szCs w:val="22"/>
        </w:rPr>
        <w:t>assessment</w:t>
      </w:r>
      <w:r w:rsidRPr="002F605A">
        <w:rPr>
          <w:rFonts w:asciiTheme="minorHAnsi" w:hAnsiTheme="minorHAnsi"/>
          <w:sz w:val="22"/>
          <w:szCs w:val="22"/>
        </w:rPr>
        <w:t xml:space="preserve"> process, which enables NOPSEMA to </w:t>
      </w:r>
      <w:r w:rsidR="006E4C07">
        <w:rPr>
          <w:rFonts w:asciiTheme="minorHAnsi" w:hAnsiTheme="minorHAnsi"/>
          <w:sz w:val="22"/>
          <w:szCs w:val="22"/>
        </w:rPr>
        <w:t>evaluate</w:t>
      </w:r>
      <w:r w:rsidR="006E4C07" w:rsidRPr="002F605A">
        <w:rPr>
          <w:rFonts w:asciiTheme="minorHAnsi" w:hAnsiTheme="minorHAnsi"/>
          <w:sz w:val="22"/>
          <w:szCs w:val="22"/>
        </w:rPr>
        <w:t xml:space="preserve"> </w:t>
      </w:r>
      <w:r w:rsidRPr="002F605A">
        <w:rPr>
          <w:rFonts w:asciiTheme="minorHAnsi" w:hAnsiTheme="minorHAnsi"/>
          <w:sz w:val="22"/>
          <w:szCs w:val="22"/>
        </w:rPr>
        <w:t>and challenge t</w:t>
      </w:r>
      <w:r w:rsidR="00BA7399">
        <w:rPr>
          <w:rFonts w:asciiTheme="minorHAnsi" w:hAnsiTheme="minorHAnsi"/>
          <w:sz w:val="22"/>
          <w:szCs w:val="22"/>
        </w:rPr>
        <w:t>he</w:t>
      </w:r>
      <w:r w:rsidR="000E1CC7">
        <w:rPr>
          <w:rFonts w:asciiTheme="minorHAnsi" w:hAnsiTheme="minorHAnsi"/>
          <w:sz w:val="22"/>
          <w:szCs w:val="22"/>
        </w:rPr>
        <w:t xml:space="preserve"> operator’s proposed</w:t>
      </w:r>
      <w:r w:rsidR="00BA7399">
        <w:rPr>
          <w:rFonts w:asciiTheme="minorHAnsi" w:hAnsiTheme="minorHAnsi"/>
          <w:sz w:val="22"/>
          <w:szCs w:val="22"/>
        </w:rPr>
        <w:t xml:space="preserve"> risk management arrangements, </w:t>
      </w:r>
      <w:r w:rsidRPr="002F605A">
        <w:rPr>
          <w:rFonts w:asciiTheme="minorHAnsi" w:hAnsiTheme="minorHAnsi"/>
          <w:sz w:val="22"/>
          <w:szCs w:val="22"/>
        </w:rPr>
        <w:t xml:space="preserve">performance standards and control </w:t>
      </w:r>
      <w:r w:rsidR="000E1CC7">
        <w:rPr>
          <w:rFonts w:asciiTheme="minorHAnsi" w:hAnsiTheme="minorHAnsi"/>
          <w:sz w:val="22"/>
          <w:szCs w:val="22"/>
        </w:rPr>
        <w:t>measures</w:t>
      </w:r>
      <w:r w:rsidR="00433221">
        <w:rPr>
          <w:rFonts w:asciiTheme="minorHAnsi" w:hAnsiTheme="minorHAnsi"/>
          <w:sz w:val="22"/>
          <w:szCs w:val="22"/>
        </w:rPr>
        <w:t xml:space="preserve">. </w:t>
      </w:r>
    </w:p>
    <w:p w14:paraId="53B8CF1C" w14:textId="48309072" w:rsidR="00FE7968" w:rsidRDefault="00F97DCD" w:rsidP="0061687A">
      <w:pPr>
        <w:spacing w:before="120" w:after="120" w:line="276" w:lineRule="auto"/>
        <w:rPr>
          <w:rFonts w:asciiTheme="minorHAnsi" w:hAnsiTheme="minorHAnsi"/>
          <w:sz w:val="22"/>
          <w:szCs w:val="22"/>
        </w:rPr>
      </w:pPr>
      <w:r w:rsidRPr="00445153">
        <w:rPr>
          <w:rFonts w:asciiTheme="minorHAnsi" w:hAnsiTheme="minorHAnsi"/>
          <w:noProof/>
          <w:sz w:val="22"/>
          <w:szCs w:val="22"/>
        </w:rPr>
        <mc:AlternateContent>
          <mc:Choice Requires="wps">
            <w:drawing>
              <wp:anchor distT="45720" distB="45720" distL="114300" distR="114300" simplePos="0" relativeHeight="251662336" behindDoc="0" locked="0" layoutInCell="1" allowOverlap="1" wp14:anchorId="77CDC686" wp14:editId="2C6D2554">
                <wp:simplePos x="0" y="0"/>
                <wp:positionH relativeFrom="margin">
                  <wp:posOffset>0</wp:posOffset>
                </wp:positionH>
                <wp:positionV relativeFrom="paragraph">
                  <wp:posOffset>746760</wp:posOffset>
                </wp:positionV>
                <wp:extent cx="5705475" cy="1257300"/>
                <wp:effectExtent l="0" t="0" r="28575"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257300"/>
                        </a:xfrm>
                        <a:prstGeom prst="rect">
                          <a:avLst/>
                        </a:prstGeom>
                        <a:solidFill>
                          <a:schemeClr val="accent1">
                            <a:lumMod val="20000"/>
                            <a:lumOff val="80000"/>
                          </a:schemeClr>
                        </a:solidFill>
                        <a:ln w="9525">
                          <a:solidFill>
                            <a:schemeClr val="tx1"/>
                          </a:solidFill>
                          <a:miter lim="800000"/>
                          <a:headEnd/>
                          <a:tailEnd/>
                        </a:ln>
                      </wps:spPr>
                      <wps:txbx>
                        <w:txbxContent>
                          <w:p w14:paraId="695B31BA" w14:textId="02EA1509" w:rsidR="00934F2F" w:rsidRDefault="00934F2F" w:rsidP="000E1CC7">
                            <w:pPr>
                              <w:pStyle w:val="ListParagraph"/>
                              <w:spacing w:before="120" w:after="120"/>
                              <w:ind w:left="0"/>
                              <w:contextualSpacing w:val="0"/>
                            </w:pPr>
                            <w:r w:rsidRPr="005A7121">
                              <w:t>NOPSEM</w:t>
                            </w:r>
                            <w:r>
                              <w:t>A has published on its website</w:t>
                            </w:r>
                            <w:r w:rsidRPr="005A7121">
                              <w:t xml:space="preserve"> comprehensive </w:t>
                            </w:r>
                            <w:hyperlink r:id="rId34" w:tooltip="https://www.nopsema.gov.au/safety/safety-resources/" w:history="1">
                              <w:r w:rsidRPr="00163C33">
                                <w:rPr>
                                  <w:rStyle w:val="Hyperlink"/>
                                </w:rPr>
                                <w:t>policy guidance</w:t>
                              </w:r>
                            </w:hyperlink>
                            <w:r w:rsidRPr="005A7121">
                              <w:t xml:space="preserve"> on safety risk management</w:t>
                            </w:r>
                            <w:r>
                              <w:t xml:space="preserve"> (including the safety case framework). </w:t>
                            </w:r>
                            <w:r w:rsidRPr="005A7121">
                              <w:t xml:space="preserve">It is recommended </w:t>
                            </w:r>
                            <w:r>
                              <w:t>that titleholders are familiar</w:t>
                            </w:r>
                            <w:r w:rsidRPr="005A7121">
                              <w:t xml:space="preserve"> with this guidance and with </w:t>
                            </w:r>
                            <w:r>
                              <w:t xml:space="preserve">their </w:t>
                            </w:r>
                            <w:r w:rsidRPr="005A7121">
                              <w:t>obligations und</w:t>
                            </w:r>
                            <w:r>
                              <w:t>er the OPGGS Act and the Safety </w:t>
                            </w:r>
                            <w:r w:rsidRPr="005A7121">
                              <w:t>Regulations before undertaking any activity in relation to a facility.</w:t>
                            </w:r>
                          </w:p>
                          <w:p w14:paraId="6A8F934B" w14:textId="03C9FD5B" w:rsidR="00934F2F" w:rsidRDefault="00934F2F" w:rsidP="000E1CC7">
                            <w:pPr>
                              <w:pStyle w:val="ListParagraph"/>
                              <w:spacing w:before="120" w:after="120"/>
                              <w:ind w:left="0"/>
                            </w:pPr>
                            <w:r>
                              <w:t xml:space="preserve">NOPSEMA also provides an </w:t>
                            </w:r>
                            <w:hyperlink r:id="rId35" w:tooltip="https://www.nopsema.gov.au/assets/Information-papers/A60309.pdf" w:history="1">
                              <w:r w:rsidRPr="00B05D17">
                                <w:rPr>
                                  <w:rStyle w:val="Hyperlink"/>
                                </w:rPr>
                                <w:t>overview</w:t>
                              </w:r>
                            </w:hyperlink>
                            <w:r>
                              <w:t xml:space="preserve"> of applicable OHS laws on its website.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CDC686" id="_x0000_s1030" type="#_x0000_t202" style="position:absolute;margin-left:0;margin-top:58.8pt;width:449.25pt;height:99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" fillcolor="#deeaf6 [660]" strokecolor="black [3213]">
                <v:textbox>
                  <w:txbxContent>
                    <w:p w14:paraId="695B31BA" w14:textId="02EA1509" w:rsidR="00934F2F" w:rsidRDefault="00934F2F" w:rsidP="000E1CC7">
                      <w:pPr>
                        <w:pStyle w:val="ListParagraph"/>
                        <w:spacing w:before="120" w:after="120"/>
                        <w:ind w:left="0"/>
                        <w:contextualSpacing w:val="0"/>
                      </w:pPr>
                      <w:r w:rsidRPr="005A7121">
                        <w:t>NOPSEM</w:t>
                      </w:r>
                      <w:r>
                        <w:t>A has published on its website</w:t>
                      </w:r>
                      <w:r w:rsidRPr="005A7121">
                        <w:t xml:space="preserve"> comprehensive </w:t>
                      </w:r>
                      <w:hyperlink r:id="rId36" w:tooltip="https://www.nopsema.gov.au/safety/safety-resources/" w:history="1">
                        <w:r w:rsidRPr="00163C33">
                          <w:rPr>
                            <w:rStyle w:val="Hyperlink"/>
                          </w:rPr>
                          <w:t>policy guidance</w:t>
                        </w:r>
                      </w:hyperlink>
                      <w:r w:rsidRPr="005A7121">
                        <w:t xml:space="preserve"> on safety risk management</w:t>
                      </w:r>
                      <w:r>
                        <w:t xml:space="preserve"> (including the safety case framework). </w:t>
                      </w:r>
                      <w:r w:rsidRPr="005A7121">
                        <w:t xml:space="preserve">It is recommended </w:t>
                      </w:r>
                      <w:r>
                        <w:t>that titleholders are familiar</w:t>
                      </w:r>
                      <w:r w:rsidRPr="005A7121">
                        <w:t xml:space="preserve"> with this guidance and with </w:t>
                      </w:r>
                      <w:r>
                        <w:t xml:space="preserve">their </w:t>
                      </w:r>
                      <w:r w:rsidRPr="005A7121">
                        <w:t>obligations und</w:t>
                      </w:r>
                      <w:r>
                        <w:t>er the OPGGS Act and the Safety </w:t>
                      </w:r>
                      <w:r w:rsidRPr="005A7121">
                        <w:t>Regulations before undertaking any activity in relation to a facility.</w:t>
                      </w:r>
                    </w:p>
                    <w:p w14:paraId="6A8F934B" w14:textId="03C9FD5B" w:rsidR="00934F2F" w:rsidRDefault="00934F2F" w:rsidP="000E1CC7">
                      <w:pPr>
                        <w:pStyle w:val="ListParagraph"/>
                        <w:spacing w:before="120" w:after="120"/>
                        <w:ind w:left="0"/>
                      </w:pPr>
                      <w:r>
                        <w:t xml:space="preserve">NOPSEMA also provides an </w:t>
                      </w:r>
                      <w:hyperlink r:id="rId37" w:tooltip="https://www.nopsema.gov.au/assets/Information-papers/A60309.pdf" w:history="1">
                        <w:r w:rsidRPr="00B05D17">
                          <w:rPr>
                            <w:rStyle w:val="Hyperlink"/>
                          </w:rPr>
                          <w:t>overview</w:t>
                        </w:r>
                      </w:hyperlink>
                      <w:r>
                        <w:t xml:space="preserve"> of applicable OHS laws on its website. </w:t>
                      </w:r>
                    </w:p>
                  </w:txbxContent>
                </v:textbox>
                <w10:wrap type="square" anchorx="margin"/>
              </v:shape>
            </w:pict>
          </mc:Fallback>
        </mc:AlternateContent>
      </w:r>
      <w:r w:rsidR="0061687A">
        <w:rPr>
          <w:rFonts w:asciiTheme="minorHAnsi" w:hAnsiTheme="minorHAnsi"/>
          <w:sz w:val="22"/>
          <w:szCs w:val="22"/>
        </w:rPr>
        <w:t xml:space="preserve">If </w:t>
      </w:r>
      <w:r w:rsidR="001A5832">
        <w:rPr>
          <w:rFonts w:asciiTheme="minorHAnsi" w:hAnsiTheme="minorHAnsi"/>
          <w:sz w:val="22"/>
          <w:szCs w:val="22"/>
        </w:rPr>
        <w:t>a</w:t>
      </w:r>
      <w:r w:rsidR="0061687A">
        <w:rPr>
          <w:rFonts w:asciiTheme="minorHAnsi" w:hAnsiTheme="minorHAnsi"/>
          <w:sz w:val="22"/>
          <w:szCs w:val="22"/>
        </w:rPr>
        <w:t xml:space="preserve"> safety case </w:t>
      </w:r>
      <w:r w:rsidR="001B0349">
        <w:rPr>
          <w:rFonts w:asciiTheme="minorHAnsi" w:hAnsiTheme="minorHAnsi"/>
          <w:sz w:val="22"/>
          <w:szCs w:val="22"/>
        </w:rPr>
        <w:t xml:space="preserve">is already </w:t>
      </w:r>
      <w:r w:rsidR="0061687A">
        <w:rPr>
          <w:rFonts w:asciiTheme="minorHAnsi" w:hAnsiTheme="minorHAnsi"/>
          <w:sz w:val="22"/>
          <w:szCs w:val="22"/>
        </w:rPr>
        <w:t>in force for a facility</w:t>
      </w:r>
      <w:r w:rsidR="001B0349">
        <w:rPr>
          <w:rFonts w:asciiTheme="minorHAnsi" w:hAnsiTheme="minorHAnsi"/>
          <w:sz w:val="22"/>
          <w:szCs w:val="22"/>
        </w:rPr>
        <w:t>, but decommissioning</w:t>
      </w:r>
      <w:r w:rsidR="0061687A">
        <w:rPr>
          <w:rFonts w:asciiTheme="minorHAnsi" w:hAnsiTheme="minorHAnsi"/>
          <w:sz w:val="22"/>
          <w:szCs w:val="22"/>
        </w:rPr>
        <w:t xml:space="preserve"> </w:t>
      </w:r>
      <w:r w:rsidR="001B0349">
        <w:rPr>
          <w:rFonts w:asciiTheme="minorHAnsi" w:hAnsiTheme="minorHAnsi"/>
          <w:sz w:val="22"/>
          <w:szCs w:val="22"/>
        </w:rPr>
        <w:t xml:space="preserve">is not </w:t>
      </w:r>
      <w:r w:rsidR="0061687A">
        <w:rPr>
          <w:rFonts w:asciiTheme="minorHAnsi" w:hAnsiTheme="minorHAnsi"/>
          <w:sz w:val="22"/>
          <w:szCs w:val="22"/>
        </w:rPr>
        <w:t>adequately address</w:t>
      </w:r>
      <w:r w:rsidR="001B0349">
        <w:rPr>
          <w:rFonts w:asciiTheme="minorHAnsi" w:hAnsiTheme="minorHAnsi"/>
          <w:sz w:val="22"/>
          <w:szCs w:val="22"/>
        </w:rPr>
        <w:t xml:space="preserve">ed </w:t>
      </w:r>
      <w:r w:rsidR="00895ABD">
        <w:rPr>
          <w:rFonts w:asciiTheme="minorHAnsi" w:hAnsiTheme="minorHAnsi"/>
          <w:sz w:val="22"/>
          <w:szCs w:val="22"/>
        </w:rPr>
        <w:t>there</w:t>
      </w:r>
      <w:r w:rsidR="001B0349">
        <w:rPr>
          <w:rFonts w:asciiTheme="minorHAnsi" w:hAnsiTheme="minorHAnsi"/>
          <w:sz w:val="22"/>
          <w:szCs w:val="22"/>
        </w:rPr>
        <w:t>in</w:t>
      </w:r>
      <w:r w:rsidR="0061687A">
        <w:rPr>
          <w:rFonts w:asciiTheme="minorHAnsi" w:hAnsiTheme="minorHAnsi"/>
          <w:sz w:val="22"/>
          <w:szCs w:val="22"/>
        </w:rPr>
        <w:t xml:space="preserve">, the operator must submit a revised safety case </w:t>
      </w:r>
      <w:r w:rsidR="001B0349">
        <w:rPr>
          <w:rFonts w:asciiTheme="minorHAnsi" w:hAnsiTheme="minorHAnsi"/>
          <w:sz w:val="22"/>
          <w:szCs w:val="22"/>
        </w:rPr>
        <w:t xml:space="preserve">under regulation </w:t>
      </w:r>
      <w:r w:rsidR="0023343B">
        <w:rPr>
          <w:rFonts w:asciiTheme="minorHAnsi" w:hAnsiTheme="minorHAnsi"/>
          <w:sz w:val="22"/>
          <w:szCs w:val="22"/>
        </w:rPr>
        <w:t xml:space="preserve">2.30 of the Safety </w:t>
      </w:r>
      <w:r w:rsidR="00895ABD">
        <w:rPr>
          <w:rFonts w:asciiTheme="minorHAnsi" w:hAnsiTheme="minorHAnsi"/>
          <w:sz w:val="22"/>
          <w:szCs w:val="22"/>
        </w:rPr>
        <w:t xml:space="preserve">Regulations, </w:t>
      </w:r>
      <w:r w:rsidR="001B0349">
        <w:rPr>
          <w:rFonts w:asciiTheme="minorHAnsi" w:hAnsiTheme="minorHAnsi"/>
          <w:sz w:val="22"/>
          <w:szCs w:val="22"/>
        </w:rPr>
        <w:t xml:space="preserve">and have the revised case accepted by NOPSEMA, </w:t>
      </w:r>
      <w:r w:rsidR="0061687A">
        <w:rPr>
          <w:rFonts w:asciiTheme="minorHAnsi" w:hAnsiTheme="minorHAnsi"/>
          <w:sz w:val="22"/>
          <w:szCs w:val="22"/>
        </w:rPr>
        <w:t xml:space="preserve">before </w:t>
      </w:r>
      <w:r w:rsidR="001B0349">
        <w:rPr>
          <w:rFonts w:asciiTheme="minorHAnsi" w:hAnsiTheme="minorHAnsi"/>
          <w:sz w:val="22"/>
          <w:szCs w:val="22"/>
        </w:rPr>
        <w:t>decommissioning the facility</w:t>
      </w:r>
      <w:r w:rsidR="0061687A">
        <w:rPr>
          <w:rFonts w:asciiTheme="minorHAnsi" w:hAnsiTheme="minorHAnsi"/>
          <w:sz w:val="22"/>
          <w:szCs w:val="22"/>
        </w:rPr>
        <w:t>.</w:t>
      </w:r>
    </w:p>
    <w:p w14:paraId="3DFEC023" w14:textId="2414B1AD" w:rsidR="00685DB5" w:rsidRPr="00D404DC" w:rsidRDefault="00556F40" w:rsidP="00125D28">
      <w:pPr>
        <w:pStyle w:val="Heading3"/>
      </w:pPr>
      <w:bookmarkStart w:id="164" w:name="_Toc486949866"/>
      <w:bookmarkStart w:id="165" w:name="_Toc486950227"/>
      <w:bookmarkStart w:id="166" w:name="_Toc486956425"/>
      <w:r>
        <w:lastRenderedPageBreak/>
        <w:t>4.1.</w:t>
      </w:r>
      <w:r w:rsidR="001B0349">
        <w:t>3</w:t>
      </w:r>
      <w:r w:rsidR="00685DB5" w:rsidRPr="00D404DC">
        <w:tab/>
      </w:r>
      <w:r w:rsidR="00685DB5">
        <w:t>Well integrity</w:t>
      </w:r>
      <w:bookmarkEnd w:id="164"/>
      <w:bookmarkEnd w:id="165"/>
      <w:bookmarkEnd w:id="166"/>
    </w:p>
    <w:p w14:paraId="11199936" w14:textId="499B75B2" w:rsidR="00792F9D" w:rsidRPr="00792F9D" w:rsidRDefault="00685DB5" w:rsidP="00FE7968">
      <w:pPr>
        <w:spacing w:before="120" w:after="120" w:line="276" w:lineRule="auto"/>
        <w:rPr>
          <w:rFonts w:asciiTheme="minorHAnsi" w:hAnsiTheme="minorHAnsi"/>
          <w:i/>
          <w:iCs/>
          <w:sz w:val="22"/>
          <w:szCs w:val="22"/>
        </w:rPr>
      </w:pPr>
      <w:r w:rsidRPr="00792F9D">
        <w:rPr>
          <w:rFonts w:asciiTheme="minorHAnsi" w:hAnsiTheme="minorHAnsi"/>
          <w:sz w:val="22"/>
          <w:szCs w:val="22"/>
        </w:rPr>
        <w:t xml:space="preserve">Well integrity in the offshore petroleum sector is regulated under Part 5 of the </w:t>
      </w:r>
      <w:hyperlink r:id="rId38" w:tooltip="https://www.legislation.gov.au/Details/F2018C00062" w:history="1">
        <w:r w:rsidRPr="00C01348">
          <w:rPr>
            <w:rStyle w:val="Hyperlink"/>
            <w:rFonts w:asciiTheme="minorHAnsi" w:hAnsiTheme="minorHAnsi"/>
            <w:i/>
            <w:sz w:val="22"/>
            <w:szCs w:val="22"/>
          </w:rPr>
          <w:t>Offshore Petroleum and Greenhouse Gas Storage (Resource Management and Administration) Regulations 2011</w:t>
        </w:r>
      </w:hyperlink>
      <w:r w:rsidR="007A348D">
        <w:rPr>
          <w:rFonts w:asciiTheme="minorHAnsi" w:hAnsiTheme="minorHAnsi"/>
          <w:sz w:val="22"/>
          <w:szCs w:val="22"/>
        </w:rPr>
        <w:t xml:space="preserve"> (RMA </w:t>
      </w:r>
      <w:r w:rsidRPr="00792F9D">
        <w:rPr>
          <w:rFonts w:asciiTheme="minorHAnsi" w:hAnsiTheme="minorHAnsi"/>
          <w:sz w:val="22"/>
          <w:szCs w:val="22"/>
        </w:rPr>
        <w:t>Regulations).</w:t>
      </w:r>
      <w:r w:rsidR="00A51101" w:rsidRPr="00792F9D">
        <w:rPr>
          <w:rFonts w:asciiTheme="minorHAnsi" w:hAnsiTheme="minorHAnsi"/>
          <w:sz w:val="22"/>
          <w:szCs w:val="22"/>
        </w:rPr>
        <w:t xml:space="preserve"> Titleholders also have OHS duties relating to wells under Schedule 3 to the OPGGS Act.</w:t>
      </w:r>
    </w:p>
    <w:p w14:paraId="68F58F4D" w14:textId="549742BE" w:rsidR="00685DB5" w:rsidRPr="00125D28" w:rsidRDefault="00792F9D" w:rsidP="00125D28">
      <w:pPr>
        <w:pStyle w:val="Heading4"/>
      </w:pPr>
      <w:r w:rsidRPr="00125D28">
        <w:t xml:space="preserve">4.1.3.1 </w:t>
      </w:r>
      <w:r w:rsidR="00685DB5" w:rsidRPr="00125D28">
        <w:t>Well operations management plans</w:t>
      </w:r>
    </w:p>
    <w:p w14:paraId="7F5A1723" w14:textId="69BDEA5C" w:rsidR="0061687A" w:rsidRDefault="00FB3A50" w:rsidP="00FE7968">
      <w:pPr>
        <w:spacing w:before="120" w:after="120" w:line="276" w:lineRule="auto"/>
        <w:rPr>
          <w:rFonts w:asciiTheme="minorHAnsi" w:hAnsiTheme="minorHAnsi"/>
          <w:sz w:val="22"/>
          <w:szCs w:val="22"/>
        </w:rPr>
      </w:pPr>
      <w:r>
        <w:rPr>
          <w:rFonts w:asciiTheme="minorHAnsi" w:hAnsiTheme="minorHAnsi"/>
          <w:sz w:val="22"/>
          <w:szCs w:val="22"/>
        </w:rPr>
        <w:t xml:space="preserve">Decommissioning a field typically involves the permanent plugging and abandonment of wells. Plugging and abandonment is a well activity for the purposes of Part 5 of the RMA Regulations. </w:t>
      </w:r>
      <w:r w:rsidR="00792F9D">
        <w:rPr>
          <w:rFonts w:asciiTheme="minorHAnsi" w:hAnsiTheme="minorHAnsi"/>
          <w:sz w:val="22"/>
          <w:szCs w:val="22"/>
        </w:rPr>
        <w:t>Prior to undertaking a well activity, t</w:t>
      </w:r>
      <w:r w:rsidR="0061687A" w:rsidRPr="002F605A">
        <w:rPr>
          <w:rFonts w:asciiTheme="minorHAnsi" w:hAnsiTheme="minorHAnsi"/>
          <w:sz w:val="22"/>
          <w:szCs w:val="22"/>
        </w:rPr>
        <w:t>itleholder</w:t>
      </w:r>
      <w:r w:rsidR="00A51101">
        <w:rPr>
          <w:rFonts w:asciiTheme="minorHAnsi" w:hAnsiTheme="minorHAnsi"/>
          <w:sz w:val="22"/>
          <w:szCs w:val="22"/>
        </w:rPr>
        <w:t>s</w:t>
      </w:r>
      <w:r w:rsidR="0061687A" w:rsidRPr="002F605A">
        <w:rPr>
          <w:rFonts w:asciiTheme="minorHAnsi" w:hAnsiTheme="minorHAnsi"/>
          <w:sz w:val="22"/>
          <w:szCs w:val="22"/>
        </w:rPr>
        <w:t xml:space="preserve"> must have an accepted </w:t>
      </w:r>
      <w:r w:rsidR="00685DB5">
        <w:rPr>
          <w:rFonts w:asciiTheme="minorHAnsi" w:hAnsiTheme="minorHAnsi"/>
          <w:sz w:val="22"/>
          <w:szCs w:val="22"/>
        </w:rPr>
        <w:t>well operations management plan (</w:t>
      </w:r>
      <w:r w:rsidR="0061687A" w:rsidRPr="002F605A">
        <w:rPr>
          <w:rFonts w:asciiTheme="minorHAnsi" w:hAnsiTheme="minorHAnsi"/>
          <w:sz w:val="22"/>
          <w:szCs w:val="22"/>
        </w:rPr>
        <w:t>WOMP</w:t>
      </w:r>
      <w:r w:rsidR="00685DB5">
        <w:rPr>
          <w:rFonts w:asciiTheme="minorHAnsi" w:hAnsiTheme="minorHAnsi"/>
          <w:sz w:val="22"/>
          <w:szCs w:val="22"/>
        </w:rPr>
        <w:t>)</w:t>
      </w:r>
      <w:r w:rsidR="0061687A" w:rsidRPr="002F605A">
        <w:rPr>
          <w:rFonts w:asciiTheme="minorHAnsi" w:hAnsiTheme="minorHAnsi"/>
          <w:sz w:val="22"/>
          <w:szCs w:val="22"/>
        </w:rPr>
        <w:t xml:space="preserve"> </w:t>
      </w:r>
      <w:r w:rsidR="00792F9D">
        <w:rPr>
          <w:rFonts w:asciiTheme="minorHAnsi" w:hAnsiTheme="minorHAnsi"/>
          <w:sz w:val="22"/>
          <w:szCs w:val="22"/>
        </w:rPr>
        <w:t>that applies to that</w:t>
      </w:r>
      <w:r w:rsidR="0061687A">
        <w:rPr>
          <w:rFonts w:asciiTheme="minorHAnsi" w:hAnsiTheme="minorHAnsi"/>
          <w:sz w:val="22"/>
          <w:szCs w:val="22"/>
        </w:rPr>
        <w:t xml:space="preserve"> activity</w:t>
      </w:r>
      <w:r w:rsidR="00707514">
        <w:rPr>
          <w:rFonts w:asciiTheme="minorHAnsi" w:hAnsiTheme="minorHAnsi"/>
          <w:sz w:val="22"/>
          <w:szCs w:val="22"/>
        </w:rPr>
        <w:t xml:space="preserve">. </w:t>
      </w:r>
      <w:r w:rsidR="0061687A" w:rsidRPr="002F605A">
        <w:rPr>
          <w:rFonts w:asciiTheme="minorHAnsi" w:hAnsiTheme="minorHAnsi"/>
          <w:sz w:val="22"/>
          <w:szCs w:val="22"/>
        </w:rPr>
        <w:t xml:space="preserve">The WOMP </w:t>
      </w:r>
      <w:r w:rsidR="00B43756">
        <w:rPr>
          <w:rFonts w:asciiTheme="minorHAnsi" w:hAnsiTheme="minorHAnsi"/>
          <w:sz w:val="22"/>
          <w:szCs w:val="22"/>
        </w:rPr>
        <w:t xml:space="preserve">is required to </w:t>
      </w:r>
      <w:r w:rsidR="00707514">
        <w:rPr>
          <w:rFonts w:asciiTheme="minorHAnsi" w:hAnsiTheme="minorHAnsi"/>
          <w:sz w:val="22"/>
          <w:szCs w:val="22"/>
        </w:rPr>
        <w:t>cover the life of the relevant</w:t>
      </w:r>
      <w:r w:rsidR="0061687A" w:rsidRPr="002F605A">
        <w:rPr>
          <w:rFonts w:asciiTheme="minorHAnsi" w:hAnsiTheme="minorHAnsi"/>
          <w:sz w:val="22"/>
          <w:szCs w:val="22"/>
        </w:rPr>
        <w:t xml:space="preserve"> well</w:t>
      </w:r>
      <w:r w:rsidR="0061687A">
        <w:rPr>
          <w:rFonts w:asciiTheme="minorHAnsi" w:hAnsiTheme="minorHAnsi"/>
          <w:sz w:val="22"/>
          <w:szCs w:val="22"/>
        </w:rPr>
        <w:t>,</w:t>
      </w:r>
      <w:r w:rsidR="0061687A" w:rsidRPr="002F605A">
        <w:rPr>
          <w:rFonts w:asciiTheme="minorHAnsi" w:hAnsiTheme="minorHAnsi"/>
          <w:sz w:val="22"/>
          <w:szCs w:val="22"/>
        </w:rPr>
        <w:t xml:space="preserve"> up to and including permanent abandonment</w:t>
      </w:r>
      <w:r w:rsidR="00433221">
        <w:rPr>
          <w:rFonts w:asciiTheme="minorHAnsi" w:hAnsiTheme="minorHAnsi"/>
          <w:sz w:val="22"/>
          <w:szCs w:val="22"/>
        </w:rPr>
        <w:t xml:space="preserve">. </w:t>
      </w:r>
      <w:r w:rsidR="00685DB5">
        <w:rPr>
          <w:rFonts w:asciiTheme="minorHAnsi" w:hAnsiTheme="minorHAnsi"/>
          <w:sz w:val="22"/>
          <w:szCs w:val="22"/>
        </w:rPr>
        <w:t xml:space="preserve">It is an offence to carry out a well activity in Commonwealth </w:t>
      </w:r>
      <w:r w:rsidR="00707514">
        <w:rPr>
          <w:rFonts w:asciiTheme="minorHAnsi" w:hAnsiTheme="minorHAnsi"/>
          <w:sz w:val="22"/>
          <w:szCs w:val="22"/>
        </w:rPr>
        <w:t xml:space="preserve">waters </w:t>
      </w:r>
      <w:r w:rsidR="00A51101">
        <w:rPr>
          <w:rFonts w:asciiTheme="minorHAnsi" w:hAnsiTheme="minorHAnsi"/>
          <w:sz w:val="22"/>
          <w:szCs w:val="22"/>
        </w:rPr>
        <w:t>without a WOMP</w:t>
      </w:r>
      <w:r w:rsidR="00707514">
        <w:rPr>
          <w:rFonts w:asciiTheme="minorHAnsi" w:hAnsiTheme="minorHAnsi"/>
          <w:sz w:val="22"/>
          <w:szCs w:val="22"/>
        </w:rPr>
        <w:t>,</w:t>
      </w:r>
      <w:r w:rsidR="0061687A" w:rsidRPr="002F605A">
        <w:rPr>
          <w:rFonts w:asciiTheme="minorHAnsi" w:hAnsiTheme="minorHAnsi"/>
          <w:sz w:val="22"/>
          <w:szCs w:val="22"/>
        </w:rPr>
        <w:t xml:space="preserve"> or in a manner inconsistent wit</w:t>
      </w:r>
      <w:r w:rsidR="00707514">
        <w:rPr>
          <w:rFonts w:asciiTheme="minorHAnsi" w:hAnsiTheme="minorHAnsi"/>
          <w:sz w:val="22"/>
          <w:szCs w:val="22"/>
        </w:rPr>
        <w:t>h an accepted WOMP.</w:t>
      </w:r>
    </w:p>
    <w:p w14:paraId="49E86032" w14:textId="4121D2ED" w:rsidR="00792F9D" w:rsidRDefault="00CE79DF" w:rsidP="0061687A">
      <w:pPr>
        <w:spacing w:before="120" w:after="120" w:line="276" w:lineRule="auto"/>
        <w:rPr>
          <w:rFonts w:asciiTheme="minorHAnsi" w:hAnsiTheme="minorHAnsi"/>
          <w:sz w:val="22"/>
          <w:szCs w:val="22"/>
        </w:rPr>
      </w:pPr>
      <w:r>
        <w:rPr>
          <w:rFonts w:asciiTheme="minorHAnsi" w:hAnsiTheme="minorHAnsi"/>
          <w:sz w:val="22"/>
          <w:szCs w:val="22"/>
        </w:rPr>
        <w:t>On submission of a WOMP by a titleholder,</w:t>
      </w:r>
      <w:r w:rsidR="00792F9D">
        <w:rPr>
          <w:rFonts w:asciiTheme="minorHAnsi" w:hAnsiTheme="minorHAnsi"/>
          <w:sz w:val="22"/>
          <w:szCs w:val="22"/>
        </w:rPr>
        <w:t xml:space="preserve"> NOPSEMA </w:t>
      </w:r>
      <w:r>
        <w:rPr>
          <w:rFonts w:asciiTheme="minorHAnsi" w:hAnsiTheme="minorHAnsi"/>
          <w:sz w:val="22"/>
          <w:szCs w:val="22"/>
        </w:rPr>
        <w:t>assess</w:t>
      </w:r>
      <w:r w:rsidR="00B43756">
        <w:rPr>
          <w:rFonts w:asciiTheme="minorHAnsi" w:hAnsiTheme="minorHAnsi"/>
          <w:sz w:val="22"/>
          <w:szCs w:val="22"/>
        </w:rPr>
        <w:t>es</w:t>
      </w:r>
      <w:r>
        <w:rPr>
          <w:rFonts w:asciiTheme="minorHAnsi" w:hAnsiTheme="minorHAnsi"/>
          <w:sz w:val="22"/>
          <w:szCs w:val="22"/>
        </w:rPr>
        <w:t xml:space="preserve"> the WOMP </w:t>
      </w:r>
      <w:r w:rsidR="00792F9D">
        <w:rPr>
          <w:rFonts w:asciiTheme="minorHAnsi" w:hAnsiTheme="minorHAnsi"/>
          <w:sz w:val="22"/>
          <w:szCs w:val="22"/>
        </w:rPr>
        <w:t xml:space="preserve">to </w:t>
      </w:r>
      <w:r>
        <w:rPr>
          <w:rFonts w:asciiTheme="minorHAnsi" w:hAnsiTheme="minorHAnsi"/>
          <w:sz w:val="22"/>
          <w:szCs w:val="22"/>
        </w:rPr>
        <w:t>evaluate</w:t>
      </w:r>
      <w:r w:rsidR="00792F9D">
        <w:rPr>
          <w:rFonts w:asciiTheme="minorHAnsi" w:hAnsiTheme="minorHAnsi"/>
          <w:sz w:val="22"/>
          <w:szCs w:val="22"/>
        </w:rPr>
        <w:t xml:space="preserve"> whet</w:t>
      </w:r>
      <w:r>
        <w:rPr>
          <w:rFonts w:asciiTheme="minorHAnsi" w:hAnsiTheme="minorHAnsi"/>
          <w:sz w:val="22"/>
          <w:szCs w:val="22"/>
        </w:rPr>
        <w:t>h</w:t>
      </w:r>
      <w:r w:rsidR="00792F9D">
        <w:rPr>
          <w:rFonts w:asciiTheme="minorHAnsi" w:hAnsiTheme="minorHAnsi"/>
          <w:sz w:val="22"/>
          <w:szCs w:val="22"/>
        </w:rPr>
        <w:t>er</w:t>
      </w:r>
      <w:r>
        <w:rPr>
          <w:rFonts w:asciiTheme="minorHAnsi" w:hAnsiTheme="minorHAnsi"/>
          <w:sz w:val="22"/>
          <w:szCs w:val="22"/>
        </w:rPr>
        <w:t xml:space="preserve"> the titleholder has provided for</w:t>
      </w:r>
      <w:r w:rsidR="00792F9D">
        <w:rPr>
          <w:rFonts w:asciiTheme="minorHAnsi" w:hAnsiTheme="minorHAnsi"/>
          <w:sz w:val="22"/>
          <w:szCs w:val="22"/>
        </w:rPr>
        <w:t xml:space="preserve"> risk</w:t>
      </w:r>
      <w:r>
        <w:rPr>
          <w:rFonts w:asciiTheme="minorHAnsi" w:hAnsiTheme="minorHAnsi"/>
          <w:sz w:val="22"/>
          <w:szCs w:val="22"/>
        </w:rPr>
        <w:t>s to well integrity</w:t>
      </w:r>
      <w:r w:rsidR="00792F9D">
        <w:rPr>
          <w:rFonts w:asciiTheme="minorHAnsi" w:hAnsiTheme="minorHAnsi"/>
          <w:sz w:val="22"/>
          <w:szCs w:val="22"/>
        </w:rPr>
        <w:t xml:space="preserve"> to be</w:t>
      </w:r>
      <w:r>
        <w:rPr>
          <w:rFonts w:asciiTheme="minorHAnsi" w:hAnsiTheme="minorHAnsi"/>
          <w:sz w:val="22"/>
          <w:szCs w:val="22"/>
        </w:rPr>
        <w:t xml:space="preserve"> reduced to</w:t>
      </w:r>
      <w:r w:rsidR="00792F9D">
        <w:rPr>
          <w:rFonts w:asciiTheme="minorHAnsi" w:hAnsiTheme="minorHAnsi"/>
          <w:sz w:val="22"/>
          <w:szCs w:val="22"/>
        </w:rPr>
        <w:t xml:space="preserve"> ALARP.</w:t>
      </w:r>
      <w:r>
        <w:rPr>
          <w:rFonts w:asciiTheme="minorHAnsi" w:hAnsiTheme="minorHAnsi"/>
          <w:sz w:val="22"/>
          <w:szCs w:val="22"/>
        </w:rPr>
        <w:t xml:space="preserve"> </w:t>
      </w:r>
      <w:r w:rsidR="00F97DCD">
        <w:rPr>
          <w:rFonts w:asciiTheme="minorHAnsi" w:hAnsiTheme="minorHAnsi"/>
          <w:sz w:val="22"/>
          <w:szCs w:val="22"/>
        </w:rPr>
        <w:t>A</w:t>
      </w:r>
      <w:r w:rsidR="0061222F">
        <w:rPr>
          <w:rFonts w:asciiTheme="minorHAnsi" w:hAnsiTheme="minorHAnsi"/>
          <w:sz w:val="22"/>
          <w:szCs w:val="22"/>
        </w:rPr>
        <w:t xml:space="preserve">ll </w:t>
      </w:r>
      <w:r>
        <w:rPr>
          <w:rFonts w:asciiTheme="minorHAnsi" w:hAnsiTheme="minorHAnsi"/>
          <w:sz w:val="22"/>
          <w:szCs w:val="22"/>
        </w:rPr>
        <w:t xml:space="preserve">WOMPs </w:t>
      </w:r>
      <w:r w:rsidR="00F97DCD">
        <w:rPr>
          <w:rFonts w:asciiTheme="minorHAnsi" w:hAnsiTheme="minorHAnsi"/>
          <w:sz w:val="22"/>
          <w:szCs w:val="22"/>
        </w:rPr>
        <w:t>must</w:t>
      </w:r>
      <w:r>
        <w:rPr>
          <w:rFonts w:asciiTheme="minorHAnsi" w:hAnsiTheme="minorHAnsi"/>
          <w:sz w:val="22"/>
          <w:szCs w:val="22"/>
        </w:rPr>
        <w:t xml:space="preserve"> describe the arrangements that will be in place for suspension and abandonment of the well. </w:t>
      </w:r>
    </w:p>
    <w:p w14:paraId="3E368B4E" w14:textId="142E2896" w:rsidR="0061687A" w:rsidRDefault="0061687A" w:rsidP="0061687A">
      <w:pPr>
        <w:spacing w:before="120" w:after="120" w:line="276" w:lineRule="auto"/>
        <w:rPr>
          <w:rFonts w:asciiTheme="minorHAnsi" w:hAnsiTheme="minorHAnsi"/>
          <w:sz w:val="22"/>
          <w:szCs w:val="22"/>
        </w:rPr>
      </w:pPr>
      <w:r>
        <w:rPr>
          <w:rFonts w:asciiTheme="minorHAnsi" w:hAnsiTheme="minorHAnsi"/>
          <w:sz w:val="22"/>
          <w:szCs w:val="22"/>
        </w:rPr>
        <w:t>Titleholders must also provide advance notification to NOPSEMA</w:t>
      </w:r>
      <w:r w:rsidR="003D08DD">
        <w:rPr>
          <w:rFonts w:asciiTheme="minorHAnsi" w:hAnsiTheme="minorHAnsi"/>
          <w:sz w:val="22"/>
          <w:szCs w:val="22"/>
        </w:rPr>
        <w:t>, copied to NOPTA,</w:t>
      </w:r>
      <w:r>
        <w:rPr>
          <w:rFonts w:asciiTheme="minorHAnsi" w:hAnsiTheme="minorHAnsi"/>
          <w:sz w:val="22"/>
          <w:szCs w:val="22"/>
        </w:rPr>
        <w:t xml:space="preserve"> before commenc</w:t>
      </w:r>
      <w:r w:rsidR="00A51101">
        <w:rPr>
          <w:rFonts w:asciiTheme="minorHAnsi" w:hAnsiTheme="minorHAnsi"/>
          <w:sz w:val="22"/>
          <w:szCs w:val="22"/>
        </w:rPr>
        <w:t>ing specified well activities</w:t>
      </w:r>
      <w:r w:rsidR="00FB3A50">
        <w:rPr>
          <w:rFonts w:asciiTheme="minorHAnsi" w:hAnsiTheme="minorHAnsi"/>
          <w:sz w:val="22"/>
          <w:szCs w:val="22"/>
        </w:rPr>
        <w:t>, including</w:t>
      </w:r>
      <w:r>
        <w:rPr>
          <w:rFonts w:asciiTheme="minorHAnsi" w:hAnsiTheme="minorHAnsi"/>
          <w:sz w:val="22"/>
          <w:szCs w:val="22"/>
        </w:rPr>
        <w:t xml:space="preserve"> plug</w:t>
      </w:r>
      <w:r w:rsidR="00FB3A50">
        <w:rPr>
          <w:rFonts w:asciiTheme="minorHAnsi" w:hAnsiTheme="minorHAnsi"/>
          <w:sz w:val="22"/>
          <w:szCs w:val="22"/>
        </w:rPr>
        <w:t>ging</w:t>
      </w:r>
      <w:r>
        <w:rPr>
          <w:rFonts w:asciiTheme="minorHAnsi" w:hAnsiTheme="minorHAnsi"/>
          <w:sz w:val="22"/>
          <w:szCs w:val="22"/>
        </w:rPr>
        <w:t xml:space="preserve"> and abandon</w:t>
      </w:r>
      <w:r w:rsidR="00FB3A50">
        <w:rPr>
          <w:rFonts w:asciiTheme="minorHAnsi" w:hAnsiTheme="minorHAnsi"/>
          <w:sz w:val="22"/>
          <w:szCs w:val="22"/>
        </w:rPr>
        <w:t>ment, in accordance with the requirements of</w:t>
      </w:r>
      <w:r>
        <w:rPr>
          <w:rFonts w:asciiTheme="minorHAnsi" w:hAnsiTheme="minorHAnsi"/>
          <w:sz w:val="22"/>
          <w:szCs w:val="22"/>
        </w:rPr>
        <w:t xml:space="preserve"> regulation 5.22.</w:t>
      </w:r>
    </w:p>
    <w:p w14:paraId="0C4FDE65" w14:textId="77777777" w:rsidR="00433221" w:rsidRPr="00125D28" w:rsidRDefault="00433221" w:rsidP="00125D28">
      <w:pPr>
        <w:pStyle w:val="Heading4"/>
      </w:pPr>
      <w:r w:rsidRPr="00125D28">
        <w:t>4.1.3.2 End of a well operations management plan</w:t>
      </w:r>
    </w:p>
    <w:p w14:paraId="6F139078" w14:textId="129A5CE0" w:rsidR="00433221" w:rsidRDefault="00433221" w:rsidP="00433221">
      <w:pPr>
        <w:spacing w:before="120" w:after="120" w:line="276" w:lineRule="auto"/>
        <w:rPr>
          <w:rFonts w:asciiTheme="minorHAnsi" w:hAnsiTheme="minorHAnsi"/>
          <w:sz w:val="22"/>
          <w:szCs w:val="22"/>
        </w:rPr>
      </w:pPr>
      <w:r>
        <w:rPr>
          <w:rFonts w:asciiTheme="minorHAnsi" w:hAnsiTheme="minorHAnsi"/>
          <w:sz w:val="22"/>
          <w:szCs w:val="22"/>
        </w:rPr>
        <w:t>Under regulation 5.17 of the RMA Regulations, to bring a WOMP to an end the titleholder must have permanently abandoned the well or wells to which the WOM</w:t>
      </w:r>
      <w:r w:rsidR="00F97DCD">
        <w:rPr>
          <w:rFonts w:asciiTheme="minorHAnsi" w:hAnsiTheme="minorHAnsi"/>
          <w:sz w:val="22"/>
          <w:szCs w:val="22"/>
        </w:rPr>
        <w:t>P relates</w:t>
      </w:r>
      <w:r>
        <w:rPr>
          <w:rFonts w:asciiTheme="minorHAnsi" w:hAnsiTheme="minorHAnsi"/>
          <w:sz w:val="22"/>
          <w:szCs w:val="22"/>
        </w:rPr>
        <w:t xml:space="preserve"> and given NOPSEMA a written report of the process undertaken in abandoning the well(s) (including the outcomes of that process).</w:t>
      </w:r>
    </w:p>
    <w:p w14:paraId="792E1375" w14:textId="13052A11" w:rsidR="00433221" w:rsidRDefault="00433221" w:rsidP="00433221">
      <w:pPr>
        <w:spacing w:before="120" w:after="120" w:line="276" w:lineRule="auto"/>
        <w:rPr>
          <w:rFonts w:asciiTheme="minorHAnsi" w:hAnsiTheme="minorHAnsi"/>
          <w:sz w:val="22"/>
          <w:szCs w:val="22"/>
        </w:rPr>
      </w:pPr>
      <w:r w:rsidRPr="00836AEC">
        <w:rPr>
          <w:rFonts w:asciiTheme="minorHAnsi" w:hAnsiTheme="minorHAnsi"/>
          <w:sz w:val="22"/>
          <w:szCs w:val="22"/>
        </w:rPr>
        <w:t xml:space="preserve">NOPSEMA will advise the titleholder when </w:t>
      </w:r>
      <w:r>
        <w:rPr>
          <w:rFonts w:asciiTheme="minorHAnsi" w:hAnsiTheme="minorHAnsi"/>
          <w:sz w:val="22"/>
          <w:szCs w:val="22"/>
        </w:rPr>
        <w:t>it is reasonably satisfied that the process of abandoning the well or wells was undertaken in accordance with the WOMP,</w:t>
      </w:r>
      <w:r w:rsidRPr="00836AEC">
        <w:rPr>
          <w:rFonts w:asciiTheme="minorHAnsi" w:hAnsiTheme="minorHAnsi"/>
          <w:sz w:val="22"/>
          <w:szCs w:val="22"/>
        </w:rPr>
        <w:t xml:space="preserve"> or if further action, information or confirmation is required prior to NOPSEMA being able to accept the </w:t>
      </w:r>
      <w:r>
        <w:rPr>
          <w:rFonts w:asciiTheme="minorHAnsi" w:hAnsiTheme="minorHAnsi"/>
          <w:sz w:val="22"/>
          <w:szCs w:val="22"/>
        </w:rPr>
        <w:t>written report</w:t>
      </w:r>
      <w:r w:rsidRPr="00836AEC">
        <w:rPr>
          <w:rFonts w:asciiTheme="minorHAnsi" w:hAnsiTheme="minorHAnsi"/>
          <w:sz w:val="22"/>
          <w:szCs w:val="22"/>
        </w:rPr>
        <w:t xml:space="preserve">. </w:t>
      </w:r>
    </w:p>
    <w:p w14:paraId="425BAC69" w14:textId="74AC703A" w:rsidR="00433221" w:rsidRDefault="00433221" w:rsidP="00433221">
      <w:pPr>
        <w:spacing w:before="120" w:after="120" w:line="276" w:lineRule="auto"/>
      </w:pPr>
      <w:r w:rsidRPr="00445153">
        <w:rPr>
          <w:rFonts w:asciiTheme="minorHAnsi" w:hAnsiTheme="minorHAnsi"/>
          <w:noProof/>
          <w:sz w:val="22"/>
          <w:szCs w:val="22"/>
        </w:rPr>
        <mc:AlternateContent>
          <mc:Choice Requires="wps">
            <w:drawing>
              <wp:anchor distT="45720" distB="45720" distL="114300" distR="114300" simplePos="0" relativeHeight="251668480" behindDoc="0" locked="0" layoutInCell="1" allowOverlap="1" wp14:anchorId="7B9FA5AB" wp14:editId="687C4CFE">
                <wp:simplePos x="0" y="0"/>
                <wp:positionH relativeFrom="margin">
                  <wp:posOffset>0</wp:posOffset>
                </wp:positionH>
                <wp:positionV relativeFrom="paragraph">
                  <wp:posOffset>683260</wp:posOffset>
                </wp:positionV>
                <wp:extent cx="5705475" cy="7905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790575"/>
                        </a:xfrm>
                        <a:prstGeom prst="rect">
                          <a:avLst/>
                        </a:prstGeom>
                        <a:solidFill>
                          <a:schemeClr val="accent1">
                            <a:lumMod val="20000"/>
                            <a:lumOff val="80000"/>
                          </a:schemeClr>
                        </a:solidFill>
                        <a:ln w="9525">
                          <a:solidFill>
                            <a:schemeClr val="tx1"/>
                          </a:solidFill>
                          <a:miter lim="800000"/>
                          <a:headEnd/>
                          <a:tailEnd/>
                        </a:ln>
                      </wps:spPr>
                      <wps:txbx>
                        <w:txbxContent>
                          <w:p w14:paraId="583ACBF1" w14:textId="4E191F65" w:rsidR="00934F2F" w:rsidRDefault="00934F2F" w:rsidP="00433221">
                            <w:pPr>
                              <w:pStyle w:val="ListParagraph"/>
                              <w:spacing w:before="120" w:after="120"/>
                              <w:ind w:left="0"/>
                            </w:pPr>
                            <w:r>
                              <w:t xml:space="preserve">NOPSEMA has published on its website a comprehensive suite of </w:t>
                            </w:r>
                            <w:hyperlink r:id="rId39" w:tooltip="https://www.nopsema.gov.au/well-integrity/well-integrity-resources/" w:history="1">
                              <w:r w:rsidRPr="00163C33">
                                <w:rPr>
                                  <w:rStyle w:val="Hyperlink"/>
                                </w:rPr>
                                <w:t>policy guidance</w:t>
                              </w:r>
                            </w:hyperlink>
                            <w:r>
                              <w:t xml:space="preserve"> on well operations. It is recommended that titleholders are familiar with this guidance and with their obligations under the RMA Regulations, before undertaking any activity in relation to a well.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9FA5AB" id="_x0000_s1031" type="#_x0000_t202" style="position:absolute;margin-left:0;margin-top:53.8pt;width:449.25pt;height:62.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" fillcolor="#deeaf6 [660]" strokecolor="black [3213]">
                <v:textbox>
                  <w:txbxContent>
                    <w:p w14:paraId="583ACBF1" w14:textId="4E191F65" w:rsidR="00934F2F" w:rsidRDefault="00934F2F" w:rsidP="00433221">
                      <w:pPr>
                        <w:pStyle w:val="ListParagraph"/>
                        <w:spacing w:before="120" w:after="120"/>
                        <w:ind w:left="0"/>
                      </w:pPr>
                      <w:r>
                        <w:t xml:space="preserve">NOPSEMA has published on its website a comprehensive suite of </w:t>
                      </w:r>
                      <w:hyperlink r:id="rId40" w:tooltip="https://www.nopsema.gov.au/well-integrity/well-integrity-resources/" w:history="1">
                        <w:r w:rsidRPr="00163C33">
                          <w:rPr>
                            <w:rStyle w:val="Hyperlink"/>
                          </w:rPr>
                          <w:t>policy guidance</w:t>
                        </w:r>
                      </w:hyperlink>
                      <w:r>
                        <w:t xml:space="preserve"> on well operations. It is recommended that titleholders are familiar with this guidance and with their obligations under the RMA Regulations, before undertaking any activity in relation to a well.</w:t>
                      </w:r>
                    </w:p>
                  </w:txbxContent>
                </v:textbox>
                <w10:wrap type="square" anchorx="margin"/>
              </v:shape>
            </w:pict>
          </mc:Fallback>
        </mc:AlternateContent>
      </w:r>
      <w:r>
        <w:rPr>
          <w:rFonts w:asciiTheme="minorHAnsi" w:hAnsiTheme="minorHAnsi"/>
          <w:sz w:val="22"/>
          <w:szCs w:val="22"/>
        </w:rPr>
        <w:t>O</w:t>
      </w:r>
      <w:r w:rsidRPr="00836AEC">
        <w:rPr>
          <w:rFonts w:asciiTheme="minorHAnsi" w:hAnsiTheme="minorHAnsi"/>
          <w:sz w:val="22"/>
          <w:szCs w:val="22"/>
        </w:rPr>
        <w:t xml:space="preserve">nce </w:t>
      </w:r>
      <w:r>
        <w:rPr>
          <w:rFonts w:asciiTheme="minorHAnsi" w:hAnsiTheme="minorHAnsi"/>
          <w:sz w:val="22"/>
          <w:szCs w:val="22"/>
        </w:rPr>
        <w:t>reports for all wells to which the WOMP relates are</w:t>
      </w:r>
      <w:r w:rsidRPr="00836AEC">
        <w:rPr>
          <w:rFonts w:asciiTheme="minorHAnsi" w:hAnsiTheme="minorHAnsi"/>
          <w:sz w:val="22"/>
          <w:szCs w:val="22"/>
        </w:rPr>
        <w:t xml:space="preserve"> accepted, the </w:t>
      </w:r>
      <w:r>
        <w:rPr>
          <w:rFonts w:asciiTheme="minorHAnsi" w:hAnsiTheme="minorHAnsi"/>
          <w:sz w:val="22"/>
          <w:szCs w:val="22"/>
        </w:rPr>
        <w:t>WOMP</w:t>
      </w:r>
      <w:r w:rsidRPr="00836AEC">
        <w:rPr>
          <w:rFonts w:asciiTheme="minorHAnsi" w:hAnsiTheme="minorHAnsi"/>
          <w:sz w:val="22"/>
          <w:szCs w:val="22"/>
        </w:rPr>
        <w:t xml:space="preserve"> </w:t>
      </w:r>
      <w:r>
        <w:rPr>
          <w:rFonts w:asciiTheme="minorHAnsi" w:hAnsiTheme="minorHAnsi"/>
          <w:sz w:val="22"/>
          <w:szCs w:val="22"/>
        </w:rPr>
        <w:t xml:space="preserve">ends, meaning it </w:t>
      </w:r>
      <w:r w:rsidRPr="00917EDE">
        <w:rPr>
          <w:rFonts w:asciiTheme="minorHAnsi" w:hAnsiTheme="minorHAnsi"/>
          <w:sz w:val="22"/>
          <w:szCs w:val="22"/>
        </w:rPr>
        <w:t>is no longer in</w:t>
      </w:r>
      <w:r>
        <w:rPr>
          <w:rFonts w:asciiTheme="minorHAnsi" w:hAnsiTheme="minorHAnsi"/>
          <w:sz w:val="22"/>
          <w:szCs w:val="22"/>
        </w:rPr>
        <w:t xml:space="preserve"> </w:t>
      </w:r>
      <w:r w:rsidRPr="00836AEC">
        <w:rPr>
          <w:rFonts w:asciiTheme="minorHAnsi" w:hAnsiTheme="minorHAnsi"/>
          <w:sz w:val="22"/>
          <w:szCs w:val="22"/>
        </w:rPr>
        <w:t xml:space="preserve">force and the </w:t>
      </w:r>
      <w:r>
        <w:rPr>
          <w:rFonts w:asciiTheme="minorHAnsi" w:hAnsiTheme="minorHAnsi"/>
          <w:sz w:val="22"/>
          <w:szCs w:val="22"/>
        </w:rPr>
        <w:t>ability</w:t>
      </w:r>
      <w:r w:rsidRPr="00836AEC">
        <w:rPr>
          <w:rFonts w:asciiTheme="minorHAnsi" w:hAnsiTheme="minorHAnsi"/>
          <w:sz w:val="22"/>
          <w:szCs w:val="22"/>
        </w:rPr>
        <w:t xml:space="preserve"> to conduct </w:t>
      </w:r>
      <w:r>
        <w:rPr>
          <w:rFonts w:asciiTheme="minorHAnsi" w:hAnsiTheme="minorHAnsi"/>
          <w:sz w:val="22"/>
          <w:szCs w:val="22"/>
        </w:rPr>
        <w:t>well activities</w:t>
      </w:r>
      <w:r w:rsidRPr="00836AEC">
        <w:rPr>
          <w:rFonts w:asciiTheme="minorHAnsi" w:hAnsiTheme="minorHAnsi"/>
          <w:sz w:val="22"/>
          <w:szCs w:val="22"/>
        </w:rPr>
        <w:t xml:space="preserve"> </w:t>
      </w:r>
      <w:r>
        <w:rPr>
          <w:rFonts w:asciiTheme="minorHAnsi" w:hAnsiTheme="minorHAnsi"/>
          <w:sz w:val="22"/>
          <w:szCs w:val="22"/>
        </w:rPr>
        <w:t>under that WOMP ceases</w:t>
      </w:r>
      <w:r w:rsidRPr="00836AEC">
        <w:rPr>
          <w:rFonts w:asciiTheme="minorHAnsi" w:hAnsiTheme="minorHAnsi"/>
          <w:sz w:val="22"/>
          <w:szCs w:val="22"/>
        </w:rPr>
        <w:t xml:space="preserve">. The </w:t>
      </w:r>
      <w:r>
        <w:rPr>
          <w:rFonts w:asciiTheme="minorHAnsi" w:hAnsiTheme="minorHAnsi"/>
          <w:sz w:val="22"/>
          <w:szCs w:val="22"/>
        </w:rPr>
        <w:t>WOMP</w:t>
      </w:r>
      <w:r w:rsidRPr="00836AEC">
        <w:rPr>
          <w:rFonts w:asciiTheme="minorHAnsi" w:hAnsiTheme="minorHAnsi"/>
          <w:sz w:val="22"/>
          <w:szCs w:val="22"/>
        </w:rPr>
        <w:t xml:space="preserve"> cannot be reactivated or revised after this time.</w:t>
      </w:r>
      <w:r>
        <w:t xml:space="preserve"> </w:t>
      </w:r>
    </w:p>
    <w:p w14:paraId="4B87DB00" w14:textId="24296DCC" w:rsidR="00065162" w:rsidRPr="00D404DC" w:rsidRDefault="00AC5544" w:rsidP="00125D28">
      <w:pPr>
        <w:pStyle w:val="Heading2"/>
      </w:pPr>
      <w:bookmarkStart w:id="167" w:name="_Toc460246208"/>
      <w:bookmarkStart w:id="168" w:name="_Toc460260008"/>
      <w:bookmarkStart w:id="169" w:name="_Toc460341781"/>
      <w:bookmarkStart w:id="170" w:name="_Toc460421918"/>
      <w:bookmarkStart w:id="171" w:name="_Toc461973097"/>
      <w:bookmarkStart w:id="172" w:name="_Toc464748039"/>
      <w:bookmarkStart w:id="173" w:name="_Toc475055287"/>
      <w:bookmarkStart w:id="174" w:name="_Toc475358939"/>
      <w:bookmarkStart w:id="175" w:name="_Toc479770968"/>
      <w:bookmarkStart w:id="176" w:name="_Toc479778739"/>
      <w:bookmarkStart w:id="177" w:name="_Toc479845255"/>
      <w:bookmarkStart w:id="178" w:name="_Toc482364339"/>
      <w:bookmarkStart w:id="179" w:name="_Toc486939243"/>
      <w:bookmarkStart w:id="180" w:name="_Toc486939316"/>
      <w:bookmarkStart w:id="181" w:name="_Toc486949868"/>
      <w:bookmarkStart w:id="182" w:name="_Toc486950229"/>
      <w:bookmarkStart w:id="183" w:name="_Toc486956427"/>
      <w:bookmarkStart w:id="184" w:name="_Toc489460738"/>
      <w:bookmarkStart w:id="185" w:name="_Toc489460846"/>
      <w:bookmarkEnd w:id="154"/>
      <w:r w:rsidRPr="00D404DC">
        <w:t>4</w:t>
      </w:r>
      <w:r w:rsidR="0041519B" w:rsidRPr="00D404DC">
        <w:t>.</w:t>
      </w:r>
      <w:r w:rsidR="009D4474">
        <w:t>2</w:t>
      </w:r>
      <w:r w:rsidR="00065162" w:rsidRPr="00D404DC">
        <w:tab/>
      </w:r>
      <w:r w:rsidR="009D4474">
        <w:t xml:space="preserve">Approvals from the </w:t>
      </w:r>
      <w:r w:rsidR="00065162" w:rsidRPr="00D404DC">
        <w:t>Joint Authorit</w:t>
      </w:r>
      <w:r w:rsidR="009D4474">
        <w:t>y</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BFD7ADB" w14:textId="4DACEEFA" w:rsidR="00BA7399" w:rsidRDefault="00BA7399" w:rsidP="00442DBD">
      <w:pPr>
        <w:spacing w:before="120" w:after="120" w:line="276" w:lineRule="auto"/>
        <w:rPr>
          <w:rFonts w:asciiTheme="minorHAnsi" w:hAnsiTheme="minorHAnsi"/>
          <w:sz w:val="22"/>
          <w:szCs w:val="22"/>
        </w:rPr>
      </w:pPr>
      <w:bookmarkStart w:id="186" w:name="_Toc460246210"/>
      <w:bookmarkStart w:id="187" w:name="_Toc460260010"/>
      <w:bookmarkStart w:id="188" w:name="_Toc460341783"/>
      <w:bookmarkStart w:id="189" w:name="_Toc460421920"/>
      <w:bookmarkStart w:id="190" w:name="_Toc461973099"/>
      <w:bookmarkStart w:id="191" w:name="_Toc464748041"/>
      <w:bookmarkStart w:id="192" w:name="_Toc475055290"/>
      <w:bookmarkStart w:id="193" w:name="_Toc475358942"/>
      <w:bookmarkStart w:id="194" w:name="_Toc479770970"/>
      <w:bookmarkStart w:id="195" w:name="_Toc479778741"/>
      <w:bookmarkStart w:id="196" w:name="_Toc479845257"/>
      <w:bookmarkStart w:id="197" w:name="_Toc482364340"/>
      <w:bookmarkStart w:id="198" w:name="_Toc445885373"/>
      <w:bookmarkStart w:id="199" w:name="_Toc445885548"/>
      <w:bookmarkStart w:id="200" w:name="_Toc448423042"/>
      <w:bookmarkStart w:id="201" w:name="_Toc448507406"/>
      <w:bookmarkStart w:id="202" w:name="_Toc454521715"/>
      <w:bookmarkStart w:id="203" w:name="_Toc454522458"/>
      <w:bookmarkStart w:id="204" w:name="_Toc454548017"/>
      <w:bookmarkStart w:id="205" w:name="_Toc454548302"/>
      <w:bookmarkStart w:id="206" w:name="_Toc454550243"/>
      <w:bookmarkStart w:id="207" w:name="_Toc455500992"/>
      <w:bookmarkStart w:id="208" w:name="_Toc455504956"/>
      <w:bookmarkStart w:id="209" w:name="_Toc459993811"/>
      <w:bookmarkStart w:id="210" w:name="_Toc434326747"/>
      <w:r>
        <w:rPr>
          <w:rFonts w:asciiTheme="minorHAnsi" w:hAnsiTheme="minorHAnsi"/>
          <w:sz w:val="22"/>
          <w:szCs w:val="22"/>
        </w:rPr>
        <w:t xml:space="preserve">The Joint Authority is responsible for </w:t>
      </w:r>
      <w:r w:rsidR="00043C17">
        <w:rPr>
          <w:rFonts w:asciiTheme="minorHAnsi" w:hAnsiTheme="minorHAnsi"/>
          <w:sz w:val="22"/>
          <w:szCs w:val="22"/>
        </w:rPr>
        <w:t xml:space="preserve">assessing and </w:t>
      </w:r>
      <w:r>
        <w:rPr>
          <w:rFonts w:asciiTheme="minorHAnsi" w:hAnsiTheme="minorHAnsi"/>
          <w:sz w:val="22"/>
          <w:szCs w:val="22"/>
        </w:rPr>
        <w:t xml:space="preserve">accepting production licensees’ field development plans (FDPs) under </w:t>
      </w:r>
      <w:r w:rsidR="00043C17">
        <w:rPr>
          <w:rFonts w:asciiTheme="minorHAnsi" w:hAnsiTheme="minorHAnsi"/>
          <w:sz w:val="22"/>
          <w:szCs w:val="22"/>
        </w:rPr>
        <w:t xml:space="preserve">Part 4 of </w:t>
      </w:r>
      <w:r>
        <w:rPr>
          <w:rFonts w:asciiTheme="minorHAnsi" w:hAnsiTheme="minorHAnsi"/>
          <w:sz w:val="22"/>
          <w:szCs w:val="22"/>
        </w:rPr>
        <w:t>the RMA Regulations. The Joint Authority will consider advice provided by NOPTA in making decision</w:t>
      </w:r>
      <w:r w:rsidR="00751BAF">
        <w:rPr>
          <w:rFonts w:asciiTheme="minorHAnsi" w:hAnsiTheme="minorHAnsi"/>
          <w:sz w:val="22"/>
          <w:szCs w:val="22"/>
        </w:rPr>
        <w:t>s</w:t>
      </w:r>
      <w:r>
        <w:rPr>
          <w:rFonts w:asciiTheme="minorHAnsi" w:hAnsiTheme="minorHAnsi"/>
          <w:sz w:val="22"/>
          <w:szCs w:val="22"/>
        </w:rPr>
        <w:t xml:space="preserve"> on FDPs.</w:t>
      </w:r>
    </w:p>
    <w:p w14:paraId="1B5B8DDD" w14:textId="0A51F8A6" w:rsidR="00442DBD" w:rsidRPr="00062B9A" w:rsidRDefault="00442DBD" w:rsidP="00442DBD">
      <w:pPr>
        <w:spacing w:before="120" w:after="120" w:line="276" w:lineRule="auto"/>
        <w:rPr>
          <w:rFonts w:asciiTheme="minorHAnsi" w:hAnsiTheme="minorHAnsi"/>
          <w:sz w:val="22"/>
          <w:szCs w:val="22"/>
        </w:rPr>
      </w:pPr>
      <w:r>
        <w:rPr>
          <w:rFonts w:asciiTheme="minorHAnsi" w:hAnsiTheme="minorHAnsi"/>
          <w:sz w:val="22"/>
          <w:szCs w:val="22"/>
        </w:rPr>
        <w:t>Under regulation 4.02 of the RMA Regulations, a production licensee may not recover petroleum</w:t>
      </w:r>
      <w:r w:rsidR="002921C9">
        <w:rPr>
          <w:rFonts w:asciiTheme="minorHAnsi" w:hAnsiTheme="minorHAnsi"/>
          <w:sz w:val="22"/>
          <w:szCs w:val="22"/>
        </w:rPr>
        <w:t>, unless on an appraisal basis,</w:t>
      </w:r>
      <w:r>
        <w:rPr>
          <w:rFonts w:asciiTheme="minorHAnsi" w:hAnsiTheme="minorHAnsi"/>
          <w:sz w:val="22"/>
          <w:szCs w:val="22"/>
        </w:rPr>
        <w:t xml:space="preserve"> without an accepted FDP in place. </w:t>
      </w:r>
      <w:r w:rsidR="002921C9">
        <w:rPr>
          <w:rFonts w:asciiTheme="minorHAnsi" w:hAnsiTheme="minorHAnsi"/>
          <w:sz w:val="22"/>
          <w:szCs w:val="22"/>
        </w:rPr>
        <w:t>Under regulation 4.06 of the RMA</w:t>
      </w:r>
      <w:r w:rsidR="008D557E">
        <w:rPr>
          <w:rFonts w:asciiTheme="minorHAnsi" w:hAnsiTheme="minorHAnsi"/>
          <w:sz w:val="22"/>
          <w:szCs w:val="22"/>
        </w:rPr>
        <w:t> </w:t>
      </w:r>
      <w:r w:rsidR="002921C9">
        <w:rPr>
          <w:rFonts w:asciiTheme="minorHAnsi" w:hAnsiTheme="minorHAnsi"/>
          <w:sz w:val="22"/>
          <w:szCs w:val="22"/>
        </w:rPr>
        <w:t>Regulations, t</w:t>
      </w:r>
      <w:r>
        <w:rPr>
          <w:rFonts w:asciiTheme="minorHAnsi" w:hAnsiTheme="minorHAnsi"/>
          <w:sz w:val="22"/>
          <w:szCs w:val="22"/>
        </w:rPr>
        <w:t xml:space="preserve">he FDP will be accepted by the Joint Authority if </w:t>
      </w:r>
      <w:r w:rsidR="00BA7399">
        <w:rPr>
          <w:rFonts w:asciiTheme="minorHAnsi" w:hAnsiTheme="minorHAnsi"/>
          <w:sz w:val="22"/>
          <w:szCs w:val="22"/>
        </w:rPr>
        <w:t>it is</w:t>
      </w:r>
      <w:r>
        <w:rPr>
          <w:rFonts w:asciiTheme="minorHAnsi" w:hAnsiTheme="minorHAnsi"/>
          <w:sz w:val="22"/>
          <w:szCs w:val="22"/>
        </w:rPr>
        <w:t xml:space="preserve"> satisfied that </w:t>
      </w:r>
      <w:r w:rsidR="00BA7399">
        <w:rPr>
          <w:rFonts w:asciiTheme="minorHAnsi" w:hAnsiTheme="minorHAnsi"/>
          <w:sz w:val="22"/>
          <w:szCs w:val="22"/>
        </w:rPr>
        <w:t>the FDP</w:t>
      </w:r>
      <w:r>
        <w:rPr>
          <w:rFonts w:asciiTheme="minorHAnsi" w:hAnsiTheme="minorHAnsi"/>
          <w:sz w:val="22"/>
          <w:szCs w:val="22"/>
        </w:rPr>
        <w:t xml:space="preserve"> </w:t>
      </w:r>
      <w:r w:rsidRPr="00062B9A">
        <w:rPr>
          <w:rFonts w:asciiTheme="minorHAnsi" w:hAnsiTheme="minorHAnsi"/>
          <w:sz w:val="22"/>
          <w:szCs w:val="22"/>
        </w:rPr>
        <w:t>includes the matters in sub</w:t>
      </w:r>
      <w:r>
        <w:rPr>
          <w:rFonts w:asciiTheme="minorHAnsi" w:hAnsiTheme="minorHAnsi"/>
          <w:sz w:val="22"/>
          <w:szCs w:val="22"/>
        </w:rPr>
        <w:t>-</w:t>
      </w:r>
      <w:r w:rsidR="00BA7399">
        <w:rPr>
          <w:rFonts w:asciiTheme="minorHAnsi" w:hAnsiTheme="minorHAnsi"/>
          <w:sz w:val="22"/>
          <w:szCs w:val="22"/>
        </w:rPr>
        <w:t>regulation 4.07(1),</w:t>
      </w:r>
      <w:r w:rsidRPr="00062B9A">
        <w:rPr>
          <w:rFonts w:asciiTheme="minorHAnsi" w:hAnsiTheme="minorHAnsi"/>
          <w:sz w:val="22"/>
          <w:szCs w:val="22"/>
        </w:rPr>
        <w:t xml:space="preserve"> and demonstrates that the person will conduct pool </w:t>
      </w:r>
      <w:r w:rsidRPr="00062B9A">
        <w:rPr>
          <w:rFonts w:asciiTheme="minorHAnsi" w:hAnsiTheme="minorHAnsi"/>
          <w:sz w:val="22"/>
          <w:szCs w:val="22"/>
        </w:rPr>
        <w:lastRenderedPageBreak/>
        <w:t>management in the field consiste</w:t>
      </w:r>
      <w:r w:rsidR="00BA7399">
        <w:rPr>
          <w:rFonts w:asciiTheme="minorHAnsi" w:hAnsiTheme="minorHAnsi"/>
          <w:sz w:val="22"/>
          <w:szCs w:val="22"/>
        </w:rPr>
        <w:t xml:space="preserve">nt with good oilfield practice </w:t>
      </w:r>
      <w:r w:rsidRPr="00062B9A">
        <w:rPr>
          <w:rFonts w:asciiTheme="minorHAnsi" w:hAnsiTheme="minorHAnsi"/>
          <w:sz w:val="22"/>
          <w:szCs w:val="22"/>
        </w:rPr>
        <w:t>and compatible with optimum long</w:t>
      </w:r>
      <w:r w:rsidRPr="00062B9A">
        <w:rPr>
          <w:rFonts w:asciiTheme="minorHAnsi" w:hAnsiTheme="minorHAnsi"/>
          <w:sz w:val="22"/>
          <w:szCs w:val="22"/>
        </w:rPr>
        <w:noBreakHyphen/>
        <w:t>term recovery of the petroleum.</w:t>
      </w:r>
    </w:p>
    <w:p w14:paraId="225E1F71" w14:textId="76668F60" w:rsidR="00442DBD" w:rsidRDefault="00442DBD" w:rsidP="00442DBD">
      <w:pPr>
        <w:pStyle w:val="ListParagraph"/>
        <w:spacing w:before="120" w:after="120"/>
        <w:ind w:left="0"/>
        <w:contextualSpacing w:val="0"/>
      </w:pPr>
      <w:r>
        <w:rPr>
          <w:rFonts w:eastAsia="Times New Roman" w:cs="Times New Roman"/>
          <w:lang w:eastAsia="en-AU"/>
        </w:rPr>
        <w:t xml:space="preserve">While </w:t>
      </w:r>
      <w:r>
        <w:t>t</w:t>
      </w:r>
      <w:r w:rsidRPr="002F605A">
        <w:t>here is no express requirement to incl</w:t>
      </w:r>
      <w:r>
        <w:t xml:space="preserve">ude decommissioning in the FDP, the </w:t>
      </w:r>
      <w:r w:rsidR="00BA7399">
        <w:t>plan</w:t>
      </w:r>
      <w:r>
        <w:t xml:space="preserve"> must include the project schedule and development strategy. </w:t>
      </w:r>
      <w:r w:rsidR="00BA7399">
        <w:t>Further, where</w:t>
      </w:r>
      <w:r>
        <w:t xml:space="preserve"> a production licensee proposes to cease production, permanently or for the long term, before the date proposed in the FDP, this would constitute a ‘major change</w:t>
      </w:r>
      <w:r w:rsidR="00043C17">
        <w:t>’</w:t>
      </w:r>
      <w:r>
        <w:t>, and under regulation 4.</w:t>
      </w:r>
      <w:r w:rsidR="00A758A1">
        <w:t>0</w:t>
      </w:r>
      <w:r>
        <w:t>8 require</w:t>
      </w:r>
      <w:r w:rsidR="00751BAF">
        <w:t>s</w:t>
      </w:r>
      <w:r>
        <w:t xml:space="preserve"> an application to the Joint Authority, through NOPTA, for a variation to the accepted FDP.</w:t>
      </w:r>
    </w:p>
    <w:p w14:paraId="5EEAF12B" w14:textId="458609E3" w:rsidR="00442DBD" w:rsidRDefault="00442DBD" w:rsidP="00442DBD">
      <w:pPr>
        <w:pStyle w:val="ListParagraph"/>
        <w:spacing w:before="120" w:after="120"/>
        <w:ind w:left="0"/>
        <w:contextualSpacing w:val="0"/>
      </w:pPr>
      <w:r>
        <w:t>Where a titleholder is considering ceasing production</w:t>
      </w:r>
      <w:r w:rsidR="00751BAF">
        <w:t>,</w:t>
      </w:r>
      <w:r>
        <w:t xml:space="preserve"> it is recommended they contact NOPTA for further information on the </w:t>
      </w:r>
      <w:r w:rsidR="00751BAF">
        <w:t xml:space="preserve">applicable </w:t>
      </w:r>
      <w:r>
        <w:t xml:space="preserve">process. </w:t>
      </w:r>
    </w:p>
    <w:p w14:paraId="0F6A864D" w14:textId="68665223" w:rsidR="002921C9" w:rsidRPr="00442DBD" w:rsidRDefault="002921C9" w:rsidP="00442DBD">
      <w:pPr>
        <w:pStyle w:val="ListParagraph"/>
        <w:spacing w:before="120" w:after="120"/>
        <w:ind w:left="0"/>
        <w:contextualSpacing w:val="0"/>
      </w:pPr>
      <w:r w:rsidRPr="00445153">
        <w:rPr>
          <w:noProof/>
          <w:lang w:eastAsia="en-AU"/>
        </w:rPr>
        <mc:AlternateContent>
          <mc:Choice Requires="wps">
            <w:drawing>
              <wp:anchor distT="45720" distB="45720" distL="114300" distR="114300" simplePos="0" relativeHeight="251658263" behindDoc="0" locked="0" layoutInCell="1" allowOverlap="1" wp14:anchorId="3D4443C3" wp14:editId="33DB1E03">
                <wp:simplePos x="0" y="0"/>
                <wp:positionH relativeFrom="margin">
                  <wp:posOffset>0</wp:posOffset>
                </wp:positionH>
                <wp:positionV relativeFrom="paragraph">
                  <wp:posOffset>508635</wp:posOffset>
                </wp:positionV>
                <wp:extent cx="5705475" cy="590550"/>
                <wp:effectExtent l="0" t="0" r="28575"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590550"/>
                        </a:xfrm>
                        <a:prstGeom prst="rect">
                          <a:avLst/>
                        </a:prstGeom>
                        <a:solidFill>
                          <a:schemeClr val="accent1">
                            <a:lumMod val="20000"/>
                            <a:lumOff val="80000"/>
                          </a:schemeClr>
                        </a:solidFill>
                        <a:ln w="9525">
                          <a:solidFill>
                            <a:schemeClr val="tx1"/>
                          </a:solidFill>
                          <a:miter lim="800000"/>
                          <a:headEnd/>
                          <a:tailEnd/>
                        </a:ln>
                      </wps:spPr>
                      <wps:txbx>
                        <w:txbxContent>
                          <w:p w14:paraId="6DAA5EF1" w14:textId="3C0772D7" w:rsidR="00934F2F" w:rsidRDefault="000A096E" w:rsidP="00895ABD">
                            <w:pPr>
                              <w:spacing w:before="120" w:after="120" w:line="276" w:lineRule="auto"/>
                              <w:rPr>
                                <w:rFonts w:asciiTheme="minorHAnsi" w:hAnsiTheme="minorHAnsi"/>
                                <w:sz w:val="22"/>
                                <w:szCs w:val="22"/>
                              </w:rPr>
                            </w:pPr>
                            <w:hyperlink r:id="rId41" w:tooltip="http://www.nopta.gov.au/" w:history="1">
                              <w:r w:rsidR="00934F2F" w:rsidRPr="008D1658">
                                <w:rPr>
                                  <w:rStyle w:val="Hyperlink"/>
                                  <w:rFonts w:asciiTheme="minorHAnsi" w:hAnsiTheme="minorHAnsi"/>
                                  <w:sz w:val="22"/>
                                  <w:szCs w:val="22"/>
                                </w:rPr>
                                <w:t>Further information about the Joint Authorit</w:t>
                              </w:r>
                            </w:hyperlink>
                            <w:r w:rsidR="00934F2F">
                              <w:rPr>
                                <w:rStyle w:val="Hyperlink"/>
                                <w:rFonts w:asciiTheme="minorHAnsi" w:hAnsiTheme="minorHAnsi"/>
                                <w:sz w:val="22"/>
                                <w:szCs w:val="22"/>
                              </w:rPr>
                              <w:t>ies</w:t>
                            </w:r>
                            <w:r w:rsidR="00934F2F">
                              <w:rPr>
                                <w:rFonts w:asciiTheme="minorHAnsi" w:hAnsiTheme="minorHAnsi"/>
                                <w:sz w:val="22"/>
                                <w:szCs w:val="22"/>
                              </w:rPr>
                              <w:t xml:space="preserve"> is available on the </w:t>
                            </w:r>
                            <w:r w:rsidR="00934F2F" w:rsidRPr="008D1658">
                              <w:rPr>
                                <w:rFonts w:asciiTheme="minorHAnsi" w:hAnsiTheme="minorHAnsi"/>
                                <w:sz w:val="22"/>
                                <w:szCs w:val="22"/>
                              </w:rPr>
                              <w:t>NOPTA website</w:t>
                            </w:r>
                            <w:r w:rsidR="00934F2F">
                              <w:rPr>
                                <w:rFonts w:asciiTheme="minorHAnsi" w:hAnsiTheme="minorHAnsi"/>
                                <w:sz w:val="22"/>
                                <w:szCs w:val="22"/>
                              </w:rPr>
                              <w:t xml:space="preserve">. Also available are </w:t>
                            </w:r>
                            <w:hyperlink r:id="rId42" w:tooltip="http://www.nopta.gov.au/guidelines-and-factsheets/offshore-petroleum-guidelines.html" w:history="1">
                              <w:r w:rsidR="00934F2F" w:rsidRPr="00C01348">
                                <w:rPr>
                                  <w:rStyle w:val="Hyperlink"/>
                                  <w:rFonts w:asciiTheme="minorHAnsi" w:hAnsiTheme="minorHAnsi"/>
                                  <w:sz w:val="22"/>
                                  <w:szCs w:val="22"/>
                                </w:rPr>
                                <w:t>operating protocols</w:t>
                              </w:r>
                            </w:hyperlink>
                            <w:r w:rsidR="00934F2F">
                              <w:rPr>
                                <w:rFonts w:asciiTheme="minorHAnsi" w:hAnsiTheme="minorHAnsi"/>
                                <w:sz w:val="22"/>
                                <w:szCs w:val="22"/>
                              </w:rPr>
                              <w:t xml:space="preserve"> for the Joint Authorities and </w:t>
                            </w:r>
                            <w:hyperlink r:id="rId43" w:tooltip="http://www.nopta.gov.au/guidelines-and-factsheets/offshore-petroleum-guidelines.html" w:history="1">
                              <w:r w:rsidR="00934F2F" w:rsidRPr="00FC7443">
                                <w:rPr>
                                  <w:rStyle w:val="Hyperlink"/>
                                  <w:rFonts w:asciiTheme="minorHAnsi" w:hAnsiTheme="minorHAnsi"/>
                                  <w:sz w:val="22"/>
                                  <w:szCs w:val="22"/>
                                </w:rPr>
                                <w:t>guidelines for Joint Authority decisions</w:t>
                              </w:r>
                            </w:hyperlink>
                            <w:r w:rsidR="00934F2F">
                              <w:rPr>
                                <w:rFonts w:asciiTheme="minorHAnsi" w:hAnsiTheme="minorHAnsi"/>
                                <w:sz w:val="22"/>
                                <w:szCs w:val="22"/>
                              </w:rPr>
                              <w:t>.</w:t>
                            </w:r>
                          </w:p>
                          <w:p w14:paraId="549309D9" w14:textId="3C093957" w:rsidR="00934F2F" w:rsidRDefault="00934F2F" w:rsidP="00895ABD">
                            <w:pPr>
                              <w:spacing w:before="120" w:after="120" w:line="276" w:lineRule="auto"/>
                              <w:rPr>
                                <w:rFonts w:asciiTheme="minorHAnsi" w:hAnsiTheme="minorHAnsi"/>
                                <w:sz w:val="22"/>
                                <w:szCs w:val="22"/>
                              </w:rPr>
                            </w:pPr>
                            <w:r>
                              <w:rPr>
                                <w:rFonts w:asciiTheme="minorHAnsi" w:hAnsiTheme="minorHAnsi"/>
                                <w:sz w:val="22"/>
                                <w:szCs w:val="22"/>
                              </w:rPr>
                              <w:t xml:space="preserve">   </w:t>
                            </w:r>
                          </w:p>
                          <w:p w14:paraId="27EDB954" w14:textId="77777777" w:rsidR="00934F2F" w:rsidRDefault="00934F2F" w:rsidP="00895ABD">
                            <w:pPr>
                              <w:pStyle w:val="ListParagraph"/>
                              <w:spacing w:before="120" w:after="120"/>
                              <w:ind w:left="0"/>
                            </w:pPr>
                          </w:p>
                          <w:p w14:paraId="65EB89C7" w14:textId="77777777" w:rsidR="00934F2F" w:rsidRDefault="00934F2F" w:rsidP="00895ABD">
                            <w:pPr>
                              <w:pStyle w:val="ListParagraph"/>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4443C3" id="_x0000_s1032" type="#_x0000_t202" style="position:absolute;margin-left:0;margin-top:40.05pt;width:449.25pt;height:46.5pt;z-index:25165826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" fillcolor="#deeaf6 [660]" strokecolor="black [3213]">
                <v:textbox>
                  <w:txbxContent>
                    <w:p w14:paraId="6DAA5EF1" w14:textId="3C0772D7" w:rsidR="00934F2F" w:rsidRDefault="000A096E" w:rsidP="00895ABD">
                      <w:pPr>
                        <w:spacing w:before="120" w:after="120" w:line="276" w:lineRule="auto"/>
                        <w:rPr>
                          <w:rFonts w:asciiTheme="minorHAnsi" w:hAnsiTheme="minorHAnsi"/>
                          <w:sz w:val="22"/>
                          <w:szCs w:val="22"/>
                        </w:rPr>
                      </w:pPr>
                      <w:hyperlink r:id="rId44" w:tooltip="http://www.nopta.gov.au/" w:history="1">
                        <w:r w:rsidR="00934F2F" w:rsidRPr="008D1658">
                          <w:rPr>
                            <w:rStyle w:val="Hyperlink"/>
                            <w:rFonts w:asciiTheme="minorHAnsi" w:hAnsiTheme="minorHAnsi"/>
                            <w:sz w:val="22"/>
                            <w:szCs w:val="22"/>
                          </w:rPr>
                          <w:t>Further information about the Joint Authorit</w:t>
                        </w:r>
                      </w:hyperlink>
                      <w:r w:rsidR="00934F2F">
                        <w:rPr>
                          <w:rStyle w:val="Hyperlink"/>
                          <w:rFonts w:asciiTheme="minorHAnsi" w:hAnsiTheme="minorHAnsi"/>
                          <w:sz w:val="22"/>
                          <w:szCs w:val="22"/>
                        </w:rPr>
                        <w:t>ies</w:t>
                      </w:r>
                      <w:r w:rsidR="00934F2F">
                        <w:rPr>
                          <w:rFonts w:asciiTheme="minorHAnsi" w:hAnsiTheme="minorHAnsi"/>
                          <w:sz w:val="22"/>
                          <w:szCs w:val="22"/>
                        </w:rPr>
                        <w:t xml:space="preserve"> is available on the </w:t>
                      </w:r>
                      <w:r w:rsidR="00934F2F" w:rsidRPr="008D1658">
                        <w:rPr>
                          <w:rFonts w:asciiTheme="minorHAnsi" w:hAnsiTheme="minorHAnsi"/>
                          <w:sz w:val="22"/>
                          <w:szCs w:val="22"/>
                        </w:rPr>
                        <w:t>NOPTA website</w:t>
                      </w:r>
                      <w:r w:rsidR="00934F2F">
                        <w:rPr>
                          <w:rFonts w:asciiTheme="minorHAnsi" w:hAnsiTheme="minorHAnsi"/>
                          <w:sz w:val="22"/>
                          <w:szCs w:val="22"/>
                        </w:rPr>
                        <w:t xml:space="preserve">. Also available are </w:t>
                      </w:r>
                      <w:hyperlink r:id="rId45" w:tooltip="http://www.nopta.gov.au/guidelines-and-factsheets/offshore-petroleum-guidelines.html" w:history="1">
                        <w:r w:rsidR="00934F2F" w:rsidRPr="00C01348">
                          <w:rPr>
                            <w:rStyle w:val="Hyperlink"/>
                            <w:rFonts w:asciiTheme="minorHAnsi" w:hAnsiTheme="minorHAnsi"/>
                            <w:sz w:val="22"/>
                            <w:szCs w:val="22"/>
                          </w:rPr>
                          <w:t>operating protocols</w:t>
                        </w:r>
                      </w:hyperlink>
                      <w:r w:rsidR="00934F2F">
                        <w:rPr>
                          <w:rFonts w:asciiTheme="minorHAnsi" w:hAnsiTheme="minorHAnsi"/>
                          <w:sz w:val="22"/>
                          <w:szCs w:val="22"/>
                        </w:rPr>
                        <w:t xml:space="preserve"> for the Joint Authorities and </w:t>
                      </w:r>
                      <w:hyperlink r:id="rId46" w:tooltip="http://www.nopta.gov.au/guidelines-and-factsheets/offshore-petroleum-guidelines.html" w:history="1">
                        <w:r w:rsidR="00934F2F" w:rsidRPr="00FC7443">
                          <w:rPr>
                            <w:rStyle w:val="Hyperlink"/>
                            <w:rFonts w:asciiTheme="minorHAnsi" w:hAnsiTheme="minorHAnsi"/>
                            <w:sz w:val="22"/>
                            <w:szCs w:val="22"/>
                          </w:rPr>
                          <w:t>guidelines for Joint Authority decisions</w:t>
                        </w:r>
                      </w:hyperlink>
                      <w:r w:rsidR="00934F2F">
                        <w:rPr>
                          <w:rFonts w:asciiTheme="minorHAnsi" w:hAnsiTheme="minorHAnsi"/>
                          <w:sz w:val="22"/>
                          <w:szCs w:val="22"/>
                        </w:rPr>
                        <w:t>.</w:t>
                      </w:r>
                    </w:p>
                    <w:p w14:paraId="549309D9" w14:textId="3C093957" w:rsidR="00934F2F" w:rsidRDefault="00934F2F" w:rsidP="00895ABD">
                      <w:pPr>
                        <w:spacing w:before="120" w:after="120" w:line="276" w:lineRule="auto"/>
                        <w:rPr>
                          <w:rFonts w:asciiTheme="minorHAnsi" w:hAnsiTheme="minorHAnsi"/>
                          <w:sz w:val="22"/>
                          <w:szCs w:val="22"/>
                        </w:rPr>
                      </w:pPr>
                      <w:r>
                        <w:rPr>
                          <w:rFonts w:asciiTheme="minorHAnsi" w:hAnsiTheme="minorHAnsi"/>
                          <w:sz w:val="22"/>
                          <w:szCs w:val="22"/>
                        </w:rPr>
                        <w:t xml:space="preserve">   </w:t>
                      </w:r>
                    </w:p>
                    <w:p w14:paraId="27EDB954" w14:textId="77777777" w:rsidR="00934F2F" w:rsidRDefault="00934F2F" w:rsidP="00895ABD">
                      <w:pPr>
                        <w:pStyle w:val="ListParagraph"/>
                        <w:spacing w:before="120" w:after="120"/>
                        <w:ind w:left="0"/>
                      </w:pPr>
                    </w:p>
                    <w:p w14:paraId="65EB89C7" w14:textId="77777777" w:rsidR="00934F2F" w:rsidRDefault="00934F2F" w:rsidP="00895ABD">
                      <w:pPr>
                        <w:pStyle w:val="ListParagraph"/>
                        <w:spacing w:before="120" w:after="120"/>
                      </w:pPr>
                    </w:p>
                  </w:txbxContent>
                </v:textbox>
                <w10:wrap type="square" anchorx="margin"/>
              </v:shape>
            </w:pict>
          </mc:Fallback>
        </mc:AlternateContent>
      </w:r>
      <w:r>
        <w:t xml:space="preserve">Once decommissioning activities have been satisfactorily completed, the Joint Authority is also the decision-maker on an application to surrender an offshore petroleum title. </w:t>
      </w:r>
    </w:p>
    <w:p w14:paraId="6BB93E60" w14:textId="0D836E6E" w:rsidR="00043C17" w:rsidRDefault="00043C17">
      <w:pPr>
        <w:spacing w:after="160" w:line="259" w:lineRule="auto"/>
        <w:rPr>
          <w:rFonts w:ascii="Cambria" w:eastAsiaTheme="majorEastAsia" w:hAnsi="Cambria" w:cstheme="majorBidi"/>
          <w:b/>
          <w:color w:val="2E74B5" w:themeColor="accent1" w:themeShade="BF"/>
          <w:sz w:val="28"/>
          <w:szCs w:val="28"/>
        </w:rPr>
      </w:pPr>
      <w:bookmarkStart w:id="211" w:name="_Toc479770971"/>
      <w:bookmarkStart w:id="212" w:name="_Toc479778742"/>
      <w:bookmarkStart w:id="213" w:name="_Toc479845258"/>
      <w:bookmarkStart w:id="214" w:name="_Toc482364342"/>
      <w:bookmarkStart w:id="215" w:name="_Toc486939245"/>
      <w:bookmarkStart w:id="216" w:name="_Toc486939318"/>
      <w:bookmarkStart w:id="217" w:name="_Toc486949870"/>
      <w:bookmarkStart w:id="218" w:name="_Toc486950231"/>
      <w:bookmarkStart w:id="219" w:name="_Toc486956429"/>
      <w:bookmarkStart w:id="220" w:name="_Toc435720046"/>
      <w:bookmarkStart w:id="221" w:name="_Toc445885374"/>
      <w:bookmarkStart w:id="222" w:name="_Toc445885549"/>
      <w:bookmarkStart w:id="223" w:name="_Toc448423043"/>
      <w:bookmarkStart w:id="224" w:name="_Toc448507407"/>
      <w:bookmarkStart w:id="225" w:name="_Toc454521716"/>
      <w:bookmarkStart w:id="226" w:name="_Toc454522459"/>
      <w:bookmarkStart w:id="227" w:name="_Toc454548018"/>
      <w:bookmarkStart w:id="228" w:name="_Toc454548303"/>
      <w:bookmarkStart w:id="229" w:name="_Toc454550244"/>
      <w:bookmarkStart w:id="230" w:name="_Toc455500993"/>
      <w:bookmarkStart w:id="231" w:name="_Toc455504957"/>
      <w:bookmarkStart w:id="232" w:name="_Toc459993812"/>
      <w:bookmarkStart w:id="233" w:name="_Toc460246212"/>
      <w:bookmarkStart w:id="234" w:name="_Toc460260012"/>
      <w:bookmarkStart w:id="235" w:name="_Toc460341785"/>
      <w:bookmarkStart w:id="236" w:name="_Toc460421922"/>
      <w:bookmarkStart w:id="237" w:name="_Toc461973101"/>
      <w:bookmarkStart w:id="238" w:name="_Toc464748043"/>
      <w:bookmarkStart w:id="239" w:name="_Toc475055291"/>
      <w:bookmarkStart w:id="240" w:name="_Toc47535894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Pr>
          <w:rFonts w:ascii="Cambria" w:hAnsi="Cambria"/>
          <w:b/>
          <w:sz w:val="28"/>
          <w:szCs w:val="28"/>
        </w:rPr>
        <w:br w:type="page"/>
      </w:r>
    </w:p>
    <w:p w14:paraId="53DE47C7" w14:textId="581253A3" w:rsidR="009275D4" w:rsidRPr="004F19AC" w:rsidRDefault="00043C17" w:rsidP="004F19AC">
      <w:pPr>
        <w:pStyle w:val="Heading1"/>
        <w:rPr>
          <w:rStyle w:val="Hyperlink"/>
          <w:rFonts w:ascii="Cambria" w:hAnsi="Cambria"/>
          <w:b/>
          <w:color w:val="2E74B5" w:themeColor="accent1" w:themeShade="BF"/>
          <w:u w:val="none"/>
        </w:rPr>
      </w:pPr>
      <w:bookmarkStart w:id="241" w:name="_Transfers_of_title"/>
      <w:bookmarkStart w:id="242" w:name="_Toc489460847"/>
      <w:bookmarkStart w:id="243" w:name="Part_5"/>
      <w:bookmarkEnd w:id="102"/>
      <w:bookmarkEnd w:id="103"/>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Cambria" w:hAnsi="Cambria"/>
          <w:b/>
        </w:rPr>
        <w:lastRenderedPageBreak/>
        <w:t>5</w:t>
      </w:r>
      <w:bookmarkStart w:id="244" w:name="_Toc460234701"/>
      <w:bookmarkStart w:id="245" w:name="_Toc460246236"/>
      <w:bookmarkStart w:id="246" w:name="_Toc460260038"/>
      <w:bookmarkStart w:id="247" w:name="_Toc460341811"/>
      <w:bookmarkStart w:id="248" w:name="_Toc460421949"/>
      <w:bookmarkStart w:id="249" w:name="_Toc475055304"/>
      <w:bookmarkStart w:id="250" w:name="_Toc475358965"/>
      <w:bookmarkStart w:id="251" w:name="_Toc435720053"/>
      <w:bookmarkStart w:id="252" w:name="_Toc445885381"/>
      <w:bookmarkStart w:id="253" w:name="_Toc445885556"/>
      <w:bookmarkStart w:id="254" w:name="_Toc448423051"/>
      <w:bookmarkStart w:id="255" w:name="_Toc448507415"/>
      <w:bookmarkStart w:id="256" w:name="_Toc454521723"/>
      <w:bookmarkStart w:id="257" w:name="_Toc454522466"/>
      <w:bookmarkStart w:id="258" w:name="_Toc454548025"/>
      <w:r w:rsidR="009275D4" w:rsidRPr="004F19AC">
        <w:rPr>
          <w:rStyle w:val="Hyperlink"/>
          <w:rFonts w:ascii="Cambria" w:hAnsi="Cambria"/>
          <w:b/>
          <w:color w:val="2E74B5" w:themeColor="accent1" w:themeShade="BF"/>
          <w:u w:val="none"/>
        </w:rPr>
        <w:tab/>
        <w:t>Other</w:t>
      </w:r>
      <w:r w:rsidR="00A51101" w:rsidRPr="004F19AC">
        <w:rPr>
          <w:rStyle w:val="Hyperlink"/>
          <w:rFonts w:ascii="Cambria" w:hAnsi="Cambria"/>
          <w:b/>
          <w:color w:val="2E74B5" w:themeColor="accent1" w:themeShade="BF"/>
          <w:u w:val="none"/>
        </w:rPr>
        <w:t xml:space="preserve"> </w:t>
      </w:r>
      <w:bookmarkEnd w:id="244"/>
      <w:bookmarkEnd w:id="245"/>
      <w:bookmarkEnd w:id="246"/>
      <w:bookmarkEnd w:id="247"/>
      <w:bookmarkEnd w:id="248"/>
      <w:bookmarkEnd w:id="249"/>
      <w:bookmarkEnd w:id="250"/>
      <w:r w:rsidR="004F19AC" w:rsidRPr="004F19AC">
        <w:rPr>
          <w:rStyle w:val="Hyperlink"/>
          <w:rFonts w:ascii="Cambria" w:hAnsi="Cambria"/>
          <w:b/>
          <w:color w:val="2E74B5" w:themeColor="accent1" w:themeShade="BF"/>
          <w:u w:val="none"/>
        </w:rPr>
        <w:t>relevant laws</w:t>
      </w:r>
      <w:bookmarkEnd w:id="242"/>
    </w:p>
    <w:bookmarkEnd w:id="243"/>
    <w:p w14:paraId="04CB51C1" w14:textId="2EA3F3DE" w:rsidR="00DF255A" w:rsidRPr="001B7746" w:rsidRDefault="00DF255A" w:rsidP="00492AA7">
      <w:pPr>
        <w:spacing w:before="120" w:after="120" w:line="276" w:lineRule="auto"/>
        <w:rPr>
          <w:rFonts w:asciiTheme="minorHAnsi" w:hAnsiTheme="minorHAnsi"/>
          <w:sz w:val="22"/>
          <w:szCs w:val="22"/>
        </w:rPr>
      </w:pPr>
      <w:r w:rsidRPr="001B7746">
        <w:rPr>
          <w:rFonts w:asciiTheme="minorHAnsi" w:hAnsiTheme="minorHAnsi"/>
          <w:sz w:val="22"/>
          <w:szCs w:val="22"/>
        </w:rPr>
        <w:t>T</w:t>
      </w:r>
      <w:r w:rsidR="00D65AA2" w:rsidRPr="001B7746">
        <w:rPr>
          <w:rFonts w:asciiTheme="minorHAnsi" w:hAnsiTheme="minorHAnsi"/>
          <w:sz w:val="22"/>
          <w:szCs w:val="22"/>
        </w:rPr>
        <w:t xml:space="preserve">he OPGGS Act </w:t>
      </w:r>
      <w:r w:rsidRPr="001B7746">
        <w:rPr>
          <w:rFonts w:asciiTheme="minorHAnsi" w:hAnsiTheme="minorHAnsi"/>
          <w:sz w:val="22"/>
          <w:szCs w:val="22"/>
        </w:rPr>
        <w:t xml:space="preserve">and </w:t>
      </w:r>
      <w:r w:rsidR="003419DB" w:rsidRPr="001B7746">
        <w:rPr>
          <w:rFonts w:asciiTheme="minorHAnsi" w:hAnsiTheme="minorHAnsi"/>
          <w:sz w:val="22"/>
          <w:szCs w:val="22"/>
        </w:rPr>
        <w:t>r</w:t>
      </w:r>
      <w:r w:rsidR="00D65AA2" w:rsidRPr="001B7746">
        <w:rPr>
          <w:rFonts w:asciiTheme="minorHAnsi" w:hAnsiTheme="minorHAnsi"/>
          <w:sz w:val="22"/>
          <w:szCs w:val="22"/>
        </w:rPr>
        <w:t>egulations are the primary instruments applicable to decommis</w:t>
      </w:r>
      <w:r w:rsidRPr="001B7746">
        <w:rPr>
          <w:rFonts w:asciiTheme="minorHAnsi" w:hAnsiTheme="minorHAnsi"/>
          <w:sz w:val="22"/>
          <w:szCs w:val="22"/>
        </w:rPr>
        <w:t xml:space="preserve">sioning in Commonwealth waters. However, </w:t>
      </w:r>
      <w:proofErr w:type="gramStart"/>
      <w:r w:rsidR="00D65AA2" w:rsidRPr="001B7746">
        <w:rPr>
          <w:rFonts w:asciiTheme="minorHAnsi" w:hAnsiTheme="minorHAnsi"/>
          <w:sz w:val="22"/>
          <w:szCs w:val="22"/>
        </w:rPr>
        <w:t>a number of</w:t>
      </w:r>
      <w:proofErr w:type="gramEnd"/>
      <w:r w:rsidR="00D65AA2" w:rsidRPr="001B7746">
        <w:rPr>
          <w:rFonts w:asciiTheme="minorHAnsi" w:hAnsiTheme="minorHAnsi"/>
          <w:sz w:val="22"/>
          <w:szCs w:val="22"/>
        </w:rPr>
        <w:t xml:space="preserve"> other </w:t>
      </w:r>
      <w:r w:rsidR="004F19AC" w:rsidRPr="001B7746">
        <w:rPr>
          <w:rFonts w:asciiTheme="minorHAnsi" w:hAnsiTheme="minorHAnsi"/>
          <w:sz w:val="22"/>
          <w:szCs w:val="22"/>
        </w:rPr>
        <w:t>C</w:t>
      </w:r>
      <w:r w:rsidR="00D65AA2" w:rsidRPr="001B7746">
        <w:rPr>
          <w:rFonts w:asciiTheme="minorHAnsi" w:hAnsiTheme="minorHAnsi"/>
          <w:sz w:val="22"/>
          <w:szCs w:val="22"/>
        </w:rPr>
        <w:t xml:space="preserve">ommonwealth </w:t>
      </w:r>
      <w:r w:rsidR="00971251" w:rsidRPr="001B7746">
        <w:rPr>
          <w:rFonts w:asciiTheme="minorHAnsi" w:hAnsiTheme="minorHAnsi"/>
          <w:sz w:val="22"/>
          <w:szCs w:val="22"/>
        </w:rPr>
        <w:t xml:space="preserve">and State or Territory </w:t>
      </w:r>
      <w:r w:rsidR="004F19AC" w:rsidRPr="001B7746">
        <w:rPr>
          <w:rFonts w:asciiTheme="minorHAnsi" w:hAnsiTheme="minorHAnsi"/>
          <w:sz w:val="22"/>
          <w:szCs w:val="22"/>
        </w:rPr>
        <w:t>laws</w:t>
      </w:r>
      <w:r w:rsidR="00D65AA2" w:rsidRPr="001B7746">
        <w:rPr>
          <w:rFonts w:asciiTheme="minorHAnsi" w:hAnsiTheme="minorHAnsi"/>
          <w:sz w:val="22"/>
          <w:szCs w:val="22"/>
        </w:rPr>
        <w:t xml:space="preserve"> may </w:t>
      </w:r>
      <w:r w:rsidR="007C4A5A" w:rsidRPr="001B7746">
        <w:rPr>
          <w:rFonts w:asciiTheme="minorHAnsi" w:hAnsiTheme="minorHAnsi"/>
          <w:sz w:val="22"/>
          <w:szCs w:val="22"/>
        </w:rPr>
        <w:t>also apply to the</w:t>
      </w:r>
      <w:r w:rsidRPr="001B7746">
        <w:rPr>
          <w:rFonts w:asciiTheme="minorHAnsi" w:hAnsiTheme="minorHAnsi"/>
          <w:sz w:val="22"/>
          <w:szCs w:val="22"/>
        </w:rPr>
        <w:t xml:space="preserve"> decommissioning process. </w:t>
      </w:r>
      <w:r w:rsidR="009A5974">
        <w:rPr>
          <w:rFonts w:asciiTheme="minorHAnsi" w:hAnsiTheme="minorHAnsi"/>
          <w:sz w:val="22"/>
          <w:szCs w:val="22"/>
        </w:rPr>
        <w:t>Other key laws</w:t>
      </w:r>
      <w:r w:rsidR="00D65AA2" w:rsidRPr="001B7746">
        <w:rPr>
          <w:rFonts w:asciiTheme="minorHAnsi" w:hAnsiTheme="minorHAnsi"/>
          <w:sz w:val="22"/>
          <w:szCs w:val="22"/>
        </w:rPr>
        <w:t xml:space="preserve"> are</w:t>
      </w:r>
      <w:r w:rsidRPr="001B7746">
        <w:rPr>
          <w:rFonts w:asciiTheme="minorHAnsi" w:hAnsiTheme="minorHAnsi"/>
          <w:sz w:val="22"/>
          <w:szCs w:val="22"/>
        </w:rPr>
        <w:t xml:space="preserve"> </w:t>
      </w:r>
      <w:r w:rsidR="007C4A5A" w:rsidRPr="001B7746">
        <w:rPr>
          <w:rFonts w:asciiTheme="minorHAnsi" w:hAnsiTheme="minorHAnsi"/>
          <w:sz w:val="22"/>
          <w:szCs w:val="22"/>
        </w:rPr>
        <w:t>outlined below.</w:t>
      </w:r>
    </w:p>
    <w:p w14:paraId="73B3764E" w14:textId="305162BD" w:rsidR="00C313C8" w:rsidRPr="001B7746" w:rsidRDefault="00C313C8" w:rsidP="00492AA7">
      <w:pPr>
        <w:spacing w:before="120" w:after="120" w:line="276" w:lineRule="auto"/>
        <w:rPr>
          <w:rFonts w:asciiTheme="minorHAnsi" w:hAnsiTheme="minorHAnsi"/>
          <w:sz w:val="22"/>
          <w:szCs w:val="22"/>
        </w:rPr>
      </w:pPr>
      <w:r w:rsidRPr="001B7746">
        <w:rPr>
          <w:rFonts w:asciiTheme="minorHAnsi" w:hAnsiTheme="minorHAnsi"/>
          <w:sz w:val="22"/>
          <w:szCs w:val="22"/>
        </w:rPr>
        <w:t xml:space="preserve">In particular, </w:t>
      </w:r>
      <w:r w:rsidRPr="001B7746">
        <w:rPr>
          <w:rFonts w:asciiTheme="minorHAnsi" w:hAnsiTheme="minorHAnsi"/>
          <w:sz w:val="22"/>
          <w:szCs w:val="22"/>
          <w:u w:val="single"/>
        </w:rPr>
        <w:t>any</w:t>
      </w:r>
      <w:r w:rsidRPr="001B7746">
        <w:rPr>
          <w:rFonts w:asciiTheme="minorHAnsi" w:hAnsiTheme="minorHAnsi"/>
          <w:sz w:val="22"/>
          <w:szCs w:val="22"/>
        </w:rPr>
        <w:t xml:space="preserve"> proposal to dispose of infrastructure at sea, or to abandon infrastructure in-situ, will require a permit under the </w:t>
      </w:r>
      <w:hyperlink r:id="rId47" w:tooltip="https://www.legislation.gov.au/Details/C2016C00778" w:history="1">
        <w:r w:rsidR="001B7746" w:rsidRPr="001B7746">
          <w:rPr>
            <w:rStyle w:val="Hyperlink"/>
            <w:rFonts w:ascii="Calibri" w:hAnsi="Calibri"/>
            <w:i/>
            <w:sz w:val="22"/>
            <w:szCs w:val="22"/>
          </w:rPr>
          <w:t>Environment Protection (Sea Dumping) Act 1981</w:t>
        </w:r>
      </w:hyperlink>
      <w:r w:rsidR="001F7DA7" w:rsidRPr="001B7746">
        <w:rPr>
          <w:rFonts w:asciiTheme="minorHAnsi" w:hAnsiTheme="minorHAnsi"/>
          <w:i/>
          <w:sz w:val="22"/>
          <w:szCs w:val="22"/>
        </w:rPr>
        <w:t xml:space="preserve"> </w:t>
      </w:r>
      <w:r w:rsidR="001F7DA7" w:rsidRPr="001B7746">
        <w:rPr>
          <w:rFonts w:asciiTheme="minorHAnsi" w:hAnsiTheme="minorHAnsi"/>
          <w:sz w:val="22"/>
          <w:szCs w:val="22"/>
        </w:rPr>
        <w:t>(Sea Dumping Act)</w:t>
      </w:r>
      <w:r w:rsidRPr="001B7746">
        <w:rPr>
          <w:rFonts w:asciiTheme="minorHAnsi" w:hAnsiTheme="minorHAnsi"/>
          <w:sz w:val="22"/>
          <w:szCs w:val="22"/>
        </w:rPr>
        <w:t>.</w:t>
      </w:r>
    </w:p>
    <w:p w14:paraId="545B54C5" w14:textId="21C61307" w:rsidR="00C66EC1" w:rsidRPr="004F19AC" w:rsidRDefault="00C66EC1" w:rsidP="00125D28">
      <w:pPr>
        <w:pStyle w:val="Heading2"/>
      </w:pPr>
      <w:bookmarkStart w:id="259" w:name="_Toc460341813"/>
      <w:bookmarkStart w:id="260" w:name="_Toc460421951"/>
      <w:bookmarkStart w:id="261" w:name="_Toc461973024"/>
      <w:bookmarkStart w:id="262" w:name="_Toc461973130"/>
      <w:bookmarkStart w:id="263" w:name="_Toc464748072"/>
      <w:bookmarkStart w:id="264" w:name="_Toc475055306"/>
      <w:bookmarkStart w:id="265" w:name="_Toc475358967"/>
      <w:bookmarkStart w:id="266" w:name="_Toc479770983"/>
      <w:bookmarkStart w:id="267" w:name="_Toc479778754"/>
      <w:bookmarkStart w:id="268" w:name="_Toc479845270"/>
      <w:bookmarkStart w:id="269" w:name="_Toc482364355"/>
      <w:bookmarkStart w:id="270" w:name="_Toc486939258"/>
      <w:bookmarkStart w:id="271" w:name="_Toc486939331"/>
      <w:bookmarkStart w:id="272" w:name="_Toc486950240"/>
      <w:bookmarkStart w:id="273" w:name="_Toc486956438"/>
      <w:bookmarkStart w:id="274" w:name="_Toc489460741"/>
      <w:bookmarkStart w:id="275" w:name="_Toc489460849"/>
      <w:bookmarkStart w:id="276" w:name="_Toc460341812"/>
      <w:bookmarkStart w:id="277" w:name="_Toc460421950"/>
      <w:bookmarkStart w:id="278" w:name="_Toc461973023"/>
      <w:bookmarkStart w:id="279" w:name="_Toc461973129"/>
      <w:bookmarkStart w:id="280" w:name="_Toc464748071"/>
      <w:bookmarkStart w:id="281" w:name="_Toc475055305"/>
      <w:bookmarkStart w:id="282" w:name="_Toc475358966"/>
      <w:bookmarkStart w:id="283" w:name="_Toc479770982"/>
      <w:bookmarkStart w:id="284" w:name="_Toc479778753"/>
      <w:bookmarkStart w:id="285" w:name="_Toc479845269"/>
      <w:bookmarkStart w:id="286" w:name="_Toc482364354"/>
      <w:bookmarkStart w:id="287" w:name="_Toc486939257"/>
      <w:bookmarkStart w:id="288" w:name="_Toc486939330"/>
      <w:bookmarkStart w:id="289" w:name="_Toc486950239"/>
      <w:bookmarkStart w:id="290" w:name="_Toc486956437"/>
      <w:bookmarkStart w:id="291" w:name="_Toc489460740"/>
      <w:bookmarkStart w:id="292" w:name="_Toc489460848"/>
      <w:r>
        <w:t>5</w:t>
      </w:r>
      <w:r w:rsidRPr="004F19AC">
        <w:t>.</w:t>
      </w:r>
      <w:r w:rsidR="009A5974">
        <w:t>1</w:t>
      </w:r>
      <w:r w:rsidRPr="004F19AC">
        <w:tab/>
        <w:t>Environment Protection (Sea Dumping) Act 1981</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ECFE833" w14:textId="1D8EDABF" w:rsidR="00C66EC1" w:rsidRPr="00BF719E" w:rsidRDefault="00C66EC1" w:rsidP="00C66EC1">
      <w:pPr>
        <w:spacing w:before="120" w:after="120" w:line="276" w:lineRule="auto"/>
        <w:rPr>
          <w:rFonts w:asciiTheme="minorHAnsi" w:hAnsiTheme="minorHAnsi"/>
          <w:sz w:val="22"/>
          <w:szCs w:val="22"/>
        </w:rPr>
      </w:pPr>
      <w:r>
        <w:rPr>
          <w:rFonts w:asciiTheme="minorHAnsi" w:hAnsiTheme="minorHAnsi"/>
          <w:sz w:val="22"/>
          <w:szCs w:val="22"/>
        </w:rPr>
        <w:t xml:space="preserve">Australian </w:t>
      </w:r>
      <w:r w:rsidRPr="00BF719E">
        <w:rPr>
          <w:rFonts w:asciiTheme="minorHAnsi" w:hAnsiTheme="minorHAnsi"/>
          <w:sz w:val="22"/>
          <w:szCs w:val="22"/>
        </w:rPr>
        <w:t>waters</w:t>
      </w:r>
      <w:r>
        <w:rPr>
          <w:rStyle w:val="FootnoteReference"/>
          <w:rFonts w:asciiTheme="minorHAnsi" w:hAnsiTheme="minorHAnsi"/>
          <w:sz w:val="22"/>
          <w:szCs w:val="22"/>
        </w:rPr>
        <w:footnoteReference w:id="12"/>
      </w:r>
      <w:r w:rsidRPr="00BF719E">
        <w:rPr>
          <w:rFonts w:asciiTheme="minorHAnsi" w:hAnsiTheme="minorHAnsi"/>
          <w:sz w:val="22"/>
          <w:szCs w:val="22"/>
        </w:rPr>
        <w:t xml:space="preserve"> are protected from wastes and pollution dumped at sea by the Sea Dumping Act, which regulates the loading</w:t>
      </w:r>
      <w:r>
        <w:rPr>
          <w:rFonts w:asciiTheme="minorHAnsi" w:hAnsiTheme="minorHAnsi"/>
          <w:sz w:val="22"/>
          <w:szCs w:val="22"/>
        </w:rPr>
        <w:t xml:space="preserve"> </w:t>
      </w:r>
      <w:r w:rsidRPr="00BF719E">
        <w:rPr>
          <w:rFonts w:asciiTheme="minorHAnsi" w:hAnsiTheme="minorHAnsi"/>
          <w:sz w:val="22"/>
          <w:szCs w:val="22"/>
        </w:rPr>
        <w:t>and</w:t>
      </w:r>
      <w:r>
        <w:rPr>
          <w:rFonts w:asciiTheme="minorHAnsi" w:hAnsiTheme="minorHAnsi"/>
          <w:sz w:val="22"/>
          <w:szCs w:val="22"/>
        </w:rPr>
        <w:t xml:space="preserve"> </w:t>
      </w:r>
      <w:r w:rsidRPr="00BF719E">
        <w:rPr>
          <w:rFonts w:asciiTheme="minorHAnsi" w:hAnsiTheme="minorHAnsi"/>
          <w:sz w:val="22"/>
          <w:szCs w:val="22"/>
        </w:rPr>
        <w:t>dumping of wastes at sea</w:t>
      </w:r>
      <w:r>
        <w:rPr>
          <w:rFonts w:asciiTheme="minorHAnsi" w:hAnsiTheme="minorHAnsi"/>
          <w:sz w:val="22"/>
          <w:szCs w:val="22"/>
        </w:rPr>
        <w:t>, as well as the creation of artificial reefs</w:t>
      </w:r>
      <w:r w:rsidRPr="00BF719E">
        <w:rPr>
          <w:rFonts w:asciiTheme="minorHAnsi" w:hAnsiTheme="minorHAnsi"/>
          <w:sz w:val="22"/>
          <w:szCs w:val="22"/>
        </w:rPr>
        <w:t xml:space="preserve">. </w:t>
      </w:r>
      <w:r>
        <w:rPr>
          <w:rFonts w:asciiTheme="minorHAnsi" w:hAnsiTheme="minorHAnsi"/>
          <w:sz w:val="22"/>
          <w:szCs w:val="22"/>
        </w:rPr>
        <w:t>The Sea Dumping Act is administered by</w:t>
      </w:r>
      <w:r w:rsidR="001B7746">
        <w:rPr>
          <w:rFonts w:asciiTheme="minorHAnsi" w:hAnsiTheme="minorHAnsi"/>
          <w:sz w:val="22"/>
          <w:szCs w:val="22"/>
        </w:rPr>
        <w:t xml:space="preserve"> the Department of the Environment and Energy (</w:t>
      </w:r>
      <w:r>
        <w:rPr>
          <w:rFonts w:asciiTheme="minorHAnsi" w:hAnsiTheme="minorHAnsi"/>
          <w:sz w:val="22"/>
          <w:szCs w:val="22"/>
        </w:rPr>
        <w:t>DEE</w:t>
      </w:r>
      <w:r w:rsidR="001B7746">
        <w:rPr>
          <w:rFonts w:asciiTheme="minorHAnsi" w:hAnsiTheme="minorHAnsi"/>
          <w:sz w:val="22"/>
          <w:szCs w:val="22"/>
        </w:rPr>
        <w:t>)</w:t>
      </w:r>
      <w:r>
        <w:rPr>
          <w:rFonts w:asciiTheme="minorHAnsi" w:hAnsiTheme="minorHAnsi"/>
          <w:sz w:val="22"/>
          <w:szCs w:val="22"/>
        </w:rPr>
        <w:t xml:space="preserve">. </w:t>
      </w:r>
      <w:r w:rsidRPr="00BF719E">
        <w:rPr>
          <w:rFonts w:asciiTheme="minorHAnsi" w:hAnsiTheme="minorHAnsi"/>
          <w:sz w:val="22"/>
          <w:szCs w:val="22"/>
        </w:rPr>
        <w:t xml:space="preserve">Under </w:t>
      </w:r>
      <w:r>
        <w:rPr>
          <w:rFonts w:asciiTheme="minorHAnsi" w:hAnsiTheme="minorHAnsi"/>
          <w:sz w:val="22"/>
          <w:szCs w:val="22"/>
        </w:rPr>
        <w:t xml:space="preserve">the </w:t>
      </w:r>
      <w:r w:rsidRPr="00BF719E">
        <w:rPr>
          <w:rFonts w:asciiTheme="minorHAnsi" w:hAnsiTheme="minorHAnsi"/>
          <w:sz w:val="22"/>
          <w:szCs w:val="22"/>
        </w:rPr>
        <w:t xml:space="preserve">Act, the Commonwealth aims to </w:t>
      </w:r>
      <w:r>
        <w:rPr>
          <w:rFonts w:asciiTheme="minorHAnsi" w:hAnsiTheme="minorHAnsi"/>
          <w:sz w:val="22"/>
          <w:szCs w:val="22"/>
        </w:rPr>
        <w:t>address</w:t>
      </w:r>
      <w:r w:rsidRPr="00BF719E">
        <w:rPr>
          <w:rFonts w:asciiTheme="minorHAnsi" w:hAnsiTheme="minorHAnsi"/>
          <w:sz w:val="22"/>
          <w:szCs w:val="22"/>
        </w:rPr>
        <w:t xml:space="preserve"> marine pollution by:</w:t>
      </w:r>
    </w:p>
    <w:p w14:paraId="190BD62E" w14:textId="62CF5959" w:rsidR="00C66EC1" w:rsidRPr="00BF719E" w:rsidRDefault="00C66EC1" w:rsidP="00C66EC1">
      <w:pPr>
        <w:pStyle w:val="ListParagraph"/>
        <w:numPr>
          <w:ilvl w:val="0"/>
          <w:numId w:val="3"/>
        </w:numPr>
        <w:spacing w:before="120" w:after="120"/>
        <w:ind w:left="357" w:hanging="357"/>
        <w:contextualSpacing w:val="0"/>
      </w:pPr>
      <w:r w:rsidRPr="00BF719E">
        <w:t>prohibiting ocean disposal of waste considered too harmful to be released</w:t>
      </w:r>
      <w:r w:rsidR="009A5974">
        <w:t>.</w:t>
      </w:r>
    </w:p>
    <w:p w14:paraId="76245A88" w14:textId="37401E32" w:rsidR="00C66EC1" w:rsidRDefault="00C66EC1" w:rsidP="00C66EC1">
      <w:pPr>
        <w:pStyle w:val="ListParagraph"/>
        <w:numPr>
          <w:ilvl w:val="0"/>
          <w:numId w:val="3"/>
        </w:numPr>
        <w:spacing w:before="120" w:after="120"/>
        <w:ind w:left="357" w:hanging="357"/>
        <w:contextualSpacing w:val="0"/>
      </w:pPr>
      <w:r w:rsidRPr="00BF719E">
        <w:t xml:space="preserve">regulating the disposal of controlled waste </w:t>
      </w:r>
      <w:r>
        <w:t xml:space="preserve">and the creation of artificial reefs, </w:t>
      </w:r>
      <w:r w:rsidRPr="00BF719E">
        <w:t>to ensure that environmental impacts are minimised</w:t>
      </w:r>
      <w:r w:rsidR="009A5974">
        <w:t>.</w:t>
      </w:r>
    </w:p>
    <w:p w14:paraId="6BB1F99B" w14:textId="77777777" w:rsidR="00C66EC1" w:rsidRDefault="00C66EC1" w:rsidP="00C66EC1">
      <w:pPr>
        <w:pStyle w:val="ListParagraph"/>
        <w:numPr>
          <w:ilvl w:val="0"/>
          <w:numId w:val="3"/>
        </w:numPr>
        <w:spacing w:before="120" w:after="120"/>
        <w:ind w:left="357" w:hanging="357"/>
        <w:contextualSpacing w:val="0"/>
      </w:pPr>
      <w:r>
        <w:t>prohibiting incineration at sea of wastes and other matter.</w:t>
      </w:r>
    </w:p>
    <w:p w14:paraId="11129660" w14:textId="7BAF46AB" w:rsidR="00C66EC1" w:rsidRDefault="00C66EC1" w:rsidP="00C66EC1">
      <w:pPr>
        <w:pStyle w:val="ListParagraph"/>
        <w:spacing w:before="120" w:after="120"/>
        <w:ind w:left="0"/>
        <w:contextualSpacing w:val="0"/>
      </w:pPr>
      <w:r>
        <w:t>Under the Sea Dumping Act, “d</w:t>
      </w:r>
      <w:r w:rsidRPr="007C4A5A">
        <w:t>umping</w:t>
      </w:r>
      <w:r>
        <w:t>”</w:t>
      </w:r>
      <w:r w:rsidRPr="007C4A5A">
        <w:t xml:space="preserve"> inc</w:t>
      </w:r>
      <w:r w:rsidR="00FE6704">
        <w:t>ludes abandonment or toppling at</w:t>
      </w:r>
      <w:r w:rsidRPr="007C4A5A">
        <w:t xml:space="preserve"> site of platforms or o</w:t>
      </w:r>
      <w:r w:rsidR="00FE6704">
        <w:t xml:space="preserve">ther man-made structures at sea. </w:t>
      </w:r>
      <w:proofErr w:type="gramStart"/>
      <w:r w:rsidR="00FE6704">
        <w:t>T</w:t>
      </w:r>
      <w:r w:rsidRPr="007C4A5A">
        <w:t>hus</w:t>
      </w:r>
      <w:proofErr w:type="gramEnd"/>
      <w:r w:rsidRPr="007C4A5A">
        <w:t xml:space="preserve"> if a</w:t>
      </w:r>
      <w:r>
        <w:t xml:space="preserve"> titleholder proposes to</w:t>
      </w:r>
      <w:r w:rsidRPr="007C4A5A">
        <w:t xml:space="preserve"> leave infrastructure partially or wholly in-situ,</w:t>
      </w:r>
      <w:r w:rsidR="00FE6704">
        <w:t xml:space="preserve"> or dispose of infrastructure at a different site,</w:t>
      </w:r>
      <w:r w:rsidRPr="007C4A5A">
        <w:t xml:space="preserve"> a permit</w:t>
      </w:r>
      <w:r w:rsidR="00FE6704">
        <w:t xml:space="preserve"> under the Sea Dumping Act</w:t>
      </w:r>
      <w:r w:rsidRPr="007C4A5A">
        <w:t xml:space="preserve"> may be required</w:t>
      </w:r>
      <w:r>
        <w:t xml:space="preserve">. </w:t>
      </w:r>
      <w:r w:rsidRPr="007C4A5A">
        <w:t>A permit may be granted or refused after consideration of</w:t>
      </w:r>
      <w:r w:rsidR="00FE6704">
        <w:t xml:space="preserve"> waste avoidance,</w:t>
      </w:r>
      <w:r w:rsidRPr="007C4A5A">
        <w:t xml:space="preserve"> the alternatives to sea disposal, the environmental impacts of the proposed </w:t>
      </w:r>
      <w:r w:rsidR="00FE6704">
        <w:t xml:space="preserve">activity, </w:t>
      </w:r>
      <w:r w:rsidRPr="007C4A5A">
        <w:t>the impacts of the activity on other legitimate uses of the sea</w:t>
      </w:r>
      <w:r w:rsidR="00FE6704">
        <w:t>, and proposed mitigation and monitoring measures.</w:t>
      </w:r>
    </w:p>
    <w:p w14:paraId="031CF62A" w14:textId="201B8A1A" w:rsidR="00C66EC1" w:rsidRDefault="00C66EC1" w:rsidP="00C66EC1">
      <w:pPr>
        <w:pStyle w:val="ListParagraph"/>
        <w:spacing w:before="120" w:after="120"/>
        <w:ind w:left="0"/>
        <w:contextualSpacing w:val="0"/>
      </w:pPr>
      <w:r w:rsidRPr="007C4A5A">
        <w:t>Persons proposing to dump controlled material at sea, or to create an artificial reef</w:t>
      </w:r>
      <w:r>
        <w:t>,</w:t>
      </w:r>
      <w:r w:rsidRPr="007C4A5A">
        <w:t xml:space="preserve"> must apply to the Minister for the Environment and Energy for a permit</w:t>
      </w:r>
      <w:r>
        <w:t xml:space="preserve">. </w:t>
      </w:r>
    </w:p>
    <w:p w14:paraId="2B5AE23B" w14:textId="3D45AAC7" w:rsidR="00C66EC1" w:rsidRPr="00C66EC1" w:rsidRDefault="00C66EC1" w:rsidP="00C66EC1">
      <w:pPr>
        <w:pStyle w:val="ListParagraph"/>
        <w:spacing w:before="120" w:after="120"/>
        <w:ind w:left="0"/>
        <w:contextualSpacing w:val="0"/>
      </w:pPr>
      <w:r w:rsidRPr="00445153">
        <w:rPr>
          <w:noProof/>
          <w:lang w:eastAsia="en-AU"/>
        </w:rPr>
        <mc:AlternateContent>
          <mc:Choice Requires="wps">
            <w:drawing>
              <wp:anchor distT="45720" distB="45720" distL="114300" distR="114300" simplePos="0" relativeHeight="251670528" behindDoc="0" locked="0" layoutInCell="1" allowOverlap="1" wp14:anchorId="065C91E9" wp14:editId="14EC6660">
                <wp:simplePos x="0" y="0"/>
                <wp:positionH relativeFrom="margin">
                  <wp:posOffset>-1270</wp:posOffset>
                </wp:positionH>
                <wp:positionV relativeFrom="paragraph">
                  <wp:posOffset>1081036</wp:posOffset>
                </wp:positionV>
                <wp:extent cx="5715000" cy="476250"/>
                <wp:effectExtent l="0" t="0" r="19050" b="1905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476250"/>
                        </a:xfrm>
                        <a:prstGeom prst="rect">
                          <a:avLst/>
                        </a:prstGeom>
                        <a:solidFill>
                          <a:schemeClr val="accent1">
                            <a:lumMod val="20000"/>
                            <a:lumOff val="80000"/>
                          </a:schemeClr>
                        </a:solidFill>
                        <a:ln w="9525">
                          <a:solidFill>
                            <a:schemeClr val="tx1"/>
                          </a:solidFill>
                          <a:miter lim="800000"/>
                          <a:headEnd/>
                          <a:tailEnd/>
                        </a:ln>
                      </wps:spPr>
                      <wps:txbx>
                        <w:txbxContent>
                          <w:p w14:paraId="7FDA1CFC" w14:textId="3CBFCA5A" w:rsidR="00934F2F" w:rsidRPr="00454B36" w:rsidRDefault="000A096E" w:rsidP="00C66EC1">
                            <w:pPr>
                              <w:spacing w:before="120" w:after="120" w:line="276" w:lineRule="auto"/>
                              <w:rPr>
                                <w:rFonts w:asciiTheme="minorHAnsi" w:hAnsiTheme="minorHAnsi"/>
                                <w:color w:val="0563C1" w:themeColor="hyperlink"/>
                                <w:sz w:val="22"/>
                                <w:szCs w:val="22"/>
                                <w:u w:val="single"/>
                              </w:rPr>
                            </w:pPr>
                            <w:hyperlink r:id="rId48" w:tooltip="https://www.environment.gov.au/marine/marine-pollution/sea-dumping" w:history="1">
                              <w:r w:rsidR="00934F2F" w:rsidRPr="00492AA7">
                                <w:rPr>
                                  <w:rStyle w:val="Hyperlink"/>
                                  <w:rFonts w:asciiTheme="minorHAnsi" w:hAnsiTheme="minorHAnsi"/>
                                  <w:sz w:val="22"/>
                                  <w:szCs w:val="22"/>
                                </w:rPr>
                                <w:t>Further information on sea dumping</w:t>
                              </w:r>
                            </w:hyperlink>
                            <w:r w:rsidR="00934F2F">
                              <w:rPr>
                                <w:rFonts w:asciiTheme="minorHAnsi" w:hAnsiTheme="minorHAnsi"/>
                                <w:sz w:val="22"/>
                                <w:szCs w:val="22"/>
                              </w:rPr>
                              <w:t xml:space="preserve"> is available on the DEE website.</w:t>
                            </w:r>
                          </w:p>
                          <w:p w14:paraId="6D96FC56" w14:textId="77777777" w:rsidR="00934F2F" w:rsidRDefault="00934F2F" w:rsidP="00C66E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C91E9" id="_x0000_s1033" type="#_x0000_t202" style="position:absolute;margin-left:-.1pt;margin-top:85.1pt;width:450pt;height:3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" fillcolor="#deeaf6 [660]" strokecolor="black [3213]">
                <v:textbox>
                  <w:txbxContent>
                    <w:p w14:paraId="7FDA1CFC" w14:textId="3CBFCA5A" w:rsidR="00934F2F" w:rsidRPr="00454B36" w:rsidRDefault="000A096E" w:rsidP="00C66EC1">
                      <w:pPr>
                        <w:spacing w:before="120" w:after="120" w:line="276" w:lineRule="auto"/>
                        <w:rPr>
                          <w:rFonts w:asciiTheme="minorHAnsi" w:hAnsiTheme="minorHAnsi"/>
                          <w:color w:val="0563C1" w:themeColor="hyperlink"/>
                          <w:sz w:val="22"/>
                          <w:szCs w:val="22"/>
                          <w:u w:val="single"/>
                        </w:rPr>
                      </w:pPr>
                      <w:hyperlink r:id="rId49" w:tooltip="https://www.environment.gov.au/marine/marine-pollution/sea-dumping" w:history="1">
                        <w:r w:rsidR="00934F2F" w:rsidRPr="00492AA7">
                          <w:rPr>
                            <w:rStyle w:val="Hyperlink"/>
                            <w:rFonts w:asciiTheme="minorHAnsi" w:hAnsiTheme="minorHAnsi"/>
                            <w:sz w:val="22"/>
                            <w:szCs w:val="22"/>
                          </w:rPr>
                          <w:t>Further information on sea dumping</w:t>
                        </w:r>
                      </w:hyperlink>
                      <w:r w:rsidR="00934F2F">
                        <w:rPr>
                          <w:rFonts w:asciiTheme="minorHAnsi" w:hAnsiTheme="minorHAnsi"/>
                          <w:sz w:val="22"/>
                          <w:szCs w:val="22"/>
                        </w:rPr>
                        <w:t xml:space="preserve"> is available on the DEE website.</w:t>
                      </w:r>
                    </w:p>
                    <w:p w14:paraId="6D96FC56" w14:textId="77777777" w:rsidR="00934F2F" w:rsidRDefault="00934F2F" w:rsidP="00C66EC1"/>
                  </w:txbxContent>
                </v:textbox>
                <w10:wrap type="square" anchorx="margin"/>
              </v:shape>
            </w:pict>
          </mc:Fallback>
        </mc:AlternateContent>
      </w:r>
      <w:r>
        <w:t xml:space="preserve">The </w:t>
      </w:r>
      <w:hyperlink r:id="rId50" w:tooltip="https://www.legislation.gov.au/Details/C2016C00777" w:history="1">
        <w:r w:rsidR="009A5974" w:rsidRPr="001B7746">
          <w:rPr>
            <w:rStyle w:val="Hyperlink"/>
            <w:i/>
          </w:rPr>
          <w:t>Environment Protection and Biodiversity Conservation Act 1999</w:t>
        </w:r>
      </w:hyperlink>
      <w:r w:rsidR="009A5974" w:rsidRPr="00D65AA2">
        <w:rPr>
          <w:i/>
        </w:rPr>
        <w:t xml:space="preserve"> </w:t>
      </w:r>
      <w:r w:rsidR="009A5974" w:rsidRPr="00D65AA2">
        <w:t>(EPBC Act)</w:t>
      </w:r>
      <w:r w:rsidR="009A5974">
        <w:t xml:space="preserve"> is also relevant to sea </w:t>
      </w:r>
      <w:r>
        <w:t>dumping activities. Under subsection 160(1) of the EPBC Act, if an action that would be authorised by a sea dumping permit has, will have or is likely to have a significant impact on the environment, the Minister for the Environment and Energy’s advice must be obtained before the relevant permit is granted.</w:t>
      </w:r>
    </w:p>
    <w:p w14:paraId="47C299A4" w14:textId="6E2AFA8E" w:rsidR="00D65AA2" w:rsidRPr="004F19AC" w:rsidRDefault="00043C17" w:rsidP="00125D28">
      <w:pPr>
        <w:pStyle w:val="Heading2"/>
      </w:pPr>
      <w:r>
        <w:t>5</w:t>
      </w:r>
      <w:r w:rsidR="004F19AC">
        <w:t>.</w:t>
      </w:r>
      <w:r w:rsidR="00FE6704">
        <w:t>2</w:t>
      </w:r>
      <w:r w:rsidR="00C66EC1">
        <w:tab/>
        <w:t>En</w:t>
      </w:r>
      <w:r w:rsidR="00D65AA2" w:rsidRPr="004F19AC">
        <w:t>vironment Protection and Biodiversity Conservation Act 1999</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00D65AA2" w:rsidRPr="004F19AC">
        <w:t xml:space="preserve"> </w:t>
      </w:r>
    </w:p>
    <w:p w14:paraId="2E3589B3" w14:textId="38C143D7" w:rsidR="00D65AA2" w:rsidRPr="00D65AA2" w:rsidRDefault="00D65AA2" w:rsidP="00492AA7">
      <w:pPr>
        <w:spacing w:before="120" w:after="120" w:line="276" w:lineRule="auto"/>
        <w:rPr>
          <w:rFonts w:asciiTheme="minorHAnsi" w:hAnsiTheme="minorHAnsi"/>
          <w:sz w:val="22"/>
          <w:szCs w:val="22"/>
        </w:rPr>
      </w:pPr>
      <w:r w:rsidRPr="00D65AA2">
        <w:rPr>
          <w:rFonts w:asciiTheme="minorHAnsi" w:hAnsiTheme="minorHAnsi"/>
          <w:sz w:val="22"/>
          <w:szCs w:val="22"/>
        </w:rPr>
        <w:t>The EPBC Act</w:t>
      </w:r>
      <w:r w:rsidR="001B7746">
        <w:rPr>
          <w:rFonts w:asciiTheme="minorHAnsi" w:hAnsiTheme="minorHAnsi"/>
          <w:sz w:val="22"/>
          <w:szCs w:val="22"/>
        </w:rPr>
        <w:t xml:space="preserve">, administered by </w:t>
      </w:r>
      <w:r w:rsidR="00E012BF">
        <w:rPr>
          <w:rFonts w:asciiTheme="minorHAnsi" w:hAnsiTheme="minorHAnsi"/>
          <w:sz w:val="22"/>
          <w:szCs w:val="22"/>
        </w:rPr>
        <w:t>D</w:t>
      </w:r>
      <w:r w:rsidR="001B7746">
        <w:rPr>
          <w:rFonts w:asciiTheme="minorHAnsi" w:hAnsiTheme="minorHAnsi"/>
          <w:sz w:val="22"/>
          <w:szCs w:val="22"/>
        </w:rPr>
        <w:t>EE</w:t>
      </w:r>
      <w:r w:rsidR="00E012BF">
        <w:rPr>
          <w:rFonts w:asciiTheme="minorHAnsi" w:hAnsiTheme="minorHAnsi"/>
          <w:sz w:val="22"/>
          <w:szCs w:val="22"/>
        </w:rPr>
        <w:t>,</w:t>
      </w:r>
      <w:r w:rsidRPr="00D65AA2">
        <w:rPr>
          <w:rFonts w:asciiTheme="minorHAnsi" w:hAnsiTheme="minorHAnsi"/>
          <w:sz w:val="22"/>
          <w:szCs w:val="22"/>
        </w:rPr>
        <w:t xml:space="preserve"> is the</w:t>
      </w:r>
      <w:r w:rsidR="00E012BF">
        <w:rPr>
          <w:rFonts w:asciiTheme="minorHAnsi" w:hAnsiTheme="minorHAnsi"/>
          <w:sz w:val="22"/>
          <w:szCs w:val="22"/>
        </w:rPr>
        <w:t xml:space="preserve"> </w:t>
      </w:r>
      <w:r w:rsidR="001B7746">
        <w:rPr>
          <w:rFonts w:asciiTheme="minorHAnsi" w:hAnsiTheme="minorHAnsi"/>
          <w:sz w:val="22"/>
          <w:szCs w:val="22"/>
        </w:rPr>
        <w:t>Commonwealth’s key</w:t>
      </w:r>
      <w:r w:rsidRPr="00D65AA2">
        <w:rPr>
          <w:rFonts w:asciiTheme="minorHAnsi" w:hAnsiTheme="minorHAnsi"/>
          <w:sz w:val="22"/>
          <w:szCs w:val="22"/>
        </w:rPr>
        <w:t xml:space="preserve"> piece of environmental legislation</w:t>
      </w:r>
      <w:r w:rsidR="00F93551">
        <w:rPr>
          <w:rFonts w:asciiTheme="minorHAnsi" w:hAnsiTheme="minorHAnsi"/>
          <w:sz w:val="22"/>
          <w:szCs w:val="22"/>
        </w:rPr>
        <w:t>.</w:t>
      </w:r>
      <w:r w:rsidR="0086616E">
        <w:rPr>
          <w:rFonts w:asciiTheme="minorHAnsi" w:hAnsiTheme="minorHAnsi"/>
          <w:sz w:val="22"/>
          <w:szCs w:val="22"/>
        </w:rPr>
        <w:t xml:space="preserve"> </w:t>
      </w:r>
      <w:r w:rsidRPr="00D65AA2">
        <w:rPr>
          <w:rFonts w:asciiTheme="minorHAnsi" w:hAnsiTheme="minorHAnsi"/>
          <w:sz w:val="22"/>
          <w:szCs w:val="22"/>
        </w:rPr>
        <w:t xml:space="preserve">Most activities that will or are likely to have a significant impact on matters of national </w:t>
      </w:r>
      <w:r w:rsidRPr="00D65AA2">
        <w:rPr>
          <w:rFonts w:asciiTheme="minorHAnsi" w:hAnsiTheme="minorHAnsi"/>
          <w:sz w:val="22"/>
          <w:szCs w:val="22"/>
        </w:rPr>
        <w:lastRenderedPageBreak/>
        <w:t xml:space="preserve">environmental significance require approval from the Minister </w:t>
      </w:r>
      <w:r w:rsidR="00C66EC1">
        <w:rPr>
          <w:rFonts w:asciiTheme="minorHAnsi" w:hAnsiTheme="minorHAnsi"/>
          <w:sz w:val="22"/>
          <w:szCs w:val="22"/>
        </w:rPr>
        <w:t>for</w:t>
      </w:r>
      <w:r w:rsidRPr="00D65AA2">
        <w:rPr>
          <w:rFonts w:asciiTheme="minorHAnsi" w:hAnsiTheme="minorHAnsi"/>
          <w:sz w:val="22"/>
          <w:szCs w:val="22"/>
        </w:rPr>
        <w:t xml:space="preserve"> the Environment and Energy</w:t>
      </w:r>
      <w:r w:rsidR="00366289">
        <w:rPr>
          <w:rFonts w:asciiTheme="minorHAnsi" w:hAnsiTheme="minorHAnsi"/>
          <w:sz w:val="22"/>
          <w:szCs w:val="22"/>
        </w:rPr>
        <w:t xml:space="preserve"> under the EPBC Act</w:t>
      </w:r>
      <w:r w:rsidR="00492AA7">
        <w:rPr>
          <w:rFonts w:asciiTheme="minorHAnsi" w:hAnsiTheme="minorHAnsi"/>
          <w:sz w:val="22"/>
          <w:szCs w:val="22"/>
        </w:rPr>
        <w:t xml:space="preserve"> before they can proceed</w:t>
      </w:r>
      <w:r w:rsidR="00A4093D">
        <w:rPr>
          <w:rFonts w:asciiTheme="minorHAnsi" w:hAnsiTheme="minorHAnsi"/>
          <w:sz w:val="22"/>
          <w:szCs w:val="22"/>
        </w:rPr>
        <w:t xml:space="preserve">. </w:t>
      </w:r>
    </w:p>
    <w:p w14:paraId="3102EB4E" w14:textId="61323CDB" w:rsidR="00D65AA2" w:rsidRDefault="00E012BF" w:rsidP="00492AA7">
      <w:pPr>
        <w:spacing w:before="120" w:after="120" w:line="276" w:lineRule="auto"/>
        <w:rPr>
          <w:rFonts w:asciiTheme="minorHAnsi" w:hAnsiTheme="minorHAnsi"/>
          <w:sz w:val="22"/>
          <w:szCs w:val="22"/>
        </w:rPr>
      </w:pPr>
      <w:r w:rsidRPr="00445153">
        <w:rPr>
          <w:rFonts w:asciiTheme="minorHAnsi" w:hAnsiTheme="minorHAnsi"/>
          <w:noProof/>
          <w:sz w:val="22"/>
          <w:szCs w:val="22"/>
        </w:rPr>
        <mc:AlternateContent>
          <mc:Choice Requires="wps">
            <w:drawing>
              <wp:anchor distT="45720" distB="45720" distL="114300" distR="114300" simplePos="0" relativeHeight="251658243" behindDoc="0" locked="0" layoutInCell="1" allowOverlap="1" wp14:anchorId="42E21B05" wp14:editId="650D11B6">
                <wp:simplePos x="0" y="0"/>
                <wp:positionH relativeFrom="margin">
                  <wp:align>right</wp:align>
                </wp:positionH>
                <wp:positionV relativeFrom="paragraph">
                  <wp:posOffset>1330960</wp:posOffset>
                </wp:positionV>
                <wp:extent cx="5715000" cy="447675"/>
                <wp:effectExtent l="0" t="0" r="19050" b="2857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447675"/>
                        </a:xfrm>
                        <a:prstGeom prst="rect">
                          <a:avLst/>
                        </a:prstGeom>
                        <a:solidFill>
                          <a:schemeClr val="accent1">
                            <a:lumMod val="20000"/>
                            <a:lumOff val="80000"/>
                          </a:schemeClr>
                        </a:solidFill>
                        <a:ln w="9525">
                          <a:solidFill>
                            <a:schemeClr val="tx1"/>
                          </a:solidFill>
                          <a:miter lim="800000"/>
                          <a:headEnd/>
                          <a:tailEnd/>
                        </a:ln>
                      </wps:spPr>
                      <wps:txbx>
                        <w:txbxContent>
                          <w:p w14:paraId="0E8CBE12" w14:textId="08510770" w:rsidR="00934F2F" w:rsidRPr="00454B36" w:rsidRDefault="000A096E" w:rsidP="005A1B1A">
                            <w:pPr>
                              <w:spacing w:before="120" w:after="120" w:line="276" w:lineRule="auto"/>
                              <w:rPr>
                                <w:rFonts w:asciiTheme="minorHAnsi" w:hAnsiTheme="minorHAnsi"/>
                                <w:color w:val="0563C1" w:themeColor="hyperlink"/>
                                <w:sz w:val="22"/>
                                <w:szCs w:val="22"/>
                                <w:u w:val="single"/>
                              </w:rPr>
                            </w:pPr>
                            <w:hyperlink r:id="rId51" w:tooltip="http://www.environment.gov.au/epbc" w:history="1">
                              <w:r w:rsidR="00934F2F">
                                <w:rPr>
                                  <w:rStyle w:val="Hyperlink"/>
                                  <w:rFonts w:asciiTheme="minorHAnsi" w:hAnsiTheme="minorHAnsi"/>
                                  <w:sz w:val="22"/>
                                  <w:szCs w:val="22"/>
                                </w:rPr>
                                <w:t xml:space="preserve">Further information </w:t>
                              </w:r>
                              <w:r w:rsidR="00934F2F" w:rsidRPr="005A1B1A">
                                <w:rPr>
                                  <w:rStyle w:val="Hyperlink"/>
                                  <w:rFonts w:asciiTheme="minorHAnsi" w:hAnsiTheme="minorHAnsi"/>
                                  <w:sz w:val="22"/>
                                  <w:szCs w:val="22"/>
                                </w:rPr>
                                <w:t>on the EPBC Act and regime</w:t>
                              </w:r>
                            </w:hyperlink>
                            <w:r w:rsidR="00934F2F">
                              <w:rPr>
                                <w:rFonts w:asciiTheme="minorHAnsi" w:hAnsiTheme="minorHAnsi"/>
                                <w:sz w:val="22"/>
                                <w:szCs w:val="22"/>
                              </w:rPr>
                              <w:t xml:space="preserve"> is available on the DEE website.</w:t>
                            </w:r>
                          </w:p>
                          <w:p w14:paraId="099C6BC1" w14:textId="77777777" w:rsidR="00934F2F" w:rsidRDefault="00934F2F" w:rsidP="005A1B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E21B05" id="_x0000_s1034" type="#_x0000_t202" style="position:absolute;margin-left:398.8pt;margin-top:104.8pt;width:450pt;height:35.2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" fillcolor="#deeaf6 [660]" strokecolor="black [3213]">
                <v:textbox>
                  <w:txbxContent>
                    <w:p w14:paraId="0E8CBE12" w14:textId="08510770" w:rsidR="00934F2F" w:rsidRPr="00454B36" w:rsidRDefault="000A096E" w:rsidP="005A1B1A">
                      <w:pPr>
                        <w:spacing w:before="120" w:after="120" w:line="276" w:lineRule="auto"/>
                        <w:rPr>
                          <w:rFonts w:asciiTheme="minorHAnsi" w:hAnsiTheme="minorHAnsi"/>
                          <w:color w:val="0563C1" w:themeColor="hyperlink"/>
                          <w:sz w:val="22"/>
                          <w:szCs w:val="22"/>
                          <w:u w:val="single"/>
                        </w:rPr>
                      </w:pPr>
                      <w:hyperlink r:id="rId52" w:tooltip="http://www.environment.gov.au/epbc" w:history="1">
                        <w:r w:rsidR="00934F2F">
                          <w:rPr>
                            <w:rStyle w:val="Hyperlink"/>
                            <w:rFonts w:asciiTheme="minorHAnsi" w:hAnsiTheme="minorHAnsi"/>
                            <w:sz w:val="22"/>
                            <w:szCs w:val="22"/>
                          </w:rPr>
                          <w:t xml:space="preserve">Further information </w:t>
                        </w:r>
                        <w:r w:rsidR="00934F2F" w:rsidRPr="005A1B1A">
                          <w:rPr>
                            <w:rStyle w:val="Hyperlink"/>
                            <w:rFonts w:asciiTheme="minorHAnsi" w:hAnsiTheme="minorHAnsi"/>
                            <w:sz w:val="22"/>
                            <w:szCs w:val="22"/>
                          </w:rPr>
                          <w:t>on the EPBC Act and regime</w:t>
                        </w:r>
                      </w:hyperlink>
                      <w:r w:rsidR="00934F2F">
                        <w:rPr>
                          <w:rFonts w:asciiTheme="minorHAnsi" w:hAnsiTheme="minorHAnsi"/>
                          <w:sz w:val="22"/>
                          <w:szCs w:val="22"/>
                        </w:rPr>
                        <w:t xml:space="preserve"> is available on the DEE website.</w:t>
                      </w:r>
                    </w:p>
                    <w:p w14:paraId="099C6BC1" w14:textId="77777777" w:rsidR="00934F2F" w:rsidRDefault="00934F2F" w:rsidP="005A1B1A"/>
                  </w:txbxContent>
                </v:textbox>
                <w10:wrap type="square" anchorx="margin"/>
              </v:shape>
            </w:pict>
          </mc:Fallback>
        </mc:AlternateContent>
      </w:r>
      <w:r w:rsidR="001F63F6">
        <w:rPr>
          <w:rFonts w:asciiTheme="minorHAnsi" w:hAnsiTheme="minorHAnsi"/>
          <w:sz w:val="22"/>
          <w:szCs w:val="22"/>
        </w:rPr>
        <w:t>R</w:t>
      </w:r>
      <w:r w:rsidR="004B5E15">
        <w:rPr>
          <w:rFonts w:asciiTheme="minorHAnsi" w:hAnsiTheme="minorHAnsi"/>
          <w:sz w:val="22"/>
          <w:szCs w:val="22"/>
        </w:rPr>
        <w:t xml:space="preserve">eferral, assessment and </w:t>
      </w:r>
      <w:r w:rsidR="00E04FF0">
        <w:rPr>
          <w:rFonts w:asciiTheme="minorHAnsi" w:hAnsiTheme="minorHAnsi"/>
          <w:sz w:val="22"/>
          <w:szCs w:val="22"/>
        </w:rPr>
        <w:t xml:space="preserve">approval under </w:t>
      </w:r>
      <w:r w:rsidR="004B5E15">
        <w:rPr>
          <w:rFonts w:asciiTheme="minorHAnsi" w:hAnsiTheme="minorHAnsi"/>
          <w:sz w:val="22"/>
          <w:szCs w:val="22"/>
        </w:rPr>
        <w:t xml:space="preserve">Parts 7, 8 and 9 of </w:t>
      </w:r>
      <w:r w:rsidR="00E04FF0">
        <w:rPr>
          <w:rFonts w:asciiTheme="minorHAnsi" w:hAnsiTheme="minorHAnsi"/>
          <w:sz w:val="22"/>
          <w:szCs w:val="22"/>
        </w:rPr>
        <w:t xml:space="preserve">the </w:t>
      </w:r>
      <w:r w:rsidR="00D65AA2" w:rsidRPr="00D65AA2">
        <w:rPr>
          <w:rFonts w:asciiTheme="minorHAnsi" w:hAnsiTheme="minorHAnsi"/>
          <w:sz w:val="22"/>
          <w:szCs w:val="22"/>
        </w:rPr>
        <w:t xml:space="preserve">EPBC Act </w:t>
      </w:r>
      <w:r w:rsidR="00E04FF0">
        <w:rPr>
          <w:rFonts w:asciiTheme="minorHAnsi" w:hAnsiTheme="minorHAnsi"/>
          <w:sz w:val="22"/>
          <w:szCs w:val="22"/>
        </w:rPr>
        <w:t>is</w:t>
      </w:r>
      <w:r w:rsidR="007C4A5A">
        <w:rPr>
          <w:rFonts w:asciiTheme="minorHAnsi" w:hAnsiTheme="minorHAnsi"/>
          <w:sz w:val="22"/>
          <w:szCs w:val="22"/>
        </w:rPr>
        <w:t xml:space="preserve"> </w:t>
      </w:r>
      <w:r w:rsidR="00D65AA2" w:rsidRPr="00D65AA2">
        <w:rPr>
          <w:rFonts w:asciiTheme="minorHAnsi" w:hAnsiTheme="minorHAnsi"/>
          <w:sz w:val="22"/>
          <w:szCs w:val="22"/>
        </w:rPr>
        <w:t>no longer</w:t>
      </w:r>
      <w:r w:rsidR="00E04FF0">
        <w:rPr>
          <w:rFonts w:asciiTheme="minorHAnsi" w:hAnsiTheme="minorHAnsi"/>
          <w:sz w:val="22"/>
          <w:szCs w:val="22"/>
        </w:rPr>
        <w:t xml:space="preserve"> required for</w:t>
      </w:r>
      <w:r w:rsidR="00D65AA2" w:rsidRPr="00D65AA2">
        <w:rPr>
          <w:rFonts w:asciiTheme="minorHAnsi" w:hAnsiTheme="minorHAnsi"/>
          <w:sz w:val="22"/>
          <w:szCs w:val="22"/>
        </w:rPr>
        <w:t xml:space="preserve"> </w:t>
      </w:r>
      <w:r w:rsidR="007C4A5A">
        <w:rPr>
          <w:rFonts w:asciiTheme="minorHAnsi" w:hAnsiTheme="minorHAnsi"/>
          <w:sz w:val="22"/>
          <w:szCs w:val="22"/>
        </w:rPr>
        <w:t xml:space="preserve">most </w:t>
      </w:r>
      <w:r w:rsidR="00D65AA2" w:rsidRPr="00D65AA2">
        <w:rPr>
          <w:rFonts w:asciiTheme="minorHAnsi" w:hAnsiTheme="minorHAnsi"/>
          <w:sz w:val="22"/>
          <w:szCs w:val="22"/>
        </w:rPr>
        <w:t xml:space="preserve">offshore </w:t>
      </w:r>
      <w:r w:rsidR="00E04FF0">
        <w:rPr>
          <w:rFonts w:asciiTheme="minorHAnsi" w:hAnsiTheme="minorHAnsi"/>
          <w:sz w:val="22"/>
          <w:szCs w:val="22"/>
        </w:rPr>
        <w:t xml:space="preserve">petroleum activities (including decommissioning) </w:t>
      </w:r>
      <w:r w:rsidR="00D65AA2" w:rsidRPr="00D65AA2">
        <w:rPr>
          <w:rFonts w:asciiTheme="minorHAnsi" w:hAnsiTheme="minorHAnsi"/>
          <w:sz w:val="22"/>
          <w:szCs w:val="22"/>
        </w:rPr>
        <w:t>subject to environmental approval from NOPSEMA under its environ</w:t>
      </w:r>
      <w:r w:rsidR="00366289">
        <w:rPr>
          <w:rFonts w:asciiTheme="minorHAnsi" w:hAnsiTheme="minorHAnsi"/>
          <w:sz w:val="22"/>
          <w:szCs w:val="22"/>
        </w:rPr>
        <w:t xml:space="preserve">mental authorisation processes. </w:t>
      </w:r>
      <w:r>
        <w:rPr>
          <w:rFonts w:asciiTheme="minorHAnsi" w:hAnsiTheme="minorHAnsi"/>
          <w:sz w:val="22"/>
          <w:szCs w:val="22"/>
        </w:rPr>
        <w:t>However, in circumstances where conditions for decommissioning were applied to an environmental approval granted under the EPBC</w:t>
      </w:r>
      <w:r w:rsidR="00143DD9">
        <w:rPr>
          <w:rFonts w:asciiTheme="minorHAnsi" w:hAnsiTheme="minorHAnsi"/>
          <w:sz w:val="22"/>
          <w:szCs w:val="22"/>
        </w:rPr>
        <w:t> </w:t>
      </w:r>
      <w:r>
        <w:rPr>
          <w:rFonts w:asciiTheme="minorHAnsi" w:hAnsiTheme="minorHAnsi"/>
          <w:sz w:val="22"/>
          <w:szCs w:val="22"/>
        </w:rPr>
        <w:t>Act prior to NOPSEMA becoming the sole regulator for petroleum activities in Commonwealth waters on 28 February 2014, those conditions must be met for the activity to proceed</w:t>
      </w:r>
      <w:r w:rsidR="00A4093D">
        <w:rPr>
          <w:rFonts w:asciiTheme="minorHAnsi" w:hAnsiTheme="minorHAnsi"/>
          <w:sz w:val="22"/>
          <w:szCs w:val="22"/>
        </w:rPr>
        <w:t xml:space="preserve">. </w:t>
      </w:r>
    </w:p>
    <w:p w14:paraId="78C32AC5" w14:textId="771D0B75" w:rsidR="00850DC5" w:rsidRPr="004F19AC" w:rsidRDefault="00043C17" w:rsidP="00125D28">
      <w:pPr>
        <w:pStyle w:val="Heading2"/>
      </w:pPr>
      <w:bookmarkStart w:id="293" w:name="_5.3.2_Environment_Protection"/>
      <w:bookmarkEnd w:id="293"/>
      <w:r>
        <w:t>5</w:t>
      </w:r>
      <w:r w:rsidR="004F19AC">
        <w:t>.3</w:t>
      </w:r>
      <w:r w:rsidR="00850DC5" w:rsidRPr="004F19AC">
        <w:tab/>
        <w:t xml:space="preserve">Hazardous Wastes (Regulation of Exports and Imports) Act 1989 </w:t>
      </w:r>
    </w:p>
    <w:p w14:paraId="5DFE2D0A" w14:textId="543D8040" w:rsidR="00D404DC" w:rsidRPr="00041FA9" w:rsidRDefault="005A1B1A" w:rsidP="00041FA9">
      <w:pPr>
        <w:spacing w:before="120" w:after="120" w:line="276" w:lineRule="auto"/>
        <w:rPr>
          <w:rFonts w:asciiTheme="minorHAnsi" w:hAnsiTheme="minorHAnsi"/>
          <w:sz w:val="22"/>
          <w:szCs w:val="22"/>
        </w:rPr>
      </w:pPr>
      <w:r w:rsidRPr="00445153">
        <w:rPr>
          <w:rFonts w:asciiTheme="minorHAnsi" w:hAnsiTheme="minorHAnsi"/>
          <w:noProof/>
          <w:sz w:val="22"/>
          <w:szCs w:val="22"/>
        </w:rPr>
        <mc:AlternateContent>
          <mc:Choice Requires="wps">
            <w:drawing>
              <wp:anchor distT="45720" distB="45720" distL="114300" distR="114300" simplePos="0" relativeHeight="251658242" behindDoc="0" locked="0" layoutInCell="1" allowOverlap="1" wp14:anchorId="28A1A9C0" wp14:editId="44B82E0A">
                <wp:simplePos x="0" y="0"/>
                <wp:positionH relativeFrom="margin">
                  <wp:posOffset>0</wp:posOffset>
                </wp:positionH>
                <wp:positionV relativeFrom="paragraph">
                  <wp:posOffset>712470</wp:posOffset>
                </wp:positionV>
                <wp:extent cx="5629275" cy="409575"/>
                <wp:effectExtent l="0" t="0" r="28575"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409575"/>
                        </a:xfrm>
                        <a:prstGeom prst="rect">
                          <a:avLst/>
                        </a:prstGeom>
                        <a:solidFill>
                          <a:schemeClr val="accent1">
                            <a:lumMod val="20000"/>
                            <a:lumOff val="80000"/>
                          </a:schemeClr>
                        </a:solidFill>
                        <a:ln w="9525">
                          <a:solidFill>
                            <a:schemeClr val="tx1"/>
                          </a:solidFill>
                          <a:miter lim="800000"/>
                          <a:headEnd/>
                          <a:tailEnd/>
                        </a:ln>
                      </wps:spPr>
                      <wps:txbx>
                        <w:txbxContent>
                          <w:p w14:paraId="73544105" w14:textId="61CCF21B" w:rsidR="00934F2F" w:rsidRDefault="000A096E" w:rsidP="005A1B1A">
                            <w:pPr>
                              <w:spacing w:before="120" w:after="120" w:line="276" w:lineRule="auto"/>
                              <w:rPr>
                                <w:rFonts w:asciiTheme="minorHAnsi" w:hAnsiTheme="minorHAnsi"/>
                                <w:sz w:val="22"/>
                                <w:szCs w:val="22"/>
                              </w:rPr>
                            </w:pPr>
                            <w:hyperlink r:id="rId53" w:tooltip="https://www.environment.gov.au/protection/hazardous-waste" w:history="1">
                              <w:r w:rsidR="00934F2F" w:rsidRPr="00FC7443">
                                <w:rPr>
                                  <w:rStyle w:val="Hyperlink"/>
                                  <w:rFonts w:asciiTheme="minorHAnsi" w:hAnsiTheme="minorHAnsi"/>
                                  <w:sz w:val="22"/>
                                  <w:szCs w:val="22"/>
                                </w:rPr>
                                <w:t xml:space="preserve">Further information on the hazardous </w:t>
                              </w:r>
                              <w:proofErr w:type="gramStart"/>
                              <w:r w:rsidR="00934F2F" w:rsidRPr="00FC7443">
                                <w:rPr>
                                  <w:rStyle w:val="Hyperlink"/>
                                  <w:rFonts w:asciiTheme="minorHAnsi" w:hAnsiTheme="minorHAnsi"/>
                                  <w:sz w:val="22"/>
                                  <w:szCs w:val="22"/>
                                </w:rPr>
                                <w:t>wastes</w:t>
                              </w:r>
                              <w:proofErr w:type="gramEnd"/>
                              <w:r w:rsidR="00934F2F" w:rsidRPr="00FC7443">
                                <w:rPr>
                                  <w:rStyle w:val="Hyperlink"/>
                                  <w:rFonts w:asciiTheme="minorHAnsi" w:hAnsiTheme="minorHAnsi"/>
                                  <w:sz w:val="22"/>
                                  <w:szCs w:val="22"/>
                                </w:rPr>
                                <w:t xml:space="preserve"> regime</w:t>
                              </w:r>
                            </w:hyperlink>
                            <w:r w:rsidR="00934F2F" w:rsidRPr="00850DC5">
                              <w:rPr>
                                <w:rFonts w:asciiTheme="minorHAnsi" w:hAnsiTheme="minorHAnsi"/>
                                <w:sz w:val="22"/>
                                <w:szCs w:val="22"/>
                              </w:rPr>
                              <w:t xml:space="preserve"> </w:t>
                            </w:r>
                            <w:r w:rsidR="00934F2F">
                              <w:rPr>
                                <w:rFonts w:asciiTheme="minorHAnsi" w:hAnsiTheme="minorHAnsi"/>
                                <w:sz w:val="22"/>
                                <w:szCs w:val="22"/>
                              </w:rPr>
                              <w:t xml:space="preserve">is available on the DEE website. </w:t>
                            </w:r>
                          </w:p>
                          <w:p w14:paraId="05B48A48" w14:textId="77777777" w:rsidR="00934F2F" w:rsidRDefault="00934F2F" w:rsidP="005A1B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1A9C0" id="_x0000_s1035" type="#_x0000_t202" style="position:absolute;margin-left:0;margin-top:56.1pt;width:443.25pt;height:32.2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" fillcolor="#deeaf6 [660]" strokecolor="black [3213]">
                <v:textbox>
                  <w:txbxContent>
                    <w:p w14:paraId="73544105" w14:textId="61CCF21B" w:rsidR="00934F2F" w:rsidRDefault="000A096E" w:rsidP="005A1B1A">
                      <w:pPr>
                        <w:spacing w:before="120" w:after="120" w:line="276" w:lineRule="auto"/>
                        <w:rPr>
                          <w:rFonts w:asciiTheme="minorHAnsi" w:hAnsiTheme="minorHAnsi"/>
                          <w:sz w:val="22"/>
                          <w:szCs w:val="22"/>
                        </w:rPr>
                      </w:pPr>
                      <w:hyperlink r:id="rId54" w:tooltip="https://www.environment.gov.au/protection/hazardous-waste" w:history="1">
                        <w:r w:rsidR="00934F2F" w:rsidRPr="00FC7443">
                          <w:rPr>
                            <w:rStyle w:val="Hyperlink"/>
                            <w:rFonts w:asciiTheme="minorHAnsi" w:hAnsiTheme="minorHAnsi"/>
                            <w:sz w:val="22"/>
                            <w:szCs w:val="22"/>
                          </w:rPr>
                          <w:t xml:space="preserve">Further information on the hazardous </w:t>
                        </w:r>
                        <w:proofErr w:type="gramStart"/>
                        <w:r w:rsidR="00934F2F" w:rsidRPr="00FC7443">
                          <w:rPr>
                            <w:rStyle w:val="Hyperlink"/>
                            <w:rFonts w:asciiTheme="minorHAnsi" w:hAnsiTheme="minorHAnsi"/>
                            <w:sz w:val="22"/>
                            <w:szCs w:val="22"/>
                          </w:rPr>
                          <w:t>wastes</w:t>
                        </w:r>
                        <w:proofErr w:type="gramEnd"/>
                        <w:r w:rsidR="00934F2F" w:rsidRPr="00FC7443">
                          <w:rPr>
                            <w:rStyle w:val="Hyperlink"/>
                            <w:rFonts w:asciiTheme="minorHAnsi" w:hAnsiTheme="minorHAnsi"/>
                            <w:sz w:val="22"/>
                            <w:szCs w:val="22"/>
                          </w:rPr>
                          <w:t xml:space="preserve"> regime</w:t>
                        </w:r>
                      </w:hyperlink>
                      <w:r w:rsidR="00934F2F" w:rsidRPr="00850DC5">
                        <w:rPr>
                          <w:rFonts w:asciiTheme="minorHAnsi" w:hAnsiTheme="minorHAnsi"/>
                          <w:sz w:val="22"/>
                          <w:szCs w:val="22"/>
                        </w:rPr>
                        <w:t xml:space="preserve"> </w:t>
                      </w:r>
                      <w:r w:rsidR="00934F2F">
                        <w:rPr>
                          <w:rFonts w:asciiTheme="minorHAnsi" w:hAnsiTheme="minorHAnsi"/>
                          <w:sz w:val="22"/>
                          <w:szCs w:val="22"/>
                        </w:rPr>
                        <w:t xml:space="preserve">is available on the DEE website. </w:t>
                      </w:r>
                    </w:p>
                    <w:p w14:paraId="05B48A48" w14:textId="77777777" w:rsidR="00934F2F" w:rsidRDefault="00934F2F" w:rsidP="005A1B1A"/>
                  </w:txbxContent>
                </v:textbox>
                <w10:wrap type="square" anchorx="margin"/>
              </v:shape>
            </w:pict>
          </mc:Fallback>
        </mc:AlternateContent>
      </w:r>
      <w:r w:rsidR="009275D4" w:rsidRPr="00850DC5">
        <w:rPr>
          <w:rFonts w:asciiTheme="minorHAnsi" w:hAnsiTheme="minorHAnsi"/>
          <w:sz w:val="22"/>
          <w:szCs w:val="22"/>
        </w:rPr>
        <w:t xml:space="preserve">The </w:t>
      </w:r>
      <w:hyperlink r:id="rId55" w:tooltip="https://www.legislation.gov.au/Details/C2017C00194" w:history="1">
        <w:r w:rsidR="009275D4" w:rsidRPr="001B7746">
          <w:rPr>
            <w:rStyle w:val="Hyperlink"/>
            <w:rFonts w:asciiTheme="minorHAnsi" w:hAnsiTheme="minorHAnsi"/>
            <w:i/>
            <w:sz w:val="22"/>
            <w:szCs w:val="22"/>
          </w:rPr>
          <w:t>Hazardous Wastes (Regulation o</w:t>
        </w:r>
        <w:r w:rsidR="00366289" w:rsidRPr="001B7746">
          <w:rPr>
            <w:rStyle w:val="Hyperlink"/>
            <w:rFonts w:asciiTheme="minorHAnsi" w:hAnsiTheme="minorHAnsi"/>
            <w:i/>
            <w:sz w:val="22"/>
            <w:szCs w:val="22"/>
          </w:rPr>
          <w:t>f Exports and Imports) Act 1989</w:t>
        </w:r>
      </w:hyperlink>
      <w:r w:rsidR="001D597D">
        <w:rPr>
          <w:rFonts w:asciiTheme="minorHAnsi" w:hAnsiTheme="minorHAnsi"/>
          <w:sz w:val="22"/>
          <w:szCs w:val="22"/>
        </w:rPr>
        <w:t xml:space="preserve"> </w:t>
      </w:r>
      <w:r w:rsidR="009275D4" w:rsidRPr="00850DC5">
        <w:rPr>
          <w:rFonts w:asciiTheme="minorHAnsi" w:hAnsiTheme="minorHAnsi"/>
          <w:sz w:val="22"/>
          <w:szCs w:val="22"/>
        </w:rPr>
        <w:t>regulates the export and import of controlled wastes</w:t>
      </w:r>
      <w:r w:rsidR="00DA78A3">
        <w:rPr>
          <w:rFonts w:asciiTheme="minorHAnsi" w:hAnsiTheme="minorHAnsi"/>
          <w:sz w:val="22"/>
          <w:szCs w:val="22"/>
        </w:rPr>
        <w:t xml:space="preserve">. </w:t>
      </w:r>
      <w:r w:rsidR="00366289">
        <w:rPr>
          <w:rFonts w:asciiTheme="minorHAnsi" w:hAnsiTheme="minorHAnsi"/>
          <w:sz w:val="22"/>
          <w:szCs w:val="22"/>
        </w:rPr>
        <w:t xml:space="preserve">Under the Act, </w:t>
      </w:r>
      <w:r w:rsidR="00850DC5" w:rsidRPr="00850DC5">
        <w:rPr>
          <w:rFonts w:asciiTheme="minorHAnsi" w:hAnsiTheme="minorHAnsi"/>
          <w:sz w:val="22"/>
          <w:szCs w:val="22"/>
        </w:rPr>
        <w:t xml:space="preserve">interested parties may apply to the Minister for the Environment and Energy for a permit to </w:t>
      </w:r>
      <w:r w:rsidR="00366289">
        <w:rPr>
          <w:rFonts w:asciiTheme="minorHAnsi" w:hAnsiTheme="minorHAnsi"/>
          <w:sz w:val="22"/>
          <w:szCs w:val="22"/>
        </w:rPr>
        <w:t>transport controlled wastes in</w:t>
      </w:r>
      <w:r w:rsidR="00850DC5" w:rsidRPr="00850DC5">
        <w:rPr>
          <w:rFonts w:asciiTheme="minorHAnsi" w:hAnsiTheme="minorHAnsi"/>
          <w:sz w:val="22"/>
          <w:szCs w:val="22"/>
        </w:rPr>
        <w:t xml:space="preserve"> and out of Australia</w:t>
      </w:r>
      <w:bookmarkStart w:id="294" w:name="_5.4_State_and"/>
      <w:bookmarkStart w:id="295" w:name="_Toc479770984"/>
      <w:bookmarkStart w:id="296" w:name="_Toc479778755"/>
      <w:bookmarkStart w:id="297" w:name="_Toc479845271"/>
      <w:bookmarkStart w:id="298" w:name="_Toc482364356"/>
      <w:bookmarkStart w:id="299" w:name="_Toc460234702"/>
      <w:bookmarkStart w:id="300" w:name="_Toc460246237"/>
      <w:bookmarkStart w:id="301" w:name="_Toc460260039"/>
      <w:bookmarkStart w:id="302" w:name="_Toc460341814"/>
      <w:bookmarkStart w:id="303" w:name="_Toc460421952"/>
      <w:bookmarkEnd w:id="251"/>
      <w:bookmarkEnd w:id="252"/>
      <w:bookmarkEnd w:id="253"/>
      <w:bookmarkEnd w:id="254"/>
      <w:bookmarkEnd w:id="255"/>
      <w:bookmarkEnd w:id="256"/>
      <w:bookmarkEnd w:id="257"/>
      <w:bookmarkEnd w:id="258"/>
      <w:bookmarkEnd w:id="294"/>
      <w:r w:rsidR="00DA78A3">
        <w:rPr>
          <w:rFonts w:asciiTheme="minorHAnsi" w:hAnsiTheme="minorHAnsi"/>
          <w:sz w:val="22"/>
          <w:szCs w:val="22"/>
        </w:rPr>
        <w:t>.</w:t>
      </w:r>
    </w:p>
    <w:p w14:paraId="330C9927" w14:textId="25796940" w:rsidR="005B4AEB" w:rsidRPr="00125D28" w:rsidRDefault="00043C17" w:rsidP="00125D28">
      <w:pPr>
        <w:pStyle w:val="Heading2"/>
        <w:rPr>
          <w:rStyle w:val="Hyperlink"/>
          <w:color w:val="2E74B5" w:themeColor="accent1" w:themeShade="BF"/>
          <w:u w:val="none"/>
        </w:rPr>
      </w:pPr>
      <w:bookmarkStart w:id="304" w:name="_Toc486939259"/>
      <w:bookmarkStart w:id="305" w:name="_Toc486939332"/>
      <w:bookmarkStart w:id="306" w:name="_Toc486950241"/>
      <w:bookmarkStart w:id="307" w:name="_Toc486956439"/>
      <w:bookmarkStart w:id="308" w:name="_Toc489460742"/>
      <w:bookmarkStart w:id="309" w:name="_Toc489460850"/>
      <w:r w:rsidRPr="00125D28">
        <w:rPr>
          <w:rStyle w:val="Hyperlink"/>
          <w:color w:val="2E74B5" w:themeColor="accent1" w:themeShade="BF"/>
          <w:u w:val="none"/>
        </w:rPr>
        <w:t>5</w:t>
      </w:r>
      <w:r w:rsidR="005B4AEB" w:rsidRPr="00125D28">
        <w:rPr>
          <w:rStyle w:val="Hyperlink"/>
          <w:color w:val="2E74B5" w:themeColor="accent1" w:themeShade="BF"/>
          <w:u w:val="none"/>
        </w:rPr>
        <w:t>.4</w:t>
      </w:r>
      <w:r w:rsidR="005B4AEB" w:rsidRPr="00125D28">
        <w:rPr>
          <w:rStyle w:val="Hyperlink"/>
          <w:color w:val="2E74B5" w:themeColor="accent1" w:themeShade="BF"/>
          <w:u w:val="none"/>
        </w:rPr>
        <w:tab/>
        <w:t>State and Territory waste management legislation</w:t>
      </w:r>
      <w:bookmarkEnd w:id="295"/>
      <w:bookmarkEnd w:id="296"/>
      <w:bookmarkEnd w:id="297"/>
      <w:bookmarkEnd w:id="298"/>
      <w:bookmarkEnd w:id="304"/>
      <w:bookmarkEnd w:id="305"/>
      <w:bookmarkEnd w:id="306"/>
      <w:bookmarkEnd w:id="307"/>
      <w:bookmarkEnd w:id="308"/>
      <w:bookmarkEnd w:id="309"/>
    </w:p>
    <w:p w14:paraId="7572753C" w14:textId="2CAEC327" w:rsidR="00204944" w:rsidRDefault="00204944" w:rsidP="007D51BB">
      <w:pPr>
        <w:spacing w:before="120" w:after="120" w:line="276" w:lineRule="auto"/>
        <w:rPr>
          <w:rFonts w:ascii="Calibri" w:hAnsi="Calibri"/>
          <w:sz w:val="22"/>
          <w:szCs w:val="22"/>
          <w:lang w:val="en"/>
        </w:rPr>
      </w:pPr>
      <w:r>
        <w:rPr>
          <w:rFonts w:ascii="Calibri" w:hAnsi="Calibri"/>
          <w:sz w:val="22"/>
          <w:szCs w:val="22"/>
          <w:lang w:val="en"/>
        </w:rPr>
        <w:t>The de</w:t>
      </w:r>
      <w:r w:rsidR="00015B1F">
        <w:rPr>
          <w:rFonts w:ascii="Calibri" w:hAnsi="Calibri"/>
          <w:sz w:val="22"/>
          <w:szCs w:val="22"/>
          <w:lang w:val="en"/>
        </w:rPr>
        <w:t xml:space="preserve">commissioning process typically involves dealing with a variety of waste products, including infrastructure (facilities, pipelines, wellheads, anchors, etc.) used to support petroleum operations, drill cuttings and other debris generated during the decommissioning process, and oily and other wastes generated when cleaning </w:t>
      </w:r>
      <w:r w:rsidR="00F93551">
        <w:rPr>
          <w:rFonts w:ascii="Calibri" w:hAnsi="Calibri"/>
          <w:sz w:val="22"/>
          <w:szCs w:val="22"/>
          <w:lang w:val="en"/>
        </w:rPr>
        <w:t>decommissioned</w:t>
      </w:r>
      <w:r w:rsidR="00015B1F">
        <w:rPr>
          <w:rFonts w:ascii="Calibri" w:hAnsi="Calibri"/>
          <w:sz w:val="22"/>
          <w:szCs w:val="22"/>
          <w:lang w:val="en"/>
        </w:rPr>
        <w:t xml:space="preserve"> infrastructure</w:t>
      </w:r>
      <w:r w:rsidR="00A4093D">
        <w:rPr>
          <w:rFonts w:ascii="Calibri" w:hAnsi="Calibri"/>
          <w:sz w:val="22"/>
          <w:szCs w:val="22"/>
          <w:lang w:val="en"/>
        </w:rPr>
        <w:t xml:space="preserve">. </w:t>
      </w:r>
    </w:p>
    <w:p w14:paraId="6065969A" w14:textId="4F5A7E86" w:rsidR="005B4AEB" w:rsidRPr="00AB12DD" w:rsidRDefault="005E510B" w:rsidP="007D51BB">
      <w:pPr>
        <w:spacing w:before="120" w:after="120" w:line="276" w:lineRule="auto"/>
        <w:rPr>
          <w:rFonts w:ascii="Calibri" w:hAnsi="Calibri"/>
          <w:sz w:val="22"/>
          <w:szCs w:val="22"/>
        </w:rPr>
      </w:pPr>
      <w:r>
        <w:rPr>
          <w:rFonts w:ascii="Calibri" w:hAnsi="Calibri"/>
          <w:sz w:val="22"/>
          <w:szCs w:val="22"/>
          <w:lang w:val="en"/>
        </w:rPr>
        <w:t xml:space="preserve">Where onshore treatment and disposal of wastes is to be undertaken as a component of decommissioning, </w:t>
      </w:r>
      <w:r w:rsidR="00015B1F">
        <w:rPr>
          <w:rFonts w:ascii="Calibri" w:hAnsi="Calibri"/>
          <w:sz w:val="22"/>
          <w:szCs w:val="22"/>
          <w:lang w:val="en"/>
        </w:rPr>
        <w:t>management</w:t>
      </w:r>
      <w:r>
        <w:rPr>
          <w:rFonts w:ascii="Calibri" w:hAnsi="Calibri"/>
          <w:sz w:val="22"/>
          <w:szCs w:val="22"/>
          <w:lang w:val="en"/>
        </w:rPr>
        <w:t xml:space="preserve"> of this waste</w:t>
      </w:r>
      <w:r w:rsidR="00AB12DD" w:rsidRPr="00AB12DD">
        <w:rPr>
          <w:rFonts w:ascii="Calibri" w:hAnsi="Calibri"/>
          <w:sz w:val="22"/>
          <w:szCs w:val="22"/>
          <w:lang w:val="en"/>
        </w:rPr>
        <w:t xml:space="preserve"> is p</w:t>
      </w:r>
      <w:r w:rsidR="00AB12DD">
        <w:rPr>
          <w:rFonts w:ascii="Calibri" w:hAnsi="Calibri"/>
          <w:sz w:val="22"/>
          <w:szCs w:val="22"/>
          <w:lang w:val="en"/>
        </w:rPr>
        <w:t>rimarily the responsibility of the States and Territories,</w:t>
      </w:r>
      <w:r w:rsidR="00AB12DD" w:rsidRPr="00AB12DD">
        <w:rPr>
          <w:rFonts w:ascii="Calibri" w:hAnsi="Calibri"/>
          <w:sz w:val="22"/>
          <w:szCs w:val="22"/>
          <w:lang w:val="en"/>
        </w:rPr>
        <w:t xml:space="preserve"> which regulate and manage waste in accordance with their respective legislation, policies and programs. This </w:t>
      </w:r>
      <w:proofErr w:type="gramStart"/>
      <w:r w:rsidR="00AB12DD" w:rsidRPr="00AB12DD">
        <w:rPr>
          <w:rFonts w:ascii="Calibri" w:hAnsi="Calibri"/>
          <w:sz w:val="22"/>
          <w:szCs w:val="22"/>
          <w:lang w:val="en"/>
        </w:rPr>
        <w:t>includes</w:t>
      </w:r>
      <w:r w:rsidR="00F51EC6">
        <w:rPr>
          <w:rFonts w:ascii="Calibri" w:hAnsi="Calibri"/>
          <w:sz w:val="22"/>
          <w:szCs w:val="22"/>
          <w:lang w:val="en"/>
        </w:rPr>
        <w:t>:</w:t>
      </w:r>
      <w:proofErr w:type="gramEnd"/>
      <w:r w:rsidR="00AB12DD" w:rsidRPr="00AB12DD">
        <w:rPr>
          <w:rFonts w:ascii="Calibri" w:hAnsi="Calibri"/>
          <w:sz w:val="22"/>
          <w:szCs w:val="22"/>
          <w:lang w:val="en"/>
        </w:rPr>
        <w:t xml:space="preserve"> planning for waste management and waste avoidance, </w:t>
      </w:r>
      <w:r w:rsidR="00856352" w:rsidRPr="00AB12DD">
        <w:rPr>
          <w:rFonts w:ascii="Calibri" w:hAnsi="Calibri"/>
          <w:sz w:val="22"/>
          <w:szCs w:val="22"/>
          <w:lang w:val="en"/>
        </w:rPr>
        <w:t>minimization</w:t>
      </w:r>
      <w:r w:rsidR="00AB12DD" w:rsidRPr="00AB12DD">
        <w:rPr>
          <w:rFonts w:ascii="Calibri" w:hAnsi="Calibri"/>
          <w:sz w:val="22"/>
          <w:szCs w:val="22"/>
          <w:lang w:val="en"/>
        </w:rPr>
        <w:t xml:space="preserve"> and reuse</w:t>
      </w:r>
      <w:r w:rsidR="00F51EC6">
        <w:rPr>
          <w:rFonts w:ascii="Calibri" w:hAnsi="Calibri"/>
          <w:sz w:val="22"/>
          <w:szCs w:val="22"/>
          <w:lang w:val="en"/>
        </w:rPr>
        <w:t>;</w:t>
      </w:r>
      <w:r w:rsidR="00AB12DD" w:rsidRPr="00AB12DD">
        <w:rPr>
          <w:rFonts w:ascii="Calibri" w:hAnsi="Calibri"/>
          <w:sz w:val="22"/>
          <w:szCs w:val="22"/>
          <w:lang w:val="en"/>
        </w:rPr>
        <w:t xml:space="preserve"> licensing and regulation of waste transport, storage, treatment, resource recovery and disposal</w:t>
      </w:r>
      <w:r w:rsidR="00F51EC6">
        <w:rPr>
          <w:rFonts w:ascii="Calibri" w:hAnsi="Calibri"/>
          <w:sz w:val="22"/>
          <w:szCs w:val="22"/>
          <w:lang w:val="en"/>
        </w:rPr>
        <w:t>;</w:t>
      </w:r>
      <w:r w:rsidR="00AB12DD" w:rsidRPr="00AB12DD">
        <w:rPr>
          <w:rFonts w:ascii="Calibri" w:hAnsi="Calibri"/>
          <w:sz w:val="22"/>
          <w:szCs w:val="22"/>
          <w:lang w:val="en"/>
        </w:rPr>
        <w:t xml:space="preserve"> and managing the impacts of waste management activities.</w:t>
      </w:r>
    </w:p>
    <w:p w14:paraId="078E87B6" w14:textId="2B3072AF" w:rsidR="00766DCC" w:rsidRPr="00580A1D" w:rsidRDefault="005A1B1A" w:rsidP="00580A1D">
      <w:pPr>
        <w:spacing w:before="120" w:after="120" w:line="276" w:lineRule="auto"/>
        <w:rPr>
          <w:rFonts w:ascii="Calibri" w:hAnsi="Calibri"/>
          <w:sz w:val="22"/>
          <w:szCs w:val="22"/>
          <w:lang w:val="en"/>
        </w:rPr>
        <w:sectPr w:rsidR="00766DCC" w:rsidRPr="00580A1D">
          <w:pgSz w:w="11906" w:h="16838"/>
          <w:pgMar w:top="1440" w:right="1440" w:bottom="1440" w:left="1440" w:header="708" w:footer="708" w:gutter="0"/>
          <w:cols w:space="708"/>
          <w:docGrid w:linePitch="360"/>
        </w:sectPr>
      </w:pPr>
      <w:r w:rsidRPr="00445153">
        <w:rPr>
          <w:rFonts w:asciiTheme="minorHAnsi" w:hAnsiTheme="minorHAnsi"/>
          <w:noProof/>
          <w:sz w:val="22"/>
          <w:szCs w:val="22"/>
        </w:rPr>
        <mc:AlternateContent>
          <mc:Choice Requires="wps">
            <w:drawing>
              <wp:anchor distT="45720" distB="45720" distL="114300" distR="114300" simplePos="0" relativeHeight="251658240" behindDoc="0" locked="0" layoutInCell="1" allowOverlap="1" wp14:anchorId="6BCAE52A" wp14:editId="3499427F">
                <wp:simplePos x="0" y="0"/>
                <wp:positionH relativeFrom="margin">
                  <wp:posOffset>0</wp:posOffset>
                </wp:positionH>
                <wp:positionV relativeFrom="paragraph">
                  <wp:posOffset>540385</wp:posOffset>
                </wp:positionV>
                <wp:extent cx="5715000" cy="1743075"/>
                <wp:effectExtent l="0" t="0" r="19050" b="2857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743075"/>
                        </a:xfrm>
                        <a:prstGeom prst="rect">
                          <a:avLst/>
                        </a:prstGeom>
                        <a:solidFill>
                          <a:schemeClr val="accent1">
                            <a:lumMod val="20000"/>
                            <a:lumOff val="80000"/>
                          </a:schemeClr>
                        </a:solidFill>
                        <a:ln w="9525">
                          <a:solidFill>
                            <a:schemeClr val="tx1"/>
                          </a:solidFill>
                          <a:miter lim="800000"/>
                          <a:headEnd/>
                          <a:tailEnd/>
                        </a:ln>
                      </wps:spPr>
                      <wps:txbx>
                        <w:txbxContent>
                          <w:p w14:paraId="5DEB8FC3" w14:textId="1A735F73" w:rsidR="00934F2F" w:rsidRDefault="00934F2F" w:rsidP="00856352">
                            <w:pPr>
                              <w:spacing w:before="120" w:after="120" w:line="276" w:lineRule="auto"/>
                              <w:rPr>
                                <w:rFonts w:asciiTheme="minorHAnsi" w:hAnsiTheme="minorHAnsi"/>
                                <w:sz w:val="22"/>
                                <w:szCs w:val="22"/>
                              </w:rPr>
                            </w:pPr>
                            <w:r>
                              <w:rPr>
                                <w:rFonts w:asciiTheme="minorHAnsi" w:hAnsiTheme="minorHAnsi"/>
                                <w:sz w:val="22"/>
                                <w:szCs w:val="22"/>
                              </w:rPr>
                              <w:t xml:space="preserve">An </w:t>
                            </w:r>
                            <w:hyperlink r:id="rId56" w:tooltip="http://www.environment.gov.au/topics/environment-protection/nwp/reporting/policies-and-governance" w:history="1">
                              <w:r w:rsidRPr="00856352">
                                <w:rPr>
                                  <w:rStyle w:val="Hyperlink"/>
                                  <w:rFonts w:asciiTheme="minorHAnsi" w:hAnsiTheme="minorHAnsi"/>
                                  <w:sz w:val="22"/>
                                  <w:szCs w:val="22"/>
                                </w:rPr>
                                <w:t>outline</w:t>
                              </w:r>
                            </w:hyperlink>
                            <w:r>
                              <w:rPr>
                                <w:rFonts w:asciiTheme="minorHAnsi" w:hAnsiTheme="minorHAnsi"/>
                                <w:sz w:val="22"/>
                                <w:szCs w:val="22"/>
                              </w:rPr>
                              <w:t xml:space="preserve"> of the waste management legislation and strategies for each Australian jurisdiction is provided on the DEE website. A more comprehensive overview for each jurisdiction is also provided in the following fact sheets: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170"/>
                            </w:tblGrid>
                            <w:tr w:rsidR="00934F2F" w14:paraId="2D044E2B" w14:textId="77777777" w:rsidTr="005A1B1A">
                              <w:tc>
                                <w:tcPr>
                                  <w:tcW w:w="4158" w:type="dxa"/>
                                </w:tcPr>
                                <w:p w14:paraId="05E1799C" w14:textId="10F62933"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57" w:tooltip="http://www.environment.gov.au/system/files/resources/0a517ed7-74cb-418b-9319-7624491e4921/files/factsheet-waste-profile-act.pdf" w:history="1">
                                    <w:r w:rsidR="00934F2F" w:rsidRPr="005A1B1A">
                                      <w:rPr>
                                        <w:rFonts w:asciiTheme="minorHAnsi" w:eastAsiaTheme="minorHAnsi" w:hAnsiTheme="minorHAnsi" w:cstheme="minorBidi"/>
                                        <w:color w:val="0563C1" w:themeColor="hyperlink"/>
                                        <w:sz w:val="22"/>
                                        <w:szCs w:val="22"/>
                                        <w:u w:val="single"/>
                                        <w:lang w:eastAsia="en-US"/>
                                      </w:rPr>
                                      <w:t>Australian Capital Territory</w:t>
                                    </w:r>
                                  </w:hyperlink>
                                  <w:r w:rsidR="00934F2F" w:rsidRPr="005A1B1A">
                                    <w:rPr>
                                      <w:rFonts w:asciiTheme="minorHAnsi" w:eastAsiaTheme="minorHAnsi" w:hAnsiTheme="minorHAnsi" w:cstheme="minorBidi"/>
                                      <w:sz w:val="22"/>
                                      <w:szCs w:val="22"/>
                                      <w:lang w:eastAsia="en-US"/>
                                    </w:rPr>
                                    <w:t xml:space="preserve"> </w:t>
                                  </w:r>
                                </w:p>
                              </w:tc>
                              <w:tc>
                                <w:tcPr>
                                  <w:tcW w:w="4170" w:type="dxa"/>
                                </w:tcPr>
                                <w:p w14:paraId="360305DA" w14:textId="146A50D1"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58" w:tooltip="http://www.environment.gov.au/system/files/resources/0a517ed7-74cb-418b-9319-7624491e4921/files/factsheet-waste-profile-nsw.pdf" w:history="1">
                                    <w:r w:rsidR="00934F2F" w:rsidRPr="005A1B1A">
                                      <w:rPr>
                                        <w:rFonts w:asciiTheme="minorHAnsi" w:eastAsiaTheme="minorHAnsi" w:hAnsiTheme="minorHAnsi" w:cstheme="minorBidi"/>
                                        <w:color w:val="0563C1" w:themeColor="hyperlink"/>
                                        <w:sz w:val="22"/>
                                        <w:szCs w:val="22"/>
                                        <w:u w:val="single"/>
                                        <w:lang w:eastAsia="en-US"/>
                                      </w:rPr>
                                      <w:t>New South Wales</w:t>
                                    </w:r>
                                  </w:hyperlink>
                                </w:p>
                              </w:tc>
                            </w:tr>
                            <w:tr w:rsidR="00934F2F" w14:paraId="15980C7D" w14:textId="77777777" w:rsidTr="005A1B1A">
                              <w:tc>
                                <w:tcPr>
                                  <w:tcW w:w="4158" w:type="dxa"/>
                                </w:tcPr>
                                <w:p w14:paraId="19379686" w14:textId="442DBD3B"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59" w:tooltip="http://www.environment.gov.au/system/files/resources/0a517ed7-74cb-418b-9319-7624491e4921/files/factsheet-waste-profile-nt.pdf" w:history="1">
                                    <w:r w:rsidR="00934F2F" w:rsidRPr="005A1B1A">
                                      <w:rPr>
                                        <w:rStyle w:val="Hyperlink"/>
                                        <w:rFonts w:asciiTheme="minorHAnsi" w:eastAsiaTheme="minorHAnsi" w:hAnsiTheme="minorHAnsi" w:cstheme="minorBidi"/>
                                        <w:sz w:val="22"/>
                                        <w:szCs w:val="22"/>
                                        <w:lang w:eastAsia="en-US"/>
                                      </w:rPr>
                                      <w:t>Northern Territory</w:t>
                                    </w:r>
                                  </w:hyperlink>
                                </w:p>
                              </w:tc>
                              <w:tc>
                                <w:tcPr>
                                  <w:tcW w:w="4170" w:type="dxa"/>
                                </w:tcPr>
                                <w:p w14:paraId="0496506D" w14:textId="735F7810"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0" w:tooltip="http://www.environment.gov.au/system/files/resources/0a517ed7-74cb-418b-9319-7624491e4921/files/factsheet-waste-profile-qld_0.pdf" w:history="1">
                                    <w:r w:rsidR="00934F2F" w:rsidRPr="005A1B1A">
                                      <w:rPr>
                                        <w:rStyle w:val="Hyperlink"/>
                                        <w:rFonts w:asciiTheme="minorHAnsi" w:eastAsiaTheme="minorHAnsi" w:hAnsiTheme="minorHAnsi" w:cstheme="minorBidi"/>
                                        <w:sz w:val="22"/>
                                        <w:szCs w:val="22"/>
                                        <w:lang w:eastAsia="en-US"/>
                                      </w:rPr>
                                      <w:t>Queensland</w:t>
                                    </w:r>
                                  </w:hyperlink>
                                </w:p>
                              </w:tc>
                            </w:tr>
                            <w:tr w:rsidR="00934F2F" w14:paraId="7A50EEE7" w14:textId="77777777" w:rsidTr="005A1B1A">
                              <w:tc>
                                <w:tcPr>
                                  <w:tcW w:w="4158" w:type="dxa"/>
                                </w:tcPr>
                                <w:p w14:paraId="0523D54E" w14:textId="4DF34A59"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1" w:tooltip="http://www.environment.gov.au/system/files/resources/0a517ed7-74cb-418b-9319-7624491e4921/files/factsheet-waste-profile-sa.pdf" w:history="1">
                                    <w:r w:rsidR="00934F2F" w:rsidRPr="005A1B1A">
                                      <w:rPr>
                                        <w:rStyle w:val="Hyperlink"/>
                                        <w:rFonts w:asciiTheme="minorHAnsi" w:eastAsiaTheme="minorHAnsi" w:hAnsiTheme="minorHAnsi" w:cstheme="minorBidi"/>
                                        <w:sz w:val="22"/>
                                        <w:szCs w:val="22"/>
                                        <w:lang w:eastAsia="en-US"/>
                                      </w:rPr>
                                      <w:t>South Australia</w:t>
                                    </w:r>
                                  </w:hyperlink>
                                </w:p>
                              </w:tc>
                              <w:tc>
                                <w:tcPr>
                                  <w:tcW w:w="4170" w:type="dxa"/>
                                </w:tcPr>
                                <w:p w14:paraId="4ABAC629" w14:textId="1FBB9CDC"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2" w:tooltip="http://www.environment.gov.au/system/files/resources/0a517ed7-74cb-418b-9319-7624491e4921/files/factsheet-waste-profile-tas.pdf" w:history="1">
                                    <w:r w:rsidR="00934F2F" w:rsidRPr="005A1B1A">
                                      <w:rPr>
                                        <w:rStyle w:val="Hyperlink"/>
                                        <w:rFonts w:asciiTheme="minorHAnsi" w:eastAsiaTheme="minorHAnsi" w:hAnsiTheme="minorHAnsi" w:cstheme="minorBidi"/>
                                        <w:sz w:val="22"/>
                                        <w:szCs w:val="22"/>
                                        <w:lang w:eastAsia="en-US"/>
                                      </w:rPr>
                                      <w:t>Tasmania</w:t>
                                    </w:r>
                                  </w:hyperlink>
                                </w:p>
                              </w:tc>
                            </w:tr>
                            <w:tr w:rsidR="00934F2F" w14:paraId="4150B106" w14:textId="77777777" w:rsidTr="005A1B1A">
                              <w:tc>
                                <w:tcPr>
                                  <w:tcW w:w="4158" w:type="dxa"/>
                                </w:tcPr>
                                <w:p w14:paraId="0DEA1639" w14:textId="00177C97"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3" w:tooltip="http://www.environment.gov.au/system/files/resources/0a517ed7-74cb-418b-9319-7624491e4921/files/factsheet-waste-profile-vic.pdf" w:history="1">
                                    <w:r w:rsidR="00934F2F" w:rsidRPr="005A1B1A">
                                      <w:rPr>
                                        <w:rStyle w:val="Hyperlink"/>
                                        <w:rFonts w:asciiTheme="minorHAnsi" w:eastAsiaTheme="minorHAnsi" w:hAnsiTheme="minorHAnsi" w:cstheme="minorBidi"/>
                                        <w:sz w:val="22"/>
                                        <w:szCs w:val="22"/>
                                        <w:lang w:eastAsia="en-US"/>
                                      </w:rPr>
                                      <w:t>Victoria</w:t>
                                    </w:r>
                                  </w:hyperlink>
                                </w:p>
                              </w:tc>
                              <w:tc>
                                <w:tcPr>
                                  <w:tcW w:w="4170" w:type="dxa"/>
                                </w:tcPr>
                                <w:p w14:paraId="68633763" w14:textId="67FB68FD"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4" w:tooltip="http://www.environment.gov.au/system/files/resources/0a517ed7-74cb-418b-9319-7624491e4921/files/factsheet-waste-profile-wa.pdf" w:history="1">
                                    <w:r w:rsidR="00934F2F" w:rsidRPr="005A1B1A">
                                      <w:rPr>
                                        <w:rStyle w:val="Hyperlink"/>
                                        <w:rFonts w:asciiTheme="minorHAnsi" w:eastAsiaTheme="minorHAnsi" w:hAnsiTheme="minorHAnsi" w:cstheme="minorBidi"/>
                                        <w:sz w:val="22"/>
                                        <w:szCs w:val="22"/>
                                        <w:lang w:eastAsia="en-US"/>
                                      </w:rPr>
                                      <w:t>Western Australia</w:t>
                                    </w:r>
                                  </w:hyperlink>
                                </w:p>
                              </w:tc>
                            </w:tr>
                          </w:tbl>
                          <w:p w14:paraId="166BC434" w14:textId="46180844" w:rsidR="00934F2F" w:rsidRPr="005A1B1A" w:rsidRDefault="00934F2F" w:rsidP="005A1B1A">
                            <w:pPr>
                              <w:spacing w:before="120" w:after="120" w:line="276" w:lineRule="auto"/>
                              <w:ind w:left="360"/>
                              <w:contextualSpacing/>
                              <w:rPr>
                                <w:rFonts w:asciiTheme="minorHAnsi" w:eastAsiaTheme="minorHAnsi" w:hAnsiTheme="minorHAnsi" w:cstheme="minorBidi"/>
                                <w:sz w:val="22"/>
                                <w:szCs w:val="22"/>
                                <w:lang w:eastAsia="en-US"/>
                              </w:rPr>
                            </w:pPr>
                          </w:p>
                          <w:p w14:paraId="027BA18D" w14:textId="481AE1DD" w:rsidR="00934F2F" w:rsidRDefault="00934F2F" w:rsidP="00856352">
                            <w:pPr>
                              <w:spacing w:before="120" w:after="120" w:line="276" w:lineRule="auto"/>
                              <w:rPr>
                                <w:rFonts w:asciiTheme="minorHAnsi" w:hAnsiTheme="minorHAnsi"/>
                                <w:sz w:val="22"/>
                                <w:szCs w:val="22"/>
                              </w:rPr>
                            </w:pPr>
                          </w:p>
                          <w:p w14:paraId="5BF14628" w14:textId="77777777" w:rsidR="00934F2F" w:rsidRDefault="00934F2F" w:rsidP="008563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CAE52A" id="_x0000_s1036" type="#_x0000_t202" style="position:absolute;margin-left:0;margin-top:42.55pt;width:450pt;height:137.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" fillcolor="#deeaf6 [660]" strokecolor="black [3213]">
                <v:textbox>
                  <w:txbxContent>
                    <w:p w14:paraId="5DEB8FC3" w14:textId="1A735F73" w:rsidR="00934F2F" w:rsidRDefault="00934F2F" w:rsidP="00856352">
                      <w:pPr>
                        <w:spacing w:before="120" w:after="120" w:line="276" w:lineRule="auto"/>
                        <w:rPr>
                          <w:rFonts w:asciiTheme="minorHAnsi" w:hAnsiTheme="minorHAnsi"/>
                          <w:sz w:val="22"/>
                          <w:szCs w:val="22"/>
                        </w:rPr>
                      </w:pPr>
                      <w:r>
                        <w:rPr>
                          <w:rFonts w:asciiTheme="minorHAnsi" w:hAnsiTheme="minorHAnsi"/>
                          <w:sz w:val="22"/>
                          <w:szCs w:val="22"/>
                        </w:rPr>
                        <w:t xml:space="preserve">An </w:t>
                      </w:r>
                      <w:hyperlink r:id="rId65" w:tooltip="http://www.environment.gov.au/topics/environment-protection/nwp/reporting/policies-and-governance" w:history="1">
                        <w:r w:rsidRPr="00856352">
                          <w:rPr>
                            <w:rStyle w:val="Hyperlink"/>
                            <w:rFonts w:asciiTheme="minorHAnsi" w:hAnsiTheme="minorHAnsi"/>
                            <w:sz w:val="22"/>
                            <w:szCs w:val="22"/>
                          </w:rPr>
                          <w:t>outline</w:t>
                        </w:r>
                      </w:hyperlink>
                      <w:r>
                        <w:rPr>
                          <w:rFonts w:asciiTheme="minorHAnsi" w:hAnsiTheme="minorHAnsi"/>
                          <w:sz w:val="22"/>
                          <w:szCs w:val="22"/>
                        </w:rPr>
                        <w:t xml:space="preserve"> of the waste management legislation and strategies for each Australian jurisdiction is provided on the DEE website. A more comprehensive overview for each jurisdiction is also provided in the following fact sheets: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170"/>
                      </w:tblGrid>
                      <w:tr w:rsidR="00934F2F" w14:paraId="2D044E2B" w14:textId="77777777" w:rsidTr="005A1B1A">
                        <w:tc>
                          <w:tcPr>
                            <w:tcW w:w="4158" w:type="dxa"/>
                          </w:tcPr>
                          <w:p w14:paraId="05E1799C" w14:textId="10F62933"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6" w:tooltip="http://www.environment.gov.au/system/files/resources/0a517ed7-74cb-418b-9319-7624491e4921/files/factsheet-waste-profile-act.pdf" w:history="1">
                              <w:r w:rsidR="00934F2F" w:rsidRPr="005A1B1A">
                                <w:rPr>
                                  <w:rFonts w:asciiTheme="minorHAnsi" w:eastAsiaTheme="minorHAnsi" w:hAnsiTheme="minorHAnsi" w:cstheme="minorBidi"/>
                                  <w:color w:val="0563C1" w:themeColor="hyperlink"/>
                                  <w:sz w:val="22"/>
                                  <w:szCs w:val="22"/>
                                  <w:u w:val="single"/>
                                  <w:lang w:eastAsia="en-US"/>
                                </w:rPr>
                                <w:t>Australian Capital Territory</w:t>
                              </w:r>
                            </w:hyperlink>
                            <w:r w:rsidR="00934F2F" w:rsidRPr="005A1B1A">
                              <w:rPr>
                                <w:rFonts w:asciiTheme="minorHAnsi" w:eastAsiaTheme="minorHAnsi" w:hAnsiTheme="minorHAnsi" w:cstheme="minorBidi"/>
                                <w:sz w:val="22"/>
                                <w:szCs w:val="22"/>
                                <w:lang w:eastAsia="en-US"/>
                              </w:rPr>
                              <w:t xml:space="preserve"> </w:t>
                            </w:r>
                          </w:p>
                        </w:tc>
                        <w:tc>
                          <w:tcPr>
                            <w:tcW w:w="4170" w:type="dxa"/>
                          </w:tcPr>
                          <w:p w14:paraId="360305DA" w14:textId="146A50D1"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7" w:tooltip="http://www.environment.gov.au/system/files/resources/0a517ed7-74cb-418b-9319-7624491e4921/files/factsheet-waste-profile-nsw.pdf" w:history="1">
                              <w:r w:rsidR="00934F2F" w:rsidRPr="005A1B1A">
                                <w:rPr>
                                  <w:rFonts w:asciiTheme="minorHAnsi" w:eastAsiaTheme="minorHAnsi" w:hAnsiTheme="minorHAnsi" w:cstheme="minorBidi"/>
                                  <w:color w:val="0563C1" w:themeColor="hyperlink"/>
                                  <w:sz w:val="22"/>
                                  <w:szCs w:val="22"/>
                                  <w:u w:val="single"/>
                                  <w:lang w:eastAsia="en-US"/>
                                </w:rPr>
                                <w:t>New South Wales</w:t>
                              </w:r>
                            </w:hyperlink>
                          </w:p>
                        </w:tc>
                      </w:tr>
                      <w:tr w:rsidR="00934F2F" w14:paraId="15980C7D" w14:textId="77777777" w:rsidTr="005A1B1A">
                        <w:tc>
                          <w:tcPr>
                            <w:tcW w:w="4158" w:type="dxa"/>
                          </w:tcPr>
                          <w:p w14:paraId="19379686" w14:textId="442DBD3B"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8" w:tooltip="http://www.environment.gov.au/system/files/resources/0a517ed7-74cb-418b-9319-7624491e4921/files/factsheet-waste-profile-nt.pdf" w:history="1">
                              <w:r w:rsidR="00934F2F" w:rsidRPr="005A1B1A">
                                <w:rPr>
                                  <w:rStyle w:val="Hyperlink"/>
                                  <w:rFonts w:asciiTheme="minorHAnsi" w:eastAsiaTheme="minorHAnsi" w:hAnsiTheme="minorHAnsi" w:cstheme="minorBidi"/>
                                  <w:sz w:val="22"/>
                                  <w:szCs w:val="22"/>
                                  <w:lang w:eastAsia="en-US"/>
                                </w:rPr>
                                <w:t>Northern Territory</w:t>
                              </w:r>
                            </w:hyperlink>
                          </w:p>
                        </w:tc>
                        <w:tc>
                          <w:tcPr>
                            <w:tcW w:w="4170" w:type="dxa"/>
                          </w:tcPr>
                          <w:p w14:paraId="0496506D" w14:textId="735F7810"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69" w:tooltip="http://www.environment.gov.au/system/files/resources/0a517ed7-74cb-418b-9319-7624491e4921/files/factsheet-waste-profile-qld_0.pdf" w:history="1">
                              <w:r w:rsidR="00934F2F" w:rsidRPr="005A1B1A">
                                <w:rPr>
                                  <w:rStyle w:val="Hyperlink"/>
                                  <w:rFonts w:asciiTheme="minorHAnsi" w:eastAsiaTheme="minorHAnsi" w:hAnsiTheme="minorHAnsi" w:cstheme="minorBidi"/>
                                  <w:sz w:val="22"/>
                                  <w:szCs w:val="22"/>
                                  <w:lang w:eastAsia="en-US"/>
                                </w:rPr>
                                <w:t>Queensland</w:t>
                              </w:r>
                            </w:hyperlink>
                          </w:p>
                        </w:tc>
                      </w:tr>
                      <w:tr w:rsidR="00934F2F" w14:paraId="7A50EEE7" w14:textId="77777777" w:rsidTr="005A1B1A">
                        <w:tc>
                          <w:tcPr>
                            <w:tcW w:w="4158" w:type="dxa"/>
                          </w:tcPr>
                          <w:p w14:paraId="0523D54E" w14:textId="4DF34A59"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70" w:tooltip="http://www.environment.gov.au/system/files/resources/0a517ed7-74cb-418b-9319-7624491e4921/files/factsheet-waste-profile-sa.pdf" w:history="1">
                              <w:r w:rsidR="00934F2F" w:rsidRPr="005A1B1A">
                                <w:rPr>
                                  <w:rStyle w:val="Hyperlink"/>
                                  <w:rFonts w:asciiTheme="minorHAnsi" w:eastAsiaTheme="minorHAnsi" w:hAnsiTheme="minorHAnsi" w:cstheme="minorBidi"/>
                                  <w:sz w:val="22"/>
                                  <w:szCs w:val="22"/>
                                  <w:lang w:eastAsia="en-US"/>
                                </w:rPr>
                                <w:t>South Australia</w:t>
                              </w:r>
                            </w:hyperlink>
                          </w:p>
                        </w:tc>
                        <w:tc>
                          <w:tcPr>
                            <w:tcW w:w="4170" w:type="dxa"/>
                          </w:tcPr>
                          <w:p w14:paraId="4ABAC629" w14:textId="1FBB9CDC"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71" w:tooltip="http://www.environment.gov.au/system/files/resources/0a517ed7-74cb-418b-9319-7624491e4921/files/factsheet-waste-profile-tas.pdf" w:history="1">
                              <w:r w:rsidR="00934F2F" w:rsidRPr="005A1B1A">
                                <w:rPr>
                                  <w:rStyle w:val="Hyperlink"/>
                                  <w:rFonts w:asciiTheme="minorHAnsi" w:eastAsiaTheme="minorHAnsi" w:hAnsiTheme="minorHAnsi" w:cstheme="minorBidi"/>
                                  <w:sz w:val="22"/>
                                  <w:szCs w:val="22"/>
                                  <w:lang w:eastAsia="en-US"/>
                                </w:rPr>
                                <w:t>Tasmania</w:t>
                              </w:r>
                            </w:hyperlink>
                          </w:p>
                        </w:tc>
                      </w:tr>
                      <w:tr w:rsidR="00934F2F" w14:paraId="4150B106" w14:textId="77777777" w:rsidTr="005A1B1A">
                        <w:tc>
                          <w:tcPr>
                            <w:tcW w:w="4158" w:type="dxa"/>
                          </w:tcPr>
                          <w:p w14:paraId="0DEA1639" w14:textId="00177C97"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72" w:tooltip="http://www.environment.gov.au/system/files/resources/0a517ed7-74cb-418b-9319-7624491e4921/files/factsheet-waste-profile-vic.pdf" w:history="1">
                              <w:r w:rsidR="00934F2F" w:rsidRPr="005A1B1A">
                                <w:rPr>
                                  <w:rStyle w:val="Hyperlink"/>
                                  <w:rFonts w:asciiTheme="minorHAnsi" w:eastAsiaTheme="minorHAnsi" w:hAnsiTheme="minorHAnsi" w:cstheme="minorBidi"/>
                                  <w:sz w:val="22"/>
                                  <w:szCs w:val="22"/>
                                  <w:lang w:eastAsia="en-US"/>
                                </w:rPr>
                                <w:t>Victoria</w:t>
                              </w:r>
                            </w:hyperlink>
                          </w:p>
                        </w:tc>
                        <w:tc>
                          <w:tcPr>
                            <w:tcW w:w="4170" w:type="dxa"/>
                          </w:tcPr>
                          <w:p w14:paraId="68633763" w14:textId="67FB68FD" w:rsidR="00934F2F" w:rsidRPr="005A1B1A" w:rsidRDefault="000A096E" w:rsidP="002921C9">
                            <w:pPr>
                              <w:numPr>
                                <w:ilvl w:val="0"/>
                                <w:numId w:val="6"/>
                              </w:numPr>
                              <w:spacing w:before="120" w:after="120" w:line="276" w:lineRule="auto"/>
                              <w:contextualSpacing/>
                              <w:rPr>
                                <w:rFonts w:asciiTheme="minorHAnsi" w:eastAsiaTheme="minorHAnsi" w:hAnsiTheme="minorHAnsi" w:cstheme="minorBidi"/>
                                <w:sz w:val="22"/>
                                <w:szCs w:val="22"/>
                                <w:lang w:eastAsia="en-US"/>
                              </w:rPr>
                            </w:pPr>
                            <w:hyperlink r:id="rId73" w:tooltip="http://www.environment.gov.au/system/files/resources/0a517ed7-74cb-418b-9319-7624491e4921/files/factsheet-waste-profile-wa.pdf" w:history="1">
                              <w:r w:rsidR="00934F2F" w:rsidRPr="005A1B1A">
                                <w:rPr>
                                  <w:rStyle w:val="Hyperlink"/>
                                  <w:rFonts w:asciiTheme="minorHAnsi" w:eastAsiaTheme="minorHAnsi" w:hAnsiTheme="minorHAnsi" w:cstheme="minorBidi"/>
                                  <w:sz w:val="22"/>
                                  <w:szCs w:val="22"/>
                                  <w:lang w:eastAsia="en-US"/>
                                </w:rPr>
                                <w:t>Western Australia</w:t>
                              </w:r>
                            </w:hyperlink>
                          </w:p>
                        </w:tc>
                      </w:tr>
                    </w:tbl>
                    <w:p w14:paraId="166BC434" w14:textId="46180844" w:rsidR="00934F2F" w:rsidRPr="005A1B1A" w:rsidRDefault="00934F2F" w:rsidP="005A1B1A">
                      <w:pPr>
                        <w:spacing w:before="120" w:after="120" w:line="276" w:lineRule="auto"/>
                        <w:ind w:left="360"/>
                        <w:contextualSpacing/>
                        <w:rPr>
                          <w:rFonts w:asciiTheme="minorHAnsi" w:eastAsiaTheme="minorHAnsi" w:hAnsiTheme="minorHAnsi" w:cstheme="minorBidi"/>
                          <w:sz w:val="22"/>
                          <w:szCs w:val="22"/>
                          <w:lang w:eastAsia="en-US"/>
                        </w:rPr>
                      </w:pPr>
                    </w:p>
                    <w:p w14:paraId="027BA18D" w14:textId="481AE1DD" w:rsidR="00934F2F" w:rsidRDefault="00934F2F" w:rsidP="00856352">
                      <w:pPr>
                        <w:spacing w:before="120" w:after="120" w:line="276" w:lineRule="auto"/>
                        <w:rPr>
                          <w:rFonts w:asciiTheme="minorHAnsi" w:hAnsiTheme="minorHAnsi"/>
                          <w:sz w:val="22"/>
                          <w:szCs w:val="22"/>
                        </w:rPr>
                      </w:pPr>
                    </w:p>
                    <w:p w14:paraId="5BF14628" w14:textId="77777777" w:rsidR="00934F2F" w:rsidRDefault="00934F2F" w:rsidP="00856352"/>
                  </w:txbxContent>
                </v:textbox>
                <w10:wrap type="square" anchorx="margin"/>
              </v:shape>
            </w:pict>
          </mc:Fallback>
        </mc:AlternateContent>
      </w:r>
      <w:r w:rsidR="00AB12DD" w:rsidRPr="00AB12DD">
        <w:rPr>
          <w:rFonts w:ascii="Calibri" w:hAnsi="Calibri"/>
          <w:sz w:val="22"/>
          <w:szCs w:val="22"/>
          <w:lang w:val="en"/>
        </w:rPr>
        <w:t xml:space="preserve">All state and territory governments have enacted comprehensive legislative and policy instruments to protect the environment and </w:t>
      </w:r>
      <w:r w:rsidR="0086616E">
        <w:rPr>
          <w:rFonts w:ascii="Calibri" w:hAnsi="Calibri"/>
          <w:sz w:val="22"/>
          <w:szCs w:val="22"/>
          <w:lang w:val="en"/>
        </w:rPr>
        <w:t>to</w:t>
      </w:r>
      <w:r w:rsidR="00AB12DD" w:rsidRPr="00AB12DD">
        <w:rPr>
          <w:rFonts w:ascii="Calibri" w:hAnsi="Calibri"/>
          <w:sz w:val="22"/>
          <w:szCs w:val="22"/>
          <w:lang w:val="en"/>
        </w:rPr>
        <w:t xml:space="preserve"> c</w:t>
      </w:r>
      <w:r w:rsidR="00856352">
        <w:rPr>
          <w:rFonts w:ascii="Calibri" w:hAnsi="Calibri"/>
          <w:sz w:val="22"/>
          <w:szCs w:val="22"/>
          <w:lang w:val="en"/>
        </w:rPr>
        <w:t xml:space="preserve">onserve natural resources. </w:t>
      </w:r>
    </w:p>
    <w:p w14:paraId="7B36A0EA" w14:textId="4CB56154" w:rsidR="0090330E" w:rsidRDefault="00F46E57" w:rsidP="00F46E57">
      <w:pPr>
        <w:pStyle w:val="Heading1"/>
        <w:rPr>
          <w:rFonts w:ascii="Cambria" w:hAnsi="Cambria"/>
          <w:b/>
        </w:rPr>
      </w:pPr>
      <w:bookmarkStart w:id="310" w:name="_Annex_1:_Approvals"/>
      <w:bookmarkStart w:id="311" w:name="_Toc479770987"/>
      <w:bookmarkStart w:id="312" w:name="_Toc479778758"/>
      <w:bookmarkStart w:id="313" w:name="_Toc479845274"/>
      <w:bookmarkStart w:id="314" w:name="_Toc482364361"/>
      <w:bookmarkStart w:id="315" w:name="_Toc486939264"/>
      <w:bookmarkStart w:id="316" w:name="_Toc486939337"/>
      <w:bookmarkStart w:id="317" w:name="_Toc486950242"/>
      <w:bookmarkStart w:id="318" w:name="_Toc489460851"/>
      <w:bookmarkStart w:id="319" w:name="_Toc475055244"/>
      <w:bookmarkStart w:id="320" w:name="_Toc475358896"/>
      <w:bookmarkEnd w:id="310"/>
      <w:r w:rsidRPr="00645199">
        <w:rPr>
          <w:rFonts w:ascii="Cambria" w:hAnsi="Cambria"/>
          <w:b/>
        </w:rPr>
        <w:lastRenderedPageBreak/>
        <w:t>Approvals process: decommissioning and surrender of title</w:t>
      </w:r>
      <w:bookmarkEnd w:id="311"/>
      <w:bookmarkEnd w:id="312"/>
      <w:bookmarkEnd w:id="313"/>
      <w:bookmarkEnd w:id="314"/>
      <w:bookmarkEnd w:id="315"/>
      <w:bookmarkEnd w:id="316"/>
      <w:bookmarkEnd w:id="317"/>
      <w:bookmarkEnd w:id="318"/>
    </w:p>
    <w:p w14:paraId="046B6500" w14:textId="3216F102" w:rsidR="00C02767" w:rsidRDefault="00C02767" w:rsidP="00C02767">
      <w:r w:rsidRPr="00325FA8">
        <w:rPr>
          <w:b/>
          <w:noProof/>
        </w:rPr>
        <mc:AlternateContent>
          <mc:Choice Requires="wps">
            <w:drawing>
              <wp:anchor distT="0" distB="0" distL="114300" distR="114300" simplePos="0" relativeHeight="251658264" behindDoc="0" locked="0" layoutInCell="1" allowOverlap="1" wp14:anchorId="799DA97D" wp14:editId="7CE343CA">
                <wp:simplePos x="0" y="0"/>
                <wp:positionH relativeFrom="column">
                  <wp:posOffset>4524375</wp:posOffset>
                </wp:positionH>
                <wp:positionV relativeFrom="paragraph">
                  <wp:posOffset>152400</wp:posOffset>
                </wp:positionV>
                <wp:extent cx="3486150" cy="294322"/>
                <wp:effectExtent l="0" t="0" r="19050" b="10795"/>
                <wp:wrapNone/>
                <wp:docPr id="332" name="Text Box 2" title="Proponent submits Offshore Project Proposal (OPP) to NOPSEM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0" cy="294322"/>
                        </a:xfrm>
                        <a:prstGeom prst="roundRect">
                          <a:avLst/>
                        </a:prstGeom>
                        <a:solidFill>
                          <a:schemeClr val="bg1">
                            <a:lumMod val="50000"/>
                          </a:schemeClr>
                        </a:solidFill>
                        <a:ln>
                          <a:solidFill>
                            <a:schemeClr val="bg1">
                              <a:lumMod val="50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184FC5B1" w14:textId="3A9FC332" w:rsidR="00934F2F" w:rsidRPr="005609F1" w:rsidRDefault="00934F2F" w:rsidP="00FE6704">
                            <w:pPr>
                              <w:jc w:val="center"/>
                              <w:rPr>
                                <w:rFonts w:ascii="Calibri" w:hAnsi="Calibri"/>
                                <w:color w:val="FFFFFF" w:themeColor="background1"/>
                                <w:sz w:val="18"/>
                                <w:szCs w:val="18"/>
                              </w:rPr>
                            </w:pPr>
                            <w:r w:rsidRPr="005609F1">
                              <w:rPr>
                                <w:rFonts w:ascii="Calibri" w:hAnsi="Calibri"/>
                                <w:color w:val="FFFFFF" w:themeColor="background1"/>
                                <w:sz w:val="18"/>
                                <w:szCs w:val="18"/>
                                <w:u w:val="single"/>
                              </w:rPr>
                              <w:t>Proponent</w:t>
                            </w:r>
                            <w:r w:rsidRPr="005609F1">
                              <w:rPr>
                                <w:rFonts w:ascii="Calibri" w:hAnsi="Calibri"/>
                                <w:color w:val="FFFFFF" w:themeColor="background1"/>
                                <w:sz w:val="18"/>
                                <w:szCs w:val="18"/>
                              </w:rPr>
                              <w:t xml:space="preserve"> submits Offshore P</w:t>
                            </w:r>
                            <w:r>
                              <w:rPr>
                                <w:rFonts w:ascii="Calibri" w:hAnsi="Calibri"/>
                                <w:color w:val="FFFFFF" w:themeColor="background1"/>
                                <w:sz w:val="18"/>
                                <w:szCs w:val="18"/>
                              </w:rPr>
                              <w:t>roject Proposal (OPP) to NOPSEMA.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799DA97D" id="_x0000_s1037" alt="Title: Proponent submits Offshore Project Proposal (OPP) to NOPSEMA." style="position:absolute;margin-left:356.25pt;margin-top:12pt;width:274.5pt;height:23.1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" fillcolor="#7f7f7f [1612]" strokecolor="#7f7f7f [1612]" strokeweight="1pt">
                <v:stroke joinstyle="miter"/>
                <v:textbox>
                  <w:txbxContent>
                    <w:p w14:paraId="184FC5B1" w14:textId="3A9FC332" w:rsidR="00934F2F" w:rsidRPr="005609F1" w:rsidRDefault="00934F2F" w:rsidP="00FE6704">
                      <w:pPr>
                        <w:jc w:val="center"/>
                        <w:rPr>
                          <w:rFonts w:ascii="Calibri" w:hAnsi="Calibri"/>
                          <w:color w:val="FFFFFF" w:themeColor="background1"/>
                          <w:sz w:val="18"/>
                          <w:szCs w:val="18"/>
                        </w:rPr>
                      </w:pPr>
                      <w:r w:rsidRPr="005609F1">
                        <w:rPr>
                          <w:rFonts w:ascii="Calibri" w:hAnsi="Calibri"/>
                          <w:color w:val="FFFFFF" w:themeColor="background1"/>
                          <w:sz w:val="18"/>
                          <w:szCs w:val="18"/>
                          <w:u w:val="single"/>
                        </w:rPr>
                        <w:t>Proponent</w:t>
                      </w:r>
                      <w:r w:rsidRPr="005609F1">
                        <w:rPr>
                          <w:rFonts w:ascii="Calibri" w:hAnsi="Calibri"/>
                          <w:color w:val="FFFFFF" w:themeColor="background1"/>
                          <w:sz w:val="18"/>
                          <w:szCs w:val="18"/>
                        </w:rPr>
                        <w:t xml:space="preserve"> submits Offshore P</w:t>
                      </w:r>
                      <w:r>
                        <w:rPr>
                          <w:rFonts w:ascii="Calibri" w:hAnsi="Calibri"/>
                          <w:color w:val="FFFFFF" w:themeColor="background1"/>
                          <w:sz w:val="18"/>
                          <w:szCs w:val="18"/>
                        </w:rPr>
                        <w:t>roject Proposal (OPP) to NOPSEMA.</w:t>
                      </w:r>
                    </w:p>
                  </w:txbxContent>
                </v:textbox>
              </v:roundrect>
            </w:pict>
          </mc:Fallback>
        </mc:AlternateContent>
      </w:r>
    </w:p>
    <w:p w14:paraId="53FB7261" w14:textId="52F0793E" w:rsidR="00C02767" w:rsidRDefault="00C02767" w:rsidP="00C02767"/>
    <w:p w14:paraId="69F14356" w14:textId="6BB388FC" w:rsidR="00C02767" w:rsidRDefault="005609F1" w:rsidP="00C02767">
      <w:r>
        <w:rPr>
          <w:rFonts w:ascii="Cambria" w:hAnsi="Cambria"/>
          <w:b/>
          <w:noProof/>
          <w:sz w:val="22"/>
          <w:szCs w:val="22"/>
        </w:rPr>
        <mc:AlternateContent>
          <mc:Choice Requires="wps">
            <w:drawing>
              <wp:anchor distT="0" distB="0" distL="114300" distR="114300" simplePos="0" relativeHeight="251658268" behindDoc="0" locked="0" layoutInCell="1" allowOverlap="1" wp14:anchorId="18C7A261" wp14:editId="21EC3C2D">
                <wp:simplePos x="0" y="0"/>
                <wp:positionH relativeFrom="column">
                  <wp:posOffset>6162675</wp:posOffset>
                </wp:positionH>
                <wp:positionV relativeFrom="paragraph">
                  <wp:posOffset>94615</wp:posOffset>
                </wp:positionV>
                <wp:extent cx="266700" cy="95250"/>
                <wp:effectExtent l="38100" t="0" r="19050" b="38100"/>
                <wp:wrapNone/>
                <wp:docPr id="11" name="Down Arrow 11"/>
                <wp:cNvGraphicFramePr/>
                <a:graphic xmlns:a="http://schemas.openxmlformats.org/drawingml/2006/main">
                  <a:graphicData uri="http://schemas.microsoft.com/office/word/2010/wordprocessingShape">
                    <wps:wsp>
                      <wps:cNvSpPr/>
                      <wps:spPr>
                        <a:xfrm>
                          <a:off x="0" y="0"/>
                          <a:ext cx="266700" cy="952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36EE2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26" type="#_x0000_t67" style="position:absolute;margin-left:485.25pt;margin-top:7.45pt;width:21pt;height:7.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" adj="10800" fillcolor="#5b9bd5 [3204]" strokecolor="#1f4d78 [1604]" strokeweight="1pt"/>
            </w:pict>
          </mc:Fallback>
        </mc:AlternateContent>
      </w:r>
    </w:p>
    <w:p w14:paraId="6DE78CCA" w14:textId="35CC292F" w:rsidR="00C02767" w:rsidRDefault="00C02767" w:rsidP="00C02767">
      <w:r w:rsidRPr="00325FA8">
        <w:rPr>
          <w:b/>
          <w:noProof/>
        </w:rPr>
        <mc:AlternateContent>
          <mc:Choice Requires="wps">
            <w:drawing>
              <wp:anchor distT="0" distB="0" distL="114300" distR="114300" simplePos="0" relativeHeight="251658266" behindDoc="0" locked="0" layoutInCell="1" allowOverlap="1" wp14:anchorId="2E433377" wp14:editId="37DAF0DE">
                <wp:simplePos x="0" y="0"/>
                <wp:positionH relativeFrom="column">
                  <wp:posOffset>-285750</wp:posOffset>
                </wp:positionH>
                <wp:positionV relativeFrom="paragraph">
                  <wp:posOffset>93345</wp:posOffset>
                </wp:positionV>
                <wp:extent cx="3524250" cy="457200"/>
                <wp:effectExtent l="0" t="0" r="19050" b="19050"/>
                <wp:wrapNone/>
                <wp:docPr id="350" name="Text Box 2" title="Titleholder submits field development plan (FDP) to the Joint Authority through NOPTA.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0" cy="457200"/>
                        </a:xfrm>
                        <a:prstGeom prst="roundRect">
                          <a:avLst/>
                        </a:prstGeom>
                        <a:solidFill>
                          <a:schemeClr val="bg1">
                            <a:lumMod val="50000"/>
                          </a:schemeClr>
                        </a:solidFill>
                        <a:ln>
                          <a:solidFill>
                            <a:schemeClr val="bg1">
                              <a:lumMod val="50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761A80F9" w14:textId="4CA03F0D" w:rsidR="00934F2F" w:rsidRPr="005609F1" w:rsidRDefault="00934F2F" w:rsidP="005609F1">
                            <w:pPr>
                              <w:jc w:val="center"/>
                              <w:rPr>
                                <w:rFonts w:ascii="Calibri" w:hAnsi="Calibri"/>
                                <w:color w:val="FFFFFF" w:themeColor="background1"/>
                                <w:sz w:val="18"/>
                                <w:szCs w:val="18"/>
                              </w:rPr>
                            </w:pPr>
                            <w:r w:rsidRPr="00111ECC">
                              <w:rPr>
                                <w:rFonts w:ascii="Calibri" w:hAnsi="Calibri"/>
                                <w:color w:val="FFFFFF" w:themeColor="background1"/>
                                <w:sz w:val="18"/>
                                <w:szCs w:val="18"/>
                                <w:u w:val="single"/>
                              </w:rPr>
                              <w:t>Titleholder</w:t>
                            </w:r>
                            <w:r w:rsidRPr="005609F1">
                              <w:rPr>
                                <w:rFonts w:ascii="Calibri" w:hAnsi="Calibri"/>
                                <w:color w:val="FFFFFF" w:themeColor="background1"/>
                                <w:sz w:val="18"/>
                                <w:szCs w:val="18"/>
                              </w:rPr>
                              <w:t xml:space="preserve"> submits field development plan (FDP) to the Joint Authority through NOPTA</w:t>
                            </w:r>
                            <w:r>
                              <w:rPr>
                                <w:rFonts w:ascii="Calibri" w:hAnsi="Calibri"/>
                                <w:color w:val="FFFFFF" w:themeColor="background1"/>
                                <w:sz w:val="18"/>
                                <w:szCs w:val="1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E433377" id="_x0000_s1038" alt="Title: Titleholder submits field development plan (FDP) to the Joint Authority through NOPTA. " style="position:absolute;margin-left:-22.5pt;margin-top:7.35pt;width:277.5pt;height:36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" fillcolor="#7f7f7f [1612]" strokecolor="#7f7f7f [1612]" strokeweight="1pt">
                <v:stroke joinstyle="miter"/>
                <v:textbox>
                  <w:txbxContent>
                    <w:p w14:paraId="761A80F9" w14:textId="4CA03F0D" w:rsidR="00934F2F" w:rsidRPr="005609F1" w:rsidRDefault="00934F2F" w:rsidP="005609F1">
                      <w:pPr>
                        <w:jc w:val="center"/>
                        <w:rPr>
                          <w:rFonts w:ascii="Calibri" w:hAnsi="Calibri"/>
                          <w:color w:val="FFFFFF" w:themeColor="background1"/>
                          <w:sz w:val="18"/>
                          <w:szCs w:val="18"/>
                        </w:rPr>
                      </w:pPr>
                      <w:r w:rsidRPr="00111ECC">
                        <w:rPr>
                          <w:rFonts w:ascii="Calibri" w:hAnsi="Calibri"/>
                          <w:color w:val="FFFFFF" w:themeColor="background1"/>
                          <w:sz w:val="18"/>
                          <w:szCs w:val="18"/>
                          <w:u w:val="single"/>
                        </w:rPr>
                        <w:t>Titleholder</w:t>
                      </w:r>
                      <w:r w:rsidRPr="005609F1">
                        <w:rPr>
                          <w:rFonts w:ascii="Calibri" w:hAnsi="Calibri"/>
                          <w:color w:val="FFFFFF" w:themeColor="background1"/>
                          <w:sz w:val="18"/>
                          <w:szCs w:val="18"/>
                        </w:rPr>
                        <w:t xml:space="preserve"> submits field development plan (FDP) to the Joint Authority through NOPTA</w:t>
                      </w:r>
                      <w:r>
                        <w:rPr>
                          <w:rFonts w:ascii="Calibri" w:hAnsi="Calibri"/>
                          <w:color w:val="FFFFFF" w:themeColor="background1"/>
                          <w:sz w:val="18"/>
                          <w:szCs w:val="18"/>
                        </w:rPr>
                        <w:t xml:space="preserve">. </w:t>
                      </w:r>
                    </w:p>
                  </w:txbxContent>
                </v:textbox>
              </v:roundrect>
            </w:pict>
          </mc:Fallback>
        </mc:AlternateContent>
      </w:r>
      <w:r w:rsidRPr="00325FA8">
        <w:rPr>
          <w:b/>
          <w:noProof/>
        </w:rPr>
        <mc:AlternateContent>
          <mc:Choice Requires="wps">
            <w:drawing>
              <wp:anchor distT="0" distB="0" distL="114300" distR="114300" simplePos="0" relativeHeight="251658265" behindDoc="0" locked="0" layoutInCell="1" allowOverlap="1" wp14:anchorId="640FB17D" wp14:editId="60F80E5E">
                <wp:simplePos x="0" y="0"/>
                <wp:positionH relativeFrom="column">
                  <wp:posOffset>3409950</wp:posOffset>
                </wp:positionH>
                <wp:positionV relativeFrom="paragraph">
                  <wp:posOffset>83820</wp:posOffset>
                </wp:positionV>
                <wp:extent cx="6181725" cy="457200"/>
                <wp:effectExtent l="0" t="0" r="28575" b="19050"/>
                <wp:wrapNone/>
                <wp:docPr id="333" name="Text Box 333" title="Operator submits safety case (SC), and titleholder submits environment plan (EP) and well operations management plan (WOMP) to NOPSEMA for relevant production activities (or submits a revision if appropriat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457200"/>
                        </a:xfrm>
                        <a:prstGeom prst="roundRect">
                          <a:avLst/>
                        </a:prstGeom>
                        <a:solidFill>
                          <a:schemeClr val="bg1">
                            <a:lumMod val="50000"/>
                          </a:schemeClr>
                        </a:solidFill>
                        <a:ln>
                          <a:solidFill>
                            <a:schemeClr val="bg1">
                              <a:lumMod val="50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03FEED39" w14:textId="1E10171A" w:rsidR="00934F2F" w:rsidRPr="005609F1" w:rsidRDefault="00934F2F" w:rsidP="00FE6704">
                            <w:pPr>
                              <w:jc w:val="center"/>
                              <w:rPr>
                                <w:rFonts w:ascii="Calibri" w:hAnsi="Calibri"/>
                                <w:color w:val="FFFFFF" w:themeColor="background1"/>
                                <w:sz w:val="18"/>
                                <w:szCs w:val="18"/>
                              </w:rPr>
                            </w:pPr>
                            <w:r w:rsidRPr="00111ECC">
                              <w:rPr>
                                <w:rFonts w:ascii="Calibri" w:hAnsi="Calibri"/>
                                <w:color w:val="FFFFFF" w:themeColor="background1"/>
                                <w:sz w:val="18"/>
                                <w:szCs w:val="18"/>
                                <w:u w:val="single"/>
                              </w:rPr>
                              <w:t>Operator</w:t>
                            </w:r>
                            <w:r w:rsidRPr="005609F1">
                              <w:rPr>
                                <w:rFonts w:ascii="Calibri" w:hAnsi="Calibri"/>
                                <w:color w:val="FFFFFF" w:themeColor="background1"/>
                                <w:sz w:val="18"/>
                                <w:szCs w:val="18"/>
                              </w:rPr>
                              <w:t xml:space="preserve"> submits safety case (SC), and </w:t>
                            </w:r>
                            <w:r w:rsidRPr="00E155A1">
                              <w:rPr>
                                <w:rFonts w:ascii="Calibri" w:hAnsi="Calibri"/>
                                <w:color w:val="FFFFFF" w:themeColor="background1"/>
                                <w:sz w:val="18"/>
                                <w:szCs w:val="18"/>
                                <w:u w:val="single"/>
                              </w:rPr>
                              <w:t>titleholder</w:t>
                            </w:r>
                            <w:r w:rsidRPr="005609F1">
                              <w:rPr>
                                <w:rFonts w:ascii="Calibri" w:hAnsi="Calibri"/>
                                <w:color w:val="FFFFFF" w:themeColor="background1"/>
                                <w:sz w:val="18"/>
                                <w:szCs w:val="18"/>
                              </w:rPr>
                              <w:t xml:space="preserve"> submits environment plan (EP) and well operations management plan (WOMP) to NOPSE</w:t>
                            </w:r>
                            <w:bookmarkStart w:id="321" w:name="_GoBack"/>
                            <w:bookmarkEnd w:id="321"/>
                            <w:r w:rsidRPr="005609F1">
                              <w:rPr>
                                <w:rFonts w:ascii="Calibri" w:hAnsi="Calibri"/>
                                <w:color w:val="FFFFFF" w:themeColor="background1"/>
                                <w:sz w:val="18"/>
                                <w:szCs w:val="18"/>
                              </w:rPr>
                              <w:t>MA for relevant production activities (or submits a revision if appropriate)</w:t>
                            </w:r>
                            <w:r>
                              <w:rPr>
                                <w:rFonts w:ascii="Calibri" w:hAnsi="Calibri"/>
                                <w:color w:val="FFFFFF" w:themeColor="background1"/>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40FB17D" id="Text Box 333" o:spid="_x0000_s1039" alt="Title: Operator submits safety case (SC), and titleholder submits environment plan (EP) and well operations management plan (WOMP) to NOPSEMA for relevant production activities (or submits a revision if appropriate)." style="position:absolute;margin-left:268.5pt;margin-top:6.6pt;width:486.75pt;height:3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" fillcolor="#7f7f7f [1612]" strokecolor="#7f7f7f [1612]" strokeweight="1pt">
                <v:stroke joinstyle="miter"/>
                <v:textbox>
                  <w:txbxContent>
                    <w:p w14:paraId="03FEED39" w14:textId="1E10171A" w:rsidR="00934F2F" w:rsidRPr="005609F1" w:rsidRDefault="00934F2F" w:rsidP="00FE6704">
                      <w:pPr>
                        <w:jc w:val="center"/>
                        <w:rPr>
                          <w:rFonts w:ascii="Calibri" w:hAnsi="Calibri"/>
                          <w:color w:val="FFFFFF" w:themeColor="background1"/>
                          <w:sz w:val="18"/>
                          <w:szCs w:val="18"/>
                        </w:rPr>
                      </w:pPr>
                      <w:r w:rsidRPr="00111ECC">
                        <w:rPr>
                          <w:rFonts w:ascii="Calibri" w:hAnsi="Calibri"/>
                          <w:color w:val="FFFFFF" w:themeColor="background1"/>
                          <w:sz w:val="18"/>
                          <w:szCs w:val="18"/>
                          <w:u w:val="single"/>
                        </w:rPr>
                        <w:t>Operator</w:t>
                      </w:r>
                      <w:r w:rsidRPr="005609F1">
                        <w:rPr>
                          <w:rFonts w:ascii="Calibri" w:hAnsi="Calibri"/>
                          <w:color w:val="FFFFFF" w:themeColor="background1"/>
                          <w:sz w:val="18"/>
                          <w:szCs w:val="18"/>
                        </w:rPr>
                        <w:t xml:space="preserve"> submits safety case (SC), and </w:t>
                      </w:r>
                      <w:r w:rsidRPr="00E155A1">
                        <w:rPr>
                          <w:rFonts w:ascii="Calibri" w:hAnsi="Calibri"/>
                          <w:color w:val="FFFFFF" w:themeColor="background1"/>
                          <w:sz w:val="18"/>
                          <w:szCs w:val="18"/>
                          <w:u w:val="single"/>
                        </w:rPr>
                        <w:t>titleholder</w:t>
                      </w:r>
                      <w:r w:rsidRPr="005609F1">
                        <w:rPr>
                          <w:rFonts w:ascii="Calibri" w:hAnsi="Calibri"/>
                          <w:color w:val="FFFFFF" w:themeColor="background1"/>
                          <w:sz w:val="18"/>
                          <w:szCs w:val="18"/>
                        </w:rPr>
                        <w:t xml:space="preserve"> submits environment plan (EP) and well operations management plan (WOMP) to NOPSE</w:t>
                      </w:r>
                      <w:bookmarkStart w:id="322" w:name="_GoBack"/>
                      <w:bookmarkEnd w:id="322"/>
                      <w:r w:rsidRPr="005609F1">
                        <w:rPr>
                          <w:rFonts w:ascii="Calibri" w:hAnsi="Calibri"/>
                          <w:color w:val="FFFFFF" w:themeColor="background1"/>
                          <w:sz w:val="18"/>
                          <w:szCs w:val="18"/>
                        </w:rPr>
                        <w:t>MA for relevant production activities (or submits a revision if appropriate)</w:t>
                      </w:r>
                      <w:r>
                        <w:rPr>
                          <w:rFonts w:ascii="Calibri" w:hAnsi="Calibri"/>
                          <w:color w:val="FFFFFF" w:themeColor="background1"/>
                          <w:sz w:val="18"/>
                          <w:szCs w:val="18"/>
                        </w:rPr>
                        <w:t>.</w:t>
                      </w:r>
                    </w:p>
                  </w:txbxContent>
                </v:textbox>
              </v:roundrect>
            </w:pict>
          </mc:Fallback>
        </mc:AlternateContent>
      </w:r>
    </w:p>
    <w:p w14:paraId="76D4CD10" w14:textId="079299DD" w:rsidR="00C02767" w:rsidRDefault="00C02767" w:rsidP="00C02767"/>
    <w:p w14:paraId="6B40B5F1" w14:textId="5396A606" w:rsidR="00C02767" w:rsidRDefault="00C02767" w:rsidP="00C02767"/>
    <w:p w14:paraId="47D517B0" w14:textId="16E293AC" w:rsidR="00C02767" w:rsidRDefault="005609F1" w:rsidP="00C02767">
      <w:r>
        <w:rPr>
          <w:rFonts w:ascii="Cambria" w:hAnsi="Cambria"/>
          <w:b/>
          <w:noProof/>
          <w:sz w:val="22"/>
          <w:szCs w:val="22"/>
        </w:rPr>
        <mc:AlternateContent>
          <mc:Choice Requires="wps">
            <w:drawing>
              <wp:anchor distT="0" distB="0" distL="114300" distR="114300" simplePos="0" relativeHeight="251658270" behindDoc="0" locked="0" layoutInCell="1" allowOverlap="1" wp14:anchorId="373B474D" wp14:editId="76037854">
                <wp:simplePos x="0" y="0"/>
                <wp:positionH relativeFrom="column">
                  <wp:posOffset>2114550</wp:posOffset>
                </wp:positionH>
                <wp:positionV relativeFrom="paragraph">
                  <wp:posOffset>28575</wp:posOffset>
                </wp:positionV>
                <wp:extent cx="266700" cy="95250"/>
                <wp:effectExtent l="38100" t="0" r="19050" b="38100"/>
                <wp:wrapNone/>
                <wp:docPr id="15" name="Down Arrow 15"/>
                <wp:cNvGraphicFramePr/>
                <a:graphic xmlns:a="http://schemas.openxmlformats.org/drawingml/2006/main">
                  <a:graphicData uri="http://schemas.microsoft.com/office/word/2010/wordprocessingShape">
                    <wps:wsp>
                      <wps:cNvSpPr/>
                      <wps:spPr>
                        <a:xfrm>
                          <a:off x="0" y="0"/>
                          <a:ext cx="266700" cy="952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29649B" id="Down Arrow 15" o:spid="_x0000_s1026" type="#_x0000_t67" style="position:absolute;margin-left:166.5pt;margin-top:2.25pt;width:21pt;height: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" adj="10800" fillcolor="#5b9bd5 [3204]" strokecolor="#1f4d78 [1604]" strokeweight="1pt"/>
            </w:pict>
          </mc:Fallback>
        </mc:AlternateContent>
      </w:r>
      <w:r>
        <w:rPr>
          <w:rFonts w:ascii="Cambria" w:hAnsi="Cambria"/>
          <w:b/>
          <w:noProof/>
          <w:sz w:val="22"/>
          <w:szCs w:val="22"/>
        </w:rPr>
        <mc:AlternateContent>
          <mc:Choice Requires="wps">
            <w:drawing>
              <wp:anchor distT="0" distB="0" distL="114300" distR="114300" simplePos="0" relativeHeight="251658269" behindDoc="0" locked="0" layoutInCell="1" allowOverlap="1" wp14:anchorId="3738451C" wp14:editId="18254C25">
                <wp:simplePos x="0" y="0"/>
                <wp:positionH relativeFrom="column">
                  <wp:posOffset>6219825</wp:posOffset>
                </wp:positionH>
                <wp:positionV relativeFrom="paragraph">
                  <wp:posOffset>24765</wp:posOffset>
                </wp:positionV>
                <wp:extent cx="266700" cy="95250"/>
                <wp:effectExtent l="38100" t="0" r="19050" b="38100"/>
                <wp:wrapNone/>
                <wp:docPr id="14" name="Down Arrow 14"/>
                <wp:cNvGraphicFramePr/>
                <a:graphic xmlns:a="http://schemas.openxmlformats.org/drawingml/2006/main">
                  <a:graphicData uri="http://schemas.microsoft.com/office/word/2010/wordprocessingShape">
                    <wps:wsp>
                      <wps:cNvSpPr/>
                      <wps:spPr>
                        <a:xfrm>
                          <a:off x="0" y="0"/>
                          <a:ext cx="266700" cy="952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02155E" id="Down Arrow 14" o:spid="_x0000_s1026" type="#_x0000_t67" style="position:absolute;margin-left:489.75pt;margin-top:1.95pt;width:21pt;height:7.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" adj="10800" fillcolor="#5b9bd5 [3204]" strokecolor="#1f4d78 [1604]" strokeweight="1pt"/>
            </w:pict>
          </mc:Fallback>
        </mc:AlternateContent>
      </w:r>
      <w:r w:rsidR="00C02767" w:rsidRPr="00325FA8">
        <w:rPr>
          <w:b/>
          <w:noProof/>
        </w:rPr>
        <mc:AlternateContent>
          <mc:Choice Requires="wps">
            <w:drawing>
              <wp:anchor distT="0" distB="0" distL="114300" distR="114300" simplePos="0" relativeHeight="251658267" behindDoc="0" locked="0" layoutInCell="1" allowOverlap="1" wp14:anchorId="27BC978A" wp14:editId="2FD86FAC">
                <wp:simplePos x="0" y="0"/>
                <wp:positionH relativeFrom="column">
                  <wp:posOffset>1314450</wp:posOffset>
                </wp:positionH>
                <wp:positionV relativeFrom="paragraph">
                  <wp:posOffset>167640</wp:posOffset>
                </wp:positionV>
                <wp:extent cx="5734050" cy="428625"/>
                <wp:effectExtent l="0" t="0" r="19050" b="28575"/>
                <wp:wrapNone/>
                <wp:docPr id="9" name="Text Box 2" title="Production commences. Throughout the course of the development project, titleholders must consider their ongoing obligation to remove disused property from the title area, and to maintain property in good condition and repai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28625"/>
                        </a:xfrm>
                        <a:prstGeom prst="roundRect">
                          <a:avLst/>
                        </a:prstGeom>
                        <a:solidFill>
                          <a:schemeClr val="bg1">
                            <a:lumMod val="50000"/>
                          </a:schemeClr>
                        </a:solidFill>
                        <a:ln>
                          <a:solidFill>
                            <a:schemeClr val="bg1">
                              <a:lumMod val="50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330FEDFD" w14:textId="214B84C7" w:rsidR="00934F2F" w:rsidRPr="005609F1" w:rsidRDefault="00934F2F" w:rsidP="005609F1">
                            <w:pPr>
                              <w:jc w:val="center"/>
                              <w:rPr>
                                <w:rFonts w:ascii="Calibri" w:hAnsi="Calibri"/>
                                <w:color w:val="FFFFFF" w:themeColor="background1"/>
                                <w:sz w:val="18"/>
                                <w:szCs w:val="18"/>
                              </w:rPr>
                            </w:pPr>
                            <w:r w:rsidRPr="005609F1">
                              <w:rPr>
                                <w:rFonts w:ascii="Calibri" w:hAnsi="Calibri"/>
                                <w:color w:val="FFFFFF" w:themeColor="background1"/>
                                <w:sz w:val="18"/>
                                <w:szCs w:val="18"/>
                              </w:rPr>
                              <w:t>Production commences</w:t>
                            </w:r>
                            <w:r>
                              <w:rPr>
                                <w:rFonts w:ascii="Calibri" w:hAnsi="Calibri"/>
                                <w:color w:val="FFFFFF" w:themeColor="background1"/>
                                <w:sz w:val="18"/>
                                <w:szCs w:val="18"/>
                              </w:rPr>
                              <w:t xml:space="preserve">. </w:t>
                            </w:r>
                            <w:r w:rsidRPr="005609F1">
                              <w:rPr>
                                <w:rFonts w:ascii="Calibri" w:hAnsi="Calibri"/>
                                <w:color w:val="FFFFFF" w:themeColor="background1"/>
                                <w:sz w:val="18"/>
                                <w:szCs w:val="18"/>
                              </w:rPr>
                              <w:t xml:space="preserve">Throughout the course of the development project, </w:t>
                            </w:r>
                            <w:r w:rsidRPr="001F7DA7">
                              <w:rPr>
                                <w:rFonts w:ascii="Calibri" w:hAnsi="Calibri"/>
                                <w:color w:val="FFFFFF" w:themeColor="background1"/>
                                <w:sz w:val="18"/>
                                <w:szCs w:val="18"/>
                                <w:u w:val="single"/>
                              </w:rPr>
                              <w:t>titleholders</w:t>
                            </w:r>
                            <w:r w:rsidRPr="005609F1">
                              <w:rPr>
                                <w:rFonts w:ascii="Calibri" w:hAnsi="Calibri"/>
                                <w:color w:val="FFFFFF" w:themeColor="background1"/>
                                <w:sz w:val="18"/>
                                <w:szCs w:val="18"/>
                              </w:rPr>
                              <w:t xml:space="preserve"> must consider their ongoing obligation to remove disused property from the title area, and to maintain property in good condition and repair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7BC978A" id="_x0000_s1040" alt="Title: Production commences. Throughout the course of the development project, titleholders must consider their ongoing obligation to remove disused property from the title area, and to maintain property in good condition and repair" style="position:absolute;margin-left:103.5pt;margin-top:13.2pt;width:451.5pt;height:33.7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" fillcolor="#7f7f7f [1612]" strokecolor="#7f7f7f [1612]" strokeweight="1pt">
                <v:stroke joinstyle="miter"/>
                <v:textbox>
                  <w:txbxContent>
                    <w:p w14:paraId="330FEDFD" w14:textId="214B84C7" w:rsidR="00934F2F" w:rsidRPr="005609F1" w:rsidRDefault="00934F2F" w:rsidP="005609F1">
                      <w:pPr>
                        <w:jc w:val="center"/>
                        <w:rPr>
                          <w:rFonts w:ascii="Calibri" w:hAnsi="Calibri"/>
                          <w:color w:val="FFFFFF" w:themeColor="background1"/>
                          <w:sz w:val="18"/>
                          <w:szCs w:val="18"/>
                        </w:rPr>
                      </w:pPr>
                      <w:r w:rsidRPr="005609F1">
                        <w:rPr>
                          <w:rFonts w:ascii="Calibri" w:hAnsi="Calibri"/>
                          <w:color w:val="FFFFFF" w:themeColor="background1"/>
                          <w:sz w:val="18"/>
                          <w:szCs w:val="18"/>
                        </w:rPr>
                        <w:t>Production commences</w:t>
                      </w:r>
                      <w:r>
                        <w:rPr>
                          <w:rFonts w:ascii="Calibri" w:hAnsi="Calibri"/>
                          <w:color w:val="FFFFFF" w:themeColor="background1"/>
                          <w:sz w:val="18"/>
                          <w:szCs w:val="18"/>
                        </w:rPr>
                        <w:t xml:space="preserve">. </w:t>
                      </w:r>
                      <w:r w:rsidRPr="005609F1">
                        <w:rPr>
                          <w:rFonts w:ascii="Calibri" w:hAnsi="Calibri"/>
                          <w:color w:val="FFFFFF" w:themeColor="background1"/>
                          <w:sz w:val="18"/>
                          <w:szCs w:val="18"/>
                        </w:rPr>
                        <w:t xml:space="preserve">Throughout the course of the development project, </w:t>
                      </w:r>
                      <w:r w:rsidRPr="001F7DA7">
                        <w:rPr>
                          <w:rFonts w:ascii="Calibri" w:hAnsi="Calibri"/>
                          <w:color w:val="FFFFFF" w:themeColor="background1"/>
                          <w:sz w:val="18"/>
                          <w:szCs w:val="18"/>
                          <w:u w:val="single"/>
                        </w:rPr>
                        <w:t>titleholders</w:t>
                      </w:r>
                      <w:r w:rsidRPr="005609F1">
                        <w:rPr>
                          <w:rFonts w:ascii="Calibri" w:hAnsi="Calibri"/>
                          <w:color w:val="FFFFFF" w:themeColor="background1"/>
                          <w:sz w:val="18"/>
                          <w:szCs w:val="18"/>
                        </w:rPr>
                        <w:t xml:space="preserve"> must consider their ongoing obligation to remove disused property from the title area, and to maintain property in good condition and repair</w:t>
                      </w:r>
                    </w:p>
                  </w:txbxContent>
                </v:textbox>
              </v:roundrect>
            </w:pict>
          </mc:Fallback>
        </mc:AlternateContent>
      </w:r>
    </w:p>
    <w:p w14:paraId="62F479AC" w14:textId="716F2EF9" w:rsidR="00C02767" w:rsidRPr="00C02767" w:rsidRDefault="00C02767" w:rsidP="00C02767"/>
    <w:p w14:paraId="06C48699" w14:textId="0160D16F" w:rsidR="00C02767" w:rsidRDefault="00C02767" w:rsidP="00C02767"/>
    <w:p w14:paraId="3BDEB05D" w14:textId="7A4F47D1" w:rsidR="00C02767" w:rsidRDefault="005609F1" w:rsidP="00C02767">
      <w:r>
        <w:rPr>
          <w:rFonts w:ascii="Cambria" w:hAnsi="Cambria"/>
          <w:b/>
          <w:noProof/>
          <w:sz w:val="22"/>
          <w:szCs w:val="22"/>
        </w:rPr>
        <mc:AlternateContent>
          <mc:Choice Requires="wps">
            <w:drawing>
              <wp:anchor distT="0" distB="0" distL="114300" distR="114300" simplePos="0" relativeHeight="251658271" behindDoc="0" locked="0" layoutInCell="1" allowOverlap="1" wp14:anchorId="00BE3286" wp14:editId="65EBA19E">
                <wp:simplePos x="0" y="0"/>
                <wp:positionH relativeFrom="column">
                  <wp:posOffset>4076700</wp:posOffset>
                </wp:positionH>
                <wp:positionV relativeFrom="paragraph">
                  <wp:posOffset>74295</wp:posOffset>
                </wp:positionV>
                <wp:extent cx="266700" cy="95250"/>
                <wp:effectExtent l="38100" t="0" r="19050" b="38100"/>
                <wp:wrapNone/>
                <wp:docPr id="16" name="Down Arrow 16"/>
                <wp:cNvGraphicFramePr/>
                <a:graphic xmlns:a="http://schemas.openxmlformats.org/drawingml/2006/main">
                  <a:graphicData uri="http://schemas.microsoft.com/office/word/2010/wordprocessingShape">
                    <wps:wsp>
                      <wps:cNvSpPr/>
                      <wps:spPr>
                        <a:xfrm>
                          <a:off x="0" y="0"/>
                          <a:ext cx="266700" cy="952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09112" id="Down Arrow 16" o:spid="_x0000_s1026" type="#_x0000_t67" style="position:absolute;margin-left:321pt;margin-top:5.85pt;width:21pt;height:7.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" adj="10800" fillcolor="#5b9bd5 [3204]" strokecolor="#1f4d78 [1604]" strokeweight="1pt"/>
            </w:pict>
          </mc:Fallback>
        </mc:AlternateContent>
      </w:r>
      <w:r w:rsidR="00C02767" w:rsidRPr="00325FA8">
        <w:rPr>
          <w:b/>
          <w:noProof/>
        </w:rPr>
        <mc:AlternateContent>
          <mc:Choice Requires="wps">
            <w:drawing>
              <wp:anchor distT="0" distB="0" distL="114300" distR="114300" simplePos="0" relativeHeight="251658246" behindDoc="0" locked="0" layoutInCell="1" allowOverlap="1" wp14:anchorId="35773BA3" wp14:editId="5C45910B">
                <wp:simplePos x="0" y="0"/>
                <wp:positionH relativeFrom="column">
                  <wp:posOffset>2190750</wp:posOffset>
                </wp:positionH>
                <wp:positionV relativeFrom="paragraph">
                  <wp:posOffset>175260</wp:posOffset>
                </wp:positionV>
                <wp:extent cx="4162425" cy="304800"/>
                <wp:effectExtent l="0" t="0" r="28575" b="19050"/>
                <wp:wrapNone/>
                <wp:docPr id="297" name="Text Box 2" title="Titleholder decides to cease production and decommission title are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304800"/>
                        </a:xfrm>
                        <a:prstGeom prst="roundRect">
                          <a:avLst/>
                        </a:prstGeom>
                        <a:solidFill>
                          <a:schemeClr val="bg1">
                            <a:lumMod val="50000"/>
                          </a:schemeClr>
                        </a:solidFill>
                        <a:ln>
                          <a:solidFill>
                            <a:schemeClr val="bg1">
                              <a:lumMod val="50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6FE8129D" w14:textId="0550F48B" w:rsidR="00934F2F" w:rsidRDefault="00934F2F" w:rsidP="0090330E">
                            <w:pPr>
                              <w:jc w:val="center"/>
                              <w:rPr>
                                <w:rFonts w:ascii="Calibri" w:hAnsi="Calibri"/>
                                <w:color w:val="FFFFFF" w:themeColor="background1"/>
                                <w:sz w:val="2"/>
                                <w:szCs w:val="2"/>
                                <w14:textOutline w14:w="9525" w14:cap="rnd" w14:cmpd="sng" w14:algn="ctr">
                                  <w14:solidFill>
                                    <w14:schemeClr w14:val="bg1"/>
                                  </w14:solidFill>
                                  <w14:prstDash w14:val="solid"/>
                                  <w14:bevel/>
                                </w14:textOutline>
                              </w:rPr>
                            </w:pPr>
                          </w:p>
                          <w:p w14:paraId="0DC21D4A" w14:textId="31B11BB5" w:rsidR="00934F2F" w:rsidRPr="005609F1" w:rsidRDefault="00934F2F" w:rsidP="005609F1">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decides to cease production and decommission title area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5773BA3" id="_x0000_s1041" alt="Title: Titleholder decides to cease production and decommission title area" style="position:absolute;margin-left:172.5pt;margin-top:13.8pt;width:327.75pt;height:24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" fillcolor="#7f7f7f [1612]" strokecolor="#7f7f7f [1612]" strokeweight="1pt">
                <v:stroke joinstyle="miter"/>
                <v:textbox>
                  <w:txbxContent>
                    <w:p w14:paraId="6FE8129D" w14:textId="0550F48B" w:rsidR="00934F2F" w:rsidRDefault="00934F2F" w:rsidP="0090330E">
                      <w:pPr>
                        <w:jc w:val="center"/>
                        <w:rPr>
                          <w:rFonts w:ascii="Calibri" w:hAnsi="Calibri"/>
                          <w:color w:val="FFFFFF" w:themeColor="background1"/>
                          <w:sz w:val="2"/>
                          <w:szCs w:val="2"/>
                          <w14:textOutline w14:w="9525" w14:cap="rnd" w14:cmpd="sng" w14:algn="ctr">
                            <w14:solidFill>
                              <w14:schemeClr w14:val="bg1"/>
                            </w14:solidFill>
                            <w14:prstDash w14:val="solid"/>
                            <w14:bevel/>
                          </w14:textOutline>
                        </w:rPr>
                      </w:pPr>
                    </w:p>
                    <w:p w14:paraId="0DC21D4A" w14:textId="31B11BB5" w:rsidR="00934F2F" w:rsidRPr="005609F1" w:rsidRDefault="00934F2F" w:rsidP="005609F1">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decides to cease production and decommission title area</w:t>
                      </w:r>
                    </w:p>
                  </w:txbxContent>
                </v:textbox>
              </v:roundrect>
            </w:pict>
          </mc:Fallback>
        </mc:AlternateContent>
      </w:r>
    </w:p>
    <w:p w14:paraId="0EAD669C" w14:textId="10E61449" w:rsidR="0090330E" w:rsidRPr="00A825ED" w:rsidRDefault="0090330E" w:rsidP="0090330E"/>
    <w:p w14:paraId="2D4619C2" w14:textId="16C215B9" w:rsidR="0090330E" w:rsidRDefault="00B96487" w:rsidP="0090330E">
      <w:r>
        <w:rPr>
          <w:rFonts w:ascii="Cambria" w:hAnsi="Cambria"/>
          <w:b/>
          <w:noProof/>
          <w:sz w:val="22"/>
          <w:szCs w:val="22"/>
        </w:rPr>
        <mc:AlternateContent>
          <mc:Choice Requires="wps">
            <w:drawing>
              <wp:anchor distT="0" distB="0" distL="114300" distR="114300" simplePos="0" relativeHeight="251658273" behindDoc="0" locked="0" layoutInCell="1" allowOverlap="1" wp14:anchorId="3463E2DC" wp14:editId="2A297B1D">
                <wp:simplePos x="0" y="0"/>
                <wp:positionH relativeFrom="column">
                  <wp:posOffset>4048125</wp:posOffset>
                </wp:positionH>
                <wp:positionV relativeFrom="paragraph">
                  <wp:posOffset>129540</wp:posOffset>
                </wp:positionV>
                <wp:extent cx="295275" cy="123825"/>
                <wp:effectExtent l="38100" t="0" r="9525" b="47625"/>
                <wp:wrapNone/>
                <wp:docPr id="18" name="Down Arrow 18"/>
                <wp:cNvGraphicFramePr/>
                <a:graphic xmlns:a="http://schemas.openxmlformats.org/drawingml/2006/main">
                  <a:graphicData uri="http://schemas.microsoft.com/office/word/2010/wordprocessingShape">
                    <wps:wsp>
                      <wps:cNvSpPr/>
                      <wps:spPr>
                        <a:xfrm>
                          <a:off x="0" y="0"/>
                          <a:ext cx="295275"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B9C92EF" id="Down Arrow 18" o:spid="_x0000_s1026" type="#_x0000_t67" style="position:absolute;margin-left:318.75pt;margin-top:10.2pt;width:23.25pt;height:9.75pt;z-index:2516582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" adj="10800" fillcolor="#5b9bd5 [3204]" strokecolor="#1f4d78 [1604]" strokeweight="1pt"/>
            </w:pict>
          </mc:Fallback>
        </mc:AlternateContent>
      </w:r>
    </w:p>
    <w:p w14:paraId="22A716F5" w14:textId="4AB82DCE" w:rsidR="0090330E" w:rsidRDefault="0090330E" w:rsidP="0090330E"/>
    <w:p w14:paraId="7F287FB4" w14:textId="3084C54A" w:rsidR="0090330E" w:rsidRDefault="001F7DA7" w:rsidP="0090330E">
      <w:r w:rsidRPr="00325FA8">
        <w:rPr>
          <w:b/>
          <w:noProof/>
        </w:rPr>
        <mc:AlternateContent>
          <mc:Choice Requires="wps">
            <w:drawing>
              <wp:anchor distT="0" distB="0" distL="114300" distR="114300" simplePos="0" relativeHeight="251656192" behindDoc="0" locked="0" layoutInCell="1" allowOverlap="1" wp14:anchorId="4962ED64" wp14:editId="2D804742">
                <wp:simplePos x="0" y="0"/>
                <wp:positionH relativeFrom="column">
                  <wp:posOffset>1600200</wp:posOffset>
                </wp:positionH>
                <wp:positionV relativeFrom="paragraph">
                  <wp:posOffset>140970</wp:posOffset>
                </wp:positionV>
                <wp:extent cx="2143125" cy="895350"/>
                <wp:effectExtent l="0" t="0" r="28575" b="19050"/>
                <wp:wrapNone/>
                <wp:docPr id="334" name="Text Box 2" title="OPGGS (Environment) Regulation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895350"/>
                        </a:xfrm>
                        <a:prstGeom prst="roundRect">
                          <a:avLst/>
                        </a:prstGeom>
                        <a:solidFill>
                          <a:schemeClr val="accent1">
                            <a:lumMod val="75000"/>
                          </a:schemeClr>
                        </a:solidFill>
                        <a:ln>
                          <a:solidFill>
                            <a:schemeClr val="accent1">
                              <a:lumMod val="75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02F0CDFB" w14:textId="249BCEAD" w:rsidR="00934F2F" w:rsidRPr="005609F1" w:rsidRDefault="00934F2F" w:rsidP="005609F1">
                            <w:pPr>
                              <w:jc w:val="center"/>
                              <w:rPr>
                                <w:rFonts w:ascii="Calibri" w:hAnsi="Calibri"/>
                                <w:b/>
                                <w:color w:val="FFFFFF" w:themeColor="background1"/>
                                <w:sz w:val="18"/>
                                <w:szCs w:val="18"/>
                                <w:u w:val="single"/>
                              </w:rPr>
                            </w:pPr>
                            <w:r w:rsidRPr="005609F1">
                              <w:rPr>
                                <w:rFonts w:ascii="Calibri" w:hAnsi="Calibri"/>
                                <w:b/>
                                <w:color w:val="FFFFFF" w:themeColor="background1"/>
                                <w:sz w:val="18"/>
                                <w:szCs w:val="18"/>
                                <w:u w:val="single"/>
                              </w:rPr>
                              <w:t xml:space="preserve">OPGGS </w:t>
                            </w:r>
                            <w:r>
                              <w:rPr>
                                <w:rFonts w:ascii="Calibri" w:hAnsi="Calibri"/>
                                <w:b/>
                                <w:color w:val="FFFFFF" w:themeColor="background1"/>
                                <w:sz w:val="18"/>
                                <w:szCs w:val="18"/>
                                <w:u w:val="single"/>
                              </w:rPr>
                              <w:t>(</w:t>
                            </w:r>
                            <w:r w:rsidRPr="005609F1">
                              <w:rPr>
                                <w:rFonts w:ascii="Calibri" w:hAnsi="Calibri"/>
                                <w:b/>
                                <w:color w:val="FFFFFF" w:themeColor="background1"/>
                                <w:sz w:val="18"/>
                                <w:szCs w:val="18"/>
                                <w:u w:val="single"/>
                              </w:rPr>
                              <w:t>Environment</w:t>
                            </w:r>
                            <w:r>
                              <w:rPr>
                                <w:rFonts w:ascii="Calibri" w:hAnsi="Calibri"/>
                                <w:b/>
                                <w:color w:val="FFFFFF" w:themeColor="background1"/>
                                <w:sz w:val="18"/>
                                <w:szCs w:val="18"/>
                                <w:u w:val="single"/>
                              </w:rPr>
                              <w:t>)</w:t>
                            </w:r>
                            <w:r w:rsidRPr="005609F1">
                              <w:rPr>
                                <w:rFonts w:ascii="Calibri" w:hAnsi="Calibri"/>
                                <w:b/>
                                <w:color w:val="FFFFFF" w:themeColor="background1"/>
                                <w:sz w:val="18"/>
                                <w:szCs w:val="18"/>
                                <w:u w:val="single"/>
                              </w:rPr>
                              <w:t xml:space="preserve"> Regulations</w:t>
                            </w:r>
                          </w:p>
                          <w:p w14:paraId="3B8DF1F1" w14:textId="0404FDB8" w:rsidR="00934F2F" w:rsidRPr="00E303D8" w:rsidRDefault="00934F2F" w:rsidP="00111ECC">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submits decommissioning</w:t>
                            </w:r>
                            <w:r>
                              <w:rPr>
                                <w:rFonts w:ascii="Calibri" w:hAnsi="Calibri"/>
                                <w:color w:val="FFFFFF" w:themeColor="background1"/>
                                <w:sz w:val="18"/>
                                <w:szCs w:val="18"/>
                              </w:rPr>
                              <w:noBreakHyphen/>
                            </w:r>
                            <w:r w:rsidRPr="00E303D8">
                              <w:rPr>
                                <w:rFonts w:ascii="Calibri" w:hAnsi="Calibri"/>
                                <w:color w:val="FFFFFF" w:themeColor="background1"/>
                                <w:sz w:val="18"/>
                                <w:szCs w:val="18"/>
                              </w:rPr>
                              <w:t xml:space="preserve">specific EP(s) to </w:t>
                            </w:r>
                            <w:proofErr w:type="gramStart"/>
                            <w:r w:rsidRPr="00E303D8">
                              <w:rPr>
                                <w:rFonts w:ascii="Calibri" w:hAnsi="Calibri"/>
                                <w:color w:val="FFFFFF" w:themeColor="background1"/>
                                <w:sz w:val="18"/>
                                <w:szCs w:val="18"/>
                              </w:rPr>
                              <w:t>NOPSEMA, or</w:t>
                            </w:r>
                            <w:proofErr w:type="gramEnd"/>
                            <w:r w:rsidRPr="00E303D8">
                              <w:rPr>
                                <w:rFonts w:ascii="Calibri" w:hAnsi="Calibri"/>
                                <w:color w:val="FFFFFF" w:themeColor="background1"/>
                                <w:sz w:val="18"/>
                                <w:szCs w:val="18"/>
                              </w:rPr>
                              <w:t xml:space="preserve"> revises existing EP</w:t>
                            </w:r>
                            <w:r>
                              <w:rPr>
                                <w:rFonts w:ascii="Calibri" w:hAnsi="Calibri"/>
                                <w:color w:val="FFFFFF" w:themeColor="background1"/>
                                <w:sz w:val="18"/>
                                <w:szCs w:val="18"/>
                              </w:rPr>
                              <w:t>(s)</w:t>
                            </w:r>
                            <w:r w:rsidRPr="00E303D8">
                              <w:rPr>
                                <w:rFonts w:ascii="Calibri" w:hAnsi="Calibri"/>
                                <w:color w:val="FFFFFF" w:themeColor="background1"/>
                                <w:sz w:val="18"/>
                                <w:szCs w:val="18"/>
                              </w:rPr>
                              <w:t xml:space="preserve"> to cover decommissioning</w:t>
                            </w:r>
                            <w:r>
                              <w:rPr>
                                <w:rFonts w:ascii="Calibri" w:hAnsi="Calibri"/>
                                <w:color w:val="FFFFFF" w:themeColor="background1"/>
                                <w:sz w:val="18"/>
                                <w:szCs w:val="18"/>
                              </w:rPr>
                              <w:t>.</w:t>
                            </w:r>
                          </w:p>
                          <w:p w14:paraId="21708B68" w14:textId="77777777" w:rsidR="00934F2F" w:rsidRPr="005609F1" w:rsidRDefault="00934F2F" w:rsidP="005609F1">
                            <w:pPr>
                              <w:jc w:val="center"/>
                              <w:rPr>
                                <w:rFonts w:ascii="Calibri" w:hAnsi="Calibri"/>
                                <w:b/>
                                <w:color w:val="FFFFFF" w:themeColor="background1"/>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962ED64" id="_x0000_s1042" alt="Title: OPGGS (Environment) Regulations" style="position:absolute;margin-left:126pt;margin-top:11.1pt;width:168.7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" fillcolor="#2e74b5 [2404]" strokecolor="#2e74b5 [2404]" strokeweight="1pt">
                <v:stroke joinstyle="miter"/>
                <v:textbox>
                  <w:txbxContent>
                    <w:p w14:paraId="02F0CDFB" w14:textId="249BCEAD" w:rsidR="00934F2F" w:rsidRPr="005609F1" w:rsidRDefault="00934F2F" w:rsidP="005609F1">
                      <w:pPr>
                        <w:jc w:val="center"/>
                        <w:rPr>
                          <w:rFonts w:ascii="Calibri" w:hAnsi="Calibri"/>
                          <w:b/>
                          <w:color w:val="FFFFFF" w:themeColor="background1"/>
                          <w:sz w:val="18"/>
                          <w:szCs w:val="18"/>
                          <w:u w:val="single"/>
                        </w:rPr>
                      </w:pPr>
                      <w:r w:rsidRPr="005609F1">
                        <w:rPr>
                          <w:rFonts w:ascii="Calibri" w:hAnsi="Calibri"/>
                          <w:b/>
                          <w:color w:val="FFFFFF" w:themeColor="background1"/>
                          <w:sz w:val="18"/>
                          <w:szCs w:val="18"/>
                          <w:u w:val="single"/>
                        </w:rPr>
                        <w:t xml:space="preserve">OPGGS </w:t>
                      </w:r>
                      <w:r>
                        <w:rPr>
                          <w:rFonts w:ascii="Calibri" w:hAnsi="Calibri"/>
                          <w:b/>
                          <w:color w:val="FFFFFF" w:themeColor="background1"/>
                          <w:sz w:val="18"/>
                          <w:szCs w:val="18"/>
                          <w:u w:val="single"/>
                        </w:rPr>
                        <w:t>(</w:t>
                      </w:r>
                      <w:r w:rsidRPr="005609F1">
                        <w:rPr>
                          <w:rFonts w:ascii="Calibri" w:hAnsi="Calibri"/>
                          <w:b/>
                          <w:color w:val="FFFFFF" w:themeColor="background1"/>
                          <w:sz w:val="18"/>
                          <w:szCs w:val="18"/>
                          <w:u w:val="single"/>
                        </w:rPr>
                        <w:t>Environment</w:t>
                      </w:r>
                      <w:r>
                        <w:rPr>
                          <w:rFonts w:ascii="Calibri" w:hAnsi="Calibri"/>
                          <w:b/>
                          <w:color w:val="FFFFFF" w:themeColor="background1"/>
                          <w:sz w:val="18"/>
                          <w:szCs w:val="18"/>
                          <w:u w:val="single"/>
                        </w:rPr>
                        <w:t>)</w:t>
                      </w:r>
                      <w:r w:rsidRPr="005609F1">
                        <w:rPr>
                          <w:rFonts w:ascii="Calibri" w:hAnsi="Calibri"/>
                          <w:b/>
                          <w:color w:val="FFFFFF" w:themeColor="background1"/>
                          <w:sz w:val="18"/>
                          <w:szCs w:val="18"/>
                          <w:u w:val="single"/>
                        </w:rPr>
                        <w:t xml:space="preserve"> Regulations</w:t>
                      </w:r>
                    </w:p>
                    <w:p w14:paraId="3B8DF1F1" w14:textId="0404FDB8" w:rsidR="00934F2F" w:rsidRPr="00E303D8" w:rsidRDefault="00934F2F" w:rsidP="00111ECC">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submits decommissioning</w:t>
                      </w:r>
                      <w:r>
                        <w:rPr>
                          <w:rFonts w:ascii="Calibri" w:hAnsi="Calibri"/>
                          <w:color w:val="FFFFFF" w:themeColor="background1"/>
                          <w:sz w:val="18"/>
                          <w:szCs w:val="18"/>
                        </w:rPr>
                        <w:noBreakHyphen/>
                      </w:r>
                      <w:r w:rsidRPr="00E303D8">
                        <w:rPr>
                          <w:rFonts w:ascii="Calibri" w:hAnsi="Calibri"/>
                          <w:color w:val="FFFFFF" w:themeColor="background1"/>
                          <w:sz w:val="18"/>
                          <w:szCs w:val="18"/>
                        </w:rPr>
                        <w:t xml:space="preserve">specific EP(s) to </w:t>
                      </w:r>
                      <w:proofErr w:type="gramStart"/>
                      <w:r w:rsidRPr="00E303D8">
                        <w:rPr>
                          <w:rFonts w:ascii="Calibri" w:hAnsi="Calibri"/>
                          <w:color w:val="FFFFFF" w:themeColor="background1"/>
                          <w:sz w:val="18"/>
                          <w:szCs w:val="18"/>
                        </w:rPr>
                        <w:t>NOPSEMA, or</w:t>
                      </w:r>
                      <w:proofErr w:type="gramEnd"/>
                      <w:r w:rsidRPr="00E303D8">
                        <w:rPr>
                          <w:rFonts w:ascii="Calibri" w:hAnsi="Calibri"/>
                          <w:color w:val="FFFFFF" w:themeColor="background1"/>
                          <w:sz w:val="18"/>
                          <w:szCs w:val="18"/>
                        </w:rPr>
                        <w:t xml:space="preserve"> revises existing EP</w:t>
                      </w:r>
                      <w:r>
                        <w:rPr>
                          <w:rFonts w:ascii="Calibri" w:hAnsi="Calibri"/>
                          <w:color w:val="FFFFFF" w:themeColor="background1"/>
                          <w:sz w:val="18"/>
                          <w:szCs w:val="18"/>
                        </w:rPr>
                        <w:t>(s)</w:t>
                      </w:r>
                      <w:r w:rsidRPr="00E303D8">
                        <w:rPr>
                          <w:rFonts w:ascii="Calibri" w:hAnsi="Calibri"/>
                          <w:color w:val="FFFFFF" w:themeColor="background1"/>
                          <w:sz w:val="18"/>
                          <w:szCs w:val="18"/>
                        </w:rPr>
                        <w:t xml:space="preserve"> to cover decommissioning</w:t>
                      </w:r>
                      <w:r>
                        <w:rPr>
                          <w:rFonts w:ascii="Calibri" w:hAnsi="Calibri"/>
                          <w:color w:val="FFFFFF" w:themeColor="background1"/>
                          <w:sz w:val="18"/>
                          <w:szCs w:val="18"/>
                        </w:rPr>
                        <w:t>.</w:t>
                      </w:r>
                    </w:p>
                    <w:p w14:paraId="21708B68" w14:textId="77777777" w:rsidR="00934F2F" w:rsidRPr="005609F1" w:rsidRDefault="00934F2F" w:rsidP="005609F1">
                      <w:pPr>
                        <w:jc w:val="center"/>
                        <w:rPr>
                          <w:rFonts w:ascii="Calibri" w:hAnsi="Calibri"/>
                          <w:b/>
                          <w:color w:val="FFFFFF" w:themeColor="background1"/>
                          <w:sz w:val="18"/>
                          <w:szCs w:val="18"/>
                        </w:rPr>
                      </w:pPr>
                    </w:p>
                  </w:txbxContent>
                </v:textbox>
              </v:roundrect>
            </w:pict>
          </mc:Fallback>
        </mc:AlternateContent>
      </w:r>
      <w:r w:rsidRPr="00325FA8">
        <w:rPr>
          <w:b/>
          <w:noProof/>
        </w:rPr>
        <mc:AlternateContent>
          <mc:Choice Requires="wps">
            <w:drawing>
              <wp:anchor distT="0" distB="0" distL="114300" distR="114300" simplePos="0" relativeHeight="251648000" behindDoc="0" locked="0" layoutInCell="1" allowOverlap="1" wp14:anchorId="58147D43" wp14:editId="0CC99E7F">
                <wp:simplePos x="0" y="0"/>
                <wp:positionH relativeFrom="column">
                  <wp:posOffset>7591425</wp:posOffset>
                </wp:positionH>
                <wp:positionV relativeFrom="paragraph">
                  <wp:posOffset>140970</wp:posOffset>
                </wp:positionV>
                <wp:extent cx="1695450" cy="1095375"/>
                <wp:effectExtent l="0" t="0" r="19050" b="28575"/>
                <wp:wrapNone/>
                <wp:docPr id="362" name="Text Box 2" descr="Operator submits new decommissioning-specific SC to NOPSEMA, or revises existing SC to cover decommissioning. " title="OPGGS (Safety) Regulation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1095375"/>
                        </a:xfrm>
                        <a:prstGeom prst="roundRect">
                          <a:avLst/>
                        </a:prstGeom>
                        <a:solidFill>
                          <a:schemeClr val="accent1">
                            <a:lumMod val="75000"/>
                          </a:schemeClr>
                        </a:solidFill>
                        <a:ln>
                          <a:solidFill>
                            <a:schemeClr val="accent1">
                              <a:lumMod val="75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7ABD6C56" w14:textId="5E137774" w:rsidR="00934F2F" w:rsidRPr="005609F1" w:rsidRDefault="00934F2F" w:rsidP="005609F1">
                            <w:pPr>
                              <w:jc w:val="center"/>
                              <w:rPr>
                                <w:rFonts w:ascii="Calibri" w:hAnsi="Calibri"/>
                                <w:b/>
                                <w:color w:val="FFFFFF" w:themeColor="background1"/>
                                <w:sz w:val="18"/>
                                <w:szCs w:val="18"/>
                                <w:u w:val="single"/>
                              </w:rPr>
                            </w:pPr>
                            <w:r>
                              <w:rPr>
                                <w:rFonts w:ascii="Calibri" w:hAnsi="Calibri"/>
                                <w:b/>
                                <w:color w:val="FFFFFF" w:themeColor="background1"/>
                                <w:sz w:val="18"/>
                                <w:szCs w:val="18"/>
                                <w:u w:val="single"/>
                              </w:rPr>
                              <w:t>OPGGS (</w:t>
                            </w:r>
                            <w:r w:rsidRPr="005609F1">
                              <w:rPr>
                                <w:rFonts w:ascii="Calibri" w:hAnsi="Calibri"/>
                                <w:b/>
                                <w:color w:val="FFFFFF" w:themeColor="background1"/>
                                <w:sz w:val="18"/>
                                <w:szCs w:val="18"/>
                                <w:u w:val="single"/>
                              </w:rPr>
                              <w:t>Safety</w:t>
                            </w:r>
                            <w:r>
                              <w:rPr>
                                <w:rFonts w:ascii="Calibri" w:hAnsi="Calibri"/>
                                <w:b/>
                                <w:color w:val="FFFFFF" w:themeColor="background1"/>
                                <w:sz w:val="18"/>
                                <w:szCs w:val="18"/>
                                <w:u w:val="single"/>
                              </w:rPr>
                              <w:t>)</w:t>
                            </w:r>
                            <w:r w:rsidRPr="005609F1">
                              <w:rPr>
                                <w:rFonts w:ascii="Calibri" w:hAnsi="Calibri"/>
                                <w:b/>
                                <w:color w:val="FFFFFF" w:themeColor="background1"/>
                                <w:sz w:val="18"/>
                                <w:szCs w:val="18"/>
                                <w:u w:val="single"/>
                              </w:rPr>
                              <w:t xml:space="preserve"> Regulations</w:t>
                            </w:r>
                          </w:p>
                          <w:p w14:paraId="3147072E" w14:textId="186AD736" w:rsidR="00934F2F" w:rsidRPr="00E303D8" w:rsidRDefault="00934F2F" w:rsidP="00111ECC">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Operator</w:t>
                            </w:r>
                            <w:r w:rsidRPr="00E303D8">
                              <w:rPr>
                                <w:rFonts w:ascii="Calibri" w:hAnsi="Calibri"/>
                                <w:color w:val="FFFFFF" w:themeColor="background1"/>
                                <w:sz w:val="18"/>
                                <w:szCs w:val="18"/>
                              </w:rPr>
                              <w:t xml:space="preserve"> submits </w:t>
                            </w:r>
                            <w:r>
                              <w:rPr>
                                <w:rFonts w:ascii="Calibri" w:hAnsi="Calibri"/>
                                <w:color w:val="FFFFFF" w:themeColor="background1"/>
                                <w:sz w:val="18"/>
                                <w:szCs w:val="18"/>
                              </w:rPr>
                              <w:t>new decommissioning-specific SC</w:t>
                            </w:r>
                            <w:r w:rsidRPr="00E303D8">
                              <w:rPr>
                                <w:rFonts w:ascii="Calibri" w:hAnsi="Calibri"/>
                                <w:color w:val="FFFFFF" w:themeColor="background1"/>
                                <w:sz w:val="18"/>
                                <w:szCs w:val="18"/>
                              </w:rPr>
                              <w:t xml:space="preserve"> to </w:t>
                            </w:r>
                            <w:proofErr w:type="gramStart"/>
                            <w:r w:rsidRPr="00E303D8">
                              <w:rPr>
                                <w:rFonts w:ascii="Calibri" w:hAnsi="Calibri"/>
                                <w:color w:val="FFFFFF" w:themeColor="background1"/>
                                <w:sz w:val="18"/>
                                <w:szCs w:val="18"/>
                              </w:rPr>
                              <w:t>NOPSEMA, or</w:t>
                            </w:r>
                            <w:proofErr w:type="gramEnd"/>
                            <w:r w:rsidRPr="00E303D8">
                              <w:rPr>
                                <w:rFonts w:ascii="Calibri" w:hAnsi="Calibri"/>
                                <w:color w:val="FFFFFF" w:themeColor="background1"/>
                                <w:sz w:val="18"/>
                                <w:szCs w:val="18"/>
                              </w:rPr>
                              <w:t xml:space="preserve"> revises existi</w:t>
                            </w:r>
                            <w:r>
                              <w:rPr>
                                <w:rFonts w:ascii="Calibri" w:hAnsi="Calibri"/>
                                <w:color w:val="FFFFFF" w:themeColor="background1"/>
                                <w:sz w:val="18"/>
                                <w:szCs w:val="18"/>
                              </w:rPr>
                              <w:t xml:space="preserve">ng SC </w:t>
                            </w:r>
                            <w:r w:rsidRPr="00E303D8">
                              <w:rPr>
                                <w:rFonts w:ascii="Calibri" w:hAnsi="Calibri"/>
                                <w:color w:val="FFFFFF" w:themeColor="background1"/>
                                <w:sz w:val="18"/>
                                <w:szCs w:val="18"/>
                              </w:rPr>
                              <w:t>to cover decommissioning</w:t>
                            </w:r>
                            <w:r>
                              <w:rPr>
                                <w:rFonts w:ascii="Calibri" w:hAnsi="Calibri"/>
                                <w:color w:val="FFFFFF" w:themeColor="background1"/>
                                <w:sz w:val="18"/>
                                <w:szCs w:val="18"/>
                              </w:rPr>
                              <w:t xml:space="preserve">. </w:t>
                            </w:r>
                          </w:p>
                          <w:p w14:paraId="2CBEA4FB" w14:textId="77777777" w:rsidR="00934F2F" w:rsidRPr="005609F1" w:rsidRDefault="00934F2F" w:rsidP="005609F1">
                            <w:pPr>
                              <w:jc w:val="center"/>
                              <w:rPr>
                                <w:rFonts w:ascii="Calibri" w:hAnsi="Calibri"/>
                                <w:b/>
                                <w:color w:val="FFFFFF" w:themeColor="background1"/>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8147D43" id="_x0000_s1043" alt="Title: OPGGS (Safety) Regulations - Description: Operator submits new decommissioning-specific SC to NOPSEMA, or revises existing SC to cover decommissioning. " style="position:absolute;margin-left:597.75pt;margin-top:11.1pt;width:133.5pt;height:86.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" fillcolor="#2e74b5 [2404]" strokecolor="#2e74b5 [2404]" strokeweight="1pt">
                <v:stroke joinstyle="miter"/>
                <v:textbox>
                  <w:txbxContent>
                    <w:p w14:paraId="7ABD6C56" w14:textId="5E137774" w:rsidR="00934F2F" w:rsidRPr="005609F1" w:rsidRDefault="00934F2F" w:rsidP="005609F1">
                      <w:pPr>
                        <w:jc w:val="center"/>
                        <w:rPr>
                          <w:rFonts w:ascii="Calibri" w:hAnsi="Calibri"/>
                          <w:b/>
                          <w:color w:val="FFFFFF" w:themeColor="background1"/>
                          <w:sz w:val="18"/>
                          <w:szCs w:val="18"/>
                          <w:u w:val="single"/>
                        </w:rPr>
                      </w:pPr>
                      <w:r>
                        <w:rPr>
                          <w:rFonts w:ascii="Calibri" w:hAnsi="Calibri"/>
                          <w:b/>
                          <w:color w:val="FFFFFF" w:themeColor="background1"/>
                          <w:sz w:val="18"/>
                          <w:szCs w:val="18"/>
                          <w:u w:val="single"/>
                        </w:rPr>
                        <w:t>OPGGS (</w:t>
                      </w:r>
                      <w:r w:rsidRPr="005609F1">
                        <w:rPr>
                          <w:rFonts w:ascii="Calibri" w:hAnsi="Calibri"/>
                          <w:b/>
                          <w:color w:val="FFFFFF" w:themeColor="background1"/>
                          <w:sz w:val="18"/>
                          <w:szCs w:val="18"/>
                          <w:u w:val="single"/>
                        </w:rPr>
                        <w:t>Safety</w:t>
                      </w:r>
                      <w:r>
                        <w:rPr>
                          <w:rFonts w:ascii="Calibri" w:hAnsi="Calibri"/>
                          <w:b/>
                          <w:color w:val="FFFFFF" w:themeColor="background1"/>
                          <w:sz w:val="18"/>
                          <w:szCs w:val="18"/>
                          <w:u w:val="single"/>
                        </w:rPr>
                        <w:t>)</w:t>
                      </w:r>
                      <w:r w:rsidRPr="005609F1">
                        <w:rPr>
                          <w:rFonts w:ascii="Calibri" w:hAnsi="Calibri"/>
                          <w:b/>
                          <w:color w:val="FFFFFF" w:themeColor="background1"/>
                          <w:sz w:val="18"/>
                          <w:szCs w:val="18"/>
                          <w:u w:val="single"/>
                        </w:rPr>
                        <w:t xml:space="preserve"> Regulations</w:t>
                      </w:r>
                    </w:p>
                    <w:p w14:paraId="3147072E" w14:textId="186AD736" w:rsidR="00934F2F" w:rsidRPr="00E303D8" w:rsidRDefault="00934F2F" w:rsidP="00111ECC">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Operator</w:t>
                      </w:r>
                      <w:r w:rsidRPr="00E303D8">
                        <w:rPr>
                          <w:rFonts w:ascii="Calibri" w:hAnsi="Calibri"/>
                          <w:color w:val="FFFFFF" w:themeColor="background1"/>
                          <w:sz w:val="18"/>
                          <w:szCs w:val="18"/>
                        </w:rPr>
                        <w:t xml:space="preserve"> submits </w:t>
                      </w:r>
                      <w:r>
                        <w:rPr>
                          <w:rFonts w:ascii="Calibri" w:hAnsi="Calibri"/>
                          <w:color w:val="FFFFFF" w:themeColor="background1"/>
                          <w:sz w:val="18"/>
                          <w:szCs w:val="18"/>
                        </w:rPr>
                        <w:t>new decommissioning-specific SC</w:t>
                      </w:r>
                      <w:r w:rsidRPr="00E303D8">
                        <w:rPr>
                          <w:rFonts w:ascii="Calibri" w:hAnsi="Calibri"/>
                          <w:color w:val="FFFFFF" w:themeColor="background1"/>
                          <w:sz w:val="18"/>
                          <w:szCs w:val="18"/>
                        </w:rPr>
                        <w:t xml:space="preserve"> to </w:t>
                      </w:r>
                      <w:proofErr w:type="gramStart"/>
                      <w:r w:rsidRPr="00E303D8">
                        <w:rPr>
                          <w:rFonts w:ascii="Calibri" w:hAnsi="Calibri"/>
                          <w:color w:val="FFFFFF" w:themeColor="background1"/>
                          <w:sz w:val="18"/>
                          <w:szCs w:val="18"/>
                        </w:rPr>
                        <w:t>NOPSEMA, or</w:t>
                      </w:r>
                      <w:proofErr w:type="gramEnd"/>
                      <w:r w:rsidRPr="00E303D8">
                        <w:rPr>
                          <w:rFonts w:ascii="Calibri" w:hAnsi="Calibri"/>
                          <w:color w:val="FFFFFF" w:themeColor="background1"/>
                          <w:sz w:val="18"/>
                          <w:szCs w:val="18"/>
                        </w:rPr>
                        <w:t xml:space="preserve"> revises existi</w:t>
                      </w:r>
                      <w:r>
                        <w:rPr>
                          <w:rFonts w:ascii="Calibri" w:hAnsi="Calibri"/>
                          <w:color w:val="FFFFFF" w:themeColor="background1"/>
                          <w:sz w:val="18"/>
                          <w:szCs w:val="18"/>
                        </w:rPr>
                        <w:t xml:space="preserve">ng SC </w:t>
                      </w:r>
                      <w:r w:rsidRPr="00E303D8">
                        <w:rPr>
                          <w:rFonts w:ascii="Calibri" w:hAnsi="Calibri"/>
                          <w:color w:val="FFFFFF" w:themeColor="background1"/>
                          <w:sz w:val="18"/>
                          <w:szCs w:val="18"/>
                        </w:rPr>
                        <w:t>to cover decommissioning</w:t>
                      </w:r>
                      <w:r>
                        <w:rPr>
                          <w:rFonts w:ascii="Calibri" w:hAnsi="Calibri"/>
                          <w:color w:val="FFFFFF" w:themeColor="background1"/>
                          <w:sz w:val="18"/>
                          <w:szCs w:val="18"/>
                        </w:rPr>
                        <w:t xml:space="preserve">. </w:t>
                      </w:r>
                    </w:p>
                    <w:p w14:paraId="2CBEA4FB" w14:textId="77777777" w:rsidR="00934F2F" w:rsidRPr="005609F1" w:rsidRDefault="00934F2F" w:rsidP="005609F1">
                      <w:pPr>
                        <w:jc w:val="center"/>
                        <w:rPr>
                          <w:rFonts w:ascii="Calibri" w:hAnsi="Calibri"/>
                          <w:b/>
                          <w:color w:val="FFFFFF" w:themeColor="background1"/>
                          <w:sz w:val="18"/>
                          <w:szCs w:val="18"/>
                        </w:rPr>
                      </w:pPr>
                    </w:p>
                  </w:txbxContent>
                </v:textbox>
              </v:roundrect>
            </w:pict>
          </mc:Fallback>
        </mc:AlternateContent>
      </w:r>
      <w:r w:rsidR="00FE6704" w:rsidRPr="00325FA8">
        <w:rPr>
          <w:b/>
          <w:noProof/>
        </w:rPr>
        <mc:AlternateContent>
          <mc:Choice Requires="wps">
            <w:drawing>
              <wp:anchor distT="0" distB="0" distL="114300" distR="114300" simplePos="0" relativeHeight="251652096" behindDoc="0" locked="0" layoutInCell="1" allowOverlap="1" wp14:anchorId="679B0157" wp14:editId="430E3535">
                <wp:simplePos x="0" y="0"/>
                <wp:positionH relativeFrom="margin">
                  <wp:posOffset>-504825</wp:posOffset>
                </wp:positionH>
                <wp:positionV relativeFrom="paragraph">
                  <wp:posOffset>140970</wp:posOffset>
                </wp:positionV>
                <wp:extent cx="2009775" cy="1209675"/>
                <wp:effectExtent l="0" t="0" r="28575" b="28575"/>
                <wp:wrapNone/>
                <wp:docPr id="25" name="Text Box 2" descr="If decommissioning includes disposal or abandonment of infrastructure at sea, proponent (likely the titleholder) applies to the Minister for the Environment and Energy for a sea dumping permit. " title="Sea Dumping Ac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209675"/>
                        </a:xfrm>
                        <a:prstGeom prst="roundRect">
                          <a:avLst/>
                        </a:prstGeom>
                        <a:solidFill>
                          <a:srgbClr val="7030A0"/>
                        </a:solidFill>
                        <a:ln>
                          <a:solidFill>
                            <a:schemeClr val="accent1">
                              <a:lumMod val="75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4FF2218B" w14:textId="77777777" w:rsidR="00934F2F" w:rsidRPr="005609F1" w:rsidRDefault="00934F2F" w:rsidP="005609F1">
                            <w:pPr>
                              <w:jc w:val="center"/>
                              <w:rPr>
                                <w:rFonts w:ascii="Calibri" w:hAnsi="Calibri"/>
                                <w:b/>
                                <w:color w:val="FFFFFF" w:themeColor="background1"/>
                                <w:sz w:val="18"/>
                                <w:szCs w:val="18"/>
                                <w:u w:val="single"/>
                              </w:rPr>
                            </w:pPr>
                            <w:r w:rsidRPr="005609F1">
                              <w:rPr>
                                <w:rFonts w:ascii="Calibri" w:hAnsi="Calibri"/>
                                <w:b/>
                                <w:color w:val="FFFFFF" w:themeColor="background1"/>
                                <w:sz w:val="18"/>
                                <w:szCs w:val="18"/>
                                <w:u w:val="single"/>
                              </w:rPr>
                              <w:t>Sea Dumping Act</w:t>
                            </w:r>
                          </w:p>
                          <w:p w14:paraId="1D3B40AB" w14:textId="766CD742" w:rsidR="00934F2F" w:rsidRPr="00E303D8" w:rsidRDefault="00934F2F" w:rsidP="00111ECC">
                            <w:pPr>
                              <w:jc w:val="center"/>
                              <w:rPr>
                                <w:rFonts w:ascii="Calibri" w:hAnsi="Calibri"/>
                                <w:color w:val="FFFFFF" w:themeColor="background1"/>
                                <w:sz w:val="18"/>
                                <w:szCs w:val="18"/>
                              </w:rPr>
                            </w:pPr>
                            <w:r w:rsidRPr="00FE6704">
                              <w:rPr>
                                <w:rFonts w:ascii="Calibri" w:hAnsi="Calibri"/>
                                <w:i/>
                                <w:color w:val="FFFFFF" w:themeColor="background1"/>
                                <w:sz w:val="18"/>
                                <w:szCs w:val="18"/>
                              </w:rPr>
                              <w:t>If decommissioning includes disposal or abandonment of infrastructure at sea</w:t>
                            </w:r>
                            <w:r w:rsidRPr="00E303D8">
                              <w:rPr>
                                <w:rFonts w:ascii="Calibri" w:hAnsi="Calibri"/>
                                <w:color w:val="FFFFFF" w:themeColor="background1"/>
                                <w:sz w:val="18"/>
                                <w:szCs w:val="18"/>
                              </w:rPr>
                              <w:t xml:space="preserve">, proponent (likely the titleholder) applies to the Minister for </w:t>
                            </w:r>
                            <w:r>
                              <w:rPr>
                                <w:rFonts w:ascii="Calibri" w:hAnsi="Calibri"/>
                                <w:color w:val="FFFFFF" w:themeColor="background1"/>
                                <w:sz w:val="18"/>
                                <w:szCs w:val="18"/>
                              </w:rPr>
                              <w:t xml:space="preserve">the </w:t>
                            </w:r>
                            <w:r w:rsidRPr="00E303D8">
                              <w:rPr>
                                <w:rFonts w:ascii="Calibri" w:hAnsi="Calibri"/>
                                <w:color w:val="FFFFFF" w:themeColor="background1"/>
                                <w:sz w:val="18"/>
                                <w:szCs w:val="18"/>
                              </w:rPr>
                              <w:t>Environment and Energy for a sea dumping permit</w:t>
                            </w:r>
                            <w:r>
                              <w:rPr>
                                <w:rFonts w:ascii="Calibri" w:hAnsi="Calibri"/>
                                <w:color w:val="FFFFFF" w:themeColor="background1"/>
                                <w:sz w:val="18"/>
                                <w:szCs w:val="18"/>
                              </w:rPr>
                              <w:t xml:space="preserve">. </w:t>
                            </w:r>
                          </w:p>
                          <w:p w14:paraId="24123D11" w14:textId="77777777" w:rsidR="00934F2F" w:rsidRPr="005609F1" w:rsidRDefault="00934F2F" w:rsidP="005609F1">
                            <w:pPr>
                              <w:jc w:val="center"/>
                              <w:rPr>
                                <w:rFonts w:ascii="Calibri" w:hAnsi="Calibri"/>
                                <w:color w:val="FFFFFF" w:themeColor="background1"/>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679B0157" id="_x0000_s1044" alt="Title: Sea Dumping Act - Description: If decommissioning includes disposal or abandonment of infrastructure at sea, proponent (likely the titleholder) applies to the Minister for the Environment and Energy for a sea dumping permit. " style="position:absolute;margin-left:-39.75pt;margin-top:11.1pt;width:158.25pt;height:95.2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" fillcolor="#7030a0" strokecolor="#2e74b5 [2404]" strokeweight="1pt">
                <v:stroke joinstyle="miter"/>
                <v:textbox>
                  <w:txbxContent>
                    <w:p w14:paraId="4FF2218B" w14:textId="77777777" w:rsidR="00934F2F" w:rsidRPr="005609F1" w:rsidRDefault="00934F2F" w:rsidP="005609F1">
                      <w:pPr>
                        <w:jc w:val="center"/>
                        <w:rPr>
                          <w:rFonts w:ascii="Calibri" w:hAnsi="Calibri"/>
                          <w:b/>
                          <w:color w:val="FFFFFF" w:themeColor="background1"/>
                          <w:sz w:val="18"/>
                          <w:szCs w:val="18"/>
                          <w:u w:val="single"/>
                        </w:rPr>
                      </w:pPr>
                      <w:r w:rsidRPr="005609F1">
                        <w:rPr>
                          <w:rFonts w:ascii="Calibri" w:hAnsi="Calibri"/>
                          <w:b/>
                          <w:color w:val="FFFFFF" w:themeColor="background1"/>
                          <w:sz w:val="18"/>
                          <w:szCs w:val="18"/>
                          <w:u w:val="single"/>
                        </w:rPr>
                        <w:t>Sea Dumping Act</w:t>
                      </w:r>
                    </w:p>
                    <w:p w14:paraId="1D3B40AB" w14:textId="766CD742" w:rsidR="00934F2F" w:rsidRPr="00E303D8" w:rsidRDefault="00934F2F" w:rsidP="00111ECC">
                      <w:pPr>
                        <w:jc w:val="center"/>
                        <w:rPr>
                          <w:rFonts w:ascii="Calibri" w:hAnsi="Calibri"/>
                          <w:color w:val="FFFFFF" w:themeColor="background1"/>
                          <w:sz w:val="18"/>
                          <w:szCs w:val="18"/>
                        </w:rPr>
                      </w:pPr>
                      <w:r w:rsidRPr="00FE6704">
                        <w:rPr>
                          <w:rFonts w:ascii="Calibri" w:hAnsi="Calibri"/>
                          <w:i/>
                          <w:color w:val="FFFFFF" w:themeColor="background1"/>
                          <w:sz w:val="18"/>
                          <w:szCs w:val="18"/>
                        </w:rPr>
                        <w:t>If decommissioning includes disposal or abandonment of infrastructure at sea</w:t>
                      </w:r>
                      <w:r w:rsidRPr="00E303D8">
                        <w:rPr>
                          <w:rFonts w:ascii="Calibri" w:hAnsi="Calibri"/>
                          <w:color w:val="FFFFFF" w:themeColor="background1"/>
                          <w:sz w:val="18"/>
                          <w:szCs w:val="18"/>
                        </w:rPr>
                        <w:t xml:space="preserve">, proponent (likely the titleholder) applies to the Minister for </w:t>
                      </w:r>
                      <w:r>
                        <w:rPr>
                          <w:rFonts w:ascii="Calibri" w:hAnsi="Calibri"/>
                          <w:color w:val="FFFFFF" w:themeColor="background1"/>
                          <w:sz w:val="18"/>
                          <w:szCs w:val="18"/>
                        </w:rPr>
                        <w:t xml:space="preserve">the </w:t>
                      </w:r>
                      <w:r w:rsidRPr="00E303D8">
                        <w:rPr>
                          <w:rFonts w:ascii="Calibri" w:hAnsi="Calibri"/>
                          <w:color w:val="FFFFFF" w:themeColor="background1"/>
                          <w:sz w:val="18"/>
                          <w:szCs w:val="18"/>
                        </w:rPr>
                        <w:t>Environment and Energy for a sea dumping permit</w:t>
                      </w:r>
                      <w:r>
                        <w:rPr>
                          <w:rFonts w:ascii="Calibri" w:hAnsi="Calibri"/>
                          <w:color w:val="FFFFFF" w:themeColor="background1"/>
                          <w:sz w:val="18"/>
                          <w:szCs w:val="18"/>
                        </w:rPr>
                        <w:t xml:space="preserve">. </w:t>
                      </w:r>
                    </w:p>
                    <w:p w14:paraId="24123D11" w14:textId="77777777" w:rsidR="00934F2F" w:rsidRPr="005609F1" w:rsidRDefault="00934F2F" w:rsidP="005609F1">
                      <w:pPr>
                        <w:jc w:val="center"/>
                        <w:rPr>
                          <w:rFonts w:ascii="Calibri" w:hAnsi="Calibri"/>
                          <w:color w:val="FFFFFF" w:themeColor="background1"/>
                          <w:sz w:val="18"/>
                          <w:szCs w:val="18"/>
                        </w:rPr>
                      </w:pPr>
                    </w:p>
                  </w:txbxContent>
                </v:textbox>
                <w10:wrap anchorx="margin"/>
              </v:roundrect>
            </w:pict>
          </mc:Fallback>
        </mc:AlternateContent>
      </w:r>
      <w:r w:rsidR="00FE6704" w:rsidRPr="00325FA8">
        <w:rPr>
          <w:b/>
          <w:noProof/>
        </w:rPr>
        <mc:AlternateContent>
          <mc:Choice Requires="wps">
            <w:drawing>
              <wp:anchor distT="0" distB="0" distL="114300" distR="114300" simplePos="0" relativeHeight="251666432" behindDoc="0" locked="0" layoutInCell="1" allowOverlap="1" wp14:anchorId="48387953" wp14:editId="79BDC958">
                <wp:simplePos x="0" y="0"/>
                <wp:positionH relativeFrom="column">
                  <wp:posOffset>3867150</wp:posOffset>
                </wp:positionH>
                <wp:positionV relativeFrom="paragraph">
                  <wp:posOffset>64770</wp:posOffset>
                </wp:positionV>
                <wp:extent cx="1752600" cy="1362075"/>
                <wp:effectExtent l="0" t="0" r="19050" b="28575"/>
                <wp:wrapNone/>
                <wp:docPr id="17" name="Text Box 2" descr="If production is to cease earlier than agreed in the initial FDP, titleholder submits revised FDP to NOPTA for acceptance by the Joint Authority. &#10;&#10;" title="OPGGS (RMA) Regulations (field developm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362075"/>
                        </a:xfrm>
                        <a:prstGeom prst="roundRect">
                          <a:avLst/>
                        </a:prstGeom>
                        <a:solidFill>
                          <a:schemeClr val="accent1">
                            <a:lumMod val="75000"/>
                          </a:schemeClr>
                        </a:solidFill>
                        <a:ln>
                          <a:solidFill>
                            <a:schemeClr val="accent1">
                              <a:lumMod val="75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6E7FFE07" w14:textId="74B1E9AD" w:rsidR="00934F2F" w:rsidRPr="00B96487" w:rsidRDefault="00934F2F" w:rsidP="005609F1">
                            <w:pPr>
                              <w:jc w:val="center"/>
                              <w:rPr>
                                <w:rFonts w:ascii="Calibri" w:hAnsi="Calibri"/>
                                <w:b/>
                                <w:color w:val="FFFFFF" w:themeColor="background1"/>
                                <w:sz w:val="18"/>
                                <w:szCs w:val="18"/>
                                <w:u w:val="single"/>
                              </w:rPr>
                            </w:pPr>
                            <w:r w:rsidRPr="00B96487">
                              <w:rPr>
                                <w:rFonts w:ascii="Calibri" w:hAnsi="Calibri"/>
                                <w:b/>
                                <w:color w:val="FFFFFF" w:themeColor="background1"/>
                                <w:sz w:val="18"/>
                                <w:szCs w:val="18"/>
                                <w:u w:val="single"/>
                              </w:rPr>
                              <w:t>OPGGS (RMA) Regulations (field development)</w:t>
                            </w:r>
                          </w:p>
                          <w:p w14:paraId="26D95114" w14:textId="5588A69E" w:rsidR="00934F2F" w:rsidRPr="006D17FF" w:rsidRDefault="00934F2F" w:rsidP="00111ECC">
                            <w:pPr>
                              <w:jc w:val="center"/>
                              <w:rPr>
                                <w:rFonts w:ascii="Calibri" w:hAnsi="Calibri"/>
                                <w:color w:val="FFFFFF" w:themeColor="background1"/>
                                <w:sz w:val="18"/>
                                <w:szCs w:val="18"/>
                              </w:rPr>
                            </w:pPr>
                            <w:r w:rsidRPr="00E303D8">
                              <w:rPr>
                                <w:rFonts w:ascii="Calibri" w:hAnsi="Calibri"/>
                                <w:color w:val="FFFFFF" w:themeColor="background1"/>
                                <w:sz w:val="18"/>
                                <w:szCs w:val="18"/>
                              </w:rPr>
                              <w:t xml:space="preserve">If production is to cease earlier than </w:t>
                            </w:r>
                            <w:r>
                              <w:rPr>
                                <w:rFonts w:ascii="Calibri" w:hAnsi="Calibri"/>
                                <w:color w:val="FFFFFF" w:themeColor="background1"/>
                                <w:sz w:val="18"/>
                                <w:szCs w:val="18"/>
                              </w:rPr>
                              <w:t xml:space="preserve">agreed in the initial FDP, </w:t>
                            </w:r>
                            <w:r w:rsidRPr="001F7DA7">
                              <w:rPr>
                                <w:rFonts w:ascii="Calibri" w:hAnsi="Calibri"/>
                                <w:color w:val="FFFFFF" w:themeColor="background1"/>
                                <w:sz w:val="18"/>
                                <w:szCs w:val="18"/>
                                <w:u w:val="single"/>
                              </w:rPr>
                              <w:t>titleholder</w:t>
                            </w:r>
                            <w:r w:rsidRPr="00E303D8">
                              <w:rPr>
                                <w:rFonts w:ascii="Calibri" w:hAnsi="Calibri"/>
                                <w:color w:val="FFFFFF" w:themeColor="background1"/>
                                <w:sz w:val="18"/>
                                <w:szCs w:val="18"/>
                              </w:rPr>
                              <w:t xml:space="preserve"> submits revised FDP to NOPTA</w:t>
                            </w:r>
                            <w:r>
                              <w:rPr>
                                <w:rFonts w:ascii="Calibri" w:hAnsi="Calibri"/>
                                <w:color w:val="FFFFFF" w:themeColor="background1"/>
                                <w:sz w:val="18"/>
                                <w:szCs w:val="18"/>
                              </w:rPr>
                              <w:t xml:space="preserve"> for acceptance by the Joint A</w:t>
                            </w:r>
                            <w:r w:rsidRPr="006D17FF">
                              <w:rPr>
                                <w:rFonts w:ascii="Calibri" w:hAnsi="Calibri"/>
                                <w:color w:val="FFFFFF" w:themeColor="background1"/>
                                <w:sz w:val="18"/>
                                <w:szCs w:val="18"/>
                              </w:rPr>
                              <w:t>uthority</w:t>
                            </w:r>
                            <w:r>
                              <w:rPr>
                                <w:rFonts w:ascii="Calibri" w:hAnsi="Calibri"/>
                                <w:color w:val="FFFFFF" w:themeColor="background1"/>
                                <w:sz w:val="18"/>
                                <w:szCs w:val="18"/>
                              </w:rPr>
                              <w:t xml:space="preserve">. </w:t>
                            </w:r>
                          </w:p>
                          <w:p w14:paraId="08A46C3F" w14:textId="77777777" w:rsidR="00934F2F" w:rsidRPr="005609F1" w:rsidRDefault="00934F2F" w:rsidP="005609F1">
                            <w:pPr>
                              <w:jc w:val="center"/>
                              <w:rPr>
                                <w:rFonts w:ascii="Calibri" w:hAnsi="Calibri"/>
                                <w:b/>
                                <w:color w:val="FFFFFF" w:themeColor="background1"/>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8387953" id="_x0000_s1045" alt="Title: OPGGS (RMA) Regulations (field development) - Description: If production is to cease earlier than agreed in the initial FDP, titleholder submits revised FDP to NOPTA for acceptance by the Joint Authority. &#10;&#10;" style="position:absolute;margin-left:304.5pt;margin-top:5.1pt;width:138pt;height:10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" fillcolor="#2e74b5 [2404]" strokecolor="#2e74b5 [2404]" strokeweight="1pt">
                <v:stroke joinstyle="miter"/>
                <v:textbox>
                  <w:txbxContent>
                    <w:p w14:paraId="6E7FFE07" w14:textId="74B1E9AD" w:rsidR="00934F2F" w:rsidRPr="00B96487" w:rsidRDefault="00934F2F" w:rsidP="005609F1">
                      <w:pPr>
                        <w:jc w:val="center"/>
                        <w:rPr>
                          <w:rFonts w:ascii="Calibri" w:hAnsi="Calibri"/>
                          <w:b/>
                          <w:color w:val="FFFFFF" w:themeColor="background1"/>
                          <w:sz w:val="18"/>
                          <w:szCs w:val="18"/>
                          <w:u w:val="single"/>
                        </w:rPr>
                      </w:pPr>
                      <w:r w:rsidRPr="00B96487">
                        <w:rPr>
                          <w:rFonts w:ascii="Calibri" w:hAnsi="Calibri"/>
                          <w:b/>
                          <w:color w:val="FFFFFF" w:themeColor="background1"/>
                          <w:sz w:val="18"/>
                          <w:szCs w:val="18"/>
                          <w:u w:val="single"/>
                        </w:rPr>
                        <w:t>OPGGS (RMA) Regulations (field development)</w:t>
                      </w:r>
                    </w:p>
                    <w:p w14:paraId="26D95114" w14:textId="5588A69E" w:rsidR="00934F2F" w:rsidRPr="006D17FF" w:rsidRDefault="00934F2F" w:rsidP="00111ECC">
                      <w:pPr>
                        <w:jc w:val="center"/>
                        <w:rPr>
                          <w:rFonts w:ascii="Calibri" w:hAnsi="Calibri"/>
                          <w:color w:val="FFFFFF" w:themeColor="background1"/>
                          <w:sz w:val="18"/>
                          <w:szCs w:val="18"/>
                        </w:rPr>
                      </w:pPr>
                      <w:r w:rsidRPr="00E303D8">
                        <w:rPr>
                          <w:rFonts w:ascii="Calibri" w:hAnsi="Calibri"/>
                          <w:color w:val="FFFFFF" w:themeColor="background1"/>
                          <w:sz w:val="18"/>
                          <w:szCs w:val="18"/>
                        </w:rPr>
                        <w:t xml:space="preserve">If production is to cease earlier than </w:t>
                      </w:r>
                      <w:r>
                        <w:rPr>
                          <w:rFonts w:ascii="Calibri" w:hAnsi="Calibri"/>
                          <w:color w:val="FFFFFF" w:themeColor="background1"/>
                          <w:sz w:val="18"/>
                          <w:szCs w:val="18"/>
                        </w:rPr>
                        <w:t xml:space="preserve">agreed in the initial FDP, </w:t>
                      </w:r>
                      <w:r w:rsidRPr="001F7DA7">
                        <w:rPr>
                          <w:rFonts w:ascii="Calibri" w:hAnsi="Calibri"/>
                          <w:color w:val="FFFFFF" w:themeColor="background1"/>
                          <w:sz w:val="18"/>
                          <w:szCs w:val="18"/>
                          <w:u w:val="single"/>
                        </w:rPr>
                        <w:t>titleholder</w:t>
                      </w:r>
                      <w:r w:rsidRPr="00E303D8">
                        <w:rPr>
                          <w:rFonts w:ascii="Calibri" w:hAnsi="Calibri"/>
                          <w:color w:val="FFFFFF" w:themeColor="background1"/>
                          <w:sz w:val="18"/>
                          <w:szCs w:val="18"/>
                        </w:rPr>
                        <w:t xml:space="preserve"> submits revised FDP to NOPTA</w:t>
                      </w:r>
                      <w:r>
                        <w:rPr>
                          <w:rFonts w:ascii="Calibri" w:hAnsi="Calibri"/>
                          <w:color w:val="FFFFFF" w:themeColor="background1"/>
                          <w:sz w:val="18"/>
                          <w:szCs w:val="18"/>
                        </w:rPr>
                        <w:t xml:space="preserve"> for acceptance by the Joint A</w:t>
                      </w:r>
                      <w:r w:rsidRPr="006D17FF">
                        <w:rPr>
                          <w:rFonts w:ascii="Calibri" w:hAnsi="Calibri"/>
                          <w:color w:val="FFFFFF" w:themeColor="background1"/>
                          <w:sz w:val="18"/>
                          <w:szCs w:val="18"/>
                        </w:rPr>
                        <w:t>uthority</w:t>
                      </w:r>
                      <w:r>
                        <w:rPr>
                          <w:rFonts w:ascii="Calibri" w:hAnsi="Calibri"/>
                          <w:color w:val="FFFFFF" w:themeColor="background1"/>
                          <w:sz w:val="18"/>
                          <w:szCs w:val="18"/>
                        </w:rPr>
                        <w:t xml:space="preserve">. </w:t>
                      </w:r>
                    </w:p>
                    <w:p w14:paraId="08A46C3F" w14:textId="77777777" w:rsidR="00934F2F" w:rsidRPr="005609F1" w:rsidRDefault="00934F2F" w:rsidP="005609F1">
                      <w:pPr>
                        <w:jc w:val="center"/>
                        <w:rPr>
                          <w:rFonts w:ascii="Calibri" w:hAnsi="Calibri"/>
                          <w:b/>
                          <w:color w:val="FFFFFF" w:themeColor="background1"/>
                          <w:sz w:val="18"/>
                          <w:szCs w:val="18"/>
                        </w:rPr>
                      </w:pPr>
                    </w:p>
                  </w:txbxContent>
                </v:textbox>
              </v:roundrect>
            </w:pict>
          </mc:Fallback>
        </mc:AlternateContent>
      </w:r>
      <w:r w:rsidR="00FE6704" w:rsidRPr="00325FA8">
        <w:rPr>
          <w:b/>
          <w:noProof/>
        </w:rPr>
        <mc:AlternateContent>
          <mc:Choice Requires="wps">
            <w:drawing>
              <wp:anchor distT="0" distB="0" distL="114300" distR="114300" simplePos="0" relativeHeight="251660288" behindDoc="0" locked="0" layoutInCell="1" allowOverlap="1" wp14:anchorId="0F9941CE" wp14:editId="6873BE49">
                <wp:simplePos x="0" y="0"/>
                <wp:positionH relativeFrom="column">
                  <wp:posOffset>5724525</wp:posOffset>
                </wp:positionH>
                <wp:positionV relativeFrom="paragraph">
                  <wp:posOffset>64770</wp:posOffset>
                </wp:positionV>
                <wp:extent cx="1743075" cy="1362075"/>
                <wp:effectExtent l="0" t="0" r="28575" b="28575"/>
                <wp:wrapNone/>
                <wp:docPr id="337" name="Text Box 2" descr="Titleholder submits WOMP (covering well abandonment) to NOPSEMA, if necessary. Titleholder notifies NOPSEMA before commencing abandonment.&#10;&#10;&#10;" title="OPGGS (RMA) Regulations (well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362075"/>
                        </a:xfrm>
                        <a:prstGeom prst="roundRect">
                          <a:avLst/>
                        </a:prstGeom>
                        <a:solidFill>
                          <a:schemeClr val="accent1">
                            <a:lumMod val="75000"/>
                          </a:schemeClr>
                        </a:solidFill>
                        <a:ln>
                          <a:solidFill>
                            <a:schemeClr val="accent1">
                              <a:lumMod val="75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6B1AB5CD" w14:textId="0881DBF8" w:rsidR="00934F2F" w:rsidRPr="005609F1" w:rsidRDefault="00934F2F" w:rsidP="005609F1">
                            <w:pPr>
                              <w:jc w:val="center"/>
                              <w:rPr>
                                <w:rFonts w:ascii="Calibri" w:hAnsi="Calibri"/>
                                <w:b/>
                                <w:color w:val="FFFFFF" w:themeColor="background1"/>
                                <w:sz w:val="18"/>
                                <w:szCs w:val="18"/>
                                <w:u w:val="single"/>
                              </w:rPr>
                            </w:pPr>
                            <w:r w:rsidRPr="005609F1">
                              <w:rPr>
                                <w:rFonts w:ascii="Calibri" w:hAnsi="Calibri"/>
                                <w:b/>
                                <w:color w:val="FFFFFF" w:themeColor="background1"/>
                                <w:sz w:val="18"/>
                                <w:szCs w:val="18"/>
                                <w:u w:val="single"/>
                              </w:rPr>
                              <w:t>OPGGS (RMA) Regulations (wells)</w:t>
                            </w:r>
                          </w:p>
                          <w:p w14:paraId="3683A3EF" w14:textId="4B18FB3B" w:rsidR="00934F2F" w:rsidRDefault="00934F2F" w:rsidP="00111ECC">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sidRPr="006D17FF">
                              <w:rPr>
                                <w:rFonts w:ascii="Calibri" w:hAnsi="Calibri"/>
                                <w:color w:val="FFFFFF" w:themeColor="background1"/>
                                <w:sz w:val="18"/>
                                <w:szCs w:val="18"/>
                              </w:rPr>
                              <w:t xml:space="preserve"> </w:t>
                            </w:r>
                            <w:r>
                              <w:rPr>
                                <w:rFonts w:ascii="Calibri" w:hAnsi="Calibri"/>
                                <w:color w:val="FFFFFF" w:themeColor="background1"/>
                                <w:sz w:val="18"/>
                                <w:szCs w:val="18"/>
                              </w:rPr>
                              <w:t xml:space="preserve">submits WOMP (covering well abandonment) to NOPSEMA, if necessary. </w:t>
                            </w: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notifies NOPSEMA before commencing abandonment.</w:t>
                            </w:r>
                          </w:p>
                          <w:p w14:paraId="4CDF1E28" w14:textId="77777777" w:rsidR="00934F2F" w:rsidRDefault="00934F2F" w:rsidP="005609F1">
                            <w:pPr>
                              <w:rPr>
                                <w:rFonts w:ascii="Calibri" w:hAnsi="Calibri"/>
                                <w:color w:val="FFFFFF" w:themeColor="background1"/>
                                <w:sz w:val="18"/>
                                <w:szCs w:val="18"/>
                              </w:rPr>
                            </w:pPr>
                          </w:p>
                          <w:p w14:paraId="15B0B2C2" w14:textId="77777777" w:rsidR="00934F2F" w:rsidRPr="005609F1" w:rsidRDefault="00934F2F" w:rsidP="005609F1">
                            <w:pPr>
                              <w:jc w:val="center"/>
                              <w:rPr>
                                <w:rFonts w:ascii="Calibri" w:hAnsi="Calibri"/>
                                <w:b/>
                                <w:color w:val="FFFFFF" w:themeColor="background1"/>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0F9941CE" id="_x0000_s1046" alt="Title: OPGGS (RMA) Regulations (wells) - Description: Titleholder submits WOMP (covering well abandonment) to NOPSEMA, if necessary. Titleholder notifies NOPSEMA before commencing abandonment.&#10;&#10;&#10;" style="position:absolute;margin-left:450.75pt;margin-top:5.1pt;width:137.25pt;height:10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" fillcolor="#2e74b5 [2404]" strokecolor="#2e74b5 [2404]" strokeweight="1pt">
                <v:stroke joinstyle="miter"/>
                <v:textbox>
                  <w:txbxContent>
                    <w:p w14:paraId="6B1AB5CD" w14:textId="0881DBF8" w:rsidR="00934F2F" w:rsidRPr="005609F1" w:rsidRDefault="00934F2F" w:rsidP="005609F1">
                      <w:pPr>
                        <w:jc w:val="center"/>
                        <w:rPr>
                          <w:rFonts w:ascii="Calibri" w:hAnsi="Calibri"/>
                          <w:b/>
                          <w:color w:val="FFFFFF" w:themeColor="background1"/>
                          <w:sz w:val="18"/>
                          <w:szCs w:val="18"/>
                          <w:u w:val="single"/>
                        </w:rPr>
                      </w:pPr>
                      <w:r w:rsidRPr="005609F1">
                        <w:rPr>
                          <w:rFonts w:ascii="Calibri" w:hAnsi="Calibri"/>
                          <w:b/>
                          <w:color w:val="FFFFFF" w:themeColor="background1"/>
                          <w:sz w:val="18"/>
                          <w:szCs w:val="18"/>
                          <w:u w:val="single"/>
                        </w:rPr>
                        <w:t>OPGGS (RMA) Regulations (wells)</w:t>
                      </w:r>
                    </w:p>
                    <w:p w14:paraId="3683A3EF" w14:textId="4B18FB3B" w:rsidR="00934F2F" w:rsidRDefault="00934F2F" w:rsidP="00111ECC">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sidRPr="006D17FF">
                        <w:rPr>
                          <w:rFonts w:ascii="Calibri" w:hAnsi="Calibri"/>
                          <w:color w:val="FFFFFF" w:themeColor="background1"/>
                          <w:sz w:val="18"/>
                          <w:szCs w:val="18"/>
                        </w:rPr>
                        <w:t xml:space="preserve"> </w:t>
                      </w:r>
                      <w:r>
                        <w:rPr>
                          <w:rFonts w:ascii="Calibri" w:hAnsi="Calibri"/>
                          <w:color w:val="FFFFFF" w:themeColor="background1"/>
                          <w:sz w:val="18"/>
                          <w:szCs w:val="18"/>
                        </w:rPr>
                        <w:t xml:space="preserve">submits WOMP (covering well abandonment) to NOPSEMA, if necessary. </w:t>
                      </w: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notifies NOPSEMA before commencing abandonment.</w:t>
                      </w:r>
                    </w:p>
                    <w:p w14:paraId="4CDF1E28" w14:textId="77777777" w:rsidR="00934F2F" w:rsidRDefault="00934F2F" w:rsidP="005609F1">
                      <w:pPr>
                        <w:rPr>
                          <w:rFonts w:ascii="Calibri" w:hAnsi="Calibri"/>
                          <w:color w:val="FFFFFF" w:themeColor="background1"/>
                          <w:sz w:val="18"/>
                          <w:szCs w:val="18"/>
                        </w:rPr>
                      </w:pPr>
                    </w:p>
                    <w:p w14:paraId="15B0B2C2" w14:textId="77777777" w:rsidR="00934F2F" w:rsidRPr="005609F1" w:rsidRDefault="00934F2F" w:rsidP="005609F1">
                      <w:pPr>
                        <w:jc w:val="center"/>
                        <w:rPr>
                          <w:rFonts w:ascii="Calibri" w:hAnsi="Calibri"/>
                          <w:b/>
                          <w:color w:val="FFFFFF" w:themeColor="background1"/>
                          <w:sz w:val="18"/>
                          <w:szCs w:val="18"/>
                        </w:rPr>
                      </w:pPr>
                    </w:p>
                  </w:txbxContent>
                </v:textbox>
              </v:roundrect>
            </w:pict>
          </mc:Fallback>
        </mc:AlternateContent>
      </w:r>
    </w:p>
    <w:p w14:paraId="4FB82044" w14:textId="2F64530D" w:rsidR="0090330E" w:rsidRDefault="0090330E" w:rsidP="0090330E"/>
    <w:p w14:paraId="65BA9E8D" w14:textId="5E2B0662" w:rsidR="0090330E" w:rsidRDefault="0090330E" w:rsidP="0090330E">
      <w:bookmarkStart w:id="323" w:name="_Toc475055252"/>
      <w:bookmarkStart w:id="324" w:name="_Toc475358904"/>
      <w:bookmarkStart w:id="325" w:name="_Toc475055254"/>
      <w:bookmarkStart w:id="326" w:name="_Toc475358906"/>
      <w:bookmarkEnd w:id="323"/>
      <w:bookmarkEnd w:id="324"/>
      <w:bookmarkEnd w:id="325"/>
      <w:bookmarkEnd w:id="326"/>
    </w:p>
    <w:p w14:paraId="43617CDC" w14:textId="46BBBD3A" w:rsidR="0090330E" w:rsidRDefault="0090330E" w:rsidP="0090330E"/>
    <w:p w14:paraId="0DFFE482" w14:textId="1E23A4BD" w:rsidR="0090330E" w:rsidRDefault="0090330E" w:rsidP="0090330E"/>
    <w:p w14:paraId="2CEE07E0" w14:textId="724B2EF0" w:rsidR="0090330E" w:rsidRDefault="0090330E" w:rsidP="0090330E"/>
    <w:p w14:paraId="42B0DC24" w14:textId="36ED7A76" w:rsidR="0090330E" w:rsidRDefault="0090330E" w:rsidP="0090330E"/>
    <w:p w14:paraId="37E199F6" w14:textId="0C156A5A" w:rsidR="0090330E" w:rsidRPr="00C02767" w:rsidRDefault="00FE6704" w:rsidP="00C02767">
      <w:pPr>
        <w:sectPr w:rsidR="0090330E" w:rsidRPr="00C02767" w:rsidSect="00016D4C">
          <w:headerReference w:type="default" r:id="rId74"/>
          <w:pgSz w:w="16838" w:h="11906" w:orient="landscape"/>
          <w:pgMar w:top="1440" w:right="1440" w:bottom="1440" w:left="1440" w:header="708" w:footer="708" w:gutter="0"/>
          <w:cols w:space="708"/>
          <w:docGrid w:linePitch="360"/>
        </w:sectPr>
      </w:pPr>
      <w:r>
        <w:rPr>
          <w:rFonts w:ascii="Cambria" w:hAnsi="Cambria"/>
          <w:b/>
          <w:noProof/>
          <w:sz w:val="22"/>
          <w:szCs w:val="22"/>
        </w:rPr>
        <mc:AlternateContent>
          <mc:Choice Requires="wps">
            <w:drawing>
              <wp:anchor distT="0" distB="0" distL="114300" distR="114300" simplePos="0" relativeHeight="251658251" behindDoc="0" locked="0" layoutInCell="1" allowOverlap="1" wp14:anchorId="65283B48" wp14:editId="13F73B99">
                <wp:simplePos x="0" y="0"/>
                <wp:positionH relativeFrom="column">
                  <wp:posOffset>4191000</wp:posOffset>
                </wp:positionH>
                <wp:positionV relativeFrom="paragraph">
                  <wp:posOffset>588010</wp:posOffset>
                </wp:positionV>
                <wp:extent cx="295275" cy="123825"/>
                <wp:effectExtent l="38100" t="0" r="9525" b="47625"/>
                <wp:wrapNone/>
                <wp:docPr id="301" name="Down Arrow 301"/>
                <wp:cNvGraphicFramePr/>
                <a:graphic xmlns:a="http://schemas.openxmlformats.org/drawingml/2006/main">
                  <a:graphicData uri="http://schemas.microsoft.com/office/word/2010/wordprocessingShape">
                    <wps:wsp>
                      <wps:cNvSpPr/>
                      <wps:spPr>
                        <a:xfrm>
                          <a:off x="0" y="0"/>
                          <a:ext cx="295275"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51A8A6C" id="Down Arrow 301" o:spid="_x0000_s1026" type="#_x0000_t67" style="position:absolute;margin-left:330pt;margin-top:46.3pt;width:23.25pt;height:9.75pt;z-index:25165825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" adj="10800" fillcolor="#5b9bd5 [3204]" strokecolor="#1f4d78 [1604]" strokeweight="1pt"/>
            </w:pict>
          </mc:Fallback>
        </mc:AlternateContent>
      </w:r>
      <w:r w:rsidRPr="00325FA8">
        <w:rPr>
          <w:b/>
          <w:noProof/>
        </w:rPr>
        <mc:AlternateContent>
          <mc:Choice Requires="wps">
            <w:drawing>
              <wp:anchor distT="0" distB="0" distL="114300" distR="114300" simplePos="0" relativeHeight="251658250" behindDoc="0" locked="0" layoutInCell="1" allowOverlap="1" wp14:anchorId="426A85CD" wp14:editId="0E292EFE">
                <wp:simplePos x="0" y="0"/>
                <wp:positionH relativeFrom="margin">
                  <wp:posOffset>85725</wp:posOffset>
                </wp:positionH>
                <wp:positionV relativeFrom="paragraph">
                  <wp:posOffset>1981200</wp:posOffset>
                </wp:positionV>
                <wp:extent cx="8829675" cy="314325"/>
                <wp:effectExtent l="0" t="0" r="28575" b="28575"/>
                <wp:wrapNone/>
                <wp:docPr id="365" name="Text Box 2" title="Titleholder makes an application to surrender title to the Joint Authority. Once the Joint Authority consents to the surrender, title area becomes vacant acre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9675" cy="314325"/>
                        </a:xfrm>
                        <a:prstGeom prst="roundRect">
                          <a:avLst/>
                        </a:prstGeom>
                        <a:solidFill>
                          <a:schemeClr val="bg1">
                            <a:lumMod val="50000"/>
                          </a:schemeClr>
                        </a:solidFill>
                        <a:ln>
                          <a:solidFill>
                            <a:schemeClr val="bg1">
                              <a:lumMod val="50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131B6C71" w14:textId="46224B47" w:rsidR="00934F2F" w:rsidRPr="005609F1" w:rsidRDefault="00934F2F" w:rsidP="00FE6704">
                            <w:pPr>
                              <w:jc w:val="center"/>
                              <w:rPr>
                                <w:rFonts w:ascii="Calibri" w:hAnsi="Calibri"/>
                                <w:color w:val="FFFFFF" w:themeColor="background1"/>
                                <w:sz w:val="18"/>
                                <w:szCs w:val="18"/>
                              </w:rPr>
                            </w:pPr>
                            <w:bookmarkStart w:id="327" w:name="_Toc475055258"/>
                            <w:bookmarkStart w:id="328" w:name="_Toc475358910"/>
                            <w:bookmarkStart w:id="329" w:name="_Toc479770989"/>
                            <w:bookmarkStart w:id="330" w:name="_Toc479778760"/>
                            <w:bookmarkStart w:id="331" w:name="_Toc479845276"/>
                            <w:bookmarkStart w:id="332" w:name="_Toc482364363"/>
                            <w:bookmarkStart w:id="333" w:name="_Toc486939266"/>
                            <w:bookmarkStart w:id="334" w:name="_Toc486939339"/>
                            <w:bookmarkStart w:id="335" w:name="_Toc486950244"/>
                            <w:bookmarkStart w:id="336" w:name="_Toc486956442"/>
                            <w:bookmarkStart w:id="337" w:name="_Toc489460745"/>
                            <w:bookmarkStart w:id="338" w:name="_Toc489460853"/>
                            <w:r w:rsidRPr="001F7DA7">
                              <w:rPr>
                                <w:rFonts w:ascii="Calibri" w:hAnsi="Calibri"/>
                                <w:color w:val="FFFFFF" w:themeColor="background1"/>
                                <w:sz w:val="18"/>
                                <w:szCs w:val="18"/>
                                <w:u w:val="single"/>
                              </w:rPr>
                              <w:t>Titleholder</w:t>
                            </w:r>
                            <w:r w:rsidRPr="005609F1">
                              <w:rPr>
                                <w:rFonts w:ascii="Calibri" w:hAnsi="Calibri"/>
                                <w:color w:val="FFFFFF" w:themeColor="background1"/>
                                <w:sz w:val="18"/>
                                <w:szCs w:val="18"/>
                              </w:rPr>
                              <w:t xml:space="preserve"> makes</w:t>
                            </w:r>
                            <w:r>
                              <w:rPr>
                                <w:rFonts w:ascii="Calibri" w:hAnsi="Calibri"/>
                                <w:color w:val="FFFFFF" w:themeColor="background1"/>
                                <w:sz w:val="18"/>
                                <w:szCs w:val="18"/>
                              </w:rPr>
                              <w:t xml:space="preserve"> an</w:t>
                            </w:r>
                            <w:r w:rsidRPr="005609F1">
                              <w:rPr>
                                <w:rFonts w:ascii="Calibri" w:hAnsi="Calibri"/>
                                <w:color w:val="FFFFFF" w:themeColor="background1"/>
                                <w:sz w:val="18"/>
                                <w:szCs w:val="18"/>
                              </w:rPr>
                              <w:t xml:space="preserve"> application to surrender title</w:t>
                            </w:r>
                            <w:bookmarkEnd w:id="327"/>
                            <w:bookmarkEnd w:id="328"/>
                            <w:r>
                              <w:rPr>
                                <w:rFonts w:ascii="Calibri" w:hAnsi="Calibri"/>
                                <w:color w:val="FFFFFF" w:themeColor="background1"/>
                                <w:sz w:val="18"/>
                                <w:szCs w:val="18"/>
                              </w:rPr>
                              <w:t xml:space="preserve"> to the Joint Authority. </w:t>
                            </w:r>
                            <w:r w:rsidRPr="005609F1">
                              <w:rPr>
                                <w:rFonts w:ascii="Calibri" w:hAnsi="Calibri"/>
                                <w:color w:val="FFFFFF" w:themeColor="background1"/>
                                <w:sz w:val="18"/>
                                <w:szCs w:val="18"/>
                              </w:rPr>
                              <w:t>Once the Joint Authority consents to the surrender, title area becomes vacant acreage</w:t>
                            </w:r>
                            <w:bookmarkEnd w:id="329"/>
                            <w:bookmarkEnd w:id="330"/>
                            <w:bookmarkEnd w:id="331"/>
                            <w:bookmarkEnd w:id="332"/>
                            <w:bookmarkEnd w:id="333"/>
                            <w:bookmarkEnd w:id="334"/>
                            <w:bookmarkEnd w:id="335"/>
                            <w:r w:rsidRPr="005609F1">
                              <w:rPr>
                                <w:rFonts w:ascii="Calibri" w:hAnsi="Calibri"/>
                                <w:color w:val="FFFFFF" w:themeColor="background1"/>
                                <w:sz w:val="18"/>
                                <w:szCs w:val="18"/>
                              </w:rPr>
                              <w:t>.</w:t>
                            </w:r>
                            <w:bookmarkEnd w:id="336"/>
                            <w:bookmarkEnd w:id="337"/>
                            <w:bookmarkEnd w:id="33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26A85CD" id="_x0000_s1047" alt="Title: Titleholder makes an application to surrender title to the Joint Authority. Once the Joint Authority consents to the surrender, title area becomes vacant acreage." style="position:absolute;margin-left:6.75pt;margin-top:156pt;width:695.25pt;height:24.75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" fillcolor="#7f7f7f [1612]" strokecolor="#7f7f7f [1612]" strokeweight="1pt">
                <v:stroke joinstyle="miter"/>
                <v:textbox>
                  <w:txbxContent>
                    <w:p w14:paraId="131B6C71" w14:textId="46224B47" w:rsidR="00934F2F" w:rsidRPr="005609F1" w:rsidRDefault="00934F2F" w:rsidP="00FE6704">
                      <w:pPr>
                        <w:jc w:val="center"/>
                        <w:rPr>
                          <w:rFonts w:ascii="Calibri" w:hAnsi="Calibri"/>
                          <w:color w:val="FFFFFF" w:themeColor="background1"/>
                          <w:sz w:val="18"/>
                          <w:szCs w:val="18"/>
                        </w:rPr>
                      </w:pPr>
                      <w:bookmarkStart w:id="339" w:name="_Toc475055258"/>
                      <w:bookmarkStart w:id="340" w:name="_Toc475358910"/>
                      <w:bookmarkStart w:id="341" w:name="_Toc479770989"/>
                      <w:bookmarkStart w:id="342" w:name="_Toc479778760"/>
                      <w:bookmarkStart w:id="343" w:name="_Toc479845276"/>
                      <w:bookmarkStart w:id="344" w:name="_Toc482364363"/>
                      <w:bookmarkStart w:id="345" w:name="_Toc486939266"/>
                      <w:bookmarkStart w:id="346" w:name="_Toc486939339"/>
                      <w:bookmarkStart w:id="347" w:name="_Toc486950244"/>
                      <w:bookmarkStart w:id="348" w:name="_Toc486956442"/>
                      <w:bookmarkStart w:id="349" w:name="_Toc489460745"/>
                      <w:bookmarkStart w:id="350" w:name="_Toc489460853"/>
                      <w:r w:rsidRPr="001F7DA7">
                        <w:rPr>
                          <w:rFonts w:ascii="Calibri" w:hAnsi="Calibri"/>
                          <w:color w:val="FFFFFF" w:themeColor="background1"/>
                          <w:sz w:val="18"/>
                          <w:szCs w:val="18"/>
                          <w:u w:val="single"/>
                        </w:rPr>
                        <w:t>Titleholder</w:t>
                      </w:r>
                      <w:r w:rsidRPr="005609F1">
                        <w:rPr>
                          <w:rFonts w:ascii="Calibri" w:hAnsi="Calibri"/>
                          <w:color w:val="FFFFFF" w:themeColor="background1"/>
                          <w:sz w:val="18"/>
                          <w:szCs w:val="18"/>
                        </w:rPr>
                        <w:t xml:space="preserve"> makes</w:t>
                      </w:r>
                      <w:r>
                        <w:rPr>
                          <w:rFonts w:ascii="Calibri" w:hAnsi="Calibri"/>
                          <w:color w:val="FFFFFF" w:themeColor="background1"/>
                          <w:sz w:val="18"/>
                          <w:szCs w:val="18"/>
                        </w:rPr>
                        <w:t xml:space="preserve"> an</w:t>
                      </w:r>
                      <w:r w:rsidRPr="005609F1">
                        <w:rPr>
                          <w:rFonts w:ascii="Calibri" w:hAnsi="Calibri"/>
                          <w:color w:val="FFFFFF" w:themeColor="background1"/>
                          <w:sz w:val="18"/>
                          <w:szCs w:val="18"/>
                        </w:rPr>
                        <w:t xml:space="preserve"> application to surrender title</w:t>
                      </w:r>
                      <w:bookmarkEnd w:id="339"/>
                      <w:bookmarkEnd w:id="340"/>
                      <w:r>
                        <w:rPr>
                          <w:rFonts w:ascii="Calibri" w:hAnsi="Calibri"/>
                          <w:color w:val="FFFFFF" w:themeColor="background1"/>
                          <w:sz w:val="18"/>
                          <w:szCs w:val="18"/>
                        </w:rPr>
                        <w:t xml:space="preserve"> to the Joint Authority. </w:t>
                      </w:r>
                      <w:r w:rsidRPr="005609F1">
                        <w:rPr>
                          <w:rFonts w:ascii="Calibri" w:hAnsi="Calibri"/>
                          <w:color w:val="FFFFFF" w:themeColor="background1"/>
                          <w:sz w:val="18"/>
                          <w:szCs w:val="18"/>
                        </w:rPr>
                        <w:t>Once the Joint Authority consents to the surrender, title area becomes vacant acreage</w:t>
                      </w:r>
                      <w:bookmarkEnd w:id="341"/>
                      <w:bookmarkEnd w:id="342"/>
                      <w:bookmarkEnd w:id="343"/>
                      <w:bookmarkEnd w:id="344"/>
                      <w:bookmarkEnd w:id="345"/>
                      <w:bookmarkEnd w:id="346"/>
                      <w:bookmarkEnd w:id="347"/>
                      <w:r w:rsidRPr="005609F1">
                        <w:rPr>
                          <w:rFonts w:ascii="Calibri" w:hAnsi="Calibri"/>
                          <w:color w:val="FFFFFF" w:themeColor="background1"/>
                          <w:sz w:val="18"/>
                          <w:szCs w:val="18"/>
                        </w:rPr>
                        <w:t>.</w:t>
                      </w:r>
                      <w:bookmarkEnd w:id="348"/>
                      <w:bookmarkEnd w:id="349"/>
                      <w:bookmarkEnd w:id="350"/>
                    </w:p>
                  </w:txbxContent>
                </v:textbox>
                <w10:wrap anchorx="margin"/>
              </v:roundrect>
            </w:pict>
          </mc:Fallback>
        </mc:AlternateContent>
      </w:r>
      <w:r>
        <w:rPr>
          <w:rFonts w:ascii="Cambria" w:hAnsi="Cambria"/>
          <w:b/>
          <w:noProof/>
          <w:sz w:val="22"/>
          <w:szCs w:val="22"/>
        </w:rPr>
        <mc:AlternateContent>
          <mc:Choice Requires="wps">
            <w:drawing>
              <wp:anchor distT="0" distB="0" distL="114300" distR="114300" simplePos="0" relativeHeight="251658261" behindDoc="0" locked="0" layoutInCell="1" allowOverlap="1" wp14:anchorId="40FC4B7B" wp14:editId="7859CAEE">
                <wp:simplePos x="0" y="0"/>
                <wp:positionH relativeFrom="column">
                  <wp:posOffset>4257675</wp:posOffset>
                </wp:positionH>
                <wp:positionV relativeFrom="paragraph">
                  <wp:posOffset>1828165</wp:posOffset>
                </wp:positionV>
                <wp:extent cx="285750" cy="104775"/>
                <wp:effectExtent l="38100" t="0" r="19050" b="47625"/>
                <wp:wrapNone/>
                <wp:docPr id="299" name="Down Arrow 299"/>
                <wp:cNvGraphicFramePr/>
                <a:graphic xmlns:a="http://schemas.openxmlformats.org/drawingml/2006/main">
                  <a:graphicData uri="http://schemas.microsoft.com/office/word/2010/wordprocessingShape">
                    <wps:wsp>
                      <wps:cNvSpPr/>
                      <wps:spPr>
                        <a:xfrm>
                          <a:off x="0" y="0"/>
                          <a:ext cx="285750" cy="1047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B44D3" id="Down Arrow 299" o:spid="_x0000_s1026" type="#_x0000_t67" style="position:absolute;margin-left:335.25pt;margin-top:143.95pt;width:22.5pt;height:8.2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" adj="10800" fillcolor="#5b9bd5 [3204]" strokecolor="#1f4d78 [1604]" strokeweight="1pt"/>
            </w:pict>
          </mc:Fallback>
        </mc:AlternateContent>
      </w:r>
      <w:r w:rsidRPr="00325FA8">
        <w:rPr>
          <w:b/>
          <w:noProof/>
        </w:rPr>
        <mc:AlternateContent>
          <mc:Choice Requires="wps">
            <w:drawing>
              <wp:anchor distT="0" distB="0" distL="114300" distR="114300" simplePos="0" relativeHeight="251658260" behindDoc="0" locked="0" layoutInCell="1" allowOverlap="1" wp14:anchorId="2A2A4F73" wp14:editId="6E01B865">
                <wp:simplePos x="0" y="0"/>
                <wp:positionH relativeFrom="column">
                  <wp:posOffset>4543425</wp:posOffset>
                </wp:positionH>
                <wp:positionV relativeFrom="paragraph">
                  <wp:posOffset>1228725</wp:posOffset>
                </wp:positionV>
                <wp:extent cx="2543175" cy="581025"/>
                <wp:effectExtent l="0" t="0" r="28575" b="28575"/>
                <wp:wrapNone/>
                <wp:docPr id="290" name="Text Box 2" title="OPGGS (RMA) Regulation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581025"/>
                        </a:xfrm>
                        <a:prstGeom prst="roundRect">
                          <a:avLst/>
                        </a:prstGeom>
                        <a:solidFill>
                          <a:schemeClr val="accent1">
                            <a:lumMod val="75000"/>
                          </a:schemeClr>
                        </a:solidFill>
                        <a:ln>
                          <a:solidFill>
                            <a:schemeClr val="accent1">
                              <a:lumMod val="75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3644549E" w14:textId="766F0816" w:rsidR="00934F2F" w:rsidRPr="00111ECC" w:rsidRDefault="00934F2F" w:rsidP="00645199">
                            <w:pPr>
                              <w:jc w:val="center"/>
                              <w:rPr>
                                <w:rFonts w:ascii="Calibri" w:hAnsi="Calibri"/>
                                <w:b/>
                                <w:color w:val="FFFFFF" w:themeColor="background1"/>
                                <w:sz w:val="18"/>
                                <w:szCs w:val="18"/>
                                <w:u w:val="single"/>
                              </w:rPr>
                            </w:pPr>
                            <w:r>
                              <w:rPr>
                                <w:rFonts w:ascii="Calibri" w:hAnsi="Calibri"/>
                                <w:b/>
                                <w:color w:val="FFFFFF" w:themeColor="background1"/>
                                <w:sz w:val="18"/>
                                <w:szCs w:val="18"/>
                                <w:u w:val="single"/>
                              </w:rPr>
                              <w:t>OPGGS (RMA) Regulations</w:t>
                            </w:r>
                          </w:p>
                          <w:p w14:paraId="7656CC48" w14:textId="449D2535" w:rsidR="00934F2F" w:rsidRPr="00E303D8" w:rsidRDefault="00934F2F" w:rsidP="00645199">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notifies NOPSEMA of end of well </w:t>
                            </w:r>
                            <w:proofErr w:type="gramStart"/>
                            <w:r>
                              <w:rPr>
                                <w:rFonts w:ascii="Calibri" w:hAnsi="Calibri"/>
                                <w:color w:val="FFFFFF" w:themeColor="background1"/>
                                <w:sz w:val="18"/>
                                <w:szCs w:val="18"/>
                              </w:rPr>
                              <w:t>activities, and</w:t>
                            </w:r>
                            <w:proofErr w:type="gramEnd"/>
                            <w:r>
                              <w:rPr>
                                <w:rFonts w:ascii="Calibri" w:hAnsi="Calibri"/>
                                <w:color w:val="FFFFFF" w:themeColor="background1"/>
                                <w:sz w:val="18"/>
                                <w:szCs w:val="18"/>
                              </w:rPr>
                              <w:t xml:space="preserve"> submits abandonment report.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A2A4F73" id="_x0000_s1048" alt="Title: OPGGS (RMA) Regulations" style="position:absolute;margin-left:357.75pt;margin-top:96.75pt;width:200.25pt;height:45.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" fillcolor="#2e74b5 [2404]" strokecolor="#2e74b5 [2404]" strokeweight="1pt">
                <v:stroke joinstyle="miter"/>
                <v:textbox>
                  <w:txbxContent>
                    <w:p w14:paraId="3644549E" w14:textId="766F0816" w:rsidR="00934F2F" w:rsidRPr="00111ECC" w:rsidRDefault="00934F2F" w:rsidP="00645199">
                      <w:pPr>
                        <w:jc w:val="center"/>
                        <w:rPr>
                          <w:rFonts w:ascii="Calibri" w:hAnsi="Calibri"/>
                          <w:b/>
                          <w:color w:val="FFFFFF" w:themeColor="background1"/>
                          <w:sz w:val="18"/>
                          <w:szCs w:val="18"/>
                          <w:u w:val="single"/>
                        </w:rPr>
                      </w:pPr>
                      <w:r>
                        <w:rPr>
                          <w:rFonts w:ascii="Calibri" w:hAnsi="Calibri"/>
                          <w:b/>
                          <w:color w:val="FFFFFF" w:themeColor="background1"/>
                          <w:sz w:val="18"/>
                          <w:szCs w:val="18"/>
                          <w:u w:val="single"/>
                        </w:rPr>
                        <w:t>OPGGS (RMA) Regulations</w:t>
                      </w:r>
                    </w:p>
                    <w:p w14:paraId="7656CC48" w14:textId="449D2535" w:rsidR="00934F2F" w:rsidRPr="00E303D8" w:rsidRDefault="00934F2F" w:rsidP="00645199">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notifies NOPSEMA of end of well </w:t>
                      </w:r>
                      <w:proofErr w:type="gramStart"/>
                      <w:r>
                        <w:rPr>
                          <w:rFonts w:ascii="Calibri" w:hAnsi="Calibri"/>
                          <w:color w:val="FFFFFF" w:themeColor="background1"/>
                          <w:sz w:val="18"/>
                          <w:szCs w:val="18"/>
                        </w:rPr>
                        <w:t>activities, and</w:t>
                      </w:r>
                      <w:proofErr w:type="gramEnd"/>
                      <w:r>
                        <w:rPr>
                          <w:rFonts w:ascii="Calibri" w:hAnsi="Calibri"/>
                          <w:color w:val="FFFFFF" w:themeColor="background1"/>
                          <w:sz w:val="18"/>
                          <w:szCs w:val="18"/>
                        </w:rPr>
                        <w:t xml:space="preserve"> submits abandonment report. </w:t>
                      </w:r>
                    </w:p>
                  </w:txbxContent>
                </v:textbox>
              </v:roundrect>
            </w:pict>
          </mc:Fallback>
        </mc:AlternateContent>
      </w:r>
      <w:r w:rsidRPr="00325FA8">
        <w:rPr>
          <w:b/>
          <w:noProof/>
        </w:rPr>
        <mc:AlternateContent>
          <mc:Choice Requires="wps">
            <w:drawing>
              <wp:anchor distT="0" distB="0" distL="114300" distR="114300" simplePos="0" relativeHeight="251658259" behindDoc="0" locked="0" layoutInCell="1" allowOverlap="1" wp14:anchorId="39C0FD8A" wp14:editId="602A2E4D">
                <wp:simplePos x="0" y="0"/>
                <wp:positionH relativeFrom="column">
                  <wp:posOffset>2143125</wp:posOffset>
                </wp:positionH>
                <wp:positionV relativeFrom="paragraph">
                  <wp:posOffset>1190625</wp:posOffset>
                </wp:positionV>
                <wp:extent cx="2047875" cy="552450"/>
                <wp:effectExtent l="0" t="0" r="28575" b="19050"/>
                <wp:wrapNone/>
                <wp:docPr id="31" name="Text Box 2" title="OPGGS (Environment) Regulation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52450"/>
                        </a:xfrm>
                        <a:prstGeom prst="roundRect">
                          <a:avLst/>
                        </a:prstGeom>
                        <a:solidFill>
                          <a:schemeClr val="accent1">
                            <a:lumMod val="75000"/>
                          </a:schemeClr>
                        </a:solidFill>
                        <a:ln>
                          <a:solidFill>
                            <a:schemeClr val="accent1">
                              <a:lumMod val="75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603601FE" w14:textId="12F759FF" w:rsidR="00934F2F" w:rsidRPr="00111ECC" w:rsidRDefault="00934F2F" w:rsidP="00645199">
                            <w:pPr>
                              <w:jc w:val="center"/>
                              <w:rPr>
                                <w:rFonts w:ascii="Calibri" w:hAnsi="Calibri"/>
                                <w:b/>
                                <w:color w:val="FFFFFF" w:themeColor="background1"/>
                                <w:sz w:val="18"/>
                                <w:szCs w:val="18"/>
                                <w:u w:val="single"/>
                              </w:rPr>
                            </w:pPr>
                            <w:r>
                              <w:rPr>
                                <w:rFonts w:ascii="Calibri" w:hAnsi="Calibri"/>
                                <w:b/>
                                <w:color w:val="FFFFFF" w:themeColor="background1"/>
                                <w:sz w:val="18"/>
                                <w:szCs w:val="18"/>
                                <w:u w:val="single"/>
                              </w:rPr>
                              <w:t>OPGGS (Environment) Regulations</w:t>
                            </w:r>
                          </w:p>
                          <w:p w14:paraId="2A45F34E" w14:textId="18A31D06" w:rsidR="00934F2F" w:rsidRPr="00E303D8" w:rsidRDefault="00934F2F" w:rsidP="00645199">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notifies NOPSEMA of end of activities under EP.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9C0FD8A" id="_x0000_s1049" alt="Title: OPGGS (Environment) Regulations" style="position:absolute;margin-left:168.75pt;margin-top:93.75pt;width:161.25pt;height:43.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" fillcolor="#2e74b5 [2404]" strokecolor="#2e74b5 [2404]" strokeweight="1pt">
                <v:stroke joinstyle="miter"/>
                <v:textbox>
                  <w:txbxContent>
                    <w:p w14:paraId="603601FE" w14:textId="12F759FF" w:rsidR="00934F2F" w:rsidRPr="00111ECC" w:rsidRDefault="00934F2F" w:rsidP="00645199">
                      <w:pPr>
                        <w:jc w:val="center"/>
                        <w:rPr>
                          <w:rFonts w:ascii="Calibri" w:hAnsi="Calibri"/>
                          <w:b/>
                          <w:color w:val="FFFFFF" w:themeColor="background1"/>
                          <w:sz w:val="18"/>
                          <w:szCs w:val="18"/>
                          <w:u w:val="single"/>
                        </w:rPr>
                      </w:pPr>
                      <w:r>
                        <w:rPr>
                          <w:rFonts w:ascii="Calibri" w:hAnsi="Calibri"/>
                          <w:b/>
                          <w:color w:val="FFFFFF" w:themeColor="background1"/>
                          <w:sz w:val="18"/>
                          <w:szCs w:val="18"/>
                          <w:u w:val="single"/>
                        </w:rPr>
                        <w:t>OPGGS (Environment) Regulations</w:t>
                      </w:r>
                    </w:p>
                    <w:p w14:paraId="2A45F34E" w14:textId="18A31D06" w:rsidR="00934F2F" w:rsidRPr="00E303D8" w:rsidRDefault="00934F2F" w:rsidP="00645199">
                      <w:pPr>
                        <w:jc w:val="center"/>
                        <w:rPr>
                          <w:rFonts w:ascii="Calibri" w:hAnsi="Calibri"/>
                          <w:color w:val="FFFFFF" w:themeColor="background1"/>
                          <w:sz w:val="18"/>
                          <w:szCs w:val="18"/>
                        </w:rPr>
                      </w:pPr>
                      <w:r w:rsidRPr="001F7DA7">
                        <w:rPr>
                          <w:rFonts w:ascii="Calibri" w:hAnsi="Calibri"/>
                          <w:color w:val="FFFFFF" w:themeColor="background1"/>
                          <w:sz w:val="18"/>
                          <w:szCs w:val="18"/>
                          <w:u w:val="single"/>
                        </w:rPr>
                        <w:t>Titleholder</w:t>
                      </w:r>
                      <w:r>
                        <w:rPr>
                          <w:rFonts w:ascii="Calibri" w:hAnsi="Calibri"/>
                          <w:color w:val="FFFFFF" w:themeColor="background1"/>
                          <w:sz w:val="18"/>
                          <w:szCs w:val="18"/>
                        </w:rPr>
                        <w:t xml:space="preserve"> notifies NOPSEMA of end of activities under EP. </w:t>
                      </w:r>
                    </w:p>
                  </w:txbxContent>
                </v:textbox>
              </v:roundrect>
            </w:pict>
          </mc:Fallback>
        </mc:AlternateContent>
      </w:r>
      <w:r w:rsidRPr="00325FA8">
        <w:rPr>
          <w:b/>
          <w:noProof/>
        </w:rPr>
        <mc:AlternateContent>
          <mc:Choice Requires="wps">
            <w:drawing>
              <wp:anchor distT="0" distB="0" distL="114300" distR="114300" simplePos="0" relativeHeight="251658249" behindDoc="0" locked="0" layoutInCell="1" allowOverlap="1" wp14:anchorId="78C591F8" wp14:editId="729F7E58">
                <wp:simplePos x="0" y="0"/>
                <wp:positionH relativeFrom="margin">
                  <wp:posOffset>1000125</wp:posOffset>
                </wp:positionH>
                <wp:positionV relativeFrom="paragraph">
                  <wp:posOffset>733425</wp:posOffset>
                </wp:positionV>
                <wp:extent cx="6772275" cy="304800"/>
                <wp:effectExtent l="0" t="0" r="28575" b="19050"/>
                <wp:wrapNone/>
                <wp:docPr id="344" name="Text Box 2" title="Titleholder decommissions infrastructure (including plugging and abandoning wells) in accordance with accepted permissioning document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275" cy="304800"/>
                        </a:xfrm>
                        <a:prstGeom prst="roundRect">
                          <a:avLst/>
                        </a:prstGeom>
                        <a:solidFill>
                          <a:schemeClr val="bg1">
                            <a:lumMod val="50000"/>
                          </a:schemeClr>
                        </a:solidFill>
                        <a:ln>
                          <a:solidFill>
                            <a:schemeClr val="bg1">
                              <a:lumMod val="50000"/>
                            </a:schemeClr>
                          </a:solidFill>
                          <a:headEnd/>
                          <a:tailEnd/>
                        </a:ln>
                      </wps:spPr>
                      <wps:style>
                        <a:lnRef idx="2">
                          <a:schemeClr val="accent1"/>
                        </a:lnRef>
                        <a:fillRef idx="1">
                          <a:schemeClr val="lt1"/>
                        </a:fillRef>
                        <a:effectRef idx="0">
                          <a:schemeClr val="accent1"/>
                        </a:effectRef>
                        <a:fontRef idx="minor">
                          <a:schemeClr val="dk1"/>
                        </a:fontRef>
                      </wps:style>
                      <wps:txbx>
                        <w:txbxContent>
                          <w:p w14:paraId="34D4A6DB" w14:textId="3CDDF7E4" w:rsidR="00934F2F" w:rsidRPr="005609F1" w:rsidRDefault="00934F2F" w:rsidP="005609F1">
                            <w:pPr>
                              <w:jc w:val="center"/>
                              <w:rPr>
                                <w:rFonts w:ascii="Calibri" w:hAnsi="Calibri"/>
                                <w:color w:val="FFFFFF" w:themeColor="background1"/>
                                <w:sz w:val="18"/>
                                <w:szCs w:val="18"/>
                              </w:rPr>
                            </w:pPr>
                            <w:r>
                              <w:rPr>
                                <w:rFonts w:ascii="Calibri" w:hAnsi="Calibri"/>
                                <w:color w:val="FFFFFF" w:themeColor="background1"/>
                                <w:sz w:val="18"/>
                                <w:szCs w:val="18"/>
                              </w:rPr>
                              <w:t>Titleholder decommissions infrastructure (including plugging and abandoning wells) in accordance with accepted permissioning documents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78C591F8" id="_x0000_s1050" alt="Title: Titleholder decommissions infrastructure (including plugging and abandoning wells) in accordance with accepted permissioning documents" style="position:absolute;margin-left:78.75pt;margin-top:57.75pt;width:533.25pt;height:24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" fillcolor="#7f7f7f [1612]" strokecolor="#7f7f7f [1612]" strokeweight="1pt">
                <v:stroke joinstyle="miter"/>
                <v:textbox>
                  <w:txbxContent>
                    <w:p w14:paraId="34D4A6DB" w14:textId="3CDDF7E4" w:rsidR="00934F2F" w:rsidRPr="005609F1" w:rsidRDefault="00934F2F" w:rsidP="005609F1">
                      <w:pPr>
                        <w:jc w:val="center"/>
                        <w:rPr>
                          <w:rFonts w:ascii="Calibri" w:hAnsi="Calibri"/>
                          <w:color w:val="FFFFFF" w:themeColor="background1"/>
                          <w:sz w:val="18"/>
                          <w:szCs w:val="18"/>
                        </w:rPr>
                      </w:pPr>
                      <w:r>
                        <w:rPr>
                          <w:rFonts w:ascii="Calibri" w:hAnsi="Calibri"/>
                          <w:color w:val="FFFFFF" w:themeColor="background1"/>
                          <w:sz w:val="18"/>
                          <w:szCs w:val="18"/>
                        </w:rPr>
                        <w:t>Titleholder decommissions infrastructure (including plugging and abandoning wells) in accordance with accepted permissioning documents</w:t>
                      </w:r>
                    </w:p>
                  </w:txbxContent>
                </v:textbox>
                <w10:wrap anchorx="margin"/>
              </v:roundrect>
            </w:pict>
          </mc:Fallback>
        </mc:AlternateContent>
      </w:r>
      <w:r>
        <w:rPr>
          <w:rFonts w:ascii="Cambria" w:hAnsi="Cambria"/>
          <w:b/>
          <w:noProof/>
          <w:sz w:val="22"/>
          <w:szCs w:val="22"/>
        </w:rPr>
        <mc:AlternateContent>
          <mc:Choice Requires="wps">
            <w:drawing>
              <wp:anchor distT="0" distB="0" distL="114300" distR="114300" simplePos="0" relativeHeight="251658252" behindDoc="0" locked="0" layoutInCell="1" allowOverlap="1" wp14:anchorId="43523D25" wp14:editId="2C9DAA88">
                <wp:simplePos x="0" y="0"/>
                <wp:positionH relativeFrom="column">
                  <wp:posOffset>4257040</wp:posOffset>
                </wp:positionH>
                <wp:positionV relativeFrom="paragraph">
                  <wp:posOffset>1035050</wp:posOffset>
                </wp:positionV>
                <wp:extent cx="219075" cy="123825"/>
                <wp:effectExtent l="38100" t="0" r="9525" b="47625"/>
                <wp:wrapNone/>
                <wp:docPr id="322" name="Down Arrow 322"/>
                <wp:cNvGraphicFramePr/>
                <a:graphic xmlns:a="http://schemas.openxmlformats.org/drawingml/2006/main">
                  <a:graphicData uri="http://schemas.microsoft.com/office/word/2010/wordprocessingShape">
                    <wps:wsp>
                      <wps:cNvSpPr/>
                      <wps:spPr>
                        <a:xfrm>
                          <a:off x="0" y="0"/>
                          <a:ext cx="219075"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80E1A" id="Down Arrow 322" o:spid="_x0000_s1026" type="#_x0000_t67" style="position:absolute;margin-left:335.2pt;margin-top:81.5pt;width:17.25pt;height:9.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" adj="10800" fillcolor="#5b9bd5 [3204]" strokecolor="#1f4d78 [1604]" strokeweight="1pt"/>
            </w:pict>
          </mc:Fallback>
        </mc:AlternateContent>
      </w:r>
    </w:p>
    <w:p w14:paraId="6628654B" w14:textId="2F1A9AEA" w:rsidR="006F1E42" w:rsidRPr="002921C9" w:rsidRDefault="006F1E42" w:rsidP="002921C9">
      <w:pPr>
        <w:pStyle w:val="Heading1"/>
        <w:rPr>
          <w:rFonts w:ascii="Cambria" w:hAnsi="Cambria"/>
          <w:b/>
          <w:lang w:eastAsia="en-US"/>
        </w:rPr>
      </w:pPr>
      <w:bookmarkStart w:id="351" w:name="_Toc479778777"/>
      <w:bookmarkStart w:id="352" w:name="_Toc479845292"/>
      <w:bookmarkStart w:id="353" w:name="_Toc489460854"/>
      <w:bookmarkEnd w:id="299"/>
      <w:bookmarkEnd w:id="300"/>
      <w:bookmarkEnd w:id="301"/>
      <w:bookmarkEnd w:id="302"/>
      <w:bookmarkEnd w:id="303"/>
      <w:bookmarkEnd w:id="319"/>
      <w:bookmarkEnd w:id="320"/>
      <w:r w:rsidRPr="002921C9">
        <w:rPr>
          <w:rFonts w:ascii="Cambria" w:hAnsi="Cambria"/>
          <w:b/>
          <w:lang w:eastAsia="en-US"/>
        </w:rPr>
        <w:lastRenderedPageBreak/>
        <w:t>Glossary of key terms</w:t>
      </w:r>
      <w:bookmarkEnd w:id="351"/>
      <w:bookmarkEnd w:id="352"/>
      <w:bookmarkEnd w:id="353"/>
    </w:p>
    <w:p w14:paraId="701E19EF" w14:textId="65FF1376" w:rsidR="00E60C61" w:rsidRPr="007904A9" w:rsidRDefault="00342CC5" w:rsidP="00D40D19">
      <w:pPr>
        <w:spacing w:before="120" w:after="120" w:line="276" w:lineRule="auto"/>
        <w:rPr>
          <w:rFonts w:ascii="Calibri" w:hAnsi="Calibri"/>
          <w:sz w:val="22"/>
          <w:szCs w:val="22"/>
          <w:lang w:eastAsia="en-US"/>
        </w:rPr>
      </w:pPr>
      <w:r>
        <w:rPr>
          <w:rFonts w:ascii="Calibri" w:hAnsi="Calibri"/>
          <w:sz w:val="22"/>
          <w:szCs w:val="22"/>
          <w:lang w:eastAsia="en-US"/>
        </w:rPr>
        <w:t xml:space="preserve">Provided below are definitions of </w:t>
      </w:r>
      <w:r w:rsidR="00580A1D">
        <w:rPr>
          <w:rFonts w:ascii="Calibri" w:hAnsi="Calibri"/>
          <w:sz w:val="22"/>
          <w:szCs w:val="22"/>
          <w:lang w:eastAsia="en-US"/>
        </w:rPr>
        <w:t>some of the key terms used throughout the</w:t>
      </w:r>
      <w:r>
        <w:rPr>
          <w:rFonts w:ascii="Calibri" w:hAnsi="Calibri"/>
          <w:sz w:val="22"/>
          <w:szCs w:val="22"/>
          <w:lang w:eastAsia="en-US"/>
        </w:rPr>
        <w:t xml:space="preserve"> Guideline</w:t>
      </w:r>
      <w:r w:rsidR="00A4093D">
        <w:rPr>
          <w:rFonts w:ascii="Calibri" w:hAnsi="Calibri"/>
          <w:sz w:val="22"/>
          <w:szCs w:val="22"/>
          <w:lang w:eastAsia="en-US"/>
        </w:rPr>
        <w:t xml:space="preserve">. </w:t>
      </w:r>
      <w:r>
        <w:rPr>
          <w:rFonts w:ascii="Calibri" w:hAnsi="Calibri"/>
          <w:sz w:val="22"/>
          <w:szCs w:val="22"/>
          <w:lang w:eastAsia="en-US"/>
        </w:rPr>
        <w:t xml:space="preserve">Please note </w:t>
      </w:r>
      <w:r w:rsidR="00905385">
        <w:rPr>
          <w:rFonts w:ascii="Calibri" w:hAnsi="Calibri"/>
          <w:sz w:val="22"/>
          <w:szCs w:val="22"/>
          <w:lang w:eastAsia="en-US"/>
        </w:rPr>
        <w:t>that these</w:t>
      </w:r>
      <w:r>
        <w:rPr>
          <w:rFonts w:ascii="Calibri" w:hAnsi="Calibri"/>
          <w:sz w:val="22"/>
          <w:szCs w:val="22"/>
          <w:lang w:eastAsia="en-US"/>
        </w:rPr>
        <w:t xml:space="preserve"> definitions </w:t>
      </w:r>
      <w:r w:rsidR="002F0F80">
        <w:rPr>
          <w:rFonts w:ascii="Calibri" w:hAnsi="Calibri"/>
          <w:sz w:val="22"/>
          <w:szCs w:val="22"/>
          <w:lang w:eastAsia="en-US"/>
        </w:rPr>
        <w:t>are</w:t>
      </w:r>
      <w:r>
        <w:rPr>
          <w:rFonts w:ascii="Calibri" w:hAnsi="Calibri"/>
          <w:sz w:val="22"/>
          <w:szCs w:val="22"/>
          <w:lang w:eastAsia="en-US"/>
        </w:rPr>
        <w:t xml:space="preserve"> for the </w:t>
      </w:r>
      <w:r w:rsidR="002F0F80">
        <w:rPr>
          <w:rFonts w:ascii="Calibri" w:hAnsi="Calibri"/>
          <w:sz w:val="22"/>
          <w:szCs w:val="22"/>
          <w:lang w:eastAsia="en-US"/>
        </w:rPr>
        <w:t>purposes of this document only. They</w:t>
      </w:r>
      <w:r>
        <w:rPr>
          <w:rFonts w:ascii="Calibri" w:hAnsi="Calibri"/>
          <w:sz w:val="22"/>
          <w:szCs w:val="22"/>
          <w:lang w:eastAsia="en-US"/>
        </w:rPr>
        <w:t xml:space="preserve"> should not be taken as a substitute for definitions provided in the OPGGS Act</w:t>
      </w:r>
      <w:r w:rsidR="00905385">
        <w:rPr>
          <w:rFonts w:ascii="Calibri" w:hAnsi="Calibri"/>
          <w:sz w:val="22"/>
          <w:szCs w:val="22"/>
          <w:lang w:eastAsia="en-US"/>
        </w:rPr>
        <w:t>, the regulations,</w:t>
      </w:r>
      <w:r>
        <w:rPr>
          <w:rFonts w:ascii="Calibri" w:hAnsi="Calibri"/>
          <w:sz w:val="22"/>
          <w:szCs w:val="22"/>
          <w:lang w:eastAsia="en-US"/>
        </w:rPr>
        <w:t xml:space="preserve"> or other relevant legislation</w:t>
      </w:r>
      <w:r w:rsidR="00E60C61">
        <w:rPr>
          <w:rFonts w:ascii="Calibri" w:hAnsi="Calibri"/>
          <w:sz w:val="22"/>
          <w:szCs w:val="22"/>
          <w:lang w:eastAsia="en-US"/>
        </w:rPr>
        <w:t>.</w:t>
      </w:r>
    </w:p>
    <w:p w14:paraId="1949DD5D" w14:textId="25053A50" w:rsidR="00366289" w:rsidRPr="00624A91" w:rsidRDefault="00905385" w:rsidP="00125D28">
      <w:pPr>
        <w:pStyle w:val="Heading2"/>
      </w:pPr>
      <w:bookmarkStart w:id="354" w:name="_Toc475358974"/>
      <w:bookmarkStart w:id="355" w:name="_Toc479771007"/>
      <w:bookmarkStart w:id="356" w:name="_Toc479778778"/>
      <w:bookmarkStart w:id="357" w:name="_Toc479845293"/>
      <w:bookmarkStart w:id="358" w:name="_Toc482364379"/>
      <w:bookmarkStart w:id="359" w:name="_Toc486939355"/>
      <w:bookmarkStart w:id="360" w:name="_Toc486950253"/>
      <w:bookmarkStart w:id="361" w:name="_Toc486956450"/>
      <w:bookmarkStart w:id="362" w:name="_Toc489460855"/>
      <w:r>
        <w:t>As l</w:t>
      </w:r>
      <w:r w:rsidR="002E66F3" w:rsidRPr="00624A91">
        <w:t xml:space="preserve">ow as </w:t>
      </w:r>
      <w:r>
        <w:t>reasonably p</w:t>
      </w:r>
      <w:r w:rsidR="00366289" w:rsidRPr="00624A91">
        <w:t>racticable</w:t>
      </w:r>
      <w:bookmarkEnd w:id="354"/>
      <w:bookmarkEnd w:id="355"/>
      <w:bookmarkEnd w:id="356"/>
      <w:bookmarkEnd w:id="357"/>
      <w:bookmarkEnd w:id="358"/>
      <w:bookmarkEnd w:id="359"/>
      <w:bookmarkEnd w:id="360"/>
      <w:bookmarkEnd w:id="361"/>
      <w:bookmarkEnd w:id="362"/>
    </w:p>
    <w:p w14:paraId="001D5330" w14:textId="323623A9" w:rsidR="002E66F3" w:rsidRPr="00ED3D7E" w:rsidRDefault="00905385" w:rsidP="00D40D19">
      <w:pPr>
        <w:spacing w:before="120" w:after="120" w:line="276" w:lineRule="auto"/>
        <w:rPr>
          <w:rFonts w:asciiTheme="minorHAnsi" w:hAnsiTheme="minorHAnsi"/>
          <w:sz w:val="22"/>
          <w:szCs w:val="22"/>
        </w:rPr>
      </w:pPr>
      <w:r>
        <w:rPr>
          <w:rFonts w:asciiTheme="minorHAnsi" w:hAnsiTheme="minorHAnsi"/>
          <w:sz w:val="22"/>
          <w:szCs w:val="22"/>
        </w:rPr>
        <w:t xml:space="preserve">Refers to reducing impacts and risks to a level that is as low as reasonably practicable (ALARP). </w:t>
      </w:r>
      <w:r w:rsidR="005A13A3">
        <w:rPr>
          <w:rFonts w:asciiTheme="minorHAnsi" w:hAnsiTheme="minorHAnsi"/>
          <w:sz w:val="22"/>
          <w:szCs w:val="22"/>
        </w:rPr>
        <w:t>In</w:t>
      </w:r>
      <w:r w:rsidR="005A13A3">
        <w:t> </w:t>
      </w:r>
      <w:r w:rsidR="00DE76AA">
        <w:rPr>
          <w:rFonts w:asciiTheme="minorHAnsi" w:hAnsiTheme="minorHAnsi"/>
          <w:sz w:val="22"/>
          <w:szCs w:val="22"/>
        </w:rPr>
        <w:t>practice, this means the duty</w:t>
      </w:r>
      <w:r w:rsidR="00DA3897">
        <w:rPr>
          <w:rFonts w:asciiTheme="minorHAnsi" w:hAnsiTheme="minorHAnsi"/>
          <w:sz w:val="22"/>
          <w:szCs w:val="22"/>
        </w:rPr>
        <w:t xml:space="preserve"> holder (e.g. titleholder or operator) </w:t>
      </w:r>
      <w:r>
        <w:rPr>
          <w:rFonts w:asciiTheme="minorHAnsi" w:hAnsiTheme="minorHAnsi"/>
          <w:sz w:val="22"/>
          <w:szCs w:val="22"/>
        </w:rPr>
        <w:t>must</w:t>
      </w:r>
      <w:r w:rsidR="00DE76AA">
        <w:rPr>
          <w:rFonts w:asciiTheme="minorHAnsi" w:hAnsiTheme="minorHAnsi"/>
          <w:sz w:val="22"/>
          <w:szCs w:val="22"/>
        </w:rPr>
        <w:t xml:space="preserve"> show</w:t>
      </w:r>
      <w:r>
        <w:rPr>
          <w:rFonts w:asciiTheme="minorHAnsi" w:hAnsiTheme="minorHAnsi"/>
          <w:sz w:val="22"/>
          <w:szCs w:val="22"/>
        </w:rPr>
        <w:t>,</w:t>
      </w:r>
      <w:r w:rsidR="00DE76AA">
        <w:rPr>
          <w:rFonts w:asciiTheme="minorHAnsi" w:hAnsiTheme="minorHAnsi"/>
          <w:sz w:val="22"/>
          <w:szCs w:val="22"/>
        </w:rPr>
        <w:t xml:space="preserve"> through reasoned and supported arguments</w:t>
      </w:r>
      <w:r>
        <w:rPr>
          <w:rFonts w:asciiTheme="minorHAnsi" w:hAnsiTheme="minorHAnsi"/>
          <w:sz w:val="22"/>
          <w:szCs w:val="22"/>
        </w:rPr>
        <w:t>,</w:t>
      </w:r>
      <w:r w:rsidR="00DE76AA">
        <w:rPr>
          <w:rFonts w:asciiTheme="minorHAnsi" w:hAnsiTheme="minorHAnsi"/>
          <w:sz w:val="22"/>
          <w:szCs w:val="22"/>
        </w:rPr>
        <w:t xml:space="preserve"> that there are no other practicable </w:t>
      </w:r>
      <w:r w:rsidR="00DA3897">
        <w:rPr>
          <w:rFonts w:asciiTheme="minorHAnsi" w:hAnsiTheme="minorHAnsi"/>
          <w:sz w:val="22"/>
          <w:szCs w:val="22"/>
        </w:rPr>
        <w:t>options</w:t>
      </w:r>
      <w:r w:rsidR="00DE76AA">
        <w:rPr>
          <w:rFonts w:asciiTheme="minorHAnsi" w:hAnsiTheme="minorHAnsi"/>
          <w:sz w:val="22"/>
          <w:szCs w:val="22"/>
        </w:rPr>
        <w:t xml:space="preserve"> that could reasonably be adopted to reduce risks further. </w:t>
      </w:r>
      <w:r>
        <w:rPr>
          <w:rFonts w:asciiTheme="minorHAnsi" w:hAnsiTheme="minorHAnsi"/>
          <w:sz w:val="22"/>
          <w:szCs w:val="22"/>
        </w:rPr>
        <w:t>Risk</w:t>
      </w:r>
      <w:r w:rsidR="004F3733">
        <w:rPr>
          <w:rFonts w:asciiTheme="minorHAnsi" w:hAnsiTheme="minorHAnsi"/>
          <w:sz w:val="22"/>
          <w:szCs w:val="22"/>
        </w:rPr>
        <w:t>s</w:t>
      </w:r>
      <w:r>
        <w:rPr>
          <w:rFonts w:asciiTheme="minorHAnsi" w:hAnsiTheme="minorHAnsi"/>
          <w:sz w:val="22"/>
          <w:szCs w:val="22"/>
        </w:rPr>
        <w:t xml:space="preserve"> are generally considered to be reduced to ALARP when the costs of reducing risks further are considered grossly disproportionate to the level of risk reduction achieved.</w:t>
      </w:r>
    </w:p>
    <w:p w14:paraId="10995850" w14:textId="5B8ADCFA" w:rsidR="00D315C0" w:rsidRDefault="00D315C0" w:rsidP="00125D28">
      <w:pPr>
        <w:pStyle w:val="Heading2"/>
      </w:pPr>
      <w:bookmarkStart w:id="363" w:name="_Toc479771008"/>
      <w:bookmarkStart w:id="364" w:name="_Toc479778779"/>
      <w:bookmarkStart w:id="365" w:name="_Toc479845294"/>
      <w:bookmarkStart w:id="366" w:name="_Toc482364380"/>
      <w:bookmarkStart w:id="367" w:name="_Toc486939356"/>
      <w:bookmarkStart w:id="368" w:name="_Toc486950254"/>
      <w:bookmarkStart w:id="369" w:name="_Toc486956451"/>
      <w:bookmarkStart w:id="370" w:name="_Toc489460856"/>
      <w:bookmarkStart w:id="371" w:name="_Toc475358975"/>
      <w:r>
        <w:t>Coastal waters</w:t>
      </w:r>
      <w:bookmarkEnd w:id="363"/>
      <w:bookmarkEnd w:id="364"/>
      <w:bookmarkEnd w:id="365"/>
      <w:bookmarkEnd w:id="366"/>
      <w:bookmarkEnd w:id="367"/>
      <w:bookmarkEnd w:id="368"/>
      <w:bookmarkEnd w:id="369"/>
      <w:bookmarkEnd w:id="370"/>
    </w:p>
    <w:p w14:paraId="2C9B43F5" w14:textId="589BA588" w:rsidR="00D315C0" w:rsidRPr="00D315C0" w:rsidRDefault="002F0F80" w:rsidP="008B7C22">
      <w:pPr>
        <w:spacing w:line="276" w:lineRule="auto"/>
      </w:pPr>
      <w:r>
        <w:rPr>
          <w:rFonts w:ascii="Calibri" w:hAnsi="Calibri"/>
          <w:sz w:val="22"/>
          <w:szCs w:val="22"/>
        </w:rPr>
        <w:t>S</w:t>
      </w:r>
      <w:r w:rsidR="00D315C0">
        <w:rPr>
          <w:rFonts w:ascii="Calibri" w:hAnsi="Calibri"/>
          <w:sz w:val="22"/>
          <w:szCs w:val="22"/>
        </w:rPr>
        <w:t xml:space="preserve">o much of the scheduled area of a State or the Northern Territory as </w:t>
      </w:r>
      <w:r>
        <w:rPr>
          <w:rFonts w:ascii="Calibri" w:hAnsi="Calibri"/>
          <w:sz w:val="22"/>
          <w:szCs w:val="22"/>
        </w:rPr>
        <w:t>consists of the territorial sea</w:t>
      </w:r>
      <w:r w:rsidR="00D315C0">
        <w:rPr>
          <w:rFonts w:ascii="Calibri" w:hAnsi="Calibri"/>
          <w:sz w:val="22"/>
          <w:szCs w:val="22"/>
        </w:rPr>
        <w:t xml:space="preserve"> and waters </w:t>
      </w:r>
      <w:r>
        <w:rPr>
          <w:rFonts w:ascii="Calibri" w:hAnsi="Calibri"/>
          <w:sz w:val="22"/>
          <w:szCs w:val="22"/>
        </w:rPr>
        <w:t>landward</w:t>
      </w:r>
      <w:r w:rsidR="00D315C0">
        <w:rPr>
          <w:rFonts w:ascii="Calibri" w:hAnsi="Calibri"/>
          <w:sz w:val="22"/>
          <w:szCs w:val="22"/>
        </w:rPr>
        <w:t xml:space="preserve"> of the territorial sea that are not within </w:t>
      </w:r>
      <w:r w:rsidR="00A410E4">
        <w:rPr>
          <w:rFonts w:ascii="Calibri" w:hAnsi="Calibri"/>
          <w:sz w:val="22"/>
          <w:szCs w:val="22"/>
        </w:rPr>
        <w:t>the limits of the State or Territory</w:t>
      </w:r>
      <w:r w:rsidR="00A4093D">
        <w:rPr>
          <w:rFonts w:ascii="Calibri" w:hAnsi="Calibri"/>
          <w:sz w:val="22"/>
          <w:szCs w:val="22"/>
        </w:rPr>
        <w:t xml:space="preserve">. </w:t>
      </w:r>
      <w:r w:rsidR="008B7C22">
        <w:rPr>
          <w:rFonts w:ascii="Calibri" w:hAnsi="Calibri"/>
          <w:sz w:val="22"/>
          <w:szCs w:val="22"/>
        </w:rPr>
        <w:t>The territorial sea comprises wa</w:t>
      </w:r>
      <w:r>
        <w:rPr>
          <w:rFonts w:ascii="Calibri" w:hAnsi="Calibri"/>
          <w:sz w:val="22"/>
          <w:szCs w:val="22"/>
        </w:rPr>
        <w:t>ters of the sea within three</w:t>
      </w:r>
      <w:r w:rsidR="008B7C22">
        <w:rPr>
          <w:rFonts w:ascii="Calibri" w:hAnsi="Calibri"/>
          <w:sz w:val="22"/>
          <w:szCs w:val="22"/>
        </w:rPr>
        <w:t xml:space="preserve"> nautical miles of the territorial sea baseline. </w:t>
      </w:r>
    </w:p>
    <w:p w14:paraId="12D16BEF" w14:textId="77777777" w:rsidR="00366289" w:rsidRPr="00624A91" w:rsidRDefault="00366289" w:rsidP="00125D28">
      <w:pPr>
        <w:pStyle w:val="Heading2"/>
      </w:pPr>
      <w:bookmarkStart w:id="372" w:name="_Toc479771009"/>
      <w:bookmarkStart w:id="373" w:name="_Toc479778780"/>
      <w:bookmarkStart w:id="374" w:name="_Toc479845295"/>
      <w:bookmarkStart w:id="375" w:name="_Toc482364381"/>
      <w:bookmarkStart w:id="376" w:name="_Toc486939357"/>
      <w:bookmarkStart w:id="377" w:name="_Toc486950255"/>
      <w:bookmarkStart w:id="378" w:name="_Toc486956452"/>
      <w:bookmarkStart w:id="379" w:name="_Toc489460857"/>
      <w:r w:rsidRPr="00624A91">
        <w:t>Commonwealth waters</w:t>
      </w:r>
      <w:bookmarkEnd w:id="371"/>
      <w:bookmarkEnd w:id="372"/>
      <w:bookmarkEnd w:id="373"/>
      <w:bookmarkEnd w:id="374"/>
      <w:bookmarkEnd w:id="375"/>
      <w:bookmarkEnd w:id="376"/>
      <w:bookmarkEnd w:id="377"/>
      <w:bookmarkEnd w:id="378"/>
      <w:bookmarkEnd w:id="379"/>
    </w:p>
    <w:p w14:paraId="69F000BF" w14:textId="6F6E3992" w:rsidR="006F1E42" w:rsidRPr="006F1E42" w:rsidRDefault="004B5E15" w:rsidP="008B7C22">
      <w:pPr>
        <w:shd w:val="clear" w:color="auto" w:fill="FFFFFF"/>
        <w:spacing w:before="120" w:after="120" w:line="276" w:lineRule="auto"/>
        <w:rPr>
          <w:rFonts w:asciiTheme="minorHAnsi" w:hAnsiTheme="minorHAnsi"/>
          <w:sz w:val="22"/>
          <w:szCs w:val="22"/>
        </w:rPr>
      </w:pPr>
      <w:r>
        <w:rPr>
          <w:rFonts w:asciiTheme="minorHAnsi" w:hAnsiTheme="minorHAnsi"/>
          <w:sz w:val="22"/>
          <w:szCs w:val="22"/>
        </w:rPr>
        <w:t>Under the OPGGS Act, a</w:t>
      </w:r>
      <w:r w:rsidR="006F1E42" w:rsidRPr="006F1E42">
        <w:rPr>
          <w:rFonts w:asciiTheme="minorHAnsi" w:hAnsiTheme="minorHAnsi"/>
          <w:sz w:val="22"/>
          <w:szCs w:val="22"/>
        </w:rPr>
        <w:t xml:space="preserve">ny area of </w:t>
      </w:r>
      <w:r w:rsidR="00580A1D">
        <w:rPr>
          <w:rFonts w:asciiTheme="minorHAnsi" w:hAnsiTheme="minorHAnsi"/>
          <w:sz w:val="22"/>
          <w:szCs w:val="22"/>
        </w:rPr>
        <w:t>water situated between three</w:t>
      </w:r>
      <w:r w:rsidR="006F1E42" w:rsidRPr="006F1E42">
        <w:rPr>
          <w:rFonts w:asciiTheme="minorHAnsi" w:hAnsiTheme="minorHAnsi"/>
          <w:sz w:val="22"/>
          <w:szCs w:val="22"/>
        </w:rPr>
        <w:t xml:space="preserve"> nautical miles</w:t>
      </w:r>
      <w:r w:rsidR="00D21C2E">
        <w:rPr>
          <w:rFonts w:asciiTheme="minorHAnsi" w:hAnsiTheme="minorHAnsi"/>
          <w:sz w:val="22"/>
          <w:szCs w:val="22"/>
        </w:rPr>
        <w:t xml:space="preserve"> from the territorial sea baseline </w:t>
      </w:r>
      <w:r w:rsidR="0033678A">
        <w:rPr>
          <w:rFonts w:asciiTheme="minorHAnsi" w:hAnsiTheme="minorHAnsi"/>
          <w:sz w:val="22"/>
          <w:szCs w:val="22"/>
        </w:rPr>
        <w:t>and</w:t>
      </w:r>
      <w:r w:rsidR="00D21C2E">
        <w:rPr>
          <w:rFonts w:asciiTheme="minorHAnsi" w:hAnsiTheme="minorHAnsi"/>
          <w:sz w:val="22"/>
          <w:szCs w:val="22"/>
        </w:rPr>
        <w:t xml:space="preserve"> the outer limits of </w:t>
      </w:r>
      <w:r w:rsidR="0033678A">
        <w:rPr>
          <w:rFonts w:asciiTheme="minorHAnsi" w:hAnsiTheme="minorHAnsi"/>
          <w:sz w:val="22"/>
          <w:szCs w:val="22"/>
        </w:rPr>
        <w:t xml:space="preserve">the </w:t>
      </w:r>
      <w:r w:rsidR="00D21C2E">
        <w:rPr>
          <w:rFonts w:asciiTheme="minorHAnsi" w:hAnsiTheme="minorHAnsi"/>
          <w:sz w:val="22"/>
          <w:szCs w:val="22"/>
        </w:rPr>
        <w:t>Australia</w:t>
      </w:r>
      <w:r w:rsidR="0033678A">
        <w:rPr>
          <w:rFonts w:asciiTheme="minorHAnsi" w:hAnsiTheme="minorHAnsi"/>
          <w:sz w:val="22"/>
          <w:szCs w:val="22"/>
        </w:rPr>
        <w:t>n</w:t>
      </w:r>
      <w:r w:rsidR="00D21C2E">
        <w:rPr>
          <w:rFonts w:asciiTheme="minorHAnsi" w:hAnsiTheme="minorHAnsi"/>
          <w:sz w:val="22"/>
          <w:szCs w:val="22"/>
        </w:rPr>
        <w:t xml:space="preserve"> continental shelf</w:t>
      </w:r>
      <w:r w:rsidR="00A4093D">
        <w:rPr>
          <w:rFonts w:asciiTheme="minorHAnsi" w:hAnsiTheme="minorHAnsi"/>
          <w:sz w:val="22"/>
          <w:szCs w:val="22"/>
        </w:rPr>
        <w:t xml:space="preserve">. </w:t>
      </w:r>
      <w:r w:rsidR="00A410E4">
        <w:rPr>
          <w:rFonts w:asciiTheme="minorHAnsi" w:hAnsiTheme="minorHAnsi"/>
          <w:sz w:val="22"/>
          <w:szCs w:val="22"/>
        </w:rPr>
        <w:t>Generally</w:t>
      </w:r>
      <w:r w:rsidR="00580A1D">
        <w:rPr>
          <w:rFonts w:asciiTheme="minorHAnsi" w:hAnsiTheme="minorHAnsi"/>
          <w:sz w:val="22"/>
          <w:szCs w:val="22"/>
        </w:rPr>
        <w:t>, this</w:t>
      </w:r>
      <w:r w:rsidR="00A410E4">
        <w:rPr>
          <w:rFonts w:asciiTheme="minorHAnsi" w:hAnsiTheme="minorHAnsi"/>
          <w:sz w:val="22"/>
          <w:szCs w:val="22"/>
        </w:rPr>
        <w:t xml:space="preserve"> refers t</w:t>
      </w:r>
      <w:r w:rsidR="00580A1D">
        <w:rPr>
          <w:rFonts w:asciiTheme="minorHAnsi" w:hAnsiTheme="minorHAnsi"/>
          <w:sz w:val="22"/>
          <w:szCs w:val="22"/>
        </w:rPr>
        <w:t>o waters in the offshore area of a</w:t>
      </w:r>
      <w:r w:rsidR="00A410E4">
        <w:rPr>
          <w:rFonts w:asciiTheme="minorHAnsi" w:hAnsiTheme="minorHAnsi"/>
          <w:sz w:val="22"/>
          <w:szCs w:val="22"/>
        </w:rPr>
        <w:t xml:space="preserve"> S</w:t>
      </w:r>
      <w:r w:rsidR="00580A1D">
        <w:rPr>
          <w:rFonts w:asciiTheme="minorHAnsi" w:hAnsiTheme="minorHAnsi"/>
          <w:sz w:val="22"/>
          <w:szCs w:val="22"/>
        </w:rPr>
        <w:t xml:space="preserve">tate or </w:t>
      </w:r>
      <w:r w:rsidR="00A410E4">
        <w:rPr>
          <w:rFonts w:asciiTheme="minorHAnsi" w:hAnsiTheme="minorHAnsi"/>
          <w:sz w:val="22"/>
          <w:szCs w:val="22"/>
        </w:rPr>
        <w:t>the Northern Territory.</w:t>
      </w:r>
    </w:p>
    <w:p w14:paraId="3BB99280" w14:textId="77777777" w:rsidR="00366289" w:rsidRPr="000805C8" w:rsidRDefault="00366289" w:rsidP="00125D28">
      <w:pPr>
        <w:pStyle w:val="Heading2"/>
      </w:pPr>
      <w:bookmarkStart w:id="380" w:name="_Toc479771011"/>
      <w:bookmarkStart w:id="381" w:name="_Toc479778782"/>
      <w:bookmarkStart w:id="382" w:name="_Toc479845297"/>
      <w:bookmarkStart w:id="383" w:name="_Toc482364383"/>
      <w:bookmarkStart w:id="384" w:name="_Toc486939359"/>
      <w:bookmarkStart w:id="385" w:name="_Toc486950257"/>
      <w:bookmarkStart w:id="386" w:name="_Toc486956454"/>
      <w:bookmarkStart w:id="387" w:name="_Toc489460859"/>
      <w:r w:rsidRPr="000805C8">
        <w:t>Decommissioning</w:t>
      </w:r>
      <w:bookmarkEnd w:id="380"/>
      <w:bookmarkEnd w:id="381"/>
      <w:bookmarkEnd w:id="382"/>
      <w:bookmarkEnd w:id="383"/>
      <w:bookmarkEnd w:id="384"/>
      <w:bookmarkEnd w:id="385"/>
      <w:bookmarkEnd w:id="386"/>
      <w:bookmarkEnd w:id="387"/>
    </w:p>
    <w:p w14:paraId="6991C7A2" w14:textId="1C589CA0" w:rsidR="00DA738D" w:rsidRPr="00DA738D" w:rsidRDefault="00DA738D" w:rsidP="00D40D19">
      <w:pPr>
        <w:spacing w:before="120" w:after="120" w:line="276" w:lineRule="auto"/>
        <w:rPr>
          <w:rFonts w:asciiTheme="minorHAnsi" w:hAnsiTheme="minorHAnsi"/>
          <w:bCs/>
          <w:color w:val="000000"/>
          <w:sz w:val="22"/>
          <w:szCs w:val="22"/>
        </w:rPr>
      </w:pPr>
      <w:r>
        <w:rPr>
          <w:rStyle w:val="resultbodyblack1"/>
          <w:rFonts w:asciiTheme="minorHAnsi" w:hAnsiTheme="minorHAnsi"/>
          <w:b w:val="0"/>
        </w:rPr>
        <w:t xml:space="preserve">The </w:t>
      </w:r>
      <w:r>
        <w:rPr>
          <w:rFonts w:ascii="Calibri" w:hAnsi="Calibri"/>
          <w:sz w:val="22"/>
          <w:szCs w:val="22"/>
        </w:rPr>
        <w:t>removal of infrastructure</w:t>
      </w:r>
      <w:r w:rsidR="005C6F19">
        <w:rPr>
          <w:rFonts w:ascii="Calibri" w:hAnsi="Calibri"/>
          <w:sz w:val="22"/>
          <w:szCs w:val="22"/>
        </w:rPr>
        <w:t xml:space="preserve"> </w:t>
      </w:r>
      <w:r>
        <w:rPr>
          <w:rFonts w:ascii="Calibri" w:hAnsi="Calibri"/>
          <w:sz w:val="22"/>
          <w:szCs w:val="22"/>
        </w:rPr>
        <w:t>previously used to support offshore petroleum operations from service at the end of its useful life</w:t>
      </w:r>
      <w:r w:rsidR="00A4093D">
        <w:rPr>
          <w:rFonts w:ascii="Calibri" w:hAnsi="Calibri"/>
          <w:sz w:val="22"/>
          <w:szCs w:val="22"/>
        </w:rPr>
        <w:t xml:space="preserve">. </w:t>
      </w:r>
      <w:r w:rsidR="005C6F19">
        <w:rPr>
          <w:rFonts w:ascii="Calibri" w:hAnsi="Calibri"/>
          <w:sz w:val="22"/>
          <w:szCs w:val="22"/>
        </w:rPr>
        <w:t>This infrastructure may include property, equipment or wells</w:t>
      </w:r>
      <w:r w:rsidR="00A4093D">
        <w:rPr>
          <w:rFonts w:ascii="Calibri" w:hAnsi="Calibri"/>
          <w:sz w:val="22"/>
          <w:szCs w:val="22"/>
        </w:rPr>
        <w:t xml:space="preserve">. </w:t>
      </w:r>
    </w:p>
    <w:p w14:paraId="7E81F070" w14:textId="0985D303" w:rsidR="00366289" w:rsidRPr="00624A91" w:rsidRDefault="006F1E42" w:rsidP="00125D28">
      <w:pPr>
        <w:pStyle w:val="Heading2"/>
      </w:pPr>
      <w:bookmarkStart w:id="388" w:name="_Toc475358977"/>
      <w:bookmarkStart w:id="389" w:name="_Toc479771012"/>
      <w:bookmarkStart w:id="390" w:name="_Toc479778783"/>
      <w:bookmarkStart w:id="391" w:name="_Toc479845298"/>
      <w:bookmarkStart w:id="392" w:name="_Toc482364384"/>
      <w:bookmarkStart w:id="393" w:name="_Toc486939360"/>
      <w:bookmarkStart w:id="394" w:name="_Toc486950258"/>
      <w:bookmarkStart w:id="395" w:name="_Toc486956455"/>
      <w:bookmarkStart w:id="396" w:name="_Toc489460860"/>
      <w:r w:rsidRPr="00624A91">
        <w:t xml:space="preserve">Environment </w:t>
      </w:r>
      <w:r w:rsidR="00905385">
        <w:t>p</w:t>
      </w:r>
      <w:r w:rsidRPr="00624A91">
        <w:t>lan</w:t>
      </w:r>
      <w:bookmarkEnd w:id="388"/>
      <w:bookmarkEnd w:id="389"/>
      <w:bookmarkEnd w:id="390"/>
      <w:bookmarkEnd w:id="391"/>
      <w:bookmarkEnd w:id="392"/>
      <w:bookmarkEnd w:id="393"/>
      <w:bookmarkEnd w:id="394"/>
      <w:bookmarkEnd w:id="395"/>
      <w:bookmarkEnd w:id="396"/>
      <w:r w:rsidR="00366289" w:rsidRPr="00624A91">
        <w:t xml:space="preserve"> </w:t>
      </w:r>
    </w:p>
    <w:p w14:paraId="6C593B1F" w14:textId="0D0A756D" w:rsidR="006F1E42" w:rsidRPr="00905385" w:rsidRDefault="001D597D" w:rsidP="00D40D19">
      <w:pPr>
        <w:spacing w:before="120" w:after="120" w:line="276" w:lineRule="auto"/>
        <w:rPr>
          <w:rFonts w:asciiTheme="minorHAnsi" w:hAnsiTheme="minorHAnsi"/>
          <w:sz w:val="22"/>
          <w:szCs w:val="22"/>
        </w:rPr>
      </w:pPr>
      <w:r>
        <w:rPr>
          <w:rFonts w:asciiTheme="minorHAnsi" w:hAnsiTheme="minorHAnsi"/>
          <w:sz w:val="22"/>
          <w:szCs w:val="22"/>
        </w:rPr>
        <w:t xml:space="preserve">An </w:t>
      </w:r>
      <w:r w:rsidR="00366289">
        <w:rPr>
          <w:rFonts w:asciiTheme="minorHAnsi" w:hAnsiTheme="minorHAnsi"/>
          <w:sz w:val="22"/>
          <w:szCs w:val="22"/>
        </w:rPr>
        <w:t>environment plan</w:t>
      </w:r>
      <w:r w:rsidR="00905385">
        <w:rPr>
          <w:rFonts w:asciiTheme="minorHAnsi" w:hAnsiTheme="minorHAnsi"/>
          <w:sz w:val="22"/>
          <w:szCs w:val="22"/>
        </w:rPr>
        <w:t xml:space="preserve"> </w:t>
      </w:r>
      <w:r>
        <w:rPr>
          <w:rFonts w:asciiTheme="minorHAnsi" w:hAnsiTheme="minorHAnsi"/>
          <w:sz w:val="22"/>
          <w:szCs w:val="22"/>
        </w:rPr>
        <w:t xml:space="preserve">is a document by which a titleholder identifies potential impacts and risks of a petroleum activity to the receiving </w:t>
      </w:r>
      <w:proofErr w:type="gramStart"/>
      <w:r>
        <w:rPr>
          <w:rFonts w:asciiTheme="minorHAnsi" w:hAnsiTheme="minorHAnsi"/>
          <w:sz w:val="22"/>
          <w:szCs w:val="22"/>
        </w:rPr>
        <w:t>environment, and</w:t>
      </w:r>
      <w:proofErr w:type="gramEnd"/>
      <w:r>
        <w:rPr>
          <w:rFonts w:asciiTheme="minorHAnsi" w:hAnsiTheme="minorHAnsi"/>
          <w:sz w:val="22"/>
          <w:szCs w:val="22"/>
        </w:rPr>
        <w:t xml:space="preserve"> sets out </w:t>
      </w:r>
      <w:r w:rsidR="00580A1D">
        <w:rPr>
          <w:rFonts w:asciiTheme="minorHAnsi" w:hAnsiTheme="minorHAnsi"/>
          <w:sz w:val="22"/>
          <w:szCs w:val="22"/>
        </w:rPr>
        <w:t>control measures to reduce</w:t>
      </w:r>
      <w:r>
        <w:rPr>
          <w:rFonts w:asciiTheme="minorHAnsi" w:hAnsiTheme="minorHAnsi"/>
          <w:sz w:val="22"/>
          <w:szCs w:val="22"/>
        </w:rPr>
        <w:t xml:space="preserve"> impacts and risks to </w:t>
      </w:r>
      <w:r w:rsidR="00905385">
        <w:rPr>
          <w:rFonts w:asciiTheme="minorHAnsi" w:hAnsiTheme="minorHAnsi"/>
          <w:sz w:val="22"/>
          <w:szCs w:val="22"/>
        </w:rPr>
        <w:t>ALARP and</w:t>
      </w:r>
      <w:r w:rsidR="00580A1D">
        <w:rPr>
          <w:rFonts w:asciiTheme="minorHAnsi" w:hAnsiTheme="minorHAnsi"/>
          <w:sz w:val="22"/>
          <w:szCs w:val="22"/>
        </w:rPr>
        <w:t xml:space="preserve"> to</w:t>
      </w:r>
      <w:r>
        <w:rPr>
          <w:rFonts w:asciiTheme="minorHAnsi" w:hAnsiTheme="minorHAnsi"/>
          <w:sz w:val="22"/>
          <w:szCs w:val="22"/>
        </w:rPr>
        <w:t xml:space="preserve"> acceptable levels</w:t>
      </w:r>
      <w:r w:rsidR="00A4093D">
        <w:rPr>
          <w:rFonts w:asciiTheme="minorHAnsi" w:hAnsiTheme="minorHAnsi"/>
          <w:sz w:val="22"/>
          <w:szCs w:val="22"/>
        </w:rPr>
        <w:t xml:space="preserve">. </w:t>
      </w:r>
      <w:r w:rsidR="00580A1D">
        <w:rPr>
          <w:rFonts w:asciiTheme="minorHAnsi" w:hAnsiTheme="minorHAnsi"/>
          <w:sz w:val="22"/>
          <w:szCs w:val="22"/>
        </w:rPr>
        <w:t>It is an offence to undertake a</w:t>
      </w:r>
      <w:r w:rsidR="00DE76AA">
        <w:rPr>
          <w:rFonts w:asciiTheme="minorHAnsi" w:hAnsiTheme="minorHAnsi"/>
          <w:sz w:val="22"/>
          <w:szCs w:val="22"/>
        </w:rPr>
        <w:t xml:space="preserve"> petroleum activity in Commonweal</w:t>
      </w:r>
      <w:r w:rsidR="00905385">
        <w:rPr>
          <w:rFonts w:asciiTheme="minorHAnsi" w:hAnsiTheme="minorHAnsi"/>
          <w:sz w:val="22"/>
          <w:szCs w:val="22"/>
        </w:rPr>
        <w:t>th waters without an accepted environment plan</w:t>
      </w:r>
      <w:r w:rsidR="00DE76AA">
        <w:rPr>
          <w:rFonts w:asciiTheme="minorHAnsi" w:hAnsiTheme="minorHAnsi"/>
          <w:sz w:val="22"/>
          <w:szCs w:val="22"/>
        </w:rPr>
        <w:t xml:space="preserve"> that provides for that activity. </w:t>
      </w:r>
    </w:p>
    <w:p w14:paraId="6F045C2A" w14:textId="37E78637" w:rsidR="00E60C61" w:rsidRPr="00624A91" w:rsidRDefault="00E60C61" w:rsidP="00125D28">
      <w:pPr>
        <w:pStyle w:val="Heading2"/>
      </w:pPr>
      <w:bookmarkStart w:id="397" w:name="_Toc475358979"/>
      <w:bookmarkStart w:id="398" w:name="_Toc479771014"/>
      <w:bookmarkStart w:id="399" w:name="_Toc479778785"/>
      <w:bookmarkStart w:id="400" w:name="_Toc479845300"/>
      <w:bookmarkStart w:id="401" w:name="_Toc482364386"/>
      <w:bookmarkStart w:id="402" w:name="_Toc486939362"/>
      <w:bookmarkStart w:id="403" w:name="_Toc486950260"/>
      <w:bookmarkStart w:id="404" w:name="_Toc486956457"/>
      <w:bookmarkStart w:id="405" w:name="_Toc489460861"/>
      <w:r w:rsidRPr="00624A91">
        <w:t>Facility</w:t>
      </w:r>
      <w:bookmarkEnd w:id="397"/>
      <w:bookmarkEnd w:id="398"/>
      <w:bookmarkEnd w:id="399"/>
      <w:bookmarkEnd w:id="400"/>
      <w:bookmarkEnd w:id="401"/>
      <w:bookmarkEnd w:id="402"/>
      <w:bookmarkEnd w:id="403"/>
      <w:bookmarkEnd w:id="404"/>
      <w:bookmarkEnd w:id="405"/>
    </w:p>
    <w:p w14:paraId="0DA17F86" w14:textId="48616BC3" w:rsidR="00E60C61" w:rsidRDefault="00905385" w:rsidP="00D40D19">
      <w:pPr>
        <w:autoSpaceDE w:val="0"/>
        <w:autoSpaceDN w:val="0"/>
        <w:adjustRightInd w:val="0"/>
        <w:spacing w:before="120" w:after="120" w:line="276" w:lineRule="auto"/>
        <w:rPr>
          <w:rFonts w:asciiTheme="minorHAnsi" w:hAnsiTheme="minorHAnsi"/>
          <w:sz w:val="22"/>
          <w:szCs w:val="22"/>
        </w:rPr>
      </w:pPr>
      <w:r>
        <w:rPr>
          <w:rFonts w:asciiTheme="minorHAnsi" w:hAnsiTheme="minorHAnsi"/>
          <w:sz w:val="22"/>
          <w:szCs w:val="22"/>
        </w:rPr>
        <w:t>Under</w:t>
      </w:r>
      <w:r w:rsidR="00E60C61">
        <w:rPr>
          <w:rFonts w:asciiTheme="minorHAnsi" w:hAnsiTheme="minorHAnsi"/>
          <w:sz w:val="22"/>
          <w:szCs w:val="22"/>
        </w:rPr>
        <w:t xml:space="preserve"> clause 4 of Schedule 3 to the OPGGS Act, a facility is any vessel or structure located at a </w:t>
      </w:r>
      <w:r w:rsidR="00580A1D">
        <w:rPr>
          <w:rFonts w:asciiTheme="minorHAnsi" w:hAnsiTheme="minorHAnsi"/>
          <w:sz w:val="22"/>
          <w:szCs w:val="22"/>
        </w:rPr>
        <w:t>site in Commonwealth waters,</w:t>
      </w:r>
      <w:r w:rsidR="00E60C61">
        <w:rPr>
          <w:rFonts w:asciiTheme="minorHAnsi" w:hAnsiTheme="minorHAnsi"/>
          <w:sz w:val="22"/>
          <w:szCs w:val="22"/>
        </w:rPr>
        <w:t xml:space="preserve"> </w:t>
      </w:r>
      <w:r w:rsidR="00580A1D">
        <w:rPr>
          <w:rFonts w:asciiTheme="minorHAnsi" w:hAnsiTheme="minorHAnsi"/>
          <w:sz w:val="22"/>
          <w:szCs w:val="22"/>
        </w:rPr>
        <w:t xml:space="preserve">which </w:t>
      </w:r>
      <w:r w:rsidR="00E60C61">
        <w:rPr>
          <w:rFonts w:asciiTheme="minorHAnsi" w:hAnsiTheme="minorHAnsi"/>
          <w:sz w:val="22"/>
          <w:szCs w:val="22"/>
        </w:rPr>
        <w:t>is being used or pr</w:t>
      </w:r>
      <w:r>
        <w:rPr>
          <w:rFonts w:asciiTheme="minorHAnsi" w:hAnsiTheme="minorHAnsi"/>
          <w:sz w:val="22"/>
          <w:szCs w:val="22"/>
        </w:rPr>
        <w:t>epared for use at that site any of the following:</w:t>
      </w:r>
    </w:p>
    <w:p w14:paraId="27577C11" w14:textId="23760555" w:rsidR="00E60C61" w:rsidRDefault="00E60C61" w:rsidP="002921C9">
      <w:pPr>
        <w:pStyle w:val="ListParagraph"/>
        <w:numPr>
          <w:ilvl w:val="0"/>
          <w:numId w:val="5"/>
        </w:numPr>
        <w:autoSpaceDE w:val="0"/>
        <w:autoSpaceDN w:val="0"/>
        <w:adjustRightInd w:val="0"/>
        <w:spacing w:before="120" w:after="120"/>
        <w:contextualSpacing w:val="0"/>
      </w:pPr>
      <w:r>
        <w:t>recovery, processing, or storage or offloading of petroleum, or any com</w:t>
      </w:r>
      <w:r w:rsidR="00905385">
        <w:t>bination of those activities</w:t>
      </w:r>
      <w:r w:rsidR="00640CDB">
        <w:t>; or</w:t>
      </w:r>
    </w:p>
    <w:p w14:paraId="261D65C8" w14:textId="4526E9A5" w:rsidR="00E60C61" w:rsidRDefault="00E60C61" w:rsidP="002921C9">
      <w:pPr>
        <w:pStyle w:val="ListParagraph"/>
        <w:numPr>
          <w:ilvl w:val="0"/>
          <w:numId w:val="5"/>
        </w:numPr>
        <w:autoSpaceDE w:val="0"/>
        <w:autoSpaceDN w:val="0"/>
        <w:adjustRightInd w:val="0"/>
        <w:spacing w:before="120" w:after="120"/>
        <w:contextualSpacing w:val="0"/>
      </w:pPr>
      <w:r>
        <w:t>provision of accommodation for persons working on another facility; or</w:t>
      </w:r>
    </w:p>
    <w:p w14:paraId="11FCAB83" w14:textId="0487B59B" w:rsidR="00E60C61" w:rsidRDefault="00E60C61" w:rsidP="002921C9">
      <w:pPr>
        <w:pStyle w:val="ListParagraph"/>
        <w:numPr>
          <w:ilvl w:val="0"/>
          <w:numId w:val="5"/>
        </w:numPr>
        <w:autoSpaceDE w:val="0"/>
        <w:autoSpaceDN w:val="0"/>
        <w:adjustRightInd w:val="0"/>
        <w:spacing w:before="120" w:after="120"/>
        <w:contextualSpacing w:val="0"/>
      </w:pPr>
      <w:r>
        <w:t>drilling or servicing a well for petroleum or doing work associated with the d</w:t>
      </w:r>
      <w:r w:rsidR="00905385">
        <w:t>rilling or servicing process</w:t>
      </w:r>
      <w:r w:rsidR="00640CDB">
        <w:t>; or</w:t>
      </w:r>
    </w:p>
    <w:p w14:paraId="4C347FB3" w14:textId="73900F9B" w:rsidR="00E60C61" w:rsidRDefault="00E60C61" w:rsidP="002921C9">
      <w:pPr>
        <w:pStyle w:val="ListParagraph"/>
        <w:numPr>
          <w:ilvl w:val="0"/>
          <w:numId w:val="5"/>
        </w:numPr>
        <w:autoSpaceDE w:val="0"/>
        <w:autoSpaceDN w:val="0"/>
        <w:adjustRightInd w:val="0"/>
        <w:spacing w:before="120" w:after="120"/>
        <w:contextualSpacing w:val="0"/>
      </w:pPr>
      <w:r>
        <w:lastRenderedPageBreak/>
        <w:t>laying pipes for petrol</w:t>
      </w:r>
      <w:r w:rsidR="00905385">
        <w:t xml:space="preserve">eum, including manufacturing </w:t>
      </w:r>
      <w:r>
        <w:t>such pipes, or doing work on an</w:t>
      </w:r>
      <w:r w:rsidR="00905385">
        <w:t xml:space="preserve"> existing pipe</w:t>
      </w:r>
      <w:r w:rsidR="00640CDB">
        <w:t>; or</w:t>
      </w:r>
    </w:p>
    <w:p w14:paraId="6507EF1F" w14:textId="4F84168D" w:rsidR="00E60C61" w:rsidRDefault="00E60C61" w:rsidP="002921C9">
      <w:pPr>
        <w:pStyle w:val="ListParagraph"/>
        <w:numPr>
          <w:ilvl w:val="0"/>
          <w:numId w:val="5"/>
        </w:numPr>
        <w:autoSpaceDE w:val="0"/>
        <w:autoSpaceDN w:val="0"/>
        <w:adjustRightInd w:val="0"/>
        <w:spacing w:before="120" w:after="120"/>
        <w:contextualSpacing w:val="0"/>
      </w:pPr>
      <w:r>
        <w:t>erection, dismantling or decommissioning a vessel or structure referred to in paragraphs (a)</w:t>
      </w:r>
      <w:r w:rsidR="00EB039A">
        <w:noBreakHyphen/>
      </w:r>
      <w:r w:rsidR="00905385">
        <w:t>(d);</w:t>
      </w:r>
      <w:r w:rsidR="00640CDB">
        <w:t xml:space="preserve"> or</w:t>
      </w:r>
    </w:p>
    <w:p w14:paraId="692A80E3" w14:textId="477DBF48" w:rsidR="00E60C61" w:rsidRDefault="00E60C61" w:rsidP="002921C9">
      <w:pPr>
        <w:pStyle w:val="ListParagraph"/>
        <w:numPr>
          <w:ilvl w:val="0"/>
          <w:numId w:val="5"/>
        </w:numPr>
        <w:autoSpaceDE w:val="0"/>
        <w:autoSpaceDN w:val="0"/>
        <w:adjustRightInd w:val="0"/>
        <w:spacing w:before="120" w:after="120"/>
        <w:contextualSpacing w:val="0"/>
      </w:pPr>
      <w:r>
        <w:t>any other prescribed purpose related to offshore petroleum operations.</w:t>
      </w:r>
    </w:p>
    <w:p w14:paraId="254BC091" w14:textId="2D100AD3" w:rsidR="00E60C61" w:rsidRDefault="00E60C61" w:rsidP="00D40D19">
      <w:pPr>
        <w:autoSpaceDE w:val="0"/>
        <w:autoSpaceDN w:val="0"/>
        <w:adjustRightInd w:val="0"/>
        <w:spacing w:before="120" w:after="120" w:line="276" w:lineRule="auto"/>
        <w:rPr>
          <w:rFonts w:asciiTheme="minorHAnsi" w:hAnsiTheme="minorHAnsi"/>
          <w:sz w:val="22"/>
          <w:szCs w:val="22"/>
        </w:rPr>
      </w:pPr>
      <w:r>
        <w:rPr>
          <w:rFonts w:asciiTheme="minorHAnsi" w:hAnsiTheme="minorHAnsi"/>
          <w:sz w:val="22"/>
          <w:szCs w:val="22"/>
        </w:rPr>
        <w:t>Pipelines subject to pipeline licen</w:t>
      </w:r>
      <w:r w:rsidR="00053D99">
        <w:rPr>
          <w:rFonts w:asciiTheme="minorHAnsi" w:hAnsiTheme="minorHAnsi"/>
          <w:sz w:val="22"/>
          <w:szCs w:val="22"/>
        </w:rPr>
        <w:t>c</w:t>
      </w:r>
      <w:r>
        <w:rPr>
          <w:rFonts w:asciiTheme="minorHAnsi" w:hAnsiTheme="minorHAnsi"/>
          <w:sz w:val="22"/>
          <w:szCs w:val="22"/>
        </w:rPr>
        <w:t>es are facilities for the purposes of Schedule 3 to the OPGGS Act.</w:t>
      </w:r>
    </w:p>
    <w:p w14:paraId="21515E01" w14:textId="0A2CFC66" w:rsidR="00E60C61" w:rsidRPr="00E60C61" w:rsidRDefault="00837276" w:rsidP="00D40D19">
      <w:pPr>
        <w:autoSpaceDE w:val="0"/>
        <w:autoSpaceDN w:val="0"/>
        <w:adjustRightInd w:val="0"/>
        <w:spacing w:before="120" w:after="120" w:line="276" w:lineRule="auto"/>
        <w:rPr>
          <w:rFonts w:asciiTheme="minorHAnsi" w:hAnsiTheme="minorHAnsi"/>
          <w:sz w:val="22"/>
          <w:szCs w:val="22"/>
        </w:rPr>
      </w:pPr>
      <w:r>
        <w:rPr>
          <w:rFonts w:asciiTheme="minorHAnsi" w:hAnsiTheme="minorHAnsi"/>
          <w:sz w:val="22"/>
          <w:szCs w:val="22"/>
        </w:rPr>
        <w:t xml:space="preserve">The following are </w:t>
      </w:r>
      <w:r>
        <w:rPr>
          <w:rFonts w:asciiTheme="minorHAnsi" w:hAnsiTheme="minorHAnsi"/>
          <w:sz w:val="22"/>
          <w:szCs w:val="22"/>
          <w:u w:val="single"/>
        </w:rPr>
        <w:t>not</w:t>
      </w:r>
      <w:r>
        <w:rPr>
          <w:rFonts w:asciiTheme="minorHAnsi" w:hAnsiTheme="minorHAnsi"/>
          <w:sz w:val="22"/>
          <w:szCs w:val="22"/>
        </w:rPr>
        <w:t xml:space="preserve"> facilities for the purposes of the OPGG</w:t>
      </w:r>
      <w:r w:rsidR="00AF1300">
        <w:rPr>
          <w:rFonts w:asciiTheme="minorHAnsi" w:hAnsiTheme="minorHAnsi"/>
          <w:sz w:val="22"/>
          <w:szCs w:val="22"/>
        </w:rPr>
        <w:t>S</w:t>
      </w:r>
      <w:r>
        <w:rPr>
          <w:rFonts w:asciiTheme="minorHAnsi" w:hAnsiTheme="minorHAnsi"/>
          <w:sz w:val="22"/>
          <w:szCs w:val="22"/>
        </w:rPr>
        <w:t xml:space="preserve"> Act:</w:t>
      </w:r>
      <w:r w:rsidR="00E60C61">
        <w:rPr>
          <w:rFonts w:asciiTheme="minorHAnsi" w:hAnsiTheme="minorHAnsi"/>
          <w:sz w:val="22"/>
          <w:szCs w:val="22"/>
        </w:rPr>
        <w:t xml:space="preserve"> </w:t>
      </w:r>
      <w:r>
        <w:rPr>
          <w:rFonts w:asciiTheme="minorHAnsi" w:hAnsiTheme="minorHAnsi"/>
          <w:sz w:val="22"/>
          <w:szCs w:val="22"/>
        </w:rPr>
        <w:t>offtake tankers, tugs and anchor handlers;</w:t>
      </w:r>
      <w:r w:rsidR="00E60C61">
        <w:rPr>
          <w:rFonts w:asciiTheme="minorHAnsi" w:hAnsiTheme="minorHAnsi"/>
          <w:sz w:val="22"/>
          <w:szCs w:val="22"/>
        </w:rPr>
        <w:t xml:space="preserve"> vessels and structures used for supplying a facility or otherwise travelling between</w:t>
      </w:r>
      <w:r>
        <w:rPr>
          <w:rFonts w:asciiTheme="minorHAnsi" w:hAnsiTheme="minorHAnsi"/>
          <w:sz w:val="22"/>
          <w:szCs w:val="22"/>
        </w:rPr>
        <w:t xml:space="preserve"> a facility and the shore;</w:t>
      </w:r>
      <w:r w:rsidR="00E60C61">
        <w:rPr>
          <w:rFonts w:asciiTheme="minorHAnsi" w:hAnsiTheme="minorHAnsi"/>
          <w:sz w:val="22"/>
          <w:szCs w:val="22"/>
        </w:rPr>
        <w:t xml:space="preserve"> </w:t>
      </w:r>
      <w:r>
        <w:rPr>
          <w:rFonts w:asciiTheme="minorHAnsi" w:hAnsiTheme="minorHAnsi"/>
          <w:sz w:val="22"/>
          <w:szCs w:val="22"/>
        </w:rPr>
        <w:t>vessels and structures declared by the regulations not to be facilities.</w:t>
      </w:r>
    </w:p>
    <w:p w14:paraId="69FAEE5E" w14:textId="77777777" w:rsidR="00366289" w:rsidRPr="00624A91" w:rsidRDefault="00366289" w:rsidP="00125D28">
      <w:pPr>
        <w:pStyle w:val="Heading2"/>
      </w:pPr>
      <w:bookmarkStart w:id="406" w:name="_Toc475358980"/>
      <w:bookmarkStart w:id="407" w:name="_Toc479771015"/>
      <w:bookmarkStart w:id="408" w:name="_Toc479778786"/>
      <w:bookmarkStart w:id="409" w:name="_Toc479845301"/>
      <w:bookmarkStart w:id="410" w:name="_Toc482364387"/>
      <w:bookmarkStart w:id="411" w:name="_Toc486939363"/>
      <w:bookmarkStart w:id="412" w:name="_Toc486950261"/>
      <w:bookmarkStart w:id="413" w:name="_Toc486956458"/>
      <w:bookmarkStart w:id="414" w:name="_Toc489460862"/>
      <w:r w:rsidRPr="00624A91">
        <w:t>Good oilfield practice</w:t>
      </w:r>
      <w:bookmarkEnd w:id="406"/>
      <w:bookmarkEnd w:id="407"/>
      <w:bookmarkEnd w:id="408"/>
      <w:bookmarkEnd w:id="409"/>
      <w:bookmarkEnd w:id="410"/>
      <w:bookmarkEnd w:id="411"/>
      <w:bookmarkEnd w:id="412"/>
      <w:bookmarkEnd w:id="413"/>
      <w:bookmarkEnd w:id="414"/>
    </w:p>
    <w:p w14:paraId="3ED52A1A" w14:textId="7F70E6D3" w:rsidR="006F1E42" w:rsidRPr="006F1E42" w:rsidRDefault="00342CC5" w:rsidP="00D40D19">
      <w:pPr>
        <w:autoSpaceDE w:val="0"/>
        <w:autoSpaceDN w:val="0"/>
        <w:adjustRightInd w:val="0"/>
        <w:spacing w:before="120" w:after="120" w:line="276" w:lineRule="auto"/>
        <w:rPr>
          <w:rFonts w:asciiTheme="minorHAnsi" w:hAnsiTheme="minorHAnsi"/>
          <w:sz w:val="22"/>
          <w:szCs w:val="22"/>
        </w:rPr>
      </w:pPr>
      <w:r>
        <w:rPr>
          <w:rFonts w:asciiTheme="minorHAnsi" w:hAnsiTheme="minorHAnsi"/>
          <w:sz w:val="22"/>
          <w:szCs w:val="22"/>
        </w:rPr>
        <w:t>As defined in section 7 of the OPGGS Act, a</w:t>
      </w:r>
      <w:r w:rsidR="006F1E42" w:rsidRPr="006F1E42">
        <w:rPr>
          <w:rFonts w:asciiTheme="minorHAnsi" w:hAnsiTheme="minorHAnsi"/>
          <w:sz w:val="22"/>
          <w:szCs w:val="22"/>
        </w:rPr>
        <w:t>ll those things that are generally accepted as good and safe in the carrying on of exploration for petroleum, or petroleum recovery operations.</w:t>
      </w:r>
    </w:p>
    <w:p w14:paraId="1D9BDC75" w14:textId="7BCD9CD7" w:rsidR="0022427F" w:rsidRPr="00624A91" w:rsidRDefault="0022427F" w:rsidP="00125D28">
      <w:pPr>
        <w:pStyle w:val="Heading2"/>
      </w:pPr>
      <w:bookmarkStart w:id="415" w:name="_Toc489460863"/>
      <w:bookmarkStart w:id="416" w:name="_Toc479771016"/>
      <w:bookmarkStart w:id="417" w:name="_Toc479778787"/>
      <w:bookmarkStart w:id="418" w:name="_Toc479845302"/>
      <w:bookmarkStart w:id="419" w:name="_Toc482364388"/>
      <w:bookmarkStart w:id="420" w:name="_Toc486939364"/>
      <w:bookmarkStart w:id="421" w:name="_Toc486950262"/>
      <w:bookmarkStart w:id="422" w:name="_Toc486956459"/>
      <w:bookmarkStart w:id="423" w:name="_Toc475358982"/>
      <w:r>
        <w:t>Joint Authority</w:t>
      </w:r>
      <w:bookmarkEnd w:id="415"/>
    </w:p>
    <w:p w14:paraId="5352C2D8" w14:textId="251E28C0" w:rsidR="0022427F" w:rsidRDefault="0022427F" w:rsidP="0022427F">
      <w:pPr>
        <w:spacing w:before="120" w:after="120" w:line="276" w:lineRule="auto"/>
        <w:rPr>
          <w:rFonts w:asciiTheme="minorHAnsi" w:hAnsiTheme="minorHAnsi"/>
          <w:sz w:val="22"/>
          <w:szCs w:val="22"/>
        </w:rPr>
      </w:pPr>
      <w:r w:rsidRPr="001723F8">
        <w:rPr>
          <w:rFonts w:asciiTheme="minorHAnsi" w:hAnsiTheme="minorHAnsi"/>
          <w:sz w:val="22"/>
          <w:szCs w:val="22"/>
        </w:rPr>
        <w:t xml:space="preserve">The Joint Authority for </w:t>
      </w:r>
      <w:r>
        <w:rPr>
          <w:rFonts w:asciiTheme="minorHAnsi" w:hAnsiTheme="minorHAnsi"/>
          <w:sz w:val="22"/>
          <w:szCs w:val="22"/>
        </w:rPr>
        <w:t xml:space="preserve">the offshore area of each State (except Tasmania) and the Northern Territory </w:t>
      </w:r>
      <w:r w:rsidRPr="001723F8">
        <w:rPr>
          <w:rFonts w:asciiTheme="minorHAnsi" w:hAnsiTheme="minorHAnsi"/>
          <w:sz w:val="22"/>
          <w:szCs w:val="22"/>
        </w:rPr>
        <w:t>comprises the respons</w:t>
      </w:r>
      <w:r>
        <w:rPr>
          <w:rFonts w:asciiTheme="minorHAnsi" w:hAnsiTheme="minorHAnsi"/>
          <w:sz w:val="22"/>
          <w:szCs w:val="22"/>
        </w:rPr>
        <w:t xml:space="preserve">ible Commonwealth </w:t>
      </w:r>
      <w:r w:rsidRPr="00905385">
        <w:rPr>
          <w:rFonts w:ascii="Calibri" w:hAnsi="Calibri"/>
          <w:sz w:val="22"/>
          <w:szCs w:val="22"/>
        </w:rPr>
        <w:t>Minister</w:t>
      </w:r>
      <w:r w:rsidRPr="00905385">
        <w:rPr>
          <w:rStyle w:val="FootnoteReference"/>
          <w:rFonts w:ascii="Calibri" w:hAnsi="Calibri"/>
          <w:sz w:val="22"/>
          <w:szCs w:val="22"/>
        </w:rPr>
        <w:footnoteReference w:id="13"/>
      </w:r>
      <w:r w:rsidRPr="00905385">
        <w:rPr>
          <w:rFonts w:ascii="Calibri" w:hAnsi="Calibri"/>
          <w:sz w:val="22"/>
          <w:szCs w:val="22"/>
        </w:rPr>
        <w:t xml:space="preserve"> and</w:t>
      </w:r>
      <w:r w:rsidRPr="001723F8">
        <w:rPr>
          <w:rFonts w:asciiTheme="minorHAnsi" w:hAnsiTheme="minorHAnsi"/>
          <w:sz w:val="22"/>
          <w:szCs w:val="22"/>
        </w:rPr>
        <w:t xml:space="preserve"> the relevant State o</w:t>
      </w:r>
      <w:r>
        <w:rPr>
          <w:rFonts w:asciiTheme="minorHAnsi" w:hAnsiTheme="minorHAnsi"/>
          <w:sz w:val="22"/>
          <w:szCs w:val="22"/>
        </w:rPr>
        <w:t>r Territory Minister</w:t>
      </w:r>
      <w:r w:rsidR="00A4093D">
        <w:rPr>
          <w:rFonts w:asciiTheme="minorHAnsi" w:hAnsiTheme="minorHAnsi"/>
          <w:sz w:val="22"/>
          <w:szCs w:val="22"/>
        </w:rPr>
        <w:t xml:space="preserve">. </w:t>
      </w:r>
      <w:r w:rsidRPr="003078C1">
        <w:rPr>
          <w:rFonts w:asciiTheme="minorHAnsi" w:hAnsiTheme="minorHAnsi"/>
          <w:sz w:val="22"/>
          <w:szCs w:val="22"/>
        </w:rPr>
        <w:t>For Tasmania, the</w:t>
      </w:r>
      <w:r>
        <w:rPr>
          <w:rFonts w:asciiTheme="minorHAnsi" w:hAnsiTheme="minorHAnsi"/>
          <w:sz w:val="22"/>
          <w:szCs w:val="22"/>
        </w:rPr>
        <w:t xml:space="preserve"> Eastern Greater Sunrise offshore area, and external Territories (e.g. the Territory of Ashmore and Cartier Islands), </w:t>
      </w:r>
      <w:r w:rsidRPr="003078C1">
        <w:rPr>
          <w:rFonts w:asciiTheme="minorHAnsi" w:hAnsiTheme="minorHAnsi"/>
          <w:sz w:val="22"/>
          <w:szCs w:val="22"/>
        </w:rPr>
        <w:t>the Joint</w:t>
      </w:r>
      <w:r>
        <w:rPr>
          <w:rFonts w:asciiTheme="minorHAnsi" w:hAnsiTheme="minorHAnsi"/>
          <w:sz w:val="22"/>
          <w:szCs w:val="22"/>
        </w:rPr>
        <w:t> </w:t>
      </w:r>
      <w:r w:rsidRPr="003078C1">
        <w:rPr>
          <w:rFonts w:asciiTheme="minorHAnsi" w:hAnsiTheme="minorHAnsi"/>
          <w:sz w:val="22"/>
          <w:szCs w:val="22"/>
        </w:rPr>
        <w:t>Authority is the</w:t>
      </w:r>
      <w:r>
        <w:rPr>
          <w:rFonts w:asciiTheme="minorHAnsi" w:hAnsiTheme="minorHAnsi"/>
          <w:sz w:val="22"/>
          <w:szCs w:val="22"/>
        </w:rPr>
        <w:t xml:space="preserve"> responsible Commonwealth Minister only.</w:t>
      </w:r>
    </w:p>
    <w:p w14:paraId="4873C09C" w14:textId="6F7E85FD" w:rsidR="003E065B" w:rsidRDefault="003E065B" w:rsidP="00125D28">
      <w:pPr>
        <w:pStyle w:val="Heading2"/>
      </w:pPr>
      <w:r>
        <w:t>Offshore area</w:t>
      </w:r>
      <w:bookmarkEnd w:id="416"/>
      <w:bookmarkEnd w:id="417"/>
      <w:bookmarkEnd w:id="418"/>
      <w:bookmarkEnd w:id="419"/>
      <w:bookmarkEnd w:id="420"/>
      <w:bookmarkEnd w:id="421"/>
      <w:bookmarkEnd w:id="422"/>
    </w:p>
    <w:p w14:paraId="01661722" w14:textId="4188C30A" w:rsidR="003E065B" w:rsidRPr="003E065B" w:rsidRDefault="002F0F80" w:rsidP="003E065B">
      <w:pPr>
        <w:shd w:val="clear" w:color="auto" w:fill="FFFFFF"/>
        <w:spacing w:before="120" w:after="120" w:line="276" w:lineRule="auto"/>
        <w:rPr>
          <w:rFonts w:ascii="Calibri" w:hAnsi="Calibri"/>
          <w:sz w:val="20"/>
          <w:szCs w:val="20"/>
        </w:rPr>
      </w:pPr>
      <w:r>
        <w:rPr>
          <w:rFonts w:ascii="Calibri" w:hAnsi="Calibri"/>
          <w:sz w:val="22"/>
          <w:szCs w:val="22"/>
        </w:rPr>
        <w:t xml:space="preserve">So much of the Scheduled Area of a </w:t>
      </w:r>
      <w:r w:rsidR="003E065B" w:rsidRPr="003E065B">
        <w:rPr>
          <w:rFonts w:ascii="Calibri" w:hAnsi="Calibri"/>
          <w:sz w:val="22"/>
          <w:szCs w:val="22"/>
        </w:rPr>
        <w:t xml:space="preserve">State or </w:t>
      </w:r>
      <w:r>
        <w:rPr>
          <w:rFonts w:ascii="Calibri" w:hAnsi="Calibri"/>
          <w:sz w:val="22"/>
          <w:szCs w:val="22"/>
        </w:rPr>
        <w:t xml:space="preserve">the Northern </w:t>
      </w:r>
      <w:r w:rsidR="003E065B" w:rsidRPr="003E065B">
        <w:rPr>
          <w:rFonts w:ascii="Calibri" w:hAnsi="Calibri"/>
          <w:sz w:val="22"/>
          <w:szCs w:val="22"/>
        </w:rPr>
        <w:t xml:space="preserve">Territory </w:t>
      </w:r>
      <w:r>
        <w:rPr>
          <w:rFonts w:ascii="Calibri" w:hAnsi="Calibri"/>
          <w:sz w:val="22"/>
          <w:szCs w:val="22"/>
        </w:rPr>
        <w:t>comprising</w:t>
      </w:r>
      <w:r w:rsidR="003E065B" w:rsidRPr="003E065B">
        <w:rPr>
          <w:rFonts w:ascii="Calibri" w:hAnsi="Calibri"/>
          <w:sz w:val="22"/>
          <w:szCs w:val="22"/>
        </w:rPr>
        <w:t xml:space="preserve"> waters of the sea beyond the outer limits of the coastal waters and within the limits of the Continental Shelf</w:t>
      </w:r>
      <w:r w:rsidR="00A4093D">
        <w:rPr>
          <w:rFonts w:ascii="Calibri" w:hAnsi="Calibri"/>
          <w:sz w:val="20"/>
          <w:szCs w:val="20"/>
        </w:rPr>
        <w:t xml:space="preserve">. </w:t>
      </w:r>
    </w:p>
    <w:p w14:paraId="680A362E" w14:textId="6CD615D8" w:rsidR="00366289" w:rsidRPr="00624A91" w:rsidRDefault="00366289" w:rsidP="00125D28">
      <w:pPr>
        <w:pStyle w:val="Heading2"/>
      </w:pPr>
      <w:bookmarkStart w:id="424" w:name="_Toc479771017"/>
      <w:bookmarkStart w:id="425" w:name="_Toc479778788"/>
      <w:bookmarkStart w:id="426" w:name="_Toc479845303"/>
      <w:bookmarkStart w:id="427" w:name="_Toc482364389"/>
      <w:bookmarkStart w:id="428" w:name="_Toc486939365"/>
      <w:bookmarkStart w:id="429" w:name="_Toc486950263"/>
      <w:bookmarkStart w:id="430" w:name="_Toc486956460"/>
      <w:bookmarkStart w:id="431" w:name="_Toc489460864"/>
      <w:r w:rsidRPr="00624A91">
        <w:t>Offshore Project</w:t>
      </w:r>
      <w:bookmarkEnd w:id="423"/>
      <w:bookmarkEnd w:id="424"/>
      <w:bookmarkEnd w:id="425"/>
      <w:bookmarkEnd w:id="426"/>
      <w:bookmarkEnd w:id="427"/>
      <w:bookmarkEnd w:id="428"/>
      <w:bookmarkEnd w:id="429"/>
      <w:bookmarkEnd w:id="430"/>
      <w:bookmarkEnd w:id="431"/>
    </w:p>
    <w:p w14:paraId="6B02B0DB" w14:textId="35DBC6D4" w:rsidR="00ED3D7E" w:rsidRPr="00342CC5" w:rsidRDefault="00865581" w:rsidP="00D40D19">
      <w:pPr>
        <w:spacing w:before="120" w:after="120" w:line="276" w:lineRule="auto"/>
        <w:ind w:right="357"/>
        <w:rPr>
          <w:rFonts w:asciiTheme="minorHAnsi" w:hAnsiTheme="minorHAnsi"/>
          <w:color w:val="000000"/>
          <w:sz w:val="22"/>
          <w:szCs w:val="22"/>
        </w:rPr>
      </w:pPr>
      <w:r>
        <w:rPr>
          <w:rFonts w:asciiTheme="minorHAnsi" w:hAnsiTheme="minorHAnsi"/>
          <w:color w:val="000000"/>
          <w:sz w:val="22"/>
          <w:szCs w:val="22"/>
        </w:rPr>
        <w:t>One or more activities that are undertaken in an offshore area for the purpose of recovering petroleum other than on an appraisal basis, including any conveyance of recovered petroleum by pipeline</w:t>
      </w:r>
      <w:r w:rsidR="00A4093D">
        <w:rPr>
          <w:rFonts w:asciiTheme="minorHAnsi" w:hAnsiTheme="minorHAnsi"/>
          <w:color w:val="000000"/>
          <w:sz w:val="22"/>
          <w:szCs w:val="22"/>
        </w:rPr>
        <w:t xml:space="preserve">. </w:t>
      </w:r>
      <w:r>
        <w:rPr>
          <w:rFonts w:asciiTheme="minorHAnsi" w:hAnsiTheme="minorHAnsi"/>
          <w:color w:val="000000"/>
          <w:sz w:val="22"/>
          <w:szCs w:val="22"/>
        </w:rPr>
        <w:t>Specific examples of offshore projects include drilling (other than on an exploration or appraisal</w:t>
      </w:r>
      <w:r w:rsidR="00905385">
        <w:rPr>
          <w:rFonts w:asciiTheme="minorHAnsi" w:hAnsiTheme="minorHAnsi"/>
          <w:color w:val="000000"/>
          <w:sz w:val="22"/>
          <w:szCs w:val="22"/>
        </w:rPr>
        <w:t xml:space="preserve"> basis), and the construction and/or</w:t>
      </w:r>
      <w:r>
        <w:rPr>
          <w:rFonts w:asciiTheme="minorHAnsi" w:hAnsiTheme="minorHAnsi"/>
          <w:color w:val="000000"/>
          <w:sz w:val="22"/>
          <w:szCs w:val="22"/>
        </w:rPr>
        <w:t xml:space="preserve"> operation of facilities or pipelines.</w:t>
      </w:r>
    </w:p>
    <w:p w14:paraId="54140A9B" w14:textId="1C5BA5B2" w:rsidR="00366289" w:rsidRPr="00624A91" w:rsidRDefault="00574958" w:rsidP="00125D28">
      <w:pPr>
        <w:pStyle w:val="Heading2"/>
      </w:pPr>
      <w:bookmarkStart w:id="432" w:name="_Toc475358983"/>
      <w:bookmarkStart w:id="433" w:name="_Toc479771018"/>
      <w:bookmarkStart w:id="434" w:name="_Toc479778789"/>
      <w:bookmarkStart w:id="435" w:name="_Toc479845304"/>
      <w:bookmarkStart w:id="436" w:name="_Toc482364390"/>
      <w:bookmarkStart w:id="437" w:name="_Toc486939366"/>
      <w:bookmarkStart w:id="438" w:name="_Toc486950264"/>
      <w:bookmarkStart w:id="439" w:name="_Toc486956461"/>
      <w:bookmarkStart w:id="440" w:name="_Toc489460865"/>
      <w:r w:rsidRPr="00624A91">
        <w:t>Offshore Project Proposal</w:t>
      </w:r>
      <w:bookmarkEnd w:id="432"/>
      <w:bookmarkEnd w:id="433"/>
      <w:bookmarkEnd w:id="434"/>
      <w:bookmarkEnd w:id="435"/>
      <w:bookmarkEnd w:id="436"/>
      <w:bookmarkEnd w:id="437"/>
      <w:bookmarkEnd w:id="438"/>
      <w:bookmarkEnd w:id="439"/>
      <w:bookmarkEnd w:id="440"/>
    </w:p>
    <w:p w14:paraId="59329E77" w14:textId="77777777" w:rsidR="00905385" w:rsidRDefault="001129B7" w:rsidP="00D40D19">
      <w:pPr>
        <w:spacing w:before="120" w:after="120" w:line="276" w:lineRule="auto"/>
        <w:ind w:right="357"/>
        <w:rPr>
          <w:rFonts w:asciiTheme="minorHAnsi" w:hAnsiTheme="minorHAnsi"/>
          <w:color w:val="000000"/>
          <w:sz w:val="22"/>
          <w:szCs w:val="22"/>
        </w:rPr>
      </w:pPr>
      <w:r>
        <w:rPr>
          <w:rFonts w:asciiTheme="minorHAnsi" w:hAnsiTheme="minorHAnsi"/>
          <w:color w:val="000000"/>
          <w:sz w:val="22"/>
          <w:szCs w:val="22"/>
        </w:rPr>
        <w:t>The Offshore Project Proposal</w:t>
      </w:r>
      <w:r w:rsidR="001D597D">
        <w:rPr>
          <w:rFonts w:asciiTheme="minorHAnsi" w:hAnsiTheme="minorHAnsi"/>
          <w:color w:val="000000"/>
          <w:sz w:val="22"/>
          <w:szCs w:val="22"/>
        </w:rPr>
        <w:t xml:space="preserve"> </w:t>
      </w:r>
      <w:r>
        <w:rPr>
          <w:rFonts w:asciiTheme="minorHAnsi" w:hAnsiTheme="minorHAnsi"/>
          <w:color w:val="000000"/>
          <w:sz w:val="22"/>
          <w:szCs w:val="22"/>
        </w:rPr>
        <w:t>(</w:t>
      </w:r>
      <w:r w:rsidR="001D597D">
        <w:rPr>
          <w:rFonts w:asciiTheme="minorHAnsi" w:hAnsiTheme="minorHAnsi"/>
          <w:color w:val="000000"/>
          <w:sz w:val="22"/>
          <w:szCs w:val="22"/>
        </w:rPr>
        <w:t>OPP</w:t>
      </w:r>
      <w:r>
        <w:rPr>
          <w:rFonts w:asciiTheme="minorHAnsi" w:hAnsiTheme="minorHAnsi"/>
          <w:color w:val="000000"/>
          <w:sz w:val="22"/>
          <w:szCs w:val="22"/>
        </w:rPr>
        <w:t>)</w:t>
      </w:r>
      <w:r w:rsidR="001D597D">
        <w:rPr>
          <w:rFonts w:asciiTheme="minorHAnsi" w:hAnsiTheme="minorHAnsi"/>
          <w:color w:val="000000"/>
          <w:sz w:val="22"/>
          <w:szCs w:val="22"/>
        </w:rPr>
        <w:t xml:space="preserve"> is a document submitted t</w:t>
      </w:r>
      <w:r>
        <w:rPr>
          <w:rFonts w:asciiTheme="minorHAnsi" w:hAnsiTheme="minorHAnsi"/>
          <w:color w:val="000000"/>
          <w:sz w:val="22"/>
          <w:szCs w:val="22"/>
        </w:rPr>
        <w:t>o NOPSEMA seeking approval to undertake</w:t>
      </w:r>
      <w:r w:rsidR="001D597D">
        <w:rPr>
          <w:rFonts w:asciiTheme="minorHAnsi" w:hAnsiTheme="minorHAnsi"/>
          <w:color w:val="000000"/>
          <w:sz w:val="22"/>
          <w:szCs w:val="22"/>
        </w:rPr>
        <w:t xml:space="preserve"> an offshore project</w:t>
      </w:r>
      <w:r w:rsidR="00A4093D">
        <w:rPr>
          <w:rFonts w:asciiTheme="minorHAnsi" w:hAnsiTheme="minorHAnsi"/>
          <w:color w:val="000000"/>
          <w:sz w:val="22"/>
          <w:szCs w:val="22"/>
        </w:rPr>
        <w:t xml:space="preserve">. </w:t>
      </w:r>
      <w:r w:rsidR="001D597D">
        <w:rPr>
          <w:rFonts w:asciiTheme="minorHAnsi" w:hAnsiTheme="minorHAnsi"/>
          <w:color w:val="000000"/>
          <w:sz w:val="22"/>
          <w:szCs w:val="22"/>
        </w:rPr>
        <w:t xml:space="preserve">The OPP </w:t>
      </w:r>
      <w:r w:rsidR="00865581">
        <w:rPr>
          <w:rFonts w:asciiTheme="minorHAnsi" w:hAnsiTheme="minorHAnsi"/>
          <w:color w:val="000000"/>
          <w:sz w:val="22"/>
          <w:szCs w:val="22"/>
        </w:rPr>
        <w:t>requires the proponent to identify, assess and consult on all the potential impacts and risk posed by the relevant project, and provides the opportunity for NOPSEMA and the public to consider a project on a holistic basis</w:t>
      </w:r>
      <w:r w:rsidR="00A4093D">
        <w:rPr>
          <w:rFonts w:asciiTheme="minorHAnsi" w:hAnsiTheme="minorHAnsi"/>
          <w:color w:val="000000"/>
          <w:sz w:val="22"/>
          <w:szCs w:val="22"/>
        </w:rPr>
        <w:t>.</w:t>
      </w:r>
    </w:p>
    <w:p w14:paraId="50A8F80F" w14:textId="39FEE7EE" w:rsidR="001129B7" w:rsidRDefault="00905385" w:rsidP="00D40D19">
      <w:pPr>
        <w:spacing w:before="120" w:after="120" w:line="276" w:lineRule="auto"/>
        <w:ind w:right="357"/>
        <w:rPr>
          <w:rFonts w:asciiTheme="minorHAnsi" w:hAnsiTheme="minorHAnsi"/>
          <w:color w:val="000000"/>
          <w:sz w:val="22"/>
          <w:szCs w:val="22"/>
        </w:rPr>
      </w:pPr>
      <w:r>
        <w:rPr>
          <w:rFonts w:asciiTheme="minorHAnsi" w:hAnsiTheme="minorHAnsi"/>
          <w:color w:val="000000"/>
          <w:sz w:val="22"/>
          <w:szCs w:val="22"/>
        </w:rPr>
        <w:t xml:space="preserve">A titleholder may </w:t>
      </w:r>
      <w:r w:rsidRPr="00905385">
        <w:rPr>
          <w:rFonts w:asciiTheme="minorHAnsi" w:hAnsiTheme="minorHAnsi"/>
          <w:color w:val="000000"/>
          <w:sz w:val="22"/>
          <w:szCs w:val="22"/>
          <w:u w:val="single"/>
        </w:rPr>
        <w:t>not</w:t>
      </w:r>
      <w:r>
        <w:rPr>
          <w:rFonts w:asciiTheme="minorHAnsi" w:hAnsiTheme="minorHAnsi"/>
          <w:color w:val="000000"/>
          <w:sz w:val="22"/>
          <w:szCs w:val="22"/>
        </w:rPr>
        <w:t xml:space="preserve"> submit an environment plan for a component activity of an offshore project unless NOPSEMA has accepted an OPP for the project that provides for the activity.</w:t>
      </w:r>
    </w:p>
    <w:p w14:paraId="28FEA7CD" w14:textId="23FA62C7" w:rsidR="00865581" w:rsidRPr="00865581" w:rsidRDefault="002F0F80" w:rsidP="00D40D19">
      <w:pPr>
        <w:spacing w:before="120" w:after="120" w:line="276" w:lineRule="auto"/>
        <w:ind w:right="357"/>
        <w:rPr>
          <w:rFonts w:asciiTheme="minorHAnsi" w:hAnsiTheme="minorHAnsi"/>
          <w:color w:val="000000"/>
          <w:sz w:val="22"/>
          <w:szCs w:val="22"/>
        </w:rPr>
      </w:pPr>
      <w:r>
        <w:rPr>
          <w:rFonts w:asciiTheme="minorHAnsi" w:hAnsiTheme="minorHAnsi"/>
          <w:color w:val="000000"/>
          <w:sz w:val="22"/>
          <w:szCs w:val="22"/>
        </w:rPr>
        <w:t>T</w:t>
      </w:r>
      <w:r w:rsidR="00865581">
        <w:rPr>
          <w:rFonts w:asciiTheme="minorHAnsi" w:hAnsiTheme="minorHAnsi"/>
          <w:color w:val="000000"/>
          <w:sz w:val="22"/>
          <w:szCs w:val="22"/>
        </w:rPr>
        <w:t>he OPP framework replaces previous requirement</w:t>
      </w:r>
      <w:r>
        <w:rPr>
          <w:rFonts w:asciiTheme="minorHAnsi" w:hAnsiTheme="minorHAnsi"/>
          <w:color w:val="000000"/>
          <w:sz w:val="22"/>
          <w:szCs w:val="22"/>
        </w:rPr>
        <w:t>s</w:t>
      </w:r>
      <w:r w:rsidR="00865581">
        <w:rPr>
          <w:rFonts w:asciiTheme="minorHAnsi" w:hAnsiTheme="minorHAnsi"/>
          <w:color w:val="000000"/>
          <w:sz w:val="22"/>
          <w:szCs w:val="22"/>
        </w:rPr>
        <w:t xml:space="preserve"> to refer an o</w:t>
      </w:r>
      <w:r w:rsidR="00BF334F">
        <w:rPr>
          <w:rFonts w:asciiTheme="minorHAnsi" w:hAnsiTheme="minorHAnsi"/>
          <w:color w:val="000000"/>
          <w:sz w:val="22"/>
          <w:szCs w:val="22"/>
        </w:rPr>
        <w:t>ffshore project to the Minister </w:t>
      </w:r>
      <w:r w:rsidR="00865581">
        <w:rPr>
          <w:rFonts w:asciiTheme="minorHAnsi" w:hAnsiTheme="minorHAnsi"/>
          <w:color w:val="000000"/>
          <w:sz w:val="22"/>
          <w:szCs w:val="22"/>
        </w:rPr>
        <w:t xml:space="preserve">for the Environment and Energy for assessment and approval under the </w:t>
      </w:r>
      <w:r w:rsidR="001129B7">
        <w:rPr>
          <w:rFonts w:asciiTheme="minorHAnsi" w:hAnsiTheme="minorHAnsi"/>
          <w:sz w:val="22"/>
          <w:szCs w:val="22"/>
        </w:rPr>
        <w:t>EPBC Act.</w:t>
      </w:r>
    </w:p>
    <w:p w14:paraId="1C7D1728" w14:textId="77777777" w:rsidR="00366289" w:rsidRPr="00624A91" w:rsidRDefault="00366289" w:rsidP="00125D28">
      <w:pPr>
        <w:pStyle w:val="Heading2"/>
      </w:pPr>
      <w:bookmarkStart w:id="441" w:name="_Toc475358984"/>
      <w:bookmarkStart w:id="442" w:name="_Toc479771019"/>
      <w:bookmarkStart w:id="443" w:name="_Toc479778790"/>
      <w:bookmarkStart w:id="444" w:name="_Toc479845305"/>
      <w:bookmarkStart w:id="445" w:name="_Toc482364391"/>
      <w:bookmarkStart w:id="446" w:name="_Toc486939367"/>
      <w:bookmarkStart w:id="447" w:name="_Toc486950265"/>
      <w:bookmarkStart w:id="448" w:name="_Toc486956462"/>
      <w:bookmarkStart w:id="449" w:name="_Toc489460866"/>
      <w:r w:rsidRPr="00624A91">
        <w:lastRenderedPageBreak/>
        <w:t>Operator</w:t>
      </w:r>
      <w:bookmarkEnd w:id="441"/>
      <w:bookmarkEnd w:id="442"/>
      <w:bookmarkEnd w:id="443"/>
      <w:bookmarkEnd w:id="444"/>
      <w:bookmarkEnd w:id="445"/>
      <w:bookmarkEnd w:id="446"/>
      <w:bookmarkEnd w:id="447"/>
      <w:bookmarkEnd w:id="448"/>
      <w:bookmarkEnd w:id="449"/>
    </w:p>
    <w:p w14:paraId="69F42C45" w14:textId="79930FB1" w:rsidR="006F1E42" w:rsidRDefault="00342CC5" w:rsidP="00D40D19">
      <w:pPr>
        <w:pStyle w:val="Default"/>
        <w:spacing w:before="120" w:after="120" w:line="276" w:lineRule="auto"/>
        <w:rPr>
          <w:rFonts w:asciiTheme="minorHAnsi" w:hAnsiTheme="minorHAnsi"/>
          <w:color w:val="auto"/>
          <w:sz w:val="22"/>
          <w:szCs w:val="22"/>
        </w:rPr>
      </w:pPr>
      <w:r>
        <w:rPr>
          <w:rFonts w:asciiTheme="minorHAnsi" w:hAnsiTheme="minorHAnsi"/>
          <w:sz w:val="22"/>
          <w:szCs w:val="22"/>
        </w:rPr>
        <w:t>For the purposes of the Safety Regulations, t</w:t>
      </w:r>
      <w:r w:rsidR="00865581">
        <w:rPr>
          <w:rFonts w:asciiTheme="minorHAnsi" w:hAnsiTheme="minorHAnsi"/>
          <w:sz w:val="22"/>
          <w:szCs w:val="22"/>
        </w:rPr>
        <w:t xml:space="preserve">he </w:t>
      </w:r>
      <w:r w:rsidR="00865581">
        <w:rPr>
          <w:rFonts w:asciiTheme="minorHAnsi" w:hAnsiTheme="minorHAnsi"/>
          <w:color w:val="auto"/>
          <w:sz w:val="22"/>
          <w:szCs w:val="22"/>
        </w:rPr>
        <w:t>operator</w:t>
      </w:r>
      <w:r>
        <w:rPr>
          <w:rFonts w:asciiTheme="minorHAnsi" w:hAnsiTheme="minorHAnsi"/>
          <w:color w:val="auto"/>
          <w:sz w:val="22"/>
          <w:szCs w:val="22"/>
        </w:rPr>
        <w:t xml:space="preserve"> with respect to</w:t>
      </w:r>
      <w:r w:rsidR="00865581">
        <w:rPr>
          <w:rFonts w:asciiTheme="minorHAnsi" w:hAnsiTheme="minorHAnsi"/>
          <w:color w:val="auto"/>
          <w:sz w:val="22"/>
          <w:szCs w:val="22"/>
        </w:rPr>
        <w:t xml:space="preserve"> a facility is the person</w:t>
      </w:r>
      <w:r w:rsidR="002F0F80">
        <w:rPr>
          <w:rFonts w:asciiTheme="minorHAnsi" w:hAnsiTheme="minorHAnsi"/>
          <w:color w:val="auto"/>
          <w:sz w:val="22"/>
          <w:szCs w:val="22"/>
        </w:rPr>
        <w:t xml:space="preserve"> (including a corporate entity</w:t>
      </w:r>
      <w:r w:rsidR="00865581">
        <w:rPr>
          <w:rFonts w:asciiTheme="minorHAnsi" w:hAnsiTheme="minorHAnsi"/>
          <w:color w:val="auto"/>
          <w:sz w:val="22"/>
          <w:szCs w:val="22"/>
        </w:rPr>
        <w:t>)</w:t>
      </w:r>
      <w:r w:rsidR="006F1E42" w:rsidRPr="006F1E42">
        <w:rPr>
          <w:rFonts w:asciiTheme="minorHAnsi" w:hAnsiTheme="minorHAnsi"/>
          <w:color w:val="auto"/>
          <w:sz w:val="22"/>
          <w:szCs w:val="22"/>
        </w:rPr>
        <w:t xml:space="preserve"> </w:t>
      </w:r>
      <w:r>
        <w:rPr>
          <w:rFonts w:asciiTheme="minorHAnsi" w:hAnsiTheme="minorHAnsi"/>
          <w:color w:val="auto"/>
          <w:sz w:val="22"/>
          <w:szCs w:val="22"/>
        </w:rPr>
        <w:t>with</w:t>
      </w:r>
      <w:r w:rsidR="006F1E42" w:rsidRPr="006F1E42">
        <w:rPr>
          <w:rFonts w:asciiTheme="minorHAnsi" w:hAnsiTheme="minorHAnsi"/>
          <w:color w:val="auto"/>
          <w:sz w:val="22"/>
          <w:szCs w:val="22"/>
        </w:rPr>
        <w:t xml:space="preserve"> day-to-day management and control of </w:t>
      </w:r>
      <w:r w:rsidR="00865581">
        <w:rPr>
          <w:rFonts w:asciiTheme="minorHAnsi" w:hAnsiTheme="minorHAnsi"/>
          <w:color w:val="auto"/>
          <w:sz w:val="22"/>
          <w:szCs w:val="22"/>
        </w:rPr>
        <w:t>the facility and its operation</w:t>
      </w:r>
      <w:r>
        <w:rPr>
          <w:rFonts w:asciiTheme="minorHAnsi" w:hAnsiTheme="minorHAnsi"/>
          <w:color w:val="auto"/>
          <w:sz w:val="22"/>
          <w:szCs w:val="22"/>
        </w:rPr>
        <w:t>s</w:t>
      </w:r>
      <w:r w:rsidR="00A4093D">
        <w:rPr>
          <w:rFonts w:asciiTheme="minorHAnsi" w:hAnsiTheme="minorHAnsi"/>
          <w:color w:val="auto"/>
          <w:sz w:val="22"/>
          <w:szCs w:val="22"/>
        </w:rPr>
        <w:t xml:space="preserve">. </w:t>
      </w:r>
      <w:r>
        <w:rPr>
          <w:rFonts w:asciiTheme="minorHAnsi" w:hAnsiTheme="minorHAnsi"/>
          <w:color w:val="auto"/>
          <w:sz w:val="22"/>
          <w:szCs w:val="22"/>
        </w:rPr>
        <w:t>Operators are registered by NOPSEMA under the Safety Regulations.</w:t>
      </w:r>
      <w:r w:rsidR="002F0F80">
        <w:rPr>
          <w:rFonts w:asciiTheme="minorHAnsi" w:hAnsiTheme="minorHAnsi"/>
          <w:color w:val="auto"/>
          <w:sz w:val="22"/>
          <w:szCs w:val="22"/>
        </w:rPr>
        <w:t xml:space="preserve"> </w:t>
      </w:r>
    </w:p>
    <w:p w14:paraId="72556459" w14:textId="51F78DB0" w:rsidR="002F0F80" w:rsidRPr="002F0F80" w:rsidRDefault="002F0F80" w:rsidP="00D40D19">
      <w:pPr>
        <w:pStyle w:val="Default"/>
        <w:spacing w:before="120" w:after="120" w:line="276" w:lineRule="auto"/>
        <w:rPr>
          <w:rFonts w:asciiTheme="minorHAnsi" w:hAnsiTheme="minorHAnsi"/>
          <w:sz w:val="22"/>
          <w:szCs w:val="22"/>
        </w:rPr>
      </w:pPr>
      <w:r>
        <w:rPr>
          <w:rFonts w:asciiTheme="minorHAnsi" w:hAnsiTheme="minorHAnsi"/>
          <w:sz w:val="22"/>
          <w:szCs w:val="22"/>
        </w:rPr>
        <w:t>Under the Safety Regulations, it is an offence to carry out work at a facility or part of the facility unless there is an operator in respect of the facility.</w:t>
      </w:r>
    </w:p>
    <w:p w14:paraId="128AD739" w14:textId="47DA0BDB" w:rsidR="00ED49DF" w:rsidRDefault="00ED49DF" w:rsidP="00125D28">
      <w:pPr>
        <w:pStyle w:val="Heading2"/>
      </w:pPr>
      <w:bookmarkStart w:id="450" w:name="_Toc486939368"/>
      <w:bookmarkStart w:id="451" w:name="_Toc486950266"/>
      <w:bookmarkStart w:id="452" w:name="_Toc486956463"/>
      <w:bookmarkStart w:id="453" w:name="_Toc489460867"/>
      <w:proofErr w:type="spellStart"/>
      <w:r>
        <w:t>Permissioning</w:t>
      </w:r>
      <w:proofErr w:type="spellEnd"/>
      <w:r>
        <w:t xml:space="preserve"> document</w:t>
      </w:r>
      <w:bookmarkEnd w:id="450"/>
      <w:bookmarkEnd w:id="451"/>
      <w:bookmarkEnd w:id="452"/>
      <w:bookmarkEnd w:id="453"/>
    </w:p>
    <w:p w14:paraId="32D6FEFB" w14:textId="70693B8C" w:rsidR="004A34D7" w:rsidRPr="004A34D7" w:rsidRDefault="00ED49DF" w:rsidP="00B10E21">
      <w:pPr>
        <w:spacing w:before="120" w:after="120" w:line="276" w:lineRule="auto"/>
        <w:rPr>
          <w:rFonts w:ascii="Calibri" w:hAnsi="Calibri"/>
          <w:sz w:val="22"/>
          <w:szCs w:val="22"/>
        </w:rPr>
      </w:pPr>
      <w:r>
        <w:rPr>
          <w:rFonts w:ascii="Calibri" w:hAnsi="Calibri"/>
          <w:sz w:val="22"/>
          <w:szCs w:val="22"/>
        </w:rPr>
        <w:t xml:space="preserve">A </w:t>
      </w:r>
      <w:proofErr w:type="spellStart"/>
      <w:r>
        <w:rPr>
          <w:rFonts w:ascii="Calibri" w:hAnsi="Calibri"/>
          <w:sz w:val="22"/>
          <w:szCs w:val="22"/>
        </w:rPr>
        <w:t>permissioning</w:t>
      </w:r>
      <w:proofErr w:type="spellEnd"/>
      <w:r>
        <w:rPr>
          <w:rFonts w:ascii="Calibri" w:hAnsi="Calibri"/>
          <w:sz w:val="22"/>
          <w:szCs w:val="22"/>
        </w:rPr>
        <w:t xml:space="preserve"> document is a document </w:t>
      </w:r>
      <w:r w:rsidR="00B10E21">
        <w:rPr>
          <w:rFonts w:ascii="Calibri" w:hAnsi="Calibri"/>
          <w:sz w:val="22"/>
          <w:szCs w:val="22"/>
        </w:rPr>
        <w:t>prepared and</w:t>
      </w:r>
      <w:r>
        <w:rPr>
          <w:rFonts w:ascii="Calibri" w:hAnsi="Calibri"/>
          <w:sz w:val="22"/>
          <w:szCs w:val="22"/>
        </w:rPr>
        <w:t xml:space="preserve"> submitted by a </w:t>
      </w:r>
      <w:r w:rsidR="004A34D7">
        <w:rPr>
          <w:rFonts w:ascii="Calibri" w:hAnsi="Calibri"/>
          <w:sz w:val="22"/>
          <w:szCs w:val="22"/>
        </w:rPr>
        <w:t>titleholder or operator</w:t>
      </w:r>
      <w:r w:rsidR="00BF334F">
        <w:rPr>
          <w:rFonts w:ascii="Calibri" w:hAnsi="Calibri"/>
          <w:sz w:val="22"/>
          <w:szCs w:val="22"/>
        </w:rPr>
        <w:t xml:space="preserve"> (as </w:t>
      </w:r>
      <w:r w:rsidR="00053D99">
        <w:rPr>
          <w:rFonts w:ascii="Calibri" w:hAnsi="Calibri"/>
          <w:sz w:val="22"/>
          <w:szCs w:val="22"/>
        </w:rPr>
        <w:t>applicable)</w:t>
      </w:r>
      <w:r w:rsidR="004A34D7">
        <w:rPr>
          <w:rFonts w:ascii="Calibri" w:hAnsi="Calibri"/>
          <w:sz w:val="22"/>
          <w:szCs w:val="22"/>
        </w:rPr>
        <w:t xml:space="preserve"> for assessment and acceptance</w:t>
      </w:r>
      <w:r w:rsidR="00A4093D">
        <w:rPr>
          <w:rFonts w:ascii="Calibri" w:hAnsi="Calibri"/>
          <w:sz w:val="22"/>
          <w:szCs w:val="22"/>
        </w:rPr>
        <w:t xml:space="preserve">. </w:t>
      </w:r>
      <w:r w:rsidR="004A34D7">
        <w:rPr>
          <w:rFonts w:ascii="Calibri" w:hAnsi="Calibri"/>
          <w:sz w:val="22"/>
          <w:szCs w:val="22"/>
        </w:rPr>
        <w:t xml:space="preserve">The approval of </w:t>
      </w:r>
      <w:r w:rsidR="00B10E21">
        <w:rPr>
          <w:rFonts w:ascii="Calibri" w:hAnsi="Calibri"/>
          <w:sz w:val="22"/>
          <w:szCs w:val="22"/>
        </w:rPr>
        <w:t>these</w:t>
      </w:r>
      <w:r w:rsidR="004A34D7">
        <w:rPr>
          <w:rFonts w:ascii="Calibri" w:hAnsi="Calibri"/>
          <w:sz w:val="22"/>
          <w:szCs w:val="22"/>
        </w:rPr>
        <w:t xml:space="preserve"> documents (generally by NOPSEMA or </w:t>
      </w:r>
      <w:r w:rsidR="002F0F80">
        <w:rPr>
          <w:rFonts w:ascii="Calibri" w:hAnsi="Calibri"/>
          <w:sz w:val="22"/>
          <w:szCs w:val="22"/>
        </w:rPr>
        <w:t xml:space="preserve">by </w:t>
      </w:r>
      <w:r w:rsidR="00053D99">
        <w:rPr>
          <w:rFonts w:ascii="Calibri" w:hAnsi="Calibri"/>
          <w:sz w:val="22"/>
          <w:szCs w:val="22"/>
        </w:rPr>
        <w:t>the Joint Authority</w:t>
      </w:r>
      <w:r w:rsidR="004A34D7">
        <w:rPr>
          <w:rFonts w:ascii="Calibri" w:hAnsi="Calibri"/>
          <w:sz w:val="22"/>
          <w:szCs w:val="22"/>
        </w:rPr>
        <w:t xml:space="preserve">) provides the duty holder with </w:t>
      </w:r>
      <w:r w:rsidR="004A34D7" w:rsidRPr="001129B7">
        <w:rPr>
          <w:rFonts w:ascii="Calibri" w:hAnsi="Calibri"/>
          <w:sz w:val="22"/>
          <w:szCs w:val="22"/>
        </w:rPr>
        <w:t>permission</w:t>
      </w:r>
      <w:r w:rsidR="004A34D7">
        <w:rPr>
          <w:rFonts w:ascii="Calibri" w:hAnsi="Calibri"/>
          <w:sz w:val="22"/>
          <w:szCs w:val="22"/>
        </w:rPr>
        <w:t xml:space="preserve"> to undertake the activity or activities described therein, in accordance with the accepted document. </w:t>
      </w:r>
    </w:p>
    <w:p w14:paraId="30E1D1EE" w14:textId="54465AA1" w:rsidR="00B10E21" w:rsidRDefault="004A34D7" w:rsidP="00B10E21">
      <w:pPr>
        <w:spacing w:before="120" w:after="120" w:line="276" w:lineRule="auto"/>
        <w:rPr>
          <w:rFonts w:ascii="Calibri" w:hAnsi="Calibri"/>
          <w:sz w:val="22"/>
          <w:szCs w:val="22"/>
        </w:rPr>
      </w:pPr>
      <w:proofErr w:type="spellStart"/>
      <w:r>
        <w:rPr>
          <w:rFonts w:ascii="Calibri" w:hAnsi="Calibri"/>
          <w:sz w:val="22"/>
          <w:szCs w:val="22"/>
        </w:rPr>
        <w:t>Permissioning</w:t>
      </w:r>
      <w:proofErr w:type="spellEnd"/>
      <w:r>
        <w:rPr>
          <w:rFonts w:ascii="Calibri" w:hAnsi="Calibri"/>
          <w:sz w:val="22"/>
          <w:szCs w:val="22"/>
        </w:rPr>
        <w:t xml:space="preserve"> documents are eff</w:t>
      </w:r>
      <w:r w:rsidR="00B10E21">
        <w:rPr>
          <w:rFonts w:ascii="Calibri" w:hAnsi="Calibri"/>
          <w:sz w:val="22"/>
          <w:szCs w:val="22"/>
        </w:rPr>
        <w:t xml:space="preserve">ectively risk management </w:t>
      </w:r>
      <w:proofErr w:type="gramStart"/>
      <w:r w:rsidR="00B10E21">
        <w:rPr>
          <w:rFonts w:ascii="Calibri" w:hAnsi="Calibri"/>
          <w:sz w:val="22"/>
          <w:szCs w:val="22"/>
        </w:rPr>
        <w:t>plans, and</w:t>
      </w:r>
      <w:proofErr w:type="gramEnd"/>
      <w:r w:rsidR="00B10E21">
        <w:rPr>
          <w:rFonts w:ascii="Calibri" w:hAnsi="Calibri"/>
          <w:sz w:val="22"/>
          <w:szCs w:val="22"/>
        </w:rPr>
        <w:t xml:space="preserve"> allow relevant agencies to assess the measures proposed by the duty holder to, among other matters, reduce impacts and risks associated with their activities to as low as reasonably practicable (ALARP) and to acceptable levels.</w:t>
      </w:r>
    </w:p>
    <w:p w14:paraId="69A163D9" w14:textId="1C23AC65" w:rsidR="00ED49DF" w:rsidRPr="00B10E21" w:rsidRDefault="00ED49DF" w:rsidP="00B10E21">
      <w:pPr>
        <w:spacing w:before="120" w:after="120" w:line="276" w:lineRule="auto"/>
        <w:rPr>
          <w:rFonts w:ascii="Calibri" w:hAnsi="Calibri"/>
          <w:sz w:val="22"/>
          <w:szCs w:val="22"/>
        </w:rPr>
      </w:pPr>
      <w:proofErr w:type="spellStart"/>
      <w:r>
        <w:rPr>
          <w:rFonts w:ascii="Calibri" w:hAnsi="Calibri"/>
          <w:sz w:val="22"/>
          <w:szCs w:val="22"/>
        </w:rPr>
        <w:t>Permissioning</w:t>
      </w:r>
      <w:proofErr w:type="spellEnd"/>
      <w:r>
        <w:rPr>
          <w:rFonts w:ascii="Calibri" w:hAnsi="Calibri"/>
          <w:sz w:val="22"/>
          <w:szCs w:val="22"/>
        </w:rPr>
        <w:t xml:space="preserve"> documents</w:t>
      </w:r>
      <w:r w:rsidR="00B10E21">
        <w:rPr>
          <w:rFonts w:ascii="Calibri" w:hAnsi="Calibri"/>
          <w:sz w:val="22"/>
          <w:szCs w:val="22"/>
        </w:rPr>
        <w:t xml:space="preserve"> </w:t>
      </w:r>
      <w:r>
        <w:rPr>
          <w:rFonts w:ascii="Calibri" w:hAnsi="Calibri"/>
          <w:sz w:val="22"/>
          <w:szCs w:val="22"/>
        </w:rPr>
        <w:t xml:space="preserve">submitted to and approved by NOPSEMA include the </w:t>
      </w:r>
      <w:r w:rsidR="001129B7">
        <w:rPr>
          <w:rFonts w:ascii="Calibri" w:hAnsi="Calibri"/>
          <w:sz w:val="22"/>
          <w:szCs w:val="22"/>
        </w:rPr>
        <w:t xml:space="preserve">OPP, </w:t>
      </w:r>
      <w:r w:rsidR="00BF334F">
        <w:rPr>
          <w:rFonts w:ascii="Calibri" w:hAnsi="Calibri"/>
          <w:sz w:val="22"/>
          <w:szCs w:val="22"/>
        </w:rPr>
        <w:t>environment </w:t>
      </w:r>
      <w:r>
        <w:rPr>
          <w:rFonts w:ascii="Calibri" w:hAnsi="Calibri"/>
          <w:sz w:val="22"/>
          <w:szCs w:val="22"/>
        </w:rPr>
        <w:t xml:space="preserve">plan, safety case, </w:t>
      </w:r>
      <w:r w:rsidR="004A34D7">
        <w:rPr>
          <w:rFonts w:ascii="Calibri" w:hAnsi="Calibri"/>
          <w:sz w:val="22"/>
          <w:szCs w:val="22"/>
        </w:rPr>
        <w:t>and well operations management plan (WOMP)</w:t>
      </w:r>
      <w:r w:rsidR="00A4093D">
        <w:rPr>
          <w:rFonts w:ascii="Calibri" w:hAnsi="Calibri"/>
          <w:sz w:val="22"/>
          <w:szCs w:val="22"/>
        </w:rPr>
        <w:t xml:space="preserve">. </w:t>
      </w:r>
      <w:r w:rsidR="00B10E21">
        <w:rPr>
          <w:rFonts w:ascii="Calibri" w:hAnsi="Calibri"/>
          <w:sz w:val="22"/>
          <w:szCs w:val="22"/>
        </w:rPr>
        <w:t>The field development plan</w:t>
      </w:r>
      <w:r w:rsidR="004A34D7">
        <w:rPr>
          <w:rFonts w:ascii="Calibri" w:hAnsi="Calibri"/>
          <w:sz w:val="22"/>
          <w:szCs w:val="22"/>
        </w:rPr>
        <w:t xml:space="preserve"> </w:t>
      </w:r>
      <w:r w:rsidR="00B10E21">
        <w:rPr>
          <w:rFonts w:ascii="Calibri" w:hAnsi="Calibri"/>
          <w:sz w:val="22"/>
          <w:szCs w:val="22"/>
        </w:rPr>
        <w:t xml:space="preserve">is the key </w:t>
      </w:r>
      <w:proofErr w:type="spellStart"/>
      <w:r w:rsidR="00B10E21">
        <w:rPr>
          <w:rFonts w:ascii="Calibri" w:hAnsi="Calibri"/>
          <w:sz w:val="22"/>
          <w:szCs w:val="22"/>
        </w:rPr>
        <w:t>permissioning</w:t>
      </w:r>
      <w:proofErr w:type="spellEnd"/>
      <w:r w:rsidR="00B10E21">
        <w:rPr>
          <w:rFonts w:ascii="Calibri" w:hAnsi="Calibri"/>
          <w:sz w:val="22"/>
          <w:szCs w:val="22"/>
        </w:rPr>
        <w:t xml:space="preserve"> document submitted to NOPTA - for acceptance by the Joint Authority.</w:t>
      </w:r>
    </w:p>
    <w:p w14:paraId="59EDE17E" w14:textId="77777777" w:rsidR="00366289" w:rsidRPr="00624A91" w:rsidRDefault="00366289" w:rsidP="00125D28">
      <w:pPr>
        <w:pStyle w:val="Heading2"/>
      </w:pPr>
      <w:bookmarkStart w:id="454" w:name="_Toc475358985"/>
      <w:bookmarkStart w:id="455" w:name="_Toc479771020"/>
      <w:bookmarkStart w:id="456" w:name="_Toc479778791"/>
      <w:bookmarkStart w:id="457" w:name="_Toc479845306"/>
      <w:bookmarkStart w:id="458" w:name="_Toc482364392"/>
      <w:bookmarkStart w:id="459" w:name="_Toc486939369"/>
      <w:bookmarkStart w:id="460" w:name="_Toc486950267"/>
      <w:bookmarkStart w:id="461" w:name="_Toc486956464"/>
      <w:bookmarkStart w:id="462" w:name="_Toc489460868"/>
      <w:r w:rsidRPr="00624A91">
        <w:t>Petroleum</w:t>
      </w:r>
      <w:bookmarkEnd w:id="454"/>
      <w:bookmarkEnd w:id="455"/>
      <w:bookmarkEnd w:id="456"/>
      <w:bookmarkEnd w:id="457"/>
      <w:bookmarkEnd w:id="458"/>
      <w:bookmarkEnd w:id="459"/>
      <w:bookmarkEnd w:id="460"/>
      <w:bookmarkEnd w:id="461"/>
      <w:bookmarkEnd w:id="462"/>
    </w:p>
    <w:p w14:paraId="3FF80093" w14:textId="4FF8EDF6" w:rsidR="00342CC5" w:rsidRDefault="00E60C61" w:rsidP="00D40D19">
      <w:pPr>
        <w:shd w:val="clear" w:color="auto" w:fill="FFFFFF"/>
        <w:spacing w:before="120" w:after="120" w:line="276" w:lineRule="auto"/>
        <w:ind w:right="181"/>
        <w:rPr>
          <w:rFonts w:asciiTheme="minorHAnsi" w:hAnsiTheme="minorHAnsi"/>
          <w:sz w:val="22"/>
          <w:szCs w:val="22"/>
        </w:rPr>
      </w:pPr>
      <w:r>
        <w:rPr>
          <w:rFonts w:asciiTheme="minorHAnsi" w:hAnsiTheme="minorHAnsi"/>
          <w:sz w:val="22"/>
          <w:szCs w:val="22"/>
        </w:rPr>
        <w:t>Under the OPGGS Act, petroleum is:</w:t>
      </w:r>
    </w:p>
    <w:p w14:paraId="2E41D115" w14:textId="77369428" w:rsidR="006F1E42" w:rsidRDefault="00342CC5" w:rsidP="002921C9">
      <w:pPr>
        <w:pStyle w:val="ListParagraph"/>
        <w:numPr>
          <w:ilvl w:val="0"/>
          <w:numId w:val="4"/>
        </w:numPr>
        <w:shd w:val="clear" w:color="auto" w:fill="FFFFFF"/>
        <w:spacing w:before="60" w:after="60"/>
        <w:ind w:right="181"/>
        <w:contextualSpacing w:val="0"/>
      </w:pPr>
      <w:r w:rsidRPr="00342CC5">
        <w:t>a</w:t>
      </w:r>
      <w:r w:rsidR="006F1E42" w:rsidRPr="00342CC5">
        <w:t>ny naturally occurring hydrocarbon</w:t>
      </w:r>
      <w:r>
        <w:t>, whether in a gaseous, liquid or solid state; or</w:t>
      </w:r>
    </w:p>
    <w:p w14:paraId="626F74C5" w14:textId="74D02456" w:rsidR="00342CC5" w:rsidRDefault="00342CC5" w:rsidP="002921C9">
      <w:pPr>
        <w:pStyle w:val="ListParagraph"/>
        <w:numPr>
          <w:ilvl w:val="0"/>
          <w:numId w:val="4"/>
        </w:numPr>
        <w:shd w:val="clear" w:color="auto" w:fill="FFFFFF"/>
        <w:spacing w:before="60" w:after="60"/>
        <w:ind w:right="181"/>
        <w:contextualSpacing w:val="0"/>
      </w:pPr>
      <w:r>
        <w:t>any naturally occurring mix of hydrocarbons, whether in a gaseous, liquid or solid state; or</w:t>
      </w:r>
    </w:p>
    <w:p w14:paraId="16947588" w14:textId="3A5A1FC8" w:rsidR="00342CC5" w:rsidRDefault="00342CC5" w:rsidP="002921C9">
      <w:pPr>
        <w:pStyle w:val="ListParagraph"/>
        <w:numPr>
          <w:ilvl w:val="0"/>
          <w:numId w:val="4"/>
        </w:numPr>
        <w:shd w:val="clear" w:color="auto" w:fill="FFFFFF"/>
        <w:spacing w:before="60" w:after="60"/>
        <w:ind w:right="181"/>
        <w:contextualSpacing w:val="0"/>
      </w:pPr>
      <w:r>
        <w:t>any naturally occurring mixture of:</w:t>
      </w:r>
    </w:p>
    <w:p w14:paraId="06C7CEED" w14:textId="1E126296" w:rsidR="00342CC5" w:rsidRDefault="00342CC5" w:rsidP="002921C9">
      <w:pPr>
        <w:pStyle w:val="ListParagraph"/>
        <w:numPr>
          <w:ilvl w:val="1"/>
          <w:numId w:val="4"/>
        </w:numPr>
        <w:shd w:val="clear" w:color="auto" w:fill="FFFFFF"/>
        <w:spacing w:before="60" w:after="60"/>
        <w:ind w:right="181"/>
        <w:contextualSpacing w:val="0"/>
      </w:pPr>
      <w:r>
        <w:t>one or more hydrocarbons, whether in a gaseous, liquid or solid state; and</w:t>
      </w:r>
    </w:p>
    <w:p w14:paraId="6887FF8E" w14:textId="342398C6" w:rsidR="00342CC5" w:rsidRDefault="00342CC5" w:rsidP="002921C9">
      <w:pPr>
        <w:pStyle w:val="ListParagraph"/>
        <w:numPr>
          <w:ilvl w:val="1"/>
          <w:numId w:val="4"/>
        </w:numPr>
        <w:shd w:val="clear" w:color="auto" w:fill="FFFFFF"/>
        <w:spacing w:before="60" w:after="60"/>
        <w:ind w:right="181"/>
        <w:contextualSpacing w:val="0"/>
      </w:pPr>
      <w:r>
        <w:t>one or more of hydrogen sulphide, nitr</w:t>
      </w:r>
      <w:r w:rsidR="00D40D19">
        <w:t>ogen, helium and carbon dioxide; and</w:t>
      </w:r>
    </w:p>
    <w:p w14:paraId="59A1AC99" w14:textId="14572890" w:rsidR="00342CC5" w:rsidRDefault="00342CC5" w:rsidP="002921C9">
      <w:pPr>
        <w:pStyle w:val="ListParagraph"/>
        <w:numPr>
          <w:ilvl w:val="0"/>
          <w:numId w:val="4"/>
        </w:numPr>
        <w:shd w:val="clear" w:color="auto" w:fill="FFFFFF"/>
        <w:spacing w:before="60" w:after="60"/>
        <w:ind w:right="181"/>
        <w:contextualSpacing w:val="0"/>
      </w:pPr>
      <w:r>
        <w:t>inclu</w:t>
      </w:r>
      <w:r w:rsidR="00BD0642">
        <w:t xml:space="preserve">des petroleum as defined by </w:t>
      </w:r>
      <w:r>
        <w:t>paragraphs</w:t>
      </w:r>
      <w:r w:rsidR="00BD0642">
        <w:t xml:space="preserve"> (a), (b) or (c) </w:t>
      </w:r>
      <w:r>
        <w:t>that has been returned to a natural reservoir; and</w:t>
      </w:r>
    </w:p>
    <w:p w14:paraId="3112B481" w14:textId="6E4DCE67" w:rsidR="00342CC5" w:rsidRDefault="00342CC5" w:rsidP="002921C9">
      <w:pPr>
        <w:pStyle w:val="ListParagraph"/>
        <w:numPr>
          <w:ilvl w:val="0"/>
          <w:numId w:val="4"/>
        </w:numPr>
        <w:shd w:val="clear" w:color="auto" w:fill="FFFFFF"/>
        <w:spacing w:before="60" w:after="60"/>
        <w:ind w:right="181"/>
        <w:contextualSpacing w:val="0"/>
      </w:pPr>
      <w:r>
        <w:t xml:space="preserve">for the purposes of the </w:t>
      </w:r>
      <w:r w:rsidR="00BD0642">
        <w:t>pipeline provisions, also includes any petroleum as defined by paragraphs (a), (b), (c) or (d), where:</w:t>
      </w:r>
    </w:p>
    <w:p w14:paraId="3713CD6A" w14:textId="14F87E2E" w:rsidR="00BD0642" w:rsidRDefault="00BD0642" w:rsidP="002921C9">
      <w:pPr>
        <w:pStyle w:val="ListParagraph"/>
        <w:numPr>
          <w:ilvl w:val="1"/>
          <w:numId w:val="4"/>
        </w:numPr>
        <w:shd w:val="clear" w:color="auto" w:fill="FFFFFF"/>
        <w:spacing w:before="60" w:after="60"/>
        <w:ind w:right="181"/>
        <w:contextualSpacing w:val="0"/>
      </w:pPr>
      <w:r>
        <w:t>one or more things have been added</w:t>
      </w:r>
      <w:r w:rsidR="00BF334F">
        <w:t>;</w:t>
      </w:r>
      <w:r w:rsidR="002A78FE">
        <w:t xml:space="preserve"> or</w:t>
      </w:r>
    </w:p>
    <w:p w14:paraId="61919EB6" w14:textId="4B275A8C" w:rsidR="00BD0642" w:rsidRDefault="00BD0642" w:rsidP="002921C9">
      <w:pPr>
        <w:pStyle w:val="ListParagraph"/>
        <w:numPr>
          <w:ilvl w:val="1"/>
          <w:numId w:val="4"/>
        </w:numPr>
        <w:shd w:val="clear" w:color="auto" w:fill="FFFFFF"/>
        <w:spacing w:before="60" w:after="60"/>
        <w:ind w:right="181"/>
        <w:contextualSpacing w:val="0"/>
      </w:pPr>
      <w:r>
        <w:t>one or more things have been wholly or partly removed, or both.</w:t>
      </w:r>
    </w:p>
    <w:p w14:paraId="37336E9D" w14:textId="60BD6364" w:rsidR="00BD0642" w:rsidRDefault="00BD0642" w:rsidP="002921C9">
      <w:pPr>
        <w:pStyle w:val="ListParagraph"/>
        <w:numPr>
          <w:ilvl w:val="0"/>
          <w:numId w:val="4"/>
        </w:numPr>
        <w:shd w:val="clear" w:color="auto" w:fill="FFFFFF"/>
        <w:spacing w:before="60" w:after="60"/>
        <w:ind w:right="181"/>
        <w:contextualSpacing w:val="0"/>
      </w:pPr>
      <w:r>
        <w:t>for the purposes of the pipeline provisions, also includes any mixture that:</w:t>
      </w:r>
    </w:p>
    <w:p w14:paraId="55F98703" w14:textId="192C9881" w:rsidR="00BD0642" w:rsidRDefault="00BD0642" w:rsidP="002921C9">
      <w:pPr>
        <w:pStyle w:val="ListParagraph"/>
        <w:numPr>
          <w:ilvl w:val="1"/>
          <w:numId w:val="4"/>
        </w:numPr>
        <w:shd w:val="clear" w:color="auto" w:fill="FFFFFF"/>
        <w:spacing w:before="60" w:after="60"/>
        <w:ind w:right="181"/>
        <w:contextualSpacing w:val="0"/>
      </w:pPr>
      <w:r>
        <w:t>has been recovered from a well; and</w:t>
      </w:r>
    </w:p>
    <w:p w14:paraId="3AA6BD8B" w14:textId="2C55C678" w:rsidR="00BD0642" w:rsidRDefault="00BD0642" w:rsidP="002921C9">
      <w:pPr>
        <w:pStyle w:val="ListParagraph"/>
        <w:numPr>
          <w:ilvl w:val="1"/>
          <w:numId w:val="4"/>
        </w:numPr>
        <w:shd w:val="clear" w:color="auto" w:fill="FFFFFF"/>
        <w:spacing w:before="60" w:after="60"/>
        <w:ind w:right="181"/>
        <w:contextualSpacing w:val="0"/>
      </w:pPr>
      <w:r>
        <w:t>includes pe</w:t>
      </w:r>
      <w:r w:rsidR="001E798B">
        <w:t>troleum as defined by paragraph</w:t>
      </w:r>
      <w:r>
        <w:t xml:space="preserve"> (a), (b), (c) or (d</w:t>
      </w:r>
      <w:proofErr w:type="gramStart"/>
      <w:r>
        <w:t>);</w:t>
      </w:r>
      <w:proofErr w:type="gramEnd"/>
    </w:p>
    <w:p w14:paraId="76AEBD2F" w14:textId="462CDF47" w:rsidR="00BD0642" w:rsidRDefault="00BD0642" w:rsidP="00D40D19">
      <w:pPr>
        <w:pStyle w:val="ListParagraph"/>
        <w:shd w:val="clear" w:color="auto" w:fill="FFFFFF"/>
        <w:spacing w:before="60" w:after="60"/>
        <w:ind w:right="181"/>
        <w:contextualSpacing w:val="0"/>
      </w:pPr>
      <w:r>
        <w:t>whether or not</w:t>
      </w:r>
    </w:p>
    <w:p w14:paraId="69E9B760" w14:textId="6C8E7C78" w:rsidR="00BD0642" w:rsidRDefault="00BD0642" w:rsidP="002921C9">
      <w:pPr>
        <w:pStyle w:val="ListParagraph"/>
        <w:numPr>
          <w:ilvl w:val="1"/>
          <w:numId w:val="4"/>
        </w:numPr>
        <w:shd w:val="clear" w:color="auto" w:fill="FFFFFF"/>
        <w:spacing w:before="60" w:after="60"/>
        <w:ind w:right="181"/>
        <w:contextualSpacing w:val="0"/>
      </w:pPr>
      <w:r>
        <w:t>one or more things have been added; or</w:t>
      </w:r>
    </w:p>
    <w:p w14:paraId="704D9D0A" w14:textId="2AA57E56" w:rsidR="00BD0642" w:rsidRDefault="00BD0642" w:rsidP="002921C9">
      <w:pPr>
        <w:pStyle w:val="ListParagraph"/>
        <w:numPr>
          <w:ilvl w:val="1"/>
          <w:numId w:val="4"/>
        </w:numPr>
        <w:shd w:val="clear" w:color="auto" w:fill="FFFFFF"/>
        <w:spacing w:before="60" w:after="60"/>
        <w:ind w:right="181"/>
        <w:contextualSpacing w:val="0"/>
      </w:pPr>
      <w:r>
        <w:t>one or more things hav</w:t>
      </w:r>
      <w:r w:rsidR="001129B7">
        <w:t>e been wholly or partly removed</w:t>
      </w:r>
      <w:r w:rsidR="002F0F80">
        <w:t>.</w:t>
      </w:r>
    </w:p>
    <w:p w14:paraId="0BF0A98F" w14:textId="53E070B1" w:rsidR="002F0F80" w:rsidRDefault="002F0F80" w:rsidP="002F0F80">
      <w:pPr>
        <w:pStyle w:val="ListParagraph"/>
        <w:shd w:val="clear" w:color="auto" w:fill="FFFFFF"/>
        <w:spacing w:before="60" w:after="60"/>
        <w:ind w:left="786" w:right="181"/>
        <w:contextualSpacing w:val="0"/>
      </w:pPr>
      <w:r>
        <w:t>or both.</w:t>
      </w:r>
    </w:p>
    <w:p w14:paraId="735AF946" w14:textId="78F30FE9" w:rsidR="00470E5F" w:rsidRPr="00624A91" w:rsidRDefault="00470E5F" w:rsidP="00125D28">
      <w:pPr>
        <w:pStyle w:val="Heading2"/>
      </w:pPr>
      <w:bookmarkStart w:id="463" w:name="_Toc475358986"/>
      <w:bookmarkStart w:id="464" w:name="_Toc479771021"/>
      <w:bookmarkStart w:id="465" w:name="_Toc479778792"/>
      <w:bookmarkStart w:id="466" w:name="_Toc479845307"/>
      <w:bookmarkStart w:id="467" w:name="_Toc482364393"/>
      <w:bookmarkStart w:id="468" w:name="_Toc486939370"/>
      <w:bookmarkStart w:id="469" w:name="_Toc486950268"/>
      <w:bookmarkStart w:id="470" w:name="_Toc486956465"/>
      <w:bookmarkStart w:id="471" w:name="_Toc489460869"/>
      <w:r w:rsidRPr="00624A91">
        <w:lastRenderedPageBreak/>
        <w:t>Petroleum activity</w:t>
      </w:r>
      <w:bookmarkEnd w:id="463"/>
      <w:bookmarkEnd w:id="464"/>
      <w:bookmarkEnd w:id="465"/>
      <w:bookmarkEnd w:id="466"/>
      <w:bookmarkEnd w:id="467"/>
      <w:bookmarkEnd w:id="468"/>
      <w:bookmarkEnd w:id="469"/>
      <w:bookmarkEnd w:id="470"/>
      <w:bookmarkEnd w:id="471"/>
    </w:p>
    <w:p w14:paraId="1F07BCD9" w14:textId="19B3CC0D" w:rsidR="00470E5F" w:rsidRPr="00470E5F" w:rsidRDefault="00470E5F" w:rsidP="00D40D19">
      <w:pPr>
        <w:pStyle w:val="Default"/>
        <w:spacing w:before="120" w:after="120" w:line="276" w:lineRule="auto"/>
        <w:rPr>
          <w:rFonts w:asciiTheme="minorHAnsi" w:hAnsiTheme="minorHAnsi"/>
          <w:b/>
          <w:sz w:val="22"/>
          <w:szCs w:val="22"/>
        </w:rPr>
      </w:pPr>
      <w:r w:rsidRPr="00470E5F">
        <w:rPr>
          <w:rFonts w:ascii="Calibri" w:hAnsi="Calibri"/>
          <w:sz w:val="22"/>
          <w:szCs w:val="22"/>
        </w:rPr>
        <w:t>Under</w:t>
      </w:r>
      <w:r>
        <w:rPr>
          <w:rFonts w:ascii="Calibri" w:hAnsi="Calibri"/>
          <w:sz w:val="22"/>
          <w:szCs w:val="22"/>
        </w:rPr>
        <w:t xml:space="preserve"> the </w:t>
      </w:r>
      <w:r w:rsidR="001129B7">
        <w:rPr>
          <w:rFonts w:ascii="Calibri" w:hAnsi="Calibri"/>
          <w:sz w:val="22"/>
          <w:szCs w:val="22"/>
        </w:rPr>
        <w:t>Environment Regulations</w:t>
      </w:r>
      <w:r>
        <w:rPr>
          <w:rFonts w:ascii="Calibri" w:hAnsi="Calibri"/>
          <w:sz w:val="22"/>
          <w:szCs w:val="22"/>
        </w:rPr>
        <w:t>,</w:t>
      </w:r>
      <w:r w:rsidRPr="00470E5F">
        <w:rPr>
          <w:rFonts w:ascii="Calibri" w:hAnsi="Calibri"/>
          <w:sz w:val="22"/>
          <w:szCs w:val="22"/>
        </w:rPr>
        <w:t xml:space="preserve"> operations or works in an offshore area undertaken for the purpose of (a) exercising a right conferred on a petroleum titleholder under the </w:t>
      </w:r>
      <w:r w:rsidR="001129B7">
        <w:rPr>
          <w:rFonts w:ascii="Calibri" w:hAnsi="Calibri"/>
          <w:sz w:val="22"/>
          <w:szCs w:val="22"/>
        </w:rPr>
        <w:t xml:space="preserve">OPGGS </w:t>
      </w:r>
      <w:r w:rsidRPr="00470E5F">
        <w:rPr>
          <w:rFonts w:ascii="Calibri" w:hAnsi="Calibri"/>
          <w:sz w:val="22"/>
          <w:szCs w:val="22"/>
        </w:rPr>
        <w:t xml:space="preserve">Act by a petroleum title or (b) discharging an obligation imposed on a petroleum titleholder by the Act or a legislative instrument under the </w:t>
      </w:r>
      <w:r w:rsidR="001129B7">
        <w:rPr>
          <w:rFonts w:ascii="Calibri" w:hAnsi="Calibri"/>
          <w:sz w:val="22"/>
          <w:szCs w:val="22"/>
        </w:rPr>
        <w:t xml:space="preserve">OPGGS </w:t>
      </w:r>
      <w:r w:rsidRPr="00470E5F">
        <w:rPr>
          <w:rFonts w:ascii="Calibri" w:hAnsi="Calibri"/>
          <w:sz w:val="22"/>
          <w:szCs w:val="22"/>
        </w:rPr>
        <w:t>Act.</w:t>
      </w:r>
    </w:p>
    <w:p w14:paraId="7D23A3F8" w14:textId="442F5852" w:rsidR="00366289" w:rsidRPr="00624A91" w:rsidRDefault="00366289" w:rsidP="00125D28">
      <w:pPr>
        <w:pStyle w:val="Heading2"/>
      </w:pPr>
      <w:bookmarkStart w:id="472" w:name="_Toc475358987"/>
      <w:bookmarkStart w:id="473" w:name="_Toc479771022"/>
      <w:bookmarkStart w:id="474" w:name="_Toc479778793"/>
      <w:bookmarkStart w:id="475" w:name="_Toc479845308"/>
      <w:bookmarkStart w:id="476" w:name="_Toc482364394"/>
      <w:bookmarkStart w:id="477" w:name="_Toc486939371"/>
      <w:bookmarkStart w:id="478" w:name="_Toc486950269"/>
      <w:bookmarkStart w:id="479" w:name="_Toc486956466"/>
      <w:bookmarkStart w:id="480" w:name="_Toc489460870"/>
      <w:r w:rsidRPr="00624A91">
        <w:t>Safety Case</w:t>
      </w:r>
      <w:bookmarkEnd w:id="472"/>
      <w:bookmarkEnd w:id="473"/>
      <w:bookmarkEnd w:id="474"/>
      <w:bookmarkEnd w:id="475"/>
      <w:bookmarkEnd w:id="476"/>
      <w:bookmarkEnd w:id="477"/>
      <w:bookmarkEnd w:id="478"/>
      <w:bookmarkEnd w:id="479"/>
      <w:bookmarkEnd w:id="480"/>
      <w:r w:rsidR="006F1E42" w:rsidRPr="00624A91">
        <w:t xml:space="preserve"> </w:t>
      </w:r>
    </w:p>
    <w:p w14:paraId="21A7D1DC" w14:textId="5ED70BC8" w:rsidR="001129B7" w:rsidRDefault="002F0F80" w:rsidP="00D40D19">
      <w:pPr>
        <w:pStyle w:val="Default"/>
        <w:spacing w:before="120" w:after="120" w:line="276" w:lineRule="auto"/>
        <w:rPr>
          <w:rFonts w:asciiTheme="minorHAnsi" w:hAnsiTheme="minorHAnsi"/>
          <w:sz w:val="22"/>
          <w:szCs w:val="22"/>
        </w:rPr>
      </w:pPr>
      <w:r>
        <w:rPr>
          <w:rFonts w:asciiTheme="minorHAnsi" w:hAnsiTheme="minorHAnsi"/>
          <w:sz w:val="22"/>
          <w:szCs w:val="22"/>
        </w:rPr>
        <w:t>A safety case is a</w:t>
      </w:r>
      <w:r w:rsidR="00D947D8">
        <w:rPr>
          <w:rFonts w:asciiTheme="minorHAnsi" w:hAnsiTheme="minorHAnsi"/>
          <w:sz w:val="22"/>
          <w:szCs w:val="22"/>
        </w:rPr>
        <w:t xml:space="preserve"> document setting out</w:t>
      </w:r>
      <w:r w:rsidR="006F1E42" w:rsidRPr="006F1E42">
        <w:rPr>
          <w:rFonts w:asciiTheme="minorHAnsi" w:hAnsiTheme="minorHAnsi"/>
          <w:sz w:val="22"/>
          <w:szCs w:val="22"/>
        </w:rPr>
        <w:t xml:space="preserve"> the arrangements for health and safety that are used by managers, supervisors and the workforce to understand health and safety issues and their </w:t>
      </w:r>
      <w:r>
        <w:rPr>
          <w:rFonts w:asciiTheme="minorHAnsi" w:hAnsiTheme="minorHAnsi"/>
          <w:sz w:val="22"/>
          <w:szCs w:val="22"/>
        </w:rPr>
        <w:t>controls.</w:t>
      </w:r>
    </w:p>
    <w:p w14:paraId="731761D7" w14:textId="7AEBF250" w:rsidR="006F1E42" w:rsidRDefault="006F1E42" w:rsidP="002F0F80">
      <w:pPr>
        <w:pStyle w:val="Default"/>
        <w:spacing w:before="120" w:after="120" w:line="276" w:lineRule="auto"/>
        <w:rPr>
          <w:rFonts w:asciiTheme="minorHAnsi" w:hAnsiTheme="minorHAnsi"/>
          <w:sz w:val="22"/>
          <w:szCs w:val="22"/>
        </w:rPr>
      </w:pPr>
      <w:r w:rsidRPr="006F1E42">
        <w:rPr>
          <w:rFonts w:asciiTheme="minorHAnsi" w:hAnsiTheme="minorHAnsi"/>
          <w:sz w:val="22"/>
          <w:szCs w:val="22"/>
        </w:rPr>
        <w:t xml:space="preserve">The </w:t>
      </w:r>
      <w:r w:rsidR="00D947D8">
        <w:rPr>
          <w:rFonts w:asciiTheme="minorHAnsi" w:hAnsiTheme="minorHAnsi"/>
          <w:sz w:val="22"/>
          <w:szCs w:val="22"/>
        </w:rPr>
        <w:t>safety case</w:t>
      </w:r>
      <w:r w:rsidRPr="006F1E42">
        <w:rPr>
          <w:rFonts w:asciiTheme="minorHAnsi" w:hAnsiTheme="minorHAnsi"/>
          <w:sz w:val="22"/>
          <w:szCs w:val="22"/>
        </w:rPr>
        <w:t xml:space="preserve"> sets out the operator’s commitments to reducing </w:t>
      </w:r>
      <w:r w:rsidR="001129B7">
        <w:rPr>
          <w:rFonts w:asciiTheme="minorHAnsi" w:hAnsiTheme="minorHAnsi"/>
          <w:sz w:val="22"/>
          <w:szCs w:val="22"/>
        </w:rPr>
        <w:t xml:space="preserve">safety </w:t>
      </w:r>
      <w:r w:rsidRPr="006F1E42">
        <w:rPr>
          <w:rFonts w:asciiTheme="minorHAnsi" w:hAnsiTheme="minorHAnsi"/>
          <w:sz w:val="22"/>
          <w:szCs w:val="22"/>
        </w:rPr>
        <w:t xml:space="preserve">risks to a level that is as low as reasonably practicable. The </w:t>
      </w:r>
      <w:r w:rsidR="00053D99">
        <w:rPr>
          <w:rFonts w:asciiTheme="minorHAnsi" w:hAnsiTheme="minorHAnsi"/>
          <w:sz w:val="22"/>
          <w:szCs w:val="22"/>
        </w:rPr>
        <w:t>c</w:t>
      </w:r>
      <w:r w:rsidR="00574958">
        <w:rPr>
          <w:rFonts w:asciiTheme="minorHAnsi" w:hAnsiTheme="minorHAnsi"/>
          <w:sz w:val="22"/>
          <w:szCs w:val="22"/>
        </w:rPr>
        <w:t>ase must include, among</w:t>
      </w:r>
      <w:r w:rsidRPr="006F1E42">
        <w:rPr>
          <w:rFonts w:asciiTheme="minorHAnsi" w:hAnsiTheme="minorHAnsi"/>
          <w:sz w:val="22"/>
          <w:szCs w:val="22"/>
        </w:rPr>
        <w:t xml:space="preserve"> other </w:t>
      </w:r>
      <w:r w:rsidR="00574958">
        <w:rPr>
          <w:rFonts w:asciiTheme="minorHAnsi" w:hAnsiTheme="minorHAnsi"/>
          <w:sz w:val="22"/>
          <w:szCs w:val="22"/>
        </w:rPr>
        <w:t>matters</w:t>
      </w:r>
      <w:r w:rsidRPr="006F1E42">
        <w:rPr>
          <w:rFonts w:asciiTheme="minorHAnsi" w:hAnsiTheme="minorHAnsi"/>
          <w:sz w:val="22"/>
          <w:szCs w:val="22"/>
        </w:rPr>
        <w:t>, a detailed description of the safety manageme</w:t>
      </w:r>
      <w:r w:rsidR="001129B7">
        <w:rPr>
          <w:rFonts w:asciiTheme="minorHAnsi" w:hAnsiTheme="minorHAnsi"/>
          <w:sz w:val="22"/>
          <w:szCs w:val="22"/>
        </w:rPr>
        <w:t>nt system (SMS) for a facility.</w:t>
      </w:r>
    </w:p>
    <w:p w14:paraId="2A411FAA" w14:textId="18CF7318" w:rsidR="001129B7" w:rsidRPr="006F1E42" w:rsidRDefault="001129B7" w:rsidP="002F0F80">
      <w:pPr>
        <w:pStyle w:val="Default"/>
        <w:spacing w:before="120" w:after="120" w:line="276" w:lineRule="auto"/>
        <w:rPr>
          <w:rFonts w:asciiTheme="minorHAnsi" w:hAnsiTheme="minorHAnsi"/>
          <w:sz w:val="22"/>
          <w:szCs w:val="22"/>
        </w:rPr>
      </w:pPr>
      <w:r>
        <w:rPr>
          <w:rFonts w:asciiTheme="minorHAnsi" w:hAnsiTheme="minorHAnsi"/>
          <w:sz w:val="22"/>
          <w:szCs w:val="22"/>
        </w:rPr>
        <w:t xml:space="preserve">Under the Safety Regulations, it </w:t>
      </w:r>
      <w:r w:rsidR="002F0F80">
        <w:rPr>
          <w:rFonts w:asciiTheme="minorHAnsi" w:hAnsiTheme="minorHAnsi"/>
          <w:sz w:val="22"/>
          <w:szCs w:val="22"/>
        </w:rPr>
        <w:t>is an offence to carry out work at a</w:t>
      </w:r>
      <w:r>
        <w:rPr>
          <w:rFonts w:asciiTheme="minorHAnsi" w:hAnsiTheme="minorHAnsi"/>
          <w:sz w:val="22"/>
          <w:szCs w:val="22"/>
        </w:rPr>
        <w:t xml:space="preserve"> facility</w:t>
      </w:r>
      <w:r w:rsidR="002F0F80">
        <w:rPr>
          <w:rFonts w:asciiTheme="minorHAnsi" w:hAnsiTheme="minorHAnsi"/>
          <w:sz w:val="22"/>
          <w:szCs w:val="22"/>
        </w:rPr>
        <w:t xml:space="preserve"> or part of the facility without an accepted safety case in force that provides for the relevant activity or activities.</w:t>
      </w:r>
    </w:p>
    <w:p w14:paraId="6158D2E4" w14:textId="7CA4304F" w:rsidR="003E065B" w:rsidRDefault="003E065B" w:rsidP="00125D28">
      <w:pPr>
        <w:pStyle w:val="Heading2"/>
      </w:pPr>
      <w:bookmarkStart w:id="481" w:name="_Toc479771023"/>
      <w:bookmarkStart w:id="482" w:name="_Toc479778794"/>
      <w:bookmarkStart w:id="483" w:name="_Toc479845309"/>
      <w:bookmarkStart w:id="484" w:name="_Toc482364395"/>
      <w:bookmarkStart w:id="485" w:name="_Toc486939372"/>
      <w:bookmarkStart w:id="486" w:name="_Toc486950270"/>
      <w:bookmarkStart w:id="487" w:name="_Toc486956467"/>
      <w:bookmarkStart w:id="488" w:name="_Toc489460871"/>
      <w:bookmarkStart w:id="489" w:name="_Toc475358988"/>
      <w:r>
        <w:t>Scheduled Area</w:t>
      </w:r>
      <w:bookmarkEnd w:id="481"/>
      <w:bookmarkEnd w:id="482"/>
      <w:bookmarkEnd w:id="483"/>
      <w:bookmarkEnd w:id="484"/>
      <w:bookmarkEnd w:id="485"/>
      <w:bookmarkEnd w:id="486"/>
      <w:bookmarkEnd w:id="487"/>
      <w:bookmarkEnd w:id="488"/>
    </w:p>
    <w:p w14:paraId="429581DF" w14:textId="250DA66C" w:rsidR="003E065B" w:rsidRPr="003E065B" w:rsidRDefault="001129B7" w:rsidP="002F0F80">
      <w:pPr>
        <w:spacing w:before="120" w:after="120"/>
      </w:pPr>
      <w:r>
        <w:rPr>
          <w:rFonts w:ascii="Calibri" w:hAnsi="Calibri"/>
          <w:sz w:val="22"/>
          <w:szCs w:val="22"/>
        </w:rPr>
        <w:t>The Scheduled Area, f</w:t>
      </w:r>
      <w:r w:rsidR="00D00D23">
        <w:rPr>
          <w:rFonts w:ascii="Calibri" w:hAnsi="Calibri"/>
          <w:sz w:val="22"/>
          <w:szCs w:val="22"/>
        </w:rPr>
        <w:t>or a State</w:t>
      </w:r>
      <w:r>
        <w:rPr>
          <w:rFonts w:ascii="Calibri" w:hAnsi="Calibri"/>
          <w:sz w:val="22"/>
          <w:szCs w:val="22"/>
        </w:rPr>
        <w:t xml:space="preserve"> or </w:t>
      </w:r>
      <w:r w:rsidR="003E065B">
        <w:rPr>
          <w:rFonts w:ascii="Calibri" w:hAnsi="Calibri"/>
          <w:sz w:val="22"/>
          <w:szCs w:val="22"/>
        </w:rPr>
        <w:t xml:space="preserve">the Northern Territory, </w:t>
      </w:r>
      <w:r>
        <w:rPr>
          <w:rFonts w:ascii="Calibri" w:hAnsi="Calibri"/>
          <w:sz w:val="22"/>
          <w:szCs w:val="22"/>
        </w:rPr>
        <w:t xml:space="preserve">refers to </w:t>
      </w:r>
      <w:r w:rsidR="003E065B">
        <w:rPr>
          <w:rFonts w:ascii="Calibri" w:hAnsi="Calibri"/>
          <w:sz w:val="22"/>
          <w:szCs w:val="22"/>
        </w:rPr>
        <w:t>the</w:t>
      </w:r>
      <w:r w:rsidR="00D00D23">
        <w:rPr>
          <w:rFonts w:ascii="Calibri" w:hAnsi="Calibri"/>
          <w:sz w:val="22"/>
          <w:szCs w:val="22"/>
        </w:rPr>
        <w:t xml:space="preserve"> ar</w:t>
      </w:r>
      <w:r>
        <w:rPr>
          <w:rFonts w:ascii="Calibri" w:hAnsi="Calibri"/>
          <w:sz w:val="22"/>
          <w:szCs w:val="22"/>
        </w:rPr>
        <w:t>ea delineated in</w:t>
      </w:r>
      <w:r w:rsidR="00D00D23">
        <w:rPr>
          <w:rFonts w:ascii="Calibri" w:hAnsi="Calibri"/>
          <w:sz w:val="22"/>
          <w:szCs w:val="22"/>
        </w:rPr>
        <w:t xml:space="preserve"> Schedule 1 (clauses 1-8) </w:t>
      </w:r>
      <w:r w:rsidR="003E065B">
        <w:rPr>
          <w:rFonts w:ascii="Calibri" w:hAnsi="Calibri"/>
          <w:sz w:val="22"/>
          <w:szCs w:val="22"/>
        </w:rPr>
        <w:t>of the OPGGS Act</w:t>
      </w:r>
      <w:r w:rsidR="00A4093D">
        <w:rPr>
          <w:rFonts w:ascii="Calibri" w:hAnsi="Calibri"/>
          <w:sz w:val="22"/>
          <w:szCs w:val="22"/>
        </w:rPr>
        <w:t xml:space="preserve">. </w:t>
      </w:r>
    </w:p>
    <w:p w14:paraId="7FE1A3F2" w14:textId="19C9900C" w:rsidR="00366289" w:rsidRPr="00624A91" w:rsidRDefault="00366289" w:rsidP="00125D28">
      <w:pPr>
        <w:pStyle w:val="Heading2"/>
      </w:pPr>
      <w:bookmarkStart w:id="490" w:name="_Toc479771024"/>
      <w:bookmarkStart w:id="491" w:name="_Toc479778795"/>
      <w:bookmarkStart w:id="492" w:name="_Toc479845310"/>
      <w:bookmarkStart w:id="493" w:name="_Toc482364396"/>
      <w:bookmarkStart w:id="494" w:name="_Toc486939373"/>
      <w:bookmarkStart w:id="495" w:name="_Toc486950271"/>
      <w:bookmarkStart w:id="496" w:name="_Toc486956468"/>
      <w:bookmarkStart w:id="497" w:name="_Toc489460872"/>
      <w:r w:rsidRPr="00624A91">
        <w:t>Stakeholder</w:t>
      </w:r>
      <w:bookmarkEnd w:id="489"/>
      <w:bookmarkEnd w:id="490"/>
      <w:bookmarkEnd w:id="491"/>
      <w:bookmarkEnd w:id="492"/>
      <w:bookmarkEnd w:id="493"/>
      <w:bookmarkEnd w:id="494"/>
      <w:bookmarkEnd w:id="495"/>
      <w:bookmarkEnd w:id="496"/>
      <w:bookmarkEnd w:id="497"/>
    </w:p>
    <w:p w14:paraId="38565AB3" w14:textId="6EFA3901" w:rsidR="006F1E42" w:rsidRPr="006F1E42" w:rsidRDefault="00D00D23" w:rsidP="002F0F80">
      <w:pPr>
        <w:spacing w:before="120" w:after="120" w:line="276" w:lineRule="auto"/>
        <w:rPr>
          <w:rFonts w:asciiTheme="minorHAnsi" w:hAnsiTheme="minorHAnsi"/>
          <w:color w:val="000000"/>
          <w:sz w:val="22"/>
          <w:szCs w:val="22"/>
        </w:rPr>
      </w:pPr>
      <w:r>
        <w:rPr>
          <w:rFonts w:asciiTheme="minorHAnsi" w:hAnsiTheme="minorHAnsi"/>
          <w:color w:val="000000"/>
          <w:sz w:val="22"/>
          <w:szCs w:val="22"/>
        </w:rPr>
        <w:t xml:space="preserve">A person with an interest (a ‘stake’) in an enterprise, and/or a person involved or affected by a </w:t>
      </w:r>
      <w:proofErr w:type="gramStart"/>
      <w:r>
        <w:rPr>
          <w:rFonts w:asciiTheme="minorHAnsi" w:hAnsiTheme="minorHAnsi"/>
          <w:color w:val="000000"/>
          <w:sz w:val="22"/>
          <w:szCs w:val="22"/>
        </w:rPr>
        <w:t>particular course</w:t>
      </w:r>
      <w:proofErr w:type="gramEnd"/>
      <w:r>
        <w:rPr>
          <w:rFonts w:asciiTheme="minorHAnsi" w:hAnsiTheme="minorHAnsi"/>
          <w:color w:val="000000"/>
          <w:sz w:val="22"/>
          <w:szCs w:val="22"/>
        </w:rPr>
        <w:t xml:space="preserve"> of action.</w:t>
      </w:r>
    </w:p>
    <w:p w14:paraId="06AB0D4F" w14:textId="77777777" w:rsidR="00366289" w:rsidRPr="00624A91" w:rsidRDefault="00366289" w:rsidP="00125D28">
      <w:pPr>
        <w:pStyle w:val="Heading2"/>
      </w:pPr>
      <w:bookmarkStart w:id="498" w:name="_Toc475358989"/>
      <w:bookmarkStart w:id="499" w:name="_Toc479771025"/>
      <w:bookmarkStart w:id="500" w:name="_Toc479778796"/>
      <w:bookmarkStart w:id="501" w:name="_Toc479845311"/>
      <w:bookmarkStart w:id="502" w:name="_Toc482364397"/>
      <w:bookmarkStart w:id="503" w:name="_Toc486939374"/>
      <w:bookmarkStart w:id="504" w:name="_Toc486950272"/>
      <w:bookmarkStart w:id="505" w:name="_Toc486956469"/>
      <w:bookmarkStart w:id="506" w:name="_Toc489460873"/>
      <w:r w:rsidRPr="00624A91">
        <w:t>Territorial sea baseline</w:t>
      </w:r>
      <w:bookmarkEnd w:id="498"/>
      <w:bookmarkEnd w:id="499"/>
      <w:bookmarkEnd w:id="500"/>
      <w:bookmarkEnd w:id="501"/>
      <w:bookmarkEnd w:id="502"/>
      <w:bookmarkEnd w:id="503"/>
      <w:bookmarkEnd w:id="504"/>
      <w:bookmarkEnd w:id="505"/>
      <w:bookmarkEnd w:id="506"/>
    </w:p>
    <w:p w14:paraId="402ED837" w14:textId="6E1218B1" w:rsidR="00E60C61" w:rsidRDefault="000B3ADB" w:rsidP="002F0F80">
      <w:pPr>
        <w:spacing w:before="120" w:after="120" w:line="276" w:lineRule="auto"/>
        <w:rPr>
          <w:rFonts w:asciiTheme="minorHAnsi" w:hAnsiTheme="minorHAnsi"/>
          <w:color w:val="000000"/>
          <w:sz w:val="22"/>
          <w:szCs w:val="22"/>
        </w:rPr>
      </w:pPr>
      <w:r>
        <w:rPr>
          <w:rFonts w:asciiTheme="minorHAnsi" w:hAnsiTheme="minorHAnsi"/>
          <w:color w:val="000000"/>
          <w:sz w:val="22"/>
          <w:szCs w:val="22"/>
        </w:rPr>
        <w:t>The line from which the seaward limits of Australia’s Maritime Zones are measured</w:t>
      </w:r>
      <w:r w:rsidR="00A4093D">
        <w:rPr>
          <w:rFonts w:asciiTheme="minorHAnsi" w:hAnsiTheme="minorHAnsi"/>
          <w:color w:val="000000"/>
          <w:sz w:val="22"/>
          <w:szCs w:val="22"/>
        </w:rPr>
        <w:t xml:space="preserve">. </w:t>
      </w:r>
      <w:r>
        <w:rPr>
          <w:rFonts w:asciiTheme="minorHAnsi" w:hAnsiTheme="minorHAnsi"/>
          <w:color w:val="000000"/>
          <w:sz w:val="22"/>
          <w:szCs w:val="22"/>
        </w:rPr>
        <w:t>The baseline broadly corresponds with the low water line along the coast, including the coasts of islands</w:t>
      </w:r>
      <w:r w:rsidR="00A4093D">
        <w:rPr>
          <w:rFonts w:asciiTheme="minorHAnsi" w:hAnsiTheme="minorHAnsi"/>
          <w:color w:val="000000"/>
          <w:sz w:val="22"/>
          <w:szCs w:val="22"/>
        </w:rPr>
        <w:t xml:space="preserve">. </w:t>
      </w:r>
      <w:r w:rsidR="0033678A">
        <w:rPr>
          <w:rFonts w:asciiTheme="minorHAnsi" w:hAnsiTheme="minorHAnsi"/>
          <w:color w:val="000000"/>
          <w:sz w:val="22"/>
          <w:szCs w:val="22"/>
        </w:rPr>
        <w:t>Under</w:t>
      </w:r>
      <w:r>
        <w:rPr>
          <w:rFonts w:asciiTheme="minorHAnsi" w:hAnsiTheme="minorHAnsi"/>
          <w:color w:val="000000"/>
          <w:sz w:val="22"/>
          <w:szCs w:val="22"/>
        </w:rPr>
        <w:t xml:space="preserve"> international law, a normal baseline may be d</w:t>
      </w:r>
      <w:r w:rsidR="00D00D23">
        <w:rPr>
          <w:rFonts w:asciiTheme="minorHAnsi" w:hAnsiTheme="minorHAnsi"/>
          <w:color w:val="000000"/>
          <w:sz w:val="22"/>
          <w:szCs w:val="22"/>
        </w:rPr>
        <w:t>rawn around low tide elevations –</w:t>
      </w:r>
      <w:r>
        <w:rPr>
          <w:rFonts w:asciiTheme="minorHAnsi" w:hAnsiTheme="minorHAnsi"/>
          <w:color w:val="000000"/>
          <w:sz w:val="22"/>
          <w:szCs w:val="22"/>
        </w:rPr>
        <w:t xml:space="preserve"> defined as naturally formed areas of land surrounded by and above water at low tide but submerged at high tide, provided they are wholly or partly within 12 nautical miles of the coast</w:t>
      </w:r>
      <w:r w:rsidR="00A4093D">
        <w:rPr>
          <w:rFonts w:asciiTheme="minorHAnsi" w:hAnsiTheme="minorHAnsi"/>
          <w:color w:val="000000"/>
          <w:sz w:val="22"/>
          <w:szCs w:val="22"/>
        </w:rPr>
        <w:t xml:space="preserve">. </w:t>
      </w:r>
    </w:p>
    <w:p w14:paraId="524C9876" w14:textId="2CE4DBD4" w:rsidR="0008604D" w:rsidRPr="00624A91" w:rsidRDefault="0033678A" w:rsidP="002F0F80">
      <w:pPr>
        <w:spacing w:before="120" w:after="120" w:line="276" w:lineRule="auto"/>
        <w:rPr>
          <w:rFonts w:asciiTheme="minorHAnsi" w:hAnsiTheme="minorHAnsi"/>
          <w:sz w:val="22"/>
          <w:szCs w:val="22"/>
        </w:rPr>
      </w:pPr>
      <w:r>
        <w:rPr>
          <w:rFonts w:asciiTheme="minorHAnsi" w:hAnsiTheme="minorHAnsi"/>
          <w:color w:val="000000"/>
          <w:sz w:val="22"/>
          <w:szCs w:val="22"/>
        </w:rPr>
        <w:t xml:space="preserve">The territorial sea baseline is defined by proclamation – currently by the </w:t>
      </w:r>
      <w:hyperlink r:id="rId75" w:tooltip="https://www.legislation.gov.au/Details/F2016L00302" w:history="1">
        <w:r w:rsidRPr="001129B7">
          <w:rPr>
            <w:rStyle w:val="Hyperlink"/>
            <w:rFonts w:asciiTheme="minorHAnsi" w:hAnsiTheme="minorHAnsi"/>
            <w:i/>
            <w:sz w:val="22"/>
            <w:szCs w:val="22"/>
          </w:rPr>
          <w:t>Seas and Submerged Lands (Territoria</w:t>
        </w:r>
        <w:r w:rsidR="001129B7" w:rsidRPr="001129B7">
          <w:rPr>
            <w:rStyle w:val="Hyperlink"/>
            <w:rFonts w:asciiTheme="minorHAnsi" w:hAnsiTheme="minorHAnsi"/>
            <w:i/>
            <w:sz w:val="22"/>
            <w:szCs w:val="22"/>
          </w:rPr>
          <w:t>l Sea Baseline) Proclamation 201</w:t>
        </w:r>
        <w:r w:rsidRPr="001129B7">
          <w:rPr>
            <w:rStyle w:val="Hyperlink"/>
            <w:rFonts w:asciiTheme="minorHAnsi" w:hAnsiTheme="minorHAnsi"/>
            <w:i/>
            <w:sz w:val="22"/>
            <w:szCs w:val="22"/>
          </w:rPr>
          <w:t>6.</w:t>
        </w:r>
      </w:hyperlink>
    </w:p>
    <w:p w14:paraId="46792491" w14:textId="77777777" w:rsidR="00366289" w:rsidRPr="00624A91" w:rsidRDefault="001D597D" w:rsidP="00125D28">
      <w:pPr>
        <w:pStyle w:val="Heading2"/>
      </w:pPr>
      <w:bookmarkStart w:id="507" w:name="_Toc475358990"/>
      <w:bookmarkStart w:id="508" w:name="_Toc479771026"/>
      <w:bookmarkStart w:id="509" w:name="_Toc479778797"/>
      <w:bookmarkStart w:id="510" w:name="_Toc479845312"/>
      <w:bookmarkStart w:id="511" w:name="_Toc482364398"/>
      <w:bookmarkStart w:id="512" w:name="_Toc486939375"/>
      <w:bookmarkStart w:id="513" w:name="_Toc486950273"/>
      <w:bookmarkStart w:id="514" w:name="_Toc486956470"/>
      <w:bookmarkStart w:id="515" w:name="_Toc489460874"/>
      <w:r w:rsidRPr="00624A91">
        <w:t xml:space="preserve">(Petroleum) </w:t>
      </w:r>
      <w:r w:rsidR="00366289" w:rsidRPr="00624A91">
        <w:t>Titleholder</w:t>
      </w:r>
      <w:bookmarkEnd w:id="507"/>
      <w:bookmarkEnd w:id="508"/>
      <w:bookmarkEnd w:id="509"/>
      <w:bookmarkEnd w:id="510"/>
      <w:bookmarkEnd w:id="511"/>
      <w:bookmarkEnd w:id="512"/>
      <w:bookmarkEnd w:id="513"/>
      <w:bookmarkEnd w:id="514"/>
      <w:bookmarkEnd w:id="515"/>
    </w:p>
    <w:p w14:paraId="0C4B0BE9" w14:textId="3FACF248" w:rsidR="006F1E42" w:rsidRDefault="001D597D" w:rsidP="002F0F80">
      <w:pPr>
        <w:spacing w:before="120" w:after="120" w:line="276" w:lineRule="auto"/>
        <w:rPr>
          <w:rFonts w:asciiTheme="minorHAnsi" w:hAnsiTheme="minorHAnsi"/>
          <w:sz w:val="22"/>
          <w:szCs w:val="22"/>
        </w:rPr>
      </w:pPr>
      <w:r>
        <w:rPr>
          <w:rFonts w:asciiTheme="minorHAnsi" w:hAnsiTheme="minorHAnsi"/>
          <w:sz w:val="22"/>
          <w:szCs w:val="22"/>
        </w:rPr>
        <w:t xml:space="preserve">The </w:t>
      </w:r>
      <w:r w:rsidR="002F0F80">
        <w:rPr>
          <w:rFonts w:asciiTheme="minorHAnsi" w:hAnsiTheme="minorHAnsi"/>
          <w:sz w:val="22"/>
          <w:szCs w:val="22"/>
        </w:rPr>
        <w:t>entity or entities</w:t>
      </w:r>
      <w:r>
        <w:rPr>
          <w:rFonts w:asciiTheme="minorHAnsi" w:hAnsiTheme="minorHAnsi"/>
          <w:sz w:val="22"/>
          <w:szCs w:val="22"/>
        </w:rPr>
        <w:t xml:space="preserve"> registered as </w:t>
      </w:r>
      <w:r w:rsidR="001129B7">
        <w:rPr>
          <w:rFonts w:asciiTheme="minorHAnsi" w:hAnsiTheme="minorHAnsi"/>
          <w:sz w:val="22"/>
          <w:szCs w:val="22"/>
        </w:rPr>
        <w:t xml:space="preserve">the </w:t>
      </w:r>
      <w:r>
        <w:rPr>
          <w:rFonts w:asciiTheme="minorHAnsi" w:hAnsiTheme="minorHAnsi"/>
          <w:sz w:val="22"/>
          <w:szCs w:val="22"/>
        </w:rPr>
        <w:t>holder(s) of a petroleum exploration permit, petroleum retention lease, petroleum production licen</w:t>
      </w:r>
      <w:r w:rsidR="00BD0642">
        <w:rPr>
          <w:rFonts w:asciiTheme="minorHAnsi" w:hAnsiTheme="minorHAnsi"/>
          <w:sz w:val="22"/>
          <w:szCs w:val="22"/>
        </w:rPr>
        <w:t>c</w:t>
      </w:r>
      <w:r>
        <w:rPr>
          <w:rFonts w:asciiTheme="minorHAnsi" w:hAnsiTheme="minorHAnsi"/>
          <w:sz w:val="22"/>
          <w:szCs w:val="22"/>
        </w:rPr>
        <w:t>e, pipeline licen</w:t>
      </w:r>
      <w:r w:rsidR="00BD0642">
        <w:rPr>
          <w:rFonts w:asciiTheme="minorHAnsi" w:hAnsiTheme="minorHAnsi"/>
          <w:sz w:val="22"/>
          <w:szCs w:val="22"/>
        </w:rPr>
        <w:t>c</w:t>
      </w:r>
      <w:r>
        <w:rPr>
          <w:rFonts w:asciiTheme="minorHAnsi" w:hAnsiTheme="minorHAnsi"/>
          <w:sz w:val="22"/>
          <w:szCs w:val="22"/>
        </w:rPr>
        <w:t>e, infrastructure licen</w:t>
      </w:r>
      <w:r w:rsidR="00BD0642">
        <w:rPr>
          <w:rFonts w:asciiTheme="minorHAnsi" w:hAnsiTheme="minorHAnsi"/>
          <w:sz w:val="22"/>
          <w:szCs w:val="22"/>
        </w:rPr>
        <w:t>c</w:t>
      </w:r>
      <w:r>
        <w:rPr>
          <w:rFonts w:asciiTheme="minorHAnsi" w:hAnsiTheme="minorHAnsi"/>
          <w:sz w:val="22"/>
          <w:szCs w:val="22"/>
        </w:rPr>
        <w:t>e, petroleum special prospecting authority or petroleum access authority.</w:t>
      </w:r>
    </w:p>
    <w:p w14:paraId="04E87D56" w14:textId="487A47C5" w:rsidR="00366289" w:rsidRPr="00624A91" w:rsidRDefault="001129B7" w:rsidP="00125D28">
      <w:pPr>
        <w:pStyle w:val="Heading2"/>
      </w:pPr>
      <w:bookmarkStart w:id="516" w:name="_Toc475358991"/>
      <w:bookmarkStart w:id="517" w:name="_Toc479771027"/>
      <w:bookmarkStart w:id="518" w:name="_Toc479778798"/>
      <w:bookmarkStart w:id="519" w:name="_Toc479845313"/>
      <w:bookmarkStart w:id="520" w:name="_Toc482364399"/>
      <w:bookmarkStart w:id="521" w:name="_Toc486939376"/>
      <w:bookmarkStart w:id="522" w:name="_Toc486950274"/>
      <w:bookmarkStart w:id="523" w:name="_Toc486956471"/>
      <w:bookmarkStart w:id="524" w:name="_Toc489460875"/>
      <w:r>
        <w:t>Well operations management p</w:t>
      </w:r>
      <w:r w:rsidR="006F1E42" w:rsidRPr="00624A91">
        <w:t>lan</w:t>
      </w:r>
      <w:bookmarkEnd w:id="516"/>
      <w:bookmarkEnd w:id="517"/>
      <w:bookmarkEnd w:id="518"/>
      <w:bookmarkEnd w:id="519"/>
      <w:bookmarkEnd w:id="520"/>
      <w:bookmarkEnd w:id="521"/>
      <w:bookmarkEnd w:id="522"/>
      <w:bookmarkEnd w:id="523"/>
      <w:bookmarkEnd w:id="524"/>
    </w:p>
    <w:p w14:paraId="25E9904C" w14:textId="4A0C1AAC" w:rsidR="00DA78A3" w:rsidRDefault="00D00D23" w:rsidP="002F0F80">
      <w:pPr>
        <w:spacing w:before="120" w:after="120" w:line="276" w:lineRule="auto"/>
        <w:rPr>
          <w:rFonts w:asciiTheme="minorHAnsi" w:hAnsiTheme="minorHAnsi"/>
          <w:sz w:val="22"/>
          <w:szCs w:val="22"/>
        </w:rPr>
      </w:pPr>
      <w:r>
        <w:rPr>
          <w:rFonts w:asciiTheme="minorHAnsi" w:hAnsiTheme="minorHAnsi"/>
          <w:sz w:val="22"/>
          <w:szCs w:val="22"/>
        </w:rPr>
        <w:t xml:space="preserve">A </w:t>
      </w:r>
      <w:r w:rsidR="002F0F80">
        <w:rPr>
          <w:rFonts w:asciiTheme="minorHAnsi" w:hAnsiTheme="minorHAnsi"/>
          <w:sz w:val="22"/>
          <w:szCs w:val="22"/>
        </w:rPr>
        <w:t xml:space="preserve">WOMP </w:t>
      </w:r>
      <w:r>
        <w:rPr>
          <w:rFonts w:asciiTheme="minorHAnsi" w:hAnsiTheme="minorHAnsi"/>
          <w:sz w:val="22"/>
          <w:szCs w:val="22"/>
        </w:rPr>
        <w:t>is a</w:t>
      </w:r>
      <w:r w:rsidR="002E66F3">
        <w:rPr>
          <w:rFonts w:asciiTheme="minorHAnsi" w:hAnsiTheme="minorHAnsi"/>
          <w:sz w:val="22"/>
          <w:szCs w:val="22"/>
        </w:rPr>
        <w:t xml:space="preserve"> document by which a titleholder identifies risks posed by activities </w:t>
      </w:r>
      <w:r>
        <w:rPr>
          <w:rFonts w:asciiTheme="minorHAnsi" w:hAnsiTheme="minorHAnsi"/>
          <w:sz w:val="22"/>
          <w:szCs w:val="22"/>
        </w:rPr>
        <w:t>relating to a well that are carried out during the life the</w:t>
      </w:r>
      <w:r w:rsidR="002E66F3">
        <w:rPr>
          <w:rFonts w:asciiTheme="minorHAnsi" w:hAnsiTheme="minorHAnsi"/>
          <w:sz w:val="22"/>
          <w:szCs w:val="22"/>
        </w:rPr>
        <w:t xml:space="preserve"> well</w:t>
      </w:r>
      <w:r>
        <w:rPr>
          <w:rFonts w:asciiTheme="minorHAnsi" w:hAnsiTheme="minorHAnsi"/>
          <w:sz w:val="22"/>
          <w:szCs w:val="22"/>
        </w:rPr>
        <w:t xml:space="preserve"> (well activities)</w:t>
      </w:r>
      <w:r w:rsidR="002E66F3">
        <w:rPr>
          <w:rFonts w:asciiTheme="minorHAnsi" w:hAnsiTheme="minorHAnsi"/>
          <w:sz w:val="22"/>
          <w:szCs w:val="22"/>
        </w:rPr>
        <w:t xml:space="preserve">, and sets out measures to ensure risks to well integrity </w:t>
      </w:r>
      <w:r>
        <w:rPr>
          <w:rFonts w:asciiTheme="minorHAnsi" w:hAnsiTheme="minorHAnsi"/>
          <w:sz w:val="22"/>
          <w:szCs w:val="22"/>
        </w:rPr>
        <w:t>are</w:t>
      </w:r>
      <w:r w:rsidR="002E66F3">
        <w:rPr>
          <w:rFonts w:asciiTheme="minorHAnsi" w:hAnsiTheme="minorHAnsi"/>
          <w:sz w:val="22"/>
          <w:szCs w:val="22"/>
        </w:rPr>
        <w:t xml:space="preserve"> reduced to as low as reasonably practicable</w:t>
      </w:r>
      <w:r w:rsidR="00A4093D">
        <w:rPr>
          <w:rFonts w:asciiTheme="minorHAnsi" w:hAnsiTheme="minorHAnsi"/>
          <w:sz w:val="22"/>
          <w:szCs w:val="22"/>
        </w:rPr>
        <w:t xml:space="preserve">. </w:t>
      </w:r>
    </w:p>
    <w:p w14:paraId="070AB9CF" w14:textId="00DEE1A7" w:rsidR="00751954" w:rsidRPr="00D00D23" w:rsidRDefault="00D00D23" w:rsidP="002F0F80">
      <w:pPr>
        <w:spacing w:before="120" w:after="120" w:line="276" w:lineRule="auto"/>
        <w:rPr>
          <w:rFonts w:asciiTheme="minorHAnsi" w:hAnsiTheme="minorHAnsi"/>
          <w:sz w:val="22"/>
          <w:szCs w:val="22"/>
        </w:rPr>
      </w:pPr>
      <w:r>
        <w:rPr>
          <w:rFonts w:asciiTheme="minorHAnsi" w:hAnsiTheme="minorHAnsi"/>
          <w:sz w:val="22"/>
          <w:szCs w:val="22"/>
        </w:rPr>
        <w:t xml:space="preserve">After it is prepared by the titleholder, the WOMP is submitted to NOPSEMA. NOPSEMA then assesses the WOMP against the criteria set down in the RMA </w:t>
      </w:r>
      <w:proofErr w:type="gramStart"/>
      <w:r>
        <w:rPr>
          <w:rFonts w:asciiTheme="minorHAnsi" w:hAnsiTheme="minorHAnsi"/>
          <w:sz w:val="22"/>
          <w:szCs w:val="22"/>
        </w:rPr>
        <w:t>Regulations, and</w:t>
      </w:r>
      <w:proofErr w:type="gramEnd"/>
      <w:r>
        <w:rPr>
          <w:rFonts w:asciiTheme="minorHAnsi" w:hAnsiTheme="minorHAnsi"/>
          <w:sz w:val="22"/>
          <w:szCs w:val="22"/>
        </w:rPr>
        <w:t xml:space="preserve"> determines whether </w:t>
      </w:r>
      <w:r>
        <w:rPr>
          <w:rFonts w:asciiTheme="minorHAnsi" w:hAnsiTheme="minorHAnsi"/>
          <w:sz w:val="22"/>
          <w:szCs w:val="22"/>
        </w:rPr>
        <w:lastRenderedPageBreak/>
        <w:t>to accept or reject the WOMP. It is an offence to undertake a</w:t>
      </w:r>
      <w:r w:rsidR="00751954">
        <w:rPr>
          <w:rFonts w:asciiTheme="minorHAnsi" w:hAnsiTheme="minorHAnsi"/>
          <w:sz w:val="22"/>
          <w:szCs w:val="22"/>
        </w:rPr>
        <w:t xml:space="preserve"> well activity in Commonwealth waters without an accepted WOMP that provides for </w:t>
      </w:r>
      <w:r>
        <w:rPr>
          <w:rFonts w:asciiTheme="minorHAnsi" w:hAnsiTheme="minorHAnsi"/>
          <w:sz w:val="22"/>
          <w:szCs w:val="22"/>
        </w:rPr>
        <w:t>the</w:t>
      </w:r>
      <w:r w:rsidR="00751954">
        <w:rPr>
          <w:rFonts w:asciiTheme="minorHAnsi" w:hAnsiTheme="minorHAnsi"/>
          <w:sz w:val="22"/>
          <w:szCs w:val="22"/>
        </w:rPr>
        <w:t xml:space="preserve"> activity. </w:t>
      </w:r>
    </w:p>
    <w:p w14:paraId="513A18A5" w14:textId="3B9837C1" w:rsidR="007C5804" w:rsidRPr="005141AE" w:rsidRDefault="00D00D23" w:rsidP="002F0F80">
      <w:pPr>
        <w:spacing w:before="120" w:after="120" w:line="276" w:lineRule="auto"/>
        <w:rPr>
          <w:lang w:eastAsia="en-US"/>
        </w:rPr>
      </w:pPr>
      <w:r>
        <w:rPr>
          <w:rFonts w:asciiTheme="minorHAnsi" w:hAnsiTheme="minorHAnsi"/>
          <w:sz w:val="22"/>
          <w:szCs w:val="22"/>
        </w:rPr>
        <w:t>F</w:t>
      </w:r>
      <w:r w:rsidR="002E66F3">
        <w:rPr>
          <w:rFonts w:asciiTheme="minorHAnsi" w:hAnsiTheme="minorHAnsi"/>
          <w:sz w:val="22"/>
          <w:szCs w:val="22"/>
        </w:rPr>
        <w:t>or certain well activities, the titleholder must also provide NOPSEMA with advance notice of the activity before it commences.</w:t>
      </w:r>
    </w:p>
    <w:sectPr w:rsidR="007C5804" w:rsidRPr="005141AE" w:rsidSect="00F029E6">
      <w:headerReference w:type="default" r:id="rId7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AFD8B" w14:textId="77777777" w:rsidR="00934F2F" w:rsidRDefault="00934F2F" w:rsidP="00114FE8">
      <w:r>
        <w:separator/>
      </w:r>
    </w:p>
  </w:endnote>
  <w:endnote w:type="continuationSeparator" w:id="0">
    <w:p w14:paraId="04D4F493" w14:textId="77777777" w:rsidR="00934F2F" w:rsidRDefault="00934F2F" w:rsidP="00114FE8">
      <w:r>
        <w:continuationSeparator/>
      </w:r>
    </w:p>
  </w:endnote>
  <w:endnote w:type="continuationNotice" w:id="1">
    <w:p w14:paraId="300A1507" w14:textId="77777777" w:rsidR="00934F2F" w:rsidRDefault="00934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0E21F" w14:textId="77777777" w:rsidR="00934F2F" w:rsidRDefault="00934F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473810"/>
      <w:docPartObj>
        <w:docPartGallery w:val="Page Numbers (Bottom of Page)"/>
        <w:docPartUnique/>
      </w:docPartObj>
    </w:sdtPr>
    <w:sdtEndPr>
      <w:rPr>
        <w:rFonts w:asciiTheme="minorHAnsi" w:hAnsiTheme="minorHAnsi"/>
        <w:noProof/>
      </w:rPr>
    </w:sdtEndPr>
    <w:sdtContent>
      <w:p w14:paraId="402EF430" w14:textId="04063F5C" w:rsidR="00934F2F" w:rsidRPr="00765896" w:rsidRDefault="00934F2F">
        <w:pPr>
          <w:pStyle w:val="Footer"/>
          <w:jc w:val="right"/>
          <w:rPr>
            <w:rFonts w:asciiTheme="minorHAnsi" w:hAnsiTheme="minorHAnsi"/>
          </w:rPr>
        </w:pPr>
        <w:r w:rsidRPr="00765896">
          <w:rPr>
            <w:rFonts w:asciiTheme="minorHAnsi" w:hAnsiTheme="minorHAnsi"/>
          </w:rPr>
          <w:fldChar w:fldCharType="begin"/>
        </w:r>
        <w:r w:rsidRPr="00765896">
          <w:rPr>
            <w:rFonts w:asciiTheme="minorHAnsi" w:hAnsiTheme="minorHAnsi"/>
          </w:rPr>
          <w:instrText xml:space="preserve"> PAGE   \* MERGEFORMAT </w:instrText>
        </w:r>
        <w:r w:rsidRPr="00765896">
          <w:rPr>
            <w:rFonts w:asciiTheme="minorHAnsi" w:hAnsiTheme="minorHAnsi"/>
          </w:rPr>
          <w:fldChar w:fldCharType="separate"/>
        </w:r>
        <w:r>
          <w:rPr>
            <w:rFonts w:asciiTheme="minorHAnsi" w:hAnsiTheme="minorHAnsi"/>
            <w:noProof/>
          </w:rPr>
          <w:t>21</w:t>
        </w:r>
        <w:r w:rsidRPr="00765896">
          <w:rPr>
            <w:rFonts w:asciiTheme="minorHAnsi" w:hAnsiTheme="minorHAnsi"/>
            <w:noProof/>
          </w:rPr>
          <w:fldChar w:fldCharType="end"/>
        </w:r>
      </w:p>
    </w:sdtContent>
  </w:sdt>
  <w:p w14:paraId="5355666B" w14:textId="26770CB3" w:rsidR="00934F2F" w:rsidRPr="00A5202E" w:rsidRDefault="00934F2F" w:rsidP="00A5202E">
    <w:pPr>
      <w:pStyle w:val="Footer"/>
      <w:jc w:val="right"/>
      <w:rPr>
        <w:rFonts w:asciiTheme="minorHAnsi" w:hAnsi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A332B" w14:textId="77777777" w:rsidR="00934F2F" w:rsidRDefault="00934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63A5F" w14:textId="77777777" w:rsidR="00934F2F" w:rsidRDefault="00934F2F" w:rsidP="00114FE8">
      <w:r>
        <w:separator/>
      </w:r>
    </w:p>
  </w:footnote>
  <w:footnote w:type="continuationSeparator" w:id="0">
    <w:p w14:paraId="197A6024" w14:textId="77777777" w:rsidR="00934F2F" w:rsidRDefault="00934F2F" w:rsidP="00114FE8">
      <w:r>
        <w:continuationSeparator/>
      </w:r>
    </w:p>
  </w:footnote>
  <w:footnote w:type="continuationNotice" w:id="1">
    <w:p w14:paraId="1E2B23DE" w14:textId="77777777" w:rsidR="00934F2F" w:rsidRDefault="00934F2F"/>
  </w:footnote>
  <w:footnote w:id="2">
    <w:p w14:paraId="54F83412" w14:textId="12CD9B89" w:rsidR="00934F2F" w:rsidRDefault="00934F2F">
      <w:pPr>
        <w:pStyle w:val="FootnoteText"/>
      </w:pPr>
      <w:r>
        <w:rPr>
          <w:rStyle w:val="FootnoteReference"/>
        </w:rPr>
        <w:footnoteRef/>
      </w:r>
      <w:r>
        <w:t xml:space="preserve"> </w:t>
      </w:r>
      <w:r>
        <w:rPr>
          <w:rFonts w:ascii="Calibri" w:hAnsi="Calibri"/>
        </w:rPr>
        <w:t>T</w:t>
      </w:r>
      <w:r w:rsidRPr="009163AA">
        <w:rPr>
          <w:rFonts w:ascii="Calibri" w:hAnsi="Calibri"/>
        </w:rPr>
        <w:t xml:space="preserve">he International Maritime Organisation (IMO) </w:t>
      </w:r>
      <w:hyperlink r:id="rId1" w:tooltip="http://www.imo.org/blast/blastDataHelper.asp?data_id=22503&amp;filename=A672(16)E.pdf" w:history="1">
        <w:r w:rsidRPr="00B05D17">
          <w:rPr>
            <w:rStyle w:val="Hyperlink"/>
            <w:rFonts w:ascii="Calibri" w:hAnsi="Calibri"/>
            <w:i/>
          </w:rPr>
          <w:t xml:space="preserve">Guidelines and Standards for the Removal of Offshore Installations and Structures on the Continental Shelf and the Exclusive Economic Zone </w:t>
        </w:r>
        <w:r w:rsidRPr="00B05D17">
          <w:rPr>
            <w:rStyle w:val="Hyperlink"/>
            <w:rFonts w:ascii="Calibri" w:hAnsi="Calibri"/>
          </w:rPr>
          <w:t>(IMO Resolution A.672(16))</w:t>
        </w:r>
      </w:hyperlink>
      <w:r w:rsidRPr="009163AA">
        <w:rPr>
          <w:rFonts w:ascii="Calibri" w:hAnsi="Calibri"/>
        </w:rPr>
        <w:t xml:space="preserve"> will</w:t>
      </w:r>
      <w:r>
        <w:rPr>
          <w:rFonts w:ascii="Calibri" w:hAnsi="Calibri"/>
        </w:rPr>
        <w:t xml:space="preserve"> also </w:t>
      </w:r>
      <w:r w:rsidRPr="009163AA">
        <w:rPr>
          <w:rFonts w:ascii="Calibri" w:hAnsi="Calibri"/>
        </w:rPr>
        <w:t xml:space="preserve">apply. This instrument sets out the matters to be considered by State parties to UNCLOS when making decisions dealing with abandoned or disused installations on the Continental Shelf.  </w:t>
      </w:r>
    </w:p>
  </w:footnote>
  <w:footnote w:id="3">
    <w:p w14:paraId="26DE41B3" w14:textId="62D23113" w:rsidR="00934F2F" w:rsidRDefault="00934F2F" w:rsidP="00413C27">
      <w:pPr>
        <w:pStyle w:val="FootnoteText"/>
        <w:spacing w:before="120"/>
      </w:pPr>
      <w:r w:rsidRPr="009163AA">
        <w:rPr>
          <w:rStyle w:val="FootnoteReference"/>
          <w:rFonts w:ascii="Calibri" w:hAnsi="Calibri"/>
        </w:rPr>
        <w:footnoteRef/>
      </w:r>
      <w:r w:rsidRPr="009163AA">
        <w:rPr>
          <w:rFonts w:ascii="Calibri" w:hAnsi="Calibri"/>
        </w:rPr>
        <w:t xml:space="preserve"> For example, where a titleholder proposes to dispose of or abandon in-situ infrastructure at sea, the titleholder will be required to apply for a permit under the </w:t>
      </w:r>
      <w:hyperlink r:id="rId2" w:tooltip="https://www.legislation.gov.au/Details/C2016C00778" w:history="1">
        <w:r w:rsidRPr="00CD7A6A">
          <w:rPr>
            <w:rStyle w:val="Hyperlink"/>
            <w:rFonts w:ascii="Calibri" w:hAnsi="Calibri"/>
            <w:i/>
          </w:rPr>
          <w:t>Environment Protection (Sea Dumping) Act 1981</w:t>
        </w:r>
      </w:hyperlink>
      <w:r w:rsidRPr="009163AA">
        <w:rPr>
          <w:rFonts w:ascii="Calibri" w:hAnsi="Calibri"/>
          <w:i/>
        </w:rPr>
        <w:t>.</w:t>
      </w:r>
    </w:p>
  </w:footnote>
  <w:footnote w:id="4">
    <w:p w14:paraId="1A5F9F19" w14:textId="4C66212C" w:rsidR="00934F2F" w:rsidRPr="004D2F81" w:rsidRDefault="00934F2F" w:rsidP="00031864">
      <w:pPr>
        <w:spacing w:before="120" w:after="120" w:line="276" w:lineRule="auto"/>
        <w:rPr>
          <w:rFonts w:asciiTheme="minorHAnsi" w:hAnsiTheme="minorHAnsi"/>
          <w:sz w:val="20"/>
          <w:szCs w:val="20"/>
        </w:rPr>
      </w:pPr>
      <w:r w:rsidRPr="004D2F81">
        <w:rPr>
          <w:rStyle w:val="FootnoteReference"/>
          <w:rFonts w:asciiTheme="minorHAnsi" w:hAnsiTheme="minorHAnsi"/>
          <w:sz w:val="20"/>
          <w:szCs w:val="20"/>
        </w:rPr>
        <w:footnoteRef/>
      </w:r>
      <w:r w:rsidRPr="004D2F81">
        <w:rPr>
          <w:rFonts w:asciiTheme="minorHAnsi" w:hAnsiTheme="minorHAnsi"/>
          <w:sz w:val="20"/>
          <w:szCs w:val="20"/>
        </w:rPr>
        <w:t xml:space="preserve"> Further information can be found in NOPTA’s </w:t>
      </w:r>
      <w:hyperlink r:id="rId3" w:tooltip="http://www.nopta.gov.au/guidelines-and-factsheets/offshore-petroleum-guidelines.html" w:history="1">
        <w:r w:rsidRPr="00B05D17">
          <w:rPr>
            <w:rStyle w:val="Hyperlink"/>
            <w:rFonts w:asciiTheme="minorHAnsi" w:hAnsiTheme="minorHAnsi"/>
            <w:sz w:val="20"/>
            <w:szCs w:val="20"/>
          </w:rPr>
          <w:t>guideline on transfers and dealings</w:t>
        </w:r>
      </w:hyperlink>
      <w:r w:rsidRPr="004D2F81">
        <w:rPr>
          <w:rFonts w:asciiTheme="minorHAnsi" w:hAnsiTheme="minorHAnsi"/>
          <w:sz w:val="20"/>
          <w:szCs w:val="20"/>
        </w:rPr>
        <w:t xml:space="preserve">. </w:t>
      </w:r>
    </w:p>
  </w:footnote>
  <w:footnote w:id="5">
    <w:p w14:paraId="0D912A6C" w14:textId="1BEE0620" w:rsidR="00934F2F" w:rsidRPr="00CD7A6A" w:rsidRDefault="00934F2F" w:rsidP="00CD7A6A">
      <w:pPr>
        <w:pStyle w:val="FootnoteText"/>
        <w:spacing w:before="120" w:after="120"/>
      </w:pPr>
      <w:r>
        <w:rPr>
          <w:rStyle w:val="FootnoteReference"/>
        </w:rPr>
        <w:footnoteRef/>
      </w:r>
      <w:r>
        <w:t xml:space="preserve"> </w:t>
      </w:r>
      <w:r>
        <w:rPr>
          <w:rFonts w:ascii="Calibri" w:hAnsi="Calibri"/>
        </w:rPr>
        <w:t>Including, for example, the requirements set down in the</w:t>
      </w:r>
      <w:r w:rsidRPr="009163AA">
        <w:rPr>
          <w:rFonts w:ascii="Calibri" w:hAnsi="Calibri"/>
        </w:rPr>
        <w:t xml:space="preserve"> </w:t>
      </w:r>
      <w:hyperlink r:id="rId4" w:tooltip="https://www.legislation.gov.au/Details/C2016C00778" w:history="1">
        <w:r w:rsidRPr="00CD7A6A">
          <w:rPr>
            <w:rStyle w:val="Hyperlink"/>
            <w:rFonts w:ascii="Calibri" w:hAnsi="Calibri"/>
            <w:i/>
          </w:rPr>
          <w:t>Environment Protection (Sea Dumping) Act 1981</w:t>
        </w:r>
      </w:hyperlink>
      <w:r w:rsidRPr="009163AA">
        <w:rPr>
          <w:rFonts w:ascii="Calibri" w:hAnsi="Calibri"/>
          <w:i/>
        </w:rPr>
        <w:t>.</w:t>
      </w:r>
    </w:p>
  </w:footnote>
  <w:footnote w:id="6">
    <w:p w14:paraId="4D2315DF" w14:textId="1776D9CE" w:rsidR="00934F2F" w:rsidRPr="00E71503" w:rsidRDefault="00934F2F" w:rsidP="00A51101">
      <w:pPr>
        <w:pStyle w:val="FootnoteText"/>
        <w:spacing w:before="120" w:after="120"/>
      </w:pPr>
      <w:r w:rsidRPr="00371125">
        <w:rPr>
          <w:rStyle w:val="FootnoteReference"/>
          <w:rFonts w:ascii="Calibri" w:hAnsi="Calibri"/>
        </w:rPr>
        <w:footnoteRef/>
      </w:r>
      <w:r w:rsidRPr="00371125">
        <w:rPr>
          <w:rFonts w:ascii="Calibri" w:hAnsi="Calibri"/>
        </w:rPr>
        <w:t xml:space="preserve"> From 1 July 2017, one penalty unit equates to $210 under section 4AA of the</w:t>
      </w:r>
      <w:r w:rsidR="007578A7">
        <w:rPr>
          <w:rFonts w:ascii="Calibri" w:hAnsi="Calibri"/>
        </w:rPr>
        <w:t xml:space="preserve"> </w:t>
      </w:r>
      <w:hyperlink r:id="rId5" w:history="1">
        <w:r w:rsidR="007578A7" w:rsidRPr="007578A7">
          <w:rPr>
            <w:rStyle w:val="Hyperlink"/>
            <w:rFonts w:ascii="Calibri" w:hAnsi="Calibri"/>
          </w:rPr>
          <w:t>Crimes Act 1914</w:t>
        </w:r>
      </w:hyperlink>
      <w:r w:rsidRPr="00371125">
        <w:rPr>
          <w:rFonts w:ascii="Calibri" w:hAnsi="Calibri"/>
        </w:rPr>
        <w:t>. Consumer Price Indexation adjustment of the penalty unit amount occurs every three years thereafter.</w:t>
      </w:r>
    </w:p>
  </w:footnote>
  <w:footnote w:id="7">
    <w:p w14:paraId="4AAE5126" w14:textId="67B18256" w:rsidR="00934F2F" w:rsidRDefault="00934F2F" w:rsidP="004113A5">
      <w:pPr>
        <w:pStyle w:val="FootnoteText"/>
        <w:rPr>
          <w:rFonts w:ascii="Calibri" w:hAnsi="Calibri"/>
        </w:rPr>
      </w:pPr>
      <w:r w:rsidRPr="0008604D">
        <w:rPr>
          <w:rStyle w:val="FootnoteReference"/>
          <w:rFonts w:ascii="Calibri" w:hAnsi="Calibri"/>
        </w:rPr>
        <w:footnoteRef/>
      </w:r>
      <w:r w:rsidRPr="0008604D">
        <w:rPr>
          <w:rFonts w:ascii="Calibri" w:hAnsi="Calibri"/>
        </w:rPr>
        <w:t xml:space="preserve"> Under the OPGGS Act, the </w:t>
      </w:r>
      <w:r w:rsidRPr="006971AD">
        <w:rPr>
          <w:rFonts w:ascii="Calibri" w:hAnsi="Calibri"/>
          <w:b/>
          <w:i/>
        </w:rPr>
        <w:t>surrender area</w:t>
      </w:r>
      <w:r>
        <w:rPr>
          <w:rFonts w:ascii="Calibri" w:hAnsi="Calibri"/>
        </w:rPr>
        <w:t xml:space="preserve"> is, in the case of a petroleum production licence or petroleum exploration permit, </w:t>
      </w:r>
      <w:r w:rsidRPr="0008604D">
        <w:rPr>
          <w:rFonts w:ascii="Calibri" w:hAnsi="Calibri"/>
        </w:rPr>
        <w:t xml:space="preserve">the area constituted by the block or blocks </w:t>
      </w:r>
      <w:r>
        <w:rPr>
          <w:rFonts w:ascii="Calibri" w:hAnsi="Calibri"/>
        </w:rPr>
        <w:t>as</w:t>
      </w:r>
      <w:r w:rsidRPr="0008604D">
        <w:rPr>
          <w:rFonts w:ascii="Calibri" w:hAnsi="Calibri"/>
        </w:rPr>
        <w:t xml:space="preserve"> to which the </w:t>
      </w:r>
      <w:r>
        <w:rPr>
          <w:rFonts w:ascii="Calibri" w:hAnsi="Calibri"/>
        </w:rPr>
        <w:t>permit or licence</w:t>
      </w:r>
      <w:r w:rsidRPr="0008604D">
        <w:rPr>
          <w:rFonts w:ascii="Calibri" w:hAnsi="Calibri"/>
        </w:rPr>
        <w:t xml:space="preserve"> will be surrendered. </w:t>
      </w:r>
      <w:r>
        <w:rPr>
          <w:rFonts w:ascii="Calibri" w:hAnsi="Calibri"/>
        </w:rPr>
        <w:t xml:space="preserve">For retention leases and infrastructure licences, the </w:t>
      </w:r>
      <w:r>
        <w:rPr>
          <w:rFonts w:ascii="Calibri" w:hAnsi="Calibri"/>
          <w:b/>
          <w:i/>
        </w:rPr>
        <w:t>surrender area</w:t>
      </w:r>
      <w:r>
        <w:rPr>
          <w:rFonts w:ascii="Calibri" w:hAnsi="Calibri"/>
        </w:rPr>
        <w:t xml:space="preserve"> is the title area. </w:t>
      </w:r>
    </w:p>
    <w:p w14:paraId="560AF85B" w14:textId="3A931856" w:rsidR="00934F2F" w:rsidRPr="0008604D" w:rsidRDefault="00934F2F" w:rsidP="004113A5">
      <w:pPr>
        <w:pStyle w:val="FootnoteText"/>
        <w:spacing w:before="120" w:after="120"/>
        <w:rPr>
          <w:rFonts w:ascii="Calibri" w:hAnsi="Calibri"/>
        </w:rPr>
      </w:pPr>
      <w:r>
        <w:rPr>
          <w:rFonts w:ascii="Calibri" w:hAnsi="Calibri"/>
        </w:rPr>
        <w:t xml:space="preserve">For pipeline licences, the </w:t>
      </w:r>
      <w:r>
        <w:rPr>
          <w:rFonts w:ascii="Calibri" w:hAnsi="Calibri"/>
          <w:b/>
          <w:i/>
        </w:rPr>
        <w:t xml:space="preserve">surrender area </w:t>
      </w:r>
      <w:r>
        <w:rPr>
          <w:rFonts w:ascii="Calibri" w:hAnsi="Calibri"/>
        </w:rPr>
        <w:t>is the part of the offshore area in which the pipeline is constructed (if the licence is to be surrendered as to the whole of the pipeline), or the part of the offshore area in which the relevant part of the pipeline is constructed (if the licence is to be surrendered as to a part of the pipeline).</w:t>
      </w:r>
    </w:p>
  </w:footnote>
  <w:footnote w:id="8">
    <w:p w14:paraId="0FFB353E" w14:textId="63C78B8E" w:rsidR="00934F2F" w:rsidRDefault="00934F2F">
      <w:pPr>
        <w:pStyle w:val="FootnoteText"/>
      </w:pPr>
      <w:r>
        <w:rPr>
          <w:rStyle w:val="FootnoteReference"/>
        </w:rPr>
        <w:footnoteRef/>
      </w:r>
      <w:r>
        <w:t xml:space="preserve"> </w:t>
      </w:r>
      <w:r w:rsidRPr="00FE7968">
        <w:rPr>
          <w:rFonts w:asciiTheme="minorHAnsi" w:hAnsiTheme="minorHAnsi"/>
        </w:rPr>
        <w:t>‘</w:t>
      </w:r>
      <w:r w:rsidRPr="00FE7968">
        <w:rPr>
          <w:rFonts w:asciiTheme="minorHAnsi" w:hAnsiTheme="minorHAnsi" w:cs="Arial"/>
        </w:rPr>
        <w:t>Vacant acreage’ is the term generally used to refer to an area not subject to an existing petroleum exploration permit, retention lease or production licence.</w:t>
      </w:r>
    </w:p>
  </w:footnote>
  <w:footnote w:id="9">
    <w:p w14:paraId="196913DE" w14:textId="3C5B205F" w:rsidR="00934F2F" w:rsidRDefault="00934F2F" w:rsidP="007B0974">
      <w:pPr>
        <w:pStyle w:val="ListParagraph"/>
        <w:spacing w:before="120" w:after="120"/>
        <w:ind w:left="0"/>
        <w:contextualSpacing w:val="0"/>
      </w:pPr>
      <w:r>
        <w:rPr>
          <w:rStyle w:val="FootnoteReference"/>
        </w:rPr>
        <w:footnoteRef/>
      </w:r>
      <w:r>
        <w:t xml:space="preserve"> </w:t>
      </w:r>
      <w:hyperlink r:id="rId6" w:tooltip="https://www.nopsema.gov.au/assets/Guidance-notes/A138249.pdf" w:history="1">
        <w:r w:rsidRPr="00C923C2">
          <w:rPr>
            <w:rFonts w:ascii="Calibri" w:eastAsia="Times New Roman" w:hAnsi="Calibri" w:cs="Times New Roman"/>
            <w:color w:val="0070C0"/>
            <w:sz w:val="20"/>
            <w:szCs w:val="20"/>
            <w:u w:val="single"/>
            <w:lang w:eastAsia="en-AU"/>
          </w:rPr>
          <w:t>Further guidance on ALARP</w:t>
        </w:r>
      </w:hyperlink>
      <w:r w:rsidRPr="00C923C2">
        <w:rPr>
          <w:rFonts w:ascii="Calibri" w:eastAsia="Times New Roman" w:hAnsi="Calibri" w:cs="Times New Roman"/>
          <w:sz w:val="20"/>
          <w:szCs w:val="20"/>
          <w:lang w:eastAsia="en-AU"/>
        </w:rPr>
        <w:t xml:space="preserve"> is available on the NOPSEMA website.</w:t>
      </w:r>
    </w:p>
  </w:footnote>
  <w:footnote w:id="10">
    <w:p w14:paraId="3EC90BED" w14:textId="16B9830F" w:rsidR="00934F2F" w:rsidRPr="00371125" w:rsidRDefault="00934F2F" w:rsidP="003D08DD">
      <w:pPr>
        <w:pStyle w:val="FootnoteText"/>
        <w:spacing w:before="120" w:after="120"/>
        <w:rPr>
          <w:rFonts w:ascii="Calibri" w:hAnsi="Calibri"/>
        </w:rPr>
      </w:pPr>
      <w:r w:rsidRPr="00371125">
        <w:rPr>
          <w:rStyle w:val="FootnoteReference"/>
          <w:rFonts w:ascii="Calibri" w:hAnsi="Calibri"/>
        </w:rPr>
        <w:footnoteRef/>
      </w:r>
      <w:r w:rsidRPr="00371125">
        <w:rPr>
          <w:rFonts w:ascii="Calibri" w:hAnsi="Calibri"/>
        </w:rPr>
        <w:t xml:space="preserve"> Under the</w:t>
      </w:r>
      <w:r>
        <w:rPr>
          <w:rFonts w:ascii="Calibri" w:hAnsi="Calibri"/>
        </w:rPr>
        <w:t xml:space="preserve"> Environment Regulations</w:t>
      </w:r>
      <w:r w:rsidRPr="00371125">
        <w:rPr>
          <w:rFonts w:ascii="Calibri" w:hAnsi="Calibri"/>
        </w:rPr>
        <w:t xml:space="preserve">, a </w:t>
      </w:r>
      <w:r w:rsidRPr="00371125">
        <w:rPr>
          <w:rFonts w:ascii="Calibri" w:hAnsi="Calibri"/>
          <w:b/>
          <w:i/>
        </w:rPr>
        <w:t>petroleum activity</w:t>
      </w:r>
      <w:r w:rsidRPr="00371125">
        <w:rPr>
          <w:rFonts w:ascii="Calibri" w:hAnsi="Calibri"/>
        </w:rPr>
        <w:t xml:space="preserve"> means operations or works in an offshore area, undertaken for the purpose of:</w:t>
      </w:r>
    </w:p>
    <w:p w14:paraId="41DB61E2" w14:textId="77777777" w:rsidR="00934F2F" w:rsidRPr="00371125" w:rsidRDefault="00934F2F" w:rsidP="003D08DD">
      <w:pPr>
        <w:pStyle w:val="FootnoteText"/>
        <w:rPr>
          <w:rFonts w:ascii="Calibri" w:hAnsi="Calibri"/>
        </w:rPr>
      </w:pPr>
      <w:r w:rsidRPr="00371125">
        <w:rPr>
          <w:rFonts w:ascii="Calibri" w:hAnsi="Calibri"/>
        </w:rPr>
        <w:t>(a) exercising a right conferred on a petroleum titleholder under the OPGGS Act by a petroleum title; or</w:t>
      </w:r>
    </w:p>
    <w:p w14:paraId="1846EC54" w14:textId="77777777" w:rsidR="00934F2F" w:rsidRPr="00371125" w:rsidRDefault="00934F2F" w:rsidP="003D08DD">
      <w:pPr>
        <w:pStyle w:val="FootnoteText"/>
        <w:spacing w:before="120" w:after="120"/>
        <w:rPr>
          <w:rFonts w:ascii="Calibri" w:hAnsi="Calibri"/>
        </w:rPr>
      </w:pPr>
      <w:r w:rsidRPr="00371125">
        <w:rPr>
          <w:rFonts w:ascii="Calibri" w:hAnsi="Calibri"/>
        </w:rPr>
        <w:t>(b) discharging an obligation imposed on a petroleum titleholder by the OPGGS Act or a legislative instrument under the Act.</w:t>
      </w:r>
    </w:p>
  </w:footnote>
  <w:footnote w:id="11">
    <w:p w14:paraId="69E6EC7F" w14:textId="51CCC20C" w:rsidR="00934F2F" w:rsidRDefault="00934F2F" w:rsidP="000E1CC7">
      <w:pPr>
        <w:pStyle w:val="Definition"/>
        <w:spacing w:before="120" w:after="120"/>
        <w:ind w:left="0"/>
        <w:rPr>
          <w:rFonts w:ascii="Calibri" w:hAnsi="Calibri"/>
          <w:sz w:val="20"/>
        </w:rPr>
      </w:pPr>
      <w:r w:rsidRPr="005371DF">
        <w:rPr>
          <w:rStyle w:val="FootnoteReference"/>
          <w:rFonts w:ascii="Calibri" w:hAnsi="Calibri"/>
          <w:sz w:val="20"/>
        </w:rPr>
        <w:footnoteRef/>
      </w:r>
      <w:r w:rsidRPr="005371DF">
        <w:rPr>
          <w:rFonts w:ascii="Calibri" w:hAnsi="Calibri"/>
          <w:sz w:val="20"/>
        </w:rPr>
        <w:t xml:space="preserve"> For the purposes of </w:t>
      </w:r>
      <w:r>
        <w:rPr>
          <w:rFonts w:ascii="Calibri" w:hAnsi="Calibri"/>
          <w:sz w:val="20"/>
        </w:rPr>
        <w:t xml:space="preserve">the OPGGS Act, </w:t>
      </w:r>
      <w:r w:rsidRPr="005371DF">
        <w:rPr>
          <w:rFonts w:ascii="Calibri" w:hAnsi="Calibri"/>
          <w:b/>
          <w:i/>
          <w:sz w:val="20"/>
        </w:rPr>
        <w:t>natural resources</w:t>
      </w:r>
      <w:r w:rsidRPr="005371DF">
        <w:rPr>
          <w:rFonts w:ascii="Calibri" w:hAnsi="Calibri"/>
          <w:sz w:val="20"/>
        </w:rPr>
        <w:t xml:space="preserve"> </w:t>
      </w:r>
      <w:proofErr w:type="gramStart"/>
      <w:r w:rsidRPr="005371DF">
        <w:rPr>
          <w:rFonts w:ascii="Calibri" w:hAnsi="Calibri"/>
          <w:sz w:val="20"/>
        </w:rPr>
        <w:t>has</w:t>
      </w:r>
      <w:proofErr w:type="gramEnd"/>
      <w:r w:rsidRPr="005371DF">
        <w:rPr>
          <w:rFonts w:ascii="Calibri" w:hAnsi="Calibri"/>
          <w:sz w:val="20"/>
        </w:rPr>
        <w:t xml:space="preserve"> the</w:t>
      </w:r>
      <w:r>
        <w:rPr>
          <w:rFonts w:ascii="Calibri" w:hAnsi="Calibri"/>
          <w:sz w:val="20"/>
        </w:rPr>
        <w:t xml:space="preserve"> meaning given by </w:t>
      </w:r>
      <w:r w:rsidRPr="005371DF">
        <w:rPr>
          <w:rFonts w:ascii="Calibri" w:hAnsi="Calibri"/>
          <w:sz w:val="20"/>
        </w:rPr>
        <w:t>Article 77</w:t>
      </w:r>
      <w:r>
        <w:rPr>
          <w:rFonts w:ascii="Calibri" w:hAnsi="Calibri"/>
          <w:sz w:val="20"/>
        </w:rPr>
        <w:t xml:space="preserve">, paragraph 4 </w:t>
      </w:r>
      <w:r w:rsidRPr="005371DF">
        <w:rPr>
          <w:rFonts w:ascii="Calibri" w:hAnsi="Calibri"/>
          <w:sz w:val="20"/>
        </w:rPr>
        <w:t>of the United Nations C</w:t>
      </w:r>
      <w:r>
        <w:rPr>
          <w:rFonts w:ascii="Calibri" w:hAnsi="Calibri"/>
          <w:sz w:val="20"/>
        </w:rPr>
        <w:t>onvention on the Law of the Sea (UNCLOS), which states:</w:t>
      </w:r>
    </w:p>
    <w:p w14:paraId="261A95B9" w14:textId="56A2B8B9" w:rsidR="00934F2F" w:rsidRPr="005371DF" w:rsidRDefault="00934F2F" w:rsidP="000E1CC7">
      <w:pPr>
        <w:pStyle w:val="Definition"/>
        <w:spacing w:before="120" w:after="120"/>
        <w:ind w:left="0"/>
        <w:rPr>
          <w:rFonts w:ascii="Calibri" w:hAnsi="Calibri"/>
          <w:sz w:val="20"/>
        </w:rPr>
      </w:pPr>
      <w:r>
        <w:rPr>
          <w:rFonts w:ascii="Calibri" w:hAnsi="Calibri"/>
          <w:sz w:val="20"/>
        </w:rPr>
        <w:tab/>
      </w:r>
      <w:r w:rsidRPr="005371DF">
        <w:rPr>
          <w:rFonts w:ascii="Calibri" w:hAnsi="Calibri"/>
          <w:sz w:val="20"/>
        </w:rPr>
        <w:t>“The natural resources referred to in this Part consist of the mineral and other non</w:t>
      </w:r>
      <w:r w:rsidRPr="005371DF">
        <w:rPr>
          <w:rFonts w:ascii="Calibri" w:hAnsi="Calibri"/>
          <w:sz w:val="20"/>
        </w:rPr>
        <w:noBreakHyphen/>
        <w:t xml:space="preserve">living resources of </w:t>
      </w:r>
      <w:r>
        <w:rPr>
          <w:rFonts w:ascii="Calibri" w:hAnsi="Calibri"/>
          <w:sz w:val="20"/>
        </w:rPr>
        <w:tab/>
      </w:r>
      <w:r w:rsidRPr="005371DF">
        <w:rPr>
          <w:rFonts w:ascii="Calibri" w:hAnsi="Calibri"/>
          <w:sz w:val="20"/>
        </w:rPr>
        <w:t>the seabed and subsoil together with living organisms</w:t>
      </w:r>
      <w:r>
        <w:rPr>
          <w:rFonts w:ascii="Calibri" w:hAnsi="Calibri"/>
          <w:sz w:val="20"/>
        </w:rPr>
        <w:t xml:space="preserve"> belonging to sedentary species,</w:t>
      </w:r>
      <w:r w:rsidRPr="005371DF">
        <w:rPr>
          <w:rFonts w:ascii="Calibri" w:hAnsi="Calibri"/>
          <w:sz w:val="20"/>
        </w:rPr>
        <w:t xml:space="preserve"> that is to say, </w:t>
      </w:r>
      <w:r>
        <w:rPr>
          <w:rFonts w:ascii="Calibri" w:hAnsi="Calibri"/>
          <w:sz w:val="20"/>
        </w:rPr>
        <w:tab/>
      </w:r>
      <w:r w:rsidRPr="005371DF">
        <w:rPr>
          <w:rFonts w:ascii="Calibri" w:hAnsi="Calibri"/>
          <w:sz w:val="20"/>
        </w:rPr>
        <w:t xml:space="preserve">organisms which, at the harvestable stage, either are immobile on or under the seabed or are unable </w:t>
      </w:r>
      <w:r>
        <w:rPr>
          <w:rFonts w:ascii="Calibri" w:hAnsi="Calibri"/>
          <w:sz w:val="20"/>
        </w:rPr>
        <w:tab/>
      </w:r>
      <w:r w:rsidRPr="005371DF">
        <w:rPr>
          <w:rFonts w:ascii="Calibri" w:hAnsi="Calibri"/>
          <w:sz w:val="20"/>
        </w:rPr>
        <w:t>to move except in constant physical contact with the seabed or the subsoil.”</w:t>
      </w:r>
    </w:p>
    <w:p w14:paraId="64EEAC8D" w14:textId="77777777" w:rsidR="00934F2F" w:rsidRDefault="00934F2F" w:rsidP="000E1CC7">
      <w:pPr>
        <w:pStyle w:val="FootnoteText"/>
        <w:spacing w:before="120" w:after="120"/>
      </w:pPr>
    </w:p>
  </w:footnote>
  <w:footnote w:id="12">
    <w:p w14:paraId="11B21441" w14:textId="77777777" w:rsidR="00934F2F" w:rsidRPr="00F47223" w:rsidRDefault="00934F2F" w:rsidP="00C66EC1">
      <w:pPr>
        <w:pStyle w:val="FootnoteText"/>
        <w:rPr>
          <w:rFonts w:ascii="Calibri" w:hAnsi="Calibri"/>
        </w:rPr>
      </w:pPr>
      <w:r w:rsidRPr="00F47223">
        <w:rPr>
          <w:rStyle w:val="FootnoteReference"/>
          <w:rFonts w:ascii="Calibri" w:hAnsi="Calibri"/>
        </w:rPr>
        <w:footnoteRef/>
      </w:r>
      <w:r w:rsidRPr="00F47223">
        <w:rPr>
          <w:rFonts w:ascii="Calibri" w:hAnsi="Calibri"/>
        </w:rPr>
        <w:t xml:space="preserve"> ‘Australian waters’</w:t>
      </w:r>
      <w:r>
        <w:rPr>
          <w:rFonts w:ascii="Calibri" w:hAnsi="Calibri"/>
        </w:rPr>
        <w:t>, as defined for the purposes of the Sea Dumping Act,</w:t>
      </w:r>
      <w:r w:rsidRPr="00F47223">
        <w:rPr>
          <w:rFonts w:ascii="Calibri" w:hAnsi="Calibri"/>
        </w:rPr>
        <w:t xml:space="preserve"> cover the territorial seas (other than seas within the limits of a state or the Northern Territory), the </w:t>
      </w:r>
      <w:r>
        <w:rPr>
          <w:rFonts w:ascii="Calibri" w:hAnsi="Calibri"/>
        </w:rPr>
        <w:t>exclusive economic zone</w:t>
      </w:r>
      <w:r w:rsidRPr="00F47223">
        <w:rPr>
          <w:rFonts w:ascii="Calibri" w:hAnsi="Calibri"/>
        </w:rPr>
        <w:t>, and waters above the Australian continental shelf</w:t>
      </w:r>
      <w:r>
        <w:rPr>
          <w:rFonts w:ascii="Calibri" w:hAnsi="Calibri"/>
        </w:rPr>
        <w:t xml:space="preserve">. </w:t>
      </w:r>
      <w:r w:rsidRPr="00F47223">
        <w:rPr>
          <w:rFonts w:ascii="Calibri" w:hAnsi="Calibri"/>
        </w:rPr>
        <w:t>This is broader than the coverage of ‘Commonwealth waters’ under the OPGGS</w:t>
      </w:r>
      <w:r>
        <w:rPr>
          <w:rFonts w:ascii="Calibri" w:hAnsi="Calibri"/>
        </w:rPr>
        <w:t> </w:t>
      </w:r>
      <w:r w:rsidRPr="00F47223">
        <w:rPr>
          <w:rFonts w:ascii="Calibri" w:hAnsi="Calibri"/>
        </w:rPr>
        <w:t>Act, which extends from three nautical miles seaward of the terri</w:t>
      </w:r>
      <w:r>
        <w:rPr>
          <w:rFonts w:ascii="Calibri" w:hAnsi="Calibri"/>
        </w:rPr>
        <w:t>torial sea baseline</w:t>
      </w:r>
      <w:r w:rsidRPr="00F47223">
        <w:rPr>
          <w:rFonts w:ascii="Calibri" w:hAnsi="Calibri"/>
        </w:rPr>
        <w:t>.</w:t>
      </w:r>
    </w:p>
  </w:footnote>
  <w:footnote w:id="13">
    <w:p w14:paraId="2909C1BF" w14:textId="124D45A6" w:rsidR="00934F2F" w:rsidRPr="006F5DD2" w:rsidRDefault="00934F2F" w:rsidP="0022427F">
      <w:pPr>
        <w:pStyle w:val="FootnoteText"/>
        <w:spacing w:before="120" w:after="120"/>
        <w:rPr>
          <w:rFonts w:ascii="Calibri" w:hAnsi="Calibri"/>
        </w:rPr>
      </w:pPr>
      <w:r w:rsidRPr="006F5DD2">
        <w:rPr>
          <w:rStyle w:val="FootnoteReference"/>
          <w:rFonts w:ascii="Calibri" w:hAnsi="Calibri"/>
        </w:rPr>
        <w:footnoteRef/>
      </w:r>
      <w:r w:rsidRPr="006F5DD2">
        <w:rPr>
          <w:rFonts w:ascii="Calibri" w:hAnsi="Calibri"/>
        </w:rPr>
        <w:t xml:space="preserve"> Under the OPGGS Act, the responsible Commonwealth Minister is the Minister who is responsible for t</w:t>
      </w:r>
      <w:r>
        <w:rPr>
          <w:rFonts w:ascii="Calibri" w:hAnsi="Calibri"/>
        </w:rPr>
        <w:t xml:space="preserve">he administration of that Act. </w:t>
      </w:r>
      <w:r w:rsidRPr="006F5DD2">
        <w:rPr>
          <w:rFonts w:ascii="Calibri" w:hAnsi="Calibri"/>
        </w:rPr>
        <w:t>This is typically the Minister with portfolio responsibility</w:t>
      </w:r>
      <w:r>
        <w:rPr>
          <w:rFonts w:ascii="Calibri" w:hAnsi="Calibri"/>
        </w:rPr>
        <w:t xml:space="preserve"> for resources matters.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60884" w14:textId="77777777" w:rsidR="00934F2F" w:rsidRDefault="00934F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6EFB0" w14:textId="42A97C73" w:rsidR="00934F2F" w:rsidRDefault="00934F2F" w:rsidP="00880D55">
    <w:pPr>
      <w:pStyle w:val="Heading1"/>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4AE85" w14:textId="77777777" w:rsidR="00934F2F" w:rsidRDefault="00934F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08E54" w14:textId="656ABF39" w:rsidR="00934F2F" w:rsidRDefault="00934F2F" w:rsidP="00880D55">
    <w:pPr>
      <w:pStyle w:val="Heading1"/>
      <w:jc w:val="right"/>
    </w:pPr>
    <w:r>
      <w:rPr>
        <w:rFonts w:ascii="Cambria" w:hAnsi="Cambria"/>
        <w:b/>
      </w:rPr>
      <w:t>Annex I</w:t>
    </w:r>
    <w:r w:rsidRPr="00645199">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DE58E" w14:textId="1D93760A" w:rsidR="00934F2F" w:rsidRPr="00E155A1" w:rsidRDefault="00934F2F" w:rsidP="00880D55">
    <w:pPr>
      <w:pStyle w:val="Heading1"/>
      <w:jc w:val="right"/>
      <w:rPr>
        <w:rFonts w:ascii="Cambria" w:hAnsi="Cambria"/>
        <w:b/>
      </w:rPr>
    </w:pPr>
    <w:r w:rsidRPr="00E155A1">
      <w:rPr>
        <w:rFonts w:ascii="Cambria" w:hAnsi="Cambria"/>
        <w:b/>
      </w:rPr>
      <w:t>Annex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6FE918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2E550F"/>
    <w:multiLevelType w:val="hybridMultilevel"/>
    <w:tmpl w:val="C16CE6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3032" w:hanging="360"/>
      </w:pPr>
      <w:rPr>
        <w:rFonts w:ascii="Courier New" w:hAnsi="Courier New" w:cs="Courier New" w:hint="default"/>
      </w:rPr>
    </w:lvl>
    <w:lvl w:ilvl="2" w:tplc="0C090005" w:tentative="1">
      <w:start w:val="1"/>
      <w:numFmt w:val="bullet"/>
      <w:lvlText w:val=""/>
      <w:lvlJc w:val="left"/>
      <w:pPr>
        <w:ind w:left="-2312" w:hanging="360"/>
      </w:pPr>
      <w:rPr>
        <w:rFonts w:ascii="Wingdings" w:hAnsi="Wingdings" w:hint="default"/>
      </w:rPr>
    </w:lvl>
    <w:lvl w:ilvl="3" w:tplc="0C090001" w:tentative="1">
      <w:start w:val="1"/>
      <w:numFmt w:val="bullet"/>
      <w:lvlText w:val=""/>
      <w:lvlJc w:val="left"/>
      <w:pPr>
        <w:ind w:left="-1592" w:hanging="360"/>
      </w:pPr>
      <w:rPr>
        <w:rFonts w:ascii="Symbol" w:hAnsi="Symbol" w:hint="default"/>
      </w:rPr>
    </w:lvl>
    <w:lvl w:ilvl="4" w:tplc="0C090003" w:tentative="1">
      <w:start w:val="1"/>
      <w:numFmt w:val="bullet"/>
      <w:lvlText w:val="o"/>
      <w:lvlJc w:val="left"/>
      <w:pPr>
        <w:ind w:left="-872" w:hanging="360"/>
      </w:pPr>
      <w:rPr>
        <w:rFonts w:ascii="Courier New" w:hAnsi="Courier New" w:cs="Courier New" w:hint="default"/>
      </w:rPr>
    </w:lvl>
    <w:lvl w:ilvl="5" w:tplc="0C090005" w:tentative="1">
      <w:start w:val="1"/>
      <w:numFmt w:val="bullet"/>
      <w:lvlText w:val=""/>
      <w:lvlJc w:val="left"/>
      <w:pPr>
        <w:ind w:left="-152" w:hanging="360"/>
      </w:pPr>
      <w:rPr>
        <w:rFonts w:ascii="Wingdings" w:hAnsi="Wingdings" w:hint="default"/>
      </w:rPr>
    </w:lvl>
    <w:lvl w:ilvl="6" w:tplc="0C090001" w:tentative="1">
      <w:start w:val="1"/>
      <w:numFmt w:val="bullet"/>
      <w:lvlText w:val=""/>
      <w:lvlJc w:val="left"/>
      <w:pPr>
        <w:ind w:left="568" w:hanging="360"/>
      </w:pPr>
      <w:rPr>
        <w:rFonts w:ascii="Symbol" w:hAnsi="Symbol" w:hint="default"/>
      </w:rPr>
    </w:lvl>
    <w:lvl w:ilvl="7" w:tplc="0C090003" w:tentative="1">
      <w:start w:val="1"/>
      <w:numFmt w:val="bullet"/>
      <w:lvlText w:val="o"/>
      <w:lvlJc w:val="left"/>
      <w:pPr>
        <w:ind w:left="1288" w:hanging="360"/>
      </w:pPr>
      <w:rPr>
        <w:rFonts w:ascii="Courier New" w:hAnsi="Courier New" w:cs="Courier New" w:hint="default"/>
      </w:rPr>
    </w:lvl>
    <w:lvl w:ilvl="8" w:tplc="0C090005" w:tentative="1">
      <w:start w:val="1"/>
      <w:numFmt w:val="bullet"/>
      <w:lvlText w:val=""/>
      <w:lvlJc w:val="left"/>
      <w:pPr>
        <w:ind w:left="2008" w:hanging="360"/>
      </w:pPr>
      <w:rPr>
        <w:rFonts w:ascii="Wingdings" w:hAnsi="Wingdings" w:hint="default"/>
      </w:rPr>
    </w:lvl>
  </w:abstractNum>
  <w:abstractNum w:abstractNumId="2" w15:restartNumberingAfterBreak="0">
    <w:nsid w:val="032E27C7"/>
    <w:multiLevelType w:val="hybridMultilevel"/>
    <w:tmpl w:val="E36C5FAE"/>
    <w:lvl w:ilvl="0" w:tplc="0C090017">
      <w:start w:val="1"/>
      <w:numFmt w:val="lowerLetter"/>
      <w:lvlText w:val="%1)"/>
      <w:lvlJc w:val="left"/>
      <w:pPr>
        <w:ind w:left="360" w:hanging="360"/>
      </w:pPr>
    </w:lvl>
    <w:lvl w:ilvl="1" w:tplc="0C09001B">
      <w:start w:val="1"/>
      <w:numFmt w:val="lowerRoman"/>
      <w:lvlText w:val="%2."/>
      <w:lvlJc w:val="right"/>
      <w:pPr>
        <w:ind w:left="786"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0926438"/>
    <w:multiLevelType w:val="hybridMultilevel"/>
    <w:tmpl w:val="050601F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2A914330"/>
    <w:multiLevelType w:val="hybridMultilevel"/>
    <w:tmpl w:val="B9AEF0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D931F81"/>
    <w:multiLevelType w:val="hybridMultilevel"/>
    <w:tmpl w:val="F6220E02"/>
    <w:lvl w:ilvl="0" w:tplc="0C090017">
      <w:start w:val="1"/>
      <w:numFmt w:val="lowerLetter"/>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6F2699"/>
    <w:multiLevelType w:val="hybridMultilevel"/>
    <w:tmpl w:val="0ED08818"/>
    <w:lvl w:ilvl="0" w:tplc="757EEA2C">
      <w:start w:val="1"/>
      <w:numFmt w:val="bullet"/>
      <w:lvlText w:val=""/>
      <w:lvlJc w:val="left"/>
      <w:pPr>
        <w:ind w:left="360" w:hanging="360"/>
      </w:pPr>
      <w:rPr>
        <w:rFonts w:ascii="Symbol" w:hAnsi="Symbol" w:hint="default"/>
        <w:color w:val="auto"/>
        <w:sz w:val="22"/>
        <w:szCs w:val="22"/>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4DF45BD9"/>
    <w:multiLevelType w:val="hybridMultilevel"/>
    <w:tmpl w:val="B9A0A7C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2E07123"/>
    <w:multiLevelType w:val="hybridMultilevel"/>
    <w:tmpl w:val="39E450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0302C77"/>
    <w:multiLevelType w:val="hybridMultilevel"/>
    <w:tmpl w:val="E8B4EC9C"/>
    <w:lvl w:ilvl="0" w:tplc="E9B45CB0">
      <w:start w:val="7"/>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2"/>
  </w:num>
  <w:num w:numId="5">
    <w:abstractNumId w:val="5"/>
  </w:num>
  <w:num w:numId="6">
    <w:abstractNumId w:val="1"/>
  </w:num>
  <w:num w:numId="7">
    <w:abstractNumId w:val="3"/>
  </w:num>
  <w:num w:numId="8">
    <w:abstractNumId w:val="7"/>
  </w:num>
  <w:num w:numId="9">
    <w:abstractNumId w:val="9"/>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FE8"/>
    <w:rsid w:val="000013D0"/>
    <w:rsid w:val="0000169E"/>
    <w:rsid w:val="00001EEB"/>
    <w:rsid w:val="00002729"/>
    <w:rsid w:val="00003630"/>
    <w:rsid w:val="000039AA"/>
    <w:rsid w:val="00003F90"/>
    <w:rsid w:val="00004733"/>
    <w:rsid w:val="0000577A"/>
    <w:rsid w:val="00005B8A"/>
    <w:rsid w:val="00005BF3"/>
    <w:rsid w:val="000063B3"/>
    <w:rsid w:val="000079C3"/>
    <w:rsid w:val="0001309B"/>
    <w:rsid w:val="000159BE"/>
    <w:rsid w:val="00015B1F"/>
    <w:rsid w:val="00016D2F"/>
    <w:rsid w:val="00016D4C"/>
    <w:rsid w:val="00016D63"/>
    <w:rsid w:val="00017749"/>
    <w:rsid w:val="0002125A"/>
    <w:rsid w:val="00021353"/>
    <w:rsid w:val="000219C1"/>
    <w:rsid w:val="00021C45"/>
    <w:rsid w:val="00022487"/>
    <w:rsid w:val="0002249D"/>
    <w:rsid w:val="000238F8"/>
    <w:rsid w:val="00025E9D"/>
    <w:rsid w:val="000278F0"/>
    <w:rsid w:val="00030E24"/>
    <w:rsid w:val="0003126D"/>
    <w:rsid w:val="00031864"/>
    <w:rsid w:val="00031CCF"/>
    <w:rsid w:val="00032727"/>
    <w:rsid w:val="00034607"/>
    <w:rsid w:val="00036F20"/>
    <w:rsid w:val="0003737C"/>
    <w:rsid w:val="00041FA9"/>
    <w:rsid w:val="00042474"/>
    <w:rsid w:val="0004385D"/>
    <w:rsid w:val="00043C17"/>
    <w:rsid w:val="00043E86"/>
    <w:rsid w:val="000442B1"/>
    <w:rsid w:val="00044356"/>
    <w:rsid w:val="000455E0"/>
    <w:rsid w:val="0005071C"/>
    <w:rsid w:val="0005075E"/>
    <w:rsid w:val="00052C57"/>
    <w:rsid w:val="00052CF1"/>
    <w:rsid w:val="00053D99"/>
    <w:rsid w:val="00053E88"/>
    <w:rsid w:val="00054DE4"/>
    <w:rsid w:val="000565A0"/>
    <w:rsid w:val="00056D7F"/>
    <w:rsid w:val="00060C09"/>
    <w:rsid w:val="0006219F"/>
    <w:rsid w:val="00065162"/>
    <w:rsid w:val="00066374"/>
    <w:rsid w:val="00066644"/>
    <w:rsid w:val="00066B38"/>
    <w:rsid w:val="00067806"/>
    <w:rsid w:val="00067A5C"/>
    <w:rsid w:val="00071CC3"/>
    <w:rsid w:val="0007299A"/>
    <w:rsid w:val="00074A2A"/>
    <w:rsid w:val="00074E17"/>
    <w:rsid w:val="00075D11"/>
    <w:rsid w:val="00077983"/>
    <w:rsid w:val="00077CD3"/>
    <w:rsid w:val="000805C8"/>
    <w:rsid w:val="000835F1"/>
    <w:rsid w:val="0008604D"/>
    <w:rsid w:val="000876AB"/>
    <w:rsid w:val="00087AC9"/>
    <w:rsid w:val="00095313"/>
    <w:rsid w:val="00095322"/>
    <w:rsid w:val="000958F9"/>
    <w:rsid w:val="00095EE1"/>
    <w:rsid w:val="000A096E"/>
    <w:rsid w:val="000A22FC"/>
    <w:rsid w:val="000A3D88"/>
    <w:rsid w:val="000A41BC"/>
    <w:rsid w:val="000A4BB4"/>
    <w:rsid w:val="000B0299"/>
    <w:rsid w:val="000B0F46"/>
    <w:rsid w:val="000B3550"/>
    <w:rsid w:val="000B373E"/>
    <w:rsid w:val="000B3ADB"/>
    <w:rsid w:val="000B3F39"/>
    <w:rsid w:val="000B46BC"/>
    <w:rsid w:val="000C015D"/>
    <w:rsid w:val="000C09A9"/>
    <w:rsid w:val="000C0D9B"/>
    <w:rsid w:val="000C1B76"/>
    <w:rsid w:val="000C2007"/>
    <w:rsid w:val="000C2A6C"/>
    <w:rsid w:val="000C3024"/>
    <w:rsid w:val="000C46FD"/>
    <w:rsid w:val="000C571A"/>
    <w:rsid w:val="000C571F"/>
    <w:rsid w:val="000C6A2A"/>
    <w:rsid w:val="000C76D6"/>
    <w:rsid w:val="000C79DE"/>
    <w:rsid w:val="000D001C"/>
    <w:rsid w:val="000D2FB6"/>
    <w:rsid w:val="000D37D8"/>
    <w:rsid w:val="000D38E8"/>
    <w:rsid w:val="000D7F60"/>
    <w:rsid w:val="000E1733"/>
    <w:rsid w:val="000E1AA7"/>
    <w:rsid w:val="000E1CC7"/>
    <w:rsid w:val="000E4A03"/>
    <w:rsid w:val="000E705D"/>
    <w:rsid w:val="000E7792"/>
    <w:rsid w:val="000F0A4F"/>
    <w:rsid w:val="000F0E73"/>
    <w:rsid w:val="000F2BC3"/>
    <w:rsid w:val="000F380C"/>
    <w:rsid w:val="000F3AB0"/>
    <w:rsid w:val="000F4789"/>
    <w:rsid w:val="000F4CF6"/>
    <w:rsid w:val="000F5D5B"/>
    <w:rsid w:val="000F7316"/>
    <w:rsid w:val="001001DB"/>
    <w:rsid w:val="001014B1"/>
    <w:rsid w:val="00101609"/>
    <w:rsid w:val="001043AD"/>
    <w:rsid w:val="001051CF"/>
    <w:rsid w:val="00107C40"/>
    <w:rsid w:val="00110122"/>
    <w:rsid w:val="00110CC9"/>
    <w:rsid w:val="00111ECC"/>
    <w:rsid w:val="001129B7"/>
    <w:rsid w:val="00114415"/>
    <w:rsid w:val="00114FE8"/>
    <w:rsid w:val="00115664"/>
    <w:rsid w:val="00115F20"/>
    <w:rsid w:val="00116699"/>
    <w:rsid w:val="00120628"/>
    <w:rsid w:val="001232C3"/>
    <w:rsid w:val="00123EFE"/>
    <w:rsid w:val="001242A2"/>
    <w:rsid w:val="00124721"/>
    <w:rsid w:val="00125D28"/>
    <w:rsid w:val="0012635D"/>
    <w:rsid w:val="00126D5E"/>
    <w:rsid w:val="0013070D"/>
    <w:rsid w:val="00131A27"/>
    <w:rsid w:val="00133B92"/>
    <w:rsid w:val="00134468"/>
    <w:rsid w:val="00135428"/>
    <w:rsid w:val="00135489"/>
    <w:rsid w:val="00135A6D"/>
    <w:rsid w:val="00137C18"/>
    <w:rsid w:val="001408BC"/>
    <w:rsid w:val="00142D78"/>
    <w:rsid w:val="00143367"/>
    <w:rsid w:val="001436A1"/>
    <w:rsid w:val="00143D5B"/>
    <w:rsid w:val="00143DD9"/>
    <w:rsid w:val="00144763"/>
    <w:rsid w:val="00144D1F"/>
    <w:rsid w:val="00145E4C"/>
    <w:rsid w:val="00147B70"/>
    <w:rsid w:val="00150BF5"/>
    <w:rsid w:val="00150C13"/>
    <w:rsid w:val="00151C03"/>
    <w:rsid w:val="0015355A"/>
    <w:rsid w:val="00153650"/>
    <w:rsid w:val="00155880"/>
    <w:rsid w:val="00155ABB"/>
    <w:rsid w:val="00160487"/>
    <w:rsid w:val="001626F1"/>
    <w:rsid w:val="00162700"/>
    <w:rsid w:val="00163C33"/>
    <w:rsid w:val="00164F6D"/>
    <w:rsid w:val="00166F26"/>
    <w:rsid w:val="00170458"/>
    <w:rsid w:val="001705CD"/>
    <w:rsid w:val="0017141D"/>
    <w:rsid w:val="001723F8"/>
    <w:rsid w:val="00173A62"/>
    <w:rsid w:val="00177249"/>
    <w:rsid w:val="0017763E"/>
    <w:rsid w:val="001776DC"/>
    <w:rsid w:val="001830A7"/>
    <w:rsid w:val="0018336E"/>
    <w:rsid w:val="00185337"/>
    <w:rsid w:val="00185BB9"/>
    <w:rsid w:val="00186676"/>
    <w:rsid w:val="0018678F"/>
    <w:rsid w:val="00190676"/>
    <w:rsid w:val="001923D0"/>
    <w:rsid w:val="001955A2"/>
    <w:rsid w:val="00197EED"/>
    <w:rsid w:val="001A12C7"/>
    <w:rsid w:val="001A1516"/>
    <w:rsid w:val="001A2A93"/>
    <w:rsid w:val="001A46B1"/>
    <w:rsid w:val="001A4943"/>
    <w:rsid w:val="001A541B"/>
    <w:rsid w:val="001A5832"/>
    <w:rsid w:val="001A5A00"/>
    <w:rsid w:val="001A7B5E"/>
    <w:rsid w:val="001B0349"/>
    <w:rsid w:val="001B0776"/>
    <w:rsid w:val="001B2315"/>
    <w:rsid w:val="001B2B78"/>
    <w:rsid w:val="001B359C"/>
    <w:rsid w:val="001B37D3"/>
    <w:rsid w:val="001B453B"/>
    <w:rsid w:val="001B6704"/>
    <w:rsid w:val="001B758C"/>
    <w:rsid w:val="001B7746"/>
    <w:rsid w:val="001C00C5"/>
    <w:rsid w:val="001C0A9A"/>
    <w:rsid w:val="001C0D6A"/>
    <w:rsid w:val="001C15D7"/>
    <w:rsid w:val="001C4655"/>
    <w:rsid w:val="001C597E"/>
    <w:rsid w:val="001C5C74"/>
    <w:rsid w:val="001C7D42"/>
    <w:rsid w:val="001D0C29"/>
    <w:rsid w:val="001D2ADB"/>
    <w:rsid w:val="001D3BBB"/>
    <w:rsid w:val="001D4BD7"/>
    <w:rsid w:val="001D597D"/>
    <w:rsid w:val="001E1ED0"/>
    <w:rsid w:val="001E439C"/>
    <w:rsid w:val="001E46F2"/>
    <w:rsid w:val="001E509A"/>
    <w:rsid w:val="001E64DF"/>
    <w:rsid w:val="001E6D39"/>
    <w:rsid w:val="001E798B"/>
    <w:rsid w:val="001F06AE"/>
    <w:rsid w:val="001F413B"/>
    <w:rsid w:val="001F445A"/>
    <w:rsid w:val="001F487B"/>
    <w:rsid w:val="001F4915"/>
    <w:rsid w:val="001F5335"/>
    <w:rsid w:val="001F5EFC"/>
    <w:rsid w:val="001F6102"/>
    <w:rsid w:val="001F63F6"/>
    <w:rsid w:val="001F7149"/>
    <w:rsid w:val="001F7803"/>
    <w:rsid w:val="001F7DA7"/>
    <w:rsid w:val="00200320"/>
    <w:rsid w:val="002021C7"/>
    <w:rsid w:val="002039A5"/>
    <w:rsid w:val="00203E9A"/>
    <w:rsid w:val="00203F08"/>
    <w:rsid w:val="00204032"/>
    <w:rsid w:val="00204944"/>
    <w:rsid w:val="00204AA9"/>
    <w:rsid w:val="00205181"/>
    <w:rsid w:val="002051D3"/>
    <w:rsid w:val="00210667"/>
    <w:rsid w:val="0021075D"/>
    <w:rsid w:val="002107CD"/>
    <w:rsid w:val="0021260F"/>
    <w:rsid w:val="002163E7"/>
    <w:rsid w:val="00217CA6"/>
    <w:rsid w:val="00217D78"/>
    <w:rsid w:val="00220190"/>
    <w:rsid w:val="00220FBA"/>
    <w:rsid w:val="00221E19"/>
    <w:rsid w:val="002226FD"/>
    <w:rsid w:val="0022427F"/>
    <w:rsid w:val="00224380"/>
    <w:rsid w:val="002249A1"/>
    <w:rsid w:val="00224C54"/>
    <w:rsid w:val="0022761C"/>
    <w:rsid w:val="00227A4E"/>
    <w:rsid w:val="0023089A"/>
    <w:rsid w:val="00230A08"/>
    <w:rsid w:val="00230BAD"/>
    <w:rsid w:val="00231B51"/>
    <w:rsid w:val="0023343B"/>
    <w:rsid w:val="00234301"/>
    <w:rsid w:val="00235510"/>
    <w:rsid w:val="00237EAD"/>
    <w:rsid w:val="00243B65"/>
    <w:rsid w:val="0024467E"/>
    <w:rsid w:val="00244CF6"/>
    <w:rsid w:val="00245456"/>
    <w:rsid w:val="00250653"/>
    <w:rsid w:val="00251196"/>
    <w:rsid w:val="0025412B"/>
    <w:rsid w:val="0025577B"/>
    <w:rsid w:val="00255D38"/>
    <w:rsid w:val="0025683E"/>
    <w:rsid w:val="00256AF5"/>
    <w:rsid w:val="00256E52"/>
    <w:rsid w:val="0025787A"/>
    <w:rsid w:val="00260130"/>
    <w:rsid w:val="002610F6"/>
    <w:rsid w:val="0026168F"/>
    <w:rsid w:val="00262E75"/>
    <w:rsid w:val="0026351F"/>
    <w:rsid w:val="00264EA5"/>
    <w:rsid w:val="00267180"/>
    <w:rsid w:val="00270C6A"/>
    <w:rsid w:val="0027184B"/>
    <w:rsid w:val="00272040"/>
    <w:rsid w:val="00272503"/>
    <w:rsid w:val="00272C83"/>
    <w:rsid w:val="00273F14"/>
    <w:rsid w:val="00275310"/>
    <w:rsid w:val="00275CCA"/>
    <w:rsid w:val="00275CCC"/>
    <w:rsid w:val="00275FD6"/>
    <w:rsid w:val="00276D45"/>
    <w:rsid w:val="002772BE"/>
    <w:rsid w:val="00281B5E"/>
    <w:rsid w:val="002830B4"/>
    <w:rsid w:val="00284CA7"/>
    <w:rsid w:val="00284E6A"/>
    <w:rsid w:val="00285760"/>
    <w:rsid w:val="00286959"/>
    <w:rsid w:val="00287429"/>
    <w:rsid w:val="00287540"/>
    <w:rsid w:val="0028785F"/>
    <w:rsid w:val="00290203"/>
    <w:rsid w:val="00290432"/>
    <w:rsid w:val="00290AF9"/>
    <w:rsid w:val="00290DFD"/>
    <w:rsid w:val="0029194B"/>
    <w:rsid w:val="002921C9"/>
    <w:rsid w:val="002928F8"/>
    <w:rsid w:val="00293406"/>
    <w:rsid w:val="00293B7F"/>
    <w:rsid w:val="00294157"/>
    <w:rsid w:val="0029549B"/>
    <w:rsid w:val="00295838"/>
    <w:rsid w:val="002968D2"/>
    <w:rsid w:val="002A0BD5"/>
    <w:rsid w:val="002A25CB"/>
    <w:rsid w:val="002A4922"/>
    <w:rsid w:val="002A78FE"/>
    <w:rsid w:val="002B0069"/>
    <w:rsid w:val="002B01C3"/>
    <w:rsid w:val="002B2205"/>
    <w:rsid w:val="002B28DB"/>
    <w:rsid w:val="002B2E13"/>
    <w:rsid w:val="002B4D8E"/>
    <w:rsid w:val="002B53FF"/>
    <w:rsid w:val="002B6998"/>
    <w:rsid w:val="002C024B"/>
    <w:rsid w:val="002C2B6E"/>
    <w:rsid w:val="002C3679"/>
    <w:rsid w:val="002C3F66"/>
    <w:rsid w:val="002C49D5"/>
    <w:rsid w:val="002C61AA"/>
    <w:rsid w:val="002D016B"/>
    <w:rsid w:val="002D0ECD"/>
    <w:rsid w:val="002D1BE7"/>
    <w:rsid w:val="002D2094"/>
    <w:rsid w:val="002D2840"/>
    <w:rsid w:val="002D28FE"/>
    <w:rsid w:val="002D2A86"/>
    <w:rsid w:val="002D2B3E"/>
    <w:rsid w:val="002D31AD"/>
    <w:rsid w:val="002D4ECB"/>
    <w:rsid w:val="002D5AC3"/>
    <w:rsid w:val="002D674C"/>
    <w:rsid w:val="002E5EBC"/>
    <w:rsid w:val="002E66F3"/>
    <w:rsid w:val="002E67D8"/>
    <w:rsid w:val="002E69FE"/>
    <w:rsid w:val="002E7DDC"/>
    <w:rsid w:val="002F0BA0"/>
    <w:rsid w:val="002F0CF5"/>
    <w:rsid w:val="002F0F80"/>
    <w:rsid w:val="002F1D4D"/>
    <w:rsid w:val="002F1E8C"/>
    <w:rsid w:val="002F4123"/>
    <w:rsid w:val="002F5D10"/>
    <w:rsid w:val="002F605A"/>
    <w:rsid w:val="002F69A8"/>
    <w:rsid w:val="00300509"/>
    <w:rsid w:val="003016A6"/>
    <w:rsid w:val="0030198B"/>
    <w:rsid w:val="00301EB7"/>
    <w:rsid w:val="003024E7"/>
    <w:rsid w:val="00304770"/>
    <w:rsid w:val="0030750E"/>
    <w:rsid w:val="003078C1"/>
    <w:rsid w:val="00307AB2"/>
    <w:rsid w:val="003127CC"/>
    <w:rsid w:val="00315FAC"/>
    <w:rsid w:val="003160FB"/>
    <w:rsid w:val="00316247"/>
    <w:rsid w:val="0031697B"/>
    <w:rsid w:val="00321264"/>
    <w:rsid w:val="00321616"/>
    <w:rsid w:val="00324F85"/>
    <w:rsid w:val="003256B9"/>
    <w:rsid w:val="003266B7"/>
    <w:rsid w:val="003270BE"/>
    <w:rsid w:val="0033054F"/>
    <w:rsid w:val="00330E9F"/>
    <w:rsid w:val="00331194"/>
    <w:rsid w:val="00332286"/>
    <w:rsid w:val="003323C8"/>
    <w:rsid w:val="003328A0"/>
    <w:rsid w:val="00334B22"/>
    <w:rsid w:val="003357D2"/>
    <w:rsid w:val="0033673A"/>
    <w:rsid w:val="0033678A"/>
    <w:rsid w:val="003419DB"/>
    <w:rsid w:val="00342399"/>
    <w:rsid w:val="0034258B"/>
    <w:rsid w:val="00342776"/>
    <w:rsid w:val="00342CC5"/>
    <w:rsid w:val="00343516"/>
    <w:rsid w:val="00343B9E"/>
    <w:rsid w:val="00344674"/>
    <w:rsid w:val="00345BE4"/>
    <w:rsid w:val="003461F9"/>
    <w:rsid w:val="0035262F"/>
    <w:rsid w:val="003542AE"/>
    <w:rsid w:val="00356B9E"/>
    <w:rsid w:val="0035780E"/>
    <w:rsid w:val="003612CA"/>
    <w:rsid w:val="003613D5"/>
    <w:rsid w:val="0036188B"/>
    <w:rsid w:val="00361DEF"/>
    <w:rsid w:val="00362269"/>
    <w:rsid w:val="00362EF5"/>
    <w:rsid w:val="00363912"/>
    <w:rsid w:val="00363D4A"/>
    <w:rsid w:val="00365ACD"/>
    <w:rsid w:val="003660B4"/>
    <w:rsid w:val="00366289"/>
    <w:rsid w:val="00366B73"/>
    <w:rsid w:val="00371125"/>
    <w:rsid w:val="0037136A"/>
    <w:rsid w:val="00371EBB"/>
    <w:rsid w:val="00371FF4"/>
    <w:rsid w:val="003725D5"/>
    <w:rsid w:val="00372969"/>
    <w:rsid w:val="00372FB5"/>
    <w:rsid w:val="00373518"/>
    <w:rsid w:val="00373AD4"/>
    <w:rsid w:val="00377EE5"/>
    <w:rsid w:val="00382BC2"/>
    <w:rsid w:val="00385E02"/>
    <w:rsid w:val="00391331"/>
    <w:rsid w:val="00391D8F"/>
    <w:rsid w:val="00392B1B"/>
    <w:rsid w:val="00393A57"/>
    <w:rsid w:val="00393F35"/>
    <w:rsid w:val="00394CD3"/>
    <w:rsid w:val="0039518C"/>
    <w:rsid w:val="00396279"/>
    <w:rsid w:val="00397883"/>
    <w:rsid w:val="003A1928"/>
    <w:rsid w:val="003A1F42"/>
    <w:rsid w:val="003A6193"/>
    <w:rsid w:val="003A6AF2"/>
    <w:rsid w:val="003A6B86"/>
    <w:rsid w:val="003A6FC7"/>
    <w:rsid w:val="003A706D"/>
    <w:rsid w:val="003B4DBF"/>
    <w:rsid w:val="003B51F0"/>
    <w:rsid w:val="003C4379"/>
    <w:rsid w:val="003C4803"/>
    <w:rsid w:val="003D08DD"/>
    <w:rsid w:val="003D21E0"/>
    <w:rsid w:val="003D238F"/>
    <w:rsid w:val="003D2BC9"/>
    <w:rsid w:val="003D2F61"/>
    <w:rsid w:val="003D3BAC"/>
    <w:rsid w:val="003D4583"/>
    <w:rsid w:val="003D5B14"/>
    <w:rsid w:val="003D6535"/>
    <w:rsid w:val="003D6B81"/>
    <w:rsid w:val="003D7997"/>
    <w:rsid w:val="003E00F9"/>
    <w:rsid w:val="003E04A0"/>
    <w:rsid w:val="003E065B"/>
    <w:rsid w:val="003E2748"/>
    <w:rsid w:val="003E2CBE"/>
    <w:rsid w:val="003E3E79"/>
    <w:rsid w:val="003E566E"/>
    <w:rsid w:val="003E56DF"/>
    <w:rsid w:val="003E6637"/>
    <w:rsid w:val="003E73C9"/>
    <w:rsid w:val="003E76CF"/>
    <w:rsid w:val="003E7CC6"/>
    <w:rsid w:val="003F01B2"/>
    <w:rsid w:val="003F12E8"/>
    <w:rsid w:val="003F3650"/>
    <w:rsid w:val="003F3B28"/>
    <w:rsid w:val="003F582B"/>
    <w:rsid w:val="003F58E0"/>
    <w:rsid w:val="0040054F"/>
    <w:rsid w:val="0040115A"/>
    <w:rsid w:val="00402FB4"/>
    <w:rsid w:val="00404CFF"/>
    <w:rsid w:val="00407850"/>
    <w:rsid w:val="0041082D"/>
    <w:rsid w:val="004113A5"/>
    <w:rsid w:val="00412071"/>
    <w:rsid w:val="00412926"/>
    <w:rsid w:val="00413C27"/>
    <w:rsid w:val="00413EAD"/>
    <w:rsid w:val="0041435F"/>
    <w:rsid w:val="0041519B"/>
    <w:rsid w:val="004170CC"/>
    <w:rsid w:val="00417B0E"/>
    <w:rsid w:val="00417CAB"/>
    <w:rsid w:val="004200BA"/>
    <w:rsid w:val="0042046A"/>
    <w:rsid w:val="004218EC"/>
    <w:rsid w:val="00421DE7"/>
    <w:rsid w:val="0042324B"/>
    <w:rsid w:val="00424D88"/>
    <w:rsid w:val="00426099"/>
    <w:rsid w:val="00426C9E"/>
    <w:rsid w:val="00426D38"/>
    <w:rsid w:val="00430019"/>
    <w:rsid w:val="00430217"/>
    <w:rsid w:val="004315A5"/>
    <w:rsid w:val="0043182B"/>
    <w:rsid w:val="00432B4C"/>
    <w:rsid w:val="00433221"/>
    <w:rsid w:val="004337C6"/>
    <w:rsid w:val="00433C9A"/>
    <w:rsid w:val="00434E66"/>
    <w:rsid w:val="00435C5E"/>
    <w:rsid w:val="0044030D"/>
    <w:rsid w:val="00440EA3"/>
    <w:rsid w:val="0044192E"/>
    <w:rsid w:val="00442420"/>
    <w:rsid w:val="004427BD"/>
    <w:rsid w:val="00442DBD"/>
    <w:rsid w:val="00445153"/>
    <w:rsid w:val="0044530A"/>
    <w:rsid w:val="00446340"/>
    <w:rsid w:val="00447B8F"/>
    <w:rsid w:val="004521E9"/>
    <w:rsid w:val="00453645"/>
    <w:rsid w:val="00453BDF"/>
    <w:rsid w:val="00453DE7"/>
    <w:rsid w:val="00454B36"/>
    <w:rsid w:val="00455C42"/>
    <w:rsid w:val="0045606E"/>
    <w:rsid w:val="004579B7"/>
    <w:rsid w:val="0046054A"/>
    <w:rsid w:val="00460AF4"/>
    <w:rsid w:val="004613A2"/>
    <w:rsid w:val="00463E32"/>
    <w:rsid w:val="004648CC"/>
    <w:rsid w:val="00470E5F"/>
    <w:rsid w:val="00472D25"/>
    <w:rsid w:val="0047398D"/>
    <w:rsid w:val="00474668"/>
    <w:rsid w:val="0047563B"/>
    <w:rsid w:val="004759DC"/>
    <w:rsid w:val="0047704D"/>
    <w:rsid w:val="0047713B"/>
    <w:rsid w:val="00477738"/>
    <w:rsid w:val="00477D31"/>
    <w:rsid w:val="004800C4"/>
    <w:rsid w:val="00480A50"/>
    <w:rsid w:val="00482164"/>
    <w:rsid w:val="00482A93"/>
    <w:rsid w:val="00482D34"/>
    <w:rsid w:val="0048304A"/>
    <w:rsid w:val="00483313"/>
    <w:rsid w:val="00483DBE"/>
    <w:rsid w:val="00485C90"/>
    <w:rsid w:val="00485FF0"/>
    <w:rsid w:val="0048620E"/>
    <w:rsid w:val="0048728E"/>
    <w:rsid w:val="004872F6"/>
    <w:rsid w:val="00487606"/>
    <w:rsid w:val="004877EA"/>
    <w:rsid w:val="00490DDA"/>
    <w:rsid w:val="0049100E"/>
    <w:rsid w:val="00491DEE"/>
    <w:rsid w:val="00492AA7"/>
    <w:rsid w:val="00494A31"/>
    <w:rsid w:val="00494B86"/>
    <w:rsid w:val="00494E64"/>
    <w:rsid w:val="00496F84"/>
    <w:rsid w:val="0049788E"/>
    <w:rsid w:val="004A09AC"/>
    <w:rsid w:val="004A0FF2"/>
    <w:rsid w:val="004A2414"/>
    <w:rsid w:val="004A2A13"/>
    <w:rsid w:val="004A348C"/>
    <w:rsid w:val="004A34D7"/>
    <w:rsid w:val="004A359A"/>
    <w:rsid w:val="004A4C08"/>
    <w:rsid w:val="004A4EC3"/>
    <w:rsid w:val="004A6F1A"/>
    <w:rsid w:val="004B1353"/>
    <w:rsid w:val="004B14BA"/>
    <w:rsid w:val="004B26CC"/>
    <w:rsid w:val="004B2D19"/>
    <w:rsid w:val="004B4A45"/>
    <w:rsid w:val="004B5E15"/>
    <w:rsid w:val="004C148F"/>
    <w:rsid w:val="004C24D3"/>
    <w:rsid w:val="004C291E"/>
    <w:rsid w:val="004C31C7"/>
    <w:rsid w:val="004C3B03"/>
    <w:rsid w:val="004C40FD"/>
    <w:rsid w:val="004C4C6A"/>
    <w:rsid w:val="004C680E"/>
    <w:rsid w:val="004C7A3B"/>
    <w:rsid w:val="004D14C1"/>
    <w:rsid w:val="004D1B5A"/>
    <w:rsid w:val="004D2A07"/>
    <w:rsid w:val="004D2F81"/>
    <w:rsid w:val="004D38D2"/>
    <w:rsid w:val="004D3939"/>
    <w:rsid w:val="004D4B4E"/>
    <w:rsid w:val="004D6378"/>
    <w:rsid w:val="004D63F4"/>
    <w:rsid w:val="004E1638"/>
    <w:rsid w:val="004E1644"/>
    <w:rsid w:val="004E1BB0"/>
    <w:rsid w:val="004E2DD2"/>
    <w:rsid w:val="004E398B"/>
    <w:rsid w:val="004E4548"/>
    <w:rsid w:val="004E4FB1"/>
    <w:rsid w:val="004E6AEE"/>
    <w:rsid w:val="004E6C4D"/>
    <w:rsid w:val="004E6F88"/>
    <w:rsid w:val="004F19AC"/>
    <w:rsid w:val="004F2490"/>
    <w:rsid w:val="004F3733"/>
    <w:rsid w:val="004F37D9"/>
    <w:rsid w:val="004F4E79"/>
    <w:rsid w:val="004F71EC"/>
    <w:rsid w:val="004F739C"/>
    <w:rsid w:val="004F76BE"/>
    <w:rsid w:val="004F795B"/>
    <w:rsid w:val="0050204E"/>
    <w:rsid w:val="00503064"/>
    <w:rsid w:val="00503F3D"/>
    <w:rsid w:val="005054C2"/>
    <w:rsid w:val="00505712"/>
    <w:rsid w:val="0050597C"/>
    <w:rsid w:val="00505E06"/>
    <w:rsid w:val="00510303"/>
    <w:rsid w:val="00511269"/>
    <w:rsid w:val="005115D5"/>
    <w:rsid w:val="005119CD"/>
    <w:rsid w:val="00513F25"/>
    <w:rsid w:val="005141AE"/>
    <w:rsid w:val="005153FA"/>
    <w:rsid w:val="00517CF6"/>
    <w:rsid w:val="00520243"/>
    <w:rsid w:val="005202DA"/>
    <w:rsid w:val="0052275C"/>
    <w:rsid w:val="0052719F"/>
    <w:rsid w:val="00527AFF"/>
    <w:rsid w:val="00530EF8"/>
    <w:rsid w:val="00532176"/>
    <w:rsid w:val="005341AD"/>
    <w:rsid w:val="00535A55"/>
    <w:rsid w:val="005371DF"/>
    <w:rsid w:val="00540CCE"/>
    <w:rsid w:val="00540D14"/>
    <w:rsid w:val="00540FAB"/>
    <w:rsid w:val="00544FFA"/>
    <w:rsid w:val="00547145"/>
    <w:rsid w:val="00551BDA"/>
    <w:rsid w:val="00551EF4"/>
    <w:rsid w:val="00551FAE"/>
    <w:rsid w:val="00552BA3"/>
    <w:rsid w:val="0055309D"/>
    <w:rsid w:val="005553C0"/>
    <w:rsid w:val="00555EEA"/>
    <w:rsid w:val="00556A10"/>
    <w:rsid w:val="00556F40"/>
    <w:rsid w:val="0055793E"/>
    <w:rsid w:val="0056013C"/>
    <w:rsid w:val="005609F1"/>
    <w:rsid w:val="00561CBA"/>
    <w:rsid w:val="00562EBE"/>
    <w:rsid w:val="00565DB3"/>
    <w:rsid w:val="005660A2"/>
    <w:rsid w:val="005667B2"/>
    <w:rsid w:val="00566B1E"/>
    <w:rsid w:val="00567E40"/>
    <w:rsid w:val="00573C30"/>
    <w:rsid w:val="0057468F"/>
    <w:rsid w:val="00574958"/>
    <w:rsid w:val="00576F61"/>
    <w:rsid w:val="0057799B"/>
    <w:rsid w:val="00577DF9"/>
    <w:rsid w:val="00580A1D"/>
    <w:rsid w:val="00586DFA"/>
    <w:rsid w:val="00590CDA"/>
    <w:rsid w:val="00592328"/>
    <w:rsid w:val="00592D73"/>
    <w:rsid w:val="00594102"/>
    <w:rsid w:val="00594477"/>
    <w:rsid w:val="00594E10"/>
    <w:rsid w:val="005A0859"/>
    <w:rsid w:val="005A13A3"/>
    <w:rsid w:val="005A1B1A"/>
    <w:rsid w:val="005A34EE"/>
    <w:rsid w:val="005A4555"/>
    <w:rsid w:val="005A6046"/>
    <w:rsid w:val="005A6CE3"/>
    <w:rsid w:val="005A7121"/>
    <w:rsid w:val="005A771C"/>
    <w:rsid w:val="005B0AD5"/>
    <w:rsid w:val="005B1C6C"/>
    <w:rsid w:val="005B1C77"/>
    <w:rsid w:val="005B1DD7"/>
    <w:rsid w:val="005B2768"/>
    <w:rsid w:val="005B4AEB"/>
    <w:rsid w:val="005B6700"/>
    <w:rsid w:val="005C03ED"/>
    <w:rsid w:val="005C6F19"/>
    <w:rsid w:val="005C77B2"/>
    <w:rsid w:val="005D2299"/>
    <w:rsid w:val="005D4F3C"/>
    <w:rsid w:val="005D56F1"/>
    <w:rsid w:val="005D6B95"/>
    <w:rsid w:val="005D7422"/>
    <w:rsid w:val="005D7468"/>
    <w:rsid w:val="005D76AD"/>
    <w:rsid w:val="005E0D3C"/>
    <w:rsid w:val="005E49D3"/>
    <w:rsid w:val="005E4BB5"/>
    <w:rsid w:val="005E510B"/>
    <w:rsid w:val="005E6B89"/>
    <w:rsid w:val="005F2789"/>
    <w:rsid w:val="005F368D"/>
    <w:rsid w:val="005F4881"/>
    <w:rsid w:val="0060074F"/>
    <w:rsid w:val="006023D0"/>
    <w:rsid w:val="00605514"/>
    <w:rsid w:val="00610B00"/>
    <w:rsid w:val="0061222F"/>
    <w:rsid w:val="006126FD"/>
    <w:rsid w:val="00614540"/>
    <w:rsid w:val="0061487D"/>
    <w:rsid w:val="0061495E"/>
    <w:rsid w:val="00614CBC"/>
    <w:rsid w:val="00616072"/>
    <w:rsid w:val="0061687A"/>
    <w:rsid w:val="006202E9"/>
    <w:rsid w:val="00620619"/>
    <w:rsid w:val="0062118A"/>
    <w:rsid w:val="00622A13"/>
    <w:rsid w:val="006231A0"/>
    <w:rsid w:val="006231D5"/>
    <w:rsid w:val="00623AEB"/>
    <w:rsid w:val="00624166"/>
    <w:rsid w:val="00624A91"/>
    <w:rsid w:val="00626E3E"/>
    <w:rsid w:val="006310A0"/>
    <w:rsid w:val="006310D8"/>
    <w:rsid w:val="006313EA"/>
    <w:rsid w:val="006314CC"/>
    <w:rsid w:val="00632A58"/>
    <w:rsid w:val="00634334"/>
    <w:rsid w:val="0063475B"/>
    <w:rsid w:val="00634975"/>
    <w:rsid w:val="00635D06"/>
    <w:rsid w:val="00636175"/>
    <w:rsid w:val="00636EAD"/>
    <w:rsid w:val="00637581"/>
    <w:rsid w:val="00637773"/>
    <w:rsid w:val="00640CDB"/>
    <w:rsid w:val="00641923"/>
    <w:rsid w:val="00643658"/>
    <w:rsid w:val="00643AA8"/>
    <w:rsid w:val="00644433"/>
    <w:rsid w:val="00644AA9"/>
    <w:rsid w:val="00645199"/>
    <w:rsid w:val="006465AC"/>
    <w:rsid w:val="006476B4"/>
    <w:rsid w:val="00647AD7"/>
    <w:rsid w:val="00647D8F"/>
    <w:rsid w:val="00652316"/>
    <w:rsid w:val="0065342E"/>
    <w:rsid w:val="0065396D"/>
    <w:rsid w:val="00655274"/>
    <w:rsid w:val="00655A57"/>
    <w:rsid w:val="006569DA"/>
    <w:rsid w:val="00656EFA"/>
    <w:rsid w:val="00660725"/>
    <w:rsid w:val="0066478F"/>
    <w:rsid w:val="00664BB7"/>
    <w:rsid w:val="00665AE5"/>
    <w:rsid w:val="0066670C"/>
    <w:rsid w:val="006706EA"/>
    <w:rsid w:val="00671606"/>
    <w:rsid w:val="00672A90"/>
    <w:rsid w:val="00673045"/>
    <w:rsid w:val="00674CC4"/>
    <w:rsid w:val="006755CB"/>
    <w:rsid w:val="00676BB9"/>
    <w:rsid w:val="00676ED6"/>
    <w:rsid w:val="00680060"/>
    <w:rsid w:val="00680DC3"/>
    <w:rsid w:val="00680E8E"/>
    <w:rsid w:val="006812FE"/>
    <w:rsid w:val="00681B3F"/>
    <w:rsid w:val="00681EB0"/>
    <w:rsid w:val="0068540E"/>
    <w:rsid w:val="00685DB5"/>
    <w:rsid w:val="00687AFC"/>
    <w:rsid w:val="00687CE9"/>
    <w:rsid w:val="006920E2"/>
    <w:rsid w:val="00692427"/>
    <w:rsid w:val="00694E50"/>
    <w:rsid w:val="0069688A"/>
    <w:rsid w:val="006971AD"/>
    <w:rsid w:val="006973E1"/>
    <w:rsid w:val="006A0959"/>
    <w:rsid w:val="006A0B82"/>
    <w:rsid w:val="006A63C6"/>
    <w:rsid w:val="006A663E"/>
    <w:rsid w:val="006A695B"/>
    <w:rsid w:val="006A7F07"/>
    <w:rsid w:val="006B3726"/>
    <w:rsid w:val="006B393E"/>
    <w:rsid w:val="006B68D1"/>
    <w:rsid w:val="006C26F9"/>
    <w:rsid w:val="006C2DD8"/>
    <w:rsid w:val="006C6C50"/>
    <w:rsid w:val="006D17FF"/>
    <w:rsid w:val="006D3624"/>
    <w:rsid w:val="006D4C7F"/>
    <w:rsid w:val="006D5559"/>
    <w:rsid w:val="006D7D2C"/>
    <w:rsid w:val="006E0E75"/>
    <w:rsid w:val="006E3BB6"/>
    <w:rsid w:val="006E4C07"/>
    <w:rsid w:val="006E6189"/>
    <w:rsid w:val="006E6758"/>
    <w:rsid w:val="006F0DC0"/>
    <w:rsid w:val="006F1AC4"/>
    <w:rsid w:val="006F1E42"/>
    <w:rsid w:val="006F5C69"/>
    <w:rsid w:val="006F5DD2"/>
    <w:rsid w:val="006F6C5A"/>
    <w:rsid w:val="00700FDF"/>
    <w:rsid w:val="00701D8F"/>
    <w:rsid w:val="00702044"/>
    <w:rsid w:val="00703076"/>
    <w:rsid w:val="007045A0"/>
    <w:rsid w:val="00704A64"/>
    <w:rsid w:val="00704ADF"/>
    <w:rsid w:val="00705AA1"/>
    <w:rsid w:val="00706256"/>
    <w:rsid w:val="007067A8"/>
    <w:rsid w:val="007068AD"/>
    <w:rsid w:val="00707514"/>
    <w:rsid w:val="007078B0"/>
    <w:rsid w:val="00711933"/>
    <w:rsid w:val="00713633"/>
    <w:rsid w:val="007145EB"/>
    <w:rsid w:val="00714D77"/>
    <w:rsid w:val="00715617"/>
    <w:rsid w:val="007158AC"/>
    <w:rsid w:val="00717D99"/>
    <w:rsid w:val="00721AD2"/>
    <w:rsid w:val="00721E61"/>
    <w:rsid w:val="0072272E"/>
    <w:rsid w:val="00724B2B"/>
    <w:rsid w:val="00727D1D"/>
    <w:rsid w:val="007302B2"/>
    <w:rsid w:val="00730522"/>
    <w:rsid w:val="00730BA9"/>
    <w:rsid w:val="00731486"/>
    <w:rsid w:val="00731575"/>
    <w:rsid w:val="00731861"/>
    <w:rsid w:val="00731DC9"/>
    <w:rsid w:val="00733194"/>
    <w:rsid w:val="00735DB3"/>
    <w:rsid w:val="00737FAF"/>
    <w:rsid w:val="00737FC3"/>
    <w:rsid w:val="0074005B"/>
    <w:rsid w:val="007407FD"/>
    <w:rsid w:val="00742A1E"/>
    <w:rsid w:val="00743ACF"/>
    <w:rsid w:val="007441A1"/>
    <w:rsid w:val="007446EE"/>
    <w:rsid w:val="007471AF"/>
    <w:rsid w:val="00747D2A"/>
    <w:rsid w:val="00751346"/>
    <w:rsid w:val="007517FD"/>
    <w:rsid w:val="00751954"/>
    <w:rsid w:val="00751BAF"/>
    <w:rsid w:val="00752E15"/>
    <w:rsid w:val="00753B76"/>
    <w:rsid w:val="0075598E"/>
    <w:rsid w:val="007563E8"/>
    <w:rsid w:val="007578A7"/>
    <w:rsid w:val="0076040E"/>
    <w:rsid w:val="0076215F"/>
    <w:rsid w:val="0076329C"/>
    <w:rsid w:val="0076329E"/>
    <w:rsid w:val="00764B59"/>
    <w:rsid w:val="00764E29"/>
    <w:rsid w:val="00765896"/>
    <w:rsid w:val="00766491"/>
    <w:rsid w:val="00766B35"/>
    <w:rsid w:val="00766DCC"/>
    <w:rsid w:val="0076736D"/>
    <w:rsid w:val="00771204"/>
    <w:rsid w:val="00772079"/>
    <w:rsid w:val="00772542"/>
    <w:rsid w:val="00775636"/>
    <w:rsid w:val="00776463"/>
    <w:rsid w:val="007778CB"/>
    <w:rsid w:val="00780089"/>
    <w:rsid w:val="00783914"/>
    <w:rsid w:val="007839B3"/>
    <w:rsid w:val="00784669"/>
    <w:rsid w:val="00785705"/>
    <w:rsid w:val="0078616F"/>
    <w:rsid w:val="007873C3"/>
    <w:rsid w:val="007901DB"/>
    <w:rsid w:val="00790412"/>
    <w:rsid w:val="007904A9"/>
    <w:rsid w:val="007918FC"/>
    <w:rsid w:val="007928E5"/>
    <w:rsid w:val="00792F9D"/>
    <w:rsid w:val="007933DE"/>
    <w:rsid w:val="00793BDF"/>
    <w:rsid w:val="00794A67"/>
    <w:rsid w:val="00794E1A"/>
    <w:rsid w:val="00795007"/>
    <w:rsid w:val="007952C9"/>
    <w:rsid w:val="00795CA5"/>
    <w:rsid w:val="007965DB"/>
    <w:rsid w:val="007A0AAB"/>
    <w:rsid w:val="007A1CB1"/>
    <w:rsid w:val="007A348D"/>
    <w:rsid w:val="007A697D"/>
    <w:rsid w:val="007A6E4B"/>
    <w:rsid w:val="007B0974"/>
    <w:rsid w:val="007B0FC7"/>
    <w:rsid w:val="007B3150"/>
    <w:rsid w:val="007B3C8C"/>
    <w:rsid w:val="007B5A2C"/>
    <w:rsid w:val="007B69EE"/>
    <w:rsid w:val="007B6F2F"/>
    <w:rsid w:val="007C1BA3"/>
    <w:rsid w:val="007C26C8"/>
    <w:rsid w:val="007C309F"/>
    <w:rsid w:val="007C3CAF"/>
    <w:rsid w:val="007C3E5E"/>
    <w:rsid w:val="007C43AF"/>
    <w:rsid w:val="007C4A5A"/>
    <w:rsid w:val="007C4F39"/>
    <w:rsid w:val="007C50F3"/>
    <w:rsid w:val="007C56A9"/>
    <w:rsid w:val="007C57B2"/>
    <w:rsid w:val="007C5804"/>
    <w:rsid w:val="007C5F3C"/>
    <w:rsid w:val="007D0720"/>
    <w:rsid w:val="007D22AC"/>
    <w:rsid w:val="007D2475"/>
    <w:rsid w:val="007D3F2F"/>
    <w:rsid w:val="007D51BB"/>
    <w:rsid w:val="007D5B16"/>
    <w:rsid w:val="007D6BD7"/>
    <w:rsid w:val="007E0841"/>
    <w:rsid w:val="007E0EA3"/>
    <w:rsid w:val="007E151D"/>
    <w:rsid w:val="007E1837"/>
    <w:rsid w:val="007E338C"/>
    <w:rsid w:val="007E4197"/>
    <w:rsid w:val="007E437F"/>
    <w:rsid w:val="007E48F4"/>
    <w:rsid w:val="007E5BCE"/>
    <w:rsid w:val="007E6406"/>
    <w:rsid w:val="007F03AB"/>
    <w:rsid w:val="007F13CA"/>
    <w:rsid w:val="007F2712"/>
    <w:rsid w:val="007F3E59"/>
    <w:rsid w:val="007F3F91"/>
    <w:rsid w:val="007F47C3"/>
    <w:rsid w:val="0080052F"/>
    <w:rsid w:val="00800EEC"/>
    <w:rsid w:val="008023CA"/>
    <w:rsid w:val="0080412E"/>
    <w:rsid w:val="00806C78"/>
    <w:rsid w:val="008101E3"/>
    <w:rsid w:val="00811599"/>
    <w:rsid w:val="0081429E"/>
    <w:rsid w:val="008146B5"/>
    <w:rsid w:val="008152DA"/>
    <w:rsid w:val="00815DB2"/>
    <w:rsid w:val="00815E57"/>
    <w:rsid w:val="00817D72"/>
    <w:rsid w:val="008221EF"/>
    <w:rsid w:val="00822F07"/>
    <w:rsid w:val="00823C8E"/>
    <w:rsid w:val="0082456F"/>
    <w:rsid w:val="00824BDC"/>
    <w:rsid w:val="00824BEE"/>
    <w:rsid w:val="00826499"/>
    <w:rsid w:val="00826846"/>
    <w:rsid w:val="00827C2C"/>
    <w:rsid w:val="008308B5"/>
    <w:rsid w:val="00832B2A"/>
    <w:rsid w:val="00832E57"/>
    <w:rsid w:val="00834006"/>
    <w:rsid w:val="008349E5"/>
    <w:rsid w:val="00835FA8"/>
    <w:rsid w:val="008365FA"/>
    <w:rsid w:val="00836C34"/>
    <w:rsid w:val="00837074"/>
    <w:rsid w:val="00837276"/>
    <w:rsid w:val="008407BD"/>
    <w:rsid w:val="00840919"/>
    <w:rsid w:val="00840A31"/>
    <w:rsid w:val="0084325B"/>
    <w:rsid w:val="00850DC5"/>
    <w:rsid w:val="0085135A"/>
    <w:rsid w:val="00852B11"/>
    <w:rsid w:val="008535A2"/>
    <w:rsid w:val="00853CA5"/>
    <w:rsid w:val="00853DE6"/>
    <w:rsid w:val="00854F2D"/>
    <w:rsid w:val="008552A9"/>
    <w:rsid w:val="00855726"/>
    <w:rsid w:val="00856352"/>
    <w:rsid w:val="008602A9"/>
    <w:rsid w:val="00860E7D"/>
    <w:rsid w:val="00863064"/>
    <w:rsid w:val="008637E9"/>
    <w:rsid w:val="00865581"/>
    <w:rsid w:val="0086616E"/>
    <w:rsid w:val="00866C36"/>
    <w:rsid w:val="0086730F"/>
    <w:rsid w:val="00870254"/>
    <w:rsid w:val="0087051C"/>
    <w:rsid w:val="0087055D"/>
    <w:rsid w:val="0087180D"/>
    <w:rsid w:val="00871AA4"/>
    <w:rsid w:val="008737F9"/>
    <w:rsid w:val="00874545"/>
    <w:rsid w:val="008745A8"/>
    <w:rsid w:val="00874605"/>
    <w:rsid w:val="00876FF7"/>
    <w:rsid w:val="00877749"/>
    <w:rsid w:val="00880D55"/>
    <w:rsid w:val="00880F24"/>
    <w:rsid w:val="008816BB"/>
    <w:rsid w:val="0088184D"/>
    <w:rsid w:val="0088240C"/>
    <w:rsid w:val="008835B7"/>
    <w:rsid w:val="00884D9B"/>
    <w:rsid w:val="00885C37"/>
    <w:rsid w:val="00890646"/>
    <w:rsid w:val="00895137"/>
    <w:rsid w:val="00895ABD"/>
    <w:rsid w:val="00897BE3"/>
    <w:rsid w:val="008A056F"/>
    <w:rsid w:val="008A125D"/>
    <w:rsid w:val="008A178C"/>
    <w:rsid w:val="008A2A8D"/>
    <w:rsid w:val="008A55EE"/>
    <w:rsid w:val="008A650C"/>
    <w:rsid w:val="008B096B"/>
    <w:rsid w:val="008B1543"/>
    <w:rsid w:val="008B15C6"/>
    <w:rsid w:val="008B17CF"/>
    <w:rsid w:val="008B2147"/>
    <w:rsid w:val="008B2B70"/>
    <w:rsid w:val="008B3D4E"/>
    <w:rsid w:val="008B41CE"/>
    <w:rsid w:val="008B4821"/>
    <w:rsid w:val="008B65D3"/>
    <w:rsid w:val="008B77C8"/>
    <w:rsid w:val="008B7C22"/>
    <w:rsid w:val="008C241F"/>
    <w:rsid w:val="008C300C"/>
    <w:rsid w:val="008D1658"/>
    <w:rsid w:val="008D2713"/>
    <w:rsid w:val="008D2DA9"/>
    <w:rsid w:val="008D307B"/>
    <w:rsid w:val="008D3796"/>
    <w:rsid w:val="008D3984"/>
    <w:rsid w:val="008D3A77"/>
    <w:rsid w:val="008D4724"/>
    <w:rsid w:val="008D50EB"/>
    <w:rsid w:val="008D557E"/>
    <w:rsid w:val="008D595A"/>
    <w:rsid w:val="008D5B9A"/>
    <w:rsid w:val="008D7E80"/>
    <w:rsid w:val="008E1440"/>
    <w:rsid w:val="008E50ED"/>
    <w:rsid w:val="008E6D3F"/>
    <w:rsid w:val="008E6D67"/>
    <w:rsid w:val="008F2ACF"/>
    <w:rsid w:val="008F2B5C"/>
    <w:rsid w:val="008F37EF"/>
    <w:rsid w:val="008F770C"/>
    <w:rsid w:val="00900D86"/>
    <w:rsid w:val="0090198B"/>
    <w:rsid w:val="0090330E"/>
    <w:rsid w:val="00905385"/>
    <w:rsid w:val="00906CA5"/>
    <w:rsid w:val="00907782"/>
    <w:rsid w:val="009127B7"/>
    <w:rsid w:val="00912AEE"/>
    <w:rsid w:val="009141B9"/>
    <w:rsid w:val="009163AA"/>
    <w:rsid w:val="009200C0"/>
    <w:rsid w:val="0092030B"/>
    <w:rsid w:val="009212F4"/>
    <w:rsid w:val="00921936"/>
    <w:rsid w:val="009226A8"/>
    <w:rsid w:val="00922D01"/>
    <w:rsid w:val="00923993"/>
    <w:rsid w:val="00926D48"/>
    <w:rsid w:val="009275D4"/>
    <w:rsid w:val="00927B72"/>
    <w:rsid w:val="00927F52"/>
    <w:rsid w:val="00931121"/>
    <w:rsid w:val="009332D2"/>
    <w:rsid w:val="00934BB8"/>
    <w:rsid w:val="00934F2F"/>
    <w:rsid w:val="00935B4B"/>
    <w:rsid w:val="00936B50"/>
    <w:rsid w:val="00937DD1"/>
    <w:rsid w:val="00940049"/>
    <w:rsid w:val="009403BF"/>
    <w:rsid w:val="00940717"/>
    <w:rsid w:val="00942221"/>
    <w:rsid w:val="00942BA4"/>
    <w:rsid w:val="0094426D"/>
    <w:rsid w:val="0094528B"/>
    <w:rsid w:val="00945504"/>
    <w:rsid w:val="00946A2D"/>
    <w:rsid w:val="00947D19"/>
    <w:rsid w:val="00950852"/>
    <w:rsid w:val="00951D08"/>
    <w:rsid w:val="00953188"/>
    <w:rsid w:val="00953AEB"/>
    <w:rsid w:val="009547BA"/>
    <w:rsid w:val="00954BBF"/>
    <w:rsid w:val="00955DEC"/>
    <w:rsid w:val="009564AD"/>
    <w:rsid w:val="00957D26"/>
    <w:rsid w:val="009605C0"/>
    <w:rsid w:val="00960BA7"/>
    <w:rsid w:val="00962441"/>
    <w:rsid w:val="00962792"/>
    <w:rsid w:val="0096336E"/>
    <w:rsid w:val="00964E72"/>
    <w:rsid w:val="00966148"/>
    <w:rsid w:val="00966467"/>
    <w:rsid w:val="00966DFE"/>
    <w:rsid w:val="009703F8"/>
    <w:rsid w:val="00971251"/>
    <w:rsid w:val="009743FC"/>
    <w:rsid w:val="00974FAA"/>
    <w:rsid w:val="00977600"/>
    <w:rsid w:val="00977895"/>
    <w:rsid w:val="00981032"/>
    <w:rsid w:val="009821BC"/>
    <w:rsid w:val="00983F25"/>
    <w:rsid w:val="00990DFE"/>
    <w:rsid w:val="0099134A"/>
    <w:rsid w:val="00992712"/>
    <w:rsid w:val="00993DDF"/>
    <w:rsid w:val="009946E5"/>
    <w:rsid w:val="009948A5"/>
    <w:rsid w:val="009971B5"/>
    <w:rsid w:val="0099744D"/>
    <w:rsid w:val="00997D2A"/>
    <w:rsid w:val="009A18AC"/>
    <w:rsid w:val="009A1F24"/>
    <w:rsid w:val="009A2D2F"/>
    <w:rsid w:val="009A3EDF"/>
    <w:rsid w:val="009A5974"/>
    <w:rsid w:val="009A59A1"/>
    <w:rsid w:val="009A7282"/>
    <w:rsid w:val="009A7D63"/>
    <w:rsid w:val="009B0A8D"/>
    <w:rsid w:val="009B16E7"/>
    <w:rsid w:val="009B18A6"/>
    <w:rsid w:val="009B2563"/>
    <w:rsid w:val="009B3CFD"/>
    <w:rsid w:val="009B69C8"/>
    <w:rsid w:val="009C05B7"/>
    <w:rsid w:val="009C2689"/>
    <w:rsid w:val="009C46B9"/>
    <w:rsid w:val="009C4F7C"/>
    <w:rsid w:val="009C65A2"/>
    <w:rsid w:val="009D2DED"/>
    <w:rsid w:val="009D3253"/>
    <w:rsid w:val="009D4474"/>
    <w:rsid w:val="009D60C5"/>
    <w:rsid w:val="009D6E3B"/>
    <w:rsid w:val="009E0C44"/>
    <w:rsid w:val="009E208E"/>
    <w:rsid w:val="009E2B73"/>
    <w:rsid w:val="009E2F65"/>
    <w:rsid w:val="009E36CF"/>
    <w:rsid w:val="009E454E"/>
    <w:rsid w:val="009E4E43"/>
    <w:rsid w:val="009E67D7"/>
    <w:rsid w:val="009F4AB5"/>
    <w:rsid w:val="009F64F7"/>
    <w:rsid w:val="009F69A7"/>
    <w:rsid w:val="009F7B86"/>
    <w:rsid w:val="00A00073"/>
    <w:rsid w:val="00A01133"/>
    <w:rsid w:val="00A01B46"/>
    <w:rsid w:val="00A01E15"/>
    <w:rsid w:val="00A03A70"/>
    <w:rsid w:val="00A04881"/>
    <w:rsid w:val="00A0525D"/>
    <w:rsid w:val="00A06E55"/>
    <w:rsid w:val="00A071C6"/>
    <w:rsid w:val="00A10053"/>
    <w:rsid w:val="00A10A0B"/>
    <w:rsid w:val="00A11CC6"/>
    <w:rsid w:val="00A12528"/>
    <w:rsid w:val="00A13031"/>
    <w:rsid w:val="00A131DB"/>
    <w:rsid w:val="00A13408"/>
    <w:rsid w:val="00A20B79"/>
    <w:rsid w:val="00A2194F"/>
    <w:rsid w:val="00A24A51"/>
    <w:rsid w:val="00A2551E"/>
    <w:rsid w:val="00A26F79"/>
    <w:rsid w:val="00A2789D"/>
    <w:rsid w:val="00A27B97"/>
    <w:rsid w:val="00A30136"/>
    <w:rsid w:val="00A3060D"/>
    <w:rsid w:val="00A30A4D"/>
    <w:rsid w:val="00A317FB"/>
    <w:rsid w:val="00A33DA2"/>
    <w:rsid w:val="00A351DB"/>
    <w:rsid w:val="00A35365"/>
    <w:rsid w:val="00A359AB"/>
    <w:rsid w:val="00A35C51"/>
    <w:rsid w:val="00A37907"/>
    <w:rsid w:val="00A37C92"/>
    <w:rsid w:val="00A40107"/>
    <w:rsid w:val="00A4093D"/>
    <w:rsid w:val="00A40A8E"/>
    <w:rsid w:val="00A410E4"/>
    <w:rsid w:val="00A43267"/>
    <w:rsid w:val="00A458FE"/>
    <w:rsid w:val="00A45A83"/>
    <w:rsid w:val="00A4714E"/>
    <w:rsid w:val="00A475C9"/>
    <w:rsid w:val="00A47785"/>
    <w:rsid w:val="00A50C20"/>
    <w:rsid w:val="00A50CEC"/>
    <w:rsid w:val="00A51101"/>
    <w:rsid w:val="00A5132B"/>
    <w:rsid w:val="00A5202E"/>
    <w:rsid w:val="00A52D70"/>
    <w:rsid w:val="00A53715"/>
    <w:rsid w:val="00A57DB4"/>
    <w:rsid w:val="00A6282C"/>
    <w:rsid w:val="00A64120"/>
    <w:rsid w:val="00A64CC5"/>
    <w:rsid w:val="00A7039A"/>
    <w:rsid w:val="00A711EF"/>
    <w:rsid w:val="00A73AAF"/>
    <w:rsid w:val="00A74A9A"/>
    <w:rsid w:val="00A74D29"/>
    <w:rsid w:val="00A758A1"/>
    <w:rsid w:val="00A77F4B"/>
    <w:rsid w:val="00A81A1E"/>
    <w:rsid w:val="00A824C0"/>
    <w:rsid w:val="00A827B0"/>
    <w:rsid w:val="00A83C19"/>
    <w:rsid w:val="00A85F25"/>
    <w:rsid w:val="00A875A1"/>
    <w:rsid w:val="00A877F2"/>
    <w:rsid w:val="00A932FC"/>
    <w:rsid w:val="00A95092"/>
    <w:rsid w:val="00A951CC"/>
    <w:rsid w:val="00A955B4"/>
    <w:rsid w:val="00A960DA"/>
    <w:rsid w:val="00A96AD1"/>
    <w:rsid w:val="00A96C88"/>
    <w:rsid w:val="00A9731D"/>
    <w:rsid w:val="00A97392"/>
    <w:rsid w:val="00AA2B8A"/>
    <w:rsid w:val="00AA3429"/>
    <w:rsid w:val="00AA4563"/>
    <w:rsid w:val="00AA47DA"/>
    <w:rsid w:val="00AA5A06"/>
    <w:rsid w:val="00AA6384"/>
    <w:rsid w:val="00AA77F4"/>
    <w:rsid w:val="00AA78EF"/>
    <w:rsid w:val="00AA7E1D"/>
    <w:rsid w:val="00AA7EF0"/>
    <w:rsid w:val="00AB0236"/>
    <w:rsid w:val="00AB0688"/>
    <w:rsid w:val="00AB12DD"/>
    <w:rsid w:val="00AB3962"/>
    <w:rsid w:val="00AB5BB6"/>
    <w:rsid w:val="00AB6668"/>
    <w:rsid w:val="00AB69E1"/>
    <w:rsid w:val="00AB762B"/>
    <w:rsid w:val="00AB7979"/>
    <w:rsid w:val="00AC1AF9"/>
    <w:rsid w:val="00AC1B87"/>
    <w:rsid w:val="00AC1DB9"/>
    <w:rsid w:val="00AC2429"/>
    <w:rsid w:val="00AC3B0B"/>
    <w:rsid w:val="00AC5544"/>
    <w:rsid w:val="00AC72BD"/>
    <w:rsid w:val="00AC72EB"/>
    <w:rsid w:val="00AD0C72"/>
    <w:rsid w:val="00AD0F17"/>
    <w:rsid w:val="00AD10B2"/>
    <w:rsid w:val="00AD148B"/>
    <w:rsid w:val="00AD4D6C"/>
    <w:rsid w:val="00AD51FC"/>
    <w:rsid w:val="00AD6601"/>
    <w:rsid w:val="00AD7DAA"/>
    <w:rsid w:val="00AE07F6"/>
    <w:rsid w:val="00AE1EC4"/>
    <w:rsid w:val="00AE292C"/>
    <w:rsid w:val="00AE2DD0"/>
    <w:rsid w:val="00AE4139"/>
    <w:rsid w:val="00AE4812"/>
    <w:rsid w:val="00AE6C7E"/>
    <w:rsid w:val="00AE7839"/>
    <w:rsid w:val="00AF1300"/>
    <w:rsid w:val="00AF28F9"/>
    <w:rsid w:val="00AF332A"/>
    <w:rsid w:val="00AF34BC"/>
    <w:rsid w:val="00AF4A85"/>
    <w:rsid w:val="00AF5310"/>
    <w:rsid w:val="00AF6075"/>
    <w:rsid w:val="00AF710C"/>
    <w:rsid w:val="00B01024"/>
    <w:rsid w:val="00B055DA"/>
    <w:rsid w:val="00B05D17"/>
    <w:rsid w:val="00B076A9"/>
    <w:rsid w:val="00B103D1"/>
    <w:rsid w:val="00B10E21"/>
    <w:rsid w:val="00B1156B"/>
    <w:rsid w:val="00B125F5"/>
    <w:rsid w:val="00B14A4D"/>
    <w:rsid w:val="00B16970"/>
    <w:rsid w:val="00B169EA"/>
    <w:rsid w:val="00B17C38"/>
    <w:rsid w:val="00B206CA"/>
    <w:rsid w:val="00B21EFE"/>
    <w:rsid w:val="00B231A7"/>
    <w:rsid w:val="00B24D14"/>
    <w:rsid w:val="00B309F7"/>
    <w:rsid w:val="00B30D6B"/>
    <w:rsid w:val="00B34405"/>
    <w:rsid w:val="00B35D57"/>
    <w:rsid w:val="00B36810"/>
    <w:rsid w:val="00B36891"/>
    <w:rsid w:val="00B370AC"/>
    <w:rsid w:val="00B423A1"/>
    <w:rsid w:val="00B43756"/>
    <w:rsid w:val="00B441FF"/>
    <w:rsid w:val="00B44C28"/>
    <w:rsid w:val="00B44E59"/>
    <w:rsid w:val="00B44E8C"/>
    <w:rsid w:val="00B4569E"/>
    <w:rsid w:val="00B47088"/>
    <w:rsid w:val="00B47A6F"/>
    <w:rsid w:val="00B47B9C"/>
    <w:rsid w:val="00B51AF6"/>
    <w:rsid w:val="00B52070"/>
    <w:rsid w:val="00B53A3D"/>
    <w:rsid w:val="00B5634B"/>
    <w:rsid w:val="00B56FFF"/>
    <w:rsid w:val="00B5751C"/>
    <w:rsid w:val="00B57C1B"/>
    <w:rsid w:val="00B62607"/>
    <w:rsid w:val="00B65095"/>
    <w:rsid w:val="00B667C5"/>
    <w:rsid w:val="00B66E50"/>
    <w:rsid w:val="00B67EFE"/>
    <w:rsid w:val="00B70665"/>
    <w:rsid w:val="00B70D76"/>
    <w:rsid w:val="00B715C1"/>
    <w:rsid w:val="00B769DE"/>
    <w:rsid w:val="00B83569"/>
    <w:rsid w:val="00B8597A"/>
    <w:rsid w:val="00B87626"/>
    <w:rsid w:val="00B90B86"/>
    <w:rsid w:val="00B90EEC"/>
    <w:rsid w:val="00B92906"/>
    <w:rsid w:val="00B93BEF"/>
    <w:rsid w:val="00B93C4A"/>
    <w:rsid w:val="00B943F5"/>
    <w:rsid w:val="00B95667"/>
    <w:rsid w:val="00B96487"/>
    <w:rsid w:val="00BA25AD"/>
    <w:rsid w:val="00BA2FA4"/>
    <w:rsid w:val="00BA3E85"/>
    <w:rsid w:val="00BA5008"/>
    <w:rsid w:val="00BA50D9"/>
    <w:rsid w:val="00BA592B"/>
    <w:rsid w:val="00BA60EE"/>
    <w:rsid w:val="00BA620A"/>
    <w:rsid w:val="00BA7399"/>
    <w:rsid w:val="00BA7CDB"/>
    <w:rsid w:val="00BA7E6E"/>
    <w:rsid w:val="00BB27AE"/>
    <w:rsid w:val="00BB2972"/>
    <w:rsid w:val="00BB38C5"/>
    <w:rsid w:val="00BB45A0"/>
    <w:rsid w:val="00BB4622"/>
    <w:rsid w:val="00BB59F2"/>
    <w:rsid w:val="00BB6B3B"/>
    <w:rsid w:val="00BC013B"/>
    <w:rsid w:val="00BC103E"/>
    <w:rsid w:val="00BC1BF0"/>
    <w:rsid w:val="00BC6990"/>
    <w:rsid w:val="00BC6A02"/>
    <w:rsid w:val="00BC6D61"/>
    <w:rsid w:val="00BC6EB7"/>
    <w:rsid w:val="00BC7460"/>
    <w:rsid w:val="00BC7DF4"/>
    <w:rsid w:val="00BC7F74"/>
    <w:rsid w:val="00BD0642"/>
    <w:rsid w:val="00BD0993"/>
    <w:rsid w:val="00BD33C9"/>
    <w:rsid w:val="00BD3638"/>
    <w:rsid w:val="00BD3F89"/>
    <w:rsid w:val="00BD678E"/>
    <w:rsid w:val="00BD7E3C"/>
    <w:rsid w:val="00BE0204"/>
    <w:rsid w:val="00BE0C28"/>
    <w:rsid w:val="00BE1651"/>
    <w:rsid w:val="00BE2BDF"/>
    <w:rsid w:val="00BE330F"/>
    <w:rsid w:val="00BE38C0"/>
    <w:rsid w:val="00BE56D9"/>
    <w:rsid w:val="00BE601F"/>
    <w:rsid w:val="00BE7151"/>
    <w:rsid w:val="00BF334F"/>
    <w:rsid w:val="00BF4811"/>
    <w:rsid w:val="00BF4B95"/>
    <w:rsid w:val="00BF5469"/>
    <w:rsid w:val="00BF6A4B"/>
    <w:rsid w:val="00BF719E"/>
    <w:rsid w:val="00BF7977"/>
    <w:rsid w:val="00C01348"/>
    <w:rsid w:val="00C0181D"/>
    <w:rsid w:val="00C022EE"/>
    <w:rsid w:val="00C02767"/>
    <w:rsid w:val="00C048A1"/>
    <w:rsid w:val="00C10B2D"/>
    <w:rsid w:val="00C11621"/>
    <w:rsid w:val="00C127E7"/>
    <w:rsid w:val="00C162F3"/>
    <w:rsid w:val="00C16565"/>
    <w:rsid w:val="00C17412"/>
    <w:rsid w:val="00C207D0"/>
    <w:rsid w:val="00C2141D"/>
    <w:rsid w:val="00C22402"/>
    <w:rsid w:val="00C24373"/>
    <w:rsid w:val="00C24957"/>
    <w:rsid w:val="00C24F4D"/>
    <w:rsid w:val="00C255C3"/>
    <w:rsid w:val="00C255F3"/>
    <w:rsid w:val="00C26D24"/>
    <w:rsid w:val="00C27B95"/>
    <w:rsid w:val="00C27BB9"/>
    <w:rsid w:val="00C313C8"/>
    <w:rsid w:val="00C31DCE"/>
    <w:rsid w:val="00C3304A"/>
    <w:rsid w:val="00C35B20"/>
    <w:rsid w:val="00C35CAE"/>
    <w:rsid w:val="00C37971"/>
    <w:rsid w:val="00C405DE"/>
    <w:rsid w:val="00C40BBE"/>
    <w:rsid w:val="00C412BF"/>
    <w:rsid w:val="00C41FAA"/>
    <w:rsid w:val="00C43BC2"/>
    <w:rsid w:val="00C456F3"/>
    <w:rsid w:val="00C45F20"/>
    <w:rsid w:val="00C46AFB"/>
    <w:rsid w:val="00C47392"/>
    <w:rsid w:val="00C5211E"/>
    <w:rsid w:val="00C52408"/>
    <w:rsid w:val="00C544F7"/>
    <w:rsid w:val="00C54D60"/>
    <w:rsid w:val="00C5680A"/>
    <w:rsid w:val="00C570A8"/>
    <w:rsid w:val="00C616B7"/>
    <w:rsid w:val="00C61F30"/>
    <w:rsid w:val="00C62D90"/>
    <w:rsid w:val="00C62D96"/>
    <w:rsid w:val="00C65492"/>
    <w:rsid w:val="00C6661B"/>
    <w:rsid w:val="00C66EC1"/>
    <w:rsid w:val="00C6720F"/>
    <w:rsid w:val="00C707B1"/>
    <w:rsid w:val="00C70DB6"/>
    <w:rsid w:val="00C70E1A"/>
    <w:rsid w:val="00C70FF1"/>
    <w:rsid w:val="00C73CA1"/>
    <w:rsid w:val="00C746BE"/>
    <w:rsid w:val="00C76C17"/>
    <w:rsid w:val="00C773AF"/>
    <w:rsid w:val="00C80764"/>
    <w:rsid w:val="00C80C9B"/>
    <w:rsid w:val="00C812EA"/>
    <w:rsid w:val="00C84B5A"/>
    <w:rsid w:val="00C87A46"/>
    <w:rsid w:val="00C87EBC"/>
    <w:rsid w:val="00C90326"/>
    <w:rsid w:val="00C90927"/>
    <w:rsid w:val="00C90AAD"/>
    <w:rsid w:val="00C90B64"/>
    <w:rsid w:val="00C90FB6"/>
    <w:rsid w:val="00C923C2"/>
    <w:rsid w:val="00C9575F"/>
    <w:rsid w:val="00C97852"/>
    <w:rsid w:val="00C97B6B"/>
    <w:rsid w:val="00CA0454"/>
    <w:rsid w:val="00CA105E"/>
    <w:rsid w:val="00CA1631"/>
    <w:rsid w:val="00CA619B"/>
    <w:rsid w:val="00CA6319"/>
    <w:rsid w:val="00CA6583"/>
    <w:rsid w:val="00CA6F6C"/>
    <w:rsid w:val="00CA7414"/>
    <w:rsid w:val="00CA794A"/>
    <w:rsid w:val="00CA7A20"/>
    <w:rsid w:val="00CB3AB2"/>
    <w:rsid w:val="00CB6536"/>
    <w:rsid w:val="00CB6CAA"/>
    <w:rsid w:val="00CC0684"/>
    <w:rsid w:val="00CC0DB2"/>
    <w:rsid w:val="00CC1C6D"/>
    <w:rsid w:val="00CC1D2D"/>
    <w:rsid w:val="00CC6D98"/>
    <w:rsid w:val="00CC731D"/>
    <w:rsid w:val="00CC7C05"/>
    <w:rsid w:val="00CD07F7"/>
    <w:rsid w:val="00CD1BAF"/>
    <w:rsid w:val="00CD3AAA"/>
    <w:rsid w:val="00CD69E1"/>
    <w:rsid w:val="00CD7A6A"/>
    <w:rsid w:val="00CE0105"/>
    <w:rsid w:val="00CE053B"/>
    <w:rsid w:val="00CE1A83"/>
    <w:rsid w:val="00CE1EF9"/>
    <w:rsid w:val="00CE4D9E"/>
    <w:rsid w:val="00CE6F35"/>
    <w:rsid w:val="00CE71DF"/>
    <w:rsid w:val="00CE7289"/>
    <w:rsid w:val="00CE7979"/>
    <w:rsid w:val="00CE79DF"/>
    <w:rsid w:val="00CF2175"/>
    <w:rsid w:val="00CF3D56"/>
    <w:rsid w:val="00CF57BE"/>
    <w:rsid w:val="00CF6FF5"/>
    <w:rsid w:val="00CF750C"/>
    <w:rsid w:val="00D00D23"/>
    <w:rsid w:val="00D00DA4"/>
    <w:rsid w:val="00D01628"/>
    <w:rsid w:val="00D02F12"/>
    <w:rsid w:val="00D10051"/>
    <w:rsid w:val="00D119AE"/>
    <w:rsid w:val="00D13D8C"/>
    <w:rsid w:val="00D152FF"/>
    <w:rsid w:val="00D15E69"/>
    <w:rsid w:val="00D179BA"/>
    <w:rsid w:val="00D17C0E"/>
    <w:rsid w:val="00D20012"/>
    <w:rsid w:val="00D204C2"/>
    <w:rsid w:val="00D21C2E"/>
    <w:rsid w:val="00D22122"/>
    <w:rsid w:val="00D22631"/>
    <w:rsid w:val="00D22A12"/>
    <w:rsid w:val="00D24109"/>
    <w:rsid w:val="00D25D8B"/>
    <w:rsid w:val="00D2714E"/>
    <w:rsid w:val="00D27475"/>
    <w:rsid w:val="00D276EE"/>
    <w:rsid w:val="00D27C4F"/>
    <w:rsid w:val="00D3082B"/>
    <w:rsid w:val="00D30E1E"/>
    <w:rsid w:val="00D3149C"/>
    <w:rsid w:val="00D315C0"/>
    <w:rsid w:val="00D3265F"/>
    <w:rsid w:val="00D33592"/>
    <w:rsid w:val="00D33EA8"/>
    <w:rsid w:val="00D342DB"/>
    <w:rsid w:val="00D34632"/>
    <w:rsid w:val="00D402AF"/>
    <w:rsid w:val="00D404DC"/>
    <w:rsid w:val="00D40D19"/>
    <w:rsid w:val="00D40F61"/>
    <w:rsid w:val="00D41811"/>
    <w:rsid w:val="00D4204D"/>
    <w:rsid w:val="00D44588"/>
    <w:rsid w:val="00D44C6D"/>
    <w:rsid w:val="00D46BF8"/>
    <w:rsid w:val="00D47AF6"/>
    <w:rsid w:val="00D51AD0"/>
    <w:rsid w:val="00D543A7"/>
    <w:rsid w:val="00D54A6F"/>
    <w:rsid w:val="00D54A7F"/>
    <w:rsid w:val="00D56F31"/>
    <w:rsid w:val="00D57025"/>
    <w:rsid w:val="00D57679"/>
    <w:rsid w:val="00D62DB5"/>
    <w:rsid w:val="00D6398F"/>
    <w:rsid w:val="00D64DCC"/>
    <w:rsid w:val="00D6519D"/>
    <w:rsid w:val="00D65AA2"/>
    <w:rsid w:val="00D7061E"/>
    <w:rsid w:val="00D7112F"/>
    <w:rsid w:val="00D715CA"/>
    <w:rsid w:val="00D72671"/>
    <w:rsid w:val="00D72DC4"/>
    <w:rsid w:val="00D74BEE"/>
    <w:rsid w:val="00D76E06"/>
    <w:rsid w:val="00D76FCA"/>
    <w:rsid w:val="00D77133"/>
    <w:rsid w:val="00D77379"/>
    <w:rsid w:val="00D7769A"/>
    <w:rsid w:val="00D81F4D"/>
    <w:rsid w:val="00D82562"/>
    <w:rsid w:val="00D83726"/>
    <w:rsid w:val="00D840B4"/>
    <w:rsid w:val="00D858E3"/>
    <w:rsid w:val="00D85DD6"/>
    <w:rsid w:val="00D86297"/>
    <w:rsid w:val="00D87500"/>
    <w:rsid w:val="00D8766F"/>
    <w:rsid w:val="00D9104F"/>
    <w:rsid w:val="00D93F70"/>
    <w:rsid w:val="00D947D8"/>
    <w:rsid w:val="00D95DBF"/>
    <w:rsid w:val="00D965C4"/>
    <w:rsid w:val="00D96AEB"/>
    <w:rsid w:val="00DA345B"/>
    <w:rsid w:val="00DA3897"/>
    <w:rsid w:val="00DA4F92"/>
    <w:rsid w:val="00DA5777"/>
    <w:rsid w:val="00DA6E8D"/>
    <w:rsid w:val="00DA738D"/>
    <w:rsid w:val="00DA78A3"/>
    <w:rsid w:val="00DB14BE"/>
    <w:rsid w:val="00DB187B"/>
    <w:rsid w:val="00DB295A"/>
    <w:rsid w:val="00DB3580"/>
    <w:rsid w:val="00DB4086"/>
    <w:rsid w:val="00DC0586"/>
    <w:rsid w:val="00DC0BE8"/>
    <w:rsid w:val="00DC114F"/>
    <w:rsid w:val="00DC11E1"/>
    <w:rsid w:val="00DC2C02"/>
    <w:rsid w:val="00DC390C"/>
    <w:rsid w:val="00DC5205"/>
    <w:rsid w:val="00DC64C4"/>
    <w:rsid w:val="00DC73B8"/>
    <w:rsid w:val="00DC7623"/>
    <w:rsid w:val="00DC7EA4"/>
    <w:rsid w:val="00DD0425"/>
    <w:rsid w:val="00DD049A"/>
    <w:rsid w:val="00DD0678"/>
    <w:rsid w:val="00DD137E"/>
    <w:rsid w:val="00DD20B6"/>
    <w:rsid w:val="00DD2741"/>
    <w:rsid w:val="00DD61F1"/>
    <w:rsid w:val="00DD6D6A"/>
    <w:rsid w:val="00DE15A9"/>
    <w:rsid w:val="00DE174A"/>
    <w:rsid w:val="00DE229C"/>
    <w:rsid w:val="00DE41EA"/>
    <w:rsid w:val="00DE4C88"/>
    <w:rsid w:val="00DE4CD3"/>
    <w:rsid w:val="00DE5BB6"/>
    <w:rsid w:val="00DE6862"/>
    <w:rsid w:val="00DE73D7"/>
    <w:rsid w:val="00DE76AA"/>
    <w:rsid w:val="00DE7C7A"/>
    <w:rsid w:val="00DF02E0"/>
    <w:rsid w:val="00DF04CD"/>
    <w:rsid w:val="00DF1603"/>
    <w:rsid w:val="00DF2245"/>
    <w:rsid w:val="00DF255A"/>
    <w:rsid w:val="00DF38E3"/>
    <w:rsid w:val="00DF674E"/>
    <w:rsid w:val="00DF7A44"/>
    <w:rsid w:val="00E00052"/>
    <w:rsid w:val="00E00B9A"/>
    <w:rsid w:val="00E00B9D"/>
    <w:rsid w:val="00E012BF"/>
    <w:rsid w:val="00E02041"/>
    <w:rsid w:val="00E04FF0"/>
    <w:rsid w:val="00E05701"/>
    <w:rsid w:val="00E06DC2"/>
    <w:rsid w:val="00E105AB"/>
    <w:rsid w:val="00E10879"/>
    <w:rsid w:val="00E109CB"/>
    <w:rsid w:val="00E155A1"/>
    <w:rsid w:val="00E16058"/>
    <w:rsid w:val="00E16896"/>
    <w:rsid w:val="00E20160"/>
    <w:rsid w:val="00E20C17"/>
    <w:rsid w:val="00E20D40"/>
    <w:rsid w:val="00E219D5"/>
    <w:rsid w:val="00E22862"/>
    <w:rsid w:val="00E239D1"/>
    <w:rsid w:val="00E26872"/>
    <w:rsid w:val="00E27BD3"/>
    <w:rsid w:val="00E27CB2"/>
    <w:rsid w:val="00E30293"/>
    <w:rsid w:val="00E31FE9"/>
    <w:rsid w:val="00E33360"/>
    <w:rsid w:val="00E35BBD"/>
    <w:rsid w:val="00E35BCC"/>
    <w:rsid w:val="00E3752E"/>
    <w:rsid w:val="00E41FE0"/>
    <w:rsid w:val="00E435E6"/>
    <w:rsid w:val="00E43F44"/>
    <w:rsid w:val="00E4457D"/>
    <w:rsid w:val="00E4470B"/>
    <w:rsid w:val="00E44712"/>
    <w:rsid w:val="00E544FE"/>
    <w:rsid w:val="00E553AF"/>
    <w:rsid w:val="00E55531"/>
    <w:rsid w:val="00E57462"/>
    <w:rsid w:val="00E60C61"/>
    <w:rsid w:val="00E6301D"/>
    <w:rsid w:val="00E63152"/>
    <w:rsid w:val="00E63AF2"/>
    <w:rsid w:val="00E63CAB"/>
    <w:rsid w:val="00E67A1A"/>
    <w:rsid w:val="00E70374"/>
    <w:rsid w:val="00E71503"/>
    <w:rsid w:val="00E727DD"/>
    <w:rsid w:val="00E73A08"/>
    <w:rsid w:val="00E73A48"/>
    <w:rsid w:val="00E74968"/>
    <w:rsid w:val="00E75871"/>
    <w:rsid w:val="00E77371"/>
    <w:rsid w:val="00E77437"/>
    <w:rsid w:val="00E805DE"/>
    <w:rsid w:val="00E81300"/>
    <w:rsid w:val="00E83C52"/>
    <w:rsid w:val="00E840EA"/>
    <w:rsid w:val="00E84DFB"/>
    <w:rsid w:val="00E85ABC"/>
    <w:rsid w:val="00E85FEC"/>
    <w:rsid w:val="00E86B80"/>
    <w:rsid w:val="00E8719A"/>
    <w:rsid w:val="00E87313"/>
    <w:rsid w:val="00E91B98"/>
    <w:rsid w:val="00E92778"/>
    <w:rsid w:val="00E9657F"/>
    <w:rsid w:val="00EA047E"/>
    <w:rsid w:val="00EA0D3A"/>
    <w:rsid w:val="00EA0DB6"/>
    <w:rsid w:val="00EA2BCB"/>
    <w:rsid w:val="00EA77A9"/>
    <w:rsid w:val="00EB039A"/>
    <w:rsid w:val="00EB1006"/>
    <w:rsid w:val="00EB1CBB"/>
    <w:rsid w:val="00EB208E"/>
    <w:rsid w:val="00EB3A5C"/>
    <w:rsid w:val="00EB3B1D"/>
    <w:rsid w:val="00EB3D66"/>
    <w:rsid w:val="00EB40AA"/>
    <w:rsid w:val="00EB562B"/>
    <w:rsid w:val="00EB571F"/>
    <w:rsid w:val="00EB5838"/>
    <w:rsid w:val="00EB6320"/>
    <w:rsid w:val="00EB6C1C"/>
    <w:rsid w:val="00EB7109"/>
    <w:rsid w:val="00EB765F"/>
    <w:rsid w:val="00EC43D5"/>
    <w:rsid w:val="00EC52CC"/>
    <w:rsid w:val="00EC580D"/>
    <w:rsid w:val="00EC580F"/>
    <w:rsid w:val="00EC7F81"/>
    <w:rsid w:val="00ED026D"/>
    <w:rsid w:val="00ED063C"/>
    <w:rsid w:val="00ED1EAD"/>
    <w:rsid w:val="00ED216C"/>
    <w:rsid w:val="00ED22F9"/>
    <w:rsid w:val="00ED3B17"/>
    <w:rsid w:val="00ED3D7E"/>
    <w:rsid w:val="00ED3EBA"/>
    <w:rsid w:val="00ED45D9"/>
    <w:rsid w:val="00ED4730"/>
    <w:rsid w:val="00ED49DF"/>
    <w:rsid w:val="00ED69CA"/>
    <w:rsid w:val="00EE2DDD"/>
    <w:rsid w:val="00EE2E7B"/>
    <w:rsid w:val="00EE3F51"/>
    <w:rsid w:val="00EE48D0"/>
    <w:rsid w:val="00EE5406"/>
    <w:rsid w:val="00EF0326"/>
    <w:rsid w:val="00EF1DB1"/>
    <w:rsid w:val="00EF27D4"/>
    <w:rsid w:val="00EF3206"/>
    <w:rsid w:val="00EF449B"/>
    <w:rsid w:val="00EF5E85"/>
    <w:rsid w:val="00EF62C5"/>
    <w:rsid w:val="00EF6FD1"/>
    <w:rsid w:val="00F001B3"/>
    <w:rsid w:val="00F01889"/>
    <w:rsid w:val="00F028ED"/>
    <w:rsid w:val="00F029E6"/>
    <w:rsid w:val="00F038F5"/>
    <w:rsid w:val="00F05F45"/>
    <w:rsid w:val="00F063F0"/>
    <w:rsid w:val="00F070F2"/>
    <w:rsid w:val="00F07D1F"/>
    <w:rsid w:val="00F1196B"/>
    <w:rsid w:val="00F11C52"/>
    <w:rsid w:val="00F1258C"/>
    <w:rsid w:val="00F12FD7"/>
    <w:rsid w:val="00F14CB3"/>
    <w:rsid w:val="00F14E39"/>
    <w:rsid w:val="00F177D6"/>
    <w:rsid w:val="00F179D7"/>
    <w:rsid w:val="00F17D1D"/>
    <w:rsid w:val="00F2045F"/>
    <w:rsid w:val="00F2057B"/>
    <w:rsid w:val="00F22EC5"/>
    <w:rsid w:val="00F23FE2"/>
    <w:rsid w:val="00F24FEF"/>
    <w:rsid w:val="00F25275"/>
    <w:rsid w:val="00F2626B"/>
    <w:rsid w:val="00F26A07"/>
    <w:rsid w:val="00F26A8B"/>
    <w:rsid w:val="00F26FD5"/>
    <w:rsid w:val="00F27B25"/>
    <w:rsid w:val="00F27CD3"/>
    <w:rsid w:val="00F3021A"/>
    <w:rsid w:val="00F304F1"/>
    <w:rsid w:val="00F31812"/>
    <w:rsid w:val="00F31F18"/>
    <w:rsid w:val="00F3210F"/>
    <w:rsid w:val="00F32A1A"/>
    <w:rsid w:val="00F32E98"/>
    <w:rsid w:val="00F34A52"/>
    <w:rsid w:val="00F354EE"/>
    <w:rsid w:val="00F371D0"/>
    <w:rsid w:val="00F414DE"/>
    <w:rsid w:val="00F444DF"/>
    <w:rsid w:val="00F44594"/>
    <w:rsid w:val="00F46E57"/>
    <w:rsid w:val="00F47223"/>
    <w:rsid w:val="00F50097"/>
    <w:rsid w:val="00F5010D"/>
    <w:rsid w:val="00F50C89"/>
    <w:rsid w:val="00F50D79"/>
    <w:rsid w:val="00F51EC6"/>
    <w:rsid w:val="00F522F9"/>
    <w:rsid w:val="00F533CF"/>
    <w:rsid w:val="00F551DB"/>
    <w:rsid w:val="00F55981"/>
    <w:rsid w:val="00F60254"/>
    <w:rsid w:val="00F605FD"/>
    <w:rsid w:val="00F60657"/>
    <w:rsid w:val="00F6274C"/>
    <w:rsid w:val="00F62A15"/>
    <w:rsid w:val="00F63B4E"/>
    <w:rsid w:val="00F6478E"/>
    <w:rsid w:val="00F65BAF"/>
    <w:rsid w:val="00F66431"/>
    <w:rsid w:val="00F6686C"/>
    <w:rsid w:val="00F66881"/>
    <w:rsid w:val="00F67CC2"/>
    <w:rsid w:val="00F67E37"/>
    <w:rsid w:val="00F7066E"/>
    <w:rsid w:val="00F70F05"/>
    <w:rsid w:val="00F71F7F"/>
    <w:rsid w:val="00F71F87"/>
    <w:rsid w:val="00F740A7"/>
    <w:rsid w:val="00F775EC"/>
    <w:rsid w:val="00F80960"/>
    <w:rsid w:val="00F8139B"/>
    <w:rsid w:val="00F83BAE"/>
    <w:rsid w:val="00F84A3E"/>
    <w:rsid w:val="00F850C3"/>
    <w:rsid w:val="00F853FF"/>
    <w:rsid w:val="00F8731E"/>
    <w:rsid w:val="00F901E7"/>
    <w:rsid w:val="00F93551"/>
    <w:rsid w:val="00F9477C"/>
    <w:rsid w:val="00F9559D"/>
    <w:rsid w:val="00F97DCD"/>
    <w:rsid w:val="00FA0435"/>
    <w:rsid w:val="00FA0B83"/>
    <w:rsid w:val="00FA14A7"/>
    <w:rsid w:val="00FA16E9"/>
    <w:rsid w:val="00FA1A7C"/>
    <w:rsid w:val="00FA2101"/>
    <w:rsid w:val="00FA2114"/>
    <w:rsid w:val="00FA443F"/>
    <w:rsid w:val="00FA5569"/>
    <w:rsid w:val="00FA6754"/>
    <w:rsid w:val="00FA69AB"/>
    <w:rsid w:val="00FA70BD"/>
    <w:rsid w:val="00FB0461"/>
    <w:rsid w:val="00FB0E87"/>
    <w:rsid w:val="00FB1EFB"/>
    <w:rsid w:val="00FB2865"/>
    <w:rsid w:val="00FB3A50"/>
    <w:rsid w:val="00FB49FE"/>
    <w:rsid w:val="00FB4C07"/>
    <w:rsid w:val="00FB5559"/>
    <w:rsid w:val="00FB595F"/>
    <w:rsid w:val="00FB7707"/>
    <w:rsid w:val="00FB77C5"/>
    <w:rsid w:val="00FC0D0E"/>
    <w:rsid w:val="00FC2249"/>
    <w:rsid w:val="00FC3A2E"/>
    <w:rsid w:val="00FC3C70"/>
    <w:rsid w:val="00FC3D08"/>
    <w:rsid w:val="00FC49BC"/>
    <w:rsid w:val="00FC4A76"/>
    <w:rsid w:val="00FC4E97"/>
    <w:rsid w:val="00FC7443"/>
    <w:rsid w:val="00FD003F"/>
    <w:rsid w:val="00FD18E2"/>
    <w:rsid w:val="00FD1A9F"/>
    <w:rsid w:val="00FD2466"/>
    <w:rsid w:val="00FD2ED9"/>
    <w:rsid w:val="00FD3542"/>
    <w:rsid w:val="00FD522E"/>
    <w:rsid w:val="00FD5A65"/>
    <w:rsid w:val="00FD5B60"/>
    <w:rsid w:val="00FE032B"/>
    <w:rsid w:val="00FE04F5"/>
    <w:rsid w:val="00FE2D67"/>
    <w:rsid w:val="00FE3AD2"/>
    <w:rsid w:val="00FE50C4"/>
    <w:rsid w:val="00FE5969"/>
    <w:rsid w:val="00FE6704"/>
    <w:rsid w:val="00FE7968"/>
    <w:rsid w:val="00FE7B01"/>
    <w:rsid w:val="00FF019C"/>
    <w:rsid w:val="00FF3CAD"/>
    <w:rsid w:val="00FF4813"/>
    <w:rsid w:val="00FF54A6"/>
    <w:rsid w:val="00FF572E"/>
    <w:rsid w:val="00FF6FA0"/>
    <w:rsid w:val="00FF73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0B8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E8"/>
    <w:pPr>
      <w:spacing w:after="0" w:line="240" w:lineRule="auto"/>
    </w:pPr>
    <w:rPr>
      <w:rFonts w:ascii="Times New Roman" w:eastAsia="Times New Roman" w:hAnsi="Times New Roman" w:cs="Times New Roman"/>
      <w:sz w:val="24"/>
      <w:szCs w:val="24"/>
      <w:lang w:eastAsia="en-AU"/>
    </w:rPr>
  </w:style>
  <w:style w:type="paragraph" w:styleId="Heading1">
    <w:name w:val="heading 1"/>
    <w:basedOn w:val="Normal"/>
    <w:next w:val="Normal"/>
    <w:link w:val="Heading1Char"/>
    <w:uiPriority w:val="1"/>
    <w:qFormat/>
    <w:rsid w:val="00114FE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3"/>
    <w:next w:val="Normal"/>
    <w:link w:val="Heading2Char"/>
    <w:uiPriority w:val="9"/>
    <w:unhideWhenUsed/>
    <w:qFormat/>
    <w:rsid w:val="00125D28"/>
    <w:pPr>
      <w:spacing w:before="120" w:after="120" w:line="276" w:lineRule="auto"/>
      <w:outlineLvl w:val="1"/>
    </w:pPr>
    <w:rPr>
      <w:rFonts w:ascii="Cambria" w:hAnsi="Cambria"/>
      <w:b/>
      <w:color w:val="2E74B5" w:themeColor="accent1" w:themeShade="BF"/>
      <w:sz w:val="28"/>
      <w:szCs w:val="28"/>
    </w:rPr>
  </w:style>
  <w:style w:type="paragraph" w:styleId="Heading3">
    <w:name w:val="heading 3"/>
    <w:basedOn w:val="Normal"/>
    <w:next w:val="Normal"/>
    <w:link w:val="Heading3Char"/>
    <w:uiPriority w:val="9"/>
    <w:unhideWhenUsed/>
    <w:qFormat/>
    <w:rsid w:val="00F3210F"/>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E0C4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E6301D"/>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4FE8"/>
    <w:pPr>
      <w:tabs>
        <w:tab w:val="center" w:pos="4513"/>
        <w:tab w:val="right" w:pos="9026"/>
      </w:tabs>
    </w:pPr>
  </w:style>
  <w:style w:type="character" w:customStyle="1" w:styleId="HeaderChar">
    <w:name w:val="Header Char"/>
    <w:basedOn w:val="DefaultParagraphFont"/>
    <w:link w:val="Header"/>
    <w:uiPriority w:val="99"/>
    <w:rsid w:val="00114FE8"/>
  </w:style>
  <w:style w:type="paragraph" w:styleId="Footer">
    <w:name w:val="footer"/>
    <w:basedOn w:val="Normal"/>
    <w:link w:val="FooterChar"/>
    <w:uiPriority w:val="99"/>
    <w:unhideWhenUsed/>
    <w:rsid w:val="00114FE8"/>
    <w:pPr>
      <w:tabs>
        <w:tab w:val="center" w:pos="4513"/>
        <w:tab w:val="right" w:pos="9026"/>
      </w:tabs>
    </w:pPr>
  </w:style>
  <w:style w:type="character" w:customStyle="1" w:styleId="FooterChar">
    <w:name w:val="Footer Char"/>
    <w:basedOn w:val="DefaultParagraphFont"/>
    <w:link w:val="Footer"/>
    <w:uiPriority w:val="99"/>
    <w:rsid w:val="00114FE8"/>
  </w:style>
  <w:style w:type="character" w:customStyle="1" w:styleId="Heading1Char">
    <w:name w:val="Heading 1 Char"/>
    <w:basedOn w:val="DefaultParagraphFont"/>
    <w:link w:val="Heading1"/>
    <w:uiPriority w:val="1"/>
    <w:rsid w:val="00114FE8"/>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rsid w:val="00114FE8"/>
    <w:rPr>
      <w:sz w:val="20"/>
      <w:szCs w:val="20"/>
    </w:rPr>
  </w:style>
  <w:style w:type="character" w:customStyle="1" w:styleId="FootnoteTextChar">
    <w:name w:val="Footnote Text Char"/>
    <w:basedOn w:val="DefaultParagraphFont"/>
    <w:link w:val="FootnoteText"/>
    <w:uiPriority w:val="99"/>
    <w:rsid w:val="00114FE8"/>
    <w:rPr>
      <w:rFonts w:ascii="Times New Roman" w:eastAsia="Times New Roman" w:hAnsi="Times New Roman" w:cs="Times New Roman"/>
      <w:sz w:val="20"/>
      <w:szCs w:val="20"/>
      <w:lang w:eastAsia="en-AU"/>
    </w:rPr>
  </w:style>
  <w:style w:type="character" w:styleId="FootnoteReference">
    <w:name w:val="footnote reference"/>
    <w:uiPriority w:val="99"/>
    <w:rsid w:val="00114FE8"/>
    <w:rPr>
      <w:vertAlign w:val="superscript"/>
    </w:rPr>
  </w:style>
  <w:style w:type="character" w:styleId="CommentReference">
    <w:name w:val="annotation reference"/>
    <w:basedOn w:val="DefaultParagraphFont"/>
    <w:uiPriority w:val="99"/>
    <w:unhideWhenUsed/>
    <w:rsid w:val="00114FE8"/>
    <w:rPr>
      <w:sz w:val="16"/>
      <w:szCs w:val="16"/>
    </w:rPr>
  </w:style>
  <w:style w:type="paragraph" w:styleId="CommentText">
    <w:name w:val="annotation text"/>
    <w:basedOn w:val="Normal"/>
    <w:link w:val="CommentTextChar"/>
    <w:uiPriority w:val="99"/>
    <w:unhideWhenUsed/>
    <w:rsid w:val="00114FE8"/>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114FE8"/>
    <w:rPr>
      <w:sz w:val="20"/>
      <w:szCs w:val="20"/>
    </w:rPr>
  </w:style>
  <w:style w:type="paragraph" w:styleId="BalloonText">
    <w:name w:val="Balloon Text"/>
    <w:basedOn w:val="Normal"/>
    <w:link w:val="BalloonTextChar"/>
    <w:uiPriority w:val="99"/>
    <w:semiHidden/>
    <w:unhideWhenUsed/>
    <w:rsid w:val="00114F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4FE8"/>
    <w:rPr>
      <w:rFonts w:ascii="Segoe UI" w:eastAsia="Times New Roman" w:hAnsi="Segoe UI" w:cs="Segoe UI"/>
      <w:sz w:val="18"/>
      <w:szCs w:val="18"/>
      <w:lang w:eastAsia="en-AU"/>
    </w:rPr>
  </w:style>
  <w:style w:type="character" w:customStyle="1" w:styleId="Heading2Char">
    <w:name w:val="Heading 2 Char"/>
    <w:basedOn w:val="DefaultParagraphFont"/>
    <w:link w:val="Heading2"/>
    <w:uiPriority w:val="9"/>
    <w:rsid w:val="00125D28"/>
    <w:rPr>
      <w:rFonts w:ascii="Cambria" w:eastAsiaTheme="majorEastAsia" w:hAnsi="Cambria" w:cstheme="majorBidi"/>
      <w:b/>
      <w:color w:val="2E74B5" w:themeColor="accent1" w:themeShade="BF"/>
      <w:sz w:val="28"/>
      <w:szCs w:val="28"/>
      <w:lang w:eastAsia="en-AU"/>
    </w:rPr>
  </w:style>
  <w:style w:type="character" w:customStyle="1" w:styleId="Heading3Char">
    <w:name w:val="Heading 3 Char"/>
    <w:basedOn w:val="DefaultParagraphFont"/>
    <w:link w:val="Heading3"/>
    <w:uiPriority w:val="9"/>
    <w:rsid w:val="00F3210F"/>
    <w:rPr>
      <w:rFonts w:asciiTheme="majorHAnsi" w:eastAsiaTheme="majorEastAsia" w:hAnsiTheme="majorHAnsi" w:cstheme="majorBidi"/>
      <w:color w:val="1F4D78" w:themeColor="accent1" w:themeShade="7F"/>
      <w:sz w:val="24"/>
      <w:szCs w:val="24"/>
      <w:lang w:eastAsia="en-AU"/>
    </w:rPr>
  </w:style>
  <w:style w:type="paragraph" w:styleId="ListParagraph">
    <w:name w:val="List Paragraph"/>
    <w:aliases w:val="L,List Paragraph1,List Paragraph11,Recommendation,bullet point list,Bulleted Para,CV text,Dot pt,F5 List Paragraph,FooterText,List Paragraph111,List Paragraph2,Medium Grid 1 - Accent 21,NFP GP Bulleted List,Numbered Paragraph,Table text"/>
    <w:basedOn w:val="Normal"/>
    <w:link w:val="ListParagraphChar"/>
    <w:uiPriority w:val="34"/>
    <w:qFormat/>
    <w:rsid w:val="000F380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L Char,List Paragraph1 Char,List Paragraph11 Char,Recommendation Char,bullet point list Char,Bulleted Para Char,CV text Char,Dot pt Char,F5 List Paragraph Char,FooterText Char,List Paragraph111 Char,List Paragraph2 Char"/>
    <w:basedOn w:val="DefaultParagraphFont"/>
    <w:link w:val="ListParagraph"/>
    <w:uiPriority w:val="34"/>
    <w:locked/>
    <w:rsid w:val="000F380C"/>
  </w:style>
  <w:style w:type="paragraph" w:styleId="ListBullet2">
    <w:name w:val="List Bullet 2"/>
    <w:basedOn w:val="Normal"/>
    <w:link w:val="ListBullet2Char"/>
    <w:rsid w:val="00D76E06"/>
    <w:pPr>
      <w:numPr>
        <w:numId w:val="1"/>
      </w:numPr>
    </w:pPr>
  </w:style>
  <w:style w:type="character" w:customStyle="1" w:styleId="ListBullet2Char">
    <w:name w:val="List Bullet 2 Char"/>
    <w:link w:val="ListBullet2"/>
    <w:rsid w:val="00D76E06"/>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D76E0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62607"/>
    <w:pPr>
      <w:spacing w:after="0"/>
    </w:pPr>
    <w:rPr>
      <w:rFonts w:ascii="Times New Roman" w:eastAsia="Times New Roman" w:hAnsi="Times New Roman" w:cs="Times New Roman"/>
      <w:b/>
      <w:bCs/>
      <w:lang w:eastAsia="en-AU"/>
    </w:rPr>
  </w:style>
  <w:style w:type="character" w:customStyle="1" w:styleId="CommentSubjectChar">
    <w:name w:val="Comment Subject Char"/>
    <w:basedOn w:val="CommentTextChar"/>
    <w:link w:val="CommentSubject"/>
    <w:uiPriority w:val="99"/>
    <w:semiHidden/>
    <w:rsid w:val="00B62607"/>
    <w:rPr>
      <w:rFonts w:ascii="Times New Roman" w:eastAsia="Times New Roman" w:hAnsi="Times New Roman" w:cs="Times New Roman"/>
      <w:b/>
      <w:bCs/>
      <w:sz w:val="20"/>
      <w:szCs w:val="20"/>
      <w:lang w:eastAsia="en-AU"/>
    </w:rPr>
  </w:style>
  <w:style w:type="paragraph" w:styleId="TOCHeading">
    <w:name w:val="TOC Heading"/>
    <w:basedOn w:val="Heading1"/>
    <w:next w:val="Normal"/>
    <w:uiPriority w:val="39"/>
    <w:unhideWhenUsed/>
    <w:qFormat/>
    <w:rsid w:val="002F605A"/>
    <w:pPr>
      <w:spacing w:line="259" w:lineRule="auto"/>
      <w:outlineLvl w:val="9"/>
    </w:pPr>
    <w:rPr>
      <w:lang w:val="en-US" w:eastAsia="en-US"/>
    </w:rPr>
  </w:style>
  <w:style w:type="paragraph" w:styleId="TOC1">
    <w:name w:val="toc 1"/>
    <w:basedOn w:val="Normal"/>
    <w:next w:val="Normal"/>
    <w:autoRedefine/>
    <w:uiPriority w:val="39"/>
    <w:unhideWhenUsed/>
    <w:rsid w:val="00125D28"/>
    <w:pPr>
      <w:tabs>
        <w:tab w:val="left" w:pos="1276"/>
        <w:tab w:val="right" w:leader="dot" w:pos="9016"/>
      </w:tabs>
      <w:spacing w:after="100"/>
    </w:pPr>
  </w:style>
  <w:style w:type="paragraph" w:styleId="TOC2">
    <w:name w:val="toc 2"/>
    <w:basedOn w:val="Normal"/>
    <w:next w:val="Normal"/>
    <w:autoRedefine/>
    <w:uiPriority w:val="39"/>
    <w:unhideWhenUsed/>
    <w:rsid w:val="0008604D"/>
    <w:pPr>
      <w:tabs>
        <w:tab w:val="left" w:pos="660"/>
        <w:tab w:val="right" w:leader="dot" w:pos="9016"/>
      </w:tabs>
      <w:spacing w:before="120" w:after="120"/>
    </w:pPr>
  </w:style>
  <w:style w:type="paragraph" w:styleId="TOC3">
    <w:name w:val="toc 3"/>
    <w:basedOn w:val="Normal"/>
    <w:next w:val="Normal"/>
    <w:autoRedefine/>
    <w:uiPriority w:val="39"/>
    <w:unhideWhenUsed/>
    <w:rsid w:val="00331194"/>
    <w:pPr>
      <w:tabs>
        <w:tab w:val="left" w:pos="1100"/>
        <w:tab w:val="right" w:leader="dot" w:pos="9016"/>
      </w:tabs>
      <w:spacing w:after="100"/>
      <w:ind w:left="240"/>
    </w:pPr>
  </w:style>
  <w:style w:type="character" w:customStyle="1" w:styleId="Heading4Char">
    <w:name w:val="Heading 4 Char"/>
    <w:basedOn w:val="DefaultParagraphFont"/>
    <w:link w:val="Heading4"/>
    <w:uiPriority w:val="9"/>
    <w:rsid w:val="009E0C44"/>
    <w:rPr>
      <w:rFonts w:asciiTheme="majorHAnsi" w:eastAsiaTheme="majorEastAsia" w:hAnsiTheme="majorHAnsi" w:cstheme="majorBidi"/>
      <w:i/>
      <w:iCs/>
      <w:color w:val="2E74B5" w:themeColor="accent1" w:themeShade="BF"/>
      <w:sz w:val="24"/>
      <w:szCs w:val="24"/>
      <w:lang w:eastAsia="en-AU"/>
    </w:rPr>
  </w:style>
  <w:style w:type="paragraph" w:customStyle="1" w:styleId="Default">
    <w:name w:val="Default"/>
    <w:rsid w:val="006F1E42"/>
    <w:pPr>
      <w:autoSpaceDE w:val="0"/>
      <w:autoSpaceDN w:val="0"/>
      <w:adjustRightInd w:val="0"/>
      <w:spacing w:after="0" w:line="240" w:lineRule="auto"/>
    </w:pPr>
    <w:rPr>
      <w:rFonts w:ascii="Times New Roman" w:eastAsia="Times New Roman" w:hAnsi="Times New Roman" w:cs="Times New Roman"/>
      <w:color w:val="000000"/>
      <w:sz w:val="24"/>
      <w:szCs w:val="24"/>
      <w:lang w:eastAsia="en-AU"/>
    </w:rPr>
  </w:style>
  <w:style w:type="character" w:customStyle="1" w:styleId="resultbodyblack1">
    <w:name w:val="resultbodyblack1"/>
    <w:basedOn w:val="DefaultParagraphFont"/>
    <w:rsid w:val="006F1E42"/>
    <w:rPr>
      <w:rFonts w:ascii="MS Reference Sans Serif" w:hAnsi="MS Reference Sans Serif" w:hint="default"/>
      <w:b/>
      <w:bCs/>
      <w:color w:val="000000"/>
      <w:sz w:val="22"/>
      <w:szCs w:val="22"/>
    </w:rPr>
  </w:style>
  <w:style w:type="character" w:customStyle="1" w:styleId="Heading5Char">
    <w:name w:val="Heading 5 Char"/>
    <w:basedOn w:val="DefaultParagraphFont"/>
    <w:link w:val="Heading5"/>
    <w:uiPriority w:val="9"/>
    <w:rsid w:val="00E6301D"/>
    <w:rPr>
      <w:rFonts w:asciiTheme="majorHAnsi" w:eastAsiaTheme="majorEastAsia" w:hAnsiTheme="majorHAnsi" w:cstheme="majorBidi"/>
      <w:color w:val="2E74B5" w:themeColor="accent1" w:themeShade="BF"/>
      <w:sz w:val="24"/>
      <w:szCs w:val="24"/>
      <w:lang w:eastAsia="en-AU"/>
    </w:rPr>
  </w:style>
  <w:style w:type="paragraph" w:styleId="NoSpacing">
    <w:name w:val="No Spacing"/>
    <w:link w:val="NoSpacingChar"/>
    <w:uiPriority w:val="1"/>
    <w:qFormat/>
    <w:rsid w:val="00267180"/>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267180"/>
    <w:rPr>
      <w:rFonts w:eastAsiaTheme="minorEastAsia"/>
      <w:lang w:val="en-US"/>
    </w:rPr>
  </w:style>
  <w:style w:type="paragraph" w:styleId="Revision">
    <w:name w:val="Revision"/>
    <w:hidden/>
    <w:uiPriority w:val="99"/>
    <w:semiHidden/>
    <w:rsid w:val="00210667"/>
    <w:pPr>
      <w:spacing w:after="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3078C1"/>
    <w:rPr>
      <w:color w:val="954F72" w:themeColor="followedHyperlink"/>
      <w:u w:val="single"/>
    </w:rPr>
  </w:style>
  <w:style w:type="table" w:styleId="TableGrid">
    <w:name w:val="Table Grid"/>
    <w:basedOn w:val="TableNormal"/>
    <w:uiPriority w:val="39"/>
    <w:rsid w:val="00990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7C26C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7C26C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7C26C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7C26C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C26C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7C26C8"/>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unhideWhenUsed/>
    <w:rsid w:val="006B68D1"/>
    <w:pPr>
      <w:spacing w:before="100" w:beforeAutospacing="1" w:after="100" w:afterAutospacing="1" w:line="336" w:lineRule="atLeast"/>
    </w:pPr>
  </w:style>
  <w:style w:type="character" w:styleId="Emphasis">
    <w:name w:val="Emphasis"/>
    <w:basedOn w:val="DefaultParagraphFont"/>
    <w:uiPriority w:val="20"/>
    <w:qFormat/>
    <w:rsid w:val="00856352"/>
    <w:rPr>
      <w:i/>
      <w:iCs/>
      <w:sz w:val="24"/>
      <w:szCs w:val="24"/>
      <w:bdr w:val="none" w:sz="0" w:space="0" w:color="auto" w:frame="1"/>
      <w:vertAlign w:val="baseline"/>
    </w:rPr>
  </w:style>
  <w:style w:type="paragraph" w:styleId="Title">
    <w:name w:val="Title"/>
    <w:basedOn w:val="Normal"/>
    <w:next w:val="Normal"/>
    <w:link w:val="TitleChar"/>
    <w:uiPriority w:val="10"/>
    <w:qFormat/>
    <w:rsid w:val="009C4F7C"/>
    <w:rPr>
      <w:rFonts w:asciiTheme="minorHAnsi" w:hAnsiTheme="minorHAnsi"/>
      <w:color w:val="5B9BD5" w:themeColor="accent1"/>
      <w:sz w:val="40"/>
      <w:szCs w:val="40"/>
    </w:rPr>
  </w:style>
  <w:style w:type="character" w:customStyle="1" w:styleId="TitleChar">
    <w:name w:val="Title Char"/>
    <w:basedOn w:val="DefaultParagraphFont"/>
    <w:link w:val="Title"/>
    <w:uiPriority w:val="10"/>
    <w:rsid w:val="009C4F7C"/>
    <w:rPr>
      <w:rFonts w:eastAsia="Times New Roman" w:cs="Times New Roman"/>
      <w:color w:val="5B9BD5" w:themeColor="accent1"/>
      <w:sz w:val="40"/>
      <w:szCs w:val="40"/>
      <w:lang w:eastAsia="en-AU"/>
    </w:rPr>
  </w:style>
  <w:style w:type="paragraph" w:customStyle="1" w:styleId="Definition">
    <w:name w:val="Definition"/>
    <w:aliases w:val="dd"/>
    <w:basedOn w:val="Normal"/>
    <w:rsid w:val="005371DF"/>
    <w:pPr>
      <w:spacing w:before="180"/>
      <w:ind w:left="1134"/>
    </w:pPr>
    <w:rPr>
      <w:sz w:val="22"/>
      <w:szCs w:val="20"/>
    </w:rPr>
  </w:style>
  <w:style w:type="paragraph" w:customStyle="1" w:styleId="notetext">
    <w:name w:val="note(text)"/>
    <w:aliases w:val="n"/>
    <w:basedOn w:val="Normal"/>
    <w:link w:val="notetextChar"/>
    <w:rsid w:val="005371DF"/>
    <w:pPr>
      <w:spacing w:before="122"/>
      <w:ind w:left="1985" w:hanging="851"/>
    </w:pPr>
    <w:rPr>
      <w:sz w:val="18"/>
      <w:szCs w:val="20"/>
    </w:rPr>
  </w:style>
  <w:style w:type="character" w:customStyle="1" w:styleId="notetextChar">
    <w:name w:val="note(text) Char"/>
    <w:aliases w:val="n Char"/>
    <w:basedOn w:val="DefaultParagraphFont"/>
    <w:link w:val="notetext"/>
    <w:rsid w:val="005371DF"/>
    <w:rPr>
      <w:rFonts w:ascii="Times New Roman" w:eastAsia="Times New Roman" w:hAnsi="Times New Roman" w:cs="Times New Roman"/>
      <w:sz w:val="18"/>
      <w:szCs w:val="20"/>
      <w:lang w:eastAsia="en-AU"/>
    </w:rPr>
  </w:style>
  <w:style w:type="paragraph" w:styleId="BodyText">
    <w:name w:val="Body Text"/>
    <w:basedOn w:val="Normal"/>
    <w:link w:val="BodyTextChar"/>
    <w:uiPriority w:val="1"/>
    <w:qFormat/>
    <w:rsid w:val="0055793E"/>
    <w:pPr>
      <w:spacing w:before="240" w:after="120"/>
    </w:pPr>
    <w:rPr>
      <w:rFonts w:ascii="Arial" w:hAnsi="Arial"/>
      <w:lang w:eastAsia="en-US"/>
    </w:rPr>
  </w:style>
  <w:style w:type="character" w:customStyle="1" w:styleId="BodyTextChar">
    <w:name w:val="Body Text Char"/>
    <w:basedOn w:val="DefaultParagraphFont"/>
    <w:link w:val="BodyText"/>
    <w:uiPriority w:val="1"/>
    <w:rsid w:val="0055793E"/>
    <w:rPr>
      <w:rFonts w:ascii="Arial" w:eastAsia="Times New Roman" w:hAnsi="Arial" w:cs="Times New Roman"/>
      <w:sz w:val="24"/>
      <w:szCs w:val="24"/>
    </w:rPr>
  </w:style>
  <w:style w:type="paragraph" w:customStyle="1" w:styleId="Bolt">
    <w:name w:val="Bolt"/>
    <w:basedOn w:val="Normal"/>
    <w:link w:val="BoltChar"/>
    <w:autoRedefine/>
    <w:rsid w:val="0055793E"/>
    <w:pPr>
      <w:autoSpaceDE w:val="0"/>
      <w:autoSpaceDN w:val="0"/>
      <w:adjustRightInd w:val="0"/>
      <w:spacing w:before="120" w:after="120"/>
      <w:jc w:val="center"/>
    </w:pPr>
    <w:rPr>
      <w:rFonts w:ascii="Arial" w:hAnsi="Arial"/>
      <w:b/>
      <w:lang w:eastAsia="en-US"/>
    </w:rPr>
  </w:style>
  <w:style w:type="character" w:customStyle="1" w:styleId="BoltChar">
    <w:name w:val="Bolt Char"/>
    <w:basedOn w:val="DefaultParagraphFont"/>
    <w:link w:val="Bolt"/>
    <w:locked/>
    <w:rsid w:val="0055793E"/>
    <w:rPr>
      <w:rFonts w:ascii="Arial" w:eastAsia="Times New Roman" w:hAnsi="Arial" w:cs="Times New Roman"/>
      <w:b/>
      <w:sz w:val="24"/>
      <w:szCs w:val="24"/>
    </w:rPr>
  </w:style>
  <w:style w:type="character" w:styleId="UnresolvedMention">
    <w:name w:val="Unresolved Mention"/>
    <w:basedOn w:val="DefaultParagraphFont"/>
    <w:uiPriority w:val="99"/>
    <w:semiHidden/>
    <w:unhideWhenUsed/>
    <w:rsid w:val="004E16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057822">
      <w:bodyDiv w:val="1"/>
      <w:marLeft w:val="0"/>
      <w:marRight w:val="0"/>
      <w:marTop w:val="0"/>
      <w:marBottom w:val="0"/>
      <w:divBdr>
        <w:top w:val="none" w:sz="0" w:space="0" w:color="auto"/>
        <w:left w:val="none" w:sz="0" w:space="0" w:color="auto"/>
        <w:bottom w:val="none" w:sz="0" w:space="0" w:color="auto"/>
        <w:right w:val="none" w:sz="0" w:space="0" w:color="auto"/>
      </w:divBdr>
      <w:divsChild>
        <w:div w:id="2044206497">
          <w:marLeft w:val="0"/>
          <w:marRight w:val="0"/>
          <w:marTop w:val="0"/>
          <w:marBottom w:val="0"/>
          <w:divBdr>
            <w:top w:val="none" w:sz="0" w:space="0" w:color="auto"/>
            <w:left w:val="none" w:sz="0" w:space="0" w:color="auto"/>
            <w:bottom w:val="none" w:sz="0" w:space="0" w:color="auto"/>
            <w:right w:val="none" w:sz="0" w:space="0" w:color="auto"/>
          </w:divBdr>
          <w:divsChild>
            <w:div w:id="1364748178">
              <w:marLeft w:val="0"/>
              <w:marRight w:val="0"/>
              <w:marTop w:val="0"/>
              <w:marBottom w:val="0"/>
              <w:divBdr>
                <w:top w:val="none" w:sz="0" w:space="0" w:color="auto"/>
                <w:left w:val="none" w:sz="0" w:space="0" w:color="auto"/>
                <w:bottom w:val="none" w:sz="0" w:space="0" w:color="auto"/>
                <w:right w:val="none" w:sz="0" w:space="0" w:color="auto"/>
              </w:divBdr>
              <w:divsChild>
                <w:div w:id="1043870749">
                  <w:marLeft w:val="0"/>
                  <w:marRight w:val="0"/>
                  <w:marTop w:val="0"/>
                  <w:marBottom w:val="0"/>
                  <w:divBdr>
                    <w:top w:val="none" w:sz="0" w:space="0" w:color="auto"/>
                    <w:left w:val="none" w:sz="0" w:space="0" w:color="auto"/>
                    <w:bottom w:val="none" w:sz="0" w:space="0" w:color="auto"/>
                    <w:right w:val="none" w:sz="0" w:space="0" w:color="auto"/>
                  </w:divBdr>
                  <w:divsChild>
                    <w:div w:id="1376812479">
                      <w:marLeft w:val="0"/>
                      <w:marRight w:val="0"/>
                      <w:marTop w:val="0"/>
                      <w:marBottom w:val="0"/>
                      <w:divBdr>
                        <w:top w:val="none" w:sz="0" w:space="0" w:color="auto"/>
                        <w:left w:val="none" w:sz="0" w:space="0" w:color="auto"/>
                        <w:bottom w:val="none" w:sz="0" w:space="0" w:color="auto"/>
                        <w:right w:val="none" w:sz="0" w:space="0" w:color="auto"/>
                      </w:divBdr>
                      <w:divsChild>
                        <w:div w:id="598029705">
                          <w:marLeft w:val="0"/>
                          <w:marRight w:val="0"/>
                          <w:marTop w:val="0"/>
                          <w:marBottom w:val="0"/>
                          <w:divBdr>
                            <w:top w:val="none" w:sz="0" w:space="0" w:color="auto"/>
                            <w:left w:val="none" w:sz="0" w:space="0" w:color="auto"/>
                            <w:bottom w:val="none" w:sz="0" w:space="0" w:color="auto"/>
                            <w:right w:val="none" w:sz="0" w:space="0" w:color="auto"/>
                          </w:divBdr>
                          <w:divsChild>
                            <w:div w:id="1867062979">
                              <w:marLeft w:val="0"/>
                              <w:marRight w:val="0"/>
                              <w:marTop w:val="2100"/>
                              <w:marBottom w:val="0"/>
                              <w:divBdr>
                                <w:top w:val="none" w:sz="0" w:space="0" w:color="auto"/>
                                <w:left w:val="none" w:sz="0" w:space="0" w:color="auto"/>
                                <w:bottom w:val="none" w:sz="0" w:space="0" w:color="auto"/>
                                <w:right w:val="none" w:sz="0" w:space="0" w:color="auto"/>
                              </w:divBdr>
                              <w:divsChild>
                                <w:div w:id="1412577737">
                                  <w:marLeft w:val="0"/>
                                  <w:marRight w:val="0"/>
                                  <w:marTop w:val="0"/>
                                  <w:marBottom w:val="0"/>
                                  <w:divBdr>
                                    <w:top w:val="none" w:sz="0" w:space="0" w:color="auto"/>
                                    <w:left w:val="none" w:sz="0" w:space="0" w:color="auto"/>
                                    <w:bottom w:val="none" w:sz="0" w:space="0" w:color="auto"/>
                                    <w:right w:val="none" w:sz="0" w:space="0" w:color="auto"/>
                                  </w:divBdr>
                                  <w:divsChild>
                                    <w:div w:id="1608736370">
                                      <w:marLeft w:val="0"/>
                                      <w:marRight w:val="0"/>
                                      <w:marTop w:val="0"/>
                                      <w:marBottom w:val="0"/>
                                      <w:divBdr>
                                        <w:top w:val="none" w:sz="0" w:space="0" w:color="auto"/>
                                        <w:left w:val="none" w:sz="0" w:space="0" w:color="auto"/>
                                        <w:bottom w:val="none" w:sz="0" w:space="0" w:color="auto"/>
                                        <w:right w:val="none" w:sz="0" w:space="0" w:color="auto"/>
                                      </w:divBdr>
                                      <w:divsChild>
                                        <w:div w:id="275719883">
                                          <w:marLeft w:val="0"/>
                                          <w:marRight w:val="0"/>
                                          <w:marTop w:val="0"/>
                                          <w:marBottom w:val="0"/>
                                          <w:divBdr>
                                            <w:top w:val="none" w:sz="0" w:space="0" w:color="auto"/>
                                            <w:left w:val="none" w:sz="0" w:space="0" w:color="auto"/>
                                            <w:bottom w:val="none" w:sz="0" w:space="0" w:color="auto"/>
                                            <w:right w:val="none" w:sz="0" w:space="0" w:color="auto"/>
                                          </w:divBdr>
                                          <w:divsChild>
                                            <w:div w:id="151422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3467175">
      <w:bodyDiv w:val="1"/>
      <w:marLeft w:val="0"/>
      <w:marRight w:val="0"/>
      <w:marTop w:val="0"/>
      <w:marBottom w:val="0"/>
      <w:divBdr>
        <w:top w:val="none" w:sz="0" w:space="0" w:color="auto"/>
        <w:left w:val="none" w:sz="0" w:space="0" w:color="auto"/>
        <w:bottom w:val="none" w:sz="0" w:space="0" w:color="auto"/>
        <w:right w:val="none" w:sz="0" w:space="0" w:color="auto"/>
      </w:divBdr>
    </w:div>
    <w:div w:id="1346590512">
      <w:bodyDiv w:val="1"/>
      <w:marLeft w:val="0"/>
      <w:marRight w:val="0"/>
      <w:marTop w:val="0"/>
      <w:marBottom w:val="0"/>
      <w:divBdr>
        <w:top w:val="none" w:sz="0" w:space="0" w:color="auto"/>
        <w:left w:val="none" w:sz="0" w:space="0" w:color="auto"/>
        <w:bottom w:val="none" w:sz="0" w:space="0" w:color="auto"/>
        <w:right w:val="none" w:sz="0" w:space="0" w:color="auto"/>
      </w:divBdr>
    </w:div>
    <w:div w:id="143786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slation.gov.au/Series/C2006A00014" TargetMode="External"/><Relationship Id="rId18" Type="http://schemas.openxmlformats.org/officeDocument/2006/relationships/header" Target="header1.xml"/><Relationship Id="rId26" Type="http://schemas.openxmlformats.org/officeDocument/2006/relationships/hyperlink" Target="https://www.legislation.gov.au/Series/F1999B00221" TargetMode="External"/><Relationship Id="rId39" Type="http://schemas.openxmlformats.org/officeDocument/2006/relationships/hyperlink" Target="https://www.nopsema.gov.au/well-integrity/well-integrity-resources/" TargetMode="External"/><Relationship Id="rId21" Type="http://schemas.openxmlformats.org/officeDocument/2006/relationships/footer" Target="footer2.xml"/><Relationship Id="rId34" Type="http://schemas.openxmlformats.org/officeDocument/2006/relationships/hyperlink" Target="https://www.nopsema.gov.au/safety/safety-resources/" TargetMode="External"/><Relationship Id="rId42" Type="http://schemas.openxmlformats.org/officeDocument/2006/relationships/hyperlink" Target="http://www.nopta.gov.au/guidelines-and-factsheets/offshore-petroleum-guidelines.html" TargetMode="External"/><Relationship Id="rId47" Type="http://schemas.openxmlformats.org/officeDocument/2006/relationships/hyperlink" Target="https://www.legislation.gov.au/Series/C2004A02478" TargetMode="External"/><Relationship Id="rId50" Type="http://schemas.openxmlformats.org/officeDocument/2006/relationships/hyperlink" Target="https://www.legislation.gov.au/Series/C2004A00485" TargetMode="External"/><Relationship Id="rId55" Type="http://schemas.openxmlformats.org/officeDocument/2006/relationships/hyperlink" Target="https://www.legislation.gov.au/Details/C2017C00194" TargetMode="External"/><Relationship Id="rId63" Type="http://schemas.openxmlformats.org/officeDocument/2006/relationships/hyperlink" Target="http://www.environment.gov.au/system/files/resources/0a517ed7-74cb-418b-9319-7624491e4921/files/factsheet-waste-profile-vic.pdf" TargetMode="External"/><Relationship Id="rId68" Type="http://schemas.openxmlformats.org/officeDocument/2006/relationships/hyperlink" Target="http://www.environment.gov.au/system/files/resources/0a517ed7-74cb-418b-9319-7624491e4921/files/factsheet-waste-profile-nt.pdf" TargetMode="External"/><Relationship Id="rId76" Type="http://schemas.openxmlformats.org/officeDocument/2006/relationships/header" Target="header5.xml"/><Relationship Id="rId7" Type="http://schemas.openxmlformats.org/officeDocument/2006/relationships/styles" Target="styles.xml"/><Relationship Id="rId71" Type="http://schemas.openxmlformats.org/officeDocument/2006/relationships/hyperlink" Target="http://www.environment.gov.au/system/files/resources/0a517ed7-74cb-418b-9319-7624491e4921/files/factsheet-waste-profile-tas.pdf" TargetMode="External"/><Relationship Id="rId2" Type="http://schemas.openxmlformats.org/officeDocument/2006/relationships/customXml" Target="../customXml/item2.xml"/><Relationship Id="rId16" Type="http://schemas.openxmlformats.org/officeDocument/2006/relationships/hyperlink" Target="https://www.legislation.gov.au/Series/C2006A00014" TargetMode="External"/><Relationship Id="rId29" Type="http://schemas.openxmlformats.org/officeDocument/2006/relationships/hyperlink" Target="https://www.nopsema.gov.au/environmental-management/environment-resources/" TargetMode="External"/><Relationship Id="rId11" Type="http://schemas.openxmlformats.org/officeDocument/2006/relationships/endnotes" Target="endnotes.xml"/><Relationship Id="rId24" Type="http://schemas.openxmlformats.org/officeDocument/2006/relationships/hyperlink" Target="http://www.nopsema.gov.au/" TargetMode="External"/><Relationship Id="rId32" Type="http://schemas.openxmlformats.org/officeDocument/2006/relationships/hyperlink" Target="https://www.nopsema.gov.au/assets/Guidelines/A492753.pdf" TargetMode="External"/><Relationship Id="rId37" Type="http://schemas.openxmlformats.org/officeDocument/2006/relationships/hyperlink" Target="https://www.nopsema.gov.au/assets/Information-papers/A60309.pdf" TargetMode="External"/><Relationship Id="rId40" Type="http://schemas.openxmlformats.org/officeDocument/2006/relationships/hyperlink" Target="https://www.nopsema.gov.au/well-integrity/well-integrity-resources/" TargetMode="External"/><Relationship Id="rId45" Type="http://schemas.openxmlformats.org/officeDocument/2006/relationships/hyperlink" Target="http://www.nopta.gov.au/guidelines-and-factsheets/offshore-petroleum-guidelines.html" TargetMode="External"/><Relationship Id="rId53" Type="http://schemas.openxmlformats.org/officeDocument/2006/relationships/hyperlink" Target="https://www.environment.gov.au/protection/hazardous-waste" TargetMode="External"/><Relationship Id="rId58" Type="http://schemas.openxmlformats.org/officeDocument/2006/relationships/hyperlink" Target="http://www.environment.gov.au/system/files/resources/0a517ed7-74cb-418b-9319-7624491e4921/files/factsheet-waste-profile-nsw.pdf" TargetMode="External"/><Relationship Id="rId66" Type="http://schemas.openxmlformats.org/officeDocument/2006/relationships/hyperlink" Target="http://www.environment.gov.au/system/files/resources/0a517ed7-74cb-418b-9319-7624491e4921/files/factsheet-waste-profile-act.pdf" TargetMode="External"/><Relationship Id="rId7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nopta.gov.au/" TargetMode="External"/><Relationship Id="rId23" Type="http://schemas.openxmlformats.org/officeDocument/2006/relationships/footer" Target="footer3.xml"/><Relationship Id="rId28" Type="http://schemas.openxmlformats.org/officeDocument/2006/relationships/hyperlink" Target="https://www.nopsema.gov.au/assets/Guidelines/A524696.pdf" TargetMode="External"/><Relationship Id="rId36" Type="http://schemas.openxmlformats.org/officeDocument/2006/relationships/hyperlink" Target="https://www.nopsema.gov.au/safety/safety-resources/" TargetMode="External"/><Relationship Id="rId49" Type="http://schemas.openxmlformats.org/officeDocument/2006/relationships/hyperlink" Target="https://www.environment.gov.au/marine/marine-pollution/sea-dumping" TargetMode="External"/><Relationship Id="rId57" Type="http://schemas.openxmlformats.org/officeDocument/2006/relationships/hyperlink" Target="http://www.environment.gov.au/system/files/resources/0a517ed7-74cb-418b-9319-7624491e4921/files/factsheet-waste-profile-act.pdf" TargetMode="External"/><Relationship Id="rId61" Type="http://schemas.openxmlformats.org/officeDocument/2006/relationships/hyperlink" Target="http://www.environment.gov.au/system/files/resources/0a517ed7-74cb-418b-9319-7624491e4921/files/factsheet-waste-profile-sa.pdf" TargetMode="Externa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yperlink" Target="https://www.nopsema.gov.au/assets/Guidelines/A492753.pdf" TargetMode="External"/><Relationship Id="rId44" Type="http://schemas.openxmlformats.org/officeDocument/2006/relationships/hyperlink" Target="http://www.nopta.gov.au/" TargetMode="External"/><Relationship Id="rId52" Type="http://schemas.openxmlformats.org/officeDocument/2006/relationships/hyperlink" Target="http://www.environment.gov.au/epbc" TargetMode="External"/><Relationship Id="rId60" Type="http://schemas.openxmlformats.org/officeDocument/2006/relationships/hyperlink" Target="http://www.environment.gov.au/system/files/resources/0a517ed7-74cb-418b-9319-7624491e4921/files/factsheet-waste-profile-qld_0.pdf" TargetMode="External"/><Relationship Id="rId65" Type="http://schemas.openxmlformats.org/officeDocument/2006/relationships/hyperlink" Target="http://www.environment.gov.au/topics/environment-protection/nwp/reporting/policies-and-governance" TargetMode="External"/><Relationship Id="rId73" Type="http://schemas.openxmlformats.org/officeDocument/2006/relationships/hyperlink" Target="http://www.environment.gov.au/system/files/resources/0a517ed7-74cb-418b-9319-7624491e4921/files/factsheet-waste-profile-wa.pdf"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ndustry.gov.au/Pages/default.aspx" TargetMode="External"/><Relationship Id="rId22" Type="http://schemas.openxmlformats.org/officeDocument/2006/relationships/header" Target="header3.xml"/><Relationship Id="rId27" Type="http://schemas.openxmlformats.org/officeDocument/2006/relationships/hyperlink" Target="https://www.nopsema.gov.au/environmental-management/environment-resources/" TargetMode="External"/><Relationship Id="rId30" Type="http://schemas.openxmlformats.org/officeDocument/2006/relationships/hyperlink" Target="https://www.nopsema.gov.au/assets/Guidelines/A524696.pdf" TargetMode="External"/><Relationship Id="rId35" Type="http://schemas.openxmlformats.org/officeDocument/2006/relationships/hyperlink" Target="https://www.nopsema.gov.au/assets/Information-papers/A60309.pdf" TargetMode="External"/><Relationship Id="rId43" Type="http://schemas.openxmlformats.org/officeDocument/2006/relationships/hyperlink" Target="http://www.nopta.gov.au/guidelines-and-factsheets/offshore-petroleum-guidelines.html" TargetMode="External"/><Relationship Id="rId48" Type="http://schemas.openxmlformats.org/officeDocument/2006/relationships/hyperlink" Target="https://www.environment.gov.au/marine/marine-pollution/sea-dumping" TargetMode="External"/><Relationship Id="rId56" Type="http://schemas.openxmlformats.org/officeDocument/2006/relationships/hyperlink" Target="http://www.environment.gov.au/topics/environment-protection/nwp/reporting/policies-and-governance" TargetMode="External"/><Relationship Id="rId64" Type="http://schemas.openxmlformats.org/officeDocument/2006/relationships/hyperlink" Target="http://www.environment.gov.au/system/files/resources/0a517ed7-74cb-418b-9319-7624491e4921/files/factsheet-waste-profile-wa.pdf" TargetMode="External"/><Relationship Id="rId69" Type="http://schemas.openxmlformats.org/officeDocument/2006/relationships/hyperlink" Target="http://www.environment.gov.au/system/files/resources/0a517ed7-74cb-418b-9319-7624491e4921/files/factsheet-waste-profile-qld_0.pdf" TargetMode="Externa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environment.gov.au/epbc" TargetMode="External"/><Relationship Id="rId72" Type="http://schemas.openxmlformats.org/officeDocument/2006/relationships/hyperlink" Target="http://www.environment.gov.au/system/files/resources/0a517ed7-74cb-418b-9319-7624491e4921/files/factsheet-waste-profile-vic.pdf"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legislation.gov.au/Series/F1999B00221" TargetMode="External"/><Relationship Id="rId25" Type="http://schemas.openxmlformats.org/officeDocument/2006/relationships/hyperlink" Target="http://www.nopsema.gov.au/" TargetMode="External"/><Relationship Id="rId33" Type="http://schemas.openxmlformats.org/officeDocument/2006/relationships/hyperlink" Target="https://www.legislation.gov.au/Series/F2009L04578" TargetMode="External"/><Relationship Id="rId38" Type="http://schemas.openxmlformats.org/officeDocument/2006/relationships/hyperlink" Target="https://www.legislation.gov.au/Series/F2011L00647" TargetMode="External"/><Relationship Id="rId46" Type="http://schemas.openxmlformats.org/officeDocument/2006/relationships/hyperlink" Target="http://www.nopta.gov.au/guidelines-and-factsheets/offshore-petroleum-guidelines.html" TargetMode="External"/><Relationship Id="rId59" Type="http://schemas.openxmlformats.org/officeDocument/2006/relationships/hyperlink" Target="http://www.environment.gov.au/system/files/resources/0a517ed7-74cb-418b-9319-7624491e4921/files/factsheet-waste-profile-nt.pdf" TargetMode="External"/><Relationship Id="rId67" Type="http://schemas.openxmlformats.org/officeDocument/2006/relationships/hyperlink" Target="http://www.environment.gov.au/system/files/resources/0a517ed7-74cb-418b-9319-7624491e4921/files/factsheet-waste-profile-nsw.pdf" TargetMode="External"/><Relationship Id="rId20" Type="http://schemas.openxmlformats.org/officeDocument/2006/relationships/footer" Target="footer1.xml"/><Relationship Id="rId41" Type="http://schemas.openxmlformats.org/officeDocument/2006/relationships/hyperlink" Target="http://www.nopta.gov.au/" TargetMode="External"/><Relationship Id="rId54" Type="http://schemas.openxmlformats.org/officeDocument/2006/relationships/hyperlink" Target="https://www.environment.gov.au/protection/hazardous-waste" TargetMode="External"/><Relationship Id="rId62" Type="http://schemas.openxmlformats.org/officeDocument/2006/relationships/hyperlink" Target="http://www.environment.gov.au/system/files/resources/0a517ed7-74cb-418b-9319-7624491e4921/files/factsheet-waste-profile-tas.pdf" TargetMode="External"/><Relationship Id="rId70" Type="http://schemas.openxmlformats.org/officeDocument/2006/relationships/hyperlink" Target="http://www.environment.gov.au/system/files/resources/0a517ed7-74cb-418b-9319-7624491e4921/files/factsheet-waste-profile-sa.pdf" TargetMode="External"/><Relationship Id="rId75" Type="http://schemas.openxmlformats.org/officeDocument/2006/relationships/hyperlink" Target="https://www.legislation.gov.au/Series/F2016L00302"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footnotes.xml.rels><?xml version="1.0" encoding="UTF-8" standalone="yes"?>
<Relationships xmlns="http://schemas.openxmlformats.org/package/2006/relationships"><Relationship Id="rId3" Type="http://schemas.openxmlformats.org/officeDocument/2006/relationships/hyperlink" Target="http://www.nopta.gov.au/guidelines-and-factsheets/offshore-petroleum-guidelines.html" TargetMode="External"/><Relationship Id="rId2" Type="http://schemas.openxmlformats.org/officeDocument/2006/relationships/hyperlink" Target="https://www.legislation.gov.au/Series/C2004A02478" TargetMode="External"/><Relationship Id="rId1" Type="http://schemas.openxmlformats.org/officeDocument/2006/relationships/hyperlink" Target="http://www.imo.org/blast/blastDataHelper.asp?data_id=22503&amp;filename=A672(16)E.pdf" TargetMode="External"/><Relationship Id="rId6" Type="http://schemas.openxmlformats.org/officeDocument/2006/relationships/hyperlink" Target="https://www.nopsema.gov.au/assets/Guidance-notes/A138249.pdf" TargetMode="External"/><Relationship Id="rId5" Type="http://schemas.openxmlformats.org/officeDocument/2006/relationships/hyperlink" Target="https://www.legislation.gov.au/Series/C1914A00012" TargetMode="External"/><Relationship Id="rId4" Type="http://schemas.openxmlformats.org/officeDocument/2006/relationships/hyperlink" Target="https://www.legislation.gov.au/Series/C2004A024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PTA Base Document" ma:contentTypeID="0x01010063547D135F865547B104B3688A6EB0DB004EBC41CBB87686458B4EADC66475DA23" ma:contentTypeVersion="2490" ma:contentTypeDescription="Create a new document." ma:contentTypeScope="" ma:versionID="95db9a4909e817bef68c867c860a7a92">
  <xsd:schema xmlns:xsd="http://www.w3.org/2001/XMLSchema" xmlns:xs="http://www.w3.org/2001/XMLSchema" xmlns:p="http://schemas.microsoft.com/office/2006/metadata/properties" xmlns:ns1="http://schemas.microsoft.com/sharepoint/v3" xmlns:ns2="7012054d-3a07-4b40-940b-a148fc76e5c4" xmlns:ns3="http://schemas.microsoft.com/sharepoint/v3/fields" xmlns:ns4="e1c7fc68-f963-4fbf-ab17-100a6bd4a79c" xmlns:ns5="a8fdb9f5-4e6c-4c4a-a24d-2c5439f6d702" targetNamespace="http://schemas.microsoft.com/office/2006/metadata/properties" ma:root="true" ma:fieldsID="7ff4ea60b73f077fbb699dfe7161eac8" ns1:_="" ns2:_="" ns3:_="" ns4:_="" ns5:_="">
    <xsd:import namespace="http://schemas.microsoft.com/sharepoint/v3"/>
    <xsd:import namespace="7012054d-3a07-4b40-940b-a148fc76e5c4"/>
    <xsd:import namespace="http://schemas.microsoft.com/sharepoint/v3/fields"/>
    <xsd:import namespace="e1c7fc68-f963-4fbf-ab17-100a6bd4a79c"/>
    <xsd:import namespace="a8fdb9f5-4e6c-4c4a-a24d-2c5439f6d702"/>
    <xsd:element name="properties">
      <xsd:complexType>
        <xsd:sequence>
          <xsd:element name="documentManagement">
            <xsd:complexType>
              <xsd:all>
                <xsd:element ref="ns2:AGRkMSDescription" minOccurs="0"/>
                <xsd:element ref="ns2:SecurityClassification"/>
                <xsd:element ref="ns2:RightsType"/>
                <xsd:element ref="ns2:RightsStatus"/>
                <xsd:element ref="ns2:OfNationalSignificance"/>
                <xsd:element ref="ns1:AssignedTo" minOccurs="0"/>
                <xsd:element ref="ns3:_Status" minOccurs="0"/>
                <xsd:element ref="ns1:DocumentSetDescription" minOccurs="0"/>
                <xsd:element ref="ns2:Team_Note" minOccurs="0"/>
                <xsd:element ref="ns2:TaxCatchAll" minOccurs="0"/>
                <xsd:element ref="ns2:BusinessFunction_Note" minOccurs="0"/>
                <xsd:element ref="ns2:DocumentType_Note" minOccurs="0"/>
                <xsd:element ref="ns2:pfcb0be319e247388db2251ff9d23f72" minOccurs="0"/>
                <xsd:element ref="ns2:g91dc4f691a04421b1edf463601fabf6" minOccurs="0"/>
                <xsd:element ref="ns2:_dlc_DocId" minOccurs="0"/>
                <xsd:element ref="ns2:_dlc_DocIdUrl" minOccurs="0"/>
                <xsd:element ref="ns2:_dlc_DocIdPersistId" minOccurs="0"/>
                <xsd:element ref="ns2:Titles_Note"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NameScheme" minOccurs="0"/>
                <xsd:element ref="ns2:IdentifierScheme" minOccurs="0"/>
                <xsd:element ref="ns2:m3f2ca6b2c9a4802967adedbb4af06ae" minOccurs="0"/>
                <xsd:element ref="ns2:TaxCatchAllLabel" minOccurs="0"/>
                <xsd:element ref="ns2:TaxKeywordTaxHTField" minOccurs="0"/>
                <xsd:element ref="ns3:_DCDateCreated" minOccurs="0"/>
                <xsd:element ref="ns4:MediaServiceMetadata" minOccurs="0"/>
                <xsd:element ref="ns4:MediaServiceFastMetadata" minOccurs="0"/>
                <xsd:element ref="ns5:SharedWithUsers" minOccurs="0"/>
                <xsd:element ref="ns5: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15" nillable="true" ma:displayName="Assigned To" ma:list="UserInfo" ma:SearchPeopleOnly="false" ma:SharePointGroup="0" ma:internalName="AssignedT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7"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12054d-3a07-4b40-940b-a148fc76e5c4" elementFormDefault="qualified">
    <xsd:import namespace="http://schemas.microsoft.com/office/2006/documentManagement/types"/>
    <xsd:import namespace="http://schemas.microsoft.com/office/infopath/2007/PartnerControls"/>
    <xsd:element name="AGRkMSDescription" ma:index="3" nillable="true" ma:displayName="Description" ma:hidden="true" ma:internalName="AGRkMSDescription" ma:readOnly="false">
      <xsd:simpleType>
        <xsd:restriction base="dms:Note"/>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ma:displayName="Rights Status" ma:default="Open" ma:format="Dropdow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OfNationalSignificance" ma:index="13" ma:displayName="Of National Significance" ma:format="Dropdown" ma:internalName="OfNationalSignificance" ma:readOnly="false">
      <xsd:simpleType>
        <xsd:restriction base="dms:Choice">
          <xsd:enumeration value="Yes"/>
          <xsd:enumeration value="No"/>
        </xsd:restriction>
      </xsd:simpleType>
    </xsd:element>
    <xsd:element name="Team_Note" ma:index="18" nillable="true" ma:taxonomy="true" ma:internalName="Team_Note" ma:taxonomyFieldName="Team" ma:displayName="Team" ma:readOnly="false" ma:fieldId="{ffcfccb1-4c47-4d58-b2df-6c0b84387c6a}" ma:sspId="bce47a14-5049-44f5-9725-de9c3b17a93b" ma:termSetId="e9f09cd7-4608-4f5c-8067-70e51caf957b"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6409ff59-da27-43b9-9466-eca8795ec41c}" ma:internalName="TaxCatchAll" ma:readOnly="false" ma:showField="CatchAllData" ma:web="7012054d-3a07-4b40-940b-a148fc76e5c4">
      <xsd:complexType>
        <xsd:complexContent>
          <xsd:extension base="dms:MultiChoiceLookup">
            <xsd:sequence>
              <xsd:element name="Value" type="dms:Lookup" maxOccurs="unbounded" minOccurs="0" nillable="true"/>
            </xsd:sequence>
          </xsd:extension>
        </xsd:complexContent>
      </xsd:complexType>
    </xsd:element>
    <xsd:element name="BusinessFunction_Note" ma:index="20" ma:taxonomy="true" ma:internalName="BusinessFunction_Note" ma:taxonomyFieldName="BusinessFunction" ma:displayName="Business Function" ma:readOnly="false" ma:default="" ma:fieldId="{959dd842-3424-40db-9a11-e62432e4b565}" ma:sspId="bce47a14-5049-44f5-9725-de9c3b17a93b" ma:termSetId="e204d62f-d264-43c4-8e63-421b70a2954d" ma:anchorId="00000000-0000-0000-0000-000000000000" ma:open="false" ma:isKeyword="false">
      <xsd:complexType>
        <xsd:sequence>
          <xsd:element ref="pc:Terms" minOccurs="0" maxOccurs="1"/>
        </xsd:sequence>
      </xsd:complexType>
    </xsd:element>
    <xsd:element name="DocumentType_Note" ma:index="22" nillable="true" ma:taxonomy="true" ma:internalName="DocumentType_Note" ma:taxonomyFieldName="DocumentType" ma:displayName="Document Type" ma:readOnly="false" ma:fieldId="{d7e9db9a-de6b-4b6b-9730-7a48bbc6c396}" ma:sspId="bce47a14-5049-44f5-9725-de9c3b17a93b" ma:termSetId="333c4037-fbfd-4298-be21-e3183fae6b8e" ma:anchorId="00000000-0000-0000-0000-000000000000" ma:open="false" ma:isKeyword="false">
      <xsd:complexType>
        <xsd:sequence>
          <xsd:element ref="pc:Terms" minOccurs="0" maxOccurs="1"/>
        </xsd:sequence>
      </xsd:complexType>
    </xsd:element>
    <xsd:element name="pfcb0be319e247388db2251ff9d23f72" ma:index="24" nillable="true" ma:taxonomy="true" ma:internalName="pfcb0be319e247388db2251ff9d23f72" ma:taxonomyFieldName="Title_x0020_Type" ma:displayName="Title Type" ma:readOnly="false" ma:fieldId="{9fcb0be3-19e2-4738-8db2-251ff9d23f72}" ma:sspId="bce47a14-5049-44f5-9725-de9c3b17a93b" ma:termSetId="e204d62f-d264-43c4-8e63-421b70a2954d" ma:anchorId="286f6102-6be4-40f5-8b73-32f93e1dd849" ma:open="false" ma:isKeyword="false">
      <xsd:complexType>
        <xsd:sequence>
          <xsd:element ref="pc:Terms" minOccurs="0" maxOccurs="1"/>
        </xsd:sequence>
      </xsd:complexType>
    </xsd:element>
    <xsd:element name="g91dc4f691a04421b1edf463601fabf6" ma:index="26" nillable="true" ma:taxonomy="true" ma:internalName="g91dc4f691a04421b1edf463601fabf6" ma:taxonomyFieldName="Offshore_x0020_Region" ma:displayName="Offshore Region" ma:readOnly="false" ma:fieldId="{091dc4f6-91a0-4421-b1ed-f463601fabf6}" ma:sspId="bce47a14-5049-44f5-9725-de9c3b17a93b" ma:termSetId="99cd5c32-502d-4aba-9558-a497c5e865e4"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false">
      <xsd:simpleType>
        <xsd:restriction base="dms:Boolean"/>
      </xsd:simpleType>
    </xsd:element>
    <xsd:element name="Titles_Note" ma:index="30" nillable="true" ma:taxonomy="true" ma:internalName="Titles_Note" ma:taxonomyFieldName="Titles" ma:displayName="Titles" ma:readOnly="false" ma:fieldId="{97b812e5-e380-4ca1-b625-eb849df8b920}" ma:taxonomyMulti="true" ma:sspId="bce47a14-5049-44f5-9725-de9c3b17a93b" ma:termSetId="a0720935-c824-4aaf-b152-24826a10ab35" ma:anchorId="00000000-0000-0000-0000-000000000000" ma:open="false" ma:isKeyword="false">
      <xsd:complexType>
        <xsd:sequence>
          <xsd:element ref="pc:Terms" minOccurs="0" maxOccurs="1"/>
        </xsd:sequence>
      </xsd:complexType>
    </xsd:element>
    <xsd:element name="Jurisdiction" ma:index="31"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32" ma:displayName="Caveat Text" ma:default="PSPF" ma:hidden="true" ma:internalName="CaveatText" ma:readOnly="false">
      <xsd:simpleType>
        <xsd:restriction base="dms:Text"/>
      </xsd:simpleType>
    </xsd:element>
    <xsd:element name="CaveatCategory" ma:index="33" ma:displayName="Caveat Category" ma:default="DLM: For Official Use Only" ma:hidden="true" ma:internalName="CaveatCategory" ma:readOnly="false">
      <xsd:simpleType>
        <xsd:restriction base="dms:Text"/>
      </xsd:simpleType>
    </xsd:element>
    <xsd:element name="RightsStatement" ma:index="34" nillable="true" ma:displayName="Rights Statement" ma:default="NOPTA Members Only" ma:hidden="true" ma:internalName="RightsStatement" ma:readOnly="false">
      <xsd:simpleType>
        <xsd:restriction base="dms:Note"/>
      </xsd:simpleType>
    </xsd:element>
    <xsd:element name="AGRkMSCategory" ma:index="35" ma:displayName="Category" ma:default="Item" ma:format="Dropdown"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36" ma:displayName="AGRkMS Language" ma:default="en-au" ma:hidden="true" ma:internalName="AGRkMSLanguage" ma:readOnly="false">
      <xsd:simpleType>
        <xsd:restriction base="dms:Text"/>
      </xsd:simpleType>
    </xsd:element>
    <xsd:element name="JurisdictionalCoverage" ma:index="37"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38" nillable="true" ma:displayName="Temporal Coverage" ma:hidden="true" ma:internalName="TemporalCoverage" ma:readOnly="false">
      <xsd:simpleType>
        <xsd:restriction base="dms:Text"/>
      </xsd:simpleType>
    </xsd:element>
    <xsd:element name="SpatialCoverage" ma:index="39" nillable="true" ma:displayName="Spatial Coverage" ma:default="Commonwealth of Australia" ma:hidden="true" ma:internalName="SpatialCoverage" ma:readOnly="false">
      <xsd:simpleType>
        <xsd:restriction base="dms:Text"/>
      </xsd:simpleType>
    </xsd:element>
    <xsd:element name="KeywordID" ma:index="40" nillable="true" ma:displayName="Keyword ID" ma:hidden="true" ma:internalName="KeywordID" ma:readOnly="false">
      <xsd:simpleType>
        <xsd:restriction base="dms:Text"/>
      </xsd:simpleType>
    </xsd:element>
    <xsd:element name="KeywordScheme" ma:index="41" nillable="true" ma:displayName="Keyword Scheme" ma:hidden="true" ma:internalName="KeywordScheme" ma:readOnly="false">
      <xsd:simpleType>
        <xsd:restriction base="dms:Text"/>
      </xsd:simpleType>
    </xsd:element>
    <xsd:element name="KeywordSchemeType" ma:index="42" nillable="true" ma:displayName="Keyword Scheme Type" ma:hidden="true" ma:internalName="KeywordSchemeType" ma:readOnly="false">
      <xsd:simpleType>
        <xsd:restriction base="dms:Text"/>
      </xsd:simpleType>
    </xsd:element>
    <xsd:element name="FormatName" ma:index="43" nillable="true" ma:displayName="Format Name" ma:default="Word" ma:hidden="true" ma:internalName="FormatName" ma:readOnly="false">
      <xsd:simpleType>
        <xsd:restriction base="dms:Text"/>
      </xsd:simpleType>
    </xsd:element>
    <xsd:element name="FormatVersion" ma:index="44" nillable="true" ma:displayName="Format Version" ma:default="2013" ma:hidden="true" ma:internalName="FormatVersion" ma:readOnly="false">
      <xsd:simpleType>
        <xsd:restriction base="dms:Text"/>
      </xsd:simpleType>
    </xsd:element>
    <xsd:element name="CreatingApplicationName" ma:index="45" nillable="true" ma:displayName="Creating Application Name" ma:default="Microsoft Word" ma:hidden="true" ma:internalName="CreatingApplicationName" ma:readOnly="false">
      <xsd:simpleType>
        <xsd:restriction base="dms:Text"/>
      </xsd:simpleType>
    </xsd:element>
    <xsd:element name="CreatingApplicationVersion" ma:index="46" nillable="true" ma:displayName="Creating Application Version" ma:default="2013" ma:hidden="true" ma:internalName="CreatingApplicationVersion" ma:readOnly="false">
      <xsd:simpleType>
        <xsd:restriction base="dms:Text"/>
      </xsd:simpleType>
    </xsd:element>
    <xsd:element name="FormatRegistry" ma:index="47" nillable="true" ma:displayName="Format Registry" ma:default="System generated" ma:hidden="true" ma:internalName="FormatRegistry" ma:readOnly="false">
      <xsd:simpleType>
        <xsd:restriction base="dms:Text"/>
      </xsd:simpleType>
    </xsd:element>
    <xsd:element name="Quantity" ma:index="48" nillable="true" ma:displayName="Quantity" ma:hidden="true" ma:internalName="Quantity" ma:readOnly="false">
      <xsd:simpleType>
        <xsd:restriction base="dms:Text"/>
      </xsd:simpleType>
    </xsd:element>
    <xsd:element name="Units" ma:index="49" nillable="true" ma:displayName="Units" ma:default="KB" ma:format="Dropdown"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50" nillable="true" ma:displayName="Medium" ma:default="Digital File" ma:hidden="true" ma:internalName="Medium" ma:readOnly="false">
      <xsd:simpleType>
        <xsd:restriction base="dms:Text"/>
      </xsd:simpleType>
    </xsd:element>
    <xsd:element name="HashFunctionName" ma:index="51" ma:displayName="Hash Function Name" ma:default="MD5" ma:hidden="true" ma:internalName="HashFunctionName" ma:readOnly="false">
      <xsd:simpleType>
        <xsd:restriction base="dms:Text"/>
      </xsd:simpleType>
    </xsd:element>
    <xsd:element name="MessageDigest" ma:index="52" nillable="true" ma:displayName="Message Digest" ma:hidden="true" ma:internalName="MessageDigest" ma:readOnly="false">
      <xsd:simpleType>
        <xsd:restriction base="dms:Text"/>
      </xsd:simpleType>
    </xsd:element>
    <xsd:element name="RecordKeywords" ma:index="53" nillable="true" ma:displayName="Record Keywords" ma:hidden="true" ma:internalName="RecordKeywords" ma:readOnly="false">
      <xsd:simpleType>
        <xsd:restriction base="dms:Text"/>
      </xsd:simpleType>
    </xsd:element>
    <xsd:element name="DateRangeStart" ma:index="54" nillable="true" ma:displayName="Date Range - Start Date" ma:format="DateOnly" ma:hidden="true" ma:internalName="DateRangeStart" ma:readOnly="false">
      <xsd:simpleType>
        <xsd:restriction base="dms:DateTime"/>
      </xsd:simpleType>
    </xsd:element>
    <xsd:element name="DateRangeEnd" ma:index="55" nillable="true" ma:displayName="Date Range - End Date" ma:format="DateOnly" ma:hidden="true" ma:internalName="DateRangeEnd" ma:readOnly="false">
      <xsd:simpleType>
        <xsd:restriction base="dms:DateTime"/>
      </xsd:simpleType>
    </xsd:element>
    <xsd:element name="DocumentForm" ma:index="56" nillable="true" ma:displayName="Document Form" ma:hidden="true" ma:internalName="DocumentForm" ma:readOnly="false">
      <xsd:simpleType>
        <xsd:restriction base="dms:Text"/>
      </xsd:simpleType>
    </xsd:element>
    <xsd:element name="Entity" ma:index="57" nillable="true" ma:displayName="Entity" ma:format="Dropdown" ma:hidden="true" ma:internalName="Entity" ma:readOnly="false">
      <xsd:simpleType>
        <xsd:restriction base="dms:Choice">
          <xsd:enumeration value="Agent"/>
          <xsd:enumeration value="Business"/>
          <xsd:enumeration value="Mandate"/>
          <xsd:enumeration value="Record"/>
          <xsd:enumeration value="Relationship"/>
        </xsd:restriction>
      </xsd:simpleType>
    </xsd:element>
    <xsd:element name="Identifier" ma:index="58" nillable="true" ma:displayName="Identifier" ma:decimals="0" ma:default="0" ma:hidden="true" ma:internalName="Identifier" ma:readOnly="false" ma:percentage="FALSE">
      <xsd:simpleType>
        <xsd:restriction base="dms:Number"/>
      </xsd:simpleType>
    </xsd:element>
    <xsd:element name="Precedence" ma:index="59" nillable="true" ma:displayName="Precedence" ma:hidden="true" ma:internalName="Precedence" ma:readOnly="false">
      <xsd:simpleType>
        <xsd:restriction base="dms:Text"/>
      </xsd:simpleType>
    </xsd:element>
    <xsd:element name="RecordContact" ma:index="60" nillable="true" ma:displayName="Record Contact" ma:hidden="true" ma:SearchPeopleOnly="false" ma:SharePointGroup="0" ma:internalName="RecordContac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61" nillable="true" ma:displayName="Record Contact Details" ma:hidden="true" ma:internalName="RecordContactDetails" ma:readOnly="false">
      <xsd:simpleType>
        <xsd:restriction base="dms:Text"/>
      </xsd:simpleType>
    </xsd:element>
    <xsd:element name="RecordExtent" ma:index="62" nillable="true" ma:displayName="Record Extent" ma:hidden="true" ma:internalName="RecordExtent" ma:readOnly="false">
      <xsd:simpleType>
        <xsd:restriction base="dms:Text"/>
      </xsd:simpleType>
    </xsd:element>
    <xsd:element name="RecordExtentUnits" ma:index="63" nillable="true" ma:displayName="Record Extent Units" ma:hidden="true" ma:internalName="RecordExtentUnits" ma:readOnly="false">
      <xsd:simpleType>
        <xsd:restriction base="dms:Text"/>
      </xsd:simpleType>
    </xsd:element>
    <xsd:element name="RecordLocation" ma:index="64" nillable="true" ma:displayName="Record Location" ma:hidden="true" ma:internalName="RecordLocation" ma:readOnly="false">
      <xsd:simpleType>
        <xsd:restriction base="dms:Text"/>
      </xsd:simpleType>
    </xsd:element>
    <xsd:element name="NameScheme" ma:index="65" nillable="true" ma:displayName="Name Scheme" ma:hidden="true" ma:internalName="NameScheme" ma:readOnly="false">
      <xsd:simpleType>
        <xsd:restriction base="dms:Text"/>
      </xsd:simpleType>
    </xsd:element>
    <xsd:element name="IdentifierScheme" ma:index="66" nillable="true" ma:displayName="Identifier Scheme" ma:default="RecordPoint" ma:hidden="true" ma:internalName="IdentifierScheme" ma:readOnly="false">
      <xsd:simpleType>
        <xsd:restriction base="dms:Text"/>
      </xsd:simpleType>
    </xsd:element>
    <xsd:element name="m3f2ca6b2c9a4802967adedbb4af06ae" ma:index="67" nillable="true" ma:taxonomy="true" ma:internalName="m3f2ca6b2c9a4802967adedbb4af06ae" ma:taxonomyFieldName="Application_x0020_Library" ma:displayName="Application Library" ma:readOnly="false" ma:fieldId="{63f2ca6b-2c9a-4802-967a-dedbb4af06ae}" ma:sspId="bce47a14-5049-44f5-9725-de9c3b17a93b" ma:termSetId="55c24099-0a67-4aa1-976f-bac0dc13e218" ma:anchorId="00000000-0000-0000-0000-000000000000" ma:open="false" ma:isKeyword="false">
      <xsd:complexType>
        <xsd:sequence>
          <xsd:element ref="pc:Terms" minOccurs="0" maxOccurs="1"/>
        </xsd:sequence>
      </xsd:complexType>
    </xsd:element>
    <xsd:element name="TaxCatchAllLabel" ma:index="69" nillable="true" ma:displayName="Taxonomy Catch All Column1" ma:hidden="true" ma:list="{6409ff59-da27-43b9-9466-eca8795ec41c}" ma:internalName="TaxCatchAllLabel" ma:readOnly="true" ma:showField="CatchAllDataLabel" ma:web="7012054d-3a07-4b40-940b-a148fc76e5c4">
      <xsd:complexType>
        <xsd:complexContent>
          <xsd:extension base="dms:MultiChoiceLookup">
            <xsd:sequence>
              <xsd:element name="Value" type="dms:Lookup" maxOccurs="unbounded" minOccurs="0" nillable="true"/>
            </xsd:sequence>
          </xsd:extension>
        </xsd:complexContent>
      </xsd:complexType>
    </xsd:element>
    <xsd:element name="TaxKeywordTaxHTField" ma:index="70" nillable="true" ma:taxonomy="true" ma:internalName="TaxKeywordTaxHTField" ma:taxonomyFieldName="TaxKeyword" ma:displayName="Enterprise Keywords" ma:readOnly="false" ma:fieldId="{23f27201-bee3-471e-b2e7-b64fd8b7ca38}" ma:taxonomyMulti="true" ma:sspId="bce47a14-5049-44f5-9725-de9c3b17a93b"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6"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Created" ma:index="71" nillable="true" ma:displayName="Date Created" ma:description="The date on which this resource was created" ma:format="DateTime" ma:hidden="true" ma:internalName="_DCDateCreat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1c7fc68-f963-4fbf-ab17-100a6bd4a79c" elementFormDefault="qualified">
    <xsd:import namespace="http://schemas.microsoft.com/office/2006/documentManagement/types"/>
    <xsd:import namespace="http://schemas.microsoft.com/office/infopath/2007/PartnerControls"/>
    <xsd:element name="MediaServiceMetadata" ma:index="75" nillable="true" ma:displayName="MediaServiceMetadata" ma:hidden="true" ma:internalName="MediaServiceMetadata" ma:readOnly="true">
      <xsd:simpleType>
        <xsd:restriction base="dms:Note"/>
      </xsd:simpleType>
    </xsd:element>
    <xsd:element name="MediaServiceFastMetadata" ma:index="76" nillable="true" ma:displayName="MediaServiceFastMetadata" ma:hidden="true" ma:internalName="MediaServiceFastMetadata" ma:readOnly="true">
      <xsd:simpleType>
        <xsd:restriction base="dms:Note"/>
      </xsd:simpleType>
    </xsd:element>
    <xsd:element name="MediaServiceAutoKeyPoints" ma:index="79" nillable="true" ma:displayName="MediaServiceAutoKeyPoints" ma:hidden="true" ma:internalName="MediaServiceAutoKeyPoints" ma:readOnly="true">
      <xsd:simpleType>
        <xsd:restriction base="dms:Note"/>
      </xsd:simpleType>
    </xsd:element>
    <xsd:element name="MediaServiceKeyPoints" ma:index="8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db9f5-4e6c-4c4a-a24d-2c5439f6d702" elementFormDefault="qualified">
    <xsd:import namespace="http://schemas.microsoft.com/office/2006/documentManagement/types"/>
    <xsd:import namespace="http://schemas.microsoft.com/office/infopath/2007/PartnerControls"/>
    <xsd:element name="SharedWithUsers" ma:index="7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4" ma:displayName="Content Type"/>
        <xsd:element ref="dc:title" minOccurs="0" maxOccurs="1" ma:index="12" ma:displayName="Title"/>
        <xsd:element ref="dc:subject" minOccurs="0" maxOccurs="1"/>
        <xsd:element ref="dc:description" minOccurs="0" maxOccurs="1" ma:index="14"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RkMSLanguage xmlns="7012054d-3a07-4b40-940b-a148fc76e5c4">en-au</AGRkMSLanguage>
    <Units xmlns="7012054d-3a07-4b40-940b-a148fc76e5c4">KB</Units>
    <RightsStatement xmlns="7012054d-3a07-4b40-940b-a148fc76e5c4">NOPTA Members Only</RightsStatement>
    <Jurisdiction xmlns="7012054d-3a07-4b40-940b-a148fc76e5c4">
      <Value>AU</Value>
    </Jurisdiction>
    <CaveatCategory xmlns="7012054d-3a07-4b40-940b-a148fc76e5c4">DLM: For Official Use Only</CaveatCategory>
    <IdentifierScheme xmlns="7012054d-3a07-4b40-940b-a148fc76e5c4">RecordPoint</IdentifierScheme>
    <HashFunctionName xmlns="7012054d-3a07-4b40-940b-a148fc76e5c4">MD5</HashFunctionName>
    <_dlc_DocId xmlns="7012054d-3a07-4b40-940b-a148fc76e5c4">NOPTANET-1686289485-390</_dlc_DocId>
    <TaxCatchAll xmlns="7012054d-3a07-4b40-940b-a148fc76e5c4">
      <Value>764</Value>
      <Value>3017</Value>
      <Value>3968</Value>
      <Value>4679</Value>
      <Value>137</Value>
    </TaxCatchAll>
    <SecurityClassification xmlns="7012054d-3a07-4b40-940b-a148fc76e5c4">DLM: For Official Use Only</SecurityClassification>
    <RightsType xmlns="7012054d-3a07-4b40-940b-a148fc76e5c4">Use Permission</RightsType>
    <SpatialCoverage xmlns="7012054d-3a07-4b40-940b-a148fc76e5c4">Commonwealth of Australia</SpatialCoverage>
    <Medium xmlns="7012054d-3a07-4b40-940b-a148fc76e5c4">Digital File</Medium>
    <RightsStatus xmlns="7012054d-3a07-4b40-940b-a148fc76e5c4">Open</RightsStatus>
    <FormatRegistry xmlns="7012054d-3a07-4b40-940b-a148fc76e5c4">System generated</FormatRegistry>
    <FormatName xmlns="7012054d-3a07-4b40-940b-a148fc76e5c4">Word</FormatName>
    <JurisdictionalCoverage xmlns="7012054d-3a07-4b40-940b-a148fc76e5c4">
      <Value>Commonwealth of Australia (AU)</Value>
    </JurisdictionalCoverage>
    <CaveatText xmlns="7012054d-3a07-4b40-940b-a148fc76e5c4">PSPF</CaveatText>
    <Identifier xmlns="7012054d-3a07-4b40-940b-a148fc76e5c4">0</Identifier>
    <BusinessFunction_Note xmlns="7012054d-3a07-4b40-940b-a148fc76e5c4">
      <Terms xmlns="http://schemas.microsoft.com/office/infopath/2007/PartnerControls">
        <TermInfo xmlns="http://schemas.microsoft.com/office/infopath/2007/PartnerControls">
          <TermName xmlns="http://schemas.microsoft.com/office/infopath/2007/PartnerControls">Reviews</TermName>
          <TermId xmlns="http://schemas.microsoft.com/office/infopath/2007/PartnerControls">5fe29a63-56af-46cc-ae65-434b63cde2b7</TermId>
        </TermInfo>
      </Terms>
    </BusinessFunction_Note>
    <AGRkMSCategory xmlns="7012054d-3a07-4b40-940b-a148fc76e5c4">Item</AGRkMSCategory>
    <CreatingApplicationName xmlns="7012054d-3a07-4b40-940b-a148fc76e5c4">Microsoft Word</CreatingApplicationName>
    <_dlc_DocIdUrl xmlns="7012054d-3a07-4b40-940b-a148fc76e5c4">
      <Url>https://nopta.sharepoint.com/team/LCT/_layouts/15/DocIdRedir.aspx?ID=NOPTANET-1686289485-390</Url>
      <Description>NOPTANET-1686289485-390</Description>
    </_dlc_DocIdUrl>
    <FormatVersion xmlns="7012054d-3a07-4b40-940b-a148fc76e5c4">2013</FormatVersion>
    <CreatingApplicationVersion xmlns="7012054d-3a07-4b40-940b-a148fc76e5c4">2013</CreatingApplicationVersion>
    <RecordKeywords xmlns="7012054d-3a07-4b40-940b-a148fc76e5c4" xsi:nil="true"/>
    <DateRangeEnd xmlns="7012054d-3a07-4b40-940b-a148fc76e5c4" xsi:nil="true"/>
    <RecordLocation xmlns="7012054d-3a07-4b40-940b-a148fc76e5c4" xsi:nil="true"/>
    <AGRkMSDescription xmlns="7012054d-3a07-4b40-940b-a148fc76e5c4" xsi:nil="true"/>
    <Team_Note xmlns="7012054d-3a07-4b40-940b-a148fc76e5c4">
      <Terms xmlns="http://schemas.microsoft.com/office/infopath/2007/PartnerControls"/>
    </Team_Note>
    <_dlc_DocIdPersistId xmlns="7012054d-3a07-4b40-940b-a148fc76e5c4" xsi:nil="true"/>
    <NameScheme xmlns="7012054d-3a07-4b40-940b-a148fc76e5c4" xsi:nil="true"/>
    <m3f2ca6b2c9a4802967adedbb4af06ae xmlns="7012054d-3a07-4b40-940b-a148fc76e5c4">
      <Terms xmlns="http://schemas.microsoft.com/office/infopath/2007/PartnerControls"/>
    </m3f2ca6b2c9a4802967adedbb4af06ae>
    <AssignedTo xmlns="http://schemas.microsoft.com/sharepoint/v3">
      <UserInfo>
        <DisplayName/>
        <AccountId xsi:nil="true"/>
        <AccountType/>
      </UserInfo>
    </AssignedTo>
    <KeywordScheme xmlns="7012054d-3a07-4b40-940b-a148fc76e5c4" xsi:nil="true"/>
    <RecordContactDetails xmlns="7012054d-3a07-4b40-940b-a148fc76e5c4" xsi:nil="true"/>
    <_Status xmlns="http://schemas.microsoft.com/sharepoint/v3/fields">Not Started</_Status>
    <Quantity xmlns="7012054d-3a07-4b40-940b-a148fc76e5c4" xsi:nil="true"/>
    <DocumentForm xmlns="7012054d-3a07-4b40-940b-a148fc76e5c4" xsi:nil="true"/>
    <OfNationalSignificance xmlns="7012054d-3a07-4b40-940b-a148fc76e5c4">No</OfNationalSignificance>
    <DocumentSetDescription xmlns="http://schemas.microsoft.com/sharepoint/v3" xsi:nil="true"/>
    <KeywordID xmlns="7012054d-3a07-4b40-940b-a148fc76e5c4" xsi:nil="true"/>
    <Entity xmlns="7012054d-3a07-4b40-940b-a148fc76e5c4" xsi:nil="true"/>
    <Precedence xmlns="7012054d-3a07-4b40-940b-a148fc76e5c4" xsi:nil="true"/>
    <RecordContact xmlns="7012054d-3a07-4b40-940b-a148fc76e5c4">
      <UserInfo>
        <DisplayName/>
        <AccountId xsi:nil="true"/>
        <AccountType/>
      </UserInfo>
    </RecordContact>
    <RecordExtentUnits xmlns="7012054d-3a07-4b40-940b-a148fc76e5c4" xsi:nil="true"/>
    <RecordExtent xmlns="7012054d-3a07-4b40-940b-a148fc76e5c4" xsi:nil="true"/>
    <DocumentType_Note xmlns="7012054d-3a07-4b40-940b-a148fc76e5c4">
      <Terms xmlns="http://schemas.microsoft.com/office/infopath/2007/PartnerControls">
        <TermInfo xmlns="http://schemas.microsoft.com/office/infopath/2007/PartnerControls">
          <TermName xmlns="http://schemas.microsoft.com/office/infopath/2007/PartnerControls">Guideline</TermName>
          <TermId xmlns="http://schemas.microsoft.com/office/infopath/2007/PartnerControls">d1b666ff-1768-485a-b83d-c8693c6a4acc</TermId>
        </TermInfo>
      </Terms>
    </DocumentType_Note>
    <pfcb0be319e247388db2251ff9d23f72 xmlns="7012054d-3a07-4b40-940b-a148fc76e5c4">
      <Terms xmlns="http://schemas.microsoft.com/office/infopath/2007/PartnerControls"/>
    </pfcb0be319e247388db2251ff9d23f72>
    <MessageDigest xmlns="7012054d-3a07-4b40-940b-a148fc76e5c4" xsi:nil="true"/>
    <TemporalCoverage xmlns="7012054d-3a07-4b40-940b-a148fc76e5c4" xsi:nil="true"/>
    <DateRangeStart xmlns="7012054d-3a07-4b40-940b-a148fc76e5c4" xsi:nil="true"/>
    <TaxKeywordTaxHTField xmlns="7012054d-3a07-4b40-940b-a148fc76e5c4">
      <Terms xmlns="http://schemas.microsoft.com/office/infopath/2007/PartnerControls">
        <TermInfo xmlns="http://schemas.microsoft.com/office/infopath/2007/PartnerControls">
          <TermName xmlns="http://schemas.microsoft.com/office/infopath/2007/PartnerControls">website</TermName>
          <TermId xmlns="http://schemas.microsoft.com/office/infopath/2007/PartnerControls">bd1945c2-7cae-49b3-b286-449954ace43c</TermId>
        </TermInfo>
        <TermInfo xmlns="http://schemas.microsoft.com/office/infopath/2007/PartnerControls">
          <TermName xmlns="http://schemas.microsoft.com/office/infopath/2007/PartnerControls">Guidelines</TermName>
          <TermId xmlns="http://schemas.microsoft.com/office/infopath/2007/PartnerControls">2f155a20-2806-4609-83fa-0f837c3a6035</TermId>
        </TermInfo>
        <TermInfo xmlns="http://schemas.microsoft.com/office/infopath/2007/PartnerControls">
          <TermName xmlns="http://schemas.microsoft.com/office/infopath/2007/PartnerControls">Decomissioning</TermName>
          <TermId xmlns="http://schemas.microsoft.com/office/infopath/2007/PartnerControls">2975ef25-20db-4897-af13-0a7c2f252cdb</TermId>
        </TermInfo>
      </Terms>
    </TaxKeywordTaxHTField>
    <g91dc4f691a04421b1edf463601fabf6 xmlns="7012054d-3a07-4b40-940b-a148fc76e5c4">
      <Terms xmlns="http://schemas.microsoft.com/office/infopath/2007/PartnerControls"/>
    </g91dc4f691a04421b1edf463601fabf6>
    <KeywordSchemeType xmlns="7012054d-3a07-4b40-940b-a148fc76e5c4" xsi:nil="true"/>
    <Titles_Note xmlns="7012054d-3a07-4b40-940b-a148fc76e5c4">
      <Terms xmlns="http://schemas.microsoft.com/office/infopath/2007/PartnerControls"/>
    </Titles_Note>
    <_DCDateCreated xmlns="http://schemas.microsoft.com/sharepoint/v3/fields"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35630-5108-4786-8DE7-8F03294752DC}">
  <ds:schemaRefs>
    <ds:schemaRef ds:uri="http://schemas.microsoft.com/sharepoint/events"/>
  </ds:schemaRefs>
</ds:datastoreItem>
</file>

<file path=customXml/itemProps2.xml><?xml version="1.0" encoding="utf-8"?>
<ds:datastoreItem xmlns:ds="http://schemas.openxmlformats.org/officeDocument/2006/customXml" ds:itemID="{263F4306-A977-457F-AF70-A0296FF16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12054d-3a07-4b40-940b-a148fc76e5c4"/>
    <ds:schemaRef ds:uri="http://schemas.microsoft.com/sharepoint/v3/fields"/>
    <ds:schemaRef ds:uri="e1c7fc68-f963-4fbf-ab17-100a6bd4a79c"/>
    <ds:schemaRef ds:uri="a8fdb9f5-4e6c-4c4a-a24d-2c5439f6d7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6FFB04-E41F-4841-8F98-B0A3108D868B}">
  <ds:schemaRefs>
    <ds:schemaRef ds:uri="http://schemas.microsoft.com/sharepoint/v3/contenttype/forms"/>
  </ds:schemaRefs>
</ds:datastoreItem>
</file>

<file path=customXml/itemProps4.xml><?xml version="1.0" encoding="utf-8"?>
<ds:datastoreItem xmlns:ds="http://schemas.openxmlformats.org/officeDocument/2006/customXml" ds:itemID="{00491BCB-BC7E-4515-9BFE-A2D5728F9E41}">
  <ds:schemaRefs>
    <ds:schemaRef ds:uri="http://purl.org/dc/elements/1.1/"/>
    <ds:schemaRef ds:uri="http://schemas.microsoft.com/office/2006/documentManagement/types"/>
    <ds:schemaRef ds:uri="http://schemas.microsoft.com/sharepoint/v3/fields"/>
    <ds:schemaRef ds:uri="http://schemas.openxmlformats.org/package/2006/metadata/core-properties"/>
    <ds:schemaRef ds:uri="http://schemas.microsoft.com/sharepoint/v3"/>
    <ds:schemaRef ds:uri="http://purl.org/dc/terms/"/>
    <ds:schemaRef ds:uri="e1c7fc68-f963-4fbf-ab17-100a6bd4a79c"/>
    <ds:schemaRef ds:uri="http://purl.org/dc/dcmitype/"/>
    <ds:schemaRef ds:uri="http://schemas.microsoft.com/office/infopath/2007/PartnerControls"/>
    <ds:schemaRef ds:uri="a8fdb9f5-4e6c-4c4a-a24d-2c5439f6d702"/>
    <ds:schemaRef ds:uri="7012054d-3a07-4b40-940b-a148fc76e5c4"/>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EB3BB96-EB69-4749-A528-78A1DE545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6577</Words>
  <Characters>37489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Decommissioning Guideline</vt:lpstr>
    </vt:vector>
  </TitlesOfParts>
  <Company/>
  <LinksUpToDate>false</LinksUpToDate>
  <CharactersWithSpaces>43979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Decommissioning Guideline</dc:title>
  <dc:subject/>
  <dc:creator/>
  <cp:keywords>Decomissioning; website; Guidelines</cp:keywords>
  <dc:description>Update with new Department name</dc:description>
  <cp:lastModifiedBy/>
  <cp:revision>1</cp:revision>
  <dcterms:created xsi:type="dcterms:W3CDTF">2020-02-14T00:32:00Z</dcterms:created>
  <dcterms:modified xsi:type="dcterms:W3CDTF">2020-02-14T00:33:00Z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Function">
    <vt:lpwstr>764;#Reviews|5fe29a63-56af-46cc-ae65-434b63cde2b7</vt:lpwstr>
  </property>
  <property fmtid="{D5CDD505-2E9C-101B-9397-08002B2CF9AE}" pid="3" name="ContentTypeId">
    <vt:lpwstr>0x01010063547D135F865547B104B3688A6EB0DB004EBC41CBB87686458B4EADC66475DA23</vt:lpwstr>
  </property>
  <property fmtid="{D5CDD505-2E9C-101B-9397-08002B2CF9AE}" pid="4" name="_dlc_DocIdItemGuid">
    <vt:lpwstr>a72fc2c5-b950-4f34-8988-60f0276ba340</vt:lpwstr>
  </property>
  <property fmtid="{D5CDD505-2E9C-101B-9397-08002B2CF9AE}" pid="5" name="TaxKeyword">
    <vt:lpwstr>3968;#website|bd1945c2-7cae-49b3-b286-449954ace43c;#4679;#Guidelines|2f155a20-2806-4609-83fa-0f837c3a6035;#3017;#Decomissioning|2975ef25-20db-4897-af13-0a7c2f252cdb</vt:lpwstr>
  </property>
  <property fmtid="{D5CDD505-2E9C-101B-9397-08002B2CF9AE}" pid="6" name="Titles">
    <vt:lpwstr/>
  </property>
  <property fmtid="{D5CDD505-2E9C-101B-9397-08002B2CF9AE}" pid="7" name="Title Type">
    <vt:lpwstr/>
  </property>
  <property fmtid="{D5CDD505-2E9C-101B-9397-08002B2CF9AE}" pid="8" name="DocumentType">
    <vt:lpwstr>137;#Guideline|d1b666ff-1768-485a-b83d-c8693c6a4acc</vt:lpwstr>
  </property>
  <property fmtid="{D5CDD505-2E9C-101B-9397-08002B2CF9AE}" pid="9" name="Offshore Region">
    <vt:lpwstr/>
  </property>
  <property fmtid="{D5CDD505-2E9C-101B-9397-08002B2CF9AE}" pid="10" name="Application Library">
    <vt:lpwstr/>
  </property>
  <property fmtid="{D5CDD505-2E9C-101B-9397-08002B2CF9AE}" pid="11" name="Team">
    <vt:lpwstr/>
  </property>
</Properties>
</file>