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D4A27" w14:textId="1F4E8488" w:rsidR="00324DB5" w:rsidRDefault="00324DB5" w:rsidP="00027EFD">
      <w:pPr>
        <w:rPr>
          <w:rFonts w:ascii="Arial" w:hAnsi="Arial" w:cs="Arial"/>
          <w:color w:val="0070C0"/>
          <w:sz w:val="40"/>
          <w:szCs w:val="40"/>
        </w:rPr>
      </w:pPr>
    </w:p>
    <w:p w14:paraId="74E4F8F3" w14:textId="6EE63A60" w:rsidR="00B61661" w:rsidRDefault="001B4836" w:rsidP="00027EFD">
      <w:pPr>
        <w:rPr>
          <w:rFonts w:ascii="Arial" w:hAnsi="Arial" w:cs="Arial"/>
          <w:color w:val="0070C0"/>
          <w:sz w:val="40"/>
          <w:szCs w:val="40"/>
        </w:rPr>
      </w:pPr>
      <w:r>
        <w:rPr>
          <w:rFonts w:ascii="Arial" w:hAnsi="Arial" w:cs="Arial"/>
          <w:noProof/>
          <w:color w:val="0070C0"/>
          <w:sz w:val="40"/>
          <w:szCs w:val="40"/>
        </w:rPr>
        <w:drawing>
          <wp:inline distT="0" distB="0" distL="0" distR="0" wp14:anchorId="115A5E9A" wp14:editId="009F714D">
            <wp:extent cx="2686050" cy="7843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1025" cy="788690"/>
                    </a:xfrm>
                    <a:prstGeom prst="rect">
                      <a:avLst/>
                    </a:prstGeom>
                  </pic:spPr>
                </pic:pic>
              </a:graphicData>
            </a:graphic>
          </wp:inline>
        </w:drawing>
      </w:r>
    </w:p>
    <w:p w14:paraId="37929116" w14:textId="77777777" w:rsidR="00324DB5" w:rsidRDefault="00324DB5" w:rsidP="00027EFD">
      <w:pPr>
        <w:rPr>
          <w:rFonts w:ascii="Arial" w:hAnsi="Arial" w:cs="Arial"/>
          <w:color w:val="0070C0"/>
          <w:sz w:val="40"/>
          <w:szCs w:val="40"/>
        </w:rPr>
      </w:pPr>
    </w:p>
    <w:p w14:paraId="0CD4C772" w14:textId="77777777" w:rsidR="00324DB5" w:rsidRDefault="00324DB5" w:rsidP="00027EFD">
      <w:pPr>
        <w:rPr>
          <w:rFonts w:ascii="Arial" w:hAnsi="Arial" w:cs="Arial"/>
          <w:color w:val="0070C0"/>
          <w:sz w:val="40"/>
          <w:szCs w:val="40"/>
        </w:rPr>
      </w:pPr>
    </w:p>
    <w:p w14:paraId="59F41AB5" w14:textId="77777777" w:rsidR="00324DB5" w:rsidRDefault="00324DB5" w:rsidP="00027EFD">
      <w:pPr>
        <w:rPr>
          <w:rFonts w:ascii="Arial" w:hAnsi="Arial" w:cs="Arial"/>
          <w:color w:val="0070C0"/>
          <w:sz w:val="40"/>
          <w:szCs w:val="40"/>
        </w:rPr>
      </w:pPr>
    </w:p>
    <w:p w14:paraId="04B177BC" w14:textId="77777777" w:rsidR="00324DB5" w:rsidRDefault="00324DB5" w:rsidP="00027EFD">
      <w:pPr>
        <w:rPr>
          <w:rFonts w:ascii="Arial" w:hAnsi="Arial" w:cs="Arial"/>
          <w:color w:val="0070C0"/>
          <w:sz w:val="40"/>
          <w:szCs w:val="40"/>
        </w:rPr>
      </w:pPr>
    </w:p>
    <w:p w14:paraId="274B22F1" w14:textId="77777777" w:rsidR="00324DB5" w:rsidRDefault="00324DB5" w:rsidP="002E3D1B">
      <w:pPr>
        <w:jc w:val="center"/>
        <w:rPr>
          <w:rFonts w:ascii="Arial" w:hAnsi="Arial" w:cs="Arial"/>
          <w:color w:val="0070C0"/>
          <w:sz w:val="40"/>
          <w:szCs w:val="40"/>
        </w:rPr>
      </w:pPr>
    </w:p>
    <w:p w14:paraId="08884182" w14:textId="77777777" w:rsidR="00324DB5" w:rsidRDefault="00324DB5" w:rsidP="00027EFD">
      <w:pPr>
        <w:rPr>
          <w:rFonts w:ascii="Arial" w:hAnsi="Arial" w:cs="Arial"/>
          <w:color w:val="0070C0"/>
          <w:sz w:val="40"/>
          <w:szCs w:val="40"/>
        </w:rPr>
      </w:pPr>
    </w:p>
    <w:p w14:paraId="6E45D66A" w14:textId="77777777" w:rsidR="00324DB5" w:rsidRDefault="00324DB5" w:rsidP="00027EFD">
      <w:pPr>
        <w:rPr>
          <w:rFonts w:ascii="Arial" w:hAnsi="Arial" w:cs="Arial"/>
          <w:color w:val="0070C0"/>
          <w:sz w:val="40"/>
          <w:szCs w:val="40"/>
        </w:rPr>
      </w:pPr>
    </w:p>
    <w:p w14:paraId="083F9793" w14:textId="77777777" w:rsidR="00324DB5" w:rsidRDefault="00324DB5" w:rsidP="00027EFD">
      <w:pPr>
        <w:rPr>
          <w:rFonts w:ascii="Arial" w:hAnsi="Arial" w:cs="Arial"/>
          <w:color w:val="0070C0"/>
          <w:sz w:val="40"/>
          <w:szCs w:val="40"/>
        </w:rPr>
      </w:pPr>
    </w:p>
    <w:p w14:paraId="0AA687A5" w14:textId="77777777" w:rsidR="00324DB5" w:rsidRDefault="00324DB5" w:rsidP="00027EFD">
      <w:pPr>
        <w:rPr>
          <w:rFonts w:ascii="Arial" w:hAnsi="Arial" w:cs="Arial"/>
          <w:color w:val="0070C0"/>
          <w:sz w:val="40"/>
          <w:szCs w:val="40"/>
        </w:rPr>
      </w:pPr>
    </w:p>
    <w:p w14:paraId="424985A1" w14:textId="31AE82FC" w:rsidR="00027EFD" w:rsidRPr="0083560E" w:rsidRDefault="00324DB5" w:rsidP="0083560E">
      <w:pPr>
        <w:pStyle w:val="Title"/>
        <w:rPr>
          <w:rFonts w:asciiTheme="minorHAnsi" w:hAnsiTheme="minorHAnsi"/>
          <w:color w:val="5B9BD5" w:themeColor="accent1"/>
          <w:sz w:val="40"/>
          <w:szCs w:val="40"/>
          <w:lang w:eastAsia="en-AU"/>
        </w:rPr>
      </w:pPr>
      <w:r w:rsidRPr="0083560E">
        <w:rPr>
          <w:rFonts w:asciiTheme="minorHAnsi" w:hAnsiTheme="minorHAnsi"/>
          <w:color w:val="5B9BD5" w:themeColor="accent1"/>
          <w:sz w:val="40"/>
          <w:szCs w:val="40"/>
          <w:lang w:eastAsia="en-AU"/>
        </w:rPr>
        <w:t xml:space="preserve">Offshore Petroleum: </w:t>
      </w:r>
      <w:r w:rsidR="00027EFD" w:rsidRPr="0083560E">
        <w:rPr>
          <w:rFonts w:asciiTheme="minorHAnsi" w:hAnsiTheme="minorHAnsi"/>
          <w:color w:val="5B9BD5" w:themeColor="accent1"/>
          <w:sz w:val="40"/>
          <w:szCs w:val="40"/>
          <w:lang w:eastAsia="en-AU"/>
        </w:rPr>
        <w:t xml:space="preserve">Declaration of </w:t>
      </w:r>
      <w:r w:rsidR="00857D16" w:rsidRPr="0083560E">
        <w:rPr>
          <w:rFonts w:asciiTheme="minorHAnsi" w:hAnsiTheme="minorHAnsi"/>
          <w:color w:val="5B9BD5" w:themeColor="accent1"/>
          <w:sz w:val="40"/>
          <w:szCs w:val="40"/>
          <w:lang w:eastAsia="en-AU"/>
        </w:rPr>
        <w:t xml:space="preserve">a </w:t>
      </w:r>
      <w:r w:rsidR="00027EFD" w:rsidRPr="0083560E">
        <w:rPr>
          <w:rFonts w:asciiTheme="minorHAnsi" w:hAnsiTheme="minorHAnsi"/>
          <w:color w:val="5B9BD5" w:themeColor="accent1"/>
          <w:sz w:val="40"/>
          <w:szCs w:val="40"/>
          <w:lang w:eastAsia="en-AU"/>
        </w:rPr>
        <w:t xml:space="preserve">Location Guideline </w:t>
      </w:r>
    </w:p>
    <w:p w14:paraId="1998512D" w14:textId="77777777" w:rsidR="00027EFD" w:rsidRDefault="00027EFD" w:rsidP="00027EFD">
      <w:pPr>
        <w:rPr>
          <w:rFonts w:ascii="Arial" w:hAnsi="Arial" w:cs="Arial"/>
          <w:color w:val="0070C0"/>
        </w:rPr>
      </w:pPr>
    </w:p>
    <w:p w14:paraId="0EE3C050" w14:textId="77777777" w:rsidR="00324DB5" w:rsidRPr="006F291F" w:rsidRDefault="00324DB5" w:rsidP="00027EFD">
      <w:pPr>
        <w:rPr>
          <w:rFonts w:ascii="Arial" w:hAnsi="Arial" w:cs="Arial"/>
          <w:color w:val="0070C0"/>
        </w:rPr>
      </w:pPr>
    </w:p>
    <w:p w14:paraId="036EDD1B" w14:textId="4C324804" w:rsidR="00027EFD" w:rsidRPr="00324DB5" w:rsidRDefault="00027EFD" w:rsidP="0083560E">
      <w:pPr>
        <w:rPr>
          <w:rFonts w:ascii="Arial" w:hAnsi="Arial" w:cs="Arial"/>
          <w:i/>
          <w:color w:val="0070C0"/>
          <w:sz w:val="28"/>
          <w:szCs w:val="28"/>
        </w:rPr>
      </w:pPr>
      <w:r w:rsidRPr="0083560E">
        <w:rPr>
          <w:rFonts w:asciiTheme="minorHAnsi" w:hAnsiTheme="minorHAnsi"/>
          <w:color w:val="5B9BD5" w:themeColor="accent1"/>
          <w:sz w:val="28"/>
          <w:szCs w:val="32"/>
        </w:rPr>
        <w:t xml:space="preserve">In relation to the </w:t>
      </w:r>
      <w:r w:rsidRPr="002E3D1B">
        <w:rPr>
          <w:rFonts w:asciiTheme="minorHAnsi" w:hAnsiTheme="minorHAnsi"/>
          <w:i/>
          <w:color w:val="5B9BD5" w:themeColor="accent1"/>
          <w:sz w:val="28"/>
          <w:szCs w:val="32"/>
        </w:rPr>
        <w:t>Offshore Petroleum and Greenhouse Gas Storage Act 2006</w:t>
      </w:r>
      <w:r w:rsidR="00324DB5" w:rsidRPr="00324DB5">
        <w:rPr>
          <w:rFonts w:ascii="Arial" w:hAnsi="Arial" w:cs="Arial"/>
          <w:i/>
          <w:color w:val="0070C0"/>
          <w:sz w:val="28"/>
          <w:szCs w:val="28"/>
        </w:rPr>
        <w:tab/>
      </w:r>
    </w:p>
    <w:p w14:paraId="4F24F94C" w14:textId="77777777" w:rsidR="00027EFD" w:rsidRDefault="00027EFD" w:rsidP="00027EFD"/>
    <w:p w14:paraId="587CC40E" w14:textId="41DA311F" w:rsidR="00027EFD" w:rsidRDefault="00027EFD" w:rsidP="00027EFD">
      <w:pPr>
        <w:pStyle w:val="BodyText"/>
      </w:pPr>
    </w:p>
    <w:p w14:paraId="457A390F" w14:textId="04DDED73" w:rsidR="00027EFD" w:rsidRDefault="009B3331" w:rsidP="0083560E">
      <w:pPr>
        <w:pStyle w:val="BodyText"/>
        <w:spacing w:before="0" w:after="200" w:line="300" w:lineRule="auto"/>
      </w:pPr>
      <w:r>
        <w:t xml:space="preserve">Effective </w:t>
      </w:r>
      <w:r w:rsidR="001E6611">
        <w:t>May</w:t>
      </w:r>
      <w:r w:rsidR="0045131F">
        <w:t xml:space="preserve"> 2019</w:t>
      </w:r>
    </w:p>
    <w:p w14:paraId="7CEBC478" w14:textId="77777777" w:rsidR="00027EFD" w:rsidRDefault="00027EFD" w:rsidP="00027EFD">
      <w:pPr>
        <w:pStyle w:val="BodyText"/>
        <w:rPr>
          <w:sz w:val="18"/>
          <w:szCs w:val="18"/>
        </w:rPr>
      </w:pPr>
    </w:p>
    <w:p w14:paraId="7BDD2F7E" w14:textId="77777777" w:rsidR="009B3331" w:rsidRDefault="009B3331" w:rsidP="00027EFD">
      <w:pPr>
        <w:pStyle w:val="BodyText"/>
        <w:rPr>
          <w:sz w:val="18"/>
          <w:szCs w:val="18"/>
        </w:rPr>
      </w:pPr>
    </w:p>
    <w:p w14:paraId="6F73F75F" w14:textId="77777777" w:rsidR="009B3331" w:rsidRDefault="009B3331" w:rsidP="00027EFD">
      <w:pPr>
        <w:pStyle w:val="BodyText"/>
        <w:rPr>
          <w:sz w:val="18"/>
          <w:szCs w:val="18"/>
        </w:rPr>
      </w:pPr>
    </w:p>
    <w:p w14:paraId="4EE5E86E" w14:textId="77777777" w:rsidR="009B3331" w:rsidRDefault="009B3331" w:rsidP="00027EFD">
      <w:pPr>
        <w:pStyle w:val="BodyText"/>
        <w:rPr>
          <w:sz w:val="18"/>
          <w:szCs w:val="18"/>
        </w:rPr>
      </w:pPr>
    </w:p>
    <w:p w14:paraId="6512939C" w14:textId="77777777" w:rsidR="009B3331" w:rsidRDefault="009B3331" w:rsidP="00027EFD">
      <w:pPr>
        <w:pStyle w:val="BodyText"/>
        <w:rPr>
          <w:sz w:val="18"/>
          <w:szCs w:val="18"/>
        </w:rPr>
      </w:pPr>
    </w:p>
    <w:p w14:paraId="757CE037" w14:textId="77777777" w:rsidR="009B3331" w:rsidRDefault="009B3331" w:rsidP="00027EFD">
      <w:pPr>
        <w:pStyle w:val="BodyText"/>
        <w:rPr>
          <w:sz w:val="18"/>
          <w:szCs w:val="18"/>
        </w:rPr>
      </w:pPr>
    </w:p>
    <w:p w14:paraId="39DEC89D" w14:textId="51563100" w:rsidR="009B3331" w:rsidRPr="003E46BF" w:rsidRDefault="009B3331" w:rsidP="009B3331">
      <w:pPr>
        <w:autoSpaceDE w:val="0"/>
        <w:autoSpaceDN w:val="0"/>
        <w:rPr>
          <w:rFonts w:ascii="Arial" w:hAnsi="Arial" w:cs="Arial"/>
          <w:color w:val="000000"/>
          <w:sz w:val="18"/>
          <w:szCs w:val="20"/>
        </w:rPr>
      </w:pPr>
      <w:r w:rsidRPr="003E46BF">
        <w:rPr>
          <w:rFonts w:ascii="Arial" w:hAnsi="Arial" w:cs="Arial"/>
          <w:color w:val="000000"/>
          <w:sz w:val="18"/>
          <w:szCs w:val="20"/>
        </w:rPr>
        <w:t xml:space="preserve">This document has been developed as a general guide only. It </w:t>
      </w:r>
      <w:r>
        <w:rPr>
          <w:rFonts w:ascii="Arial" w:hAnsi="Arial" w:cs="Arial"/>
          <w:color w:val="000000"/>
          <w:sz w:val="18"/>
          <w:szCs w:val="20"/>
        </w:rPr>
        <w:t xml:space="preserve">is subject to, and </w:t>
      </w:r>
      <w:r w:rsidRPr="003E46BF">
        <w:rPr>
          <w:rFonts w:ascii="Arial" w:hAnsi="Arial" w:cs="Arial"/>
          <w:color w:val="000000"/>
          <w:sz w:val="18"/>
          <w:szCs w:val="20"/>
        </w:rPr>
        <w:t>does not replace or amend the requirements of the</w:t>
      </w:r>
      <w:r w:rsidR="00B3071A">
        <w:rPr>
          <w:rFonts w:ascii="Arial" w:hAnsi="Arial" w:cs="Arial"/>
          <w:color w:val="000000"/>
          <w:sz w:val="18"/>
          <w:szCs w:val="20"/>
        </w:rPr>
        <w:t xml:space="preserve"> </w:t>
      </w:r>
      <w:hyperlink r:id="rId13" w:tooltip="http://www.comlaw.gov.au/Details/C2015C00159" w:history="1">
        <w:r w:rsidRPr="00A83271">
          <w:rPr>
            <w:rStyle w:val="Hyperlink"/>
            <w:rFonts w:ascii="Arial" w:hAnsi="Arial" w:cs="Arial"/>
            <w:i/>
            <w:sz w:val="18"/>
          </w:rPr>
          <w:t>Offshore Petroleum and Greenhouse Gas Storage Act 2006</w:t>
        </w:r>
      </w:hyperlink>
      <w:r w:rsidRPr="003E46BF">
        <w:rPr>
          <w:rFonts w:ascii="Arial" w:hAnsi="Arial" w:cs="Arial"/>
          <w:color w:val="000000"/>
          <w:sz w:val="18"/>
          <w:szCs w:val="20"/>
        </w:rPr>
        <w:t xml:space="preserve"> and associated Regulations, which should be read in conjunction with th</w:t>
      </w:r>
      <w:r>
        <w:rPr>
          <w:rFonts w:ascii="Arial" w:hAnsi="Arial" w:cs="Arial"/>
          <w:color w:val="000000"/>
          <w:sz w:val="18"/>
          <w:szCs w:val="20"/>
        </w:rPr>
        <w:t>is</w:t>
      </w:r>
      <w:r w:rsidRPr="003E46BF">
        <w:rPr>
          <w:rFonts w:ascii="Arial" w:hAnsi="Arial" w:cs="Arial"/>
          <w:color w:val="000000"/>
          <w:sz w:val="18"/>
          <w:szCs w:val="20"/>
        </w:rPr>
        <w:t xml:space="preserve"> guide</w:t>
      </w:r>
      <w:r>
        <w:rPr>
          <w:rFonts w:ascii="Arial" w:hAnsi="Arial" w:cs="Arial"/>
          <w:color w:val="000000"/>
          <w:sz w:val="18"/>
          <w:szCs w:val="20"/>
        </w:rPr>
        <w:t>line</w:t>
      </w:r>
      <w:r w:rsidRPr="003E46BF">
        <w:rPr>
          <w:rFonts w:ascii="Arial" w:hAnsi="Arial" w:cs="Arial"/>
          <w:color w:val="000000"/>
          <w:sz w:val="18"/>
          <w:szCs w:val="20"/>
        </w:rPr>
        <w:t>.</w:t>
      </w:r>
    </w:p>
    <w:p w14:paraId="32C2F492" w14:textId="77777777" w:rsidR="009B3331" w:rsidRPr="003E46BF" w:rsidRDefault="009B3331" w:rsidP="009B3331">
      <w:pPr>
        <w:autoSpaceDE w:val="0"/>
        <w:autoSpaceDN w:val="0"/>
        <w:rPr>
          <w:rFonts w:ascii="Arial" w:hAnsi="Arial" w:cs="Arial"/>
          <w:color w:val="000000"/>
          <w:sz w:val="18"/>
          <w:szCs w:val="20"/>
        </w:rPr>
      </w:pPr>
    </w:p>
    <w:p w14:paraId="7C2D4E17" w14:textId="77777777" w:rsidR="009B3331" w:rsidRPr="003E46BF" w:rsidRDefault="009B3331" w:rsidP="009B3331">
      <w:pPr>
        <w:spacing w:after="200"/>
        <w:rPr>
          <w:rFonts w:ascii="Arial" w:hAnsi="Arial" w:cs="Arial"/>
          <w:sz w:val="18"/>
          <w:szCs w:val="20"/>
        </w:rPr>
      </w:pPr>
      <w:r>
        <w:rPr>
          <w:rFonts w:ascii="Arial" w:hAnsi="Arial" w:cs="Arial"/>
          <w:color w:val="000000"/>
          <w:sz w:val="18"/>
          <w:szCs w:val="20"/>
        </w:rPr>
        <w:t xml:space="preserve">This guideline </w:t>
      </w:r>
      <w:r w:rsidRPr="003E46BF">
        <w:rPr>
          <w:rFonts w:ascii="Arial" w:hAnsi="Arial" w:cs="Arial"/>
          <w:color w:val="000000"/>
          <w:sz w:val="18"/>
          <w:szCs w:val="20"/>
        </w:rPr>
        <w:t xml:space="preserve">is made available </w:t>
      </w:r>
      <w:r>
        <w:rPr>
          <w:rFonts w:ascii="Arial" w:hAnsi="Arial" w:cs="Arial"/>
          <w:color w:val="000000"/>
          <w:sz w:val="18"/>
          <w:szCs w:val="20"/>
        </w:rPr>
        <w:t xml:space="preserve">by the Australian Government for information only. </w:t>
      </w:r>
      <w:r w:rsidRPr="003E46BF">
        <w:rPr>
          <w:rFonts w:ascii="Arial" w:hAnsi="Arial" w:cs="Arial"/>
          <w:color w:val="000000"/>
          <w:sz w:val="18"/>
          <w:szCs w:val="20"/>
        </w:rPr>
        <w:t>Before relying on this m</w:t>
      </w:r>
      <w:r>
        <w:rPr>
          <w:rFonts w:ascii="Arial" w:hAnsi="Arial" w:cs="Arial"/>
          <w:color w:val="000000"/>
          <w:sz w:val="18"/>
          <w:szCs w:val="20"/>
        </w:rPr>
        <w:t xml:space="preserve">aterial, </w:t>
      </w:r>
      <w:r w:rsidRPr="003E46BF">
        <w:rPr>
          <w:rFonts w:ascii="Arial" w:hAnsi="Arial" w:cs="Arial"/>
          <w:color w:val="000000"/>
          <w:sz w:val="18"/>
          <w:szCs w:val="20"/>
        </w:rPr>
        <w:t xml:space="preserve">users should carefully evaluate </w:t>
      </w:r>
      <w:r>
        <w:rPr>
          <w:rFonts w:ascii="Arial" w:hAnsi="Arial" w:cs="Arial"/>
          <w:color w:val="000000"/>
          <w:sz w:val="18"/>
          <w:szCs w:val="20"/>
        </w:rPr>
        <w:t>the</w:t>
      </w:r>
      <w:r w:rsidRPr="003E46BF">
        <w:rPr>
          <w:rFonts w:ascii="Arial" w:hAnsi="Arial" w:cs="Arial"/>
          <w:color w:val="000000"/>
          <w:sz w:val="18"/>
          <w:szCs w:val="20"/>
        </w:rPr>
        <w:t xml:space="preserve"> accuracy, currency, completeness and relevance </w:t>
      </w:r>
      <w:r>
        <w:rPr>
          <w:rFonts w:ascii="Arial" w:hAnsi="Arial" w:cs="Arial"/>
          <w:color w:val="000000"/>
          <w:sz w:val="18"/>
          <w:szCs w:val="20"/>
        </w:rPr>
        <w:t xml:space="preserve">of the information </w:t>
      </w:r>
      <w:r w:rsidRPr="003E46BF">
        <w:rPr>
          <w:rFonts w:ascii="Arial" w:hAnsi="Arial" w:cs="Arial"/>
          <w:color w:val="000000"/>
          <w:sz w:val="18"/>
          <w:szCs w:val="20"/>
        </w:rPr>
        <w:t xml:space="preserve">and obtain </w:t>
      </w:r>
      <w:r>
        <w:rPr>
          <w:rFonts w:ascii="Arial" w:hAnsi="Arial" w:cs="Arial"/>
          <w:color w:val="000000"/>
          <w:sz w:val="18"/>
          <w:szCs w:val="20"/>
        </w:rPr>
        <w:t xml:space="preserve">independent, </w:t>
      </w:r>
      <w:r w:rsidRPr="003E46BF">
        <w:rPr>
          <w:rFonts w:ascii="Arial" w:hAnsi="Arial" w:cs="Arial"/>
          <w:sz w:val="18"/>
          <w:szCs w:val="20"/>
        </w:rPr>
        <w:t xml:space="preserve">legal or other </w:t>
      </w:r>
      <w:r w:rsidRPr="003E46BF">
        <w:rPr>
          <w:rFonts w:ascii="Arial" w:hAnsi="Arial" w:cs="Arial"/>
          <w:color w:val="000000"/>
          <w:sz w:val="18"/>
          <w:szCs w:val="20"/>
        </w:rPr>
        <w:t>professional advice relevant to t</w:t>
      </w:r>
      <w:r>
        <w:rPr>
          <w:rFonts w:ascii="Arial" w:hAnsi="Arial" w:cs="Arial"/>
          <w:color w:val="000000"/>
          <w:sz w:val="18"/>
          <w:szCs w:val="20"/>
        </w:rPr>
        <w:t>heir particular circumstances.</w:t>
      </w:r>
    </w:p>
    <w:p w14:paraId="7119CC60" w14:textId="714B793B" w:rsidR="009B3331" w:rsidRPr="003E46BF" w:rsidRDefault="009B3331" w:rsidP="009B3331">
      <w:pPr>
        <w:rPr>
          <w:rFonts w:ascii="Arial" w:hAnsi="Arial" w:cs="Arial"/>
          <w:sz w:val="18"/>
        </w:rPr>
      </w:pPr>
      <w:r w:rsidRPr="003E46BF">
        <w:rPr>
          <w:rFonts w:ascii="Arial" w:hAnsi="Arial" w:cs="Arial"/>
          <w:sz w:val="18"/>
        </w:rPr>
        <w:t xml:space="preserve">This document has been prepared by the </w:t>
      </w:r>
      <w:hyperlink r:id="rId14" w:tooltip="http://www.industry.gov.au/Pages/default.aspx" w:history="1">
        <w:r w:rsidRPr="00EB7726">
          <w:rPr>
            <w:rStyle w:val="Hyperlink"/>
            <w:rFonts w:ascii="Arial" w:hAnsi="Arial" w:cs="Arial"/>
            <w:sz w:val="18"/>
          </w:rPr>
          <w:t xml:space="preserve">Australian Government </w:t>
        </w:r>
        <w:r w:rsidR="00EB7726" w:rsidRPr="00EB7726">
          <w:rPr>
            <w:rStyle w:val="Hyperlink"/>
            <w:rFonts w:ascii="Arial" w:hAnsi="Arial" w:cs="Arial"/>
            <w:sz w:val="18"/>
          </w:rPr>
          <w:t>Department of Industry, Science and Resources</w:t>
        </w:r>
        <w:r w:rsidR="00EB7726">
          <w:rPr>
            <w:rStyle w:val="Hyperlink"/>
            <w:rFonts w:ascii="Arial" w:hAnsi="Arial" w:cs="Arial"/>
            <w:sz w:val="18"/>
          </w:rPr>
          <w:t xml:space="preserve"> </w:t>
        </w:r>
      </w:hyperlink>
      <w:r w:rsidRPr="003E46BF">
        <w:rPr>
          <w:rFonts w:ascii="Arial" w:hAnsi="Arial" w:cs="Arial"/>
          <w:sz w:val="18"/>
        </w:rPr>
        <w:t>. It will be reviewed and updated as required</w:t>
      </w:r>
      <w:r>
        <w:rPr>
          <w:rFonts w:ascii="Arial" w:hAnsi="Arial" w:cs="Arial"/>
          <w:sz w:val="18"/>
        </w:rPr>
        <w:t>.</w:t>
      </w:r>
    </w:p>
    <w:p w14:paraId="11E27065" w14:textId="77777777" w:rsidR="00027EFD" w:rsidRDefault="009B3331" w:rsidP="009B3331">
      <w:pPr>
        <w:pStyle w:val="BodyText"/>
        <w:rPr>
          <w:sz w:val="16"/>
          <w:szCs w:val="16"/>
        </w:rPr>
      </w:pPr>
      <w:r w:rsidRPr="003E46BF">
        <w:rPr>
          <w:rFonts w:cs="Arial"/>
          <w:sz w:val="18"/>
        </w:rPr>
        <w:t xml:space="preserve">This document is available online at </w:t>
      </w:r>
      <w:hyperlink r:id="rId15" w:tooltip="http://www.nopta.gov.au/" w:history="1">
        <w:r w:rsidRPr="003E46BF">
          <w:rPr>
            <w:rStyle w:val="Hyperlink"/>
            <w:rFonts w:cs="Arial"/>
            <w:sz w:val="18"/>
          </w:rPr>
          <w:t>www.nopta.gov.au</w:t>
        </w:r>
      </w:hyperlink>
    </w:p>
    <w:p w14:paraId="36FE8C63" w14:textId="77777777" w:rsidR="009B3331" w:rsidRDefault="009B3331">
      <w:pPr>
        <w:spacing w:after="160" w:line="259" w:lineRule="auto"/>
        <w:rPr>
          <w:rFonts w:ascii="Arial" w:hAnsi="Arial"/>
          <w:sz w:val="16"/>
          <w:szCs w:val="16"/>
          <w:lang w:eastAsia="en-US"/>
        </w:rPr>
      </w:pPr>
      <w:r>
        <w:rPr>
          <w:sz w:val="16"/>
          <w:szCs w:val="16"/>
        </w:rPr>
        <w:br w:type="page"/>
      </w:r>
    </w:p>
    <w:p w14:paraId="5E5C868F" w14:textId="239D66BF" w:rsidR="00027EFD" w:rsidRPr="0083560E" w:rsidRDefault="00ED419A" w:rsidP="00027EFD">
      <w:pPr>
        <w:pStyle w:val="BodyText"/>
        <w:rPr>
          <w:b/>
          <w:sz w:val="22"/>
          <w:szCs w:val="22"/>
        </w:rPr>
      </w:pPr>
      <w:r w:rsidRPr="0083560E">
        <w:rPr>
          <w:b/>
          <w:sz w:val="22"/>
          <w:szCs w:val="22"/>
        </w:rPr>
        <w:lastRenderedPageBreak/>
        <w:t>Contents</w:t>
      </w:r>
    </w:p>
    <w:p w14:paraId="6CA894AD" w14:textId="665B93EC" w:rsidR="00FA4303" w:rsidRDefault="000E585B" w:rsidP="001F77EB">
      <w:pPr>
        <w:pStyle w:val="TOC1"/>
        <w:rPr>
          <w:rFonts w:asciiTheme="minorHAnsi" w:eastAsiaTheme="minorEastAsia" w:hAnsiTheme="minorHAnsi" w:cstheme="minorBidi"/>
          <w:szCs w:val="22"/>
        </w:rPr>
      </w:pPr>
      <w:r w:rsidRPr="0083560E">
        <w:rPr>
          <w:rFonts w:cs="Arial"/>
          <w:szCs w:val="22"/>
        </w:rPr>
        <w:fldChar w:fldCharType="begin"/>
      </w:r>
      <w:r w:rsidRPr="0083560E">
        <w:rPr>
          <w:rFonts w:cs="Arial"/>
          <w:szCs w:val="22"/>
        </w:rPr>
        <w:instrText xml:space="preserve"> TOC \o "1-1" \h \z \u </w:instrText>
      </w:r>
      <w:r w:rsidRPr="0083560E">
        <w:rPr>
          <w:rFonts w:cs="Arial"/>
          <w:szCs w:val="22"/>
        </w:rPr>
        <w:fldChar w:fldCharType="separate"/>
      </w:r>
      <w:hyperlink w:anchor="_Toc483231642" w:history="1">
        <w:r w:rsidR="00FA4303" w:rsidRPr="003C2F77">
          <w:rPr>
            <w:rStyle w:val="Hyperlink"/>
          </w:rPr>
          <w:t>1.</w:t>
        </w:r>
        <w:r w:rsidR="00FA4303">
          <w:rPr>
            <w:rFonts w:asciiTheme="minorHAnsi" w:eastAsiaTheme="minorEastAsia" w:hAnsiTheme="minorHAnsi" w:cstheme="minorBidi"/>
            <w:szCs w:val="22"/>
          </w:rPr>
          <w:tab/>
        </w:r>
        <w:r w:rsidR="00FA4303" w:rsidRPr="003C2F77">
          <w:rPr>
            <w:rStyle w:val="Hyperlink"/>
          </w:rPr>
          <w:t>Overview</w:t>
        </w:r>
        <w:r w:rsidR="00FA4303">
          <w:rPr>
            <w:webHidden/>
          </w:rPr>
          <w:tab/>
        </w:r>
        <w:r w:rsidR="00FA4303">
          <w:rPr>
            <w:webHidden/>
          </w:rPr>
          <w:fldChar w:fldCharType="begin"/>
        </w:r>
        <w:r w:rsidR="00FA4303">
          <w:rPr>
            <w:webHidden/>
          </w:rPr>
          <w:instrText xml:space="preserve"> PAGEREF _Toc483231642 \h </w:instrText>
        </w:r>
        <w:r w:rsidR="00FA4303">
          <w:rPr>
            <w:webHidden/>
          </w:rPr>
        </w:r>
        <w:r w:rsidR="00FA4303">
          <w:rPr>
            <w:webHidden/>
          </w:rPr>
          <w:fldChar w:fldCharType="separate"/>
        </w:r>
        <w:r w:rsidR="008C5AD8">
          <w:rPr>
            <w:webHidden/>
          </w:rPr>
          <w:t>3</w:t>
        </w:r>
        <w:r w:rsidR="00FA4303">
          <w:rPr>
            <w:webHidden/>
          </w:rPr>
          <w:fldChar w:fldCharType="end"/>
        </w:r>
      </w:hyperlink>
    </w:p>
    <w:p w14:paraId="1A5CADC1" w14:textId="77777777" w:rsidR="00FA4303" w:rsidRDefault="00D90E58">
      <w:pPr>
        <w:pStyle w:val="TOC1"/>
        <w:rPr>
          <w:rFonts w:asciiTheme="minorHAnsi" w:eastAsiaTheme="minorEastAsia" w:hAnsiTheme="minorHAnsi" w:cstheme="minorBidi"/>
          <w:szCs w:val="22"/>
        </w:rPr>
      </w:pPr>
      <w:hyperlink w:anchor="_Toc483231643" w:history="1">
        <w:r w:rsidR="00FA4303" w:rsidRPr="003C2F77">
          <w:rPr>
            <w:rStyle w:val="Hyperlink"/>
          </w:rPr>
          <w:t>2.</w:t>
        </w:r>
        <w:r w:rsidR="00FA4303">
          <w:rPr>
            <w:rFonts w:asciiTheme="minorHAnsi" w:eastAsiaTheme="minorEastAsia" w:hAnsiTheme="minorHAnsi" w:cstheme="minorBidi"/>
            <w:szCs w:val="22"/>
          </w:rPr>
          <w:tab/>
        </w:r>
        <w:r w:rsidR="00FA4303" w:rsidRPr="003C2F77">
          <w:rPr>
            <w:rStyle w:val="Hyperlink"/>
          </w:rPr>
          <w:t>Effect of a declared location on exploration permits</w:t>
        </w:r>
        <w:r w:rsidR="00FA4303">
          <w:rPr>
            <w:webHidden/>
          </w:rPr>
          <w:tab/>
        </w:r>
        <w:r w:rsidR="00FA4303">
          <w:rPr>
            <w:webHidden/>
          </w:rPr>
          <w:fldChar w:fldCharType="begin"/>
        </w:r>
        <w:r w:rsidR="00FA4303">
          <w:rPr>
            <w:webHidden/>
          </w:rPr>
          <w:instrText xml:space="preserve"> PAGEREF _Toc483231643 \h </w:instrText>
        </w:r>
        <w:r w:rsidR="00FA4303">
          <w:rPr>
            <w:webHidden/>
          </w:rPr>
        </w:r>
        <w:r w:rsidR="00FA4303">
          <w:rPr>
            <w:webHidden/>
          </w:rPr>
          <w:fldChar w:fldCharType="separate"/>
        </w:r>
        <w:r w:rsidR="008C5AD8">
          <w:rPr>
            <w:webHidden/>
          </w:rPr>
          <w:t>3</w:t>
        </w:r>
        <w:r w:rsidR="00FA4303">
          <w:rPr>
            <w:webHidden/>
          </w:rPr>
          <w:fldChar w:fldCharType="end"/>
        </w:r>
      </w:hyperlink>
    </w:p>
    <w:p w14:paraId="70829728" w14:textId="77777777" w:rsidR="00FA4303" w:rsidRDefault="00D90E58">
      <w:pPr>
        <w:pStyle w:val="TOC1"/>
        <w:rPr>
          <w:rFonts w:asciiTheme="minorHAnsi" w:eastAsiaTheme="minorEastAsia" w:hAnsiTheme="minorHAnsi" w:cstheme="minorBidi"/>
          <w:szCs w:val="22"/>
        </w:rPr>
      </w:pPr>
      <w:hyperlink w:anchor="_Toc483231644" w:history="1">
        <w:r w:rsidR="00FA4303" w:rsidRPr="003C2F77">
          <w:rPr>
            <w:rStyle w:val="Hyperlink"/>
          </w:rPr>
          <w:t>3.</w:t>
        </w:r>
        <w:r w:rsidR="00FA4303">
          <w:rPr>
            <w:rFonts w:asciiTheme="minorHAnsi" w:eastAsiaTheme="minorEastAsia" w:hAnsiTheme="minorHAnsi" w:cstheme="minorBidi"/>
            <w:szCs w:val="22"/>
          </w:rPr>
          <w:tab/>
        </w:r>
        <w:r w:rsidR="00FA4303" w:rsidRPr="003C2F77">
          <w:rPr>
            <w:rStyle w:val="Hyperlink"/>
          </w:rPr>
          <w:t>Process for declaring a location</w:t>
        </w:r>
        <w:r w:rsidR="00FA4303">
          <w:rPr>
            <w:webHidden/>
          </w:rPr>
          <w:tab/>
        </w:r>
        <w:r w:rsidR="00FA4303">
          <w:rPr>
            <w:webHidden/>
          </w:rPr>
          <w:fldChar w:fldCharType="begin"/>
        </w:r>
        <w:r w:rsidR="00FA4303">
          <w:rPr>
            <w:webHidden/>
          </w:rPr>
          <w:instrText xml:space="preserve"> PAGEREF _Toc483231644 \h </w:instrText>
        </w:r>
        <w:r w:rsidR="00FA4303">
          <w:rPr>
            <w:webHidden/>
          </w:rPr>
        </w:r>
        <w:r w:rsidR="00FA4303">
          <w:rPr>
            <w:webHidden/>
          </w:rPr>
          <w:fldChar w:fldCharType="separate"/>
        </w:r>
        <w:r w:rsidR="008C5AD8">
          <w:rPr>
            <w:webHidden/>
          </w:rPr>
          <w:t>4</w:t>
        </w:r>
        <w:r w:rsidR="00FA4303">
          <w:rPr>
            <w:webHidden/>
          </w:rPr>
          <w:fldChar w:fldCharType="end"/>
        </w:r>
      </w:hyperlink>
    </w:p>
    <w:p w14:paraId="5CEDD5C3" w14:textId="77777777" w:rsidR="00FA4303" w:rsidRDefault="00D90E58">
      <w:pPr>
        <w:pStyle w:val="TOC1"/>
        <w:rPr>
          <w:rFonts w:asciiTheme="minorHAnsi" w:eastAsiaTheme="minorEastAsia" w:hAnsiTheme="minorHAnsi" w:cstheme="minorBidi"/>
          <w:szCs w:val="22"/>
        </w:rPr>
      </w:pPr>
      <w:hyperlink w:anchor="_Toc483231645" w:history="1">
        <w:r w:rsidR="00FA4303" w:rsidRPr="003C2F77">
          <w:rPr>
            <w:rStyle w:val="Hyperlink"/>
          </w:rPr>
          <w:t>4.</w:t>
        </w:r>
        <w:r w:rsidR="00FA4303">
          <w:rPr>
            <w:rFonts w:asciiTheme="minorHAnsi" w:eastAsiaTheme="minorEastAsia" w:hAnsiTheme="minorHAnsi" w:cstheme="minorBidi"/>
            <w:szCs w:val="22"/>
          </w:rPr>
          <w:tab/>
        </w:r>
        <w:r w:rsidR="00FA4303" w:rsidRPr="003C2F77">
          <w:rPr>
            <w:rStyle w:val="Hyperlink"/>
          </w:rPr>
          <w:t>Assessment of a declaration of a location nomination</w:t>
        </w:r>
        <w:r w:rsidR="00FA4303">
          <w:rPr>
            <w:webHidden/>
          </w:rPr>
          <w:tab/>
        </w:r>
        <w:r w:rsidR="00FA4303">
          <w:rPr>
            <w:webHidden/>
          </w:rPr>
          <w:fldChar w:fldCharType="begin"/>
        </w:r>
        <w:r w:rsidR="00FA4303">
          <w:rPr>
            <w:webHidden/>
          </w:rPr>
          <w:instrText xml:space="preserve"> PAGEREF _Toc483231645 \h </w:instrText>
        </w:r>
        <w:r w:rsidR="00FA4303">
          <w:rPr>
            <w:webHidden/>
          </w:rPr>
        </w:r>
        <w:r w:rsidR="00FA4303">
          <w:rPr>
            <w:webHidden/>
          </w:rPr>
          <w:fldChar w:fldCharType="separate"/>
        </w:r>
        <w:r w:rsidR="008C5AD8">
          <w:rPr>
            <w:webHidden/>
          </w:rPr>
          <w:t>5</w:t>
        </w:r>
        <w:r w:rsidR="00FA4303">
          <w:rPr>
            <w:webHidden/>
          </w:rPr>
          <w:fldChar w:fldCharType="end"/>
        </w:r>
      </w:hyperlink>
    </w:p>
    <w:p w14:paraId="2B2E79F9" w14:textId="77777777" w:rsidR="00FA4303" w:rsidRDefault="00D90E58">
      <w:pPr>
        <w:pStyle w:val="TOC1"/>
        <w:rPr>
          <w:rFonts w:asciiTheme="minorHAnsi" w:eastAsiaTheme="minorEastAsia" w:hAnsiTheme="minorHAnsi" w:cstheme="minorBidi"/>
          <w:szCs w:val="22"/>
        </w:rPr>
      </w:pPr>
      <w:hyperlink w:anchor="_Toc483231646" w:history="1">
        <w:r w:rsidR="00FA4303" w:rsidRPr="003C2F77">
          <w:rPr>
            <w:rStyle w:val="Hyperlink"/>
          </w:rPr>
          <w:t>5.</w:t>
        </w:r>
        <w:r w:rsidR="00FA4303">
          <w:rPr>
            <w:rFonts w:asciiTheme="minorHAnsi" w:eastAsiaTheme="minorEastAsia" w:hAnsiTheme="minorHAnsi" w:cstheme="minorBidi"/>
            <w:szCs w:val="22"/>
          </w:rPr>
          <w:tab/>
        </w:r>
        <w:r w:rsidR="00FA4303" w:rsidRPr="003C2F77">
          <w:rPr>
            <w:rStyle w:val="Hyperlink"/>
          </w:rPr>
          <w:t>Variation of a declared location</w:t>
        </w:r>
        <w:r w:rsidR="00FA4303">
          <w:rPr>
            <w:webHidden/>
          </w:rPr>
          <w:tab/>
        </w:r>
        <w:r w:rsidR="00FA4303">
          <w:rPr>
            <w:webHidden/>
          </w:rPr>
          <w:fldChar w:fldCharType="begin"/>
        </w:r>
        <w:r w:rsidR="00FA4303">
          <w:rPr>
            <w:webHidden/>
          </w:rPr>
          <w:instrText xml:space="preserve"> PAGEREF _Toc483231646 \h </w:instrText>
        </w:r>
        <w:r w:rsidR="00FA4303">
          <w:rPr>
            <w:webHidden/>
          </w:rPr>
        </w:r>
        <w:r w:rsidR="00FA4303">
          <w:rPr>
            <w:webHidden/>
          </w:rPr>
          <w:fldChar w:fldCharType="separate"/>
        </w:r>
        <w:r w:rsidR="008C5AD8">
          <w:rPr>
            <w:webHidden/>
          </w:rPr>
          <w:t>7</w:t>
        </w:r>
        <w:r w:rsidR="00FA4303">
          <w:rPr>
            <w:webHidden/>
          </w:rPr>
          <w:fldChar w:fldCharType="end"/>
        </w:r>
      </w:hyperlink>
    </w:p>
    <w:p w14:paraId="310A2105" w14:textId="77777777" w:rsidR="00FA4303" w:rsidRDefault="00D90E58">
      <w:pPr>
        <w:pStyle w:val="TOC1"/>
        <w:rPr>
          <w:rFonts w:asciiTheme="minorHAnsi" w:eastAsiaTheme="minorEastAsia" w:hAnsiTheme="minorHAnsi" w:cstheme="minorBidi"/>
          <w:szCs w:val="22"/>
        </w:rPr>
      </w:pPr>
      <w:hyperlink w:anchor="_Toc483231647" w:history="1">
        <w:r w:rsidR="00FA4303" w:rsidRPr="003C2F77">
          <w:rPr>
            <w:rStyle w:val="Hyperlink"/>
          </w:rPr>
          <w:t>6.</w:t>
        </w:r>
        <w:r w:rsidR="00FA4303">
          <w:rPr>
            <w:rFonts w:asciiTheme="minorHAnsi" w:eastAsiaTheme="minorEastAsia" w:hAnsiTheme="minorHAnsi" w:cstheme="minorBidi"/>
            <w:szCs w:val="22"/>
          </w:rPr>
          <w:tab/>
        </w:r>
        <w:r w:rsidR="00FA4303" w:rsidRPr="003C2F77">
          <w:rPr>
            <w:rStyle w:val="Hyperlink"/>
          </w:rPr>
          <w:t>Revocation of a declared location</w:t>
        </w:r>
        <w:r w:rsidR="00FA4303">
          <w:rPr>
            <w:webHidden/>
          </w:rPr>
          <w:tab/>
        </w:r>
        <w:r w:rsidR="00FA4303">
          <w:rPr>
            <w:webHidden/>
          </w:rPr>
          <w:fldChar w:fldCharType="begin"/>
        </w:r>
        <w:r w:rsidR="00FA4303">
          <w:rPr>
            <w:webHidden/>
          </w:rPr>
          <w:instrText xml:space="preserve"> PAGEREF _Toc483231647 \h </w:instrText>
        </w:r>
        <w:r w:rsidR="00FA4303">
          <w:rPr>
            <w:webHidden/>
          </w:rPr>
        </w:r>
        <w:r w:rsidR="00FA4303">
          <w:rPr>
            <w:webHidden/>
          </w:rPr>
          <w:fldChar w:fldCharType="separate"/>
        </w:r>
        <w:r w:rsidR="008C5AD8">
          <w:rPr>
            <w:webHidden/>
          </w:rPr>
          <w:t>8</w:t>
        </w:r>
        <w:r w:rsidR="00FA4303">
          <w:rPr>
            <w:webHidden/>
          </w:rPr>
          <w:fldChar w:fldCharType="end"/>
        </w:r>
      </w:hyperlink>
    </w:p>
    <w:p w14:paraId="629AD1C2" w14:textId="7A2DDFE7" w:rsidR="00FA4303" w:rsidRPr="001F77EB" w:rsidRDefault="00D90E58">
      <w:pPr>
        <w:pStyle w:val="TOC1"/>
        <w:rPr>
          <w:rStyle w:val="Hyperlink"/>
          <w:color w:val="auto"/>
          <w:u w:val="none"/>
        </w:rPr>
      </w:pPr>
      <w:hyperlink w:anchor="Flowchart" w:history="1">
        <w:r w:rsidR="001F77EB" w:rsidRPr="00CE7B37">
          <w:rPr>
            <w:rStyle w:val="Hyperlink"/>
          </w:rPr>
          <w:t xml:space="preserve">Attachment A – </w:t>
        </w:r>
        <w:r w:rsidR="00FA4303" w:rsidRPr="00CE7B37">
          <w:rPr>
            <w:rStyle w:val="Hyperlink"/>
          </w:rPr>
          <w:t xml:space="preserve">Locations </w:t>
        </w:r>
        <w:r w:rsidR="001F77EB" w:rsidRPr="00CE7B37">
          <w:rPr>
            <w:rStyle w:val="Hyperlink"/>
          </w:rPr>
          <w:t>f</w:t>
        </w:r>
        <w:r w:rsidR="00FA4303" w:rsidRPr="00CE7B37">
          <w:rPr>
            <w:rStyle w:val="Hyperlink"/>
          </w:rPr>
          <w:t>lowchart…………………………………………………………………</w:t>
        </w:r>
        <w:r w:rsidR="001F77EB" w:rsidRPr="00CE7B37">
          <w:rPr>
            <w:rStyle w:val="Hyperlink"/>
          </w:rPr>
          <w:t>...</w:t>
        </w:r>
        <w:r w:rsidR="00FA4303" w:rsidRPr="00CE7B37">
          <w:rPr>
            <w:rStyle w:val="Hyperlink"/>
          </w:rPr>
          <w:t>………10</w:t>
        </w:r>
      </w:hyperlink>
    </w:p>
    <w:p w14:paraId="6CA1954E" w14:textId="77777777" w:rsidR="00FA4303" w:rsidRDefault="00D90E58">
      <w:pPr>
        <w:pStyle w:val="TOC1"/>
        <w:rPr>
          <w:rFonts w:asciiTheme="minorHAnsi" w:eastAsiaTheme="minorEastAsia" w:hAnsiTheme="minorHAnsi" w:cstheme="minorBidi"/>
          <w:szCs w:val="22"/>
        </w:rPr>
      </w:pPr>
      <w:hyperlink w:anchor="_Toc483231648" w:history="1">
        <w:r w:rsidR="00FA4303" w:rsidRPr="003C2F77">
          <w:rPr>
            <w:rStyle w:val="Hyperlink"/>
          </w:rPr>
          <w:t>Attachment B – Suggested information to support a nomination to declare a location</w:t>
        </w:r>
        <w:r w:rsidR="00FA4303">
          <w:rPr>
            <w:webHidden/>
          </w:rPr>
          <w:tab/>
        </w:r>
        <w:r w:rsidR="00FA4303">
          <w:rPr>
            <w:webHidden/>
          </w:rPr>
          <w:fldChar w:fldCharType="begin"/>
        </w:r>
        <w:r w:rsidR="00FA4303">
          <w:rPr>
            <w:webHidden/>
          </w:rPr>
          <w:instrText xml:space="preserve"> PAGEREF _Toc483231648 \h </w:instrText>
        </w:r>
        <w:r w:rsidR="00FA4303">
          <w:rPr>
            <w:webHidden/>
          </w:rPr>
        </w:r>
        <w:r w:rsidR="00FA4303">
          <w:rPr>
            <w:webHidden/>
          </w:rPr>
          <w:fldChar w:fldCharType="separate"/>
        </w:r>
        <w:r w:rsidR="008C5AD8">
          <w:rPr>
            <w:webHidden/>
          </w:rPr>
          <w:t>11</w:t>
        </w:r>
        <w:r w:rsidR="00FA4303">
          <w:rPr>
            <w:webHidden/>
          </w:rPr>
          <w:fldChar w:fldCharType="end"/>
        </w:r>
      </w:hyperlink>
    </w:p>
    <w:p w14:paraId="2E58CFEB" w14:textId="77777777" w:rsidR="00027EFD" w:rsidRPr="00CC3397" w:rsidRDefault="000E585B" w:rsidP="00027EFD">
      <w:r w:rsidRPr="0083560E">
        <w:rPr>
          <w:rFonts w:ascii="Arial" w:hAnsi="Arial" w:cs="Arial"/>
          <w:sz w:val="22"/>
          <w:szCs w:val="22"/>
        </w:rPr>
        <w:fldChar w:fldCharType="end"/>
      </w:r>
    </w:p>
    <w:p w14:paraId="202D30CE" w14:textId="77777777" w:rsidR="00027EFD" w:rsidRDefault="00027EFD" w:rsidP="00027EFD">
      <w:pPr>
        <w:rPr>
          <w:rFonts w:ascii="Arial" w:hAnsi="Arial" w:cs="Arial"/>
          <w:b/>
          <w:bCs/>
          <w:iCs/>
          <w:sz w:val="36"/>
          <w:szCs w:val="28"/>
          <w:lang w:eastAsia="en-US"/>
        </w:rPr>
      </w:pPr>
      <w:r>
        <w:rPr>
          <w:rFonts w:ascii="Arial" w:hAnsi="Arial"/>
          <w:b/>
          <w:sz w:val="36"/>
          <w:lang w:eastAsia="en-US"/>
        </w:rPr>
        <w:br w:type="page"/>
      </w:r>
    </w:p>
    <w:p w14:paraId="00B61ECA" w14:textId="204A02BA" w:rsidR="00027EFD" w:rsidRPr="00635EB4" w:rsidRDefault="00D20C83" w:rsidP="00F135F5">
      <w:pPr>
        <w:pStyle w:val="Heading1"/>
        <w:numPr>
          <w:ilvl w:val="0"/>
          <w:numId w:val="31"/>
        </w:numPr>
        <w:rPr>
          <w:szCs w:val="28"/>
        </w:rPr>
      </w:pPr>
      <w:bookmarkStart w:id="0" w:name="_Toc483231642"/>
      <w:r>
        <w:rPr>
          <w:szCs w:val="28"/>
        </w:rPr>
        <w:lastRenderedPageBreak/>
        <w:t>Overview</w:t>
      </w:r>
      <w:bookmarkEnd w:id="0"/>
    </w:p>
    <w:p w14:paraId="4DE6D9BA" w14:textId="7D8DE29F" w:rsidR="004910B3" w:rsidRPr="0083560E" w:rsidRDefault="00027EFD" w:rsidP="004910B3">
      <w:pPr>
        <w:spacing w:before="240" w:after="240"/>
        <w:rPr>
          <w:rFonts w:ascii="Arial" w:hAnsi="Arial" w:cs="Arial"/>
          <w:sz w:val="22"/>
          <w:szCs w:val="22"/>
        </w:rPr>
      </w:pPr>
      <w:r w:rsidRPr="0083560E">
        <w:rPr>
          <w:rFonts w:ascii="Arial" w:hAnsi="Arial" w:cs="Arial"/>
          <w:sz w:val="22"/>
          <w:szCs w:val="22"/>
        </w:rPr>
        <w:t>T</w:t>
      </w:r>
      <w:r w:rsidR="00215849" w:rsidRPr="0083560E">
        <w:rPr>
          <w:rFonts w:ascii="Arial" w:hAnsi="Arial" w:cs="Arial"/>
          <w:sz w:val="22"/>
          <w:szCs w:val="22"/>
        </w:rPr>
        <w:t xml:space="preserve">his </w:t>
      </w:r>
      <w:r w:rsidR="0073382E" w:rsidRPr="0083560E">
        <w:rPr>
          <w:rFonts w:ascii="Arial" w:hAnsi="Arial" w:cs="Arial"/>
          <w:sz w:val="22"/>
          <w:szCs w:val="22"/>
        </w:rPr>
        <w:t xml:space="preserve">Guideline </w:t>
      </w:r>
      <w:r w:rsidR="00F135F5" w:rsidRPr="0083560E">
        <w:rPr>
          <w:rFonts w:ascii="Arial" w:hAnsi="Arial" w:cs="Arial"/>
          <w:sz w:val="22"/>
          <w:szCs w:val="22"/>
        </w:rPr>
        <w:t xml:space="preserve">provides information </w:t>
      </w:r>
      <w:r w:rsidR="00215849" w:rsidRPr="0083560E">
        <w:rPr>
          <w:rFonts w:ascii="Arial" w:hAnsi="Arial" w:cs="Arial"/>
          <w:sz w:val="22"/>
          <w:szCs w:val="22"/>
        </w:rPr>
        <w:t xml:space="preserve">regarding </w:t>
      </w:r>
      <w:r w:rsidRPr="0083560E">
        <w:rPr>
          <w:rFonts w:ascii="Arial" w:hAnsi="Arial" w:cs="Arial"/>
          <w:sz w:val="22"/>
          <w:szCs w:val="22"/>
        </w:rPr>
        <w:t>the processes to declare, vary and revoke</w:t>
      </w:r>
      <w:r w:rsidR="00045724" w:rsidRPr="0083560E">
        <w:rPr>
          <w:rFonts w:ascii="Arial" w:hAnsi="Arial" w:cs="Arial"/>
          <w:sz w:val="22"/>
          <w:szCs w:val="22"/>
        </w:rPr>
        <w:t xml:space="preserve"> a </w:t>
      </w:r>
      <w:r w:rsidRPr="0083560E">
        <w:rPr>
          <w:rFonts w:ascii="Arial" w:hAnsi="Arial" w:cs="Arial"/>
          <w:sz w:val="22"/>
          <w:szCs w:val="22"/>
        </w:rPr>
        <w:t xml:space="preserve">location </w:t>
      </w:r>
      <w:r w:rsidR="00B05864" w:rsidRPr="0083560E">
        <w:rPr>
          <w:rFonts w:ascii="Arial" w:hAnsi="Arial" w:cs="Arial"/>
          <w:sz w:val="22"/>
          <w:szCs w:val="22"/>
        </w:rPr>
        <w:t xml:space="preserve">under Division 6 of Part 2.2 of the </w:t>
      </w:r>
      <w:r w:rsidR="00B05864" w:rsidRPr="0083560E">
        <w:rPr>
          <w:rFonts w:ascii="Arial" w:hAnsi="Arial" w:cs="Arial"/>
          <w:i/>
          <w:sz w:val="22"/>
          <w:szCs w:val="22"/>
        </w:rPr>
        <w:t>Offshore Petroleum and Greenhouse Gas Storage Act</w:t>
      </w:r>
      <w:r w:rsidR="00B05864" w:rsidRPr="0083560E">
        <w:rPr>
          <w:rFonts w:ascii="Arial" w:hAnsi="Arial" w:cs="Arial"/>
          <w:sz w:val="22"/>
          <w:szCs w:val="22"/>
        </w:rPr>
        <w:t xml:space="preserve"> </w:t>
      </w:r>
      <w:r w:rsidR="00B05864" w:rsidRPr="0083560E">
        <w:rPr>
          <w:rFonts w:ascii="Arial" w:hAnsi="Arial" w:cs="Arial"/>
          <w:i/>
          <w:sz w:val="22"/>
          <w:szCs w:val="22"/>
        </w:rPr>
        <w:t>2006 (</w:t>
      </w:r>
      <w:r w:rsidR="00B05864" w:rsidRPr="0083560E">
        <w:rPr>
          <w:rFonts w:ascii="Arial" w:hAnsi="Arial" w:cs="Arial"/>
          <w:sz w:val="22"/>
          <w:szCs w:val="22"/>
        </w:rPr>
        <w:t xml:space="preserve">the Act). The Guideline also </w:t>
      </w:r>
      <w:r w:rsidRPr="0083560E">
        <w:rPr>
          <w:rFonts w:ascii="Arial" w:hAnsi="Arial" w:cs="Arial"/>
          <w:sz w:val="22"/>
          <w:szCs w:val="22"/>
        </w:rPr>
        <w:t>explain</w:t>
      </w:r>
      <w:r w:rsidR="00B05864" w:rsidRPr="0083560E">
        <w:rPr>
          <w:rFonts w:ascii="Arial" w:hAnsi="Arial" w:cs="Arial"/>
          <w:sz w:val="22"/>
          <w:szCs w:val="22"/>
        </w:rPr>
        <w:t>s</w:t>
      </w:r>
      <w:r w:rsidRPr="0083560E">
        <w:rPr>
          <w:rFonts w:ascii="Arial" w:hAnsi="Arial" w:cs="Arial"/>
          <w:sz w:val="22"/>
          <w:szCs w:val="22"/>
        </w:rPr>
        <w:t xml:space="preserve"> how declared locations impact </w:t>
      </w:r>
      <w:r w:rsidR="00045724" w:rsidRPr="0083560E">
        <w:rPr>
          <w:rFonts w:ascii="Arial" w:hAnsi="Arial" w:cs="Arial"/>
          <w:sz w:val="22"/>
          <w:szCs w:val="22"/>
        </w:rPr>
        <w:t xml:space="preserve">on </w:t>
      </w:r>
      <w:r w:rsidRPr="0083560E">
        <w:rPr>
          <w:rFonts w:ascii="Arial" w:hAnsi="Arial" w:cs="Arial"/>
          <w:sz w:val="22"/>
          <w:szCs w:val="22"/>
        </w:rPr>
        <w:t>exploration permits</w:t>
      </w:r>
      <w:r w:rsidR="00045724" w:rsidRPr="0083560E">
        <w:rPr>
          <w:rFonts w:ascii="Arial" w:hAnsi="Arial" w:cs="Arial"/>
          <w:sz w:val="22"/>
          <w:szCs w:val="22"/>
        </w:rPr>
        <w:t xml:space="preserve"> and</w:t>
      </w:r>
      <w:r w:rsidRPr="0083560E">
        <w:rPr>
          <w:rFonts w:ascii="Arial" w:hAnsi="Arial" w:cs="Arial"/>
          <w:sz w:val="22"/>
          <w:szCs w:val="22"/>
        </w:rPr>
        <w:t xml:space="preserve"> applications for retention leases and production licences</w:t>
      </w:r>
      <w:r w:rsidR="00B05864" w:rsidRPr="0083560E">
        <w:rPr>
          <w:rFonts w:ascii="Arial" w:hAnsi="Arial" w:cs="Arial"/>
          <w:sz w:val="22"/>
          <w:szCs w:val="22"/>
        </w:rPr>
        <w:t xml:space="preserve"> (Parts 2.3 and 2.4 of the Act</w:t>
      </w:r>
      <w:r w:rsidR="0073382E" w:rsidRPr="0083560E">
        <w:rPr>
          <w:rFonts w:ascii="Arial" w:hAnsi="Arial" w:cs="Arial"/>
          <w:sz w:val="22"/>
          <w:szCs w:val="22"/>
        </w:rPr>
        <w:t xml:space="preserve"> refer</w:t>
      </w:r>
      <w:r w:rsidR="00B05864" w:rsidRPr="0083560E">
        <w:rPr>
          <w:rFonts w:ascii="Arial" w:hAnsi="Arial" w:cs="Arial"/>
          <w:sz w:val="22"/>
          <w:szCs w:val="22"/>
        </w:rPr>
        <w:t>)</w:t>
      </w:r>
      <w:r w:rsidR="004910B3" w:rsidRPr="0083560E">
        <w:rPr>
          <w:rFonts w:ascii="Arial" w:hAnsi="Arial" w:cs="Arial"/>
          <w:sz w:val="22"/>
          <w:szCs w:val="22"/>
        </w:rPr>
        <w:t>.</w:t>
      </w:r>
      <w:bookmarkStart w:id="1" w:name="_Toc422388741"/>
    </w:p>
    <w:p w14:paraId="64D27942" w14:textId="7F7026FA" w:rsidR="004910B3" w:rsidRPr="0083560E" w:rsidRDefault="00CE51E7" w:rsidP="004910B3">
      <w:pPr>
        <w:pStyle w:val="ListParagraph"/>
        <w:numPr>
          <w:ilvl w:val="0"/>
          <w:numId w:val="42"/>
        </w:numPr>
        <w:spacing w:before="240" w:after="240"/>
        <w:ind w:left="567" w:hanging="567"/>
        <w:rPr>
          <w:rFonts w:ascii="Arial" w:hAnsi="Arial" w:cs="Arial"/>
          <w:b/>
        </w:rPr>
      </w:pPr>
      <w:r w:rsidRPr="0083560E">
        <w:rPr>
          <w:rFonts w:ascii="Arial" w:hAnsi="Arial" w:cs="Arial"/>
        </w:rPr>
        <w:t xml:space="preserve">A location provides the mechanism for </w:t>
      </w:r>
      <w:r w:rsidR="0094133F" w:rsidRPr="0083560E">
        <w:rPr>
          <w:rFonts w:ascii="Arial" w:hAnsi="Arial" w:cs="Arial"/>
        </w:rPr>
        <w:t xml:space="preserve">the </w:t>
      </w:r>
      <w:r w:rsidRPr="0083560E">
        <w:rPr>
          <w:rFonts w:ascii="Arial" w:hAnsi="Arial" w:cs="Arial"/>
        </w:rPr>
        <w:t xml:space="preserve">transition from an exploration permit to a retention lease or production licence following the discovery of petroleum. It is not a title; rather, it is a means of setting aside and identifying the </w:t>
      </w:r>
      <w:r w:rsidR="0094133F" w:rsidRPr="0083560E">
        <w:rPr>
          <w:rFonts w:ascii="Arial" w:hAnsi="Arial" w:cs="Arial"/>
        </w:rPr>
        <w:t xml:space="preserve">graticular </w:t>
      </w:r>
      <w:r w:rsidR="003019D1" w:rsidRPr="0083560E">
        <w:rPr>
          <w:rFonts w:ascii="Arial" w:hAnsi="Arial" w:cs="Arial"/>
        </w:rPr>
        <w:t>block</w:t>
      </w:r>
      <w:r w:rsidR="0094133F" w:rsidRPr="0083560E">
        <w:rPr>
          <w:rFonts w:ascii="Arial" w:hAnsi="Arial" w:cs="Arial"/>
        </w:rPr>
        <w:t xml:space="preserve"> or blocks</w:t>
      </w:r>
      <w:r w:rsidRPr="0083560E">
        <w:rPr>
          <w:rFonts w:ascii="Arial" w:hAnsi="Arial" w:cs="Arial"/>
        </w:rPr>
        <w:t xml:space="preserve"> </w:t>
      </w:r>
      <w:r w:rsidR="00893427" w:rsidRPr="0083560E">
        <w:rPr>
          <w:rFonts w:ascii="Arial" w:hAnsi="Arial" w:cs="Arial"/>
        </w:rPr>
        <w:t xml:space="preserve">within the permit </w:t>
      </w:r>
      <w:r w:rsidRPr="0083560E">
        <w:rPr>
          <w:rFonts w:ascii="Arial" w:hAnsi="Arial" w:cs="Arial"/>
        </w:rPr>
        <w:t xml:space="preserve">necessary to cover the discovery from which the </w:t>
      </w:r>
      <w:r w:rsidR="007108FC" w:rsidRPr="0083560E">
        <w:rPr>
          <w:rFonts w:ascii="Arial" w:hAnsi="Arial" w:cs="Arial"/>
        </w:rPr>
        <w:t>permittee</w:t>
      </w:r>
      <w:r w:rsidRPr="0083560E">
        <w:rPr>
          <w:rFonts w:ascii="Arial" w:hAnsi="Arial" w:cs="Arial"/>
        </w:rPr>
        <w:t xml:space="preserve"> may select the </w:t>
      </w:r>
      <w:r w:rsidR="00F03AC6" w:rsidRPr="0083560E">
        <w:rPr>
          <w:rFonts w:ascii="Arial" w:hAnsi="Arial" w:cs="Arial"/>
        </w:rPr>
        <w:t>block or blocks</w:t>
      </w:r>
      <w:r w:rsidRPr="0083560E">
        <w:rPr>
          <w:rFonts w:ascii="Arial" w:hAnsi="Arial" w:cs="Arial"/>
        </w:rPr>
        <w:t xml:space="preserve"> to form a </w:t>
      </w:r>
      <w:r w:rsidR="0094133F" w:rsidRPr="0083560E">
        <w:rPr>
          <w:rFonts w:ascii="Arial" w:hAnsi="Arial" w:cs="Arial"/>
        </w:rPr>
        <w:t xml:space="preserve">retention </w:t>
      </w:r>
      <w:r w:rsidRPr="0083560E">
        <w:rPr>
          <w:rFonts w:ascii="Arial" w:hAnsi="Arial" w:cs="Arial"/>
        </w:rPr>
        <w:t xml:space="preserve">lease or </w:t>
      </w:r>
      <w:r w:rsidR="0094133F" w:rsidRPr="0083560E">
        <w:rPr>
          <w:rFonts w:ascii="Arial" w:hAnsi="Arial" w:cs="Arial"/>
        </w:rPr>
        <w:t xml:space="preserve">production </w:t>
      </w:r>
      <w:r w:rsidRPr="0083560E">
        <w:rPr>
          <w:rFonts w:ascii="Arial" w:hAnsi="Arial" w:cs="Arial"/>
        </w:rPr>
        <w:t>licence area.</w:t>
      </w:r>
      <w:bookmarkStart w:id="2" w:name="_Toc422388742"/>
      <w:bookmarkEnd w:id="1"/>
      <w:r w:rsidR="004910B3" w:rsidRPr="0083560E">
        <w:rPr>
          <w:rFonts w:ascii="Arial" w:hAnsi="Arial" w:cs="Arial"/>
        </w:rPr>
        <w:br/>
      </w:r>
    </w:p>
    <w:p w14:paraId="41F9DE8D" w14:textId="77777777" w:rsidR="00F135F5" w:rsidRPr="0083560E" w:rsidRDefault="00C02215" w:rsidP="004910B3">
      <w:pPr>
        <w:pStyle w:val="ListParagraph"/>
        <w:numPr>
          <w:ilvl w:val="0"/>
          <w:numId w:val="42"/>
        </w:numPr>
        <w:spacing w:after="240"/>
        <w:ind w:left="567" w:hanging="567"/>
        <w:rPr>
          <w:rFonts w:ascii="Arial" w:hAnsi="Arial" w:cs="Arial"/>
          <w:b/>
        </w:rPr>
      </w:pPr>
      <w:r w:rsidRPr="0083560E">
        <w:rPr>
          <w:rFonts w:ascii="Arial" w:hAnsi="Arial" w:cs="Arial"/>
        </w:rPr>
        <w:t xml:space="preserve">Retention lease and production licence applications </w:t>
      </w:r>
      <w:r w:rsidR="000624A4" w:rsidRPr="0083560E">
        <w:rPr>
          <w:rFonts w:ascii="Arial" w:hAnsi="Arial" w:cs="Arial"/>
        </w:rPr>
        <w:t>may</w:t>
      </w:r>
      <w:r w:rsidRPr="0083560E">
        <w:rPr>
          <w:rFonts w:ascii="Arial" w:hAnsi="Arial" w:cs="Arial"/>
        </w:rPr>
        <w:t xml:space="preserve"> </w:t>
      </w:r>
      <w:r w:rsidR="00E3786F" w:rsidRPr="0083560E">
        <w:rPr>
          <w:rFonts w:ascii="Arial" w:hAnsi="Arial" w:cs="Arial"/>
        </w:rPr>
        <w:t xml:space="preserve">only </w:t>
      </w:r>
      <w:r w:rsidRPr="0083560E">
        <w:rPr>
          <w:rFonts w:ascii="Arial" w:hAnsi="Arial" w:cs="Arial"/>
        </w:rPr>
        <w:t xml:space="preserve">be made over </w:t>
      </w:r>
      <w:r w:rsidR="00A242C2" w:rsidRPr="0083560E">
        <w:rPr>
          <w:rFonts w:ascii="Arial" w:hAnsi="Arial" w:cs="Arial"/>
        </w:rPr>
        <w:t xml:space="preserve">a </w:t>
      </w:r>
      <w:r w:rsidR="00F03AC6" w:rsidRPr="0083560E">
        <w:rPr>
          <w:rFonts w:ascii="Arial" w:hAnsi="Arial" w:cs="Arial"/>
        </w:rPr>
        <w:t>block or blocks</w:t>
      </w:r>
      <w:r w:rsidRPr="0083560E">
        <w:rPr>
          <w:rFonts w:ascii="Arial" w:hAnsi="Arial" w:cs="Arial"/>
        </w:rPr>
        <w:t xml:space="preserve"> comprising </w:t>
      </w:r>
      <w:r w:rsidR="008F1D47" w:rsidRPr="0083560E">
        <w:rPr>
          <w:rFonts w:ascii="Arial" w:hAnsi="Arial" w:cs="Arial"/>
        </w:rPr>
        <w:t xml:space="preserve">a </w:t>
      </w:r>
      <w:r w:rsidRPr="0083560E">
        <w:rPr>
          <w:rFonts w:ascii="Arial" w:hAnsi="Arial" w:cs="Arial"/>
        </w:rPr>
        <w:t>declared location. If two or more blocks are declared as a location, an application for a retention lease or a production licence may be made over some or all of the blocks.</w:t>
      </w:r>
    </w:p>
    <w:p w14:paraId="49460D5D" w14:textId="77777777" w:rsidR="00F135F5" w:rsidRPr="0083560E" w:rsidRDefault="00F135F5" w:rsidP="00F135F5">
      <w:pPr>
        <w:pStyle w:val="ListParagraph"/>
        <w:spacing w:after="240"/>
        <w:ind w:left="567"/>
        <w:rPr>
          <w:rFonts w:ascii="Arial" w:hAnsi="Arial" w:cs="Arial"/>
          <w:b/>
        </w:rPr>
      </w:pPr>
    </w:p>
    <w:p w14:paraId="41BC23D7" w14:textId="1B8639BA" w:rsidR="00F135F5" w:rsidRPr="0083560E" w:rsidRDefault="00636C61" w:rsidP="00F135F5">
      <w:pPr>
        <w:pStyle w:val="ListParagraph"/>
        <w:numPr>
          <w:ilvl w:val="0"/>
          <w:numId w:val="42"/>
        </w:numPr>
        <w:spacing w:after="240"/>
        <w:ind w:left="567" w:hanging="567"/>
        <w:rPr>
          <w:rFonts w:ascii="Arial" w:hAnsi="Arial" w:cs="Arial"/>
          <w:b/>
        </w:rPr>
      </w:pPr>
      <w:r w:rsidRPr="0083560E">
        <w:rPr>
          <w:rFonts w:ascii="Arial" w:hAnsi="Arial" w:cs="Arial"/>
        </w:rPr>
        <w:t xml:space="preserve">If the </w:t>
      </w:r>
      <w:r w:rsidR="00F135F5" w:rsidRPr="0083560E">
        <w:rPr>
          <w:rFonts w:ascii="Arial" w:hAnsi="Arial" w:cs="Arial"/>
        </w:rPr>
        <w:t xml:space="preserve">permittee </w:t>
      </w:r>
      <w:r w:rsidRPr="0083560E">
        <w:rPr>
          <w:rFonts w:ascii="Arial" w:hAnsi="Arial" w:cs="Arial"/>
        </w:rPr>
        <w:t xml:space="preserve">has </w:t>
      </w:r>
      <w:r w:rsidR="00F135F5" w:rsidRPr="0083560E">
        <w:rPr>
          <w:rFonts w:ascii="Arial" w:hAnsi="Arial" w:cs="Arial"/>
        </w:rPr>
        <w:t>discover</w:t>
      </w:r>
      <w:r w:rsidRPr="0083560E">
        <w:rPr>
          <w:rFonts w:ascii="Arial" w:hAnsi="Arial" w:cs="Arial"/>
        </w:rPr>
        <w:t>ed</w:t>
      </w:r>
      <w:r w:rsidR="00F135F5" w:rsidRPr="0083560E">
        <w:rPr>
          <w:rFonts w:ascii="Arial" w:hAnsi="Arial" w:cs="Arial"/>
        </w:rPr>
        <w:t xml:space="preserve"> petroleum through the drilling of a well,</w:t>
      </w:r>
      <w:r w:rsidRPr="0083560E">
        <w:rPr>
          <w:rFonts w:ascii="Arial" w:hAnsi="Arial" w:cs="Arial"/>
        </w:rPr>
        <w:t xml:space="preserve"> they must</w:t>
      </w:r>
      <w:r w:rsidR="00F135F5" w:rsidRPr="0083560E">
        <w:rPr>
          <w:rFonts w:ascii="Arial" w:hAnsi="Arial" w:cs="Arial"/>
        </w:rPr>
        <w:t xml:space="preserve"> notify NOPTA of the discovery within 30 days after the completion of the well. There is no ability to extend this deadline (s. 284).</w:t>
      </w:r>
      <w:r w:rsidR="00F135F5" w:rsidRPr="0083560E">
        <w:rPr>
          <w:rFonts w:ascii="Arial" w:hAnsi="Arial" w:cs="Arial"/>
        </w:rPr>
        <w:br/>
      </w:r>
    </w:p>
    <w:p w14:paraId="69B7BFCD" w14:textId="65CE68CF" w:rsidR="00F135F5" w:rsidRPr="0083560E" w:rsidRDefault="00F135F5" w:rsidP="00F135F5">
      <w:pPr>
        <w:pStyle w:val="ListParagraph"/>
        <w:numPr>
          <w:ilvl w:val="0"/>
          <w:numId w:val="42"/>
        </w:numPr>
        <w:spacing w:after="240"/>
        <w:ind w:left="567" w:hanging="567"/>
        <w:rPr>
          <w:rFonts w:ascii="Arial" w:hAnsi="Arial" w:cs="Arial"/>
          <w:b/>
        </w:rPr>
      </w:pPr>
      <w:r w:rsidRPr="0083560E">
        <w:rPr>
          <w:rFonts w:ascii="Arial" w:hAnsi="Arial" w:cs="Arial"/>
        </w:rPr>
        <w:t xml:space="preserve">For </w:t>
      </w:r>
      <w:r w:rsidRPr="0083560E">
        <w:rPr>
          <w:rFonts w:ascii="Arial" w:hAnsi="Arial" w:cs="Arial"/>
          <w:b/>
        </w:rPr>
        <w:t>information</w:t>
      </w:r>
      <w:r w:rsidRPr="0083560E">
        <w:rPr>
          <w:rFonts w:ascii="Arial" w:hAnsi="Arial" w:cs="Arial"/>
        </w:rPr>
        <w:t xml:space="preserve"> about the obligations for notifying and reporting the discovery of petroleum, such as discovery notification and discovery assessment reports, please refer to Part 2 of the </w:t>
      </w:r>
      <w:hyperlink r:id="rId16" w:history="1">
        <w:r w:rsidRPr="0083560E">
          <w:rPr>
            <w:rStyle w:val="Hyperlink"/>
            <w:rFonts w:ascii="Arial" w:hAnsi="Arial" w:cs="Arial"/>
            <w:i/>
          </w:rPr>
          <w:t>Offshore Petroleum and Greenhouse Gas Storage (Resource Management and Administration) Regulations 2011</w:t>
        </w:r>
      </w:hyperlink>
      <w:r w:rsidRPr="0083560E">
        <w:rPr>
          <w:rFonts w:ascii="Arial" w:hAnsi="Arial" w:cs="Arial"/>
        </w:rPr>
        <w:t xml:space="preserve"> (RMA </w:t>
      </w:r>
      <w:r w:rsidR="00F46735">
        <w:rPr>
          <w:rFonts w:ascii="Arial" w:hAnsi="Arial" w:cs="Arial"/>
        </w:rPr>
        <w:t>R</w:t>
      </w:r>
      <w:r w:rsidRPr="0083560E">
        <w:rPr>
          <w:rFonts w:ascii="Arial" w:hAnsi="Arial" w:cs="Arial"/>
        </w:rPr>
        <w:t xml:space="preserve">egulations) and the </w:t>
      </w:r>
      <w:hyperlink r:id="rId17" w:history="1">
        <w:r w:rsidRPr="0083560E">
          <w:rPr>
            <w:rStyle w:val="Hyperlink"/>
            <w:rFonts w:ascii="Arial" w:hAnsi="Arial" w:cs="Arial"/>
            <w:i/>
          </w:rPr>
          <w:t>Petroleum Discoveries</w:t>
        </w:r>
        <w:r w:rsidRPr="0083560E">
          <w:rPr>
            <w:rStyle w:val="Hyperlink"/>
            <w:rFonts w:ascii="Arial" w:hAnsi="Arial" w:cs="Arial"/>
          </w:rPr>
          <w:t xml:space="preserve"> fact sheet</w:t>
        </w:r>
      </w:hyperlink>
      <w:r w:rsidRPr="0083560E">
        <w:rPr>
          <w:rFonts w:ascii="Arial" w:hAnsi="Arial" w:cs="Arial"/>
        </w:rPr>
        <w:t xml:space="preserve"> on the NOPTA website.</w:t>
      </w:r>
    </w:p>
    <w:p w14:paraId="5D18F327" w14:textId="67E0B508" w:rsidR="004910B3" w:rsidRPr="0083560E" w:rsidRDefault="004910B3" w:rsidP="00F135F5">
      <w:pPr>
        <w:pStyle w:val="ListParagraph"/>
        <w:spacing w:after="240"/>
        <w:ind w:left="567"/>
        <w:rPr>
          <w:rFonts w:ascii="Arial" w:hAnsi="Arial" w:cs="Arial"/>
          <w:b/>
        </w:rPr>
      </w:pPr>
    </w:p>
    <w:p w14:paraId="6CFA745A" w14:textId="5F836881" w:rsidR="00A814AC" w:rsidRPr="0083560E" w:rsidRDefault="00C02215" w:rsidP="004910B3">
      <w:pPr>
        <w:pStyle w:val="ListParagraph"/>
        <w:numPr>
          <w:ilvl w:val="0"/>
          <w:numId w:val="42"/>
        </w:numPr>
        <w:spacing w:after="240"/>
        <w:ind w:left="567" w:hanging="567"/>
        <w:rPr>
          <w:rFonts w:ascii="Arial" w:hAnsi="Arial" w:cs="Arial"/>
          <w:b/>
        </w:rPr>
      </w:pPr>
      <w:r w:rsidRPr="0083560E">
        <w:rPr>
          <w:rFonts w:ascii="Arial" w:hAnsi="Arial" w:cs="Arial"/>
        </w:rPr>
        <w:t xml:space="preserve">See </w:t>
      </w:r>
      <w:r w:rsidR="008F1D47" w:rsidRPr="0083560E">
        <w:rPr>
          <w:rFonts w:ascii="Arial" w:hAnsi="Arial" w:cs="Arial"/>
          <w:b/>
        </w:rPr>
        <w:t xml:space="preserve">Attachment </w:t>
      </w:r>
      <w:r w:rsidR="003A501A" w:rsidRPr="0083560E">
        <w:rPr>
          <w:rFonts w:ascii="Arial" w:hAnsi="Arial" w:cs="Arial"/>
          <w:b/>
        </w:rPr>
        <w:t>A</w:t>
      </w:r>
      <w:r w:rsidRPr="0083560E">
        <w:rPr>
          <w:rFonts w:ascii="Arial" w:hAnsi="Arial" w:cs="Arial"/>
        </w:rPr>
        <w:t xml:space="preserve"> for a flow chart </w:t>
      </w:r>
      <w:r w:rsidR="008F1D47" w:rsidRPr="0083560E">
        <w:rPr>
          <w:rFonts w:ascii="Arial" w:hAnsi="Arial" w:cs="Arial"/>
        </w:rPr>
        <w:t>illustrating the</w:t>
      </w:r>
      <w:r w:rsidRPr="0083560E">
        <w:rPr>
          <w:rFonts w:ascii="Arial" w:hAnsi="Arial" w:cs="Arial"/>
        </w:rPr>
        <w:t xml:space="preserve"> applications that can be made by a permittee </w:t>
      </w:r>
      <w:r w:rsidR="00E3786F" w:rsidRPr="0083560E">
        <w:rPr>
          <w:rFonts w:ascii="Arial" w:hAnsi="Arial" w:cs="Arial"/>
        </w:rPr>
        <w:t>for</w:t>
      </w:r>
      <w:r w:rsidRPr="0083560E">
        <w:rPr>
          <w:rFonts w:ascii="Arial" w:hAnsi="Arial" w:cs="Arial"/>
        </w:rPr>
        <w:t xml:space="preserve"> either a retention lease or production licence over </w:t>
      </w:r>
      <w:r w:rsidR="00A242C2" w:rsidRPr="0083560E">
        <w:rPr>
          <w:rFonts w:ascii="Arial" w:hAnsi="Arial" w:cs="Arial"/>
        </w:rPr>
        <w:t xml:space="preserve">a </w:t>
      </w:r>
      <w:r w:rsidR="00F03AC6" w:rsidRPr="0083560E">
        <w:rPr>
          <w:rFonts w:ascii="Arial" w:hAnsi="Arial" w:cs="Arial"/>
        </w:rPr>
        <w:t>block or blocks</w:t>
      </w:r>
      <w:r w:rsidRPr="0083560E">
        <w:rPr>
          <w:rFonts w:ascii="Arial" w:hAnsi="Arial" w:cs="Arial"/>
        </w:rPr>
        <w:t xml:space="preserve"> covered by a </w:t>
      </w:r>
      <w:r w:rsidR="002D3B10" w:rsidRPr="0083560E">
        <w:rPr>
          <w:rFonts w:ascii="Arial" w:hAnsi="Arial" w:cs="Arial"/>
        </w:rPr>
        <w:t xml:space="preserve">declared </w:t>
      </w:r>
      <w:r w:rsidRPr="0083560E">
        <w:rPr>
          <w:rFonts w:ascii="Arial" w:hAnsi="Arial" w:cs="Arial"/>
        </w:rPr>
        <w:t xml:space="preserve">location. </w:t>
      </w:r>
    </w:p>
    <w:p w14:paraId="3812FF29" w14:textId="2C1B840E" w:rsidR="0063615A" w:rsidRPr="004910B3" w:rsidRDefault="00D20C83" w:rsidP="004910B3">
      <w:pPr>
        <w:pStyle w:val="Heading1"/>
        <w:numPr>
          <w:ilvl w:val="0"/>
          <w:numId w:val="31"/>
        </w:numPr>
        <w:rPr>
          <w:szCs w:val="28"/>
        </w:rPr>
      </w:pPr>
      <w:bookmarkStart w:id="3" w:name="_Toc483231643"/>
      <w:r>
        <w:rPr>
          <w:szCs w:val="28"/>
        </w:rPr>
        <w:t>Effect of a declared location on exploration permits</w:t>
      </w:r>
      <w:bookmarkEnd w:id="3"/>
    </w:p>
    <w:p w14:paraId="7C885CC6" w14:textId="7CBB71F8" w:rsidR="0063615A" w:rsidRPr="0083560E" w:rsidRDefault="00A242C2" w:rsidP="000E7627">
      <w:pPr>
        <w:pStyle w:val="ListParagraph"/>
        <w:numPr>
          <w:ilvl w:val="1"/>
          <w:numId w:val="31"/>
        </w:numPr>
        <w:ind w:left="567" w:hanging="567"/>
        <w:rPr>
          <w:rFonts w:ascii="Arial" w:hAnsi="Arial" w:cs="Arial"/>
          <w:b/>
        </w:rPr>
      </w:pPr>
      <w:r w:rsidRPr="0083560E">
        <w:rPr>
          <w:rFonts w:ascii="Arial" w:hAnsi="Arial" w:cs="Arial"/>
        </w:rPr>
        <w:t>A b</w:t>
      </w:r>
      <w:r w:rsidR="00F03AC6" w:rsidRPr="0083560E">
        <w:rPr>
          <w:rFonts w:ascii="Arial" w:hAnsi="Arial" w:cs="Arial"/>
        </w:rPr>
        <w:t>lock or blocks</w:t>
      </w:r>
      <w:r w:rsidR="0063615A" w:rsidRPr="0083560E">
        <w:rPr>
          <w:rFonts w:ascii="Arial" w:hAnsi="Arial" w:cs="Arial"/>
        </w:rPr>
        <w:t xml:space="preserve"> comprising a declared location remain part of the exploration permit and</w:t>
      </w:r>
      <w:r w:rsidR="002D3B10" w:rsidRPr="0083560E">
        <w:rPr>
          <w:rFonts w:ascii="Arial" w:hAnsi="Arial" w:cs="Arial"/>
        </w:rPr>
        <w:t xml:space="preserve"> are</w:t>
      </w:r>
      <w:r w:rsidR="0063615A" w:rsidRPr="0083560E">
        <w:rPr>
          <w:rFonts w:ascii="Arial" w:hAnsi="Arial" w:cs="Arial"/>
        </w:rPr>
        <w:t xml:space="preserve"> subject to the permit conditions, including the minimum work program requirements. Ongoing exploration within the </w:t>
      </w:r>
      <w:r w:rsidR="00F03AC6" w:rsidRPr="0083560E">
        <w:rPr>
          <w:rFonts w:ascii="Arial" w:hAnsi="Arial" w:cs="Arial"/>
        </w:rPr>
        <w:t>block or blocks</w:t>
      </w:r>
      <w:r w:rsidR="0063615A" w:rsidRPr="0083560E">
        <w:rPr>
          <w:rFonts w:ascii="Arial" w:hAnsi="Arial" w:cs="Arial"/>
        </w:rPr>
        <w:t xml:space="preserve"> declared in the location is therefore expected. </w:t>
      </w:r>
      <w:r w:rsidRPr="0083560E">
        <w:rPr>
          <w:rFonts w:ascii="Arial" w:hAnsi="Arial" w:cs="Arial"/>
        </w:rPr>
        <w:t>A b</w:t>
      </w:r>
      <w:r w:rsidR="00F03AC6" w:rsidRPr="0083560E">
        <w:rPr>
          <w:rFonts w:ascii="Arial" w:hAnsi="Arial" w:cs="Arial"/>
        </w:rPr>
        <w:t>lock or blocks</w:t>
      </w:r>
      <w:r w:rsidR="0063615A" w:rsidRPr="0083560E">
        <w:rPr>
          <w:rFonts w:ascii="Arial" w:hAnsi="Arial" w:cs="Arial"/>
        </w:rPr>
        <w:t xml:space="preserve"> not subject to the </w:t>
      </w:r>
      <w:r w:rsidR="002D3B10" w:rsidRPr="0083560E">
        <w:rPr>
          <w:rFonts w:ascii="Arial" w:hAnsi="Arial" w:cs="Arial"/>
        </w:rPr>
        <w:t xml:space="preserve">declared </w:t>
      </w:r>
      <w:r w:rsidR="0063615A" w:rsidRPr="0083560E">
        <w:rPr>
          <w:rFonts w:ascii="Arial" w:hAnsi="Arial" w:cs="Arial"/>
        </w:rPr>
        <w:t xml:space="preserve">location (including blocks removed </w:t>
      </w:r>
      <w:r w:rsidR="00E3786F" w:rsidRPr="0083560E">
        <w:rPr>
          <w:rFonts w:ascii="Arial" w:hAnsi="Arial" w:cs="Arial"/>
        </w:rPr>
        <w:t xml:space="preserve">from the declared location </w:t>
      </w:r>
      <w:r w:rsidR="0063615A" w:rsidRPr="0083560E">
        <w:rPr>
          <w:rFonts w:ascii="Arial" w:hAnsi="Arial" w:cs="Arial"/>
        </w:rPr>
        <w:t xml:space="preserve">by variation or revocation—see </w:t>
      </w:r>
      <w:r w:rsidR="00106F86" w:rsidRPr="0083560E">
        <w:rPr>
          <w:rFonts w:ascii="Arial" w:hAnsi="Arial" w:cs="Arial"/>
        </w:rPr>
        <w:t xml:space="preserve">sections </w:t>
      </w:r>
      <w:r w:rsidR="00EC5575">
        <w:rPr>
          <w:rFonts w:ascii="Arial" w:hAnsi="Arial" w:cs="Arial"/>
        </w:rPr>
        <w:t>5</w:t>
      </w:r>
      <w:r w:rsidR="000F2E4B" w:rsidRPr="0083560E">
        <w:rPr>
          <w:rFonts w:ascii="Arial" w:hAnsi="Arial" w:cs="Arial"/>
        </w:rPr>
        <w:t xml:space="preserve"> and </w:t>
      </w:r>
      <w:r w:rsidR="00EC5575">
        <w:rPr>
          <w:rFonts w:ascii="Arial" w:hAnsi="Arial" w:cs="Arial"/>
        </w:rPr>
        <w:t>6</w:t>
      </w:r>
      <w:r w:rsidR="00EC5575" w:rsidRPr="0083560E">
        <w:rPr>
          <w:rFonts w:ascii="Arial" w:hAnsi="Arial" w:cs="Arial"/>
        </w:rPr>
        <w:t xml:space="preserve"> </w:t>
      </w:r>
      <w:r w:rsidR="00106F86" w:rsidRPr="0083560E">
        <w:rPr>
          <w:rFonts w:ascii="Arial" w:hAnsi="Arial" w:cs="Arial"/>
        </w:rPr>
        <w:t>of this guideline</w:t>
      </w:r>
      <w:r w:rsidR="0063615A" w:rsidRPr="0083560E">
        <w:rPr>
          <w:rFonts w:ascii="Arial" w:hAnsi="Arial" w:cs="Arial"/>
        </w:rPr>
        <w:t xml:space="preserve">) also remain in force within the exploration permit and subject to the permit conditions. </w:t>
      </w:r>
      <w:r w:rsidR="000E7627" w:rsidRPr="0083560E">
        <w:rPr>
          <w:rFonts w:ascii="Arial" w:hAnsi="Arial" w:cs="Arial"/>
        </w:rPr>
        <w:br/>
      </w:r>
    </w:p>
    <w:p w14:paraId="29700D32" w14:textId="31C31D51" w:rsidR="000E7627" w:rsidRPr="0083560E" w:rsidRDefault="00A242C2" w:rsidP="000E7627">
      <w:pPr>
        <w:pStyle w:val="ListParagraph"/>
        <w:numPr>
          <w:ilvl w:val="1"/>
          <w:numId w:val="31"/>
        </w:numPr>
        <w:ind w:left="567" w:hanging="567"/>
        <w:rPr>
          <w:rFonts w:ascii="Arial" w:hAnsi="Arial" w:cs="Arial"/>
          <w:b/>
        </w:rPr>
      </w:pPr>
      <w:r w:rsidRPr="0083560E">
        <w:rPr>
          <w:rFonts w:ascii="Arial" w:hAnsi="Arial" w:cs="Arial"/>
        </w:rPr>
        <w:t>A b</w:t>
      </w:r>
      <w:r w:rsidR="00F03AC6" w:rsidRPr="0083560E">
        <w:rPr>
          <w:rFonts w:ascii="Arial" w:hAnsi="Arial" w:cs="Arial"/>
        </w:rPr>
        <w:t>lock or blocks</w:t>
      </w:r>
      <w:r w:rsidR="0063615A" w:rsidRPr="0083560E">
        <w:rPr>
          <w:rFonts w:ascii="Arial" w:hAnsi="Arial" w:cs="Arial"/>
        </w:rPr>
        <w:t xml:space="preserve"> declared as a location </w:t>
      </w:r>
      <w:r w:rsidR="00714586" w:rsidRPr="0083560E">
        <w:rPr>
          <w:rFonts w:ascii="Arial" w:hAnsi="Arial" w:cs="Arial"/>
        </w:rPr>
        <w:t xml:space="preserve">receive </w:t>
      </w:r>
      <w:r w:rsidR="006C38C9" w:rsidRPr="0083560E">
        <w:rPr>
          <w:rFonts w:ascii="Arial" w:hAnsi="Arial" w:cs="Arial"/>
        </w:rPr>
        <w:t xml:space="preserve">preferential status </w:t>
      </w:r>
      <w:r w:rsidR="002E197B" w:rsidRPr="0083560E">
        <w:rPr>
          <w:rFonts w:ascii="Arial" w:hAnsi="Arial" w:cs="Arial"/>
        </w:rPr>
        <w:t>(s</w:t>
      </w:r>
      <w:r w:rsidR="00757A6F" w:rsidRPr="0083560E">
        <w:rPr>
          <w:rFonts w:ascii="Arial" w:hAnsi="Arial" w:cs="Arial"/>
        </w:rPr>
        <w:t>.</w:t>
      </w:r>
      <w:r w:rsidR="002E197B" w:rsidRPr="0083560E">
        <w:rPr>
          <w:rFonts w:ascii="Arial" w:hAnsi="Arial" w:cs="Arial"/>
        </w:rPr>
        <w:t xml:space="preserve"> 123(5)) </w:t>
      </w:r>
      <w:r w:rsidR="006C38C9" w:rsidRPr="0083560E">
        <w:rPr>
          <w:rFonts w:ascii="Arial" w:hAnsi="Arial" w:cs="Arial"/>
        </w:rPr>
        <w:t xml:space="preserve">under </w:t>
      </w:r>
      <w:r w:rsidR="0063615A" w:rsidRPr="0083560E">
        <w:rPr>
          <w:rFonts w:ascii="Arial" w:hAnsi="Arial" w:cs="Arial"/>
        </w:rPr>
        <w:t xml:space="preserve">the halving rules </w:t>
      </w:r>
      <w:r w:rsidR="00714586" w:rsidRPr="0083560E">
        <w:rPr>
          <w:rFonts w:ascii="Arial" w:hAnsi="Arial" w:cs="Arial"/>
        </w:rPr>
        <w:t>in</w:t>
      </w:r>
      <w:r w:rsidR="0063615A" w:rsidRPr="0083560E">
        <w:rPr>
          <w:rFonts w:ascii="Arial" w:hAnsi="Arial" w:cs="Arial"/>
        </w:rPr>
        <w:t xml:space="preserve"> </w:t>
      </w:r>
      <w:r w:rsidR="00F135F5" w:rsidRPr="0083560E">
        <w:rPr>
          <w:rFonts w:ascii="Arial" w:hAnsi="Arial" w:cs="Arial"/>
        </w:rPr>
        <w:t>s</w:t>
      </w:r>
      <w:r w:rsidR="00EC5575">
        <w:rPr>
          <w:rFonts w:ascii="Arial" w:hAnsi="Arial" w:cs="Arial"/>
        </w:rPr>
        <w:t>.</w:t>
      </w:r>
      <w:r w:rsidR="0063615A" w:rsidRPr="0083560E">
        <w:rPr>
          <w:rFonts w:ascii="Arial" w:hAnsi="Arial" w:cs="Arial"/>
        </w:rPr>
        <w:t xml:space="preserve"> 123 and 124 of the Act</w:t>
      </w:r>
      <w:r w:rsidR="00714586" w:rsidRPr="0083560E">
        <w:rPr>
          <w:rFonts w:ascii="Arial" w:hAnsi="Arial" w:cs="Arial"/>
        </w:rPr>
        <w:t xml:space="preserve"> with the result that they </w:t>
      </w:r>
      <w:r w:rsidR="0063615A" w:rsidRPr="0083560E">
        <w:rPr>
          <w:rFonts w:ascii="Arial" w:hAnsi="Arial" w:cs="Arial"/>
        </w:rPr>
        <w:t>may be retained in the renewed exploration permit</w:t>
      </w:r>
      <w:r w:rsidR="002E197B" w:rsidRPr="0083560E">
        <w:rPr>
          <w:rFonts w:ascii="Arial" w:hAnsi="Arial" w:cs="Arial"/>
        </w:rPr>
        <w:t>.</w:t>
      </w:r>
      <w:r w:rsidR="000E7627" w:rsidRPr="0083560E">
        <w:rPr>
          <w:rFonts w:ascii="Arial" w:hAnsi="Arial" w:cs="Arial"/>
        </w:rPr>
        <w:br/>
      </w:r>
    </w:p>
    <w:p w14:paraId="3DE9237C" w14:textId="3E103C04" w:rsidR="000E7627" w:rsidRPr="0083560E" w:rsidRDefault="00A242C2" w:rsidP="000E7627">
      <w:pPr>
        <w:pStyle w:val="ListParagraph"/>
        <w:numPr>
          <w:ilvl w:val="1"/>
          <w:numId w:val="31"/>
        </w:numPr>
        <w:ind w:left="567" w:hanging="567"/>
        <w:rPr>
          <w:rFonts w:ascii="Arial" w:hAnsi="Arial" w:cs="Arial"/>
          <w:b/>
        </w:rPr>
      </w:pPr>
      <w:r w:rsidRPr="0083560E">
        <w:rPr>
          <w:rFonts w:ascii="Arial" w:hAnsi="Arial" w:cs="Arial"/>
        </w:rPr>
        <w:t>A b</w:t>
      </w:r>
      <w:r w:rsidR="00F03AC6" w:rsidRPr="0083560E">
        <w:rPr>
          <w:rFonts w:ascii="Arial" w:hAnsi="Arial" w:cs="Arial"/>
        </w:rPr>
        <w:t>lock or blocks</w:t>
      </w:r>
      <w:r w:rsidR="0063615A" w:rsidRPr="0083560E">
        <w:rPr>
          <w:rFonts w:ascii="Arial" w:hAnsi="Arial" w:cs="Arial"/>
        </w:rPr>
        <w:t xml:space="preserve"> that are </w:t>
      </w:r>
      <w:r w:rsidR="00E3786F" w:rsidRPr="0083560E">
        <w:rPr>
          <w:rFonts w:ascii="Arial" w:hAnsi="Arial" w:cs="Arial"/>
        </w:rPr>
        <w:t>no longer within</w:t>
      </w:r>
      <w:r w:rsidR="0063615A" w:rsidRPr="0083560E">
        <w:rPr>
          <w:rFonts w:ascii="Arial" w:hAnsi="Arial" w:cs="Arial"/>
        </w:rPr>
        <w:t xml:space="preserve"> a declared location, </w:t>
      </w:r>
      <w:r w:rsidR="00E3786F" w:rsidRPr="0083560E">
        <w:rPr>
          <w:rFonts w:ascii="Arial" w:hAnsi="Arial" w:cs="Arial"/>
        </w:rPr>
        <w:t>as a result o</w:t>
      </w:r>
      <w:r w:rsidR="00CC582C" w:rsidRPr="0083560E">
        <w:rPr>
          <w:rFonts w:ascii="Arial" w:hAnsi="Arial" w:cs="Arial"/>
        </w:rPr>
        <w:t xml:space="preserve">f </w:t>
      </w:r>
      <w:r w:rsidR="00507235" w:rsidRPr="0083560E">
        <w:rPr>
          <w:rFonts w:ascii="Arial" w:hAnsi="Arial" w:cs="Arial"/>
        </w:rPr>
        <w:t>either revocation</w:t>
      </w:r>
      <w:r w:rsidR="00CC582C" w:rsidRPr="0083560E">
        <w:rPr>
          <w:rFonts w:ascii="Arial" w:hAnsi="Arial" w:cs="Arial"/>
        </w:rPr>
        <w:t xml:space="preserve"> of the entire location (s. 132) or variation resulting in deletion of a block from the location (s.</w:t>
      </w:r>
      <w:r w:rsidR="00891F3F">
        <w:rPr>
          <w:rFonts w:ascii="Arial" w:hAnsi="Arial" w:cs="Arial"/>
        </w:rPr>
        <w:t> </w:t>
      </w:r>
      <w:r w:rsidR="00CC582C" w:rsidRPr="0083560E">
        <w:rPr>
          <w:rFonts w:ascii="Arial" w:hAnsi="Arial" w:cs="Arial"/>
        </w:rPr>
        <w:t>133(1)(b))</w:t>
      </w:r>
      <w:r w:rsidR="0063615A" w:rsidRPr="0083560E">
        <w:rPr>
          <w:rFonts w:ascii="Arial" w:hAnsi="Arial" w:cs="Arial"/>
        </w:rPr>
        <w:t xml:space="preserve">, </w:t>
      </w:r>
      <w:r w:rsidR="002E197B" w:rsidRPr="0083560E">
        <w:rPr>
          <w:rFonts w:ascii="Arial" w:hAnsi="Arial" w:cs="Arial"/>
        </w:rPr>
        <w:t>will lose the benefit of preferential treatment under</w:t>
      </w:r>
      <w:r w:rsidR="0063615A" w:rsidRPr="0083560E">
        <w:rPr>
          <w:rFonts w:ascii="Arial" w:hAnsi="Arial" w:cs="Arial"/>
        </w:rPr>
        <w:t xml:space="preserve"> the halving rules</w:t>
      </w:r>
      <w:r w:rsidR="002E197B" w:rsidRPr="0083560E">
        <w:rPr>
          <w:rFonts w:ascii="Arial" w:hAnsi="Arial" w:cs="Arial"/>
        </w:rPr>
        <w:t xml:space="preserve"> in </w:t>
      </w:r>
      <w:r w:rsidR="00F135F5" w:rsidRPr="0083560E">
        <w:rPr>
          <w:rFonts w:ascii="Arial" w:hAnsi="Arial" w:cs="Arial"/>
        </w:rPr>
        <w:t>s</w:t>
      </w:r>
      <w:r w:rsidR="00891F3F">
        <w:rPr>
          <w:rFonts w:ascii="Arial" w:hAnsi="Arial" w:cs="Arial"/>
        </w:rPr>
        <w:t>.</w:t>
      </w:r>
      <w:r w:rsidR="002E197B" w:rsidRPr="0083560E">
        <w:rPr>
          <w:rFonts w:ascii="Arial" w:hAnsi="Arial" w:cs="Arial"/>
        </w:rPr>
        <w:t xml:space="preserve"> 123(5)</w:t>
      </w:r>
      <w:r w:rsidR="0063615A" w:rsidRPr="0083560E">
        <w:rPr>
          <w:rFonts w:ascii="Arial" w:hAnsi="Arial" w:cs="Arial"/>
        </w:rPr>
        <w:t>.</w:t>
      </w:r>
      <w:r w:rsidR="000E7627" w:rsidRPr="0083560E">
        <w:rPr>
          <w:rFonts w:ascii="Arial" w:hAnsi="Arial" w:cs="Arial"/>
        </w:rPr>
        <w:br/>
      </w:r>
    </w:p>
    <w:p w14:paraId="67DBF665" w14:textId="0728CD77" w:rsidR="0063615A" w:rsidRPr="0083560E" w:rsidRDefault="0063615A" w:rsidP="000E7627">
      <w:pPr>
        <w:pStyle w:val="ListParagraph"/>
        <w:numPr>
          <w:ilvl w:val="1"/>
          <w:numId w:val="31"/>
        </w:numPr>
        <w:ind w:left="567" w:hanging="567"/>
        <w:rPr>
          <w:rFonts w:ascii="Arial" w:hAnsi="Arial" w:cs="Arial"/>
          <w:b/>
        </w:rPr>
      </w:pPr>
      <w:r w:rsidRPr="0083560E">
        <w:rPr>
          <w:rFonts w:ascii="Arial" w:hAnsi="Arial" w:cs="Arial"/>
        </w:rPr>
        <w:t xml:space="preserve">For further information about renewing an exploration permit, and the application of the halving rules, please refer to the </w:t>
      </w:r>
      <w:hyperlink r:id="rId18" w:tooltip="http://www.nopta.gov.au/legislation/guidelines.html" w:history="1">
        <w:r w:rsidRPr="0083560E">
          <w:rPr>
            <w:rStyle w:val="Hyperlink"/>
            <w:rFonts w:ascii="Arial" w:hAnsi="Arial" w:cs="Arial"/>
            <w:i/>
          </w:rPr>
          <w:t>Offshore Petroleum Exploration Guideline</w:t>
        </w:r>
      </w:hyperlink>
      <w:r w:rsidRPr="0083560E">
        <w:rPr>
          <w:rFonts w:ascii="Arial" w:hAnsi="Arial" w:cs="Arial"/>
        </w:rPr>
        <w:t xml:space="preserve"> and the </w:t>
      </w:r>
      <w:hyperlink r:id="rId19" w:tooltip="http://www.nopta.gov.au/legislation/factsheets/index.html" w:history="1">
        <w:r w:rsidRPr="0083560E">
          <w:rPr>
            <w:rStyle w:val="Hyperlink"/>
            <w:rFonts w:ascii="Arial" w:hAnsi="Arial" w:cs="Arial"/>
            <w:i/>
          </w:rPr>
          <w:t>Renewal of Work-Bid Exploration Permits-Standard Halving Rules</w:t>
        </w:r>
      </w:hyperlink>
      <w:r w:rsidRPr="0083560E">
        <w:rPr>
          <w:rFonts w:ascii="Arial" w:hAnsi="Arial" w:cs="Arial"/>
        </w:rPr>
        <w:t xml:space="preserve"> fact sheet on NOPTA’s website.</w:t>
      </w:r>
    </w:p>
    <w:p w14:paraId="09A7A711" w14:textId="07AA40A5" w:rsidR="00C017F6" w:rsidRPr="00635EB4" w:rsidRDefault="00D20C83" w:rsidP="00635EB4">
      <w:pPr>
        <w:pStyle w:val="Heading1"/>
        <w:numPr>
          <w:ilvl w:val="0"/>
          <w:numId w:val="31"/>
        </w:numPr>
        <w:rPr>
          <w:szCs w:val="28"/>
        </w:rPr>
      </w:pPr>
      <w:bookmarkStart w:id="4" w:name="_Toc422388750"/>
      <w:bookmarkStart w:id="5" w:name="_Toc422388752"/>
      <w:bookmarkStart w:id="6" w:name="_Toc483231644"/>
      <w:bookmarkStart w:id="7" w:name="_Toc422388755"/>
      <w:bookmarkEnd w:id="2"/>
      <w:bookmarkEnd w:id="4"/>
      <w:bookmarkEnd w:id="5"/>
      <w:r>
        <w:rPr>
          <w:szCs w:val="28"/>
        </w:rPr>
        <w:lastRenderedPageBreak/>
        <w:t>Process for declaring a location</w:t>
      </w:r>
      <w:bookmarkEnd w:id="6"/>
    </w:p>
    <w:p w14:paraId="42B8344F" w14:textId="0F8941D2" w:rsidR="00D208D3" w:rsidRPr="004A0B92" w:rsidRDefault="00A242C2" w:rsidP="003A519F">
      <w:pPr>
        <w:pStyle w:val="ListParagraph"/>
        <w:numPr>
          <w:ilvl w:val="1"/>
          <w:numId w:val="31"/>
        </w:numPr>
        <w:ind w:left="567" w:hanging="567"/>
        <w:rPr>
          <w:rFonts w:ascii="Arial" w:hAnsi="Arial" w:cs="Arial"/>
        </w:rPr>
      </w:pPr>
      <w:bookmarkStart w:id="8" w:name="_Toc422388756"/>
      <w:bookmarkStart w:id="9" w:name="_Toc422388758"/>
      <w:bookmarkStart w:id="10" w:name="_Toc422388759"/>
      <w:bookmarkStart w:id="11" w:name="_Toc422388760"/>
      <w:bookmarkEnd w:id="7"/>
      <w:bookmarkEnd w:id="8"/>
      <w:bookmarkEnd w:id="9"/>
      <w:bookmarkEnd w:id="10"/>
      <w:r w:rsidRPr="0083560E">
        <w:rPr>
          <w:rFonts w:ascii="Arial" w:hAnsi="Arial" w:cs="Arial"/>
        </w:rPr>
        <w:t>A b</w:t>
      </w:r>
      <w:r w:rsidR="00F03AC6" w:rsidRPr="0083560E">
        <w:rPr>
          <w:rFonts w:ascii="Arial" w:hAnsi="Arial" w:cs="Arial"/>
        </w:rPr>
        <w:t>lock or blocks</w:t>
      </w:r>
      <w:r w:rsidR="00D8520C" w:rsidRPr="0083560E">
        <w:rPr>
          <w:rFonts w:ascii="Arial" w:hAnsi="Arial" w:cs="Arial"/>
        </w:rPr>
        <w:t xml:space="preserve"> can be nominated as a location by the permittee (s</w:t>
      </w:r>
      <w:r w:rsidR="00757A6F" w:rsidRPr="0083560E">
        <w:rPr>
          <w:rFonts w:ascii="Arial" w:hAnsi="Arial" w:cs="Arial"/>
        </w:rPr>
        <w:t xml:space="preserve">. </w:t>
      </w:r>
      <w:r w:rsidR="00D8520C" w:rsidRPr="0083560E">
        <w:rPr>
          <w:rFonts w:ascii="Arial" w:hAnsi="Arial" w:cs="Arial"/>
        </w:rPr>
        <w:t xml:space="preserve">129) or the Joint Authority can require the permittee to </w:t>
      </w:r>
      <w:r w:rsidR="00A64FEC" w:rsidRPr="0083560E">
        <w:rPr>
          <w:rFonts w:ascii="Arial" w:hAnsi="Arial" w:cs="Arial"/>
        </w:rPr>
        <w:t>nominate blocks</w:t>
      </w:r>
      <w:r w:rsidR="00D8520C" w:rsidRPr="0083560E">
        <w:rPr>
          <w:rFonts w:ascii="Arial" w:hAnsi="Arial" w:cs="Arial"/>
        </w:rPr>
        <w:t xml:space="preserve"> (s</w:t>
      </w:r>
      <w:r w:rsidR="00757A6F" w:rsidRPr="0083560E">
        <w:rPr>
          <w:rFonts w:ascii="Arial" w:hAnsi="Arial" w:cs="Arial"/>
        </w:rPr>
        <w:t>.</w:t>
      </w:r>
      <w:r w:rsidR="00D8520C" w:rsidRPr="0083560E">
        <w:rPr>
          <w:rFonts w:ascii="Arial" w:hAnsi="Arial" w:cs="Arial"/>
        </w:rPr>
        <w:t xml:space="preserve"> 130).</w:t>
      </w:r>
      <w:bookmarkEnd w:id="11"/>
      <w:r w:rsidR="000E7627" w:rsidRPr="004A0B92">
        <w:rPr>
          <w:rFonts w:ascii="Arial" w:hAnsi="Arial" w:cs="Arial"/>
        </w:rPr>
        <w:br/>
      </w:r>
    </w:p>
    <w:p w14:paraId="7441644F" w14:textId="00491D68" w:rsidR="00AE482B" w:rsidRPr="0083560E" w:rsidRDefault="00D208D3" w:rsidP="000E7627">
      <w:pPr>
        <w:pStyle w:val="ListParagraph"/>
        <w:numPr>
          <w:ilvl w:val="1"/>
          <w:numId w:val="31"/>
        </w:numPr>
        <w:ind w:left="567" w:hanging="567"/>
        <w:rPr>
          <w:rFonts w:ascii="Arial" w:hAnsi="Arial" w:cs="Arial"/>
        </w:rPr>
      </w:pPr>
      <w:r w:rsidRPr="0083560E">
        <w:rPr>
          <w:rFonts w:ascii="Arial" w:hAnsi="Arial" w:cs="Arial"/>
        </w:rPr>
        <w:t xml:space="preserve">Nominations </w:t>
      </w:r>
      <w:r w:rsidR="00AF5D9B" w:rsidRPr="0083560E">
        <w:rPr>
          <w:rFonts w:ascii="Arial" w:hAnsi="Arial" w:cs="Arial"/>
        </w:rPr>
        <w:t xml:space="preserve">under </w:t>
      </w:r>
      <w:r w:rsidR="00F135F5" w:rsidRPr="0083560E">
        <w:rPr>
          <w:rFonts w:ascii="Arial" w:hAnsi="Arial" w:cs="Arial"/>
        </w:rPr>
        <w:t>s</w:t>
      </w:r>
      <w:r w:rsidR="00891F3F">
        <w:rPr>
          <w:rFonts w:ascii="Arial" w:hAnsi="Arial" w:cs="Arial"/>
        </w:rPr>
        <w:t>.</w:t>
      </w:r>
      <w:r w:rsidR="00AF5D9B" w:rsidRPr="0083560E">
        <w:rPr>
          <w:rFonts w:ascii="Arial" w:hAnsi="Arial" w:cs="Arial"/>
        </w:rPr>
        <w:t xml:space="preserve"> 129 </w:t>
      </w:r>
      <w:r w:rsidR="0073382E" w:rsidRPr="0083560E">
        <w:rPr>
          <w:rFonts w:ascii="Arial" w:hAnsi="Arial" w:cs="Arial"/>
        </w:rPr>
        <w:t xml:space="preserve">of the Act </w:t>
      </w:r>
      <w:r w:rsidR="00AF5D9B" w:rsidRPr="0083560E">
        <w:rPr>
          <w:rFonts w:ascii="Arial" w:hAnsi="Arial" w:cs="Arial"/>
        </w:rPr>
        <w:t xml:space="preserve">are submitted to NOPTA for </w:t>
      </w:r>
      <w:r w:rsidR="00187A62" w:rsidRPr="0083560E">
        <w:rPr>
          <w:rFonts w:ascii="Arial" w:hAnsi="Arial" w:cs="Arial"/>
        </w:rPr>
        <w:t>decision</w:t>
      </w:r>
      <w:r w:rsidR="00AF5D9B" w:rsidRPr="0083560E">
        <w:rPr>
          <w:rFonts w:ascii="Arial" w:hAnsi="Arial" w:cs="Arial"/>
        </w:rPr>
        <w:t xml:space="preserve"> by the Joint Authority.</w:t>
      </w:r>
      <w:r w:rsidR="00542D77" w:rsidRPr="0083560E">
        <w:rPr>
          <w:rFonts w:ascii="Arial" w:hAnsi="Arial" w:cs="Arial"/>
        </w:rPr>
        <w:t xml:space="preserve"> </w:t>
      </w:r>
    </w:p>
    <w:p w14:paraId="4CC8B5CD" w14:textId="0090C50C" w:rsidR="00027EFD" w:rsidRPr="00CE427C" w:rsidRDefault="009333E5" w:rsidP="00CE427C">
      <w:pPr>
        <w:pStyle w:val="Heading2"/>
      </w:pPr>
      <w:bookmarkStart w:id="12" w:name="_Toc422388771"/>
      <w:bookmarkStart w:id="13" w:name="_Toc422388772"/>
      <w:bookmarkEnd w:id="12"/>
      <w:r w:rsidRPr="00CE427C">
        <w:t>Timing – J</w:t>
      </w:r>
      <w:r w:rsidR="00763B5C" w:rsidRPr="00CE427C">
        <w:t xml:space="preserve">oint Authority </w:t>
      </w:r>
      <w:r w:rsidR="00A676B6" w:rsidRPr="00CE427C">
        <w:t>r</w:t>
      </w:r>
      <w:r w:rsidR="00FE373F" w:rsidRPr="00CE427C">
        <w:t>equire</w:t>
      </w:r>
      <w:r w:rsidR="00763B5C" w:rsidRPr="00CE427C">
        <w:t>s</w:t>
      </w:r>
      <w:r w:rsidR="00FE373F" w:rsidRPr="00CE427C">
        <w:t xml:space="preserve"> </w:t>
      </w:r>
      <w:r w:rsidR="00763B5C" w:rsidRPr="00CE427C">
        <w:t xml:space="preserve">permittee </w:t>
      </w:r>
      <w:r w:rsidR="00FE373F" w:rsidRPr="00CE427C">
        <w:t xml:space="preserve">to nominate blocks as a location </w:t>
      </w:r>
      <w:bookmarkEnd w:id="13"/>
    </w:p>
    <w:p w14:paraId="4AF36A9D" w14:textId="2433F650" w:rsidR="00755A61" w:rsidRPr="0083560E" w:rsidRDefault="00755A61" w:rsidP="000E7627">
      <w:pPr>
        <w:pStyle w:val="ListParagraph"/>
        <w:numPr>
          <w:ilvl w:val="1"/>
          <w:numId w:val="31"/>
        </w:numPr>
        <w:ind w:left="567" w:hanging="567"/>
        <w:rPr>
          <w:rFonts w:ascii="Arial" w:hAnsi="Arial" w:cs="Arial"/>
        </w:rPr>
      </w:pPr>
      <w:bookmarkStart w:id="14" w:name="_Toc422388773"/>
      <w:bookmarkStart w:id="15" w:name="_Ref428179464"/>
      <w:r w:rsidRPr="0083560E">
        <w:rPr>
          <w:rFonts w:ascii="Arial" w:hAnsi="Arial" w:cs="Arial"/>
        </w:rPr>
        <w:t xml:space="preserve">The Joint Authority </w:t>
      </w:r>
      <w:r w:rsidR="000D32A9" w:rsidRPr="0083560E">
        <w:rPr>
          <w:rFonts w:ascii="Arial" w:hAnsi="Arial" w:cs="Arial"/>
        </w:rPr>
        <w:t>can</w:t>
      </w:r>
      <w:r w:rsidRPr="0083560E">
        <w:rPr>
          <w:rFonts w:ascii="Arial" w:hAnsi="Arial" w:cs="Arial"/>
        </w:rPr>
        <w:t xml:space="preserve"> require a </w:t>
      </w:r>
      <w:r w:rsidR="002D514C" w:rsidRPr="0083560E">
        <w:rPr>
          <w:rFonts w:ascii="Arial" w:hAnsi="Arial" w:cs="Arial"/>
        </w:rPr>
        <w:t xml:space="preserve">permittee </w:t>
      </w:r>
      <w:r w:rsidRPr="0083560E">
        <w:rPr>
          <w:rFonts w:ascii="Arial" w:hAnsi="Arial" w:cs="Arial"/>
        </w:rPr>
        <w:t xml:space="preserve">to </w:t>
      </w:r>
      <w:r w:rsidR="000253AB" w:rsidRPr="0083560E">
        <w:rPr>
          <w:rFonts w:ascii="Arial" w:hAnsi="Arial" w:cs="Arial"/>
        </w:rPr>
        <w:t>nominate a</w:t>
      </w:r>
      <w:r w:rsidRPr="0083560E">
        <w:rPr>
          <w:rFonts w:ascii="Arial" w:hAnsi="Arial" w:cs="Arial"/>
        </w:rPr>
        <w:t xml:space="preserve"> </w:t>
      </w:r>
      <w:r w:rsidR="00F03AC6" w:rsidRPr="0083560E">
        <w:rPr>
          <w:rFonts w:ascii="Arial" w:hAnsi="Arial" w:cs="Arial"/>
        </w:rPr>
        <w:t>block or blocks</w:t>
      </w:r>
      <w:r w:rsidRPr="0083560E">
        <w:rPr>
          <w:rFonts w:ascii="Arial" w:hAnsi="Arial" w:cs="Arial"/>
        </w:rPr>
        <w:t xml:space="preserve"> as a location if </w:t>
      </w:r>
      <w:r w:rsidR="00E30D67" w:rsidRPr="0083560E">
        <w:rPr>
          <w:rFonts w:ascii="Arial" w:hAnsi="Arial" w:cs="Arial"/>
        </w:rPr>
        <w:t xml:space="preserve">it forms the opinion that a </w:t>
      </w:r>
      <w:r w:rsidR="00507235" w:rsidRPr="0083560E">
        <w:rPr>
          <w:rFonts w:ascii="Arial" w:hAnsi="Arial" w:cs="Arial"/>
        </w:rPr>
        <w:t xml:space="preserve">permittee </w:t>
      </w:r>
      <w:r w:rsidR="00E30D67" w:rsidRPr="0083560E">
        <w:rPr>
          <w:rFonts w:ascii="Arial" w:hAnsi="Arial" w:cs="Arial"/>
        </w:rPr>
        <w:t xml:space="preserve">is entitled to nominate </w:t>
      </w:r>
      <w:r w:rsidR="008F66B0" w:rsidRPr="0083560E">
        <w:rPr>
          <w:rFonts w:ascii="Arial" w:hAnsi="Arial" w:cs="Arial"/>
        </w:rPr>
        <w:t xml:space="preserve">the </w:t>
      </w:r>
      <w:r w:rsidR="00F03AC6" w:rsidRPr="0083560E">
        <w:rPr>
          <w:rFonts w:ascii="Arial" w:hAnsi="Arial" w:cs="Arial"/>
        </w:rPr>
        <w:t>block or blocks</w:t>
      </w:r>
      <w:r w:rsidR="008F66B0" w:rsidRPr="0083560E">
        <w:rPr>
          <w:rFonts w:ascii="Arial" w:hAnsi="Arial" w:cs="Arial"/>
        </w:rPr>
        <w:t xml:space="preserve"> </w:t>
      </w:r>
      <w:r w:rsidR="000D32A9" w:rsidRPr="0083560E">
        <w:rPr>
          <w:rFonts w:ascii="Arial" w:hAnsi="Arial" w:cs="Arial"/>
        </w:rPr>
        <w:t>(</w:t>
      </w:r>
      <w:r w:rsidR="00A771B9" w:rsidRPr="0083560E">
        <w:rPr>
          <w:rFonts w:ascii="Arial" w:hAnsi="Arial" w:cs="Arial"/>
        </w:rPr>
        <w:t>see </w:t>
      </w:r>
      <w:r w:rsidR="00106F86" w:rsidRPr="0083560E">
        <w:rPr>
          <w:rFonts w:ascii="Arial" w:hAnsi="Arial" w:cs="Arial"/>
        </w:rPr>
        <w:t>section 3.1 of this guideline</w:t>
      </w:r>
      <w:r w:rsidR="000D32A9" w:rsidRPr="0083560E">
        <w:rPr>
          <w:rFonts w:ascii="Arial" w:hAnsi="Arial" w:cs="Arial"/>
        </w:rPr>
        <w:t>) but</w:t>
      </w:r>
      <w:r w:rsidR="00155D46" w:rsidRPr="0083560E">
        <w:rPr>
          <w:rFonts w:ascii="Arial" w:hAnsi="Arial" w:cs="Arial"/>
        </w:rPr>
        <w:t xml:space="preserve"> the permitte</w:t>
      </w:r>
      <w:r w:rsidR="001924E2" w:rsidRPr="0083560E">
        <w:rPr>
          <w:rFonts w:ascii="Arial" w:hAnsi="Arial" w:cs="Arial"/>
        </w:rPr>
        <w:t>e</w:t>
      </w:r>
      <w:r w:rsidR="000D32A9" w:rsidRPr="0083560E">
        <w:rPr>
          <w:rFonts w:ascii="Arial" w:hAnsi="Arial" w:cs="Arial"/>
        </w:rPr>
        <w:t xml:space="preserve"> has not done so (s. 130)</w:t>
      </w:r>
      <w:r w:rsidRPr="0083560E">
        <w:rPr>
          <w:rFonts w:ascii="Arial" w:hAnsi="Arial" w:cs="Arial"/>
        </w:rPr>
        <w:t>.</w:t>
      </w:r>
      <w:bookmarkEnd w:id="14"/>
      <w:bookmarkEnd w:id="15"/>
      <w:r w:rsidR="002966B0" w:rsidRPr="0083560E">
        <w:rPr>
          <w:rFonts w:ascii="Arial" w:hAnsi="Arial" w:cs="Arial"/>
        </w:rPr>
        <w:t xml:space="preserve"> </w:t>
      </w:r>
      <w:r w:rsidR="000E7627" w:rsidRPr="0083560E">
        <w:rPr>
          <w:rFonts w:ascii="Arial" w:hAnsi="Arial" w:cs="Arial"/>
        </w:rPr>
        <w:br/>
      </w:r>
    </w:p>
    <w:p w14:paraId="774DED83" w14:textId="787D259D" w:rsidR="00027EFD" w:rsidRPr="0083560E" w:rsidRDefault="00134A40" w:rsidP="000E7627">
      <w:pPr>
        <w:pStyle w:val="ListParagraph"/>
        <w:numPr>
          <w:ilvl w:val="1"/>
          <w:numId w:val="31"/>
        </w:numPr>
        <w:ind w:left="567" w:hanging="567"/>
        <w:rPr>
          <w:rFonts w:ascii="Arial" w:hAnsi="Arial" w:cs="Arial"/>
        </w:rPr>
      </w:pPr>
      <w:bookmarkStart w:id="16" w:name="_Toc422388776"/>
      <w:r w:rsidRPr="0083560E">
        <w:rPr>
          <w:rFonts w:ascii="Arial" w:hAnsi="Arial" w:cs="Arial"/>
        </w:rPr>
        <w:t>If</w:t>
      </w:r>
      <w:r w:rsidR="00027EFD" w:rsidRPr="0083560E">
        <w:rPr>
          <w:rFonts w:ascii="Arial" w:hAnsi="Arial" w:cs="Arial"/>
        </w:rPr>
        <w:t xml:space="preserve"> the Joint Authority requires </w:t>
      </w:r>
      <w:r w:rsidR="002D514C" w:rsidRPr="0083560E">
        <w:rPr>
          <w:rFonts w:ascii="Arial" w:hAnsi="Arial" w:cs="Arial"/>
        </w:rPr>
        <w:t>a permittee</w:t>
      </w:r>
      <w:r w:rsidR="00027EFD" w:rsidRPr="0083560E">
        <w:rPr>
          <w:rFonts w:ascii="Arial" w:hAnsi="Arial" w:cs="Arial"/>
        </w:rPr>
        <w:t xml:space="preserve"> to </w:t>
      </w:r>
      <w:r w:rsidR="000253AB" w:rsidRPr="0083560E">
        <w:rPr>
          <w:rFonts w:ascii="Arial" w:hAnsi="Arial" w:cs="Arial"/>
        </w:rPr>
        <w:t>nominate a</w:t>
      </w:r>
      <w:r w:rsidR="00027EFD" w:rsidRPr="0083560E">
        <w:rPr>
          <w:rFonts w:ascii="Arial" w:hAnsi="Arial" w:cs="Arial"/>
        </w:rPr>
        <w:t xml:space="preserve"> </w:t>
      </w:r>
      <w:r w:rsidR="00F03AC6" w:rsidRPr="0083560E">
        <w:rPr>
          <w:rFonts w:ascii="Arial" w:hAnsi="Arial" w:cs="Arial"/>
        </w:rPr>
        <w:t>block or blocks</w:t>
      </w:r>
      <w:r w:rsidR="00027EFD" w:rsidRPr="0083560E">
        <w:rPr>
          <w:rFonts w:ascii="Arial" w:hAnsi="Arial" w:cs="Arial"/>
        </w:rPr>
        <w:t xml:space="preserve"> as a location, </w:t>
      </w:r>
      <w:r w:rsidR="00E30D67" w:rsidRPr="0083560E">
        <w:rPr>
          <w:rFonts w:ascii="Arial" w:hAnsi="Arial" w:cs="Arial"/>
        </w:rPr>
        <w:t>the Joint Authority</w:t>
      </w:r>
      <w:r w:rsidR="00027EFD" w:rsidRPr="0083560E">
        <w:rPr>
          <w:rFonts w:ascii="Arial" w:hAnsi="Arial" w:cs="Arial"/>
        </w:rPr>
        <w:t xml:space="preserve"> will issue a notice to the </w:t>
      </w:r>
      <w:r w:rsidR="002D514C" w:rsidRPr="0083560E">
        <w:rPr>
          <w:rFonts w:ascii="Arial" w:hAnsi="Arial" w:cs="Arial"/>
        </w:rPr>
        <w:t>permittee</w:t>
      </w:r>
      <w:r w:rsidR="00027EFD" w:rsidRPr="0083560E">
        <w:rPr>
          <w:rFonts w:ascii="Arial" w:hAnsi="Arial" w:cs="Arial"/>
        </w:rPr>
        <w:t xml:space="preserve"> </w:t>
      </w:r>
      <w:r w:rsidR="000D32A9" w:rsidRPr="0083560E">
        <w:rPr>
          <w:rFonts w:ascii="Arial" w:hAnsi="Arial" w:cs="Arial"/>
        </w:rPr>
        <w:t xml:space="preserve">(via NOPTA) </w:t>
      </w:r>
      <w:r w:rsidR="00C171DB" w:rsidRPr="0083560E">
        <w:rPr>
          <w:rFonts w:ascii="Arial" w:hAnsi="Arial" w:cs="Arial"/>
        </w:rPr>
        <w:t>g</w:t>
      </w:r>
      <w:r w:rsidR="00027EFD" w:rsidRPr="0083560E">
        <w:rPr>
          <w:rFonts w:ascii="Arial" w:hAnsi="Arial" w:cs="Arial"/>
        </w:rPr>
        <w:t>iving 90</w:t>
      </w:r>
      <w:r w:rsidR="004D1F4D" w:rsidRPr="0083560E">
        <w:rPr>
          <w:rFonts w:ascii="Arial" w:hAnsi="Arial" w:cs="Arial"/>
        </w:rPr>
        <w:t> </w:t>
      </w:r>
      <w:r w:rsidR="00027EFD" w:rsidRPr="0083560E">
        <w:rPr>
          <w:rFonts w:ascii="Arial" w:hAnsi="Arial" w:cs="Arial"/>
        </w:rPr>
        <w:t xml:space="preserve">days to make the nomination. </w:t>
      </w:r>
      <w:r w:rsidR="002D514C" w:rsidRPr="0083560E">
        <w:rPr>
          <w:rFonts w:ascii="Arial" w:hAnsi="Arial" w:cs="Arial"/>
        </w:rPr>
        <w:t xml:space="preserve">Permittees </w:t>
      </w:r>
      <w:r w:rsidR="00027EFD" w:rsidRPr="0083560E">
        <w:rPr>
          <w:rFonts w:ascii="Arial" w:hAnsi="Arial" w:cs="Arial"/>
        </w:rPr>
        <w:t xml:space="preserve">can apply for </w:t>
      </w:r>
      <w:r w:rsidR="00FE373F" w:rsidRPr="0083560E">
        <w:rPr>
          <w:rFonts w:ascii="Arial" w:hAnsi="Arial" w:cs="Arial"/>
        </w:rPr>
        <w:t xml:space="preserve">an </w:t>
      </w:r>
      <w:r w:rsidR="00027EFD" w:rsidRPr="0083560E">
        <w:rPr>
          <w:rFonts w:ascii="Arial" w:hAnsi="Arial" w:cs="Arial"/>
        </w:rPr>
        <w:t>extension of up to another 90 days</w:t>
      </w:r>
      <w:r w:rsidR="002D514C" w:rsidRPr="0083560E">
        <w:rPr>
          <w:rFonts w:ascii="Arial" w:hAnsi="Arial" w:cs="Arial"/>
        </w:rPr>
        <w:t xml:space="preserve"> to make the nomination</w:t>
      </w:r>
      <w:r w:rsidR="00027EFD" w:rsidRPr="0083560E">
        <w:rPr>
          <w:rFonts w:ascii="Arial" w:hAnsi="Arial" w:cs="Arial"/>
        </w:rPr>
        <w:t>.</w:t>
      </w:r>
      <w:bookmarkEnd w:id="16"/>
      <w:r w:rsidR="000E7627" w:rsidRPr="0083560E">
        <w:rPr>
          <w:rFonts w:ascii="Arial" w:hAnsi="Arial" w:cs="Arial"/>
        </w:rPr>
        <w:br/>
      </w:r>
    </w:p>
    <w:p w14:paraId="52A9CB39" w14:textId="1602C7FE" w:rsidR="004D2964" w:rsidRPr="0083560E" w:rsidRDefault="00FE373F" w:rsidP="000E7627">
      <w:pPr>
        <w:pStyle w:val="ListParagraph"/>
        <w:numPr>
          <w:ilvl w:val="1"/>
          <w:numId w:val="31"/>
        </w:numPr>
        <w:ind w:left="567" w:hanging="567"/>
        <w:rPr>
          <w:rFonts w:ascii="Arial" w:hAnsi="Arial" w:cs="Arial"/>
        </w:rPr>
      </w:pPr>
      <w:bookmarkStart w:id="17" w:name="_Toc422388777"/>
      <w:bookmarkStart w:id="18" w:name="_Ref428179520"/>
      <w:r w:rsidRPr="0083560E">
        <w:rPr>
          <w:rFonts w:ascii="Arial" w:hAnsi="Arial" w:cs="Arial"/>
        </w:rPr>
        <w:t xml:space="preserve">If the </w:t>
      </w:r>
      <w:r w:rsidR="002D514C" w:rsidRPr="0083560E">
        <w:rPr>
          <w:rFonts w:ascii="Arial" w:hAnsi="Arial" w:cs="Arial"/>
        </w:rPr>
        <w:t>permittee</w:t>
      </w:r>
      <w:r w:rsidRPr="0083560E">
        <w:rPr>
          <w:rFonts w:ascii="Arial" w:hAnsi="Arial" w:cs="Arial"/>
        </w:rPr>
        <w:t xml:space="preserve"> does not apply to declare a location over the identified </w:t>
      </w:r>
      <w:r w:rsidR="00F03AC6" w:rsidRPr="0083560E">
        <w:rPr>
          <w:rFonts w:ascii="Arial" w:hAnsi="Arial" w:cs="Arial"/>
        </w:rPr>
        <w:t>block or blocks</w:t>
      </w:r>
      <w:r w:rsidRPr="0083560E">
        <w:rPr>
          <w:rFonts w:ascii="Arial" w:hAnsi="Arial" w:cs="Arial"/>
        </w:rPr>
        <w:t xml:space="preserve"> within the </w:t>
      </w:r>
      <w:r w:rsidR="00104B5C" w:rsidRPr="0083560E">
        <w:rPr>
          <w:rFonts w:ascii="Arial" w:hAnsi="Arial" w:cs="Arial"/>
        </w:rPr>
        <w:t xml:space="preserve">90 day period (or </w:t>
      </w:r>
      <w:r w:rsidRPr="0083560E">
        <w:rPr>
          <w:rFonts w:ascii="Arial" w:hAnsi="Arial" w:cs="Arial"/>
        </w:rPr>
        <w:t>180 day</w:t>
      </w:r>
      <w:r w:rsidR="00104B5C" w:rsidRPr="0083560E">
        <w:rPr>
          <w:rFonts w:ascii="Arial" w:hAnsi="Arial" w:cs="Arial"/>
        </w:rPr>
        <w:t>s</w:t>
      </w:r>
      <w:r w:rsidRPr="0083560E">
        <w:rPr>
          <w:rFonts w:ascii="Arial" w:hAnsi="Arial" w:cs="Arial"/>
        </w:rPr>
        <w:t xml:space="preserve"> </w:t>
      </w:r>
      <w:r w:rsidR="00134A40" w:rsidRPr="0083560E">
        <w:rPr>
          <w:rFonts w:ascii="Arial" w:hAnsi="Arial" w:cs="Arial"/>
        </w:rPr>
        <w:t>if</w:t>
      </w:r>
      <w:r w:rsidR="00104B5C" w:rsidRPr="0083560E">
        <w:rPr>
          <w:rFonts w:ascii="Arial" w:hAnsi="Arial" w:cs="Arial"/>
        </w:rPr>
        <w:t xml:space="preserve"> an extension is granted)</w:t>
      </w:r>
      <w:r w:rsidRPr="0083560E">
        <w:rPr>
          <w:rFonts w:ascii="Arial" w:hAnsi="Arial" w:cs="Arial"/>
        </w:rPr>
        <w:t xml:space="preserve">, </w:t>
      </w:r>
      <w:r w:rsidR="00755A61" w:rsidRPr="0083560E">
        <w:rPr>
          <w:rFonts w:ascii="Arial" w:hAnsi="Arial" w:cs="Arial"/>
        </w:rPr>
        <w:t xml:space="preserve">the Joint Authority </w:t>
      </w:r>
      <w:r w:rsidR="005B034A" w:rsidRPr="0083560E">
        <w:rPr>
          <w:rFonts w:ascii="Arial" w:hAnsi="Arial" w:cs="Arial"/>
        </w:rPr>
        <w:t>can</w:t>
      </w:r>
      <w:r w:rsidR="00755A61" w:rsidRPr="0083560E">
        <w:rPr>
          <w:rFonts w:ascii="Arial" w:hAnsi="Arial" w:cs="Arial"/>
        </w:rPr>
        <w:t xml:space="preserve"> nominate the blocks </w:t>
      </w:r>
      <w:r w:rsidR="002E197B" w:rsidRPr="0083560E">
        <w:rPr>
          <w:rFonts w:ascii="Arial" w:hAnsi="Arial" w:cs="Arial"/>
        </w:rPr>
        <w:t>itself</w:t>
      </w:r>
      <w:r w:rsidR="000253AB" w:rsidRPr="0083560E">
        <w:rPr>
          <w:rFonts w:ascii="Arial" w:hAnsi="Arial" w:cs="Arial"/>
        </w:rPr>
        <w:t xml:space="preserve"> (s.130)</w:t>
      </w:r>
      <w:r w:rsidR="002E197B" w:rsidRPr="0083560E">
        <w:rPr>
          <w:rFonts w:ascii="Arial" w:hAnsi="Arial" w:cs="Arial"/>
        </w:rPr>
        <w:t>.</w:t>
      </w:r>
      <w:bookmarkEnd w:id="17"/>
      <w:bookmarkEnd w:id="18"/>
      <w:r w:rsidR="00755A61" w:rsidRPr="0083560E" w:rsidDel="00755A61">
        <w:rPr>
          <w:rFonts w:ascii="Arial" w:hAnsi="Arial" w:cs="Arial"/>
        </w:rPr>
        <w:t xml:space="preserve"> </w:t>
      </w:r>
    </w:p>
    <w:p w14:paraId="68CFBEFA" w14:textId="77777777" w:rsidR="005E6643" w:rsidRPr="0083560E" w:rsidRDefault="005E6643" w:rsidP="00CE427C">
      <w:pPr>
        <w:pStyle w:val="Heading2"/>
      </w:pPr>
      <w:r w:rsidRPr="0083560E">
        <w:t>Timing – nomination of blocks by permittee</w:t>
      </w:r>
    </w:p>
    <w:p w14:paraId="04DE5A56" w14:textId="24A517CF" w:rsidR="005E6643" w:rsidRPr="0083560E" w:rsidRDefault="005E6643" w:rsidP="000E7627">
      <w:pPr>
        <w:pStyle w:val="ListParagraph"/>
        <w:numPr>
          <w:ilvl w:val="1"/>
          <w:numId w:val="31"/>
        </w:numPr>
        <w:ind w:left="567" w:hanging="567"/>
        <w:rPr>
          <w:rFonts w:ascii="Arial" w:hAnsi="Arial" w:cs="Arial"/>
        </w:rPr>
      </w:pPr>
      <w:r w:rsidRPr="0083560E">
        <w:rPr>
          <w:rFonts w:ascii="Arial" w:hAnsi="Arial" w:cs="Arial"/>
        </w:rPr>
        <w:t>Applicants should allow at least two months for the Joint Authority to make a decision on the declaration of a location application once all relevant material (including any response to a request for further information) is submitted to NOPTA.</w:t>
      </w:r>
      <w:r w:rsidR="000E7627" w:rsidRPr="0083560E">
        <w:rPr>
          <w:rFonts w:ascii="Arial" w:hAnsi="Arial" w:cs="Arial"/>
        </w:rPr>
        <w:br/>
      </w:r>
    </w:p>
    <w:p w14:paraId="613C3CBA" w14:textId="4D95A499" w:rsidR="005E6643" w:rsidRPr="0083560E" w:rsidRDefault="005E6643" w:rsidP="000E7627">
      <w:pPr>
        <w:pStyle w:val="ListParagraph"/>
        <w:numPr>
          <w:ilvl w:val="1"/>
          <w:numId w:val="31"/>
        </w:numPr>
        <w:ind w:left="567" w:hanging="567"/>
        <w:rPr>
          <w:rFonts w:ascii="Arial" w:hAnsi="Arial" w:cs="Arial"/>
        </w:rPr>
      </w:pPr>
      <w:r w:rsidRPr="0083560E">
        <w:rPr>
          <w:rFonts w:ascii="Arial" w:hAnsi="Arial" w:cs="Arial"/>
        </w:rPr>
        <w:t>The nomination of blocks for the declaration of a location does not extend the term of an exploration permit.</w:t>
      </w:r>
      <w:r w:rsidR="000E7627" w:rsidRPr="0083560E">
        <w:rPr>
          <w:rFonts w:ascii="Arial" w:hAnsi="Arial" w:cs="Arial"/>
        </w:rPr>
        <w:br/>
      </w:r>
    </w:p>
    <w:p w14:paraId="1BFA34FE" w14:textId="3E33EF3C" w:rsidR="005E6643" w:rsidRPr="0083560E" w:rsidRDefault="005E6643" w:rsidP="000E7627">
      <w:pPr>
        <w:pStyle w:val="ListParagraph"/>
        <w:numPr>
          <w:ilvl w:val="1"/>
          <w:numId w:val="31"/>
        </w:numPr>
        <w:ind w:left="567" w:hanging="567"/>
        <w:rPr>
          <w:rFonts w:ascii="Arial" w:hAnsi="Arial" w:cs="Arial"/>
        </w:rPr>
      </w:pPr>
      <w:r w:rsidRPr="0083560E">
        <w:rPr>
          <w:rFonts w:ascii="Arial" w:hAnsi="Arial" w:cs="Arial"/>
        </w:rPr>
        <w:t>It is the permittee’s responsibility to maintain tenure of the underlying permit and to ensure the nomination is lodged in sufficient time to facilitate a decision to declare the location before the expiry of the exploration permit.</w:t>
      </w:r>
    </w:p>
    <w:p w14:paraId="0ABFAF89" w14:textId="0639A9D5" w:rsidR="009333E5" w:rsidRPr="0083560E" w:rsidRDefault="009333E5" w:rsidP="00CE427C">
      <w:pPr>
        <w:pStyle w:val="Heading2"/>
      </w:pPr>
      <w:r w:rsidRPr="0083560E">
        <w:t xml:space="preserve">Submission of </w:t>
      </w:r>
      <w:r w:rsidR="001924E2" w:rsidRPr="0083560E">
        <w:t xml:space="preserve">a </w:t>
      </w:r>
      <w:r w:rsidRPr="0083560E">
        <w:t>Nomination</w:t>
      </w:r>
      <w:r w:rsidR="001924E2" w:rsidRPr="0083560E">
        <w:t xml:space="preserve"> (Application)</w:t>
      </w:r>
    </w:p>
    <w:p w14:paraId="238DBC46" w14:textId="00667029" w:rsidR="00BA3495" w:rsidRPr="00155A3D" w:rsidRDefault="00BA3495" w:rsidP="00155A3D">
      <w:pPr>
        <w:pStyle w:val="ListParagraph"/>
        <w:numPr>
          <w:ilvl w:val="1"/>
          <w:numId w:val="31"/>
        </w:numPr>
        <w:ind w:left="567" w:hanging="567"/>
        <w:rPr>
          <w:rFonts w:ascii="Arial" w:hAnsi="Arial" w:cs="Arial"/>
        </w:rPr>
      </w:pPr>
      <w:r w:rsidRPr="00155A3D">
        <w:rPr>
          <w:rFonts w:ascii="Arial" w:hAnsi="Arial" w:cs="Arial"/>
        </w:rPr>
        <w:t>Please refer to the application form for</w:t>
      </w:r>
      <w:r>
        <w:rPr>
          <w:rFonts w:ascii="Arial" w:hAnsi="Arial" w:cs="Arial"/>
        </w:rPr>
        <w:t xml:space="preserve"> details and</w:t>
      </w:r>
      <w:r w:rsidRPr="00155A3D">
        <w:rPr>
          <w:rFonts w:ascii="Arial" w:hAnsi="Arial" w:cs="Arial"/>
        </w:rPr>
        <w:t xml:space="preserve"> submission information</w:t>
      </w:r>
      <w:r>
        <w:rPr>
          <w:rFonts w:ascii="Arial" w:hAnsi="Arial" w:cs="Arial"/>
        </w:rPr>
        <w:t xml:space="preserve">, </w:t>
      </w:r>
      <w:hyperlink r:id="rId20" w:tooltip="http://www.nopta.gov.au/forms/forms.html" w:history="1">
        <w:r w:rsidRPr="00155A3D">
          <w:rPr>
            <w:rStyle w:val="Hyperlink"/>
            <w:rFonts w:ascii="Arial" w:hAnsi="Arial" w:cs="Arial"/>
          </w:rPr>
          <w:t>http://www.nopta.gov.au/forms/forms.htm</w:t>
        </w:r>
        <w:r w:rsidRPr="00BC482F">
          <w:rPr>
            <w:rStyle w:val="Hyperlink"/>
            <w:rFonts w:ascii="Arial" w:hAnsi="Arial" w:cs="Arial"/>
          </w:rPr>
          <w:t>l</w:t>
        </w:r>
      </w:hyperlink>
      <w:r w:rsidRPr="00155A3D">
        <w:rPr>
          <w:rFonts w:ascii="Arial" w:hAnsi="Arial" w:cs="Arial"/>
        </w:rPr>
        <w:t>.</w:t>
      </w:r>
    </w:p>
    <w:p w14:paraId="5FBB110B" w14:textId="77777777" w:rsidR="003F4E21" w:rsidRPr="00155A3D" w:rsidRDefault="003F4E21" w:rsidP="00155A3D">
      <w:pPr>
        <w:pStyle w:val="ListParagraph"/>
        <w:ind w:left="567"/>
        <w:rPr>
          <w:rFonts w:ascii="Arial" w:hAnsi="Arial" w:cs="Arial"/>
          <w:b/>
        </w:rPr>
      </w:pPr>
    </w:p>
    <w:p w14:paraId="77602C59" w14:textId="30EDB61D" w:rsidR="00044295" w:rsidRPr="00155A3D" w:rsidRDefault="00195E8B" w:rsidP="00195E8B">
      <w:pPr>
        <w:pStyle w:val="ListParagraph"/>
        <w:numPr>
          <w:ilvl w:val="1"/>
          <w:numId w:val="31"/>
        </w:numPr>
        <w:ind w:left="567" w:hanging="567"/>
        <w:rPr>
          <w:rFonts w:ascii="Arial" w:eastAsiaTheme="minorHAnsi" w:hAnsi="Arial" w:cs="Arial"/>
          <w:color w:val="000000"/>
        </w:rPr>
      </w:pPr>
      <w:r w:rsidRPr="00195E8B">
        <w:rPr>
          <w:rFonts w:ascii="Arial" w:hAnsi="Arial" w:cs="Arial"/>
        </w:rPr>
        <w:t xml:space="preserve">The application fee for this application can be found at </w:t>
      </w:r>
      <w:hyperlink r:id="rId21" w:history="1">
        <w:r w:rsidR="00D33503" w:rsidRPr="00B13A51">
          <w:rPr>
            <w:rFonts w:ascii="Arial" w:hAnsi="Arial" w:cs="Arial"/>
            <w:color w:val="0000FF"/>
            <w:u w:val="single"/>
            <w:lang w:eastAsia="en-AU"/>
          </w:rPr>
          <w:t>https://www.nopta.gov.au/cost-recovery-and-fees.html</w:t>
        </w:r>
      </w:hyperlink>
      <w:r w:rsidR="00D33503" w:rsidRPr="00B13A51">
        <w:rPr>
          <w:rFonts w:ascii="Arial" w:hAnsi="Arial" w:cs="Arial"/>
          <w:lang w:eastAsia="en-AU"/>
        </w:rPr>
        <w:t xml:space="preserve"> </w:t>
      </w:r>
      <w:r w:rsidR="00823B61" w:rsidRPr="00B13A51">
        <w:rPr>
          <w:rFonts w:ascii="Arial" w:hAnsi="Arial" w:cs="Arial"/>
        </w:rPr>
        <w:t>.</w:t>
      </w:r>
      <w:r w:rsidR="00B1791B" w:rsidRPr="00B13A51">
        <w:rPr>
          <w:rFonts w:ascii="Arial" w:eastAsiaTheme="minorHAnsi" w:hAnsi="Arial" w:cs="Arial"/>
          <w:color w:val="000000"/>
        </w:rPr>
        <w:br/>
      </w:r>
    </w:p>
    <w:p w14:paraId="61ED28F9" w14:textId="288E2A15" w:rsidR="00044295" w:rsidRPr="0083560E" w:rsidRDefault="00044295" w:rsidP="00B1791B">
      <w:pPr>
        <w:pStyle w:val="ListParagraph"/>
        <w:numPr>
          <w:ilvl w:val="1"/>
          <w:numId w:val="31"/>
        </w:numPr>
        <w:ind w:left="567" w:hanging="567"/>
        <w:rPr>
          <w:rFonts w:ascii="Arial" w:hAnsi="Arial" w:cs="Arial"/>
          <w:b/>
        </w:rPr>
      </w:pPr>
      <w:r w:rsidRPr="0083560E">
        <w:rPr>
          <w:rFonts w:ascii="Arial" w:hAnsi="Arial" w:cs="Arial"/>
        </w:rPr>
        <w:t xml:space="preserve">Nominations should include the information specified in </w:t>
      </w:r>
      <w:r w:rsidRPr="00722316">
        <w:rPr>
          <w:rFonts w:ascii="Arial" w:hAnsi="Arial" w:cs="Arial"/>
          <w:b/>
        </w:rPr>
        <w:t xml:space="preserve">Attachment </w:t>
      </w:r>
      <w:r w:rsidR="00F32A48" w:rsidRPr="00722316">
        <w:rPr>
          <w:rFonts w:ascii="Arial" w:hAnsi="Arial" w:cs="Arial"/>
          <w:b/>
        </w:rPr>
        <w:t>B</w:t>
      </w:r>
      <w:r w:rsidRPr="00EC5575">
        <w:rPr>
          <w:rFonts w:ascii="Arial" w:hAnsi="Arial" w:cs="Arial"/>
        </w:rPr>
        <w:t>.</w:t>
      </w:r>
      <w:r w:rsidR="00B1791B" w:rsidRPr="0083560E">
        <w:rPr>
          <w:rFonts w:ascii="Arial" w:hAnsi="Arial" w:cs="Arial"/>
        </w:rPr>
        <w:br/>
      </w:r>
    </w:p>
    <w:p w14:paraId="04DF88AF" w14:textId="70F13A1F" w:rsidR="00044295" w:rsidRPr="0083560E" w:rsidRDefault="00A6563E" w:rsidP="00B1791B">
      <w:pPr>
        <w:pStyle w:val="ListParagraph"/>
        <w:numPr>
          <w:ilvl w:val="1"/>
          <w:numId w:val="31"/>
        </w:numPr>
        <w:ind w:left="567" w:hanging="567"/>
        <w:rPr>
          <w:rFonts w:ascii="Arial" w:hAnsi="Arial" w:cs="Arial"/>
        </w:rPr>
      </w:pPr>
      <w:r w:rsidRPr="0083560E">
        <w:rPr>
          <w:rFonts w:ascii="Arial" w:hAnsi="Arial" w:cs="Arial"/>
        </w:rPr>
        <w:t>Nominations</w:t>
      </w:r>
      <w:r w:rsidR="00044295" w:rsidRPr="0083560E">
        <w:rPr>
          <w:rFonts w:ascii="Arial" w:hAnsi="Arial" w:cs="Arial"/>
        </w:rPr>
        <w:t xml:space="preserve"> are assessed by NOPTA, who </w:t>
      </w:r>
      <w:r w:rsidR="0073382E" w:rsidRPr="0083560E">
        <w:rPr>
          <w:rFonts w:ascii="Arial" w:hAnsi="Arial" w:cs="Arial"/>
        </w:rPr>
        <w:t xml:space="preserve">then </w:t>
      </w:r>
      <w:r w:rsidR="00044295" w:rsidRPr="0083560E">
        <w:rPr>
          <w:rFonts w:ascii="Arial" w:hAnsi="Arial" w:cs="Arial"/>
        </w:rPr>
        <w:t xml:space="preserve">provides advice to the </w:t>
      </w:r>
      <w:r w:rsidR="0073382E" w:rsidRPr="0083560E">
        <w:rPr>
          <w:rFonts w:ascii="Arial" w:hAnsi="Arial" w:cs="Arial"/>
        </w:rPr>
        <w:t>Joint </w:t>
      </w:r>
      <w:r w:rsidR="00044295" w:rsidRPr="0083560E">
        <w:rPr>
          <w:rFonts w:ascii="Arial" w:hAnsi="Arial" w:cs="Arial"/>
        </w:rPr>
        <w:t>Authority.</w:t>
      </w:r>
      <w:r w:rsidR="00B1791B" w:rsidRPr="0083560E">
        <w:rPr>
          <w:rFonts w:ascii="Arial" w:hAnsi="Arial" w:cs="Arial"/>
        </w:rPr>
        <w:br/>
      </w:r>
    </w:p>
    <w:p w14:paraId="683A2554" w14:textId="7676136F" w:rsidR="00B13A51" w:rsidRPr="00B13A51" w:rsidRDefault="00044295" w:rsidP="00B13A51">
      <w:pPr>
        <w:pStyle w:val="ListParagraph"/>
        <w:numPr>
          <w:ilvl w:val="1"/>
          <w:numId w:val="31"/>
        </w:numPr>
        <w:ind w:left="567" w:hanging="567"/>
        <w:rPr>
          <w:rFonts w:ascii="Arial" w:hAnsi="Arial" w:cs="Arial"/>
        </w:rPr>
      </w:pPr>
      <w:r w:rsidRPr="0083560E">
        <w:rPr>
          <w:rFonts w:ascii="Arial" w:hAnsi="Arial" w:cs="Arial"/>
        </w:rPr>
        <w:t xml:space="preserve">NOPTA may clarify any aspect of the nomination submission through a written request for further information to the </w:t>
      </w:r>
      <w:r w:rsidR="00323DCB">
        <w:rPr>
          <w:rFonts w:ascii="Arial" w:hAnsi="Arial" w:cs="Arial"/>
        </w:rPr>
        <w:t>permittee</w:t>
      </w:r>
      <w:r w:rsidRPr="0083560E">
        <w:rPr>
          <w:rFonts w:ascii="Arial" w:hAnsi="Arial" w:cs="Arial"/>
        </w:rPr>
        <w:t>.</w:t>
      </w:r>
      <w:bookmarkStart w:id="19" w:name="_Toc483231645"/>
      <w:bookmarkStart w:id="20" w:name="_Ref428368834"/>
      <w:bookmarkStart w:id="21" w:name="_Ref428519723"/>
    </w:p>
    <w:p w14:paraId="0FA5D43C" w14:textId="6E26F962" w:rsidR="00AE3314" w:rsidRDefault="00D20C83" w:rsidP="00B1791B">
      <w:pPr>
        <w:pStyle w:val="Heading1"/>
        <w:numPr>
          <w:ilvl w:val="0"/>
          <w:numId w:val="31"/>
        </w:numPr>
      </w:pPr>
      <w:r>
        <w:t>Assessment of a declaration of a location nomination</w:t>
      </w:r>
      <w:bookmarkEnd w:id="19"/>
      <w:bookmarkEnd w:id="20"/>
      <w:bookmarkEnd w:id="21"/>
    </w:p>
    <w:p w14:paraId="0B668215" w14:textId="3F65A9A5" w:rsidR="00AE3314" w:rsidRPr="0083560E" w:rsidRDefault="00AE3314" w:rsidP="00B1791B">
      <w:pPr>
        <w:pStyle w:val="ListParagraph"/>
        <w:numPr>
          <w:ilvl w:val="1"/>
          <w:numId w:val="31"/>
        </w:numPr>
        <w:ind w:left="567" w:hanging="567"/>
        <w:rPr>
          <w:rFonts w:ascii="Arial" w:hAnsi="Arial" w:cs="Arial"/>
          <w:b/>
        </w:rPr>
      </w:pPr>
      <w:bookmarkStart w:id="22" w:name="_Ref443993413"/>
      <w:r w:rsidRPr="0083560E">
        <w:rPr>
          <w:rFonts w:ascii="Arial" w:hAnsi="Arial" w:cs="Arial"/>
        </w:rPr>
        <w:t xml:space="preserve">The Joint Authority will declare </w:t>
      </w:r>
      <w:r w:rsidR="000253AB" w:rsidRPr="0083560E">
        <w:rPr>
          <w:rFonts w:ascii="Arial" w:hAnsi="Arial" w:cs="Arial"/>
        </w:rPr>
        <w:t xml:space="preserve">a </w:t>
      </w:r>
      <w:r w:rsidR="00F03AC6" w:rsidRPr="0083560E">
        <w:rPr>
          <w:rFonts w:ascii="Arial" w:hAnsi="Arial" w:cs="Arial"/>
        </w:rPr>
        <w:t>block or blocks</w:t>
      </w:r>
      <w:r w:rsidRPr="0083560E">
        <w:rPr>
          <w:rFonts w:ascii="Arial" w:hAnsi="Arial" w:cs="Arial"/>
        </w:rPr>
        <w:t xml:space="preserve"> as a location if it is satisfied that:</w:t>
      </w:r>
      <w:bookmarkEnd w:id="22"/>
    </w:p>
    <w:p w14:paraId="76991008" w14:textId="77777777" w:rsidR="00AE3314" w:rsidRPr="0083560E" w:rsidRDefault="00AE3314" w:rsidP="00B1791B">
      <w:pPr>
        <w:pStyle w:val="ListParagraph"/>
        <w:numPr>
          <w:ilvl w:val="0"/>
          <w:numId w:val="36"/>
        </w:numPr>
        <w:ind w:left="1418" w:hanging="425"/>
        <w:rPr>
          <w:rFonts w:ascii="Arial" w:hAnsi="Arial" w:cs="Arial"/>
        </w:rPr>
      </w:pPr>
      <w:r w:rsidRPr="0083560E">
        <w:rPr>
          <w:rFonts w:ascii="Arial" w:hAnsi="Arial" w:cs="Arial"/>
        </w:rPr>
        <w:t>the permittee is entitled to apply, and</w:t>
      </w:r>
    </w:p>
    <w:p w14:paraId="6908E9C8" w14:textId="222D843D" w:rsidR="00AE3314" w:rsidRPr="0083560E" w:rsidRDefault="00AE3314" w:rsidP="00B1791B">
      <w:pPr>
        <w:pStyle w:val="ListParagraph"/>
        <w:numPr>
          <w:ilvl w:val="0"/>
          <w:numId w:val="36"/>
        </w:numPr>
        <w:ind w:left="1418" w:hanging="425"/>
        <w:rPr>
          <w:rFonts w:ascii="Arial" w:hAnsi="Arial" w:cs="Arial"/>
        </w:rPr>
      </w:pPr>
      <w:r w:rsidRPr="0083560E">
        <w:rPr>
          <w:rFonts w:ascii="Arial" w:hAnsi="Arial" w:cs="Arial"/>
        </w:rPr>
        <w:t xml:space="preserve">a petroleum pool(s) has been identified in </w:t>
      </w:r>
      <w:r w:rsidR="00A771B9" w:rsidRPr="0083560E">
        <w:rPr>
          <w:rFonts w:ascii="Arial" w:hAnsi="Arial" w:cs="Arial"/>
        </w:rPr>
        <w:t>an</w:t>
      </w:r>
      <w:r w:rsidR="000F336B" w:rsidRPr="0083560E">
        <w:rPr>
          <w:rFonts w:ascii="Arial" w:hAnsi="Arial" w:cs="Arial"/>
        </w:rPr>
        <w:t xml:space="preserve"> </w:t>
      </w:r>
      <w:r w:rsidRPr="0083560E">
        <w:rPr>
          <w:rFonts w:ascii="Arial" w:hAnsi="Arial" w:cs="Arial"/>
        </w:rPr>
        <w:t>exploration permit, and</w:t>
      </w:r>
    </w:p>
    <w:p w14:paraId="15FD86A2" w14:textId="18061433" w:rsidR="00AE3314" w:rsidRPr="0083560E" w:rsidRDefault="00AE3314" w:rsidP="00B1791B">
      <w:pPr>
        <w:pStyle w:val="ListParagraph"/>
        <w:numPr>
          <w:ilvl w:val="0"/>
          <w:numId w:val="36"/>
        </w:numPr>
        <w:ind w:left="1418" w:hanging="425"/>
        <w:rPr>
          <w:rFonts w:ascii="Arial" w:hAnsi="Arial" w:cs="Arial"/>
        </w:rPr>
      </w:pPr>
      <w:r w:rsidRPr="0083560E">
        <w:rPr>
          <w:rFonts w:ascii="Arial" w:hAnsi="Arial" w:cs="Arial"/>
        </w:rPr>
        <w:lastRenderedPageBreak/>
        <w:t xml:space="preserve">petroleum has been recovered </w:t>
      </w:r>
      <w:r w:rsidR="004D1F4D" w:rsidRPr="0083560E">
        <w:rPr>
          <w:rFonts w:ascii="Arial" w:hAnsi="Arial" w:cs="Arial"/>
        </w:rPr>
        <w:t xml:space="preserve">(see </w:t>
      </w:r>
      <w:r w:rsidR="00757A6F" w:rsidRPr="0083560E">
        <w:rPr>
          <w:rFonts w:ascii="Arial" w:hAnsi="Arial" w:cs="Arial"/>
        </w:rPr>
        <w:fldChar w:fldCharType="begin"/>
      </w:r>
      <w:r w:rsidR="00757A6F" w:rsidRPr="0083560E">
        <w:rPr>
          <w:rFonts w:ascii="Arial" w:hAnsi="Arial" w:cs="Arial"/>
        </w:rPr>
        <w:instrText xml:space="preserve"> REF _Ref443993467 \r \p \h </w:instrText>
      </w:r>
      <w:r w:rsidR="00ED419A" w:rsidRPr="0083560E">
        <w:rPr>
          <w:rFonts w:ascii="Arial" w:hAnsi="Arial" w:cs="Arial"/>
        </w:rPr>
        <w:instrText xml:space="preserve"> \* MERGEFORMAT </w:instrText>
      </w:r>
      <w:r w:rsidR="00757A6F" w:rsidRPr="0083560E">
        <w:rPr>
          <w:rFonts w:ascii="Arial" w:hAnsi="Arial" w:cs="Arial"/>
        </w:rPr>
      </w:r>
      <w:r w:rsidR="00757A6F" w:rsidRPr="0083560E">
        <w:rPr>
          <w:rFonts w:ascii="Arial" w:hAnsi="Arial" w:cs="Arial"/>
        </w:rPr>
        <w:fldChar w:fldCharType="separate"/>
      </w:r>
      <w:r w:rsidR="008C5AD8">
        <w:rPr>
          <w:rFonts w:ascii="Arial" w:hAnsi="Arial" w:cs="Arial"/>
        </w:rPr>
        <w:t>4.2 below</w:t>
      </w:r>
      <w:r w:rsidR="00757A6F" w:rsidRPr="0083560E">
        <w:rPr>
          <w:rFonts w:ascii="Arial" w:hAnsi="Arial" w:cs="Arial"/>
        </w:rPr>
        <w:fldChar w:fldCharType="end"/>
      </w:r>
      <w:r w:rsidR="004D1F4D" w:rsidRPr="0083560E">
        <w:rPr>
          <w:rFonts w:ascii="Arial" w:hAnsi="Arial" w:cs="Arial"/>
        </w:rPr>
        <w:t xml:space="preserve">) </w:t>
      </w:r>
      <w:r w:rsidRPr="0083560E">
        <w:rPr>
          <w:rFonts w:ascii="Arial" w:hAnsi="Arial" w:cs="Arial"/>
        </w:rPr>
        <w:t>from that pool(s), and</w:t>
      </w:r>
    </w:p>
    <w:p w14:paraId="689F6668" w14:textId="718B4BCB" w:rsidR="00880BE1" w:rsidRDefault="00AE3314" w:rsidP="00880BE1">
      <w:pPr>
        <w:pStyle w:val="ListParagraph"/>
        <w:numPr>
          <w:ilvl w:val="0"/>
          <w:numId w:val="36"/>
        </w:numPr>
        <w:ind w:left="1418" w:hanging="425"/>
        <w:rPr>
          <w:rFonts w:ascii="Arial" w:hAnsi="Arial" w:cs="Arial"/>
        </w:rPr>
      </w:pPr>
      <w:r w:rsidRPr="0083560E">
        <w:rPr>
          <w:rFonts w:ascii="Arial" w:hAnsi="Arial" w:cs="Arial"/>
        </w:rPr>
        <w:t xml:space="preserve">the identified petroleum pool(s) is within the nominated </w:t>
      </w:r>
      <w:r w:rsidR="00F03AC6" w:rsidRPr="0083560E">
        <w:rPr>
          <w:rFonts w:ascii="Arial" w:hAnsi="Arial" w:cs="Arial"/>
        </w:rPr>
        <w:t>block or blocks</w:t>
      </w:r>
      <w:r w:rsidR="000512D5" w:rsidRPr="0083560E">
        <w:rPr>
          <w:rFonts w:ascii="Arial" w:hAnsi="Arial" w:cs="Arial"/>
        </w:rPr>
        <w:t xml:space="preserve">, </w:t>
      </w:r>
      <w:r w:rsidR="00AF60EC" w:rsidRPr="0083560E">
        <w:rPr>
          <w:rFonts w:ascii="Arial" w:hAnsi="Arial" w:cs="Arial"/>
        </w:rPr>
        <w:t xml:space="preserve">generally </w:t>
      </w:r>
      <w:r w:rsidR="000512D5" w:rsidRPr="0083560E">
        <w:rPr>
          <w:rFonts w:ascii="Arial" w:hAnsi="Arial" w:cs="Arial"/>
        </w:rPr>
        <w:t>based on a mid-case probability level of confidence.</w:t>
      </w:r>
    </w:p>
    <w:p w14:paraId="07E7B105" w14:textId="77777777" w:rsidR="00880BE1" w:rsidRPr="00B13A51" w:rsidRDefault="00880BE1" w:rsidP="002E3D1B">
      <w:pPr>
        <w:pStyle w:val="ListParagraph"/>
        <w:ind w:left="1418"/>
        <w:rPr>
          <w:rFonts w:ascii="Arial" w:hAnsi="Arial" w:cs="Arial"/>
          <w:sz w:val="20"/>
          <w:szCs w:val="20"/>
        </w:rPr>
      </w:pPr>
    </w:p>
    <w:p w14:paraId="235F9F22" w14:textId="23C8BB15" w:rsidR="001A55E9" w:rsidRPr="00B13A51" w:rsidRDefault="001A55E9" w:rsidP="002E3D1B">
      <w:pPr>
        <w:pStyle w:val="ListParagraph"/>
        <w:ind w:left="567"/>
        <w:rPr>
          <w:rFonts w:ascii="Arial" w:hAnsi="Arial" w:cs="Arial"/>
          <w:sz w:val="20"/>
          <w:szCs w:val="20"/>
        </w:rPr>
      </w:pPr>
      <w:r w:rsidRPr="002E3D1B">
        <w:rPr>
          <w:rFonts w:ascii="Arial" w:hAnsi="Arial" w:cs="Arial"/>
          <w:b/>
        </w:rPr>
        <w:t>Attachment B</w:t>
      </w:r>
      <w:r w:rsidRPr="002E3D1B">
        <w:rPr>
          <w:rFonts w:ascii="Arial" w:hAnsi="Arial" w:cs="Arial"/>
        </w:rPr>
        <w:t xml:space="preserve"> provides suggested </w:t>
      </w:r>
      <w:r w:rsidR="00B577CF" w:rsidRPr="002E3D1B">
        <w:rPr>
          <w:rFonts w:ascii="Arial" w:hAnsi="Arial" w:cs="Arial"/>
        </w:rPr>
        <w:t xml:space="preserve">supporting information </w:t>
      </w:r>
      <w:r w:rsidR="00B8143F" w:rsidRPr="002E3D1B">
        <w:rPr>
          <w:rFonts w:ascii="Arial" w:hAnsi="Arial" w:cs="Arial"/>
        </w:rPr>
        <w:t>to b</w:t>
      </w:r>
      <w:r w:rsidRPr="002E3D1B">
        <w:rPr>
          <w:rFonts w:ascii="Arial" w:hAnsi="Arial" w:cs="Arial"/>
        </w:rPr>
        <w:t>e included in the application.</w:t>
      </w:r>
      <w:r w:rsidR="00B1791B" w:rsidRPr="002E3D1B">
        <w:rPr>
          <w:rFonts w:ascii="Arial" w:hAnsi="Arial" w:cs="Arial"/>
        </w:rPr>
        <w:br/>
      </w:r>
    </w:p>
    <w:p w14:paraId="218C8E2E" w14:textId="44907B9D" w:rsidR="00882228" w:rsidRPr="0083560E" w:rsidRDefault="00882228" w:rsidP="00B13A51">
      <w:pPr>
        <w:pStyle w:val="ListParagraph"/>
        <w:numPr>
          <w:ilvl w:val="1"/>
          <w:numId w:val="31"/>
        </w:numPr>
        <w:ind w:left="567" w:hanging="567"/>
        <w:rPr>
          <w:rFonts w:ascii="Arial" w:hAnsi="Arial" w:cs="Arial"/>
        </w:rPr>
      </w:pPr>
      <w:bookmarkStart w:id="23" w:name="_Ref443993467"/>
      <w:r w:rsidRPr="0083560E">
        <w:rPr>
          <w:rFonts w:ascii="Arial" w:hAnsi="Arial" w:cs="Arial"/>
        </w:rPr>
        <w:t>The recovery of petroleum may be from within the permit area or from an area outside the permit into which the petroleum pool(s) extends. The petroleum can be recovered by the permittee or by another person</w:t>
      </w:r>
      <w:r w:rsidR="00A3532C" w:rsidRPr="0083560E">
        <w:rPr>
          <w:rFonts w:ascii="Arial" w:hAnsi="Arial" w:cs="Arial"/>
        </w:rPr>
        <w:t xml:space="preserve"> (s</w:t>
      </w:r>
      <w:r w:rsidR="00D27EB3" w:rsidRPr="0083560E">
        <w:rPr>
          <w:rFonts w:ascii="Arial" w:hAnsi="Arial" w:cs="Arial"/>
        </w:rPr>
        <w:t>.</w:t>
      </w:r>
      <w:r w:rsidR="00A3532C" w:rsidRPr="0083560E">
        <w:rPr>
          <w:rFonts w:ascii="Arial" w:hAnsi="Arial" w:cs="Arial"/>
        </w:rPr>
        <w:t xml:space="preserve"> 129(1))</w:t>
      </w:r>
      <w:r w:rsidRPr="0083560E">
        <w:rPr>
          <w:rFonts w:ascii="Arial" w:hAnsi="Arial" w:cs="Arial"/>
        </w:rPr>
        <w:t>.</w:t>
      </w:r>
      <w:bookmarkEnd w:id="23"/>
      <w:r w:rsidR="00B1791B" w:rsidRPr="0083560E">
        <w:rPr>
          <w:rFonts w:ascii="Arial" w:hAnsi="Arial" w:cs="Arial"/>
        </w:rPr>
        <w:br/>
      </w:r>
    </w:p>
    <w:p w14:paraId="3B66CEC3" w14:textId="77777777" w:rsidR="001F42BB" w:rsidRDefault="00134A40" w:rsidP="00B13A51">
      <w:pPr>
        <w:pStyle w:val="ListParagraph"/>
        <w:numPr>
          <w:ilvl w:val="1"/>
          <w:numId w:val="31"/>
        </w:numPr>
        <w:spacing w:after="0"/>
        <w:ind w:left="567" w:hanging="567"/>
        <w:rPr>
          <w:rFonts w:ascii="Arial" w:hAnsi="Arial" w:cs="Arial"/>
        </w:rPr>
      </w:pPr>
      <w:r w:rsidRPr="0083560E">
        <w:rPr>
          <w:rFonts w:ascii="Arial" w:hAnsi="Arial" w:cs="Arial"/>
        </w:rPr>
        <w:t>If</w:t>
      </w:r>
      <w:r w:rsidR="00882228" w:rsidRPr="0083560E">
        <w:rPr>
          <w:rFonts w:ascii="Arial" w:hAnsi="Arial" w:cs="Arial"/>
        </w:rPr>
        <w:t xml:space="preserve"> two or more laterally distinct petroleum pools are identified in an exploration permit, one nomination may be lodged over all of the blocks to which the petroleum pools extend. However, the blocks being nominated must immediately adjoin each other (i.e. have a side in common) or be joined at one point (s. 129(3)).  Please refer to the</w:t>
      </w:r>
      <w:r w:rsidR="0073382E" w:rsidRPr="0083560E">
        <w:rPr>
          <w:rFonts w:ascii="Arial" w:hAnsi="Arial" w:cs="Arial"/>
        </w:rPr>
        <w:t xml:space="preserve"> </w:t>
      </w:r>
      <w:r w:rsidR="00882228" w:rsidRPr="0083560E">
        <w:rPr>
          <w:rFonts w:ascii="Arial" w:hAnsi="Arial" w:cs="Arial"/>
        </w:rPr>
        <w:t>diagram</w:t>
      </w:r>
      <w:r w:rsidR="00A3532C" w:rsidRPr="0083560E">
        <w:rPr>
          <w:rFonts w:ascii="Arial" w:hAnsi="Arial" w:cs="Arial"/>
        </w:rPr>
        <w:t>s</w:t>
      </w:r>
      <w:r w:rsidR="0073382E" w:rsidRPr="0083560E">
        <w:rPr>
          <w:rFonts w:ascii="Arial" w:hAnsi="Arial" w:cs="Arial"/>
        </w:rPr>
        <w:t xml:space="preserve"> at Figure 1</w:t>
      </w:r>
      <w:r w:rsidR="00797079" w:rsidRPr="0083560E">
        <w:rPr>
          <w:rFonts w:ascii="Arial" w:hAnsi="Arial" w:cs="Arial"/>
        </w:rPr>
        <w:t>.</w:t>
      </w:r>
    </w:p>
    <w:p w14:paraId="13E28506" w14:textId="37FD2296" w:rsidR="00882228" w:rsidRPr="0083560E" w:rsidRDefault="00C30234" w:rsidP="00B13A51">
      <w:pPr>
        <w:spacing w:after="160" w:line="259" w:lineRule="auto"/>
        <w:rPr>
          <w:rFonts w:ascii="Arial" w:hAnsi="Arial" w:cs="Arial"/>
          <w:i/>
        </w:rPr>
      </w:pPr>
      <w:r w:rsidRPr="00C30234">
        <w:rPr>
          <w:rFonts w:ascii="Arial" w:hAnsi="Arial" w:cs="Arial"/>
          <w:noProof/>
        </w:rPr>
        <w:drawing>
          <wp:inline distT="0" distB="0" distL="0" distR="0" wp14:anchorId="1B55AA80" wp14:editId="74510647">
            <wp:extent cx="4229940" cy="2990850"/>
            <wp:effectExtent l="0" t="0" r="0" b="0"/>
            <wp:docPr id="4" name="Picture 4" descr="Laterally distinct petroleum pools (red polygons) may be the subject of one location nomination where the blocks within which the pools are located (yellow shaded areas) adjoin each other. This diagram illustrates three examples where a single nomination may be lodged." title="One location no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ael.nagajek\AppData\Local\Microsoft\Windows\INetCache\Content.Outlook\CHKPUWM4\OneLocation_NominationaAll.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6010" cy="3016354"/>
                    </a:xfrm>
                    <a:prstGeom prst="rect">
                      <a:avLst/>
                    </a:prstGeom>
                    <a:noFill/>
                    <a:ln>
                      <a:noFill/>
                    </a:ln>
                  </pic:spPr>
                </pic:pic>
              </a:graphicData>
            </a:graphic>
          </wp:inline>
        </w:drawing>
      </w:r>
      <w:r w:rsidR="004B5699" w:rsidRPr="004B5699">
        <w:rPr>
          <w:noProof/>
        </w:rPr>
        <w:drawing>
          <wp:inline distT="0" distB="0" distL="0" distR="0" wp14:anchorId="4503374C" wp14:editId="4B32BB87">
            <wp:extent cx="4246108" cy="3002280"/>
            <wp:effectExtent l="0" t="0" r="2540" b="7620"/>
            <wp:docPr id="2" name="Picture 2" descr="Laterally distinct petroleum pools (red polygons) may be the subject of one location nomination where the blocks within which the pools are located (yellow shaded areas) adjoin each other. This diagram illustrates where two separate nominations will be required." title="Two location nomi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ael.nagajek\AppData\Local\Microsoft\Windows\INetCache\Content.Outlook\CHKPUWM4\TwoLocation_Nomination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38569" cy="3067656"/>
                    </a:xfrm>
                    <a:prstGeom prst="rect">
                      <a:avLst/>
                    </a:prstGeom>
                    <a:noFill/>
                    <a:ln>
                      <a:noFill/>
                    </a:ln>
                  </pic:spPr>
                </pic:pic>
              </a:graphicData>
            </a:graphic>
          </wp:inline>
        </w:drawing>
      </w:r>
      <w:r w:rsidR="001558C9">
        <w:br/>
      </w:r>
      <w:r w:rsidR="001558C9" w:rsidRPr="002E3D1B">
        <w:rPr>
          <w:rFonts w:ascii="Arial" w:hAnsi="Arial" w:cs="Arial"/>
          <w:b/>
          <w:i/>
          <w:sz w:val="18"/>
          <w:szCs w:val="18"/>
        </w:rPr>
        <w:t>Figure 1:</w:t>
      </w:r>
      <w:r w:rsidR="001558C9" w:rsidRPr="0083560E">
        <w:rPr>
          <w:rFonts w:ascii="Arial" w:hAnsi="Arial" w:cs="Arial"/>
          <w:i/>
          <w:sz w:val="18"/>
          <w:szCs w:val="18"/>
        </w:rPr>
        <w:t xml:space="preserve"> laterally distinct petroleum pools (red polygons) may be the subject of one location nomination where the blocks within which the pools are located (</w:t>
      </w:r>
      <w:r w:rsidR="000F1CBF">
        <w:rPr>
          <w:rFonts w:ascii="Arial" w:hAnsi="Arial" w:cs="Arial"/>
          <w:i/>
          <w:sz w:val="18"/>
          <w:szCs w:val="18"/>
        </w:rPr>
        <w:t>yellow</w:t>
      </w:r>
      <w:r w:rsidR="001558C9" w:rsidRPr="0083560E">
        <w:rPr>
          <w:rFonts w:ascii="Arial" w:hAnsi="Arial" w:cs="Arial"/>
          <w:i/>
          <w:sz w:val="18"/>
          <w:szCs w:val="18"/>
        </w:rPr>
        <w:t xml:space="preserve"> shaded areas) adjoin each other.</w:t>
      </w:r>
      <w:r w:rsidR="00AF76B5" w:rsidRPr="0083560E">
        <w:rPr>
          <w:rFonts w:ascii="Arial" w:hAnsi="Arial" w:cs="Arial"/>
          <w:i/>
          <w:sz w:val="18"/>
          <w:szCs w:val="18"/>
        </w:rPr>
        <w:t xml:space="preserve"> This diagram illustrates three examples where a single nomination may be lodged; and one example where two separate nominations will be required. Examples are not exhaustive.</w:t>
      </w:r>
    </w:p>
    <w:p w14:paraId="795D31F5" w14:textId="77777777" w:rsidR="00B1791B" w:rsidRPr="001558C9" w:rsidRDefault="00B1791B" w:rsidP="00B1791B">
      <w:pPr>
        <w:pStyle w:val="ListParagraph"/>
        <w:ind w:left="567"/>
        <w:rPr>
          <w:i/>
        </w:rPr>
      </w:pPr>
    </w:p>
    <w:p w14:paraId="61A0E6EB" w14:textId="3032E46C" w:rsidR="00AE3314" w:rsidRPr="0083560E" w:rsidRDefault="00AE3314" w:rsidP="00B1791B">
      <w:pPr>
        <w:pStyle w:val="ListParagraph"/>
        <w:numPr>
          <w:ilvl w:val="1"/>
          <w:numId w:val="31"/>
        </w:numPr>
        <w:ind w:left="567" w:hanging="567"/>
        <w:rPr>
          <w:rFonts w:ascii="Arial" w:hAnsi="Arial" w:cs="Arial"/>
        </w:rPr>
      </w:pPr>
      <w:r w:rsidRPr="0083560E">
        <w:rPr>
          <w:rFonts w:ascii="Arial" w:hAnsi="Arial" w:cs="Arial"/>
        </w:rPr>
        <w:t xml:space="preserve">In making its decision, the Joint Authority may have regard to any information, whether provided by the </w:t>
      </w:r>
      <w:r w:rsidR="00323DCB">
        <w:rPr>
          <w:rFonts w:ascii="Arial" w:hAnsi="Arial" w:cs="Arial"/>
        </w:rPr>
        <w:t>permittee</w:t>
      </w:r>
      <w:r w:rsidR="00323DCB" w:rsidRPr="0083560E">
        <w:rPr>
          <w:rFonts w:ascii="Arial" w:hAnsi="Arial" w:cs="Arial"/>
        </w:rPr>
        <w:t xml:space="preserve"> </w:t>
      </w:r>
      <w:r w:rsidRPr="0083560E">
        <w:rPr>
          <w:rFonts w:ascii="Arial" w:hAnsi="Arial" w:cs="Arial"/>
        </w:rPr>
        <w:t>or not (</w:t>
      </w:r>
      <w:r w:rsidR="00F851F0" w:rsidRPr="0083560E">
        <w:rPr>
          <w:rFonts w:ascii="Arial" w:hAnsi="Arial" w:cs="Arial"/>
        </w:rPr>
        <w:t xml:space="preserve">s. </w:t>
      </w:r>
      <w:r w:rsidRPr="0083560E">
        <w:rPr>
          <w:rFonts w:ascii="Arial" w:hAnsi="Arial" w:cs="Arial"/>
        </w:rPr>
        <w:t>131(3)).</w:t>
      </w:r>
      <w:r w:rsidR="00B1791B" w:rsidRPr="0083560E">
        <w:rPr>
          <w:rFonts w:ascii="Arial" w:hAnsi="Arial" w:cs="Arial"/>
        </w:rPr>
        <w:br/>
      </w:r>
    </w:p>
    <w:p w14:paraId="7BFFA454" w14:textId="6CCF81E8" w:rsidR="00516ADD" w:rsidRPr="0083560E" w:rsidRDefault="00882228" w:rsidP="00B1791B">
      <w:pPr>
        <w:pStyle w:val="ListParagraph"/>
        <w:numPr>
          <w:ilvl w:val="1"/>
          <w:numId w:val="31"/>
        </w:numPr>
        <w:ind w:left="567" w:hanging="567"/>
        <w:rPr>
          <w:rFonts w:ascii="Arial" w:hAnsi="Arial" w:cs="Arial"/>
        </w:rPr>
      </w:pPr>
      <w:r w:rsidRPr="0083560E">
        <w:rPr>
          <w:rFonts w:ascii="Arial" w:hAnsi="Arial" w:cs="Arial"/>
        </w:rPr>
        <w:t xml:space="preserve">The Joint Authority will only declare </w:t>
      </w:r>
      <w:r w:rsidR="005724AD" w:rsidRPr="0083560E">
        <w:rPr>
          <w:rFonts w:ascii="Arial" w:hAnsi="Arial" w:cs="Arial"/>
        </w:rPr>
        <w:t>a</w:t>
      </w:r>
      <w:r w:rsidRPr="0083560E">
        <w:rPr>
          <w:rFonts w:ascii="Arial" w:hAnsi="Arial" w:cs="Arial"/>
        </w:rPr>
        <w:t xml:space="preserve"> location over </w:t>
      </w:r>
      <w:r w:rsidR="00F027A3" w:rsidRPr="0083560E">
        <w:rPr>
          <w:rFonts w:ascii="Arial" w:hAnsi="Arial" w:cs="Arial"/>
        </w:rPr>
        <w:t>a</w:t>
      </w:r>
      <w:r w:rsidR="000253AB" w:rsidRPr="0083560E">
        <w:rPr>
          <w:rFonts w:ascii="Arial" w:hAnsi="Arial" w:cs="Arial"/>
        </w:rPr>
        <w:t xml:space="preserve"> </w:t>
      </w:r>
      <w:r w:rsidRPr="0083560E">
        <w:rPr>
          <w:rFonts w:ascii="Arial" w:hAnsi="Arial" w:cs="Arial"/>
        </w:rPr>
        <w:t>block</w:t>
      </w:r>
      <w:r w:rsidR="00A242C2" w:rsidRPr="0083560E">
        <w:rPr>
          <w:rFonts w:ascii="Arial" w:hAnsi="Arial" w:cs="Arial"/>
        </w:rPr>
        <w:t xml:space="preserve"> or blocks</w:t>
      </w:r>
      <w:r w:rsidRPr="0083560E">
        <w:rPr>
          <w:rFonts w:ascii="Arial" w:hAnsi="Arial" w:cs="Arial"/>
        </w:rPr>
        <w:t xml:space="preserve"> that it is satisfied</w:t>
      </w:r>
      <w:r w:rsidR="000253AB" w:rsidRPr="0083560E">
        <w:rPr>
          <w:rFonts w:ascii="Arial" w:hAnsi="Arial" w:cs="Arial"/>
        </w:rPr>
        <w:t xml:space="preserve"> that</w:t>
      </w:r>
      <w:r w:rsidRPr="0083560E">
        <w:rPr>
          <w:rFonts w:ascii="Arial" w:hAnsi="Arial" w:cs="Arial"/>
        </w:rPr>
        <w:t xml:space="preserve"> the pool(s) extends into</w:t>
      </w:r>
      <w:r w:rsidR="00B74B13" w:rsidRPr="0083560E">
        <w:rPr>
          <w:rFonts w:ascii="Arial" w:hAnsi="Arial" w:cs="Arial"/>
        </w:rPr>
        <w:t xml:space="preserve">, </w:t>
      </w:r>
      <w:r w:rsidR="00AF60EC" w:rsidRPr="0083560E">
        <w:rPr>
          <w:rFonts w:ascii="Arial" w:hAnsi="Arial" w:cs="Arial"/>
        </w:rPr>
        <w:t xml:space="preserve">generally </w:t>
      </w:r>
      <w:r w:rsidR="00B74B13" w:rsidRPr="0083560E">
        <w:rPr>
          <w:rFonts w:ascii="Arial" w:hAnsi="Arial" w:cs="Arial"/>
        </w:rPr>
        <w:t>based on a mid-case probability level of confidence</w:t>
      </w:r>
      <w:r w:rsidRPr="0083560E">
        <w:rPr>
          <w:rFonts w:ascii="Arial" w:hAnsi="Arial" w:cs="Arial"/>
        </w:rPr>
        <w:t xml:space="preserve">. </w:t>
      </w:r>
      <w:r w:rsidR="00B1791B" w:rsidRPr="0083560E">
        <w:rPr>
          <w:rFonts w:ascii="Arial" w:hAnsi="Arial" w:cs="Arial"/>
        </w:rPr>
        <w:br/>
      </w:r>
    </w:p>
    <w:p w14:paraId="31224202" w14:textId="050FF58A" w:rsidR="00516ADD" w:rsidRPr="0083560E" w:rsidRDefault="00AE3314" w:rsidP="00B1791B">
      <w:pPr>
        <w:pStyle w:val="ListParagraph"/>
        <w:numPr>
          <w:ilvl w:val="1"/>
          <w:numId w:val="31"/>
        </w:numPr>
        <w:ind w:left="567" w:hanging="567"/>
        <w:rPr>
          <w:rFonts w:ascii="Arial" w:hAnsi="Arial" w:cs="Arial"/>
        </w:rPr>
      </w:pPr>
      <w:r w:rsidRPr="0083560E">
        <w:rPr>
          <w:rFonts w:ascii="Arial" w:hAnsi="Arial" w:cs="Arial"/>
        </w:rPr>
        <w:t xml:space="preserve">The Joint Authority may decide that it is satisfied that the identified pool(s) extends to some, but not all, of the nominated blocks. </w:t>
      </w:r>
      <w:r w:rsidR="00B1791B" w:rsidRPr="0083560E">
        <w:rPr>
          <w:rFonts w:ascii="Arial" w:hAnsi="Arial" w:cs="Arial"/>
        </w:rPr>
        <w:br/>
      </w:r>
    </w:p>
    <w:p w14:paraId="74C7A4AD" w14:textId="504B71E5" w:rsidR="00AE3314" w:rsidRPr="0083560E" w:rsidRDefault="00AE3314" w:rsidP="00B1791B">
      <w:pPr>
        <w:pStyle w:val="ListParagraph"/>
        <w:numPr>
          <w:ilvl w:val="1"/>
          <w:numId w:val="31"/>
        </w:numPr>
        <w:ind w:left="567" w:hanging="567"/>
        <w:rPr>
          <w:rFonts w:ascii="Arial" w:hAnsi="Arial" w:cs="Arial"/>
        </w:rPr>
      </w:pPr>
      <w:r w:rsidRPr="0083560E">
        <w:rPr>
          <w:rFonts w:ascii="Arial" w:hAnsi="Arial" w:cs="Arial"/>
        </w:rPr>
        <w:t xml:space="preserve">If the Joint Authority is not satisfied that a petroleum pool has been identified within any nominated </w:t>
      </w:r>
      <w:r w:rsidR="00F03AC6" w:rsidRPr="0083560E">
        <w:rPr>
          <w:rFonts w:ascii="Arial" w:hAnsi="Arial" w:cs="Arial"/>
        </w:rPr>
        <w:t>block or blocks</w:t>
      </w:r>
      <w:r w:rsidRPr="0083560E">
        <w:rPr>
          <w:rFonts w:ascii="Arial" w:hAnsi="Arial" w:cs="Arial"/>
        </w:rPr>
        <w:t xml:space="preserve">, the </w:t>
      </w:r>
      <w:r w:rsidR="004E0984" w:rsidRPr="0083560E">
        <w:rPr>
          <w:rFonts w:ascii="Arial" w:hAnsi="Arial" w:cs="Arial"/>
        </w:rPr>
        <w:t xml:space="preserve">nomination of that/those particular </w:t>
      </w:r>
      <w:r w:rsidR="00F03AC6" w:rsidRPr="0083560E">
        <w:rPr>
          <w:rFonts w:ascii="Arial" w:hAnsi="Arial" w:cs="Arial"/>
        </w:rPr>
        <w:t>block or blocks</w:t>
      </w:r>
      <w:r w:rsidR="0004478B" w:rsidRPr="0083560E">
        <w:rPr>
          <w:rFonts w:ascii="Arial" w:hAnsi="Arial" w:cs="Arial"/>
        </w:rPr>
        <w:t xml:space="preserve"> will not be accepted by the Joint Authority</w:t>
      </w:r>
      <w:r w:rsidRPr="0083560E">
        <w:rPr>
          <w:rFonts w:ascii="Arial" w:hAnsi="Arial" w:cs="Arial"/>
        </w:rPr>
        <w:t xml:space="preserve"> (s</w:t>
      </w:r>
      <w:r w:rsidR="00F851F0" w:rsidRPr="0083560E">
        <w:rPr>
          <w:rFonts w:ascii="Arial" w:hAnsi="Arial" w:cs="Arial"/>
        </w:rPr>
        <w:t>.</w:t>
      </w:r>
      <w:r w:rsidRPr="0083560E">
        <w:rPr>
          <w:rFonts w:ascii="Arial" w:hAnsi="Arial" w:cs="Arial"/>
        </w:rPr>
        <w:t xml:space="preserve"> 131). </w:t>
      </w:r>
      <w:r w:rsidR="00B1791B" w:rsidRPr="0083560E">
        <w:rPr>
          <w:rFonts w:ascii="Arial" w:hAnsi="Arial" w:cs="Arial"/>
        </w:rPr>
        <w:br/>
      </w:r>
    </w:p>
    <w:p w14:paraId="13E1E40A" w14:textId="2B71DCC6" w:rsidR="00A92E81" w:rsidRPr="0083560E" w:rsidRDefault="00882228" w:rsidP="00B1791B">
      <w:pPr>
        <w:pStyle w:val="ListParagraph"/>
        <w:numPr>
          <w:ilvl w:val="1"/>
          <w:numId w:val="31"/>
        </w:numPr>
        <w:ind w:left="567" w:hanging="567"/>
        <w:rPr>
          <w:rFonts w:ascii="Arial" w:hAnsi="Arial" w:cs="Arial"/>
        </w:rPr>
      </w:pPr>
      <w:r w:rsidRPr="0083560E">
        <w:rPr>
          <w:rFonts w:ascii="Arial" w:hAnsi="Arial" w:cs="Arial"/>
        </w:rPr>
        <w:t xml:space="preserve">If the Joint Authority </w:t>
      </w:r>
      <w:r w:rsidR="004E0984" w:rsidRPr="0083560E">
        <w:rPr>
          <w:rFonts w:ascii="Arial" w:hAnsi="Arial" w:cs="Arial"/>
        </w:rPr>
        <w:t xml:space="preserve">decides that the permittee is entitled to nominate the </w:t>
      </w:r>
      <w:r w:rsidR="00F03AC6" w:rsidRPr="0083560E">
        <w:rPr>
          <w:rFonts w:ascii="Arial" w:hAnsi="Arial" w:cs="Arial"/>
        </w:rPr>
        <w:t>block or blocks</w:t>
      </w:r>
      <w:r w:rsidR="004E0984" w:rsidRPr="0083560E">
        <w:rPr>
          <w:rFonts w:ascii="Arial" w:hAnsi="Arial" w:cs="Arial"/>
        </w:rPr>
        <w:t xml:space="preserve"> under </w:t>
      </w:r>
      <w:r w:rsidR="00F135F5" w:rsidRPr="0083560E">
        <w:rPr>
          <w:rFonts w:ascii="Arial" w:hAnsi="Arial" w:cs="Arial"/>
        </w:rPr>
        <w:t>s</w:t>
      </w:r>
      <w:r w:rsidR="00323DCB">
        <w:rPr>
          <w:rFonts w:ascii="Arial" w:hAnsi="Arial" w:cs="Arial"/>
          <w:sz w:val="24"/>
        </w:rPr>
        <w:t>. </w:t>
      </w:r>
      <w:r w:rsidR="004E0984" w:rsidRPr="0083560E">
        <w:rPr>
          <w:rFonts w:ascii="Arial" w:hAnsi="Arial" w:cs="Arial"/>
        </w:rPr>
        <w:t>129</w:t>
      </w:r>
      <w:r w:rsidRPr="0083560E">
        <w:rPr>
          <w:rFonts w:ascii="Arial" w:hAnsi="Arial" w:cs="Arial"/>
        </w:rPr>
        <w:t xml:space="preserve">, </w:t>
      </w:r>
      <w:r w:rsidR="00C77412" w:rsidRPr="0083560E">
        <w:rPr>
          <w:rFonts w:ascii="Arial" w:hAnsi="Arial" w:cs="Arial"/>
        </w:rPr>
        <w:t xml:space="preserve">an instrument of declaration will be issued to the permittee and </w:t>
      </w:r>
      <w:r w:rsidRPr="0083560E">
        <w:rPr>
          <w:rFonts w:ascii="Arial" w:hAnsi="Arial" w:cs="Arial"/>
        </w:rPr>
        <w:t>a</w:t>
      </w:r>
      <w:r w:rsidR="00A57F8B" w:rsidRPr="0083560E">
        <w:rPr>
          <w:rFonts w:ascii="Arial" w:hAnsi="Arial" w:cs="Arial"/>
        </w:rPr>
        <w:t xml:space="preserve"> copy of the declaration </w:t>
      </w:r>
      <w:r w:rsidR="00275E2C" w:rsidRPr="0083560E">
        <w:rPr>
          <w:rFonts w:ascii="Arial" w:hAnsi="Arial" w:cs="Arial"/>
        </w:rPr>
        <w:t>will</w:t>
      </w:r>
      <w:r w:rsidR="00A57F8B" w:rsidRPr="0083560E">
        <w:rPr>
          <w:rFonts w:ascii="Arial" w:hAnsi="Arial" w:cs="Arial"/>
        </w:rPr>
        <w:t xml:space="preserve"> be published in the </w:t>
      </w:r>
      <w:r w:rsidR="00A57F8B" w:rsidRPr="0083560E">
        <w:rPr>
          <w:rFonts w:ascii="Arial" w:hAnsi="Arial" w:cs="Arial"/>
          <w:i/>
        </w:rPr>
        <w:t>Australian Government Gazette</w:t>
      </w:r>
      <w:r w:rsidR="0004478B" w:rsidRPr="0083560E">
        <w:rPr>
          <w:rFonts w:ascii="Arial" w:hAnsi="Arial" w:cs="Arial"/>
        </w:rPr>
        <w:t xml:space="preserve"> (s</w:t>
      </w:r>
      <w:r w:rsidR="00F851F0" w:rsidRPr="0083560E">
        <w:rPr>
          <w:rFonts w:ascii="Arial" w:hAnsi="Arial" w:cs="Arial"/>
        </w:rPr>
        <w:t>.</w:t>
      </w:r>
      <w:r w:rsidR="00D27EB3" w:rsidRPr="0083560E">
        <w:rPr>
          <w:rFonts w:ascii="Arial" w:hAnsi="Arial" w:cs="Arial"/>
        </w:rPr>
        <w:t> </w:t>
      </w:r>
      <w:r w:rsidR="0004478B" w:rsidRPr="0083560E">
        <w:rPr>
          <w:rFonts w:ascii="Arial" w:hAnsi="Arial" w:cs="Arial"/>
        </w:rPr>
        <w:t>131(2))</w:t>
      </w:r>
      <w:r w:rsidR="00A57F8B" w:rsidRPr="0083560E">
        <w:rPr>
          <w:rFonts w:ascii="Arial" w:hAnsi="Arial" w:cs="Arial"/>
        </w:rPr>
        <w:t xml:space="preserve">. </w:t>
      </w:r>
    </w:p>
    <w:p w14:paraId="2E77C708" w14:textId="01CE1C2C" w:rsidR="00F8317E" w:rsidRPr="0083560E" w:rsidRDefault="00F8317E" w:rsidP="00CE427C">
      <w:pPr>
        <w:pStyle w:val="Heading2"/>
      </w:pPr>
      <w:r w:rsidRPr="0083560E">
        <w:t>Application period</w:t>
      </w:r>
    </w:p>
    <w:p w14:paraId="566A1DF8" w14:textId="1985803B" w:rsidR="00D22E0C" w:rsidRPr="0083560E" w:rsidRDefault="005724AD" w:rsidP="00B1791B">
      <w:pPr>
        <w:pStyle w:val="ListParagraph"/>
        <w:numPr>
          <w:ilvl w:val="1"/>
          <w:numId w:val="31"/>
        </w:numPr>
        <w:ind w:left="567" w:hanging="567"/>
        <w:rPr>
          <w:rFonts w:ascii="Arial" w:hAnsi="Arial" w:cs="Arial"/>
        </w:rPr>
      </w:pPr>
      <w:bookmarkStart w:id="24" w:name="_Ref446059888"/>
      <w:r w:rsidRPr="0083560E">
        <w:rPr>
          <w:rFonts w:ascii="Arial" w:hAnsi="Arial" w:cs="Arial"/>
        </w:rPr>
        <w:t>A</w:t>
      </w:r>
      <w:r w:rsidR="00A92E81" w:rsidRPr="0083560E">
        <w:rPr>
          <w:rFonts w:ascii="Arial" w:hAnsi="Arial" w:cs="Arial"/>
        </w:rPr>
        <w:t xml:space="preserve"> </w:t>
      </w:r>
      <w:r w:rsidRPr="0083560E">
        <w:rPr>
          <w:rFonts w:ascii="Arial" w:hAnsi="Arial" w:cs="Arial"/>
        </w:rPr>
        <w:t xml:space="preserve">declared </w:t>
      </w:r>
      <w:r w:rsidR="00732874" w:rsidRPr="0083560E">
        <w:rPr>
          <w:rFonts w:ascii="Arial" w:hAnsi="Arial" w:cs="Arial"/>
        </w:rPr>
        <w:t xml:space="preserve">location </w:t>
      </w:r>
      <w:r w:rsidR="00A92E81" w:rsidRPr="0083560E">
        <w:rPr>
          <w:rFonts w:ascii="Arial" w:hAnsi="Arial" w:cs="Arial"/>
        </w:rPr>
        <w:t xml:space="preserve">comes into force </w:t>
      </w:r>
      <w:r w:rsidR="00882228" w:rsidRPr="0083560E">
        <w:rPr>
          <w:rFonts w:ascii="Arial" w:hAnsi="Arial" w:cs="Arial"/>
        </w:rPr>
        <w:t xml:space="preserve">for </w:t>
      </w:r>
      <w:r w:rsidR="00DA14DD" w:rsidRPr="0083560E">
        <w:rPr>
          <w:rFonts w:ascii="Arial" w:hAnsi="Arial" w:cs="Arial"/>
        </w:rPr>
        <w:t xml:space="preserve">a </w:t>
      </w:r>
      <w:r w:rsidR="00882228" w:rsidRPr="0083560E">
        <w:rPr>
          <w:rFonts w:ascii="Arial" w:hAnsi="Arial" w:cs="Arial"/>
        </w:rPr>
        <w:t>two yea</w:t>
      </w:r>
      <w:r w:rsidR="00DA14DD" w:rsidRPr="0083560E">
        <w:rPr>
          <w:rFonts w:ascii="Arial" w:hAnsi="Arial" w:cs="Arial"/>
        </w:rPr>
        <w:t>r period</w:t>
      </w:r>
      <w:r w:rsidR="00882228" w:rsidRPr="0083560E">
        <w:rPr>
          <w:rFonts w:ascii="Arial" w:hAnsi="Arial" w:cs="Arial"/>
        </w:rPr>
        <w:t xml:space="preserve"> </w:t>
      </w:r>
      <w:r w:rsidR="00A06DB3" w:rsidRPr="0083560E">
        <w:rPr>
          <w:rFonts w:ascii="Arial" w:hAnsi="Arial" w:cs="Arial"/>
        </w:rPr>
        <w:t>from</w:t>
      </w:r>
      <w:r w:rsidR="00A92E81" w:rsidRPr="0083560E">
        <w:rPr>
          <w:rFonts w:ascii="Arial" w:hAnsi="Arial" w:cs="Arial"/>
        </w:rPr>
        <w:t xml:space="preserve"> the date on which </w:t>
      </w:r>
      <w:r w:rsidR="001139B9" w:rsidRPr="0083560E">
        <w:rPr>
          <w:rFonts w:ascii="Arial" w:hAnsi="Arial" w:cs="Arial"/>
        </w:rPr>
        <w:t xml:space="preserve">it </w:t>
      </w:r>
      <w:r w:rsidR="00A92E81" w:rsidRPr="0083560E">
        <w:rPr>
          <w:rFonts w:ascii="Arial" w:hAnsi="Arial" w:cs="Arial"/>
        </w:rPr>
        <w:t xml:space="preserve">is </w:t>
      </w:r>
      <w:r w:rsidR="001139B9" w:rsidRPr="0083560E">
        <w:rPr>
          <w:rFonts w:ascii="Arial" w:hAnsi="Arial" w:cs="Arial"/>
        </w:rPr>
        <w:t>declared</w:t>
      </w:r>
      <w:r w:rsidR="00DA14DD" w:rsidRPr="0083560E">
        <w:rPr>
          <w:rFonts w:ascii="Arial" w:hAnsi="Arial" w:cs="Arial"/>
        </w:rPr>
        <w:t xml:space="preserve">, during which time the permittee may apply for a </w:t>
      </w:r>
      <w:r w:rsidR="00387137" w:rsidRPr="0083560E">
        <w:rPr>
          <w:rFonts w:ascii="Arial" w:hAnsi="Arial" w:cs="Arial"/>
        </w:rPr>
        <w:t xml:space="preserve">retention lease or a </w:t>
      </w:r>
      <w:r w:rsidR="00DA14DD" w:rsidRPr="0083560E">
        <w:rPr>
          <w:rFonts w:ascii="Arial" w:hAnsi="Arial" w:cs="Arial"/>
        </w:rPr>
        <w:t>production licence</w:t>
      </w:r>
      <w:r w:rsidR="00A06DB3" w:rsidRPr="0083560E">
        <w:rPr>
          <w:rFonts w:ascii="Arial" w:hAnsi="Arial" w:cs="Arial"/>
        </w:rPr>
        <w:t xml:space="preserve"> in relation to the declared location</w:t>
      </w:r>
      <w:r w:rsidR="00DA14DD" w:rsidRPr="0083560E">
        <w:rPr>
          <w:rFonts w:ascii="Arial" w:hAnsi="Arial" w:cs="Arial"/>
        </w:rPr>
        <w:t xml:space="preserve"> (or to vary or revoke the location—see sections</w:t>
      </w:r>
      <w:r w:rsidR="00F135F5" w:rsidRPr="0083560E">
        <w:rPr>
          <w:rFonts w:ascii="Arial" w:hAnsi="Arial" w:cs="Arial"/>
        </w:rPr>
        <w:t> </w:t>
      </w:r>
      <w:r w:rsidR="00323DCB">
        <w:rPr>
          <w:rFonts w:ascii="Arial" w:hAnsi="Arial" w:cs="Arial"/>
        </w:rPr>
        <w:t>5</w:t>
      </w:r>
      <w:r w:rsidR="00106F86" w:rsidRPr="0083560E">
        <w:rPr>
          <w:rFonts w:ascii="Arial" w:hAnsi="Arial" w:cs="Arial"/>
        </w:rPr>
        <w:t xml:space="preserve"> and </w:t>
      </w:r>
      <w:r w:rsidR="00323DCB">
        <w:rPr>
          <w:rFonts w:ascii="Arial" w:hAnsi="Arial" w:cs="Arial"/>
        </w:rPr>
        <w:t>6</w:t>
      </w:r>
      <w:r w:rsidR="00106F86" w:rsidRPr="0083560E">
        <w:rPr>
          <w:rFonts w:ascii="Arial" w:hAnsi="Arial" w:cs="Arial"/>
        </w:rPr>
        <w:t xml:space="preserve"> of this guideline</w:t>
      </w:r>
      <w:r w:rsidR="00DA14DD" w:rsidRPr="0083560E">
        <w:rPr>
          <w:rFonts w:ascii="Arial" w:hAnsi="Arial" w:cs="Arial"/>
        </w:rPr>
        <w:t xml:space="preserve">). This is called the </w:t>
      </w:r>
      <w:r w:rsidR="00A3532C" w:rsidRPr="0083560E">
        <w:rPr>
          <w:rFonts w:ascii="Arial" w:hAnsi="Arial" w:cs="Arial"/>
        </w:rPr>
        <w:t>‘</w:t>
      </w:r>
      <w:r w:rsidR="00DA14DD" w:rsidRPr="0083560E">
        <w:rPr>
          <w:rFonts w:ascii="Arial" w:hAnsi="Arial" w:cs="Arial"/>
        </w:rPr>
        <w:t>application period’.</w:t>
      </w:r>
      <w:bookmarkEnd w:id="24"/>
      <w:r w:rsidR="00B1791B" w:rsidRPr="0083560E">
        <w:rPr>
          <w:rFonts w:ascii="Arial" w:hAnsi="Arial" w:cs="Arial"/>
        </w:rPr>
        <w:br/>
      </w:r>
    </w:p>
    <w:p w14:paraId="70AC9697" w14:textId="67F6B971" w:rsidR="00882228" w:rsidRPr="0083560E" w:rsidRDefault="00882228" w:rsidP="00B1791B">
      <w:pPr>
        <w:pStyle w:val="ListParagraph"/>
        <w:numPr>
          <w:ilvl w:val="1"/>
          <w:numId w:val="31"/>
        </w:numPr>
        <w:ind w:left="567" w:hanging="567"/>
        <w:rPr>
          <w:rFonts w:ascii="Arial" w:hAnsi="Arial" w:cs="Arial"/>
        </w:rPr>
      </w:pPr>
      <w:r w:rsidRPr="0083560E">
        <w:rPr>
          <w:rFonts w:ascii="Arial" w:hAnsi="Arial" w:cs="Arial"/>
        </w:rPr>
        <w:t>The two year application period may be extended for up to a further two years at the discretion of the Titles Administrator</w:t>
      </w:r>
      <w:r w:rsidR="00F027A3" w:rsidRPr="0083560E">
        <w:rPr>
          <w:rFonts w:ascii="Arial" w:hAnsi="Arial" w:cs="Arial"/>
        </w:rPr>
        <w:t>,</w:t>
      </w:r>
      <w:r w:rsidR="00A06DB3" w:rsidRPr="0083560E">
        <w:rPr>
          <w:rFonts w:ascii="Arial" w:hAnsi="Arial" w:cs="Arial"/>
        </w:rPr>
        <w:t xml:space="preserve"> if a</w:t>
      </w:r>
      <w:r w:rsidRPr="0083560E">
        <w:rPr>
          <w:rFonts w:ascii="Arial" w:hAnsi="Arial" w:cs="Arial"/>
        </w:rPr>
        <w:t xml:space="preserve"> written application</w:t>
      </w:r>
      <w:r w:rsidR="00A06DB3" w:rsidRPr="0083560E">
        <w:rPr>
          <w:rFonts w:ascii="Arial" w:hAnsi="Arial" w:cs="Arial"/>
        </w:rPr>
        <w:t xml:space="preserve"> for an extension is made by the permittee within </w:t>
      </w:r>
      <w:r w:rsidR="00B37297" w:rsidRPr="0083560E">
        <w:rPr>
          <w:rFonts w:ascii="Arial" w:hAnsi="Arial" w:cs="Arial"/>
        </w:rPr>
        <w:t>two</w:t>
      </w:r>
      <w:r w:rsidR="00A06DB3" w:rsidRPr="0083560E">
        <w:rPr>
          <w:rFonts w:ascii="Arial" w:hAnsi="Arial" w:cs="Arial"/>
        </w:rPr>
        <w:t xml:space="preserve"> years from the date on which the location is declared</w:t>
      </w:r>
      <w:r w:rsidRPr="0083560E">
        <w:rPr>
          <w:rFonts w:ascii="Arial" w:hAnsi="Arial" w:cs="Arial"/>
        </w:rPr>
        <w:t xml:space="preserve"> (</w:t>
      </w:r>
      <w:r w:rsidR="00F851F0" w:rsidRPr="0083560E">
        <w:rPr>
          <w:rFonts w:ascii="Arial" w:hAnsi="Arial" w:cs="Arial"/>
        </w:rPr>
        <w:t>s.</w:t>
      </w:r>
      <w:r w:rsidRPr="0083560E">
        <w:rPr>
          <w:rFonts w:ascii="Arial" w:hAnsi="Arial" w:cs="Arial"/>
        </w:rPr>
        <w:t> 141(3)</w:t>
      </w:r>
      <w:r w:rsidR="0004478B" w:rsidRPr="0083560E">
        <w:rPr>
          <w:rFonts w:ascii="Arial" w:hAnsi="Arial" w:cs="Arial"/>
        </w:rPr>
        <w:t>(b) – retention leases</w:t>
      </w:r>
      <w:r w:rsidRPr="0083560E">
        <w:rPr>
          <w:rFonts w:ascii="Arial" w:hAnsi="Arial" w:cs="Arial"/>
        </w:rPr>
        <w:t xml:space="preserve"> and</w:t>
      </w:r>
      <w:r w:rsidR="00F135F5" w:rsidRPr="0083560E">
        <w:rPr>
          <w:rFonts w:ascii="Arial" w:hAnsi="Arial" w:cs="Arial"/>
        </w:rPr>
        <w:t xml:space="preserve"> s</w:t>
      </w:r>
      <w:r w:rsidRPr="0083560E">
        <w:rPr>
          <w:rFonts w:ascii="Arial" w:hAnsi="Arial" w:cs="Arial"/>
        </w:rPr>
        <w:t> 169(1)</w:t>
      </w:r>
      <w:r w:rsidR="0004478B" w:rsidRPr="0083560E">
        <w:rPr>
          <w:rFonts w:ascii="Arial" w:hAnsi="Arial" w:cs="Arial"/>
        </w:rPr>
        <w:t>(b) – production licences</w:t>
      </w:r>
      <w:r w:rsidRPr="0083560E">
        <w:rPr>
          <w:rFonts w:ascii="Arial" w:hAnsi="Arial" w:cs="Arial"/>
        </w:rPr>
        <w:t>).</w:t>
      </w:r>
      <w:r w:rsidR="00B1791B" w:rsidRPr="0083560E">
        <w:rPr>
          <w:rFonts w:ascii="Arial" w:hAnsi="Arial" w:cs="Arial"/>
        </w:rPr>
        <w:br/>
      </w:r>
    </w:p>
    <w:p w14:paraId="6B806DC6" w14:textId="5C9CEF31" w:rsidR="00882228" w:rsidRPr="0083560E" w:rsidRDefault="00882228" w:rsidP="00B1791B">
      <w:pPr>
        <w:pStyle w:val="ListParagraph"/>
        <w:numPr>
          <w:ilvl w:val="1"/>
          <w:numId w:val="31"/>
        </w:numPr>
        <w:ind w:left="567" w:hanging="567"/>
        <w:rPr>
          <w:rFonts w:ascii="Arial" w:hAnsi="Arial" w:cs="Arial"/>
        </w:rPr>
      </w:pPr>
      <w:r w:rsidRPr="0083560E">
        <w:rPr>
          <w:rFonts w:ascii="Arial" w:hAnsi="Arial" w:cs="Arial"/>
        </w:rPr>
        <w:t xml:space="preserve">An application to extend the application period should be made at least 30 days </w:t>
      </w:r>
      <w:r w:rsidR="00A06DB3" w:rsidRPr="0083560E">
        <w:rPr>
          <w:rFonts w:ascii="Arial" w:hAnsi="Arial" w:cs="Arial"/>
        </w:rPr>
        <w:t>before</w:t>
      </w:r>
      <w:r w:rsidRPr="0083560E">
        <w:rPr>
          <w:rFonts w:ascii="Arial" w:hAnsi="Arial" w:cs="Arial"/>
        </w:rPr>
        <w:t xml:space="preserve"> the end of the initial two year period </w:t>
      </w:r>
      <w:r w:rsidR="0004478B" w:rsidRPr="0083560E">
        <w:rPr>
          <w:rFonts w:ascii="Arial" w:hAnsi="Arial" w:cs="Arial"/>
        </w:rPr>
        <w:t xml:space="preserve">after declaration of the location </w:t>
      </w:r>
      <w:r w:rsidRPr="0083560E">
        <w:rPr>
          <w:rFonts w:ascii="Arial" w:hAnsi="Arial" w:cs="Arial"/>
        </w:rPr>
        <w:t xml:space="preserve">and include reasons for the application. (For example, the applicant should explain why it is not ready to apply for a retention lease or production licence; and provide details of its forward work plans to progress the location </w:t>
      </w:r>
      <w:r w:rsidR="00F03AC6" w:rsidRPr="0083560E">
        <w:rPr>
          <w:rFonts w:ascii="Arial" w:hAnsi="Arial" w:cs="Arial"/>
        </w:rPr>
        <w:t>block or blocks</w:t>
      </w:r>
      <w:r w:rsidRPr="0083560E">
        <w:rPr>
          <w:rFonts w:ascii="Arial" w:hAnsi="Arial" w:cs="Arial"/>
        </w:rPr>
        <w:t xml:space="preserve"> towards either a retention lease or production licence).</w:t>
      </w:r>
      <w:r w:rsidR="00B1791B" w:rsidRPr="0083560E">
        <w:rPr>
          <w:rFonts w:ascii="Arial" w:hAnsi="Arial" w:cs="Arial"/>
        </w:rPr>
        <w:br/>
      </w:r>
    </w:p>
    <w:p w14:paraId="694FD3A2" w14:textId="473312E9" w:rsidR="00CF7F62" w:rsidRPr="0083560E" w:rsidRDefault="00F628D1" w:rsidP="00B1791B">
      <w:pPr>
        <w:pStyle w:val="ListParagraph"/>
        <w:numPr>
          <w:ilvl w:val="1"/>
          <w:numId w:val="31"/>
        </w:numPr>
        <w:ind w:left="567" w:hanging="567"/>
        <w:rPr>
          <w:rFonts w:ascii="Arial" w:hAnsi="Arial" w:cs="Arial"/>
        </w:rPr>
      </w:pPr>
      <w:bookmarkStart w:id="25" w:name="_Ref446059902"/>
      <w:r w:rsidRPr="0083560E">
        <w:rPr>
          <w:rFonts w:ascii="Arial" w:hAnsi="Arial" w:cs="Arial"/>
        </w:rPr>
        <w:t>If</w:t>
      </w:r>
      <w:r w:rsidR="00A64FEC" w:rsidRPr="0083560E">
        <w:rPr>
          <w:rFonts w:ascii="Arial" w:hAnsi="Arial" w:cs="Arial"/>
        </w:rPr>
        <w:t xml:space="preserve"> an exploration permittee </w:t>
      </w:r>
      <w:r w:rsidR="00A64FEC" w:rsidRPr="0083560E">
        <w:rPr>
          <w:rFonts w:ascii="Arial" w:hAnsi="Arial" w:cs="Arial"/>
          <w:b/>
          <w:bCs/>
        </w:rPr>
        <w:t>takes no action</w:t>
      </w:r>
      <w:r w:rsidR="00A64FEC" w:rsidRPr="0083560E">
        <w:rPr>
          <w:rFonts w:ascii="Arial" w:hAnsi="Arial" w:cs="Arial"/>
        </w:rPr>
        <w:t xml:space="preserve"> in relation to </w:t>
      </w:r>
      <w:r w:rsidRPr="0083560E">
        <w:rPr>
          <w:rFonts w:ascii="Arial" w:hAnsi="Arial" w:cs="Arial"/>
        </w:rPr>
        <w:t xml:space="preserve">a block or blocks in </w:t>
      </w:r>
      <w:r w:rsidR="00A64FEC" w:rsidRPr="0083560E">
        <w:rPr>
          <w:rFonts w:ascii="Arial" w:hAnsi="Arial" w:cs="Arial"/>
        </w:rPr>
        <w:t xml:space="preserve">a declared location </w:t>
      </w:r>
      <w:r w:rsidR="00A06DB3" w:rsidRPr="0083560E">
        <w:rPr>
          <w:rFonts w:ascii="Arial" w:hAnsi="Arial" w:cs="Arial"/>
        </w:rPr>
        <w:t>before</w:t>
      </w:r>
      <w:r w:rsidR="00A64FEC" w:rsidRPr="0083560E">
        <w:rPr>
          <w:rFonts w:ascii="Arial" w:hAnsi="Arial" w:cs="Arial"/>
        </w:rPr>
        <w:t xml:space="preserve"> the expiration of the application period</w:t>
      </w:r>
      <w:r w:rsidR="00454947" w:rsidRPr="0083560E">
        <w:rPr>
          <w:rFonts w:ascii="Arial" w:hAnsi="Arial" w:cs="Arial"/>
        </w:rPr>
        <w:t xml:space="preserve"> (i.e. does not apply for a retention lease or production licence, or</w:t>
      </w:r>
      <w:r w:rsidR="00B3071A">
        <w:rPr>
          <w:rFonts w:ascii="Arial" w:hAnsi="Arial" w:cs="Arial"/>
        </w:rPr>
        <w:t xml:space="preserve"> has not applied for and received notice that the Joint Authority has revoked the</w:t>
      </w:r>
      <w:r w:rsidR="00454947" w:rsidRPr="0083560E">
        <w:rPr>
          <w:rFonts w:ascii="Arial" w:hAnsi="Arial" w:cs="Arial"/>
        </w:rPr>
        <w:t xml:space="preserve"> declaration of location)</w:t>
      </w:r>
      <w:r w:rsidR="00A64FEC" w:rsidRPr="0083560E">
        <w:rPr>
          <w:rFonts w:ascii="Arial" w:hAnsi="Arial" w:cs="Arial"/>
        </w:rPr>
        <w:t xml:space="preserve">, the </w:t>
      </w:r>
      <w:r w:rsidRPr="0083560E">
        <w:rPr>
          <w:rFonts w:ascii="Arial" w:hAnsi="Arial" w:cs="Arial"/>
        </w:rPr>
        <w:t xml:space="preserve">block or </w:t>
      </w:r>
      <w:r w:rsidR="00A64FEC" w:rsidRPr="0083560E">
        <w:rPr>
          <w:rFonts w:ascii="Arial" w:hAnsi="Arial" w:cs="Arial"/>
        </w:rPr>
        <w:t>blocks will revert to vacant acreage</w:t>
      </w:r>
      <w:r w:rsidR="00960262" w:rsidRPr="0083560E">
        <w:rPr>
          <w:rFonts w:ascii="Arial" w:hAnsi="Arial" w:cs="Arial"/>
          <w:vertAlign w:val="superscript"/>
        </w:rPr>
        <w:footnoteReference w:id="2"/>
      </w:r>
      <w:r w:rsidR="00A64FEC" w:rsidRPr="0083560E">
        <w:rPr>
          <w:rFonts w:ascii="Arial" w:hAnsi="Arial" w:cs="Arial"/>
        </w:rPr>
        <w:t xml:space="preserve"> and no longer form part of the exploration permit area (s</w:t>
      </w:r>
      <w:r w:rsidR="00F851F0" w:rsidRPr="0083560E">
        <w:rPr>
          <w:rFonts w:ascii="Arial" w:hAnsi="Arial" w:cs="Arial"/>
        </w:rPr>
        <w:t>.</w:t>
      </w:r>
      <w:r w:rsidR="000F2E4B" w:rsidRPr="0083560E">
        <w:rPr>
          <w:rFonts w:ascii="Arial" w:hAnsi="Arial" w:cs="Arial"/>
        </w:rPr>
        <w:t> </w:t>
      </w:r>
      <w:r w:rsidR="00A64FEC" w:rsidRPr="0083560E">
        <w:rPr>
          <w:rFonts w:ascii="Arial" w:hAnsi="Arial" w:cs="Arial"/>
        </w:rPr>
        <w:t>188).</w:t>
      </w:r>
      <w:bookmarkStart w:id="26" w:name="_Ref428173353"/>
      <w:bookmarkEnd w:id="25"/>
    </w:p>
    <w:p w14:paraId="400C9B18" w14:textId="732ABD25" w:rsidR="00D975E3" w:rsidRDefault="00D20C83" w:rsidP="00B1791B">
      <w:pPr>
        <w:pStyle w:val="Heading1"/>
        <w:numPr>
          <w:ilvl w:val="0"/>
          <w:numId w:val="31"/>
        </w:numPr>
      </w:pPr>
      <w:bookmarkStart w:id="27" w:name="_Toc483231646"/>
      <w:bookmarkStart w:id="28" w:name="_Toc422388807"/>
      <w:bookmarkStart w:id="29" w:name="_Toc422388789"/>
      <w:bookmarkEnd w:id="26"/>
      <w:r>
        <w:t>Variation of a declared location</w:t>
      </w:r>
      <w:bookmarkEnd w:id="27"/>
    </w:p>
    <w:p w14:paraId="3B06C952" w14:textId="0E5595D3" w:rsidR="001B5238" w:rsidRPr="0083560E" w:rsidRDefault="00F628D1" w:rsidP="00B1791B">
      <w:pPr>
        <w:pStyle w:val="ListParagraph"/>
        <w:numPr>
          <w:ilvl w:val="1"/>
          <w:numId w:val="31"/>
        </w:numPr>
        <w:ind w:left="567" w:hanging="567"/>
        <w:rPr>
          <w:rFonts w:ascii="Arial" w:hAnsi="Arial" w:cs="Arial"/>
        </w:rPr>
      </w:pPr>
      <w:r w:rsidRPr="0083560E">
        <w:rPr>
          <w:rFonts w:ascii="Arial" w:hAnsi="Arial" w:cs="Arial"/>
        </w:rPr>
        <w:t>A</w:t>
      </w:r>
      <w:r w:rsidR="00D975E3" w:rsidRPr="0083560E">
        <w:rPr>
          <w:rFonts w:ascii="Arial" w:hAnsi="Arial" w:cs="Arial"/>
        </w:rPr>
        <w:t xml:space="preserve"> declar</w:t>
      </w:r>
      <w:r w:rsidR="00F027A3" w:rsidRPr="0083560E">
        <w:rPr>
          <w:rFonts w:ascii="Arial" w:hAnsi="Arial" w:cs="Arial"/>
        </w:rPr>
        <w:t>ed</w:t>
      </w:r>
      <w:r w:rsidR="00D975E3" w:rsidRPr="0083560E">
        <w:rPr>
          <w:rFonts w:ascii="Arial" w:hAnsi="Arial" w:cs="Arial"/>
        </w:rPr>
        <w:t xml:space="preserve"> location </w:t>
      </w:r>
      <w:r w:rsidR="006E0ED0" w:rsidRPr="0083560E">
        <w:rPr>
          <w:rFonts w:ascii="Arial" w:hAnsi="Arial" w:cs="Arial"/>
        </w:rPr>
        <w:t xml:space="preserve">may </w:t>
      </w:r>
      <w:r w:rsidR="00D975E3" w:rsidRPr="0083560E">
        <w:rPr>
          <w:rFonts w:ascii="Arial" w:hAnsi="Arial" w:cs="Arial"/>
        </w:rPr>
        <w:t>be varied to either add or remove a block</w:t>
      </w:r>
      <w:r w:rsidR="006E0ED0" w:rsidRPr="0083560E">
        <w:rPr>
          <w:rFonts w:ascii="Arial" w:hAnsi="Arial" w:cs="Arial"/>
        </w:rPr>
        <w:t xml:space="preserve"> </w:t>
      </w:r>
      <w:r w:rsidRPr="0083560E">
        <w:rPr>
          <w:rFonts w:ascii="Arial" w:hAnsi="Arial" w:cs="Arial"/>
        </w:rPr>
        <w:t>(before the end of the ‘application period’ described above) if</w:t>
      </w:r>
      <w:r w:rsidR="006E0ED0" w:rsidRPr="0083560E">
        <w:rPr>
          <w:rFonts w:ascii="Arial" w:hAnsi="Arial" w:cs="Arial"/>
        </w:rPr>
        <w:t xml:space="preserve"> the relevant criteria </w:t>
      </w:r>
      <w:r w:rsidRPr="0083560E">
        <w:rPr>
          <w:rFonts w:ascii="Arial" w:hAnsi="Arial" w:cs="Arial"/>
        </w:rPr>
        <w:t>are</w:t>
      </w:r>
      <w:r w:rsidR="006E0ED0" w:rsidRPr="0083560E">
        <w:rPr>
          <w:rFonts w:ascii="Arial" w:hAnsi="Arial" w:cs="Arial"/>
        </w:rPr>
        <w:t xml:space="preserve"> met (s</w:t>
      </w:r>
      <w:r w:rsidR="000428F8" w:rsidRPr="0083560E">
        <w:rPr>
          <w:rFonts w:ascii="Arial" w:hAnsi="Arial" w:cs="Arial"/>
        </w:rPr>
        <w:t>.</w:t>
      </w:r>
      <w:r w:rsidR="0046280F" w:rsidRPr="0083560E">
        <w:rPr>
          <w:rFonts w:ascii="Arial" w:hAnsi="Arial" w:cs="Arial"/>
        </w:rPr>
        <w:t> </w:t>
      </w:r>
      <w:r w:rsidR="006E0ED0" w:rsidRPr="0083560E">
        <w:rPr>
          <w:rFonts w:ascii="Arial" w:hAnsi="Arial" w:cs="Arial"/>
        </w:rPr>
        <w:t>133)</w:t>
      </w:r>
      <w:r w:rsidR="00D975E3" w:rsidRPr="0083560E">
        <w:rPr>
          <w:rFonts w:ascii="Arial" w:hAnsi="Arial" w:cs="Arial"/>
        </w:rPr>
        <w:t>.</w:t>
      </w:r>
      <w:r w:rsidR="001B5238" w:rsidRPr="0083560E">
        <w:rPr>
          <w:rFonts w:ascii="Arial" w:hAnsi="Arial" w:cs="Arial"/>
        </w:rPr>
        <w:t xml:space="preserve"> </w:t>
      </w:r>
      <w:r w:rsidR="00516ADD" w:rsidRPr="0083560E">
        <w:rPr>
          <w:rFonts w:ascii="Arial" w:hAnsi="Arial" w:cs="Arial"/>
        </w:rPr>
        <w:t xml:space="preserve">For example, an application of this type </w:t>
      </w:r>
      <w:r w:rsidR="001B5238" w:rsidRPr="0083560E">
        <w:rPr>
          <w:rFonts w:ascii="Arial" w:hAnsi="Arial" w:cs="Arial"/>
        </w:rPr>
        <w:t>may be made</w:t>
      </w:r>
      <w:r w:rsidR="00516ADD" w:rsidRPr="0083560E">
        <w:rPr>
          <w:rFonts w:ascii="Arial" w:hAnsi="Arial" w:cs="Arial"/>
        </w:rPr>
        <w:t xml:space="preserve"> </w:t>
      </w:r>
      <w:r w:rsidR="001B5238" w:rsidRPr="0083560E">
        <w:rPr>
          <w:rFonts w:ascii="Arial" w:hAnsi="Arial" w:cs="Arial"/>
        </w:rPr>
        <w:t>when new geoscientific information reveals that the petroleum pool</w:t>
      </w:r>
      <w:r w:rsidR="00890775" w:rsidRPr="0083560E">
        <w:rPr>
          <w:rFonts w:ascii="Arial" w:hAnsi="Arial" w:cs="Arial"/>
        </w:rPr>
        <w:t>(s)</w:t>
      </w:r>
      <w:r w:rsidR="001B5238" w:rsidRPr="0083560E">
        <w:rPr>
          <w:rFonts w:ascii="Arial" w:hAnsi="Arial" w:cs="Arial"/>
        </w:rPr>
        <w:t xml:space="preserve"> is within fewer blocks, or extends to an extra block</w:t>
      </w:r>
      <w:r w:rsidR="00890775" w:rsidRPr="0083560E">
        <w:rPr>
          <w:rFonts w:ascii="Arial" w:hAnsi="Arial" w:cs="Arial"/>
        </w:rPr>
        <w:t>,</w:t>
      </w:r>
      <w:r w:rsidR="001B5238" w:rsidRPr="0083560E">
        <w:rPr>
          <w:rFonts w:ascii="Arial" w:hAnsi="Arial" w:cs="Arial"/>
        </w:rPr>
        <w:t xml:space="preserve"> within the existing </w:t>
      </w:r>
      <w:r w:rsidR="001B5238" w:rsidRPr="0083560E">
        <w:rPr>
          <w:rFonts w:ascii="Arial" w:hAnsi="Arial" w:cs="Arial"/>
        </w:rPr>
        <w:lastRenderedPageBreak/>
        <w:t>exploration permit.</w:t>
      </w:r>
      <w:r w:rsidR="00B1791B" w:rsidRPr="0083560E">
        <w:rPr>
          <w:rFonts w:ascii="Arial" w:hAnsi="Arial" w:cs="Arial"/>
        </w:rPr>
        <w:br/>
      </w:r>
    </w:p>
    <w:p w14:paraId="3EA6C60E" w14:textId="04617F0C" w:rsidR="00D975E3" w:rsidRPr="0083560E" w:rsidRDefault="005A4CF8" w:rsidP="00B1791B">
      <w:pPr>
        <w:pStyle w:val="ListParagraph"/>
        <w:numPr>
          <w:ilvl w:val="1"/>
          <w:numId w:val="31"/>
        </w:numPr>
        <w:ind w:left="567" w:hanging="567"/>
        <w:rPr>
          <w:rFonts w:ascii="Arial" w:hAnsi="Arial" w:cs="Arial"/>
        </w:rPr>
      </w:pPr>
      <w:r w:rsidRPr="0083560E">
        <w:rPr>
          <w:rFonts w:ascii="Arial" w:hAnsi="Arial" w:cs="Arial"/>
        </w:rPr>
        <w:t>A</w:t>
      </w:r>
      <w:r w:rsidR="00C057D4" w:rsidRPr="0083560E">
        <w:rPr>
          <w:rFonts w:ascii="Arial" w:hAnsi="Arial" w:cs="Arial"/>
        </w:rPr>
        <w:t xml:space="preserve"> variation </w:t>
      </w:r>
      <w:r w:rsidRPr="0083560E">
        <w:rPr>
          <w:rFonts w:ascii="Arial" w:hAnsi="Arial" w:cs="Arial"/>
        </w:rPr>
        <w:t xml:space="preserve">of a declared location </w:t>
      </w:r>
      <w:r w:rsidR="00C057D4" w:rsidRPr="0083560E">
        <w:rPr>
          <w:rFonts w:ascii="Arial" w:hAnsi="Arial" w:cs="Arial"/>
        </w:rPr>
        <w:t>can</w:t>
      </w:r>
      <w:r w:rsidRPr="0083560E">
        <w:rPr>
          <w:rFonts w:ascii="Arial" w:hAnsi="Arial" w:cs="Arial"/>
        </w:rPr>
        <w:t xml:space="preserve"> be made </w:t>
      </w:r>
      <w:r w:rsidR="00C057D4" w:rsidRPr="0083560E">
        <w:rPr>
          <w:rFonts w:ascii="Arial" w:hAnsi="Arial" w:cs="Arial"/>
        </w:rPr>
        <w:t>be at the permittee’s request, or required by the Joint Authority</w:t>
      </w:r>
      <w:r w:rsidR="002047AE" w:rsidRPr="0083560E">
        <w:rPr>
          <w:rFonts w:ascii="Arial" w:hAnsi="Arial" w:cs="Arial"/>
        </w:rPr>
        <w:t xml:space="preserve"> (s</w:t>
      </w:r>
      <w:r w:rsidR="00F851F0" w:rsidRPr="0083560E">
        <w:rPr>
          <w:rFonts w:ascii="Arial" w:hAnsi="Arial" w:cs="Arial"/>
        </w:rPr>
        <w:t>.</w:t>
      </w:r>
      <w:r w:rsidR="002047AE" w:rsidRPr="0083560E">
        <w:rPr>
          <w:rFonts w:ascii="Arial" w:hAnsi="Arial" w:cs="Arial"/>
        </w:rPr>
        <w:t xml:space="preserve"> 133(3))</w:t>
      </w:r>
      <w:r w:rsidR="00C057D4" w:rsidRPr="0083560E">
        <w:rPr>
          <w:rFonts w:ascii="Arial" w:hAnsi="Arial" w:cs="Arial"/>
        </w:rPr>
        <w:t>.</w:t>
      </w:r>
      <w:r w:rsidR="00B1791B" w:rsidRPr="0083560E">
        <w:rPr>
          <w:rFonts w:ascii="Arial" w:hAnsi="Arial" w:cs="Arial"/>
        </w:rPr>
        <w:br/>
      </w:r>
    </w:p>
    <w:p w14:paraId="0E245DBB" w14:textId="2B539619" w:rsidR="001B5238" w:rsidRPr="0083560E" w:rsidRDefault="001B5238" w:rsidP="00B1791B">
      <w:pPr>
        <w:pStyle w:val="ListParagraph"/>
        <w:numPr>
          <w:ilvl w:val="1"/>
          <w:numId w:val="31"/>
        </w:numPr>
        <w:ind w:left="567" w:hanging="567"/>
        <w:rPr>
          <w:rFonts w:ascii="Arial" w:hAnsi="Arial" w:cs="Arial"/>
        </w:rPr>
      </w:pPr>
      <w:r w:rsidRPr="0083560E">
        <w:rPr>
          <w:rFonts w:ascii="Arial" w:hAnsi="Arial" w:cs="Arial"/>
        </w:rPr>
        <w:t>A declared location can only be varied to add or remove a single block</w:t>
      </w:r>
      <w:r w:rsidR="00F027A3" w:rsidRPr="0083560E">
        <w:rPr>
          <w:rFonts w:ascii="Arial" w:hAnsi="Arial" w:cs="Arial"/>
        </w:rPr>
        <w:t>, per variation application submission</w:t>
      </w:r>
      <w:r w:rsidRPr="0083560E">
        <w:rPr>
          <w:rFonts w:ascii="Arial" w:hAnsi="Arial" w:cs="Arial"/>
        </w:rPr>
        <w:t>.</w:t>
      </w:r>
      <w:r w:rsidR="00CD6284" w:rsidRPr="0083560E">
        <w:rPr>
          <w:rFonts w:ascii="Arial" w:hAnsi="Arial" w:cs="Arial"/>
        </w:rPr>
        <w:t xml:space="preserve"> Separate applications (per block) are required to add or remove additional blocks.</w:t>
      </w:r>
      <w:r w:rsidR="00B1791B" w:rsidRPr="0083560E">
        <w:rPr>
          <w:rFonts w:ascii="Arial" w:hAnsi="Arial" w:cs="Arial"/>
        </w:rPr>
        <w:br/>
      </w:r>
    </w:p>
    <w:p w14:paraId="4D6B5795" w14:textId="0FA3BE09" w:rsidR="00D975E3" w:rsidRPr="0083560E" w:rsidRDefault="005724AD" w:rsidP="00B1791B">
      <w:pPr>
        <w:pStyle w:val="ListParagraph"/>
        <w:numPr>
          <w:ilvl w:val="1"/>
          <w:numId w:val="31"/>
        </w:numPr>
        <w:ind w:left="567" w:hanging="567"/>
        <w:rPr>
          <w:rFonts w:ascii="Arial" w:hAnsi="Arial" w:cs="Arial"/>
        </w:rPr>
      </w:pPr>
      <w:r w:rsidRPr="0083560E">
        <w:rPr>
          <w:rFonts w:ascii="Arial" w:hAnsi="Arial" w:cs="Arial"/>
        </w:rPr>
        <w:t>A</w:t>
      </w:r>
      <w:r w:rsidR="00D975E3" w:rsidRPr="0083560E">
        <w:rPr>
          <w:rFonts w:ascii="Arial" w:hAnsi="Arial" w:cs="Arial"/>
        </w:rPr>
        <w:t xml:space="preserve"> variation </w:t>
      </w:r>
      <w:r w:rsidR="005A4CF8" w:rsidRPr="0083560E">
        <w:rPr>
          <w:rFonts w:ascii="Arial" w:hAnsi="Arial" w:cs="Arial"/>
        </w:rPr>
        <w:t xml:space="preserve">of a declared location </w:t>
      </w:r>
      <w:r w:rsidR="00D975E3" w:rsidRPr="0083560E">
        <w:rPr>
          <w:rFonts w:ascii="Arial" w:hAnsi="Arial" w:cs="Arial"/>
        </w:rPr>
        <w:t xml:space="preserve">does not extend the </w:t>
      </w:r>
      <w:r w:rsidR="00832C58" w:rsidRPr="0083560E">
        <w:rPr>
          <w:rFonts w:ascii="Arial" w:hAnsi="Arial" w:cs="Arial"/>
        </w:rPr>
        <w:t>original</w:t>
      </w:r>
      <w:r w:rsidR="00D975E3" w:rsidRPr="0083560E">
        <w:rPr>
          <w:rFonts w:ascii="Arial" w:hAnsi="Arial" w:cs="Arial"/>
        </w:rPr>
        <w:t xml:space="preserve"> application period in which the permittee must apply for either a retention lease or production licence.</w:t>
      </w:r>
      <w:r w:rsidR="00B1791B" w:rsidRPr="0083560E">
        <w:rPr>
          <w:rFonts w:ascii="Arial" w:hAnsi="Arial" w:cs="Arial"/>
        </w:rPr>
        <w:br/>
      </w:r>
      <w:r w:rsidR="00D975E3" w:rsidRPr="0083560E">
        <w:rPr>
          <w:rFonts w:ascii="Arial" w:hAnsi="Arial" w:cs="Arial"/>
        </w:rPr>
        <w:t xml:space="preserve"> </w:t>
      </w:r>
    </w:p>
    <w:p w14:paraId="3985B686" w14:textId="17BE2362" w:rsidR="001A5571" w:rsidRPr="0083560E" w:rsidRDefault="002047AE" w:rsidP="00B1791B">
      <w:pPr>
        <w:pStyle w:val="ListParagraph"/>
        <w:numPr>
          <w:ilvl w:val="1"/>
          <w:numId w:val="31"/>
        </w:numPr>
        <w:ind w:left="567" w:hanging="567"/>
        <w:rPr>
          <w:rFonts w:ascii="Arial" w:hAnsi="Arial" w:cs="Arial"/>
          <w:b/>
        </w:rPr>
      </w:pPr>
      <w:r w:rsidRPr="0083560E">
        <w:rPr>
          <w:rFonts w:ascii="Arial" w:hAnsi="Arial" w:cs="Arial"/>
        </w:rPr>
        <w:t xml:space="preserve">If </w:t>
      </w:r>
      <w:r w:rsidR="005724AD" w:rsidRPr="0083560E">
        <w:rPr>
          <w:rFonts w:ascii="Arial" w:hAnsi="Arial" w:cs="Arial"/>
        </w:rPr>
        <w:t>a</w:t>
      </w:r>
      <w:r w:rsidR="00D975E3" w:rsidRPr="0083560E">
        <w:rPr>
          <w:rFonts w:ascii="Arial" w:hAnsi="Arial" w:cs="Arial"/>
        </w:rPr>
        <w:t xml:space="preserve"> declared location has been varied so that it is over </w:t>
      </w:r>
      <w:r w:rsidR="00F027A3" w:rsidRPr="0083560E">
        <w:rPr>
          <w:rFonts w:ascii="Arial" w:hAnsi="Arial" w:cs="Arial"/>
        </w:rPr>
        <w:t>one less block</w:t>
      </w:r>
      <w:r w:rsidR="00D975E3" w:rsidRPr="0083560E">
        <w:rPr>
          <w:rFonts w:ascii="Arial" w:hAnsi="Arial" w:cs="Arial"/>
        </w:rPr>
        <w:t xml:space="preserve">, </w:t>
      </w:r>
      <w:r w:rsidR="004042AC" w:rsidRPr="0083560E">
        <w:rPr>
          <w:rFonts w:ascii="Arial" w:hAnsi="Arial" w:cs="Arial"/>
        </w:rPr>
        <w:t xml:space="preserve">the block that has been removed remains part of the exploration permit and continues to be subject to the permit conditions. </w:t>
      </w:r>
      <w:bookmarkEnd w:id="28"/>
      <w:r w:rsidR="00B1791B" w:rsidRPr="0083560E">
        <w:rPr>
          <w:rFonts w:ascii="Arial" w:hAnsi="Arial" w:cs="Arial"/>
        </w:rPr>
        <w:br/>
      </w:r>
    </w:p>
    <w:p w14:paraId="5535890E" w14:textId="0EB08BA2" w:rsidR="005D0509" w:rsidRPr="0083560E" w:rsidRDefault="007764FA" w:rsidP="00B1791B">
      <w:pPr>
        <w:pStyle w:val="ListParagraph"/>
        <w:numPr>
          <w:ilvl w:val="1"/>
          <w:numId w:val="31"/>
        </w:numPr>
        <w:ind w:left="567" w:hanging="567"/>
        <w:rPr>
          <w:rFonts w:ascii="Arial" w:hAnsi="Arial" w:cs="Arial"/>
          <w:b/>
        </w:rPr>
      </w:pPr>
      <w:r w:rsidRPr="0083560E">
        <w:rPr>
          <w:rFonts w:ascii="Arial" w:hAnsi="Arial" w:cs="Arial"/>
        </w:rPr>
        <w:t>Applications</w:t>
      </w:r>
      <w:r w:rsidR="00832C58" w:rsidRPr="0083560E">
        <w:rPr>
          <w:rFonts w:ascii="Arial" w:hAnsi="Arial" w:cs="Arial"/>
        </w:rPr>
        <w:t xml:space="preserve"> to vary a declar</w:t>
      </w:r>
      <w:r w:rsidR="006C3041" w:rsidRPr="0083560E">
        <w:rPr>
          <w:rFonts w:ascii="Arial" w:hAnsi="Arial" w:cs="Arial"/>
        </w:rPr>
        <w:t>ed</w:t>
      </w:r>
      <w:r w:rsidR="00832C58" w:rsidRPr="0083560E">
        <w:rPr>
          <w:rFonts w:ascii="Arial" w:hAnsi="Arial" w:cs="Arial"/>
        </w:rPr>
        <w:t xml:space="preserve"> location should be made</w:t>
      </w:r>
      <w:r w:rsidR="00DA14DD" w:rsidRPr="0083560E">
        <w:rPr>
          <w:rFonts w:ascii="Arial" w:hAnsi="Arial" w:cs="Arial"/>
        </w:rPr>
        <w:t xml:space="preserve"> in writing</w:t>
      </w:r>
      <w:r w:rsidR="00832C58" w:rsidRPr="0083560E">
        <w:rPr>
          <w:rFonts w:ascii="Arial" w:hAnsi="Arial" w:cs="Arial"/>
        </w:rPr>
        <w:t xml:space="preserve"> at least </w:t>
      </w:r>
      <w:r w:rsidR="00DA14DD" w:rsidRPr="0083560E">
        <w:rPr>
          <w:rFonts w:ascii="Arial" w:hAnsi="Arial" w:cs="Arial"/>
        </w:rPr>
        <w:t>six months</w:t>
      </w:r>
      <w:r w:rsidR="00832C58" w:rsidRPr="0083560E">
        <w:rPr>
          <w:rFonts w:ascii="Arial" w:hAnsi="Arial" w:cs="Arial"/>
        </w:rPr>
        <w:t xml:space="preserve"> </w:t>
      </w:r>
      <w:r w:rsidR="00A06DB3" w:rsidRPr="0083560E">
        <w:rPr>
          <w:rFonts w:ascii="Arial" w:hAnsi="Arial" w:cs="Arial"/>
        </w:rPr>
        <w:t>before</w:t>
      </w:r>
      <w:r w:rsidR="00832C58" w:rsidRPr="0083560E">
        <w:rPr>
          <w:rFonts w:ascii="Arial" w:hAnsi="Arial" w:cs="Arial"/>
        </w:rPr>
        <w:t xml:space="preserve"> to the end of the application period. </w:t>
      </w:r>
      <w:r w:rsidR="005D0509" w:rsidRPr="0083560E">
        <w:rPr>
          <w:rFonts w:ascii="Arial" w:hAnsi="Arial" w:cs="Arial"/>
        </w:rPr>
        <w:t xml:space="preserve">An application form is available </w:t>
      </w:r>
      <w:r w:rsidR="006C3041" w:rsidRPr="0083560E">
        <w:rPr>
          <w:rFonts w:ascii="Arial" w:hAnsi="Arial" w:cs="Arial"/>
        </w:rPr>
        <w:t>at</w:t>
      </w:r>
      <w:r w:rsidR="005D0509" w:rsidRPr="0083560E">
        <w:rPr>
          <w:rFonts w:ascii="Arial" w:hAnsi="Arial" w:cs="Arial"/>
        </w:rPr>
        <w:t xml:space="preserve"> </w:t>
      </w:r>
      <w:hyperlink r:id="rId24" w:tooltip="NOPTA Forms webpage" w:history="1">
        <w:r w:rsidR="006C3041" w:rsidRPr="0083560E">
          <w:rPr>
            <w:rStyle w:val="Hyperlink"/>
            <w:rFonts w:ascii="Arial" w:hAnsi="Arial" w:cs="Arial"/>
          </w:rPr>
          <w:t>http://www.nopta.gov.au/forms/forms.html</w:t>
        </w:r>
      </w:hyperlink>
      <w:r w:rsidR="005D0509" w:rsidRPr="0083560E">
        <w:rPr>
          <w:rFonts w:ascii="Arial" w:hAnsi="Arial" w:cs="Arial"/>
        </w:rPr>
        <w:t>.</w:t>
      </w:r>
      <w:r w:rsidR="00A814AC" w:rsidRPr="0083560E">
        <w:rPr>
          <w:rFonts w:ascii="Arial" w:hAnsi="Arial" w:cs="Arial"/>
        </w:rPr>
        <w:t xml:space="preserve"> </w:t>
      </w:r>
      <w:r w:rsidR="00B1791B" w:rsidRPr="0083560E">
        <w:rPr>
          <w:rFonts w:ascii="Arial" w:hAnsi="Arial" w:cs="Arial"/>
        </w:rPr>
        <w:br/>
      </w:r>
    </w:p>
    <w:p w14:paraId="58043E15" w14:textId="0987A507" w:rsidR="005D0509" w:rsidRPr="0083560E" w:rsidRDefault="00A814AC" w:rsidP="00B1791B">
      <w:pPr>
        <w:pStyle w:val="ListParagraph"/>
        <w:numPr>
          <w:ilvl w:val="1"/>
          <w:numId w:val="31"/>
        </w:numPr>
        <w:ind w:left="567" w:hanging="567"/>
        <w:rPr>
          <w:rFonts w:ascii="Arial" w:hAnsi="Arial" w:cs="Arial"/>
          <w:b/>
        </w:rPr>
      </w:pPr>
      <w:r w:rsidRPr="0083560E">
        <w:rPr>
          <w:rFonts w:ascii="Arial" w:hAnsi="Arial" w:cs="Arial"/>
        </w:rPr>
        <w:t xml:space="preserve">The assessment criteria </w:t>
      </w:r>
      <w:r w:rsidR="002047AE" w:rsidRPr="0083560E">
        <w:rPr>
          <w:rFonts w:ascii="Arial" w:hAnsi="Arial" w:cs="Arial"/>
        </w:rPr>
        <w:t xml:space="preserve">used by the Joint Authority </w:t>
      </w:r>
      <w:r w:rsidR="002A0D54" w:rsidRPr="0083560E">
        <w:rPr>
          <w:rFonts w:ascii="Arial" w:hAnsi="Arial" w:cs="Arial"/>
        </w:rPr>
        <w:t xml:space="preserve">for a decision </w:t>
      </w:r>
      <w:r w:rsidRPr="0083560E">
        <w:rPr>
          <w:rFonts w:ascii="Arial" w:hAnsi="Arial" w:cs="Arial"/>
        </w:rPr>
        <w:t xml:space="preserve">to </w:t>
      </w:r>
      <w:r w:rsidR="002A0D54" w:rsidRPr="0083560E">
        <w:rPr>
          <w:rFonts w:ascii="Arial" w:hAnsi="Arial" w:cs="Arial"/>
        </w:rPr>
        <w:t>vary a declared location</w:t>
      </w:r>
      <w:r w:rsidRPr="0083560E">
        <w:rPr>
          <w:rFonts w:ascii="Arial" w:hAnsi="Arial" w:cs="Arial"/>
        </w:rPr>
        <w:t xml:space="preserve"> </w:t>
      </w:r>
      <w:r w:rsidR="00831A63" w:rsidRPr="0083560E">
        <w:rPr>
          <w:rFonts w:ascii="Arial" w:hAnsi="Arial" w:cs="Arial"/>
        </w:rPr>
        <w:t xml:space="preserve">require </w:t>
      </w:r>
      <w:r w:rsidR="002A0D54" w:rsidRPr="0083560E">
        <w:rPr>
          <w:rFonts w:ascii="Arial" w:hAnsi="Arial" w:cs="Arial"/>
        </w:rPr>
        <w:t xml:space="preserve">similar </w:t>
      </w:r>
      <w:r w:rsidR="00831A63" w:rsidRPr="0083560E">
        <w:rPr>
          <w:rFonts w:ascii="Arial" w:hAnsi="Arial" w:cs="Arial"/>
        </w:rPr>
        <w:t xml:space="preserve">information </w:t>
      </w:r>
      <w:r w:rsidR="002A0D54" w:rsidRPr="0083560E">
        <w:rPr>
          <w:rFonts w:ascii="Arial" w:hAnsi="Arial" w:cs="Arial"/>
        </w:rPr>
        <w:t xml:space="preserve">to </w:t>
      </w:r>
      <w:r w:rsidR="00911C70" w:rsidRPr="0083560E">
        <w:rPr>
          <w:rFonts w:ascii="Arial" w:hAnsi="Arial" w:cs="Arial"/>
        </w:rPr>
        <w:t>that</w:t>
      </w:r>
      <w:r w:rsidR="00831A63" w:rsidRPr="0083560E">
        <w:rPr>
          <w:rFonts w:ascii="Arial" w:hAnsi="Arial" w:cs="Arial"/>
        </w:rPr>
        <w:t xml:space="preserve"> required</w:t>
      </w:r>
      <w:r w:rsidR="002A0D54" w:rsidRPr="0083560E">
        <w:rPr>
          <w:rFonts w:ascii="Arial" w:hAnsi="Arial" w:cs="Arial"/>
        </w:rPr>
        <w:t xml:space="preserve"> for an initial </w:t>
      </w:r>
      <w:r w:rsidRPr="0083560E">
        <w:rPr>
          <w:rFonts w:ascii="Arial" w:hAnsi="Arial" w:cs="Arial"/>
        </w:rPr>
        <w:t>declaration of a location</w:t>
      </w:r>
      <w:r w:rsidR="007764FA" w:rsidRPr="0083560E">
        <w:rPr>
          <w:rFonts w:ascii="Arial" w:hAnsi="Arial" w:cs="Arial"/>
        </w:rPr>
        <w:t xml:space="preserve">, and </w:t>
      </w:r>
      <w:r w:rsidR="006C3041" w:rsidRPr="0083560E">
        <w:rPr>
          <w:rFonts w:ascii="Arial" w:hAnsi="Arial" w:cs="Arial"/>
        </w:rPr>
        <w:t>t</w:t>
      </w:r>
      <w:r w:rsidR="007764FA" w:rsidRPr="0083560E">
        <w:rPr>
          <w:rFonts w:ascii="Arial" w:hAnsi="Arial" w:cs="Arial"/>
        </w:rPr>
        <w:t xml:space="preserve">he application should include the information specified in </w:t>
      </w:r>
      <w:r w:rsidR="006C3041" w:rsidRPr="0083560E">
        <w:rPr>
          <w:rFonts w:ascii="Arial" w:hAnsi="Arial" w:cs="Arial"/>
          <w:b/>
        </w:rPr>
        <w:t>Attachment</w:t>
      </w:r>
      <w:r w:rsidR="00F61180" w:rsidRPr="0083560E">
        <w:rPr>
          <w:rFonts w:ascii="Arial" w:hAnsi="Arial" w:cs="Arial"/>
          <w:b/>
        </w:rPr>
        <w:t> </w:t>
      </w:r>
      <w:r w:rsidR="001A55E9" w:rsidRPr="0083560E">
        <w:rPr>
          <w:rFonts w:ascii="Arial" w:hAnsi="Arial" w:cs="Arial"/>
          <w:b/>
        </w:rPr>
        <w:t>B</w:t>
      </w:r>
      <w:r w:rsidR="007764FA" w:rsidRPr="0083560E">
        <w:rPr>
          <w:rFonts w:ascii="Arial" w:hAnsi="Arial" w:cs="Arial"/>
        </w:rPr>
        <w:t>.</w:t>
      </w:r>
      <w:r w:rsidRPr="0083560E">
        <w:rPr>
          <w:rFonts w:ascii="Arial" w:hAnsi="Arial" w:cs="Arial"/>
        </w:rPr>
        <w:t xml:space="preserve"> </w:t>
      </w:r>
    </w:p>
    <w:p w14:paraId="3ED2D97C" w14:textId="30200136" w:rsidR="00A52CF4" w:rsidRDefault="00D20C83" w:rsidP="00B1791B">
      <w:pPr>
        <w:pStyle w:val="Heading1"/>
        <w:numPr>
          <w:ilvl w:val="0"/>
          <w:numId w:val="31"/>
        </w:numPr>
      </w:pPr>
      <w:bookmarkStart w:id="30" w:name="_Toc483231647"/>
      <w:bookmarkEnd w:id="29"/>
      <w:r>
        <w:t>Revocation of a declared location</w:t>
      </w:r>
      <w:bookmarkEnd w:id="30"/>
    </w:p>
    <w:p w14:paraId="39EE4E14" w14:textId="69F6C19A" w:rsidR="00F573CF" w:rsidRPr="0083560E" w:rsidRDefault="005E036E" w:rsidP="00B1791B">
      <w:pPr>
        <w:pStyle w:val="ListParagraph"/>
        <w:numPr>
          <w:ilvl w:val="1"/>
          <w:numId w:val="31"/>
        </w:numPr>
        <w:ind w:left="567" w:hanging="567"/>
        <w:rPr>
          <w:rFonts w:ascii="Arial" w:hAnsi="Arial" w:cs="Arial"/>
        </w:rPr>
      </w:pPr>
      <w:bookmarkStart w:id="31" w:name="_Toc422388791"/>
      <w:r w:rsidRPr="0083560E">
        <w:rPr>
          <w:rFonts w:ascii="Arial" w:hAnsi="Arial" w:cs="Arial"/>
        </w:rPr>
        <w:t>T</w:t>
      </w:r>
      <w:r w:rsidR="004458A3" w:rsidRPr="0083560E">
        <w:rPr>
          <w:rFonts w:ascii="Arial" w:hAnsi="Arial" w:cs="Arial"/>
        </w:rPr>
        <w:t xml:space="preserve">he </w:t>
      </w:r>
      <w:r w:rsidR="00CB4571" w:rsidRPr="0083560E">
        <w:rPr>
          <w:rFonts w:ascii="Arial" w:hAnsi="Arial" w:cs="Arial"/>
        </w:rPr>
        <w:t>permittee</w:t>
      </w:r>
      <w:r w:rsidR="00A52CF4" w:rsidRPr="0083560E">
        <w:rPr>
          <w:rFonts w:ascii="Arial" w:hAnsi="Arial" w:cs="Arial"/>
        </w:rPr>
        <w:t xml:space="preserve"> </w:t>
      </w:r>
      <w:r w:rsidR="007108FC" w:rsidRPr="0083560E">
        <w:rPr>
          <w:rFonts w:ascii="Arial" w:hAnsi="Arial" w:cs="Arial"/>
        </w:rPr>
        <w:t xml:space="preserve">can </w:t>
      </w:r>
      <w:r w:rsidR="00A52CF4" w:rsidRPr="0083560E">
        <w:rPr>
          <w:rFonts w:ascii="Arial" w:hAnsi="Arial" w:cs="Arial"/>
        </w:rPr>
        <w:t xml:space="preserve">request that the </w:t>
      </w:r>
      <w:r w:rsidR="00F027A3" w:rsidRPr="0083560E">
        <w:rPr>
          <w:rFonts w:ascii="Arial" w:hAnsi="Arial" w:cs="Arial"/>
        </w:rPr>
        <w:t xml:space="preserve">declared </w:t>
      </w:r>
      <w:r w:rsidR="00BE0B9A" w:rsidRPr="0083560E">
        <w:rPr>
          <w:rFonts w:ascii="Arial" w:hAnsi="Arial" w:cs="Arial"/>
        </w:rPr>
        <w:t>location be revoked</w:t>
      </w:r>
      <w:r w:rsidR="001732A2" w:rsidRPr="0083560E">
        <w:rPr>
          <w:rFonts w:ascii="Arial" w:hAnsi="Arial" w:cs="Arial"/>
        </w:rPr>
        <w:t xml:space="preserve"> before the end of the </w:t>
      </w:r>
      <w:r w:rsidR="005E3DD4" w:rsidRPr="0083560E">
        <w:rPr>
          <w:rFonts w:ascii="Arial" w:hAnsi="Arial" w:cs="Arial"/>
        </w:rPr>
        <w:t>‘</w:t>
      </w:r>
      <w:r w:rsidR="001732A2" w:rsidRPr="0083560E">
        <w:rPr>
          <w:rFonts w:ascii="Arial" w:hAnsi="Arial" w:cs="Arial"/>
        </w:rPr>
        <w:t>application period</w:t>
      </w:r>
      <w:r w:rsidR="005E3DD4" w:rsidRPr="0083560E">
        <w:rPr>
          <w:rFonts w:ascii="Arial" w:hAnsi="Arial" w:cs="Arial"/>
        </w:rPr>
        <w:t>’</w:t>
      </w:r>
      <w:r w:rsidR="001732A2" w:rsidRPr="0083560E">
        <w:rPr>
          <w:rFonts w:ascii="Arial" w:hAnsi="Arial" w:cs="Arial"/>
        </w:rPr>
        <w:t xml:space="preserve"> </w:t>
      </w:r>
      <w:r w:rsidR="00AE482B" w:rsidRPr="0083560E">
        <w:rPr>
          <w:rFonts w:ascii="Arial" w:hAnsi="Arial" w:cs="Arial"/>
        </w:rPr>
        <w:t>(s</w:t>
      </w:r>
      <w:r w:rsidR="00F851F0" w:rsidRPr="0083560E">
        <w:rPr>
          <w:rFonts w:ascii="Arial" w:hAnsi="Arial" w:cs="Arial"/>
        </w:rPr>
        <w:t>.</w:t>
      </w:r>
      <w:r w:rsidR="00AE482B" w:rsidRPr="0083560E">
        <w:rPr>
          <w:rFonts w:ascii="Arial" w:hAnsi="Arial" w:cs="Arial"/>
        </w:rPr>
        <w:t xml:space="preserve"> 132)</w:t>
      </w:r>
      <w:r w:rsidR="005E3DD4" w:rsidRPr="0083560E">
        <w:rPr>
          <w:rFonts w:ascii="Arial" w:hAnsi="Arial" w:cs="Arial"/>
        </w:rPr>
        <w:t xml:space="preserve"> (see </w:t>
      </w:r>
      <w:r w:rsidR="00516ADD" w:rsidRPr="0083560E">
        <w:rPr>
          <w:rFonts w:ascii="Arial" w:hAnsi="Arial" w:cs="Arial"/>
        </w:rPr>
        <w:t>section</w:t>
      </w:r>
      <w:r w:rsidR="00106F86" w:rsidRPr="0083560E">
        <w:rPr>
          <w:rFonts w:ascii="Arial" w:hAnsi="Arial" w:cs="Arial"/>
        </w:rPr>
        <w:t>s</w:t>
      </w:r>
      <w:r w:rsidR="00516ADD" w:rsidRPr="0083560E">
        <w:rPr>
          <w:rFonts w:ascii="Arial" w:hAnsi="Arial" w:cs="Arial"/>
        </w:rPr>
        <w:t xml:space="preserve"> </w:t>
      </w:r>
      <w:r w:rsidR="000F2E4B" w:rsidRPr="0083560E">
        <w:rPr>
          <w:rFonts w:ascii="Arial" w:hAnsi="Arial" w:cs="Arial"/>
        </w:rPr>
        <w:fldChar w:fldCharType="begin"/>
      </w:r>
      <w:r w:rsidR="000F2E4B" w:rsidRPr="0083560E">
        <w:rPr>
          <w:rFonts w:ascii="Arial" w:hAnsi="Arial" w:cs="Arial"/>
        </w:rPr>
        <w:instrText xml:space="preserve"> REF _Ref446059888 \r </w:instrText>
      </w:r>
      <w:r w:rsidR="00ED419A" w:rsidRPr="0083560E">
        <w:rPr>
          <w:rFonts w:ascii="Arial" w:hAnsi="Arial" w:cs="Arial"/>
        </w:rPr>
        <w:instrText xml:space="preserve"> \* MERGEFORMAT </w:instrText>
      </w:r>
      <w:r w:rsidR="000F2E4B" w:rsidRPr="0083560E">
        <w:rPr>
          <w:rFonts w:ascii="Arial" w:hAnsi="Arial" w:cs="Arial"/>
        </w:rPr>
        <w:fldChar w:fldCharType="separate"/>
      </w:r>
      <w:r w:rsidR="008C5AD8">
        <w:rPr>
          <w:rFonts w:ascii="Arial" w:hAnsi="Arial" w:cs="Arial"/>
        </w:rPr>
        <w:t>4.9</w:t>
      </w:r>
      <w:r w:rsidR="000F2E4B" w:rsidRPr="0083560E">
        <w:rPr>
          <w:rFonts w:ascii="Arial" w:hAnsi="Arial" w:cs="Arial"/>
        </w:rPr>
        <w:fldChar w:fldCharType="end"/>
      </w:r>
      <w:r w:rsidR="00F32A48" w:rsidRPr="0083560E">
        <w:rPr>
          <w:rFonts w:ascii="Arial" w:hAnsi="Arial" w:cs="Arial"/>
        </w:rPr>
        <w:t xml:space="preserve"> </w:t>
      </w:r>
      <w:r w:rsidR="005E3DD4" w:rsidRPr="0083560E">
        <w:rPr>
          <w:rFonts w:ascii="Arial" w:hAnsi="Arial" w:cs="Arial"/>
        </w:rPr>
        <w:t xml:space="preserve">– </w:t>
      </w:r>
      <w:r w:rsidR="000F2E4B" w:rsidRPr="0083560E">
        <w:rPr>
          <w:rFonts w:ascii="Arial" w:hAnsi="Arial" w:cs="Arial"/>
        </w:rPr>
        <w:fldChar w:fldCharType="begin"/>
      </w:r>
      <w:r w:rsidR="000F2E4B" w:rsidRPr="0083560E">
        <w:rPr>
          <w:rFonts w:ascii="Arial" w:hAnsi="Arial" w:cs="Arial"/>
        </w:rPr>
        <w:instrText xml:space="preserve"> REF _Ref446059902 \r </w:instrText>
      </w:r>
      <w:r w:rsidR="00ED419A" w:rsidRPr="0083560E">
        <w:rPr>
          <w:rFonts w:ascii="Arial" w:hAnsi="Arial" w:cs="Arial"/>
        </w:rPr>
        <w:instrText xml:space="preserve"> \* MERGEFORMAT </w:instrText>
      </w:r>
      <w:r w:rsidR="000F2E4B" w:rsidRPr="0083560E">
        <w:rPr>
          <w:rFonts w:ascii="Arial" w:hAnsi="Arial" w:cs="Arial"/>
        </w:rPr>
        <w:fldChar w:fldCharType="separate"/>
      </w:r>
      <w:r w:rsidR="008C5AD8">
        <w:rPr>
          <w:rFonts w:ascii="Arial" w:hAnsi="Arial" w:cs="Arial"/>
        </w:rPr>
        <w:t>4.12</w:t>
      </w:r>
      <w:r w:rsidR="000F2E4B" w:rsidRPr="0083560E">
        <w:rPr>
          <w:rFonts w:ascii="Arial" w:hAnsi="Arial" w:cs="Arial"/>
        </w:rPr>
        <w:fldChar w:fldCharType="end"/>
      </w:r>
      <w:r w:rsidR="00F32A48" w:rsidRPr="0083560E">
        <w:rPr>
          <w:rFonts w:ascii="Arial" w:hAnsi="Arial" w:cs="Arial"/>
        </w:rPr>
        <w:t xml:space="preserve"> </w:t>
      </w:r>
      <w:r w:rsidR="00516ADD" w:rsidRPr="0083560E">
        <w:rPr>
          <w:rFonts w:ascii="Arial" w:hAnsi="Arial" w:cs="Arial"/>
        </w:rPr>
        <w:t xml:space="preserve">of this guideline </w:t>
      </w:r>
      <w:r w:rsidR="005E3DD4" w:rsidRPr="0083560E">
        <w:rPr>
          <w:rFonts w:ascii="Arial" w:hAnsi="Arial" w:cs="Arial"/>
        </w:rPr>
        <w:t>for definition of the ‘application period’)</w:t>
      </w:r>
      <w:r w:rsidR="00BE0B9A" w:rsidRPr="0083560E">
        <w:rPr>
          <w:rFonts w:ascii="Arial" w:hAnsi="Arial" w:cs="Arial"/>
        </w:rPr>
        <w:t>.</w:t>
      </w:r>
      <w:r w:rsidR="00B1791B" w:rsidRPr="0083560E">
        <w:rPr>
          <w:rFonts w:ascii="Arial" w:hAnsi="Arial" w:cs="Arial"/>
        </w:rPr>
        <w:br/>
      </w:r>
    </w:p>
    <w:p w14:paraId="3311CB0D" w14:textId="21DC4792" w:rsidR="003141E9" w:rsidRPr="0083560E" w:rsidRDefault="003141E9" w:rsidP="00B1791B">
      <w:pPr>
        <w:pStyle w:val="ListParagraph"/>
        <w:numPr>
          <w:ilvl w:val="1"/>
          <w:numId w:val="31"/>
        </w:numPr>
        <w:ind w:left="567" w:hanging="567"/>
        <w:rPr>
          <w:rFonts w:ascii="Arial" w:hAnsi="Arial" w:cs="Arial"/>
        </w:rPr>
      </w:pPr>
      <w:r w:rsidRPr="0083560E">
        <w:rPr>
          <w:rFonts w:ascii="Arial" w:hAnsi="Arial" w:cs="Arial"/>
        </w:rPr>
        <w:t xml:space="preserve">A revocation </w:t>
      </w:r>
      <w:r w:rsidR="00911C70" w:rsidRPr="0083560E">
        <w:rPr>
          <w:rFonts w:ascii="Arial" w:hAnsi="Arial" w:cs="Arial"/>
        </w:rPr>
        <w:t>can only be made for the entire</w:t>
      </w:r>
      <w:r w:rsidRPr="0083560E">
        <w:rPr>
          <w:rFonts w:ascii="Arial" w:hAnsi="Arial" w:cs="Arial"/>
        </w:rPr>
        <w:t xml:space="preserve"> declared location</w:t>
      </w:r>
      <w:r w:rsidR="00911C70" w:rsidRPr="0083560E">
        <w:rPr>
          <w:rFonts w:ascii="Arial" w:hAnsi="Arial" w:cs="Arial"/>
        </w:rPr>
        <w:t xml:space="preserve"> (s</w:t>
      </w:r>
      <w:r w:rsidR="00F851F0" w:rsidRPr="0083560E">
        <w:rPr>
          <w:rFonts w:ascii="Arial" w:hAnsi="Arial" w:cs="Arial"/>
        </w:rPr>
        <w:t>.</w:t>
      </w:r>
      <w:r w:rsidR="00911C70" w:rsidRPr="0083560E">
        <w:rPr>
          <w:rFonts w:ascii="Arial" w:hAnsi="Arial" w:cs="Arial"/>
        </w:rPr>
        <w:t xml:space="preserve"> 132).</w:t>
      </w:r>
      <w:r w:rsidRPr="0083560E">
        <w:rPr>
          <w:rFonts w:ascii="Arial" w:hAnsi="Arial" w:cs="Arial"/>
        </w:rPr>
        <w:t xml:space="preserve"> </w:t>
      </w:r>
      <w:r w:rsidR="00911C70" w:rsidRPr="0083560E">
        <w:rPr>
          <w:rFonts w:ascii="Arial" w:hAnsi="Arial" w:cs="Arial"/>
        </w:rPr>
        <w:t>If</w:t>
      </w:r>
      <w:r w:rsidRPr="0083560E">
        <w:rPr>
          <w:rFonts w:ascii="Arial" w:hAnsi="Arial" w:cs="Arial"/>
        </w:rPr>
        <w:t xml:space="preserve"> a titleholder wish</w:t>
      </w:r>
      <w:r w:rsidR="00911C70" w:rsidRPr="0083560E">
        <w:rPr>
          <w:rFonts w:ascii="Arial" w:hAnsi="Arial" w:cs="Arial"/>
        </w:rPr>
        <w:t>es</w:t>
      </w:r>
      <w:r w:rsidRPr="0083560E">
        <w:rPr>
          <w:rFonts w:ascii="Arial" w:hAnsi="Arial" w:cs="Arial"/>
        </w:rPr>
        <w:t xml:space="preserve"> to remove </w:t>
      </w:r>
      <w:r w:rsidR="00911C70" w:rsidRPr="0083560E">
        <w:rPr>
          <w:rFonts w:ascii="Arial" w:hAnsi="Arial" w:cs="Arial"/>
        </w:rPr>
        <w:t xml:space="preserve">only </w:t>
      </w:r>
      <w:r w:rsidRPr="0083560E">
        <w:rPr>
          <w:rFonts w:ascii="Arial" w:hAnsi="Arial" w:cs="Arial"/>
        </w:rPr>
        <w:t xml:space="preserve">a single block from the declared location, the titleholder should consider applying to vary the location (see </w:t>
      </w:r>
      <w:r w:rsidR="000F2E4B" w:rsidRPr="0083560E">
        <w:rPr>
          <w:rFonts w:ascii="Arial" w:hAnsi="Arial" w:cs="Arial"/>
        </w:rPr>
        <w:t xml:space="preserve">section </w:t>
      </w:r>
      <w:r w:rsidR="00D52ABA" w:rsidRPr="0083560E">
        <w:rPr>
          <w:rFonts w:ascii="Arial" w:hAnsi="Arial" w:cs="Arial"/>
        </w:rPr>
        <w:t>5</w:t>
      </w:r>
      <w:r w:rsidR="000F2E4B" w:rsidRPr="0083560E">
        <w:rPr>
          <w:rFonts w:ascii="Arial" w:hAnsi="Arial" w:cs="Arial"/>
        </w:rPr>
        <w:t xml:space="preserve"> of this guideline</w:t>
      </w:r>
      <w:r w:rsidRPr="0083560E">
        <w:rPr>
          <w:rFonts w:ascii="Arial" w:hAnsi="Arial" w:cs="Arial"/>
        </w:rPr>
        <w:t xml:space="preserve">). </w:t>
      </w:r>
      <w:r w:rsidR="00B1791B" w:rsidRPr="0083560E">
        <w:rPr>
          <w:rFonts w:ascii="Arial" w:hAnsi="Arial" w:cs="Arial"/>
        </w:rPr>
        <w:br/>
      </w:r>
    </w:p>
    <w:p w14:paraId="70421AFA" w14:textId="3CBD4A2B" w:rsidR="003141E9" w:rsidRPr="0083560E" w:rsidRDefault="003141E9" w:rsidP="00B1791B">
      <w:pPr>
        <w:pStyle w:val="ListParagraph"/>
        <w:numPr>
          <w:ilvl w:val="1"/>
          <w:numId w:val="31"/>
        </w:numPr>
        <w:ind w:left="567" w:hanging="567"/>
        <w:rPr>
          <w:rFonts w:ascii="Arial" w:hAnsi="Arial" w:cs="Arial"/>
        </w:rPr>
      </w:pPr>
      <w:bookmarkStart w:id="32" w:name="_Toc422388792"/>
      <w:bookmarkStart w:id="33" w:name="_Toc422388793"/>
      <w:bookmarkStart w:id="34" w:name="_Toc422388794"/>
      <w:bookmarkEnd w:id="32"/>
      <w:bookmarkEnd w:id="33"/>
      <w:r w:rsidRPr="0083560E">
        <w:rPr>
          <w:rFonts w:ascii="Arial" w:hAnsi="Arial" w:cs="Arial"/>
        </w:rPr>
        <w:t xml:space="preserve">The revocation of </w:t>
      </w:r>
      <w:r w:rsidR="00F027A3" w:rsidRPr="0083560E">
        <w:rPr>
          <w:rFonts w:ascii="Arial" w:hAnsi="Arial" w:cs="Arial"/>
        </w:rPr>
        <w:t xml:space="preserve">a </w:t>
      </w:r>
      <w:r w:rsidRPr="0083560E">
        <w:rPr>
          <w:rFonts w:ascii="Arial" w:hAnsi="Arial" w:cs="Arial"/>
        </w:rPr>
        <w:t>declar</w:t>
      </w:r>
      <w:r w:rsidR="00F027A3" w:rsidRPr="0083560E">
        <w:rPr>
          <w:rFonts w:ascii="Arial" w:hAnsi="Arial" w:cs="Arial"/>
        </w:rPr>
        <w:t>ed</w:t>
      </w:r>
      <w:r w:rsidRPr="0083560E">
        <w:rPr>
          <w:rFonts w:ascii="Arial" w:hAnsi="Arial" w:cs="Arial"/>
        </w:rPr>
        <w:t xml:space="preserve"> location will result in the </w:t>
      </w:r>
      <w:r w:rsidR="00F03AC6" w:rsidRPr="0083560E">
        <w:rPr>
          <w:rFonts w:ascii="Arial" w:hAnsi="Arial" w:cs="Arial"/>
        </w:rPr>
        <w:t>block or blocks</w:t>
      </w:r>
      <w:r w:rsidRPr="0083560E">
        <w:rPr>
          <w:rFonts w:ascii="Arial" w:hAnsi="Arial" w:cs="Arial"/>
        </w:rPr>
        <w:t xml:space="preserve"> remaining part of the exploration permit and continuing to be subject to the permit conditions.</w:t>
      </w:r>
      <w:bookmarkEnd w:id="34"/>
      <w:r w:rsidR="00B1791B" w:rsidRPr="0083560E">
        <w:rPr>
          <w:rFonts w:ascii="Arial" w:hAnsi="Arial" w:cs="Arial"/>
        </w:rPr>
        <w:br/>
      </w:r>
    </w:p>
    <w:p w14:paraId="43E75C9B" w14:textId="60D49633" w:rsidR="00A52CF4" w:rsidRPr="0083560E" w:rsidRDefault="00F573CF" w:rsidP="00B1791B">
      <w:pPr>
        <w:pStyle w:val="ListParagraph"/>
        <w:numPr>
          <w:ilvl w:val="1"/>
          <w:numId w:val="31"/>
        </w:numPr>
        <w:ind w:left="567" w:hanging="567"/>
        <w:rPr>
          <w:rFonts w:ascii="Arial" w:hAnsi="Arial" w:cs="Arial"/>
          <w:b/>
        </w:rPr>
      </w:pPr>
      <w:r w:rsidRPr="0083560E">
        <w:rPr>
          <w:rFonts w:ascii="Arial" w:hAnsi="Arial" w:cs="Arial"/>
        </w:rPr>
        <w:t>A request to revoke a declar</w:t>
      </w:r>
      <w:r w:rsidR="00F027A3" w:rsidRPr="0083560E">
        <w:rPr>
          <w:rFonts w:ascii="Arial" w:hAnsi="Arial" w:cs="Arial"/>
        </w:rPr>
        <w:t>ed</w:t>
      </w:r>
      <w:r w:rsidRPr="0083560E">
        <w:rPr>
          <w:rFonts w:ascii="Arial" w:hAnsi="Arial" w:cs="Arial"/>
        </w:rPr>
        <w:t xml:space="preserve"> location should be made at least </w:t>
      </w:r>
      <w:r w:rsidR="003141E9" w:rsidRPr="0083560E">
        <w:rPr>
          <w:rFonts w:ascii="Arial" w:hAnsi="Arial" w:cs="Arial"/>
        </w:rPr>
        <w:t>three months</w:t>
      </w:r>
      <w:r w:rsidRPr="0083560E">
        <w:rPr>
          <w:rFonts w:ascii="Arial" w:hAnsi="Arial" w:cs="Arial"/>
        </w:rPr>
        <w:t xml:space="preserve"> </w:t>
      </w:r>
      <w:r w:rsidR="00A06DB3" w:rsidRPr="0083560E">
        <w:rPr>
          <w:rFonts w:ascii="Arial" w:hAnsi="Arial" w:cs="Arial"/>
        </w:rPr>
        <w:t>before</w:t>
      </w:r>
      <w:r w:rsidRPr="0083560E">
        <w:rPr>
          <w:rFonts w:ascii="Arial" w:hAnsi="Arial" w:cs="Arial"/>
        </w:rPr>
        <w:t xml:space="preserve"> the end of the </w:t>
      </w:r>
      <w:r w:rsidR="005E3DD4" w:rsidRPr="0083560E">
        <w:rPr>
          <w:rFonts w:ascii="Arial" w:hAnsi="Arial" w:cs="Arial"/>
        </w:rPr>
        <w:t>‘</w:t>
      </w:r>
      <w:r w:rsidRPr="0083560E">
        <w:rPr>
          <w:rFonts w:ascii="Arial" w:hAnsi="Arial" w:cs="Arial"/>
        </w:rPr>
        <w:t>application period</w:t>
      </w:r>
      <w:r w:rsidR="005E3DD4" w:rsidRPr="0083560E">
        <w:rPr>
          <w:rFonts w:ascii="Arial" w:hAnsi="Arial" w:cs="Arial"/>
        </w:rPr>
        <w:t>’</w:t>
      </w:r>
      <w:r w:rsidRPr="0083560E">
        <w:rPr>
          <w:rFonts w:ascii="Arial" w:hAnsi="Arial" w:cs="Arial"/>
        </w:rPr>
        <w:t xml:space="preserve">. The permittee </w:t>
      </w:r>
      <w:r w:rsidR="00F15C73" w:rsidRPr="0083560E">
        <w:rPr>
          <w:rFonts w:ascii="Arial" w:hAnsi="Arial" w:cs="Arial"/>
        </w:rPr>
        <w:t xml:space="preserve">should </w:t>
      </w:r>
      <w:r w:rsidRPr="0083560E">
        <w:rPr>
          <w:rFonts w:ascii="Arial" w:hAnsi="Arial" w:cs="Arial"/>
        </w:rPr>
        <w:t>include reasons for the request and demonstrate that there are sufficient grounds for the revocation</w:t>
      </w:r>
      <w:r w:rsidR="003E0A3E" w:rsidRPr="0083560E">
        <w:rPr>
          <w:rFonts w:ascii="Arial" w:hAnsi="Arial" w:cs="Arial"/>
        </w:rPr>
        <w:t xml:space="preserve">. </w:t>
      </w:r>
      <w:r w:rsidR="00BE0B9A" w:rsidRPr="0083560E">
        <w:rPr>
          <w:rFonts w:ascii="Arial" w:hAnsi="Arial" w:cs="Arial"/>
        </w:rPr>
        <w:t xml:space="preserve">An application form is at available </w:t>
      </w:r>
      <w:r w:rsidR="00922FD2" w:rsidRPr="0083560E">
        <w:rPr>
          <w:rFonts w:ascii="Arial" w:hAnsi="Arial" w:cs="Arial"/>
        </w:rPr>
        <w:t>at</w:t>
      </w:r>
      <w:r w:rsidR="00BE0B9A" w:rsidRPr="0083560E">
        <w:rPr>
          <w:rFonts w:ascii="Arial" w:hAnsi="Arial" w:cs="Arial"/>
        </w:rPr>
        <w:t xml:space="preserve"> </w:t>
      </w:r>
      <w:hyperlink r:id="rId25" w:tooltip="NOPTA Forms webpage" w:history="1">
        <w:r w:rsidR="004D72CF" w:rsidRPr="0083560E">
          <w:rPr>
            <w:rStyle w:val="Hyperlink"/>
            <w:rFonts w:ascii="Arial" w:hAnsi="Arial" w:cs="Arial"/>
          </w:rPr>
          <w:t>http://www.nopta.gov.au/forms/forms.html</w:t>
        </w:r>
      </w:hyperlink>
      <w:r w:rsidR="00BE0B9A" w:rsidRPr="0083560E">
        <w:rPr>
          <w:rFonts w:ascii="Arial" w:hAnsi="Arial" w:cs="Arial"/>
        </w:rPr>
        <w:t>.</w:t>
      </w:r>
      <w:bookmarkEnd w:id="31"/>
      <w:r w:rsidR="00B1791B" w:rsidRPr="0083560E">
        <w:rPr>
          <w:rFonts w:ascii="Arial" w:hAnsi="Arial" w:cs="Arial"/>
        </w:rPr>
        <w:br/>
      </w:r>
    </w:p>
    <w:p w14:paraId="3C9595ED" w14:textId="7335182C" w:rsidR="00F027A3" w:rsidRPr="0083560E" w:rsidRDefault="00F027A3" w:rsidP="00B1791B">
      <w:pPr>
        <w:pStyle w:val="ListParagraph"/>
        <w:numPr>
          <w:ilvl w:val="1"/>
          <w:numId w:val="31"/>
        </w:numPr>
        <w:ind w:left="567" w:hanging="567"/>
        <w:rPr>
          <w:rFonts w:ascii="Arial" w:hAnsi="Arial" w:cs="Arial"/>
          <w:b/>
        </w:rPr>
      </w:pPr>
      <w:r w:rsidRPr="0083560E">
        <w:rPr>
          <w:rFonts w:ascii="Arial" w:hAnsi="Arial" w:cs="Arial"/>
        </w:rPr>
        <w:t xml:space="preserve">A request to revoke a location will generally not be approved if the purpose of the revocation is to reapply for </w:t>
      </w:r>
      <w:r w:rsidR="00DE765F" w:rsidRPr="0083560E">
        <w:rPr>
          <w:rFonts w:ascii="Arial" w:hAnsi="Arial" w:cs="Arial"/>
        </w:rPr>
        <w:t xml:space="preserve">the </w:t>
      </w:r>
      <w:r w:rsidRPr="0083560E">
        <w:rPr>
          <w:rFonts w:ascii="Arial" w:hAnsi="Arial" w:cs="Arial"/>
        </w:rPr>
        <w:t>declaration of a location over the same accumulation.</w:t>
      </w:r>
    </w:p>
    <w:p w14:paraId="1DD886F8" w14:textId="77777777" w:rsidR="00AF7BA5" w:rsidRPr="0083560E" w:rsidRDefault="00AF7BA5" w:rsidP="00CE427C">
      <w:pPr>
        <w:pStyle w:val="Heading2"/>
      </w:pPr>
      <w:bookmarkStart w:id="35" w:name="_Toc422388796"/>
      <w:bookmarkStart w:id="36" w:name="_Toc422388798"/>
      <w:bookmarkEnd w:id="35"/>
      <w:r w:rsidRPr="0083560E">
        <w:t>Blocks no longer part of an exploration permit</w:t>
      </w:r>
      <w:r w:rsidR="00EE7A5A" w:rsidRPr="0083560E">
        <w:t>,</w:t>
      </w:r>
      <w:r w:rsidR="00F300BB" w:rsidRPr="0083560E">
        <w:t xml:space="preserve"> retention lease</w:t>
      </w:r>
      <w:r w:rsidR="00EE7A5A" w:rsidRPr="0083560E">
        <w:t xml:space="preserve"> or production licence</w:t>
      </w:r>
      <w:bookmarkEnd w:id="36"/>
      <w:r w:rsidR="00EE7A5A" w:rsidRPr="0083560E">
        <w:t xml:space="preserve"> </w:t>
      </w:r>
      <w:r w:rsidR="00F300BB" w:rsidRPr="0083560E">
        <w:t xml:space="preserve"> </w:t>
      </w:r>
    </w:p>
    <w:p w14:paraId="16BE97B6" w14:textId="3EFFA748" w:rsidR="00AF7BA5" w:rsidRPr="0083560E" w:rsidRDefault="00AF7BA5" w:rsidP="00B1791B">
      <w:pPr>
        <w:pStyle w:val="ListParagraph"/>
        <w:numPr>
          <w:ilvl w:val="1"/>
          <w:numId w:val="31"/>
        </w:numPr>
        <w:ind w:left="567" w:hanging="567"/>
        <w:rPr>
          <w:rFonts w:ascii="Arial" w:hAnsi="Arial" w:cs="Arial"/>
        </w:rPr>
      </w:pPr>
      <w:bookmarkStart w:id="37" w:name="_Toc422388799"/>
      <w:r w:rsidRPr="0083560E">
        <w:rPr>
          <w:rFonts w:ascii="Arial" w:hAnsi="Arial" w:cs="Arial"/>
        </w:rPr>
        <w:t xml:space="preserve">The Joint Authority must revoke </w:t>
      </w:r>
      <w:r w:rsidR="00DE765F" w:rsidRPr="0083560E">
        <w:rPr>
          <w:rFonts w:ascii="Arial" w:hAnsi="Arial" w:cs="Arial"/>
        </w:rPr>
        <w:t xml:space="preserve">a declared </w:t>
      </w:r>
      <w:r w:rsidRPr="0083560E">
        <w:rPr>
          <w:rFonts w:ascii="Arial" w:hAnsi="Arial" w:cs="Arial"/>
        </w:rPr>
        <w:t xml:space="preserve">location </w:t>
      </w:r>
      <w:r w:rsidR="00134A40" w:rsidRPr="0083560E">
        <w:rPr>
          <w:rFonts w:ascii="Arial" w:hAnsi="Arial" w:cs="Arial"/>
        </w:rPr>
        <w:t>if</w:t>
      </w:r>
      <w:r w:rsidRPr="0083560E">
        <w:rPr>
          <w:rFonts w:ascii="Arial" w:hAnsi="Arial" w:cs="Arial"/>
        </w:rPr>
        <w:t xml:space="preserve"> an exploration permit is no longer in force </w:t>
      </w:r>
      <w:r w:rsidR="00C14685" w:rsidRPr="0083560E">
        <w:rPr>
          <w:rFonts w:ascii="Arial" w:hAnsi="Arial" w:cs="Arial"/>
        </w:rPr>
        <w:t xml:space="preserve">over </w:t>
      </w:r>
      <w:r w:rsidR="006E5DAF" w:rsidRPr="0083560E">
        <w:rPr>
          <w:rFonts w:ascii="Arial" w:hAnsi="Arial" w:cs="Arial"/>
        </w:rPr>
        <w:t xml:space="preserve">a block or </w:t>
      </w:r>
      <w:r w:rsidRPr="0083560E">
        <w:rPr>
          <w:rFonts w:ascii="Arial" w:hAnsi="Arial" w:cs="Arial"/>
        </w:rPr>
        <w:t xml:space="preserve">blocks that </w:t>
      </w:r>
      <w:r w:rsidR="006E5DAF" w:rsidRPr="0083560E">
        <w:rPr>
          <w:rFonts w:ascii="Arial" w:hAnsi="Arial" w:cs="Arial"/>
        </w:rPr>
        <w:t>form part of</w:t>
      </w:r>
      <w:r w:rsidRPr="0083560E">
        <w:rPr>
          <w:rFonts w:ascii="Arial" w:hAnsi="Arial" w:cs="Arial"/>
        </w:rPr>
        <w:t xml:space="preserve"> the declared location</w:t>
      </w:r>
      <w:r w:rsidR="00530065" w:rsidRPr="0083560E">
        <w:rPr>
          <w:rFonts w:ascii="Arial" w:hAnsi="Arial" w:cs="Arial"/>
        </w:rPr>
        <w:t xml:space="preserve"> (s</w:t>
      </w:r>
      <w:r w:rsidR="00F851F0" w:rsidRPr="0083560E">
        <w:rPr>
          <w:rFonts w:ascii="Arial" w:hAnsi="Arial" w:cs="Arial"/>
        </w:rPr>
        <w:t>. </w:t>
      </w:r>
      <w:r w:rsidR="00530065" w:rsidRPr="0083560E">
        <w:rPr>
          <w:rFonts w:ascii="Arial" w:hAnsi="Arial" w:cs="Arial"/>
        </w:rPr>
        <w:t>132(3))</w:t>
      </w:r>
      <w:r w:rsidRPr="0083560E">
        <w:rPr>
          <w:rFonts w:ascii="Arial" w:hAnsi="Arial" w:cs="Arial"/>
        </w:rPr>
        <w:t>.</w:t>
      </w:r>
      <w:bookmarkEnd w:id="37"/>
      <w:r w:rsidR="00B1791B" w:rsidRPr="0083560E">
        <w:rPr>
          <w:rFonts w:ascii="Arial" w:hAnsi="Arial" w:cs="Arial"/>
        </w:rPr>
        <w:br/>
      </w:r>
    </w:p>
    <w:p w14:paraId="5DF9347D" w14:textId="3F8EB8FF" w:rsidR="00ED419A" w:rsidRDefault="00A546DA" w:rsidP="0083560E">
      <w:pPr>
        <w:pStyle w:val="ListParagraph"/>
        <w:numPr>
          <w:ilvl w:val="1"/>
          <w:numId w:val="31"/>
        </w:numPr>
        <w:ind w:left="567" w:hanging="567"/>
        <w:rPr>
          <w:rFonts w:ascii="Arial" w:hAnsi="Arial" w:cs="Arial"/>
          <w:sz w:val="24"/>
          <w:szCs w:val="24"/>
        </w:rPr>
      </w:pPr>
      <w:bookmarkStart w:id="38" w:name="_Toc422388800"/>
      <w:r w:rsidRPr="0083560E">
        <w:rPr>
          <w:rFonts w:ascii="Arial" w:hAnsi="Arial" w:cs="Arial"/>
        </w:rPr>
        <w:t>This</w:t>
      </w:r>
      <w:r w:rsidR="0049683C" w:rsidRPr="0083560E">
        <w:rPr>
          <w:rFonts w:ascii="Arial" w:hAnsi="Arial" w:cs="Arial"/>
        </w:rPr>
        <w:t xml:space="preserve"> ensure</w:t>
      </w:r>
      <w:r w:rsidRPr="0083560E">
        <w:rPr>
          <w:rFonts w:ascii="Arial" w:hAnsi="Arial" w:cs="Arial"/>
        </w:rPr>
        <w:t>s</w:t>
      </w:r>
      <w:r w:rsidR="0049683C" w:rsidRPr="0083560E">
        <w:rPr>
          <w:rFonts w:ascii="Arial" w:hAnsi="Arial" w:cs="Arial"/>
        </w:rPr>
        <w:t xml:space="preserve"> that </w:t>
      </w:r>
      <w:r w:rsidR="00C1526A" w:rsidRPr="0083560E">
        <w:rPr>
          <w:rFonts w:ascii="Arial" w:hAnsi="Arial" w:cs="Arial"/>
        </w:rPr>
        <w:t xml:space="preserve">a </w:t>
      </w:r>
      <w:r w:rsidR="00F03AC6" w:rsidRPr="0083560E">
        <w:rPr>
          <w:rFonts w:ascii="Arial" w:hAnsi="Arial" w:cs="Arial"/>
        </w:rPr>
        <w:t>block or blocks</w:t>
      </w:r>
      <w:r w:rsidR="0049683C" w:rsidRPr="0083560E">
        <w:rPr>
          <w:rFonts w:ascii="Arial" w:hAnsi="Arial" w:cs="Arial"/>
        </w:rPr>
        <w:t xml:space="preserve"> </w:t>
      </w:r>
      <w:r w:rsidR="00275E2C" w:rsidRPr="0083560E">
        <w:rPr>
          <w:rFonts w:ascii="Arial" w:hAnsi="Arial" w:cs="Arial"/>
        </w:rPr>
        <w:t xml:space="preserve">that have </w:t>
      </w:r>
      <w:r w:rsidR="0049683C" w:rsidRPr="0083560E">
        <w:rPr>
          <w:rFonts w:ascii="Arial" w:hAnsi="Arial" w:cs="Arial"/>
        </w:rPr>
        <w:t>revert</w:t>
      </w:r>
      <w:r w:rsidR="00275E2C" w:rsidRPr="0083560E">
        <w:rPr>
          <w:rFonts w:ascii="Arial" w:hAnsi="Arial" w:cs="Arial"/>
        </w:rPr>
        <w:t>ed</w:t>
      </w:r>
      <w:r w:rsidR="0049683C" w:rsidRPr="0083560E">
        <w:rPr>
          <w:rFonts w:ascii="Arial" w:hAnsi="Arial" w:cs="Arial"/>
        </w:rPr>
        <w:t xml:space="preserve"> to vacant </w:t>
      </w:r>
      <w:r w:rsidR="006E5DAF" w:rsidRPr="0083560E">
        <w:rPr>
          <w:rFonts w:ascii="Arial" w:hAnsi="Arial" w:cs="Arial"/>
        </w:rPr>
        <w:t>acreage</w:t>
      </w:r>
      <w:r w:rsidR="0049683C" w:rsidRPr="0083560E">
        <w:rPr>
          <w:rFonts w:ascii="Arial" w:hAnsi="Arial" w:cs="Arial"/>
        </w:rPr>
        <w:t xml:space="preserve"> (e.g. </w:t>
      </w:r>
      <w:r w:rsidR="00275E2C" w:rsidRPr="0083560E">
        <w:rPr>
          <w:rFonts w:ascii="Arial" w:hAnsi="Arial" w:cs="Arial"/>
        </w:rPr>
        <w:t xml:space="preserve">following </w:t>
      </w:r>
      <w:r w:rsidR="0049683C" w:rsidRPr="0083560E">
        <w:rPr>
          <w:rFonts w:ascii="Arial" w:hAnsi="Arial" w:cs="Arial"/>
        </w:rPr>
        <w:t>expiry of a permit)</w:t>
      </w:r>
      <w:r w:rsidR="00F8317E" w:rsidRPr="0083560E">
        <w:rPr>
          <w:rFonts w:ascii="Arial" w:hAnsi="Arial" w:cs="Arial"/>
        </w:rPr>
        <w:t xml:space="preserve"> </w:t>
      </w:r>
      <w:r w:rsidR="0049683C" w:rsidRPr="0083560E">
        <w:rPr>
          <w:rFonts w:ascii="Arial" w:hAnsi="Arial" w:cs="Arial"/>
        </w:rPr>
        <w:t>do not remain covered by a location</w:t>
      </w:r>
      <w:r w:rsidR="00F8317E" w:rsidRPr="0083560E">
        <w:rPr>
          <w:rFonts w:ascii="Arial" w:hAnsi="Arial" w:cs="Arial"/>
        </w:rPr>
        <w:t xml:space="preserve"> </w:t>
      </w:r>
      <w:r w:rsidR="00530065" w:rsidRPr="0083560E">
        <w:rPr>
          <w:rFonts w:ascii="Arial" w:hAnsi="Arial" w:cs="Arial"/>
        </w:rPr>
        <w:t>if</w:t>
      </w:r>
      <w:r w:rsidR="00F8317E" w:rsidRPr="0083560E">
        <w:rPr>
          <w:rFonts w:ascii="Arial" w:hAnsi="Arial" w:cs="Arial"/>
        </w:rPr>
        <w:t xml:space="preserve"> a new exploration permit </w:t>
      </w:r>
      <w:r w:rsidR="00530065" w:rsidRPr="0083560E">
        <w:rPr>
          <w:rFonts w:ascii="Arial" w:hAnsi="Arial" w:cs="Arial"/>
        </w:rPr>
        <w:t>is</w:t>
      </w:r>
      <w:r w:rsidR="00F8317E" w:rsidRPr="0083560E">
        <w:rPr>
          <w:rFonts w:ascii="Arial" w:hAnsi="Arial" w:cs="Arial"/>
        </w:rPr>
        <w:t xml:space="preserve"> awarded through a subsequent acreage release process</w:t>
      </w:r>
      <w:r w:rsidR="0049683C" w:rsidRPr="0083560E">
        <w:rPr>
          <w:rFonts w:ascii="Arial" w:hAnsi="Arial" w:cs="Arial"/>
        </w:rPr>
        <w:t>.</w:t>
      </w:r>
      <w:bookmarkEnd w:id="38"/>
    </w:p>
    <w:p w14:paraId="3650D733" w14:textId="77777777" w:rsidR="00ED419A" w:rsidRDefault="00ED419A" w:rsidP="0083560E">
      <w:pPr>
        <w:pStyle w:val="ListParagraph"/>
        <w:ind w:left="567"/>
        <w:rPr>
          <w:rFonts w:ascii="Arial" w:hAnsi="Arial" w:cs="Arial"/>
          <w:sz w:val="24"/>
          <w:szCs w:val="24"/>
        </w:rPr>
      </w:pPr>
    </w:p>
    <w:p w14:paraId="28CEDCC3" w14:textId="3C5F7D25" w:rsidR="0049683C" w:rsidRPr="0083560E" w:rsidRDefault="00134A40" w:rsidP="0083560E">
      <w:pPr>
        <w:pStyle w:val="ListParagraph"/>
        <w:numPr>
          <w:ilvl w:val="1"/>
          <w:numId w:val="31"/>
        </w:numPr>
        <w:ind w:left="567" w:hanging="567"/>
        <w:rPr>
          <w:rFonts w:ascii="Arial" w:hAnsi="Arial" w:cs="Arial"/>
        </w:rPr>
      </w:pPr>
      <w:r w:rsidRPr="0083560E">
        <w:rPr>
          <w:rFonts w:ascii="Arial" w:hAnsi="Arial" w:cs="Arial"/>
        </w:rPr>
        <w:t xml:space="preserve">A </w:t>
      </w:r>
      <w:r w:rsidR="00DE765F" w:rsidRPr="0083560E">
        <w:rPr>
          <w:rFonts w:ascii="Arial" w:hAnsi="Arial" w:cs="Arial"/>
        </w:rPr>
        <w:t xml:space="preserve">declared </w:t>
      </w:r>
      <w:r w:rsidRPr="0083560E">
        <w:rPr>
          <w:rFonts w:ascii="Arial" w:hAnsi="Arial" w:cs="Arial"/>
        </w:rPr>
        <w:t>location will not be revoked on the ground</w:t>
      </w:r>
      <w:r w:rsidR="00DE765F" w:rsidRPr="0083560E">
        <w:rPr>
          <w:rFonts w:ascii="Arial" w:hAnsi="Arial" w:cs="Arial"/>
        </w:rPr>
        <w:t>s</w:t>
      </w:r>
      <w:r w:rsidRPr="0083560E">
        <w:rPr>
          <w:rFonts w:ascii="Arial" w:hAnsi="Arial" w:cs="Arial"/>
        </w:rPr>
        <w:t xml:space="preserve"> of expiration of the exploration permit while an application for a retention lease or production licence is under consideration by the Joint Authority (s</w:t>
      </w:r>
      <w:r w:rsidR="00F851F0" w:rsidRPr="0083560E">
        <w:rPr>
          <w:rFonts w:ascii="Arial" w:hAnsi="Arial" w:cs="Arial"/>
        </w:rPr>
        <w:t>.</w:t>
      </w:r>
      <w:r w:rsidRPr="0083560E">
        <w:rPr>
          <w:rFonts w:ascii="Arial" w:hAnsi="Arial" w:cs="Arial"/>
        </w:rPr>
        <w:t xml:space="preserve"> 132(4) and (5))</w:t>
      </w:r>
      <w:r w:rsidR="00B1791B" w:rsidRPr="0083560E">
        <w:rPr>
          <w:rFonts w:ascii="Arial" w:hAnsi="Arial" w:cs="Arial"/>
        </w:rPr>
        <w:t>.</w:t>
      </w:r>
      <w:r w:rsidR="00B1791B" w:rsidRPr="0083560E">
        <w:rPr>
          <w:rFonts w:ascii="Arial" w:hAnsi="Arial" w:cs="Arial"/>
        </w:rPr>
        <w:br/>
      </w:r>
    </w:p>
    <w:p w14:paraId="785415F5" w14:textId="5BF692CE" w:rsidR="00DB1CE8" w:rsidRPr="0083560E" w:rsidRDefault="00B046C7" w:rsidP="00DB1CE8">
      <w:pPr>
        <w:pStyle w:val="ListParagraph"/>
        <w:numPr>
          <w:ilvl w:val="1"/>
          <w:numId w:val="31"/>
        </w:numPr>
        <w:ind w:left="567" w:hanging="567"/>
        <w:rPr>
          <w:rFonts w:ascii="Arial" w:hAnsi="Arial" w:cs="Arial"/>
        </w:rPr>
      </w:pPr>
      <w:bookmarkStart w:id="39" w:name="_Toc422388801"/>
      <w:r w:rsidRPr="0083560E">
        <w:rPr>
          <w:rFonts w:ascii="Arial" w:hAnsi="Arial" w:cs="Arial"/>
        </w:rPr>
        <w:t>If</w:t>
      </w:r>
      <w:r w:rsidR="000E0154" w:rsidRPr="0083560E">
        <w:rPr>
          <w:rFonts w:ascii="Arial" w:hAnsi="Arial" w:cs="Arial"/>
        </w:rPr>
        <w:t xml:space="preserve"> </w:t>
      </w:r>
      <w:r w:rsidRPr="0083560E">
        <w:rPr>
          <w:rFonts w:ascii="Arial" w:hAnsi="Arial" w:cs="Arial"/>
        </w:rPr>
        <w:t xml:space="preserve">a permittee applies for a retention lease or production licence in respect of some or all of the blocks in a declared location, and </w:t>
      </w:r>
      <w:r w:rsidR="000E0154" w:rsidRPr="0083560E">
        <w:rPr>
          <w:rFonts w:ascii="Arial" w:hAnsi="Arial" w:cs="Arial"/>
        </w:rPr>
        <w:t xml:space="preserve">the Joint Authority </w:t>
      </w:r>
      <w:r w:rsidR="007E39AE" w:rsidRPr="0083560E">
        <w:rPr>
          <w:rFonts w:ascii="Arial" w:hAnsi="Arial" w:cs="Arial"/>
        </w:rPr>
        <w:t xml:space="preserve">refuses to </w:t>
      </w:r>
      <w:r w:rsidR="000E0154" w:rsidRPr="0083560E">
        <w:rPr>
          <w:rFonts w:ascii="Arial" w:hAnsi="Arial" w:cs="Arial"/>
        </w:rPr>
        <w:t>grant a retention lease</w:t>
      </w:r>
      <w:r w:rsidR="007B4BF4" w:rsidRPr="0083560E">
        <w:rPr>
          <w:rFonts w:ascii="Arial" w:hAnsi="Arial" w:cs="Arial"/>
        </w:rPr>
        <w:t xml:space="preserve"> or production licence</w:t>
      </w:r>
      <w:r w:rsidR="000E0154" w:rsidRPr="0083560E">
        <w:rPr>
          <w:rFonts w:ascii="Arial" w:hAnsi="Arial" w:cs="Arial"/>
        </w:rPr>
        <w:t xml:space="preserve"> over</w:t>
      </w:r>
      <w:r w:rsidR="00B736BE" w:rsidRPr="0083560E">
        <w:rPr>
          <w:rFonts w:ascii="Arial" w:hAnsi="Arial" w:cs="Arial"/>
        </w:rPr>
        <w:t xml:space="preserve"> any</w:t>
      </w:r>
      <w:r w:rsidR="009E3783" w:rsidRPr="0083560E">
        <w:rPr>
          <w:rFonts w:ascii="Arial" w:hAnsi="Arial" w:cs="Arial"/>
        </w:rPr>
        <w:t xml:space="preserve"> </w:t>
      </w:r>
      <w:r w:rsidR="007846B2" w:rsidRPr="0083560E">
        <w:rPr>
          <w:rFonts w:ascii="Arial" w:hAnsi="Arial" w:cs="Arial"/>
        </w:rPr>
        <w:t xml:space="preserve">of the </w:t>
      </w:r>
      <w:r w:rsidR="000E0154" w:rsidRPr="0083560E">
        <w:rPr>
          <w:rFonts w:ascii="Arial" w:hAnsi="Arial" w:cs="Arial"/>
        </w:rPr>
        <w:t xml:space="preserve">blocks that </w:t>
      </w:r>
      <w:r w:rsidRPr="0083560E">
        <w:rPr>
          <w:rFonts w:ascii="Arial" w:hAnsi="Arial" w:cs="Arial"/>
        </w:rPr>
        <w:t>were applied for</w:t>
      </w:r>
      <w:r w:rsidR="009E3783" w:rsidRPr="0083560E">
        <w:rPr>
          <w:rFonts w:ascii="Arial" w:hAnsi="Arial" w:cs="Arial"/>
        </w:rPr>
        <w:t>, because it is not satisfied that:</w:t>
      </w:r>
      <w:r w:rsidR="00DB1CE8" w:rsidRPr="0083560E">
        <w:rPr>
          <w:rFonts w:ascii="Arial" w:hAnsi="Arial" w:cs="Arial"/>
        </w:rPr>
        <w:br/>
      </w:r>
    </w:p>
    <w:p w14:paraId="5D7DDEE1" w14:textId="77777777" w:rsidR="00DB1CE8" w:rsidRPr="0083560E" w:rsidRDefault="009E3783" w:rsidP="00DB1CE8">
      <w:pPr>
        <w:pStyle w:val="ListParagraph"/>
        <w:numPr>
          <w:ilvl w:val="0"/>
          <w:numId w:val="43"/>
        </w:numPr>
        <w:ind w:left="1276" w:hanging="425"/>
        <w:rPr>
          <w:rFonts w:ascii="Arial" w:hAnsi="Arial" w:cs="Arial"/>
        </w:rPr>
      </w:pPr>
      <w:r w:rsidRPr="0083560E">
        <w:rPr>
          <w:rFonts w:ascii="Arial" w:hAnsi="Arial" w:cs="Arial"/>
        </w:rPr>
        <w:t xml:space="preserve">the </w:t>
      </w:r>
      <w:r w:rsidR="00F03AC6" w:rsidRPr="0083560E">
        <w:rPr>
          <w:rFonts w:ascii="Arial" w:hAnsi="Arial" w:cs="Arial"/>
        </w:rPr>
        <w:t>block or blocks</w:t>
      </w:r>
      <w:r w:rsidRPr="0083560E">
        <w:rPr>
          <w:rFonts w:ascii="Arial" w:hAnsi="Arial" w:cs="Arial"/>
        </w:rPr>
        <w:t xml:space="preserve"> contain petroleum;</w:t>
      </w:r>
      <w:r w:rsidR="005E3DD4" w:rsidRPr="0083560E">
        <w:rPr>
          <w:rFonts w:ascii="Arial" w:hAnsi="Arial" w:cs="Arial"/>
        </w:rPr>
        <w:t xml:space="preserve"> or</w:t>
      </w:r>
    </w:p>
    <w:p w14:paraId="7E36EB88" w14:textId="77777777" w:rsidR="00DB1CE8" w:rsidRPr="0083560E" w:rsidRDefault="009E3783" w:rsidP="00DB1CE8">
      <w:pPr>
        <w:pStyle w:val="ListParagraph"/>
        <w:numPr>
          <w:ilvl w:val="0"/>
          <w:numId w:val="43"/>
        </w:numPr>
        <w:ind w:left="1276" w:hanging="425"/>
        <w:rPr>
          <w:rFonts w:ascii="Arial" w:hAnsi="Arial" w:cs="Arial"/>
        </w:rPr>
      </w:pPr>
      <w:r w:rsidRPr="0083560E">
        <w:rPr>
          <w:rFonts w:ascii="Arial" w:hAnsi="Arial" w:cs="Arial"/>
        </w:rPr>
        <w:t xml:space="preserve">recovery of petroleum from the </w:t>
      </w:r>
      <w:r w:rsidR="00F03AC6" w:rsidRPr="0083560E">
        <w:rPr>
          <w:rFonts w:ascii="Arial" w:hAnsi="Arial" w:cs="Arial"/>
        </w:rPr>
        <w:t>block or blocks</w:t>
      </w:r>
      <w:r w:rsidRPr="0083560E">
        <w:rPr>
          <w:rFonts w:ascii="Arial" w:hAnsi="Arial" w:cs="Arial"/>
        </w:rPr>
        <w:t xml:space="preserve"> is likely to become comme</w:t>
      </w:r>
      <w:r w:rsidR="00DB1CE8" w:rsidRPr="0083560E">
        <w:rPr>
          <w:rFonts w:ascii="Arial" w:hAnsi="Arial" w:cs="Arial"/>
        </w:rPr>
        <w:t>rcially viable within 15 years;</w:t>
      </w:r>
    </w:p>
    <w:p w14:paraId="06FA4B42" w14:textId="16B3ED4B" w:rsidR="0003119B" w:rsidRPr="0083560E" w:rsidRDefault="000E0154" w:rsidP="00C66C28">
      <w:pPr>
        <w:ind w:left="567"/>
        <w:rPr>
          <w:rFonts w:ascii="Arial" w:hAnsi="Arial" w:cs="Arial"/>
          <w:b/>
          <w:sz w:val="22"/>
          <w:szCs w:val="22"/>
        </w:rPr>
      </w:pPr>
      <w:r w:rsidRPr="0083560E">
        <w:rPr>
          <w:rFonts w:ascii="Arial" w:hAnsi="Arial" w:cs="Arial"/>
          <w:sz w:val="22"/>
          <w:szCs w:val="22"/>
        </w:rPr>
        <w:t>the Joint</w:t>
      </w:r>
      <w:r w:rsidR="00783464" w:rsidRPr="0083560E">
        <w:rPr>
          <w:rFonts w:ascii="Arial" w:hAnsi="Arial" w:cs="Arial"/>
          <w:sz w:val="22"/>
          <w:szCs w:val="22"/>
        </w:rPr>
        <w:t> </w:t>
      </w:r>
      <w:r w:rsidRPr="0083560E">
        <w:rPr>
          <w:rFonts w:ascii="Arial" w:hAnsi="Arial" w:cs="Arial"/>
          <w:sz w:val="22"/>
          <w:szCs w:val="22"/>
        </w:rPr>
        <w:t xml:space="preserve">Authority must revoke </w:t>
      </w:r>
      <w:r w:rsidR="00DE765F" w:rsidRPr="0083560E">
        <w:rPr>
          <w:rFonts w:ascii="Arial" w:hAnsi="Arial" w:cs="Arial"/>
          <w:sz w:val="22"/>
          <w:szCs w:val="22"/>
        </w:rPr>
        <w:t xml:space="preserve">a declared </w:t>
      </w:r>
      <w:r w:rsidRPr="0083560E">
        <w:rPr>
          <w:rFonts w:ascii="Arial" w:hAnsi="Arial" w:cs="Arial"/>
          <w:sz w:val="22"/>
          <w:szCs w:val="22"/>
        </w:rPr>
        <w:t xml:space="preserve">location in relation to the </w:t>
      </w:r>
      <w:r w:rsidR="00F03AC6" w:rsidRPr="0083560E">
        <w:rPr>
          <w:rFonts w:ascii="Arial" w:hAnsi="Arial" w:cs="Arial"/>
          <w:sz w:val="22"/>
          <w:szCs w:val="22"/>
        </w:rPr>
        <w:t>block or blocks</w:t>
      </w:r>
      <w:r w:rsidRPr="0083560E">
        <w:rPr>
          <w:rFonts w:ascii="Arial" w:hAnsi="Arial" w:cs="Arial"/>
          <w:sz w:val="22"/>
          <w:szCs w:val="22"/>
        </w:rPr>
        <w:t xml:space="preserve"> that </w:t>
      </w:r>
      <w:r w:rsidR="00C1526A" w:rsidRPr="0083560E">
        <w:rPr>
          <w:rFonts w:ascii="Arial" w:hAnsi="Arial" w:cs="Arial"/>
          <w:sz w:val="22"/>
          <w:szCs w:val="22"/>
        </w:rPr>
        <w:t>was</w:t>
      </w:r>
      <w:r w:rsidR="00DE765F" w:rsidRPr="0083560E">
        <w:rPr>
          <w:rFonts w:ascii="Arial" w:hAnsi="Arial" w:cs="Arial"/>
          <w:sz w:val="22"/>
          <w:szCs w:val="22"/>
        </w:rPr>
        <w:t>/</w:t>
      </w:r>
      <w:r w:rsidR="00C32582" w:rsidRPr="0083560E">
        <w:rPr>
          <w:rFonts w:ascii="Arial" w:hAnsi="Arial" w:cs="Arial"/>
          <w:sz w:val="22"/>
          <w:szCs w:val="22"/>
        </w:rPr>
        <w:t xml:space="preserve">were </w:t>
      </w:r>
      <w:r w:rsidR="009E3783" w:rsidRPr="0083560E">
        <w:rPr>
          <w:rFonts w:ascii="Arial" w:hAnsi="Arial" w:cs="Arial"/>
          <w:sz w:val="22"/>
          <w:szCs w:val="22"/>
        </w:rPr>
        <w:t>refused (s. 132(7)</w:t>
      </w:r>
      <w:r w:rsidR="003D5F29" w:rsidRPr="0083560E">
        <w:rPr>
          <w:rFonts w:ascii="Arial" w:hAnsi="Arial" w:cs="Arial"/>
          <w:sz w:val="22"/>
          <w:szCs w:val="22"/>
        </w:rPr>
        <w:t>, (7A), (8) and (9))</w:t>
      </w:r>
      <w:r w:rsidRPr="0083560E">
        <w:rPr>
          <w:rFonts w:ascii="Arial" w:hAnsi="Arial" w:cs="Arial"/>
          <w:sz w:val="22"/>
          <w:szCs w:val="22"/>
        </w:rPr>
        <w:t xml:space="preserve">. If the underlying exploration permit remains in force, the </w:t>
      </w:r>
      <w:r w:rsidR="009E3783" w:rsidRPr="0083560E">
        <w:rPr>
          <w:rFonts w:ascii="Arial" w:hAnsi="Arial" w:cs="Arial"/>
          <w:sz w:val="22"/>
          <w:szCs w:val="22"/>
        </w:rPr>
        <w:t>revoked</w:t>
      </w:r>
      <w:r w:rsidR="00052C2D" w:rsidRPr="0083560E">
        <w:rPr>
          <w:rFonts w:ascii="Arial" w:hAnsi="Arial" w:cs="Arial"/>
          <w:sz w:val="22"/>
          <w:szCs w:val="22"/>
        </w:rPr>
        <w:t xml:space="preserve"> declared location</w:t>
      </w:r>
      <w:r w:rsidRPr="0083560E">
        <w:rPr>
          <w:rFonts w:ascii="Arial" w:hAnsi="Arial" w:cs="Arial"/>
          <w:sz w:val="22"/>
          <w:szCs w:val="22"/>
        </w:rPr>
        <w:t xml:space="preserve"> </w:t>
      </w:r>
      <w:r w:rsidR="00F03AC6" w:rsidRPr="0083560E">
        <w:rPr>
          <w:rFonts w:ascii="Arial" w:hAnsi="Arial" w:cs="Arial"/>
          <w:sz w:val="22"/>
          <w:szCs w:val="22"/>
        </w:rPr>
        <w:t>block or blocks</w:t>
      </w:r>
      <w:r w:rsidRPr="0083560E">
        <w:rPr>
          <w:rFonts w:ascii="Arial" w:hAnsi="Arial" w:cs="Arial"/>
          <w:sz w:val="22"/>
          <w:szCs w:val="22"/>
        </w:rPr>
        <w:t xml:space="preserve"> remain part of the exploration permit and continue to be subject to the permit conditions.</w:t>
      </w:r>
      <w:bookmarkEnd w:id="39"/>
      <w:r w:rsidR="006E26E2" w:rsidRPr="0083560E">
        <w:rPr>
          <w:rFonts w:ascii="Arial" w:hAnsi="Arial" w:cs="Arial"/>
          <w:sz w:val="22"/>
          <w:szCs w:val="22"/>
        </w:rPr>
        <w:t xml:space="preserve"> </w:t>
      </w:r>
      <w:bookmarkStart w:id="40" w:name="_Toc422388802"/>
      <w:bookmarkStart w:id="41" w:name="_Toc422388803"/>
      <w:bookmarkStart w:id="42" w:name="_Toc422388805"/>
      <w:bookmarkEnd w:id="40"/>
      <w:bookmarkEnd w:id="41"/>
      <w:r w:rsidR="006E26E2" w:rsidRPr="0083560E">
        <w:rPr>
          <w:rFonts w:ascii="Arial" w:hAnsi="Arial" w:cs="Arial"/>
          <w:sz w:val="22"/>
          <w:szCs w:val="22"/>
          <w:lang w:eastAsia="en-US"/>
        </w:rPr>
        <w:t xml:space="preserve">If </w:t>
      </w:r>
      <w:r w:rsidR="00EE7A5A" w:rsidRPr="0083560E">
        <w:rPr>
          <w:rFonts w:ascii="Arial" w:hAnsi="Arial" w:cs="Arial"/>
          <w:sz w:val="22"/>
          <w:szCs w:val="22"/>
        </w:rPr>
        <w:t xml:space="preserve">the </w:t>
      </w:r>
      <w:r w:rsidR="007108FC" w:rsidRPr="0083560E">
        <w:rPr>
          <w:rFonts w:ascii="Arial" w:hAnsi="Arial" w:cs="Arial"/>
          <w:sz w:val="22"/>
          <w:szCs w:val="22"/>
        </w:rPr>
        <w:t xml:space="preserve">permittee </w:t>
      </w:r>
      <w:r w:rsidR="00EE7A5A" w:rsidRPr="0083560E">
        <w:rPr>
          <w:rFonts w:ascii="Arial" w:hAnsi="Arial" w:cs="Arial"/>
          <w:sz w:val="22"/>
          <w:szCs w:val="22"/>
        </w:rPr>
        <w:t xml:space="preserve">wants to </w:t>
      </w:r>
      <w:r w:rsidR="005E3DD4" w:rsidRPr="0083560E">
        <w:rPr>
          <w:rFonts w:ascii="Arial" w:hAnsi="Arial" w:cs="Arial"/>
          <w:sz w:val="22"/>
          <w:szCs w:val="22"/>
        </w:rPr>
        <w:t xml:space="preserve">later </w:t>
      </w:r>
      <w:r w:rsidR="00EE7A5A" w:rsidRPr="0083560E">
        <w:rPr>
          <w:rFonts w:ascii="Arial" w:hAnsi="Arial" w:cs="Arial"/>
          <w:sz w:val="22"/>
          <w:szCs w:val="22"/>
        </w:rPr>
        <w:t>apply for a production licence</w:t>
      </w:r>
      <w:r w:rsidR="005E3DD4" w:rsidRPr="0083560E">
        <w:rPr>
          <w:rFonts w:ascii="Arial" w:hAnsi="Arial" w:cs="Arial"/>
          <w:sz w:val="22"/>
          <w:szCs w:val="22"/>
        </w:rPr>
        <w:t xml:space="preserve"> </w:t>
      </w:r>
      <w:r w:rsidR="00F135F5" w:rsidRPr="0083560E">
        <w:rPr>
          <w:rFonts w:ascii="Arial" w:hAnsi="Arial" w:cs="Arial"/>
          <w:sz w:val="22"/>
          <w:szCs w:val="22"/>
        </w:rPr>
        <w:t xml:space="preserve">or reapply for a retention lease </w:t>
      </w:r>
      <w:r w:rsidR="005E3DD4" w:rsidRPr="0083560E">
        <w:rPr>
          <w:rFonts w:ascii="Arial" w:hAnsi="Arial" w:cs="Arial"/>
          <w:sz w:val="22"/>
          <w:szCs w:val="22"/>
        </w:rPr>
        <w:t xml:space="preserve">over </w:t>
      </w:r>
      <w:r w:rsidR="00C1526A" w:rsidRPr="0083560E">
        <w:rPr>
          <w:rFonts w:ascii="Arial" w:hAnsi="Arial" w:cs="Arial"/>
          <w:sz w:val="22"/>
          <w:szCs w:val="22"/>
        </w:rPr>
        <w:t xml:space="preserve">the block or </w:t>
      </w:r>
      <w:r w:rsidR="005E3DD4" w:rsidRPr="0083560E">
        <w:rPr>
          <w:rFonts w:ascii="Arial" w:hAnsi="Arial" w:cs="Arial"/>
          <w:sz w:val="22"/>
          <w:szCs w:val="22"/>
        </w:rPr>
        <w:t>blocks</w:t>
      </w:r>
      <w:r w:rsidR="00EE7A5A" w:rsidRPr="0083560E">
        <w:rPr>
          <w:rFonts w:ascii="Arial" w:hAnsi="Arial" w:cs="Arial"/>
          <w:sz w:val="22"/>
          <w:szCs w:val="22"/>
        </w:rPr>
        <w:t xml:space="preserve">, the </w:t>
      </w:r>
      <w:r w:rsidR="007108FC" w:rsidRPr="0083560E">
        <w:rPr>
          <w:rFonts w:ascii="Arial" w:hAnsi="Arial" w:cs="Arial"/>
          <w:sz w:val="22"/>
          <w:szCs w:val="22"/>
        </w:rPr>
        <w:t xml:space="preserve">permittee </w:t>
      </w:r>
      <w:r w:rsidR="00EE7A5A" w:rsidRPr="0083560E">
        <w:rPr>
          <w:rFonts w:ascii="Arial" w:hAnsi="Arial" w:cs="Arial"/>
          <w:sz w:val="22"/>
          <w:szCs w:val="22"/>
        </w:rPr>
        <w:t>must re</w:t>
      </w:r>
      <w:r w:rsidR="00783464" w:rsidRPr="0083560E">
        <w:rPr>
          <w:rFonts w:ascii="Arial" w:hAnsi="Arial" w:cs="Arial"/>
          <w:sz w:val="22"/>
          <w:szCs w:val="22"/>
        </w:rPr>
        <w:noBreakHyphen/>
      </w:r>
      <w:r w:rsidR="00EE7A5A" w:rsidRPr="0083560E">
        <w:rPr>
          <w:rFonts w:ascii="Arial" w:hAnsi="Arial" w:cs="Arial"/>
          <w:sz w:val="22"/>
          <w:szCs w:val="22"/>
        </w:rPr>
        <w:t xml:space="preserve">nominate the </w:t>
      </w:r>
      <w:r w:rsidR="00F03AC6" w:rsidRPr="0083560E">
        <w:rPr>
          <w:rFonts w:ascii="Arial" w:hAnsi="Arial" w:cs="Arial"/>
          <w:sz w:val="22"/>
          <w:szCs w:val="22"/>
        </w:rPr>
        <w:t>block or blocks</w:t>
      </w:r>
      <w:r w:rsidR="00EE7A5A" w:rsidRPr="0083560E">
        <w:rPr>
          <w:rFonts w:ascii="Arial" w:hAnsi="Arial" w:cs="Arial"/>
          <w:sz w:val="22"/>
          <w:szCs w:val="22"/>
        </w:rPr>
        <w:t xml:space="preserve"> as a location </w:t>
      </w:r>
      <w:r w:rsidR="00A06DB3" w:rsidRPr="0083560E">
        <w:rPr>
          <w:rFonts w:ascii="Arial" w:hAnsi="Arial" w:cs="Arial"/>
          <w:sz w:val="22"/>
          <w:szCs w:val="22"/>
        </w:rPr>
        <w:t>before</w:t>
      </w:r>
      <w:r w:rsidR="00EE7A5A" w:rsidRPr="0083560E">
        <w:rPr>
          <w:rFonts w:ascii="Arial" w:hAnsi="Arial" w:cs="Arial"/>
          <w:sz w:val="22"/>
          <w:szCs w:val="22"/>
        </w:rPr>
        <w:t xml:space="preserve"> </w:t>
      </w:r>
      <w:r w:rsidR="00231B9D" w:rsidRPr="0083560E">
        <w:rPr>
          <w:rFonts w:ascii="Arial" w:hAnsi="Arial" w:cs="Arial"/>
          <w:sz w:val="22"/>
          <w:szCs w:val="22"/>
        </w:rPr>
        <w:t>making the</w:t>
      </w:r>
      <w:r w:rsidR="00EE7A5A" w:rsidRPr="0083560E">
        <w:rPr>
          <w:rFonts w:ascii="Arial" w:hAnsi="Arial" w:cs="Arial"/>
          <w:sz w:val="22"/>
          <w:szCs w:val="22"/>
        </w:rPr>
        <w:t xml:space="preserve"> application</w:t>
      </w:r>
      <w:bookmarkEnd w:id="42"/>
      <w:r w:rsidR="00F135F5" w:rsidRPr="0083560E">
        <w:rPr>
          <w:rFonts w:ascii="Arial" w:hAnsi="Arial" w:cs="Arial"/>
          <w:sz w:val="22"/>
          <w:szCs w:val="22"/>
        </w:rPr>
        <w:t>.</w:t>
      </w:r>
    </w:p>
    <w:p w14:paraId="4B25E3A4" w14:textId="77777777" w:rsidR="0003119B" w:rsidRPr="0083560E" w:rsidRDefault="0003119B" w:rsidP="006D6552">
      <w:pPr>
        <w:rPr>
          <w:sz w:val="22"/>
          <w:szCs w:val="22"/>
        </w:rPr>
      </w:pPr>
    </w:p>
    <w:p w14:paraId="73645C12" w14:textId="77777777" w:rsidR="00B3071A" w:rsidRDefault="00B3071A" w:rsidP="00027EFD">
      <w:pPr>
        <w:pStyle w:val="Default"/>
        <w:rPr>
          <w:rFonts w:ascii="Arial" w:hAnsi="Arial" w:cs="Arial"/>
          <w:b/>
          <w:bCs/>
          <w:sz w:val="23"/>
          <w:szCs w:val="23"/>
        </w:rPr>
      </w:pPr>
    </w:p>
    <w:p w14:paraId="6C2D26C2" w14:textId="77777777" w:rsidR="00B3071A" w:rsidRDefault="00B3071A" w:rsidP="00027EFD">
      <w:pPr>
        <w:pStyle w:val="Default"/>
        <w:rPr>
          <w:rFonts w:ascii="Arial" w:hAnsi="Arial" w:cs="Arial"/>
          <w:b/>
          <w:bCs/>
          <w:sz w:val="23"/>
          <w:szCs w:val="23"/>
        </w:rPr>
      </w:pPr>
    </w:p>
    <w:p w14:paraId="1B34C303" w14:textId="77777777" w:rsidR="00B3071A" w:rsidRDefault="00B3071A" w:rsidP="00027EFD">
      <w:pPr>
        <w:pStyle w:val="Default"/>
        <w:rPr>
          <w:rFonts w:ascii="Arial" w:hAnsi="Arial" w:cs="Arial"/>
          <w:b/>
          <w:bCs/>
          <w:sz w:val="23"/>
          <w:szCs w:val="23"/>
        </w:rPr>
      </w:pPr>
    </w:p>
    <w:p w14:paraId="5229F82C" w14:textId="77777777" w:rsidR="00B3071A" w:rsidRDefault="00B3071A" w:rsidP="00027EFD">
      <w:pPr>
        <w:pStyle w:val="Default"/>
        <w:rPr>
          <w:rFonts w:ascii="Arial" w:hAnsi="Arial" w:cs="Arial"/>
          <w:b/>
          <w:bCs/>
          <w:sz w:val="23"/>
          <w:szCs w:val="23"/>
        </w:rPr>
      </w:pPr>
    </w:p>
    <w:p w14:paraId="2F227EA9" w14:textId="77777777" w:rsidR="00B3071A" w:rsidRDefault="00B3071A" w:rsidP="00027EFD">
      <w:pPr>
        <w:pStyle w:val="Default"/>
        <w:rPr>
          <w:rFonts w:ascii="Arial" w:hAnsi="Arial" w:cs="Arial"/>
          <w:b/>
          <w:bCs/>
          <w:sz w:val="23"/>
          <w:szCs w:val="23"/>
        </w:rPr>
      </w:pPr>
    </w:p>
    <w:p w14:paraId="5961E898" w14:textId="77777777" w:rsidR="00B3071A" w:rsidRDefault="00B3071A" w:rsidP="00027EFD">
      <w:pPr>
        <w:pStyle w:val="Default"/>
        <w:rPr>
          <w:rFonts w:ascii="Arial" w:hAnsi="Arial" w:cs="Arial"/>
          <w:b/>
          <w:bCs/>
          <w:sz w:val="23"/>
          <w:szCs w:val="23"/>
        </w:rPr>
      </w:pPr>
    </w:p>
    <w:p w14:paraId="1C24E8D6" w14:textId="77777777" w:rsidR="00B3071A" w:rsidRDefault="00B3071A" w:rsidP="00027EFD">
      <w:pPr>
        <w:pStyle w:val="Default"/>
        <w:rPr>
          <w:rFonts w:ascii="Arial" w:hAnsi="Arial" w:cs="Arial"/>
          <w:b/>
          <w:bCs/>
          <w:sz w:val="23"/>
          <w:szCs w:val="23"/>
        </w:rPr>
      </w:pPr>
    </w:p>
    <w:p w14:paraId="4F051682" w14:textId="77777777" w:rsidR="00B3071A" w:rsidRDefault="00B3071A" w:rsidP="00027EFD">
      <w:pPr>
        <w:pStyle w:val="Default"/>
        <w:rPr>
          <w:rFonts w:ascii="Arial" w:hAnsi="Arial" w:cs="Arial"/>
          <w:b/>
          <w:bCs/>
          <w:sz w:val="23"/>
          <w:szCs w:val="23"/>
        </w:rPr>
      </w:pPr>
    </w:p>
    <w:p w14:paraId="113D5EFB" w14:textId="77777777" w:rsidR="00B3071A" w:rsidRDefault="00B3071A" w:rsidP="00027EFD">
      <w:pPr>
        <w:pStyle w:val="Default"/>
        <w:rPr>
          <w:rFonts w:ascii="Arial" w:hAnsi="Arial" w:cs="Arial"/>
          <w:b/>
          <w:bCs/>
          <w:sz w:val="23"/>
          <w:szCs w:val="23"/>
        </w:rPr>
      </w:pPr>
    </w:p>
    <w:p w14:paraId="7A719048" w14:textId="77777777" w:rsidR="00B3071A" w:rsidRDefault="00B3071A" w:rsidP="00027EFD">
      <w:pPr>
        <w:pStyle w:val="Default"/>
        <w:rPr>
          <w:rFonts w:ascii="Arial" w:hAnsi="Arial" w:cs="Arial"/>
          <w:b/>
          <w:bCs/>
          <w:sz w:val="23"/>
          <w:szCs w:val="23"/>
        </w:rPr>
      </w:pPr>
    </w:p>
    <w:p w14:paraId="71B916D6" w14:textId="77777777" w:rsidR="00B3071A" w:rsidRDefault="00B3071A" w:rsidP="00027EFD">
      <w:pPr>
        <w:pStyle w:val="Default"/>
        <w:rPr>
          <w:rFonts w:ascii="Arial" w:hAnsi="Arial" w:cs="Arial"/>
          <w:b/>
          <w:bCs/>
          <w:sz w:val="23"/>
          <w:szCs w:val="23"/>
        </w:rPr>
      </w:pPr>
    </w:p>
    <w:p w14:paraId="64ADF32C" w14:textId="77777777" w:rsidR="00B3071A" w:rsidRDefault="00B3071A" w:rsidP="00027EFD">
      <w:pPr>
        <w:pStyle w:val="Default"/>
        <w:rPr>
          <w:rFonts w:ascii="Arial" w:hAnsi="Arial" w:cs="Arial"/>
          <w:b/>
          <w:bCs/>
          <w:sz w:val="23"/>
          <w:szCs w:val="23"/>
        </w:rPr>
      </w:pPr>
    </w:p>
    <w:p w14:paraId="0056BA54" w14:textId="77777777" w:rsidR="00B3071A" w:rsidRDefault="00B3071A" w:rsidP="00027EFD">
      <w:pPr>
        <w:pStyle w:val="Default"/>
        <w:rPr>
          <w:rFonts w:ascii="Arial" w:hAnsi="Arial" w:cs="Arial"/>
          <w:b/>
          <w:bCs/>
          <w:sz w:val="23"/>
          <w:szCs w:val="23"/>
        </w:rPr>
      </w:pPr>
    </w:p>
    <w:p w14:paraId="1A36C5BE" w14:textId="77777777" w:rsidR="00B3071A" w:rsidRDefault="00B3071A" w:rsidP="00027EFD">
      <w:pPr>
        <w:pStyle w:val="Default"/>
        <w:rPr>
          <w:rFonts w:ascii="Arial" w:hAnsi="Arial" w:cs="Arial"/>
          <w:b/>
          <w:bCs/>
          <w:sz w:val="23"/>
          <w:szCs w:val="23"/>
        </w:rPr>
      </w:pPr>
    </w:p>
    <w:p w14:paraId="424CB75B" w14:textId="77777777" w:rsidR="00B3071A" w:rsidRDefault="00B3071A" w:rsidP="00027EFD">
      <w:pPr>
        <w:pStyle w:val="Default"/>
        <w:rPr>
          <w:rFonts w:ascii="Arial" w:hAnsi="Arial" w:cs="Arial"/>
          <w:b/>
          <w:bCs/>
          <w:sz w:val="23"/>
          <w:szCs w:val="23"/>
        </w:rPr>
      </w:pPr>
    </w:p>
    <w:p w14:paraId="14230226" w14:textId="77777777" w:rsidR="00B3071A" w:rsidRDefault="00B3071A" w:rsidP="00027EFD">
      <w:pPr>
        <w:pStyle w:val="Default"/>
        <w:rPr>
          <w:rFonts w:ascii="Arial" w:hAnsi="Arial" w:cs="Arial"/>
          <w:b/>
          <w:bCs/>
          <w:sz w:val="23"/>
          <w:szCs w:val="23"/>
        </w:rPr>
      </w:pPr>
    </w:p>
    <w:p w14:paraId="1E161A90" w14:textId="77777777" w:rsidR="00B3071A" w:rsidRDefault="00B3071A" w:rsidP="00027EFD">
      <w:pPr>
        <w:pStyle w:val="Default"/>
        <w:rPr>
          <w:rFonts w:ascii="Arial" w:hAnsi="Arial" w:cs="Arial"/>
          <w:b/>
          <w:bCs/>
          <w:sz w:val="23"/>
          <w:szCs w:val="23"/>
        </w:rPr>
      </w:pPr>
    </w:p>
    <w:p w14:paraId="5105C6FA" w14:textId="77777777" w:rsidR="00B3071A" w:rsidRDefault="00B3071A" w:rsidP="00027EFD">
      <w:pPr>
        <w:pStyle w:val="Default"/>
        <w:rPr>
          <w:rFonts w:ascii="Arial" w:hAnsi="Arial" w:cs="Arial"/>
          <w:b/>
          <w:bCs/>
          <w:sz w:val="23"/>
          <w:szCs w:val="23"/>
        </w:rPr>
      </w:pPr>
    </w:p>
    <w:p w14:paraId="65AF354B" w14:textId="77777777" w:rsidR="00B3071A" w:rsidRDefault="00B3071A" w:rsidP="00027EFD">
      <w:pPr>
        <w:pStyle w:val="Default"/>
        <w:rPr>
          <w:rFonts w:ascii="Arial" w:hAnsi="Arial" w:cs="Arial"/>
          <w:b/>
          <w:bCs/>
          <w:sz w:val="23"/>
          <w:szCs w:val="23"/>
        </w:rPr>
      </w:pPr>
    </w:p>
    <w:p w14:paraId="0D9C5B3C" w14:textId="77777777" w:rsidR="00B3071A" w:rsidRDefault="00B3071A" w:rsidP="00027EFD">
      <w:pPr>
        <w:pStyle w:val="Default"/>
        <w:rPr>
          <w:rFonts w:ascii="Arial" w:hAnsi="Arial" w:cs="Arial"/>
          <w:b/>
          <w:bCs/>
          <w:sz w:val="23"/>
          <w:szCs w:val="23"/>
        </w:rPr>
      </w:pPr>
    </w:p>
    <w:p w14:paraId="4264D03C" w14:textId="77777777" w:rsidR="00B3071A" w:rsidRDefault="00B3071A" w:rsidP="00027EFD">
      <w:pPr>
        <w:pStyle w:val="Default"/>
        <w:rPr>
          <w:rFonts w:ascii="Arial" w:hAnsi="Arial" w:cs="Arial"/>
          <w:b/>
          <w:bCs/>
          <w:sz w:val="23"/>
          <w:szCs w:val="23"/>
        </w:rPr>
      </w:pPr>
    </w:p>
    <w:p w14:paraId="3095538E" w14:textId="77777777" w:rsidR="00B3071A" w:rsidRDefault="00B3071A" w:rsidP="00027EFD">
      <w:pPr>
        <w:pStyle w:val="Default"/>
        <w:rPr>
          <w:rFonts w:ascii="Arial" w:hAnsi="Arial" w:cs="Arial"/>
          <w:b/>
          <w:bCs/>
          <w:sz w:val="23"/>
          <w:szCs w:val="23"/>
        </w:rPr>
      </w:pPr>
    </w:p>
    <w:p w14:paraId="6BB34C8B" w14:textId="77777777" w:rsidR="00B3071A" w:rsidRDefault="00B3071A" w:rsidP="00027EFD">
      <w:pPr>
        <w:pStyle w:val="Default"/>
        <w:rPr>
          <w:rFonts w:ascii="Arial" w:hAnsi="Arial" w:cs="Arial"/>
          <w:b/>
          <w:bCs/>
          <w:sz w:val="23"/>
          <w:szCs w:val="23"/>
        </w:rPr>
      </w:pPr>
    </w:p>
    <w:p w14:paraId="588C6828" w14:textId="77777777" w:rsidR="00B3071A" w:rsidRDefault="00B3071A" w:rsidP="00027EFD">
      <w:pPr>
        <w:pStyle w:val="Default"/>
        <w:rPr>
          <w:rFonts w:ascii="Arial" w:hAnsi="Arial" w:cs="Arial"/>
          <w:b/>
          <w:bCs/>
          <w:sz w:val="23"/>
          <w:szCs w:val="23"/>
        </w:rPr>
      </w:pPr>
    </w:p>
    <w:p w14:paraId="1D84A385" w14:textId="77777777" w:rsidR="00B3071A" w:rsidRDefault="00B3071A" w:rsidP="00027EFD">
      <w:pPr>
        <w:pStyle w:val="Default"/>
        <w:rPr>
          <w:rFonts w:ascii="Arial" w:hAnsi="Arial" w:cs="Arial"/>
          <w:b/>
          <w:bCs/>
          <w:sz w:val="23"/>
          <w:szCs w:val="23"/>
        </w:rPr>
      </w:pPr>
    </w:p>
    <w:p w14:paraId="0481E8C1" w14:textId="77777777" w:rsidR="00B3071A" w:rsidRDefault="00B3071A" w:rsidP="00027EFD">
      <w:pPr>
        <w:pStyle w:val="Default"/>
        <w:rPr>
          <w:rFonts w:ascii="Arial" w:hAnsi="Arial" w:cs="Arial"/>
          <w:b/>
          <w:bCs/>
          <w:sz w:val="23"/>
          <w:szCs w:val="23"/>
        </w:rPr>
      </w:pPr>
    </w:p>
    <w:p w14:paraId="6EBD96F1" w14:textId="77777777" w:rsidR="00880BE1" w:rsidRDefault="00880BE1" w:rsidP="00027EFD">
      <w:pPr>
        <w:pStyle w:val="Default"/>
        <w:rPr>
          <w:rFonts w:ascii="Arial" w:hAnsi="Arial" w:cs="Arial"/>
          <w:b/>
          <w:bCs/>
          <w:sz w:val="23"/>
          <w:szCs w:val="23"/>
        </w:rPr>
      </w:pPr>
    </w:p>
    <w:p w14:paraId="7A549E73" w14:textId="77777777" w:rsidR="00880BE1" w:rsidRDefault="00880BE1" w:rsidP="00027EFD">
      <w:pPr>
        <w:pStyle w:val="Default"/>
        <w:rPr>
          <w:rFonts w:ascii="Arial" w:hAnsi="Arial" w:cs="Arial"/>
          <w:b/>
          <w:bCs/>
          <w:sz w:val="23"/>
          <w:szCs w:val="23"/>
        </w:rPr>
      </w:pPr>
    </w:p>
    <w:p w14:paraId="1B4F8835" w14:textId="77777777" w:rsidR="00880BE1" w:rsidRDefault="00880BE1" w:rsidP="00027EFD">
      <w:pPr>
        <w:pStyle w:val="Default"/>
        <w:rPr>
          <w:rFonts w:ascii="Arial" w:hAnsi="Arial" w:cs="Arial"/>
          <w:b/>
          <w:bCs/>
          <w:sz w:val="23"/>
          <w:szCs w:val="23"/>
        </w:rPr>
      </w:pPr>
    </w:p>
    <w:p w14:paraId="0F494DC1" w14:textId="77777777" w:rsidR="00880BE1" w:rsidRDefault="00880BE1" w:rsidP="00027EFD">
      <w:pPr>
        <w:pStyle w:val="Default"/>
        <w:rPr>
          <w:rFonts w:ascii="Arial" w:hAnsi="Arial" w:cs="Arial"/>
          <w:b/>
          <w:bCs/>
          <w:sz w:val="23"/>
          <w:szCs w:val="23"/>
        </w:rPr>
      </w:pPr>
    </w:p>
    <w:p w14:paraId="3C9A68DF" w14:textId="38D572EB" w:rsidR="00880BE1" w:rsidRDefault="00880BE1" w:rsidP="00027EFD">
      <w:pPr>
        <w:pStyle w:val="Default"/>
        <w:rPr>
          <w:rFonts w:ascii="Arial" w:hAnsi="Arial" w:cs="Arial"/>
          <w:b/>
          <w:bCs/>
          <w:sz w:val="23"/>
          <w:szCs w:val="23"/>
        </w:rPr>
      </w:pPr>
    </w:p>
    <w:p w14:paraId="6FA67344" w14:textId="5FA0E5FF" w:rsidR="00F71C47" w:rsidRDefault="00F71C47" w:rsidP="00027EFD">
      <w:pPr>
        <w:pStyle w:val="Default"/>
        <w:rPr>
          <w:rFonts w:ascii="Arial" w:hAnsi="Arial" w:cs="Arial"/>
          <w:b/>
          <w:bCs/>
          <w:sz w:val="23"/>
          <w:szCs w:val="23"/>
        </w:rPr>
      </w:pPr>
    </w:p>
    <w:p w14:paraId="3AA44FDD" w14:textId="77777777" w:rsidR="00F71C47" w:rsidRDefault="00F71C47" w:rsidP="00027EFD">
      <w:pPr>
        <w:pStyle w:val="Default"/>
        <w:rPr>
          <w:rFonts w:ascii="Arial" w:hAnsi="Arial" w:cs="Arial"/>
          <w:b/>
          <w:bCs/>
          <w:sz w:val="23"/>
          <w:szCs w:val="23"/>
        </w:rPr>
      </w:pPr>
    </w:p>
    <w:p w14:paraId="0AB614A6" w14:textId="77777777" w:rsidR="00880BE1" w:rsidRDefault="00880BE1" w:rsidP="00027EFD">
      <w:pPr>
        <w:pStyle w:val="Default"/>
        <w:rPr>
          <w:rFonts w:ascii="Arial" w:hAnsi="Arial" w:cs="Arial"/>
          <w:b/>
          <w:bCs/>
          <w:sz w:val="23"/>
          <w:szCs w:val="23"/>
        </w:rPr>
      </w:pPr>
    </w:p>
    <w:p w14:paraId="2A952059" w14:textId="3AB53BCB" w:rsidR="00027EFD" w:rsidRDefault="00880BE1" w:rsidP="00027EFD">
      <w:pPr>
        <w:pStyle w:val="Default"/>
        <w:rPr>
          <w:rFonts w:ascii="Arial" w:hAnsi="Arial" w:cs="Arial"/>
          <w:b/>
          <w:bCs/>
          <w:sz w:val="22"/>
          <w:szCs w:val="22"/>
        </w:rPr>
      </w:pPr>
      <w:r w:rsidRPr="002E3D1B">
        <w:rPr>
          <w:rFonts w:ascii="Arial" w:hAnsi="Arial" w:cs="Arial"/>
          <w:b/>
          <w:bCs/>
          <w:sz w:val="22"/>
          <w:szCs w:val="22"/>
        </w:rPr>
        <w:lastRenderedPageBreak/>
        <w:t>Table of revisions</w:t>
      </w:r>
    </w:p>
    <w:p w14:paraId="452B58B5" w14:textId="77777777" w:rsidR="00880BE1" w:rsidRPr="002E3D1B" w:rsidRDefault="00880BE1" w:rsidP="00027EFD">
      <w:pPr>
        <w:pStyle w:val="Default"/>
        <w:rPr>
          <w:rFonts w:ascii="Arial" w:hAnsi="Arial" w:cs="Arial"/>
          <w:b/>
          <w:bCs/>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1097"/>
        <w:gridCol w:w="4035"/>
        <w:gridCol w:w="1884"/>
      </w:tblGrid>
      <w:tr w:rsidR="00027EFD" w:rsidRPr="00880BE1" w14:paraId="60057EFD" w14:textId="77777777" w:rsidTr="002E3D1B">
        <w:trPr>
          <w:tblHeader/>
        </w:trPr>
        <w:tc>
          <w:tcPr>
            <w:tcW w:w="2306" w:type="dxa"/>
          </w:tcPr>
          <w:p w14:paraId="3606ADEE" w14:textId="77777777" w:rsidR="00027EFD" w:rsidRPr="002E3D1B" w:rsidRDefault="00027EFD" w:rsidP="002E3D1B">
            <w:pPr>
              <w:pStyle w:val="Bolt"/>
              <w:rPr>
                <w:sz w:val="22"/>
                <w:szCs w:val="22"/>
              </w:rPr>
            </w:pPr>
            <w:r w:rsidRPr="002E3D1B">
              <w:rPr>
                <w:sz w:val="22"/>
                <w:szCs w:val="22"/>
              </w:rPr>
              <w:t>Date</w:t>
            </w:r>
          </w:p>
        </w:tc>
        <w:tc>
          <w:tcPr>
            <w:tcW w:w="1097" w:type="dxa"/>
          </w:tcPr>
          <w:p w14:paraId="394B54C2" w14:textId="77777777" w:rsidR="00027EFD" w:rsidRPr="002E3D1B" w:rsidRDefault="00027EFD">
            <w:pPr>
              <w:pStyle w:val="Bolt"/>
              <w:rPr>
                <w:sz w:val="22"/>
                <w:szCs w:val="22"/>
              </w:rPr>
            </w:pPr>
            <w:r w:rsidRPr="002E3D1B">
              <w:rPr>
                <w:sz w:val="22"/>
                <w:szCs w:val="22"/>
              </w:rPr>
              <w:t>Version</w:t>
            </w:r>
          </w:p>
        </w:tc>
        <w:tc>
          <w:tcPr>
            <w:tcW w:w="4035" w:type="dxa"/>
          </w:tcPr>
          <w:p w14:paraId="19FF7364" w14:textId="77777777" w:rsidR="00027EFD" w:rsidRPr="002E3D1B" w:rsidRDefault="00027EFD">
            <w:pPr>
              <w:pStyle w:val="Bolt"/>
              <w:rPr>
                <w:sz w:val="22"/>
                <w:szCs w:val="22"/>
              </w:rPr>
            </w:pPr>
            <w:r w:rsidRPr="002E3D1B">
              <w:rPr>
                <w:sz w:val="22"/>
                <w:szCs w:val="22"/>
              </w:rPr>
              <w:t>Purpose</w:t>
            </w:r>
          </w:p>
        </w:tc>
        <w:tc>
          <w:tcPr>
            <w:tcW w:w="1884" w:type="dxa"/>
          </w:tcPr>
          <w:p w14:paraId="77FA7FCB" w14:textId="77777777" w:rsidR="00027EFD" w:rsidRPr="002E3D1B" w:rsidRDefault="00027EFD">
            <w:pPr>
              <w:pStyle w:val="Bolt"/>
              <w:rPr>
                <w:sz w:val="22"/>
                <w:szCs w:val="22"/>
              </w:rPr>
            </w:pPr>
            <w:r w:rsidRPr="002E3D1B">
              <w:rPr>
                <w:sz w:val="22"/>
                <w:szCs w:val="22"/>
              </w:rPr>
              <w:t>Jurisdiction</w:t>
            </w:r>
          </w:p>
        </w:tc>
      </w:tr>
      <w:tr w:rsidR="00AD452A" w:rsidRPr="00880BE1" w14:paraId="19CBE0A1" w14:textId="77777777" w:rsidTr="00FE448D">
        <w:tc>
          <w:tcPr>
            <w:tcW w:w="2306" w:type="dxa"/>
          </w:tcPr>
          <w:p w14:paraId="6970E6E3" w14:textId="468D7C59" w:rsidR="00AD452A" w:rsidRDefault="00AD452A" w:rsidP="00FE448D">
            <w:pPr>
              <w:pStyle w:val="BodyText"/>
              <w:autoSpaceDE w:val="0"/>
              <w:autoSpaceDN w:val="0"/>
              <w:adjustRightInd w:val="0"/>
              <w:spacing w:before="120"/>
              <w:jc w:val="center"/>
              <w:rPr>
                <w:rFonts w:cs="Arial"/>
                <w:sz w:val="22"/>
                <w:szCs w:val="22"/>
              </w:rPr>
            </w:pPr>
            <w:r>
              <w:rPr>
                <w:rFonts w:cs="Arial"/>
                <w:sz w:val="22"/>
                <w:szCs w:val="22"/>
              </w:rPr>
              <w:t>July 2022</w:t>
            </w:r>
          </w:p>
        </w:tc>
        <w:tc>
          <w:tcPr>
            <w:tcW w:w="1097" w:type="dxa"/>
          </w:tcPr>
          <w:p w14:paraId="2B566F14" w14:textId="6C297AE4" w:rsidR="00AD452A" w:rsidRDefault="00AD452A" w:rsidP="00FE448D">
            <w:pPr>
              <w:pStyle w:val="BodyText"/>
              <w:autoSpaceDE w:val="0"/>
              <w:autoSpaceDN w:val="0"/>
              <w:adjustRightInd w:val="0"/>
              <w:spacing w:before="120"/>
              <w:jc w:val="center"/>
              <w:rPr>
                <w:rFonts w:cs="Arial"/>
                <w:sz w:val="22"/>
                <w:szCs w:val="22"/>
              </w:rPr>
            </w:pPr>
            <w:r>
              <w:rPr>
                <w:rFonts w:cs="Arial"/>
                <w:sz w:val="22"/>
                <w:szCs w:val="22"/>
              </w:rPr>
              <w:t>4</w:t>
            </w:r>
          </w:p>
        </w:tc>
        <w:tc>
          <w:tcPr>
            <w:tcW w:w="4035" w:type="dxa"/>
          </w:tcPr>
          <w:p w14:paraId="2DF01939" w14:textId="3CF7B2B2" w:rsidR="00AD452A" w:rsidRDefault="00AD452A" w:rsidP="00FE448D">
            <w:pPr>
              <w:pStyle w:val="BodyText"/>
              <w:autoSpaceDE w:val="0"/>
              <w:autoSpaceDN w:val="0"/>
              <w:adjustRightInd w:val="0"/>
              <w:spacing w:before="120"/>
              <w:jc w:val="center"/>
              <w:rPr>
                <w:rFonts w:cs="Arial"/>
                <w:sz w:val="22"/>
                <w:szCs w:val="22"/>
              </w:rPr>
            </w:pPr>
            <w:r>
              <w:rPr>
                <w:rFonts w:cs="Arial"/>
                <w:sz w:val="22"/>
                <w:szCs w:val="22"/>
              </w:rPr>
              <w:t xml:space="preserve">Update department </w:t>
            </w:r>
            <w:r w:rsidR="00D90E58">
              <w:rPr>
                <w:rFonts w:cs="Arial"/>
                <w:sz w:val="22"/>
                <w:szCs w:val="22"/>
              </w:rPr>
              <w:t>name</w:t>
            </w:r>
          </w:p>
        </w:tc>
        <w:tc>
          <w:tcPr>
            <w:tcW w:w="1884" w:type="dxa"/>
          </w:tcPr>
          <w:p w14:paraId="6F047A11" w14:textId="0F5838F3" w:rsidR="00AD452A" w:rsidRDefault="00D90E58" w:rsidP="00FE448D">
            <w:pPr>
              <w:pStyle w:val="BodyText"/>
              <w:autoSpaceDE w:val="0"/>
              <w:autoSpaceDN w:val="0"/>
              <w:adjustRightInd w:val="0"/>
              <w:spacing w:before="120"/>
              <w:jc w:val="center"/>
              <w:rPr>
                <w:rFonts w:cs="Arial"/>
                <w:sz w:val="22"/>
                <w:szCs w:val="22"/>
              </w:rPr>
            </w:pPr>
            <w:r>
              <w:rPr>
                <w:rFonts w:cs="Arial"/>
                <w:sz w:val="22"/>
                <w:szCs w:val="22"/>
              </w:rPr>
              <w:t>Commonwealth</w:t>
            </w:r>
          </w:p>
        </w:tc>
      </w:tr>
      <w:tr w:rsidR="00D33503" w:rsidRPr="00880BE1" w14:paraId="2FF420C5" w14:textId="77777777" w:rsidTr="00FE448D">
        <w:tc>
          <w:tcPr>
            <w:tcW w:w="2306" w:type="dxa"/>
          </w:tcPr>
          <w:p w14:paraId="56AE0F26" w14:textId="48C2DE32" w:rsidR="00D33503" w:rsidRDefault="00D33503" w:rsidP="00FE448D">
            <w:pPr>
              <w:pStyle w:val="BodyText"/>
              <w:autoSpaceDE w:val="0"/>
              <w:autoSpaceDN w:val="0"/>
              <w:adjustRightInd w:val="0"/>
              <w:spacing w:before="120"/>
              <w:jc w:val="center"/>
              <w:rPr>
                <w:rFonts w:cs="Arial"/>
                <w:sz w:val="22"/>
                <w:szCs w:val="22"/>
              </w:rPr>
            </w:pPr>
            <w:r>
              <w:rPr>
                <w:rFonts w:cs="Arial"/>
                <w:sz w:val="22"/>
                <w:szCs w:val="22"/>
              </w:rPr>
              <w:t>February 2020</w:t>
            </w:r>
          </w:p>
        </w:tc>
        <w:tc>
          <w:tcPr>
            <w:tcW w:w="1097" w:type="dxa"/>
          </w:tcPr>
          <w:p w14:paraId="6E8817D1" w14:textId="76D30891" w:rsidR="00D33503" w:rsidRDefault="00D33503" w:rsidP="00FE448D">
            <w:pPr>
              <w:pStyle w:val="BodyText"/>
              <w:autoSpaceDE w:val="0"/>
              <w:autoSpaceDN w:val="0"/>
              <w:adjustRightInd w:val="0"/>
              <w:spacing w:before="120"/>
              <w:jc w:val="center"/>
              <w:rPr>
                <w:rFonts w:cs="Arial"/>
                <w:sz w:val="22"/>
                <w:szCs w:val="22"/>
              </w:rPr>
            </w:pPr>
            <w:r>
              <w:rPr>
                <w:rFonts w:cs="Arial"/>
                <w:sz w:val="22"/>
                <w:szCs w:val="22"/>
              </w:rPr>
              <w:t>3</w:t>
            </w:r>
          </w:p>
        </w:tc>
        <w:tc>
          <w:tcPr>
            <w:tcW w:w="4035" w:type="dxa"/>
          </w:tcPr>
          <w:p w14:paraId="7606A628" w14:textId="442748D0" w:rsidR="00D33503" w:rsidRDefault="00D33503" w:rsidP="00FE448D">
            <w:pPr>
              <w:pStyle w:val="BodyText"/>
              <w:autoSpaceDE w:val="0"/>
              <w:autoSpaceDN w:val="0"/>
              <w:adjustRightInd w:val="0"/>
              <w:spacing w:before="120"/>
              <w:jc w:val="center"/>
              <w:rPr>
                <w:rFonts w:cs="Arial"/>
                <w:sz w:val="22"/>
                <w:szCs w:val="22"/>
              </w:rPr>
            </w:pPr>
            <w:r>
              <w:rPr>
                <w:rFonts w:cs="Arial"/>
                <w:sz w:val="22"/>
                <w:szCs w:val="22"/>
              </w:rPr>
              <w:t>Update department name</w:t>
            </w:r>
          </w:p>
        </w:tc>
        <w:tc>
          <w:tcPr>
            <w:tcW w:w="1884" w:type="dxa"/>
          </w:tcPr>
          <w:p w14:paraId="782148D6" w14:textId="0BFDFD8F" w:rsidR="00D33503" w:rsidRDefault="00D33503" w:rsidP="00FE448D">
            <w:pPr>
              <w:pStyle w:val="BodyText"/>
              <w:autoSpaceDE w:val="0"/>
              <w:autoSpaceDN w:val="0"/>
              <w:adjustRightInd w:val="0"/>
              <w:spacing w:before="120"/>
              <w:jc w:val="center"/>
              <w:rPr>
                <w:rFonts w:cs="Arial"/>
                <w:sz w:val="22"/>
                <w:szCs w:val="22"/>
              </w:rPr>
            </w:pPr>
            <w:r>
              <w:rPr>
                <w:rFonts w:cs="Arial"/>
                <w:sz w:val="22"/>
                <w:szCs w:val="22"/>
              </w:rPr>
              <w:t>Commonwealth</w:t>
            </w:r>
          </w:p>
        </w:tc>
      </w:tr>
      <w:tr w:rsidR="001E6611" w:rsidRPr="00880BE1" w14:paraId="36E595D7" w14:textId="77777777" w:rsidTr="00FE448D">
        <w:tc>
          <w:tcPr>
            <w:tcW w:w="2306" w:type="dxa"/>
          </w:tcPr>
          <w:p w14:paraId="084B7905" w14:textId="77777777" w:rsidR="001E6611" w:rsidRDefault="001E6611" w:rsidP="00FE448D">
            <w:pPr>
              <w:pStyle w:val="BodyText"/>
              <w:autoSpaceDE w:val="0"/>
              <w:autoSpaceDN w:val="0"/>
              <w:adjustRightInd w:val="0"/>
              <w:spacing w:before="120"/>
              <w:jc w:val="center"/>
              <w:rPr>
                <w:rFonts w:cs="Arial"/>
                <w:sz w:val="22"/>
                <w:szCs w:val="22"/>
              </w:rPr>
            </w:pPr>
            <w:r>
              <w:rPr>
                <w:rFonts w:cs="Arial"/>
                <w:sz w:val="22"/>
                <w:szCs w:val="22"/>
              </w:rPr>
              <w:t>May 2019</w:t>
            </w:r>
          </w:p>
        </w:tc>
        <w:tc>
          <w:tcPr>
            <w:tcW w:w="1097" w:type="dxa"/>
          </w:tcPr>
          <w:p w14:paraId="526E6598" w14:textId="77777777" w:rsidR="001E6611" w:rsidRPr="002E3D1B" w:rsidRDefault="001E6611" w:rsidP="00FE448D">
            <w:pPr>
              <w:pStyle w:val="BodyText"/>
              <w:autoSpaceDE w:val="0"/>
              <w:autoSpaceDN w:val="0"/>
              <w:adjustRightInd w:val="0"/>
              <w:spacing w:before="120"/>
              <w:jc w:val="center"/>
              <w:rPr>
                <w:rFonts w:cs="Arial"/>
                <w:sz w:val="22"/>
                <w:szCs w:val="22"/>
              </w:rPr>
            </w:pPr>
            <w:r>
              <w:rPr>
                <w:rFonts w:cs="Arial"/>
                <w:sz w:val="22"/>
                <w:szCs w:val="22"/>
              </w:rPr>
              <w:t>2</w:t>
            </w:r>
          </w:p>
        </w:tc>
        <w:tc>
          <w:tcPr>
            <w:tcW w:w="4035" w:type="dxa"/>
          </w:tcPr>
          <w:p w14:paraId="703C5B92" w14:textId="77777777" w:rsidR="001E6611" w:rsidRPr="002E3D1B" w:rsidRDefault="001E6611" w:rsidP="00FE448D">
            <w:pPr>
              <w:pStyle w:val="BodyText"/>
              <w:autoSpaceDE w:val="0"/>
              <w:autoSpaceDN w:val="0"/>
              <w:adjustRightInd w:val="0"/>
              <w:spacing w:before="120"/>
              <w:jc w:val="center"/>
              <w:rPr>
                <w:rFonts w:cs="Arial"/>
                <w:sz w:val="22"/>
                <w:szCs w:val="22"/>
              </w:rPr>
            </w:pPr>
            <w:r>
              <w:rPr>
                <w:rFonts w:cs="Arial"/>
                <w:sz w:val="22"/>
                <w:szCs w:val="22"/>
              </w:rPr>
              <w:t>Clarification on application process</w:t>
            </w:r>
          </w:p>
        </w:tc>
        <w:tc>
          <w:tcPr>
            <w:tcW w:w="1884" w:type="dxa"/>
          </w:tcPr>
          <w:p w14:paraId="5691EAB2" w14:textId="77777777" w:rsidR="001E6611" w:rsidRPr="002E3D1B" w:rsidRDefault="001E6611" w:rsidP="00FE448D">
            <w:pPr>
              <w:pStyle w:val="BodyText"/>
              <w:autoSpaceDE w:val="0"/>
              <w:autoSpaceDN w:val="0"/>
              <w:adjustRightInd w:val="0"/>
              <w:spacing w:before="120"/>
              <w:jc w:val="center"/>
              <w:rPr>
                <w:rFonts w:cs="Arial"/>
                <w:sz w:val="22"/>
                <w:szCs w:val="22"/>
              </w:rPr>
            </w:pPr>
            <w:r>
              <w:rPr>
                <w:rFonts w:cs="Arial"/>
                <w:sz w:val="22"/>
                <w:szCs w:val="22"/>
              </w:rPr>
              <w:t>Commonwealth</w:t>
            </w:r>
          </w:p>
        </w:tc>
      </w:tr>
      <w:tr w:rsidR="00451DB0" w:rsidRPr="00880BE1" w14:paraId="03D4A383" w14:textId="77777777" w:rsidTr="002E3D1B">
        <w:tc>
          <w:tcPr>
            <w:tcW w:w="2306" w:type="dxa"/>
          </w:tcPr>
          <w:p w14:paraId="4DE58DA5" w14:textId="4DC2A7A9" w:rsidR="00451DB0" w:rsidRPr="002E3D1B" w:rsidRDefault="000F1CBF" w:rsidP="002E3D1B">
            <w:pPr>
              <w:pStyle w:val="BodyText"/>
              <w:autoSpaceDE w:val="0"/>
              <w:autoSpaceDN w:val="0"/>
              <w:adjustRightInd w:val="0"/>
              <w:spacing w:before="120"/>
              <w:jc w:val="center"/>
              <w:rPr>
                <w:rFonts w:cs="Arial"/>
                <w:sz w:val="22"/>
                <w:szCs w:val="22"/>
              </w:rPr>
            </w:pPr>
            <w:r>
              <w:rPr>
                <w:rFonts w:cs="Arial"/>
                <w:sz w:val="22"/>
                <w:szCs w:val="22"/>
              </w:rPr>
              <w:t>July</w:t>
            </w:r>
            <w:r w:rsidR="008026ED" w:rsidRPr="002E3D1B">
              <w:rPr>
                <w:rFonts w:cs="Arial"/>
                <w:sz w:val="22"/>
                <w:szCs w:val="22"/>
              </w:rPr>
              <w:t xml:space="preserve"> 2017</w:t>
            </w:r>
          </w:p>
        </w:tc>
        <w:tc>
          <w:tcPr>
            <w:tcW w:w="1097" w:type="dxa"/>
          </w:tcPr>
          <w:p w14:paraId="7A77D5B2" w14:textId="77777777" w:rsidR="00451DB0" w:rsidRPr="002E3D1B" w:rsidRDefault="00D92FE5" w:rsidP="002E3D1B">
            <w:pPr>
              <w:pStyle w:val="BodyText"/>
              <w:autoSpaceDE w:val="0"/>
              <w:autoSpaceDN w:val="0"/>
              <w:adjustRightInd w:val="0"/>
              <w:spacing w:before="120"/>
              <w:jc w:val="center"/>
              <w:rPr>
                <w:rFonts w:cs="Arial"/>
                <w:sz w:val="22"/>
                <w:szCs w:val="22"/>
              </w:rPr>
            </w:pPr>
            <w:r w:rsidRPr="002E3D1B">
              <w:rPr>
                <w:rFonts w:cs="Arial"/>
                <w:sz w:val="22"/>
                <w:szCs w:val="22"/>
              </w:rPr>
              <w:t>1</w:t>
            </w:r>
          </w:p>
        </w:tc>
        <w:tc>
          <w:tcPr>
            <w:tcW w:w="4035" w:type="dxa"/>
          </w:tcPr>
          <w:p w14:paraId="624DF6F0" w14:textId="1E28E3DB" w:rsidR="00451DB0" w:rsidRPr="002E3D1B" w:rsidRDefault="00D92FE5" w:rsidP="002E3D1B">
            <w:pPr>
              <w:pStyle w:val="BodyText"/>
              <w:autoSpaceDE w:val="0"/>
              <w:autoSpaceDN w:val="0"/>
              <w:adjustRightInd w:val="0"/>
              <w:spacing w:before="120"/>
              <w:jc w:val="center"/>
              <w:rPr>
                <w:rFonts w:cs="Arial"/>
                <w:sz w:val="22"/>
                <w:szCs w:val="22"/>
              </w:rPr>
            </w:pPr>
            <w:r w:rsidRPr="002E3D1B">
              <w:rPr>
                <w:rFonts w:cs="Arial"/>
                <w:sz w:val="22"/>
                <w:szCs w:val="22"/>
              </w:rPr>
              <w:t xml:space="preserve">To establish </w:t>
            </w:r>
            <w:r w:rsidR="00577576" w:rsidRPr="002E3D1B">
              <w:rPr>
                <w:rFonts w:cs="Arial"/>
                <w:sz w:val="22"/>
                <w:szCs w:val="22"/>
              </w:rPr>
              <w:t>a Guideline for the D</w:t>
            </w:r>
            <w:r w:rsidR="007356A8" w:rsidRPr="002E3D1B">
              <w:rPr>
                <w:rFonts w:cs="Arial"/>
                <w:sz w:val="22"/>
                <w:szCs w:val="22"/>
              </w:rPr>
              <w:t>eclaration</w:t>
            </w:r>
            <w:r w:rsidR="00577576" w:rsidRPr="002E3D1B">
              <w:rPr>
                <w:rFonts w:cs="Arial"/>
                <w:sz w:val="22"/>
                <w:szCs w:val="22"/>
              </w:rPr>
              <w:t xml:space="preserve"> of a Location</w:t>
            </w:r>
            <w:r w:rsidR="007356A8" w:rsidRPr="002E3D1B">
              <w:rPr>
                <w:rFonts w:cs="Arial"/>
                <w:sz w:val="22"/>
                <w:szCs w:val="22"/>
              </w:rPr>
              <w:t>.</w:t>
            </w:r>
          </w:p>
        </w:tc>
        <w:tc>
          <w:tcPr>
            <w:tcW w:w="1884" w:type="dxa"/>
          </w:tcPr>
          <w:p w14:paraId="640736F8" w14:textId="77777777" w:rsidR="00451DB0" w:rsidRPr="002E3D1B" w:rsidRDefault="00D92FE5" w:rsidP="002E3D1B">
            <w:pPr>
              <w:pStyle w:val="BodyText"/>
              <w:autoSpaceDE w:val="0"/>
              <w:autoSpaceDN w:val="0"/>
              <w:adjustRightInd w:val="0"/>
              <w:spacing w:before="120"/>
              <w:jc w:val="center"/>
              <w:rPr>
                <w:rFonts w:cs="Arial"/>
                <w:sz w:val="22"/>
                <w:szCs w:val="22"/>
              </w:rPr>
            </w:pPr>
            <w:r w:rsidRPr="002E3D1B">
              <w:rPr>
                <w:rFonts w:cs="Arial"/>
                <w:sz w:val="22"/>
                <w:szCs w:val="22"/>
              </w:rPr>
              <w:t>Commonwealth</w:t>
            </w:r>
          </w:p>
        </w:tc>
      </w:tr>
    </w:tbl>
    <w:p w14:paraId="030E39E5" w14:textId="77777777" w:rsidR="00073C4E" w:rsidRDefault="00073C4E" w:rsidP="00027EFD">
      <w:pPr>
        <w:rPr>
          <w:rFonts w:ascii="Arial" w:hAnsi="Arial" w:cs="Arial"/>
        </w:rPr>
        <w:sectPr w:rsidR="00073C4E" w:rsidSect="00EC5575">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1134" w:right="993" w:bottom="1134" w:left="851" w:header="709" w:footer="624" w:gutter="0"/>
          <w:cols w:space="708"/>
          <w:titlePg/>
          <w:docGrid w:linePitch="360"/>
        </w:sectPr>
      </w:pPr>
      <w:bookmarkStart w:id="43" w:name="_Toc326914540"/>
    </w:p>
    <w:bookmarkStart w:id="44" w:name="Flowchart"/>
    <w:p w14:paraId="61176AB2" w14:textId="49549FD8" w:rsidR="00106F86" w:rsidRDefault="00CE427C" w:rsidP="009835F3">
      <w:pPr>
        <w:pStyle w:val="Header"/>
        <w:rPr>
          <w:rFonts w:ascii="Arial" w:hAnsi="Arial" w:cs="Arial"/>
        </w:rPr>
      </w:pPr>
      <w:r>
        <w:object w:dxaOrig="22861" w:dyaOrig="16185" w14:anchorId="34C0D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ttachment A - Locations Flowchart (in relation to applications by an exploration permit holder only)" style="width:1058.25pt;height:748.5pt" o:ole="">
            <v:imagedata r:id="rId32" o:title=""/>
          </v:shape>
          <o:OLEObject Type="Embed" ProgID="Visio.Drawing.15" ShapeID="_x0000_i1025" DrawAspect="Content" ObjectID="_1719650909" r:id="rId33"/>
        </w:object>
      </w:r>
      <w:bookmarkEnd w:id="44"/>
    </w:p>
    <w:p w14:paraId="70E74FD3" w14:textId="77777777" w:rsidR="00FF44D9" w:rsidRPr="00106F86" w:rsidRDefault="00FF44D9" w:rsidP="00106F86">
      <w:pPr>
        <w:rPr>
          <w:rFonts w:ascii="Arial" w:hAnsi="Arial" w:cs="Arial"/>
        </w:rPr>
        <w:sectPr w:rsidR="00FF44D9" w:rsidRPr="00106F86" w:rsidSect="00106F86">
          <w:pgSz w:w="23814" w:h="16839" w:orient="landscape" w:code="8"/>
          <w:pgMar w:top="851" w:right="1134" w:bottom="993" w:left="1134" w:header="709" w:footer="624" w:gutter="0"/>
          <w:cols w:space="708"/>
          <w:docGrid w:linePitch="360"/>
        </w:sectPr>
      </w:pPr>
    </w:p>
    <w:p w14:paraId="1839AEA4" w14:textId="77A09848" w:rsidR="00073C4E" w:rsidRDefault="00073C4E" w:rsidP="00027EFD">
      <w:pPr>
        <w:rPr>
          <w:rFonts w:ascii="Arial" w:hAnsi="Arial" w:cs="Arial"/>
        </w:rPr>
        <w:sectPr w:rsidR="00073C4E" w:rsidSect="000022EC">
          <w:pgSz w:w="11907" w:h="16839" w:code="9"/>
          <w:pgMar w:top="1134" w:right="993" w:bottom="1134" w:left="851" w:header="709" w:footer="624" w:gutter="0"/>
          <w:cols w:space="708"/>
          <w:docGrid w:linePitch="360"/>
        </w:sectPr>
      </w:pPr>
    </w:p>
    <w:p w14:paraId="7916B186" w14:textId="2F4155A5" w:rsidR="00027EFD" w:rsidRDefault="00D20C83" w:rsidP="006D6982">
      <w:pPr>
        <w:pStyle w:val="Heading1"/>
        <w:tabs>
          <w:tab w:val="clear" w:pos="432"/>
          <w:tab w:val="num" w:pos="0"/>
        </w:tabs>
        <w:ind w:left="0" w:firstLine="0"/>
      </w:pPr>
      <w:bookmarkStart w:id="45" w:name="_Toc483231648"/>
      <w:bookmarkStart w:id="46" w:name="_Toc422388816"/>
      <w:bookmarkEnd w:id="43"/>
      <w:r>
        <w:t>Attachment B – Suggested information to support a nomination to declare a location</w:t>
      </w:r>
      <w:bookmarkEnd w:id="45"/>
      <w:r>
        <w:t xml:space="preserve"> </w:t>
      </w:r>
      <w:bookmarkEnd w:id="46"/>
    </w:p>
    <w:p w14:paraId="5DDB8B24" w14:textId="77777777" w:rsidR="006D6982" w:rsidRDefault="006D6982" w:rsidP="007371F0">
      <w:pPr>
        <w:tabs>
          <w:tab w:val="left" w:pos="567"/>
        </w:tabs>
        <w:rPr>
          <w:rFonts w:ascii="Arial" w:hAnsi="Arial" w:cs="Arial"/>
        </w:rPr>
      </w:pPr>
    </w:p>
    <w:p w14:paraId="4A75D6DE" w14:textId="2D495F8C" w:rsidR="007371F0" w:rsidRPr="0083560E" w:rsidRDefault="007371F0" w:rsidP="007371F0">
      <w:pPr>
        <w:tabs>
          <w:tab w:val="left" w:pos="567"/>
        </w:tabs>
        <w:rPr>
          <w:rFonts w:ascii="Arial" w:hAnsi="Arial" w:cs="Arial"/>
          <w:sz w:val="22"/>
          <w:szCs w:val="22"/>
        </w:rPr>
      </w:pPr>
      <w:r w:rsidRPr="0083560E">
        <w:rPr>
          <w:rFonts w:ascii="Arial" w:hAnsi="Arial" w:cs="Arial"/>
          <w:sz w:val="22"/>
          <w:szCs w:val="22"/>
        </w:rPr>
        <w:t>Suggested information for inclusion in a nomination to declare a location</w:t>
      </w:r>
      <w:r w:rsidR="00052C2D" w:rsidRPr="0083560E">
        <w:rPr>
          <w:rFonts w:ascii="Arial" w:hAnsi="Arial" w:cs="Arial"/>
          <w:sz w:val="22"/>
          <w:szCs w:val="22"/>
        </w:rPr>
        <w:t>,</w:t>
      </w:r>
      <w:r w:rsidRPr="0083560E">
        <w:rPr>
          <w:rFonts w:ascii="Arial" w:hAnsi="Arial" w:cs="Arial"/>
          <w:sz w:val="22"/>
          <w:szCs w:val="22"/>
        </w:rPr>
        <w:t xml:space="preserve"> as applicable to the individual circumstances of each nomination. </w:t>
      </w:r>
    </w:p>
    <w:p w14:paraId="25C0E6FB" w14:textId="77777777" w:rsidR="007371F0" w:rsidRPr="0083560E" w:rsidRDefault="007371F0" w:rsidP="00231B9D">
      <w:pPr>
        <w:rPr>
          <w:rFonts w:ascii="Arial" w:hAnsi="Arial" w:cs="Arial"/>
          <w:sz w:val="22"/>
          <w:szCs w:val="22"/>
        </w:rPr>
      </w:pPr>
    </w:p>
    <w:p w14:paraId="7469E6F9" w14:textId="33E7D0C9" w:rsidR="00027EFD" w:rsidRPr="0083560E" w:rsidRDefault="00027EFD" w:rsidP="00CE427C">
      <w:pPr>
        <w:pStyle w:val="Heading2"/>
        <w:numPr>
          <w:ilvl w:val="0"/>
          <w:numId w:val="29"/>
        </w:numPr>
      </w:pPr>
      <w:bookmarkStart w:id="47" w:name="_Toc422388818"/>
      <w:r w:rsidRPr="0083560E">
        <w:t>Supporting Documentation</w:t>
      </w:r>
      <w:bookmarkEnd w:id="47"/>
    </w:p>
    <w:p w14:paraId="1DCEDCB7" w14:textId="4FA36C88" w:rsidR="00027EFD" w:rsidRPr="0083560E" w:rsidRDefault="00027EFD" w:rsidP="00894F40">
      <w:pPr>
        <w:spacing w:line="276" w:lineRule="auto"/>
        <w:rPr>
          <w:rFonts w:ascii="Arial" w:hAnsi="Arial" w:cs="Arial"/>
          <w:color w:val="000000" w:themeColor="text1"/>
          <w:sz w:val="22"/>
          <w:szCs w:val="22"/>
        </w:rPr>
      </w:pPr>
      <w:r w:rsidRPr="0083560E">
        <w:rPr>
          <w:rFonts w:ascii="Arial" w:hAnsi="Arial" w:cs="Arial"/>
          <w:color w:val="000000" w:themeColor="text1"/>
          <w:sz w:val="22"/>
          <w:szCs w:val="22"/>
        </w:rPr>
        <w:t xml:space="preserve">The supporting documentation </w:t>
      </w:r>
      <w:r w:rsidR="007371F0" w:rsidRPr="0083560E">
        <w:rPr>
          <w:rFonts w:ascii="Arial" w:hAnsi="Arial" w:cs="Arial"/>
          <w:color w:val="000000" w:themeColor="text1"/>
          <w:sz w:val="22"/>
          <w:szCs w:val="22"/>
        </w:rPr>
        <w:t xml:space="preserve">should </w:t>
      </w:r>
      <w:r w:rsidRPr="0083560E">
        <w:rPr>
          <w:rFonts w:ascii="Arial" w:hAnsi="Arial" w:cs="Arial"/>
          <w:color w:val="000000" w:themeColor="text1"/>
          <w:sz w:val="22"/>
          <w:szCs w:val="22"/>
        </w:rPr>
        <w:t xml:space="preserve">include a discussion of the regional exploration completed to date. It </w:t>
      </w:r>
      <w:r w:rsidR="007371F0" w:rsidRPr="0083560E">
        <w:rPr>
          <w:rFonts w:ascii="Arial" w:hAnsi="Arial" w:cs="Arial"/>
          <w:color w:val="000000" w:themeColor="text1"/>
          <w:sz w:val="22"/>
          <w:szCs w:val="22"/>
        </w:rPr>
        <w:t xml:space="preserve">should </w:t>
      </w:r>
      <w:r w:rsidRPr="0083560E">
        <w:rPr>
          <w:rFonts w:ascii="Arial" w:hAnsi="Arial" w:cs="Arial"/>
          <w:color w:val="000000" w:themeColor="text1"/>
          <w:sz w:val="22"/>
          <w:szCs w:val="22"/>
        </w:rPr>
        <w:t xml:space="preserve">also include a </w:t>
      </w:r>
      <w:r w:rsidR="00395D30">
        <w:rPr>
          <w:rFonts w:ascii="Arial" w:hAnsi="Arial" w:cs="Arial"/>
          <w:color w:val="000000" w:themeColor="text1"/>
          <w:sz w:val="22"/>
          <w:szCs w:val="22"/>
        </w:rPr>
        <w:t xml:space="preserve">detailed </w:t>
      </w:r>
      <w:r w:rsidRPr="0083560E">
        <w:rPr>
          <w:rFonts w:ascii="Arial" w:hAnsi="Arial" w:cs="Arial"/>
          <w:color w:val="000000" w:themeColor="text1"/>
          <w:sz w:val="22"/>
          <w:szCs w:val="22"/>
        </w:rPr>
        <w:t>discussion of the geological setting of the identified petroleum pool(s), especially within the exploration permit where it is located.</w:t>
      </w:r>
    </w:p>
    <w:p w14:paraId="23F60E81" w14:textId="77777777" w:rsidR="00710833" w:rsidRPr="0083560E" w:rsidRDefault="00710833" w:rsidP="00894F40">
      <w:pPr>
        <w:spacing w:line="276" w:lineRule="auto"/>
        <w:rPr>
          <w:rFonts w:ascii="Arial" w:hAnsi="Arial" w:cs="Arial"/>
          <w:color w:val="000000" w:themeColor="text1"/>
          <w:sz w:val="22"/>
          <w:szCs w:val="22"/>
        </w:rPr>
      </w:pPr>
    </w:p>
    <w:p w14:paraId="31974348" w14:textId="7D5C9761" w:rsidR="00027EFD" w:rsidRPr="0083560E" w:rsidRDefault="00027EFD" w:rsidP="00CE427C">
      <w:pPr>
        <w:pStyle w:val="Heading2"/>
        <w:numPr>
          <w:ilvl w:val="0"/>
          <w:numId w:val="29"/>
        </w:numPr>
      </w:pPr>
      <w:bookmarkStart w:id="48" w:name="_Toc422388819"/>
      <w:r w:rsidRPr="0083560E">
        <w:t>Exploration Context of Permit and Pool(s) under Consideration</w:t>
      </w:r>
      <w:bookmarkEnd w:id="48"/>
    </w:p>
    <w:p w14:paraId="12FCE186" w14:textId="6047AB30" w:rsidR="00027EFD" w:rsidRPr="0083560E" w:rsidRDefault="00027EFD" w:rsidP="00894F40">
      <w:pPr>
        <w:numPr>
          <w:ilvl w:val="0"/>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Title Summary</w:t>
      </w:r>
      <w:r w:rsidR="00DE765F" w:rsidRPr="0083560E">
        <w:rPr>
          <w:rFonts w:ascii="Arial" w:hAnsi="Arial" w:cs="Arial"/>
          <w:color w:val="000000" w:themeColor="text1"/>
          <w:sz w:val="22"/>
          <w:szCs w:val="22"/>
        </w:rPr>
        <w:t xml:space="preserve"> (short summary of the title ownership and exploration work program)</w:t>
      </w:r>
    </w:p>
    <w:p w14:paraId="0A648648" w14:textId="77777777" w:rsidR="00027EFD" w:rsidRPr="0083560E" w:rsidRDefault="00027EFD" w:rsidP="00894F40">
      <w:pPr>
        <w:numPr>
          <w:ilvl w:val="0"/>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Exploration and discovery history</w:t>
      </w:r>
    </w:p>
    <w:p w14:paraId="4D803F43" w14:textId="77777777" w:rsidR="00027EFD" w:rsidRPr="0083560E" w:rsidRDefault="00027EFD" w:rsidP="00894F40">
      <w:pPr>
        <w:numPr>
          <w:ilvl w:val="1"/>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 xml:space="preserve">Wells drilled  </w:t>
      </w:r>
    </w:p>
    <w:p w14:paraId="4C07D5A4" w14:textId="77777777" w:rsidR="00027EFD" w:rsidRPr="0083560E" w:rsidRDefault="00027EFD" w:rsidP="00894F40">
      <w:pPr>
        <w:numPr>
          <w:ilvl w:val="1"/>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Well results</w:t>
      </w:r>
    </w:p>
    <w:p w14:paraId="639BC86C" w14:textId="77777777" w:rsidR="00027EFD" w:rsidRPr="0083560E" w:rsidRDefault="00027EFD" w:rsidP="00894F40">
      <w:pPr>
        <w:numPr>
          <w:ilvl w:val="1"/>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Adjacent fields</w:t>
      </w:r>
    </w:p>
    <w:p w14:paraId="6A64BAE3" w14:textId="77777777" w:rsidR="00027EFD" w:rsidRPr="0083560E" w:rsidRDefault="00027EFD" w:rsidP="00894F40">
      <w:pPr>
        <w:numPr>
          <w:ilvl w:val="0"/>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 xml:space="preserve">Geological Setting </w:t>
      </w:r>
    </w:p>
    <w:p w14:paraId="356286A2" w14:textId="77777777" w:rsidR="00027EFD" w:rsidRPr="0083560E" w:rsidRDefault="00027EFD" w:rsidP="00894F40">
      <w:pPr>
        <w:numPr>
          <w:ilvl w:val="1"/>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Play types</w:t>
      </w:r>
    </w:p>
    <w:p w14:paraId="1FD3CB79" w14:textId="77777777" w:rsidR="00027EFD" w:rsidRPr="0083560E" w:rsidRDefault="00027EFD" w:rsidP="00894F40">
      <w:pPr>
        <w:numPr>
          <w:ilvl w:val="1"/>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Petroleum systems</w:t>
      </w:r>
    </w:p>
    <w:p w14:paraId="1B319389" w14:textId="77777777" w:rsidR="00027EFD" w:rsidRPr="0083560E" w:rsidRDefault="00027EFD" w:rsidP="00894F40">
      <w:pPr>
        <w:numPr>
          <w:ilvl w:val="2"/>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Trap types</w:t>
      </w:r>
    </w:p>
    <w:p w14:paraId="57F5B98C" w14:textId="77777777" w:rsidR="00027EFD" w:rsidRPr="0083560E" w:rsidRDefault="00027EFD" w:rsidP="00894F40">
      <w:pPr>
        <w:numPr>
          <w:ilvl w:val="2"/>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Reservoirs, seals</w:t>
      </w:r>
    </w:p>
    <w:p w14:paraId="08DC1458" w14:textId="77777777" w:rsidR="00027EFD" w:rsidRPr="0083560E" w:rsidRDefault="00027EFD" w:rsidP="00894F40">
      <w:pPr>
        <w:numPr>
          <w:ilvl w:val="2"/>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 xml:space="preserve">Source rocks </w:t>
      </w:r>
    </w:p>
    <w:p w14:paraId="7E051755" w14:textId="77777777" w:rsidR="00027EFD" w:rsidRPr="0083560E" w:rsidRDefault="00027EFD" w:rsidP="00894F40">
      <w:pPr>
        <w:numPr>
          <w:ilvl w:val="2"/>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Stratigraphy</w:t>
      </w:r>
    </w:p>
    <w:p w14:paraId="245D0DE5" w14:textId="77777777" w:rsidR="00027EFD" w:rsidRPr="0083560E" w:rsidRDefault="00027EFD" w:rsidP="00894F40">
      <w:pPr>
        <w:numPr>
          <w:ilvl w:val="0"/>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Petroleum pool(s)</w:t>
      </w:r>
    </w:p>
    <w:p w14:paraId="20EAC0F7" w14:textId="77777777" w:rsidR="00027EFD" w:rsidRPr="0083560E" w:rsidRDefault="00027EFD" w:rsidP="00894F40">
      <w:pPr>
        <w:numPr>
          <w:ilvl w:val="1"/>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Trapping mechanism(s)</w:t>
      </w:r>
    </w:p>
    <w:p w14:paraId="68F9951A" w14:textId="77777777" w:rsidR="00027EFD" w:rsidRPr="0083560E" w:rsidRDefault="00027EFD" w:rsidP="00894F40">
      <w:pPr>
        <w:numPr>
          <w:ilvl w:val="1"/>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Reservoirs, seals</w:t>
      </w:r>
    </w:p>
    <w:p w14:paraId="49D9EA53" w14:textId="4B876D6E" w:rsidR="00027EFD" w:rsidRPr="0083560E" w:rsidRDefault="004A0B92" w:rsidP="00894F40">
      <w:pPr>
        <w:numPr>
          <w:ilvl w:val="1"/>
          <w:numId w:val="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Estimated h</w:t>
      </w:r>
      <w:r w:rsidR="00027EFD" w:rsidRPr="0083560E">
        <w:rPr>
          <w:rFonts w:ascii="Arial" w:hAnsi="Arial" w:cs="Arial"/>
          <w:color w:val="000000" w:themeColor="text1"/>
          <w:sz w:val="22"/>
          <w:szCs w:val="22"/>
        </w:rPr>
        <w:t>ydrocarbon volumes in place</w:t>
      </w:r>
      <w:r w:rsidR="00F27516" w:rsidRPr="0083560E">
        <w:rPr>
          <w:rFonts w:ascii="Arial" w:hAnsi="Arial" w:cs="Arial"/>
          <w:color w:val="000000" w:themeColor="text1"/>
          <w:sz w:val="22"/>
          <w:szCs w:val="22"/>
        </w:rPr>
        <w:t xml:space="preserve"> and estimate of recoverable hydrocarbons</w:t>
      </w:r>
    </w:p>
    <w:p w14:paraId="28CDF88A" w14:textId="77777777" w:rsidR="00BA1BCE" w:rsidRPr="0083560E" w:rsidRDefault="00BA1BCE" w:rsidP="00894F40">
      <w:pPr>
        <w:spacing w:line="276" w:lineRule="auto"/>
        <w:ind w:left="1440"/>
        <w:jc w:val="both"/>
        <w:rPr>
          <w:rFonts w:ascii="Arial" w:hAnsi="Arial" w:cs="Arial"/>
          <w:color w:val="000000" w:themeColor="text1"/>
          <w:sz w:val="22"/>
          <w:szCs w:val="22"/>
        </w:rPr>
      </w:pPr>
    </w:p>
    <w:p w14:paraId="00C4A033" w14:textId="5CD47920" w:rsidR="00027EFD" w:rsidRPr="0083560E" w:rsidRDefault="00027EFD" w:rsidP="00CE427C">
      <w:pPr>
        <w:pStyle w:val="Heading2"/>
        <w:numPr>
          <w:ilvl w:val="0"/>
          <w:numId w:val="29"/>
        </w:numPr>
      </w:pPr>
      <w:bookmarkStart w:id="49" w:name="_Toc422388820"/>
      <w:r w:rsidRPr="0083560E">
        <w:t>Petroleum Pool(s)</w:t>
      </w:r>
      <w:bookmarkEnd w:id="49"/>
    </w:p>
    <w:p w14:paraId="124284BE" w14:textId="77777777" w:rsidR="00027EFD" w:rsidRPr="0083560E" w:rsidRDefault="00027EFD" w:rsidP="00894F40">
      <w:pPr>
        <w:numPr>
          <w:ilvl w:val="0"/>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Recoveries and types of petroleum recovered</w:t>
      </w:r>
    </w:p>
    <w:p w14:paraId="1CEB3A0E" w14:textId="77777777" w:rsidR="00027EFD" w:rsidRPr="0083560E" w:rsidRDefault="00027EFD" w:rsidP="00894F40">
      <w:pPr>
        <w:numPr>
          <w:ilvl w:val="1"/>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Nature of testing; volumes recovered</w:t>
      </w:r>
    </w:p>
    <w:p w14:paraId="071EDF94" w14:textId="77777777" w:rsidR="00027EFD" w:rsidRPr="0083560E" w:rsidRDefault="005C7DC0" w:rsidP="00894F40">
      <w:pPr>
        <w:numPr>
          <w:ilvl w:val="1"/>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Formation(s) from which petroleum was recov</w:t>
      </w:r>
      <w:r w:rsidR="00737E21" w:rsidRPr="0083560E">
        <w:rPr>
          <w:rFonts w:ascii="Arial" w:hAnsi="Arial" w:cs="Arial"/>
          <w:color w:val="000000" w:themeColor="text1"/>
          <w:sz w:val="22"/>
          <w:szCs w:val="22"/>
        </w:rPr>
        <w:t>er</w:t>
      </w:r>
      <w:r w:rsidRPr="0083560E">
        <w:rPr>
          <w:rFonts w:ascii="Arial" w:hAnsi="Arial" w:cs="Arial"/>
          <w:color w:val="000000" w:themeColor="text1"/>
          <w:sz w:val="22"/>
          <w:szCs w:val="22"/>
        </w:rPr>
        <w:t>ed</w:t>
      </w:r>
    </w:p>
    <w:p w14:paraId="4673DA3D" w14:textId="5A2338E2" w:rsidR="00027EFD" w:rsidRPr="0083560E" w:rsidRDefault="00027EFD" w:rsidP="00894F40">
      <w:pPr>
        <w:numPr>
          <w:ilvl w:val="1"/>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Depths of hydrocarbon</w:t>
      </w:r>
      <w:r w:rsidR="006D6624" w:rsidRPr="0083560E">
        <w:rPr>
          <w:rFonts w:ascii="Arial" w:hAnsi="Arial" w:cs="Arial"/>
          <w:color w:val="000000" w:themeColor="text1"/>
          <w:sz w:val="22"/>
          <w:szCs w:val="22"/>
        </w:rPr>
        <w:t xml:space="preserve"> recoveries </w:t>
      </w:r>
      <w:r w:rsidRPr="0083560E">
        <w:rPr>
          <w:rFonts w:ascii="Arial" w:hAnsi="Arial" w:cs="Arial"/>
          <w:color w:val="000000" w:themeColor="text1"/>
          <w:sz w:val="22"/>
          <w:szCs w:val="22"/>
        </w:rPr>
        <w:t xml:space="preserve">and pressure </w:t>
      </w:r>
      <w:r w:rsidR="006D6624" w:rsidRPr="0083560E">
        <w:rPr>
          <w:rFonts w:ascii="Arial" w:hAnsi="Arial" w:cs="Arial"/>
          <w:color w:val="000000" w:themeColor="text1"/>
          <w:sz w:val="22"/>
          <w:szCs w:val="22"/>
        </w:rPr>
        <w:t>tests</w:t>
      </w:r>
    </w:p>
    <w:p w14:paraId="34DE4F30" w14:textId="77777777" w:rsidR="00027EFD" w:rsidRPr="0083560E" w:rsidRDefault="00027EFD" w:rsidP="00894F40">
      <w:pPr>
        <w:numPr>
          <w:ilvl w:val="1"/>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Validity of tests and recoveries</w:t>
      </w:r>
    </w:p>
    <w:p w14:paraId="4F90BDAD" w14:textId="77777777" w:rsidR="00027EFD" w:rsidRPr="0083560E" w:rsidRDefault="00027EFD" w:rsidP="00894F40">
      <w:pPr>
        <w:numPr>
          <w:ilvl w:val="0"/>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Nature of hydrocarbons recovered; analyses and compositions of hydrocarbons recovered</w:t>
      </w:r>
    </w:p>
    <w:p w14:paraId="7EC97C7F" w14:textId="77777777" w:rsidR="00027EFD" w:rsidRPr="0083560E" w:rsidRDefault="00027EFD" w:rsidP="00894F40">
      <w:pPr>
        <w:numPr>
          <w:ilvl w:val="0"/>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 xml:space="preserve">Pressure system(s) present </w:t>
      </w:r>
    </w:p>
    <w:p w14:paraId="12BA0E7F" w14:textId="77777777" w:rsidR="00027EFD" w:rsidRPr="0083560E" w:rsidRDefault="00AD7A60" w:rsidP="00894F40">
      <w:pPr>
        <w:numPr>
          <w:ilvl w:val="1"/>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All available pressure data including any identified or interpreted fluid contacts, such as hydrocarbon-water contacts</w:t>
      </w:r>
    </w:p>
    <w:p w14:paraId="06CAE972" w14:textId="77777777" w:rsidR="00027EFD" w:rsidRPr="0083560E" w:rsidRDefault="00027EFD" w:rsidP="00894F40">
      <w:pPr>
        <w:numPr>
          <w:ilvl w:val="0"/>
          <w:numId w:val="2"/>
        </w:num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Evidence for compartmentalisation in pool and aquifer; potential effects of faulting?</w:t>
      </w:r>
    </w:p>
    <w:p w14:paraId="316A5C95" w14:textId="77777777" w:rsidR="00BA1BCE" w:rsidRPr="0083560E" w:rsidRDefault="00BA1BCE" w:rsidP="00894F40">
      <w:pPr>
        <w:spacing w:line="276" w:lineRule="auto"/>
        <w:ind w:left="720"/>
        <w:jc w:val="both"/>
        <w:rPr>
          <w:rFonts w:ascii="Arial" w:hAnsi="Arial" w:cs="Arial"/>
          <w:color w:val="000000" w:themeColor="text1"/>
          <w:sz w:val="22"/>
          <w:szCs w:val="22"/>
        </w:rPr>
      </w:pPr>
    </w:p>
    <w:p w14:paraId="586E9360" w14:textId="77777777" w:rsidR="00027EFD" w:rsidRPr="0083560E" w:rsidRDefault="00027EFD" w:rsidP="00CE427C">
      <w:pPr>
        <w:pStyle w:val="Heading2"/>
        <w:numPr>
          <w:ilvl w:val="0"/>
          <w:numId w:val="29"/>
        </w:numPr>
      </w:pPr>
      <w:bookmarkStart w:id="50" w:name="_Toc422388821"/>
      <w:r w:rsidRPr="0083560E">
        <w:t>Lateral and Vertical Extents of Pool(s)</w:t>
      </w:r>
      <w:bookmarkEnd w:id="50"/>
      <w:r w:rsidRPr="0083560E">
        <w:t xml:space="preserve"> </w:t>
      </w:r>
    </w:p>
    <w:p w14:paraId="25189C26" w14:textId="41A14793" w:rsidR="00027EFD" w:rsidRPr="0083560E" w:rsidRDefault="00027EFD" w:rsidP="00894F40">
      <w:pPr>
        <w:pStyle w:val="ListParagraph"/>
        <w:numPr>
          <w:ilvl w:val="0"/>
          <w:numId w:val="3"/>
        </w:numPr>
        <w:spacing w:after="0"/>
        <w:contextualSpacing w:val="0"/>
        <w:jc w:val="both"/>
        <w:rPr>
          <w:rFonts w:ascii="Arial" w:hAnsi="Arial" w:cs="Arial"/>
          <w:color w:val="000000" w:themeColor="text1"/>
        </w:rPr>
      </w:pPr>
      <w:r w:rsidRPr="0083560E">
        <w:rPr>
          <w:rFonts w:ascii="Arial" w:hAnsi="Arial" w:cs="Arial"/>
          <w:color w:val="000000" w:themeColor="text1"/>
        </w:rPr>
        <w:t xml:space="preserve">Evidence for the distribution of the pool(s) in the reservoir(s) within the exploration permit and </w:t>
      </w:r>
      <w:r w:rsidR="00F03AC6" w:rsidRPr="0083560E">
        <w:rPr>
          <w:rFonts w:ascii="Arial" w:hAnsi="Arial" w:cs="Arial"/>
          <w:color w:val="000000" w:themeColor="text1"/>
        </w:rPr>
        <w:t>block or blocks</w:t>
      </w:r>
      <w:r w:rsidRPr="0083560E">
        <w:rPr>
          <w:rFonts w:ascii="Arial" w:hAnsi="Arial" w:cs="Arial"/>
          <w:color w:val="000000" w:themeColor="text1"/>
        </w:rPr>
        <w:t xml:space="preserve"> at </w:t>
      </w:r>
      <w:r w:rsidR="00796AA8" w:rsidRPr="0083560E">
        <w:rPr>
          <w:rFonts w:ascii="Arial" w:hAnsi="Arial" w:cs="Arial"/>
          <w:color w:val="000000" w:themeColor="text1"/>
        </w:rPr>
        <w:t>Low, Mid and High (or 3C</w:t>
      </w:r>
      <w:r w:rsidR="00AE2D06" w:rsidRPr="0083560E">
        <w:rPr>
          <w:rFonts w:ascii="Arial" w:hAnsi="Arial" w:cs="Arial"/>
          <w:color w:val="000000" w:themeColor="text1"/>
        </w:rPr>
        <w:t>-2C-</w:t>
      </w:r>
      <w:r w:rsidR="00796AA8" w:rsidRPr="0083560E">
        <w:rPr>
          <w:rFonts w:ascii="Arial" w:hAnsi="Arial" w:cs="Arial"/>
          <w:color w:val="000000" w:themeColor="text1"/>
        </w:rPr>
        <w:t xml:space="preserve">1C or </w:t>
      </w:r>
      <w:r w:rsidRPr="0083560E">
        <w:rPr>
          <w:rFonts w:ascii="Arial" w:hAnsi="Arial" w:cs="Arial"/>
          <w:color w:val="000000" w:themeColor="text1"/>
        </w:rPr>
        <w:t>P10</w:t>
      </w:r>
      <w:r w:rsidR="00AE2D06" w:rsidRPr="0083560E">
        <w:rPr>
          <w:rFonts w:ascii="Arial" w:hAnsi="Arial" w:cs="Arial"/>
          <w:color w:val="000000" w:themeColor="text1"/>
        </w:rPr>
        <w:t>-</w:t>
      </w:r>
      <w:r w:rsidR="00796AA8" w:rsidRPr="0083560E">
        <w:rPr>
          <w:rFonts w:ascii="Arial" w:hAnsi="Arial" w:cs="Arial"/>
          <w:color w:val="000000" w:themeColor="text1"/>
        </w:rPr>
        <w:t>P50</w:t>
      </w:r>
      <w:r w:rsidR="00AE2D06" w:rsidRPr="0083560E">
        <w:rPr>
          <w:rFonts w:ascii="Arial" w:hAnsi="Arial" w:cs="Arial"/>
          <w:color w:val="000000" w:themeColor="text1"/>
        </w:rPr>
        <w:t>-</w:t>
      </w:r>
      <w:r w:rsidR="00796AA8" w:rsidRPr="0083560E">
        <w:rPr>
          <w:rFonts w:ascii="Arial" w:hAnsi="Arial" w:cs="Arial"/>
          <w:color w:val="000000" w:themeColor="text1"/>
        </w:rPr>
        <w:t xml:space="preserve">P90) </w:t>
      </w:r>
      <w:r w:rsidRPr="0083560E">
        <w:rPr>
          <w:rFonts w:ascii="Arial" w:hAnsi="Arial" w:cs="Arial"/>
          <w:color w:val="000000" w:themeColor="text1"/>
        </w:rPr>
        <w:t>confidence levels</w:t>
      </w:r>
    </w:p>
    <w:p w14:paraId="3C2B2237" w14:textId="77777777" w:rsidR="00027EFD" w:rsidRPr="0083560E" w:rsidRDefault="00027EFD">
      <w:pPr>
        <w:pStyle w:val="ListParagraph"/>
        <w:numPr>
          <w:ilvl w:val="0"/>
          <w:numId w:val="3"/>
        </w:numPr>
        <w:spacing w:after="0"/>
        <w:contextualSpacing w:val="0"/>
        <w:jc w:val="both"/>
        <w:rPr>
          <w:rFonts w:ascii="Arial" w:hAnsi="Arial" w:cs="Arial"/>
          <w:color w:val="000000" w:themeColor="text1"/>
        </w:rPr>
      </w:pPr>
      <w:r w:rsidRPr="0083560E">
        <w:rPr>
          <w:rFonts w:ascii="Arial" w:hAnsi="Arial" w:cs="Arial"/>
          <w:color w:val="000000" w:themeColor="text1"/>
        </w:rPr>
        <w:t>Discussion of the uncertainties associated with seismic</w:t>
      </w:r>
      <w:r w:rsidR="00796AA8" w:rsidRPr="0083560E">
        <w:rPr>
          <w:rFonts w:ascii="Arial" w:hAnsi="Arial" w:cs="Arial"/>
          <w:color w:val="000000" w:themeColor="text1"/>
        </w:rPr>
        <w:t xml:space="preserve"> data interpretation, including (but not limited to)</w:t>
      </w:r>
      <w:r w:rsidRPr="0083560E">
        <w:rPr>
          <w:rFonts w:ascii="Arial" w:hAnsi="Arial" w:cs="Arial"/>
          <w:color w:val="000000" w:themeColor="text1"/>
        </w:rPr>
        <w:t xml:space="preserve"> depth</w:t>
      </w:r>
      <w:r w:rsidR="00796AA8" w:rsidRPr="0083560E">
        <w:rPr>
          <w:rFonts w:ascii="Arial" w:hAnsi="Arial" w:cs="Arial"/>
          <w:color w:val="000000" w:themeColor="text1"/>
        </w:rPr>
        <w:t xml:space="preserve"> conversion</w:t>
      </w:r>
      <w:r w:rsidRPr="0083560E">
        <w:rPr>
          <w:rFonts w:ascii="Arial" w:hAnsi="Arial" w:cs="Arial"/>
          <w:color w:val="000000" w:themeColor="text1"/>
        </w:rPr>
        <w:t xml:space="preserve"> </w:t>
      </w:r>
      <w:r w:rsidR="00796AA8" w:rsidRPr="0083560E">
        <w:rPr>
          <w:rFonts w:ascii="Arial" w:hAnsi="Arial" w:cs="Arial"/>
          <w:color w:val="000000" w:themeColor="text1"/>
        </w:rPr>
        <w:t xml:space="preserve">(and </w:t>
      </w:r>
      <w:r w:rsidRPr="0083560E">
        <w:rPr>
          <w:rFonts w:ascii="Arial" w:hAnsi="Arial" w:cs="Arial"/>
          <w:color w:val="000000" w:themeColor="text1"/>
        </w:rPr>
        <w:t>mapping</w:t>
      </w:r>
      <w:r w:rsidR="00796AA8" w:rsidRPr="0083560E">
        <w:rPr>
          <w:rFonts w:ascii="Arial" w:hAnsi="Arial" w:cs="Arial"/>
          <w:color w:val="000000" w:themeColor="text1"/>
        </w:rPr>
        <w:t>) and</w:t>
      </w:r>
      <w:r w:rsidRPr="0083560E">
        <w:rPr>
          <w:rFonts w:ascii="Arial" w:hAnsi="Arial" w:cs="Arial"/>
          <w:color w:val="000000" w:themeColor="text1"/>
        </w:rPr>
        <w:t xml:space="preserve"> amplitude mapping</w:t>
      </w:r>
    </w:p>
    <w:p w14:paraId="5DCC6B99" w14:textId="77777777" w:rsidR="00BA1BCE" w:rsidRPr="0083560E" w:rsidRDefault="00BA1BCE" w:rsidP="00894F40">
      <w:pPr>
        <w:pStyle w:val="ListParagraph"/>
        <w:spacing w:after="0"/>
        <w:contextualSpacing w:val="0"/>
        <w:jc w:val="both"/>
        <w:rPr>
          <w:rFonts w:ascii="Arial" w:hAnsi="Arial" w:cs="Arial"/>
          <w:color w:val="000000" w:themeColor="text1"/>
        </w:rPr>
      </w:pPr>
    </w:p>
    <w:p w14:paraId="0648C1B3" w14:textId="77777777" w:rsidR="00027EFD" w:rsidRPr="0083560E" w:rsidRDefault="00027EFD" w:rsidP="00CE427C">
      <w:pPr>
        <w:pStyle w:val="Heading2"/>
        <w:numPr>
          <w:ilvl w:val="0"/>
          <w:numId w:val="29"/>
        </w:numPr>
      </w:pPr>
      <w:bookmarkStart w:id="51" w:name="_Toc422388822"/>
      <w:r w:rsidRPr="0083560E">
        <w:t>Digital Data</w:t>
      </w:r>
      <w:bookmarkEnd w:id="51"/>
      <w:r w:rsidRPr="0083560E">
        <w:t xml:space="preserve"> </w:t>
      </w:r>
    </w:p>
    <w:p w14:paraId="303B9FD5" w14:textId="77777777" w:rsidR="00027EFD" w:rsidRPr="0083560E" w:rsidRDefault="00027EFD" w:rsidP="00894F40">
      <w:pPr>
        <w:pStyle w:val="ListParagraph"/>
        <w:numPr>
          <w:ilvl w:val="0"/>
          <w:numId w:val="4"/>
        </w:numPr>
        <w:spacing w:after="0"/>
        <w:contextualSpacing w:val="0"/>
        <w:jc w:val="both"/>
        <w:rPr>
          <w:rFonts w:ascii="Arial" w:hAnsi="Arial" w:cs="Arial"/>
          <w:color w:val="000000" w:themeColor="text1"/>
        </w:rPr>
      </w:pPr>
      <w:r w:rsidRPr="0083560E">
        <w:rPr>
          <w:rFonts w:ascii="Arial" w:hAnsi="Arial" w:cs="Arial"/>
          <w:color w:val="000000" w:themeColor="text1"/>
        </w:rPr>
        <w:t xml:space="preserve">Application document </w:t>
      </w:r>
      <w:r w:rsidR="007371F0" w:rsidRPr="0083560E">
        <w:rPr>
          <w:rFonts w:ascii="Arial" w:hAnsi="Arial" w:cs="Arial"/>
          <w:color w:val="000000" w:themeColor="text1"/>
        </w:rPr>
        <w:t xml:space="preserve">should </w:t>
      </w:r>
      <w:r w:rsidRPr="0083560E">
        <w:rPr>
          <w:rFonts w:ascii="Arial" w:hAnsi="Arial" w:cs="Arial"/>
          <w:color w:val="000000" w:themeColor="text1"/>
        </w:rPr>
        <w:t>be submitted in both editable PDF and Microsoft Word formats</w:t>
      </w:r>
    </w:p>
    <w:p w14:paraId="058B0847" w14:textId="77777777" w:rsidR="00027EFD" w:rsidRPr="0083560E" w:rsidRDefault="00027EFD">
      <w:pPr>
        <w:pStyle w:val="ListParagraph"/>
        <w:numPr>
          <w:ilvl w:val="0"/>
          <w:numId w:val="4"/>
        </w:numPr>
        <w:spacing w:after="0"/>
        <w:contextualSpacing w:val="0"/>
        <w:jc w:val="both"/>
        <w:rPr>
          <w:rFonts w:ascii="Arial" w:hAnsi="Arial" w:cs="Arial"/>
          <w:color w:val="000000" w:themeColor="text1"/>
        </w:rPr>
      </w:pPr>
      <w:r w:rsidRPr="0083560E">
        <w:rPr>
          <w:rFonts w:ascii="Arial" w:hAnsi="Arial" w:cs="Arial"/>
          <w:color w:val="000000" w:themeColor="text1"/>
        </w:rPr>
        <w:t>Correctly geo-referenced image files of reservoir structure and other maps</w:t>
      </w:r>
    </w:p>
    <w:p w14:paraId="41C94CC2" w14:textId="77777777" w:rsidR="00BA1BCE" w:rsidRPr="0083560E" w:rsidRDefault="00BA1BCE" w:rsidP="00894F40">
      <w:pPr>
        <w:pStyle w:val="ListParagraph"/>
        <w:spacing w:after="0"/>
        <w:contextualSpacing w:val="0"/>
        <w:jc w:val="both"/>
        <w:rPr>
          <w:rFonts w:ascii="Arial" w:hAnsi="Arial" w:cs="Arial"/>
          <w:color w:val="000000" w:themeColor="text1"/>
        </w:rPr>
      </w:pPr>
    </w:p>
    <w:p w14:paraId="62927475" w14:textId="77777777" w:rsidR="00027EFD" w:rsidRPr="0083560E" w:rsidRDefault="00027EFD" w:rsidP="00CE427C">
      <w:pPr>
        <w:pStyle w:val="Heading2"/>
        <w:numPr>
          <w:ilvl w:val="0"/>
          <w:numId w:val="29"/>
        </w:numPr>
      </w:pPr>
      <w:bookmarkStart w:id="52" w:name="_Toc422388823"/>
      <w:r w:rsidRPr="0083560E">
        <w:t>Figures to Be Provided</w:t>
      </w:r>
      <w:bookmarkEnd w:id="52"/>
      <w:r w:rsidRPr="0083560E">
        <w:t xml:space="preserve"> </w:t>
      </w:r>
    </w:p>
    <w:p w14:paraId="278A9F5F" w14:textId="630AF7E9" w:rsidR="00027EFD" w:rsidRPr="0083560E" w:rsidRDefault="00027EFD" w:rsidP="00894F40">
      <w:pPr>
        <w:spacing w:line="276" w:lineRule="auto"/>
        <w:jc w:val="both"/>
        <w:rPr>
          <w:rFonts w:ascii="Arial" w:hAnsi="Arial" w:cs="Arial"/>
          <w:color w:val="000000" w:themeColor="text1"/>
          <w:sz w:val="22"/>
          <w:szCs w:val="22"/>
        </w:rPr>
      </w:pPr>
      <w:r w:rsidRPr="0083560E">
        <w:rPr>
          <w:rFonts w:ascii="Arial" w:hAnsi="Arial" w:cs="Arial"/>
          <w:color w:val="000000" w:themeColor="text1"/>
          <w:sz w:val="22"/>
          <w:szCs w:val="22"/>
        </w:rPr>
        <w:t>The following figures</w:t>
      </w:r>
      <w:r w:rsidR="007916CB" w:rsidRPr="0083560E">
        <w:rPr>
          <w:rStyle w:val="FootnoteReference"/>
          <w:rFonts w:ascii="Arial" w:hAnsi="Arial" w:cs="Arial"/>
          <w:color w:val="000000" w:themeColor="text1"/>
          <w:sz w:val="22"/>
          <w:szCs w:val="22"/>
        </w:rPr>
        <w:footnoteReference w:id="3"/>
      </w:r>
      <w:r w:rsidRPr="0083560E">
        <w:rPr>
          <w:rFonts w:ascii="Arial" w:hAnsi="Arial" w:cs="Arial"/>
          <w:color w:val="000000" w:themeColor="text1"/>
          <w:sz w:val="22"/>
          <w:szCs w:val="22"/>
        </w:rPr>
        <w:t xml:space="preserve"> </w:t>
      </w:r>
      <w:r w:rsidR="007371F0" w:rsidRPr="0083560E">
        <w:rPr>
          <w:rFonts w:ascii="Arial" w:hAnsi="Arial" w:cs="Arial"/>
          <w:color w:val="000000" w:themeColor="text1"/>
          <w:sz w:val="22"/>
          <w:szCs w:val="22"/>
        </w:rPr>
        <w:t xml:space="preserve">should </w:t>
      </w:r>
      <w:r w:rsidRPr="0083560E">
        <w:rPr>
          <w:rFonts w:ascii="Arial" w:hAnsi="Arial" w:cs="Arial"/>
          <w:color w:val="000000" w:themeColor="text1"/>
          <w:sz w:val="22"/>
          <w:szCs w:val="22"/>
        </w:rPr>
        <w:t>be included:</w:t>
      </w:r>
    </w:p>
    <w:p w14:paraId="7A4D2772" w14:textId="77777777" w:rsidR="00027EFD" w:rsidRPr="0083560E" w:rsidRDefault="00027EFD" w:rsidP="00894F40">
      <w:pPr>
        <w:pStyle w:val="ListParagraph"/>
        <w:numPr>
          <w:ilvl w:val="0"/>
          <w:numId w:val="3"/>
        </w:numPr>
        <w:spacing w:after="0"/>
        <w:contextualSpacing w:val="0"/>
        <w:jc w:val="both"/>
        <w:rPr>
          <w:rFonts w:ascii="Arial" w:hAnsi="Arial" w:cs="Arial"/>
          <w:color w:val="000000" w:themeColor="text1"/>
        </w:rPr>
      </w:pPr>
      <w:r w:rsidRPr="0083560E">
        <w:rPr>
          <w:rFonts w:ascii="Arial" w:hAnsi="Arial" w:cs="Arial"/>
          <w:color w:val="000000" w:themeColor="text1"/>
        </w:rPr>
        <w:t>Regional map showing the location of the exploration permit and petroleum pool(s)</w:t>
      </w:r>
    </w:p>
    <w:p w14:paraId="7CEF3F0A" w14:textId="311438CA" w:rsidR="00027EFD" w:rsidRPr="0083560E" w:rsidRDefault="00027EFD" w:rsidP="00894F40">
      <w:pPr>
        <w:pStyle w:val="ListParagraph"/>
        <w:numPr>
          <w:ilvl w:val="0"/>
          <w:numId w:val="3"/>
        </w:numPr>
        <w:spacing w:after="0"/>
        <w:contextualSpacing w:val="0"/>
        <w:jc w:val="both"/>
        <w:rPr>
          <w:rFonts w:ascii="Arial" w:hAnsi="Arial" w:cs="Arial"/>
          <w:color w:val="000000" w:themeColor="text1"/>
        </w:rPr>
      </w:pPr>
      <w:r w:rsidRPr="0083560E">
        <w:rPr>
          <w:rFonts w:ascii="Arial" w:hAnsi="Arial" w:cs="Arial"/>
          <w:color w:val="000000" w:themeColor="text1"/>
        </w:rPr>
        <w:t>Detailed map, at the permit scale, showing key wells, hydrocarbon pool(s) and field(s) and petroleum infrastructure</w:t>
      </w:r>
      <w:r w:rsidR="009835F3" w:rsidRPr="0083560E">
        <w:rPr>
          <w:rStyle w:val="FootnoteReference"/>
          <w:rFonts w:ascii="Arial" w:hAnsi="Arial" w:cs="Arial"/>
          <w:color w:val="000000" w:themeColor="text1"/>
        </w:rPr>
        <w:footnoteReference w:id="4"/>
      </w:r>
    </w:p>
    <w:p w14:paraId="015261F1" w14:textId="722DBEE6" w:rsidR="00027EFD" w:rsidRPr="0083560E" w:rsidRDefault="00027EFD" w:rsidP="00894F40">
      <w:pPr>
        <w:pStyle w:val="ListParagraph"/>
        <w:numPr>
          <w:ilvl w:val="0"/>
          <w:numId w:val="3"/>
        </w:numPr>
        <w:spacing w:after="0"/>
        <w:contextualSpacing w:val="0"/>
        <w:jc w:val="both"/>
        <w:rPr>
          <w:rFonts w:ascii="Arial" w:hAnsi="Arial" w:cs="Arial"/>
          <w:color w:val="000000" w:themeColor="text1"/>
        </w:rPr>
      </w:pPr>
      <w:r w:rsidRPr="0083560E">
        <w:rPr>
          <w:rFonts w:ascii="Arial" w:hAnsi="Arial" w:cs="Arial"/>
          <w:color w:val="000000" w:themeColor="text1"/>
        </w:rPr>
        <w:t>Geological map of pool(s) under application, including wells, significant faults, etc.</w:t>
      </w:r>
      <w:r w:rsidR="009835F3" w:rsidRPr="0083560E">
        <w:rPr>
          <w:rFonts w:ascii="Arial" w:hAnsi="Arial" w:cs="Arial"/>
          <w:color w:val="000000" w:themeColor="text1"/>
          <w:vertAlign w:val="superscript"/>
        </w:rPr>
        <w:t>3</w:t>
      </w:r>
    </w:p>
    <w:p w14:paraId="72DC0E14" w14:textId="31820CFC" w:rsidR="00027EFD" w:rsidRPr="0083560E" w:rsidRDefault="00027EFD" w:rsidP="00894F40">
      <w:pPr>
        <w:pStyle w:val="ListParagraph"/>
        <w:numPr>
          <w:ilvl w:val="0"/>
          <w:numId w:val="3"/>
        </w:numPr>
        <w:spacing w:after="0"/>
        <w:contextualSpacing w:val="0"/>
        <w:jc w:val="both"/>
        <w:rPr>
          <w:rFonts w:ascii="Arial" w:hAnsi="Arial" w:cs="Arial"/>
          <w:color w:val="000000" w:themeColor="text1"/>
        </w:rPr>
      </w:pPr>
      <w:r w:rsidRPr="0083560E">
        <w:rPr>
          <w:rFonts w:ascii="Arial" w:hAnsi="Arial" w:cs="Arial"/>
          <w:color w:val="000000" w:themeColor="text1"/>
        </w:rPr>
        <w:t>Reservoir two-way-travel</w:t>
      </w:r>
      <w:r w:rsidR="00CB13BD" w:rsidRPr="0083560E">
        <w:rPr>
          <w:rFonts w:ascii="Arial" w:hAnsi="Arial" w:cs="Arial"/>
          <w:color w:val="000000" w:themeColor="text1"/>
        </w:rPr>
        <w:t xml:space="preserve"> </w:t>
      </w:r>
      <w:r w:rsidRPr="0083560E">
        <w:rPr>
          <w:rFonts w:ascii="Arial" w:hAnsi="Arial" w:cs="Arial"/>
          <w:color w:val="000000" w:themeColor="text1"/>
        </w:rPr>
        <w:t xml:space="preserve">time (TWT) and depth structure maps, as well as distribution of pools at the </w:t>
      </w:r>
      <w:r w:rsidR="00AE2D06" w:rsidRPr="0083560E">
        <w:rPr>
          <w:rFonts w:ascii="Arial" w:hAnsi="Arial" w:cs="Arial"/>
          <w:color w:val="000000" w:themeColor="text1"/>
        </w:rPr>
        <w:t xml:space="preserve">Low, Mid and High (or 3C-2C-1C or P10-P50-P90) </w:t>
      </w:r>
      <w:r w:rsidRPr="0083560E">
        <w:rPr>
          <w:rFonts w:ascii="Arial" w:hAnsi="Arial" w:cs="Arial"/>
          <w:color w:val="000000" w:themeColor="text1"/>
        </w:rPr>
        <w:t xml:space="preserve">confidence levels to be shown in relation to relevant </w:t>
      </w:r>
      <w:r w:rsidR="00CB13BD" w:rsidRPr="0083560E">
        <w:rPr>
          <w:rFonts w:ascii="Arial" w:hAnsi="Arial" w:cs="Arial"/>
          <w:color w:val="000000" w:themeColor="text1"/>
        </w:rPr>
        <w:t xml:space="preserve">graticular </w:t>
      </w:r>
      <w:r w:rsidRPr="0083560E">
        <w:rPr>
          <w:rFonts w:ascii="Arial" w:hAnsi="Arial" w:cs="Arial"/>
          <w:color w:val="000000" w:themeColor="text1"/>
        </w:rPr>
        <w:t xml:space="preserve">blocks and the exploration permit. Locations of any seismic or cross-sections used to create the supporting documentation </w:t>
      </w:r>
      <w:r w:rsidR="007371F0" w:rsidRPr="0083560E">
        <w:rPr>
          <w:rFonts w:ascii="Arial" w:hAnsi="Arial" w:cs="Arial"/>
          <w:color w:val="000000" w:themeColor="text1"/>
        </w:rPr>
        <w:t xml:space="preserve">should </w:t>
      </w:r>
      <w:r w:rsidRPr="0083560E">
        <w:rPr>
          <w:rFonts w:ascii="Arial" w:hAnsi="Arial" w:cs="Arial"/>
          <w:color w:val="000000" w:themeColor="text1"/>
        </w:rPr>
        <w:t>be annotated</w:t>
      </w:r>
      <w:r w:rsidR="009835F3" w:rsidRPr="0083560E">
        <w:rPr>
          <w:rFonts w:ascii="Arial" w:hAnsi="Arial" w:cs="Arial"/>
          <w:color w:val="000000" w:themeColor="text1"/>
          <w:vertAlign w:val="superscript"/>
        </w:rPr>
        <w:t>3</w:t>
      </w:r>
      <w:r w:rsidRPr="0083560E">
        <w:rPr>
          <w:rFonts w:ascii="Arial" w:hAnsi="Arial" w:cs="Arial"/>
          <w:color w:val="000000" w:themeColor="text1"/>
        </w:rPr>
        <w:t xml:space="preserve"> </w:t>
      </w:r>
    </w:p>
    <w:p w14:paraId="7F150CB3" w14:textId="77777777" w:rsidR="00027EFD" w:rsidRPr="0083560E" w:rsidRDefault="00027EFD" w:rsidP="00894F40">
      <w:pPr>
        <w:pStyle w:val="ListParagraph"/>
        <w:numPr>
          <w:ilvl w:val="0"/>
          <w:numId w:val="3"/>
        </w:numPr>
        <w:spacing w:after="0"/>
        <w:contextualSpacing w:val="0"/>
        <w:jc w:val="both"/>
        <w:rPr>
          <w:rFonts w:ascii="Arial" w:hAnsi="Arial" w:cs="Arial"/>
          <w:color w:val="000000" w:themeColor="text1"/>
        </w:rPr>
      </w:pPr>
      <w:r w:rsidRPr="0083560E">
        <w:rPr>
          <w:rFonts w:ascii="Arial" w:hAnsi="Arial" w:cs="Arial"/>
          <w:color w:val="000000" w:themeColor="text1"/>
        </w:rPr>
        <w:t>Relevant stratigraphic column</w:t>
      </w:r>
    </w:p>
    <w:p w14:paraId="65951D8B" w14:textId="77777777" w:rsidR="00027EFD" w:rsidRPr="0083560E" w:rsidRDefault="00027EFD" w:rsidP="00894F40">
      <w:pPr>
        <w:pStyle w:val="ListParagraph"/>
        <w:numPr>
          <w:ilvl w:val="0"/>
          <w:numId w:val="3"/>
        </w:numPr>
        <w:spacing w:after="0"/>
        <w:contextualSpacing w:val="0"/>
        <w:jc w:val="both"/>
        <w:rPr>
          <w:rFonts w:ascii="Arial" w:hAnsi="Arial" w:cs="Arial"/>
          <w:color w:val="000000" w:themeColor="text1"/>
        </w:rPr>
      </w:pPr>
      <w:r w:rsidRPr="0083560E">
        <w:rPr>
          <w:rFonts w:ascii="Arial" w:hAnsi="Arial" w:cs="Arial"/>
          <w:color w:val="000000" w:themeColor="text1"/>
        </w:rPr>
        <w:t>Well log and stratigraphic correlations</w:t>
      </w:r>
    </w:p>
    <w:p w14:paraId="249B5AB4" w14:textId="77777777" w:rsidR="00027EFD" w:rsidRPr="0083560E" w:rsidRDefault="00027EFD" w:rsidP="00894F40">
      <w:pPr>
        <w:pStyle w:val="ListParagraph"/>
        <w:numPr>
          <w:ilvl w:val="0"/>
          <w:numId w:val="3"/>
        </w:numPr>
        <w:spacing w:after="0"/>
        <w:contextualSpacing w:val="0"/>
        <w:jc w:val="both"/>
        <w:rPr>
          <w:rFonts w:ascii="Arial" w:hAnsi="Arial" w:cs="Arial"/>
          <w:color w:val="000000" w:themeColor="text1"/>
        </w:rPr>
      </w:pPr>
      <w:r w:rsidRPr="0083560E">
        <w:rPr>
          <w:rFonts w:ascii="Arial" w:hAnsi="Arial" w:cs="Arial"/>
          <w:color w:val="000000" w:themeColor="text1"/>
        </w:rPr>
        <w:t xml:space="preserve">Pressure versus depth </w:t>
      </w:r>
      <w:r w:rsidR="00AE2D06" w:rsidRPr="0083560E">
        <w:rPr>
          <w:rFonts w:ascii="Arial" w:hAnsi="Arial" w:cs="Arial"/>
          <w:color w:val="000000" w:themeColor="text1"/>
        </w:rPr>
        <w:t xml:space="preserve">data </w:t>
      </w:r>
      <w:r w:rsidRPr="0083560E">
        <w:rPr>
          <w:rFonts w:ascii="Arial" w:hAnsi="Arial" w:cs="Arial"/>
          <w:color w:val="000000" w:themeColor="text1"/>
        </w:rPr>
        <w:t xml:space="preserve">plots for any wells essential to defining the pool(s). These </w:t>
      </w:r>
      <w:r w:rsidR="001F2ECC" w:rsidRPr="0083560E">
        <w:rPr>
          <w:rFonts w:ascii="Arial" w:hAnsi="Arial" w:cs="Arial"/>
          <w:color w:val="000000" w:themeColor="text1"/>
        </w:rPr>
        <w:t xml:space="preserve">should </w:t>
      </w:r>
      <w:r w:rsidRPr="0083560E">
        <w:rPr>
          <w:rFonts w:ascii="Arial" w:hAnsi="Arial" w:cs="Arial"/>
          <w:color w:val="000000" w:themeColor="text1"/>
        </w:rPr>
        <w:t>clearly shows all valid data points and interpreted fluid gradients; a lithological “strip” log of the well should appear on the depth axis of the plot.</w:t>
      </w:r>
    </w:p>
    <w:p w14:paraId="76F372DF" w14:textId="77777777" w:rsidR="00027EFD" w:rsidRPr="0083560E" w:rsidRDefault="00027EFD" w:rsidP="00894F40">
      <w:pPr>
        <w:pStyle w:val="ListParagraph"/>
        <w:numPr>
          <w:ilvl w:val="0"/>
          <w:numId w:val="3"/>
        </w:numPr>
        <w:spacing w:after="0"/>
        <w:contextualSpacing w:val="0"/>
        <w:jc w:val="both"/>
        <w:rPr>
          <w:rFonts w:ascii="Arial" w:hAnsi="Arial" w:cs="Arial"/>
          <w:color w:val="000000" w:themeColor="text1"/>
        </w:rPr>
      </w:pPr>
      <w:r w:rsidRPr="0083560E">
        <w:rPr>
          <w:rFonts w:ascii="Arial" w:hAnsi="Arial" w:cs="Arial"/>
          <w:color w:val="000000" w:themeColor="text1"/>
        </w:rPr>
        <w:t>A composite pressure data versus depth plot of all pressure data and fluid gradients from all relevant wells for which data is available. Relevant wells may include wells that demonstrate the extent of the pool(s), support the regional aquifer interpretation or demonstrate the relationship, or lack of relationship, with other near-by accumulations.</w:t>
      </w:r>
    </w:p>
    <w:p w14:paraId="748AB9CA" w14:textId="634396E3" w:rsidR="00027EFD" w:rsidRPr="0083560E" w:rsidRDefault="00027EFD" w:rsidP="00894F40">
      <w:pPr>
        <w:pStyle w:val="ListParagraph"/>
        <w:numPr>
          <w:ilvl w:val="0"/>
          <w:numId w:val="3"/>
        </w:numPr>
        <w:spacing w:after="0"/>
        <w:contextualSpacing w:val="0"/>
        <w:jc w:val="both"/>
        <w:rPr>
          <w:rFonts w:ascii="Arial" w:hAnsi="Arial" w:cs="Arial"/>
          <w:color w:val="000000" w:themeColor="text1"/>
        </w:rPr>
      </w:pPr>
      <w:r w:rsidRPr="0083560E">
        <w:rPr>
          <w:rFonts w:ascii="Arial" w:hAnsi="Arial" w:cs="Arial"/>
          <w:color w:val="000000" w:themeColor="text1"/>
        </w:rPr>
        <w:t>Dip and strike TWT seismic lines across the pool(s), showing well locations within the exploration permit</w:t>
      </w:r>
      <w:r w:rsidR="00FA4DE7" w:rsidRPr="0083560E">
        <w:rPr>
          <w:rFonts w:ascii="Arial" w:hAnsi="Arial" w:cs="Arial"/>
          <w:color w:val="000000" w:themeColor="text1"/>
        </w:rPr>
        <w:t xml:space="preserve">, relevant graticular </w:t>
      </w:r>
      <w:r w:rsidR="00F03AC6" w:rsidRPr="0083560E">
        <w:rPr>
          <w:rFonts w:ascii="Arial" w:hAnsi="Arial" w:cs="Arial"/>
          <w:color w:val="000000" w:themeColor="text1"/>
        </w:rPr>
        <w:t>block or blocks</w:t>
      </w:r>
      <w:r w:rsidR="00FA4DE7" w:rsidRPr="0083560E">
        <w:rPr>
          <w:rFonts w:ascii="Arial" w:hAnsi="Arial" w:cs="Arial"/>
          <w:color w:val="000000" w:themeColor="text1"/>
        </w:rPr>
        <w:t xml:space="preserve"> and </w:t>
      </w:r>
      <w:r w:rsidR="00231B9D" w:rsidRPr="0083560E">
        <w:rPr>
          <w:rFonts w:ascii="Arial" w:hAnsi="Arial" w:cs="Arial"/>
          <w:color w:val="000000" w:themeColor="text1"/>
        </w:rPr>
        <w:t>t</w:t>
      </w:r>
      <w:r w:rsidR="00FA4DE7" w:rsidRPr="0083560E">
        <w:rPr>
          <w:rFonts w:ascii="Arial" w:hAnsi="Arial" w:cs="Arial"/>
          <w:color w:val="000000" w:themeColor="text1"/>
        </w:rPr>
        <w:t xml:space="preserve">itle boundaries, as well as </w:t>
      </w:r>
      <w:r w:rsidRPr="0083560E">
        <w:rPr>
          <w:rFonts w:ascii="Arial" w:hAnsi="Arial" w:cs="Arial"/>
          <w:color w:val="000000" w:themeColor="text1"/>
        </w:rPr>
        <w:t xml:space="preserve">the positions and extent of the pool(s). </w:t>
      </w:r>
      <w:r w:rsidR="00FA4DE7" w:rsidRPr="0083560E">
        <w:rPr>
          <w:rFonts w:ascii="Arial" w:hAnsi="Arial" w:cs="Arial"/>
          <w:color w:val="000000" w:themeColor="text1"/>
        </w:rPr>
        <w:t>Any s</w:t>
      </w:r>
      <w:r w:rsidRPr="0083560E">
        <w:rPr>
          <w:rFonts w:ascii="Arial" w:hAnsi="Arial" w:cs="Arial"/>
          <w:color w:val="000000" w:themeColor="text1"/>
        </w:rPr>
        <w:t>eismic lines that are available in Depth should be provided also.</w:t>
      </w:r>
    </w:p>
    <w:p w14:paraId="09066010" w14:textId="77777777" w:rsidR="00027EFD" w:rsidRPr="0083560E" w:rsidRDefault="00027EFD" w:rsidP="00894F40">
      <w:pPr>
        <w:pStyle w:val="ListParagraph"/>
        <w:numPr>
          <w:ilvl w:val="0"/>
          <w:numId w:val="3"/>
        </w:numPr>
        <w:spacing w:after="0"/>
        <w:contextualSpacing w:val="0"/>
        <w:jc w:val="both"/>
        <w:rPr>
          <w:rFonts w:ascii="Arial" w:hAnsi="Arial" w:cs="Arial"/>
          <w:color w:val="000000" w:themeColor="text1"/>
        </w:rPr>
      </w:pPr>
      <w:r w:rsidRPr="0083560E">
        <w:rPr>
          <w:rFonts w:ascii="Arial" w:hAnsi="Arial" w:cs="Arial"/>
          <w:color w:val="000000" w:themeColor="text1"/>
        </w:rPr>
        <w:t>If seismic data extractions are to be submitted, the following should be noted:</w:t>
      </w:r>
    </w:p>
    <w:p w14:paraId="54A00C05" w14:textId="77777777" w:rsidR="00027EFD" w:rsidRPr="0083560E" w:rsidRDefault="00027EFD" w:rsidP="00894F40">
      <w:pPr>
        <w:pStyle w:val="ListParagraph"/>
        <w:numPr>
          <w:ilvl w:val="1"/>
          <w:numId w:val="3"/>
        </w:numPr>
        <w:spacing w:after="0"/>
        <w:contextualSpacing w:val="0"/>
        <w:jc w:val="both"/>
        <w:rPr>
          <w:rFonts w:ascii="Arial" w:hAnsi="Arial" w:cs="Arial"/>
          <w:color w:val="000000" w:themeColor="text1"/>
        </w:rPr>
      </w:pPr>
      <w:r w:rsidRPr="0083560E">
        <w:rPr>
          <w:rFonts w:ascii="Arial" w:hAnsi="Arial" w:cs="Arial"/>
          <w:color w:val="000000" w:themeColor="text1"/>
        </w:rPr>
        <w:t xml:space="preserve">Amplitude extractions are preferred. Extractions from any other seismic products </w:t>
      </w:r>
      <w:r w:rsidR="001F2ECC" w:rsidRPr="0083560E">
        <w:rPr>
          <w:rFonts w:ascii="Arial" w:hAnsi="Arial" w:cs="Arial"/>
          <w:color w:val="000000" w:themeColor="text1"/>
        </w:rPr>
        <w:t xml:space="preserve">should </w:t>
      </w:r>
      <w:r w:rsidRPr="0083560E">
        <w:rPr>
          <w:rFonts w:ascii="Arial" w:hAnsi="Arial" w:cs="Arial"/>
          <w:color w:val="000000" w:themeColor="text1"/>
        </w:rPr>
        <w:t>be accompanied by comparable amplitude extractions.</w:t>
      </w:r>
    </w:p>
    <w:p w14:paraId="1AF9FD3A" w14:textId="77777777" w:rsidR="00027EFD" w:rsidRPr="0083560E" w:rsidRDefault="00027EFD" w:rsidP="00894F40">
      <w:pPr>
        <w:pStyle w:val="ListParagraph"/>
        <w:numPr>
          <w:ilvl w:val="1"/>
          <w:numId w:val="3"/>
        </w:numPr>
        <w:spacing w:after="0"/>
        <w:contextualSpacing w:val="0"/>
        <w:jc w:val="both"/>
        <w:rPr>
          <w:rFonts w:ascii="Arial" w:hAnsi="Arial" w:cs="Arial"/>
          <w:color w:val="000000" w:themeColor="text1"/>
        </w:rPr>
      </w:pPr>
      <w:r w:rsidRPr="0083560E">
        <w:rPr>
          <w:rFonts w:ascii="Arial" w:hAnsi="Arial" w:cs="Arial"/>
          <w:color w:val="000000" w:themeColor="text1"/>
        </w:rPr>
        <w:t>If angle stack extractions are provided, the full range of angle groupings should be provided such as</w:t>
      </w:r>
      <w:r w:rsidR="00FA4DE7" w:rsidRPr="0083560E">
        <w:rPr>
          <w:rFonts w:ascii="Arial" w:hAnsi="Arial" w:cs="Arial"/>
          <w:color w:val="000000" w:themeColor="text1"/>
        </w:rPr>
        <w:t xml:space="preserve"> full,</w:t>
      </w:r>
      <w:r w:rsidRPr="0083560E">
        <w:rPr>
          <w:rFonts w:ascii="Arial" w:hAnsi="Arial" w:cs="Arial"/>
          <w:color w:val="000000" w:themeColor="text1"/>
        </w:rPr>
        <w:t xml:space="preserve"> near, mid and far. The definition of each grouping expressed as an angle range should be included. </w:t>
      </w:r>
    </w:p>
    <w:p w14:paraId="1DF99399" w14:textId="45337147" w:rsidR="0094133F" w:rsidRPr="0083560E" w:rsidRDefault="00027EFD" w:rsidP="006D2190">
      <w:pPr>
        <w:pStyle w:val="ListParagraph"/>
        <w:numPr>
          <w:ilvl w:val="1"/>
          <w:numId w:val="3"/>
        </w:numPr>
        <w:spacing w:after="0"/>
        <w:contextualSpacing w:val="0"/>
        <w:rPr>
          <w:rFonts w:ascii="Arial" w:hAnsi="Arial" w:cs="Arial"/>
          <w:color w:val="000000" w:themeColor="text1"/>
        </w:rPr>
      </w:pPr>
      <w:r w:rsidRPr="0083560E">
        <w:rPr>
          <w:rFonts w:ascii="Arial" w:hAnsi="Arial" w:cs="Arial"/>
          <w:color w:val="000000" w:themeColor="text1"/>
        </w:rPr>
        <w:t xml:space="preserve">Any seismic data extraction should be unambiguously labelled as to the type of seismic data product used, and a description of the criteria of extraction included. </w:t>
      </w:r>
    </w:p>
    <w:sectPr w:rsidR="0094133F" w:rsidRPr="0083560E" w:rsidSect="000022EC">
      <w:type w:val="continuous"/>
      <w:pgSz w:w="11907" w:h="16839" w:code="9"/>
      <w:pgMar w:top="1134" w:right="993" w:bottom="1134" w:left="85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CA209" w14:textId="77777777" w:rsidR="00834873" w:rsidRDefault="00834873">
      <w:r>
        <w:separator/>
      </w:r>
    </w:p>
  </w:endnote>
  <w:endnote w:type="continuationSeparator" w:id="0">
    <w:p w14:paraId="7D52216C" w14:textId="77777777" w:rsidR="00834873" w:rsidRDefault="00834873">
      <w:r>
        <w:continuationSeparator/>
      </w:r>
    </w:p>
  </w:endnote>
  <w:endnote w:type="continuationNotice" w:id="1">
    <w:p w14:paraId="71CC87F2" w14:textId="77777777" w:rsidR="00834873" w:rsidRDefault="00834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1AA0" w14:textId="77777777" w:rsidR="001F42BB" w:rsidRDefault="001F4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53394"/>
      <w:docPartObj>
        <w:docPartGallery w:val="Page Numbers (Bottom of Page)"/>
        <w:docPartUnique/>
      </w:docPartObj>
    </w:sdtPr>
    <w:sdtEndPr>
      <w:rPr>
        <w:rFonts w:ascii="Arial" w:hAnsi="Arial" w:cs="Arial"/>
        <w:noProof/>
        <w:sz w:val="20"/>
        <w:szCs w:val="20"/>
      </w:rPr>
    </w:sdtEndPr>
    <w:sdtContent>
      <w:p w14:paraId="0F50807E" w14:textId="77777777" w:rsidR="00B3071A" w:rsidRDefault="00B3071A" w:rsidP="002E3D1B">
        <w:pPr>
          <w:pStyle w:val="Footer"/>
          <w:jc w:val="right"/>
        </w:pPr>
      </w:p>
      <w:p w14:paraId="4C550A5C" w14:textId="444204F7" w:rsidR="00CD6284" w:rsidRPr="002E3D1B" w:rsidRDefault="00B3071A" w:rsidP="00B3071A">
        <w:pPr>
          <w:pStyle w:val="Footer"/>
          <w:rPr>
            <w:i/>
          </w:rPr>
        </w:pPr>
        <w:r w:rsidRPr="002E3D1B">
          <w:rPr>
            <w:rFonts w:ascii="Arial" w:hAnsi="Arial" w:cs="Arial"/>
            <w:sz w:val="20"/>
            <w:szCs w:val="20"/>
          </w:rPr>
          <w:t>Guideline - Offshore Petroleum: Declaration of a Location</w:t>
        </w:r>
        <w:r w:rsidRPr="002E3D1B">
          <w:rPr>
            <w:rFonts w:ascii="Arial" w:hAnsi="Arial" w:cs="Arial"/>
            <w:sz w:val="20"/>
            <w:szCs w:val="20"/>
          </w:rPr>
          <w:tab/>
        </w:r>
        <w:r w:rsidRPr="002E3D1B">
          <w:rPr>
            <w:rFonts w:ascii="Arial" w:hAnsi="Arial" w:cs="Arial"/>
            <w:sz w:val="20"/>
            <w:szCs w:val="20"/>
          </w:rPr>
          <w:tab/>
        </w:r>
        <w:r w:rsidRPr="002E3D1B">
          <w:rPr>
            <w:rFonts w:ascii="Arial" w:hAnsi="Arial" w:cs="Arial"/>
            <w:sz w:val="20"/>
            <w:szCs w:val="20"/>
          </w:rPr>
          <w:tab/>
        </w:r>
        <w:r w:rsidR="00CD6284" w:rsidRPr="002E3D1B">
          <w:rPr>
            <w:rFonts w:ascii="Arial" w:hAnsi="Arial" w:cs="Arial"/>
            <w:sz w:val="20"/>
            <w:szCs w:val="20"/>
          </w:rPr>
          <w:fldChar w:fldCharType="begin"/>
        </w:r>
        <w:r w:rsidR="00CD6284" w:rsidRPr="002E3D1B">
          <w:rPr>
            <w:rFonts w:ascii="Arial" w:hAnsi="Arial" w:cs="Arial"/>
            <w:sz w:val="20"/>
            <w:szCs w:val="20"/>
          </w:rPr>
          <w:instrText xml:space="preserve"> PAGE   \* MERGEFORMAT </w:instrText>
        </w:r>
        <w:r w:rsidR="00CD6284" w:rsidRPr="002E3D1B">
          <w:rPr>
            <w:rFonts w:ascii="Arial" w:hAnsi="Arial" w:cs="Arial"/>
            <w:sz w:val="20"/>
            <w:szCs w:val="20"/>
          </w:rPr>
          <w:fldChar w:fldCharType="separate"/>
        </w:r>
        <w:r w:rsidR="0019006A">
          <w:rPr>
            <w:rFonts w:ascii="Arial" w:hAnsi="Arial" w:cs="Arial"/>
            <w:noProof/>
            <w:sz w:val="20"/>
            <w:szCs w:val="20"/>
          </w:rPr>
          <w:t>2</w:t>
        </w:r>
        <w:r w:rsidR="00CD6284" w:rsidRPr="002E3D1B">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DF56" w14:textId="0A3B7222" w:rsidR="00722316" w:rsidRDefault="00722316" w:rsidP="002E3D1B">
    <w:pPr>
      <w:pStyle w:val="Footer"/>
      <w:tabs>
        <w:tab w:val="clear" w:pos="4153"/>
        <w:tab w:val="clear" w:pos="8306"/>
        <w:tab w:val="left" w:pos="66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2CD3" w14:textId="77777777" w:rsidR="00834873" w:rsidRDefault="00834873">
      <w:r>
        <w:separator/>
      </w:r>
    </w:p>
  </w:footnote>
  <w:footnote w:type="continuationSeparator" w:id="0">
    <w:p w14:paraId="25913BEB" w14:textId="77777777" w:rsidR="00834873" w:rsidRDefault="00834873">
      <w:r>
        <w:continuationSeparator/>
      </w:r>
    </w:p>
  </w:footnote>
  <w:footnote w:type="continuationNotice" w:id="1">
    <w:p w14:paraId="568598E1" w14:textId="77777777" w:rsidR="00834873" w:rsidRDefault="00834873"/>
  </w:footnote>
  <w:footnote w:id="2">
    <w:p w14:paraId="6BABC388" w14:textId="672E9064" w:rsidR="00CD6284" w:rsidRPr="004A0B92" w:rsidRDefault="00CD6284">
      <w:pPr>
        <w:pStyle w:val="FootnoteText"/>
        <w:rPr>
          <w:rFonts w:ascii="Arial" w:hAnsi="Arial" w:cs="Arial"/>
          <w:sz w:val="18"/>
          <w:szCs w:val="18"/>
        </w:rPr>
      </w:pPr>
      <w:r w:rsidRPr="004A0B92">
        <w:rPr>
          <w:rStyle w:val="FootnoteReference"/>
          <w:rFonts w:ascii="Arial" w:hAnsi="Arial" w:cs="Arial"/>
          <w:sz w:val="18"/>
          <w:szCs w:val="18"/>
        </w:rPr>
        <w:footnoteRef/>
      </w:r>
      <w:r w:rsidRPr="004A0B92">
        <w:rPr>
          <w:rFonts w:ascii="Arial" w:hAnsi="Arial" w:cs="Arial"/>
          <w:sz w:val="18"/>
          <w:szCs w:val="18"/>
        </w:rPr>
        <w:t xml:space="preserve"> ‘Vacant acreage’ is </w:t>
      </w:r>
      <w:r w:rsidRPr="004A0B92">
        <w:rPr>
          <w:rFonts w:ascii="Arial" w:hAnsi="Arial" w:cs="Arial"/>
          <w:sz w:val="18"/>
          <w:szCs w:val="18"/>
          <w:lang w:val="en"/>
        </w:rPr>
        <w:t>the term generally used to refer to an area not subject to an existing petroleum exploration permit, retention lease or production licence)</w:t>
      </w:r>
    </w:p>
  </w:footnote>
  <w:footnote w:id="3">
    <w:p w14:paraId="3F46CD8B" w14:textId="75A2DF3F" w:rsidR="00CD6284" w:rsidRPr="000D5370" w:rsidRDefault="00CD6284">
      <w:pPr>
        <w:pStyle w:val="FootnoteText"/>
        <w:rPr>
          <w:rFonts w:ascii="Arial" w:hAnsi="Arial" w:cs="Arial"/>
        </w:rPr>
      </w:pPr>
      <w:r w:rsidRPr="000D5370">
        <w:rPr>
          <w:rStyle w:val="FootnoteReference"/>
          <w:rFonts w:ascii="Arial" w:hAnsi="Arial" w:cs="Arial"/>
        </w:rPr>
        <w:footnoteRef/>
      </w:r>
      <w:r w:rsidRPr="000D5370">
        <w:rPr>
          <w:rFonts w:ascii="Arial" w:hAnsi="Arial" w:cs="Arial"/>
        </w:rPr>
        <w:t xml:space="preserve"> </w:t>
      </w:r>
      <w:r w:rsidRPr="00196842">
        <w:rPr>
          <w:rFonts w:ascii="Arial" w:hAnsi="Arial" w:cs="Arial"/>
          <w:color w:val="000000" w:themeColor="text1"/>
        </w:rPr>
        <w:t>Should be provided within the text and also as separate files in a ‘Figures’ appendix (&gt;300 dpi eps and jpg formats)</w:t>
      </w:r>
    </w:p>
  </w:footnote>
  <w:footnote w:id="4">
    <w:p w14:paraId="0FAE698E" w14:textId="77777777" w:rsidR="009835F3" w:rsidRPr="000D5370" w:rsidRDefault="009835F3" w:rsidP="009835F3">
      <w:pPr>
        <w:pStyle w:val="FootnoteText"/>
        <w:rPr>
          <w:rFonts w:ascii="Arial" w:hAnsi="Arial" w:cs="Arial"/>
        </w:rPr>
      </w:pPr>
      <w:r w:rsidRPr="000D5370">
        <w:rPr>
          <w:rStyle w:val="FootnoteReference"/>
          <w:rFonts w:ascii="Arial" w:hAnsi="Arial" w:cs="Arial"/>
        </w:rPr>
        <w:footnoteRef/>
      </w:r>
      <w:r w:rsidRPr="000D5370">
        <w:rPr>
          <w:rFonts w:ascii="Arial" w:hAnsi="Arial" w:cs="Arial"/>
        </w:rPr>
        <w:t xml:space="preserve">* </w:t>
      </w:r>
      <w:r>
        <w:rPr>
          <w:rFonts w:ascii="Arial" w:hAnsi="Arial" w:cs="Arial"/>
          <w:color w:val="000000" w:themeColor="text1"/>
        </w:rPr>
        <w:t>Should</w:t>
      </w:r>
      <w:r w:rsidRPr="00196842">
        <w:rPr>
          <w:rFonts w:ascii="Arial" w:hAnsi="Arial" w:cs="Arial"/>
          <w:color w:val="000000" w:themeColor="text1"/>
        </w:rPr>
        <w:t xml:space="preserve"> be provided in appropriate geo-referenced file formats in a ‘Spatial D</w:t>
      </w:r>
      <w:r w:rsidRPr="000D5370">
        <w:rPr>
          <w:rFonts w:ascii="Arial" w:hAnsi="Arial" w:cs="Arial"/>
          <w:color w:val="000000" w:themeColor="text1"/>
        </w:rPr>
        <w:t>ata’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939B" w14:textId="77777777" w:rsidR="001F42BB" w:rsidRDefault="001F4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A740" w14:textId="4D0915B7" w:rsidR="00CD6284" w:rsidRPr="00A5340E" w:rsidRDefault="00CD6284" w:rsidP="002E3D1B">
    <w:pPr>
      <w:pStyle w:val="Header"/>
      <w:jc w:val="right"/>
      <w:rPr>
        <w:rStyle w:val="Heading1Cha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9691" w14:textId="77777777" w:rsidR="001F42BB" w:rsidRDefault="001F4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84BA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A225A"/>
    <w:multiLevelType w:val="multilevel"/>
    <w:tmpl w:val="DCD8D3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3B4F12"/>
    <w:multiLevelType w:val="multilevel"/>
    <w:tmpl w:val="89AE45D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1F69D1"/>
    <w:multiLevelType w:val="multilevel"/>
    <w:tmpl w:val="5B46E01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90373F"/>
    <w:multiLevelType w:val="hybridMultilevel"/>
    <w:tmpl w:val="62EEA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884CC2"/>
    <w:multiLevelType w:val="hybridMultilevel"/>
    <w:tmpl w:val="DFE4C152"/>
    <w:lvl w:ilvl="0" w:tplc="0C090001">
      <w:start w:val="1"/>
      <w:numFmt w:val="bullet"/>
      <w:lvlText w:val=""/>
      <w:lvlJc w:val="left"/>
      <w:pPr>
        <w:ind w:left="720" w:hanging="360"/>
      </w:pPr>
      <w:rPr>
        <w:rFonts w:ascii="Symbol" w:hAnsi="Symbol" w:hint="default"/>
      </w:rPr>
    </w:lvl>
    <w:lvl w:ilvl="1" w:tplc="94EC8A58">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2D3232"/>
    <w:multiLevelType w:val="multilevel"/>
    <w:tmpl w:val="B6EC05B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CB70B8"/>
    <w:multiLevelType w:val="multilevel"/>
    <w:tmpl w:val="1242C0C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0777EF"/>
    <w:multiLevelType w:val="multilevel"/>
    <w:tmpl w:val="3AD8BCA2"/>
    <w:lvl w:ilvl="0">
      <w:start w:val="1"/>
      <w:numFmt w:val="decimal"/>
      <w:lvlText w:val="%1."/>
      <w:lvlJc w:val="left"/>
      <w:pPr>
        <w:tabs>
          <w:tab w:val="num" w:pos="454"/>
        </w:tabs>
        <w:ind w:left="454" w:hanging="341"/>
      </w:pPr>
      <w:rPr>
        <w:rFonts w:cs="Times New Roman" w:hint="default"/>
      </w:rPr>
    </w:lvl>
    <w:lvl w:ilvl="1">
      <w:start w:val="1"/>
      <w:numFmt w:val="decimal"/>
      <w:pStyle w:val="List2"/>
      <w:lvlText w:val="%1.%2."/>
      <w:lvlJc w:val="left"/>
      <w:pPr>
        <w:tabs>
          <w:tab w:val="num" w:pos="880"/>
        </w:tabs>
        <w:ind w:left="880" w:hanging="454"/>
      </w:pPr>
      <w:rPr>
        <w:rFonts w:cs="Times New Roman" w:hint="default"/>
        <w:b w:val="0"/>
      </w:rPr>
    </w:lvl>
    <w:lvl w:ilvl="2">
      <w:start w:val="1"/>
      <w:numFmt w:val="decimal"/>
      <w:lvlText w:val="%1.%2.%3."/>
      <w:lvlJc w:val="left"/>
      <w:pPr>
        <w:tabs>
          <w:tab w:val="num" w:pos="1430"/>
        </w:tabs>
        <w:ind w:left="1214" w:hanging="504"/>
      </w:pPr>
      <w:rPr>
        <w:rFonts w:cs="Times New Roman" w:hint="default"/>
        <w:b w:val="0"/>
      </w:rPr>
    </w:lvl>
    <w:lvl w:ilvl="3">
      <w:start w:val="1"/>
      <w:numFmt w:val="lowerRoman"/>
      <w:lvlText w:val="(%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18610E3"/>
    <w:multiLevelType w:val="hybridMultilevel"/>
    <w:tmpl w:val="0B0AE3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B3723C"/>
    <w:multiLevelType w:val="multilevel"/>
    <w:tmpl w:val="26F290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65115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0376DF"/>
    <w:multiLevelType w:val="multilevel"/>
    <w:tmpl w:val="B6EC05B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C868E5"/>
    <w:multiLevelType w:val="multilevel"/>
    <w:tmpl w:val="DCCE7F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6611A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AC16FD"/>
    <w:multiLevelType w:val="multilevel"/>
    <w:tmpl w:val="1242C0C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3673D1"/>
    <w:multiLevelType w:val="multilevel"/>
    <w:tmpl w:val="DBCE1A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B57A7D"/>
    <w:multiLevelType w:val="multilevel"/>
    <w:tmpl w:val="D80CD8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782FD6"/>
    <w:multiLevelType w:val="hybridMultilevel"/>
    <w:tmpl w:val="AC944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4283F7B"/>
    <w:multiLevelType w:val="multilevel"/>
    <w:tmpl w:val="0426A5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6E1615"/>
    <w:multiLevelType w:val="hybridMultilevel"/>
    <w:tmpl w:val="B928CDCC"/>
    <w:lvl w:ilvl="0" w:tplc="0C090017">
      <w:start w:val="1"/>
      <w:numFmt w:val="lowerLetter"/>
      <w:lvlText w:val="%1)"/>
      <w:lvlJc w:val="left"/>
      <w:pPr>
        <w:ind w:left="1713" w:hanging="360"/>
      </w:pPr>
    </w:lvl>
    <w:lvl w:ilvl="1" w:tplc="0C090019">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1" w15:restartNumberingAfterBreak="0">
    <w:nsid w:val="59E20EEF"/>
    <w:multiLevelType w:val="multilevel"/>
    <w:tmpl w:val="D76E46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7503D6"/>
    <w:multiLevelType w:val="hybridMultilevel"/>
    <w:tmpl w:val="A6FEC9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DFD77EE"/>
    <w:multiLevelType w:val="multilevel"/>
    <w:tmpl w:val="1242C0C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DF6A9E"/>
    <w:multiLevelType w:val="multilevel"/>
    <w:tmpl w:val="1242C0C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E34E00"/>
    <w:multiLevelType w:val="hybridMultilevel"/>
    <w:tmpl w:val="338E3D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F47D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AE7F45"/>
    <w:multiLevelType w:val="multilevel"/>
    <w:tmpl w:val="A546E9D4"/>
    <w:lvl w:ilvl="0">
      <w:start w:val="1"/>
      <w:numFmt w:val="none"/>
      <w:lvlText w:val=""/>
      <w:lvlJc w:val="left"/>
      <w:pPr>
        <w:tabs>
          <w:tab w:val="num" w:pos="432"/>
        </w:tabs>
        <w:ind w:left="432" w:hanging="432"/>
      </w:pPr>
      <w:rPr>
        <w:rFonts w:hint="default"/>
      </w:rPr>
    </w:lvl>
    <w:lvl w:ilvl="1">
      <w:start w:val="1"/>
      <w:numFmt w:val="decimal"/>
      <w:lvlText w:val="%2"/>
      <w:lvlJc w:val="left"/>
      <w:pPr>
        <w:tabs>
          <w:tab w:val="num" w:pos="634"/>
        </w:tabs>
        <w:ind w:left="634" w:hanging="454"/>
      </w:pPr>
      <w:rPr>
        <w:rFonts w:ascii="Arial" w:eastAsia="Times New Roman" w:hAnsi="Arial" w:cs="Arial"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06"/>
        </w:tabs>
        <w:ind w:left="1106" w:hanging="1106"/>
      </w:pPr>
      <w:rPr>
        <w:rFonts w:hint="default"/>
      </w:rPr>
    </w:lvl>
    <w:lvl w:ilvl="5">
      <w:start w:val="1"/>
      <w:numFmt w:val="decimal"/>
      <w:lvlText w:val="%1"/>
      <w:lvlJc w:val="left"/>
      <w:pPr>
        <w:tabs>
          <w:tab w:val="num" w:pos="0"/>
        </w:tabs>
        <w:ind w:left="0" w:firstLine="0"/>
      </w:pPr>
      <w:rPr>
        <w:rFonts w:hint="default"/>
      </w:rPr>
    </w:lvl>
    <w:lvl w:ilvl="6">
      <w:start w:val="1"/>
      <w:numFmt w:val="decimal"/>
      <w:lvlText w:val="%1"/>
      <w:lvlJc w:val="left"/>
      <w:pPr>
        <w:tabs>
          <w:tab w:val="num" w:pos="1296"/>
        </w:tabs>
        <w:ind w:left="1296" w:hanging="1296"/>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94715D5"/>
    <w:multiLevelType w:val="hybridMultilevel"/>
    <w:tmpl w:val="6CF2F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A52D16"/>
    <w:multiLevelType w:val="hybridMultilevel"/>
    <w:tmpl w:val="BE10E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441A4A"/>
    <w:multiLevelType w:val="hybridMultilevel"/>
    <w:tmpl w:val="482C2D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A35127"/>
    <w:multiLevelType w:val="multilevel"/>
    <w:tmpl w:val="ADD2E3CA"/>
    <w:lvl w:ilvl="0">
      <w:start w:val="3"/>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EB44E40"/>
    <w:multiLevelType w:val="multilevel"/>
    <w:tmpl w:val="1242C0C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671874"/>
    <w:multiLevelType w:val="hybridMultilevel"/>
    <w:tmpl w:val="9390A9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7CC1351"/>
    <w:multiLevelType w:val="multilevel"/>
    <w:tmpl w:val="5BDC68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9A7E0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A70F46"/>
    <w:multiLevelType w:val="hybridMultilevel"/>
    <w:tmpl w:val="5E94E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91669692">
    <w:abstractNumId w:val="8"/>
  </w:num>
  <w:num w:numId="2" w16cid:durableId="807935767">
    <w:abstractNumId w:val="18"/>
  </w:num>
  <w:num w:numId="3" w16cid:durableId="525873410">
    <w:abstractNumId w:val="36"/>
  </w:num>
  <w:num w:numId="4" w16cid:durableId="140389462">
    <w:abstractNumId w:val="22"/>
  </w:num>
  <w:num w:numId="5" w16cid:durableId="1157385196">
    <w:abstractNumId w:val="9"/>
  </w:num>
  <w:num w:numId="6" w16cid:durableId="1869753512">
    <w:abstractNumId w:val="1"/>
  </w:num>
  <w:num w:numId="7" w16cid:durableId="1179387901">
    <w:abstractNumId w:val="3"/>
  </w:num>
  <w:num w:numId="8" w16cid:durableId="328489029">
    <w:abstractNumId w:val="8"/>
  </w:num>
  <w:num w:numId="9" w16cid:durableId="1788770095">
    <w:abstractNumId w:val="0"/>
  </w:num>
  <w:num w:numId="10" w16cid:durableId="1976638430">
    <w:abstractNumId w:val="8"/>
  </w:num>
  <w:num w:numId="11" w16cid:durableId="1043754142">
    <w:abstractNumId w:val="8"/>
  </w:num>
  <w:num w:numId="12" w16cid:durableId="1759251722">
    <w:abstractNumId w:val="8"/>
  </w:num>
  <w:num w:numId="13" w16cid:durableId="990599803">
    <w:abstractNumId w:val="8"/>
  </w:num>
  <w:num w:numId="14" w16cid:durableId="632558160">
    <w:abstractNumId w:val="6"/>
  </w:num>
  <w:num w:numId="15" w16cid:durableId="1668440136">
    <w:abstractNumId w:val="12"/>
  </w:num>
  <w:num w:numId="16" w16cid:durableId="62608161">
    <w:abstractNumId w:val="35"/>
  </w:num>
  <w:num w:numId="17" w16cid:durableId="1542938893">
    <w:abstractNumId w:val="17"/>
  </w:num>
  <w:num w:numId="18" w16cid:durableId="891430691">
    <w:abstractNumId w:val="34"/>
  </w:num>
  <w:num w:numId="19" w16cid:durableId="1726172756">
    <w:abstractNumId w:val="21"/>
  </w:num>
  <w:num w:numId="20" w16cid:durableId="192891864">
    <w:abstractNumId w:val="16"/>
  </w:num>
  <w:num w:numId="21" w16cid:durableId="1779132563">
    <w:abstractNumId w:val="5"/>
  </w:num>
  <w:num w:numId="22" w16cid:durableId="1079911048">
    <w:abstractNumId w:val="19"/>
  </w:num>
  <w:num w:numId="23" w16cid:durableId="1551578413">
    <w:abstractNumId w:val="10"/>
  </w:num>
  <w:num w:numId="24" w16cid:durableId="355664116">
    <w:abstractNumId w:val="6"/>
    <w:lvlOverride w:ilvl="0">
      <w:lvl w:ilvl="0">
        <w:start w:val="1"/>
        <w:numFmt w:val="decimal"/>
        <w:lvlText w:val="%1."/>
        <w:lvlJc w:val="left"/>
        <w:pPr>
          <w:ind w:left="360" w:hanging="360"/>
        </w:pPr>
        <w:rPr>
          <w:rFonts w:hint="default"/>
        </w:rPr>
      </w:lvl>
    </w:lvlOverride>
    <w:lvlOverride w:ilvl="1">
      <w:lvl w:ilvl="1">
        <w:start w:val="1"/>
        <w:numFmt w:val="bullet"/>
        <w:lvlText w:val=""/>
        <w:lvlJc w:val="left"/>
        <w:pPr>
          <w:ind w:left="792" w:hanging="432"/>
        </w:pPr>
        <w:rPr>
          <w:rFonts w:ascii="Symbol" w:hAnsi="Symbol"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328828523">
    <w:abstractNumId w:val="14"/>
  </w:num>
  <w:num w:numId="26" w16cid:durableId="381371302">
    <w:abstractNumId w:val="26"/>
  </w:num>
  <w:num w:numId="27" w16cid:durableId="55015554">
    <w:abstractNumId w:val="7"/>
  </w:num>
  <w:num w:numId="28" w16cid:durableId="2019698525">
    <w:abstractNumId w:val="11"/>
  </w:num>
  <w:num w:numId="29" w16cid:durableId="2043162118">
    <w:abstractNumId w:val="33"/>
  </w:num>
  <w:num w:numId="30" w16cid:durableId="371536865">
    <w:abstractNumId w:val="4"/>
  </w:num>
  <w:num w:numId="31" w16cid:durableId="1643387093">
    <w:abstractNumId w:val="2"/>
  </w:num>
  <w:num w:numId="32" w16cid:durableId="987904014">
    <w:abstractNumId w:val="24"/>
  </w:num>
  <w:num w:numId="33" w16cid:durableId="219174945">
    <w:abstractNumId w:val="23"/>
  </w:num>
  <w:num w:numId="34" w16cid:durableId="691760228">
    <w:abstractNumId w:val="15"/>
  </w:num>
  <w:num w:numId="35" w16cid:durableId="638456729">
    <w:abstractNumId w:val="32"/>
  </w:num>
  <w:num w:numId="36" w16cid:durableId="548227559">
    <w:abstractNumId w:val="28"/>
  </w:num>
  <w:num w:numId="37" w16cid:durableId="268049879">
    <w:abstractNumId w:val="27"/>
  </w:num>
  <w:num w:numId="38" w16cid:durableId="1166894677">
    <w:abstractNumId w:val="13"/>
  </w:num>
  <w:num w:numId="39" w16cid:durableId="514922400">
    <w:abstractNumId w:val="31"/>
  </w:num>
  <w:num w:numId="40" w16cid:durableId="270557368">
    <w:abstractNumId w:val="20"/>
  </w:num>
  <w:num w:numId="41" w16cid:durableId="1401370324">
    <w:abstractNumId w:val="29"/>
  </w:num>
  <w:num w:numId="42" w16cid:durableId="1468937217">
    <w:abstractNumId w:val="30"/>
  </w:num>
  <w:num w:numId="43" w16cid:durableId="21029509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FD"/>
    <w:rsid w:val="000022EC"/>
    <w:rsid w:val="0000489B"/>
    <w:rsid w:val="00005462"/>
    <w:rsid w:val="00012186"/>
    <w:rsid w:val="000148C5"/>
    <w:rsid w:val="0001615D"/>
    <w:rsid w:val="000201DC"/>
    <w:rsid w:val="00021AFE"/>
    <w:rsid w:val="000253AB"/>
    <w:rsid w:val="00027EFD"/>
    <w:rsid w:val="0003119B"/>
    <w:rsid w:val="000370DC"/>
    <w:rsid w:val="000428F8"/>
    <w:rsid w:val="00044295"/>
    <w:rsid w:val="0004478B"/>
    <w:rsid w:val="00045724"/>
    <w:rsid w:val="000512D5"/>
    <w:rsid w:val="00052C2D"/>
    <w:rsid w:val="00055109"/>
    <w:rsid w:val="000624A4"/>
    <w:rsid w:val="00073C4E"/>
    <w:rsid w:val="00084A90"/>
    <w:rsid w:val="00093201"/>
    <w:rsid w:val="0009405C"/>
    <w:rsid w:val="00095495"/>
    <w:rsid w:val="000B6C04"/>
    <w:rsid w:val="000C5C47"/>
    <w:rsid w:val="000D32A9"/>
    <w:rsid w:val="000D5370"/>
    <w:rsid w:val="000D5434"/>
    <w:rsid w:val="000E0154"/>
    <w:rsid w:val="000E39F1"/>
    <w:rsid w:val="000E3EE1"/>
    <w:rsid w:val="000E585B"/>
    <w:rsid w:val="000E7627"/>
    <w:rsid w:val="000F116B"/>
    <w:rsid w:val="000F1CBF"/>
    <w:rsid w:val="000F2E4B"/>
    <w:rsid w:val="000F336B"/>
    <w:rsid w:val="00104B5C"/>
    <w:rsid w:val="00104BA5"/>
    <w:rsid w:val="00106110"/>
    <w:rsid w:val="00106F86"/>
    <w:rsid w:val="00107428"/>
    <w:rsid w:val="001113CB"/>
    <w:rsid w:val="00111E35"/>
    <w:rsid w:val="001139B9"/>
    <w:rsid w:val="0011449A"/>
    <w:rsid w:val="0011495D"/>
    <w:rsid w:val="00120143"/>
    <w:rsid w:val="00120618"/>
    <w:rsid w:val="00120F9D"/>
    <w:rsid w:val="00127DBA"/>
    <w:rsid w:val="00134A40"/>
    <w:rsid w:val="00134E29"/>
    <w:rsid w:val="00136688"/>
    <w:rsid w:val="00141028"/>
    <w:rsid w:val="001434D2"/>
    <w:rsid w:val="001448CE"/>
    <w:rsid w:val="001558C9"/>
    <w:rsid w:val="00155A3D"/>
    <w:rsid w:val="00155D46"/>
    <w:rsid w:val="001732A2"/>
    <w:rsid w:val="00174300"/>
    <w:rsid w:val="00187A62"/>
    <w:rsid w:val="0019006A"/>
    <w:rsid w:val="001924E2"/>
    <w:rsid w:val="00194F77"/>
    <w:rsid w:val="00195E8B"/>
    <w:rsid w:val="00196842"/>
    <w:rsid w:val="0019788B"/>
    <w:rsid w:val="001A29C8"/>
    <w:rsid w:val="001A3943"/>
    <w:rsid w:val="001A4B06"/>
    <w:rsid w:val="001A5571"/>
    <w:rsid w:val="001A55E9"/>
    <w:rsid w:val="001A5640"/>
    <w:rsid w:val="001A5AE4"/>
    <w:rsid w:val="001B4836"/>
    <w:rsid w:val="001B5238"/>
    <w:rsid w:val="001B58E6"/>
    <w:rsid w:val="001C18A2"/>
    <w:rsid w:val="001C233E"/>
    <w:rsid w:val="001C3754"/>
    <w:rsid w:val="001D3595"/>
    <w:rsid w:val="001D4E18"/>
    <w:rsid w:val="001D6094"/>
    <w:rsid w:val="001E0F18"/>
    <w:rsid w:val="001E0F6A"/>
    <w:rsid w:val="001E2274"/>
    <w:rsid w:val="001E4400"/>
    <w:rsid w:val="001E6265"/>
    <w:rsid w:val="001E6611"/>
    <w:rsid w:val="001F2ECC"/>
    <w:rsid w:val="001F42BB"/>
    <w:rsid w:val="001F4F8E"/>
    <w:rsid w:val="001F6DF0"/>
    <w:rsid w:val="001F77EB"/>
    <w:rsid w:val="00202BF9"/>
    <w:rsid w:val="00204495"/>
    <w:rsid w:val="002047AE"/>
    <w:rsid w:val="00206694"/>
    <w:rsid w:val="00211DB9"/>
    <w:rsid w:val="0021507F"/>
    <w:rsid w:val="00215849"/>
    <w:rsid w:val="002209D9"/>
    <w:rsid w:val="0022316E"/>
    <w:rsid w:val="0022319A"/>
    <w:rsid w:val="002273ED"/>
    <w:rsid w:val="00231B9D"/>
    <w:rsid w:val="00232A08"/>
    <w:rsid w:val="002424FF"/>
    <w:rsid w:val="00242661"/>
    <w:rsid w:val="00262C19"/>
    <w:rsid w:val="002752A1"/>
    <w:rsid w:val="00275E2C"/>
    <w:rsid w:val="00285A91"/>
    <w:rsid w:val="00287845"/>
    <w:rsid w:val="00290350"/>
    <w:rsid w:val="0029663F"/>
    <w:rsid w:val="002966B0"/>
    <w:rsid w:val="002A056F"/>
    <w:rsid w:val="002A0D54"/>
    <w:rsid w:val="002A2FA6"/>
    <w:rsid w:val="002A4789"/>
    <w:rsid w:val="002A7C2F"/>
    <w:rsid w:val="002B1607"/>
    <w:rsid w:val="002D3B10"/>
    <w:rsid w:val="002D514C"/>
    <w:rsid w:val="002E197B"/>
    <w:rsid w:val="002E3D1B"/>
    <w:rsid w:val="002E53B9"/>
    <w:rsid w:val="002F203D"/>
    <w:rsid w:val="002F6AF7"/>
    <w:rsid w:val="00300C9F"/>
    <w:rsid w:val="003019D1"/>
    <w:rsid w:val="003141E9"/>
    <w:rsid w:val="00323DCB"/>
    <w:rsid w:val="00324DB5"/>
    <w:rsid w:val="003255B3"/>
    <w:rsid w:val="003266FC"/>
    <w:rsid w:val="00333D44"/>
    <w:rsid w:val="00342D84"/>
    <w:rsid w:val="0034698C"/>
    <w:rsid w:val="00351B21"/>
    <w:rsid w:val="003746D2"/>
    <w:rsid w:val="003863A3"/>
    <w:rsid w:val="00386BA2"/>
    <w:rsid w:val="00387137"/>
    <w:rsid w:val="00395D30"/>
    <w:rsid w:val="003A0055"/>
    <w:rsid w:val="003A4EDB"/>
    <w:rsid w:val="003A501A"/>
    <w:rsid w:val="003A519F"/>
    <w:rsid w:val="003A593F"/>
    <w:rsid w:val="003A5A0F"/>
    <w:rsid w:val="003C21AF"/>
    <w:rsid w:val="003C512D"/>
    <w:rsid w:val="003D5F29"/>
    <w:rsid w:val="003E0A3E"/>
    <w:rsid w:val="003E1504"/>
    <w:rsid w:val="003E3625"/>
    <w:rsid w:val="003F3075"/>
    <w:rsid w:val="003F4E21"/>
    <w:rsid w:val="00400022"/>
    <w:rsid w:val="004001EC"/>
    <w:rsid w:val="00403BE7"/>
    <w:rsid w:val="004042AC"/>
    <w:rsid w:val="00404878"/>
    <w:rsid w:val="0041468C"/>
    <w:rsid w:val="00414CC5"/>
    <w:rsid w:val="00417BB1"/>
    <w:rsid w:val="00417C5E"/>
    <w:rsid w:val="004330C4"/>
    <w:rsid w:val="00435B94"/>
    <w:rsid w:val="00442884"/>
    <w:rsid w:val="00443B73"/>
    <w:rsid w:val="004458A3"/>
    <w:rsid w:val="004470CA"/>
    <w:rsid w:val="0045131F"/>
    <w:rsid w:val="00451DB0"/>
    <w:rsid w:val="00454947"/>
    <w:rsid w:val="00462352"/>
    <w:rsid w:val="0046280F"/>
    <w:rsid w:val="00467910"/>
    <w:rsid w:val="00470385"/>
    <w:rsid w:val="00471B6D"/>
    <w:rsid w:val="00473B76"/>
    <w:rsid w:val="00485954"/>
    <w:rsid w:val="004910B3"/>
    <w:rsid w:val="00492D77"/>
    <w:rsid w:val="004962B3"/>
    <w:rsid w:val="0049683C"/>
    <w:rsid w:val="004A0B92"/>
    <w:rsid w:val="004A1210"/>
    <w:rsid w:val="004B23CD"/>
    <w:rsid w:val="004B5699"/>
    <w:rsid w:val="004C591B"/>
    <w:rsid w:val="004D1522"/>
    <w:rsid w:val="004D1F4D"/>
    <w:rsid w:val="004D2964"/>
    <w:rsid w:val="004D72CF"/>
    <w:rsid w:val="004E0984"/>
    <w:rsid w:val="004E2BF8"/>
    <w:rsid w:val="004E3E39"/>
    <w:rsid w:val="004F7F28"/>
    <w:rsid w:val="005007C2"/>
    <w:rsid w:val="00505E49"/>
    <w:rsid w:val="00507235"/>
    <w:rsid w:val="0051164A"/>
    <w:rsid w:val="00513E45"/>
    <w:rsid w:val="00516ADD"/>
    <w:rsid w:val="005200D2"/>
    <w:rsid w:val="005224D9"/>
    <w:rsid w:val="00530065"/>
    <w:rsid w:val="0053684C"/>
    <w:rsid w:val="0054247C"/>
    <w:rsid w:val="00542D77"/>
    <w:rsid w:val="0054644D"/>
    <w:rsid w:val="00546B3F"/>
    <w:rsid w:val="005724AD"/>
    <w:rsid w:val="00575C64"/>
    <w:rsid w:val="00577576"/>
    <w:rsid w:val="00580864"/>
    <w:rsid w:val="00580FC8"/>
    <w:rsid w:val="00583D30"/>
    <w:rsid w:val="00590043"/>
    <w:rsid w:val="00592FDC"/>
    <w:rsid w:val="005A4CF8"/>
    <w:rsid w:val="005B034A"/>
    <w:rsid w:val="005B26DC"/>
    <w:rsid w:val="005B3011"/>
    <w:rsid w:val="005C4FD2"/>
    <w:rsid w:val="005C7DC0"/>
    <w:rsid w:val="005D0509"/>
    <w:rsid w:val="005D5F6A"/>
    <w:rsid w:val="005D6222"/>
    <w:rsid w:val="005E036E"/>
    <w:rsid w:val="005E393F"/>
    <w:rsid w:val="005E3DD4"/>
    <w:rsid w:val="005E6643"/>
    <w:rsid w:val="005F353F"/>
    <w:rsid w:val="005F5A11"/>
    <w:rsid w:val="005F7B03"/>
    <w:rsid w:val="00616F81"/>
    <w:rsid w:val="006331FA"/>
    <w:rsid w:val="006334C1"/>
    <w:rsid w:val="006343A9"/>
    <w:rsid w:val="00634531"/>
    <w:rsid w:val="00635EB4"/>
    <w:rsid w:val="0063615A"/>
    <w:rsid w:val="00636C61"/>
    <w:rsid w:val="00637335"/>
    <w:rsid w:val="00637F59"/>
    <w:rsid w:val="0064115C"/>
    <w:rsid w:val="00651856"/>
    <w:rsid w:val="00651E0F"/>
    <w:rsid w:val="00653E4C"/>
    <w:rsid w:val="00655D85"/>
    <w:rsid w:val="00657B84"/>
    <w:rsid w:val="0066544F"/>
    <w:rsid w:val="00675748"/>
    <w:rsid w:val="00681555"/>
    <w:rsid w:val="00687331"/>
    <w:rsid w:val="00694D07"/>
    <w:rsid w:val="006A311F"/>
    <w:rsid w:val="006A343D"/>
    <w:rsid w:val="006A709A"/>
    <w:rsid w:val="006B16A2"/>
    <w:rsid w:val="006C01C4"/>
    <w:rsid w:val="006C3041"/>
    <w:rsid w:val="006C38C9"/>
    <w:rsid w:val="006C540C"/>
    <w:rsid w:val="006C57F0"/>
    <w:rsid w:val="006D122F"/>
    <w:rsid w:val="006D2190"/>
    <w:rsid w:val="006D6552"/>
    <w:rsid w:val="006D6624"/>
    <w:rsid w:val="006D6982"/>
    <w:rsid w:val="006E0ED0"/>
    <w:rsid w:val="006E26E2"/>
    <w:rsid w:val="006E5DAF"/>
    <w:rsid w:val="006E6AC3"/>
    <w:rsid w:val="006F00AF"/>
    <w:rsid w:val="006F0387"/>
    <w:rsid w:val="006F134E"/>
    <w:rsid w:val="007000A9"/>
    <w:rsid w:val="00704F3C"/>
    <w:rsid w:val="00710833"/>
    <w:rsid w:val="007108FC"/>
    <w:rsid w:val="00714586"/>
    <w:rsid w:val="00715E26"/>
    <w:rsid w:val="00716CD1"/>
    <w:rsid w:val="007214FC"/>
    <w:rsid w:val="00721D19"/>
    <w:rsid w:val="00722316"/>
    <w:rsid w:val="0072526B"/>
    <w:rsid w:val="00732874"/>
    <w:rsid w:val="0073382E"/>
    <w:rsid w:val="007342AA"/>
    <w:rsid w:val="007356A8"/>
    <w:rsid w:val="007371F0"/>
    <w:rsid w:val="00737E21"/>
    <w:rsid w:val="00741469"/>
    <w:rsid w:val="00744CE3"/>
    <w:rsid w:val="0074521E"/>
    <w:rsid w:val="00753249"/>
    <w:rsid w:val="00755A61"/>
    <w:rsid w:val="007572B9"/>
    <w:rsid w:val="00757A6F"/>
    <w:rsid w:val="00763B5C"/>
    <w:rsid w:val="00766214"/>
    <w:rsid w:val="00770150"/>
    <w:rsid w:val="007733D3"/>
    <w:rsid w:val="007746CE"/>
    <w:rsid w:val="007764FA"/>
    <w:rsid w:val="00783464"/>
    <w:rsid w:val="007846B2"/>
    <w:rsid w:val="00790548"/>
    <w:rsid w:val="007916CB"/>
    <w:rsid w:val="00791ED2"/>
    <w:rsid w:val="00793CC9"/>
    <w:rsid w:val="00796AA8"/>
    <w:rsid w:val="00797079"/>
    <w:rsid w:val="007B220E"/>
    <w:rsid w:val="007B2987"/>
    <w:rsid w:val="007B4BF4"/>
    <w:rsid w:val="007B6FDE"/>
    <w:rsid w:val="007B7C32"/>
    <w:rsid w:val="007C6160"/>
    <w:rsid w:val="007D01EA"/>
    <w:rsid w:val="007D195D"/>
    <w:rsid w:val="007E39AE"/>
    <w:rsid w:val="007E69FC"/>
    <w:rsid w:val="00800BB5"/>
    <w:rsid w:val="008026ED"/>
    <w:rsid w:val="00823B61"/>
    <w:rsid w:val="00831A63"/>
    <w:rsid w:val="00832C58"/>
    <w:rsid w:val="008346ED"/>
    <w:rsid w:val="00834873"/>
    <w:rsid w:val="0083560E"/>
    <w:rsid w:val="008423D5"/>
    <w:rsid w:val="00852AC5"/>
    <w:rsid w:val="00854BB2"/>
    <w:rsid w:val="00855EF3"/>
    <w:rsid w:val="00857D16"/>
    <w:rsid w:val="0087142D"/>
    <w:rsid w:val="00880BE1"/>
    <w:rsid w:val="00882228"/>
    <w:rsid w:val="00882E85"/>
    <w:rsid w:val="00882F78"/>
    <w:rsid w:val="00890775"/>
    <w:rsid w:val="00891F3F"/>
    <w:rsid w:val="00893427"/>
    <w:rsid w:val="00894F40"/>
    <w:rsid w:val="008978E8"/>
    <w:rsid w:val="008A24BC"/>
    <w:rsid w:val="008A4911"/>
    <w:rsid w:val="008B2DB6"/>
    <w:rsid w:val="008B3595"/>
    <w:rsid w:val="008B491B"/>
    <w:rsid w:val="008B5DF1"/>
    <w:rsid w:val="008C0404"/>
    <w:rsid w:val="008C5AD8"/>
    <w:rsid w:val="008C63B2"/>
    <w:rsid w:val="008D057A"/>
    <w:rsid w:val="008D2271"/>
    <w:rsid w:val="008D3F29"/>
    <w:rsid w:val="008E5DA9"/>
    <w:rsid w:val="008E70A4"/>
    <w:rsid w:val="008F1D47"/>
    <w:rsid w:val="008F260C"/>
    <w:rsid w:val="008F2783"/>
    <w:rsid w:val="008F66B0"/>
    <w:rsid w:val="008F6957"/>
    <w:rsid w:val="009116ED"/>
    <w:rsid w:val="00911C70"/>
    <w:rsid w:val="009138DE"/>
    <w:rsid w:val="00922FD2"/>
    <w:rsid w:val="00924A32"/>
    <w:rsid w:val="00926F64"/>
    <w:rsid w:val="009314D3"/>
    <w:rsid w:val="009330C3"/>
    <w:rsid w:val="009333E5"/>
    <w:rsid w:val="0094133F"/>
    <w:rsid w:val="00941B7E"/>
    <w:rsid w:val="00947A88"/>
    <w:rsid w:val="0095718A"/>
    <w:rsid w:val="00960262"/>
    <w:rsid w:val="00961366"/>
    <w:rsid w:val="00964DC7"/>
    <w:rsid w:val="00966D90"/>
    <w:rsid w:val="0096796B"/>
    <w:rsid w:val="00971FB2"/>
    <w:rsid w:val="009835F3"/>
    <w:rsid w:val="00985C2C"/>
    <w:rsid w:val="0099046B"/>
    <w:rsid w:val="00991494"/>
    <w:rsid w:val="009A1AE0"/>
    <w:rsid w:val="009A3B1D"/>
    <w:rsid w:val="009A5807"/>
    <w:rsid w:val="009B17E8"/>
    <w:rsid w:val="009B3331"/>
    <w:rsid w:val="009B4436"/>
    <w:rsid w:val="009B6A01"/>
    <w:rsid w:val="009B7E83"/>
    <w:rsid w:val="009D0DC6"/>
    <w:rsid w:val="009D4403"/>
    <w:rsid w:val="009D7CCA"/>
    <w:rsid w:val="009E16A8"/>
    <w:rsid w:val="009E3783"/>
    <w:rsid w:val="009E5064"/>
    <w:rsid w:val="009F691D"/>
    <w:rsid w:val="00A02381"/>
    <w:rsid w:val="00A0571A"/>
    <w:rsid w:val="00A057B4"/>
    <w:rsid w:val="00A06DB3"/>
    <w:rsid w:val="00A157E8"/>
    <w:rsid w:val="00A2301B"/>
    <w:rsid w:val="00A23A06"/>
    <w:rsid w:val="00A242C2"/>
    <w:rsid w:val="00A25B4D"/>
    <w:rsid w:val="00A30596"/>
    <w:rsid w:val="00A3116C"/>
    <w:rsid w:val="00A31C3E"/>
    <w:rsid w:val="00A31CBE"/>
    <w:rsid w:val="00A3492E"/>
    <w:rsid w:val="00A3532C"/>
    <w:rsid w:val="00A35C46"/>
    <w:rsid w:val="00A40BDB"/>
    <w:rsid w:val="00A52CF4"/>
    <w:rsid w:val="00A54080"/>
    <w:rsid w:val="00A546DA"/>
    <w:rsid w:val="00A57F8B"/>
    <w:rsid w:val="00A600A0"/>
    <w:rsid w:val="00A64E49"/>
    <w:rsid w:val="00A64FEC"/>
    <w:rsid w:val="00A6563E"/>
    <w:rsid w:val="00A676B6"/>
    <w:rsid w:val="00A738C6"/>
    <w:rsid w:val="00A7680B"/>
    <w:rsid w:val="00A771B9"/>
    <w:rsid w:val="00A814AC"/>
    <w:rsid w:val="00A816B7"/>
    <w:rsid w:val="00A92474"/>
    <w:rsid w:val="00A92E81"/>
    <w:rsid w:val="00A94E58"/>
    <w:rsid w:val="00AB3915"/>
    <w:rsid w:val="00AB794E"/>
    <w:rsid w:val="00AC0515"/>
    <w:rsid w:val="00AD452A"/>
    <w:rsid w:val="00AD54A9"/>
    <w:rsid w:val="00AD7A60"/>
    <w:rsid w:val="00AE2D06"/>
    <w:rsid w:val="00AE3314"/>
    <w:rsid w:val="00AE482B"/>
    <w:rsid w:val="00AE6D0B"/>
    <w:rsid w:val="00AF0E0A"/>
    <w:rsid w:val="00AF1108"/>
    <w:rsid w:val="00AF5D9B"/>
    <w:rsid w:val="00AF60EC"/>
    <w:rsid w:val="00AF76B5"/>
    <w:rsid w:val="00AF7BA5"/>
    <w:rsid w:val="00B01AE7"/>
    <w:rsid w:val="00B046C7"/>
    <w:rsid w:val="00B05864"/>
    <w:rsid w:val="00B11E00"/>
    <w:rsid w:val="00B13A0A"/>
    <w:rsid w:val="00B13A51"/>
    <w:rsid w:val="00B1791B"/>
    <w:rsid w:val="00B233F3"/>
    <w:rsid w:val="00B25D63"/>
    <w:rsid w:val="00B3071A"/>
    <w:rsid w:val="00B37297"/>
    <w:rsid w:val="00B439FA"/>
    <w:rsid w:val="00B46F1E"/>
    <w:rsid w:val="00B53E6C"/>
    <w:rsid w:val="00B577CF"/>
    <w:rsid w:val="00B61661"/>
    <w:rsid w:val="00B6448A"/>
    <w:rsid w:val="00B65C3F"/>
    <w:rsid w:val="00B736BE"/>
    <w:rsid w:val="00B74B13"/>
    <w:rsid w:val="00B76C07"/>
    <w:rsid w:val="00B8143F"/>
    <w:rsid w:val="00B81FE3"/>
    <w:rsid w:val="00BA085D"/>
    <w:rsid w:val="00BA1BCE"/>
    <w:rsid w:val="00BA3495"/>
    <w:rsid w:val="00BA42E0"/>
    <w:rsid w:val="00BA468A"/>
    <w:rsid w:val="00BB0979"/>
    <w:rsid w:val="00BB2DB5"/>
    <w:rsid w:val="00BC3893"/>
    <w:rsid w:val="00BC5375"/>
    <w:rsid w:val="00BC596A"/>
    <w:rsid w:val="00BD6DB6"/>
    <w:rsid w:val="00BE0B9A"/>
    <w:rsid w:val="00BE2A4E"/>
    <w:rsid w:val="00BE68D1"/>
    <w:rsid w:val="00BF3E4A"/>
    <w:rsid w:val="00C017F6"/>
    <w:rsid w:val="00C02215"/>
    <w:rsid w:val="00C03874"/>
    <w:rsid w:val="00C057D4"/>
    <w:rsid w:val="00C0729E"/>
    <w:rsid w:val="00C14685"/>
    <w:rsid w:val="00C1526A"/>
    <w:rsid w:val="00C171DB"/>
    <w:rsid w:val="00C17AC3"/>
    <w:rsid w:val="00C23614"/>
    <w:rsid w:val="00C2562E"/>
    <w:rsid w:val="00C30234"/>
    <w:rsid w:val="00C32582"/>
    <w:rsid w:val="00C409DD"/>
    <w:rsid w:val="00C419F3"/>
    <w:rsid w:val="00C46699"/>
    <w:rsid w:val="00C504D2"/>
    <w:rsid w:val="00C60295"/>
    <w:rsid w:val="00C6402A"/>
    <w:rsid w:val="00C64C6B"/>
    <w:rsid w:val="00C66C28"/>
    <w:rsid w:val="00C734A6"/>
    <w:rsid w:val="00C73731"/>
    <w:rsid w:val="00C77412"/>
    <w:rsid w:val="00C82E05"/>
    <w:rsid w:val="00C846BC"/>
    <w:rsid w:val="00C84BB2"/>
    <w:rsid w:val="00C94B2B"/>
    <w:rsid w:val="00C959CD"/>
    <w:rsid w:val="00C973B0"/>
    <w:rsid w:val="00C97FD9"/>
    <w:rsid w:val="00CA377D"/>
    <w:rsid w:val="00CB13BD"/>
    <w:rsid w:val="00CB2B9F"/>
    <w:rsid w:val="00CB4571"/>
    <w:rsid w:val="00CC0E47"/>
    <w:rsid w:val="00CC36C9"/>
    <w:rsid w:val="00CC582C"/>
    <w:rsid w:val="00CD3C63"/>
    <w:rsid w:val="00CD6284"/>
    <w:rsid w:val="00CE0F98"/>
    <w:rsid w:val="00CE427C"/>
    <w:rsid w:val="00CE51E7"/>
    <w:rsid w:val="00CE7B37"/>
    <w:rsid w:val="00CF2DB4"/>
    <w:rsid w:val="00CF6195"/>
    <w:rsid w:val="00CF7F62"/>
    <w:rsid w:val="00D070F3"/>
    <w:rsid w:val="00D16863"/>
    <w:rsid w:val="00D208D3"/>
    <w:rsid w:val="00D20C83"/>
    <w:rsid w:val="00D22A16"/>
    <w:rsid w:val="00D22E0C"/>
    <w:rsid w:val="00D27EB3"/>
    <w:rsid w:val="00D33503"/>
    <w:rsid w:val="00D42FC3"/>
    <w:rsid w:val="00D43F51"/>
    <w:rsid w:val="00D52ABA"/>
    <w:rsid w:val="00D54437"/>
    <w:rsid w:val="00D67D4B"/>
    <w:rsid w:val="00D70C3C"/>
    <w:rsid w:val="00D80498"/>
    <w:rsid w:val="00D8520C"/>
    <w:rsid w:val="00D90E58"/>
    <w:rsid w:val="00D929D8"/>
    <w:rsid w:val="00D92FE5"/>
    <w:rsid w:val="00D975E3"/>
    <w:rsid w:val="00DA14DD"/>
    <w:rsid w:val="00DA6C84"/>
    <w:rsid w:val="00DA79FA"/>
    <w:rsid w:val="00DB1CE8"/>
    <w:rsid w:val="00DB2021"/>
    <w:rsid w:val="00DC35F8"/>
    <w:rsid w:val="00DD3E27"/>
    <w:rsid w:val="00DD4F1E"/>
    <w:rsid w:val="00DD7B8F"/>
    <w:rsid w:val="00DE56D4"/>
    <w:rsid w:val="00DE765F"/>
    <w:rsid w:val="00E00D70"/>
    <w:rsid w:val="00E0138F"/>
    <w:rsid w:val="00E01B79"/>
    <w:rsid w:val="00E03E72"/>
    <w:rsid w:val="00E05615"/>
    <w:rsid w:val="00E10A2B"/>
    <w:rsid w:val="00E17A58"/>
    <w:rsid w:val="00E20EEF"/>
    <w:rsid w:val="00E24780"/>
    <w:rsid w:val="00E24F93"/>
    <w:rsid w:val="00E304F8"/>
    <w:rsid w:val="00E30D67"/>
    <w:rsid w:val="00E33B3D"/>
    <w:rsid w:val="00E3786F"/>
    <w:rsid w:val="00E436A7"/>
    <w:rsid w:val="00E448A0"/>
    <w:rsid w:val="00E45726"/>
    <w:rsid w:val="00E46E52"/>
    <w:rsid w:val="00E51E29"/>
    <w:rsid w:val="00E525CA"/>
    <w:rsid w:val="00E5262F"/>
    <w:rsid w:val="00E5648F"/>
    <w:rsid w:val="00E84518"/>
    <w:rsid w:val="00E86E6F"/>
    <w:rsid w:val="00E90717"/>
    <w:rsid w:val="00EA05CB"/>
    <w:rsid w:val="00EA50C3"/>
    <w:rsid w:val="00EA5119"/>
    <w:rsid w:val="00EA531C"/>
    <w:rsid w:val="00EB12EC"/>
    <w:rsid w:val="00EB75CC"/>
    <w:rsid w:val="00EB7726"/>
    <w:rsid w:val="00EC1249"/>
    <w:rsid w:val="00EC357F"/>
    <w:rsid w:val="00EC3E88"/>
    <w:rsid w:val="00EC5575"/>
    <w:rsid w:val="00ED419A"/>
    <w:rsid w:val="00ED45A0"/>
    <w:rsid w:val="00ED6837"/>
    <w:rsid w:val="00EE0711"/>
    <w:rsid w:val="00EE7A5A"/>
    <w:rsid w:val="00EF24E4"/>
    <w:rsid w:val="00EF3869"/>
    <w:rsid w:val="00EF7C9A"/>
    <w:rsid w:val="00F027A3"/>
    <w:rsid w:val="00F03AC6"/>
    <w:rsid w:val="00F05FA8"/>
    <w:rsid w:val="00F13552"/>
    <w:rsid w:val="00F135F5"/>
    <w:rsid w:val="00F15C73"/>
    <w:rsid w:val="00F174FD"/>
    <w:rsid w:val="00F175F4"/>
    <w:rsid w:val="00F21FA0"/>
    <w:rsid w:val="00F2307D"/>
    <w:rsid w:val="00F27516"/>
    <w:rsid w:val="00F300BB"/>
    <w:rsid w:val="00F3076B"/>
    <w:rsid w:val="00F3207D"/>
    <w:rsid w:val="00F32A48"/>
    <w:rsid w:val="00F33266"/>
    <w:rsid w:val="00F403D9"/>
    <w:rsid w:val="00F41306"/>
    <w:rsid w:val="00F4504A"/>
    <w:rsid w:val="00F46735"/>
    <w:rsid w:val="00F50103"/>
    <w:rsid w:val="00F573CF"/>
    <w:rsid w:val="00F61180"/>
    <w:rsid w:val="00F628D1"/>
    <w:rsid w:val="00F71C47"/>
    <w:rsid w:val="00F75713"/>
    <w:rsid w:val="00F76DB2"/>
    <w:rsid w:val="00F8317E"/>
    <w:rsid w:val="00F851F0"/>
    <w:rsid w:val="00F97297"/>
    <w:rsid w:val="00FA0784"/>
    <w:rsid w:val="00FA3B4B"/>
    <w:rsid w:val="00FA4303"/>
    <w:rsid w:val="00FA46A3"/>
    <w:rsid w:val="00FA4DE7"/>
    <w:rsid w:val="00FB0A26"/>
    <w:rsid w:val="00FB761E"/>
    <w:rsid w:val="00FC1BE2"/>
    <w:rsid w:val="00FC4C9C"/>
    <w:rsid w:val="00FD581E"/>
    <w:rsid w:val="00FE0C5D"/>
    <w:rsid w:val="00FE373F"/>
    <w:rsid w:val="00FE7100"/>
    <w:rsid w:val="00FF44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6E319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1FA"/>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027EFD"/>
    <w:pPr>
      <w:keepNext/>
      <w:tabs>
        <w:tab w:val="num" w:pos="432"/>
      </w:tabs>
      <w:spacing w:before="240" w:after="120"/>
      <w:ind w:left="432" w:hanging="432"/>
      <w:outlineLvl w:val="0"/>
    </w:pPr>
    <w:rPr>
      <w:rFonts w:ascii="Arial" w:hAnsi="Arial" w:cs="Arial"/>
      <w:b/>
      <w:bCs/>
      <w:kern w:val="32"/>
      <w:sz w:val="28"/>
      <w:szCs w:val="32"/>
    </w:rPr>
  </w:style>
  <w:style w:type="paragraph" w:styleId="Heading2">
    <w:name w:val="heading 2"/>
    <w:basedOn w:val="Normal"/>
    <w:next w:val="Normal"/>
    <w:link w:val="Heading2Char"/>
    <w:qFormat/>
    <w:rsid w:val="00CE427C"/>
    <w:pPr>
      <w:spacing w:after="120"/>
      <w:outlineLvl w:val="1"/>
    </w:pPr>
    <w:rPr>
      <w:rFonts w:ascii="Arial" w:hAnsi="Arial" w:cs="Arial"/>
      <w:b/>
      <w:i/>
      <w:sz w:val="22"/>
      <w:szCs w:val="22"/>
    </w:rPr>
  </w:style>
  <w:style w:type="paragraph" w:styleId="Heading3">
    <w:name w:val="heading 3"/>
    <w:basedOn w:val="Normal"/>
    <w:next w:val="Normal"/>
    <w:link w:val="Heading3Char"/>
    <w:autoRedefine/>
    <w:qFormat/>
    <w:rsid w:val="009333E5"/>
    <w:pPr>
      <w:keepNext/>
      <w:tabs>
        <w:tab w:val="num" w:pos="737"/>
      </w:tabs>
      <w:spacing w:after="200" w:line="300" w:lineRule="auto"/>
      <w:ind w:left="737" w:hanging="737"/>
      <w:outlineLvl w:val="2"/>
    </w:pPr>
    <w:rPr>
      <w:rFonts w:ascii="Arial" w:hAnsi="Arial" w:cs="Arial"/>
      <w:b/>
      <w:bCs/>
      <w:sz w:val="32"/>
      <w:szCs w:val="26"/>
      <w:lang w:eastAsia="en-US"/>
    </w:rPr>
  </w:style>
  <w:style w:type="paragraph" w:styleId="Heading4">
    <w:name w:val="heading 4"/>
    <w:basedOn w:val="Normal"/>
    <w:next w:val="Normal"/>
    <w:link w:val="Heading4Char"/>
    <w:autoRedefine/>
    <w:qFormat/>
    <w:rsid w:val="009333E5"/>
    <w:pPr>
      <w:keepNext/>
      <w:tabs>
        <w:tab w:val="num" w:pos="992"/>
      </w:tabs>
      <w:spacing w:after="200" w:line="300" w:lineRule="auto"/>
      <w:ind w:left="992" w:hanging="992"/>
      <w:outlineLvl w:val="3"/>
    </w:pPr>
    <w:rPr>
      <w:rFonts w:ascii="Arial" w:hAnsi="Arial"/>
      <w:b/>
      <w:bCs/>
      <w:sz w:val="28"/>
      <w:szCs w:val="28"/>
      <w:lang w:eastAsia="en-US"/>
    </w:rPr>
  </w:style>
  <w:style w:type="paragraph" w:styleId="Heading5">
    <w:name w:val="heading 5"/>
    <w:basedOn w:val="Normal"/>
    <w:next w:val="Normal"/>
    <w:link w:val="Heading5Char"/>
    <w:autoRedefine/>
    <w:qFormat/>
    <w:rsid w:val="009333E5"/>
    <w:pPr>
      <w:tabs>
        <w:tab w:val="num" w:pos="1106"/>
      </w:tabs>
      <w:spacing w:after="200" w:line="300" w:lineRule="auto"/>
      <w:ind w:left="1106" w:hanging="1106"/>
      <w:outlineLvl w:val="4"/>
    </w:pPr>
    <w:rPr>
      <w:rFonts w:ascii="Arial" w:hAnsi="Arial"/>
      <w:b/>
      <w:bCs/>
      <w:sz w:val="26"/>
      <w:szCs w:val="26"/>
      <w:lang w:eastAsia="en-US"/>
    </w:rPr>
  </w:style>
  <w:style w:type="paragraph" w:styleId="Heading6">
    <w:name w:val="heading 6"/>
    <w:basedOn w:val="Normal"/>
    <w:next w:val="Normal"/>
    <w:link w:val="Heading6Char"/>
    <w:autoRedefine/>
    <w:qFormat/>
    <w:rsid w:val="009333E5"/>
    <w:pPr>
      <w:tabs>
        <w:tab w:val="num" w:pos="0"/>
      </w:tabs>
      <w:spacing w:after="200" w:line="300" w:lineRule="auto"/>
      <w:outlineLvl w:val="5"/>
    </w:pPr>
    <w:rPr>
      <w:rFonts w:ascii="Arial" w:hAnsi="Arial"/>
      <w:color w:val="333333"/>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EFD"/>
    <w:rPr>
      <w:rFonts w:ascii="Arial" w:eastAsia="Times New Roman" w:hAnsi="Arial" w:cs="Arial"/>
      <w:b/>
      <w:bCs/>
      <w:kern w:val="32"/>
      <w:sz w:val="28"/>
      <w:szCs w:val="32"/>
      <w:lang w:eastAsia="en-AU"/>
    </w:rPr>
  </w:style>
  <w:style w:type="character" w:customStyle="1" w:styleId="Heading2Char">
    <w:name w:val="Heading 2 Char"/>
    <w:basedOn w:val="DefaultParagraphFont"/>
    <w:link w:val="Heading2"/>
    <w:rsid w:val="00CE427C"/>
    <w:rPr>
      <w:rFonts w:ascii="Arial" w:eastAsia="Times New Roman" w:hAnsi="Arial" w:cs="Arial"/>
      <w:b/>
      <w:i/>
      <w:lang w:eastAsia="en-AU"/>
    </w:rPr>
  </w:style>
  <w:style w:type="paragraph" w:styleId="Footer">
    <w:name w:val="footer"/>
    <w:basedOn w:val="Normal"/>
    <w:link w:val="FooterChar"/>
    <w:uiPriority w:val="99"/>
    <w:rsid w:val="00027EFD"/>
    <w:pPr>
      <w:tabs>
        <w:tab w:val="center" w:pos="4153"/>
        <w:tab w:val="right" w:pos="8306"/>
      </w:tabs>
    </w:pPr>
  </w:style>
  <w:style w:type="character" w:customStyle="1" w:styleId="FooterChar">
    <w:name w:val="Footer Char"/>
    <w:basedOn w:val="DefaultParagraphFont"/>
    <w:link w:val="Footer"/>
    <w:uiPriority w:val="99"/>
    <w:rsid w:val="00027EFD"/>
    <w:rPr>
      <w:rFonts w:ascii="Times New Roman" w:eastAsia="Times New Roman" w:hAnsi="Times New Roman" w:cs="Times New Roman"/>
      <w:sz w:val="24"/>
      <w:szCs w:val="24"/>
      <w:lang w:eastAsia="en-AU"/>
    </w:rPr>
  </w:style>
  <w:style w:type="character" w:styleId="PageNumber">
    <w:name w:val="page number"/>
    <w:basedOn w:val="DefaultParagraphFont"/>
    <w:rsid w:val="00027EFD"/>
    <w:rPr>
      <w:rFonts w:cs="Times New Roman"/>
    </w:rPr>
  </w:style>
  <w:style w:type="character" w:styleId="CommentReference">
    <w:name w:val="annotation reference"/>
    <w:basedOn w:val="DefaultParagraphFont"/>
    <w:uiPriority w:val="99"/>
    <w:rsid w:val="00027EFD"/>
    <w:rPr>
      <w:rFonts w:cs="Times New Roman"/>
      <w:sz w:val="16"/>
      <w:szCs w:val="16"/>
    </w:rPr>
  </w:style>
  <w:style w:type="paragraph" w:styleId="CommentText">
    <w:name w:val="annotation text"/>
    <w:basedOn w:val="Normal"/>
    <w:link w:val="CommentTextChar"/>
    <w:uiPriority w:val="99"/>
    <w:rsid w:val="00027EFD"/>
    <w:rPr>
      <w:sz w:val="20"/>
      <w:szCs w:val="20"/>
    </w:rPr>
  </w:style>
  <w:style w:type="character" w:customStyle="1" w:styleId="CommentTextChar">
    <w:name w:val="Comment Text Char"/>
    <w:basedOn w:val="DefaultParagraphFont"/>
    <w:link w:val="CommentText"/>
    <w:uiPriority w:val="99"/>
    <w:rsid w:val="00027EFD"/>
    <w:rPr>
      <w:rFonts w:ascii="Times New Roman" w:eastAsia="Times New Roman" w:hAnsi="Times New Roman" w:cs="Times New Roman"/>
      <w:sz w:val="20"/>
      <w:szCs w:val="20"/>
      <w:lang w:eastAsia="en-AU"/>
    </w:rPr>
  </w:style>
  <w:style w:type="paragraph" w:customStyle="1" w:styleId="Default">
    <w:name w:val="Default"/>
    <w:rsid w:val="00027EF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rsid w:val="00027EFD"/>
    <w:rPr>
      <w:rFonts w:cs="Times New Roman"/>
      <w:color w:val="0000FF"/>
      <w:u w:val="single"/>
    </w:rPr>
  </w:style>
  <w:style w:type="paragraph" w:styleId="List2">
    <w:name w:val="List 2"/>
    <w:basedOn w:val="Normal"/>
    <w:rsid w:val="00027EFD"/>
    <w:pPr>
      <w:numPr>
        <w:ilvl w:val="1"/>
        <w:numId w:val="1"/>
      </w:numPr>
      <w:spacing w:after="120"/>
    </w:pPr>
    <w:rPr>
      <w:b/>
    </w:rPr>
  </w:style>
  <w:style w:type="paragraph" w:styleId="Header">
    <w:name w:val="header"/>
    <w:basedOn w:val="Normal"/>
    <w:link w:val="HeaderChar"/>
    <w:rsid w:val="00027EFD"/>
    <w:pPr>
      <w:tabs>
        <w:tab w:val="center" w:pos="4153"/>
        <w:tab w:val="right" w:pos="8306"/>
      </w:tabs>
    </w:pPr>
  </w:style>
  <w:style w:type="character" w:customStyle="1" w:styleId="HeaderChar">
    <w:name w:val="Header Char"/>
    <w:basedOn w:val="DefaultParagraphFont"/>
    <w:link w:val="Header"/>
    <w:rsid w:val="00027EFD"/>
    <w:rPr>
      <w:rFonts w:ascii="Times New Roman" w:eastAsia="Times New Roman" w:hAnsi="Times New Roman" w:cs="Times New Roman"/>
      <w:sz w:val="24"/>
      <w:szCs w:val="24"/>
      <w:lang w:eastAsia="en-AU"/>
    </w:rPr>
  </w:style>
  <w:style w:type="paragraph" w:styleId="BodyText">
    <w:name w:val="Body Text"/>
    <w:basedOn w:val="Normal"/>
    <w:link w:val="BodyTextChar"/>
    <w:uiPriority w:val="1"/>
    <w:qFormat/>
    <w:rsid w:val="00027EFD"/>
    <w:pPr>
      <w:spacing w:before="240" w:after="120"/>
    </w:pPr>
    <w:rPr>
      <w:rFonts w:ascii="Arial" w:hAnsi="Arial"/>
      <w:lang w:eastAsia="en-US"/>
    </w:rPr>
  </w:style>
  <w:style w:type="character" w:customStyle="1" w:styleId="BodyTextChar">
    <w:name w:val="Body Text Char"/>
    <w:basedOn w:val="DefaultParagraphFont"/>
    <w:link w:val="BodyText"/>
    <w:rsid w:val="00027EFD"/>
    <w:rPr>
      <w:rFonts w:ascii="Arial" w:eastAsia="Times New Roman" w:hAnsi="Arial" w:cs="Times New Roman"/>
      <w:sz w:val="24"/>
      <w:szCs w:val="24"/>
    </w:rPr>
  </w:style>
  <w:style w:type="paragraph" w:customStyle="1" w:styleId="Bolt">
    <w:name w:val="Bolt"/>
    <w:basedOn w:val="Normal"/>
    <w:link w:val="BoltChar"/>
    <w:autoRedefine/>
    <w:rsid w:val="00880BE1"/>
    <w:pPr>
      <w:autoSpaceDE w:val="0"/>
      <w:autoSpaceDN w:val="0"/>
      <w:adjustRightInd w:val="0"/>
      <w:spacing w:before="120" w:after="120"/>
      <w:jc w:val="center"/>
    </w:pPr>
    <w:rPr>
      <w:rFonts w:ascii="Arial" w:hAnsi="Arial"/>
      <w:b/>
      <w:lang w:eastAsia="en-US"/>
    </w:rPr>
  </w:style>
  <w:style w:type="character" w:customStyle="1" w:styleId="BoltChar">
    <w:name w:val="Bolt Char"/>
    <w:basedOn w:val="DefaultParagraphFont"/>
    <w:link w:val="Bolt"/>
    <w:locked/>
    <w:rsid w:val="00880BE1"/>
    <w:rPr>
      <w:rFonts w:ascii="Arial" w:eastAsia="Times New Roman" w:hAnsi="Arial" w:cs="Times New Roman"/>
      <w:b/>
      <w:sz w:val="24"/>
      <w:szCs w:val="24"/>
    </w:rPr>
  </w:style>
  <w:style w:type="paragraph" w:styleId="ListParagraph">
    <w:name w:val="List Paragraph"/>
    <w:basedOn w:val="Normal"/>
    <w:uiPriority w:val="34"/>
    <w:qFormat/>
    <w:rsid w:val="00027EFD"/>
    <w:pPr>
      <w:spacing w:after="200" w:line="276" w:lineRule="auto"/>
      <w:ind w:left="720"/>
      <w:contextualSpacing/>
    </w:pPr>
    <w:rPr>
      <w:rFonts w:ascii="Calibri" w:hAnsi="Calibri"/>
      <w:sz w:val="22"/>
      <w:szCs w:val="22"/>
      <w:lang w:eastAsia="en-US"/>
    </w:rPr>
  </w:style>
  <w:style w:type="paragraph" w:styleId="TOCHeading">
    <w:name w:val="TOC Heading"/>
    <w:basedOn w:val="Heading1"/>
    <w:next w:val="Normal"/>
    <w:uiPriority w:val="39"/>
    <w:unhideWhenUsed/>
    <w:qFormat/>
    <w:rsid w:val="00027EFD"/>
    <w:pPr>
      <w:keepLines/>
      <w:tabs>
        <w:tab w:val="clear" w:pos="432"/>
      </w:tabs>
      <w:spacing w:after="0" w:line="259" w:lineRule="auto"/>
      <w:ind w:left="0" w:firstLine="0"/>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TOC2">
    <w:name w:val="toc 2"/>
    <w:basedOn w:val="Normal"/>
    <w:next w:val="Normal"/>
    <w:autoRedefine/>
    <w:uiPriority w:val="39"/>
    <w:unhideWhenUsed/>
    <w:rsid w:val="00027EFD"/>
    <w:pPr>
      <w:spacing w:after="100"/>
      <w:ind w:left="240"/>
    </w:pPr>
  </w:style>
  <w:style w:type="paragraph" w:styleId="TOC1">
    <w:name w:val="toc 1"/>
    <w:basedOn w:val="Normal"/>
    <w:next w:val="Normal"/>
    <w:autoRedefine/>
    <w:uiPriority w:val="39"/>
    <w:unhideWhenUsed/>
    <w:rsid w:val="001F77EB"/>
    <w:pPr>
      <w:tabs>
        <w:tab w:val="left" w:pos="440"/>
        <w:tab w:val="right" w:leader="dot" w:pos="10052"/>
      </w:tabs>
      <w:spacing w:after="100"/>
    </w:pPr>
    <w:rPr>
      <w:rFonts w:ascii="Arial" w:hAnsi="Arial"/>
      <w:noProof/>
      <w:sz w:val="22"/>
    </w:rPr>
  </w:style>
  <w:style w:type="paragraph" w:styleId="BalloonText">
    <w:name w:val="Balloon Text"/>
    <w:basedOn w:val="Normal"/>
    <w:link w:val="BalloonTextChar"/>
    <w:uiPriority w:val="99"/>
    <w:semiHidden/>
    <w:unhideWhenUsed/>
    <w:rsid w:val="00027E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EFD"/>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300C9F"/>
    <w:rPr>
      <w:b/>
      <w:bCs/>
    </w:rPr>
  </w:style>
  <w:style w:type="character" w:customStyle="1" w:styleId="CommentSubjectChar">
    <w:name w:val="Comment Subject Char"/>
    <w:basedOn w:val="CommentTextChar"/>
    <w:link w:val="CommentSubject"/>
    <w:uiPriority w:val="99"/>
    <w:semiHidden/>
    <w:rsid w:val="00300C9F"/>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uiPriority w:val="99"/>
    <w:semiHidden/>
    <w:unhideWhenUsed/>
    <w:rsid w:val="000C5C47"/>
    <w:rPr>
      <w:sz w:val="20"/>
      <w:szCs w:val="20"/>
    </w:rPr>
  </w:style>
  <w:style w:type="character" w:customStyle="1" w:styleId="FootnoteTextChar">
    <w:name w:val="Footnote Text Char"/>
    <w:basedOn w:val="DefaultParagraphFont"/>
    <w:link w:val="FootnoteText"/>
    <w:uiPriority w:val="99"/>
    <w:semiHidden/>
    <w:rsid w:val="000C5C47"/>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0C5C47"/>
    <w:rPr>
      <w:vertAlign w:val="superscript"/>
    </w:rPr>
  </w:style>
  <w:style w:type="paragraph" w:styleId="ListBullet">
    <w:name w:val="List Bullet"/>
    <w:basedOn w:val="Normal"/>
    <w:rsid w:val="000370DC"/>
    <w:pPr>
      <w:numPr>
        <w:numId w:val="9"/>
      </w:numPr>
      <w:spacing w:line="320" w:lineRule="atLeast"/>
      <w:contextualSpacing/>
      <w:jc w:val="both"/>
    </w:pPr>
    <w:rPr>
      <w:rFonts w:ascii="Calibri" w:eastAsia="MS Mincho" w:hAnsi="Calibri"/>
      <w:sz w:val="22"/>
      <w:lang w:eastAsia="ja-JP"/>
    </w:rPr>
  </w:style>
  <w:style w:type="character" w:styleId="FollowedHyperlink">
    <w:name w:val="FollowedHyperlink"/>
    <w:basedOn w:val="DefaultParagraphFont"/>
    <w:uiPriority w:val="99"/>
    <w:semiHidden/>
    <w:unhideWhenUsed/>
    <w:rsid w:val="00A52CF4"/>
    <w:rPr>
      <w:color w:val="954F72" w:themeColor="followedHyperlink"/>
      <w:u w:val="single"/>
    </w:rPr>
  </w:style>
  <w:style w:type="paragraph" w:styleId="Revision">
    <w:name w:val="Revision"/>
    <w:hidden/>
    <w:uiPriority w:val="99"/>
    <w:semiHidden/>
    <w:rsid w:val="00194F77"/>
    <w:pPr>
      <w:spacing w:after="0" w:line="240" w:lineRule="auto"/>
    </w:pPr>
    <w:rPr>
      <w:rFonts w:ascii="Times New Roman" w:eastAsia="Times New Roman" w:hAnsi="Times New Roman" w:cs="Times New Roman"/>
      <w:sz w:val="24"/>
      <w:szCs w:val="24"/>
      <w:lang w:eastAsia="en-AU"/>
    </w:rPr>
  </w:style>
  <w:style w:type="paragraph" w:styleId="TOC3">
    <w:name w:val="toc 3"/>
    <w:basedOn w:val="Normal"/>
    <w:next w:val="Normal"/>
    <w:autoRedefine/>
    <w:uiPriority w:val="39"/>
    <w:unhideWhenUsed/>
    <w:rsid w:val="00AF1108"/>
    <w:pPr>
      <w:spacing w:after="100" w:line="259" w:lineRule="auto"/>
      <w:ind w:left="440"/>
    </w:pPr>
    <w:rPr>
      <w:rFonts w:asciiTheme="minorHAnsi" w:eastAsiaTheme="minorEastAsia" w:hAnsiTheme="minorHAnsi"/>
      <w:sz w:val="22"/>
      <w:szCs w:val="22"/>
      <w:lang w:val="en-US" w:eastAsia="en-US"/>
    </w:rPr>
  </w:style>
  <w:style w:type="character" w:customStyle="1" w:styleId="Heading3Char">
    <w:name w:val="Heading 3 Char"/>
    <w:basedOn w:val="DefaultParagraphFont"/>
    <w:link w:val="Heading3"/>
    <w:rsid w:val="009333E5"/>
    <w:rPr>
      <w:rFonts w:ascii="Arial" w:eastAsia="Times New Roman" w:hAnsi="Arial" w:cs="Arial"/>
      <w:b/>
      <w:bCs/>
      <w:sz w:val="32"/>
      <w:szCs w:val="26"/>
    </w:rPr>
  </w:style>
  <w:style w:type="character" w:customStyle="1" w:styleId="Heading4Char">
    <w:name w:val="Heading 4 Char"/>
    <w:basedOn w:val="DefaultParagraphFont"/>
    <w:link w:val="Heading4"/>
    <w:rsid w:val="009333E5"/>
    <w:rPr>
      <w:rFonts w:ascii="Arial" w:eastAsia="Times New Roman" w:hAnsi="Arial" w:cs="Times New Roman"/>
      <w:b/>
      <w:bCs/>
      <w:sz w:val="28"/>
      <w:szCs w:val="28"/>
    </w:rPr>
  </w:style>
  <w:style w:type="character" w:customStyle="1" w:styleId="Heading5Char">
    <w:name w:val="Heading 5 Char"/>
    <w:basedOn w:val="DefaultParagraphFont"/>
    <w:link w:val="Heading5"/>
    <w:rsid w:val="009333E5"/>
    <w:rPr>
      <w:rFonts w:ascii="Arial" w:eastAsia="Times New Roman" w:hAnsi="Arial" w:cs="Times New Roman"/>
      <w:b/>
      <w:bCs/>
      <w:sz w:val="26"/>
      <w:szCs w:val="26"/>
    </w:rPr>
  </w:style>
  <w:style w:type="character" w:customStyle="1" w:styleId="Heading6Char">
    <w:name w:val="Heading 6 Char"/>
    <w:basedOn w:val="DefaultParagraphFont"/>
    <w:link w:val="Heading6"/>
    <w:rsid w:val="009333E5"/>
    <w:rPr>
      <w:rFonts w:ascii="Arial" w:eastAsia="Times New Roman" w:hAnsi="Arial" w:cs="Times New Roman"/>
      <w:color w:val="333333"/>
      <w:sz w:val="26"/>
      <w:szCs w:val="20"/>
    </w:rPr>
  </w:style>
  <w:style w:type="character" w:styleId="Strong">
    <w:name w:val="Strong"/>
    <w:basedOn w:val="DefaultParagraphFont"/>
    <w:uiPriority w:val="22"/>
    <w:qFormat/>
    <w:rsid w:val="00A64FEC"/>
    <w:rPr>
      <w:b/>
      <w:bCs/>
    </w:rPr>
  </w:style>
  <w:style w:type="paragraph" w:styleId="Title">
    <w:name w:val="Title"/>
    <w:basedOn w:val="Normal"/>
    <w:next w:val="Normal"/>
    <w:link w:val="TitleChar"/>
    <w:qFormat/>
    <w:rsid w:val="00ED419A"/>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ED419A"/>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195E8B"/>
    <w:rPr>
      <w:color w:val="605E5C"/>
      <w:shd w:val="clear" w:color="auto" w:fill="E1DFDD"/>
    </w:rPr>
  </w:style>
  <w:style w:type="character" w:styleId="UnresolvedMention">
    <w:name w:val="Unresolved Mention"/>
    <w:basedOn w:val="DefaultParagraphFont"/>
    <w:uiPriority w:val="99"/>
    <w:semiHidden/>
    <w:unhideWhenUsed/>
    <w:rsid w:val="00EB7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0573">
      <w:bodyDiv w:val="1"/>
      <w:marLeft w:val="0"/>
      <w:marRight w:val="0"/>
      <w:marTop w:val="0"/>
      <w:marBottom w:val="0"/>
      <w:divBdr>
        <w:top w:val="none" w:sz="0" w:space="0" w:color="auto"/>
        <w:left w:val="none" w:sz="0" w:space="0" w:color="auto"/>
        <w:bottom w:val="none" w:sz="0" w:space="0" w:color="auto"/>
        <w:right w:val="none" w:sz="0" w:space="0" w:color="auto"/>
      </w:divBdr>
    </w:div>
    <w:div w:id="465196188">
      <w:bodyDiv w:val="1"/>
      <w:marLeft w:val="0"/>
      <w:marRight w:val="0"/>
      <w:marTop w:val="0"/>
      <w:marBottom w:val="0"/>
      <w:divBdr>
        <w:top w:val="none" w:sz="0" w:space="0" w:color="auto"/>
        <w:left w:val="none" w:sz="0" w:space="0" w:color="auto"/>
        <w:bottom w:val="none" w:sz="0" w:space="0" w:color="auto"/>
        <w:right w:val="none" w:sz="0" w:space="0" w:color="auto"/>
      </w:divBdr>
    </w:div>
    <w:div w:id="1108428300">
      <w:bodyDiv w:val="1"/>
      <w:marLeft w:val="0"/>
      <w:marRight w:val="0"/>
      <w:marTop w:val="0"/>
      <w:marBottom w:val="0"/>
      <w:divBdr>
        <w:top w:val="none" w:sz="0" w:space="0" w:color="auto"/>
        <w:left w:val="none" w:sz="0" w:space="0" w:color="auto"/>
        <w:bottom w:val="none" w:sz="0" w:space="0" w:color="auto"/>
        <w:right w:val="none" w:sz="0" w:space="0" w:color="auto"/>
      </w:divBdr>
    </w:div>
    <w:div w:id="1342707871">
      <w:bodyDiv w:val="1"/>
      <w:marLeft w:val="0"/>
      <w:marRight w:val="0"/>
      <w:marTop w:val="0"/>
      <w:marBottom w:val="0"/>
      <w:divBdr>
        <w:top w:val="none" w:sz="0" w:space="0" w:color="auto"/>
        <w:left w:val="none" w:sz="0" w:space="0" w:color="auto"/>
        <w:bottom w:val="none" w:sz="0" w:space="0" w:color="auto"/>
        <w:right w:val="none" w:sz="0" w:space="0" w:color="auto"/>
      </w:divBdr>
    </w:div>
    <w:div w:id="1935701251">
      <w:bodyDiv w:val="1"/>
      <w:marLeft w:val="0"/>
      <w:marRight w:val="0"/>
      <w:marTop w:val="0"/>
      <w:marBottom w:val="0"/>
      <w:divBdr>
        <w:top w:val="none" w:sz="0" w:space="0" w:color="auto"/>
        <w:left w:val="none" w:sz="0" w:space="0" w:color="auto"/>
        <w:bottom w:val="none" w:sz="0" w:space="0" w:color="auto"/>
        <w:right w:val="none" w:sz="0" w:space="0" w:color="auto"/>
      </w:divBdr>
    </w:div>
    <w:div w:id="1993951033">
      <w:bodyDiv w:val="1"/>
      <w:marLeft w:val="0"/>
      <w:marRight w:val="0"/>
      <w:marTop w:val="0"/>
      <w:marBottom w:val="0"/>
      <w:divBdr>
        <w:top w:val="none" w:sz="0" w:space="0" w:color="auto"/>
        <w:left w:val="none" w:sz="0" w:space="0" w:color="auto"/>
        <w:bottom w:val="none" w:sz="0" w:space="0" w:color="auto"/>
        <w:right w:val="none" w:sz="0" w:space="0" w:color="auto"/>
      </w:divBdr>
    </w:div>
    <w:div w:id="21293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Series/C2006A00014" TargetMode="External"/><Relationship Id="rId18" Type="http://schemas.openxmlformats.org/officeDocument/2006/relationships/hyperlink" Target="https://www.nopta.gov.au/_documents/guidelines/Offshore-Petroleum-Exploration-Guideline-Work-bid-2019.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opta.gov.au/cost-recovery-and-fees.htm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opta.gov.au/factsheets/petroleum-discoveries.html" TargetMode="External"/><Relationship Id="rId25" Type="http://schemas.openxmlformats.org/officeDocument/2006/relationships/hyperlink" Target="http://www.nopta.gov.au/forms/forms.html" TargetMode="External"/><Relationship Id="rId33"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hyperlink" Target="https://www.legislation.gov.au/Series/F2011L00647" TargetMode="External"/><Relationship Id="rId20" Type="http://schemas.openxmlformats.org/officeDocument/2006/relationships/hyperlink" Target="http://www.nopta.gov.au/forms/form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opta.gov.au/forms/forms.html" TargetMode="External"/><Relationship Id="rId32"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hyperlink" Target="http://www.nopta.gov.au/" TargetMode="External"/><Relationship Id="rId23" Type="http://schemas.openxmlformats.org/officeDocument/2006/relationships/image" Target="media/image3.jpe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nopta.gov.au/factsheets/renewal-of-work-bid-exploration-permits-standard-halving-rules.htm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dustry.gov.au/Pages/default.aspx" TargetMode="External"/><Relationship Id="rId22" Type="http://schemas.openxmlformats.org/officeDocument/2006/relationships/image" Target="media/image2.jpe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OPTA Base Document" ma:contentTypeID="0x01010063547D135F865547B104B3688A6EB0DB004EBC41CBB87686458B4EADC66475DA23" ma:contentTypeVersion="2624" ma:contentTypeDescription="Create a new document." ma:contentTypeScope="" ma:versionID="fc454551d9f851e97967c49384d975e8">
  <xsd:schema xmlns:xsd="http://www.w3.org/2001/XMLSchema" xmlns:xs="http://www.w3.org/2001/XMLSchema" xmlns:p="http://schemas.microsoft.com/office/2006/metadata/properties" xmlns:ns1="http://schemas.microsoft.com/sharepoint/v3" xmlns:ns2="7012054d-3a07-4b40-940b-a148fc76e5c4" xmlns:ns3="http://schemas.microsoft.com/sharepoint/v3/fields" xmlns:ns4="e1c7fc68-f963-4fbf-ab17-100a6bd4a79c" xmlns:ns5="a8fdb9f5-4e6c-4c4a-a24d-2c5439f6d702" xmlns:ns6="http://schemas.microsoft.com/sharepoint/v4" targetNamespace="http://schemas.microsoft.com/office/2006/metadata/properties" ma:root="true" ma:fieldsID="d5091af312f1fc2952585f312592454b" ns1:_="" ns2:_="" ns3:_="" ns4:_="" ns5:_="" ns6:_="">
    <xsd:import namespace="http://schemas.microsoft.com/sharepoint/v3"/>
    <xsd:import namespace="7012054d-3a07-4b40-940b-a148fc76e5c4"/>
    <xsd:import namespace="http://schemas.microsoft.com/sharepoint/v3/fields"/>
    <xsd:import namespace="e1c7fc68-f963-4fbf-ab17-100a6bd4a79c"/>
    <xsd:import namespace="a8fdb9f5-4e6c-4c4a-a24d-2c5439f6d702"/>
    <xsd:import namespace="http://schemas.microsoft.com/sharepoint/v4"/>
    <xsd:element name="properties">
      <xsd:complexType>
        <xsd:sequence>
          <xsd:element name="documentManagement">
            <xsd:complexType>
              <xsd:all>
                <xsd:element ref="ns2:AGRkMSDescription" minOccurs="0"/>
                <xsd:element ref="ns2:SecurityClassification"/>
                <xsd:element ref="ns2:RightsType"/>
                <xsd:element ref="ns2:RightsStatus"/>
                <xsd:element ref="ns2:OfNationalSignificance"/>
                <xsd:element ref="ns1:AssignedTo" minOccurs="0"/>
                <xsd:element ref="ns3:_Status" minOccurs="0"/>
                <xsd:element ref="ns1:DocumentSetDescription" minOccurs="0"/>
                <xsd:element ref="ns2:Team_Not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TaxCatchAllLabel" minOccurs="0"/>
                <xsd:element ref="ns2:TaxKeywordTaxHTField" minOccurs="0"/>
                <xsd:element ref="ns3:_DCDateCreated"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5" nillable="true" ma:displayName="Assigned To" ma:list="UserInfo" ma:SearchPeopleOnly="false" ma:SharePointGroup="0" ma:internalName="Assigned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17"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GRkMSDescription" ma:index="3" nillable="true" ma:displayName="Description" ma:hidden="true" ma:internalName="AGRkMSDescription" ma:readOnly="false">
      <xsd:simpleType>
        <xsd:restriction base="dms:Note"/>
      </xsd:simpleType>
    </xsd:element>
    <xsd:element name="SecurityClassification" ma:index="9"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RightsType" ma:index="10"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Legal Privilege"/>
          <xsd:enumeration value="Legislative Secrecy"/>
          <xsd:enumeration value="Personal Privacy"/>
          <xsd:enumeration value="Use Permission"/>
        </xsd:restriction>
      </xsd:simpleType>
    </xsd:element>
    <xsd:element name="RightsStatus" ma:index="11" ma:displayName="Rights Status" ma:default="Open" ma:format="Dropdown"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OfNationalSignificance" ma:index="13" ma:displayName="Of National Significance" ma:format="Dropdown" ma:internalName="OfNationalSignificance" ma:readOnly="false">
      <xsd:simpleType>
        <xsd:restriction base="dms:Choice">
          <xsd:enumeration value="Yes"/>
          <xsd:enumeration value="No"/>
        </xsd:restriction>
      </xsd:simpleType>
    </xsd:element>
    <xsd:element name="Team_Note" ma:index="18" nillable="true" ma:taxonomy="true" ma:internalName="Team_Note" ma:taxonomyFieldName="Team" ma:displayName="Team" ma:readOnly="false"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20" nillable="true" ma:taxonomy="true" ma:internalName="BusinessFunction_Note" ma:taxonomyFieldName="BusinessFunction" ma:displayName="Business Function"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2" nillable="true" ma:taxonomy="true" ma:internalName="DocumentType_Note" ma:taxonomyFieldName="DocumentType" ma:displayName="Document Type" ma:readOnly="false" ma:fieldId="{d7e9db9a-de6b-4b6b-9730-7a48bbc6c396}" ma:sspId="bce47a14-5049-44f5-9725-de9c3b17a93b" ma:termSetId="333c4037-fbfd-4298-be21-e3183fae6b8e" ma:anchorId="00000000-0000-0000-0000-000000000000" ma:open="false" ma:isKeyword="false">
      <xsd:complexType>
        <xsd:sequence>
          <xsd:element ref="pc:Terms" minOccurs="0" maxOccurs="1"/>
        </xsd:sequence>
      </xsd:complexType>
    </xsd:element>
    <xsd:element name="pfcb0be319e247388db2251ff9d23f72" ma:index="24" nillable="true" ma:taxonomy="true" ma:internalName="pfcb0be319e247388db2251ff9d23f72" ma:taxonomyFieldName="Title_x0020_Type" ma:displayName="Title Type" ma:readOnly="false" ma:fieldId="{9fcb0be3-19e2-4738-8db2-251ff9d23f72}" ma:sspId="bce47a14-5049-44f5-9725-de9c3b17a93b" ma:termSetId="e204d62f-d264-43c4-8e63-421b70a2954d" ma:anchorId="286f6102-6be4-40f5-8b73-32f93e1dd849" ma:open="false" ma:isKeyword="false">
      <xsd:complexType>
        <xsd:sequence>
          <xsd:element ref="pc:Terms" minOccurs="0" maxOccurs="1"/>
        </xsd:sequence>
      </xsd:complexType>
    </xsd:element>
    <xsd:element name="g91dc4f691a04421b1edf463601fabf6" ma:index="26" nillable="true" ma:taxonomy="true" ma:internalName="g91dc4f691a04421b1edf463601fabf6" ma:taxonomyFieldName="Offshore_x0020_Region" ma:displayName="Offshore Region" ma:readOnly="false" ma:fieldId="{091dc4f6-91a0-4421-b1ed-f463601fabf6}" ma:sspId="bce47a14-5049-44f5-9725-de9c3b17a93b" ma:termSetId="99cd5c32-502d-4aba-9558-a497c5e865e4"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Titles_Note" ma:index="30" nillable="true" ma:taxonomy="true" ma:internalName="Titles_Note" ma:taxonomyFieldName="Titles" ma:displayName="Titles" ma:readOnly="false" ma:fieldId="{97b812e5-e380-4ca1-b625-eb849df8b920}" ma:taxonomyMulti="true" ma:sspId="bce47a14-5049-44f5-9725-de9c3b17a93b" ma:termSetId="a0720935-c824-4aaf-b152-24826a10ab35" ma:anchorId="00000000-0000-0000-0000-000000000000" ma:open="false" ma:isKeyword="false">
      <xsd:complexType>
        <xsd:sequence>
          <xsd:element ref="pc:Terms" minOccurs="0" maxOccurs="1"/>
        </xsd:sequence>
      </xsd:complexType>
    </xsd:element>
    <xsd:element name="Jurisdiction" ma:index="31"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2" ma:displayName="Caveat Text" ma:default="PSPF" ma:hidden="true" ma:internalName="CaveatText" ma:readOnly="false">
      <xsd:simpleType>
        <xsd:restriction base="dms:Text"/>
      </xsd:simpleType>
    </xsd:element>
    <xsd:element name="CaveatCategory" ma:index="33" ma:displayName="Caveat Category" ma:default="DLM: For Official Use Only" ma:hidden="true" ma:internalName="CaveatCategory" ma:readOnly="false">
      <xsd:simpleType>
        <xsd:restriction base="dms:Text"/>
      </xsd:simpleType>
    </xsd:element>
    <xsd:element name="RightsStatement" ma:index="34" nillable="true" ma:displayName="Rights Statement" ma:default="NOPTA Members Only" ma:hidden="true" ma:internalName="RightsStatement" ma:readOnly="false">
      <xsd:simpleType>
        <xsd:restriction base="dms:Note"/>
      </xsd:simpleType>
    </xsd:element>
    <xsd:element name="AGRkMSCategory" ma:index="35"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6" ma:displayName="AGRkMS Language" ma:default="en-au" ma:hidden="true" ma:internalName="AGRkMSLanguage" ma:readOnly="false">
      <xsd:simpleType>
        <xsd:restriction base="dms:Text"/>
      </xsd:simpleType>
    </xsd:element>
    <xsd:element name="JurisdictionalCoverage" ma:index="37"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8" nillable="true" ma:displayName="Temporal Coverage" ma:hidden="true" ma:internalName="TemporalCoverage" ma:readOnly="false">
      <xsd:simpleType>
        <xsd:restriction base="dms:Text"/>
      </xsd:simpleType>
    </xsd:element>
    <xsd:element name="SpatialCoverage" ma:index="39" nillable="true" ma:displayName="Spatial Coverage" ma:default="Commonwealth of Australia" ma:hidden="true" ma:internalName="SpatialCoverage" ma:readOnly="false">
      <xsd:simpleType>
        <xsd:restriction base="dms:Text"/>
      </xsd:simpleType>
    </xsd:element>
    <xsd:element name="KeywordID" ma:index="40" nillable="true" ma:displayName="Keyword ID" ma:hidden="true" ma:internalName="KeywordID" ma:readOnly="false">
      <xsd:simpleType>
        <xsd:restriction base="dms:Text"/>
      </xsd:simpleType>
    </xsd:element>
    <xsd:element name="KeywordScheme" ma:index="41" nillable="true" ma:displayName="Keyword Scheme" ma:hidden="true" ma:internalName="KeywordScheme" ma:readOnly="false">
      <xsd:simpleType>
        <xsd:restriction base="dms:Text"/>
      </xsd:simpleType>
    </xsd:element>
    <xsd:element name="KeywordSchemeType" ma:index="42" nillable="true" ma:displayName="Keyword Scheme Type" ma:hidden="true" ma:internalName="KeywordSchemeType" ma:readOnly="false">
      <xsd:simpleType>
        <xsd:restriction base="dms:Text"/>
      </xsd:simpleType>
    </xsd:element>
    <xsd:element name="FormatName" ma:index="43" nillable="true" ma:displayName="Format Name" ma:default="Word" ma:hidden="true" ma:internalName="FormatName" ma:readOnly="false">
      <xsd:simpleType>
        <xsd:restriction base="dms:Text"/>
      </xsd:simpleType>
    </xsd:element>
    <xsd:element name="FormatVersion" ma:index="44" nillable="true" ma:displayName="Format Version" ma:default="2013" ma:hidden="true" ma:internalName="FormatVersion" ma:readOnly="false">
      <xsd:simpleType>
        <xsd:restriction base="dms:Text"/>
      </xsd:simpleType>
    </xsd:element>
    <xsd:element name="CreatingApplicationName" ma:index="45" nillable="true" ma:displayName="Creating Application Name" ma:default="Microsoft Word" ma:hidden="true" ma:internalName="CreatingApplicationName" ma:readOnly="false">
      <xsd:simpleType>
        <xsd:restriction base="dms:Text"/>
      </xsd:simpleType>
    </xsd:element>
    <xsd:element name="CreatingApplicationVersion" ma:index="46" nillable="true" ma:displayName="Creating Application Version" ma:default="2013" ma:hidden="true" ma:internalName="CreatingApplicationVersion" ma:readOnly="false">
      <xsd:simpleType>
        <xsd:restriction base="dms:Text"/>
      </xsd:simpleType>
    </xsd:element>
    <xsd:element name="FormatRegistry" ma:index="47" nillable="true" ma:displayName="Format Registry" ma:default="System generated" ma:hidden="true" ma:internalName="FormatRegistry" ma:readOnly="false">
      <xsd:simpleType>
        <xsd:restriction base="dms:Text"/>
      </xsd:simpleType>
    </xsd:element>
    <xsd:element name="Quantity" ma:index="48" nillable="true" ma:displayName="Quantity" ma:hidden="true" ma:internalName="Quantity" ma:readOnly="false">
      <xsd:simpleType>
        <xsd:restriction base="dms:Text"/>
      </xsd:simpleType>
    </xsd:element>
    <xsd:element name="Units" ma:index="49"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50" nillable="true" ma:displayName="Medium" ma:default="Digital File" ma:hidden="true" ma:internalName="Medium" ma:readOnly="false">
      <xsd:simpleType>
        <xsd:restriction base="dms:Text"/>
      </xsd:simpleType>
    </xsd:element>
    <xsd:element name="HashFunctionName" ma:index="51" ma:displayName="Hash Function Name" ma:default="MD5" ma:hidden="true" ma:internalName="HashFunctionName" ma:readOnly="false">
      <xsd:simpleType>
        <xsd:restriction base="dms:Text"/>
      </xsd:simpleType>
    </xsd:element>
    <xsd:element name="MessageDigest" ma:index="52" nillable="true" ma:displayName="Message Digest" ma:hidden="true" ma:internalName="MessageDigest" ma:readOnly="false">
      <xsd:simpleType>
        <xsd:restriction base="dms:Text"/>
      </xsd:simpleType>
    </xsd:element>
    <xsd:element name="RecordKeywords" ma:index="53" nillable="true" ma:displayName="Record Keywords" ma:hidden="true" ma:internalName="RecordKeywords" ma:readOnly="false">
      <xsd:simpleType>
        <xsd:restriction base="dms:Text"/>
      </xsd:simpleType>
    </xsd:element>
    <xsd:element name="DateRangeStart" ma:index="54" nillable="true" ma:displayName="Date Range - Start Date" ma:format="DateOnly" ma:hidden="true" ma:internalName="DateRangeStart" ma:readOnly="false">
      <xsd:simpleType>
        <xsd:restriction base="dms:DateTime"/>
      </xsd:simpleType>
    </xsd:element>
    <xsd:element name="DateRangeEnd" ma:index="55" nillable="true" ma:displayName="Date Range - End Date" ma:format="DateOnly" ma:hidden="true" ma:internalName="DateRangeEnd" ma:readOnly="false">
      <xsd:simpleType>
        <xsd:restriction base="dms:DateTime"/>
      </xsd:simpleType>
    </xsd:element>
    <xsd:element name="DocumentForm" ma:index="56" nillable="true" ma:displayName="Document Form" ma:hidden="true" ma:internalName="DocumentForm" ma:readOnly="false">
      <xsd:simpleType>
        <xsd:restriction base="dms:Text"/>
      </xsd:simpleType>
    </xsd:element>
    <xsd:element name="Entity" ma:index="57"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8" nillable="true" ma:displayName="Identifier" ma:decimals="0" ma:default="0" ma:hidden="true" ma:internalName="Identifier" ma:readOnly="false" ma:percentage="FALSE">
      <xsd:simpleType>
        <xsd:restriction base="dms:Number"/>
      </xsd:simpleType>
    </xsd:element>
    <xsd:element name="Precedence" ma:index="59" nillable="true" ma:displayName="Precedence" ma:hidden="true" ma:internalName="Precedence" ma:readOnly="false">
      <xsd:simpleType>
        <xsd:restriction base="dms:Text"/>
      </xsd:simpleType>
    </xsd:element>
    <xsd:element name="RecordContact" ma:index="60"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61" nillable="true" ma:displayName="Record Contact Details" ma:hidden="true" ma:internalName="RecordContactDetails" ma:readOnly="false">
      <xsd:simpleType>
        <xsd:restriction base="dms:Text"/>
      </xsd:simpleType>
    </xsd:element>
    <xsd:element name="RecordExtent" ma:index="62" nillable="true" ma:displayName="Record Extent" ma:hidden="true" ma:internalName="RecordExtent" ma:readOnly="false">
      <xsd:simpleType>
        <xsd:restriction base="dms:Text"/>
      </xsd:simpleType>
    </xsd:element>
    <xsd:element name="RecordExtentUnits" ma:index="63" nillable="true" ma:displayName="Record Extent Units" ma:hidden="true" ma:internalName="RecordExtentUnits" ma:readOnly="false">
      <xsd:simpleType>
        <xsd:restriction base="dms:Text"/>
      </xsd:simpleType>
    </xsd:element>
    <xsd:element name="RecordLocation" ma:index="64" nillable="true" ma:displayName="Record Location" ma:hidden="true" ma:internalName="RecordLocation" ma:readOnly="false">
      <xsd:simpleType>
        <xsd:restriction base="dms:Text"/>
      </xsd:simpleType>
    </xsd:element>
    <xsd:element name="NameScheme" ma:index="65" nillable="true" ma:displayName="Name Scheme" ma:hidden="true" ma:internalName="NameScheme" ma:readOnly="false">
      <xsd:simpleType>
        <xsd:restriction base="dms:Text"/>
      </xsd:simpleType>
    </xsd:element>
    <xsd:element name="IdentifierScheme" ma:index="66" nillable="true" ma:displayName="Identifier Scheme" ma:default="RecordPoint" ma:hidden="true" ma:internalName="IdentifierScheme" ma:readOnly="false">
      <xsd:simpleType>
        <xsd:restriction base="dms:Text"/>
      </xsd:simpleType>
    </xsd:element>
    <xsd:element name="m3f2ca6b2c9a4802967adedbb4af06ae" ma:index="67" nillable="true" ma:taxonomy="true" ma:internalName="m3f2ca6b2c9a4802967adedbb4af06ae" ma:taxonomyFieldName="Application_x0020_Library" ma:displayName="Application Library" ma:readOnly="false"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TaxCatchAllLabel" ma:index="69"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axKeywordTaxHTField" ma:index="70" nillable="true" ma:taxonomy="true" ma:internalName="TaxKeywordTaxHTField" ma:taxonomyFieldName="TaxKeyword" ma:displayName="Enterprise Keywords" ma:readOnly="false"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nillable="true" ma:displayName="Status" ma:default="Not Started" ma:format="Dropdown"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DCDateCreated" ma:index="71"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c7fc68-f963-4fbf-ab17-100a6bd4a79c" elementFormDefault="qualified">
    <xsd:import namespace="http://schemas.microsoft.com/office/2006/documentManagement/types"/>
    <xsd:import namespace="http://schemas.microsoft.com/office/infopath/2007/PartnerControls"/>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db9f5-4e6c-4c4a-a24d-2c5439f6d702" elementFormDefault="qualified">
    <xsd:import namespace="http://schemas.microsoft.com/office/2006/documentManagement/types"/>
    <xsd:import namespace="http://schemas.microsoft.com/office/infopath/2007/PartnerControls"/>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2" ma:displayName="Titl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12054d-3a07-4b40-940b-a148fc76e5c4">
      <Value>424</Value>
      <Value>4707</Value>
      <Value>6601</Value>
      <Value>4679</Value>
      <Value>4575</Value>
      <Value>137</Value>
    </TaxCatchAll>
    <_dlc_DocId xmlns="7012054d-3a07-4b40-940b-a148fc76e5c4">NOPTANET-1686289485-1003</_dlc_DocId>
    <_dlc_DocIdUrl xmlns="7012054d-3a07-4b40-940b-a148fc76e5c4">
      <Url>https://nopta.sharepoint.com/team/LCT/_layouts/15/DocIdRedir.aspx?ID=NOPTANET-1686289485-1003</Url>
      <Description>NOPTANET-1686289485-1003</Description>
    </_dlc_DocIdUrl>
    <BusinessFunction_Note xmlns="7012054d-3a07-4b40-940b-a148fc76e5c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0aba567e-029a-4f4e-8490-2b79d5a5a825</TermId>
        </TermInfo>
      </Terms>
    </BusinessFunction_Note>
    <CaveatCategory xmlns="7012054d-3a07-4b40-940b-a148fc76e5c4">DLM: For Official Use Only</CaveatCategory>
    <FormatVersion xmlns="7012054d-3a07-4b40-940b-a148fc76e5c4">2013</FormatVersion>
    <RecordKeywords xmlns="7012054d-3a07-4b40-940b-a148fc76e5c4" xsi:nil="true"/>
    <RightsStatement xmlns="7012054d-3a07-4b40-940b-a148fc76e5c4">NOPTA Members Only</RightsStatement>
    <CreatingApplicationVersion xmlns="7012054d-3a07-4b40-940b-a148fc76e5c4">2013</CreatingApplicationVersion>
    <DateRangeEnd xmlns="7012054d-3a07-4b40-940b-a148fc76e5c4" xsi:nil="true"/>
    <RecordLocation xmlns="7012054d-3a07-4b40-940b-a148fc76e5c4" xsi:nil="true"/>
    <AGRkMSDescription xmlns="7012054d-3a07-4b40-940b-a148fc76e5c4">Updated guideline effective May 2019</AGRkMSDescription>
    <Team_Note xmlns="7012054d-3a07-4b40-940b-a148fc76e5c4">
      <Terms xmlns="http://schemas.microsoft.com/office/infopath/2007/PartnerControls">
        <TermInfo xmlns="http://schemas.microsoft.com/office/infopath/2007/PartnerControls">
          <TermName xmlns="http://schemas.microsoft.com/office/infopath/2007/PartnerControls">Legislative Compliance</TermName>
          <TermId xmlns="http://schemas.microsoft.com/office/infopath/2007/PartnerControls">cb4b5b1d-0a66-42b0-ad54-d9e1e7b82ef0</TermId>
        </TermInfo>
      </Terms>
    </Team_Note>
    <CaveatText xmlns="7012054d-3a07-4b40-940b-a148fc76e5c4">PSPF</CaveatText>
    <_dlc_DocIdPersistId xmlns="7012054d-3a07-4b40-940b-a148fc76e5c4" xsi:nil="true"/>
    <SpatialCoverage xmlns="7012054d-3a07-4b40-940b-a148fc76e5c4">Commonwealth of Australia</SpatialCoverage>
    <NameScheme xmlns="7012054d-3a07-4b40-940b-a148fc76e5c4" xsi:nil="true"/>
    <m3f2ca6b2c9a4802967adedbb4af06ae xmlns="7012054d-3a07-4b40-940b-a148fc76e5c4">
      <Terms xmlns="http://schemas.microsoft.com/office/infopath/2007/PartnerControls"/>
    </m3f2ca6b2c9a4802967adedbb4af06ae>
    <RightsStatus xmlns="7012054d-3a07-4b40-940b-a148fc76e5c4">Open</RightsStatus>
    <KeywordScheme xmlns="7012054d-3a07-4b40-940b-a148fc76e5c4" xsi:nil="true"/>
    <FormatName xmlns="7012054d-3a07-4b40-940b-a148fc76e5c4">Word</FormatName>
    <RecordContactDetails xmlns="7012054d-3a07-4b40-940b-a148fc76e5c4" xsi:nil="true"/>
    <Quantity xmlns="7012054d-3a07-4b40-940b-a148fc76e5c4" xsi:nil="true"/>
    <Medium xmlns="7012054d-3a07-4b40-940b-a148fc76e5c4">Digital File</Medium>
    <DocumentForm xmlns="7012054d-3a07-4b40-940b-a148fc76e5c4" xsi:nil="true"/>
    <KeywordID xmlns="7012054d-3a07-4b40-940b-a148fc76e5c4" xsi:nil="true"/>
    <FormatRegistry xmlns="7012054d-3a07-4b40-940b-a148fc76e5c4">System generated</FormatRegistry>
    <Entity xmlns="7012054d-3a07-4b40-940b-a148fc76e5c4" xsi:nil="true"/>
    <OfNationalSignificance xmlns="7012054d-3a07-4b40-940b-a148fc76e5c4">No</OfNationalSignificance>
    <DocumentSetDescription xmlns="http://schemas.microsoft.com/sharepoint/v3" xsi:nil="true"/>
    <Precedence xmlns="7012054d-3a07-4b40-940b-a148fc76e5c4" xsi:nil="true"/>
    <Identifier xmlns="7012054d-3a07-4b40-940b-a148fc76e5c4">0</Identifier>
    <RecordContact xmlns="7012054d-3a07-4b40-940b-a148fc76e5c4">
      <UserInfo>
        <DisplayName/>
        <AccountId xsi:nil="true"/>
        <AccountType/>
      </UserInfo>
    </RecordContact>
    <RecordExtentUnits xmlns="7012054d-3a07-4b40-940b-a148fc76e5c4" xsi:nil="true"/>
    <RecordExtent xmlns="7012054d-3a07-4b40-940b-a148fc76e5c4" xsi:nil="true"/>
    <DocumentType_Note xmlns="7012054d-3a07-4b40-940b-a148fc76e5c4">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d1b666ff-1768-485a-b83d-c8693c6a4acc</TermId>
        </TermInfo>
      </Terms>
    </DocumentType_Note>
    <pfcb0be319e247388db2251ff9d23f72 xmlns="7012054d-3a07-4b40-940b-a148fc76e5c4">
      <Terms xmlns="http://schemas.microsoft.com/office/infopath/2007/PartnerControls"/>
    </pfcb0be319e247388db2251ff9d23f72>
    <AGRkMSLanguage xmlns="7012054d-3a07-4b40-940b-a148fc76e5c4">en-au</AGRkMSLanguage>
    <MessageDigest xmlns="7012054d-3a07-4b40-940b-a148fc76e5c4" xsi:nil="true"/>
    <TemporalCoverage xmlns="7012054d-3a07-4b40-940b-a148fc76e5c4" xsi:nil="true"/>
    <HashFunctionName xmlns="7012054d-3a07-4b40-940b-a148fc76e5c4">MD5</HashFunctionName>
    <DateRangeStart xmlns="7012054d-3a07-4b40-940b-a148fc76e5c4" xsi:nil="true"/>
    <AGRkMSCategory xmlns="7012054d-3a07-4b40-940b-a148fc76e5c4">Item</AGRkMSCategory>
    <JurisdictionalCoverage xmlns="7012054d-3a07-4b40-940b-a148fc76e5c4">
      <Value>Commonwealth of Australia (AU)</Value>
    </JurisdictionalCoverage>
    <RightsType xmlns="7012054d-3a07-4b40-940b-a148fc76e5c4">Use Permission</RightsType>
    <TaxKeywordTaxHTField xmlns="7012054d-3a07-4b40-940b-a148fc76e5c4">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2f155a20-2806-4609-83fa-0f837c3a6035</TermId>
        </TermInfo>
        <TermInfo xmlns="http://schemas.microsoft.com/office/infopath/2007/PartnerControls">
          <TermName xmlns="http://schemas.microsoft.com/office/infopath/2007/PartnerControls">DECLARATION OF LOCATIONS</TermName>
          <TermId xmlns="http://schemas.microsoft.com/office/infopath/2007/PartnerControls">4c1d59c7-ee08-4b1f-8de6-17180842e8ca</TermId>
        </TermInfo>
        <TermInfo xmlns="http://schemas.microsoft.com/office/infopath/2007/PartnerControls">
          <TermName xmlns="http://schemas.microsoft.com/office/infopath/2007/PartnerControls">approved</TermName>
          <TermId xmlns="http://schemas.microsoft.com/office/infopath/2007/PartnerControls">4217cffa-1aa0-4c37-9ba3-e63b376ed5f8</TermId>
        </TermInfo>
      </Terms>
    </TaxKeywordTaxHTField>
    <g91dc4f691a04421b1edf463601fabf6 xmlns="7012054d-3a07-4b40-940b-a148fc76e5c4">
      <Terms xmlns="http://schemas.microsoft.com/office/infopath/2007/PartnerControls"/>
    </g91dc4f691a04421b1edf463601fabf6>
    <KeywordSchemeType xmlns="7012054d-3a07-4b40-940b-a148fc76e5c4" xsi:nil="true"/>
    <CreatingApplicationName xmlns="7012054d-3a07-4b40-940b-a148fc76e5c4">Microsoft Word</CreatingApplicationName>
    <Units xmlns="7012054d-3a07-4b40-940b-a148fc76e5c4">KB</Units>
    <Titles_Note xmlns="7012054d-3a07-4b40-940b-a148fc76e5c4">
      <Terms xmlns="http://schemas.microsoft.com/office/infopath/2007/PartnerControls"/>
    </Titles_Note>
    <SecurityClassification xmlns="7012054d-3a07-4b40-940b-a148fc76e5c4">OFFICIAL</SecurityClassification>
    <Jurisdiction xmlns="7012054d-3a07-4b40-940b-a148fc76e5c4">
      <Value>AU</Value>
    </Jurisdiction>
    <IdentifierScheme xmlns="7012054d-3a07-4b40-940b-a148fc76e5c4">RecordPoint</IdentifierScheme>
    <AssignedTo xmlns="http://schemas.microsoft.com/sharepoint/v3">
      <UserInfo>
        <DisplayName/>
        <AccountId xsi:nil="true"/>
        <AccountType/>
      </UserInfo>
    </AssignedTo>
    <_Status xmlns="http://schemas.microsoft.com/sharepoint/v3/fields">Not Started</_Status>
    <_DCDateCreated xmlns="http://schemas.microsoft.com/sharepoint/v3/fields" xsi:nil="true"/>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5969B-5B0D-4171-9DE7-5D38AC8B1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2054d-3a07-4b40-940b-a148fc76e5c4"/>
    <ds:schemaRef ds:uri="http://schemas.microsoft.com/sharepoint/v3/fields"/>
    <ds:schemaRef ds:uri="e1c7fc68-f963-4fbf-ab17-100a6bd4a79c"/>
    <ds:schemaRef ds:uri="a8fdb9f5-4e6c-4c4a-a24d-2c5439f6d7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BDA0B-B791-4504-8A7C-CE7D2062B1D5}">
  <ds:schemaRefs>
    <ds:schemaRef ds:uri="http://schemas.microsoft.com/sharepoint/events"/>
  </ds:schemaRefs>
</ds:datastoreItem>
</file>

<file path=customXml/itemProps3.xml><?xml version="1.0" encoding="utf-8"?>
<ds:datastoreItem xmlns:ds="http://schemas.openxmlformats.org/officeDocument/2006/customXml" ds:itemID="{B6FA1B48-DAB7-465D-938C-7145943DBC96}">
  <ds:schemaRefs>
    <ds:schemaRef ds:uri="http://schemas.microsoft.com/sharepoint/v3/contenttype/forms"/>
  </ds:schemaRefs>
</ds:datastoreItem>
</file>

<file path=customXml/itemProps4.xml><?xml version="1.0" encoding="utf-8"?>
<ds:datastoreItem xmlns:ds="http://schemas.openxmlformats.org/officeDocument/2006/customXml" ds:itemID="{F7851852-9991-4001-8FAC-1F6CFC74B6D0}">
  <ds:schemaRefs>
    <ds:schemaRef ds:uri="http://schemas.microsoft.com/office/2006/metadata/properties"/>
    <ds:schemaRef ds:uri="7012054d-3a07-4b40-940b-a148fc76e5c4"/>
    <ds:schemaRef ds:uri="http://schemas.microsoft.com/sharepoint/v4"/>
    <ds:schemaRef ds:uri="http://schemas.microsoft.com/sharepoint/v3"/>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a8fdb9f5-4e6c-4c4a-a24d-2c5439f6d702"/>
    <ds:schemaRef ds:uri="http://purl.org/dc/elements/1.1/"/>
    <ds:schemaRef ds:uri="e1c7fc68-f963-4fbf-ab17-100a6bd4a79c"/>
    <ds:schemaRef ds:uri="http://schemas.microsoft.com/sharepoint/v3/fields"/>
    <ds:schemaRef ds:uri="http://www.w3.org/XML/1998/namespace"/>
  </ds:schemaRefs>
</ds:datastoreItem>
</file>

<file path=customXml/itemProps5.xml><?xml version="1.0" encoding="utf-8"?>
<ds:datastoreItem xmlns:ds="http://schemas.openxmlformats.org/officeDocument/2006/customXml" ds:itemID="{5FE6A7EB-367E-4B76-837D-F7133FAD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3280</Words>
  <Characters>18700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Declaration of Location Guideline</vt:lpstr>
    </vt:vector>
  </TitlesOfParts>
  <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Location Guideline</dc:title>
  <dc:subject/>
  <dc:creator/>
  <cp:keywords>DECLARATION OF LOCATIONS; approved; Guidelines</cp:keywords>
  <dc:description>Update with new Department name</dc:description>
  <cp:lastModifiedBy/>
  <cp:revision>1</cp:revision>
  <dcterms:created xsi:type="dcterms:W3CDTF">2022-07-18T03:33:00Z</dcterms:created>
  <dcterms:modified xsi:type="dcterms:W3CDTF">2022-07-18T04:02:00Z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0x01010063547D135F865547B104B3688A6EB0DB004EBC41CBB87686458B4EADC66475DA23</vt:lpwstr>
  </property>
  <property fmtid="{D5CDD505-2E9C-101B-9397-08002B2CF9AE}" pid="3" name="TaxKeyword">
    <vt:lpwstr>4679;#Guidelines|2f155a20-2806-4609-83fa-0f837c3a6035;#4707;#DECLARATION OF LOCATIONS|4c1d59c7-ee08-4b1f-8de6-17180842e8ca;#6601;#approved|4217cffa-1aa0-4c37-9ba3-e63b376ed5f8</vt:lpwstr>
  </property>
  <property fmtid="{D5CDD505-2E9C-101B-9397-08002B2CF9AE}" pid="4" name="BusinessFunction">
    <vt:lpwstr>4575</vt:lpwstr>
  </property>
  <property fmtid="{D5CDD505-2E9C-101B-9397-08002B2CF9AE}" pid="5" name="_dlc_DocIdItemGuid">
    <vt:lpwstr>59cc9ec5-277e-42a4-8c1b-7a5072263eab</vt:lpwstr>
  </property>
  <property fmtid="{D5CDD505-2E9C-101B-9397-08002B2CF9AE}" pid="6" name="Team">
    <vt:lpwstr>424;#Legislative Compliance|cb4b5b1d-0a66-42b0-ad54-d9e1e7b82ef0</vt:lpwstr>
  </property>
  <property fmtid="{D5CDD505-2E9C-101B-9397-08002B2CF9AE}" pid="7" name="Titles">
    <vt:lpwstr/>
  </property>
  <property fmtid="{D5CDD505-2E9C-101B-9397-08002B2CF9AE}" pid="8" name="Title Type">
    <vt:lpwstr/>
  </property>
  <property fmtid="{D5CDD505-2E9C-101B-9397-08002B2CF9AE}" pid="9" name="DocumentType">
    <vt:lpwstr>137;#Guideline|d1b666ff-1768-485a-b83d-c8693c6a4acc</vt:lpwstr>
  </property>
  <property fmtid="{D5CDD505-2E9C-101B-9397-08002B2CF9AE}" pid="10" name="Comments">
    <vt:lpwstr/>
  </property>
  <property fmtid="{D5CDD505-2E9C-101B-9397-08002B2CF9AE}" pid="11" name="Offshore Region">
    <vt:lpwstr/>
  </property>
  <property fmtid="{D5CDD505-2E9C-101B-9397-08002B2CF9AE}" pid="12" name="Application Library">
    <vt:lpwstr/>
  </property>
  <property fmtid="{D5CDD505-2E9C-101B-9397-08002B2CF9AE}" pid="13" name="RecordPoint_WorkflowType">
    <vt:lpwstr>ActiveSubmitStub</vt:lpwstr>
  </property>
  <property fmtid="{D5CDD505-2E9C-101B-9397-08002B2CF9AE}" pid="14" name="RecordPoint_ActiveItemWebId">
    <vt:lpwstr>{534ecb78-ceec-4263-97fc-d32ad715d31f}</vt:lpwstr>
  </property>
  <property fmtid="{D5CDD505-2E9C-101B-9397-08002B2CF9AE}" pid="15" name="RecordPoint_ActiveItemSiteId">
    <vt:lpwstr>{d02ec70a-6101-41fa-8072-ecbec6fd4fd8}</vt:lpwstr>
  </property>
  <property fmtid="{D5CDD505-2E9C-101B-9397-08002B2CF9AE}" pid="16" name="RecordPoint_ActiveItemListId">
    <vt:lpwstr>{478775bc-9c4f-4f34-ba66-087519ae94a1}</vt:lpwstr>
  </property>
  <property fmtid="{D5CDD505-2E9C-101B-9397-08002B2CF9AE}" pid="17" name="RecordPoint_ActiveItemUniqueId">
    <vt:lpwstr>{ee70e2a6-7128-4adf-af46-e59a0aabc0a6}</vt:lpwstr>
  </property>
  <property fmtid="{D5CDD505-2E9C-101B-9397-08002B2CF9AE}" pid="18" name="RecordPoint_RecordNumberSubmitted">
    <vt:lpwstr>R0000170400</vt:lpwstr>
  </property>
  <property fmtid="{D5CDD505-2E9C-101B-9397-08002B2CF9AE}" pid="19" name="RecordPoint_SubmissionCompleted">
    <vt:lpwstr>2018-12-05T15:01:37.9263777+08:00</vt:lpwstr>
  </property>
  <property fmtid="{D5CDD505-2E9C-101B-9397-08002B2CF9AE}" pid="20" name="DocHub_Year">
    <vt:lpwstr>3075;#2019|7e451fe0-4dc6-437a-a849-bab7965a9aee</vt:lpwstr>
  </property>
  <property fmtid="{D5CDD505-2E9C-101B-9397-08002B2CF9AE}" pid="21" name="DocHub_Section">
    <vt:lpwstr>3234;#Petroleum Development|abf40c76-aec9-4fef-a323-92c4bb0075e2</vt:lpwstr>
  </property>
  <property fmtid="{D5CDD505-2E9C-101B-9397-08002B2CF9AE}" pid="22" name="DocHub_DocumentType">
    <vt:lpwstr>81;#Guideline|1cb7cffe-f5b4-42ac-8a71-3f61d9d0fa0a</vt:lpwstr>
  </property>
  <property fmtid="{D5CDD505-2E9C-101B-9397-08002B2CF9AE}" pid="23" name="DocHub_SecurityClassification">
    <vt:lpwstr>1;#UNCLASSIFIED|6106d03b-a1a0-4e30-9d91-d5e9fb4314f9</vt:lpwstr>
  </property>
  <property fmtid="{D5CDD505-2E9C-101B-9397-08002B2CF9AE}" pid="24" name="DocHub_WorkActivity">
    <vt:lpwstr/>
  </property>
  <property fmtid="{D5CDD505-2E9C-101B-9397-08002B2CF9AE}" pid="25" name="DocHub_Keywords">
    <vt:lpwstr/>
  </property>
</Properties>
</file>