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BB86C" w14:textId="77777777" w:rsidR="007941FA" w:rsidRDefault="00524B21" w:rsidP="00524B21">
      <w:pPr>
        <w:pStyle w:val="Title"/>
        <w:pBdr>
          <w:top w:val="single" w:sz="4" w:space="1" w:color="auto"/>
          <w:left w:val="single" w:sz="4" w:space="4" w:color="auto"/>
          <w:bottom w:val="single" w:sz="4" w:space="1" w:color="auto"/>
          <w:right w:val="single" w:sz="4" w:space="4" w:color="auto"/>
        </w:pBdr>
        <w:jc w:val="center"/>
      </w:pPr>
      <w:r>
        <w:t>CASH BID EXPLORATION PERMIT GUIDELINE</w:t>
      </w:r>
    </w:p>
    <w:p w14:paraId="41AED78F" w14:textId="77777777" w:rsidR="00524B21" w:rsidRPr="00524B21" w:rsidRDefault="00524B21" w:rsidP="00524B21">
      <w:pPr>
        <w:pBdr>
          <w:top w:val="single" w:sz="4" w:space="1" w:color="auto"/>
          <w:left w:val="single" w:sz="4" w:space="4" w:color="auto"/>
          <w:bottom w:val="single" w:sz="4" w:space="1" w:color="auto"/>
          <w:right w:val="single" w:sz="4" w:space="4" w:color="auto"/>
        </w:pBdr>
        <w:jc w:val="center"/>
        <w:rPr>
          <w:rFonts w:cs="Times New Roman"/>
          <w:sz w:val="26"/>
          <w:szCs w:val="26"/>
        </w:rPr>
      </w:pPr>
      <w:r w:rsidRPr="00524B21">
        <w:rPr>
          <w:rFonts w:cs="Times New Roman"/>
          <w:sz w:val="26"/>
          <w:szCs w:val="26"/>
        </w:rPr>
        <w:t xml:space="preserve">A guideline in relation to the </w:t>
      </w:r>
      <w:r w:rsidRPr="00524B21">
        <w:rPr>
          <w:rFonts w:cs="Times New Roman"/>
          <w:i/>
          <w:sz w:val="26"/>
          <w:szCs w:val="26"/>
        </w:rPr>
        <w:t>Offshore Petroleum and Greenhouse Gas Storage Act 2006</w:t>
      </w:r>
    </w:p>
    <w:p w14:paraId="6B9057FF" w14:textId="182468AD" w:rsidR="00524B21" w:rsidRPr="00524B21" w:rsidRDefault="00524B21" w:rsidP="00524B21">
      <w:pPr>
        <w:pBdr>
          <w:top w:val="single" w:sz="4" w:space="1" w:color="auto"/>
          <w:left w:val="single" w:sz="4" w:space="4" w:color="auto"/>
          <w:bottom w:val="single" w:sz="4" w:space="1" w:color="auto"/>
          <w:right w:val="single" w:sz="4" w:space="4" w:color="auto"/>
        </w:pBdr>
        <w:jc w:val="center"/>
        <w:rPr>
          <w:rFonts w:cs="Times New Roman"/>
          <w:sz w:val="23"/>
          <w:szCs w:val="23"/>
        </w:rPr>
      </w:pPr>
      <w:r w:rsidRPr="00524B21">
        <w:rPr>
          <w:rFonts w:cs="Times New Roman"/>
          <w:sz w:val="23"/>
          <w:szCs w:val="23"/>
        </w:rPr>
        <w:t xml:space="preserve">Prepared by the Commonwealth </w:t>
      </w:r>
      <w:r w:rsidR="000756F8" w:rsidRPr="000756F8">
        <w:rPr>
          <w:rFonts w:cs="Times New Roman"/>
          <w:sz w:val="23"/>
          <w:szCs w:val="23"/>
        </w:rPr>
        <w:t>Department of Industry, Science, Energy and Resources</w:t>
      </w:r>
      <w:r w:rsidR="000756F8">
        <w:rPr>
          <w:rFonts w:cs="Times New Roman"/>
          <w:sz w:val="23"/>
          <w:szCs w:val="23"/>
        </w:rPr>
        <w:t xml:space="preserve"> </w:t>
      </w:r>
    </w:p>
    <w:p w14:paraId="1B8CC3AE" w14:textId="77777777" w:rsidR="00524B21" w:rsidRPr="00524B21" w:rsidRDefault="00524B21" w:rsidP="00524B21">
      <w:pPr>
        <w:pBdr>
          <w:top w:val="single" w:sz="4" w:space="1" w:color="auto"/>
          <w:left w:val="single" w:sz="4" w:space="4" w:color="auto"/>
          <w:bottom w:val="single" w:sz="4" w:space="1" w:color="auto"/>
          <w:right w:val="single" w:sz="4" w:space="4" w:color="auto"/>
        </w:pBdr>
        <w:jc w:val="center"/>
        <w:rPr>
          <w:rFonts w:cs="Times New Roman"/>
          <w:i/>
          <w:sz w:val="23"/>
          <w:szCs w:val="23"/>
        </w:rPr>
      </w:pPr>
      <w:r w:rsidRPr="00524B21">
        <w:rPr>
          <w:rFonts w:cs="Times New Roman"/>
          <w:i/>
          <w:sz w:val="23"/>
          <w:szCs w:val="23"/>
        </w:rPr>
        <w:t>Effective 2 April 2014</w:t>
      </w:r>
    </w:p>
    <w:p w14:paraId="023BAF60" w14:textId="77777777" w:rsidR="00524B21" w:rsidRPr="00524B21" w:rsidRDefault="00524B21" w:rsidP="00524B21">
      <w:pPr>
        <w:rPr>
          <w:sz w:val="20"/>
          <w:szCs w:val="20"/>
        </w:rPr>
      </w:pPr>
      <w:r w:rsidRPr="00524B21">
        <w:rPr>
          <w:sz w:val="20"/>
          <w:szCs w:val="20"/>
        </w:rPr>
        <w:t xml:space="preserve">This document has been developed as a general guide only. It does not replace or amend the requirements of the </w:t>
      </w:r>
      <w:r w:rsidRPr="00524B21">
        <w:rPr>
          <w:i/>
          <w:sz w:val="20"/>
          <w:szCs w:val="20"/>
        </w:rPr>
        <w:t>Offshore Petroleum and Greenhouse Gas Storage Act 2006</w:t>
      </w:r>
      <w:r w:rsidRPr="00524B21">
        <w:rPr>
          <w:sz w:val="20"/>
          <w:szCs w:val="20"/>
        </w:rPr>
        <w:t xml:space="preserve"> and associated Regulations, which should be read in conjunction with the guideline.</w:t>
      </w:r>
    </w:p>
    <w:p w14:paraId="46C39C17" w14:textId="77777777" w:rsidR="00524B21" w:rsidRPr="00524B21" w:rsidRDefault="00524B21" w:rsidP="00524B21">
      <w:pPr>
        <w:rPr>
          <w:sz w:val="20"/>
          <w:szCs w:val="20"/>
        </w:rPr>
      </w:pPr>
      <w:r w:rsidRPr="00524B21">
        <w:rPr>
          <w:sz w:val="20"/>
          <w:szCs w:val="20"/>
        </w:rPr>
        <w:t xml:space="preserve">It is made available on the understanding that the Commonwealth is not thereby engaged in rendering legal or other professional advice. Before relying on this material in any important matter, users should carefully evaluate its accuracy, currency, completeness and relevance for their purposes, and obtain appropriate legal or other professional advice relevant to their </w:t>
      </w:r>
      <w:proofErr w:type="gramStart"/>
      <w:r w:rsidRPr="00524B21">
        <w:rPr>
          <w:sz w:val="20"/>
          <w:szCs w:val="20"/>
        </w:rPr>
        <w:t>particular circumstances</w:t>
      </w:r>
      <w:proofErr w:type="gramEnd"/>
      <w:r w:rsidRPr="00524B21">
        <w:rPr>
          <w:sz w:val="20"/>
          <w:szCs w:val="20"/>
        </w:rPr>
        <w:t>.</w:t>
      </w:r>
    </w:p>
    <w:p w14:paraId="5947EA42" w14:textId="77777777" w:rsidR="00524B21" w:rsidRPr="00524B21" w:rsidRDefault="00524B21" w:rsidP="00524B21">
      <w:pPr>
        <w:rPr>
          <w:sz w:val="20"/>
          <w:szCs w:val="20"/>
        </w:rPr>
      </w:pPr>
      <w:r w:rsidRPr="00524B21">
        <w:rPr>
          <w:sz w:val="20"/>
          <w:szCs w:val="20"/>
        </w:rPr>
        <w:t xml:space="preserve">It is anticipated the guideline will be amended from time to time. The most up-to-date version of the guideline is available at </w:t>
      </w:r>
      <w:hyperlink r:id="rId11" w:tooltip="NOPTA website" w:history="1">
        <w:r w:rsidR="004619D3" w:rsidRPr="00B82366">
          <w:rPr>
            <w:rStyle w:val="Hyperlink"/>
            <w:sz w:val="20"/>
            <w:szCs w:val="20"/>
          </w:rPr>
          <w:t>www.nopta.gov.au</w:t>
        </w:r>
      </w:hyperlink>
      <w:r w:rsidRPr="00524B21">
        <w:rPr>
          <w:sz w:val="20"/>
          <w:szCs w:val="20"/>
        </w:rPr>
        <w:t>.</w:t>
      </w:r>
    </w:p>
    <w:p w14:paraId="36F2D6E5" w14:textId="77777777" w:rsidR="00524B21" w:rsidRPr="00524B21" w:rsidRDefault="00524B21" w:rsidP="00524B21">
      <w:r w:rsidRPr="00524B21">
        <w:rPr>
          <w:b/>
        </w:rPr>
        <w:t>PLEASE NOTE:</w:t>
      </w:r>
      <w:r w:rsidRPr="00524B21">
        <w:t xml:space="preserve"> The </w:t>
      </w:r>
      <w:bookmarkStart w:id="0" w:name="OLE_LINK3"/>
      <w:bookmarkStart w:id="1" w:name="OLE_LINK4"/>
      <w:r w:rsidRPr="00524B21">
        <w:t xml:space="preserve">National Offshore Petroleum Titles Administrator </w:t>
      </w:r>
      <w:bookmarkEnd w:id="0"/>
      <w:bookmarkEnd w:id="1"/>
      <w:r w:rsidRPr="00524B21">
        <w:t xml:space="preserve">(NOPTA), on behalf of the respective Offshore Petroleum Joint Authority, is the first point of contact on all </w:t>
      </w:r>
      <w:proofErr w:type="gramStart"/>
      <w:r w:rsidRPr="00524B21">
        <w:t>titles</w:t>
      </w:r>
      <w:proofErr w:type="gramEnd"/>
      <w:r w:rsidRPr="00524B21">
        <w:t xml:space="preserve"> administration matters relating to offshore petroleum and greenhouse gas storage. </w:t>
      </w:r>
    </w:p>
    <w:p w14:paraId="1D2ADEC5" w14:textId="77777777" w:rsidR="00524B21" w:rsidRPr="00524B21" w:rsidRDefault="00524B21" w:rsidP="00524B21">
      <w:pPr>
        <w:pStyle w:val="Heading1"/>
      </w:pPr>
      <w:r w:rsidRPr="00524B21">
        <w:t>PURPOSE</w:t>
      </w:r>
    </w:p>
    <w:p w14:paraId="10B0DB4D" w14:textId="77777777" w:rsidR="00524B21" w:rsidRPr="00524B21" w:rsidRDefault="00524B21" w:rsidP="00524B21">
      <w:r w:rsidRPr="00524B21">
        <w:t xml:space="preserve">This guideline aims to assist potential applicants to lodge applications for cash bid exploration permits under section 110 of the </w:t>
      </w:r>
      <w:r w:rsidRPr="00524B21">
        <w:rPr>
          <w:i/>
        </w:rPr>
        <w:t>Offshore Petroleum and Greenhouse Gas Storage Act 2006</w:t>
      </w:r>
      <w:r w:rsidRPr="00524B21">
        <w:t xml:space="preserve"> (OPGGS Act). The guideline also provides information about the process for inviting and making cash bids under section 111 of the OPGGS Act, and for the subsequent offer and grant of a cash bid exploration permit.</w:t>
      </w:r>
    </w:p>
    <w:p w14:paraId="6BD9C122" w14:textId="77777777" w:rsidR="00524B21" w:rsidRDefault="00524B21" w:rsidP="00524B21">
      <w:pPr>
        <w:pStyle w:val="Heading2"/>
      </w:pPr>
      <w:r w:rsidRPr="00524B21">
        <w:t>OVERVIEW</w:t>
      </w:r>
    </w:p>
    <w:p w14:paraId="1BD31CFB" w14:textId="77777777" w:rsidR="00524B21" w:rsidRDefault="00524B21" w:rsidP="00647EA5">
      <w:pPr>
        <w:pStyle w:val="ListParagraph"/>
        <w:numPr>
          <w:ilvl w:val="1"/>
          <w:numId w:val="1"/>
        </w:numPr>
        <w:tabs>
          <w:tab w:val="left" w:pos="567"/>
        </w:tabs>
        <w:spacing w:before="120" w:after="120" w:line="240" w:lineRule="auto"/>
        <w:ind w:left="567" w:hanging="567"/>
        <w:contextualSpacing w:val="0"/>
      </w:pPr>
      <w:r w:rsidRPr="00647EA5">
        <w:t xml:space="preserve">The Joint Authority will publish in the Australian Government Gazette a notice outlining the areas available for grant of an exploration permit by way of cash bidding, including key dates and decision-making criteria. </w:t>
      </w:r>
    </w:p>
    <w:p w14:paraId="0D0B84C1"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 xml:space="preserve">Exploration permits will be awarded for either one term of six years, or for an initial term of six years with an option to renew for a further </w:t>
      </w:r>
      <w:proofErr w:type="gramStart"/>
      <w:r w:rsidRPr="00647EA5">
        <w:t>five year</w:t>
      </w:r>
      <w:proofErr w:type="gramEnd"/>
      <w:r w:rsidRPr="00647EA5">
        <w:t xml:space="preserve"> term. The Australian Government Gazette notice will state whether the permit can be renewed. </w:t>
      </w:r>
    </w:p>
    <w:p w14:paraId="0DF0A31A"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The cash bid process has two stages:</w:t>
      </w:r>
    </w:p>
    <w:p w14:paraId="63ADDEC1" w14:textId="77777777" w:rsidR="00647EA5" w:rsidRPr="00647EA5" w:rsidRDefault="00647EA5" w:rsidP="00647EA5">
      <w:pPr>
        <w:pStyle w:val="ListParagraph"/>
        <w:numPr>
          <w:ilvl w:val="2"/>
          <w:numId w:val="1"/>
        </w:numPr>
        <w:tabs>
          <w:tab w:val="left" w:pos="1276"/>
        </w:tabs>
        <w:spacing w:before="120" w:after="120" w:line="240" w:lineRule="auto"/>
        <w:ind w:left="1276" w:hanging="709"/>
        <w:contextualSpacing w:val="0"/>
      </w:pPr>
      <w:r w:rsidRPr="00647EA5">
        <w:t>permit application (prequalification)</w:t>
      </w:r>
    </w:p>
    <w:p w14:paraId="204788CD" w14:textId="77777777" w:rsidR="00647EA5" w:rsidRPr="00647EA5" w:rsidRDefault="00647EA5" w:rsidP="00647EA5">
      <w:pPr>
        <w:pStyle w:val="ListParagraph"/>
        <w:numPr>
          <w:ilvl w:val="2"/>
          <w:numId w:val="1"/>
        </w:numPr>
        <w:tabs>
          <w:tab w:val="left" w:pos="1276"/>
        </w:tabs>
        <w:spacing w:before="120" w:after="120" w:line="240" w:lineRule="auto"/>
        <w:ind w:left="1276" w:hanging="709"/>
        <w:contextualSpacing w:val="0"/>
      </w:pPr>
      <w:r w:rsidRPr="00647EA5">
        <w:t>invitation to make a cash bid.</w:t>
      </w:r>
    </w:p>
    <w:p w14:paraId="7357EF85"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An “applicant” for the purposes of cash bidding may be any individual or entity that can be granted an exploration permit under the OPGGS Act (this includes, but is not limited to, individuals, companies, bid groups, and joint ventures).</w:t>
      </w:r>
    </w:p>
    <w:p w14:paraId="0F8CB35C"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An applicant must first prequalify to be eligible to make a cash bid for an exploration permit. In order to prequalify, the Joint Authority must be satisfied that the applicant has the technical and financial capabilities to explore for petroleum in offshore areas.</w:t>
      </w:r>
    </w:p>
    <w:p w14:paraId="23C99595"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lastRenderedPageBreak/>
        <w:t>All applications for prequalification will be treated as commercial-in-confidence by the Joint Authority and NOPTA.</w:t>
      </w:r>
    </w:p>
    <w:p w14:paraId="077C41B6"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 xml:space="preserve">If the Joint Authority decides that an applicant is eligible, as a result of assessment during the prequalification stage, the eligible applicant will then be invited to submit a cash bid to NOPTA within the period stated in the invitation.  </w:t>
      </w:r>
    </w:p>
    <w:p w14:paraId="44F188A8"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 xml:space="preserve">All eligible applicants for a </w:t>
      </w:r>
      <w:proofErr w:type="gramStart"/>
      <w:r w:rsidRPr="00647EA5">
        <w:t>particular area</w:t>
      </w:r>
      <w:proofErr w:type="gramEnd"/>
      <w:r w:rsidRPr="00647EA5">
        <w:t xml:space="preserve"> will be notified with details regarding the process for submitting the cash bid during the auction period. </w:t>
      </w:r>
    </w:p>
    <w:p w14:paraId="01146EF3"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 xml:space="preserve">The Joint Authority will offer an exploration permit at the conclusion of the auction period </w:t>
      </w:r>
      <w:proofErr w:type="gramStart"/>
      <w:r w:rsidRPr="00647EA5">
        <w:t>on the basis of</w:t>
      </w:r>
      <w:proofErr w:type="gramEnd"/>
      <w:r w:rsidRPr="00647EA5">
        <w:t xml:space="preserve"> the highest validly submitted bid or bids.</w:t>
      </w:r>
    </w:p>
    <w:p w14:paraId="07F1128F" w14:textId="664B1565"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 xml:space="preserve">Once the exploration permit has been granted, the name of the successful applicant, the amount of the winning cash bid and the number of bids received will be </w:t>
      </w:r>
      <w:r w:rsidR="00C803CF" w:rsidRPr="00647EA5">
        <w:t>publicly</w:t>
      </w:r>
      <w:r w:rsidRPr="00647EA5">
        <w:t xml:space="preserve"> announced. </w:t>
      </w:r>
    </w:p>
    <w:p w14:paraId="4661A6DB" w14:textId="6146572A"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 xml:space="preserve">Permits awarded under the cash bidding system will not be subject to annual exploration work program commitments. </w:t>
      </w:r>
      <w:r w:rsidR="00C803CF" w:rsidRPr="00647EA5">
        <w:t>However,</w:t>
      </w:r>
      <w:r w:rsidRPr="00647EA5">
        <w:t xml:space="preserve"> application fees, annual title administration levies, data management requirements and other ordinary statutory approval requirements apply to cash bid exploration permits. </w:t>
      </w:r>
    </w:p>
    <w:p w14:paraId="2B4AF9A9" w14:textId="77777777" w:rsidR="00647EA5" w:rsidRP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Cash bid areas that are not taken up will not be offered as part of a re-release round.</w:t>
      </w:r>
    </w:p>
    <w:p w14:paraId="76589F4F" w14:textId="77777777" w:rsidR="00647EA5" w:rsidRDefault="00647EA5" w:rsidP="00647EA5">
      <w:pPr>
        <w:pStyle w:val="ListParagraph"/>
        <w:numPr>
          <w:ilvl w:val="1"/>
          <w:numId w:val="1"/>
        </w:numPr>
        <w:tabs>
          <w:tab w:val="left" w:pos="567"/>
        </w:tabs>
        <w:spacing w:before="120" w:after="120" w:line="240" w:lineRule="auto"/>
        <w:ind w:left="567" w:hanging="567"/>
        <w:contextualSpacing w:val="0"/>
      </w:pPr>
      <w:r w:rsidRPr="00647EA5">
        <w:t>The general timeframe for the cash bid process is outlined at Attachment 1.</w:t>
      </w:r>
    </w:p>
    <w:p w14:paraId="40E48E83" w14:textId="628ACD48" w:rsidR="001E2549" w:rsidRPr="00647EA5" w:rsidRDefault="001E2549" w:rsidP="00647EA5">
      <w:pPr>
        <w:pStyle w:val="ListParagraph"/>
        <w:numPr>
          <w:ilvl w:val="1"/>
          <w:numId w:val="1"/>
        </w:numPr>
        <w:tabs>
          <w:tab w:val="left" w:pos="567"/>
        </w:tabs>
        <w:spacing w:before="120" w:after="120" w:line="240" w:lineRule="auto"/>
        <w:ind w:left="567" w:hanging="567"/>
        <w:contextualSpacing w:val="0"/>
      </w:pPr>
      <w:r w:rsidRPr="001E2549">
        <w:t xml:space="preserve">Foreign government investors intending to participate in the Cash Bidding Acreage Release Program must receive foreign investment approval prior to acquiring an interest in an exploration permit issued under the Program.  For further information on foreign investment approvals, see the </w:t>
      </w:r>
      <w:hyperlink r:id="rId12" w:tooltip="http://www.firb.gov.au/" w:history="1">
        <w:r w:rsidRPr="001E2549">
          <w:rPr>
            <w:rStyle w:val="Hyperlink"/>
          </w:rPr>
          <w:t>Foreign Investment Review Board website</w:t>
        </w:r>
      </w:hyperlink>
      <w:r w:rsidRPr="001E2549">
        <w:t xml:space="preserve"> or </w:t>
      </w:r>
      <w:hyperlink r:id="rId13" w:history="1">
        <w:r w:rsidRPr="001E2549">
          <w:rPr>
            <w:rStyle w:val="Hyperlink"/>
          </w:rPr>
          <w:t>contact the Foreign Investment Review Board Secretariat</w:t>
        </w:r>
      </w:hyperlink>
    </w:p>
    <w:p w14:paraId="1B3C1853" w14:textId="77777777" w:rsidR="00647EA5" w:rsidRPr="00647EA5" w:rsidRDefault="00647EA5" w:rsidP="00647EA5">
      <w:pPr>
        <w:pStyle w:val="Heading2"/>
      </w:pPr>
      <w:r w:rsidRPr="00647EA5">
        <w:t>PERMIT APPLICATION (prequalification)</w:t>
      </w:r>
    </w:p>
    <w:p w14:paraId="6B7DEEBC" w14:textId="77777777" w:rsidR="00647EA5" w:rsidRPr="00647EA5" w:rsidRDefault="00647EA5" w:rsidP="00647EA5">
      <w:pPr>
        <w:pStyle w:val="Heading3"/>
      </w:pPr>
      <w:r w:rsidRPr="00647EA5">
        <w:t>General information</w:t>
      </w:r>
    </w:p>
    <w:p w14:paraId="593C802E" w14:textId="77777777" w:rsidR="00647EA5" w:rsidRDefault="00647EA5" w:rsidP="00DB02BC">
      <w:pPr>
        <w:pStyle w:val="ListParagraph"/>
        <w:numPr>
          <w:ilvl w:val="1"/>
          <w:numId w:val="1"/>
        </w:numPr>
        <w:tabs>
          <w:tab w:val="left" w:pos="567"/>
        </w:tabs>
        <w:spacing w:before="120" w:after="120" w:line="240" w:lineRule="auto"/>
        <w:ind w:left="567" w:hanging="567"/>
        <w:contextualSpacing w:val="0"/>
      </w:pPr>
      <w:r w:rsidRPr="00647EA5">
        <w:t>An applicant must prequalify in order to be invited to submit a cash bid.</w:t>
      </w:r>
    </w:p>
    <w:p w14:paraId="010E557B" w14:textId="77777777" w:rsidR="00647EA5" w:rsidRPr="00647EA5" w:rsidRDefault="00647EA5" w:rsidP="00DB02BC">
      <w:pPr>
        <w:pStyle w:val="ListParagraph"/>
        <w:numPr>
          <w:ilvl w:val="1"/>
          <w:numId w:val="1"/>
        </w:numPr>
        <w:tabs>
          <w:tab w:val="left" w:pos="567"/>
        </w:tabs>
        <w:spacing w:before="120" w:after="120" w:line="240" w:lineRule="auto"/>
        <w:ind w:left="567" w:hanging="567"/>
        <w:contextualSpacing w:val="0"/>
      </w:pPr>
      <w:r w:rsidRPr="00647EA5">
        <w:t xml:space="preserve">One prequalification application form will be required per applicant. NOPTA will provide written confirmation of an application having been received. </w:t>
      </w:r>
    </w:p>
    <w:p w14:paraId="1DF21153" w14:textId="77777777" w:rsidR="00647EA5" w:rsidRPr="00647EA5" w:rsidRDefault="00647EA5" w:rsidP="00DB02BC">
      <w:pPr>
        <w:pStyle w:val="ListParagraph"/>
        <w:numPr>
          <w:ilvl w:val="1"/>
          <w:numId w:val="1"/>
        </w:numPr>
        <w:tabs>
          <w:tab w:val="left" w:pos="567"/>
        </w:tabs>
        <w:spacing w:before="120" w:after="120" w:line="240" w:lineRule="auto"/>
        <w:ind w:left="567" w:hanging="567"/>
        <w:contextualSpacing w:val="0"/>
      </w:pPr>
      <w:r w:rsidRPr="00647EA5">
        <w:t>Applications can be submitted at any time during the prequalification period, prior to the closing date and time. Assessment will commence upon receipt of the application and the applicant will be advised in due course.</w:t>
      </w:r>
    </w:p>
    <w:p w14:paraId="6A8F551F" w14:textId="77777777" w:rsidR="00647EA5" w:rsidRPr="00647EA5" w:rsidRDefault="00647EA5" w:rsidP="00DB02BC">
      <w:pPr>
        <w:pStyle w:val="ListParagraph"/>
        <w:numPr>
          <w:ilvl w:val="1"/>
          <w:numId w:val="1"/>
        </w:numPr>
        <w:tabs>
          <w:tab w:val="left" w:pos="567"/>
        </w:tabs>
        <w:spacing w:before="120" w:after="120" w:line="240" w:lineRule="auto"/>
        <w:ind w:left="567" w:hanging="567"/>
        <w:contextualSpacing w:val="0"/>
      </w:pPr>
      <w:r w:rsidRPr="00647EA5">
        <w:t>Applications cannot be amended after they have been submitted</w:t>
      </w:r>
      <w:r w:rsidR="00DB02BC" w:rsidRPr="00647EA5">
        <w:t xml:space="preserve">. </w:t>
      </w:r>
      <w:proofErr w:type="gramStart"/>
      <w:r w:rsidRPr="00647EA5">
        <w:t>However</w:t>
      </w:r>
      <w:proofErr w:type="gramEnd"/>
      <w:r w:rsidRPr="00647EA5">
        <w:t xml:space="preserve"> NOPTA may request further information in relation to the application. </w:t>
      </w:r>
    </w:p>
    <w:p w14:paraId="17C185E8" w14:textId="77777777" w:rsidR="00647EA5" w:rsidRPr="00647EA5" w:rsidRDefault="00647EA5" w:rsidP="00DB02BC">
      <w:pPr>
        <w:pStyle w:val="Heading3"/>
      </w:pPr>
      <w:r w:rsidRPr="00647EA5">
        <w:t>How to apply for prequalification</w:t>
      </w:r>
    </w:p>
    <w:p w14:paraId="763AC5D5" w14:textId="77777777" w:rsidR="00647EA5" w:rsidRPr="00647EA5" w:rsidRDefault="00647EA5" w:rsidP="00DB02BC">
      <w:pPr>
        <w:pStyle w:val="ListParagraph"/>
        <w:numPr>
          <w:ilvl w:val="1"/>
          <w:numId w:val="1"/>
        </w:numPr>
        <w:tabs>
          <w:tab w:val="left" w:pos="567"/>
        </w:tabs>
        <w:spacing w:before="120" w:after="120" w:line="240" w:lineRule="auto"/>
        <w:ind w:left="567" w:hanging="567"/>
        <w:contextualSpacing w:val="0"/>
      </w:pPr>
      <w:r w:rsidRPr="00647EA5">
        <w:t xml:space="preserve">The application, together with the prescribed fee, must be submitted to NOPTA in the approved manner, and by the deadline specified in the Australian Government Gazette notice. The approved application form can be found on </w:t>
      </w:r>
      <w:hyperlink r:id="rId14" w:tooltip="NOPTA website" w:history="1">
        <w:r w:rsidR="004619D3" w:rsidRPr="00B82366">
          <w:rPr>
            <w:rStyle w:val="Hyperlink"/>
          </w:rPr>
          <w:t>www.nopta.gov.au</w:t>
        </w:r>
      </w:hyperlink>
      <w:r w:rsidR="004619D3">
        <w:t>.</w:t>
      </w:r>
    </w:p>
    <w:p w14:paraId="47C47131" w14:textId="77777777" w:rsidR="00647EA5" w:rsidRPr="00647EA5" w:rsidRDefault="00647EA5" w:rsidP="00DB02BC">
      <w:pPr>
        <w:pStyle w:val="ListParagraph"/>
        <w:numPr>
          <w:ilvl w:val="1"/>
          <w:numId w:val="1"/>
        </w:numPr>
        <w:tabs>
          <w:tab w:val="left" w:pos="567"/>
        </w:tabs>
        <w:spacing w:before="120" w:after="120" w:line="240" w:lineRule="auto"/>
        <w:ind w:left="567" w:hanging="567"/>
        <w:contextualSpacing w:val="0"/>
      </w:pPr>
      <w:r w:rsidRPr="00647EA5">
        <w:t>The application must include the following information:</w:t>
      </w:r>
    </w:p>
    <w:p w14:paraId="56374588" w14:textId="77777777" w:rsidR="00647EA5" w:rsidRPr="00647EA5" w:rsidRDefault="00647EA5" w:rsidP="00DB02BC">
      <w:pPr>
        <w:pStyle w:val="ListParagraph"/>
        <w:numPr>
          <w:ilvl w:val="2"/>
          <w:numId w:val="1"/>
        </w:numPr>
        <w:tabs>
          <w:tab w:val="left" w:pos="1276"/>
        </w:tabs>
        <w:spacing w:before="120" w:after="120" w:line="240" w:lineRule="auto"/>
        <w:ind w:left="1276" w:hanging="709"/>
        <w:contextualSpacing w:val="0"/>
      </w:pPr>
      <w:r w:rsidRPr="00647EA5">
        <w:t>details of the applicant</w:t>
      </w:r>
    </w:p>
    <w:p w14:paraId="21735F5B" w14:textId="77777777" w:rsidR="00647EA5" w:rsidRPr="00647EA5" w:rsidRDefault="00647EA5" w:rsidP="00DB02BC">
      <w:pPr>
        <w:pStyle w:val="ListParagraph"/>
        <w:numPr>
          <w:ilvl w:val="2"/>
          <w:numId w:val="1"/>
        </w:numPr>
        <w:tabs>
          <w:tab w:val="left" w:pos="1276"/>
        </w:tabs>
        <w:spacing w:before="120" w:after="120" w:line="240" w:lineRule="auto"/>
        <w:ind w:left="1276" w:hanging="709"/>
        <w:contextualSpacing w:val="0"/>
      </w:pPr>
      <w:r w:rsidRPr="00647EA5">
        <w:lastRenderedPageBreak/>
        <w:t xml:space="preserve">details of the technical qualifications of the applicant and its key employees, and details of the technical advice available to the applicant (by way of consultants or other providers) that would enable it to explore </w:t>
      </w:r>
      <w:r w:rsidR="004619D3">
        <w:t>for petroleum in offshore areas</w:t>
      </w:r>
    </w:p>
    <w:p w14:paraId="621DDD94" w14:textId="77777777" w:rsidR="00647EA5" w:rsidRPr="00647EA5" w:rsidRDefault="00647EA5" w:rsidP="00DB02BC">
      <w:pPr>
        <w:pStyle w:val="ListParagraph"/>
        <w:numPr>
          <w:ilvl w:val="2"/>
          <w:numId w:val="1"/>
        </w:numPr>
        <w:tabs>
          <w:tab w:val="left" w:pos="1276"/>
        </w:tabs>
        <w:spacing w:before="120" w:after="120" w:line="240" w:lineRule="auto"/>
        <w:ind w:left="1276" w:hanging="709"/>
        <w:contextualSpacing w:val="0"/>
      </w:pPr>
      <w:r w:rsidRPr="00647EA5">
        <w:t xml:space="preserve">where a </w:t>
      </w:r>
      <w:proofErr w:type="gramStart"/>
      <w:r w:rsidRPr="00647EA5">
        <w:t>third party</w:t>
      </w:r>
      <w:proofErr w:type="gramEnd"/>
      <w:r w:rsidRPr="00647EA5">
        <w:t xml:space="preserve"> provider will be used to undertake exploration activities, evidence of conditional agreements, or similar initial consultations, should be pro</w:t>
      </w:r>
      <w:r w:rsidR="004619D3">
        <w:t>vided</w:t>
      </w:r>
    </w:p>
    <w:p w14:paraId="2ECA6776" w14:textId="77777777" w:rsidR="00647EA5" w:rsidRPr="00647EA5" w:rsidRDefault="00647EA5" w:rsidP="00DB02BC">
      <w:pPr>
        <w:pStyle w:val="ListParagraph"/>
        <w:numPr>
          <w:ilvl w:val="2"/>
          <w:numId w:val="1"/>
        </w:numPr>
        <w:tabs>
          <w:tab w:val="left" w:pos="1276"/>
        </w:tabs>
        <w:spacing w:before="120" w:after="120" w:line="240" w:lineRule="auto"/>
        <w:ind w:left="1276" w:hanging="709"/>
        <w:contextualSpacing w:val="0"/>
      </w:pPr>
      <w:r w:rsidRPr="00647EA5">
        <w:t xml:space="preserve">evidence of the financial resources available to the applicant demonstrating that the applicant </w:t>
      </w:r>
      <w:proofErr w:type="gramStart"/>
      <w:r w:rsidRPr="00647EA5">
        <w:t>has the ability to</w:t>
      </w:r>
      <w:proofErr w:type="gramEnd"/>
      <w:r w:rsidRPr="00647EA5">
        <w:t xml:space="preserve"> continue as a going concern (refer Attachment 2 for a non-exhaustive list of examples). Applicants should also provide the latest audited financial reports for the applicant, including but not limited to:</w:t>
      </w:r>
    </w:p>
    <w:p w14:paraId="25EFD48A" w14:textId="77777777" w:rsidR="00647EA5" w:rsidRPr="00647EA5" w:rsidRDefault="00647EA5" w:rsidP="00DB02BC">
      <w:pPr>
        <w:pStyle w:val="ListParagraph"/>
        <w:numPr>
          <w:ilvl w:val="2"/>
          <w:numId w:val="5"/>
        </w:numPr>
        <w:tabs>
          <w:tab w:val="left" w:pos="1701"/>
        </w:tabs>
        <w:spacing w:before="120" w:after="120" w:line="240" w:lineRule="auto"/>
        <w:ind w:left="1701" w:hanging="425"/>
        <w:contextualSpacing w:val="0"/>
      </w:pPr>
      <w:r w:rsidRPr="00647EA5">
        <w:t>Statement of Profit and Loss and Other Comprehensive Income</w:t>
      </w:r>
    </w:p>
    <w:p w14:paraId="7CB96E39" w14:textId="77777777" w:rsidR="00647EA5" w:rsidRPr="00647EA5" w:rsidRDefault="00647EA5" w:rsidP="00DB02BC">
      <w:pPr>
        <w:pStyle w:val="ListParagraph"/>
        <w:numPr>
          <w:ilvl w:val="2"/>
          <w:numId w:val="5"/>
        </w:numPr>
        <w:tabs>
          <w:tab w:val="left" w:pos="1701"/>
        </w:tabs>
        <w:spacing w:before="120" w:after="120" w:line="240" w:lineRule="auto"/>
        <w:ind w:left="1701" w:hanging="425"/>
        <w:contextualSpacing w:val="0"/>
      </w:pPr>
      <w:r w:rsidRPr="00647EA5">
        <w:t>Statement of Financial Position</w:t>
      </w:r>
    </w:p>
    <w:p w14:paraId="70C67478" w14:textId="77777777" w:rsidR="00647EA5" w:rsidRPr="00647EA5" w:rsidRDefault="00647EA5" w:rsidP="00DB02BC">
      <w:pPr>
        <w:pStyle w:val="ListParagraph"/>
        <w:numPr>
          <w:ilvl w:val="2"/>
          <w:numId w:val="5"/>
        </w:numPr>
        <w:tabs>
          <w:tab w:val="left" w:pos="1701"/>
        </w:tabs>
        <w:spacing w:before="120" w:after="120" w:line="240" w:lineRule="auto"/>
        <w:ind w:left="1701" w:hanging="425"/>
        <w:contextualSpacing w:val="0"/>
      </w:pPr>
      <w:r w:rsidRPr="00647EA5">
        <w:t>Statement of Cash Flows</w:t>
      </w:r>
      <w:r w:rsidR="004619D3">
        <w:t>.</w:t>
      </w:r>
    </w:p>
    <w:p w14:paraId="086F11DD" w14:textId="77777777" w:rsidR="00DB02BC" w:rsidRPr="00DB02BC" w:rsidRDefault="00DB02BC" w:rsidP="00DB02BC">
      <w:pPr>
        <w:pStyle w:val="Heading3"/>
      </w:pPr>
      <w:r w:rsidRPr="00DB02BC">
        <w:t>Assessment</w:t>
      </w:r>
    </w:p>
    <w:p w14:paraId="280CFEEA" w14:textId="77777777" w:rsidR="00DB02BC" w:rsidRPr="00DB02BC" w:rsidRDefault="00DB02BC" w:rsidP="00DB02BC">
      <w:pPr>
        <w:pStyle w:val="ListParagraph"/>
        <w:numPr>
          <w:ilvl w:val="1"/>
          <w:numId w:val="1"/>
        </w:numPr>
        <w:tabs>
          <w:tab w:val="left" w:pos="567"/>
        </w:tabs>
        <w:spacing w:before="120" w:after="120" w:line="240" w:lineRule="auto"/>
        <w:ind w:left="567" w:hanging="567"/>
        <w:contextualSpacing w:val="0"/>
      </w:pPr>
      <w:r w:rsidRPr="00DB02BC">
        <w:t>The Joint Authority must be satisfied that the applicant has the requisite technical and financial capability to explore for petroleum in offshore areas. In deciding whether to invite the applicant to make a cash bid, the Joint Authority will take the following matters in to account:</w:t>
      </w:r>
    </w:p>
    <w:p w14:paraId="159C1042" w14:textId="77777777" w:rsidR="00DB02BC" w:rsidRPr="00DB02BC" w:rsidRDefault="00DB02BC" w:rsidP="00DB02BC">
      <w:pPr>
        <w:pStyle w:val="ListParagraph"/>
        <w:numPr>
          <w:ilvl w:val="2"/>
          <w:numId w:val="1"/>
        </w:numPr>
        <w:tabs>
          <w:tab w:val="left" w:pos="1276"/>
        </w:tabs>
        <w:spacing w:before="120" w:after="120" w:line="240" w:lineRule="auto"/>
        <w:ind w:left="1276" w:hanging="709"/>
        <w:contextualSpacing w:val="0"/>
      </w:pPr>
      <w:r w:rsidRPr="00DB02BC">
        <w:t>the applicant has financial resources available and the ability to continue as a going concern</w:t>
      </w:r>
    </w:p>
    <w:p w14:paraId="1F285EC3" w14:textId="77777777" w:rsidR="00524B21" w:rsidRDefault="00DB02BC" w:rsidP="00DB02BC">
      <w:pPr>
        <w:pStyle w:val="ListParagraph"/>
        <w:numPr>
          <w:ilvl w:val="2"/>
          <w:numId w:val="1"/>
        </w:numPr>
        <w:tabs>
          <w:tab w:val="left" w:pos="1276"/>
        </w:tabs>
        <w:spacing w:before="120" w:after="120" w:line="240" w:lineRule="auto"/>
        <w:ind w:left="1276" w:hanging="709"/>
        <w:contextualSpacing w:val="0"/>
      </w:pPr>
      <w:r w:rsidRPr="00DB02BC">
        <w:t>the applicant has access to a range of technical skills to satisfy the Joint Authority of its technical competence to explore f</w:t>
      </w:r>
      <w:r>
        <w:t>or petroleum in offshore areas.</w:t>
      </w:r>
      <w:r w:rsidRPr="00DB02BC">
        <w:t xml:space="preserve"> The Joint Authority will consider the technical capacity and experience of key personnel and/or sub-contractors.</w:t>
      </w:r>
    </w:p>
    <w:p w14:paraId="6AC82DD0" w14:textId="77777777" w:rsidR="00DB02BC" w:rsidRPr="00DB02BC" w:rsidRDefault="00DB02BC" w:rsidP="00DB02BC">
      <w:pPr>
        <w:pStyle w:val="Heading2"/>
        <w:ind w:left="567" w:hanging="567"/>
      </w:pPr>
      <w:r w:rsidRPr="00DB02BC">
        <w:t xml:space="preserve">CASH BID </w:t>
      </w:r>
    </w:p>
    <w:p w14:paraId="1C926FA3" w14:textId="77777777" w:rsidR="00DB02BC" w:rsidRPr="00DB02BC" w:rsidRDefault="00DB02BC" w:rsidP="00DB02BC">
      <w:pPr>
        <w:pStyle w:val="Heading3"/>
      </w:pPr>
      <w:r w:rsidRPr="00DB02BC">
        <w:t>General information</w:t>
      </w:r>
    </w:p>
    <w:p w14:paraId="38D1896C" w14:textId="77777777" w:rsidR="00DB02BC" w:rsidRPr="00DB02BC" w:rsidRDefault="00DB02BC" w:rsidP="00DB02BC">
      <w:pPr>
        <w:pStyle w:val="ListParagraph"/>
        <w:numPr>
          <w:ilvl w:val="1"/>
          <w:numId w:val="1"/>
        </w:numPr>
        <w:tabs>
          <w:tab w:val="left" w:pos="567"/>
        </w:tabs>
        <w:spacing w:before="120" w:after="120" w:line="240" w:lineRule="auto"/>
        <w:ind w:left="567" w:hanging="567"/>
        <w:contextualSpacing w:val="0"/>
      </w:pPr>
      <w:r w:rsidRPr="00DB02BC">
        <w:t xml:space="preserve">Once an applicant is prequalified, the Joint Authority, by written notice, will invite the eligible applicant to submit a cash bid. If the Joint Authority determines that an applicant is not eligible, the Joint Authority will, by written notice, reject the application by the applicant.  </w:t>
      </w:r>
    </w:p>
    <w:p w14:paraId="5991B978" w14:textId="77777777" w:rsidR="00DB02BC" w:rsidRPr="00DB02BC" w:rsidRDefault="00DB02BC" w:rsidP="00DB02BC">
      <w:pPr>
        <w:pStyle w:val="ListParagraph"/>
        <w:numPr>
          <w:ilvl w:val="1"/>
          <w:numId w:val="1"/>
        </w:numPr>
        <w:tabs>
          <w:tab w:val="left" w:pos="567"/>
        </w:tabs>
        <w:spacing w:before="120" w:after="120" w:line="240" w:lineRule="auto"/>
        <w:ind w:left="567" w:hanging="567"/>
        <w:contextualSpacing w:val="0"/>
      </w:pPr>
      <w:r w:rsidRPr="00DB02BC">
        <w:t xml:space="preserve">A written invitation to submit a cash bid will specify a period during which the applicant may make its cash bid. The period will have an opening date and closing date and time. The invitation will specify the </w:t>
      </w:r>
      <w:proofErr w:type="gramStart"/>
      <w:r w:rsidRPr="00DB02BC">
        <w:t>manner in which</w:t>
      </w:r>
      <w:proofErr w:type="gramEnd"/>
      <w:r w:rsidRPr="00DB02BC">
        <w:t xml:space="preserve"> the cash bid must be made.</w:t>
      </w:r>
    </w:p>
    <w:p w14:paraId="46850424" w14:textId="77777777" w:rsidR="00DB02BC" w:rsidRPr="00DB02BC" w:rsidRDefault="00DB02BC" w:rsidP="00DB02BC">
      <w:pPr>
        <w:pStyle w:val="ListParagraph"/>
        <w:numPr>
          <w:ilvl w:val="1"/>
          <w:numId w:val="1"/>
        </w:numPr>
        <w:tabs>
          <w:tab w:val="left" w:pos="567"/>
        </w:tabs>
        <w:spacing w:before="120" w:after="120" w:line="240" w:lineRule="auto"/>
        <w:ind w:left="567" w:hanging="567"/>
        <w:contextualSpacing w:val="0"/>
      </w:pPr>
      <w:r w:rsidRPr="00DB02BC">
        <w:t xml:space="preserve">A cash bid can only be made once in relation to a specified area by the same applicant who has successfully prequalified. </w:t>
      </w:r>
    </w:p>
    <w:p w14:paraId="77FCA0DB" w14:textId="77777777" w:rsidR="00DB02BC" w:rsidRPr="00DB02BC" w:rsidRDefault="00DB02BC" w:rsidP="00DB02BC">
      <w:pPr>
        <w:pStyle w:val="ListParagraph"/>
        <w:numPr>
          <w:ilvl w:val="1"/>
          <w:numId w:val="1"/>
        </w:numPr>
        <w:tabs>
          <w:tab w:val="left" w:pos="567"/>
        </w:tabs>
        <w:spacing w:before="120" w:after="120" w:line="240" w:lineRule="auto"/>
        <w:ind w:left="567" w:hanging="567"/>
        <w:contextualSpacing w:val="0"/>
      </w:pPr>
      <w:r w:rsidRPr="00DB02BC">
        <w:t xml:space="preserve">A cash bid without evidence of corresponding deposit payments will not be accepted. </w:t>
      </w:r>
    </w:p>
    <w:p w14:paraId="31B3F236" w14:textId="77777777" w:rsidR="00DB02BC" w:rsidRPr="00DB02BC" w:rsidRDefault="00DB02BC" w:rsidP="00DB02BC">
      <w:pPr>
        <w:pStyle w:val="ListParagraph"/>
        <w:numPr>
          <w:ilvl w:val="1"/>
          <w:numId w:val="1"/>
        </w:numPr>
        <w:tabs>
          <w:tab w:val="left" w:pos="567"/>
        </w:tabs>
        <w:spacing w:before="120" w:after="120" w:line="240" w:lineRule="auto"/>
        <w:ind w:left="567" w:hanging="567"/>
        <w:contextualSpacing w:val="0"/>
      </w:pPr>
      <w:r w:rsidRPr="00DB02BC">
        <w:t>NOPTA will provide written confirmation of an application having been received following the end of the bidding period.</w:t>
      </w:r>
    </w:p>
    <w:p w14:paraId="5F5FD6CF" w14:textId="77777777" w:rsidR="00DB02BC" w:rsidRPr="00DB02BC" w:rsidRDefault="00DB02BC" w:rsidP="00C20DB5">
      <w:pPr>
        <w:pStyle w:val="Heading3"/>
      </w:pPr>
      <w:r w:rsidRPr="00DB02BC">
        <w:lastRenderedPageBreak/>
        <w:t>How to Bid</w:t>
      </w:r>
    </w:p>
    <w:p w14:paraId="7AC0B131" w14:textId="77777777" w:rsidR="00DB02BC" w:rsidRPr="00DB02BC" w:rsidRDefault="00DB02BC" w:rsidP="00C20DB5">
      <w:pPr>
        <w:pStyle w:val="ListParagraph"/>
        <w:keepNext/>
        <w:keepLines/>
        <w:numPr>
          <w:ilvl w:val="1"/>
          <w:numId w:val="1"/>
        </w:numPr>
        <w:tabs>
          <w:tab w:val="left" w:pos="567"/>
        </w:tabs>
        <w:spacing w:before="120" w:after="120" w:line="240" w:lineRule="auto"/>
        <w:ind w:left="567" w:hanging="567"/>
        <w:contextualSpacing w:val="0"/>
      </w:pPr>
      <w:r w:rsidRPr="00DB02BC">
        <w:t xml:space="preserve">A cash bid must be submitted to NOPTA in the approved manner. A cash bid form can be found on </w:t>
      </w:r>
      <w:hyperlink r:id="rId15" w:tooltip="NOPTA website" w:history="1">
        <w:r w:rsidR="004619D3" w:rsidRPr="00B82366">
          <w:rPr>
            <w:rStyle w:val="Hyperlink"/>
          </w:rPr>
          <w:t>www.nopta.gov.au</w:t>
        </w:r>
      </w:hyperlink>
      <w:r w:rsidR="004619D3">
        <w:t xml:space="preserve">. </w:t>
      </w:r>
      <w:r w:rsidRPr="00DB02BC">
        <w:t xml:space="preserve">A cash bid submission must include: </w:t>
      </w:r>
    </w:p>
    <w:p w14:paraId="4D5A9784" w14:textId="77777777" w:rsidR="00DB02BC" w:rsidRPr="00DB02BC" w:rsidRDefault="00DB02BC" w:rsidP="00DB02BC">
      <w:pPr>
        <w:pStyle w:val="ListParagraph"/>
        <w:numPr>
          <w:ilvl w:val="2"/>
          <w:numId w:val="1"/>
        </w:numPr>
        <w:tabs>
          <w:tab w:val="left" w:pos="1276"/>
        </w:tabs>
        <w:spacing w:before="120" w:after="120" w:line="240" w:lineRule="auto"/>
        <w:ind w:left="1276" w:hanging="709"/>
        <w:contextualSpacing w:val="0"/>
      </w:pPr>
      <w:r w:rsidRPr="00DB02BC">
        <w:t>details of the eligible applicant making the cash bid</w:t>
      </w:r>
    </w:p>
    <w:p w14:paraId="27738064" w14:textId="77777777" w:rsidR="00DB02BC" w:rsidRPr="00DB02BC" w:rsidRDefault="00DB02BC" w:rsidP="00DB02BC">
      <w:pPr>
        <w:pStyle w:val="ListParagraph"/>
        <w:numPr>
          <w:ilvl w:val="2"/>
          <w:numId w:val="1"/>
        </w:numPr>
        <w:tabs>
          <w:tab w:val="left" w:pos="1276"/>
        </w:tabs>
        <w:spacing w:before="120" w:after="120" w:line="240" w:lineRule="auto"/>
        <w:ind w:left="1276" w:hanging="709"/>
        <w:contextualSpacing w:val="0"/>
      </w:pPr>
      <w:r w:rsidRPr="00DB02BC">
        <w:t>details of the area on offer for which the eligible applicant is making the cash bid</w:t>
      </w:r>
    </w:p>
    <w:p w14:paraId="15114337" w14:textId="77777777" w:rsidR="00DB02BC" w:rsidRPr="00DB02BC" w:rsidRDefault="00DB02BC" w:rsidP="00DB02BC">
      <w:pPr>
        <w:pStyle w:val="ListParagraph"/>
        <w:numPr>
          <w:ilvl w:val="2"/>
          <w:numId w:val="1"/>
        </w:numPr>
        <w:tabs>
          <w:tab w:val="left" w:pos="1276"/>
        </w:tabs>
        <w:spacing w:before="120" w:after="120" w:line="240" w:lineRule="auto"/>
        <w:ind w:left="1276" w:hanging="709"/>
        <w:contextualSpacing w:val="0"/>
      </w:pPr>
      <w:r w:rsidRPr="00DB02BC">
        <w:t>the amount in Australian Dollars the eligible applicant is prepared to pay for the award of the permit</w:t>
      </w:r>
    </w:p>
    <w:p w14:paraId="524C4203" w14:textId="77777777" w:rsidR="00DB02BC" w:rsidRPr="00DB02BC" w:rsidRDefault="00DB02BC" w:rsidP="00DB02BC">
      <w:pPr>
        <w:pStyle w:val="ListParagraph"/>
        <w:numPr>
          <w:ilvl w:val="2"/>
          <w:numId w:val="1"/>
        </w:numPr>
        <w:tabs>
          <w:tab w:val="left" w:pos="1276"/>
        </w:tabs>
        <w:spacing w:before="120" w:after="120" w:line="240" w:lineRule="auto"/>
        <w:ind w:left="1276" w:hanging="709"/>
        <w:contextualSpacing w:val="0"/>
      </w:pPr>
      <w:r w:rsidRPr="00DB02BC">
        <w:t>evidence of the payment of a 10 per cent electronic funds transfer deposit in Australian Dollars (net of transaction fees, for example bank or foreign exchange fees) based on the bid amount. The evidence must clearly demonstrate payment has been made, and include the date and time of payment</w:t>
      </w:r>
    </w:p>
    <w:p w14:paraId="528D4D4C" w14:textId="77777777" w:rsidR="00DB02BC" w:rsidRPr="00DB02BC" w:rsidRDefault="00DB02BC" w:rsidP="00DB02BC">
      <w:pPr>
        <w:pStyle w:val="ListParagraph"/>
        <w:numPr>
          <w:ilvl w:val="2"/>
          <w:numId w:val="5"/>
        </w:numPr>
        <w:tabs>
          <w:tab w:val="left" w:pos="1701"/>
        </w:tabs>
        <w:spacing w:before="120" w:after="120" w:line="240" w:lineRule="auto"/>
        <w:ind w:left="1701" w:hanging="425"/>
        <w:contextualSpacing w:val="0"/>
      </w:pPr>
      <w:r w:rsidRPr="00DB02BC">
        <w:t xml:space="preserve">The deposit amount must be exactly 10 per cent of the amount stated in the cash bid. </w:t>
      </w:r>
    </w:p>
    <w:p w14:paraId="11DB3F25" w14:textId="77777777" w:rsidR="00DB02BC" w:rsidRPr="00DB02BC" w:rsidRDefault="00DB02BC" w:rsidP="00DB02BC">
      <w:pPr>
        <w:pStyle w:val="ListParagraph"/>
        <w:numPr>
          <w:ilvl w:val="2"/>
          <w:numId w:val="1"/>
        </w:numPr>
        <w:tabs>
          <w:tab w:val="left" w:pos="1276"/>
        </w:tabs>
        <w:spacing w:before="120" w:after="120" w:line="240" w:lineRule="auto"/>
        <w:ind w:left="1276" w:hanging="709"/>
        <w:contextualSpacing w:val="0"/>
      </w:pPr>
      <w:r w:rsidRPr="00DB02BC">
        <w:t xml:space="preserve">the eligible applicant’s bank account details to facilitate payment </w:t>
      </w:r>
      <w:proofErr w:type="gramStart"/>
      <w:r w:rsidRPr="00DB02BC">
        <w:t>in the event that</w:t>
      </w:r>
      <w:proofErr w:type="gramEnd"/>
      <w:r w:rsidRPr="00DB02BC">
        <w:t xml:space="preserve"> the return of the deposit is required</w:t>
      </w:r>
    </w:p>
    <w:p w14:paraId="23121C73" w14:textId="77777777" w:rsidR="00DB02BC" w:rsidRDefault="00DB02BC" w:rsidP="00DB02BC">
      <w:pPr>
        <w:pStyle w:val="ListParagraph"/>
        <w:numPr>
          <w:ilvl w:val="2"/>
          <w:numId w:val="1"/>
        </w:numPr>
        <w:tabs>
          <w:tab w:val="left" w:pos="1276"/>
        </w:tabs>
        <w:spacing w:before="120" w:after="120" w:line="240" w:lineRule="auto"/>
        <w:ind w:left="1276" w:hanging="709"/>
        <w:contextualSpacing w:val="0"/>
      </w:pPr>
      <w:r w:rsidRPr="00DB02BC">
        <w:t>a cash bid with all corresponding evidence must be submitted in the approved manner before a bid can be taken to be submitted, for the purposes of item 5</w:t>
      </w:r>
      <w:r w:rsidR="004619D3">
        <w:t> </w:t>
      </w:r>
      <w:r>
        <w:t>and </w:t>
      </w:r>
      <w:r w:rsidRPr="00DB02BC">
        <w:t>6</w:t>
      </w:r>
      <w:r>
        <w:t>—</w:t>
      </w:r>
      <w:r w:rsidRPr="00DB02BC">
        <w:t>‘earliest bid’.</w:t>
      </w:r>
    </w:p>
    <w:p w14:paraId="08DA2F7D" w14:textId="77777777" w:rsidR="00DB02BC" w:rsidRPr="00DB02BC" w:rsidRDefault="00DB02BC" w:rsidP="00DB02BC">
      <w:pPr>
        <w:pStyle w:val="Heading2"/>
        <w:ind w:left="567" w:hanging="567"/>
      </w:pPr>
      <w:r w:rsidRPr="00DB02BC">
        <w:t>OFFER OF PERMIT: WHERE HIGHEST BID IS AT OR OVER THE RESERVE</w:t>
      </w:r>
    </w:p>
    <w:p w14:paraId="355C7B5E"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As soon as practicable after the end of the period specified for submission of cash bids, the Joint Authority will, by way of written notice (offer document), offer the cash bid exploration permit to the highest bidder whose bid is at or over the reserve. See item 5 for information about the tie-breaker process that will apply </w:t>
      </w:r>
      <w:proofErr w:type="gramStart"/>
      <w:r w:rsidRPr="00DB02BC">
        <w:t>in the event that</w:t>
      </w:r>
      <w:proofErr w:type="gramEnd"/>
      <w:r w:rsidRPr="00DB02BC">
        <w:t xml:space="preserve"> there are two or more equal highest bids at or over the reserve.</w:t>
      </w:r>
    </w:p>
    <w:p w14:paraId="37F59E64" w14:textId="01F239FF"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The successful highest bidder has 14 days from the date of the offer to accept (request grant of the permit) and pay, by way of electronic funds transfer, the balance of the amount specified in the application offer document. If either the applicant does not request grant of the </w:t>
      </w:r>
      <w:proofErr w:type="spellStart"/>
      <w:proofErr w:type="gramStart"/>
      <w:r w:rsidRPr="00DB02BC">
        <w:t>permit,or</w:t>
      </w:r>
      <w:proofErr w:type="spellEnd"/>
      <w:proofErr w:type="gramEnd"/>
      <w:r w:rsidRPr="00DB02BC">
        <w:t xml:space="preserve"> does not pay the balance of the amount specified in the offer document, within 14 days, the application will lapse.</w:t>
      </w:r>
    </w:p>
    <w:p w14:paraId="64CA229D"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The exploration permit will not be granted until the balance, paid in Australian Dollars (net of any transfer or foreign exchange fees), of the successful bid has been receipted, evidencing payment within 14 days from the date of the offer.</w:t>
      </w:r>
    </w:p>
    <w:p w14:paraId="399EDB65"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In the event that the highest bidder does not accept the offer of the cash bid exploration permit, or the application period lapses, or payment of the balance is not made within 14 days, the deposit will be forfeited to the Commonwealth and the Joint Authority will offer the permit to the next highest bidder.</w:t>
      </w:r>
    </w:p>
    <w:p w14:paraId="1E537CEC" w14:textId="77777777" w:rsidR="00DB02BC" w:rsidRPr="00DB02BC" w:rsidRDefault="00DB02BC" w:rsidP="00C20DB5">
      <w:pPr>
        <w:pStyle w:val="Heading2"/>
        <w:ind w:left="567" w:hanging="567"/>
      </w:pPr>
      <w:r w:rsidRPr="00DB02BC">
        <w:lastRenderedPageBreak/>
        <w:t xml:space="preserve">TIE-BREAKER </w:t>
      </w:r>
    </w:p>
    <w:p w14:paraId="03EC2B4D" w14:textId="77777777" w:rsidR="00DB02BC" w:rsidRPr="00DB02BC" w:rsidRDefault="00DB02BC" w:rsidP="00C20DB5">
      <w:pPr>
        <w:pStyle w:val="ListParagraph"/>
        <w:keepNext/>
        <w:keepLines/>
        <w:numPr>
          <w:ilvl w:val="1"/>
          <w:numId w:val="1"/>
        </w:numPr>
        <w:tabs>
          <w:tab w:val="left" w:pos="567"/>
        </w:tabs>
        <w:spacing w:before="120" w:after="120" w:line="240" w:lineRule="auto"/>
        <w:ind w:left="567" w:hanging="567"/>
        <w:contextualSpacing w:val="0"/>
      </w:pPr>
      <w:r w:rsidRPr="00DB02BC">
        <w:t>In the event that two or more equal bids are received that are equal to or exceed the reserve price, and those bids are either the only such bids or are higher than all other bids, the Joint Authority will invite, by written notice within seven (7) days, the equal highest bidders to lodge an increased bid (no further deposit will be required).</w:t>
      </w:r>
    </w:p>
    <w:p w14:paraId="1645D9FB"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The equal highest bidders will have a further 7 days to lodge an increased cash bid, in writing, and in the approved manner. The Joint Authority will offer the permit to the highest bidder, based on the subsequent increased bid. </w:t>
      </w:r>
    </w:p>
    <w:p w14:paraId="10C81DB8"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In the event that two or more of the equal highest bidders lodge increased cash bids that are equal to each other, and that are the only increased cash bids or are higher than all other increased cash bids, the Joint Authority will give an offer document to the bidder whose tie-breaking cash bid was received earliest.</w:t>
      </w:r>
    </w:p>
    <w:p w14:paraId="6828E3C6"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If none of the equal highest bidders makes a tie-breaking cash bid within the period stated in the tie breaking invitation, the Joint Authority will give an offer document to the bidder whose original cash bid (under section 111) was received earliest.</w:t>
      </w:r>
    </w:p>
    <w:p w14:paraId="03B70B29"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Items 4.2 to 4.4 will apply following the making of the offer.</w:t>
      </w:r>
    </w:p>
    <w:p w14:paraId="2033CA69" w14:textId="77777777" w:rsidR="00DB02BC" w:rsidRPr="00DB02BC" w:rsidRDefault="004619D3" w:rsidP="00DB02BC">
      <w:pPr>
        <w:pStyle w:val="Heading2"/>
        <w:ind w:left="567" w:hanging="567"/>
      </w:pPr>
      <w:r>
        <w:t xml:space="preserve">OFFER OF PERMIT: </w:t>
      </w:r>
      <w:r w:rsidR="00DB02BC" w:rsidRPr="00DB02BC">
        <w:t>WHERE HIGHEST BID IS BELOW RESERVE</w:t>
      </w:r>
    </w:p>
    <w:p w14:paraId="7DE8DF8E"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Where there is an undisclosed reserve, and the highest or only cash bid for the permit is less than the reserve, the Joint Authority may issue a non-negotiable offer to the highest bidder to match the reserve, which will be revealed in the offer. The bidder will not forfeit their deposit if they do not choose to accept the offer.</w:t>
      </w:r>
    </w:p>
    <w:p w14:paraId="69D53A60" w14:textId="77777777" w:rsidR="00DB02BC" w:rsidRPr="00DB02BC" w:rsidRDefault="004619D3" w:rsidP="004619D3">
      <w:pPr>
        <w:pStyle w:val="ListParagraph"/>
        <w:numPr>
          <w:ilvl w:val="2"/>
          <w:numId w:val="1"/>
        </w:numPr>
        <w:tabs>
          <w:tab w:val="left" w:pos="1276"/>
        </w:tabs>
        <w:spacing w:before="120" w:after="120" w:line="240" w:lineRule="auto"/>
        <w:ind w:left="1276" w:hanging="709"/>
        <w:contextualSpacing w:val="0"/>
      </w:pPr>
      <w:r>
        <w:t>t</w:t>
      </w:r>
      <w:r w:rsidR="00DB02BC" w:rsidRPr="00DB02BC">
        <w:t>his is also applicable where an offer of a permit for a bid that equalled or exceeded the reserve has lapsed, and there are no other bids at or above the reserve. However, in this case, an offer may only be made to the applicant that made the highest bid, or the only bid, that is below the reserve; any other bids that are below the reserve</w:t>
      </w:r>
      <w:r>
        <w:t xml:space="preserve"> will be automatically rejected</w:t>
      </w:r>
    </w:p>
    <w:p w14:paraId="342D7561" w14:textId="77777777" w:rsidR="00DB02BC" w:rsidRPr="00DB02BC" w:rsidRDefault="004619D3" w:rsidP="004619D3">
      <w:pPr>
        <w:pStyle w:val="ListParagraph"/>
        <w:numPr>
          <w:ilvl w:val="2"/>
          <w:numId w:val="1"/>
        </w:numPr>
        <w:tabs>
          <w:tab w:val="left" w:pos="1276"/>
        </w:tabs>
        <w:spacing w:before="120" w:after="120" w:line="240" w:lineRule="auto"/>
        <w:ind w:left="1276" w:hanging="709"/>
        <w:contextualSpacing w:val="0"/>
      </w:pPr>
      <w:proofErr w:type="gramStart"/>
      <w:r>
        <w:t>i</w:t>
      </w:r>
      <w:r w:rsidR="00DB02BC" w:rsidRPr="00DB02BC">
        <w:t>n the event that</w:t>
      </w:r>
      <w:proofErr w:type="gramEnd"/>
      <w:r w:rsidR="00DB02BC" w:rsidRPr="00DB02BC">
        <w:t xml:space="preserve"> two or more highest bids under the reserve are equal, an offer as described above may be made to the applicant whose cash bid was received earliest.</w:t>
      </w:r>
    </w:p>
    <w:p w14:paraId="4EFCD16B"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The successful bidder will be subject to the same terms of acceptance and payment as detailed in items 4.2 and 4.3 above.</w:t>
      </w:r>
    </w:p>
    <w:p w14:paraId="53FAE524" w14:textId="77777777" w:rsidR="00DB02BC" w:rsidRPr="00DB02BC" w:rsidRDefault="00DB02BC" w:rsidP="00DB02BC">
      <w:pPr>
        <w:pStyle w:val="Heading2"/>
        <w:ind w:left="567" w:hanging="567"/>
      </w:pPr>
      <w:r w:rsidRPr="00DB02BC">
        <w:t>DEPOSIT</w:t>
      </w:r>
    </w:p>
    <w:p w14:paraId="5B3565CD"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All unsuccessful bidders will be notified by written notice. The deposit paid by unsuccessful bidder will not attract interest and will be returned within 14 days of the grant of the title to the successful bidder.</w:t>
      </w:r>
    </w:p>
    <w:p w14:paraId="2A8F4D81"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In the event that a highest bidder is offered the grant of an exploration permit, and the bidder either does not accept the offer or does not pay the balance of the amount specified in the offer within 14 days of the date of the offer, the deposit will be forfeited (unless an offer is made in accordance with item 6.1 above). </w:t>
      </w:r>
    </w:p>
    <w:p w14:paraId="569D1425" w14:textId="77777777" w:rsidR="00DB02BC" w:rsidRPr="00DB02BC" w:rsidRDefault="00DB02BC" w:rsidP="00DB02BC">
      <w:pPr>
        <w:pStyle w:val="Heading2"/>
        <w:ind w:left="567" w:hanging="567"/>
      </w:pPr>
      <w:r w:rsidRPr="00DB02BC">
        <w:lastRenderedPageBreak/>
        <w:t>RENEWAL OF CASH BID EXPLORATION PERMITS</w:t>
      </w:r>
    </w:p>
    <w:p w14:paraId="631AB7D1"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A permit holder cannot apply to renew a cash bid exploration permit if the original gazette notice stated that it was not able to be renewed, or if the Joint Authority has previously granted a renewal of the permit. </w:t>
      </w:r>
    </w:p>
    <w:p w14:paraId="130AA7BE"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In accordance with subsection 123(6) of the OPGGS Act a permit in relation to a single block cannot be renewed. </w:t>
      </w:r>
    </w:p>
    <w:p w14:paraId="1AD1DD32"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Standard halving rules apply to renewable cash bid permits (see section 123 of the OPGGS Act).</w:t>
      </w:r>
    </w:p>
    <w:p w14:paraId="001F9159"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Renewal applications must be lodged in accordance with section 119 of the OPGGS Act. </w:t>
      </w:r>
    </w:p>
    <w:p w14:paraId="5617B010"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A renewal application must be submitted to NOPTA no earlier than six (6) months and no later than three (3) months prior to the expiry of the permit term. </w:t>
      </w:r>
    </w:p>
    <w:p w14:paraId="65CA4083"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 xml:space="preserve">A renewal application, with the prescribed fee, must be submitted to NOPTA in the approved manner. An application form can be found on </w:t>
      </w:r>
      <w:hyperlink r:id="rId16" w:tooltip="NOPTA website" w:history="1">
        <w:r w:rsidR="00704797" w:rsidRPr="00B82366">
          <w:rPr>
            <w:rStyle w:val="Hyperlink"/>
          </w:rPr>
          <w:t>www.nopta.gov.au</w:t>
        </w:r>
      </w:hyperlink>
      <w:r w:rsidR="00704797">
        <w:t xml:space="preserve">. </w:t>
      </w:r>
      <w:r w:rsidRPr="00DB02BC">
        <w:t>This must include details of compliance with conditions of title (if any) and relevant provisions of the OPGGS Act and regulations.</w:t>
      </w:r>
    </w:p>
    <w:p w14:paraId="1B19BCA1" w14:textId="77777777" w:rsidR="00DB02BC" w:rsidRPr="00DB02BC" w:rsidRDefault="00DB02BC" w:rsidP="004619D3">
      <w:pPr>
        <w:pStyle w:val="ListParagraph"/>
        <w:numPr>
          <w:ilvl w:val="1"/>
          <w:numId w:val="1"/>
        </w:numPr>
        <w:tabs>
          <w:tab w:val="left" w:pos="567"/>
        </w:tabs>
        <w:spacing w:before="120" w:after="120" w:line="240" w:lineRule="auto"/>
        <w:ind w:left="567" w:hanging="567"/>
        <w:contextualSpacing w:val="0"/>
      </w:pPr>
      <w:r w:rsidRPr="00DB02BC">
        <w:t>No work program conditions will apply to the renewal of a cash-bid exploration permit.</w:t>
      </w:r>
    </w:p>
    <w:p w14:paraId="45663A90" w14:textId="77777777" w:rsidR="00DB02BC" w:rsidRPr="00DB02BC" w:rsidRDefault="00DB02BC" w:rsidP="00DB02BC">
      <w:pPr>
        <w:pStyle w:val="Heading1"/>
      </w:pPr>
      <w:r>
        <w:t>TABLE OF REVISIONS</w:t>
      </w:r>
    </w:p>
    <w:tbl>
      <w:tblPr>
        <w:tblStyle w:val="GridTable1Light1"/>
        <w:tblW w:w="9129" w:type="dxa"/>
        <w:tblLayout w:type="fixed"/>
        <w:tblLook w:val="0020" w:firstRow="1" w:lastRow="0" w:firstColumn="0" w:lastColumn="0" w:noHBand="0" w:noVBand="0"/>
        <w:tblCaption w:val="Table of revisions"/>
        <w:tblDescription w:val="A list of revisions made to this guideline."/>
      </w:tblPr>
      <w:tblGrid>
        <w:gridCol w:w="1563"/>
        <w:gridCol w:w="1145"/>
        <w:gridCol w:w="4621"/>
        <w:gridCol w:w="1800"/>
      </w:tblGrid>
      <w:tr w:rsidR="00DB02BC" w:rsidRPr="00DB02BC" w14:paraId="7311B89B" w14:textId="77777777" w:rsidTr="00704797">
        <w:trPr>
          <w:cnfStyle w:val="100000000000" w:firstRow="1" w:lastRow="0" w:firstColumn="0" w:lastColumn="0" w:oddVBand="0" w:evenVBand="0" w:oddHBand="0" w:evenHBand="0" w:firstRowFirstColumn="0" w:firstRowLastColumn="0" w:lastRowFirstColumn="0" w:lastRowLastColumn="0"/>
          <w:trHeight w:val="159"/>
          <w:tblHeader/>
        </w:trPr>
        <w:tc>
          <w:tcPr>
            <w:tcW w:w="1563" w:type="dxa"/>
          </w:tcPr>
          <w:p w14:paraId="7DE18A7D" w14:textId="77777777" w:rsidR="00DB02BC" w:rsidRPr="00DB02BC" w:rsidRDefault="004619D3" w:rsidP="00DB02BC">
            <w:r>
              <w:t>Date</w:t>
            </w:r>
          </w:p>
        </w:tc>
        <w:tc>
          <w:tcPr>
            <w:tcW w:w="1145" w:type="dxa"/>
          </w:tcPr>
          <w:p w14:paraId="508AD7FE" w14:textId="77777777" w:rsidR="00DB02BC" w:rsidRPr="00DB02BC" w:rsidRDefault="004619D3" w:rsidP="00DB02BC">
            <w:r>
              <w:t>Version</w:t>
            </w:r>
          </w:p>
        </w:tc>
        <w:tc>
          <w:tcPr>
            <w:tcW w:w="4621" w:type="dxa"/>
          </w:tcPr>
          <w:p w14:paraId="798D0B67" w14:textId="77777777" w:rsidR="00DB02BC" w:rsidRPr="00DB02BC" w:rsidRDefault="004619D3" w:rsidP="00DB02BC">
            <w:r>
              <w:t>Purpose</w:t>
            </w:r>
          </w:p>
        </w:tc>
        <w:tc>
          <w:tcPr>
            <w:tcW w:w="1800" w:type="dxa"/>
          </w:tcPr>
          <w:p w14:paraId="32FB7058" w14:textId="77777777" w:rsidR="00DB02BC" w:rsidRPr="00DB02BC" w:rsidRDefault="004619D3" w:rsidP="00DB02BC">
            <w:r>
              <w:t>Jurisdiction</w:t>
            </w:r>
          </w:p>
        </w:tc>
      </w:tr>
      <w:tr w:rsidR="008C338F" w:rsidRPr="00DB02BC" w14:paraId="002951B3" w14:textId="77777777" w:rsidTr="004619D3">
        <w:trPr>
          <w:trHeight w:val="159"/>
        </w:trPr>
        <w:tc>
          <w:tcPr>
            <w:tcW w:w="1563" w:type="dxa"/>
          </w:tcPr>
          <w:p w14:paraId="5C7083DC" w14:textId="01FA0985" w:rsidR="008C338F" w:rsidRPr="00DB02BC" w:rsidRDefault="008C338F" w:rsidP="00DB02BC">
            <w:r>
              <w:t>February 2020</w:t>
            </w:r>
          </w:p>
        </w:tc>
        <w:tc>
          <w:tcPr>
            <w:tcW w:w="1145" w:type="dxa"/>
          </w:tcPr>
          <w:p w14:paraId="637F7B57" w14:textId="704BEAE9" w:rsidR="008C338F" w:rsidRDefault="008C338F" w:rsidP="004619D3">
            <w:pPr>
              <w:jc w:val="center"/>
            </w:pPr>
            <w:r>
              <w:t>3</w:t>
            </w:r>
          </w:p>
        </w:tc>
        <w:tc>
          <w:tcPr>
            <w:tcW w:w="4621" w:type="dxa"/>
          </w:tcPr>
          <w:p w14:paraId="2CABB271" w14:textId="2738CA2D" w:rsidR="008C338F" w:rsidRPr="00DB02BC" w:rsidRDefault="008C338F" w:rsidP="00DB02BC">
            <w:r>
              <w:t>To update the department name</w:t>
            </w:r>
          </w:p>
        </w:tc>
        <w:tc>
          <w:tcPr>
            <w:tcW w:w="1800" w:type="dxa"/>
          </w:tcPr>
          <w:p w14:paraId="51E959DD" w14:textId="0DAF9DCB" w:rsidR="008C338F" w:rsidRPr="00DB02BC" w:rsidRDefault="008C338F" w:rsidP="00DB02BC">
            <w:r>
              <w:t>Commonwealth</w:t>
            </w:r>
          </w:p>
        </w:tc>
      </w:tr>
      <w:tr w:rsidR="00DB02BC" w:rsidRPr="00DB02BC" w14:paraId="431F6F8B" w14:textId="77777777" w:rsidTr="004619D3">
        <w:trPr>
          <w:trHeight w:val="159"/>
        </w:trPr>
        <w:tc>
          <w:tcPr>
            <w:tcW w:w="1563" w:type="dxa"/>
          </w:tcPr>
          <w:p w14:paraId="09E40DF2" w14:textId="77777777" w:rsidR="00DB02BC" w:rsidRPr="00DB02BC" w:rsidRDefault="00DB02BC" w:rsidP="00DB02BC">
            <w:r w:rsidRPr="00DB02BC">
              <w:t>April 2014</w:t>
            </w:r>
          </w:p>
        </w:tc>
        <w:tc>
          <w:tcPr>
            <w:tcW w:w="1145" w:type="dxa"/>
          </w:tcPr>
          <w:p w14:paraId="0CF7A54E" w14:textId="77777777" w:rsidR="00DB02BC" w:rsidRPr="00DB02BC" w:rsidRDefault="00F735C4" w:rsidP="004619D3">
            <w:pPr>
              <w:jc w:val="center"/>
            </w:pPr>
            <w:r>
              <w:t>1</w:t>
            </w:r>
          </w:p>
        </w:tc>
        <w:tc>
          <w:tcPr>
            <w:tcW w:w="4621" w:type="dxa"/>
          </w:tcPr>
          <w:p w14:paraId="138D5125" w14:textId="77777777" w:rsidR="00DB02BC" w:rsidRPr="00DB02BC" w:rsidRDefault="00DB02BC" w:rsidP="00DB02BC">
            <w:r w:rsidRPr="00DB02BC">
              <w:t>To establish a guideline for award of cash bid exploration permits</w:t>
            </w:r>
          </w:p>
        </w:tc>
        <w:tc>
          <w:tcPr>
            <w:tcW w:w="1800" w:type="dxa"/>
          </w:tcPr>
          <w:p w14:paraId="2F6EA793" w14:textId="77777777" w:rsidR="00DB02BC" w:rsidRPr="00DB02BC" w:rsidRDefault="00DB02BC" w:rsidP="00DB02BC">
            <w:r w:rsidRPr="00DB02BC">
              <w:t>Commonwealth</w:t>
            </w:r>
          </w:p>
        </w:tc>
      </w:tr>
      <w:tr w:rsidR="00F735C4" w:rsidRPr="00DB02BC" w14:paraId="6BB4393C" w14:textId="77777777" w:rsidTr="004619D3">
        <w:trPr>
          <w:trHeight w:val="159"/>
        </w:trPr>
        <w:tc>
          <w:tcPr>
            <w:tcW w:w="1563" w:type="dxa"/>
          </w:tcPr>
          <w:p w14:paraId="280709BB" w14:textId="77777777" w:rsidR="00F735C4" w:rsidRPr="00DB02BC" w:rsidRDefault="00F735C4" w:rsidP="00DB02BC">
            <w:r>
              <w:t>June 2014</w:t>
            </w:r>
          </w:p>
        </w:tc>
        <w:tc>
          <w:tcPr>
            <w:tcW w:w="1145" w:type="dxa"/>
          </w:tcPr>
          <w:p w14:paraId="310D036E" w14:textId="77777777" w:rsidR="00F735C4" w:rsidRPr="00DB02BC" w:rsidRDefault="00F735C4" w:rsidP="00F735C4">
            <w:pPr>
              <w:jc w:val="center"/>
            </w:pPr>
            <w:r>
              <w:t>2</w:t>
            </w:r>
          </w:p>
        </w:tc>
        <w:tc>
          <w:tcPr>
            <w:tcW w:w="4621" w:type="dxa"/>
          </w:tcPr>
          <w:p w14:paraId="5B496B26" w14:textId="77777777" w:rsidR="00F735C4" w:rsidRPr="00DB02BC" w:rsidRDefault="00F735C4" w:rsidP="00DB02BC">
            <w:r>
              <w:t>To insert a new item in the overview section dealing with FIRB requirements.</w:t>
            </w:r>
          </w:p>
        </w:tc>
        <w:tc>
          <w:tcPr>
            <w:tcW w:w="1800" w:type="dxa"/>
          </w:tcPr>
          <w:p w14:paraId="2AA088FE" w14:textId="77777777" w:rsidR="00F735C4" w:rsidRPr="00DB02BC" w:rsidRDefault="00F735C4" w:rsidP="00DB02BC">
            <w:r w:rsidRPr="00DB02BC">
              <w:t>Commonwealth</w:t>
            </w:r>
          </w:p>
        </w:tc>
      </w:tr>
    </w:tbl>
    <w:p w14:paraId="7C049F24" w14:textId="77777777" w:rsidR="004619D3" w:rsidRDefault="004619D3" w:rsidP="004619D3"/>
    <w:p w14:paraId="585A1B18" w14:textId="77777777" w:rsidR="004619D3" w:rsidRDefault="004619D3" w:rsidP="004619D3">
      <w:r>
        <w:br w:type="page"/>
      </w:r>
    </w:p>
    <w:p w14:paraId="13CE3AAB" w14:textId="77777777" w:rsidR="00DB02BC" w:rsidRDefault="004619D3" w:rsidP="004619D3">
      <w:pPr>
        <w:pStyle w:val="Heading1"/>
        <w:jc w:val="right"/>
      </w:pPr>
      <w:r>
        <w:lastRenderedPageBreak/>
        <w:t>Attachment 1</w:t>
      </w:r>
    </w:p>
    <w:p w14:paraId="69AD6884" w14:textId="77777777" w:rsidR="004619D3" w:rsidRDefault="004619D3" w:rsidP="004619D3"/>
    <w:p w14:paraId="3C8F8B36" w14:textId="77777777" w:rsidR="00F54070" w:rsidRDefault="00F54070" w:rsidP="00F54070">
      <w:pPr>
        <w:pStyle w:val="Heading2"/>
        <w:numPr>
          <w:ilvl w:val="0"/>
          <w:numId w:val="0"/>
        </w:numPr>
        <w:ind w:left="360" w:hanging="360"/>
      </w:pPr>
      <w:r>
        <w:t>Overview of the cash bidding process</w:t>
      </w:r>
    </w:p>
    <w:p w14:paraId="69DC68BD" w14:textId="77777777" w:rsidR="00F54070" w:rsidRDefault="00F54070" w:rsidP="00F54070">
      <w:pPr>
        <w:rPr>
          <w:sz w:val="20"/>
          <w:szCs w:val="20"/>
        </w:rPr>
      </w:pPr>
      <w:r w:rsidRPr="00F54070">
        <w:rPr>
          <w:sz w:val="20"/>
          <w:szCs w:val="20"/>
        </w:rPr>
        <w:t>(Note: exact dates will be provided in the Australian Government Gazette notice and bid invitation).</w:t>
      </w:r>
    </w:p>
    <w:p w14:paraId="47AAF77F" w14:textId="77777777" w:rsidR="00F54070" w:rsidRDefault="00704797" w:rsidP="00F54070">
      <w:pPr>
        <w:rPr>
          <w:sz w:val="20"/>
          <w:szCs w:val="20"/>
        </w:rPr>
      </w:pPr>
      <w:r>
        <w:rPr>
          <w:noProof/>
          <w:sz w:val="20"/>
          <w:szCs w:val="20"/>
          <w:lang w:eastAsia="en-AU"/>
        </w:rPr>
        <mc:AlternateContent>
          <mc:Choice Requires="wpg">
            <w:drawing>
              <wp:anchor distT="0" distB="0" distL="114300" distR="114300" simplePos="0" relativeHeight="251658240" behindDoc="0" locked="0" layoutInCell="1" allowOverlap="1" wp14:anchorId="299BAA45" wp14:editId="501B5B4B">
                <wp:simplePos x="0" y="0"/>
                <wp:positionH relativeFrom="margin">
                  <wp:align>center</wp:align>
                </wp:positionH>
                <wp:positionV relativeFrom="paragraph">
                  <wp:posOffset>213286</wp:posOffset>
                </wp:positionV>
                <wp:extent cx="6724650" cy="6115050"/>
                <wp:effectExtent l="0" t="0" r="19050" b="19050"/>
                <wp:wrapNone/>
                <wp:docPr id="1" name="Group 1" descr="Overview of the cash bidding process&#10;&#10;workflow outlining the cash bidding process"/>
                <wp:cNvGraphicFramePr/>
                <a:graphic xmlns:a="http://schemas.openxmlformats.org/drawingml/2006/main">
                  <a:graphicData uri="http://schemas.microsoft.com/office/word/2010/wordprocessingGroup">
                    <wpg:wgp>
                      <wpg:cNvGrpSpPr/>
                      <wpg:grpSpPr>
                        <a:xfrm>
                          <a:off x="0" y="0"/>
                          <a:ext cx="6724650" cy="6115050"/>
                          <a:chOff x="0" y="0"/>
                          <a:chExt cx="6724650" cy="6115050"/>
                        </a:xfrm>
                      </wpg:grpSpPr>
                      <wpg:grpSp>
                        <wpg:cNvPr id="2" name="Group 1"/>
                        <wpg:cNvGrpSpPr/>
                        <wpg:grpSpPr>
                          <a:xfrm>
                            <a:off x="0" y="9525"/>
                            <a:ext cx="6724650" cy="6105525"/>
                            <a:chOff x="1147557" y="548099"/>
                            <a:chExt cx="6296963" cy="5688633"/>
                          </a:xfrm>
                        </wpg:grpSpPr>
                        <wpg:grpSp>
                          <wpg:cNvPr id="3" name="Group 3"/>
                          <wpg:cNvGrpSpPr/>
                          <wpg:grpSpPr>
                            <a:xfrm>
                              <a:off x="1147557" y="548099"/>
                              <a:ext cx="6296963" cy="5688633"/>
                              <a:chOff x="1147556" y="548099"/>
                              <a:chExt cx="6193234" cy="5688633"/>
                            </a:xfrm>
                            <a:solidFill>
                              <a:schemeClr val="bg1">
                                <a:lumMod val="95000"/>
                              </a:schemeClr>
                            </a:solidFill>
                          </wpg:grpSpPr>
                          <wpg:grpSp>
                            <wpg:cNvPr id="6" name="Group 6"/>
                            <wpg:cNvGrpSpPr/>
                            <wpg:grpSpPr>
                              <a:xfrm>
                                <a:off x="1147556" y="548099"/>
                                <a:ext cx="6193234" cy="4934049"/>
                                <a:chOff x="1147556" y="548099"/>
                                <a:chExt cx="6193234" cy="4934049"/>
                              </a:xfrm>
                              <a:grpFill/>
                            </wpg:grpSpPr>
                            <wpg:grpSp>
                              <wpg:cNvPr id="9" name="Group 9"/>
                              <wpg:cNvGrpSpPr>
                                <a:grpSpLocks/>
                              </wpg:cNvGrpSpPr>
                              <wpg:grpSpPr bwMode="auto">
                                <a:xfrm>
                                  <a:off x="1795653" y="548099"/>
                                  <a:ext cx="5545137" cy="3624134"/>
                                  <a:chOff x="1795653" y="548099"/>
                                  <a:chExt cx="5544927" cy="3686611"/>
                                </a:xfrm>
                                <a:grpFill/>
                              </wpg:grpSpPr>
                              <wps:wsp>
                                <wps:cNvPr id="16" name="Rectangle 16" descr="Areas nominated for release by industry, state/NT governments and Geoscience Australia. Nominated areas are evaluated for inclusion in a release." title="Nomination (April - July, prior year)"/>
                                <wps:cNvSpPr/>
                                <wps:spPr>
                                  <a:xfrm>
                                    <a:off x="1814702" y="548099"/>
                                    <a:ext cx="5508416" cy="539803"/>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4A0F3C6F"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 xml:space="preserve">Nomination (April - July, prior year) </w:t>
                                      </w:r>
                                      <w:r>
                                        <w:rPr>
                                          <w:rFonts w:asciiTheme="minorHAnsi" w:hAnsi="Calibri" w:cstheme="minorBidi"/>
                                          <w:b/>
                                          <w:bCs/>
                                          <w:color w:val="000000" w:themeColor="text1"/>
                                          <w:kern w:val="24"/>
                                          <w:sz w:val="36"/>
                                          <w:szCs w:val="36"/>
                                        </w:rPr>
                                        <w:br/>
                                      </w:r>
                                      <w:r>
                                        <w:rPr>
                                          <w:rFonts w:asciiTheme="minorHAnsi" w:hAnsi="Calibri" w:cstheme="minorBidi"/>
                                          <w:color w:val="000000" w:themeColor="text1"/>
                                          <w:kern w:val="24"/>
                                          <w:sz w:val="20"/>
                                          <w:szCs w:val="20"/>
                                        </w:rPr>
                                        <w:t>Areas nominated for release by industry, state/NT governments and Geoscience Australia. Nominated areas are evaluated for inclusion in a release.</w:t>
                                      </w:r>
                                    </w:p>
                                  </w:txbxContent>
                                </wps:txbx>
                                <wps:bodyPr anchor="ctr"/>
                              </wps:wsp>
                              <wps:wsp>
                                <wps:cNvPr id="18" name="Rectangle 18" descr="The Joint Authority will invite successful applicants to place a bid" title="Invitation to bid"/>
                                <wps:cNvSpPr/>
                                <wps:spPr>
                                  <a:xfrm>
                                    <a:off x="1797240" y="3081201"/>
                                    <a:ext cx="2771670" cy="539803"/>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0186E180"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Invitation to bid</w:t>
                                      </w:r>
                                    </w:p>
                                    <w:p w14:paraId="2E858DE5"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The Joint Authority will invite successful applicants to place a bid </w:t>
                                      </w:r>
                                    </w:p>
                                  </w:txbxContent>
                                </wps:txbx>
                                <wps:bodyPr anchor="ctr"/>
                              </wps:wsp>
                              <wps:wsp>
                                <wps:cNvPr id="19" name="Rectangle 19" descr="NOPTA will inform applicants when their prequalification application has been deemed unsuccessful." title="Unsuccessful applicants"/>
                                <wps:cNvSpPr/>
                                <wps:spPr>
                                  <a:xfrm>
                                    <a:off x="4695905" y="3081201"/>
                                    <a:ext cx="2644675" cy="734682"/>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4AECAD98"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Unsuccessful applicants</w:t>
                                      </w:r>
                                    </w:p>
                                    <w:p w14:paraId="74CC746F"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NOPTA will inform applicants when their prequalification application has been deemed unsuccessful.</w:t>
                                      </w:r>
                                    </w:p>
                                  </w:txbxContent>
                                </wps:txbx>
                                <wps:bodyPr anchor="ctr"/>
                              </wps:wsp>
                              <wps:wsp>
                                <wps:cNvPr id="20" name="Elbow Connector 20"/>
                                <wps:cNvCnPr>
                                  <a:endCxn id="18" idx="0"/>
                                </wps:cNvCnPr>
                                <wps:spPr>
                                  <a:xfrm rot="5400000">
                                    <a:off x="3784852" y="2297143"/>
                                    <a:ext cx="182282" cy="1385835"/>
                                  </a:xfrm>
                                  <a:prstGeom prst="bentConnector3">
                                    <a:avLst>
                                      <a:gd name="adj1" fmla="val 50000"/>
                                    </a:avLst>
                                  </a:prstGeom>
                                  <a:ln/>
                                </wps:spPr>
                                <wps:style>
                                  <a:lnRef idx="1">
                                    <a:schemeClr val="dk1"/>
                                  </a:lnRef>
                                  <a:fillRef idx="0">
                                    <a:schemeClr val="dk1"/>
                                  </a:fillRef>
                                  <a:effectRef idx="0">
                                    <a:schemeClr val="dk1"/>
                                  </a:effectRef>
                                  <a:fontRef idx="minor">
                                    <a:schemeClr val="tx1"/>
                                  </a:fontRef>
                                </wps:style>
                                <wps:bodyPr/>
                              </wps:wsp>
                              <wps:wsp>
                                <wps:cNvPr id="21" name="Elbow Connector 21"/>
                                <wps:cNvCnPr>
                                  <a:endCxn id="19" idx="0"/>
                                </wps:cNvCnPr>
                                <wps:spPr>
                                  <a:xfrm rot="16200000" flipH="1">
                                    <a:off x="5202435" y="2265393"/>
                                    <a:ext cx="182282" cy="1449332"/>
                                  </a:xfrm>
                                  <a:prstGeom prst="bentConnector3">
                                    <a:avLst>
                                      <a:gd name="adj1" fmla="val 50000"/>
                                    </a:avLst>
                                  </a:prstGeom>
                                  <a:ln/>
                                </wps:spPr>
                                <wps:style>
                                  <a:lnRef idx="1">
                                    <a:schemeClr val="dk1"/>
                                  </a:lnRef>
                                  <a:fillRef idx="0">
                                    <a:schemeClr val="dk1"/>
                                  </a:fillRef>
                                  <a:effectRef idx="0">
                                    <a:schemeClr val="dk1"/>
                                  </a:effectRef>
                                  <a:fontRef idx="minor">
                                    <a:schemeClr val="tx1"/>
                                  </a:fontRef>
                                </wps:style>
                                <wps:bodyPr/>
                              </wps:wsp>
                              <wps:wsp>
                                <wps:cNvPr id="22" name="Rectangle 22" descr="Annual Acreage Release areas announced by the Federal Minister for Industry (at APPEA conference)." title="Acreage Released (April/May)"/>
                                <wps:cNvSpPr/>
                                <wps:spPr>
                                  <a:xfrm>
                                    <a:off x="1814702" y="1151645"/>
                                    <a:ext cx="5508416" cy="539803"/>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0E0D6FEE"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Acreage Released</w:t>
                                      </w:r>
                                      <w:r>
                                        <w:rPr>
                                          <w:rFonts w:asciiTheme="minorHAnsi" w:hAnsi="Calibri" w:cstheme="minorBidi"/>
                                          <w:color w:val="000000" w:themeColor="text1"/>
                                          <w:kern w:val="24"/>
                                          <w:sz w:val="20"/>
                                          <w:szCs w:val="20"/>
                                        </w:rPr>
                                        <w:t xml:space="preserve"> </w:t>
                                      </w:r>
                                      <w:r>
                                        <w:rPr>
                                          <w:rFonts w:asciiTheme="minorHAnsi" w:hAnsi="Calibri" w:cstheme="minorBidi"/>
                                          <w:b/>
                                          <w:bCs/>
                                          <w:color w:val="000000" w:themeColor="text1"/>
                                          <w:kern w:val="24"/>
                                          <w:sz w:val="20"/>
                                          <w:szCs w:val="20"/>
                                        </w:rPr>
                                        <w:t>(April/May)</w:t>
                                      </w:r>
                                      <w:r>
                                        <w:rPr>
                                          <w:rFonts w:asciiTheme="minorHAnsi" w:hAnsi="Calibri" w:cstheme="minorBidi"/>
                                          <w:b/>
                                          <w:bCs/>
                                          <w:color w:val="000000" w:themeColor="text1"/>
                                          <w:kern w:val="24"/>
                                          <w:sz w:val="20"/>
                                          <w:szCs w:val="20"/>
                                        </w:rPr>
                                        <w:br/>
                                      </w:r>
                                      <w:r>
                                        <w:rPr>
                                          <w:rFonts w:asciiTheme="minorHAnsi" w:hAnsi="Calibri" w:cstheme="minorBidi"/>
                                          <w:color w:val="000000" w:themeColor="text1"/>
                                          <w:kern w:val="24"/>
                                          <w:sz w:val="20"/>
                                          <w:szCs w:val="20"/>
                                        </w:rPr>
                                        <w:t>Annual Acreage Release areas announced by the Federal Minister for Industry (at APPEA conference).</w:t>
                                      </w:r>
                                    </w:p>
                                  </w:txbxContent>
                                </wps:txbx>
                                <wps:bodyPr anchor="ctr"/>
                              </wps:wsp>
                              <wps:wsp>
                                <wps:cNvPr id="23" name="Rectangle 23" descr="The Joint Authority invites explorers through the Government Gazette, to prequalify for areas in the cash bidding round. Applications can be submitted at any time during this period up to the closing date and time. NOPTA, on behalf of the JA, will assess bids based on the applicant’s technical and financial capability. " title="Prequalification (April - October)"/>
                                <wps:cNvSpPr/>
                                <wps:spPr>
                                  <a:xfrm>
                                    <a:off x="1814702" y="1760968"/>
                                    <a:ext cx="5508416" cy="1107228"/>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6EE74F28"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Prequalification (April - October)</w:t>
                                      </w:r>
                                      <w:r>
                                        <w:rPr>
                                          <w:rFonts w:asciiTheme="minorHAnsi" w:hAnsi="Calibri" w:cstheme="minorBidi"/>
                                          <w:b/>
                                          <w:bCs/>
                                          <w:color w:val="000000" w:themeColor="text1"/>
                                          <w:kern w:val="24"/>
                                          <w:sz w:val="20"/>
                                          <w:szCs w:val="20"/>
                                        </w:rPr>
                                        <w:br/>
                                      </w:r>
                                      <w:r>
                                        <w:rPr>
                                          <w:rFonts w:asciiTheme="minorHAnsi" w:hAnsi="Calibri" w:cstheme="minorBidi"/>
                                          <w:color w:val="000000" w:themeColor="text1"/>
                                          <w:kern w:val="24"/>
                                          <w:sz w:val="20"/>
                                          <w:szCs w:val="20"/>
                                        </w:rPr>
                                        <w:t>The Joint Authority invites explorers through the Government Gazette, to prequalify for areas in the cash bidding round. Applications can be submitted at any time during this period up to the closing date and time.</w:t>
                                      </w:r>
                                      <w:r w:rsidRPr="00B21C6F">
                                        <w:rPr>
                                          <w:rFonts w:asciiTheme="minorHAnsi" w:hAnsi="Calibri" w:cstheme="minorBidi"/>
                                          <w:color w:val="000000" w:themeColor="text1"/>
                                          <w:kern w:val="24"/>
                                          <w:sz w:val="20"/>
                                          <w:szCs w:val="20"/>
                                        </w:rPr>
                                        <w:t xml:space="preserve"> </w:t>
                                      </w:r>
                                      <w:r>
                                        <w:rPr>
                                          <w:rFonts w:asciiTheme="minorHAnsi" w:hAnsi="Calibri" w:cstheme="minorBidi"/>
                                          <w:color w:val="000000" w:themeColor="text1"/>
                                          <w:kern w:val="24"/>
                                          <w:sz w:val="20"/>
                                          <w:szCs w:val="20"/>
                                        </w:rPr>
                                        <w:t xml:space="preserve">NOPTA, on behalf of the JA, will assess bids based on the applicant’s technical and financial capability. </w:t>
                                      </w:r>
                                    </w:p>
                                  </w:txbxContent>
                                </wps:txbx>
                                <wps:bodyPr anchor="ctr"/>
                              </wps:wsp>
                              <wps:wsp>
                                <wps:cNvPr id="24" name="Straight Connector 24"/>
                                <wps:cNvCnPr>
                                  <a:stCxn id="16" idx="2"/>
                                  <a:endCxn id="22" idx="0"/>
                                </wps:cNvCnPr>
                                <wps:spPr>
                                  <a:xfrm>
                                    <a:off x="4568911" y="1087902"/>
                                    <a:ext cx="0" cy="63742"/>
                                  </a:xfrm>
                                  <a:prstGeom prst="line">
                                    <a:avLst/>
                                  </a:prstGeom>
                                  <a:ln/>
                                </wps:spPr>
                                <wps:style>
                                  <a:lnRef idx="1">
                                    <a:schemeClr val="dk1"/>
                                  </a:lnRef>
                                  <a:fillRef idx="0">
                                    <a:schemeClr val="dk1"/>
                                  </a:fillRef>
                                  <a:effectRef idx="0">
                                    <a:schemeClr val="dk1"/>
                                  </a:effectRef>
                                  <a:fontRef idx="minor">
                                    <a:schemeClr val="tx1"/>
                                  </a:fontRef>
                                </wps:style>
                                <wps:bodyPr/>
                              </wps:wsp>
                              <wps:wsp>
                                <wps:cNvPr id="25" name="Straight Connector 25"/>
                                <wps:cNvCnPr>
                                  <a:stCxn id="22" idx="2"/>
                                  <a:endCxn id="23" idx="0"/>
                                </wps:cNvCnPr>
                                <wps:spPr>
                                  <a:xfrm>
                                    <a:off x="4568910" y="1691448"/>
                                    <a:ext cx="0" cy="69520"/>
                                  </a:xfrm>
                                  <a:prstGeom prst="line">
                                    <a:avLst/>
                                  </a:prstGeom>
                                  <a:ln/>
                                </wps:spPr>
                                <wps:style>
                                  <a:lnRef idx="1">
                                    <a:schemeClr val="dk1"/>
                                  </a:lnRef>
                                  <a:fillRef idx="0">
                                    <a:schemeClr val="dk1"/>
                                  </a:fillRef>
                                  <a:effectRef idx="0">
                                    <a:schemeClr val="dk1"/>
                                  </a:effectRef>
                                  <a:fontRef idx="minor">
                                    <a:schemeClr val="tx1"/>
                                  </a:fontRef>
                                </wps:style>
                                <wps:bodyPr/>
                              </wps:wsp>
                              <wps:wsp>
                                <wps:cNvPr id="27" name="Rectangle 27" title="Auction (February, following year)"/>
                                <wps:cNvSpPr/>
                                <wps:spPr>
                                  <a:xfrm>
                                    <a:off x="1795653" y="3694908"/>
                                    <a:ext cx="2771670" cy="539802"/>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0C4EAF80" w14:textId="77777777" w:rsidR="00AE0E78" w:rsidRDefault="00AE0E78" w:rsidP="00F54070">
                                      <w:pPr>
                                        <w:pStyle w:val="NormalWeb"/>
                                        <w:spacing w:before="0" w:beforeAutospacing="0" w:after="0" w:afterAutospacing="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 xml:space="preserve">Auction </w:t>
                                      </w:r>
                                    </w:p>
                                    <w:p w14:paraId="41AF6B4F"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(February, following year)</w:t>
                                      </w:r>
                                    </w:p>
                                  </w:txbxContent>
                                </wps:txbx>
                                <wps:bodyPr anchor="ctr"/>
                              </wps:wsp>
                            </wpg:grpSp>
                            <wps:wsp>
                              <wps:cNvPr id="10" name="Rectangle 10" descr="NOPTA offers the permit on behalf of the JA to the highest bidder." title="Offer of Exploration Permit (February)"/>
                              <wps:cNvSpPr/>
                              <wps:spPr>
                                <a:xfrm>
                                  <a:off x="1794065" y="4237318"/>
                                  <a:ext cx="2771775" cy="539750"/>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08FE9B45"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Offer of Exploration Permit (February)</w:t>
                                    </w:r>
                                  </w:p>
                                  <w:p w14:paraId="2A976A54"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NOPTA offers the permit on behalf of the JA to the highest bidder.</w:t>
                                    </w:r>
                                  </w:p>
                                </w:txbxContent>
                              </wps:txbx>
                              <wps:bodyPr anchor="ctr"/>
                            </wps:wsp>
                            <wps:wsp>
                              <wps:cNvPr id="11" name="Straight Connector 11"/>
                              <wps:cNvCnPr>
                                <a:stCxn id="10" idx="0"/>
                                <a:endCxn id="27" idx="2"/>
                              </wps:cNvCnPr>
                              <wps:spPr bwMode="auto">
                                <a:xfrm flipV="1">
                                  <a:off x="3179953" y="4172238"/>
                                  <a:ext cx="1588" cy="65080"/>
                                </a:xfrm>
                                <a:prstGeom prst="line">
                                  <a:avLst/>
                                </a:prstGeom>
                                <a:ln/>
                              </wps:spPr>
                              <wps:style>
                                <a:lnRef idx="1">
                                  <a:schemeClr val="dk1"/>
                                </a:lnRef>
                                <a:fillRef idx="0">
                                  <a:schemeClr val="dk1"/>
                                </a:fillRef>
                                <a:effectRef idx="0">
                                  <a:schemeClr val="dk1"/>
                                </a:effectRef>
                                <a:fontRef idx="minor">
                                  <a:schemeClr val="tx1"/>
                                </a:fontRef>
                              </wps:style>
                              <wps:bodyPr/>
                            </wps:wsp>
                            <wps:wsp>
                              <wps:cNvPr id="12" name="Rectangle 12" descr="Highest bidder accepts the permit." title="Permit Granted (February/March)"/>
                              <wps:cNvSpPr/>
                              <wps:spPr>
                                <a:xfrm>
                                  <a:off x="1147556" y="4940588"/>
                                  <a:ext cx="1916686" cy="539750"/>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0A893DD8"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Permit Granted (February/March)</w:t>
                                    </w:r>
                                  </w:p>
                                  <w:p w14:paraId="4E164BEA"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Highest bidder accepts the permit.</w:t>
                                    </w:r>
                                  </w:p>
                                </w:txbxContent>
                              </wps:txbx>
                              <wps:bodyPr anchor="ctr"/>
                            </wps:wsp>
                            <wps:wsp>
                              <wps:cNvPr id="13" name="Elbow Connector 13"/>
                              <wps:cNvCnPr>
                                <a:stCxn id="10" idx="2"/>
                                <a:endCxn id="12" idx="0"/>
                              </wps:cNvCnPr>
                              <wps:spPr bwMode="auto">
                                <a:xfrm rot="5400000">
                                  <a:off x="2561167" y="4321801"/>
                                  <a:ext cx="163520" cy="1074054"/>
                                </a:xfrm>
                                <a:prstGeom prst="bentConnector3">
                                  <a:avLst>
                                    <a:gd name="adj1" fmla="val 50000"/>
                                  </a:avLst>
                                </a:prstGeom>
                                <a:ln/>
                              </wps:spPr>
                              <wps:style>
                                <a:lnRef idx="1">
                                  <a:schemeClr val="dk1"/>
                                </a:lnRef>
                                <a:fillRef idx="0">
                                  <a:schemeClr val="dk1"/>
                                </a:fillRef>
                                <a:effectRef idx="0">
                                  <a:schemeClr val="dk1"/>
                                </a:effectRef>
                                <a:fontRef idx="minor">
                                  <a:schemeClr val="tx1"/>
                                </a:fontRef>
                              </wps:style>
                              <wps:bodyPr/>
                            </wps:wsp>
                            <wps:wsp>
                              <wps:cNvPr id="14" name="Elbow Connector 14"/>
                              <wps:cNvCnPr>
                                <a:stCxn id="10" idx="2"/>
                                <a:endCxn id="15" idx="0"/>
                              </wps:cNvCnPr>
                              <wps:spPr bwMode="auto">
                                <a:xfrm rot="16200000" flipH="1">
                                  <a:off x="3651028" y="4305993"/>
                                  <a:ext cx="165329" cy="1107480"/>
                                </a:xfrm>
                                <a:prstGeom prst="bentConnector3">
                                  <a:avLst>
                                    <a:gd name="adj1" fmla="val 50000"/>
                                  </a:avLst>
                                </a:prstGeom>
                                <a:ln/>
                              </wps:spPr>
                              <wps:style>
                                <a:lnRef idx="1">
                                  <a:schemeClr val="dk1"/>
                                </a:lnRef>
                                <a:fillRef idx="0">
                                  <a:schemeClr val="dk1"/>
                                </a:fillRef>
                                <a:effectRef idx="0">
                                  <a:schemeClr val="dk1"/>
                                </a:effectRef>
                                <a:fontRef idx="minor">
                                  <a:schemeClr val="tx1"/>
                                </a:fontRef>
                              </wps:style>
                              <wps:bodyPr/>
                            </wps:wsp>
                            <wps:wsp>
                              <wps:cNvPr id="15" name="Rectangle 15" descr="Highest bidder refuses the offer and forfeits 10% deposit." title="Offer refused"/>
                              <wps:cNvSpPr/>
                              <wps:spPr>
                                <a:xfrm>
                                  <a:off x="3347529" y="4942398"/>
                                  <a:ext cx="1879807" cy="539750"/>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54A82F27"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Offer refused</w:t>
                                    </w:r>
                                  </w:p>
                                  <w:p w14:paraId="5325D830"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Highest bidder refuses the offer and forfeits 10% deposit.</w:t>
                                    </w:r>
                                  </w:p>
                                </w:txbxContent>
                              </wps:txbx>
                              <wps:bodyPr anchor="ctr"/>
                            </wps:wsp>
                          </wpg:grpSp>
                          <wps:wsp>
                            <wps:cNvPr id="7" name="Rectangle 7" descr="Offers are made to the next highest bidders, cascading down from the next highest." title="Next highest bidder"/>
                            <wps:cNvSpPr/>
                            <wps:spPr>
                              <a:xfrm>
                                <a:off x="3347529" y="5552966"/>
                                <a:ext cx="1883634" cy="683766"/>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4DD69974"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Next highest bidder</w:t>
                                  </w:r>
                                </w:p>
                                <w:p w14:paraId="3CC9D89F"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Offers are made to the next highest bidders, cascading down from the next highest.</w:t>
                                  </w:r>
                                </w:p>
                              </w:txbxContent>
                            </wps:txbx>
                            <wps:bodyPr anchor="ctr"/>
                          </wps:wsp>
                          <wps:wsp>
                            <wps:cNvPr id="8" name="Straight Connector 8"/>
                            <wps:cNvCnPr>
                              <a:stCxn id="15" idx="2"/>
                              <a:endCxn id="7" idx="0"/>
                            </wps:cNvCnPr>
                            <wps:spPr bwMode="auto">
                              <a:xfrm>
                                <a:off x="4287433" y="5482148"/>
                                <a:ext cx="1914" cy="70817"/>
                              </a:xfrm>
                              <a:prstGeom prst="line">
                                <a:avLst/>
                              </a:prstGeom>
                              <a:grpFill/>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grpSp>
                        <wps:wsp>
                          <wps:cNvPr id="4" name="Rectangle 4" descr="Applicants are eligible to submit applications for future rounds when they commence." title="Future rounds"/>
                          <wps:cNvSpPr/>
                          <wps:spPr bwMode="auto">
                            <a:xfrm>
                              <a:off x="4764366" y="3875874"/>
                              <a:ext cx="2671317" cy="604020"/>
                            </a:xfrm>
                            <a:prstGeom prst="rect">
                              <a:avLst/>
                            </a:prstGeom>
                            <a:solidFill>
                              <a:schemeClr val="bg1">
                                <a:lumMod val="95000"/>
                              </a:schemeClr>
                            </a:solidFill>
                            <a:ln/>
                          </wps:spPr>
                          <wps:style>
                            <a:lnRef idx="2">
                              <a:schemeClr val="dk1"/>
                            </a:lnRef>
                            <a:fillRef idx="1">
                              <a:schemeClr val="lt1"/>
                            </a:fillRef>
                            <a:effectRef idx="0">
                              <a:schemeClr val="dk1"/>
                            </a:effectRef>
                            <a:fontRef idx="minor">
                              <a:schemeClr val="dk1"/>
                            </a:fontRef>
                          </wps:style>
                          <wps:txbx>
                            <w:txbxContent>
                              <w:p w14:paraId="51E621CB"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Future rounds</w:t>
                                </w:r>
                              </w:p>
                              <w:p w14:paraId="04AB5D30"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Applicants are eligible to submit applications for future rounds when they commence.</w:t>
                                </w:r>
                              </w:p>
                            </w:txbxContent>
                          </wps:txbx>
                          <wps:bodyPr anchor="ctr"/>
                        </wps:wsp>
                        <wps:wsp>
                          <wps:cNvPr id="5" name="Straight Connector 5"/>
                          <wps:cNvCnPr>
                            <a:stCxn id="19" idx="2"/>
                            <a:endCxn id="4" idx="0"/>
                          </wps:cNvCnPr>
                          <wps:spPr bwMode="auto">
                            <a:xfrm>
                              <a:off x="6099984" y="3760504"/>
                              <a:ext cx="40" cy="115370"/>
                            </a:xfrm>
                            <a:prstGeom prst="line">
                              <a:avLst/>
                            </a:prstGeom>
                            <a:ln/>
                          </wps:spPr>
                          <wps:style>
                            <a:lnRef idx="1">
                              <a:schemeClr val="dk1"/>
                            </a:lnRef>
                            <a:fillRef idx="0">
                              <a:schemeClr val="dk1"/>
                            </a:fillRef>
                            <a:effectRef idx="0">
                              <a:schemeClr val="dk1"/>
                            </a:effectRef>
                            <a:fontRef idx="minor">
                              <a:schemeClr val="tx1"/>
                            </a:fontRef>
                          </wps:style>
                          <wps:bodyPr/>
                        </wps:wsp>
                      </wpg:grpSp>
                      <wps:wsp>
                        <wps:cNvPr id="46" name="Down Arrow 45" title="Downward arrow"/>
                        <wps:cNvSpPr/>
                        <wps:spPr>
                          <a:xfrm>
                            <a:off x="390525" y="0"/>
                            <a:ext cx="235585" cy="4143375"/>
                          </a:xfrm>
                          <a:prstGeom prst="downArrow">
                            <a:avLst/>
                          </a:prstGeom>
                          <a:solidFill>
                            <a:schemeClr val="tx1"/>
                          </a:solidFill>
                        </wps:spPr>
                        <wps:style>
                          <a:lnRef idx="2">
                            <a:schemeClr val="dk1">
                              <a:shade val="50000"/>
                            </a:schemeClr>
                          </a:lnRef>
                          <a:fillRef idx="1">
                            <a:schemeClr val="dk1"/>
                          </a:fillRef>
                          <a:effectRef idx="0">
                            <a:schemeClr val="dk1"/>
                          </a:effectRef>
                          <a:fontRef idx="minor">
                            <a:schemeClr val="lt1"/>
                          </a:fontRef>
                        </wps:style>
                        <wps:bodyPr rtlCol="0" anchor="ctr"/>
                      </wps:wsp>
                    </wpg:wgp>
                  </a:graphicData>
                </a:graphic>
              </wp:anchor>
            </w:drawing>
          </mc:Choice>
          <mc:Fallback>
            <w:pict>
              <v:group w14:anchorId="299BAA45" id="Group 1" o:spid="_x0000_s1026" alt="Overview of the cash bidding process&#10;&#10;workflow outlining the cash bidding process" style="position:absolute;margin-left:0;margin-top:16.8pt;width:529.5pt;height:481.5pt;z-index:251658240;mso-position-horizontal:center;mso-position-horizontal-relative:margin" coordsize="67246,6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">
                <v:group id="_x0000_s1027" style="position:absolute;top:95;width:67246;height:61055" coordorigin="11475,5480" coordsize="62969,5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11475;top:5480;width:62970;height:56887" coordorigin="11475,5480" coordsize="61932,56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6" o:spid="_x0000_s1029" style="position:absolute;left:11475;top:5480;width:61932;height:49341" coordorigin="11475,5480" coordsize="61932,49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9" o:spid="_x0000_s1030" style="position:absolute;left:17956;top:5480;width:55451;height:36242" coordorigin="17956,5480" coordsize="55449,3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6" o:spid="_x0000_s1031" alt="Areas nominated for release by industry, state/NT governments and Geoscience Australia. Nominated areas are evaluated for inclusion in a release." style="position:absolute;left:18147;top:5480;width:55084;height:5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" fillcolor="#f2f2f2 [3052]" strokecolor="black [3200]" strokeweight="1pt">
                          <v:textbox>
                            <w:txbxContent>
                              <w:p w14:paraId="4A0F3C6F"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 xml:space="preserve">Nomination (April - July, prior year) </w:t>
                                </w:r>
                                <w:r>
                                  <w:rPr>
                                    <w:rFonts w:asciiTheme="minorHAnsi" w:hAnsi="Calibri" w:cstheme="minorBidi"/>
                                    <w:b/>
                                    <w:bCs/>
                                    <w:color w:val="000000" w:themeColor="text1"/>
                                    <w:kern w:val="24"/>
                                    <w:sz w:val="36"/>
                                    <w:szCs w:val="36"/>
                                  </w:rPr>
                                  <w:br/>
                                </w:r>
                                <w:r>
                                  <w:rPr>
                                    <w:rFonts w:asciiTheme="minorHAnsi" w:hAnsi="Calibri" w:cstheme="minorBidi"/>
                                    <w:color w:val="000000" w:themeColor="text1"/>
                                    <w:kern w:val="24"/>
                                    <w:sz w:val="20"/>
                                    <w:szCs w:val="20"/>
                                  </w:rPr>
                                  <w:t>Areas nominated for release by industry, state/NT governments and Geoscience Australia. Nominated areas are evaluated for inclusion in a release.</w:t>
                                </w:r>
                              </w:p>
                            </w:txbxContent>
                          </v:textbox>
                        </v:rect>
                        <v:rect id="Rectangle 18" o:spid="_x0000_s1032" alt="The Joint Authority will invite successful applicants to place a bid" style="position:absolute;left:17972;top:30812;width:27717;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" fillcolor="#f2f2f2 [3052]" strokecolor="black [3200]" strokeweight="1pt">
                          <v:textbox>
                            <w:txbxContent>
                              <w:p w14:paraId="0186E180"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Invitation to bid</w:t>
                                </w:r>
                              </w:p>
                              <w:p w14:paraId="2E858DE5"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 xml:space="preserve">The Joint Authority will invite successful applicants to place a bid </w:t>
                                </w:r>
                              </w:p>
                            </w:txbxContent>
                          </v:textbox>
                        </v:rect>
                        <v:rect id="Rectangle 19" o:spid="_x0000_s1033" alt="NOPTA will inform applicants when their prequalification application has been deemed unsuccessful." style="position:absolute;left:46959;top:30812;width:26446;height:7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" fillcolor="#f2f2f2 [3052]" strokecolor="black [3200]" strokeweight="1pt">
                          <v:textbox>
                            <w:txbxContent>
                              <w:p w14:paraId="4AECAD98"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Unsuccessful applicants</w:t>
                                </w:r>
                              </w:p>
                              <w:p w14:paraId="74CC746F"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NOPTA will inform applicants when their prequalification application has been deemed unsuccessful.</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34" type="#_x0000_t34" style="position:absolute;left:37848;top:22971;width:1823;height:13859;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" strokecolor="black [3200]" strokeweight=".5pt"/>
                        <v:shape id="Elbow Connector 21" o:spid="_x0000_s1035" type="#_x0000_t34" style="position:absolute;left:52024;top:22654;width:1823;height:1449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" strokecolor="black [3200]" strokeweight=".5pt"/>
                        <v:rect id="Rectangle 22" o:spid="_x0000_s1036" alt="Annual Acreage Release areas announced by the Federal Minister for Industry (at APPEA conference)." style="position:absolute;left:18147;top:11516;width:55084;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" fillcolor="#f2f2f2 [3052]" strokecolor="black [3200]" strokeweight="1pt">
                          <v:textbox>
                            <w:txbxContent>
                              <w:p w14:paraId="0E0D6FEE"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Acreage Released</w:t>
                                </w:r>
                                <w:r>
                                  <w:rPr>
                                    <w:rFonts w:asciiTheme="minorHAnsi" w:hAnsi="Calibri" w:cstheme="minorBidi"/>
                                    <w:color w:val="000000" w:themeColor="text1"/>
                                    <w:kern w:val="24"/>
                                    <w:sz w:val="20"/>
                                    <w:szCs w:val="20"/>
                                  </w:rPr>
                                  <w:t xml:space="preserve"> </w:t>
                                </w:r>
                                <w:r>
                                  <w:rPr>
                                    <w:rFonts w:asciiTheme="minorHAnsi" w:hAnsi="Calibri" w:cstheme="minorBidi"/>
                                    <w:b/>
                                    <w:bCs/>
                                    <w:color w:val="000000" w:themeColor="text1"/>
                                    <w:kern w:val="24"/>
                                    <w:sz w:val="20"/>
                                    <w:szCs w:val="20"/>
                                  </w:rPr>
                                  <w:t>(April/May)</w:t>
                                </w:r>
                                <w:r>
                                  <w:rPr>
                                    <w:rFonts w:asciiTheme="minorHAnsi" w:hAnsi="Calibri" w:cstheme="minorBidi"/>
                                    <w:b/>
                                    <w:bCs/>
                                    <w:color w:val="000000" w:themeColor="text1"/>
                                    <w:kern w:val="24"/>
                                    <w:sz w:val="20"/>
                                    <w:szCs w:val="20"/>
                                  </w:rPr>
                                  <w:br/>
                                </w:r>
                                <w:r>
                                  <w:rPr>
                                    <w:rFonts w:asciiTheme="minorHAnsi" w:hAnsi="Calibri" w:cstheme="minorBidi"/>
                                    <w:color w:val="000000" w:themeColor="text1"/>
                                    <w:kern w:val="24"/>
                                    <w:sz w:val="20"/>
                                    <w:szCs w:val="20"/>
                                  </w:rPr>
                                  <w:t>Annual Acreage Release areas announced by the Federal Minister for Industry (at APPEA conference).</w:t>
                                </w:r>
                              </w:p>
                            </w:txbxContent>
                          </v:textbox>
                        </v:rect>
                        <v:rect id="Rectangle 23" o:spid="_x0000_s1037" alt="The Joint Authority invites explorers through the Government Gazette, to prequalify for areas in the cash bidding round. Applications can be submitted at any time during this period up to the closing date and time. NOPTA, on behalf of the JA, will assess bids based on the applicant’s technical and financial capability. " style="position:absolute;left:18147;top:17609;width:55084;height:11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" fillcolor="#f2f2f2 [3052]" strokecolor="black [3200]" strokeweight="1pt">
                          <v:textbox>
                            <w:txbxContent>
                              <w:p w14:paraId="6EE74F28"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Prequalification (April - October)</w:t>
                                </w:r>
                                <w:r>
                                  <w:rPr>
                                    <w:rFonts w:asciiTheme="minorHAnsi" w:hAnsi="Calibri" w:cstheme="minorBidi"/>
                                    <w:b/>
                                    <w:bCs/>
                                    <w:color w:val="000000" w:themeColor="text1"/>
                                    <w:kern w:val="24"/>
                                    <w:sz w:val="20"/>
                                    <w:szCs w:val="20"/>
                                  </w:rPr>
                                  <w:br/>
                                </w:r>
                                <w:r>
                                  <w:rPr>
                                    <w:rFonts w:asciiTheme="minorHAnsi" w:hAnsi="Calibri" w:cstheme="minorBidi"/>
                                    <w:color w:val="000000" w:themeColor="text1"/>
                                    <w:kern w:val="24"/>
                                    <w:sz w:val="20"/>
                                    <w:szCs w:val="20"/>
                                  </w:rPr>
                                  <w:t>The Joint Authority invites explorers through the Government Gazette, to prequalify for areas in the cash bidding round. Applications can be submitted at any time during this period up to the closing date and time.</w:t>
                                </w:r>
                                <w:r w:rsidRPr="00B21C6F">
                                  <w:rPr>
                                    <w:rFonts w:asciiTheme="minorHAnsi" w:hAnsi="Calibri" w:cstheme="minorBidi"/>
                                    <w:color w:val="000000" w:themeColor="text1"/>
                                    <w:kern w:val="24"/>
                                    <w:sz w:val="20"/>
                                    <w:szCs w:val="20"/>
                                  </w:rPr>
                                  <w:t xml:space="preserve"> </w:t>
                                </w:r>
                                <w:r>
                                  <w:rPr>
                                    <w:rFonts w:asciiTheme="minorHAnsi" w:hAnsi="Calibri" w:cstheme="minorBidi"/>
                                    <w:color w:val="000000" w:themeColor="text1"/>
                                    <w:kern w:val="24"/>
                                    <w:sz w:val="20"/>
                                    <w:szCs w:val="20"/>
                                  </w:rPr>
                                  <w:t xml:space="preserve">NOPTA, on behalf of the JA, will assess bids based on the applicant’s technical and financial capability. </w:t>
                                </w:r>
                              </w:p>
                            </w:txbxContent>
                          </v:textbox>
                        </v:rect>
                        <v:line id="Straight Connector 24" o:spid="_x0000_s1038" style="position:absolute;visibility:visible;mso-wrap-style:square" from="45689,10879" to="45689,11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line id="Straight Connector 25" o:spid="_x0000_s1039" style="position:absolute;visibility:visible;mso-wrap-style:square" from="45689,16914" to="45689,1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aWxQAAANsAAAAPAAAAZHJzL2Rvd25yZXYueG1sRI9Ba8JA&#10;FITvhf6H5RW8FN2otG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DP2haWxQAAANsAAAAP&#10;AAAAAAAAAAAAAAAAAAcCAABkcnMvZG93bnJldi54bWxQSwUGAAAAAAMAAwC3AAAA+QIAAAAA&#10;" strokecolor="black [3200]" strokeweight=".5pt">
                          <v:stroke joinstyle="miter"/>
                        </v:line>
                        <v:rect id="Rectangle 27" o:spid="_x0000_s1040" style="position:absolute;left:17956;top:36949;width:27717;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" fillcolor="#f2f2f2 [3052]" strokecolor="black [3200]" strokeweight="1pt">
                          <v:textbox>
                            <w:txbxContent>
                              <w:p w14:paraId="0C4EAF80" w14:textId="77777777" w:rsidR="00AE0E78" w:rsidRDefault="00AE0E78" w:rsidP="00F54070">
                                <w:pPr>
                                  <w:pStyle w:val="NormalWeb"/>
                                  <w:spacing w:before="0" w:beforeAutospacing="0" w:after="0" w:afterAutospacing="0"/>
                                  <w:jc w:val="center"/>
                                  <w:rPr>
                                    <w:rFonts w:asciiTheme="minorHAnsi" w:hAnsi="Calibri" w:cstheme="minorBidi"/>
                                    <w:b/>
                                    <w:bCs/>
                                    <w:color w:val="000000" w:themeColor="text1"/>
                                    <w:kern w:val="24"/>
                                    <w:sz w:val="20"/>
                                    <w:szCs w:val="20"/>
                                  </w:rPr>
                                </w:pPr>
                                <w:r>
                                  <w:rPr>
                                    <w:rFonts w:asciiTheme="minorHAnsi" w:hAnsi="Calibri" w:cstheme="minorBidi"/>
                                    <w:b/>
                                    <w:bCs/>
                                    <w:color w:val="000000" w:themeColor="text1"/>
                                    <w:kern w:val="24"/>
                                    <w:sz w:val="20"/>
                                    <w:szCs w:val="20"/>
                                  </w:rPr>
                                  <w:t xml:space="preserve">Auction </w:t>
                                </w:r>
                              </w:p>
                              <w:p w14:paraId="41AF6B4F"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(February, following year)</w:t>
                                </w:r>
                              </w:p>
                            </w:txbxContent>
                          </v:textbox>
                        </v:rect>
                      </v:group>
                      <v:rect id="Rectangle 10" o:spid="_x0000_s1041" alt="NOPTA offers the permit on behalf of the JA to the highest bidder." style="position:absolute;left:17940;top:42373;width:27718;height:5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" fillcolor="#f2f2f2 [3052]" strokecolor="black [3200]" strokeweight="1pt">
                        <v:textbox>
                          <w:txbxContent>
                            <w:p w14:paraId="08FE9B45"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Offer of Exploration Permit (February)</w:t>
                              </w:r>
                            </w:p>
                            <w:p w14:paraId="2A976A54"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NOPTA offers the permit on behalf of the JA to the highest bidder.</w:t>
                              </w:r>
                            </w:p>
                          </w:txbxContent>
                        </v:textbox>
                      </v:rect>
                      <v:line id="Straight Connector 11" o:spid="_x0000_s1042" style="position:absolute;flip:y;visibility:visible;mso-wrap-style:square" from="31799,41722" to="31815,4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rect id="Rectangle 12" o:spid="_x0000_s1043" alt="Highest bidder accepts the permit." style="position:absolute;left:11475;top:49405;width:19167;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" fillcolor="#f2f2f2 [3052]" strokecolor="black [3200]" strokeweight="1pt">
                        <v:textbox>
                          <w:txbxContent>
                            <w:p w14:paraId="0A893DD8"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Permit Granted (February/March)</w:t>
                              </w:r>
                            </w:p>
                            <w:p w14:paraId="4E164BEA"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Highest bidder accepts the permit.</w:t>
                              </w:r>
                            </w:p>
                          </w:txbxContent>
                        </v:textbox>
                      </v:rect>
                      <v:shape id="Elbow Connector 13" o:spid="_x0000_s1044" type="#_x0000_t34" style="position:absolute;left:25611;top:43218;width:1635;height:1074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" strokecolor="black [3200]" strokeweight=".5pt"/>
                      <v:shape id="Elbow Connector 14" o:spid="_x0000_s1045" type="#_x0000_t34" style="position:absolute;left:36510;top:43059;width:1653;height:11075;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" strokecolor="black [3200]" strokeweight=".5pt"/>
                      <v:rect id="Rectangle 15" o:spid="_x0000_s1046" alt="Highest bidder refuses the offer and forfeits 10% deposit." style="position:absolute;left:33475;top:49423;width:18798;height:5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" fillcolor="#f2f2f2 [3052]" strokecolor="black [3200]" strokeweight="1pt">
                        <v:textbox>
                          <w:txbxContent>
                            <w:p w14:paraId="54A82F27"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Offer refused</w:t>
                              </w:r>
                            </w:p>
                            <w:p w14:paraId="5325D830"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Highest bidder refuses the offer and forfeits 10% deposit.</w:t>
                              </w:r>
                            </w:p>
                          </w:txbxContent>
                        </v:textbox>
                      </v:rect>
                    </v:group>
                    <v:rect id="Rectangle 7" o:spid="_x0000_s1047" alt="Offers are made to the next highest bidders, cascading down from the next highest." style="position:absolute;left:33475;top:55529;width:18836;height:68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" fillcolor="#f2f2f2 [3052]" strokecolor="black [3200]" strokeweight="1pt">
                      <v:textbox>
                        <w:txbxContent>
                          <w:p w14:paraId="4DD69974"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Next highest bidder</w:t>
                            </w:r>
                          </w:p>
                          <w:p w14:paraId="3CC9D89F"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Offers are made to the next highest bidders, cascading down from the next highest.</w:t>
                            </w:r>
                          </w:p>
                        </w:txbxContent>
                      </v:textbox>
                    </v:rect>
                    <v:line id="Straight Connector 8" o:spid="_x0000_s1048" style="position:absolute;visibility:visible;mso-wrap-style:square" from="42874,54821" to="42893,55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" strokecolor="#a5a5a5 [2092]" strokeweight=".5pt">
                      <v:stroke joinstyle="miter"/>
                    </v:line>
                  </v:group>
                  <v:rect id="Rectangle 4" o:spid="_x0000_s1049" alt="Applicants are eligible to submit applications for future rounds when they commence." style="position:absolute;left:47643;top:38758;width:26713;height:6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" fillcolor="#f2f2f2 [3052]" strokecolor="black [3200]" strokeweight="1pt">
                    <v:textbox>
                      <w:txbxContent>
                        <w:p w14:paraId="51E621CB" w14:textId="77777777" w:rsidR="00AE0E78" w:rsidRDefault="00AE0E78" w:rsidP="00F54070">
                          <w:pPr>
                            <w:pStyle w:val="NormalWeb"/>
                            <w:spacing w:before="0" w:beforeAutospacing="0" w:after="0" w:afterAutospacing="0"/>
                            <w:jc w:val="center"/>
                          </w:pPr>
                          <w:r>
                            <w:rPr>
                              <w:rFonts w:asciiTheme="minorHAnsi" w:hAnsi="Calibri" w:cstheme="minorBidi"/>
                              <w:b/>
                              <w:bCs/>
                              <w:color w:val="000000" w:themeColor="text1"/>
                              <w:kern w:val="24"/>
                              <w:sz w:val="20"/>
                              <w:szCs w:val="20"/>
                            </w:rPr>
                            <w:t>Future rounds</w:t>
                          </w:r>
                        </w:p>
                        <w:p w14:paraId="04AB5D30" w14:textId="77777777" w:rsidR="00AE0E78" w:rsidRDefault="00AE0E78" w:rsidP="00F54070">
                          <w:pPr>
                            <w:pStyle w:val="NormalWeb"/>
                            <w:spacing w:before="0" w:beforeAutospacing="0" w:after="0" w:afterAutospacing="0"/>
                            <w:jc w:val="center"/>
                          </w:pPr>
                          <w:r>
                            <w:rPr>
                              <w:rFonts w:asciiTheme="minorHAnsi" w:hAnsi="Calibri" w:cstheme="minorBidi"/>
                              <w:color w:val="000000" w:themeColor="text1"/>
                              <w:kern w:val="24"/>
                              <w:sz w:val="20"/>
                              <w:szCs w:val="20"/>
                            </w:rPr>
                            <w:t>Applicants are eligible to submit applications for future rounds when they commence.</w:t>
                          </w:r>
                        </w:p>
                      </w:txbxContent>
                    </v:textbox>
                  </v:rect>
                  <v:line id="Straight Connector 5" o:spid="_x0000_s1050" style="position:absolute;visibility:visible;mso-wrap-style:square" from="60999,37605" to="61000,38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51" type="#_x0000_t67" style="position:absolute;left:3905;width:2356;height:414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" adj="20986" fillcolor="black [3213]" strokecolor="black [1600]" strokeweight="1pt"/>
                <w10:wrap anchorx="margin"/>
              </v:group>
            </w:pict>
          </mc:Fallback>
        </mc:AlternateContent>
      </w:r>
    </w:p>
    <w:p w14:paraId="04E59F01" w14:textId="77777777" w:rsidR="00F54070" w:rsidRDefault="00F54070">
      <w:pPr>
        <w:rPr>
          <w:sz w:val="20"/>
          <w:szCs w:val="20"/>
        </w:rPr>
      </w:pPr>
      <w:r>
        <w:rPr>
          <w:sz w:val="20"/>
          <w:szCs w:val="20"/>
        </w:rPr>
        <w:br w:type="page"/>
      </w:r>
      <w:bookmarkStart w:id="2" w:name="_GoBack"/>
      <w:bookmarkEnd w:id="2"/>
    </w:p>
    <w:p w14:paraId="781190FF" w14:textId="77777777" w:rsidR="00F54070" w:rsidRDefault="00F54070" w:rsidP="00F54070">
      <w:pPr>
        <w:pStyle w:val="Heading1"/>
        <w:jc w:val="right"/>
      </w:pPr>
      <w:r>
        <w:lastRenderedPageBreak/>
        <w:t>Attachment 2</w:t>
      </w:r>
    </w:p>
    <w:p w14:paraId="54F48A36" w14:textId="77777777" w:rsidR="003E7EEF" w:rsidRDefault="003E7EEF" w:rsidP="003E7EEF"/>
    <w:p w14:paraId="446711F5" w14:textId="77777777" w:rsidR="003E7EEF" w:rsidRPr="003E7EEF" w:rsidRDefault="003E7EEF" w:rsidP="003E7EEF">
      <w:pPr>
        <w:rPr>
          <w:b/>
        </w:rPr>
      </w:pPr>
      <w:r w:rsidRPr="003E7EEF">
        <w:rPr>
          <w:b/>
        </w:rPr>
        <w:t>Examples of evidence of financial resources available and ability to continue as a going concern may include:</w:t>
      </w:r>
    </w:p>
    <w:p w14:paraId="4128C3C3" w14:textId="77777777" w:rsidR="003E7EEF" w:rsidRPr="003E7EEF" w:rsidRDefault="003E7EEF" w:rsidP="003E7EEF">
      <w:pPr>
        <w:pStyle w:val="ListParagraph"/>
        <w:numPr>
          <w:ilvl w:val="2"/>
          <w:numId w:val="15"/>
        </w:numPr>
        <w:ind w:left="567" w:hanging="567"/>
      </w:pPr>
      <w:bookmarkStart w:id="3" w:name="CursorPositionBM"/>
      <w:bookmarkEnd w:id="3"/>
      <w:r w:rsidRPr="003E7EEF">
        <w:t>Annual Report including Director’s declaration of ability of the entity to continue as a going concern</w:t>
      </w:r>
    </w:p>
    <w:p w14:paraId="53EAEEEC" w14:textId="77777777" w:rsidR="003E7EEF" w:rsidRPr="003E7EEF" w:rsidRDefault="003E7EEF" w:rsidP="003E7EEF">
      <w:pPr>
        <w:pStyle w:val="ListParagraph"/>
        <w:numPr>
          <w:ilvl w:val="2"/>
          <w:numId w:val="15"/>
        </w:numPr>
        <w:ind w:left="567" w:hanging="567"/>
      </w:pPr>
      <w:r w:rsidRPr="003E7EEF">
        <w:t>independent auditors report or accountants certified statement in support of the entity’s financial statements and ability to continue as a going concern</w:t>
      </w:r>
    </w:p>
    <w:p w14:paraId="76DCC0D4" w14:textId="77777777" w:rsidR="003E7EEF" w:rsidRPr="003E7EEF" w:rsidRDefault="003E7EEF" w:rsidP="003E7EEF">
      <w:pPr>
        <w:pStyle w:val="ListParagraph"/>
        <w:numPr>
          <w:ilvl w:val="2"/>
          <w:numId w:val="15"/>
        </w:numPr>
        <w:ind w:left="567" w:hanging="567"/>
      </w:pPr>
      <w:r w:rsidRPr="003E7EEF">
        <w:t xml:space="preserve">parent company </w:t>
      </w:r>
      <w:proofErr w:type="gramStart"/>
      <w:r w:rsidRPr="003E7EEF">
        <w:t>guarantee:</w:t>
      </w:r>
      <w:proofErr w:type="gramEnd"/>
      <w:r w:rsidRPr="003E7EEF">
        <w:t xml:space="preserve"> e.g. a deed of cross guarantee or a guarantee provided by the parent company on corporate</w:t>
      </w:r>
      <w:r>
        <w:t xml:space="preserve"> stationery is also sufficient</w:t>
      </w:r>
    </w:p>
    <w:p w14:paraId="0DDE70D7" w14:textId="77777777" w:rsidR="00F54070" w:rsidRPr="003E7EEF" w:rsidRDefault="003E7EEF" w:rsidP="003E7EEF">
      <w:pPr>
        <w:pStyle w:val="ListParagraph"/>
        <w:numPr>
          <w:ilvl w:val="2"/>
          <w:numId w:val="15"/>
        </w:numPr>
        <w:ind w:left="567" w:hanging="567"/>
      </w:pPr>
      <w:r w:rsidRPr="003E7EEF">
        <w:t xml:space="preserve">other guarantee: e.g. a bank </w:t>
      </w:r>
      <w:proofErr w:type="gramStart"/>
      <w:r w:rsidRPr="003E7EEF">
        <w:t>guarantee, or</w:t>
      </w:r>
      <w:proofErr w:type="gramEnd"/>
      <w:r w:rsidRPr="003E7EEF">
        <w:t xml:space="preserve"> guarantee from an accountant’s of a certified statement of an individual’s capacity to fund (high net worth individuals)</w:t>
      </w:r>
      <w:r>
        <w:t>.</w:t>
      </w:r>
    </w:p>
    <w:sectPr w:rsidR="00F54070" w:rsidRPr="003E7EEF" w:rsidSect="003B695E">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912AD" w14:textId="77777777" w:rsidR="00182C6B" w:rsidRDefault="00182C6B" w:rsidP="00217B1E">
      <w:pPr>
        <w:spacing w:after="0" w:line="240" w:lineRule="auto"/>
      </w:pPr>
      <w:r>
        <w:separator/>
      </w:r>
    </w:p>
  </w:endnote>
  <w:endnote w:type="continuationSeparator" w:id="0">
    <w:p w14:paraId="72F25A70" w14:textId="77777777" w:rsidR="00182C6B" w:rsidRDefault="00182C6B" w:rsidP="00217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561333208"/>
      <w:docPartObj>
        <w:docPartGallery w:val="Page Numbers (Bottom of Page)"/>
        <w:docPartUnique/>
      </w:docPartObj>
    </w:sdtPr>
    <w:sdtEndPr>
      <w:rPr>
        <w:noProof/>
      </w:rPr>
    </w:sdtEndPr>
    <w:sdtContent>
      <w:p w14:paraId="34809D36" w14:textId="77777777" w:rsidR="00AE0E78" w:rsidRPr="003B695E" w:rsidRDefault="00AE0E78">
        <w:pPr>
          <w:pStyle w:val="Footer"/>
          <w:rPr>
            <w:sz w:val="20"/>
            <w:szCs w:val="20"/>
          </w:rPr>
        </w:pPr>
        <w:r w:rsidRPr="003B695E">
          <w:rPr>
            <w:sz w:val="20"/>
            <w:szCs w:val="20"/>
          </w:rPr>
          <w:fldChar w:fldCharType="begin"/>
        </w:r>
        <w:r w:rsidRPr="003B695E">
          <w:rPr>
            <w:sz w:val="20"/>
            <w:szCs w:val="20"/>
          </w:rPr>
          <w:instrText xml:space="preserve"> PAGE   \* MERGEFORMAT </w:instrText>
        </w:r>
        <w:r w:rsidRPr="003B695E">
          <w:rPr>
            <w:sz w:val="20"/>
            <w:szCs w:val="20"/>
          </w:rPr>
          <w:fldChar w:fldCharType="separate"/>
        </w:r>
        <w:r w:rsidR="000C1617">
          <w:rPr>
            <w:noProof/>
            <w:sz w:val="20"/>
            <w:szCs w:val="20"/>
          </w:rPr>
          <w:t>8</w:t>
        </w:r>
        <w:r w:rsidRPr="003B695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544079"/>
      <w:docPartObj>
        <w:docPartGallery w:val="Page Numbers (Bottom of Page)"/>
        <w:docPartUnique/>
      </w:docPartObj>
    </w:sdtPr>
    <w:sdtEndPr>
      <w:rPr>
        <w:noProof/>
        <w:sz w:val="20"/>
        <w:szCs w:val="20"/>
      </w:rPr>
    </w:sdtEndPr>
    <w:sdtContent>
      <w:p w14:paraId="5C83F643" w14:textId="77777777" w:rsidR="00AE0E78" w:rsidRPr="003B695E" w:rsidRDefault="00AE0E78" w:rsidP="003B695E">
        <w:pPr>
          <w:pStyle w:val="Footer"/>
          <w:jc w:val="right"/>
          <w:rPr>
            <w:sz w:val="20"/>
            <w:szCs w:val="20"/>
          </w:rPr>
        </w:pPr>
        <w:r w:rsidRPr="003B695E">
          <w:rPr>
            <w:sz w:val="20"/>
            <w:szCs w:val="20"/>
          </w:rPr>
          <w:fldChar w:fldCharType="begin"/>
        </w:r>
        <w:r w:rsidRPr="003B695E">
          <w:rPr>
            <w:sz w:val="20"/>
            <w:szCs w:val="20"/>
          </w:rPr>
          <w:instrText xml:space="preserve"> PAGE   \* MERGEFORMAT </w:instrText>
        </w:r>
        <w:r w:rsidRPr="003B695E">
          <w:rPr>
            <w:sz w:val="20"/>
            <w:szCs w:val="20"/>
          </w:rPr>
          <w:fldChar w:fldCharType="separate"/>
        </w:r>
        <w:r w:rsidR="000C1617">
          <w:rPr>
            <w:noProof/>
            <w:sz w:val="20"/>
            <w:szCs w:val="20"/>
          </w:rPr>
          <w:t>7</w:t>
        </w:r>
        <w:r w:rsidRPr="003B695E">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6113E" w14:textId="77777777" w:rsidR="00182C6B" w:rsidRDefault="00182C6B" w:rsidP="00217B1E">
      <w:pPr>
        <w:spacing w:after="0" w:line="240" w:lineRule="auto"/>
      </w:pPr>
      <w:r>
        <w:separator/>
      </w:r>
    </w:p>
  </w:footnote>
  <w:footnote w:type="continuationSeparator" w:id="0">
    <w:p w14:paraId="30AAC7CE" w14:textId="77777777" w:rsidR="00182C6B" w:rsidRDefault="00182C6B" w:rsidP="00217B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863D1"/>
    <w:multiLevelType w:val="multilevel"/>
    <w:tmpl w:val="49A6BDCE"/>
    <w:lvl w:ilvl="0">
      <w:start w:val="1"/>
      <w:numFmt w:val="decimal"/>
      <w:lvlText w:val="%1."/>
      <w:lvlJc w:val="left"/>
      <w:pPr>
        <w:tabs>
          <w:tab w:val="num" w:pos="454"/>
        </w:tabs>
        <w:ind w:left="454" w:hanging="341"/>
      </w:pPr>
      <w:rPr>
        <w:rFonts w:hint="default"/>
      </w:rPr>
    </w:lvl>
    <w:lvl w:ilvl="1">
      <w:start w:val="1"/>
      <w:numFmt w:val="decimal"/>
      <w:lvlText w:val="%2."/>
      <w:lvlJc w:val="left"/>
      <w:pPr>
        <w:tabs>
          <w:tab w:val="num" w:pos="1534"/>
        </w:tabs>
        <w:ind w:left="1534" w:hanging="454"/>
      </w:pPr>
      <w:rPr>
        <w:rFonts w:ascii="Arial" w:hAnsi="Arial" w:hint="default"/>
        <w:b w:val="0"/>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55"/>
        </w:tabs>
        <w:ind w:left="1783"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8545156"/>
    <w:multiLevelType w:val="multilevel"/>
    <w:tmpl w:val="83889BEE"/>
    <w:lvl w:ilvl="0">
      <w:start w:val="1"/>
      <w:numFmt w:val="decimal"/>
      <w:pStyle w:val="Heading2"/>
      <w:lvlText w:val="%1."/>
      <w:lvlJc w:val="left"/>
      <w:pPr>
        <w:ind w:left="360" w:hanging="360"/>
      </w:pPr>
      <w:rPr>
        <w:rFonts w:ascii="Times New Roman" w:hAnsi="Times New Roman" w:hint="default"/>
        <w:b/>
        <w:i w:val="0"/>
        <w:sz w:val="2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D6F2F60"/>
    <w:multiLevelType w:val="multilevel"/>
    <w:tmpl w:val="8A961288"/>
    <w:lvl w:ilvl="0">
      <w:start w:val="3"/>
      <w:numFmt w:val="decimal"/>
      <w:lvlText w:val="%1."/>
      <w:lvlJc w:val="left"/>
      <w:pPr>
        <w:tabs>
          <w:tab w:val="num" w:pos="454"/>
        </w:tabs>
        <w:ind w:left="454" w:hanging="341"/>
      </w:pPr>
      <w:rPr>
        <w:rFonts w:hint="default"/>
      </w:rPr>
    </w:lvl>
    <w:lvl w:ilvl="1">
      <w:start w:val="1"/>
      <w:numFmt w:val="decimal"/>
      <w:lvlText w:val="%1.%2."/>
      <w:lvlJc w:val="left"/>
      <w:pPr>
        <w:tabs>
          <w:tab w:val="num" w:pos="1534"/>
        </w:tabs>
        <w:ind w:left="1534" w:hanging="454"/>
      </w:pPr>
      <w:rPr>
        <w:rFonts w:hint="default"/>
        <w:b w:val="0"/>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55"/>
        </w:tabs>
        <w:ind w:left="1783"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E0777EF"/>
    <w:multiLevelType w:val="multilevel"/>
    <w:tmpl w:val="1BFE5E94"/>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1534"/>
        </w:tabs>
        <w:ind w:left="1534" w:hanging="454"/>
      </w:pPr>
      <w:rPr>
        <w:rFonts w:hint="default"/>
        <w:b w:val="0"/>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55"/>
        </w:tabs>
        <w:ind w:left="1783"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3E08056B"/>
    <w:multiLevelType w:val="multilevel"/>
    <w:tmpl w:val="1BFE5E94"/>
    <w:lvl w:ilvl="0">
      <w:start w:val="1"/>
      <w:numFmt w:val="decimal"/>
      <w:lvlText w:val="%1."/>
      <w:lvlJc w:val="left"/>
      <w:pPr>
        <w:tabs>
          <w:tab w:val="num" w:pos="454"/>
        </w:tabs>
        <w:ind w:left="454" w:hanging="341"/>
      </w:pPr>
      <w:rPr>
        <w:rFonts w:hint="default"/>
      </w:rPr>
    </w:lvl>
    <w:lvl w:ilvl="1">
      <w:start w:val="1"/>
      <w:numFmt w:val="decimal"/>
      <w:lvlText w:val="%1.%2."/>
      <w:lvlJc w:val="left"/>
      <w:pPr>
        <w:tabs>
          <w:tab w:val="num" w:pos="1534"/>
        </w:tabs>
        <w:ind w:left="1534" w:hanging="454"/>
      </w:pPr>
      <w:rPr>
        <w:rFonts w:hint="default"/>
        <w:b w:val="0"/>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855"/>
        </w:tabs>
        <w:ind w:left="1783" w:hanging="648"/>
      </w:pPr>
      <w:rPr>
        <w:rFonts w:hint="default"/>
      </w:rPr>
    </w:lvl>
    <w:lvl w:ilvl="4">
      <w:start w:val="1"/>
      <w:numFmt w:val="bullet"/>
      <w:lvlText w:val=""/>
      <w:lvlJc w:val="left"/>
      <w:pPr>
        <w:tabs>
          <w:tab w:val="num" w:pos="2520"/>
        </w:tabs>
        <w:ind w:left="2232" w:hanging="792"/>
      </w:pPr>
      <w:rPr>
        <w:rFonts w:ascii="Symbol" w:hAnsi="Symbol"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3E795822"/>
    <w:multiLevelType w:val="multilevel"/>
    <w:tmpl w:val="2B92FE74"/>
    <w:lvl w:ilvl="0">
      <w:start w:val="1"/>
      <w:numFmt w:val="decimal"/>
      <w:lvlText w:val="%1."/>
      <w:lvlJc w:val="left"/>
      <w:pPr>
        <w:ind w:left="360" w:hanging="360"/>
      </w:pPr>
      <w:rPr>
        <w:rFonts w:ascii="Times New Roman" w:hAnsi="Times New Roman" w:hint="default"/>
        <w:b/>
        <w:i w:val="0"/>
        <w:sz w:val="26"/>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2E57CF5"/>
    <w:multiLevelType w:val="multilevel"/>
    <w:tmpl w:val="2B92FE74"/>
    <w:lvl w:ilvl="0">
      <w:start w:val="1"/>
      <w:numFmt w:val="decimal"/>
      <w:lvlText w:val="%1."/>
      <w:lvlJc w:val="left"/>
      <w:pPr>
        <w:ind w:left="360" w:hanging="360"/>
      </w:pPr>
      <w:rPr>
        <w:rFonts w:ascii="Times New Roman" w:hAnsi="Times New Roman" w:hint="default"/>
        <w:b/>
        <w:i w:val="0"/>
        <w:sz w:val="26"/>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3C54885"/>
    <w:multiLevelType w:val="hybridMultilevel"/>
    <w:tmpl w:val="9A82E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9885E2B"/>
    <w:multiLevelType w:val="multilevel"/>
    <w:tmpl w:val="E318AE84"/>
    <w:lvl w:ilvl="0">
      <w:start w:val="1"/>
      <w:numFmt w:val="bullet"/>
      <w:lvlText w:val=""/>
      <w:lvlJc w:val="left"/>
      <w:pPr>
        <w:ind w:left="360" w:hanging="360"/>
      </w:pPr>
      <w:rPr>
        <w:rFonts w:ascii="Symbol" w:hAnsi="Symbol" w:hint="default"/>
        <w:b/>
        <w:i w:val="0"/>
        <w:sz w:val="26"/>
      </w:rPr>
    </w:lvl>
    <w:lvl w:ilvl="1">
      <w:start w:val="1"/>
      <w:numFmt w:val="decimal"/>
      <w:isLgl/>
      <w:lvlText w:val="%1.%2."/>
      <w:lvlJc w:val="left"/>
      <w:pPr>
        <w:ind w:left="360" w:hanging="36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1"/>
  </w:num>
  <w:num w:numId="8">
    <w:abstractNumId w:val="1"/>
  </w:num>
  <w:num w:numId="9">
    <w:abstractNumId w:val="1"/>
  </w:num>
  <w:num w:numId="10">
    <w:abstractNumId w:val="1"/>
  </w:num>
  <w:num w:numId="11">
    <w:abstractNumId w:val="1"/>
  </w:num>
  <w:num w:numId="12">
    <w:abstractNumId w:val="1"/>
  </w:num>
  <w:num w:numId="13">
    <w:abstractNumId w:val="7"/>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21"/>
    <w:rsid w:val="000756F8"/>
    <w:rsid w:val="000C1617"/>
    <w:rsid w:val="00182C6B"/>
    <w:rsid w:val="001E2549"/>
    <w:rsid w:val="001F369F"/>
    <w:rsid w:val="00217B1E"/>
    <w:rsid w:val="003B695E"/>
    <w:rsid w:val="003E5346"/>
    <w:rsid w:val="003E7EEF"/>
    <w:rsid w:val="003F1F26"/>
    <w:rsid w:val="004619D3"/>
    <w:rsid w:val="00524B21"/>
    <w:rsid w:val="005E2B1E"/>
    <w:rsid w:val="00647EA5"/>
    <w:rsid w:val="00704797"/>
    <w:rsid w:val="0073012C"/>
    <w:rsid w:val="007355E3"/>
    <w:rsid w:val="007941FA"/>
    <w:rsid w:val="007F0AD9"/>
    <w:rsid w:val="008C338F"/>
    <w:rsid w:val="0093714C"/>
    <w:rsid w:val="009B0560"/>
    <w:rsid w:val="00AE0E78"/>
    <w:rsid w:val="00BD5A57"/>
    <w:rsid w:val="00C0232C"/>
    <w:rsid w:val="00C20DB5"/>
    <w:rsid w:val="00C803CF"/>
    <w:rsid w:val="00CC7E8E"/>
    <w:rsid w:val="00D47D53"/>
    <w:rsid w:val="00D85BD3"/>
    <w:rsid w:val="00DB02BC"/>
    <w:rsid w:val="00E57AF3"/>
    <w:rsid w:val="00F54070"/>
    <w:rsid w:val="00F735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BA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B21"/>
    <w:rPr>
      <w:rFonts w:ascii="Times New Roman" w:hAnsi="Times New Roman"/>
      <w:sz w:val="24"/>
    </w:rPr>
  </w:style>
  <w:style w:type="paragraph" w:styleId="Heading1">
    <w:name w:val="heading 1"/>
    <w:basedOn w:val="Normal"/>
    <w:next w:val="Normal"/>
    <w:link w:val="Heading1Char"/>
    <w:uiPriority w:val="9"/>
    <w:qFormat/>
    <w:rsid w:val="00524B21"/>
    <w:pPr>
      <w:keepNext/>
      <w:keepLines/>
      <w:spacing w:before="240" w:after="0" w:line="240" w:lineRule="auto"/>
      <w:outlineLvl w:val="0"/>
    </w:pPr>
    <w:rPr>
      <w:rFonts w:eastAsiaTheme="majorEastAsia" w:cstheme="majorBidi"/>
      <w:b/>
      <w:sz w:val="28"/>
      <w:szCs w:val="32"/>
      <w:lang w:eastAsia="en-AU"/>
    </w:rPr>
  </w:style>
  <w:style w:type="paragraph" w:styleId="Heading2">
    <w:name w:val="heading 2"/>
    <w:basedOn w:val="ListParagraph"/>
    <w:next w:val="Normal"/>
    <w:link w:val="Heading2Char"/>
    <w:autoRedefine/>
    <w:unhideWhenUsed/>
    <w:qFormat/>
    <w:rsid w:val="00647EA5"/>
    <w:pPr>
      <w:keepNext/>
      <w:keepLines/>
      <w:numPr>
        <w:numId w:val="1"/>
      </w:numPr>
      <w:spacing w:before="360" w:after="120" w:line="240" w:lineRule="auto"/>
      <w:contextualSpacing w:val="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647EA5"/>
    <w:pPr>
      <w:keepNext/>
      <w:keepLines/>
      <w:spacing w:before="100" w:beforeAutospacing="1" w:after="100" w:afterAutospacing="1" w:line="240" w:lineRule="auto"/>
      <w:outlineLvl w:val="2"/>
    </w:pPr>
    <w:rPr>
      <w:rFonts w:eastAsiaTheme="majorEastAsia" w:cstheme="majorBidi"/>
      <w:i/>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47EA5"/>
    <w:rPr>
      <w:rFonts w:ascii="Times New Roman" w:eastAsiaTheme="majorEastAsia" w:hAnsi="Times New Roman" w:cstheme="majorBidi"/>
      <w:b/>
      <w:sz w:val="26"/>
      <w:szCs w:val="26"/>
    </w:rPr>
  </w:style>
  <w:style w:type="paragraph" w:styleId="Title">
    <w:name w:val="Title"/>
    <w:basedOn w:val="Normal"/>
    <w:next w:val="Normal"/>
    <w:link w:val="TitleChar"/>
    <w:uiPriority w:val="10"/>
    <w:qFormat/>
    <w:rsid w:val="00524B21"/>
    <w:pPr>
      <w:spacing w:after="0" w:line="360" w:lineRule="auto"/>
      <w:contextualSpacing/>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524B21"/>
    <w:rPr>
      <w:rFonts w:ascii="Times New Roman" w:eastAsiaTheme="majorEastAsia" w:hAnsi="Times New Roman" w:cstheme="majorBidi"/>
      <w:b/>
      <w:spacing w:val="-10"/>
      <w:kern w:val="28"/>
      <w:sz w:val="32"/>
      <w:szCs w:val="56"/>
    </w:rPr>
  </w:style>
  <w:style w:type="character" w:styleId="Hyperlink">
    <w:name w:val="Hyperlink"/>
    <w:rsid w:val="00524B21"/>
    <w:rPr>
      <w:color w:val="0000FF"/>
      <w:u w:val="single"/>
    </w:rPr>
  </w:style>
  <w:style w:type="character" w:customStyle="1" w:styleId="Heading1Char">
    <w:name w:val="Heading 1 Char"/>
    <w:basedOn w:val="DefaultParagraphFont"/>
    <w:link w:val="Heading1"/>
    <w:uiPriority w:val="9"/>
    <w:rsid w:val="00524B21"/>
    <w:rPr>
      <w:rFonts w:ascii="Times New Roman" w:eastAsiaTheme="majorEastAsia" w:hAnsi="Times New Roman" w:cstheme="majorBidi"/>
      <w:b/>
      <w:sz w:val="28"/>
      <w:szCs w:val="32"/>
      <w:lang w:eastAsia="en-AU"/>
    </w:rPr>
  </w:style>
  <w:style w:type="paragraph" w:styleId="List2">
    <w:name w:val="List 2"/>
    <w:basedOn w:val="Normal"/>
    <w:rsid w:val="00647EA5"/>
    <w:pPr>
      <w:spacing w:after="120" w:line="240" w:lineRule="auto"/>
    </w:pPr>
    <w:rPr>
      <w:rFonts w:eastAsia="Times New Roman" w:cs="Times New Roman"/>
      <w:szCs w:val="24"/>
      <w:lang w:eastAsia="en-AU"/>
    </w:rPr>
  </w:style>
  <w:style w:type="paragraph" w:styleId="ListParagraph">
    <w:name w:val="List Paragraph"/>
    <w:basedOn w:val="Normal"/>
    <w:uiPriority w:val="99"/>
    <w:qFormat/>
    <w:rsid w:val="00524B21"/>
    <w:pPr>
      <w:ind w:left="720"/>
      <w:contextualSpacing/>
    </w:pPr>
  </w:style>
  <w:style w:type="character" w:customStyle="1" w:styleId="Heading3Char">
    <w:name w:val="Heading 3 Char"/>
    <w:basedOn w:val="DefaultParagraphFont"/>
    <w:link w:val="Heading3"/>
    <w:uiPriority w:val="9"/>
    <w:rsid w:val="00647EA5"/>
    <w:rPr>
      <w:rFonts w:ascii="Times New Roman" w:eastAsiaTheme="majorEastAsia" w:hAnsi="Times New Roman" w:cstheme="majorBidi"/>
      <w:i/>
      <w:sz w:val="24"/>
      <w:szCs w:val="24"/>
      <w:lang w:eastAsia="en-AU"/>
    </w:rPr>
  </w:style>
  <w:style w:type="paragraph" w:customStyle="1" w:styleId="Default">
    <w:name w:val="Default"/>
    <w:rsid w:val="00DB02B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table" w:customStyle="1" w:styleId="GridTable1Light1">
    <w:name w:val="Grid Table 1 Light1"/>
    <w:basedOn w:val="TableNormal"/>
    <w:uiPriority w:val="46"/>
    <w:rsid w:val="004619D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54070"/>
    <w:pPr>
      <w:spacing w:before="100" w:beforeAutospacing="1" w:after="100" w:afterAutospacing="1" w:line="240" w:lineRule="auto"/>
    </w:pPr>
    <w:rPr>
      <w:rFonts w:eastAsiaTheme="minorEastAsia" w:cs="Times New Roman"/>
      <w:szCs w:val="24"/>
      <w:lang w:eastAsia="en-AU"/>
    </w:rPr>
  </w:style>
  <w:style w:type="paragraph" w:styleId="Header">
    <w:name w:val="header"/>
    <w:basedOn w:val="Normal"/>
    <w:link w:val="HeaderChar"/>
    <w:uiPriority w:val="99"/>
    <w:unhideWhenUsed/>
    <w:rsid w:val="00217B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B1E"/>
    <w:rPr>
      <w:rFonts w:ascii="Times New Roman" w:hAnsi="Times New Roman"/>
      <w:sz w:val="24"/>
    </w:rPr>
  </w:style>
  <w:style w:type="paragraph" w:styleId="Footer">
    <w:name w:val="footer"/>
    <w:basedOn w:val="Normal"/>
    <w:link w:val="FooterChar"/>
    <w:uiPriority w:val="99"/>
    <w:unhideWhenUsed/>
    <w:rsid w:val="00217B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B1E"/>
    <w:rPr>
      <w:rFonts w:ascii="Times New Roman" w:hAnsi="Times New Roman"/>
      <w:sz w:val="24"/>
    </w:rPr>
  </w:style>
  <w:style w:type="character" w:styleId="FollowedHyperlink">
    <w:name w:val="FollowedHyperlink"/>
    <w:basedOn w:val="DefaultParagraphFont"/>
    <w:uiPriority w:val="99"/>
    <w:semiHidden/>
    <w:unhideWhenUsed/>
    <w:rsid w:val="00AE0E78"/>
    <w:rPr>
      <w:color w:val="954F72" w:themeColor="followedHyperlink"/>
      <w:u w:val="single"/>
    </w:rPr>
  </w:style>
  <w:style w:type="paragraph" w:styleId="BalloonText">
    <w:name w:val="Balloon Text"/>
    <w:basedOn w:val="Normal"/>
    <w:link w:val="BalloonTextChar"/>
    <w:uiPriority w:val="99"/>
    <w:semiHidden/>
    <w:unhideWhenUsed/>
    <w:rsid w:val="00AE0E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E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rb.gov.au/about-firb/contact-u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irb.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opta.gov.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pta.gov.au/" TargetMode="External"/><Relationship Id="rId5" Type="http://schemas.openxmlformats.org/officeDocument/2006/relationships/numbering" Target="numbering.xml"/><Relationship Id="rId15" Type="http://schemas.openxmlformats.org/officeDocument/2006/relationships/hyperlink" Target="http://www.nopta.gov.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opt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NOPTA Base Document" ma:contentTypeID="0x01010063547D135F865547B104B3688A6EB0DB004EBC41CBB87686458B4EADC66475DA23" ma:contentTypeVersion="2490" ma:contentTypeDescription="Create a new document." ma:contentTypeScope="" ma:versionID="95db9a4909e817bef68c867c860a7a92">
  <xsd:schema xmlns:xsd="http://www.w3.org/2001/XMLSchema" xmlns:xs="http://www.w3.org/2001/XMLSchema" xmlns:p="http://schemas.microsoft.com/office/2006/metadata/properties" xmlns:ns1="http://schemas.microsoft.com/sharepoint/v3" xmlns:ns2="7012054d-3a07-4b40-940b-a148fc76e5c4" xmlns:ns3="http://schemas.microsoft.com/sharepoint/v3/fields" xmlns:ns4="e1c7fc68-f963-4fbf-ab17-100a6bd4a79c" xmlns:ns5="a8fdb9f5-4e6c-4c4a-a24d-2c5439f6d702" targetNamespace="http://schemas.microsoft.com/office/2006/metadata/properties" ma:root="true" ma:fieldsID="7ff4ea60b73f077fbb699dfe7161eac8" ns1:_="" ns2:_="" ns3:_="" ns4:_="" ns5:_="">
    <xsd:import namespace="http://schemas.microsoft.com/sharepoint/v3"/>
    <xsd:import namespace="7012054d-3a07-4b40-940b-a148fc76e5c4"/>
    <xsd:import namespace="http://schemas.microsoft.com/sharepoint/v3/fields"/>
    <xsd:import namespace="e1c7fc68-f963-4fbf-ab17-100a6bd4a79c"/>
    <xsd:import namespace="a8fdb9f5-4e6c-4c4a-a24d-2c5439f6d702"/>
    <xsd:element name="properties">
      <xsd:complexType>
        <xsd:sequence>
          <xsd:element name="documentManagement">
            <xsd:complexType>
              <xsd:all>
                <xsd:element ref="ns2:AGRkMSDescription" minOccurs="0"/>
                <xsd:element ref="ns2:SecurityClassification"/>
                <xsd:element ref="ns2:RightsType"/>
                <xsd:element ref="ns2:RightsStatus"/>
                <xsd:element ref="ns2:OfNationalSignificance"/>
                <xsd:element ref="ns1:AssignedTo" minOccurs="0"/>
                <xsd:element ref="ns3:_Status" minOccurs="0"/>
                <xsd:element ref="ns1:DocumentSetDescription"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TaxCatchAllLabel" minOccurs="0"/>
                <xsd:element ref="ns2:TaxKeywordTaxHTField" minOccurs="0"/>
                <xsd:element ref="ns3:_DCDateCreated" minOccurs="0"/>
                <xsd:element ref="ns4:MediaServiceMetadata" minOccurs="0"/>
                <xsd:element ref="ns4:MediaServiceFastMetadata" minOccurs="0"/>
                <xsd:element ref="ns5:SharedWithUsers" minOccurs="0"/>
                <xsd:element ref="ns5: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5" nillable="true" ma:displayName="Assigned To" ma:list="UserInfo" ma:SearchPeopleOnly="false" ma:SharePointGroup="0" ma:internalName="Assigned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hidden="true" ma:internalName="AGRkMSDescription" ma:readOnly="false">
      <xsd:simpleType>
        <xsd:restriction base="dms:Note"/>
      </xsd:simpleType>
    </xsd:element>
    <xsd:element name="SecurityClassification" ma:index="9" ma:displayName="Security Classification" ma:default="DLM: For Official Use Only" ma:format="Dropdown" ma:internalName="SecurityClassification" ma:readOnly="false">
      <xsd:simpleType>
        <xsd:restriction base="dms:Choice">
          <xsd:enumeration value="Unofficial"/>
          <xsd:enumeration value="Unclassified"/>
          <xsd:enumeration value="DLM: For Official Use Only"/>
          <xsd:enumeration value="DLM: Sensitive"/>
          <xsd:enumeration value="DLM: Sensitive - Legal"/>
          <xsd:enumeration value="DLM: Sensitive - Personal"/>
        </xsd:restriction>
      </xsd:simpleType>
    </xsd:element>
    <xsd:element name="RightsType" ma:index="10"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Privacy"/>
          <xsd:enumeration value="Use Permission"/>
        </xsd:restriction>
      </xsd:simpleType>
    </xsd:element>
    <xsd:element name="RightsStatus" ma:index="11"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OfNationalSignificance" ma:index="13" ma:displayName="Of National Significance" ma:format="Dropdown" ma:internalName="OfNationalSignificance" ma:readOnly="false">
      <xsd:simpleType>
        <xsd:restriction base="dms:Choice">
          <xsd:enumeration value="Yes"/>
          <xsd:enumeration value="No"/>
        </xsd:restriction>
      </xsd:simple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TaxCatchAllLabel" ma:index="69"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70"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6" nillable="true" ma:displayName="Status" ma:default="Not Started" ma:format="Dropdown"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element name="_DCDateCreated" ma:index="71" nillable="true" ma:displayName="Date Created" ma:description="The date on which this resource was created"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1c7fc68-f963-4fbf-ab17-100a6bd4a79c" elementFormDefault="qualified">
    <xsd:import namespace="http://schemas.microsoft.com/office/2006/documentManagement/types"/>
    <xsd:import namespace="http://schemas.microsoft.com/office/infopath/2007/PartnerControls"/>
    <xsd:element name="MediaServiceMetadata" ma:index="75" nillable="true" ma:displayName="MediaServiceMetadata" ma:hidden="true" ma:internalName="MediaServiceMetadata" ma:readOnly="true">
      <xsd:simpleType>
        <xsd:restriction base="dms:Note"/>
      </xsd:simpleType>
    </xsd:element>
    <xsd:element name="MediaServiceFastMetadata" ma:index="76" nillable="true" ma:displayName="MediaServiceFastMetadata" ma:hidden="true" ma:internalName="MediaServiceFastMetadata" ma:readOnly="true">
      <xsd:simpleType>
        <xsd:restriction base="dms:Note"/>
      </xsd:simpleType>
    </xsd:element>
    <xsd:element name="MediaServiceAutoKeyPoints" ma:index="79" nillable="true" ma:displayName="MediaServiceAutoKeyPoints" ma:hidden="true" ma:internalName="MediaServiceAutoKeyPoints" ma:readOnly="true">
      <xsd:simpleType>
        <xsd:restriction base="dms:Note"/>
      </xsd:simpleType>
    </xsd:element>
    <xsd:element name="MediaServiceKeyPoints" ma:index="8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db9f5-4e6c-4c4a-a24d-2c5439f6d702" elementFormDefault="qualified">
    <xsd:import namespace="http://schemas.microsoft.com/office/2006/documentManagement/types"/>
    <xsd:import namespace="http://schemas.microsoft.com/office/infopath/2007/PartnerControls"/>
    <xsd:element name="SharedWithUsers" ma:index="7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2" ma:displayName="Title"/>
        <xsd:element ref="dc:subject" minOccurs="0" maxOccurs="1"/>
        <xsd:element ref="dc:description" minOccurs="0" maxOccurs="1" ma:index="14"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RkMSLanguage xmlns="7012054d-3a07-4b40-940b-a148fc76e5c4">en-au</AGRkMSLanguage>
    <Units xmlns="7012054d-3a07-4b40-940b-a148fc76e5c4">KB</Units>
    <RightsStatement xmlns="7012054d-3a07-4b40-940b-a148fc76e5c4">NOPTA Members Only</RightsStatement>
    <Jurisdiction xmlns="7012054d-3a07-4b40-940b-a148fc76e5c4">
      <Value>AU</Value>
    </Jurisdiction>
    <CaveatCategory xmlns="7012054d-3a07-4b40-940b-a148fc76e5c4">DLM: For Official Use Only</CaveatCategory>
    <IdentifierScheme xmlns="7012054d-3a07-4b40-940b-a148fc76e5c4">RecordPoint</IdentifierScheme>
    <HashFunctionName xmlns="7012054d-3a07-4b40-940b-a148fc76e5c4">MD5</HashFunctionName>
    <_dlc_DocId xmlns="7012054d-3a07-4b40-940b-a148fc76e5c4">NOPTANET-1686289485-392</_dlc_DocId>
    <TaxCatchAll xmlns="7012054d-3a07-4b40-940b-a148fc76e5c4">
      <Value>764</Value>
      <Value>168</Value>
      <Value>424</Value>
      <Value>3968</Value>
      <Value>4679</Value>
      <Value>137</Value>
    </TaxCatchAll>
    <SecurityClassification xmlns="7012054d-3a07-4b40-940b-a148fc76e5c4">DLM: For Official Use Only</SecurityClassification>
    <RightsType xmlns="7012054d-3a07-4b40-940b-a148fc76e5c4">Use Permission</RightsType>
    <SpatialCoverage xmlns="7012054d-3a07-4b40-940b-a148fc76e5c4">Commonwealth of Australia</SpatialCoverage>
    <Medium xmlns="7012054d-3a07-4b40-940b-a148fc76e5c4">Digital File</Medium>
    <RightsStatus xmlns="7012054d-3a07-4b40-940b-a148fc76e5c4">Open</RightsStatus>
    <FormatRegistry xmlns="7012054d-3a07-4b40-940b-a148fc76e5c4">System generated</FormatRegistry>
    <FormatName xmlns="7012054d-3a07-4b40-940b-a148fc76e5c4">Word</FormatName>
    <JurisdictionalCoverage xmlns="7012054d-3a07-4b40-940b-a148fc76e5c4">
      <Value>Commonwealth of Australia (AU)</Value>
    </JurisdictionalCoverage>
    <CaveatText xmlns="7012054d-3a07-4b40-940b-a148fc76e5c4">PSPF</CaveatText>
    <Identifier xmlns="7012054d-3a07-4b40-940b-a148fc76e5c4">0</Identifier>
    <BusinessFunction_Note xmlns="7012054d-3a07-4b40-940b-a148fc76e5c4">
      <Terms xmlns="http://schemas.microsoft.com/office/infopath/2007/PartnerControls">
        <TermInfo xmlns="http://schemas.microsoft.com/office/infopath/2007/PartnerControls">
          <TermName xmlns="http://schemas.microsoft.com/office/infopath/2007/PartnerControls">Reviews</TermName>
          <TermId xmlns="http://schemas.microsoft.com/office/infopath/2007/PartnerControls">5fe29a63-56af-46cc-ae65-434b63cde2b7</TermId>
        </TermInfo>
      </Terms>
    </BusinessFunction_Note>
    <AGRkMSCategory xmlns="7012054d-3a07-4b40-940b-a148fc76e5c4">Item</AGRkMSCategory>
    <CreatingApplicationName xmlns="7012054d-3a07-4b40-940b-a148fc76e5c4">Microsoft Word</CreatingApplicationName>
    <_dlc_DocIdUrl xmlns="7012054d-3a07-4b40-940b-a148fc76e5c4">
      <Url>https://nopta.sharepoint.com/team/LCT/_layouts/15/DocIdRedir.aspx?ID=NOPTANET-1686289485-392</Url>
      <Description>NOPTANET-1686289485-392</Description>
    </_dlc_DocIdUrl>
    <FormatVersion xmlns="7012054d-3a07-4b40-940b-a148fc76e5c4">2013</FormatVersion>
    <CreatingApplicationVersion xmlns="7012054d-3a07-4b40-940b-a148fc76e5c4">2013</CreatingApplicationVersion>
    <RecordKeywords xmlns="7012054d-3a07-4b40-940b-a148fc76e5c4" xsi:nil="true"/>
    <DateRangeEnd xmlns="7012054d-3a07-4b40-940b-a148fc76e5c4" xsi:nil="true"/>
    <RecordLocation xmlns="7012054d-3a07-4b40-940b-a148fc76e5c4" xsi:nil="true"/>
    <AGRkMSDescription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_dlc_DocIdPersistId xmlns="7012054d-3a07-4b40-940b-a148fc76e5c4" xsi:nil="true"/>
    <NameScheme xmlns="7012054d-3a07-4b40-940b-a148fc76e5c4" xsi:nil="true"/>
    <m3f2ca6b2c9a4802967adedbb4af06ae xmlns="7012054d-3a07-4b40-940b-a148fc76e5c4">
      <Terms xmlns="http://schemas.microsoft.com/office/infopath/2007/PartnerControls"/>
    </m3f2ca6b2c9a4802967adedbb4af06ae>
    <AssignedTo xmlns="http://schemas.microsoft.com/sharepoint/v3">
      <UserInfo>
        <DisplayName/>
        <AccountId xsi:nil="true"/>
        <AccountType/>
      </UserInfo>
    </AssignedTo>
    <KeywordScheme xmlns="7012054d-3a07-4b40-940b-a148fc76e5c4" xsi:nil="true"/>
    <RecordContactDetails xmlns="7012054d-3a07-4b40-940b-a148fc76e5c4" xsi:nil="true"/>
    <_Status xmlns="http://schemas.microsoft.com/sharepoint/v3/fields">Not Started</_Status>
    <Quantity xmlns="7012054d-3a07-4b40-940b-a148fc76e5c4" xsi:nil="true"/>
    <DocumentForm xmlns="7012054d-3a07-4b40-940b-a148fc76e5c4" xsi:nil="true"/>
    <OfNationalSignificance xmlns="7012054d-3a07-4b40-940b-a148fc76e5c4">No</OfNationalSignificance>
    <DocumentSetDescription xmlns="http://schemas.microsoft.com/sharepoint/v3" xsi:nil="true"/>
    <KeywordID xmlns="7012054d-3a07-4b40-940b-a148fc76e5c4" xsi:nil="true"/>
    <Entity xmlns="7012054d-3a07-4b40-940b-a148fc76e5c4" xsi:nil="true"/>
    <Precedence xmlns="7012054d-3a07-4b40-940b-a148fc76e5c4" xsi:nil="true"/>
    <RecordContact xmlns="7012054d-3a07-4b40-940b-a148fc76e5c4">
      <UserInfo>
        <DisplayName/>
        <AccountId xsi:nil="true"/>
        <AccountType/>
      </UserInfo>
    </RecordContact>
    <RecordExtentUnits xmlns="7012054d-3a07-4b40-940b-a148fc76e5c4" xsi:nil="true"/>
    <RecordExtent xmlns="7012054d-3a07-4b40-940b-a148fc76e5c4" xsi:nil="true"/>
    <DocumentType_Note xmlns="7012054d-3a07-4b40-940b-a148fc76e5c4">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d1b666ff-1768-485a-b83d-c8693c6a4acc</TermId>
        </TermInfo>
      </Terms>
    </DocumentType_Note>
    <pfcb0be319e247388db2251ff9d23f72 xmlns="7012054d-3a07-4b40-940b-a148fc76e5c4">
      <Terms xmlns="http://schemas.microsoft.com/office/infopath/2007/PartnerControls"/>
    </pfcb0be319e247388db2251ff9d23f72>
    <MessageDigest xmlns="7012054d-3a07-4b40-940b-a148fc76e5c4" xsi:nil="true"/>
    <TemporalCoverage xmlns="7012054d-3a07-4b40-940b-a148fc76e5c4" xsi:nil="true"/>
    <DateRangeStart xmlns="7012054d-3a07-4b40-940b-a148fc76e5c4" xsi:nil="true"/>
    <TaxKeywordTaxHTField xmlns="7012054d-3a07-4b40-940b-a148fc76e5c4">
      <Terms xmlns="http://schemas.microsoft.com/office/infopath/2007/PartnerControls">
        <TermInfo xmlns="http://schemas.microsoft.com/office/infopath/2007/PartnerControls">
          <TermName xmlns="http://schemas.microsoft.com/office/infopath/2007/PartnerControls">website</TermName>
          <TermId xmlns="http://schemas.microsoft.com/office/infopath/2007/PartnerControls">bd1945c2-7cae-49b3-b286-449954ace43c</TermId>
        </TermInfo>
        <TermInfo xmlns="http://schemas.microsoft.com/office/infopath/2007/PartnerControls">
          <TermName xmlns="http://schemas.microsoft.com/office/infopath/2007/PartnerControls">Guidelines</TermName>
          <TermId xmlns="http://schemas.microsoft.com/office/infopath/2007/PartnerControls">2f155a20-2806-4609-83fa-0f837c3a6035</TermId>
        </TermInfo>
        <TermInfo xmlns="http://schemas.microsoft.com/office/infopath/2007/PartnerControls">
          <TermName xmlns="http://schemas.microsoft.com/office/infopath/2007/PartnerControls">cash bid</TermName>
          <TermId xmlns="http://schemas.microsoft.com/office/infopath/2007/PartnerControls">aaf22af5-b33d-425b-9931-ec4067da21eb</TermId>
        </TermInfo>
      </Terms>
    </TaxKeywordTaxHTField>
    <g91dc4f691a04421b1edf463601fabf6 xmlns="7012054d-3a07-4b40-940b-a148fc76e5c4">
      <Terms xmlns="http://schemas.microsoft.com/office/infopath/2007/PartnerControls"/>
    </g91dc4f691a04421b1edf463601fabf6>
    <KeywordSchemeType xmlns="7012054d-3a07-4b40-940b-a148fc76e5c4" xsi:nil="true"/>
    <Titles_Note xmlns="7012054d-3a07-4b40-940b-a148fc76e5c4">
      <Terms xmlns="http://schemas.microsoft.com/office/infopath/2007/PartnerControls"/>
    </Titles_Note>
    <_DCDateCreated xmlns="http://schemas.microsoft.com/sharepoint/v3/fields" xsi:nil="true"/>
  </documentManagement>
</p:properties>
</file>

<file path=customXml/itemProps1.xml><?xml version="1.0" encoding="utf-8"?>
<ds:datastoreItem xmlns:ds="http://schemas.openxmlformats.org/officeDocument/2006/customXml" ds:itemID="{671FB1EC-5679-454B-8F94-143FAD8C0F7D}">
  <ds:schemaRefs>
    <ds:schemaRef ds:uri="http://schemas.microsoft.com/sharepoint/v3/contenttype/forms"/>
  </ds:schemaRefs>
</ds:datastoreItem>
</file>

<file path=customXml/itemProps2.xml><?xml version="1.0" encoding="utf-8"?>
<ds:datastoreItem xmlns:ds="http://schemas.openxmlformats.org/officeDocument/2006/customXml" ds:itemID="{6D1A9C48-0882-41C7-88B5-EF6722E044CF}">
  <ds:schemaRefs>
    <ds:schemaRef ds:uri="http://schemas.microsoft.com/sharepoint/events"/>
  </ds:schemaRefs>
</ds:datastoreItem>
</file>

<file path=customXml/itemProps3.xml><?xml version="1.0" encoding="utf-8"?>
<ds:datastoreItem xmlns:ds="http://schemas.openxmlformats.org/officeDocument/2006/customXml" ds:itemID="{C6BE9EAC-F7BE-43BC-984F-5CBE1ECE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12054d-3a07-4b40-940b-a148fc76e5c4"/>
    <ds:schemaRef ds:uri="http://schemas.microsoft.com/sharepoint/v3/fields"/>
    <ds:schemaRef ds:uri="e1c7fc68-f963-4fbf-ab17-100a6bd4a79c"/>
    <ds:schemaRef ds:uri="a8fdb9f5-4e6c-4c4a-a24d-2c5439f6d7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650A62-CF35-4FBC-BE69-25C4FDA4C79C}">
  <ds:schemaRefs>
    <ds:schemaRef ds:uri="e1c7fc68-f963-4fbf-ab17-100a6bd4a79c"/>
    <ds:schemaRef ds:uri="http://schemas.microsoft.com/sharepoint/v3"/>
    <ds:schemaRef ds:uri="http://purl.org/dc/terms/"/>
    <ds:schemaRef ds:uri="http://schemas.microsoft.com/office/2006/documentManagement/types"/>
    <ds:schemaRef ds:uri="http://purl.org/dc/dcmitype/"/>
    <ds:schemaRef ds:uri="http://schemas.microsoft.com/sharepoint/v3/field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a8fdb9f5-4e6c-4c4a-a24d-2c5439f6d702"/>
    <ds:schemaRef ds:uri="7012054d-3a07-4b40-940b-a148fc76e5c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2364</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Cash bid exploration permit guideline</vt:lpstr>
    </vt:vector>
  </TitlesOfParts>
  <Company/>
  <LinksUpToDate>false</LinksUpToDate>
  <CharactersWithSpaces>15808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Cash bid exploration permit guideline</dc:title>
  <dc:subject>Cash bid exploration permit guideline</dc:subject>
  <dc:creator/>
  <cp:keywords>cash bid; website; Guidelines</cp:keywords>
  <dc:description>Update with new Department name</dc:description>
  <cp:lastModifiedBy/>
  <cp:revision>1</cp:revision>
  <dcterms:created xsi:type="dcterms:W3CDTF">2020-02-14T00:27:00Z</dcterms:created>
  <dcterms:modified xsi:type="dcterms:W3CDTF">2020-02-14T00:27:00Z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Function">
    <vt:lpwstr>764;#Reviews|5fe29a63-56af-46cc-ae65-434b63cde2b7</vt:lpwstr>
  </property>
  <property fmtid="{D5CDD505-2E9C-101B-9397-08002B2CF9AE}" pid="3" name="ContentTypeId">
    <vt:lpwstr>0x01010063547D135F865547B104B3688A6EB0DB004EBC41CBB87686458B4EADC66475DA23</vt:lpwstr>
  </property>
  <property fmtid="{D5CDD505-2E9C-101B-9397-08002B2CF9AE}" pid="4" name="_dlc_DocIdItemGuid">
    <vt:lpwstr>047ec139-7bda-43a4-a07c-9ecad4b7963c</vt:lpwstr>
  </property>
  <property fmtid="{D5CDD505-2E9C-101B-9397-08002B2CF9AE}" pid="5" name="TaxKeyword">
    <vt:lpwstr>3968;#website|bd1945c2-7cae-49b3-b286-449954ace43c;#4679;#Guidelines|2f155a20-2806-4609-83fa-0f837c3a6035;#168;#cash bid|aaf22af5-b33d-425b-9931-ec4067da21eb</vt:lpwstr>
  </property>
  <property fmtid="{D5CDD505-2E9C-101B-9397-08002B2CF9AE}" pid="6" name="Titles">
    <vt:lpwstr/>
  </property>
  <property fmtid="{D5CDD505-2E9C-101B-9397-08002B2CF9AE}" pid="7" name="Title Type">
    <vt:lpwstr/>
  </property>
  <property fmtid="{D5CDD505-2E9C-101B-9397-08002B2CF9AE}" pid="8" name="DocumentType">
    <vt:lpwstr>137;#Guideline|d1b666ff-1768-485a-b83d-c8693c6a4acc</vt:lpwstr>
  </property>
  <property fmtid="{D5CDD505-2E9C-101B-9397-08002B2CF9AE}" pid="9" name="Offshore Region">
    <vt:lpwstr/>
  </property>
  <property fmtid="{D5CDD505-2E9C-101B-9397-08002B2CF9AE}" pid="10" name="Application Library">
    <vt:lpwstr/>
  </property>
  <property fmtid="{D5CDD505-2E9C-101B-9397-08002B2CF9AE}" pid="11" name="Team">
    <vt:lpwstr>424;#Legislative Compliance|cb4b5b1d-0a66-42b0-ad54-d9e1e7b82ef0</vt:lpwstr>
  </property>
</Properties>
</file>