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D98420" w14:textId="56AD608F" w:rsidR="00A03311" w:rsidRDefault="00A03311" w:rsidP="00FE0EE7">
      <w:pPr>
        <w:spacing w:line="240" w:lineRule="auto"/>
        <w:rPr>
          <w:rFonts w:asciiTheme="minorHAnsi" w:hAnsiTheme="minorHAnsi"/>
          <w:color w:val="4F81BD" w:themeColor="accent1"/>
          <w:sz w:val="40"/>
          <w:szCs w:val="40"/>
          <w:lang w:eastAsia="en-AU"/>
        </w:rPr>
      </w:pPr>
      <w:bookmarkStart w:id="0" w:name="_Toc318811397"/>
      <w:bookmarkStart w:id="1" w:name="_Toc318813814"/>
      <w:bookmarkStart w:id="2" w:name="_Toc320269462"/>
      <w:bookmarkStart w:id="3" w:name="_Toc326312050"/>
      <w:r w:rsidRPr="00DC4B95">
        <w:rPr>
          <w:rFonts w:eastAsia="Arial"/>
          <w:noProof/>
          <w:color w:val="auto"/>
          <w:sz w:val="20"/>
          <w:szCs w:val="22"/>
          <w:lang w:eastAsia="en-AU"/>
        </w:rPr>
        <w:drawing>
          <wp:anchor distT="0" distB="0" distL="114300" distR="114300" simplePos="0" relativeHeight="251661312" behindDoc="0" locked="0" layoutInCell="1" allowOverlap="1" wp14:anchorId="2A2D6973" wp14:editId="1A7CF4D5">
            <wp:simplePos x="0" y="0"/>
            <wp:positionH relativeFrom="margin">
              <wp:align>left</wp:align>
            </wp:positionH>
            <wp:positionV relativeFrom="paragraph">
              <wp:posOffset>544</wp:posOffset>
            </wp:positionV>
            <wp:extent cx="2448560" cy="727710"/>
            <wp:effectExtent l="0" t="0" r="8890" b="0"/>
            <wp:wrapTopAndBottom/>
            <wp:docPr id="21" name="Picture 21" descr="Australian Government | Department of Industry, Innovation and Science logo&#10;" title="Australian Government | Department of Industry, Innovation and Sci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IS-header-temp.png"/>
                    <pic:cNvPicPr/>
                  </pic:nvPicPr>
                  <pic:blipFill>
                    <a:blip r:embed="rId12">
                      <a:extLst>
                        <a:ext uri="{28A0092B-C50C-407E-A947-70E740481C1C}">
                          <a14:useLocalDpi xmlns:a14="http://schemas.microsoft.com/office/drawing/2010/main" val="0"/>
                        </a:ext>
                      </a:extLst>
                    </a:blip>
                    <a:stretch>
                      <a:fillRect/>
                    </a:stretch>
                  </pic:blipFill>
                  <pic:spPr bwMode="auto">
                    <a:xfrm>
                      <a:off x="0" y="0"/>
                      <a:ext cx="2448560" cy="7277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DAE7E7D" w14:textId="5FC2FE94" w:rsidR="00A03311" w:rsidRDefault="00A03311" w:rsidP="00FE0EE7">
      <w:pPr>
        <w:spacing w:line="240" w:lineRule="auto"/>
        <w:rPr>
          <w:rFonts w:asciiTheme="minorHAnsi" w:hAnsiTheme="minorHAnsi"/>
          <w:color w:val="4F81BD" w:themeColor="accent1"/>
          <w:sz w:val="40"/>
          <w:szCs w:val="40"/>
          <w:lang w:eastAsia="en-AU"/>
        </w:rPr>
      </w:pPr>
    </w:p>
    <w:p w14:paraId="5A376A76" w14:textId="76FE8701" w:rsidR="00A03311" w:rsidRDefault="00A03311" w:rsidP="00FE0EE7">
      <w:pPr>
        <w:spacing w:line="240" w:lineRule="auto"/>
        <w:rPr>
          <w:rFonts w:asciiTheme="minorHAnsi" w:hAnsiTheme="minorHAnsi"/>
          <w:color w:val="4F81BD" w:themeColor="accent1"/>
          <w:sz w:val="40"/>
          <w:szCs w:val="40"/>
          <w:lang w:eastAsia="en-AU"/>
        </w:rPr>
      </w:pPr>
    </w:p>
    <w:p w14:paraId="1AFC14C0" w14:textId="1E743249" w:rsidR="00A03311" w:rsidRDefault="00A03311" w:rsidP="00FE0EE7">
      <w:pPr>
        <w:spacing w:line="240" w:lineRule="auto"/>
        <w:rPr>
          <w:rFonts w:asciiTheme="minorHAnsi" w:hAnsiTheme="minorHAnsi"/>
          <w:color w:val="4F81BD" w:themeColor="accent1"/>
          <w:sz w:val="40"/>
          <w:szCs w:val="40"/>
          <w:lang w:eastAsia="en-AU"/>
        </w:rPr>
      </w:pPr>
    </w:p>
    <w:p w14:paraId="53B4C218" w14:textId="44668FBF" w:rsidR="00A03311" w:rsidRDefault="00A03311" w:rsidP="00FE0EE7">
      <w:pPr>
        <w:spacing w:line="240" w:lineRule="auto"/>
        <w:rPr>
          <w:rFonts w:asciiTheme="minorHAnsi" w:hAnsiTheme="minorHAnsi"/>
          <w:color w:val="4F81BD" w:themeColor="accent1"/>
          <w:sz w:val="40"/>
          <w:szCs w:val="40"/>
          <w:lang w:eastAsia="en-AU"/>
        </w:rPr>
      </w:pPr>
    </w:p>
    <w:p w14:paraId="58870356" w14:textId="27085168" w:rsidR="00A03311" w:rsidRDefault="00A03311" w:rsidP="00FE0EE7">
      <w:pPr>
        <w:spacing w:line="240" w:lineRule="auto"/>
        <w:rPr>
          <w:rFonts w:asciiTheme="minorHAnsi" w:hAnsiTheme="minorHAnsi"/>
          <w:color w:val="4F81BD" w:themeColor="accent1"/>
          <w:sz w:val="40"/>
          <w:szCs w:val="40"/>
          <w:lang w:eastAsia="en-AU"/>
        </w:rPr>
      </w:pPr>
    </w:p>
    <w:p w14:paraId="46C94986" w14:textId="77777777" w:rsidR="00A03311" w:rsidRDefault="00A03311" w:rsidP="00FE0EE7">
      <w:pPr>
        <w:spacing w:line="240" w:lineRule="auto"/>
        <w:rPr>
          <w:rFonts w:asciiTheme="minorHAnsi" w:hAnsiTheme="minorHAnsi"/>
          <w:color w:val="4F81BD" w:themeColor="accent1"/>
          <w:sz w:val="40"/>
          <w:szCs w:val="40"/>
          <w:lang w:eastAsia="en-AU"/>
        </w:rPr>
      </w:pPr>
    </w:p>
    <w:p w14:paraId="4E97D44E" w14:textId="4CE73690" w:rsidR="00A03311" w:rsidRDefault="00A03311" w:rsidP="00FE0EE7">
      <w:pPr>
        <w:spacing w:line="240" w:lineRule="auto"/>
        <w:rPr>
          <w:rFonts w:asciiTheme="minorHAnsi" w:hAnsiTheme="minorHAnsi"/>
          <w:color w:val="4F81BD" w:themeColor="accent1"/>
          <w:sz w:val="40"/>
          <w:szCs w:val="40"/>
          <w:lang w:eastAsia="en-AU"/>
        </w:rPr>
      </w:pPr>
    </w:p>
    <w:p w14:paraId="70335331" w14:textId="111F0ED6" w:rsidR="004B76D5" w:rsidRPr="00D553D5" w:rsidRDefault="00C613CE" w:rsidP="00D553D5">
      <w:pPr>
        <w:pStyle w:val="Title"/>
        <w:rPr>
          <w:rFonts w:asciiTheme="minorHAnsi" w:hAnsiTheme="minorHAnsi"/>
          <w:color w:val="4F81BD" w:themeColor="accent1"/>
          <w:sz w:val="40"/>
          <w:szCs w:val="40"/>
          <w:lang w:eastAsia="en-AU"/>
        </w:rPr>
      </w:pPr>
      <w:r w:rsidRPr="00D553D5">
        <w:rPr>
          <w:rFonts w:asciiTheme="minorHAnsi" w:hAnsiTheme="minorHAnsi"/>
          <w:color w:val="4F81BD" w:themeColor="accent1"/>
          <w:sz w:val="40"/>
          <w:szCs w:val="40"/>
          <w:lang w:eastAsia="en-AU"/>
        </w:rPr>
        <w:t>Guideline</w:t>
      </w:r>
      <w:r w:rsidR="004B76D5" w:rsidRPr="00D553D5">
        <w:rPr>
          <w:rFonts w:asciiTheme="minorHAnsi" w:hAnsiTheme="minorHAnsi"/>
          <w:color w:val="4F81BD" w:themeColor="accent1"/>
          <w:sz w:val="40"/>
          <w:szCs w:val="40"/>
          <w:lang w:eastAsia="en-AU"/>
        </w:rPr>
        <w:t xml:space="preserve"> - Grant and Administration of a Retention Lease and Related Matters</w:t>
      </w:r>
    </w:p>
    <w:p w14:paraId="7C0B73EA" w14:textId="77777777" w:rsidR="0099456A" w:rsidRPr="0099456A" w:rsidRDefault="0099456A" w:rsidP="005B7D64"/>
    <w:p w14:paraId="5E6AC52D" w14:textId="4E20BCBE" w:rsidR="004B76D5" w:rsidRPr="00FE0EE7" w:rsidRDefault="00AC441B" w:rsidP="00FE0EE7">
      <w:pPr>
        <w:spacing w:line="240" w:lineRule="auto"/>
        <w:rPr>
          <w:rFonts w:asciiTheme="minorHAnsi" w:hAnsiTheme="minorHAnsi"/>
          <w:color w:val="4F81BD" w:themeColor="accent1"/>
          <w:sz w:val="28"/>
          <w:szCs w:val="32"/>
          <w:lang w:eastAsia="en-AU"/>
        </w:rPr>
      </w:pPr>
      <w:r>
        <w:rPr>
          <w:rFonts w:asciiTheme="minorHAnsi" w:hAnsiTheme="minorHAnsi"/>
          <w:color w:val="4F81BD" w:themeColor="accent1"/>
          <w:sz w:val="28"/>
          <w:szCs w:val="32"/>
          <w:lang w:eastAsia="en-AU"/>
        </w:rPr>
        <w:t>I</w:t>
      </w:r>
      <w:r w:rsidR="004B76D5" w:rsidRPr="00FE0EE7">
        <w:rPr>
          <w:rFonts w:asciiTheme="minorHAnsi" w:hAnsiTheme="minorHAnsi"/>
          <w:color w:val="4F81BD" w:themeColor="accent1"/>
          <w:sz w:val="28"/>
          <w:szCs w:val="32"/>
          <w:lang w:eastAsia="en-AU"/>
        </w:rPr>
        <w:t xml:space="preserve">n relation to the </w:t>
      </w:r>
      <w:r w:rsidR="004B76D5" w:rsidRPr="00476E86">
        <w:rPr>
          <w:rFonts w:asciiTheme="minorHAnsi" w:hAnsiTheme="minorHAnsi"/>
          <w:i/>
          <w:color w:val="4F81BD" w:themeColor="accent1"/>
          <w:sz w:val="28"/>
          <w:szCs w:val="32"/>
          <w:lang w:eastAsia="en-AU"/>
        </w:rPr>
        <w:t>Offshore Petroleum and Greenhouse Gas Storage Act 2006</w:t>
      </w:r>
    </w:p>
    <w:bookmarkEnd w:id="0"/>
    <w:bookmarkEnd w:id="1"/>
    <w:bookmarkEnd w:id="2"/>
    <w:bookmarkEnd w:id="3"/>
    <w:p w14:paraId="411B4237" w14:textId="77777777" w:rsidR="0099456A" w:rsidRDefault="0099456A" w:rsidP="005B7D64"/>
    <w:p w14:paraId="4DC7FCEA" w14:textId="77777777" w:rsidR="0099456A" w:rsidRDefault="0099456A" w:rsidP="006258CE">
      <w:pPr>
        <w:pStyle w:val="BodyText"/>
      </w:pPr>
    </w:p>
    <w:p w14:paraId="0C3E7B0C" w14:textId="1B7A8C63" w:rsidR="004F58DC" w:rsidRPr="00FE0EE7" w:rsidRDefault="00A61791" w:rsidP="006258CE">
      <w:pPr>
        <w:pStyle w:val="BodyText"/>
        <w:rPr>
          <w:color w:val="auto"/>
        </w:rPr>
      </w:pPr>
      <w:r>
        <w:rPr>
          <w:color w:val="auto"/>
        </w:rPr>
        <w:t>May</w:t>
      </w:r>
      <w:r w:rsidR="00EF7095">
        <w:rPr>
          <w:color w:val="auto"/>
        </w:rPr>
        <w:t xml:space="preserve"> 2019</w:t>
      </w:r>
    </w:p>
    <w:p w14:paraId="54032D43" w14:textId="77777777" w:rsidR="0099456A" w:rsidRDefault="0099456A" w:rsidP="004B76D5">
      <w:pPr>
        <w:pStyle w:val="BodyText"/>
        <w:rPr>
          <w:sz w:val="18"/>
          <w:szCs w:val="18"/>
        </w:rPr>
      </w:pPr>
    </w:p>
    <w:p w14:paraId="35C3FC16" w14:textId="77777777" w:rsidR="0099456A" w:rsidRDefault="0099456A" w:rsidP="004B76D5">
      <w:pPr>
        <w:pStyle w:val="BodyText"/>
        <w:rPr>
          <w:sz w:val="16"/>
          <w:szCs w:val="16"/>
        </w:rPr>
      </w:pPr>
    </w:p>
    <w:p w14:paraId="3AAAB7E7" w14:textId="77777777" w:rsidR="0099456A" w:rsidRDefault="0099456A" w:rsidP="004B76D5">
      <w:pPr>
        <w:pStyle w:val="BodyText"/>
        <w:rPr>
          <w:sz w:val="16"/>
          <w:szCs w:val="16"/>
        </w:rPr>
      </w:pPr>
    </w:p>
    <w:p w14:paraId="05E75833" w14:textId="77777777" w:rsidR="00A03311" w:rsidRDefault="00A03311" w:rsidP="00AC441B">
      <w:pPr>
        <w:autoSpaceDE w:val="0"/>
        <w:autoSpaceDN w:val="0"/>
        <w:rPr>
          <w:rFonts w:cs="Arial"/>
          <w:color w:val="000000"/>
          <w:sz w:val="18"/>
          <w:szCs w:val="20"/>
        </w:rPr>
      </w:pPr>
    </w:p>
    <w:p w14:paraId="172F3D6C" w14:textId="77777777" w:rsidR="00A03311" w:rsidRDefault="00A03311" w:rsidP="00AC441B">
      <w:pPr>
        <w:autoSpaceDE w:val="0"/>
        <w:autoSpaceDN w:val="0"/>
        <w:rPr>
          <w:rFonts w:cs="Arial"/>
          <w:color w:val="000000"/>
          <w:sz w:val="18"/>
          <w:szCs w:val="20"/>
        </w:rPr>
      </w:pPr>
    </w:p>
    <w:p w14:paraId="3D202A51" w14:textId="77777777" w:rsidR="00A03311" w:rsidRDefault="00A03311" w:rsidP="00AC441B">
      <w:pPr>
        <w:autoSpaceDE w:val="0"/>
        <w:autoSpaceDN w:val="0"/>
        <w:rPr>
          <w:rFonts w:cs="Arial"/>
          <w:color w:val="000000"/>
          <w:sz w:val="18"/>
          <w:szCs w:val="20"/>
        </w:rPr>
      </w:pPr>
    </w:p>
    <w:p w14:paraId="16044590" w14:textId="77777777" w:rsidR="00A03311" w:rsidRDefault="00A03311" w:rsidP="00AC441B">
      <w:pPr>
        <w:autoSpaceDE w:val="0"/>
        <w:autoSpaceDN w:val="0"/>
        <w:rPr>
          <w:rFonts w:cs="Arial"/>
          <w:color w:val="000000"/>
          <w:sz w:val="18"/>
          <w:szCs w:val="20"/>
        </w:rPr>
      </w:pPr>
    </w:p>
    <w:p w14:paraId="3CED5A83" w14:textId="77777777" w:rsidR="00A03311" w:rsidRDefault="00A03311" w:rsidP="00AC441B">
      <w:pPr>
        <w:autoSpaceDE w:val="0"/>
        <w:autoSpaceDN w:val="0"/>
        <w:rPr>
          <w:rFonts w:cs="Arial"/>
          <w:color w:val="000000"/>
          <w:sz w:val="18"/>
          <w:szCs w:val="20"/>
        </w:rPr>
      </w:pPr>
    </w:p>
    <w:p w14:paraId="7FC5E8F5" w14:textId="77777777" w:rsidR="00A03311" w:rsidRDefault="00A03311" w:rsidP="00AC441B">
      <w:pPr>
        <w:autoSpaceDE w:val="0"/>
        <w:autoSpaceDN w:val="0"/>
        <w:rPr>
          <w:rFonts w:cs="Arial"/>
          <w:color w:val="000000"/>
          <w:sz w:val="18"/>
          <w:szCs w:val="20"/>
        </w:rPr>
      </w:pPr>
    </w:p>
    <w:p w14:paraId="599385C6" w14:textId="77777777" w:rsidR="00A03311" w:rsidRDefault="00A03311" w:rsidP="00AC441B">
      <w:pPr>
        <w:autoSpaceDE w:val="0"/>
        <w:autoSpaceDN w:val="0"/>
        <w:rPr>
          <w:rFonts w:cs="Arial"/>
          <w:color w:val="000000"/>
          <w:sz w:val="18"/>
          <w:szCs w:val="20"/>
        </w:rPr>
      </w:pPr>
    </w:p>
    <w:p w14:paraId="425DDF93" w14:textId="6BB946ED" w:rsidR="00AC441B" w:rsidRPr="003E46BF" w:rsidRDefault="00AC441B" w:rsidP="00AC441B">
      <w:pPr>
        <w:autoSpaceDE w:val="0"/>
        <w:autoSpaceDN w:val="0"/>
        <w:rPr>
          <w:rFonts w:cs="Arial"/>
          <w:color w:val="000000"/>
          <w:sz w:val="18"/>
          <w:szCs w:val="20"/>
        </w:rPr>
      </w:pPr>
      <w:r w:rsidRPr="003E46BF">
        <w:rPr>
          <w:rFonts w:cs="Arial"/>
          <w:color w:val="000000"/>
          <w:sz w:val="18"/>
          <w:szCs w:val="20"/>
        </w:rPr>
        <w:t xml:space="preserve">This document has been developed as a general guide only. It </w:t>
      </w:r>
      <w:r>
        <w:rPr>
          <w:rFonts w:cs="Arial"/>
          <w:color w:val="000000"/>
          <w:sz w:val="18"/>
          <w:szCs w:val="20"/>
        </w:rPr>
        <w:t xml:space="preserve">is subject to, and </w:t>
      </w:r>
      <w:r w:rsidRPr="003E46BF">
        <w:rPr>
          <w:rFonts w:cs="Arial"/>
          <w:color w:val="000000"/>
          <w:sz w:val="18"/>
          <w:szCs w:val="20"/>
        </w:rPr>
        <w:t>does not replace or amend the requirements of the</w:t>
      </w:r>
      <w:r w:rsidRPr="00A83271">
        <w:rPr>
          <w:rStyle w:val="Hyperlink"/>
          <w:i/>
        </w:rPr>
        <w:t xml:space="preserve"> </w:t>
      </w:r>
      <w:hyperlink r:id="rId13" w:tooltip="https://www.legislation.gov.au/Details/C2018C00151" w:history="1">
        <w:r w:rsidR="00EF7095" w:rsidRPr="00EF7095">
          <w:rPr>
            <w:rStyle w:val="Hyperlink"/>
            <w:rFonts w:cs="Arial"/>
            <w:i/>
            <w:sz w:val="18"/>
          </w:rPr>
          <w:t>Offshore Petroleum and Greenhouse Gas Storage Act 2006</w:t>
        </w:r>
      </w:hyperlink>
      <w:r w:rsidRPr="003E46BF">
        <w:rPr>
          <w:rFonts w:cs="Arial"/>
          <w:color w:val="000000"/>
          <w:sz w:val="18"/>
          <w:szCs w:val="20"/>
        </w:rPr>
        <w:t xml:space="preserve"> and associated Regulations, which should be read in conjunction with th</w:t>
      </w:r>
      <w:r>
        <w:rPr>
          <w:rFonts w:cs="Arial"/>
          <w:color w:val="000000"/>
          <w:sz w:val="18"/>
          <w:szCs w:val="20"/>
        </w:rPr>
        <w:t>is</w:t>
      </w:r>
      <w:r w:rsidRPr="003E46BF">
        <w:rPr>
          <w:rFonts w:cs="Arial"/>
          <w:color w:val="000000"/>
          <w:sz w:val="18"/>
          <w:szCs w:val="20"/>
        </w:rPr>
        <w:t xml:space="preserve"> guide</w:t>
      </w:r>
      <w:r>
        <w:rPr>
          <w:rFonts w:cs="Arial"/>
          <w:color w:val="000000"/>
          <w:sz w:val="18"/>
          <w:szCs w:val="20"/>
        </w:rPr>
        <w:t>line</w:t>
      </w:r>
      <w:r w:rsidRPr="003E46BF">
        <w:rPr>
          <w:rFonts w:cs="Arial"/>
          <w:color w:val="000000"/>
          <w:sz w:val="18"/>
          <w:szCs w:val="20"/>
        </w:rPr>
        <w:t>.</w:t>
      </w:r>
    </w:p>
    <w:p w14:paraId="2656EF42" w14:textId="77777777" w:rsidR="00AC441B" w:rsidRPr="003E46BF" w:rsidRDefault="00AC441B" w:rsidP="00AC441B">
      <w:pPr>
        <w:autoSpaceDE w:val="0"/>
        <w:autoSpaceDN w:val="0"/>
        <w:rPr>
          <w:rFonts w:cs="Arial"/>
          <w:color w:val="000000"/>
          <w:sz w:val="18"/>
          <w:szCs w:val="20"/>
        </w:rPr>
      </w:pPr>
    </w:p>
    <w:p w14:paraId="70257D2F" w14:textId="77777777" w:rsidR="00AC441B" w:rsidRPr="003E46BF" w:rsidRDefault="00AC441B" w:rsidP="00AC441B">
      <w:pPr>
        <w:spacing w:after="200"/>
        <w:rPr>
          <w:rFonts w:cs="Arial"/>
          <w:sz w:val="18"/>
          <w:szCs w:val="20"/>
        </w:rPr>
      </w:pPr>
      <w:r>
        <w:rPr>
          <w:rFonts w:cs="Arial"/>
          <w:color w:val="000000"/>
          <w:sz w:val="18"/>
          <w:szCs w:val="20"/>
        </w:rPr>
        <w:t xml:space="preserve">This guideline </w:t>
      </w:r>
      <w:r w:rsidRPr="003E46BF">
        <w:rPr>
          <w:rFonts w:cs="Arial"/>
          <w:color w:val="000000"/>
          <w:sz w:val="18"/>
          <w:szCs w:val="20"/>
        </w:rPr>
        <w:t xml:space="preserve">is made available </w:t>
      </w:r>
      <w:r>
        <w:rPr>
          <w:rFonts w:cs="Arial"/>
          <w:color w:val="000000"/>
          <w:sz w:val="18"/>
          <w:szCs w:val="20"/>
        </w:rPr>
        <w:t xml:space="preserve">by the Australian Government for information only. </w:t>
      </w:r>
      <w:r w:rsidRPr="003E46BF">
        <w:rPr>
          <w:rFonts w:cs="Arial"/>
          <w:color w:val="000000"/>
          <w:sz w:val="18"/>
          <w:szCs w:val="20"/>
        </w:rPr>
        <w:t>Before relying on this m</w:t>
      </w:r>
      <w:r>
        <w:rPr>
          <w:rFonts w:cs="Arial"/>
          <w:color w:val="000000"/>
          <w:sz w:val="18"/>
          <w:szCs w:val="20"/>
        </w:rPr>
        <w:t xml:space="preserve">aterial, </w:t>
      </w:r>
      <w:r w:rsidRPr="003E46BF">
        <w:rPr>
          <w:rFonts w:cs="Arial"/>
          <w:color w:val="000000"/>
          <w:sz w:val="18"/>
          <w:szCs w:val="20"/>
        </w:rPr>
        <w:t xml:space="preserve">users should carefully evaluate </w:t>
      </w:r>
      <w:r>
        <w:rPr>
          <w:rFonts w:cs="Arial"/>
          <w:color w:val="000000"/>
          <w:sz w:val="18"/>
          <w:szCs w:val="20"/>
        </w:rPr>
        <w:t>the</w:t>
      </w:r>
      <w:r w:rsidRPr="003E46BF">
        <w:rPr>
          <w:rFonts w:cs="Arial"/>
          <w:color w:val="000000"/>
          <w:sz w:val="18"/>
          <w:szCs w:val="20"/>
        </w:rPr>
        <w:t xml:space="preserve"> accuracy, currency, completeness and relevance </w:t>
      </w:r>
      <w:r>
        <w:rPr>
          <w:rFonts w:cs="Arial"/>
          <w:color w:val="000000"/>
          <w:sz w:val="18"/>
          <w:szCs w:val="20"/>
        </w:rPr>
        <w:t xml:space="preserve">of the information </w:t>
      </w:r>
      <w:r w:rsidRPr="003E46BF">
        <w:rPr>
          <w:rFonts w:cs="Arial"/>
          <w:color w:val="000000"/>
          <w:sz w:val="18"/>
          <w:szCs w:val="20"/>
        </w:rPr>
        <w:t xml:space="preserve">and obtain </w:t>
      </w:r>
      <w:r>
        <w:rPr>
          <w:rFonts w:cs="Arial"/>
          <w:color w:val="000000"/>
          <w:sz w:val="18"/>
          <w:szCs w:val="20"/>
        </w:rPr>
        <w:t xml:space="preserve">independent, </w:t>
      </w:r>
      <w:r w:rsidRPr="003E46BF">
        <w:rPr>
          <w:rFonts w:cs="Arial"/>
          <w:sz w:val="18"/>
          <w:szCs w:val="20"/>
        </w:rPr>
        <w:t xml:space="preserve">legal or other </w:t>
      </w:r>
      <w:r w:rsidRPr="003E46BF">
        <w:rPr>
          <w:rFonts w:cs="Arial"/>
          <w:color w:val="000000"/>
          <w:sz w:val="18"/>
          <w:szCs w:val="20"/>
        </w:rPr>
        <w:t>professional advice relevant to t</w:t>
      </w:r>
      <w:r>
        <w:rPr>
          <w:rFonts w:cs="Arial"/>
          <w:color w:val="000000"/>
          <w:sz w:val="18"/>
          <w:szCs w:val="20"/>
        </w:rPr>
        <w:t>heir particular circumstances.</w:t>
      </w:r>
    </w:p>
    <w:p w14:paraId="6940557B" w14:textId="6F50B6C0" w:rsidR="00AC441B" w:rsidRPr="003E46BF" w:rsidRDefault="00AC441B" w:rsidP="00AC441B">
      <w:pPr>
        <w:rPr>
          <w:rFonts w:cs="Arial"/>
          <w:sz w:val="18"/>
        </w:rPr>
      </w:pPr>
      <w:r w:rsidRPr="00FE0EE7">
        <w:rPr>
          <w:rFonts w:cs="Arial"/>
          <w:color w:val="auto"/>
          <w:sz w:val="18"/>
        </w:rPr>
        <w:t xml:space="preserve">This document has been prepared by the </w:t>
      </w:r>
      <w:hyperlink r:id="rId14" w:tooltip="http://www.industry.gov.au/Pages/default.aspx" w:history="1">
        <w:r w:rsidRPr="00A258EA">
          <w:rPr>
            <w:rStyle w:val="Hyperlink"/>
            <w:rFonts w:cs="Arial"/>
            <w:sz w:val="18"/>
          </w:rPr>
          <w:t>Australian Government Department of Industry</w:t>
        </w:r>
        <w:r>
          <w:rPr>
            <w:rStyle w:val="Hyperlink"/>
            <w:rFonts w:cs="Arial"/>
            <w:sz w:val="18"/>
          </w:rPr>
          <w:t>, Innovation</w:t>
        </w:r>
        <w:r w:rsidRPr="00A258EA">
          <w:rPr>
            <w:rStyle w:val="Hyperlink"/>
            <w:rFonts w:cs="Arial"/>
            <w:sz w:val="18"/>
          </w:rPr>
          <w:t xml:space="preserve"> and Science</w:t>
        </w:r>
      </w:hyperlink>
      <w:r w:rsidRPr="003E46BF">
        <w:rPr>
          <w:rFonts w:cs="Arial"/>
          <w:sz w:val="18"/>
        </w:rPr>
        <w:t xml:space="preserve">. </w:t>
      </w:r>
      <w:r w:rsidRPr="00FE0EE7">
        <w:rPr>
          <w:rFonts w:cs="Arial"/>
          <w:color w:val="auto"/>
          <w:sz w:val="18"/>
        </w:rPr>
        <w:t>It will be reviewed and updated as required.</w:t>
      </w:r>
    </w:p>
    <w:p w14:paraId="641C2E9E" w14:textId="77777777" w:rsidR="00AC441B" w:rsidRPr="003E46BF" w:rsidRDefault="00AC441B" w:rsidP="00AC441B">
      <w:pPr>
        <w:rPr>
          <w:rFonts w:cs="Arial"/>
          <w:sz w:val="18"/>
        </w:rPr>
      </w:pPr>
    </w:p>
    <w:p w14:paraId="6420CEF6" w14:textId="5850491E" w:rsidR="00B26FCF" w:rsidRDefault="00AC441B" w:rsidP="00D150A0">
      <w:pPr>
        <w:pStyle w:val="BodyText"/>
        <w:rPr>
          <w:rStyle w:val="Hyperlink"/>
          <w:rFonts w:cs="Arial"/>
          <w:sz w:val="18"/>
        </w:rPr>
      </w:pPr>
      <w:r w:rsidRPr="00FE0EE7">
        <w:rPr>
          <w:rFonts w:cs="Arial"/>
          <w:color w:val="auto"/>
          <w:sz w:val="18"/>
        </w:rPr>
        <w:t xml:space="preserve">This document is available online at </w:t>
      </w:r>
      <w:hyperlink r:id="rId15" w:tooltip="NOPTA website" w:history="1">
        <w:r w:rsidRPr="003E46BF">
          <w:rPr>
            <w:rStyle w:val="Hyperlink"/>
            <w:rFonts w:cs="Arial"/>
            <w:sz w:val="18"/>
          </w:rPr>
          <w:t>www.nopta.gov.au</w:t>
        </w:r>
      </w:hyperlink>
    </w:p>
    <w:p w14:paraId="7680542F" w14:textId="4874A90E" w:rsidR="00B30B96" w:rsidRPr="00FE0EE7" w:rsidRDefault="00900DB2" w:rsidP="00B26FCF">
      <w:pPr>
        <w:pStyle w:val="BodyText"/>
        <w:rPr>
          <w:color w:val="auto"/>
          <w:sz w:val="36"/>
          <w:szCs w:val="36"/>
        </w:rPr>
      </w:pPr>
      <w:bookmarkStart w:id="4" w:name="_Toc320269464"/>
      <w:bookmarkStart w:id="5" w:name="_Toc326312052"/>
      <w:bookmarkStart w:id="6" w:name="_Toc412107473"/>
      <w:bookmarkStart w:id="7" w:name="_Toc412109715"/>
      <w:r w:rsidRPr="00FE0EE7">
        <w:rPr>
          <w:color w:val="auto"/>
          <w:sz w:val="36"/>
          <w:szCs w:val="36"/>
        </w:rPr>
        <w:lastRenderedPageBreak/>
        <w:t>CONTENTS</w:t>
      </w:r>
      <w:bookmarkEnd w:id="4"/>
      <w:bookmarkEnd w:id="5"/>
      <w:bookmarkEnd w:id="6"/>
      <w:bookmarkEnd w:id="7"/>
    </w:p>
    <w:p w14:paraId="342A93B3" w14:textId="77777777" w:rsidR="00B30B96" w:rsidRPr="00FE0EE7" w:rsidRDefault="00B30B96" w:rsidP="00B30B96">
      <w:pPr>
        <w:rPr>
          <w:color w:val="auto"/>
        </w:rPr>
      </w:pPr>
    </w:p>
    <w:p w14:paraId="3DC7D6E7" w14:textId="77777777" w:rsidR="00D150A0" w:rsidRDefault="00B8625F">
      <w:pPr>
        <w:pStyle w:val="TOC2"/>
        <w:tabs>
          <w:tab w:val="right" w:leader="dot" w:pos="9288"/>
        </w:tabs>
        <w:rPr>
          <w:rFonts w:asciiTheme="minorHAnsi" w:eastAsiaTheme="minorEastAsia" w:hAnsiTheme="minorHAnsi" w:cstheme="minorBidi"/>
          <w:noProof/>
          <w:color w:val="auto"/>
          <w:sz w:val="22"/>
          <w:szCs w:val="22"/>
          <w:lang w:eastAsia="en-AU"/>
        </w:rPr>
      </w:pPr>
      <w:r w:rsidRPr="00FE0EE7">
        <w:rPr>
          <w:rFonts w:cs="Arial"/>
          <w:b/>
          <w:bCs/>
          <w:iCs/>
          <w:color w:val="auto"/>
          <w:sz w:val="36"/>
          <w:szCs w:val="28"/>
        </w:rPr>
        <w:fldChar w:fldCharType="begin"/>
      </w:r>
      <w:r w:rsidRPr="00FE0EE7">
        <w:rPr>
          <w:color w:val="auto"/>
        </w:rPr>
        <w:instrText xml:space="preserve"> TOC  \* MERGEFORMAT </w:instrText>
      </w:r>
      <w:r w:rsidRPr="00FE0EE7">
        <w:rPr>
          <w:rFonts w:cs="Arial"/>
          <w:b/>
          <w:bCs/>
          <w:iCs/>
          <w:color w:val="auto"/>
          <w:sz w:val="36"/>
          <w:szCs w:val="28"/>
        </w:rPr>
        <w:fldChar w:fldCharType="separate"/>
      </w:r>
      <w:r w:rsidR="00D150A0" w:rsidRPr="006C0133">
        <w:rPr>
          <w:noProof/>
          <w:kern w:val="32"/>
          <w:lang w:eastAsia="en-AU"/>
        </w:rPr>
        <w:t>Purpose</w:t>
      </w:r>
      <w:r w:rsidR="00D150A0">
        <w:rPr>
          <w:noProof/>
        </w:rPr>
        <w:tab/>
      </w:r>
      <w:r w:rsidR="00D150A0">
        <w:rPr>
          <w:noProof/>
        </w:rPr>
        <w:fldChar w:fldCharType="begin"/>
      </w:r>
      <w:r w:rsidR="00D150A0">
        <w:rPr>
          <w:noProof/>
        </w:rPr>
        <w:instrText xml:space="preserve"> PAGEREF _Toc464747139 \h </w:instrText>
      </w:r>
      <w:r w:rsidR="00D150A0">
        <w:rPr>
          <w:noProof/>
        </w:rPr>
      </w:r>
      <w:r w:rsidR="00D150A0">
        <w:rPr>
          <w:noProof/>
        </w:rPr>
        <w:fldChar w:fldCharType="separate"/>
      </w:r>
      <w:r w:rsidR="00B32BD2">
        <w:rPr>
          <w:noProof/>
        </w:rPr>
        <w:t>3</w:t>
      </w:r>
      <w:r w:rsidR="00D150A0">
        <w:rPr>
          <w:noProof/>
        </w:rPr>
        <w:fldChar w:fldCharType="end"/>
      </w:r>
    </w:p>
    <w:p w14:paraId="368C2067" w14:textId="77777777" w:rsidR="00D150A0" w:rsidRDefault="00D150A0">
      <w:pPr>
        <w:pStyle w:val="TOC2"/>
        <w:tabs>
          <w:tab w:val="right" w:leader="dot" w:pos="9288"/>
        </w:tabs>
        <w:rPr>
          <w:rFonts w:asciiTheme="minorHAnsi" w:eastAsiaTheme="minorEastAsia" w:hAnsiTheme="minorHAnsi" w:cstheme="minorBidi"/>
          <w:noProof/>
          <w:color w:val="auto"/>
          <w:sz w:val="22"/>
          <w:szCs w:val="22"/>
          <w:lang w:eastAsia="en-AU"/>
        </w:rPr>
      </w:pPr>
      <w:r w:rsidRPr="006C0133">
        <w:rPr>
          <w:noProof/>
          <w:kern w:val="32"/>
          <w:lang w:eastAsia="en-AU"/>
        </w:rPr>
        <w:t>General</w:t>
      </w:r>
      <w:r>
        <w:rPr>
          <w:noProof/>
        </w:rPr>
        <w:tab/>
      </w:r>
      <w:r>
        <w:rPr>
          <w:noProof/>
        </w:rPr>
        <w:fldChar w:fldCharType="begin"/>
      </w:r>
      <w:r>
        <w:rPr>
          <w:noProof/>
        </w:rPr>
        <w:instrText xml:space="preserve"> PAGEREF _Toc464747140 \h </w:instrText>
      </w:r>
      <w:r>
        <w:rPr>
          <w:noProof/>
        </w:rPr>
      </w:r>
      <w:r>
        <w:rPr>
          <w:noProof/>
        </w:rPr>
        <w:fldChar w:fldCharType="separate"/>
      </w:r>
      <w:r w:rsidR="00B32BD2">
        <w:rPr>
          <w:noProof/>
        </w:rPr>
        <w:t>3</w:t>
      </w:r>
      <w:r>
        <w:rPr>
          <w:noProof/>
        </w:rPr>
        <w:fldChar w:fldCharType="end"/>
      </w:r>
    </w:p>
    <w:p w14:paraId="38C3EA02" w14:textId="52EF1282" w:rsidR="00D150A0" w:rsidRDefault="00D150A0">
      <w:pPr>
        <w:pStyle w:val="TOC2"/>
        <w:tabs>
          <w:tab w:val="right" w:leader="dot" w:pos="9288"/>
        </w:tabs>
        <w:rPr>
          <w:rFonts w:asciiTheme="minorHAnsi" w:eastAsiaTheme="minorEastAsia" w:hAnsiTheme="minorHAnsi" w:cstheme="minorBidi"/>
          <w:noProof/>
          <w:color w:val="auto"/>
          <w:sz w:val="22"/>
          <w:szCs w:val="22"/>
          <w:lang w:eastAsia="en-AU"/>
        </w:rPr>
      </w:pPr>
      <w:r w:rsidRPr="006C0133">
        <w:rPr>
          <w:noProof/>
          <w:kern w:val="32"/>
          <w:lang w:eastAsia="en-AU"/>
        </w:rPr>
        <w:t>Process for an application for a retention lease (initial or renewal)</w:t>
      </w:r>
      <w:r>
        <w:rPr>
          <w:noProof/>
        </w:rPr>
        <w:tab/>
      </w:r>
      <w:r>
        <w:rPr>
          <w:noProof/>
        </w:rPr>
        <w:fldChar w:fldCharType="begin"/>
      </w:r>
      <w:r>
        <w:rPr>
          <w:noProof/>
        </w:rPr>
        <w:instrText xml:space="preserve"> PAGEREF _Toc464747141 \h </w:instrText>
      </w:r>
      <w:r>
        <w:rPr>
          <w:noProof/>
        </w:rPr>
      </w:r>
      <w:r>
        <w:rPr>
          <w:noProof/>
        </w:rPr>
        <w:fldChar w:fldCharType="separate"/>
      </w:r>
      <w:r w:rsidR="00B32BD2">
        <w:rPr>
          <w:noProof/>
        </w:rPr>
        <w:t>4</w:t>
      </w:r>
      <w:r>
        <w:rPr>
          <w:noProof/>
        </w:rPr>
        <w:fldChar w:fldCharType="end"/>
      </w:r>
    </w:p>
    <w:p w14:paraId="06E0D8F2" w14:textId="59580BB8" w:rsidR="00D150A0" w:rsidRDefault="00D150A0">
      <w:pPr>
        <w:pStyle w:val="TOC2"/>
        <w:tabs>
          <w:tab w:val="right" w:leader="dot" w:pos="9288"/>
        </w:tabs>
        <w:rPr>
          <w:rFonts w:asciiTheme="minorHAnsi" w:eastAsiaTheme="minorEastAsia" w:hAnsiTheme="minorHAnsi" w:cstheme="minorBidi"/>
          <w:noProof/>
          <w:color w:val="auto"/>
          <w:sz w:val="22"/>
          <w:szCs w:val="22"/>
          <w:lang w:eastAsia="en-AU"/>
        </w:rPr>
      </w:pPr>
      <w:r w:rsidRPr="006C0133">
        <w:rPr>
          <w:noProof/>
          <w:kern w:val="32"/>
          <w:lang w:eastAsia="en-AU"/>
        </w:rPr>
        <w:t>Assessment of a retention lease</w:t>
      </w:r>
      <w:r>
        <w:rPr>
          <w:noProof/>
        </w:rPr>
        <w:tab/>
      </w:r>
      <w:r>
        <w:rPr>
          <w:noProof/>
        </w:rPr>
        <w:fldChar w:fldCharType="begin"/>
      </w:r>
      <w:r>
        <w:rPr>
          <w:noProof/>
        </w:rPr>
        <w:instrText xml:space="preserve"> PAGEREF _Toc464747148 \h </w:instrText>
      </w:r>
      <w:r>
        <w:rPr>
          <w:noProof/>
        </w:rPr>
      </w:r>
      <w:r>
        <w:rPr>
          <w:noProof/>
        </w:rPr>
        <w:fldChar w:fldCharType="separate"/>
      </w:r>
      <w:r w:rsidR="00B32BD2">
        <w:rPr>
          <w:noProof/>
        </w:rPr>
        <w:t>10</w:t>
      </w:r>
      <w:r>
        <w:rPr>
          <w:noProof/>
        </w:rPr>
        <w:fldChar w:fldCharType="end"/>
      </w:r>
    </w:p>
    <w:p w14:paraId="1A79CD2A" w14:textId="184CF3CA" w:rsidR="00D150A0" w:rsidRDefault="00D150A0">
      <w:pPr>
        <w:pStyle w:val="TOC2"/>
        <w:tabs>
          <w:tab w:val="right" w:leader="dot" w:pos="9288"/>
        </w:tabs>
        <w:rPr>
          <w:rFonts w:asciiTheme="minorHAnsi" w:eastAsiaTheme="minorEastAsia" w:hAnsiTheme="minorHAnsi" w:cstheme="minorBidi"/>
          <w:noProof/>
          <w:color w:val="auto"/>
          <w:sz w:val="22"/>
          <w:szCs w:val="22"/>
          <w:lang w:eastAsia="en-AU"/>
        </w:rPr>
      </w:pPr>
      <w:r w:rsidRPr="006C0133">
        <w:rPr>
          <w:noProof/>
          <w:kern w:val="32"/>
          <w:lang w:eastAsia="en-AU"/>
        </w:rPr>
        <w:t>Variation of retention lease conditions</w:t>
      </w:r>
      <w:r>
        <w:rPr>
          <w:noProof/>
        </w:rPr>
        <w:tab/>
      </w:r>
      <w:r>
        <w:rPr>
          <w:noProof/>
        </w:rPr>
        <w:fldChar w:fldCharType="begin"/>
      </w:r>
      <w:r>
        <w:rPr>
          <w:noProof/>
        </w:rPr>
        <w:instrText xml:space="preserve"> PAGEREF _Toc464747152 \h </w:instrText>
      </w:r>
      <w:r>
        <w:rPr>
          <w:noProof/>
        </w:rPr>
      </w:r>
      <w:r>
        <w:rPr>
          <w:noProof/>
        </w:rPr>
        <w:fldChar w:fldCharType="separate"/>
      </w:r>
      <w:r w:rsidR="00B32BD2">
        <w:rPr>
          <w:noProof/>
        </w:rPr>
        <w:t>13</w:t>
      </w:r>
      <w:r>
        <w:rPr>
          <w:noProof/>
        </w:rPr>
        <w:fldChar w:fldCharType="end"/>
      </w:r>
    </w:p>
    <w:p w14:paraId="4DC07FFA" w14:textId="528EB50F" w:rsidR="00D150A0" w:rsidRDefault="00D150A0">
      <w:pPr>
        <w:pStyle w:val="TOC2"/>
        <w:tabs>
          <w:tab w:val="right" w:leader="dot" w:pos="9288"/>
        </w:tabs>
        <w:rPr>
          <w:rFonts w:asciiTheme="minorHAnsi" w:eastAsiaTheme="minorEastAsia" w:hAnsiTheme="minorHAnsi" w:cstheme="minorBidi"/>
          <w:noProof/>
          <w:color w:val="auto"/>
          <w:sz w:val="22"/>
          <w:szCs w:val="22"/>
          <w:lang w:eastAsia="en-AU"/>
        </w:rPr>
      </w:pPr>
      <w:r w:rsidRPr="006C0133">
        <w:rPr>
          <w:noProof/>
          <w:kern w:val="32"/>
          <w:lang w:eastAsia="en-AU"/>
        </w:rPr>
        <w:t xml:space="preserve">Re-evaluation of commercial viability </w:t>
      </w:r>
      <w:r>
        <w:rPr>
          <w:noProof/>
        </w:rPr>
        <w:tab/>
      </w:r>
      <w:r>
        <w:rPr>
          <w:noProof/>
        </w:rPr>
        <w:fldChar w:fldCharType="begin"/>
      </w:r>
      <w:r>
        <w:rPr>
          <w:noProof/>
        </w:rPr>
        <w:instrText xml:space="preserve"> PAGEREF _Toc464747153 \h </w:instrText>
      </w:r>
      <w:r>
        <w:rPr>
          <w:noProof/>
        </w:rPr>
      </w:r>
      <w:r>
        <w:rPr>
          <w:noProof/>
        </w:rPr>
        <w:fldChar w:fldCharType="separate"/>
      </w:r>
      <w:r w:rsidR="00B32BD2">
        <w:rPr>
          <w:noProof/>
        </w:rPr>
        <w:t>14</w:t>
      </w:r>
      <w:r>
        <w:rPr>
          <w:noProof/>
        </w:rPr>
        <w:fldChar w:fldCharType="end"/>
      </w:r>
    </w:p>
    <w:p w14:paraId="6CFA6ABE" w14:textId="08D03833" w:rsidR="00D150A0" w:rsidRDefault="00D150A0">
      <w:pPr>
        <w:pStyle w:val="TOC2"/>
        <w:tabs>
          <w:tab w:val="right" w:leader="dot" w:pos="9288"/>
        </w:tabs>
        <w:rPr>
          <w:rFonts w:asciiTheme="minorHAnsi" w:eastAsiaTheme="minorEastAsia" w:hAnsiTheme="minorHAnsi" w:cstheme="minorBidi"/>
          <w:noProof/>
          <w:color w:val="auto"/>
          <w:sz w:val="22"/>
          <w:szCs w:val="22"/>
          <w:lang w:eastAsia="en-AU"/>
        </w:rPr>
      </w:pPr>
      <w:r w:rsidRPr="006C0133">
        <w:rPr>
          <w:noProof/>
          <w:kern w:val="32"/>
          <w:lang w:eastAsia="en-AU"/>
        </w:rPr>
        <w:t>Revoca</w:t>
      </w:r>
      <w:r w:rsidR="00BE2E54">
        <w:rPr>
          <w:noProof/>
          <w:kern w:val="32"/>
          <w:lang w:eastAsia="en-AU"/>
        </w:rPr>
        <w:t>tion of a retention lease</w:t>
      </w:r>
      <w:r>
        <w:rPr>
          <w:noProof/>
        </w:rPr>
        <w:tab/>
      </w:r>
      <w:r>
        <w:rPr>
          <w:noProof/>
        </w:rPr>
        <w:fldChar w:fldCharType="begin"/>
      </w:r>
      <w:r>
        <w:rPr>
          <w:noProof/>
        </w:rPr>
        <w:instrText xml:space="preserve"> PAGEREF _Toc464747154 \h </w:instrText>
      </w:r>
      <w:r>
        <w:rPr>
          <w:noProof/>
        </w:rPr>
      </w:r>
      <w:r>
        <w:rPr>
          <w:noProof/>
        </w:rPr>
        <w:fldChar w:fldCharType="separate"/>
      </w:r>
      <w:r w:rsidR="00B32BD2">
        <w:rPr>
          <w:noProof/>
        </w:rPr>
        <w:t>14</w:t>
      </w:r>
      <w:r>
        <w:rPr>
          <w:noProof/>
        </w:rPr>
        <w:fldChar w:fldCharType="end"/>
      </w:r>
    </w:p>
    <w:p w14:paraId="5DDDDB74" w14:textId="4EE1030C" w:rsidR="00D150A0" w:rsidRDefault="00D150A0">
      <w:pPr>
        <w:pStyle w:val="TOC2"/>
        <w:tabs>
          <w:tab w:val="right" w:leader="dot" w:pos="9288"/>
        </w:tabs>
        <w:rPr>
          <w:rFonts w:asciiTheme="minorHAnsi" w:eastAsiaTheme="minorEastAsia" w:hAnsiTheme="minorHAnsi" w:cstheme="minorBidi"/>
          <w:noProof/>
          <w:color w:val="auto"/>
          <w:sz w:val="22"/>
          <w:szCs w:val="22"/>
          <w:lang w:eastAsia="en-AU"/>
        </w:rPr>
      </w:pPr>
      <w:r w:rsidRPr="006C0133">
        <w:rPr>
          <w:noProof/>
          <w:kern w:val="32"/>
          <w:lang w:eastAsia="en-AU"/>
        </w:rPr>
        <w:t>Surrender or Cancellation</w:t>
      </w:r>
      <w:r>
        <w:rPr>
          <w:noProof/>
        </w:rPr>
        <w:tab/>
      </w:r>
      <w:r>
        <w:rPr>
          <w:noProof/>
        </w:rPr>
        <w:fldChar w:fldCharType="begin"/>
      </w:r>
      <w:r>
        <w:rPr>
          <w:noProof/>
        </w:rPr>
        <w:instrText xml:space="preserve"> PAGEREF _Toc464747155 \h </w:instrText>
      </w:r>
      <w:r>
        <w:rPr>
          <w:noProof/>
        </w:rPr>
      </w:r>
      <w:r>
        <w:rPr>
          <w:noProof/>
        </w:rPr>
        <w:fldChar w:fldCharType="separate"/>
      </w:r>
      <w:r w:rsidR="00B32BD2">
        <w:rPr>
          <w:noProof/>
        </w:rPr>
        <w:t>15</w:t>
      </w:r>
      <w:r>
        <w:rPr>
          <w:noProof/>
        </w:rPr>
        <w:fldChar w:fldCharType="end"/>
      </w:r>
    </w:p>
    <w:p w14:paraId="59421DA4" w14:textId="5CC26048" w:rsidR="00D150A0" w:rsidRDefault="00D150A0">
      <w:pPr>
        <w:pStyle w:val="TOC2"/>
        <w:tabs>
          <w:tab w:val="right" w:leader="dot" w:pos="9288"/>
        </w:tabs>
        <w:rPr>
          <w:rFonts w:asciiTheme="minorHAnsi" w:eastAsiaTheme="minorEastAsia" w:hAnsiTheme="minorHAnsi" w:cstheme="minorBidi"/>
          <w:noProof/>
          <w:color w:val="auto"/>
          <w:sz w:val="22"/>
          <w:szCs w:val="22"/>
          <w:lang w:eastAsia="en-AU"/>
        </w:rPr>
      </w:pPr>
      <w:r w:rsidRPr="006C0133">
        <w:rPr>
          <w:noProof/>
          <w:kern w:val="32"/>
          <w:lang w:eastAsia="en-AU"/>
        </w:rPr>
        <w:t>ATTACHMENT A - Suggested information for retention lease applications</w:t>
      </w:r>
      <w:r>
        <w:rPr>
          <w:noProof/>
        </w:rPr>
        <w:tab/>
      </w:r>
      <w:r>
        <w:rPr>
          <w:noProof/>
        </w:rPr>
        <w:fldChar w:fldCharType="begin"/>
      </w:r>
      <w:r>
        <w:rPr>
          <w:noProof/>
        </w:rPr>
        <w:instrText xml:space="preserve"> PAGEREF _Toc464747157 \h </w:instrText>
      </w:r>
      <w:r>
        <w:rPr>
          <w:noProof/>
        </w:rPr>
      </w:r>
      <w:r>
        <w:rPr>
          <w:noProof/>
        </w:rPr>
        <w:fldChar w:fldCharType="separate"/>
      </w:r>
      <w:r w:rsidR="00B32BD2">
        <w:rPr>
          <w:noProof/>
        </w:rPr>
        <w:t>17</w:t>
      </w:r>
      <w:r>
        <w:rPr>
          <w:noProof/>
        </w:rPr>
        <w:fldChar w:fldCharType="end"/>
      </w:r>
    </w:p>
    <w:p w14:paraId="58D14F6F" w14:textId="5954CECB" w:rsidR="005B7D64" w:rsidRDefault="00B8625F">
      <w:pPr>
        <w:pStyle w:val="Heading2"/>
      </w:pPr>
      <w:r w:rsidRPr="00FE0EE7">
        <w:fldChar w:fldCharType="end"/>
      </w:r>
      <w:r>
        <w:br w:type="page"/>
      </w:r>
    </w:p>
    <w:p w14:paraId="70E12C8A" w14:textId="0A665283" w:rsidR="005B7D64" w:rsidRPr="00FE0EE7" w:rsidRDefault="005B7D64" w:rsidP="00FE0EE7">
      <w:pPr>
        <w:pStyle w:val="Heading2"/>
        <w:rPr>
          <w:iCs w:val="0"/>
          <w:kern w:val="32"/>
          <w:sz w:val="28"/>
          <w:szCs w:val="32"/>
          <w:lang w:eastAsia="en-AU"/>
        </w:rPr>
      </w:pPr>
      <w:bookmarkStart w:id="8" w:name="_Toc464747139"/>
      <w:r w:rsidRPr="00FE0EE7">
        <w:rPr>
          <w:iCs w:val="0"/>
          <w:kern w:val="32"/>
          <w:sz w:val="28"/>
          <w:szCs w:val="32"/>
          <w:lang w:eastAsia="en-AU"/>
        </w:rPr>
        <w:lastRenderedPageBreak/>
        <w:t>P</w:t>
      </w:r>
      <w:r w:rsidR="00B0714C" w:rsidRPr="00FE0EE7">
        <w:rPr>
          <w:iCs w:val="0"/>
          <w:kern w:val="32"/>
          <w:sz w:val="28"/>
          <w:szCs w:val="32"/>
          <w:lang w:eastAsia="en-AU"/>
        </w:rPr>
        <w:t>urpose</w:t>
      </w:r>
      <w:bookmarkEnd w:id="8"/>
    </w:p>
    <w:p w14:paraId="0976AB76" w14:textId="4ED8B648" w:rsidR="005B7D64" w:rsidRPr="00BE2E54" w:rsidRDefault="005B7D64" w:rsidP="00FE0EE7">
      <w:pPr>
        <w:spacing w:line="240" w:lineRule="auto"/>
        <w:rPr>
          <w:color w:val="auto"/>
          <w:sz w:val="22"/>
          <w:szCs w:val="22"/>
        </w:rPr>
      </w:pPr>
      <w:r w:rsidRPr="00FE0EE7">
        <w:rPr>
          <w:color w:val="auto"/>
          <w:sz w:val="22"/>
          <w:szCs w:val="22"/>
        </w:rPr>
        <w:t xml:space="preserve">The purpose of this guideline is to assist existing and prospective titleholders, and other stakeholders, to understand the requirements, indicative timing and processes leading to the determination of an application for a retention lease </w:t>
      </w:r>
      <w:r w:rsidR="006744E9" w:rsidRPr="00FE0EE7">
        <w:rPr>
          <w:color w:val="auto"/>
          <w:sz w:val="22"/>
          <w:szCs w:val="22"/>
        </w:rPr>
        <w:t xml:space="preserve">(initial grant or renewal) </w:t>
      </w:r>
      <w:r w:rsidRPr="00FE0EE7">
        <w:rPr>
          <w:color w:val="auto"/>
          <w:sz w:val="22"/>
          <w:szCs w:val="22"/>
        </w:rPr>
        <w:t xml:space="preserve">under the </w:t>
      </w:r>
      <w:hyperlink r:id="rId16" w:tooltip="https://www.legislation.gov.au/Details/C2018C00151" w:history="1">
        <w:r w:rsidR="00EF7095" w:rsidRPr="00EF7095">
          <w:rPr>
            <w:rStyle w:val="Hyperlink"/>
            <w:i/>
            <w:sz w:val="22"/>
            <w:szCs w:val="22"/>
          </w:rPr>
          <w:t>Offshore Petroleum and Greenhouse Gas Storage Act 2006</w:t>
        </w:r>
      </w:hyperlink>
      <w:r w:rsidRPr="00BE2E54">
        <w:rPr>
          <w:i/>
          <w:color w:val="auto"/>
          <w:sz w:val="22"/>
          <w:szCs w:val="22"/>
        </w:rPr>
        <w:t xml:space="preserve"> </w:t>
      </w:r>
      <w:r w:rsidRPr="00BE2E54">
        <w:rPr>
          <w:color w:val="auto"/>
          <w:sz w:val="22"/>
          <w:szCs w:val="22"/>
        </w:rPr>
        <w:t>(OPGGSA).</w:t>
      </w:r>
    </w:p>
    <w:p w14:paraId="289C9520" w14:textId="77777777" w:rsidR="00F658DB" w:rsidRPr="00FE0EE7" w:rsidRDefault="00F658DB" w:rsidP="005B7D64">
      <w:pPr>
        <w:rPr>
          <w:color w:val="auto"/>
        </w:rPr>
      </w:pPr>
    </w:p>
    <w:p w14:paraId="1A11BC80" w14:textId="3C583C85" w:rsidR="00B8625F" w:rsidRPr="00FE0EE7" w:rsidRDefault="005B7D64" w:rsidP="00FE0EE7">
      <w:pPr>
        <w:pStyle w:val="Heading2"/>
        <w:rPr>
          <w:iCs w:val="0"/>
          <w:kern w:val="32"/>
          <w:sz w:val="28"/>
          <w:szCs w:val="32"/>
          <w:lang w:eastAsia="en-AU"/>
        </w:rPr>
      </w:pPr>
      <w:bookmarkStart w:id="9" w:name="_Toc464747140"/>
      <w:r w:rsidRPr="00FE0EE7">
        <w:rPr>
          <w:iCs w:val="0"/>
          <w:kern w:val="32"/>
          <w:sz w:val="28"/>
          <w:szCs w:val="32"/>
          <w:lang w:eastAsia="en-AU"/>
        </w:rPr>
        <w:t>G</w:t>
      </w:r>
      <w:r w:rsidR="00B0714C">
        <w:rPr>
          <w:iCs w:val="0"/>
          <w:kern w:val="32"/>
          <w:sz w:val="28"/>
          <w:szCs w:val="32"/>
          <w:lang w:eastAsia="en-AU"/>
        </w:rPr>
        <w:t>eneral</w:t>
      </w:r>
      <w:bookmarkEnd w:id="9"/>
    </w:p>
    <w:p w14:paraId="3579461B" w14:textId="77777777" w:rsidR="00712347" w:rsidRPr="00FE0EE7" w:rsidRDefault="00712347" w:rsidP="00FE0EE7">
      <w:pPr>
        <w:pStyle w:val="BodyText"/>
        <w:widowControl w:val="0"/>
        <w:numPr>
          <w:ilvl w:val="1"/>
          <w:numId w:val="20"/>
        </w:numPr>
        <w:tabs>
          <w:tab w:val="left" w:pos="811"/>
        </w:tabs>
        <w:spacing w:after="120" w:line="240" w:lineRule="auto"/>
        <w:ind w:left="811" w:hanging="709"/>
        <w:rPr>
          <w:color w:val="auto"/>
          <w:sz w:val="22"/>
          <w:szCs w:val="22"/>
        </w:rPr>
      </w:pPr>
      <w:r w:rsidRPr="00FE0EE7">
        <w:rPr>
          <w:color w:val="auto"/>
          <w:sz w:val="22"/>
          <w:szCs w:val="22"/>
        </w:rPr>
        <w:t>A retention lease encourages the timely development of petroleum resources and provides security of title for those resources that are not currently commercially viable but are likely to become so within 15 years.</w:t>
      </w:r>
    </w:p>
    <w:p w14:paraId="088337DA" w14:textId="77777777" w:rsidR="00712347" w:rsidRPr="00FE0EE7" w:rsidRDefault="00014ACC" w:rsidP="00FE0EE7">
      <w:pPr>
        <w:pStyle w:val="BodyText"/>
        <w:widowControl w:val="0"/>
        <w:numPr>
          <w:ilvl w:val="1"/>
          <w:numId w:val="20"/>
        </w:numPr>
        <w:tabs>
          <w:tab w:val="left" w:pos="811"/>
        </w:tabs>
        <w:spacing w:after="120" w:line="240" w:lineRule="auto"/>
        <w:ind w:left="811" w:hanging="709"/>
        <w:rPr>
          <w:color w:val="auto"/>
          <w:sz w:val="22"/>
          <w:szCs w:val="22"/>
        </w:rPr>
      </w:pPr>
      <w:r w:rsidRPr="00FE0EE7">
        <w:rPr>
          <w:color w:val="auto"/>
          <w:sz w:val="22"/>
          <w:szCs w:val="22"/>
        </w:rPr>
        <w:t>The National Offshore Petroleum Titles Administrator (</w:t>
      </w:r>
      <w:r w:rsidR="00712347" w:rsidRPr="00FE0EE7">
        <w:rPr>
          <w:color w:val="auto"/>
          <w:sz w:val="22"/>
          <w:szCs w:val="22"/>
        </w:rPr>
        <w:t>NOPTA</w:t>
      </w:r>
      <w:r w:rsidRPr="00FE0EE7">
        <w:rPr>
          <w:color w:val="auto"/>
          <w:sz w:val="22"/>
          <w:szCs w:val="22"/>
        </w:rPr>
        <w:t>)</w:t>
      </w:r>
      <w:r w:rsidR="00712347" w:rsidRPr="00FE0EE7">
        <w:rPr>
          <w:color w:val="auto"/>
          <w:sz w:val="22"/>
          <w:szCs w:val="22"/>
        </w:rPr>
        <w:t xml:space="preserve"> is responsible for assessing applications for retention lease grants, renewals and variations. The Joint Authority makes the associated decisions on these </w:t>
      </w:r>
      <w:r w:rsidR="00E550CD" w:rsidRPr="00FE0EE7">
        <w:rPr>
          <w:color w:val="auto"/>
          <w:sz w:val="22"/>
          <w:szCs w:val="22"/>
        </w:rPr>
        <w:t>applications</w:t>
      </w:r>
      <w:r w:rsidR="00712347" w:rsidRPr="00FE0EE7">
        <w:rPr>
          <w:color w:val="auto"/>
          <w:sz w:val="22"/>
          <w:szCs w:val="22"/>
        </w:rPr>
        <w:t>.</w:t>
      </w:r>
    </w:p>
    <w:p w14:paraId="2D0268F5" w14:textId="77777777" w:rsidR="00712347" w:rsidRPr="00FE0EE7" w:rsidRDefault="00712347" w:rsidP="00FE0EE7">
      <w:pPr>
        <w:pStyle w:val="BodyText"/>
        <w:widowControl w:val="0"/>
        <w:numPr>
          <w:ilvl w:val="1"/>
          <w:numId w:val="20"/>
        </w:numPr>
        <w:tabs>
          <w:tab w:val="left" w:pos="811"/>
        </w:tabs>
        <w:spacing w:after="120" w:line="240" w:lineRule="auto"/>
        <w:ind w:left="811" w:hanging="709"/>
        <w:rPr>
          <w:color w:val="auto"/>
          <w:sz w:val="22"/>
          <w:szCs w:val="22"/>
        </w:rPr>
      </w:pPr>
      <w:r w:rsidRPr="00FE0EE7">
        <w:rPr>
          <w:color w:val="auto"/>
          <w:sz w:val="22"/>
          <w:szCs w:val="22"/>
        </w:rPr>
        <w:t xml:space="preserve">The objective of a retention lease is to ensure a lessee actively seeks to address barriers to </w:t>
      </w:r>
      <w:r w:rsidR="006744E9" w:rsidRPr="00FE0EE7">
        <w:rPr>
          <w:color w:val="auto"/>
          <w:sz w:val="22"/>
          <w:szCs w:val="22"/>
        </w:rPr>
        <w:t xml:space="preserve">the </w:t>
      </w:r>
      <w:r w:rsidRPr="00FE0EE7">
        <w:rPr>
          <w:color w:val="auto"/>
          <w:sz w:val="22"/>
          <w:szCs w:val="22"/>
        </w:rPr>
        <w:t>commercial</w:t>
      </w:r>
      <w:r w:rsidR="006744E9" w:rsidRPr="00FE0EE7">
        <w:rPr>
          <w:color w:val="auto"/>
          <w:sz w:val="22"/>
          <w:szCs w:val="22"/>
        </w:rPr>
        <w:t xml:space="preserve"> development of </w:t>
      </w:r>
      <w:r w:rsidRPr="00FE0EE7">
        <w:rPr>
          <w:color w:val="auto"/>
          <w:sz w:val="22"/>
          <w:szCs w:val="22"/>
        </w:rPr>
        <w:t>petroleum resources and, where it is commercially viable to do so, brings those resources to production in a timely manner.</w:t>
      </w:r>
    </w:p>
    <w:p w14:paraId="508152C6" w14:textId="77777777" w:rsidR="00712347" w:rsidRPr="00FE0EE7" w:rsidRDefault="00712347" w:rsidP="00FE0EE7">
      <w:pPr>
        <w:pStyle w:val="BodyText"/>
        <w:widowControl w:val="0"/>
        <w:numPr>
          <w:ilvl w:val="1"/>
          <w:numId w:val="20"/>
        </w:numPr>
        <w:tabs>
          <w:tab w:val="left" w:pos="811"/>
        </w:tabs>
        <w:spacing w:after="120" w:line="240" w:lineRule="auto"/>
        <w:ind w:left="811" w:hanging="709"/>
        <w:rPr>
          <w:color w:val="auto"/>
          <w:sz w:val="22"/>
          <w:szCs w:val="22"/>
        </w:rPr>
      </w:pPr>
      <w:r w:rsidRPr="00FE0EE7">
        <w:rPr>
          <w:color w:val="auto"/>
          <w:sz w:val="22"/>
          <w:szCs w:val="22"/>
        </w:rPr>
        <w:t>When a retention lease is granted, the block(s) included in the lease cease to be part of the underlying exploration permit or production licence. In the case of an exploration permit, the minimum work requirements (condition of title) of the underlying permit are not reduced after the excision of the block(s) unless the entire permit ceases to be in force (i.e. the retention lease is granted over the entire permit).</w:t>
      </w:r>
    </w:p>
    <w:p w14:paraId="0C51529F" w14:textId="77777777" w:rsidR="00712347" w:rsidRPr="00FE0EE7" w:rsidRDefault="00712347" w:rsidP="00FE0EE7">
      <w:pPr>
        <w:pStyle w:val="BodyText"/>
        <w:widowControl w:val="0"/>
        <w:numPr>
          <w:ilvl w:val="1"/>
          <w:numId w:val="20"/>
        </w:numPr>
        <w:tabs>
          <w:tab w:val="left" w:pos="811"/>
        </w:tabs>
        <w:spacing w:after="120" w:line="240" w:lineRule="auto"/>
        <w:ind w:left="811" w:hanging="709"/>
        <w:rPr>
          <w:color w:val="auto"/>
          <w:sz w:val="22"/>
          <w:szCs w:val="22"/>
        </w:rPr>
      </w:pPr>
      <w:r w:rsidRPr="00FE0EE7">
        <w:rPr>
          <w:color w:val="auto"/>
          <w:sz w:val="22"/>
          <w:szCs w:val="22"/>
        </w:rPr>
        <w:t xml:space="preserve">The term of a retention lease (initial grant or renewal) is five years. Retention leases can be renewed </w:t>
      </w:r>
      <w:r w:rsidR="006744E9" w:rsidRPr="00FE0EE7">
        <w:rPr>
          <w:color w:val="auto"/>
          <w:sz w:val="22"/>
          <w:szCs w:val="22"/>
        </w:rPr>
        <w:t xml:space="preserve">for further </w:t>
      </w:r>
      <w:proofErr w:type="gramStart"/>
      <w:r w:rsidR="006744E9" w:rsidRPr="00FE0EE7">
        <w:rPr>
          <w:color w:val="auto"/>
          <w:sz w:val="22"/>
          <w:szCs w:val="22"/>
        </w:rPr>
        <w:t>five year</w:t>
      </w:r>
      <w:proofErr w:type="gramEnd"/>
      <w:r w:rsidR="006744E9" w:rsidRPr="00FE0EE7">
        <w:rPr>
          <w:color w:val="auto"/>
          <w:sz w:val="22"/>
          <w:szCs w:val="22"/>
        </w:rPr>
        <w:t xml:space="preserve"> periods </w:t>
      </w:r>
      <w:r w:rsidRPr="00FE0EE7">
        <w:rPr>
          <w:color w:val="auto"/>
          <w:sz w:val="22"/>
          <w:szCs w:val="22"/>
        </w:rPr>
        <w:t>if the criteria in s154 are met.</w:t>
      </w:r>
    </w:p>
    <w:p w14:paraId="26DB4553" w14:textId="45D3E294" w:rsidR="00712347" w:rsidRPr="00FE0EE7" w:rsidRDefault="00712347" w:rsidP="00FE0EE7">
      <w:pPr>
        <w:pStyle w:val="BodyText"/>
        <w:widowControl w:val="0"/>
        <w:numPr>
          <w:ilvl w:val="1"/>
          <w:numId w:val="20"/>
        </w:numPr>
        <w:tabs>
          <w:tab w:val="left" w:pos="811"/>
        </w:tabs>
        <w:spacing w:after="120" w:line="240" w:lineRule="auto"/>
        <w:ind w:left="811" w:hanging="709"/>
        <w:rPr>
          <w:color w:val="auto"/>
          <w:sz w:val="22"/>
          <w:szCs w:val="22"/>
        </w:rPr>
      </w:pPr>
      <w:r w:rsidRPr="00FE0EE7">
        <w:rPr>
          <w:color w:val="auto"/>
          <w:sz w:val="22"/>
          <w:szCs w:val="22"/>
        </w:rPr>
        <w:t xml:space="preserve">Titleholders carrying out activities in an offshore area must not interfere with any activities of another person being lawfully carried on, and must also ensure that the activities do not interfere with navigation, fishing, conservation of the resources of the sea and seabed or the enjoyment of native title rights and interests (within the meaning of the </w:t>
      </w:r>
      <w:hyperlink r:id="rId17" w:tooltip="https://www.legislation.gov.au/Details/C2019C00054" w:history="1">
        <w:r w:rsidRPr="00EF7095">
          <w:rPr>
            <w:rStyle w:val="Hyperlink"/>
            <w:i/>
            <w:sz w:val="22"/>
            <w:szCs w:val="22"/>
          </w:rPr>
          <w:t>Native Title Act 1993</w:t>
        </w:r>
      </w:hyperlink>
      <w:r w:rsidRPr="00FE0EE7">
        <w:rPr>
          <w:color w:val="auto"/>
          <w:sz w:val="22"/>
          <w:szCs w:val="22"/>
        </w:rPr>
        <w:t>), to a greater extent than is necessary for the reasonable exercise of the rights and performance of the duties of the titleholder (s280).</w:t>
      </w:r>
    </w:p>
    <w:p w14:paraId="44FF5765" w14:textId="77777777" w:rsidR="00712347" w:rsidRPr="00FE0EE7" w:rsidRDefault="00712347" w:rsidP="00FE0EE7">
      <w:pPr>
        <w:pStyle w:val="BodyText"/>
        <w:widowControl w:val="0"/>
        <w:numPr>
          <w:ilvl w:val="1"/>
          <w:numId w:val="20"/>
        </w:numPr>
        <w:tabs>
          <w:tab w:val="left" w:pos="811"/>
        </w:tabs>
        <w:spacing w:after="120" w:line="240" w:lineRule="auto"/>
        <w:ind w:left="811" w:hanging="709"/>
        <w:rPr>
          <w:color w:val="auto"/>
          <w:sz w:val="22"/>
          <w:szCs w:val="22"/>
        </w:rPr>
      </w:pPr>
      <w:r w:rsidRPr="00FE0EE7">
        <w:rPr>
          <w:color w:val="auto"/>
          <w:sz w:val="22"/>
          <w:szCs w:val="22"/>
        </w:rPr>
        <w:t>If a retention lease is granted it is the titleholder’s responsibility to contact relevant agencies and representative bodies prior to undertaking any work in the lease area.</w:t>
      </w:r>
    </w:p>
    <w:p w14:paraId="12C89A28" w14:textId="61599CB5" w:rsidR="00712347" w:rsidRPr="00FE0EE7" w:rsidRDefault="00712347" w:rsidP="00FE0EE7">
      <w:pPr>
        <w:pStyle w:val="BodyText"/>
        <w:widowControl w:val="0"/>
        <w:numPr>
          <w:ilvl w:val="1"/>
          <w:numId w:val="20"/>
        </w:numPr>
        <w:tabs>
          <w:tab w:val="left" w:pos="811"/>
        </w:tabs>
        <w:spacing w:after="120" w:line="240" w:lineRule="auto"/>
        <w:ind w:left="811" w:hanging="709"/>
        <w:rPr>
          <w:color w:val="auto"/>
          <w:sz w:val="22"/>
          <w:szCs w:val="22"/>
        </w:rPr>
      </w:pPr>
      <w:r w:rsidRPr="00FE0EE7">
        <w:rPr>
          <w:color w:val="auto"/>
          <w:sz w:val="22"/>
          <w:szCs w:val="22"/>
        </w:rPr>
        <w:t xml:space="preserve">Retention lease holders must comply with the data management requirements of the </w:t>
      </w:r>
      <w:hyperlink r:id="rId18" w:tooltip="https://www.legislation.gov.au/Details/F2018C00062" w:history="1">
        <w:r w:rsidRPr="00EF7095">
          <w:rPr>
            <w:rStyle w:val="Hyperlink"/>
            <w:sz w:val="22"/>
            <w:szCs w:val="22"/>
          </w:rPr>
          <w:t>Offshore Petroleum and Greenhouse Gas Storage (Resource Management and Administration) Regulations 2011.</w:t>
        </w:r>
      </w:hyperlink>
    </w:p>
    <w:p w14:paraId="34CEA98D" w14:textId="0B437F6C" w:rsidR="00712347" w:rsidRPr="00FE0EE7" w:rsidRDefault="00712347" w:rsidP="00FE0EE7">
      <w:pPr>
        <w:pStyle w:val="BodyText"/>
        <w:widowControl w:val="0"/>
        <w:numPr>
          <w:ilvl w:val="1"/>
          <w:numId w:val="20"/>
        </w:numPr>
        <w:tabs>
          <w:tab w:val="left" w:pos="811"/>
        </w:tabs>
        <w:spacing w:after="120" w:line="240" w:lineRule="auto"/>
        <w:ind w:left="811" w:hanging="709"/>
        <w:rPr>
          <w:color w:val="auto"/>
          <w:sz w:val="22"/>
          <w:szCs w:val="22"/>
        </w:rPr>
      </w:pPr>
      <w:r w:rsidRPr="00FE0EE7">
        <w:rPr>
          <w:color w:val="auto"/>
          <w:sz w:val="22"/>
          <w:szCs w:val="22"/>
        </w:rPr>
        <w:t xml:space="preserve">NOPTA and the Joint Authority will monitor the lessee’s compliance with the work program and additional conditions through mechanisms such as the annual titles assessment report. In some </w:t>
      </w:r>
      <w:proofErr w:type="gramStart"/>
      <w:r w:rsidRPr="00FE0EE7">
        <w:rPr>
          <w:color w:val="auto"/>
          <w:sz w:val="22"/>
          <w:szCs w:val="22"/>
        </w:rPr>
        <w:t>cases</w:t>
      </w:r>
      <w:proofErr w:type="gramEnd"/>
      <w:r w:rsidRPr="00FE0EE7">
        <w:rPr>
          <w:color w:val="auto"/>
          <w:sz w:val="22"/>
          <w:szCs w:val="22"/>
        </w:rPr>
        <w:t xml:space="preserve"> the lessee ma</w:t>
      </w:r>
      <w:r w:rsidR="00BE2E54">
        <w:rPr>
          <w:color w:val="auto"/>
          <w:sz w:val="22"/>
          <w:szCs w:val="22"/>
        </w:rPr>
        <w:t>y be required to undertake a re</w:t>
      </w:r>
      <w:r w:rsidR="00BE2E54">
        <w:rPr>
          <w:color w:val="auto"/>
          <w:sz w:val="22"/>
          <w:szCs w:val="22"/>
        </w:rPr>
        <w:noBreakHyphen/>
      </w:r>
      <w:r w:rsidRPr="00FE0EE7">
        <w:rPr>
          <w:color w:val="auto"/>
          <w:sz w:val="22"/>
          <w:szCs w:val="22"/>
        </w:rPr>
        <w:t>evaluation of commercial viability during the lease term (described further throughout these guidelines).</w:t>
      </w:r>
    </w:p>
    <w:p w14:paraId="54E8688C" w14:textId="77777777" w:rsidR="00CA1C5B" w:rsidRDefault="00CA1C5B">
      <w:pPr>
        <w:spacing w:line="240" w:lineRule="auto"/>
        <w:rPr>
          <w:rFonts w:cs="Arial"/>
          <w:b/>
          <w:bCs/>
          <w:color w:val="auto"/>
          <w:kern w:val="32"/>
          <w:sz w:val="28"/>
          <w:szCs w:val="32"/>
          <w:lang w:eastAsia="en-AU"/>
        </w:rPr>
      </w:pPr>
      <w:r>
        <w:rPr>
          <w:iCs/>
          <w:kern w:val="32"/>
          <w:sz w:val="28"/>
          <w:szCs w:val="32"/>
          <w:lang w:eastAsia="en-AU"/>
        </w:rPr>
        <w:br w:type="page"/>
      </w:r>
    </w:p>
    <w:p w14:paraId="2301685B" w14:textId="18BE3AF4" w:rsidR="007B0A9D" w:rsidRPr="00FE0EE7" w:rsidRDefault="007B0A9D" w:rsidP="00FE0EE7">
      <w:pPr>
        <w:pStyle w:val="Heading2"/>
        <w:rPr>
          <w:iCs w:val="0"/>
          <w:kern w:val="32"/>
          <w:sz w:val="28"/>
          <w:szCs w:val="32"/>
          <w:lang w:eastAsia="en-AU"/>
        </w:rPr>
      </w:pPr>
      <w:bookmarkStart w:id="10" w:name="_Toc464747141"/>
      <w:r w:rsidRPr="00FE0EE7">
        <w:rPr>
          <w:iCs w:val="0"/>
          <w:kern w:val="32"/>
          <w:sz w:val="28"/>
          <w:szCs w:val="32"/>
          <w:lang w:eastAsia="en-AU"/>
        </w:rPr>
        <w:lastRenderedPageBreak/>
        <w:t>P</w:t>
      </w:r>
      <w:r w:rsidR="00B0714C">
        <w:rPr>
          <w:iCs w:val="0"/>
          <w:kern w:val="32"/>
          <w:sz w:val="28"/>
          <w:szCs w:val="32"/>
          <w:lang w:eastAsia="en-AU"/>
        </w:rPr>
        <w:t>rocess for an application for a retention lease (initial</w:t>
      </w:r>
      <w:r w:rsidRPr="00FE0EE7">
        <w:rPr>
          <w:iCs w:val="0"/>
          <w:kern w:val="32"/>
          <w:sz w:val="28"/>
          <w:szCs w:val="32"/>
          <w:lang w:eastAsia="en-AU"/>
        </w:rPr>
        <w:t xml:space="preserve"> s141, s147 </w:t>
      </w:r>
      <w:r w:rsidR="00B0714C">
        <w:rPr>
          <w:iCs w:val="0"/>
          <w:kern w:val="32"/>
          <w:sz w:val="28"/>
          <w:szCs w:val="32"/>
          <w:lang w:eastAsia="en-AU"/>
        </w:rPr>
        <w:t>or renewal</w:t>
      </w:r>
      <w:r w:rsidRPr="00FE0EE7">
        <w:rPr>
          <w:iCs w:val="0"/>
          <w:kern w:val="32"/>
          <w:sz w:val="28"/>
          <w:szCs w:val="32"/>
          <w:lang w:eastAsia="en-AU"/>
        </w:rPr>
        <w:t xml:space="preserve"> s153)</w:t>
      </w:r>
      <w:bookmarkEnd w:id="10"/>
    </w:p>
    <w:p w14:paraId="080D2EB9" w14:textId="77777777" w:rsidR="00A77489" w:rsidRPr="00FE0EE7" w:rsidRDefault="007B0A9D" w:rsidP="00647768">
      <w:pPr>
        <w:pStyle w:val="ListParagraph"/>
        <w:numPr>
          <w:ilvl w:val="1"/>
          <w:numId w:val="23"/>
        </w:numPr>
        <w:tabs>
          <w:tab w:val="left" w:pos="567"/>
        </w:tabs>
        <w:spacing w:line="240" w:lineRule="auto"/>
        <w:ind w:left="567" w:hanging="567"/>
        <w:rPr>
          <w:color w:val="auto"/>
          <w:sz w:val="22"/>
          <w:szCs w:val="22"/>
        </w:rPr>
      </w:pPr>
      <w:r w:rsidRPr="00FE0EE7">
        <w:rPr>
          <w:color w:val="auto"/>
          <w:sz w:val="22"/>
          <w:szCs w:val="22"/>
        </w:rPr>
        <w:t xml:space="preserve">Applicants </w:t>
      </w:r>
      <w:r w:rsidR="007F56CB" w:rsidRPr="00FE0EE7">
        <w:rPr>
          <w:color w:val="auto"/>
          <w:sz w:val="22"/>
          <w:szCs w:val="22"/>
        </w:rPr>
        <w:t xml:space="preserve">may </w:t>
      </w:r>
      <w:r w:rsidRPr="00FE0EE7">
        <w:rPr>
          <w:color w:val="auto"/>
          <w:sz w:val="22"/>
          <w:szCs w:val="22"/>
        </w:rPr>
        <w:t xml:space="preserve">consult with NOPTA </w:t>
      </w:r>
      <w:r w:rsidR="00B87813" w:rsidRPr="00FE0EE7">
        <w:rPr>
          <w:color w:val="auto"/>
          <w:sz w:val="22"/>
          <w:szCs w:val="22"/>
        </w:rPr>
        <w:t xml:space="preserve">to discuss the process for </w:t>
      </w:r>
      <w:proofErr w:type="gramStart"/>
      <w:r w:rsidR="00CF3425" w:rsidRPr="00FE0EE7">
        <w:rPr>
          <w:color w:val="auto"/>
          <w:sz w:val="22"/>
          <w:szCs w:val="22"/>
        </w:rPr>
        <w:t xml:space="preserve">submitting </w:t>
      </w:r>
      <w:r w:rsidR="00B87813" w:rsidRPr="00FE0EE7">
        <w:rPr>
          <w:color w:val="auto"/>
          <w:sz w:val="22"/>
          <w:szCs w:val="22"/>
        </w:rPr>
        <w:t>an application</w:t>
      </w:r>
      <w:proofErr w:type="gramEnd"/>
      <w:r w:rsidR="00CF3425" w:rsidRPr="00FE0EE7">
        <w:rPr>
          <w:color w:val="auto"/>
          <w:sz w:val="22"/>
          <w:szCs w:val="22"/>
        </w:rPr>
        <w:t>.</w:t>
      </w:r>
    </w:p>
    <w:p w14:paraId="7CC62381" w14:textId="77777777" w:rsidR="00A77489" w:rsidRPr="00FE0EE7" w:rsidRDefault="007B0A9D" w:rsidP="00647768">
      <w:pPr>
        <w:pStyle w:val="ListParagraph"/>
        <w:numPr>
          <w:ilvl w:val="1"/>
          <w:numId w:val="23"/>
        </w:numPr>
        <w:tabs>
          <w:tab w:val="left" w:pos="567"/>
        </w:tabs>
        <w:spacing w:before="117" w:line="240" w:lineRule="auto"/>
        <w:ind w:left="567" w:hanging="567"/>
        <w:contextualSpacing w:val="0"/>
        <w:rPr>
          <w:color w:val="auto"/>
          <w:sz w:val="22"/>
          <w:szCs w:val="22"/>
        </w:rPr>
      </w:pPr>
      <w:r w:rsidRPr="00FE0EE7">
        <w:rPr>
          <w:color w:val="auto"/>
          <w:sz w:val="22"/>
          <w:szCs w:val="22"/>
        </w:rPr>
        <w:t xml:space="preserve">Government will respect any information provided on a commercial-in-confidence basis. </w:t>
      </w:r>
    </w:p>
    <w:p w14:paraId="584D03D3" w14:textId="77777777" w:rsidR="00A77489" w:rsidRPr="00FE0EE7" w:rsidRDefault="007B0A9D" w:rsidP="00647768">
      <w:pPr>
        <w:pStyle w:val="ListParagraph"/>
        <w:numPr>
          <w:ilvl w:val="1"/>
          <w:numId w:val="23"/>
        </w:numPr>
        <w:tabs>
          <w:tab w:val="left" w:pos="567"/>
        </w:tabs>
        <w:spacing w:before="117" w:line="240" w:lineRule="auto"/>
        <w:ind w:left="567" w:hanging="567"/>
        <w:contextualSpacing w:val="0"/>
        <w:rPr>
          <w:color w:val="auto"/>
          <w:sz w:val="22"/>
          <w:szCs w:val="22"/>
        </w:rPr>
      </w:pPr>
      <w:r w:rsidRPr="00FE0EE7">
        <w:rPr>
          <w:color w:val="auto"/>
          <w:sz w:val="22"/>
          <w:szCs w:val="22"/>
        </w:rPr>
        <w:t>Applications under s141 (application by the holder of petroleum exploration permit), s147 (application by the holder of a life-of-field production licence), or s153 (application for renewal of retention lease) are submitted to NOPTA for conside</w:t>
      </w:r>
      <w:r w:rsidR="00A77489" w:rsidRPr="00FE0EE7">
        <w:rPr>
          <w:color w:val="auto"/>
          <w:sz w:val="22"/>
          <w:szCs w:val="22"/>
        </w:rPr>
        <w:t>ration by the Joint Authority.</w:t>
      </w:r>
    </w:p>
    <w:p w14:paraId="3F3A752B" w14:textId="4D366E0B" w:rsidR="003401C3" w:rsidRPr="00770E05" w:rsidRDefault="00A657A4" w:rsidP="00831F7B">
      <w:pPr>
        <w:pStyle w:val="ListParagraph"/>
        <w:numPr>
          <w:ilvl w:val="1"/>
          <w:numId w:val="23"/>
        </w:numPr>
        <w:tabs>
          <w:tab w:val="left" w:pos="567"/>
        </w:tabs>
        <w:spacing w:before="117" w:line="240" w:lineRule="auto"/>
        <w:ind w:left="567" w:hanging="567"/>
        <w:contextualSpacing w:val="0"/>
        <w:rPr>
          <w:color w:val="auto"/>
          <w:sz w:val="22"/>
          <w:szCs w:val="22"/>
        </w:rPr>
      </w:pPr>
      <w:r w:rsidRPr="00770E05">
        <w:rPr>
          <w:color w:val="auto"/>
          <w:sz w:val="22"/>
          <w:szCs w:val="22"/>
        </w:rPr>
        <w:t>For further details see the a</w:t>
      </w:r>
      <w:r w:rsidR="00F00455" w:rsidRPr="00770E05">
        <w:rPr>
          <w:color w:val="auto"/>
          <w:sz w:val="22"/>
          <w:szCs w:val="22"/>
        </w:rPr>
        <w:t>pplication form</w:t>
      </w:r>
      <w:r w:rsidR="008D3F72">
        <w:rPr>
          <w:color w:val="auto"/>
          <w:sz w:val="22"/>
          <w:szCs w:val="22"/>
        </w:rPr>
        <w:t>s</w:t>
      </w:r>
      <w:r w:rsidR="00F00455" w:rsidRPr="00770E05">
        <w:rPr>
          <w:color w:val="auto"/>
          <w:sz w:val="22"/>
          <w:szCs w:val="22"/>
        </w:rPr>
        <w:t xml:space="preserve"> </w:t>
      </w:r>
      <w:r w:rsidR="00E96401">
        <w:rPr>
          <w:color w:val="auto"/>
          <w:sz w:val="22"/>
          <w:szCs w:val="22"/>
        </w:rPr>
        <w:t>at</w:t>
      </w:r>
      <w:r w:rsidR="00F00455" w:rsidRPr="00770E05">
        <w:rPr>
          <w:rFonts w:cs="Arial"/>
          <w:sz w:val="22"/>
          <w:szCs w:val="22"/>
        </w:rPr>
        <w:t xml:space="preserve"> </w:t>
      </w:r>
      <w:hyperlink r:id="rId19" w:tooltip="NOPTA Forms webpage" w:history="1">
        <w:r w:rsidR="00F00455" w:rsidRPr="00770E05">
          <w:rPr>
            <w:rStyle w:val="Hyperlink"/>
            <w:rFonts w:cs="Arial"/>
            <w:sz w:val="22"/>
            <w:szCs w:val="22"/>
          </w:rPr>
          <w:t>http://www.nopta.gov.au/forms/forms.html</w:t>
        </w:r>
      </w:hyperlink>
      <w:r w:rsidR="00F00455" w:rsidRPr="00770E05">
        <w:rPr>
          <w:rFonts w:cs="Arial"/>
          <w:sz w:val="22"/>
          <w:szCs w:val="22"/>
        </w:rPr>
        <w:t>.</w:t>
      </w:r>
      <w:r w:rsidRPr="00A657A4">
        <w:rPr>
          <w:rFonts w:cs="Arial"/>
          <w:sz w:val="22"/>
          <w:szCs w:val="22"/>
        </w:rPr>
        <w:t xml:space="preserve"> </w:t>
      </w:r>
    </w:p>
    <w:p w14:paraId="1D988827" w14:textId="62501D5C" w:rsidR="00831F7B" w:rsidRPr="00A657A4" w:rsidRDefault="00A657A4" w:rsidP="00831F7B">
      <w:pPr>
        <w:pStyle w:val="ListParagraph"/>
        <w:numPr>
          <w:ilvl w:val="1"/>
          <w:numId w:val="23"/>
        </w:numPr>
        <w:tabs>
          <w:tab w:val="left" w:pos="567"/>
        </w:tabs>
        <w:spacing w:before="117" w:line="240" w:lineRule="auto"/>
        <w:ind w:left="567" w:hanging="567"/>
        <w:contextualSpacing w:val="0"/>
        <w:rPr>
          <w:color w:val="auto"/>
          <w:sz w:val="22"/>
          <w:szCs w:val="22"/>
        </w:rPr>
      </w:pPr>
      <w:r w:rsidRPr="00770E05">
        <w:rPr>
          <w:color w:val="auto"/>
          <w:sz w:val="22"/>
          <w:szCs w:val="22"/>
        </w:rPr>
        <w:t xml:space="preserve">There </w:t>
      </w:r>
      <w:r w:rsidR="008D3F72">
        <w:rPr>
          <w:color w:val="auto"/>
          <w:sz w:val="22"/>
          <w:szCs w:val="22"/>
        </w:rPr>
        <w:t>are</w:t>
      </w:r>
      <w:r w:rsidRPr="00770E05">
        <w:rPr>
          <w:color w:val="auto"/>
          <w:sz w:val="22"/>
          <w:szCs w:val="22"/>
        </w:rPr>
        <w:t xml:space="preserve"> fee</w:t>
      </w:r>
      <w:r w:rsidR="008D3F72">
        <w:rPr>
          <w:color w:val="auto"/>
          <w:sz w:val="22"/>
          <w:szCs w:val="22"/>
        </w:rPr>
        <w:t>s</w:t>
      </w:r>
      <w:r w:rsidRPr="00770E05">
        <w:rPr>
          <w:color w:val="auto"/>
          <w:sz w:val="22"/>
          <w:szCs w:val="22"/>
        </w:rPr>
        <w:t xml:space="preserve"> for th</w:t>
      </w:r>
      <w:r w:rsidR="008D3F72">
        <w:rPr>
          <w:color w:val="auto"/>
          <w:sz w:val="22"/>
          <w:szCs w:val="22"/>
        </w:rPr>
        <w:t>e</w:t>
      </w:r>
      <w:r w:rsidRPr="00770E05">
        <w:rPr>
          <w:color w:val="auto"/>
          <w:sz w:val="22"/>
          <w:szCs w:val="22"/>
        </w:rPr>
        <w:t>s</w:t>
      </w:r>
      <w:r w:rsidR="008D3F72">
        <w:rPr>
          <w:color w:val="auto"/>
          <w:sz w:val="22"/>
          <w:szCs w:val="22"/>
        </w:rPr>
        <w:t>e</w:t>
      </w:r>
      <w:r w:rsidRPr="00770E05">
        <w:rPr>
          <w:color w:val="auto"/>
          <w:sz w:val="22"/>
          <w:szCs w:val="22"/>
        </w:rPr>
        <w:t xml:space="preserve"> application</w:t>
      </w:r>
      <w:r w:rsidR="008D3F72">
        <w:rPr>
          <w:color w:val="auto"/>
          <w:sz w:val="22"/>
          <w:szCs w:val="22"/>
        </w:rPr>
        <w:t>s</w:t>
      </w:r>
      <w:r w:rsidR="00E96401">
        <w:rPr>
          <w:color w:val="auto"/>
          <w:sz w:val="22"/>
          <w:szCs w:val="22"/>
        </w:rPr>
        <w:t>,</w:t>
      </w:r>
      <w:r w:rsidRPr="00770E05">
        <w:rPr>
          <w:color w:val="auto"/>
          <w:sz w:val="22"/>
          <w:szCs w:val="22"/>
        </w:rPr>
        <w:t xml:space="preserve"> which can be found at </w:t>
      </w:r>
      <w:hyperlink r:id="rId20" w:tooltip="NOPTA Annual Fees and Levies" w:history="1">
        <w:r w:rsidRPr="00770E05">
          <w:rPr>
            <w:rStyle w:val="Hyperlink"/>
            <w:rFonts w:cs="Arial"/>
            <w:sz w:val="22"/>
            <w:szCs w:val="22"/>
          </w:rPr>
          <w:t>http://www.nopta.gov.au/cost-recovery-and-fees.html</w:t>
        </w:r>
      </w:hyperlink>
      <w:r w:rsidRPr="00770E05">
        <w:rPr>
          <w:rFonts w:cs="Arial"/>
          <w:sz w:val="22"/>
          <w:szCs w:val="22"/>
        </w:rPr>
        <w:t>.</w:t>
      </w:r>
      <w:r w:rsidR="00831F7B" w:rsidRPr="00810F4D">
        <w:rPr>
          <w:color w:val="auto"/>
          <w:sz w:val="22"/>
          <w:szCs w:val="22"/>
        </w:rPr>
        <w:t xml:space="preserve"> </w:t>
      </w:r>
    </w:p>
    <w:p w14:paraId="029AB386" w14:textId="5434384F" w:rsidR="00831F7B" w:rsidRPr="00FE0EE7" w:rsidRDefault="003401C3" w:rsidP="00831F7B">
      <w:pPr>
        <w:pStyle w:val="ListParagraph"/>
        <w:numPr>
          <w:ilvl w:val="1"/>
          <w:numId w:val="23"/>
        </w:numPr>
        <w:tabs>
          <w:tab w:val="left" w:pos="567"/>
        </w:tabs>
        <w:spacing w:before="117" w:line="240" w:lineRule="auto"/>
        <w:ind w:left="567" w:hanging="567"/>
        <w:contextualSpacing w:val="0"/>
        <w:rPr>
          <w:color w:val="auto"/>
          <w:sz w:val="22"/>
          <w:szCs w:val="22"/>
        </w:rPr>
      </w:pPr>
      <w:r w:rsidRPr="008D3F72">
        <w:rPr>
          <w:color w:val="auto"/>
          <w:sz w:val="22"/>
          <w:szCs w:val="22"/>
        </w:rPr>
        <w:t>For assessment timeframes see the Joint Authority</w:t>
      </w:r>
      <w:r w:rsidR="00E96401">
        <w:rPr>
          <w:color w:val="auto"/>
          <w:sz w:val="22"/>
          <w:szCs w:val="22"/>
        </w:rPr>
        <w:t xml:space="preserve"> Operating</w:t>
      </w:r>
      <w:r w:rsidRPr="008D3F72">
        <w:rPr>
          <w:color w:val="auto"/>
          <w:sz w:val="22"/>
          <w:szCs w:val="22"/>
        </w:rPr>
        <w:t xml:space="preserve"> Protocol</w:t>
      </w:r>
      <w:r w:rsidR="00E96401">
        <w:rPr>
          <w:color w:val="auto"/>
          <w:sz w:val="22"/>
          <w:szCs w:val="22"/>
        </w:rPr>
        <w:t>s at</w:t>
      </w:r>
      <w:r>
        <w:rPr>
          <w:color w:val="auto"/>
          <w:sz w:val="22"/>
          <w:szCs w:val="22"/>
        </w:rPr>
        <w:t xml:space="preserve"> </w:t>
      </w:r>
      <w:hyperlink r:id="rId21" w:tooltip="Joint Authority Operating Protocols" w:history="1">
        <w:r w:rsidR="0010228F" w:rsidRPr="00BC482F">
          <w:rPr>
            <w:rStyle w:val="Hyperlink"/>
            <w:sz w:val="22"/>
            <w:szCs w:val="22"/>
          </w:rPr>
          <w:t>http://www.nopta.gov.au/_documents/JA-operating-protocols-july2015.pdf</w:t>
        </w:r>
      </w:hyperlink>
      <w:r w:rsidR="00831F7B" w:rsidRPr="00FE0EE7">
        <w:rPr>
          <w:color w:val="auto"/>
          <w:sz w:val="22"/>
          <w:szCs w:val="22"/>
        </w:rPr>
        <w:t xml:space="preserve">. </w:t>
      </w:r>
    </w:p>
    <w:p w14:paraId="03E5C545" w14:textId="77777777" w:rsidR="00A77489" w:rsidRPr="00FE0EE7" w:rsidRDefault="007B0A9D" w:rsidP="00647768">
      <w:pPr>
        <w:pStyle w:val="ListParagraph"/>
        <w:numPr>
          <w:ilvl w:val="1"/>
          <w:numId w:val="23"/>
        </w:numPr>
        <w:tabs>
          <w:tab w:val="left" w:pos="567"/>
        </w:tabs>
        <w:spacing w:before="117" w:line="240" w:lineRule="auto"/>
        <w:ind w:left="567" w:hanging="567"/>
        <w:contextualSpacing w:val="0"/>
        <w:rPr>
          <w:color w:val="auto"/>
          <w:sz w:val="22"/>
          <w:szCs w:val="22"/>
        </w:rPr>
      </w:pPr>
      <w:r w:rsidRPr="00FE0EE7">
        <w:rPr>
          <w:color w:val="auto"/>
          <w:sz w:val="22"/>
          <w:szCs w:val="22"/>
        </w:rPr>
        <w:t xml:space="preserve">An outline of this process is provided in </w:t>
      </w:r>
      <w:r w:rsidRPr="00FE0EE7">
        <w:rPr>
          <w:color w:val="auto"/>
          <w:sz w:val="22"/>
          <w:szCs w:val="22"/>
          <w:u w:val="single"/>
        </w:rPr>
        <w:t>Figure 1</w:t>
      </w:r>
      <w:r w:rsidRPr="00FE0EE7">
        <w:rPr>
          <w:color w:val="auto"/>
          <w:sz w:val="22"/>
          <w:szCs w:val="22"/>
        </w:rPr>
        <w:t>.</w:t>
      </w:r>
    </w:p>
    <w:p w14:paraId="09BE38B6" w14:textId="77777777" w:rsidR="00954047" w:rsidRPr="00FE0EE7" w:rsidRDefault="00A77489" w:rsidP="00FE0EE7">
      <w:pPr>
        <w:pStyle w:val="Heading3"/>
        <w:spacing w:before="240" w:after="60" w:line="240" w:lineRule="auto"/>
        <w:rPr>
          <w:rFonts w:eastAsiaTheme="majorEastAsia"/>
          <w:sz w:val="24"/>
          <w:lang w:eastAsia="en-AU"/>
        </w:rPr>
      </w:pPr>
      <w:bookmarkStart w:id="11" w:name="_Toc464746044"/>
      <w:bookmarkStart w:id="12" w:name="_Toc464747142"/>
      <w:r w:rsidRPr="00FE0EE7">
        <w:rPr>
          <w:rFonts w:eastAsiaTheme="majorEastAsia"/>
          <w:sz w:val="24"/>
          <w:lang w:eastAsia="en-AU"/>
        </w:rPr>
        <w:t>Timing</w:t>
      </w:r>
      <w:bookmarkEnd w:id="11"/>
      <w:bookmarkEnd w:id="12"/>
    </w:p>
    <w:p w14:paraId="619248F0" w14:textId="77777777" w:rsidR="00A77489" w:rsidRPr="00D553D5" w:rsidRDefault="00A77489" w:rsidP="00D553D5">
      <w:pPr>
        <w:pStyle w:val="Heading4"/>
      </w:pPr>
      <w:r w:rsidRPr="00D553D5">
        <w:t>Initial</w:t>
      </w:r>
    </w:p>
    <w:p w14:paraId="440504D4" w14:textId="77777777" w:rsidR="00486407" w:rsidRPr="00D553D5" w:rsidRDefault="00486407" w:rsidP="00D553D5">
      <w:pPr>
        <w:pStyle w:val="Heading5"/>
      </w:pPr>
      <w:r w:rsidRPr="00D553D5">
        <w:t>Exploration Permit Holders</w:t>
      </w:r>
    </w:p>
    <w:p w14:paraId="0F970EE3" w14:textId="77777777" w:rsidR="00A77489" w:rsidRPr="00FE0EE7" w:rsidRDefault="00A77489" w:rsidP="00FE0EE7">
      <w:pPr>
        <w:pStyle w:val="ListParagraph"/>
        <w:numPr>
          <w:ilvl w:val="1"/>
          <w:numId w:val="23"/>
        </w:numPr>
        <w:tabs>
          <w:tab w:val="left" w:pos="567"/>
        </w:tabs>
        <w:spacing w:after="120" w:line="240" w:lineRule="auto"/>
        <w:ind w:left="567" w:hanging="567"/>
        <w:contextualSpacing w:val="0"/>
        <w:rPr>
          <w:color w:val="auto"/>
          <w:sz w:val="22"/>
          <w:szCs w:val="22"/>
        </w:rPr>
      </w:pPr>
      <w:r w:rsidRPr="00FE0EE7">
        <w:rPr>
          <w:color w:val="auto"/>
          <w:sz w:val="22"/>
          <w:szCs w:val="22"/>
        </w:rPr>
        <w:t xml:space="preserve">An application for a retention lease by the holder of an exploration permit (s141) </w:t>
      </w:r>
      <w:r w:rsidR="009F0DED" w:rsidRPr="00FE0EE7">
        <w:rPr>
          <w:color w:val="auto"/>
          <w:sz w:val="22"/>
          <w:szCs w:val="22"/>
        </w:rPr>
        <w:t xml:space="preserve">may </w:t>
      </w:r>
      <w:r w:rsidRPr="00FE0EE7">
        <w:rPr>
          <w:color w:val="auto"/>
          <w:sz w:val="22"/>
          <w:szCs w:val="22"/>
        </w:rPr>
        <w:t xml:space="preserve">be made within the application period specified in s141(3) which is two years after the day on which the block(s) was declared a location (the </w:t>
      </w:r>
      <w:r w:rsidRPr="00FE0EE7">
        <w:rPr>
          <w:i/>
          <w:color w:val="auto"/>
          <w:sz w:val="22"/>
          <w:szCs w:val="22"/>
        </w:rPr>
        <w:t>declaration day</w:t>
      </w:r>
      <w:r w:rsidRPr="00FE0EE7">
        <w:rPr>
          <w:color w:val="auto"/>
          <w:sz w:val="22"/>
          <w:szCs w:val="22"/>
        </w:rPr>
        <w:t>). This may be extended by a further two years at NOPTA’s discretion if a written application for an extension is made by the titleholder within two years from the declaration day.</w:t>
      </w:r>
    </w:p>
    <w:p w14:paraId="3122D416" w14:textId="3628781B" w:rsidR="00486407" w:rsidRPr="00FE0EE7" w:rsidRDefault="00844881" w:rsidP="00FE0EE7">
      <w:pPr>
        <w:pStyle w:val="ListParagraph"/>
        <w:numPr>
          <w:ilvl w:val="1"/>
          <w:numId w:val="23"/>
        </w:numPr>
        <w:tabs>
          <w:tab w:val="left" w:pos="567"/>
        </w:tabs>
        <w:spacing w:after="120" w:line="240" w:lineRule="auto"/>
        <w:ind w:left="567" w:hanging="567"/>
        <w:contextualSpacing w:val="0"/>
        <w:rPr>
          <w:color w:val="auto"/>
          <w:sz w:val="22"/>
          <w:szCs w:val="22"/>
        </w:rPr>
      </w:pPr>
      <w:r w:rsidRPr="00FE0EE7">
        <w:rPr>
          <w:color w:val="auto"/>
          <w:sz w:val="22"/>
          <w:szCs w:val="22"/>
        </w:rPr>
        <w:t>The e</w:t>
      </w:r>
      <w:r w:rsidR="002D0370" w:rsidRPr="00FE0EE7">
        <w:rPr>
          <w:color w:val="auto"/>
          <w:sz w:val="22"/>
          <w:szCs w:val="22"/>
        </w:rPr>
        <w:t xml:space="preserve">xploration permit holder should consider the </w:t>
      </w:r>
      <w:r w:rsidR="0023020F" w:rsidRPr="00FE0EE7">
        <w:rPr>
          <w:color w:val="auto"/>
          <w:sz w:val="22"/>
          <w:szCs w:val="22"/>
        </w:rPr>
        <w:t xml:space="preserve">potential legal </w:t>
      </w:r>
      <w:r w:rsidR="002D0370" w:rsidRPr="00FE0EE7">
        <w:rPr>
          <w:color w:val="auto"/>
          <w:sz w:val="22"/>
          <w:szCs w:val="22"/>
        </w:rPr>
        <w:t xml:space="preserve">consequences of </w:t>
      </w:r>
      <w:r w:rsidR="0023020F" w:rsidRPr="00FE0EE7">
        <w:rPr>
          <w:color w:val="auto"/>
          <w:sz w:val="22"/>
          <w:szCs w:val="22"/>
        </w:rPr>
        <w:t xml:space="preserve">the provisions in </w:t>
      </w:r>
      <w:r w:rsidR="002D0370" w:rsidRPr="00FE0EE7">
        <w:rPr>
          <w:color w:val="auto"/>
          <w:sz w:val="22"/>
          <w:szCs w:val="22"/>
        </w:rPr>
        <w:t>s188 of not making an application within the application period.</w:t>
      </w:r>
    </w:p>
    <w:p w14:paraId="202F1D9F" w14:textId="77777777" w:rsidR="00486407" w:rsidRPr="00FE0EE7" w:rsidRDefault="00486407" w:rsidP="00D553D5">
      <w:pPr>
        <w:pStyle w:val="Heading5"/>
      </w:pPr>
      <w:r w:rsidRPr="00FE0EE7">
        <w:t>Production Licence Holders</w:t>
      </w:r>
    </w:p>
    <w:p w14:paraId="4A901721" w14:textId="77777777" w:rsidR="006E437F" w:rsidRPr="00FE0EE7" w:rsidRDefault="009F0DED" w:rsidP="00FE0EE7">
      <w:pPr>
        <w:pStyle w:val="ListParagraph"/>
        <w:numPr>
          <w:ilvl w:val="1"/>
          <w:numId w:val="23"/>
        </w:numPr>
        <w:tabs>
          <w:tab w:val="left" w:pos="567"/>
        </w:tabs>
        <w:spacing w:after="120" w:line="240" w:lineRule="auto"/>
        <w:ind w:left="567" w:hanging="567"/>
        <w:contextualSpacing w:val="0"/>
        <w:rPr>
          <w:color w:val="auto"/>
          <w:sz w:val="22"/>
          <w:szCs w:val="22"/>
        </w:rPr>
      </w:pPr>
      <w:r w:rsidRPr="00FE0EE7">
        <w:rPr>
          <w:color w:val="auto"/>
          <w:sz w:val="22"/>
          <w:szCs w:val="22"/>
        </w:rPr>
        <w:t>Where there is petroleum in a block or blocks held by a production licensee but no petroleum recovery operations are taking place in the block or blocks</w:t>
      </w:r>
      <w:r w:rsidR="00E550CD" w:rsidRPr="00FE0EE7">
        <w:rPr>
          <w:color w:val="auto"/>
          <w:sz w:val="22"/>
          <w:szCs w:val="22"/>
        </w:rPr>
        <w:t xml:space="preserve"> (‘the unused area’)</w:t>
      </w:r>
      <w:r w:rsidRPr="00FE0EE7">
        <w:rPr>
          <w:color w:val="auto"/>
          <w:sz w:val="22"/>
          <w:szCs w:val="22"/>
        </w:rPr>
        <w:t>, a</w:t>
      </w:r>
      <w:r w:rsidR="00A77489" w:rsidRPr="00FE0EE7">
        <w:rPr>
          <w:color w:val="auto"/>
          <w:sz w:val="22"/>
          <w:szCs w:val="22"/>
        </w:rPr>
        <w:t xml:space="preserve">n application for a retention lease by the holder of a production licence </w:t>
      </w:r>
      <w:r w:rsidRPr="00FE0EE7">
        <w:rPr>
          <w:color w:val="auto"/>
          <w:sz w:val="22"/>
          <w:szCs w:val="22"/>
        </w:rPr>
        <w:t xml:space="preserve">may </w:t>
      </w:r>
      <w:r w:rsidR="00A77489" w:rsidRPr="00FE0EE7">
        <w:rPr>
          <w:color w:val="auto"/>
          <w:sz w:val="22"/>
          <w:szCs w:val="22"/>
        </w:rPr>
        <w:t xml:space="preserve">be made within five years of:  </w:t>
      </w:r>
    </w:p>
    <w:p w14:paraId="14D439F0" w14:textId="77777777" w:rsidR="006E437F" w:rsidRPr="00FE0EE7" w:rsidRDefault="00A77489" w:rsidP="00FE0EE7">
      <w:pPr>
        <w:pStyle w:val="ListParagraph"/>
        <w:numPr>
          <w:ilvl w:val="2"/>
          <w:numId w:val="23"/>
        </w:numPr>
        <w:tabs>
          <w:tab w:val="left" w:pos="993"/>
        </w:tabs>
        <w:spacing w:after="120" w:line="240" w:lineRule="auto"/>
        <w:ind w:left="1418" w:hanging="851"/>
        <w:contextualSpacing w:val="0"/>
        <w:rPr>
          <w:color w:val="auto"/>
          <w:sz w:val="22"/>
          <w:szCs w:val="22"/>
        </w:rPr>
      </w:pPr>
      <w:r w:rsidRPr="00FE0EE7">
        <w:rPr>
          <w:color w:val="auto"/>
          <w:sz w:val="22"/>
          <w:szCs w:val="22"/>
        </w:rPr>
        <w:t>the day on which the production licence was granted; or</w:t>
      </w:r>
    </w:p>
    <w:p w14:paraId="2CBF63B6" w14:textId="77777777" w:rsidR="00A77489" w:rsidRPr="00FE0EE7" w:rsidRDefault="00A77489" w:rsidP="00FE0EE7">
      <w:pPr>
        <w:pStyle w:val="ListParagraph"/>
        <w:numPr>
          <w:ilvl w:val="2"/>
          <w:numId w:val="23"/>
        </w:numPr>
        <w:tabs>
          <w:tab w:val="left" w:pos="993"/>
        </w:tabs>
        <w:spacing w:after="120" w:line="240" w:lineRule="auto"/>
        <w:ind w:left="1418" w:hanging="851"/>
        <w:contextualSpacing w:val="0"/>
        <w:rPr>
          <w:color w:val="auto"/>
          <w:sz w:val="22"/>
          <w:szCs w:val="22"/>
        </w:rPr>
      </w:pPr>
      <w:r w:rsidRPr="00FE0EE7">
        <w:rPr>
          <w:color w:val="auto"/>
          <w:sz w:val="22"/>
          <w:szCs w:val="22"/>
        </w:rPr>
        <w:t xml:space="preserve">if petroleum recovery </w:t>
      </w:r>
      <w:r w:rsidR="008C510B" w:rsidRPr="00FE0EE7">
        <w:rPr>
          <w:color w:val="auto"/>
          <w:sz w:val="22"/>
          <w:szCs w:val="22"/>
        </w:rPr>
        <w:t xml:space="preserve">operations have been carried </w:t>
      </w:r>
      <w:r w:rsidR="00486407" w:rsidRPr="00FE0EE7">
        <w:rPr>
          <w:color w:val="auto"/>
          <w:sz w:val="22"/>
          <w:szCs w:val="22"/>
        </w:rPr>
        <w:t>on under the licence in the unused area,</w:t>
      </w:r>
      <w:r w:rsidRPr="00FE0EE7">
        <w:rPr>
          <w:color w:val="auto"/>
          <w:sz w:val="22"/>
          <w:szCs w:val="22"/>
        </w:rPr>
        <w:t xml:space="preserve"> five years from the last day on which su</w:t>
      </w:r>
      <w:r w:rsidR="00730210" w:rsidRPr="00FE0EE7">
        <w:rPr>
          <w:color w:val="auto"/>
          <w:sz w:val="22"/>
          <w:szCs w:val="22"/>
        </w:rPr>
        <w:t xml:space="preserve">ch operations occurred </w:t>
      </w:r>
      <w:r w:rsidR="004B5BED" w:rsidRPr="00FE0EE7">
        <w:rPr>
          <w:color w:val="auto"/>
          <w:sz w:val="22"/>
          <w:szCs w:val="22"/>
        </w:rPr>
        <w:t>(</w:t>
      </w:r>
      <w:r w:rsidR="00730210" w:rsidRPr="00FE0EE7">
        <w:rPr>
          <w:color w:val="auto"/>
          <w:sz w:val="22"/>
          <w:szCs w:val="22"/>
        </w:rPr>
        <w:t>s147(3)</w:t>
      </w:r>
      <w:r w:rsidR="004B5BED" w:rsidRPr="00FE0EE7">
        <w:rPr>
          <w:color w:val="auto"/>
          <w:sz w:val="22"/>
          <w:szCs w:val="22"/>
        </w:rPr>
        <w:t>)</w:t>
      </w:r>
      <w:r w:rsidRPr="00FE0EE7">
        <w:rPr>
          <w:color w:val="auto"/>
          <w:sz w:val="22"/>
          <w:szCs w:val="22"/>
        </w:rPr>
        <w:t>.</w:t>
      </w:r>
    </w:p>
    <w:p w14:paraId="45610772" w14:textId="499469CB" w:rsidR="009F0DED" w:rsidRPr="00FE0EE7" w:rsidRDefault="00E550CD" w:rsidP="00647768">
      <w:pPr>
        <w:pStyle w:val="ListParagraph"/>
        <w:numPr>
          <w:ilvl w:val="1"/>
          <w:numId w:val="23"/>
        </w:numPr>
        <w:tabs>
          <w:tab w:val="left" w:pos="567"/>
        </w:tabs>
        <w:spacing w:before="117" w:line="240" w:lineRule="auto"/>
        <w:ind w:left="567" w:hanging="567"/>
        <w:contextualSpacing w:val="0"/>
        <w:rPr>
          <w:color w:val="auto"/>
          <w:sz w:val="22"/>
          <w:szCs w:val="22"/>
        </w:rPr>
      </w:pPr>
      <w:r w:rsidRPr="00FE0EE7">
        <w:rPr>
          <w:color w:val="auto"/>
          <w:sz w:val="22"/>
          <w:szCs w:val="22"/>
        </w:rPr>
        <w:t>The p</w:t>
      </w:r>
      <w:r w:rsidR="009F0DED" w:rsidRPr="00FE0EE7">
        <w:rPr>
          <w:color w:val="auto"/>
          <w:sz w:val="22"/>
          <w:szCs w:val="22"/>
        </w:rPr>
        <w:t>roduction licensee should consider the potential legal consequences of the provisions in s166 of not making an application within the application period.</w:t>
      </w:r>
    </w:p>
    <w:p w14:paraId="36678172" w14:textId="77777777" w:rsidR="007F65C7" w:rsidRPr="00FE0EE7" w:rsidRDefault="007F65C7" w:rsidP="00A77489">
      <w:pPr>
        <w:tabs>
          <w:tab w:val="left" w:pos="567"/>
        </w:tabs>
        <w:rPr>
          <w:i/>
          <w:color w:val="auto"/>
          <w:sz w:val="22"/>
          <w:szCs w:val="22"/>
        </w:rPr>
      </w:pPr>
    </w:p>
    <w:p w14:paraId="3BDDD4DF" w14:textId="77777777" w:rsidR="00A77489" w:rsidRPr="00FE0EE7" w:rsidRDefault="00A77489" w:rsidP="00D553D5">
      <w:pPr>
        <w:pStyle w:val="Heading4"/>
      </w:pPr>
      <w:r w:rsidRPr="00FE0EE7">
        <w:t>Renewal</w:t>
      </w:r>
    </w:p>
    <w:p w14:paraId="483C3C6A" w14:textId="00EB62D6" w:rsidR="00A77489" w:rsidRPr="00FE0EE7" w:rsidRDefault="00A77489" w:rsidP="00647768">
      <w:pPr>
        <w:pStyle w:val="ListParagraph"/>
        <w:numPr>
          <w:ilvl w:val="1"/>
          <w:numId w:val="23"/>
        </w:numPr>
        <w:tabs>
          <w:tab w:val="left" w:pos="567"/>
        </w:tabs>
        <w:spacing w:line="240" w:lineRule="auto"/>
        <w:ind w:left="567" w:hanging="567"/>
        <w:rPr>
          <w:color w:val="auto"/>
          <w:sz w:val="22"/>
          <w:szCs w:val="22"/>
        </w:rPr>
      </w:pPr>
      <w:r w:rsidRPr="00FE0EE7">
        <w:rPr>
          <w:color w:val="auto"/>
          <w:sz w:val="22"/>
          <w:szCs w:val="22"/>
        </w:rPr>
        <w:t xml:space="preserve">An application for the renewal of a retention lease (s153) </w:t>
      </w:r>
      <w:r w:rsidR="00EE6A3D" w:rsidRPr="00FE0EE7">
        <w:rPr>
          <w:color w:val="auto"/>
          <w:sz w:val="22"/>
          <w:szCs w:val="22"/>
        </w:rPr>
        <w:t xml:space="preserve">may </w:t>
      </w:r>
      <w:r w:rsidRPr="00FE0EE7">
        <w:rPr>
          <w:color w:val="auto"/>
          <w:sz w:val="22"/>
          <w:szCs w:val="22"/>
        </w:rPr>
        <w:t>be made not less than 180</w:t>
      </w:r>
      <w:r w:rsidR="00BE2E54">
        <w:rPr>
          <w:color w:val="auto"/>
          <w:sz w:val="22"/>
          <w:szCs w:val="22"/>
        </w:rPr>
        <w:t> </w:t>
      </w:r>
      <w:r w:rsidRPr="00FE0EE7">
        <w:rPr>
          <w:color w:val="auto"/>
          <w:sz w:val="22"/>
          <w:szCs w:val="22"/>
        </w:rPr>
        <w:t xml:space="preserve">days and not more than 12 months before the day on which the retention lease is due to expire (s153(2)). NOPTA has discretion to accept the lodgement of a renewal application less than 180 days before the expiry date, but no later than the expiry date (s153(3)). </w:t>
      </w:r>
      <w:r w:rsidR="00EE6A3D" w:rsidRPr="00FE0EE7">
        <w:rPr>
          <w:color w:val="auto"/>
          <w:sz w:val="22"/>
          <w:szCs w:val="22"/>
        </w:rPr>
        <w:t>Once an application is lodged, t</w:t>
      </w:r>
      <w:r w:rsidRPr="00FE0EE7">
        <w:rPr>
          <w:color w:val="auto"/>
          <w:sz w:val="22"/>
          <w:szCs w:val="22"/>
        </w:rPr>
        <w:t>he retention lease will continue in force until the renewal is granted, refused or the application lapses (s153(5)).</w:t>
      </w:r>
    </w:p>
    <w:p w14:paraId="29F00831" w14:textId="77777777" w:rsidR="00A77489" w:rsidRPr="00FE0EE7" w:rsidRDefault="00A77489" w:rsidP="00FE0EE7">
      <w:pPr>
        <w:pStyle w:val="Heading3"/>
        <w:spacing w:before="240" w:after="60" w:line="240" w:lineRule="auto"/>
        <w:rPr>
          <w:rFonts w:eastAsiaTheme="majorEastAsia"/>
          <w:sz w:val="24"/>
          <w:lang w:eastAsia="en-AU"/>
        </w:rPr>
      </w:pPr>
      <w:bookmarkStart w:id="13" w:name="_Toc464746045"/>
      <w:bookmarkStart w:id="14" w:name="_Toc464747143"/>
      <w:r w:rsidRPr="00FE0EE7">
        <w:rPr>
          <w:rFonts w:eastAsiaTheme="majorEastAsia"/>
          <w:sz w:val="24"/>
          <w:lang w:eastAsia="en-AU"/>
        </w:rPr>
        <w:lastRenderedPageBreak/>
        <w:t>Submission of Application</w:t>
      </w:r>
      <w:bookmarkEnd w:id="13"/>
      <w:bookmarkEnd w:id="14"/>
    </w:p>
    <w:p w14:paraId="7876F632" w14:textId="43418308" w:rsidR="00A77489" w:rsidRPr="00D531BD" w:rsidRDefault="00A657A4" w:rsidP="00FE0EE7">
      <w:pPr>
        <w:pStyle w:val="ListParagraph"/>
        <w:numPr>
          <w:ilvl w:val="1"/>
          <w:numId w:val="23"/>
        </w:numPr>
        <w:tabs>
          <w:tab w:val="left" w:pos="567"/>
        </w:tabs>
        <w:spacing w:after="120" w:line="240" w:lineRule="auto"/>
        <w:ind w:left="567" w:hanging="567"/>
        <w:contextualSpacing w:val="0"/>
        <w:rPr>
          <w:sz w:val="22"/>
          <w:szCs w:val="22"/>
        </w:rPr>
      </w:pPr>
      <w:r>
        <w:rPr>
          <w:color w:val="auto"/>
          <w:sz w:val="22"/>
          <w:szCs w:val="22"/>
        </w:rPr>
        <w:t>Please refer to the</w:t>
      </w:r>
      <w:r w:rsidR="00A77489" w:rsidRPr="00FE0EE7">
        <w:rPr>
          <w:color w:val="auto"/>
          <w:sz w:val="22"/>
          <w:szCs w:val="22"/>
        </w:rPr>
        <w:t xml:space="preserve"> application form</w:t>
      </w:r>
      <w:r>
        <w:rPr>
          <w:color w:val="auto"/>
          <w:sz w:val="22"/>
          <w:szCs w:val="22"/>
        </w:rPr>
        <w:t xml:space="preserve"> for</w:t>
      </w:r>
      <w:r w:rsidR="00A77489" w:rsidRPr="00FE0EE7">
        <w:rPr>
          <w:color w:val="auto"/>
          <w:sz w:val="22"/>
          <w:szCs w:val="22"/>
        </w:rPr>
        <w:t xml:space="preserve"> </w:t>
      </w:r>
      <w:r w:rsidR="00F00455">
        <w:rPr>
          <w:color w:val="auto"/>
          <w:sz w:val="22"/>
          <w:szCs w:val="22"/>
        </w:rPr>
        <w:t xml:space="preserve">submission information </w:t>
      </w:r>
      <w:r w:rsidR="00A77489" w:rsidRPr="00FE0EE7">
        <w:rPr>
          <w:color w:val="auto"/>
          <w:sz w:val="22"/>
          <w:szCs w:val="22"/>
        </w:rPr>
        <w:t xml:space="preserve">at </w:t>
      </w:r>
      <w:hyperlink r:id="rId22" w:tooltip="NOPTA Forms webpage" w:history="1">
        <w:r w:rsidR="00A77489" w:rsidRPr="00D531BD">
          <w:rPr>
            <w:rStyle w:val="Hyperlink"/>
            <w:sz w:val="22"/>
            <w:szCs w:val="22"/>
          </w:rPr>
          <w:t>http://www.nopta.gov.au/forms/forms.html</w:t>
        </w:r>
      </w:hyperlink>
      <w:r w:rsidR="00A77489" w:rsidRPr="00D531BD">
        <w:rPr>
          <w:sz w:val="22"/>
          <w:szCs w:val="22"/>
        </w:rPr>
        <w:t>.</w:t>
      </w:r>
    </w:p>
    <w:p w14:paraId="06CFD76D" w14:textId="77777777" w:rsidR="00A77489" w:rsidRPr="00FE0EE7" w:rsidRDefault="00A77489" w:rsidP="00FE0EE7">
      <w:pPr>
        <w:pStyle w:val="ListParagraph"/>
        <w:numPr>
          <w:ilvl w:val="1"/>
          <w:numId w:val="23"/>
        </w:numPr>
        <w:tabs>
          <w:tab w:val="left" w:pos="567"/>
        </w:tabs>
        <w:spacing w:after="120" w:line="240" w:lineRule="auto"/>
        <w:ind w:left="567" w:hanging="567"/>
        <w:contextualSpacing w:val="0"/>
        <w:rPr>
          <w:color w:val="auto"/>
          <w:sz w:val="22"/>
          <w:szCs w:val="22"/>
        </w:rPr>
      </w:pPr>
      <w:r w:rsidRPr="00FE0EE7">
        <w:rPr>
          <w:color w:val="auto"/>
          <w:sz w:val="22"/>
          <w:szCs w:val="22"/>
        </w:rPr>
        <w:t xml:space="preserve">In the application figures should be legible in the </w:t>
      </w:r>
      <w:proofErr w:type="gramStart"/>
      <w:r w:rsidRPr="00FE0EE7">
        <w:rPr>
          <w:color w:val="auto"/>
          <w:sz w:val="22"/>
          <w:szCs w:val="22"/>
        </w:rPr>
        <w:t>text, and</w:t>
      </w:r>
      <w:proofErr w:type="gramEnd"/>
      <w:r w:rsidRPr="00FE0EE7">
        <w:rPr>
          <w:color w:val="auto"/>
          <w:sz w:val="22"/>
          <w:szCs w:val="22"/>
        </w:rPr>
        <w:t xml:space="preserve"> are also to be provided as separate files in an attached Appendix at a resolution of at least 300 dpi. If applicable, seismic sections should be included with and without interpretation.</w:t>
      </w:r>
    </w:p>
    <w:p w14:paraId="6E881C6E" w14:textId="77777777" w:rsidR="006E437F" w:rsidRPr="00FE0EE7" w:rsidRDefault="00A77489" w:rsidP="00FE0EE7">
      <w:pPr>
        <w:pStyle w:val="ListParagraph"/>
        <w:numPr>
          <w:ilvl w:val="1"/>
          <w:numId w:val="23"/>
        </w:numPr>
        <w:tabs>
          <w:tab w:val="left" w:pos="567"/>
        </w:tabs>
        <w:spacing w:after="120" w:line="240" w:lineRule="auto"/>
        <w:contextualSpacing w:val="0"/>
        <w:rPr>
          <w:color w:val="auto"/>
          <w:sz w:val="22"/>
          <w:szCs w:val="22"/>
        </w:rPr>
      </w:pPr>
      <w:r w:rsidRPr="00FE0EE7">
        <w:rPr>
          <w:color w:val="auto"/>
          <w:sz w:val="22"/>
          <w:szCs w:val="22"/>
        </w:rPr>
        <w:t>An application mu</w:t>
      </w:r>
      <w:r w:rsidR="007F65C7" w:rsidRPr="00FE0EE7">
        <w:rPr>
          <w:color w:val="auto"/>
          <w:sz w:val="22"/>
          <w:szCs w:val="22"/>
        </w:rPr>
        <w:t>st include (s141, s147 or s153):</w:t>
      </w:r>
    </w:p>
    <w:p w14:paraId="76B78BC3" w14:textId="77777777" w:rsidR="006E437F" w:rsidRPr="00FE0EE7" w:rsidRDefault="00A77489" w:rsidP="00FE0EE7">
      <w:pPr>
        <w:pStyle w:val="ListParagraph"/>
        <w:numPr>
          <w:ilvl w:val="2"/>
          <w:numId w:val="23"/>
        </w:numPr>
        <w:tabs>
          <w:tab w:val="left" w:pos="993"/>
        </w:tabs>
        <w:spacing w:after="120" w:line="240" w:lineRule="auto"/>
        <w:ind w:left="1418" w:hanging="851"/>
        <w:contextualSpacing w:val="0"/>
        <w:rPr>
          <w:color w:val="auto"/>
          <w:sz w:val="22"/>
          <w:szCs w:val="22"/>
        </w:rPr>
      </w:pPr>
      <w:r w:rsidRPr="00FE0EE7">
        <w:rPr>
          <w:color w:val="auto"/>
          <w:sz w:val="22"/>
          <w:szCs w:val="22"/>
        </w:rPr>
        <w:t>proposals for work and expenditure;</w:t>
      </w:r>
    </w:p>
    <w:p w14:paraId="7A79B5F1" w14:textId="77777777" w:rsidR="006E437F" w:rsidRPr="00FE0EE7" w:rsidRDefault="00A77489" w:rsidP="00FE0EE7">
      <w:pPr>
        <w:pStyle w:val="ListParagraph"/>
        <w:numPr>
          <w:ilvl w:val="2"/>
          <w:numId w:val="23"/>
        </w:numPr>
        <w:tabs>
          <w:tab w:val="left" w:pos="993"/>
        </w:tabs>
        <w:spacing w:after="120" w:line="240" w:lineRule="auto"/>
        <w:ind w:left="1418" w:hanging="851"/>
        <w:contextualSpacing w:val="0"/>
        <w:rPr>
          <w:color w:val="auto"/>
          <w:sz w:val="22"/>
          <w:szCs w:val="22"/>
        </w:rPr>
      </w:pPr>
      <w:r w:rsidRPr="00FE0EE7">
        <w:rPr>
          <w:color w:val="auto"/>
          <w:sz w:val="22"/>
          <w:szCs w:val="22"/>
        </w:rPr>
        <w:t>the current commercial viability for the recovery of petroleum; and</w:t>
      </w:r>
    </w:p>
    <w:p w14:paraId="2A45D35E" w14:textId="77777777" w:rsidR="00A77489" w:rsidRPr="00FE0EE7" w:rsidRDefault="00A77489" w:rsidP="00FE0EE7">
      <w:pPr>
        <w:pStyle w:val="ListParagraph"/>
        <w:numPr>
          <w:ilvl w:val="2"/>
          <w:numId w:val="23"/>
        </w:numPr>
        <w:tabs>
          <w:tab w:val="left" w:pos="993"/>
        </w:tabs>
        <w:spacing w:after="120" w:line="240" w:lineRule="auto"/>
        <w:ind w:left="1418" w:hanging="851"/>
        <w:contextualSpacing w:val="0"/>
        <w:rPr>
          <w:color w:val="auto"/>
          <w:sz w:val="22"/>
          <w:szCs w:val="22"/>
        </w:rPr>
      </w:pPr>
      <w:r w:rsidRPr="00FE0EE7">
        <w:rPr>
          <w:color w:val="auto"/>
          <w:sz w:val="22"/>
          <w:szCs w:val="22"/>
        </w:rPr>
        <w:t>the possible future commercial viability of the recovery of petroleum.</w:t>
      </w:r>
    </w:p>
    <w:p w14:paraId="53CA7784" w14:textId="77777777" w:rsidR="00A77489" w:rsidRPr="00FE0EE7" w:rsidRDefault="00A77489" w:rsidP="00FE0EE7">
      <w:pPr>
        <w:pStyle w:val="ListParagraph"/>
        <w:numPr>
          <w:ilvl w:val="1"/>
          <w:numId w:val="23"/>
        </w:numPr>
        <w:tabs>
          <w:tab w:val="left" w:pos="567"/>
        </w:tabs>
        <w:spacing w:after="120" w:line="240" w:lineRule="auto"/>
        <w:ind w:left="567" w:hanging="567"/>
        <w:contextualSpacing w:val="0"/>
        <w:rPr>
          <w:color w:val="auto"/>
          <w:sz w:val="22"/>
          <w:szCs w:val="22"/>
        </w:rPr>
      </w:pPr>
      <w:r w:rsidRPr="00FE0EE7">
        <w:rPr>
          <w:color w:val="auto"/>
          <w:sz w:val="22"/>
          <w:szCs w:val="22"/>
        </w:rPr>
        <w:t xml:space="preserve">Refer to </w:t>
      </w:r>
      <w:r w:rsidRPr="00FE0EE7">
        <w:rPr>
          <w:color w:val="auto"/>
          <w:sz w:val="22"/>
          <w:szCs w:val="22"/>
          <w:u w:val="single"/>
        </w:rPr>
        <w:t>Attachment A</w:t>
      </w:r>
      <w:r w:rsidRPr="00FE0EE7">
        <w:rPr>
          <w:color w:val="auto"/>
          <w:sz w:val="22"/>
          <w:szCs w:val="22"/>
        </w:rPr>
        <w:t xml:space="preserve"> for detail on information that should be included in the application.</w:t>
      </w:r>
    </w:p>
    <w:p w14:paraId="1957EFE7" w14:textId="1573B772" w:rsidR="00A77489" w:rsidRPr="00D531BD" w:rsidRDefault="00A77489" w:rsidP="00FE0EE7">
      <w:pPr>
        <w:pStyle w:val="ListParagraph"/>
        <w:numPr>
          <w:ilvl w:val="1"/>
          <w:numId w:val="23"/>
        </w:numPr>
        <w:tabs>
          <w:tab w:val="left" w:pos="567"/>
        </w:tabs>
        <w:spacing w:after="120" w:line="240" w:lineRule="auto"/>
        <w:ind w:left="567" w:hanging="567"/>
        <w:contextualSpacing w:val="0"/>
        <w:rPr>
          <w:sz w:val="22"/>
          <w:szCs w:val="22"/>
        </w:rPr>
      </w:pPr>
      <w:r w:rsidRPr="00FE0EE7">
        <w:rPr>
          <w:color w:val="auto"/>
          <w:sz w:val="22"/>
          <w:szCs w:val="22"/>
        </w:rPr>
        <w:t xml:space="preserve">The application must be accompanied by the relevant fee (see </w:t>
      </w:r>
      <w:hyperlink r:id="rId23" w:tooltip="NOPTA Schedule of Fees" w:history="1">
        <w:r w:rsidR="003401C3" w:rsidRPr="00F80FE0">
          <w:rPr>
            <w:rStyle w:val="Hyperlink"/>
            <w:sz w:val="22"/>
            <w:szCs w:val="22"/>
          </w:rPr>
          <w:t>http://www.nopta.gov.au/_documents/schedule-of-fees.pdf</w:t>
        </w:r>
      </w:hyperlink>
      <w:r w:rsidRPr="00D531BD">
        <w:rPr>
          <w:sz w:val="22"/>
          <w:szCs w:val="22"/>
        </w:rPr>
        <w:t>).</w:t>
      </w:r>
    </w:p>
    <w:p w14:paraId="5D9B2870" w14:textId="1C7256F4" w:rsidR="00A77489" w:rsidRPr="00FE0EE7" w:rsidRDefault="00A77489" w:rsidP="00FE0EE7">
      <w:pPr>
        <w:pStyle w:val="ListParagraph"/>
        <w:numPr>
          <w:ilvl w:val="1"/>
          <w:numId w:val="23"/>
        </w:numPr>
        <w:tabs>
          <w:tab w:val="left" w:pos="567"/>
        </w:tabs>
        <w:spacing w:line="240" w:lineRule="auto"/>
        <w:ind w:left="567" w:hanging="567"/>
        <w:rPr>
          <w:color w:val="auto"/>
          <w:sz w:val="22"/>
          <w:szCs w:val="22"/>
        </w:rPr>
      </w:pPr>
      <w:r w:rsidRPr="00FE0EE7">
        <w:rPr>
          <w:color w:val="auto"/>
          <w:sz w:val="22"/>
          <w:szCs w:val="22"/>
        </w:rPr>
        <w:t>Upon receipt of an application, NOPTA will send the applicant an acknowledgement and application reference number.</w:t>
      </w:r>
    </w:p>
    <w:p w14:paraId="41B80745" w14:textId="77777777" w:rsidR="00A77489" w:rsidRPr="00FE0EE7" w:rsidRDefault="00A77489" w:rsidP="00FE0EE7">
      <w:pPr>
        <w:pStyle w:val="Heading3"/>
        <w:spacing w:before="240" w:after="60" w:line="240" w:lineRule="auto"/>
        <w:rPr>
          <w:rFonts w:eastAsiaTheme="majorEastAsia"/>
          <w:sz w:val="24"/>
          <w:lang w:eastAsia="en-AU"/>
        </w:rPr>
      </w:pPr>
      <w:bookmarkStart w:id="15" w:name="_Toc464746046"/>
      <w:bookmarkStart w:id="16" w:name="_Toc464747144"/>
      <w:r w:rsidRPr="00FE0EE7">
        <w:rPr>
          <w:rFonts w:eastAsiaTheme="majorEastAsia"/>
          <w:sz w:val="24"/>
          <w:lang w:eastAsia="en-AU"/>
        </w:rPr>
        <w:t>Request for further information</w:t>
      </w:r>
      <w:bookmarkEnd w:id="15"/>
      <w:bookmarkEnd w:id="16"/>
    </w:p>
    <w:p w14:paraId="4BFBC486" w14:textId="77777777" w:rsidR="00A14C38" w:rsidRPr="00FE0EE7" w:rsidRDefault="00A77489" w:rsidP="00FE0EE7">
      <w:pPr>
        <w:pStyle w:val="ListParagraph"/>
        <w:numPr>
          <w:ilvl w:val="1"/>
          <w:numId w:val="23"/>
        </w:numPr>
        <w:tabs>
          <w:tab w:val="left" w:pos="567"/>
        </w:tabs>
        <w:spacing w:after="120" w:line="240" w:lineRule="auto"/>
        <w:ind w:left="567" w:hanging="567"/>
        <w:contextualSpacing w:val="0"/>
        <w:rPr>
          <w:color w:val="auto"/>
          <w:sz w:val="22"/>
          <w:szCs w:val="22"/>
        </w:rPr>
      </w:pPr>
      <w:r w:rsidRPr="00FE0EE7">
        <w:rPr>
          <w:color w:val="auto"/>
          <w:sz w:val="22"/>
          <w:szCs w:val="22"/>
        </w:rPr>
        <w:t>NOPTA will review the application and may require an applicant to provide further information by written notice under s258(2). NOPTA may also request a meeting with the applicant to discuss any outstanding issues. The Joint Authority may also request that NOPTA seek additional information from the applicant.</w:t>
      </w:r>
    </w:p>
    <w:p w14:paraId="14AF1615" w14:textId="77777777" w:rsidR="00A14C38" w:rsidRPr="00FE0EE7" w:rsidRDefault="00A77489" w:rsidP="00FE0EE7">
      <w:pPr>
        <w:pStyle w:val="ListParagraph"/>
        <w:numPr>
          <w:ilvl w:val="1"/>
          <w:numId w:val="23"/>
        </w:numPr>
        <w:tabs>
          <w:tab w:val="left" w:pos="567"/>
        </w:tabs>
        <w:spacing w:after="120" w:line="240" w:lineRule="auto"/>
        <w:ind w:left="567" w:hanging="567"/>
        <w:contextualSpacing w:val="0"/>
        <w:rPr>
          <w:color w:val="auto"/>
          <w:sz w:val="22"/>
          <w:szCs w:val="22"/>
        </w:rPr>
      </w:pPr>
      <w:r w:rsidRPr="00FE0EE7">
        <w:rPr>
          <w:color w:val="auto"/>
          <w:sz w:val="22"/>
          <w:szCs w:val="22"/>
        </w:rPr>
        <w:t>If the further information requested by NOPTA, under s258(2), has not been submitted within the specified time, the Joint Authority may, by written notice to the applicant, choose not to consider or take any further action in relation to the application (s258(3)).</w:t>
      </w:r>
    </w:p>
    <w:p w14:paraId="1BEEEF75" w14:textId="1BFDDFC4" w:rsidR="00A14C38" w:rsidRPr="00FE0EE7" w:rsidRDefault="00A77489" w:rsidP="00FE0EE7">
      <w:pPr>
        <w:pStyle w:val="ListParagraph"/>
        <w:numPr>
          <w:ilvl w:val="1"/>
          <w:numId w:val="23"/>
        </w:numPr>
        <w:tabs>
          <w:tab w:val="left" w:pos="567"/>
        </w:tabs>
        <w:spacing w:after="120" w:line="240" w:lineRule="auto"/>
        <w:ind w:left="567" w:hanging="567"/>
        <w:contextualSpacing w:val="0"/>
        <w:rPr>
          <w:color w:val="auto"/>
          <w:sz w:val="22"/>
          <w:szCs w:val="22"/>
        </w:rPr>
      </w:pPr>
      <w:r w:rsidRPr="00FE0EE7">
        <w:rPr>
          <w:color w:val="auto"/>
          <w:sz w:val="22"/>
          <w:szCs w:val="22"/>
        </w:rPr>
        <w:t>NOPTA may seek and/or receive submissions from third parties on a retention lease application. Further information on third party submissions is provided at Item 3</w:t>
      </w:r>
      <w:r w:rsidR="00BE2E54">
        <w:rPr>
          <w:color w:val="auto"/>
          <w:sz w:val="22"/>
          <w:szCs w:val="22"/>
        </w:rPr>
        <w:t>.27</w:t>
      </w:r>
      <w:r w:rsidRPr="00FE0EE7">
        <w:rPr>
          <w:color w:val="auto"/>
          <w:sz w:val="22"/>
          <w:szCs w:val="22"/>
        </w:rPr>
        <w:t>.</w:t>
      </w:r>
    </w:p>
    <w:p w14:paraId="39075907" w14:textId="77777777" w:rsidR="00A14C38" w:rsidRPr="00FE0EE7" w:rsidRDefault="00A14C38" w:rsidP="00FE0EE7">
      <w:pPr>
        <w:pStyle w:val="Heading3"/>
        <w:spacing w:before="240" w:after="60" w:line="240" w:lineRule="auto"/>
        <w:rPr>
          <w:rFonts w:eastAsiaTheme="majorEastAsia"/>
          <w:sz w:val="24"/>
          <w:lang w:eastAsia="en-AU"/>
        </w:rPr>
      </w:pPr>
      <w:bookmarkStart w:id="17" w:name="_Toc464746047"/>
      <w:bookmarkStart w:id="18" w:name="_Toc464747145"/>
      <w:r w:rsidRPr="00FE0EE7">
        <w:rPr>
          <w:rFonts w:eastAsiaTheme="majorEastAsia"/>
          <w:sz w:val="24"/>
          <w:lang w:eastAsia="en-AU"/>
        </w:rPr>
        <w:t>Advice to Joint Authority</w:t>
      </w:r>
      <w:bookmarkEnd w:id="17"/>
      <w:bookmarkEnd w:id="18"/>
    </w:p>
    <w:p w14:paraId="69EF33AA" w14:textId="77777777" w:rsidR="00874ABE" w:rsidRPr="00FE0EE7" w:rsidRDefault="00A77489" w:rsidP="00FE0EE7">
      <w:pPr>
        <w:pStyle w:val="ListParagraph"/>
        <w:numPr>
          <w:ilvl w:val="1"/>
          <w:numId w:val="23"/>
        </w:numPr>
        <w:tabs>
          <w:tab w:val="left" w:pos="567"/>
        </w:tabs>
        <w:spacing w:after="120" w:line="240" w:lineRule="auto"/>
        <w:ind w:left="567" w:hanging="567"/>
        <w:contextualSpacing w:val="0"/>
        <w:rPr>
          <w:color w:val="auto"/>
          <w:sz w:val="22"/>
          <w:szCs w:val="22"/>
        </w:rPr>
      </w:pPr>
      <w:r w:rsidRPr="00FE0EE7">
        <w:rPr>
          <w:color w:val="auto"/>
          <w:sz w:val="22"/>
          <w:szCs w:val="22"/>
        </w:rPr>
        <w:t xml:space="preserve">When sufficient information has been provided by the applicant, NOPTA will prepare advice for the Joint Authority which recommends whether the </w:t>
      </w:r>
      <w:r w:rsidR="00122833" w:rsidRPr="00FE0EE7">
        <w:rPr>
          <w:color w:val="auto"/>
          <w:sz w:val="22"/>
          <w:szCs w:val="22"/>
        </w:rPr>
        <w:t>application should</w:t>
      </w:r>
      <w:r w:rsidRPr="00FE0EE7">
        <w:rPr>
          <w:color w:val="auto"/>
          <w:sz w:val="22"/>
          <w:szCs w:val="22"/>
        </w:rPr>
        <w:t xml:space="preserve"> be granted or refused. The advice may also outline any conditions recommended to be placed on the lease and the reasons for those conditions. The Joint Authority may apply conditions to the offer of the grant or renewal of a retention lease as it deems appropriate (s136).</w:t>
      </w:r>
    </w:p>
    <w:p w14:paraId="189DDD99" w14:textId="77777777" w:rsidR="00874ABE" w:rsidRPr="00FE0EE7" w:rsidRDefault="00A77489" w:rsidP="00FE0EE7">
      <w:pPr>
        <w:pStyle w:val="ListParagraph"/>
        <w:numPr>
          <w:ilvl w:val="1"/>
          <w:numId w:val="23"/>
        </w:numPr>
        <w:tabs>
          <w:tab w:val="left" w:pos="567"/>
        </w:tabs>
        <w:spacing w:line="240" w:lineRule="auto"/>
        <w:ind w:left="567" w:hanging="567"/>
        <w:contextualSpacing w:val="0"/>
        <w:rPr>
          <w:color w:val="auto"/>
          <w:sz w:val="22"/>
          <w:szCs w:val="22"/>
        </w:rPr>
      </w:pPr>
      <w:r w:rsidRPr="00FE0EE7">
        <w:rPr>
          <w:color w:val="auto"/>
          <w:sz w:val="22"/>
          <w:szCs w:val="22"/>
        </w:rPr>
        <w:t>NOPTA will consult with applicants before it recommends that the Joint Authority apply significant changes to an applicant’s proposed work program or significant additional conditions to th</w:t>
      </w:r>
      <w:r w:rsidR="00874ABE" w:rsidRPr="00FE0EE7">
        <w:rPr>
          <w:color w:val="auto"/>
          <w:sz w:val="22"/>
          <w:szCs w:val="22"/>
        </w:rPr>
        <w:t>e grant of the retention lease.</w:t>
      </w:r>
    </w:p>
    <w:p w14:paraId="044FAFA2" w14:textId="77777777" w:rsidR="00874ABE" w:rsidRPr="00FE0EE7" w:rsidRDefault="00874ABE" w:rsidP="00FE0EE7">
      <w:pPr>
        <w:pStyle w:val="Heading3"/>
        <w:spacing w:before="240" w:after="60" w:line="240" w:lineRule="auto"/>
        <w:rPr>
          <w:rFonts w:eastAsiaTheme="majorEastAsia"/>
          <w:sz w:val="24"/>
          <w:lang w:eastAsia="en-AU"/>
        </w:rPr>
      </w:pPr>
      <w:bookmarkStart w:id="19" w:name="_Toc464746048"/>
      <w:bookmarkStart w:id="20" w:name="_Toc464747146"/>
      <w:r w:rsidRPr="00FE0EE7">
        <w:rPr>
          <w:rFonts w:eastAsiaTheme="majorEastAsia"/>
          <w:sz w:val="24"/>
          <w:lang w:eastAsia="en-AU"/>
        </w:rPr>
        <w:t>Offer and grant of a retention lease</w:t>
      </w:r>
      <w:bookmarkEnd w:id="19"/>
      <w:bookmarkEnd w:id="20"/>
    </w:p>
    <w:p w14:paraId="001190C7" w14:textId="77777777" w:rsidR="00874ABE" w:rsidRPr="00FE0EE7" w:rsidRDefault="00A77489" w:rsidP="00FE0EE7">
      <w:pPr>
        <w:pStyle w:val="ListParagraph"/>
        <w:numPr>
          <w:ilvl w:val="1"/>
          <w:numId w:val="23"/>
        </w:numPr>
        <w:tabs>
          <w:tab w:val="left" w:pos="567"/>
        </w:tabs>
        <w:spacing w:after="120" w:line="240" w:lineRule="auto"/>
        <w:ind w:left="567" w:hanging="567"/>
        <w:contextualSpacing w:val="0"/>
        <w:rPr>
          <w:color w:val="auto"/>
          <w:sz w:val="22"/>
          <w:szCs w:val="22"/>
        </w:rPr>
      </w:pPr>
      <w:r w:rsidRPr="00FE0EE7">
        <w:rPr>
          <w:color w:val="auto"/>
          <w:sz w:val="22"/>
          <w:szCs w:val="22"/>
        </w:rPr>
        <w:t>If the Joint Authority agrees to grant the retention lease, NOPTA will communicate the offer of grant to the applicant, including the work program and any additional conditions. If the offer is accepted by the applicant within the time period specified in s260, NOPTA will gran</w:t>
      </w:r>
      <w:r w:rsidR="00874ABE" w:rsidRPr="00FE0EE7">
        <w:rPr>
          <w:color w:val="auto"/>
          <w:sz w:val="22"/>
          <w:szCs w:val="22"/>
        </w:rPr>
        <w:t>t the lease (s14</w:t>
      </w:r>
      <w:r w:rsidR="00953B39" w:rsidRPr="00FE0EE7">
        <w:rPr>
          <w:color w:val="auto"/>
          <w:sz w:val="22"/>
          <w:szCs w:val="22"/>
        </w:rPr>
        <w:t>4</w:t>
      </w:r>
      <w:r w:rsidR="00874ABE" w:rsidRPr="00FE0EE7">
        <w:rPr>
          <w:color w:val="auto"/>
          <w:sz w:val="22"/>
          <w:szCs w:val="22"/>
        </w:rPr>
        <w:t>, s150, s156).</w:t>
      </w:r>
    </w:p>
    <w:p w14:paraId="3CEBDB3D" w14:textId="77777777" w:rsidR="00874ABE" w:rsidRPr="00FE0EE7" w:rsidRDefault="00A77489" w:rsidP="00FE0EE7">
      <w:pPr>
        <w:pStyle w:val="ListParagraph"/>
        <w:numPr>
          <w:ilvl w:val="1"/>
          <w:numId w:val="23"/>
        </w:numPr>
        <w:tabs>
          <w:tab w:val="left" w:pos="567"/>
        </w:tabs>
        <w:spacing w:line="240" w:lineRule="auto"/>
        <w:ind w:left="567" w:hanging="567"/>
        <w:rPr>
          <w:color w:val="auto"/>
          <w:sz w:val="22"/>
          <w:szCs w:val="22"/>
        </w:rPr>
      </w:pPr>
      <w:r w:rsidRPr="00FE0EE7">
        <w:rPr>
          <w:color w:val="auto"/>
          <w:sz w:val="22"/>
          <w:szCs w:val="22"/>
        </w:rPr>
        <w:t>The retention lease comes into force on the date on which is granted, or a later date as specified in the lease</w:t>
      </w:r>
      <w:r w:rsidR="00953B39" w:rsidRPr="00FE0EE7">
        <w:rPr>
          <w:color w:val="auto"/>
          <w:sz w:val="22"/>
          <w:szCs w:val="22"/>
        </w:rPr>
        <w:t xml:space="preserve"> instrument</w:t>
      </w:r>
      <w:r w:rsidRPr="00FE0EE7">
        <w:rPr>
          <w:color w:val="auto"/>
          <w:sz w:val="22"/>
          <w:szCs w:val="22"/>
        </w:rPr>
        <w:t>.</w:t>
      </w:r>
    </w:p>
    <w:p w14:paraId="55E01188" w14:textId="77777777" w:rsidR="00CA1C5B" w:rsidRDefault="00CA1C5B">
      <w:pPr>
        <w:spacing w:line="240" w:lineRule="auto"/>
        <w:rPr>
          <w:rFonts w:eastAsiaTheme="majorEastAsia" w:cs="Arial"/>
          <w:b/>
          <w:bCs/>
          <w:color w:val="auto"/>
          <w:szCs w:val="26"/>
          <w:lang w:eastAsia="en-AU"/>
        </w:rPr>
      </w:pPr>
      <w:bookmarkStart w:id="21" w:name="_Toc464746049"/>
      <w:r>
        <w:rPr>
          <w:rFonts w:eastAsiaTheme="majorEastAsia"/>
          <w:lang w:eastAsia="en-AU"/>
        </w:rPr>
        <w:br w:type="page"/>
      </w:r>
    </w:p>
    <w:p w14:paraId="10E11535" w14:textId="72FFAEC1" w:rsidR="00874ABE" w:rsidRPr="00FE0EE7" w:rsidRDefault="00874ABE" w:rsidP="00FE0EE7">
      <w:pPr>
        <w:pStyle w:val="Heading3"/>
        <w:spacing w:before="240" w:after="60" w:line="240" w:lineRule="auto"/>
        <w:rPr>
          <w:rFonts w:eastAsiaTheme="majorEastAsia"/>
          <w:sz w:val="24"/>
          <w:lang w:eastAsia="en-AU"/>
        </w:rPr>
      </w:pPr>
      <w:bookmarkStart w:id="22" w:name="_Toc464747147"/>
      <w:r w:rsidRPr="00FE0EE7">
        <w:rPr>
          <w:rFonts w:eastAsiaTheme="majorEastAsia"/>
          <w:sz w:val="24"/>
          <w:lang w:eastAsia="en-AU"/>
        </w:rPr>
        <w:lastRenderedPageBreak/>
        <w:t>Refusal to grant a retention lease</w:t>
      </w:r>
      <w:bookmarkEnd w:id="21"/>
      <w:bookmarkEnd w:id="22"/>
    </w:p>
    <w:p w14:paraId="25F757B7" w14:textId="77777777" w:rsidR="00874ABE" w:rsidRPr="00FE0EE7" w:rsidRDefault="00874ABE" w:rsidP="00D553D5">
      <w:pPr>
        <w:pStyle w:val="Heading5"/>
      </w:pPr>
      <w:r w:rsidRPr="00FE0EE7">
        <w:t xml:space="preserve">Refusal of an initial grant under s143 (application by the holder of petroleum exploration permit)  </w:t>
      </w:r>
    </w:p>
    <w:p w14:paraId="1CECC992" w14:textId="77777777" w:rsidR="00744C0E" w:rsidRPr="00FE0EE7" w:rsidRDefault="00A77489" w:rsidP="00FE0EE7">
      <w:pPr>
        <w:pStyle w:val="ListParagraph"/>
        <w:numPr>
          <w:ilvl w:val="1"/>
          <w:numId w:val="23"/>
        </w:numPr>
        <w:tabs>
          <w:tab w:val="left" w:pos="567"/>
        </w:tabs>
        <w:spacing w:after="120" w:line="240" w:lineRule="auto"/>
        <w:ind w:left="567" w:hanging="567"/>
        <w:contextualSpacing w:val="0"/>
        <w:rPr>
          <w:color w:val="auto"/>
          <w:sz w:val="22"/>
          <w:szCs w:val="22"/>
        </w:rPr>
      </w:pPr>
      <w:r w:rsidRPr="00FE0EE7">
        <w:rPr>
          <w:color w:val="auto"/>
          <w:sz w:val="22"/>
          <w:szCs w:val="22"/>
        </w:rPr>
        <w:t xml:space="preserve">If the Joint Authority is not satisfied that the criteria specified in s142 have been met for any of the blocks within the application (i.e. if the block(s) </w:t>
      </w:r>
      <w:r w:rsidR="002A1818" w:rsidRPr="00FE0EE7">
        <w:rPr>
          <w:color w:val="auto"/>
          <w:sz w:val="22"/>
          <w:szCs w:val="22"/>
        </w:rPr>
        <w:t xml:space="preserve">does not contain </w:t>
      </w:r>
      <w:r w:rsidR="00486407" w:rsidRPr="00FE0EE7">
        <w:rPr>
          <w:color w:val="auto"/>
          <w:sz w:val="22"/>
          <w:szCs w:val="22"/>
        </w:rPr>
        <w:t>petroleum; is not likely to be commercially viable within 15 years; or is commercially v</w:t>
      </w:r>
      <w:r w:rsidRPr="00FE0EE7">
        <w:rPr>
          <w:color w:val="auto"/>
          <w:sz w:val="22"/>
          <w:szCs w:val="22"/>
        </w:rPr>
        <w:t>iable now) the Joint Authority must refuse to grant the application in respect of those block(s) (s143). NOPTA will advise the applicant of the Joint Authority’s decision.</w:t>
      </w:r>
    </w:p>
    <w:p w14:paraId="42FDA175" w14:textId="77777777" w:rsidR="001E63EB" w:rsidRPr="00FE0EE7" w:rsidRDefault="00A77489" w:rsidP="00FE0EE7">
      <w:pPr>
        <w:pStyle w:val="ListParagraph"/>
        <w:numPr>
          <w:ilvl w:val="1"/>
          <w:numId w:val="23"/>
        </w:numPr>
        <w:tabs>
          <w:tab w:val="left" w:pos="567"/>
        </w:tabs>
        <w:spacing w:after="120" w:line="240" w:lineRule="auto"/>
        <w:ind w:left="567" w:hanging="567"/>
        <w:contextualSpacing w:val="0"/>
        <w:rPr>
          <w:color w:val="auto"/>
          <w:sz w:val="22"/>
          <w:szCs w:val="22"/>
        </w:rPr>
      </w:pPr>
      <w:r w:rsidRPr="00FE0EE7">
        <w:rPr>
          <w:color w:val="auto"/>
          <w:sz w:val="22"/>
          <w:szCs w:val="22"/>
        </w:rPr>
        <w:t xml:space="preserve">If the Joint Authority </w:t>
      </w:r>
      <w:r w:rsidR="00486407" w:rsidRPr="00FE0EE7">
        <w:rPr>
          <w:color w:val="auto"/>
          <w:sz w:val="22"/>
          <w:szCs w:val="22"/>
        </w:rPr>
        <w:t>refuses to grant</w:t>
      </w:r>
      <w:r w:rsidR="00C84EFD" w:rsidRPr="00FE0EE7">
        <w:rPr>
          <w:color w:val="auto"/>
          <w:sz w:val="22"/>
          <w:szCs w:val="22"/>
        </w:rPr>
        <w:t xml:space="preserve"> </w:t>
      </w:r>
      <w:r w:rsidR="000B020F" w:rsidRPr="00FE0EE7">
        <w:rPr>
          <w:color w:val="auto"/>
          <w:sz w:val="22"/>
          <w:szCs w:val="22"/>
        </w:rPr>
        <w:t>an</w:t>
      </w:r>
      <w:r w:rsidR="00C84EFD" w:rsidRPr="00FE0EE7">
        <w:rPr>
          <w:color w:val="auto"/>
          <w:sz w:val="22"/>
          <w:szCs w:val="22"/>
        </w:rPr>
        <w:t xml:space="preserve"> application </w:t>
      </w:r>
      <w:r w:rsidR="000B020F" w:rsidRPr="00FE0EE7">
        <w:rPr>
          <w:color w:val="auto"/>
          <w:sz w:val="22"/>
          <w:szCs w:val="22"/>
        </w:rPr>
        <w:t xml:space="preserve">for a retention lease for </w:t>
      </w:r>
      <w:r w:rsidR="00C84EFD" w:rsidRPr="00FE0EE7">
        <w:rPr>
          <w:color w:val="auto"/>
          <w:sz w:val="22"/>
          <w:szCs w:val="22"/>
        </w:rPr>
        <w:t xml:space="preserve">a block(s) </w:t>
      </w:r>
      <w:r w:rsidR="00322E77" w:rsidRPr="00FE0EE7">
        <w:rPr>
          <w:color w:val="auto"/>
          <w:sz w:val="22"/>
          <w:szCs w:val="22"/>
        </w:rPr>
        <w:t>constituting a location</w:t>
      </w:r>
      <w:r w:rsidR="00AC18FB" w:rsidRPr="00FE0EE7">
        <w:rPr>
          <w:color w:val="auto"/>
          <w:sz w:val="22"/>
          <w:szCs w:val="22"/>
        </w:rPr>
        <w:t xml:space="preserve"> </w:t>
      </w:r>
      <w:r w:rsidR="00C84EFD" w:rsidRPr="00FE0EE7">
        <w:rPr>
          <w:color w:val="auto"/>
          <w:sz w:val="22"/>
          <w:szCs w:val="22"/>
        </w:rPr>
        <w:t xml:space="preserve">because it </w:t>
      </w:r>
      <w:r w:rsidRPr="00FE0EE7">
        <w:rPr>
          <w:color w:val="auto"/>
          <w:sz w:val="22"/>
          <w:szCs w:val="22"/>
        </w:rPr>
        <w:t>is not satisfied tha</w:t>
      </w:r>
      <w:r w:rsidR="007B0D7D" w:rsidRPr="00FE0EE7">
        <w:rPr>
          <w:color w:val="auto"/>
          <w:sz w:val="22"/>
          <w:szCs w:val="22"/>
        </w:rPr>
        <w:t>t</w:t>
      </w:r>
      <w:r w:rsidR="00915814" w:rsidRPr="00FE0EE7">
        <w:rPr>
          <w:color w:val="auto"/>
          <w:sz w:val="22"/>
          <w:szCs w:val="22"/>
        </w:rPr>
        <w:t xml:space="preserve"> </w:t>
      </w:r>
      <w:r w:rsidR="00C84EFD" w:rsidRPr="00FE0EE7">
        <w:rPr>
          <w:color w:val="auto"/>
          <w:sz w:val="22"/>
          <w:szCs w:val="22"/>
        </w:rPr>
        <w:t xml:space="preserve">(a) </w:t>
      </w:r>
      <w:r w:rsidR="00915814" w:rsidRPr="00FE0EE7">
        <w:rPr>
          <w:color w:val="auto"/>
          <w:sz w:val="22"/>
          <w:szCs w:val="22"/>
        </w:rPr>
        <w:t>the block(s) contains petroleum</w:t>
      </w:r>
      <w:r w:rsidR="00C84EFD" w:rsidRPr="00FE0EE7">
        <w:rPr>
          <w:color w:val="auto"/>
          <w:sz w:val="22"/>
          <w:szCs w:val="22"/>
        </w:rPr>
        <w:t>;</w:t>
      </w:r>
      <w:r w:rsidR="00915814" w:rsidRPr="00FE0EE7">
        <w:rPr>
          <w:color w:val="auto"/>
          <w:sz w:val="22"/>
          <w:szCs w:val="22"/>
        </w:rPr>
        <w:t xml:space="preserve"> or</w:t>
      </w:r>
      <w:r w:rsidR="00C84EFD" w:rsidRPr="00FE0EE7">
        <w:rPr>
          <w:color w:val="auto"/>
          <w:sz w:val="22"/>
          <w:szCs w:val="22"/>
        </w:rPr>
        <w:t xml:space="preserve"> (b) that</w:t>
      </w:r>
      <w:r w:rsidRPr="00FE0EE7">
        <w:rPr>
          <w:color w:val="auto"/>
          <w:sz w:val="22"/>
          <w:szCs w:val="22"/>
        </w:rPr>
        <w:t xml:space="preserve"> recovery of petroleum from</w:t>
      </w:r>
      <w:r w:rsidR="00915814" w:rsidRPr="00FE0EE7">
        <w:rPr>
          <w:color w:val="auto"/>
          <w:sz w:val="22"/>
          <w:szCs w:val="22"/>
        </w:rPr>
        <w:t xml:space="preserve"> the </w:t>
      </w:r>
      <w:r w:rsidRPr="00FE0EE7">
        <w:rPr>
          <w:color w:val="auto"/>
          <w:sz w:val="22"/>
          <w:szCs w:val="22"/>
        </w:rPr>
        <w:t>block(s)</w:t>
      </w:r>
      <w:r w:rsidR="00C84EFD" w:rsidRPr="00FE0EE7">
        <w:rPr>
          <w:color w:val="auto"/>
          <w:sz w:val="22"/>
          <w:szCs w:val="22"/>
        </w:rPr>
        <w:t xml:space="preserve"> is</w:t>
      </w:r>
      <w:r w:rsidRPr="00FE0EE7">
        <w:rPr>
          <w:color w:val="auto"/>
          <w:sz w:val="22"/>
          <w:szCs w:val="22"/>
        </w:rPr>
        <w:t xml:space="preserve"> likely to become commercially viable within 15</w:t>
      </w:r>
      <w:r w:rsidR="00915814" w:rsidRPr="00FE0EE7">
        <w:rPr>
          <w:color w:val="auto"/>
          <w:sz w:val="22"/>
          <w:szCs w:val="22"/>
        </w:rPr>
        <w:t> </w:t>
      </w:r>
      <w:r w:rsidR="00C84EFD" w:rsidRPr="00FE0EE7">
        <w:rPr>
          <w:color w:val="auto"/>
          <w:sz w:val="22"/>
          <w:szCs w:val="22"/>
        </w:rPr>
        <w:t>years;</w:t>
      </w:r>
      <w:r w:rsidRPr="00FE0EE7">
        <w:rPr>
          <w:color w:val="auto"/>
          <w:sz w:val="22"/>
          <w:szCs w:val="22"/>
        </w:rPr>
        <w:t xml:space="preserve"> the declaration of a location over t</w:t>
      </w:r>
      <w:r w:rsidR="00C84EFD" w:rsidRPr="00FE0EE7">
        <w:rPr>
          <w:color w:val="auto"/>
          <w:sz w:val="22"/>
          <w:szCs w:val="22"/>
        </w:rPr>
        <w:t>hat</w:t>
      </w:r>
      <w:r w:rsidR="00915814" w:rsidRPr="00FE0EE7">
        <w:rPr>
          <w:color w:val="auto"/>
          <w:sz w:val="22"/>
          <w:szCs w:val="22"/>
        </w:rPr>
        <w:t xml:space="preserve"> </w:t>
      </w:r>
      <w:r w:rsidRPr="00FE0EE7">
        <w:rPr>
          <w:color w:val="auto"/>
          <w:sz w:val="22"/>
          <w:szCs w:val="22"/>
        </w:rPr>
        <w:t>block(s) must be revoked by the Joint Authority, by a notice published in the Gazette</w:t>
      </w:r>
      <w:r w:rsidR="00AC18FB" w:rsidRPr="00FE0EE7">
        <w:rPr>
          <w:color w:val="auto"/>
          <w:sz w:val="22"/>
          <w:szCs w:val="22"/>
        </w:rPr>
        <w:t xml:space="preserve">: </w:t>
      </w:r>
      <w:r w:rsidRPr="00FE0EE7">
        <w:rPr>
          <w:color w:val="auto"/>
          <w:sz w:val="22"/>
          <w:szCs w:val="22"/>
        </w:rPr>
        <w:t>s132(7)</w:t>
      </w:r>
      <w:r w:rsidR="00915814" w:rsidRPr="00FE0EE7">
        <w:rPr>
          <w:color w:val="auto"/>
          <w:sz w:val="22"/>
          <w:szCs w:val="22"/>
        </w:rPr>
        <w:t xml:space="preserve"> or s132(7A)</w:t>
      </w:r>
      <w:r w:rsidRPr="00FE0EE7">
        <w:rPr>
          <w:color w:val="auto"/>
          <w:sz w:val="22"/>
          <w:szCs w:val="22"/>
        </w:rPr>
        <w:t>.</w:t>
      </w:r>
      <w:r w:rsidR="001E63EB" w:rsidRPr="00FE0EE7">
        <w:rPr>
          <w:color w:val="auto"/>
          <w:sz w:val="22"/>
          <w:szCs w:val="22"/>
        </w:rPr>
        <w:t xml:space="preserve"> If the applicant then wants to apply for a petroleum production licence in relation to the block(s), it must re-nominate the block(s) for declaration as a location before it applies for the petroleum production licence. </w:t>
      </w:r>
    </w:p>
    <w:p w14:paraId="6FEC61EC" w14:textId="77777777" w:rsidR="00322E77" w:rsidRPr="00FE0EE7" w:rsidRDefault="00322E77" w:rsidP="00FE0EE7">
      <w:pPr>
        <w:pStyle w:val="ListParagraph"/>
        <w:numPr>
          <w:ilvl w:val="1"/>
          <w:numId w:val="23"/>
        </w:numPr>
        <w:tabs>
          <w:tab w:val="left" w:pos="567"/>
        </w:tabs>
        <w:spacing w:after="120" w:line="240" w:lineRule="auto"/>
        <w:ind w:left="567" w:hanging="567"/>
        <w:contextualSpacing w:val="0"/>
        <w:rPr>
          <w:color w:val="auto"/>
          <w:sz w:val="22"/>
          <w:szCs w:val="22"/>
        </w:rPr>
      </w:pPr>
      <w:r w:rsidRPr="00FE0EE7">
        <w:rPr>
          <w:color w:val="auto"/>
          <w:sz w:val="22"/>
          <w:szCs w:val="22"/>
        </w:rPr>
        <w:t>If the Joint Authority refuses to grant an application for a retention lease</w:t>
      </w:r>
      <w:r w:rsidR="001E63EB" w:rsidRPr="00FE0EE7">
        <w:rPr>
          <w:color w:val="auto"/>
          <w:sz w:val="22"/>
          <w:szCs w:val="22"/>
        </w:rPr>
        <w:t xml:space="preserve"> for a block(s) </w:t>
      </w:r>
      <w:r w:rsidRPr="00FE0EE7">
        <w:rPr>
          <w:color w:val="auto"/>
          <w:sz w:val="22"/>
          <w:szCs w:val="22"/>
        </w:rPr>
        <w:t>the permittee should consider what continuing rights it may be entitled to in relation to that block(s) under the exploration permit.</w:t>
      </w:r>
    </w:p>
    <w:p w14:paraId="5A7590AC" w14:textId="77777777" w:rsidR="00AC18FB" w:rsidRPr="00FE0EE7" w:rsidRDefault="00AC18FB" w:rsidP="00FE0EE7">
      <w:pPr>
        <w:pStyle w:val="ListParagraph"/>
        <w:numPr>
          <w:ilvl w:val="1"/>
          <w:numId w:val="23"/>
        </w:numPr>
        <w:tabs>
          <w:tab w:val="left" w:pos="567"/>
        </w:tabs>
        <w:spacing w:after="120" w:line="240" w:lineRule="auto"/>
        <w:ind w:left="567" w:hanging="567"/>
        <w:contextualSpacing w:val="0"/>
        <w:rPr>
          <w:color w:val="auto"/>
          <w:sz w:val="22"/>
          <w:szCs w:val="22"/>
        </w:rPr>
      </w:pPr>
      <w:r w:rsidRPr="00FE0EE7">
        <w:rPr>
          <w:color w:val="auto"/>
          <w:sz w:val="22"/>
          <w:szCs w:val="22"/>
        </w:rPr>
        <w:t>If the Joint Authority refuses to grant a retention lease for block(s) included in the application on the basis that the block(s) is commercially viable at the time of application, the applicant has 12 months from the day on which notice of refusal to grant of the retention lease is given, or until the end of the application period specified in s169(1) (whichever ends last), to apply for a production licence</w:t>
      </w:r>
      <w:r w:rsidR="007B0D7D" w:rsidRPr="00FE0EE7">
        <w:rPr>
          <w:color w:val="auto"/>
          <w:sz w:val="22"/>
          <w:szCs w:val="22"/>
        </w:rPr>
        <w:t>: s169(3)</w:t>
      </w:r>
      <w:r w:rsidRPr="00FE0EE7">
        <w:rPr>
          <w:color w:val="auto"/>
          <w:sz w:val="22"/>
          <w:szCs w:val="22"/>
        </w:rPr>
        <w:t>.</w:t>
      </w:r>
    </w:p>
    <w:p w14:paraId="6B3BECB9" w14:textId="1E25A362" w:rsidR="00744C0E" w:rsidRPr="00FE0EE7" w:rsidRDefault="00844881" w:rsidP="00FE0EE7">
      <w:pPr>
        <w:pStyle w:val="ListParagraph"/>
        <w:numPr>
          <w:ilvl w:val="1"/>
          <w:numId w:val="23"/>
        </w:numPr>
        <w:tabs>
          <w:tab w:val="left" w:pos="567"/>
        </w:tabs>
        <w:spacing w:before="117" w:line="240" w:lineRule="auto"/>
        <w:ind w:left="567" w:hanging="567"/>
        <w:contextualSpacing w:val="0"/>
        <w:rPr>
          <w:color w:val="auto"/>
          <w:sz w:val="22"/>
          <w:szCs w:val="22"/>
        </w:rPr>
      </w:pPr>
      <w:r w:rsidRPr="00FE0EE7">
        <w:rPr>
          <w:color w:val="auto"/>
          <w:sz w:val="22"/>
          <w:szCs w:val="22"/>
        </w:rPr>
        <w:t>The exploration permit holder should consider the potential legal consequences of the provisions in section 188 of not making an application, under s168, within the application period</w:t>
      </w:r>
      <w:r w:rsidR="00A77489" w:rsidRPr="00FE0EE7">
        <w:rPr>
          <w:color w:val="auto"/>
          <w:sz w:val="22"/>
          <w:szCs w:val="22"/>
        </w:rPr>
        <w:t>.</w:t>
      </w:r>
    </w:p>
    <w:p w14:paraId="74F57807" w14:textId="77777777" w:rsidR="00DE125F" w:rsidRPr="00FE0EE7" w:rsidRDefault="00DE125F" w:rsidP="00FE0EE7">
      <w:pPr>
        <w:tabs>
          <w:tab w:val="left" w:pos="567"/>
        </w:tabs>
        <w:spacing w:line="240" w:lineRule="auto"/>
        <w:rPr>
          <w:i/>
          <w:color w:val="auto"/>
          <w:sz w:val="22"/>
          <w:szCs w:val="22"/>
        </w:rPr>
      </w:pPr>
    </w:p>
    <w:p w14:paraId="080AAA72" w14:textId="77777777" w:rsidR="00744C0E" w:rsidRPr="00FE0EE7" w:rsidRDefault="00744C0E" w:rsidP="00D553D5">
      <w:pPr>
        <w:pStyle w:val="Heading5"/>
      </w:pPr>
      <w:r w:rsidRPr="00FE0EE7">
        <w:t>Refusal of an initial grant under s149 (application by the holder of a life-of-field production licence)</w:t>
      </w:r>
    </w:p>
    <w:p w14:paraId="1C397B4F" w14:textId="24F9AB76" w:rsidR="00744C0E" w:rsidRPr="00FE0EE7" w:rsidRDefault="00A77489" w:rsidP="00FE0EE7">
      <w:pPr>
        <w:pStyle w:val="ListParagraph"/>
        <w:numPr>
          <w:ilvl w:val="1"/>
          <w:numId w:val="23"/>
        </w:numPr>
        <w:tabs>
          <w:tab w:val="left" w:pos="567"/>
        </w:tabs>
        <w:spacing w:after="120" w:line="240" w:lineRule="auto"/>
        <w:ind w:left="567" w:hanging="567"/>
        <w:contextualSpacing w:val="0"/>
        <w:rPr>
          <w:color w:val="auto"/>
          <w:sz w:val="22"/>
          <w:szCs w:val="22"/>
        </w:rPr>
      </w:pPr>
      <w:r w:rsidRPr="00FE0EE7">
        <w:rPr>
          <w:color w:val="auto"/>
          <w:sz w:val="22"/>
          <w:szCs w:val="22"/>
        </w:rPr>
        <w:t xml:space="preserve">If the Joint Authority is not satisfied that the criteria specified in s148 have been met in the application (i.e. </w:t>
      </w:r>
      <w:r w:rsidR="00EE6A3D" w:rsidRPr="00FE0EE7">
        <w:rPr>
          <w:color w:val="auto"/>
          <w:sz w:val="22"/>
          <w:szCs w:val="22"/>
        </w:rPr>
        <w:t xml:space="preserve">no petroleum in the block(s); or </w:t>
      </w:r>
      <w:r w:rsidRPr="00FE0EE7">
        <w:rPr>
          <w:color w:val="auto"/>
          <w:sz w:val="22"/>
          <w:szCs w:val="22"/>
        </w:rPr>
        <w:t xml:space="preserve">if recovery of petroleum from the unused area will not be commercially viable within </w:t>
      </w:r>
      <w:r w:rsidR="009B7965" w:rsidRPr="00FE0EE7">
        <w:rPr>
          <w:color w:val="auto"/>
          <w:sz w:val="22"/>
          <w:szCs w:val="22"/>
        </w:rPr>
        <w:t>15 </w:t>
      </w:r>
      <w:r w:rsidRPr="00FE0EE7">
        <w:rPr>
          <w:color w:val="auto"/>
          <w:sz w:val="22"/>
          <w:szCs w:val="22"/>
        </w:rPr>
        <w:t>years</w:t>
      </w:r>
      <w:r w:rsidR="00EE6A3D" w:rsidRPr="00FE0EE7">
        <w:rPr>
          <w:color w:val="auto"/>
          <w:sz w:val="22"/>
          <w:szCs w:val="22"/>
        </w:rPr>
        <w:t>;</w:t>
      </w:r>
      <w:r w:rsidRPr="00FE0EE7">
        <w:rPr>
          <w:color w:val="auto"/>
          <w:sz w:val="22"/>
          <w:szCs w:val="22"/>
        </w:rPr>
        <w:t xml:space="preserve"> or is commercially viable now) the Joint Authority must refuse to grant the application (s149).</w:t>
      </w:r>
    </w:p>
    <w:p w14:paraId="643C3966" w14:textId="1933A4F0" w:rsidR="00744C0E" w:rsidRPr="00FE0EE7" w:rsidRDefault="00A77489" w:rsidP="00FE0EE7">
      <w:pPr>
        <w:pStyle w:val="ListParagraph"/>
        <w:numPr>
          <w:ilvl w:val="1"/>
          <w:numId w:val="23"/>
        </w:numPr>
        <w:tabs>
          <w:tab w:val="left" w:pos="567"/>
        </w:tabs>
        <w:spacing w:after="120" w:line="240" w:lineRule="auto"/>
        <w:ind w:left="567" w:hanging="567"/>
        <w:contextualSpacing w:val="0"/>
        <w:rPr>
          <w:color w:val="auto"/>
          <w:sz w:val="22"/>
          <w:szCs w:val="22"/>
        </w:rPr>
      </w:pPr>
      <w:r w:rsidRPr="00FE0EE7">
        <w:rPr>
          <w:color w:val="auto"/>
          <w:sz w:val="22"/>
          <w:szCs w:val="22"/>
        </w:rPr>
        <w:t xml:space="preserve">A decision to refuse to grant a retention lease from a production licence is subject to the consultation procedures in s262. NOPTA will give at least </w:t>
      </w:r>
      <w:r w:rsidR="009B7965" w:rsidRPr="00FE0EE7">
        <w:rPr>
          <w:color w:val="auto"/>
          <w:sz w:val="22"/>
          <w:szCs w:val="22"/>
        </w:rPr>
        <w:t>30 </w:t>
      </w:r>
      <w:r w:rsidRPr="00FE0EE7">
        <w:rPr>
          <w:color w:val="auto"/>
          <w:sz w:val="22"/>
          <w:szCs w:val="22"/>
        </w:rPr>
        <w:t>days written notice to the lessee (and other persons it deems appropriate) of the Joint Authority’s intention to refuse the grant of the retention lease (s262(2)). The notice will include the reasons for the intended refusal and a date by which the lessee or other notified persons may make a written submission on the matter (s262(3)). If a written submission is made, the Joint Authority will take it into account when</w:t>
      </w:r>
      <w:r w:rsidR="00744C0E" w:rsidRPr="00FE0EE7">
        <w:rPr>
          <w:color w:val="auto"/>
          <w:sz w:val="22"/>
          <w:szCs w:val="22"/>
        </w:rPr>
        <w:t xml:space="preserve"> making the decision (s262(4)).</w:t>
      </w:r>
    </w:p>
    <w:p w14:paraId="7572E4A1" w14:textId="77777777" w:rsidR="00322E77" w:rsidRPr="00FE0EE7" w:rsidRDefault="00A77489" w:rsidP="00FE0EE7">
      <w:pPr>
        <w:pStyle w:val="ListParagraph"/>
        <w:numPr>
          <w:ilvl w:val="1"/>
          <w:numId w:val="23"/>
        </w:numPr>
        <w:tabs>
          <w:tab w:val="left" w:pos="567"/>
        </w:tabs>
        <w:spacing w:after="120" w:line="240" w:lineRule="auto"/>
        <w:ind w:left="567" w:hanging="567"/>
        <w:contextualSpacing w:val="0"/>
        <w:rPr>
          <w:color w:val="auto"/>
          <w:sz w:val="22"/>
          <w:szCs w:val="22"/>
        </w:rPr>
      </w:pPr>
      <w:r w:rsidRPr="00FE0EE7">
        <w:rPr>
          <w:color w:val="auto"/>
          <w:sz w:val="22"/>
          <w:szCs w:val="22"/>
        </w:rPr>
        <w:t xml:space="preserve">If the Joint Authority decides to refuse the application, NOPTA will advise the applicant in writing of this decision in accordance with s149. </w:t>
      </w:r>
    </w:p>
    <w:p w14:paraId="53B9E7E1" w14:textId="77777777" w:rsidR="00744C0E" w:rsidRPr="00FE0EE7" w:rsidRDefault="00322E77" w:rsidP="00FE0EE7">
      <w:pPr>
        <w:pStyle w:val="ListParagraph"/>
        <w:numPr>
          <w:ilvl w:val="1"/>
          <w:numId w:val="23"/>
        </w:numPr>
        <w:tabs>
          <w:tab w:val="left" w:pos="567"/>
        </w:tabs>
        <w:spacing w:line="240" w:lineRule="auto"/>
        <w:ind w:left="567" w:hanging="567"/>
        <w:contextualSpacing w:val="0"/>
        <w:rPr>
          <w:color w:val="auto"/>
          <w:sz w:val="22"/>
          <w:szCs w:val="22"/>
        </w:rPr>
      </w:pPr>
      <w:r w:rsidRPr="00FE0EE7">
        <w:rPr>
          <w:color w:val="auto"/>
          <w:sz w:val="22"/>
          <w:szCs w:val="22"/>
        </w:rPr>
        <w:t>If the Joint Authority refuses to grant an application for a production licence for a block(s), the licensee should consider what continuing rights it may be entitled to in relation to that block(s) under the production licence.</w:t>
      </w:r>
    </w:p>
    <w:p w14:paraId="1E017217" w14:textId="77777777" w:rsidR="0012707E" w:rsidRPr="00FE0EE7" w:rsidRDefault="0012707E" w:rsidP="00FE0EE7">
      <w:pPr>
        <w:tabs>
          <w:tab w:val="left" w:pos="567"/>
        </w:tabs>
        <w:spacing w:line="240" w:lineRule="auto"/>
        <w:rPr>
          <w:i/>
          <w:color w:val="auto"/>
          <w:sz w:val="22"/>
          <w:szCs w:val="22"/>
        </w:rPr>
      </w:pPr>
    </w:p>
    <w:p w14:paraId="6DFA83D5" w14:textId="77777777" w:rsidR="00CA1C5B" w:rsidRDefault="00CA1C5B">
      <w:pPr>
        <w:spacing w:line="240" w:lineRule="auto"/>
        <w:rPr>
          <w:i/>
          <w:color w:val="auto"/>
          <w:sz w:val="22"/>
          <w:szCs w:val="22"/>
        </w:rPr>
      </w:pPr>
      <w:r>
        <w:rPr>
          <w:i/>
          <w:color w:val="auto"/>
          <w:sz w:val="22"/>
          <w:szCs w:val="22"/>
        </w:rPr>
        <w:br w:type="page"/>
      </w:r>
    </w:p>
    <w:p w14:paraId="38829D8B" w14:textId="100D6C25" w:rsidR="00744C0E" w:rsidRPr="00FE0EE7" w:rsidRDefault="00744C0E" w:rsidP="00D553D5">
      <w:pPr>
        <w:pStyle w:val="Heading5"/>
      </w:pPr>
      <w:r w:rsidRPr="00FE0EE7">
        <w:lastRenderedPageBreak/>
        <w:t>Refusal of a renewal under s155</w:t>
      </w:r>
    </w:p>
    <w:p w14:paraId="05E2B863" w14:textId="6B17557A" w:rsidR="00744C0E" w:rsidRPr="00FE0EE7" w:rsidRDefault="00A77489" w:rsidP="00FE0EE7">
      <w:pPr>
        <w:pStyle w:val="ListParagraph"/>
        <w:numPr>
          <w:ilvl w:val="1"/>
          <w:numId w:val="23"/>
        </w:numPr>
        <w:tabs>
          <w:tab w:val="left" w:pos="567"/>
        </w:tabs>
        <w:spacing w:after="120" w:line="240" w:lineRule="auto"/>
        <w:ind w:left="567" w:hanging="567"/>
        <w:contextualSpacing w:val="0"/>
        <w:rPr>
          <w:color w:val="auto"/>
          <w:sz w:val="22"/>
          <w:szCs w:val="22"/>
        </w:rPr>
      </w:pPr>
      <w:r w:rsidRPr="00FE0EE7">
        <w:rPr>
          <w:color w:val="auto"/>
          <w:sz w:val="22"/>
          <w:szCs w:val="22"/>
        </w:rPr>
        <w:t>When considering the renewal of a retention lease, the Joint Authority will determine whether the applicant has met all of the conditions of the lease, Chapters 2, 4</w:t>
      </w:r>
      <w:r w:rsidR="00F2689C" w:rsidRPr="00FE0EE7">
        <w:rPr>
          <w:color w:val="auto"/>
          <w:sz w:val="22"/>
          <w:szCs w:val="22"/>
        </w:rPr>
        <w:t>,</w:t>
      </w:r>
      <w:r w:rsidRPr="00FE0EE7">
        <w:rPr>
          <w:color w:val="auto"/>
          <w:sz w:val="22"/>
          <w:szCs w:val="22"/>
        </w:rPr>
        <w:t xml:space="preserve"> 6 and Part</w:t>
      </w:r>
      <w:r w:rsidR="00520405">
        <w:rPr>
          <w:color w:val="auto"/>
          <w:sz w:val="22"/>
          <w:szCs w:val="22"/>
        </w:rPr>
        <w:t> </w:t>
      </w:r>
      <w:r w:rsidRPr="00FE0EE7">
        <w:rPr>
          <w:color w:val="auto"/>
          <w:sz w:val="22"/>
          <w:szCs w:val="22"/>
        </w:rPr>
        <w:t xml:space="preserve">7.1 of the OPGGSA and associated regulations. If all lease conditions and legislative provisions have not been met, and the Joint Authority is not satisfied that there are sufficient grounds to warrant the grant of the renewal, the Joint Authority must refuse </w:t>
      </w:r>
      <w:r w:rsidR="00744C0E" w:rsidRPr="00FE0EE7">
        <w:rPr>
          <w:color w:val="auto"/>
          <w:sz w:val="22"/>
          <w:szCs w:val="22"/>
        </w:rPr>
        <w:t>to grant the renewal (s155(2)).</w:t>
      </w:r>
    </w:p>
    <w:p w14:paraId="65C86E1A" w14:textId="4F1966B6" w:rsidR="00744C0E" w:rsidRPr="00FE0EE7" w:rsidRDefault="00A77489" w:rsidP="00FE0EE7">
      <w:pPr>
        <w:pStyle w:val="ListParagraph"/>
        <w:numPr>
          <w:ilvl w:val="1"/>
          <w:numId w:val="23"/>
        </w:numPr>
        <w:tabs>
          <w:tab w:val="left" w:pos="567"/>
        </w:tabs>
        <w:spacing w:after="120" w:line="240" w:lineRule="auto"/>
        <w:ind w:left="567" w:hanging="567"/>
        <w:contextualSpacing w:val="0"/>
        <w:rPr>
          <w:color w:val="auto"/>
          <w:sz w:val="22"/>
          <w:szCs w:val="22"/>
        </w:rPr>
      </w:pPr>
      <w:r w:rsidRPr="00FE0EE7">
        <w:rPr>
          <w:color w:val="auto"/>
          <w:sz w:val="22"/>
          <w:szCs w:val="22"/>
        </w:rPr>
        <w:t>If the Joint Authority is not satisfied that the commerciality criteria have been met (i.e. will not be commercially viable within 15 years or is commercially viable now), the Joint</w:t>
      </w:r>
      <w:r w:rsidR="00520405">
        <w:rPr>
          <w:color w:val="auto"/>
          <w:sz w:val="22"/>
          <w:szCs w:val="22"/>
        </w:rPr>
        <w:t> </w:t>
      </w:r>
      <w:r w:rsidRPr="00FE0EE7">
        <w:rPr>
          <w:color w:val="auto"/>
          <w:sz w:val="22"/>
          <w:szCs w:val="22"/>
        </w:rPr>
        <w:t>Authority must refuse to renew the retention lease (s155(3) and (4)).</w:t>
      </w:r>
    </w:p>
    <w:p w14:paraId="5534C7DE" w14:textId="77777777" w:rsidR="00744C0E" w:rsidRPr="00FE0EE7" w:rsidRDefault="00A77489" w:rsidP="00FE0EE7">
      <w:pPr>
        <w:pStyle w:val="ListParagraph"/>
        <w:numPr>
          <w:ilvl w:val="1"/>
          <w:numId w:val="23"/>
        </w:numPr>
        <w:tabs>
          <w:tab w:val="left" w:pos="567"/>
        </w:tabs>
        <w:spacing w:after="120" w:line="240" w:lineRule="auto"/>
        <w:ind w:left="567" w:hanging="567"/>
        <w:contextualSpacing w:val="0"/>
        <w:rPr>
          <w:color w:val="auto"/>
          <w:sz w:val="22"/>
          <w:szCs w:val="22"/>
        </w:rPr>
      </w:pPr>
      <w:r w:rsidRPr="00FE0EE7">
        <w:rPr>
          <w:color w:val="auto"/>
          <w:sz w:val="22"/>
          <w:szCs w:val="22"/>
        </w:rPr>
        <w:t xml:space="preserve">A decision to refuse renewal of a retention lease is subject to the consultation procedures in s262. NOPTA will give at least 30 days written notice to the lessee (and other persons it deems appropriate) of the Joint Authority’s intention to refuse the lease’s renewal (s262(2)). The notice will include the reasons for the intended refusal and a date by which the lessee or other notified persons may make a written submission on the matter (s262(3)) which will be </w:t>
      </w:r>
      <w:proofErr w:type="gramStart"/>
      <w:r w:rsidRPr="00FE0EE7">
        <w:rPr>
          <w:color w:val="auto"/>
          <w:sz w:val="22"/>
          <w:szCs w:val="22"/>
        </w:rPr>
        <w:t>taken into account</w:t>
      </w:r>
      <w:proofErr w:type="gramEnd"/>
      <w:r w:rsidRPr="00FE0EE7">
        <w:rPr>
          <w:color w:val="auto"/>
          <w:sz w:val="22"/>
          <w:szCs w:val="22"/>
        </w:rPr>
        <w:t xml:space="preserve"> by the Joint Authority in its decision (s262(4)). If the Joint Authority decides to refuse the renewal application, NOPTA will advise the applicant in writing of this decision in accordance with s155.</w:t>
      </w:r>
    </w:p>
    <w:p w14:paraId="64E4631E" w14:textId="77777777" w:rsidR="00744C0E" w:rsidRPr="00FE0EE7" w:rsidRDefault="00A77489" w:rsidP="00FE0EE7">
      <w:pPr>
        <w:pStyle w:val="ListParagraph"/>
        <w:numPr>
          <w:ilvl w:val="1"/>
          <w:numId w:val="23"/>
        </w:numPr>
        <w:tabs>
          <w:tab w:val="left" w:pos="567"/>
        </w:tabs>
        <w:spacing w:after="120" w:line="240" w:lineRule="auto"/>
        <w:ind w:left="567" w:hanging="567"/>
        <w:contextualSpacing w:val="0"/>
        <w:rPr>
          <w:color w:val="auto"/>
          <w:sz w:val="22"/>
          <w:szCs w:val="22"/>
        </w:rPr>
      </w:pPr>
      <w:r w:rsidRPr="00FE0EE7">
        <w:rPr>
          <w:color w:val="auto"/>
          <w:sz w:val="22"/>
          <w:szCs w:val="22"/>
        </w:rPr>
        <w:t xml:space="preserve">If the expiry date of the retention lease has passed, and the titleholder applies for a production licence within the </w:t>
      </w:r>
      <w:proofErr w:type="gramStart"/>
      <w:r w:rsidRPr="00FE0EE7">
        <w:rPr>
          <w:color w:val="auto"/>
          <w:sz w:val="22"/>
          <w:szCs w:val="22"/>
        </w:rPr>
        <w:t>12 month</w:t>
      </w:r>
      <w:proofErr w:type="gramEnd"/>
      <w:r w:rsidRPr="00FE0EE7">
        <w:rPr>
          <w:color w:val="auto"/>
          <w:sz w:val="22"/>
          <w:szCs w:val="22"/>
        </w:rPr>
        <w:t xml:space="preserve"> period specified in the notice, the lease continues in force until the production licence application is grante</w:t>
      </w:r>
      <w:r w:rsidR="00744C0E" w:rsidRPr="00FE0EE7">
        <w:rPr>
          <w:color w:val="auto"/>
          <w:sz w:val="22"/>
          <w:szCs w:val="22"/>
        </w:rPr>
        <w:t>d, refused or lapses (s155(6)).</w:t>
      </w:r>
    </w:p>
    <w:p w14:paraId="28BB5D14" w14:textId="77777777" w:rsidR="00A77489" w:rsidRPr="00FE0EE7" w:rsidRDefault="00A77489" w:rsidP="00FE0EE7">
      <w:pPr>
        <w:pStyle w:val="ListParagraph"/>
        <w:numPr>
          <w:ilvl w:val="1"/>
          <w:numId w:val="23"/>
        </w:numPr>
        <w:tabs>
          <w:tab w:val="left" w:pos="567"/>
        </w:tabs>
        <w:spacing w:after="120" w:line="240" w:lineRule="auto"/>
        <w:ind w:left="567" w:hanging="567"/>
        <w:contextualSpacing w:val="0"/>
        <w:rPr>
          <w:color w:val="auto"/>
          <w:sz w:val="22"/>
          <w:szCs w:val="22"/>
        </w:rPr>
      </w:pPr>
      <w:r w:rsidRPr="00FE0EE7">
        <w:rPr>
          <w:color w:val="auto"/>
          <w:sz w:val="22"/>
          <w:szCs w:val="22"/>
        </w:rPr>
        <w:t>If the expiry date of the retention lease has passed, and an application for a production licence is not made within the 12 month period specified in the notice, the retention lease will cease and the block(s) covered by the retention lease will revert to vacant acreage at the end of the</w:t>
      </w:r>
      <w:r w:rsidR="00744C0E" w:rsidRPr="00FE0EE7">
        <w:rPr>
          <w:color w:val="auto"/>
          <w:sz w:val="22"/>
          <w:szCs w:val="22"/>
        </w:rPr>
        <w:t xml:space="preserve"> </w:t>
      </w:r>
      <w:r w:rsidRPr="00FE0EE7">
        <w:rPr>
          <w:color w:val="auto"/>
          <w:sz w:val="22"/>
          <w:szCs w:val="22"/>
        </w:rPr>
        <w:t>12 month period (s155(7)).</w:t>
      </w:r>
    </w:p>
    <w:p w14:paraId="36EE8050" w14:textId="42F231CC" w:rsidR="00B0714C" w:rsidRDefault="00B0714C">
      <w:pPr>
        <w:spacing w:line="240" w:lineRule="auto"/>
        <w:rPr>
          <w:color w:val="auto"/>
        </w:rPr>
      </w:pPr>
      <w:r>
        <w:rPr>
          <w:color w:val="auto"/>
        </w:rPr>
        <w:br w:type="page"/>
      </w:r>
    </w:p>
    <w:p w14:paraId="0186A0FE" w14:textId="77777777" w:rsidR="00DE125F" w:rsidRPr="00FE0EE7" w:rsidRDefault="00DE125F" w:rsidP="00744C0E">
      <w:pPr>
        <w:rPr>
          <w:color w:val="auto"/>
          <w:u w:val="single"/>
        </w:rPr>
      </w:pPr>
      <w:r w:rsidRPr="00FE0EE7">
        <w:rPr>
          <w:color w:val="auto"/>
          <w:u w:val="single"/>
        </w:rPr>
        <w:lastRenderedPageBreak/>
        <w:t>Figure 1</w:t>
      </w:r>
      <w:r w:rsidR="00ED5999" w:rsidRPr="00FE0EE7">
        <w:rPr>
          <w:color w:val="auto"/>
          <w:u w:val="single"/>
        </w:rPr>
        <w:t xml:space="preserve">: Retention Lease Approval Process Overview </w:t>
      </w:r>
    </w:p>
    <w:p w14:paraId="24DAD105" w14:textId="77777777" w:rsidR="00ED5999" w:rsidRPr="00DE125F" w:rsidRDefault="00ED5999" w:rsidP="00744C0E">
      <w:pPr>
        <w:rPr>
          <w:u w:val="single"/>
        </w:rPr>
      </w:pPr>
    </w:p>
    <w:p w14:paraId="79916EC0" w14:textId="77777777" w:rsidR="00ED5999" w:rsidRDefault="00B768E6" w:rsidP="00613808">
      <w:r>
        <w:rPr>
          <w:noProof/>
          <w:lang w:eastAsia="en-AU"/>
        </w:rPr>
        <mc:AlternateContent>
          <mc:Choice Requires="wps">
            <w:drawing>
              <wp:anchor distT="0" distB="0" distL="114300" distR="114300" simplePos="0" relativeHeight="251659264" behindDoc="0" locked="0" layoutInCell="1" allowOverlap="1" wp14:anchorId="61087489" wp14:editId="1C6BA109">
                <wp:simplePos x="0" y="0"/>
                <wp:positionH relativeFrom="column">
                  <wp:posOffset>2045473</wp:posOffset>
                </wp:positionH>
                <wp:positionV relativeFrom="paragraph">
                  <wp:posOffset>4419793</wp:posOffset>
                </wp:positionV>
                <wp:extent cx="1129085" cy="189865"/>
                <wp:effectExtent l="0" t="0" r="13970" b="19685"/>
                <wp:wrapNone/>
                <wp:docPr id="3" name="Text Box 3"/>
                <wp:cNvGraphicFramePr/>
                <a:graphic xmlns:a="http://schemas.openxmlformats.org/drawingml/2006/main">
                  <a:graphicData uri="http://schemas.microsoft.com/office/word/2010/wordprocessingShape">
                    <wps:wsp>
                      <wps:cNvSpPr txBox="1"/>
                      <wps:spPr>
                        <a:xfrm>
                          <a:off x="0" y="0"/>
                          <a:ext cx="1129085" cy="189865"/>
                        </a:xfrm>
                        <a:prstGeom prst="rect">
                          <a:avLst/>
                        </a:prstGeom>
                        <a:solidFill>
                          <a:schemeClr val="accent1"/>
                        </a:solidFill>
                        <a:ln w="12700">
                          <a:solidFill>
                            <a:schemeClr val="tx2"/>
                          </a:solidFill>
                        </a:ln>
                        <a:effectLst/>
                      </wps:spPr>
                      <wps:style>
                        <a:lnRef idx="0">
                          <a:schemeClr val="accent1"/>
                        </a:lnRef>
                        <a:fillRef idx="0">
                          <a:schemeClr val="accent1"/>
                        </a:fillRef>
                        <a:effectRef idx="0">
                          <a:schemeClr val="accent1"/>
                        </a:effectRef>
                        <a:fontRef idx="minor">
                          <a:schemeClr val="dk1"/>
                        </a:fontRef>
                      </wps:style>
                      <wps:txbx>
                        <w:txbxContent>
                          <w:p w14:paraId="2B2A913B" w14:textId="77777777" w:rsidR="00613808" w:rsidRPr="00B768E6" w:rsidRDefault="00613808">
                            <w:pPr>
                              <w:rPr>
                                <w:b/>
                                <w:color w:val="FFFFFF" w:themeColor="background1"/>
                                <w:sz w:val="13"/>
                                <w:szCs w:val="13"/>
                              </w:rPr>
                            </w:pPr>
                            <w:r w:rsidRPr="00B768E6">
                              <w:rPr>
                                <w:b/>
                                <w:color w:val="FFFFFF" w:themeColor="background1"/>
                                <w:sz w:val="13"/>
                                <w:szCs w:val="13"/>
                              </w:rPr>
                              <w:t xml:space="preserve">Accepted by applicant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087489" id="_x0000_t202" coordsize="21600,21600" o:spt="202" path="m,l,21600r21600,l21600,xe">
                <v:stroke joinstyle="miter"/>
                <v:path gradientshapeok="t" o:connecttype="rect"/>
              </v:shapetype>
              <v:shape id="Text Box 3" o:spid="_x0000_s1026" type="#_x0000_t202" style="position:absolute;margin-left:161.05pt;margin-top:348pt;width:88.9pt;height:14.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" fillcolor="#4f81bd [3204]" strokecolor="#1f497d [3215]" strokeweight="1pt">
                <v:textbox>
                  <w:txbxContent>
                    <w:p w14:paraId="2B2A913B" w14:textId="77777777" w:rsidR="00613808" w:rsidRPr="00B768E6" w:rsidRDefault="00613808">
                      <w:pPr>
                        <w:rPr>
                          <w:b/>
                          <w:color w:val="FFFFFF" w:themeColor="background1"/>
                          <w:sz w:val="13"/>
                          <w:szCs w:val="13"/>
                        </w:rPr>
                      </w:pPr>
                      <w:r w:rsidRPr="00B768E6">
                        <w:rPr>
                          <w:b/>
                          <w:color w:val="FFFFFF" w:themeColor="background1"/>
                          <w:sz w:val="13"/>
                          <w:szCs w:val="13"/>
                        </w:rPr>
                        <w:t xml:space="preserve">Accepted by applicant </w:t>
                      </w:r>
                    </w:p>
                  </w:txbxContent>
                </v:textbox>
              </v:shape>
            </w:pict>
          </mc:Fallback>
        </mc:AlternateContent>
      </w:r>
      <w:r w:rsidR="0087076E" w:rsidRPr="00613808">
        <w:rPr>
          <w:noProof/>
          <w:lang w:eastAsia="en-AU"/>
        </w:rPr>
        <w:drawing>
          <wp:inline distT="0" distB="0" distL="0" distR="0" wp14:anchorId="680D9402" wp14:editId="682E881A">
            <wp:extent cx="5276666" cy="4972050"/>
            <wp:effectExtent l="0" t="0" r="635" b="0"/>
            <wp:docPr id="2" name="Picture 2" title="Retention Lease Approval Process Over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11C9F.B64FB5B0"/>
                    <pic:cNvPicPr>
                      <a:picLocks noChangeAspect="1" noChangeArrowheads="1"/>
                    </pic:cNvPicPr>
                  </pic:nvPicPr>
                  <pic:blipFill>
                    <a:blip r:embed="rId24" r:link="rId25">
                      <a:extLst>
                        <a:ext uri="{28A0092B-C50C-407E-A947-70E740481C1C}">
                          <a14:useLocalDpi xmlns:a14="http://schemas.microsoft.com/office/drawing/2010/main" val="0"/>
                        </a:ext>
                      </a:extLst>
                    </a:blip>
                    <a:srcRect/>
                    <a:stretch>
                      <a:fillRect/>
                    </a:stretch>
                  </pic:blipFill>
                  <pic:spPr bwMode="auto">
                    <a:xfrm>
                      <a:off x="0" y="0"/>
                      <a:ext cx="5276666" cy="4972050"/>
                    </a:xfrm>
                    <a:prstGeom prst="rect">
                      <a:avLst/>
                    </a:prstGeom>
                    <a:noFill/>
                    <a:ln>
                      <a:noFill/>
                    </a:ln>
                  </pic:spPr>
                </pic:pic>
              </a:graphicData>
            </a:graphic>
          </wp:inline>
        </w:drawing>
      </w:r>
    </w:p>
    <w:p w14:paraId="46D4FA39" w14:textId="77777777" w:rsidR="009B7965" w:rsidRDefault="009B7965">
      <w:pPr>
        <w:spacing w:line="240" w:lineRule="auto"/>
        <w:rPr>
          <w:rFonts w:cs="Arial"/>
          <w:b/>
          <w:bCs/>
          <w:iCs/>
          <w:color w:val="auto"/>
          <w:sz w:val="36"/>
          <w:szCs w:val="28"/>
        </w:rPr>
      </w:pPr>
      <w:r>
        <w:br w:type="page"/>
      </w:r>
    </w:p>
    <w:p w14:paraId="73902D1A" w14:textId="7B118D07" w:rsidR="00744C0E" w:rsidRPr="00FE0EE7" w:rsidRDefault="00744C0E" w:rsidP="00FE0EE7">
      <w:pPr>
        <w:pStyle w:val="Heading2"/>
        <w:rPr>
          <w:iCs w:val="0"/>
          <w:kern w:val="32"/>
          <w:sz w:val="28"/>
          <w:szCs w:val="32"/>
          <w:lang w:eastAsia="en-AU"/>
        </w:rPr>
      </w:pPr>
      <w:bookmarkStart w:id="23" w:name="_Toc464747148"/>
      <w:r w:rsidRPr="00FE0EE7">
        <w:rPr>
          <w:iCs w:val="0"/>
          <w:kern w:val="32"/>
          <w:sz w:val="28"/>
          <w:szCs w:val="32"/>
          <w:lang w:eastAsia="en-AU"/>
        </w:rPr>
        <w:lastRenderedPageBreak/>
        <w:t>A</w:t>
      </w:r>
      <w:r w:rsidR="00B0714C">
        <w:rPr>
          <w:iCs w:val="0"/>
          <w:kern w:val="32"/>
          <w:sz w:val="28"/>
          <w:szCs w:val="32"/>
          <w:lang w:eastAsia="en-AU"/>
        </w:rPr>
        <w:t>ssessment of a retention lease</w:t>
      </w:r>
      <w:bookmarkEnd w:id="23"/>
    </w:p>
    <w:p w14:paraId="7D1F3AD3" w14:textId="77777777" w:rsidR="00744C0E" w:rsidRPr="00FE0EE7" w:rsidRDefault="00744C0E" w:rsidP="00FE0EE7">
      <w:pPr>
        <w:pStyle w:val="ListParagraph"/>
        <w:numPr>
          <w:ilvl w:val="1"/>
          <w:numId w:val="24"/>
        </w:numPr>
        <w:tabs>
          <w:tab w:val="left" w:pos="567"/>
        </w:tabs>
        <w:spacing w:line="240" w:lineRule="auto"/>
        <w:ind w:left="567" w:hanging="567"/>
        <w:rPr>
          <w:color w:val="auto"/>
          <w:sz w:val="22"/>
          <w:szCs w:val="22"/>
        </w:rPr>
      </w:pPr>
      <w:r w:rsidRPr="00FE0EE7">
        <w:rPr>
          <w:color w:val="auto"/>
          <w:sz w:val="22"/>
          <w:szCs w:val="22"/>
        </w:rPr>
        <w:t>Each application will be assessed on its merits</w:t>
      </w:r>
      <w:r w:rsidR="0087076E" w:rsidRPr="00FE0EE7">
        <w:rPr>
          <w:color w:val="auto"/>
          <w:sz w:val="22"/>
          <w:szCs w:val="22"/>
        </w:rPr>
        <w:t xml:space="preserve"> consistent with the objectives of the OPGGSA and this guideline</w:t>
      </w:r>
      <w:r w:rsidRPr="00FE0EE7">
        <w:rPr>
          <w:color w:val="auto"/>
          <w:sz w:val="22"/>
          <w:szCs w:val="22"/>
        </w:rPr>
        <w:t>. The overriding basis for assessment is commerciality.</w:t>
      </w:r>
    </w:p>
    <w:p w14:paraId="287032DD" w14:textId="77777777" w:rsidR="00744C0E" w:rsidRPr="00D553D5" w:rsidRDefault="00744C0E" w:rsidP="00D553D5">
      <w:pPr>
        <w:pStyle w:val="Heading3"/>
        <w:spacing w:before="240" w:after="60" w:line="240" w:lineRule="auto"/>
        <w:rPr>
          <w:rFonts w:eastAsiaTheme="majorEastAsia"/>
          <w:sz w:val="24"/>
          <w:lang w:eastAsia="en-AU"/>
        </w:rPr>
      </w:pPr>
      <w:r w:rsidRPr="00D553D5">
        <w:rPr>
          <w:rFonts w:eastAsiaTheme="majorEastAsia"/>
          <w:sz w:val="24"/>
          <w:lang w:eastAsia="en-AU"/>
        </w:rPr>
        <w:t>Presence of petroleum (initial grant s141)</w:t>
      </w:r>
    </w:p>
    <w:p w14:paraId="735C0A5E" w14:textId="77777777" w:rsidR="00744C0E" w:rsidRPr="00FE0EE7" w:rsidRDefault="00744C0E" w:rsidP="00FE0EE7">
      <w:pPr>
        <w:pStyle w:val="ListParagraph"/>
        <w:numPr>
          <w:ilvl w:val="1"/>
          <w:numId w:val="24"/>
        </w:numPr>
        <w:tabs>
          <w:tab w:val="left" w:pos="567"/>
        </w:tabs>
        <w:spacing w:line="240" w:lineRule="auto"/>
        <w:ind w:left="567" w:hanging="567"/>
        <w:rPr>
          <w:color w:val="auto"/>
          <w:sz w:val="22"/>
          <w:szCs w:val="22"/>
        </w:rPr>
      </w:pPr>
      <w:r w:rsidRPr="00FE0EE7">
        <w:rPr>
          <w:color w:val="auto"/>
          <w:sz w:val="22"/>
          <w:szCs w:val="22"/>
        </w:rPr>
        <w:t>The Joint Authority must be satisfied that the block(s) specified in the application contain petroleum (s142).</w:t>
      </w:r>
    </w:p>
    <w:p w14:paraId="770BD8BB" w14:textId="77777777" w:rsidR="00744C0E" w:rsidRPr="00FE0EE7" w:rsidRDefault="00744C0E" w:rsidP="00FE0EE7">
      <w:pPr>
        <w:pStyle w:val="Heading3"/>
        <w:spacing w:before="240" w:after="60" w:line="240" w:lineRule="auto"/>
        <w:rPr>
          <w:rFonts w:eastAsiaTheme="majorEastAsia"/>
          <w:sz w:val="24"/>
          <w:lang w:eastAsia="en-AU"/>
        </w:rPr>
      </w:pPr>
      <w:bookmarkStart w:id="24" w:name="_Toc464746051"/>
      <w:bookmarkStart w:id="25" w:name="_Toc464747149"/>
      <w:r w:rsidRPr="00FE0EE7">
        <w:rPr>
          <w:rFonts w:eastAsiaTheme="majorEastAsia"/>
          <w:sz w:val="24"/>
          <w:lang w:eastAsia="en-AU"/>
        </w:rPr>
        <w:t>Commerciality</w:t>
      </w:r>
      <w:bookmarkEnd w:id="24"/>
      <w:bookmarkEnd w:id="25"/>
    </w:p>
    <w:p w14:paraId="1C8675D2" w14:textId="77777777" w:rsidR="00744C0E" w:rsidRPr="00FE0EE7" w:rsidRDefault="00744C0E" w:rsidP="00FE0EE7">
      <w:pPr>
        <w:pStyle w:val="ListParagraph"/>
        <w:numPr>
          <w:ilvl w:val="1"/>
          <w:numId w:val="24"/>
        </w:numPr>
        <w:tabs>
          <w:tab w:val="left" w:pos="567"/>
        </w:tabs>
        <w:spacing w:after="120" w:line="240" w:lineRule="auto"/>
        <w:ind w:left="567" w:hanging="567"/>
        <w:contextualSpacing w:val="0"/>
        <w:rPr>
          <w:color w:val="auto"/>
          <w:sz w:val="22"/>
          <w:szCs w:val="22"/>
        </w:rPr>
      </w:pPr>
      <w:r w:rsidRPr="00FE0EE7">
        <w:rPr>
          <w:color w:val="auto"/>
          <w:sz w:val="22"/>
          <w:szCs w:val="22"/>
        </w:rPr>
        <w:t>NOPTA and the Joint Authority will rigorously apply the commerciality criteria to all applications for the grant or renewal of a retention lease.</w:t>
      </w:r>
    </w:p>
    <w:p w14:paraId="6D62C4BD" w14:textId="77777777" w:rsidR="00744C0E" w:rsidRPr="00FE0EE7" w:rsidRDefault="00744C0E" w:rsidP="00FE0EE7">
      <w:pPr>
        <w:pStyle w:val="ListParagraph"/>
        <w:numPr>
          <w:ilvl w:val="1"/>
          <w:numId w:val="24"/>
        </w:numPr>
        <w:tabs>
          <w:tab w:val="left" w:pos="567"/>
        </w:tabs>
        <w:spacing w:after="120" w:line="240" w:lineRule="auto"/>
        <w:ind w:left="567" w:hanging="567"/>
        <w:contextualSpacing w:val="0"/>
        <w:rPr>
          <w:color w:val="auto"/>
          <w:sz w:val="22"/>
          <w:szCs w:val="22"/>
        </w:rPr>
      </w:pPr>
      <w:r w:rsidRPr="00FE0EE7">
        <w:rPr>
          <w:color w:val="auto"/>
          <w:sz w:val="22"/>
          <w:szCs w:val="22"/>
        </w:rPr>
        <w:t>The Joint Authority must be satisfied that the application meets the criteria in the applicable section</w:t>
      </w:r>
      <w:r w:rsidR="0087076E" w:rsidRPr="00FE0EE7">
        <w:rPr>
          <w:color w:val="auto"/>
          <w:sz w:val="22"/>
          <w:szCs w:val="22"/>
        </w:rPr>
        <w:t xml:space="preserve"> of the OPGGSA</w:t>
      </w:r>
      <w:r w:rsidRPr="00FE0EE7">
        <w:rPr>
          <w:color w:val="auto"/>
          <w:sz w:val="22"/>
          <w:szCs w:val="22"/>
        </w:rPr>
        <w:t>. This includes applications by holders of exploration permits (s142) and life-of-field production licences (s148), and lease renewal applications (s154). In all instances, it requires that the recovery of petroleum from the block(s) in the lease area:</w:t>
      </w:r>
    </w:p>
    <w:p w14:paraId="0122837F" w14:textId="11B43CBE" w:rsidR="00744C0E" w:rsidRPr="00FE0EE7" w:rsidRDefault="00744C0E" w:rsidP="00FE0EE7">
      <w:pPr>
        <w:pStyle w:val="ListParagraph"/>
        <w:numPr>
          <w:ilvl w:val="2"/>
          <w:numId w:val="24"/>
        </w:numPr>
        <w:tabs>
          <w:tab w:val="left" w:pos="567"/>
        </w:tabs>
        <w:spacing w:after="120" w:line="240" w:lineRule="auto"/>
        <w:ind w:left="1418" w:hanging="851"/>
        <w:contextualSpacing w:val="0"/>
        <w:rPr>
          <w:color w:val="auto"/>
          <w:sz w:val="22"/>
          <w:szCs w:val="22"/>
        </w:rPr>
      </w:pPr>
      <w:r w:rsidRPr="00FE0EE7">
        <w:rPr>
          <w:color w:val="auto"/>
          <w:sz w:val="22"/>
          <w:szCs w:val="22"/>
        </w:rPr>
        <w:t>is not commercially viable at the time of the application; and</w:t>
      </w:r>
    </w:p>
    <w:p w14:paraId="241B43EE" w14:textId="4A8B08E8" w:rsidR="00744C0E" w:rsidRPr="00FE0EE7" w:rsidRDefault="00744C0E" w:rsidP="00FE0EE7">
      <w:pPr>
        <w:pStyle w:val="ListParagraph"/>
        <w:numPr>
          <w:ilvl w:val="2"/>
          <w:numId w:val="24"/>
        </w:numPr>
        <w:tabs>
          <w:tab w:val="left" w:pos="567"/>
        </w:tabs>
        <w:spacing w:after="120" w:line="240" w:lineRule="auto"/>
        <w:ind w:left="1418" w:hanging="851"/>
        <w:contextualSpacing w:val="0"/>
        <w:rPr>
          <w:color w:val="auto"/>
          <w:sz w:val="22"/>
          <w:szCs w:val="22"/>
        </w:rPr>
      </w:pPr>
      <w:r w:rsidRPr="00FE0EE7">
        <w:rPr>
          <w:color w:val="auto"/>
          <w:sz w:val="22"/>
          <w:szCs w:val="22"/>
        </w:rPr>
        <w:t>is likely to become commercially viable within 15 years from when the application is submitted.</w:t>
      </w:r>
    </w:p>
    <w:p w14:paraId="4509BC0E" w14:textId="77777777" w:rsidR="00744C0E" w:rsidRPr="00FE0EE7" w:rsidRDefault="00744C0E" w:rsidP="00FE0EE7">
      <w:pPr>
        <w:pStyle w:val="ListParagraph"/>
        <w:numPr>
          <w:ilvl w:val="1"/>
          <w:numId w:val="24"/>
        </w:numPr>
        <w:tabs>
          <w:tab w:val="left" w:pos="567"/>
        </w:tabs>
        <w:spacing w:after="120" w:line="240" w:lineRule="auto"/>
        <w:ind w:left="567" w:hanging="567"/>
        <w:contextualSpacing w:val="0"/>
        <w:rPr>
          <w:color w:val="auto"/>
          <w:sz w:val="22"/>
          <w:szCs w:val="22"/>
        </w:rPr>
      </w:pPr>
      <w:r w:rsidRPr="00FE0EE7">
        <w:rPr>
          <w:color w:val="auto"/>
          <w:sz w:val="22"/>
          <w:szCs w:val="22"/>
        </w:rPr>
        <w:t>For the purposes of s142, s148 and s154:</w:t>
      </w:r>
    </w:p>
    <w:p w14:paraId="21804C14" w14:textId="77777777" w:rsidR="00744C0E" w:rsidRPr="00FE0EE7" w:rsidRDefault="00744C0E" w:rsidP="00FE0EE7">
      <w:pPr>
        <w:pStyle w:val="ListParagraph"/>
        <w:tabs>
          <w:tab w:val="left" w:pos="567"/>
        </w:tabs>
        <w:spacing w:after="120" w:line="240" w:lineRule="auto"/>
        <w:ind w:left="567"/>
        <w:contextualSpacing w:val="0"/>
        <w:rPr>
          <w:color w:val="auto"/>
          <w:sz w:val="22"/>
          <w:szCs w:val="22"/>
        </w:rPr>
      </w:pPr>
      <w:r w:rsidRPr="00FE0EE7">
        <w:rPr>
          <w:i/>
          <w:color w:val="auto"/>
          <w:sz w:val="22"/>
          <w:szCs w:val="22"/>
        </w:rPr>
        <w:t>likely</w:t>
      </w:r>
      <w:r w:rsidRPr="00FE0EE7">
        <w:rPr>
          <w:color w:val="auto"/>
          <w:sz w:val="22"/>
          <w:szCs w:val="22"/>
        </w:rPr>
        <w:t xml:space="preserve"> is to be interpreted as to convey the sense of a ‘substantial or real chance’ as distinct from what is a mere possibility; and</w:t>
      </w:r>
    </w:p>
    <w:p w14:paraId="51F3551C" w14:textId="77777777" w:rsidR="00744C0E" w:rsidRPr="00FE0EE7" w:rsidRDefault="00744C0E" w:rsidP="00FE0EE7">
      <w:pPr>
        <w:pStyle w:val="ListParagraph"/>
        <w:tabs>
          <w:tab w:val="left" w:pos="567"/>
        </w:tabs>
        <w:spacing w:after="120" w:line="240" w:lineRule="auto"/>
        <w:ind w:left="567"/>
        <w:contextualSpacing w:val="0"/>
        <w:rPr>
          <w:color w:val="auto"/>
          <w:sz w:val="22"/>
          <w:szCs w:val="22"/>
        </w:rPr>
      </w:pPr>
      <w:r w:rsidRPr="00FE0EE7">
        <w:rPr>
          <w:i/>
          <w:color w:val="auto"/>
          <w:sz w:val="22"/>
          <w:szCs w:val="22"/>
        </w:rPr>
        <w:t xml:space="preserve">commercially viable </w:t>
      </w:r>
      <w:r w:rsidRPr="00FE0EE7">
        <w:rPr>
          <w:color w:val="auto"/>
          <w:sz w:val="22"/>
          <w:szCs w:val="22"/>
        </w:rPr>
        <w:t>is to be interpreted to mean that the petroleum could be developed based on:</w:t>
      </w:r>
    </w:p>
    <w:p w14:paraId="7F14F5B3" w14:textId="77777777" w:rsidR="00744C0E" w:rsidRPr="00FE0EE7" w:rsidRDefault="00744C0E" w:rsidP="00FE0EE7">
      <w:pPr>
        <w:pStyle w:val="ListParagraph"/>
        <w:tabs>
          <w:tab w:val="left" w:pos="851"/>
        </w:tabs>
        <w:spacing w:after="120" w:line="240" w:lineRule="auto"/>
        <w:ind w:left="851" w:hanging="284"/>
        <w:contextualSpacing w:val="0"/>
        <w:rPr>
          <w:color w:val="auto"/>
          <w:sz w:val="22"/>
          <w:szCs w:val="22"/>
        </w:rPr>
      </w:pPr>
      <w:r w:rsidRPr="00FE0EE7">
        <w:rPr>
          <w:color w:val="auto"/>
          <w:sz w:val="22"/>
          <w:szCs w:val="22"/>
        </w:rPr>
        <w:t>a)</w:t>
      </w:r>
      <w:r w:rsidRPr="00FE0EE7">
        <w:rPr>
          <w:color w:val="auto"/>
          <w:sz w:val="22"/>
          <w:szCs w:val="22"/>
        </w:rPr>
        <w:tab/>
        <w:t xml:space="preserve">existing knowledge of the field (including field extent and </w:t>
      </w:r>
      <w:r w:rsidR="0094070F" w:rsidRPr="00FE0EE7">
        <w:rPr>
          <w:color w:val="auto"/>
          <w:sz w:val="22"/>
          <w:szCs w:val="22"/>
        </w:rPr>
        <w:t xml:space="preserve">initial in-place and recoverable </w:t>
      </w:r>
      <w:r w:rsidRPr="00FE0EE7">
        <w:rPr>
          <w:color w:val="auto"/>
          <w:sz w:val="22"/>
          <w:szCs w:val="22"/>
        </w:rPr>
        <w:t>resource estimates at proved, possible and probable levels);</w:t>
      </w:r>
    </w:p>
    <w:p w14:paraId="6222CEC2" w14:textId="77777777" w:rsidR="00744C0E" w:rsidRPr="00FE0EE7" w:rsidRDefault="00744C0E" w:rsidP="00FE0EE7">
      <w:pPr>
        <w:pStyle w:val="ListParagraph"/>
        <w:tabs>
          <w:tab w:val="left" w:pos="851"/>
        </w:tabs>
        <w:spacing w:after="120" w:line="240" w:lineRule="auto"/>
        <w:ind w:left="851" w:hanging="284"/>
        <w:contextualSpacing w:val="0"/>
        <w:rPr>
          <w:color w:val="auto"/>
          <w:sz w:val="22"/>
          <w:szCs w:val="22"/>
        </w:rPr>
      </w:pPr>
      <w:r w:rsidRPr="00FE0EE7">
        <w:rPr>
          <w:color w:val="auto"/>
          <w:sz w:val="22"/>
          <w:szCs w:val="22"/>
        </w:rPr>
        <w:t>b)</w:t>
      </w:r>
      <w:r w:rsidRPr="00FE0EE7">
        <w:rPr>
          <w:color w:val="auto"/>
          <w:sz w:val="22"/>
          <w:szCs w:val="22"/>
        </w:rPr>
        <w:tab/>
        <w:t>prevailing market conditions;</w:t>
      </w:r>
    </w:p>
    <w:p w14:paraId="6C62D6B2" w14:textId="77777777" w:rsidR="00744C0E" w:rsidRPr="00FE0EE7" w:rsidRDefault="00744C0E" w:rsidP="00FE0EE7">
      <w:pPr>
        <w:pStyle w:val="ListParagraph"/>
        <w:tabs>
          <w:tab w:val="left" w:pos="851"/>
        </w:tabs>
        <w:spacing w:after="120" w:line="240" w:lineRule="auto"/>
        <w:ind w:left="851" w:hanging="284"/>
        <w:contextualSpacing w:val="0"/>
        <w:rPr>
          <w:color w:val="auto"/>
          <w:sz w:val="22"/>
          <w:szCs w:val="22"/>
        </w:rPr>
      </w:pPr>
      <w:r w:rsidRPr="00FE0EE7">
        <w:rPr>
          <w:color w:val="auto"/>
          <w:sz w:val="22"/>
          <w:szCs w:val="22"/>
        </w:rPr>
        <w:t>c)</w:t>
      </w:r>
      <w:r w:rsidRPr="00FE0EE7">
        <w:rPr>
          <w:color w:val="auto"/>
          <w:sz w:val="22"/>
          <w:szCs w:val="22"/>
        </w:rPr>
        <w:tab/>
        <w:t>technology readily available within the industry; and</w:t>
      </w:r>
    </w:p>
    <w:p w14:paraId="26D34BEC" w14:textId="77777777" w:rsidR="00744C0E" w:rsidRPr="00FE0EE7" w:rsidRDefault="00744C0E" w:rsidP="00FE0EE7">
      <w:pPr>
        <w:pStyle w:val="ListParagraph"/>
        <w:tabs>
          <w:tab w:val="left" w:pos="851"/>
        </w:tabs>
        <w:spacing w:after="120" w:line="240" w:lineRule="auto"/>
        <w:ind w:left="851" w:hanging="284"/>
        <w:contextualSpacing w:val="0"/>
        <w:rPr>
          <w:color w:val="auto"/>
          <w:sz w:val="22"/>
          <w:szCs w:val="22"/>
        </w:rPr>
      </w:pPr>
      <w:r w:rsidRPr="00FE0EE7">
        <w:rPr>
          <w:color w:val="auto"/>
          <w:sz w:val="22"/>
          <w:szCs w:val="22"/>
        </w:rPr>
        <w:t>d)</w:t>
      </w:r>
      <w:r w:rsidRPr="00FE0EE7">
        <w:rPr>
          <w:color w:val="auto"/>
          <w:sz w:val="22"/>
          <w:szCs w:val="22"/>
        </w:rPr>
        <w:tab/>
        <w:t>a</w:t>
      </w:r>
      <w:r w:rsidR="0094070F" w:rsidRPr="00FE0EE7">
        <w:rPr>
          <w:color w:val="auto"/>
          <w:sz w:val="22"/>
          <w:szCs w:val="22"/>
        </w:rPr>
        <w:t>n internal</w:t>
      </w:r>
      <w:r w:rsidRPr="00FE0EE7">
        <w:rPr>
          <w:color w:val="auto"/>
          <w:sz w:val="22"/>
          <w:szCs w:val="22"/>
        </w:rPr>
        <w:t xml:space="preserve"> rate of return that is considered acceptable for the type of project under consideration by a reasonable petroleum developer and by investors or lenders to the industry.</w:t>
      </w:r>
    </w:p>
    <w:p w14:paraId="13146DE3" w14:textId="77777777" w:rsidR="009674E4" w:rsidRPr="00FE0EE7" w:rsidRDefault="00744C0E" w:rsidP="00FE0EE7">
      <w:pPr>
        <w:pStyle w:val="ListParagraph"/>
        <w:numPr>
          <w:ilvl w:val="1"/>
          <w:numId w:val="24"/>
        </w:numPr>
        <w:tabs>
          <w:tab w:val="left" w:pos="567"/>
        </w:tabs>
        <w:spacing w:after="120" w:line="240" w:lineRule="auto"/>
        <w:ind w:left="567" w:hanging="567"/>
        <w:contextualSpacing w:val="0"/>
        <w:rPr>
          <w:color w:val="auto"/>
          <w:sz w:val="22"/>
          <w:szCs w:val="22"/>
        </w:rPr>
      </w:pPr>
      <w:r w:rsidRPr="00FE0EE7">
        <w:rPr>
          <w:color w:val="auto"/>
          <w:sz w:val="22"/>
          <w:szCs w:val="22"/>
        </w:rPr>
        <w:t xml:space="preserve">An applicant’s assessment of commerciality must adequately consider all reasonable development </w:t>
      </w:r>
      <w:r w:rsidR="00243D57" w:rsidRPr="00FE0EE7">
        <w:rPr>
          <w:color w:val="auto"/>
          <w:sz w:val="22"/>
          <w:szCs w:val="22"/>
        </w:rPr>
        <w:t>concepts</w:t>
      </w:r>
      <w:r w:rsidRPr="00FE0EE7">
        <w:rPr>
          <w:color w:val="auto"/>
          <w:sz w:val="22"/>
          <w:szCs w:val="22"/>
        </w:rPr>
        <w:t xml:space="preserve"> including domestic gas, liquefied natural gas and gas to liquids, as appropriate, and not just a preferred development option. Refer to </w:t>
      </w:r>
      <w:r w:rsidRPr="00520405">
        <w:rPr>
          <w:color w:val="auto"/>
          <w:sz w:val="22"/>
          <w:szCs w:val="22"/>
          <w:u w:val="single"/>
        </w:rPr>
        <w:t>Attachment A</w:t>
      </w:r>
      <w:r w:rsidRPr="00FE0EE7">
        <w:rPr>
          <w:color w:val="auto"/>
          <w:sz w:val="22"/>
          <w:szCs w:val="22"/>
        </w:rPr>
        <w:t xml:space="preserve"> for further detail on information sought.</w:t>
      </w:r>
    </w:p>
    <w:p w14:paraId="11C84614" w14:textId="77777777" w:rsidR="009674E4" w:rsidRPr="00FE0EE7" w:rsidRDefault="00744C0E" w:rsidP="00FE0EE7">
      <w:pPr>
        <w:pStyle w:val="ListParagraph"/>
        <w:numPr>
          <w:ilvl w:val="1"/>
          <w:numId w:val="24"/>
        </w:numPr>
        <w:tabs>
          <w:tab w:val="left" w:pos="567"/>
        </w:tabs>
        <w:spacing w:line="240" w:lineRule="auto"/>
        <w:ind w:left="567" w:hanging="567"/>
        <w:rPr>
          <w:color w:val="auto"/>
          <w:sz w:val="22"/>
          <w:szCs w:val="22"/>
        </w:rPr>
      </w:pPr>
      <w:r w:rsidRPr="00FE0EE7">
        <w:rPr>
          <w:color w:val="auto"/>
          <w:sz w:val="22"/>
          <w:szCs w:val="22"/>
        </w:rPr>
        <w:t xml:space="preserve">This assessment </w:t>
      </w:r>
      <w:r w:rsidR="00243D57" w:rsidRPr="00FE0EE7">
        <w:rPr>
          <w:color w:val="auto"/>
          <w:sz w:val="22"/>
          <w:szCs w:val="22"/>
        </w:rPr>
        <w:t xml:space="preserve">of development concepts </w:t>
      </w:r>
      <w:r w:rsidRPr="00FE0EE7">
        <w:rPr>
          <w:color w:val="auto"/>
          <w:sz w:val="22"/>
          <w:szCs w:val="22"/>
        </w:rPr>
        <w:t xml:space="preserve">should include the </w:t>
      </w:r>
      <w:r w:rsidR="00243D57" w:rsidRPr="00FE0EE7">
        <w:rPr>
          <w:color w:val="auto"/>
          <w:sz w:val="22"/>
          <w:szCs w:val="22"/>
        </w:rPr>
        <w:t xml:space="preserve">technical and economic </w:t>
      </w:r>
      <w:r w:rsidRPr="00FE0EE7">
        <w:rPr>
          <w:color w:val="auto"/>
          <w:sz w:val="22"/>
          <w:szCs w:val="22"/>
        </w:rPr>
        <w:t>assumptions, methodology and conclusions reached by the applicant and sufficient supporting information across all development options which will support NOPTA’s and the Joint Authority’s examination of commercial viability.</w:t>
      </w:r>
      <w:r w:rsidR="00243D57" w:rsidRPr="00FE0EE7">
        <w:rPr>
          <w:color w:val="auto"/>
          <w:sz w:val="22"/>
          <w:szCs w:val="22"/>
        </w:rPr>
        <w:t xml:space="preserve"> Assessments should be consistent across development concepts.</w:t>
      </w:r>
    </w:p>
    <w:p w14:paraId="4B3531F9" w14:textId="77777777" w:rsidR="0085203C" w:rsidRPr="00FE0EE7" w:rsidRDefault="0085203C" w:rsidP="00FE0EE7">
      <w:pPr>
        <w:tabs>
          <w:tab w:val="left" w:pos="567"/>
        </w:tabs>
        <w:spacing w:line="240" w:lineRule="auto"/>
        <w:rPr>
          <w:i/>
          <w:color w:val="auto"/>
          <w:sz w:val="22"/>
          <w:szCs w:val="22"/>
        </w:rPr>
      </w:pPr>
    </w:p>
    <w:p w14:paraId="2B4EC773" w14:textId="77777777" w:rsidR="00CA1C5B" w:rsidRDefault="00CA1C5B">
      <w:pPr>
        <w:spacing w:line="240" w:lineRule="auto"/>
        <w:rPr>
          <w:i/>
          <w:color w:val="auto"/>
          <w:sz w:val="22"/>
          <w:szCs w:val="22"/>
        </w:rPr>
      </w:pPr>
      <w:r>
        <w:rPr>
          <w:i/>
          <w:color w:val="auto"/>
          <w:sz w:val="22"/>
          <w:szCs w:val="22"/>
        </w:rPr>
        <w:br w:type="page"/>
      </w:r>
    </w:p>
    <w:p w14:paraId="52CB0CF3" w14:textId="3EA06BA7" w:rsidR="009674E4" w:rsidRPr="00FE0EE7" w:rsidRDefault="009674E4" w:rsidP="00D553D5">
      <w:pPr>
        <w:pStyle w:val="Heading5"/>
      </w:pPr>
      <w:r w:rsidRPr="00FE0EE7">
        <w:lastRenderedPageBreak/>
        <w:t>Cash flow factors</w:t>
      </w:r>
    </w:p>
    <w:p w14:paraId="52BCAAE8" w14:textId="77777777" w:rsidR="009674E4" w:rsidRPr="00FE0EE7" w:rsidRDefault="00744C0E" w:rsidP="00FE0EE7">
      <w:pPr>
        <w:pStyle w:val="ListParagraph"/>
        <w:numPr>
          <w:ilvl w:val="1"/>
          <w:numId w:val="24"/>
        </w:numPr>
        <w:tabs>
          <w:tab w:val="left" w:pos="567"/>
        </w:tabs>
        <w:spacing w:after="120" w:line="240" w:lineRule="auto"/>
        <w:ind w:left="567" w:hanging="567"/>
        <w:contextualSpacing w:val="0"/>
        <w:rPr>
          <w:color w:val="auto"/>
          <w:sz w:val="22"/>
          <w:szCs w:val="22"/>
        </w:rPr>
      </w:pPr>
      <w:r w:rsidRPr="00FE0EE7">
        <w:rPr>
          <w:color w:val="auto"/>
          <w:sz w:val="22"/>
          <w:szCs w:val="22"/>
        </w:rPr>
        <w:t>In assessing commerciality NOPTA and the Joint Authority will consider the following factors:</w:t>
      </w:r>
    </w:p>
    <w:p w14:paraId="2AF55DF3" w14:textId="52E19BD9" w:rsidR="00EF49E8" w:rsidRPr="00FE0EE7" w:rsidRDefault="009674E4" w:rsidP="00FE0EE7">
      <w:pPr>
        <w:pStyle w:val="ListParagraph"/>
        <w:numPr>
          <w:ilvl w:val="2"/>
          <w:numId w:val="24"/>
        </w:numPr>
        <w:tabs>
          <w:tab w:val="left" w:pos="567"/>
        </w:tabs>
        <w:spacing w:after="120" w:line="240" w:lineRule="auto"/>
        <w:ind w:left="1418" w:hanging="851"/>
        <w:contextualSpacing w:val="0"/>
        <w:rPr>
          <w:color w:val="auto"/>
          <w:sz w:val="22"/>
          <w:szCs w:val="22"/>
        </w:rPr>
      </w:pPr>
      <w:r w:rsidRPr="00FE0EE7">
        <w:rPr>
          <w:color w:val="auto"/>
          <w:sz w:val="22"/>
          <w:szCs w:val="22"/>
        </w:rPr>
        <w:t xml:space="preserve">internal rate of return (IRR) for the project based on current </w:t>
      </w:r>
      <w:r w:rsidR="0032354B" w:rsidRPr="00FE0EE7">
        <w:rPr>
          <w:color w:val="auto"/>
          <w:sz w:val="22"/>
          <w:szCs w:val="22"/>
        </w:rPr>
        <w:t>2C (</w:t>
      </w:r>
      <w:r w:rsidRPr="00FE0EE7">
        <w:rPr>
          <w:color w:val="auto"/>
          <w:sz w:val="22"/>
          <w:szCs w:val="22"/>
        </w:rPr>
        <w:t>P50</w:t>
      </w:r>
      <w:r w:rsidR="0032354B" w:rsidRPr="00FE0EE7">
        <w:rPr>
          <w:color w:val="auto"/>
          <w:sz w:val="22"/>
          <w:szCs w:val="22"/>
        </w:rPr>
        <w:t>)</w:t>
      </w:r>
      <w:r w:rsidRPr="00FE0EE7">
        <w:rPr>
          <w:color w:val="auto"/>
          <w:sz w:val="22"/>
          <w:szCs w:val="22"/>
        </w:rPr>
        <w:t xml:space="preserve"> estimates of reserves and </w:t>
      </w:r>
      <w:r w:rsidR="0032354B" w:rsidRPr="00FE0EE7">
        <w:rPr>
          <w:color w:val="auto"/>
          <w:sz w:val="22"/>
          <w:szCs w:val="22"/>
        </w:rPr>
        <w:t xml:space="preserve">P50 </w:t>
      </w:r>
      <w:r w:rsidRPr="00FE0EE7">
        <w:rPr>
          <w:color w:val="auto"/>
          <w:sz w:val="22"/>
          <w:szCs w:val="22"/>
        </w:rPr>
        <w:t>capital expenditure;</w:t>
      </w:r>
    </w:p>
    <w:p w14:paraId="2221FAB0" w14:textId="615CED02" w:rsidR="009674E4" w:rsidRPr="00FE0EE7" w:rsidRDefault="00496D1E" w:rsidP="00FE0EE7">
      <w:pPr>
        <w:pStyle w:val="ListParagraph"/>
        <w:numPr>
          <w:ilvl w:val="2"/>
          <w:numId w:val="24"/>
        </w:numPr>
        <w:tabs>
          <w:tab w:val="left" w:pos="567"/>
        </w:tabs>
        <w:spacing w:after="120" w:line="240" w:lineRule="auto"/>
        <w:ind w:left="1418" w:hanging="851"/>
        <w:contextualSpacing w:val="0"/>
        <w:rPr>
          <w:color w:val="auto"/>
          <w:sz w:val="22"/>
          <w:szCs w:val="22"/>
        </w:rPr>
      </w:pPr>
      <w:r>
        <w:rPr>
          <w:color w:val="auto"/>
          <w:sz w:val="22"/>
          <w:szCs w:val="22"/>
        </w:rPr>
        <w:t>t</w:t>
      </w:r>
      <w:r w:rsidR="009674E4" w:rsidRPr="00FE0EE7">
        <w:rPr>
          <w:color w:val="auto"/>
          <w:sz w:val="22"/>
          <w:szCs w:val="22"/>
        </w:rPr>
        <w:t xml:space="preserve">he degree of certainty that exists in relation to the key drivers of commercial viability, in particular recoverable resources and estimates for capital expenditure; and </w:t>
      </w:r>
    </w:p>
    <w:p w14:paraId="0C9AE963" w14:textId="5226CA47" w:rsidR="009674E4" w:rsidRPr="00FE0EE7" w:rsidRDefault="009674E4" w:rsidP="00FE0EE7">
      <w:pPr>
        <w:pStyle w:val="ListParagraph"/>
        <w:numPr>
          <w:ilvl w:val="2"/>
          <w:numId w:val="24"/>
        </w:numPr>
        <w:tabs>
          <w:tab w:val="left" w:pos="567"/>
        </w:tabs>
        <w:spacing w:after="120" w:line="240" w:lineRule="auto"/>
        <w:ind w:left="1418" w:hanging="851"/>
        <w:contextualSpacing w:val="0"/>
        <w:rPr>
          <w:color w:val="auto"/>
          <w:sz w:val="22"/>
          <w:szCs w:val="22"/>
        </w:rPr>
      </w:pPr>
      <w:r w:rsidRPr="00FE0EE7">
        <w:rPr>
          <w:color w:val="auto"/>
          <w:sz w:val="22"/>
          <w:szCs w:val="22"/>
        </w:rPr>
        <w:t xml:space="preserve">the justification of minimum (or hurdle) </w:t>
      </w:r>
      <w:proofErr w:type="gramStart"/>
      <w:r w:rsidRPr="00FE0EE7">
        <w:rPr>
          <w:color w:val="auto"/>
          <w:sz w:val="22"/>
          <w:szCs w:val="22"/>
        </w:rPr>
        <w:t xml:space="preserve">rates </w:t>
      </w:r>
      <w:r w:rsidR="0032354B" w:rsidRPr="00FE0EE7">
        <w:rPr>
          <w:color w:val="auto"/>
          <w:sz w:val="22"/>
          <w:szCs w:val="22"/>
        </w:rPr>
        <w:t xml:space="preserve"> for</w:t>
      </w:r>
      <w:proofErr w:type="gramEnd"/>
      <w:r w:rsidR="0032354B" w:rsidRPr="00FE0EE7">
        <w:rPr>
          <w:color w:val="auto"/>
          <w:sz w:val="22"/>
          <w:szCs w:val="22"/>
        </w:rPr>
        <w:t xml:space="preserve"> </w:t>
      </w:r>
      <w:r w:rsidR="00527A7D" w:rsidRPr="00FE0EE7">
        <w:rPr>
          <w:color w:val="auto"/>
          <w:sz w:val="22"/>
          <w:szCs w:val="22"/>
        </w:rPr>
        <w:t>IRR</w:t>
      </w:r>
      <w:r w:rsidRPr="00FE0EE7">
        <w:rPr>
          <w:color w:val="auto"/>
          <w:sz w:val="22"/>
          <w:szCs w:val="22"/>
        </w:rPr>
        <w:t xml:space="preserve"> or other criteria used by a proponent to assess commerciality, including whether they reflect the level of risk for such a project and the degree of confidence (‘optimism’ or ‘pessimism’) associated with the other assumptions.</w:t>
      </w:r>
    </w:p>
    <w:p w14:paraId="2DF83E54" w14:textId="77777777" w:rsidR="00073206" w:rsidRPr="00FE0EE7" w:rsidRDefault="00744C0E" w:rsidP="00FE0EE7">
      <w:pPr>
        <w:pStyle w:val="ListParagraph"/>
        <w:numPr>
          <w:ilvl w:val="1"/>
          <w:numId w:val="24"/>
        </w:numPr>
        <w:tabs>
          <w:tab w:val="left" w:pos="567"/>
        </w:tabs>
        <w:spacing w:after="120" w:line="240" w:lineRule="auto"/>
        <w:ind w:left="567" w:hanging="567"/>
        <w:contextualSpacing w:val="0"/>
        <w:rPr>
          <w:color w:val="auto"/>
          <w:sz w:val="22"/>
          <w:szCs w:val="22"/>
        </w:rPr>
      </w:pPr>
      <w:proofErr w:type="gramStart"/>
      <w:r w:rsidRPr="00FE0EE7">
        <w:rPr>
          <w:color w:val="auto"/>
          <w:sz w:val="22"/>
          <w:szCs w:val="22"/>
        </w:rPr>
        <w:t>Generally</w:t>
      </w:r>
      <w:proofErr w:type="gramEnd"/>
      <w:r w:rsidRPr="00FE0EE7">
        <w:rPr>
          <w:color w:val="auto"/>
          <w:sz w:val="22"/>
          <w:szCs w:val="22"/>
        </w:rPr>
        <w:t xml:space="preserve"> </w:t>
      </w:r>
      <w:r w:rsidR="0055562C" w:rsidRPr="00FE0EE7">
        <w:rPr>
          <w:color w:val="auto"/>
          <w:sz w:val="22"/>
          <w:szCs w:val="22"/>
        </w:rPr>
        <w:t>the Joint Authority will assess the commercial viability of a project based on the IRR at the 2C (P50 proved and probable) level of confidence for reserves and the P50 estimates for capital expenditure. An IRR of 12% or greater after all relevant taxes are applied will usually be considered commercially viable.</w:t>
      </w:r>
    </w:p>
    <w:p w14:paraId="277BDB4F" w14:textId="77777777" w:rsidR="00EE5C7C" w:rsidRPr="00FE0EE7" w:rsidRDefault="00073206" w:rsidP="00FE0EE7">
      <w:pPr>
        <w:pStyle w:val="ListParagraph"/>
        <w:numPr>
          <w:ilvl w:val="1"/>
          <w:numId w:val="24"/>
        </w:numPr>
        <w:tabs>
          <w:tab w:val="left" w:pos="567"/>
        </w:tabs>
        <w:spacing w:after="120" w:line="240" w:lineRule="auto"/>
        <w:ind w:left="567" w:hanging="567"/>
        <w:contextualSpacing w:val="0"/>
        <w:rPr>
          <w:color w:val="auto"/>
          <w:sz w:val="22"/>
          <w:szCs w:val="22"/>
        </w:rPr>
      </w:pPr>
      <w:r w:rsidRPr="00FE0EE7">
        <w:rPr>
          <w:color w:val="auto"/>
          <w:sz w:val="22"/>
          <w:szCs w:val="22"/>
        </w:rPr>
        <w:t>Where the estimated IRR is sufficient for the project to proceed under current market conditions and the applicant still does not believe the project is commercially viable, the applicant should provide evidence that there are other factors preventing commercial development of the resource (e.g. market issues or technical risks).</w:t>
      </w:r>
    </w:p>
    <w:p w14:paraId="5599216B" w14:textId="77777777" w:rsidR="00EE5C7C" w:rsidRPr="00FE0EE7" w:rsidRDefault="00EE5C7C" w:rsidP="00FE0EE7">
      <w:pPr>
        <w:pStyle w:val="ListParagraph"/>
        <w:numPr>
          <w:ilvl w:val="1"/>
          <w:numId w:val="24"/>
        </w:numPr>
        <w:tabs>
          <w:tab w:val="left" w:pos="567"/>
        </w:tabs>
        <w:spacing w:after="120" w:line="240" w:lineRule="auto"/>
        <w:ind w:left="567" w:hanging="567"/>
        <w:contextualSpacing w:val="0"/>
        <w:rPr>
          <w:color w:val="auto"/>
          <w:sz w:val="22"/>
          <w:szCs w:val="22"/>
        </w:rPr>
      </w:pPr>
      <w:r w:rsidRPr="00FE0EE7">
        <w:rPr>
          <w:color w:val="auto"/>
          <w:sz w:val="22"/>
          <w:szCs w:val="22"/>
        </w:rPr>
        <w:t xml:space="preserve">Consideration may also be given to the range of potential Net Present Values (NPV) for the project. NPV calculations should use the Weighted Average Cost of Capital of the Lessee or the </w:t>
      </w:r>
      <w:proofErr w:type="gramStart"/>
      <w:r w:rsidRPr="00FE0EE7">
        <w:rPr>
          <w:color w:val="auto"/>
          <w:sz w:val="22"/>
          <w:szCs w:val="22"/>
        </w:rPr>
        <w:t>Long Term</w:t>
      </w:r>
      <w:proofErr w:type="gramEnd"/>
      <w:r w:rsidRPr="00FE0EE7">
        <w:rPr>
          <w:color w:val="auto"/>
          <w:sz w:val="22"/>
          <w:szCs w:val="22"/>
        </w:rPr>
        <w:t xml:space="preserve"> Bond Rate plus 5% as the discount rate. Where </w:t>
      </w:r>
      <w:proofErr w:type="gramStart"/>
      <w:r w:rsidRPr="00FE0EE7">
        <w:rPr>
          <w:color w:val="auto"/>
          <w:sz w:val="22"/>
          <w:szCs w:val="22"/>
        </w:rPr>
        <w:t>a</w:t>
      </w:r>
      <w:proofErr w:type="gramEnd"/>
      <w:r w:rsidRPr="00FE0EE7">
        <w:rPr>
          <w:color w:val="auto"/>
          <w:sz w:val="22"/>
          <w:szCs w:val="22"/>
        </w:rPr>
        <w:t xml:space="preserve"> NPV other than the base case (2C resources/P50 capital expenditure) is provided, each of the following scenarios should be presented as a minimum:</w:t>
      </w:r>
    </w:p>
    <w:tbl>
      <w:tblPr>
        <w:tblW w:w="0" w:type="auto"/>
        <w:tblInd w:w="959" w:type="dxa"/>
        <w:tblCellMar>
          <w:left w:w="0" w:type="dxa"/>
          <w:right w:w="0" w:type="dxa"/>
        </w:tblCellMar>
        <w:tblLook w:val="04A0" w:firstRow="1" w:lastRow="0" w:firstColumn="1" w:lastColumn="0" w:noHBand="0" w:noVBand="1"/>
      </w:tblPr>
      <w:tblGrid>
        <w:gridCol w:w="1417"/>
        <w:gridCol w:w="3969"/>
        <w:gridCol w:w="2177"/>
      </w:tblGrid>
      <w:tr w:rsidR="00B0714C" w:rsidRPr="00FE0EE7" w14:paraId="68B261E5" w14:textId="77777777" w:rsidTr="00D553D5">
        <w:trPr>
          <w:tblHeader/>
        </w:trPr>
        <w:tc>
          <w:tcPr>
            <w:tcW w:w="14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EA3D6CB" w14:textId="77777777" w:rsidR="00EE5C7C" w:rsidRPr="00FE0EE7" w:rsidRDefault="00EE5C7C" w:rsidP="00765F25">
            <w:pPr>
              <w:tabs>
                <w:tab w:val="left" w:pos="567"/>
              </w:tabs>
              <w:rPr>
                <w:color w:val="auto"/>
                <w:sz w:val="22"/>
                <w:szCs w:val="22"/>
              </w:rPr>
            </w:pPr>
            <w:r w:rsidRPr="00FE0EE7">
              <w:rPr>
                <w:color w:val="auto"/>
                <w:sz w:val="22"/>
                <w:szCs w:val="22"/>
              </w:rPr>
              <w:t>Scenario</w:t>
            </w:r>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E740A2E" w14:textId="77777777" w:rsidR="00EE5C7C" w:rsidRPr="00FE0EE7" w:rsidRDefault="00EE5C7C" w:rsidP="00765F25">
            <w:pPr>
              <w:tabs>
                <w:tab w:val="left" w:pos="567"/>
              </w:tabs>
              <w:rPr>
                <w:color w:val="auto"/>
                <w:sz w:val="22"/>
                <w:szCs w:val="22"/>
              </w:rPr>
            </w:pPr>
            <w:r w:rsidRPr="00FE0EE7">
              <w:rPr>
                <w:color w:val="auto"/>
                <w:sz w:val="22"/>
                <w:szCs w:val="22"/>
              </w:rPr>
              <w:t>Resources</w:t>
            </w:r>
          </w:p>
        </w:tc>
        <w:tc>
          <w:tcPr>
            <w:tcW w:w="217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4B757DB" w14:textId="77777777" w:rsidR="00EE5C7C" w:rsidRPr="00FE0EE7" w:rsidRDefault="00EE5C7C" w:rsidP="00765F25">
            <w:pPr>
              <w:tabs>
                <w:tab w:val="left" w:pos="567"/>
              </w:tabs>
              <w:rPr>
                <w:color w:val="auto"/>
                <w:sz w:val="22"/>
                <w:szCs w:val="22"/>
              </w:rPr>
            </w:pPr>
            <w:r w:rsidRPr="00FE0EE7">
              <w:rPr>
                <w:color w:val="auto"/>
                <w:sz w:val="22"/>
                <w:szCs w:val="22"/>
              </w:rPr>
              <w:t>Capital Expenditure</w:t>
            </w:r>
          </w:p>
        </w:tc>
      </w:tr>
      <w:tr w:rsidR="00B0714C" w:rsidRPr="00FE0EE7" w14:paraId="64879264" w14:textId="77777777" w:rsidTr="00765F25">
        <w:tc>
          <w:tcPr>
            <w:tcW w:w="141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627944" w14:textId="77777777" w:rsidR="00EE5C7C" w:rsidRPr="00FE0EE7" w:rsidRDefault="00EE5C7C" w:rsidP="00765F25">
            <w:pPr>
              <w:tabs>
                <w:tab w:val="left" w:pos="567"/>
              </w:tabs>
              <w:rPr>
                <w:color w:val="auto"/>
                <w:sz w:val="22"/>
                <w:szCs w:val="22"/>
              </w:rPr>
            </w:pPr>
            <w:r w:rsidRPr="00FE0EE7">
              <w:rPr>
                <w:color w:val="auto"/>
                <w:sz w:val="22"/>
                <w:szCs w:val="22"/>
              </w:rPr>
              <w:t>P90</w:t>
            </w:r>
          </w:p>
        </w:tc>
        <w:tc>
          <w:tcPr>
            <w:tcW w:w="3969" w:type="dxa"/>
            <w:tcBorders>
              <w:top w:val="nil"/>
              <w:left w:val="nil"/>
              <w:bottom w:val="single" w:sz="8" w:space="0" w:color="auto"/>
              <w:right w:val="single" w:sz="8" w:space="0" w:color="auto"/>
            </w:tcBorders>
            <w:tcMar>
              <w:top w:w="0" w:type="dxa"/>
              <w:left w:w="108" w:type="dxa"/>
              <w:bottom w:w="0" w:type="dxa"/>
              <w:right w:w="108" w:type="dxa"/>
            </w:tcMar>
            <w:hideMark/>
          </w:tcPr>
          <w:p w14:paraId="42D2EED5" w14:textId="77777777" w:rsidR="00EE5C7C" w:rsidRPr="00FE0EE7" w:rsidRDefault="00EE5C7C" w:rsidP="00765F25">
            <w:pPr>
              <w:tabs>
                <w:tab w:val="left" w:pos="567"/>
              </w:tabs>
              <w:rPr>
                <w:color w:val="auto"/>
                <w:sz w:val="22"/>
                <w:szCs w:val="22"/>
              </w:rPr>
            </w:pPr>
            <w:r w:rsidRPr="00FE0EE7">
              <w:rPr>
                <w:color w:val="auto"/>
                <w:sz w:val="22"/>
                <w:szCs w:val="22"/>
              </w:rPr>
              <w:t>1C (Proved)</w:t>
            </w:r>
          </w:p>
        </w:tc>
        <w:tc>
          <w:tcPr>
            <w:tcW w:w="2177" w:type="dxa"/>
            <w:tcBorders>
              <w:top w:val="nil"/>
              <w:left w:val="nil"/>
              <w:bottom w:val="single" w:sz="8" w:space="0" w:color="auto"/>
              <w:right w:val="single" w:sz="8" w:space="0" w:color="auto"/>
            </w:tcBorders>
            <w:tcMar>
              <w:top w:w="0" w:type="dxa"/>
              <w:left w:w="108" w:type="dxa"/>
              <w:bottom w:w="0" w:type="dxa"/>
              <w:right w:w="108" w:type="dxa"/>
            </w:tcMar>
            <w:hideMark/>
          </w:tcPr>
          <w:p w14:paraId="31214602" w14:textId="77777777" w:rsidR="00EE5C7C" w:rsidRPr="00FE0EE7" w:rsidRDefault="00EE5C7C" w:rsidP="00765F25">
            <w:pPr>
              <w:tabs>
                <w:tab w:val="left" w:pos="567"/>
              </w:tabs>
              <w:rPr>
                <w:color w:val="auto"/>
                <w:sz w:val="22"/>
                <w:szCs w:val="22"/>
              </w:rPr>
            </w:pPr>
            <w:r w:rsidRPr="00FE0EE7">
              <w:rPr>
                <w:color w:val="auto"/>
                <w:sz w:val="22"/>
                <w:szCs w:val="22"/>
              </w:rPr>
              <w:t>P90</w:t>
            </w:r>
          </w:p>
        </w:tc>
      </w:tr>
      <w:tr w:rsidR="00B0714C" w:rsidRPr="00FE0EE7" w14:paraId="72328A60" w14:textId="77777777" w:rsidTr="00765F25">
        <w:tc>
          <w:tcPr>
            <w:tcW w:w="141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007F419" w14:textId="77777777" w:rsidR="00EE5C7C" w:rsidRPr="00FE0EE7" w:rsidRDefault="00EE5C7C" w:rsidP="00765F25">
            <w:pPr>
              <w:tabs>
                <w:tab w:val="left" w:pos="567"/>
              </w:tabs>
              <w:rPr>
                <w:color w:val="auto"/>
                <w:sz w:val="22"/>
                <w:szCs w:val="22"/>
              </w:rPr>
            </w:pPr>
            <w:r w:rsidRPr="00FE0EE7">
              <w:rPr>
                <w:color w:val="auto"/>
                <w:sz w:val="22"/>
                <w:szCs w:val="22"/>
              </w:rPr>
              <w:t>Base Case</w:t>
            </w:r>
          </w:p>
        </w:tc>
        <w:tc>
          <w:tcPr>
            <w:tcW w:w="3969" w:type="dxa"/>
            <w:tcBorders>
              <w:top w:val="nil"/>
              <w:left w:val="nil"/>
              <w:bottom w:val="single" w:sz="8" w:space="0" w:color="auto"/>
              <w:right w:val="single" w:sz="8" w:space="0" w:color="auto"/>
            </w:tcBorders>
            <w:tcMar>
              <w:top w:w="0" w:type="dxa"/>
              <w:left w:w="108" w:type="dxa"/>
              <w:bottom w:w="0" w:type="dxa"/>
              <w:right w:w="108" w:type="dxa"/>
            </w:tcMar>
            <w:hideMark/>
          </w:tcPr>
          <w:p w14:paraId="0C2C40E5" w14:textId="77777777" w:rsidR="00EE5C7C" w:rsidRPr="00FE0EE7" w:rsidRDefault="00EE5C7C" w:rsidP="00765F25">
            <w:pPr>
              <w:tabs>
                <w:tab w:val="left" w:pos="567"/>
              </w:tabs>
              <w:rPr>
                <w:color w:val="auto"/>
                <w:sz w:val="22"/>
                <w:szCs w:val="22"/>
              </w:rPr>
            </w:pPr>
            <w:r w:rsidRPr="00FE0EE7">
              <w:rPr>
                <w:color w:val="auto"/>
                <w:sz w:val="22"/>
                <w:szCs w:val="22"/>
              </w:rPr>
              <w:t>2C (Proved &amp; Probable)</w:t>
            </w:r>
          </w:p>
        </w:tc>
        <w:tc>
          <w:tcPr>
            <w:tcW w:w="2177" w:type="dxa"/>
            <w:tcBorders>
              <w:top w:val="nil"/>
              <w:left w:val="nil"/>
              <w:bottom w:val="single" w:sz="8" w:space="0" w:color="auto"/>
              <w:right w:val="single" w:sz="8" w:space="0" w:color="auto"/>
            </w:tcBorders>
            <w:tcMar>
              <w:top w:w="0" w:type="dxa"/>
              <w:left w:w="108" w:type="dxa"/>
              <w:bottom w:w="0" w:type="dxa"/>
              <w:right w:w="108" w:type="dxa"/>
            </w:tcMar>
            <w:hideMark/>
          </w:tcPr>
          <w:p w14:paraId="18C2548E" w14:textId="77777777" w:rsidR="00EE5C7C" w:rsidRPr="00FE0EE7" w:rsidRDefault="00EE5C7C" w:rsidP="00765F25">
            <w:pPr>
              <w:tabs>
                <w:tab w:val="left" w:pos="567"/>
              </w:tabs>
              <w:rPr>
                <w:color w:val="auto"/>
                <w:sz w:val="22"/>
                <w:szCs w:val="22"/>
              </w:rPr>
            </w:pPr>
            <w:r w:rsidRPr="00FE0EE7">
              <w:rPr>
                <w:color w:val="auto"/>
                <w:sz w:val="22"/>
                <w:szCs w:val="22"/>
              </w:rPr>
              <w:t>P50</w:t>
            </w:r>
          </w:p>
        </w:tc>
      </w:tr>
      <w:tr w:rsidR="00B0714C" w:rsidRPr="00FE0EE7" w14:paraId="6DD2ED5E" w14:textId="77777777" w:rsidTr="00765F25">
        <w:tc>
          <w:tcPr>
            <w:tcW w:w="141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F366F5" w14:textId="77777777" w:rsidR="00EE5C7C" w:rsidRPr="00FE0EE7" w:rsidRDefault="00EE5C7C" w:rsidP="00765F25">
            <w:pPr>
              <w:tabs>
                <w:tab w:val="left" w:pos="567"/>
              </w:tabs>
              <w:rPr>
                <w:color w:val="auto"/>
                <w:sz w:val="22"/>
                <w:szCs w:val="22"/>
              </w:rPr>
            </w:pPr>
            <w:r w:rsidRPr="00FE0EE7">
              <w:rPr>
                <w:color w:val="auto"/>
                <w:sz w:val="22"/>
                <w:szCs w:val="22"/>
              </w:rPr>
              <w:t>P10</w:t>
            </w:r>
          </w:p>
        </w:tc>
        <w:tc>
          <w:tcPr>
            <w:tcW w:w="3969" w:type="dxa"/>
            <w:tcBorders>
              <w:top w:val="nil"/>
              <w:left w:val="nil"/>
              <w:bottom w:val="single" w:sz="8" w:space="0" w:color="auto"/>
              <w:right w:val="single" w:sz="8" w:space="0" w:color="auto"/>
            </w:tcBorders>
            <w:tcMar>
              <w:top w:w="0" w:type="dxa"/>
              <w:left w:w="108" w:type="dxa"/>
              <w:bottom w:w="0" w:type="dxa"/>
              <w:right w:w="108" w:type="dxa"/>
            </w:tcMar>
            <w:hideMark/>
          </w:tcPr>
          <w:p w14:paraId="6FC19600" w14:textId="77777777" w:rsidR="00EE5C7C" w:rsidRPr="00FE0EE7" w:rsidRDefault="00EE5C7C" w:rsidP="00765F25">
            <w:pPr>
              <w:tabs>
                <w:tab w:val="left" w:pos="567"/>
              </w:tabs>
              <w:rPr>
                <w:color w:val="auto"/>
                <w:sz w:val="22"/>
                <w:szCs w:val="22"/>
              </w:rPr>
            </w:pPr>
            <w:r w:rsidRPr="00FE0EE7">
              <w:rPr>
                <w:color w:val="auto"/>
                <w:sz w:val="22"/>
                <w:szCs w:val="22"/>
              </w:rPr>
              <w:t>3C (Proved, Probable &amp; Possible)</w:t>
            </w:r>
          </w:p>
        </w:tc>
        <w:tc>
          <w:tcPr>
            <w:tcW w:w="2177" w:type="dxa"/>
            <w:tcBorders>
              <w:top w:val="nil"/>
              <w:left w:val="nil"/>
              <w:bottom w:val="single" w:sz="8" w:space="0" w:color="auto"/>
              <w:right w:val="single" w:sz="8" w:space="0" w:color="auto"/>
            </w:tcBorders>
            <w:tcMar>
              <w:top w:w="0" w:type="dxa"/>
              <w:left w:w="108" w:type="dxa"/>
              <w:bottom w:w="0" w:type="dxa"/>
              <w:right w:w="108" w:type="dxa"/>
            </w:tcMar>
            <w:hideMark/>
          </w:tcPr>
          <w:p w14:paraId="70A46566" w14:textId="77777777" w:rsidR="00EE5C7C" w:rsidRPr="00FE0EE7" w:rsidRDefault="00EE5C7C" w:rsidP="00765F25">
            <w:pPr>
              <w:tabs>
                <w:tab w:val="left" w:pos="567"/>
              </w:tabs>
              <w:rPr>
                <w:color w:val="auto"/>
                <w:sz w:val="22"/>
                <w:szCs w:val="22"/>
              </w:rPr>
            </w:pPr>
            <w:r w:rsidRPr="00FE0EE7">
              <w:rPr>
                <w:color w:val="auto"/>
                <w:sz w:val="22"/>
                <w:szCs w:val="22"/>
              </w:rPr>
              <w:t>P10</w:t>
            </w:r>
          </w:p>
        </w:tc>
      </w:tr>
    </w:tbl>
    <w:p w14:paraId="1C863959" w14:textId="77777777" w:rsidR="00520405" w:rsidRDefault="00520405" w:rsidP="00520405">
      <w:pPr>
        <w:pStyle w:val="ListParagraph"/>
        <w:tabs>
          <w:tab w:val="left" w:pos="567"/>
        </w:tabs>
        <w:spacing w:before="120" w:line="240" w:lineRule="auto"/>
        <w:ind w:left="567"/>
        <w:contextualSpacing w:val="0"/>
        <w:rPr>
          <w:color w:val="auto"/>
          <w:sz w:val="22"/>
          <w:szCs w:val="22"/>
        </w:rPr>
      </w:pPr>
    </w:p>
    <w:p w14:paraId="4FE91DF7" w14:textId="77777777" w:rsidR="002C10B1" w:rsidRPr="00FE0EE7" w:rsidRDefault="00744C0E" w:rsidP="00FE0EE7">
      <w:pPr>
        <w:pStyle w:val="ListParagraph"/>
        <w:numPr>
          <w:ilvl w:val="1"/>
          <w:numId w:val="24"/>
        </w:numPr>
        <w:tabs>
          <w:tab w:val="left" w:pos="567"/>
        </w:tabs>
        <w:spacing w:before="120" w:line="240" w:lineRule="auto"/>
        <w:ind w:left="567" w:hanging="567"/>
        <w:contextualSpacing w:val="0"/>
        <w:rPr>
          <w:color w:val="auto"/>
          <w:sz w:val="22"/>
          <w:szCs w:val="22"/>
        </w:rPr>
      </w:pPr>
      <w:r w:rsidRPr="00FE0EE7">
        <w:rPr>
          <w:color w:val="auto"/>
          <w:sz w:val="22"/>
          <w:szCs w:val="22"/>
        </w:rPr>
        <w:t>A petroleum resource will not be considered commercially unviable because of an applicant’s inability or unwillingness to acquire or apply proven and available technology or its lack of skilled pers</w:t>
      </w:r>
      <w:r w:rsidR="009674E4" w:rsidRPr="00FE0EE7">
        <w:rPr>
          <w:color w:val="auto"/>
          <w:sz w:val="22"/>
          <w:szCs w:val="22"/>
        </w:rPr>
        <w:t>onnel or financial capability.</w:t>
      </w:r>
    </w:p>
    <w:p w14:paraId="3D2F7F72" w14:textId="77777777" w:rsidR="00885B50" w:rsidRPr="00FE0EE7" w:rsidRDefault="00885B50" w:rsidP="002C10B1">
      <w:pPr>
        <w:tabs>
          <w:tab w:val="left" w:pos="567"/>
        </w:tabs>
        <w:rPr>
          <w:i/>
          <w:color w:val="auto"/>
          <w:sz w:val="22"/>
          <w:szCs w:val="22"/>
        </w:rPr>
      </w:pPr>
    </w:p>
    <w:p w14:paraId="623915C6" w14:textId="77777777" w:rsidR="002C10B1" w:rsidRPr="00FE0EE7" w:rsidRDefault="002C10B1" w:rsidP="00D553D5">
      <w:pPr>
        <w:pStyle w:val="Heading5"/>
      </w:pPr>
      <w:r w:rsidRPr="00FE0EE7">
        <w:t>Market Issues</w:t>
      </w:r>
    </w:p>
    <w:p w14:paraId="43053335" w14:textId="77777777" w:rsidR="002C10B1" w:rsidRPr="00FE0EE7" w:rsidRDefault="00744C0E" w:rsidP="00FE0EE7">
      <w:pPr>
        <w:pStyle w:val="ListParagraph"/>
        <w:numPr>
          <w:ilvl w:val="1"/>
          <w:numId w:val="24"/>
        </w:numPr>
        <w:tabs>
          <w:tab w:val="left" w:pos="567"/>
        </w:tabs>
        <w:spacing w:after="120" w:line="240" w:lineRule="auto"/>
        <w:ind w:left="567" w:hanging="567"/>
        <w:contextualSpacing w:val="0"/>
        <w:rPr>
          <w:color w:val="auto"/>
          <w:sz w:val="22"/>
          <w:szCs w:val="22"/>
        </w:rPr>
      </w:pPr>
      <w:r w:rsidRPr="00FE0EE7">
        <w:rPr>
          <w:color w:val="auto"/>
          <w:sz w:val="22"/>
          <w:szCs w:val="22"/>
        </w:rPr>
        <w:t xml:space="preserve">In addressing market issues, including market access, prices, and timing of market opportunities, it will be accepted that a potential market exists for liquids (crude oil, condensate or </w:t>
      </w:r>
      <w:r w:rsidR="00E038A6" w:rsidRPr="00FE0EE7">
        <w:rPr>
          <w:color w:val="auto"/>
          <w:sz w:val="22"/>
          <w:szCs w:val="22"/>
        </w:rPr>
        <w:t>Liquefied Petroleum Gas (</w:t>
      </w:r>
      <w:r w:rsidRPr="00FE0EE7">
        <w:rPr>
          <w:color w:val="auto"/>
          <w:sz w:val="22"/>
          <w:szCs w:val="22"/>
        </w:rPr>
        <w:t>LPG</w:t>
      </w:r>
      <w:r w:rsidR="00E038A6" w:rsidRPr="00FE0EE7">
        <w:rPr>
          <w:color w:val="auto"/>
          <w:sz w:val="22"/>
          <w:szCs w:val="22"/>
        </w:rPr>
        <w:t>)</w:t>
      </w:r>
      <w:r w:rsidRPr="00FE0EE7">
        <w:rPr>
          <w:color w:val="auto"/>
          <w:sz w:val="22"/>
          <w:szCs w:val="22"/>
        </w:rPr>
        <w:t>) recoverable from a project and that the terms and conditions of supply are part of determining</w:t>
      </w:r>
      <w:r w:rsidR="002C10B1" w:rsidRPr="00FE0EE7">
        <w:rPr>
          <w:color w:val="auto"/>
          <w:sz w:val="22"/>
          <w:szCs w:val="22"/>
        </w:rPr>
        <w:t xml:space="preserve"> the viability of the project.</w:t>
      </w:r>
    </w:p>
    <w:p w14:paraId="398A4FC5" w14:textId="77777777" w:rsidR="002C10B1" w:rsidRPr="00FE0EE7" w:rsidRDefault="00744C0E" w:rsidP="00FE0EE7">
      <w:pPr>
        <w:pStyle w:val="ListParagraph"/>
        <w:numPr>
          <w:ilvl w:val="1"/>
          <w:numId w:val="24"/>
        </w:numPr>
        <w:tabs>
          <w:tab w:val="left" w:pos="567"/>
        </w:tabs>
        <w:spacing w:after="120" w:line="240" w:lineRule="auto"/>
        <w:ind w:left="567" w:hanging="567"/>
        <w:contextualSpacing w:val="0"/>
        <w:rPr>
          <w:color w:val="auto"/>
          <w:sz w:val="22"/>
          <w:szCs w:val="22"/>
        </w:rPr>
      </w:pPr>
      <w:r w:rsidRPr="00FE0EE7">
        <w:rPr>
          <w:color w:val="auto"/>
          <w:sz w:val="22"/>
          <w:szCs w:val="22"/>
        </w:rPr>
        <w:t xml:space="preserve">It is recognised that the market for non-liquid (natural gas) is often characterised by large, long term contracts, at specified rates, time periods and qualities. In some circumstances the Joint Authority may </w:t>
      </w:r>
      <w:r w:rsidR="00122833" w:rsidRPr="00FE0EE7">
        <w:rPr>
          <w:color w:val="auto"/>
          <w:sz w:val="22"/>
          <w:szCs w:val="22"/>
        </w:rPr>
        <w:t xml:space="preserve">decide </w:t>
      </w:r>
      <w:r w:rsidRPr="00FE0EE7">
        <w:rPr>
          <w:color w:val="auto"/>
          <w:sz w:val="22"/>
          <w:szCs w:val="22"/>
        </w:rPr>
        <w:t xml:space="preserve">that an otherwise commercially viable non-liquids project could not proceed due to a genuine and demonstrated inability by the proponent to obtain a contract </w:t>
      </w:r>
      <w:r w:rsidR="00E87181" w:rsidRPr="00FE0EE7">
        <w:rPr>
          <w:color w:val="auto"/>
          <w:sz w:val="22"/>
          <w:szCs w:val="22"/>
        </w:rPr>
        <w:t xml:space="preserve">which would support development </w:t>
      </w:r>
      <w:r w:rsidRPr="00FE0EE7">
        <w:rPr>
          <w:color w:val="auto"/>
          <w:sz w:val="22"/>
          <w:szCs w:val="22"/>
        </w:rPr>
        <w:t>at prevailing market terms and conditions.</w:t>
      </w:r>
    </w:p>
    <w:p w14:paraId="0A231867" w14:textId="77777777" w:rsidR="003F412E" w:rsidRPr="00FE0EE7" w:rsidRDefault="004F7374" w:rsidP="00FE0EE7">
      <w:pPr>
        <w:pStyle w:val="ListParagraph"/>
        <w:numPr>
          <w:ilvl w:val="1"/>
          <w:numId w:val="24"/>
        </w:numPr>
        <w:tabs>
          <w:tab w:val="left" w:pos="567"/>
        </w:tabs>
        <w:spacing w:line="240" w:lineRule="auto"/>
        <w:ind w:left="567" w:hanging="567"/>
        <w:rPr>
          <w:color w:val="auto"/>
          <w:sz w:val="22"/>
          <w:szCs w:val="22"/>
        </w:rPr>
      </w:pPr>
      <w:r w:rsidRPr="00FE0EE7">
        <w:rPr>
          <w:color w:val="auto"/>
          <w:sz w:val="22"/>
          <w:szCs w:val="22"/>
        </w:rPr>
        <w:t xml:space="preserve">Applicants should </w:t>
      </w:r>
      <w:r w:rsidR="00AE5B5F" w:rsidRPr="00FE0EE7">
        <w:rPr>
          <w:color w:val="auto"/>
          <w:sz w:val="22"/>
          <w:szCs w:val="22"/>
        </w:rPr>
        <w:t xml:space="preserve">provide evidence of efforts made to obtain contracts for the sale of non-liquids, including </w:t>
      </w:r>
      <w:r w:rsidR="00BE4705" w:rsidRPr="00FE0EE7">
        <w:rPr>
          <w:color w:val="auto"/>
          <w:sz w:val="22"/>
          <w:szCs w:val="22"/>
        </w:rPr>
        <w:t>any information on approaches by third parties to purchase gas</w:t>
      </w:r>
      <w:r w:rsidR="00AE5B5F" w:rsidRPr="00FE0EE7">
        <w:rPr>
          <w:color w:val="auto"/>
          <w:sz w:val="22"/>
          <w:szCs w:val="22"/>
        </w:rPr>
        <w:t>, engagements with potential buyers</w:t>
      </w:r>
      <w:r w:rsidR="00BE4705" w:rsidRPr="00FE0EE7">
        <w:rPr>
          <w:color w:val="auto"/>
          <w:sz w:val="22"/>
          <w:szCs w:val="22"/>
        </w:rPr>
        <w:t xml:space="preserve"> and reasons for not proceeding. </w:t>
      </w:r>
    </w:p>
    <w:p w14:paraId="7F6BE71A" w14:textId="77777777" w:rsidR="00885B50" w:rsidRPr="00FE0EE7" w:rsidRDefault="00885B50" w:rsidP="00FE0EE7">
      <w:pPr>
        <w:tabs>
          <w:tab w:val="left" w:pos="567"/>
        </w:tabs>
        <w:spacing w:line="240" w:lineRule="auto"/>
        <w:rPr>
          <w:i/>
          <w:color w:val="auto"/>
          <w:sz w:val="22"/>
          <w:szCs w:val="22"/>
        </w:rPr>
      </w:pPr>
    </w:p>
    <w:p w14:paraId="698DDFC8" w14:textId="77777777" w:rsidR="002C10B1" w:rsidRPr="00FE0EE7" w:rsidRDefault="002C10B1" w:rsidP="00D553D5">
      <w:pPr>
        <w:pStyle w:val="Heading5"/>
      </w:pPr>
      <w:r w:rsidRPr="00FE0EE7">
        <w:lastRenderedPageBreak/>
        <w:t>Infrastructure access</w:t>
      </w:r>
    </w:p>
    <w:p w14:paraId="02CEE7EF" w14:textId="77777777" w:rsidR="004966FB" w:rsidRPr="00FE0EE7" w:rsidRDefault="00744C0E" w:rsidP="00FE0EE7">
      <w:pPr>
        <w:pStyle w:val="ListParagraph"/>
        <w:keepNext/>
        <w:numPr>
          <w:ilvl w:val="1"/>
          <w:numId w:val="24"/>
        </w:numPr>
        <w:tabs>
          <w:tab w:val="left" w:pos="567"/>
        </w:tabs>
        <w:spacing w:after="120" w:line="240" w:lineRule="auto"/>
        <w:ind w:left="567" w:hanging="567"/>
        <w:contextualSpacing w:val="0"/>
        <w:rPr>
          <w:color w:val="auto"/>
          <w:sz w:val="22"/>
          <w:szCs w:val="22"/>
        </w:rPr>
      </w:pPr>
      <w:r w:rsidRPr="00FE0EE7">
        <w:rPr>
          <w:color w:val="auto"/>
          <w:sz w:val="22"/>
          <w:szCs w:val="22"/>
        </w:rPr>
        <w:t xml:space="preserve">Commercial viability may depend on combining a development with other potential </w:t>
      </w:r>
      <w:proofErr w:type="gramStart"/>
      <w:r w:rsidRPr="00FE0EE7">
        <w:rPr>
          <w:color w:val="auto"/>
          <w:sz w:val="22"/>
          <w:szCs w:val="22"/>
        </w:rPr>
        <w:t>third party</w:t>
      </w:r>
      <w:proofErr w:type="gramEnd"/>
      <w:r w:rsidRPr="00FE0EE7">
        <w:rPr>
          <w:color w:val="auto"/>
          <w:sz w:val="22"/>
          <w:szCs w:val="22"/>
        </w:rPr>
        <w:t xml:space="preserve"> developments, or access to third party facilities or technology. In such cases, the petroleum resource may not be considered commercially viable if the titleholder is unable to complete an agreement to jointly develop and/or access facilities or technology which facilitates an acceptable rate of return.</w:t>
      </w:r>
    </w:p>
    <w:p w14:paraId="56A45AFE" w14:textId="77777777" w:rsidR="004966FB" w:rsidRPr="00FE0EE7" w:rsidRDefault="00744C0E" w:rsidP="00FE0EE7">
      <w:pPr>
        <w:pStyle w:val="ListParagraph"/>
        <w:numPr>
          <w:ilvl w:val="1"/>
          <w:numId w:val="24"/>
        </w:numPr>
        <w:tabs>
          <w:tab w:val="left" w:pos="567"/>
        </w:tabs>
        <w:spacing w:line="240" w:lineRule="auto"/>
        <w:ind w:left="567" w:hanging="567"/>
        <w:rPr>
          <w:color w:val="auto"/>
          <w:sz w:val="22"/>
          <w:szCs w:val="22"/>
        </w:rPr>
      </w:pPr>
      <w:r w:rsidRPr="00FE0EE7">
        <w:rPr>
          <w:color w:val="auto"/>
          <w:sz w:val="22"/>
          <w:szCs w:val="22"/>
        </w:rPr>
        <w:t xml:space="preserve">Assessments of commercial viability will </w:t>
      </w:r>
      <w:proofErr w:type="gramStart"/>
      <w:r w:rsidRPr="00FE0EE7">
        <w:rPr>
          <w:color w:val="auto"/>
          <w:sz w:val="22"/>
          <w:szCs w:val="22"/>
        </w:rPr>
        <w:t>take into account</w:t>
      </w:r>
      <w:proofErr w:type="gramEnd"/>
      <w:r w:rsidRPr="00FE0EE7">
        <w:rPr>
          <w:color w:val="auto"/>
          <w:sz w:val="22"/>
          <w:szCs w:val="22"/>
        </w:rPr>
        <w:t xml:space="preserve"> efforts to secure infrastructure access and the timing of field development where dependent on infrastructure that i</w:t>
      </w:r>
      <w:r w:rsidR="004966FB" w:rsidRPr="00FE0EE7">
        <w:rPr>
          <w:color w:val="auto"/>
          <w:sz w:val="22"/>
          <w:szCs w:val="22"/>
        </w:rPr>
        <w:t>s planned or under construction.</w:t>
      </w:r>
    </w:p>
    <w:p w14:paraId="7A43B1B1" w14:textId="77777777" w:rsidR="00885B50" w:rsidRPr="00FE0EE7" w:rsidRDefault="00885B50" w:rsidP="00FE0EE7">
      <w:pPr>
        <w:tabs>
          <w:tab w:val="left" w:pos="567"/>
        </w:tabs>
        <w:spacing w:line="240" w:lineRule="auto"/>
        <w:rPr>
          <w:i/>
          <w:color w:val="auto"/>
          <w:sz w:val="22"/>
          <w:szCs w:val="22"/>
        </w:rPr>
      </w:pPr>
    </w:p>
    <w:p w14:paraId="1204C7F8" w14:textId="77777777" w:rsidR="004966FB" w:rsidRPr="00FE0EE7" w:rsidRDefault="004966FB" w:rsidP="00D553D5">
      <w:pPr>
        <w:pStyle w:val="Heading5"/>
      </w:pPr>
      <w:r w:rsidRPr="00FE0EE7">
        <w:t>Pricing considerations</w:t>
      </w:r>
    </w:p>
    <w:p w14:paraId="5C782186" w14:textId="77777777" w:rsidR="004966FB" w:rsidRPr="00FE0EE7" w:rsidRDefault="00744C0E" w:rsidP="00FE0EE7">
      <w:pPr>
        <w:pStyle w:val="ListParagraph"/>
        <w:numPr>
          <w:ilvl w:val="1"/>
          <w:numId w:val="24"/>
        </w:numPr>
        <w:tabs>
          <w:tab w:val="left" w:pos="567"/>
        </w:tabs>
        <w:spacing w:after="120" w:line="240" w:lineRule="auto"/>
        <w:ind w:left="567" w:hanging="567"/>
        <w:contextualSpacing w:val="0"/>
        <w:rPr>
          <w:color w:val="auto"/>
          <w:sz w:val="22"/>
          <w:szCs w:val="22"/>
        </w:rPr>
      </w:pPr>
      <w:r w:rsidRPr="00FE0EE7">
        <w:rPr>
          <w:color w:val="auto"/>
          <w:sz w:val="22"/>
          <w:szCs w:val="22"/>
        </w:rPr>
        <w:t xml:space="preserve">NOPTA and the Joint Authority </w:t>
      </w:r>
      <w:r w:rsidR="00E87181" w:rsidRPr="00FE0EE7">
        <w:rPr>
          <w:color w:val="auto"/>
          <w:sz w:val="22"/>
          <w:szCs w:val="22"/>
        </w:rPr>
        <w:t>may</w:t>
      </w:r>
      <w:r w:rsidRPr="00FE0EE7">
        <w:rPr>
          <w:color w:val="auto"/>
          <w:sz w:val="22"/>
          <w:szCs w:val="22"/>
        </w:rPr>
        <w:t xml:space="preserve"> apply a </w:t>
      </w:r>
      <w:r w:rsidR="00E87181" w:rsidRPr="00FE0EE7">
        <w:rPr>
          <w:color w:val="auto"/>
          <w:sz w:val="22"/>
          <w:szCs w:val="22"/>
        </w:rPr>
        <w:t>commodity</w:t>
      </w:r>
      <w:r w:rsidRPr="00FE0EE7">
        <w:rPr>
          <w:color w:val="auto"/>
          <w:sz w:val="22"/>
          <w:szCs w:val="22"/>
        </w:rPr>
        <w:t xml:space="preserve"> price appropriate to the life of the field and will not necessarily accept the price used by t</w:t>
      </w:r>
      <w:r w:rsidR="004966FB" w:rsidRPr="00FE0EE7">
        <w:rPr>
          <w:color w:val="auto"/>
          <w:sz w:val="22"/>
          <w:szCs w:val="22"/>
        </w:rPr>
        <w:t>he applicant in its assessment</w:t>
      </w:r>
      <w:r w:rsidR="00E87181" w:rsidRPr="00FE0EE7">
        <w:rPr>
          <w:color w:val="auto"/>
          <w:sz w:val="22"/>
          <w:szCs w:val="22"/>
        </w:rPr>
        <w:t xml:space="preserve"> if it is considered unreasonable</w:t>
      </w:r>
      <w:r w:rsidR="004966FB" w:rsidRPr="00FE0EE7">
        <w:rPr>
          <w:color w:val="auto"/>
          <w:sz w:val="22"/>
          <w:szCs w:val="22"/>
        </w:rPr>
        <w:t>.</w:t>
      </w:r>
    </w:p>
    <w:p w14:paraId="07AB06DF" w14:textId="77777777" w:rsidR="004966FB" w:rsidRPr="00FE0EE7" w:rsidRDefault="00744C0E" w:rsidP="00FE0EE7">
      <w:pPr>
        <w:pStyle w:val="ListParagraph"/>
        <w:numPr>
          <w:ilvl w:val="1"/>
          <w:numId w:val="24"/>
        </w:numPr>
        <w:tabs>
          <w:tab w:val="left" w:pos="567"/>
        </w:tabs>
        <w:spacing w:line="240" w:lineRule="auto"/>
        <w:ind w:left="567" w:hanging="567"/>
        <w:rPr>
          <w:color w:val="auto"/>
          <w:sz w:val="22"/>
          <w:szCs w:val="22"/>
        </w:rPr>
      </w:pPr>
      <w:r w:rsidRPr="00FE0EE7">
        <w:rPr>
          <w:color w:val="auto"/>
          <w:sz w:val="22"/>
          <w:szCs w:val="22"/>
        </w:rPr>
        <w:t>Relevant information, such as the domestic gas price, contract availability, access to markets, existing infrastructure and geotechnical considerations, may be tested by NOPTA using information supplied in the application, sought from the applicant as part of a request for further information, or sourced independently in reaching a decision on commerciality.</w:t>
      </w:r>
    </w:p>
    <w:p w14:paraId="1688A365" w14:textId="77777777" w:rsidR="004966FB" w:rsidRPr="00FE0EE7" w:rsidRDefault="004966FB" w:rsidP="00FE0EE7">
      <w:pPr>
        <w:pStyle w:val="Heading3"/>
        <w:spacing w:before="240" w:after="60" w:line="240" w:lineRule="auto"/>
        <w:rPr>
          <w:rFonts w:eastAsiaTheme="majorEastAsia"/>
          <w:sz w:val="24"/>
          <w:lang w:eastAsia="en-AU"/>
        </w:rPr>
      </w:pPr>
      <w:bookmarkStart w:id="26" w:name="_Toc464746052"/>
      <w:bookmarkStart w:id="27" w:name="_Toc464747150"/>
      <w:r w:rsidRPr="00FE0EE7">
        <w:rPr>
          <w:rFonts w:eastAsiaTheme="majorEastAsia"/>
          <w:sz w:val="24"/>
          <w:lang w:eastAsia="en-AU"/>
        </w:rPr>
        <w:t>Work program and expenditure</w:t>
      </w:r>
      <w:bookmarkEnd w:id="26"/>
      <w:bookmarkEnd w:id="27"/>
    </w:p>
    <w:p w14:paraId="12F11736" w14:textId="77777777" w:rsidR="004966FB" w:rsidRPr="00FE0EE7" w:rsidRDefault="00744C0E" w:rsidP="00FE0EE7">
      <w:pPr>
        <w:pStyle w:val="ListParagraph"/>
        <w:numPr>
          <w:ilvl w:val="1"/>
          <w:numId w:val="24"/>
        </w:numPr>
        <w:tabs>
          <w:tab w:val="left" w:pos="567"/>
        </w:tabs>
        <w:spacing w:after="120" w:line="240" w:lineRule="auto"/>
        <w:ind w:left="567" w:hanging="567"/>
        <w:contextualSpacing w:val="0"/>
        <w:rPr>
          <w:color w:val="auto"/>
          <w:sz w:val="22"/>
          <w:szCs w:val="22"/>
        </w:rPr>
      </w:pPr>
      <w:r w:rsidRPr="00FE0EE7">
        <w:rPr>
          <w:color w:val="auto"/>
          <w:sz w:val="22"/>
          <w:szCs w:val="22"/>
        </w:rPr>
        <w:t xml:space="preserve">The work program should address the primary constraints to </w:t>
      </w:r>
      <w:r w:rsidR="00E87181" w:rsidRPr="00FE0EE7">
        <w:rPr>
          <w:color w:val="auto"/>
          <w:sz w:val="22"/>
          <w:szCs w:val="22"/>
        </w:rPr>
        <w:t xml:space="preserve">development of the petroleum resource </w:t>
      </w:r>
      <w:r w:rsidRPr="00FE0EE7">
        <w:rPr>
          <w:color w:val="auto"/>
          <w:sz w:val="22"/>
          <w:szCs w:val="22"/>
        </w:rPr>
        <w:t xml:space="preserve">that have been identified by the applicant. It should identify key decision points that may result from activities and how these activities contribute to the commercialisation of the </w:t>
      </w:r>
      <w:proofErr w:type="gramStart"/>
      <w:r w:rsidRPr="00FE0EE7">
        <w:rPr>
          <w:color w:val="auto"/>
          <w:sz w:val="22"/>
          <w:szCs w:val="22"/>
        </w:rPr>
        <w:t>resource, and</w:t>
      </w:r>
      <w:proofErr w:type="gramEnd"/>
      <w:r w:rsidRPr="00FE0EE7">
        <w:rPr>
          <w:color w:val="auto"/>
          <w:sz w:val="22"/>
          <w:szCs w:val="22"/>
        </w:rPr>
        <w:t xml:space="preserve"> include indicative relevant expe</w:t>
      </w:r>
      <w:r w:rsidR="004966FB" w:rsidRPr="00FE0EE7">
        <w:rPr>
          <w:color w:val="auto"/>
          <w:sz w:val="22"/>
          <w:szCs w:val="22"/>
        </w:rPr>
        <w:t>nditure.</w:t>
      </w:r>
    </w:p>
    <w:p w14:paraId="46142AF7" w14:textId="77777777" w:rsidR="004966FB" w:rsidRPr="00FE0EE7" w:rsidRDefault="00744C0E" w:rsidP="00FE0EE7">
      <w:pPr>
        <w:pStyle w:val="ListParagraph"/>
        <w:numPr>
          <w:ilvl w:val="1"/>
          <w:numId w:val="24"/>
        </w:numPr>
        <w:tabs>
          <w:tab w:val="left" w:pos="567"/>
        </w:tabs>
        <w:spacing w:after="120" w:line="240" w:lineRule="auto"/>
        <w:ind w:left="567" w:hanging="567"/>
        <w:contextualSpacing w:val="0"/>
        <w:rPr>
          <w:color w:val="auto"/>
          <w:sz w:val="22"/>
          <w:szCs w:val="22"/>
        </w:rPr>
      </w:pPr>
      <w:r w:rsidRPr="00FE0EE7">
        <w:rPr>
          <w:color w:val="auto"/>
          <w:sz w:val="22"/>
          <w:szCs w:val="22"/>
        </w:rPr>
        <w:t>Where a resource is located across two or more adjacent titles, held by the same applicant, there should be a standalone work program for each lease area with work program activities and indicative expe</w:t>
      </w:r>
      <w:r w:rsidR="004966FB" w:rsidRPr="00FE0EE7">
        <w:rPr>
          <w:color w:val="auto"/>
          <w:sz w:val="22"/>
          <w:szCs w:val="22"/>
        </w:rPr>
        <w:t>nditure specific to each lease.</w:t>
      </w:r>
    </w:p>
    <w:p w14:paraId="0EC10FFD" w14:textId="77777777" w:rsidR="004966FB" w:rsidRPr="00FE0EE7" w:rsidRDefault="00744C0E" w:rsidP="00FE0EE7">
      <w:pPr>
        <w:pStyle w:val="ListParagraph"/>
        <w:numPr>
          <w:ilvl w:val="1"/>
          <w:numId w:val="24"/>
        </w:numPr>
        <w:tabs>
          <w:tab w:val="left" w:pos="567"/>
        </w:tabs>
        <w:spacing w:after="120" w:line="240" w:lineRule="auto"/>
        <w:ind w:left="567" w:hanging="567"/>
        <w:contextualSpacing w:val="0"/>
        <w:rPr>
          <w:color w:val="auto"/>
          <w:sz w:val="22"/>
          <w:szCs w:val="22"/>
        </w:rPr>
      </w:pPr>
      <w:r w:rsidRPr="00FE0EE7">
        <w:rPr>
          <w:color w:val="auto"/>
          <w:sz w:val="22"/>
          <w:szCs w:val="22"/>
        </w:rPr>
        <w:t>The work program should address other areas where information on which to base commercial decisions is insufficient. For example, further seismic definition, appraisal drilling, environmental studies or other technical activities may be appropriate to better define the resource. All expected activities should be explicitly addressed, including clear descriptions of the work to be undertaken where engineering, environmental or m</w:t>
      </w:r>
      <w:r w:rsidR="004966FB" w:rsidRPr="00FE0EE7">
        <w:rPr>
          <w:color w:val="auto"/>
          <w:sz w:val="22"/>
          <w:szCs w:val="22"/>
        </w:rPr>
        <w:t>arketing studies are proposed.</w:t>
      </w:r>
    </w:p>
    <w:p w14:paraId="1F8F109D" w14:textId="77777777" w:rsidR="004966FB" w:rsidRPr="00FE0EE7" w:rsidRDefault="00744C0E" w:rsidP="00FE0EE7">
      <w:pPr>
        <w:pStyle w:val="ListParagraph"/>
        <w:numPr>
          <w:ilvl w:val="1"/>
          <w:numId w:val="24"/>
        </w:numPr>
        <w:tabs>
          <w:tab w:val="left" w:pos="567"/>
        </w:tabs>
        <w:spacing w:after="120" w:line="240" w:lineRule="auto"/>
        <w:ind w:left="567" w:hanging="567"/>
        <w:contextualSpacing w:val="0"/>
        <w:rPr>
          <w:color w:val="auto"/>
          <w:sz w:val="22"/>
          <w:szCs w:val="22"/>
        </w:rPr>
      </w:pPr>
      <w:r w:rsidRPr="00FE0EE7">
        <w:rPr>
          <w:color w:val="auto"/>
          <w:sz w:val="22"/>
          <w:szCs w:val="22"/>
        </w:rPr>
        <w:t>The application should also contain a strategy for assessing other prospective reservoirs, including potentially drillable prospects in the lease area. This is to ensure that those parts of the lease area beyond the identified field are adequately explored as if they were part of an exploration permit.</w:t>
      </w:r>
    </w:p>
    <w:p w14:paraId="4E7D1740" w14:textId="77777777" w:rsidR="004966FB" w:rsidRPr="00FE0EE7" w:rsidRDefault="00744C0E" w:rsidP="00FE0EE7">
      <w:pPr>
        <w:pStyle w:val="ListParagraph"/>
        <w:numPr>
          <w:ilvl w:val="1"/>
          <w:numId w:val="24"/>
        </w:numPr>
        <w:tabs>
          <w:tab w:val="left" w:pos="567"/>
        </w:tabs>
        <w:spacing w:after="120" w:line="240" w:lineRule="auto"/>
        <w:ind w:left="567" w:hanging="567"/>
        <w:contextualSpacing w:val="0"/>
        <w:rPr>
          <w:color w:val="auto"/>
          <w:sz w:val="22"/>
          <w:szCs w:val="22"/>
        </w:rPr>
      </w:pPr>
      <w:r w:rsidRPr="00FE0EE7">
        <w:rPr>
          <w:color w:val="auto"/>
          <w:sz w:val="22"/>
          <w:szCs w:val="22"/>
        </w:rPr>
        <w:t xml:space="preserve">Applicants are expected to identify the phasing of activities. In general, a year-by-year breakdown for the five year retention lease term is not required but the work program should be consistent (with regards to timing, the activities proposed and the level of effort) with what a titleholder could be expected to reasonably carry out in order to commercialise </w:t>
      </w:r>
      <w:r w:rsidR="004966FB" w:rsidRPr="00FE0EE7">
        <w:rPr>
          <w:color w:val="auto"/>
          <w:sz w:val="22"/>
          <w:szCs w:val="22"/>
        </w:rPr>
        <w:t>the project in a timely manner.</w:t>
      </w:r>
    </w:p>
    <w:p w14:paraId="2FF1BF47" w14:textId="77777777" w:rsidR="004966FB" w:rsidRPr="00FE0EE7" w:rsidRDefault="00744C0E" w:rsidP="00FE0EE7">
      <w:pPr>
        <w:pStyle w:val="ListParagraph"/>
        <w:numPr>
          <w:ilvl w:val="1"/>
          <w:numId w:val="24"/>
        </w:numPr>
        <w:tabs>
          <w:tab w:val="left" w:pos="567"/>
        </w:tabs>
        <w:spacing w:after="120" w:line="240" w:lineRule="auto"/>
        <w:ind w:left="567" w:hanging="567"/>
        <w:contextualSpacing w:val="0"/>
        <w:rPr>
          <w:color w:val="auto"/>
          <w:sz w:val="22"/>
          <w:szCs w:val="22"/>
        </w:rPr>
      </w:pPr>
      <w:r w:rsidRPr="00FE0EE7">
        <w:rPr>
          <w:color w:val="auto"/>
          <w:sz w:val="22"/>
          <w:szCs w:val="22"/>
        </w:rPr>
        <w:t>Annual reporting of activities carried out by lessees will be required through the annual title assessment reports whereby NOPTA will assess the lessee’s compliance against the work program and ult</w:t>
      </w:r>
      <w:r w:rsidR="004966FB" w:rsidRPr="00FE0EE7">
        <w:rPr>
          <w:color w:val="auto"/>
          <w:sz w:val="22"/>
          <w:szCs w:val="22"/>
        </w:rPr>
        <w:t>imately towards commerciality.</w:t>
      </w:r>
    </w:p>
    <w:p w14:paraId="6843D624" w14:textId="77777777" w:rsidR="004966FB" w:rsidRPr="00FE0EE7" w:rsidRDefault="00744C0E" w:rsidP="00FE0EE7">
      <w:pPr>
        <w:pStyle w:val="ListParagraph"/>
        <w:numPr>
          <w:ilvl w:val="1"/>
          <w:numId w:val="24"/>
        </w:numPr>
        <w:tabs>
          <w:tab w:val="left" w:pos="567"/>
        </w:tabs>
        <w:spacing w:line="240" w:lineRule="auto"/>
        <w:ind w:left="567" w:hanging="567"/>
        <w:rPr>
          <w:color w:val="auto"/>
          <w:sz w:val="22"/>
          <w:szCs w:val="22"/>
        </w:rPr>
      </w:pPr>
      <w:r w:rsidRPr="00FE0EE7">
        <w:rPr>
          <w:color w:val="auto"/>
          <w:sz w:val="22"/>
          <w:szCs w:val="22"/>
        </w:rPr>
        <w:t>In the case of a lease renewal, lessees should describe how the work program to date has made progress towards removing identified commercial barriers.</w:t>
      </w:r>
    </w:p>
    <w:p w14:paraId="57B6629E" w14:textId="77777777" w:rsidR="00520405" w:rsidRDefault="00520405">
      <w:pPr>
        <w:spacing w:line="240" w:lineRule="auto"/>
        <w:rPr>
          <w:rFonts w:eastAsiaTheme="majorEastAsia" w:cs="Arial"/>
          <w:b/>
          <w:bCs/>
          <w:color w:val="auto"/>
          <w:szCs w:val="26"/>
          <w:lang w:eastAsia="en-AU"/>
        </w:rPr>
      </w:pPr>
      <w:bookmarkStart w:id="28" w:name="_Toc464746053"/>
      <w:bookmarkStart w:id="29" w:name="_Toc464747151"/>
      <w:r>
        <w:rPr>
          <w:rFonts w:eastAsiaTheme="majorEastAsia"/>
          <w:lang w:eastAsia="en-AU"/>
        </w:rPr>
        <w:br w:type="page"/>
      </w:r>
    </w:p>
    <w:p w14:paraId="44539D60" w14:textId="6452CE04" w:rsidR="004966FB" w:rsidRPr="00FE0EE7" w:rsidRDefault="004966FB" w:rsidP="00FE0EE7">
      <w:pPr>
        <w:pStyle w:val="Heading3"/>
        <w:spacing w:before="240" w:after="60" w:line="240" w:lineRule="auto"/>
        <w:rPr>
          <w:rFonts w:eastAsiaTheme="majorEastAsia"/>
          <w:sz w:val="24"/>
          <w:lang w:eastAsia="en-AU"/>
        </w:rPr>
      </w:pPr>
      <w:r w:rsidRPr="00FE0EE7">
        <w:rPr>
          <w:rFonts w:eastAsiaTheme="majorEastAsia"/>
          <w:sz w:val="24"/>
          <w:lang w:eastAsia="en-AU"/>
        </w:rPr>
        <w:lastRenderedPageBreak/>
        <w:t>Third party submissions</w:t>
      </w:r>
      <w:bookmarkEnd w:id="28"/>
      <w:bookmarkEnd w:id="29"/>
    </w:p>
    <w:p w14:paraId="56C95260" w14:textId="626EB971" w:rsidR="004966FB" w:rsidRPr="00F00455" w:rsidRDefault="00744C0E" w:rsidP="00FE0EE7">
      <w:pPr>
        <w:pStyle w:val="ListParagraph"/>
        <w:numPr>
          <w:ilvl w:val="1"/>
          <w:numId w:val="24"/>
        </w:numPr>
        <w:tabs>
          <w:tab w:val="left" w:pos="567"/>
        </w:tabs>
        <w:spacing w:after="120" w:line="240" w:lineRule="auto"/>
        <w:ind w:left="567" w:hanging="567"/>
        <w:contextualSpacing w:val="0"/>
        <w:rPr>
          <w:color w:val="auto"/>
          <w:sz w:val="22"/>
          <w:szCs w:val="22"/>
        </w:rPr>
      </w:pPr>
      <w:r w:rsidRPr="00FE0EE7">
        <w:rPr>
          <w:color w:val="auto"/>
          <w:sz w:val="22"/>
          <w:szCs w:val="22"/>
        </w:rPr>
        <w:t>NOPTA may seek and/or receive third party submissions relating to the commercialisation of petroleum resources which are or may be the subject of a retention lease application or r</w:t>
      </w:r>
      <w:r w:rsidR="004966FB" w:rsidRPr="00FE0EE7">
        <w:rPr>
          <w:color w:val="auto"/>
          <w:sz w:val="22"/>
          <w:szCs w:val="22"/>
        </w:rPr>
        <w:t>enewal.</w:t>
      </w:r>
      <w:r w:rsidR="00F00455">
        <w:rPr>
          <w:color w:val="auto"/>
          <w:sz w:val="22"/>
          <w:szCs w:val="22"/>
        </w:rPr>
        <w:t xml:space="preserve"> </w:t>
      </w:r>
    </w:p>
    <w:p w14:paraId="046A194D" w14:textId="77777777" w:rsidR="004966FB" w:rsidRPr="00FE0EE7" w:rsidRDefault="00744C0E" w:rsidP="00FE0EE7">
      <w:pPr>
        <w:pStyle w:val="ListParagraph"/>
        <w:numPr>
          <w:ilvl w:val="1"/>
          <w:numId w:val="24"/>
        </w:numPr>
        <w:tabs>
          <w:tab w:val="left" w:pos="567"/>
        </w:tabs>
        <w:spacing w:after="120" w:line="240" w:lineRule="auto"/>
        <w:ind w:left="567" w:hanging="567"/>
        <w:contextualSpacing w:val="0"/>
        <w:rPr>
          <w:color w:val="auto"/>
          <w:sz w:val="22"/>
          <w:szCs w:val="22"/>
        </w:rPr>
      </w:pPr>
      <w:r w:rsidRPr="00FE0EE7">
        <w:rPr>
          <w:color w:val="auto"/>
          <w:sz w:val="22"/>
          <w:szCs w:val="22"/>
        </w:rPr>
        <w:t>NOPTA and the Joint Authority will consider such submissions where appropriate through the lease application or renewal assessment process, or as part of a review of commerciality, and may take submissions into account at any time over the l</w:t>
      </w:r>
      <w:r w:rsidR="004966FB" w:rsidRPr="00FE0EE7">
        <w:rPr>
          <w:color w:val="auto"/>
          <w:sz w:val="22"/>
          <w:szCs w:val="22"/>
        </w:rPr>
        <w:t>ife of a title.</w:t>
      </w:r>
    </w:p>
    <w:p w14:paraId="75594C14" w14:textId="77777777" w:rsidR="004966FB" w:rsidRPr="00FE0EE7" w:rsidRDefault="00744C0E" w:rsidP="00FE0EE7">
      <w:pPr>
        <w:pStyle w:val="ListParagraph"/>
        <w:numPr>
          <w:ilvl w:val="1"/>
          <w:numId w:val="24"/>
        </w:numPr>
        <w:tabs>
          <w:tab w:val="left" w:pos="567"/>
        </w:tabs>
        <w:spacing w:after="120" w:line="240" w:lineRule="auto"/>
        <w:ind w:left="567" w:hanging="567"/>
        <w:contextualSpacing w:val="0"/>
        <w:rPr>
          <w:color w:val="auto"/>
          <w:sz w:val="22"/>
          <w:szCs w:val="22"/>
        </w:rPr>
      </w:pPr>
      <w:r w:rsidRPr="00FE0EE7">
        <w:rPr>
          <w:color w:val="auto"/>
          <w:sz w:val="22"/>
          <w:szCs w:val="22"/>
        </w:rPr>
        <w:t>Where pertaining to an application for a retention lease, a submission should ideally be made within 45 days of the appli</w:t>
      </w:r>
      <w:r w:rsidR="004966FB" w:rsidRPr="00FE0EE7">
        <w:rPr>
          <w:color w:val="auto"/>
          <w:sz w:val="22"/>
          <w:szCs w:val="22"/>
        </w:rPr>
        <w:t>cation being received by NOPTA.</w:t>
      </w:r>
    </w:p>
    <w:p w14:paraId="7DC88270" w14:textId="77777777" w:rsidR="004966FB" w:rsidRPr="00FE0EE7" w:rsidRDefault="00744C0E" w:rsidP="00FE0EE7">
      <w:pPr>
        <w:pStyle w:val="ListParagraph"/>
        <w:numPr>
          <w:ilvl w:val="1"/>
          <w:numId w:val="24"/>
        </w:numPr>
        <w:tabs>
          <w:tab w:val="left" w:pos="567"/>
        </w:tabs>
        <w:spacing w:after="120" w:line="240" w:lineRule="auto"/>
        <w:ind w:left="567" w:hanging="567"/>
        <w:contextualSpacing w:val="0"/>
        <w:rPr>
          <w:color w:val="auto"/>
          <w:sz w:val="22"/>
          <w:szCs w:val="22"/>
        </w:rPr>
      </w:pPr>
      <w:r w:rsidRPr="00FE0EE7">
        <w:rPr>
          <w:color w:val="auto"/>
          <w:sz w:val="22"/>
          <w:szCs w:val="22"/>
        </w:rPr>
        <w:t>NOPTA may choose to consult with the applicant upon receiving third party submissions, but the submission will not be made available to the applicant. Submissions will be treated as commercial in confidence.</w:t>
      </w:r>
    </w:p>
    <w:p w14:paraId="1041078A" w14:textId="77777777" w:rsidR="004966FB" w:rsidRPr="00FE0EE7" w:rsidRDefault="00744C0E" w:rsidP="00FE0EE7">
      <w:pPr>
        <w:pStyle w:val="ListParagraph"/>
        <w:numPr>
          <w:ilvl w:val="1"/>
          <w:numId w:val="24"/>
        </w:numPr>
        <w:tabs>
          <w:tab w:val="left" w:pos="567"/>
        </w:tabs>
        <w:spacing w:after="120" w:line="240" w:lineRule="auto"/>
        <w:ind w:left="567" w:hanging="567"/>
        <w:contextualSpacing w:val="0"/>
        <w:rPr>
          <w:color w:val="auto"/>
          <w:sz w:val="22"/>
          <w:szCs w:val="22"/>
        </w:rPr>
      </w:pPr>
      <w:r w:rsidRPr="00FE0EE7">
        <w:rPr>
          <w:color w:val="auto"/>
          <w:sz w:val="22"/>
          <w:szCs w:val="22"/>
        </w:rPr>
        <w:t>No commercially sensitive information from the application will</w:t>
      </w:r>
      <w:r w:rsidR="004966FB" w:rsidRPr="00FE0EE7">
        <w:rPr>
          <w:color w:val="auto"/>
          <w:sz w:val="22"/>
          <w:szCs w:val="22"/>
        </w:rPr>
        <w:t xml:space="preserve"> be disclosed to third parties.</w:t>
      </w:r>
    </w:p>
    <w:p w14:paraId="29CAEE8F" w14:textId="77777777" w:rsidR="004966FB" w:rsidRPr="00FE0EE7" w:rsidRDefault="00744C0E" w:rsidP="00FE0EE7">
      <w:pPr>
        <w:pStyle w:val="ListParagraph"/>
        <w:numPr>
          <w:ilvl w:val="1"/>
          <w:numId w:val="24"/>
        </w:numPr>
        <w:tabs>
          <w:tab w:val="left" w:pos="567"/>
        </w:tabs>
        <w:spacing w:after="120" w:line="240" w:lineRule="auto"/>
        <w:ind w:left="567" w:hanging="567"/>
        <w:contextualSpacing w:val="0"/>
        <w:rPr>
          <w:color w:val="auto"/>
          <w:sz w:val="22"/>
          <w:szCs w:val="22"/>
        </w:rPr>
      </w:pPr>
      <w:r w:rsidRPr="00FE0EE7">
        <w:rPr>
          <w:color w:val="auto"/>
          <w:sz w:val="22"/>
          <w:szCs w:val="22"/>
        </w:rPr>
        <w:t xml:space="preserve">The assumptions used by third parties will be tested in the same manner in which the claims of the applicant are tested. NOPTA will not </w:t>
      </w:r>
      <w:proofErr w:type="gramStart"/>
      <w:r w:rsidRPr="00FE0EE7">
        <w:rPr>
          <w:color w:val="auto"/>
          <w:sz w:val="22"/>
          <w:szCs w:val="22"/>
        </w:rPr>
        <w:t>take into account</w:t>
      </w:r>
      <w:proofErr w:type="gramEnd"/>
      <w:r w:rsidRPr="00FE0EE7">
        <w:rPr>
          <w:color w:val="auto"/>
          <w:sz w:val="22"/>
          <w:szCs w:val="22"/>
        </w:rPr>
        <w:t xml:space="preserve"> claims by either the applicant or third parties where those claims</w:t>
      </w:r>
      <w:r w:rsidR="004966FB" w:rsidRPr="00FE0EE7">
        <w:rPr>
          <w:color w:val="auto"/>
          <w:sz w:val="22"/>
          <w:szCs w:val="22"/>
        </w:rPr>
        <w:t xml:space="preserve"> are deemed to be unreasonable.</w:t>
      </w:r>
    </w:p>
    <w:p w14:paraId="692EAAFB" w14:textId="4C1FB2DD" w:rsidR="004966FB" w:rsidRPr="00F00455" w:rsidRDefault="00744C0E" w:rsidP="00FE0EE7">
      <w:pPr>
        <w:pStyle w:val="ListParagraph"/>
        <w:numPr>
          <w:ilvl w:val="1"/>
          <w:numId w:val="24"/>
        </w:numPr>
        <w:tabs>
          <w:tab w:val="left" w:pos="567"/>
        </w:tabs>
        <w:spacing w:after="120" w:line="240" w:lineRule="auto"/>
        <w:ind w:left="567" w:hanging="567"/>
        <w:contextualSpacing w:val="0"/>
        <w:rPr>
          <w:sz w:val="22"/>
          <w:szCs w:val="22"/>
        </w:rPr>
      </w:pPr>
      <w:r w:rsidRPr="00FE0EE7">
        <w:rPr>
          <w:color w:val="auto"/>
          <w:sz w:val="22"/>
          <w:szCs w:val="22"/>
        </w:rPr>
        <w:t xml:space="preserve">All third party submissions should be sent to </w:t>
      </w:r>
      <w:hyperlink r:id="rId26" w:tooltip="Email: titles@nopta.gov.au" w:history="1">
        <w:r w:rsidR="004966FB" w:rsidRPr="00CC4F4E">
          <w:rPr>
            <w:rStyle w:val="Hyperlink"/>
            <w:sz w:val="22"/>
            <w:szCs w:val="22"/>
          </w:rPr>
          <w:t>titles@nopta.gov.au</w:t>
        </w:r>
      </w:hyperlink>
      <w:r w:rsidRPr="004966FB">
        <w:rPr>
          <w:sz w:val="22"/>
          <w:szCs w:val="22"/>
        </w:rPr>
        <w:t>.</w:t>
      </w:r>
      <w:r w:rsidR="00F00455">
        <w:rPr>
          <w:sz w:val="22"/>
          <w:szCs w:val="22"/>
        </w:rPr>
        <w:t xml:space="preserve"> </w:t>
      </w:r>
    </w:p>
    <w:p w14:paraId="3E624084" w14:textId="0F5C36B7" w:rsidR="004966FB" w:rsidRDefault="00744C0E" w:rsidP="00FE0EE7">
      <w:pPr>
        <w:pStyle w:val="ListParagraph"/>
        <w:numPr>
          <w:ilvl w:val="1"/>
          <w:numId w:val="24"/>
        </w:numPr>
        <w:tabs>
          <w:tab w:val="left" w:pos="567"/>
        </w:tabs>
        <w:spacing w:after="120" w:line="240" w:lineRule="auto"/>
        <w:ind w:left="567" w:hanging="567"/>
        <w:contextualSpacing w:val="0"/>
        <w:rPr>
          <w:sz w:val="22"/>
          <w:szCs w:val="22"/>
        </w:rPr>
      </w:pPr>
      <w:r w:rsidRPr="00FE0EE7">
        <w:rPr>
          <w:color w:val="auto"/>
          <w:sz w:val="22"/>
          <w:szCs w:val="22"/>
        </w:rPr>
        <w:t>Information on retention leases and other titles can found on NOPTA’s National Electronic Approvals Tracking System (NEATS) website, s</w:t>
      </w:r>
      <w:r w:rsidR="004966FB" w:rsidRPr="00FE0EE7">
        <w:rPr>
          <w:color w:val="auto"/>
          <w:sz w:val="22"/>
          <w:szCs w:val="22"/>
        </w:rPr>
        <w:t xml:space="preserve">ee </w:t>
      </w:r>
      <w:hyperlink r:id="rId27" w:tooltip="NEATS website" w:history="1">
        <w:r w:rsidR="004966FB" w:rsidRPr="00CC4F4E">
          <w:rPr>
            <w:rStyle w:val="Hyperlink"/>
            <w:sz w:val="22"/>
            <w:szCs w:val="22"/>
          </w:rPr>
          <w:t>http://neats.nopta.gov.au/</w:t>
        </w:r>
      </w:hyperlink>
      <w:r w:rsidR="004966FB">
        <w:rPr>
          <w:sz w:val="22"/>
          <w:szCs w:val="22"/>
        </w:rPr>
        <w:t>.</w:t>
      </w:r>
    </w:p>
    <w:p w14:paraId="5A51DFEB" w14:textId="2A0933D4" w:rsidR="00A77489" w:rsidRPr="00FE0EE7" w:rsidRDefault="00744C0E" w:rsidP="00FE0EE7">
      <w:pPr>
        <w:pStyle w:val="ListParagraph"/>
        <w:numPr>
          <w:ilvl w:val="1"/>
          <w:numId w:val="24"/>
        </w:numPr>
        <w:tabs>
          <w:tab w:val="left" w:pos="567"/>
        </w:tabs>
        <w:spacing w:line="240" w:lineRule="auto"/>
        <w:ind w:left="567" w:hanging="567"/>
        <w:rPr>
          <w:color w:val="auto"/>
          <w:sz w:val="22"/>
          <w:szCs w:val="22"/>
        </w:rPr>
      </w:pPr>
      <w:r w:rsidRPr="00FE0EE7">
        <w:rPr>
          <w:color w:val="auto"/>
          <w:sz w:val="22"/>
          <w:szCs w:val="22"/>
        </w:rPr>
        <w:t>The approvals tracking page on NEATS</w:t>
      </w:r>
      <w:r w:rsidR="00FB5946" w:rsidRPr="00FE0EE7">
        <w:rPr>
          <w:color w:val="auto"/>
          <w:sz w:val="22"/>
          <w:szCs w:val="22"/>
        </w:rPr>
        <w:t xml:space="preserve"> </w:t>
      </w:r>
      <w:r w:rsidRPr="004966FB">
        <w:rPr>
          <w:sz w:val="22"/>
          <w:szCs w:val="22"/>
        </w:rPr>
        <w:t>(</w:t>
      </w:r>
      <w:hyperlink r:id="rId28" w:tooltip="NEATS approval tracking" w:history="1">
        <w:r w:rsidR="004966FB" w:rsidRPr="00CC4F4E">
          <w:rPr>
            <w:rStyle w:val="Hyperlink"/>
            <w:sz w:val="22"/>
            <w:szCs w:val="22"/>
          </w:rPr>
          <w:t>http://neats.nopta.gov.au/ApprovalTracking</w:t>
        </w:r>
      </w:hyperlink>
      <w:r w:rsidRPr="004966FB">
        <w:rPr>
          <w:sz w:val="22"/>
          <w:szCs w:val="22"/>
        </w:rPr>
        <w:t>)</w:t>
      </w:r>
      <w:r w:rsidR="004966FB">
        <w:rPr>
          <w:sz w:val="22"/>
          <w:szCs w:val="22"/>
        </w:rPr>
        <w:t xml:space="preserve"> </w:t>
      </w:r>
      <w:r w:rsidRPr="00FE0EE7">
        <w:rPr>
          <w:color w:val="auto"/>
          <w:sz w:val="22"/>
          <w:szCs w:val="22"/>
        </w:rPr>
        <w:t>can be accessed to view current applications.</w:t>
      </w:r>
    </w:p>
    <w:p w14:paraId="12081DA7" w14:textId="77777777" w:rsidR="004966FB" w:rsidRPr="00FE0EE7" w:rsidRDefault="004966FB" w:rsidP="004966FB">
      <w:pPr>
        <w:tabs>
          <w:tab w:val="left" w:pos="567"/>
        </w:tabs>
        <w:rPr>
          <w:color w:val="auto"/>
          <w:sz w:val="22"/>
          <w:szCs w:val="22"/>
        </w:rPr>
      </w:pPr>
    </w:p>
    <w:p w14:paraId="5C665CFE" w14:textId="352AEBEC" w:rsidR="00C32642" w:rsidRPr="00FE0EE7" w:rsidRDefault="00510C31" w:rsidP="00FE0EE7">
      <w:pPr>
        <w:pStyle w:val="Heading2"/>
        <w:rPr>
          <w:iCs w:val="0"/>
          <w:kern w:val="32"/>
          <w:sz w:val="28"/>
          <w:szCs w:val="32"/>
          <w:lang w:eastAsia="en-AU"/>
        </w:rPr>
      </w:pPr>
      <w:bookmarkStart w:id="30" w:name="_Toc464747152"/>
      <w:r w:rsidRPr="00FE0EE7">
        <w:rPr>
          <w:iCs w:val="0"/>
          <w:kern w:val="32"/>
          <w:sz w:val="28"/>
          <w:szCs w:val="32"/>
          <w:lang w:eastAsia="en-AU"/>
        </w:rPr>
        <w:t>V</w:t>
      </w:r>
      <w:r w:rsidR="00B0714C">
        <w:rPr>
          <w:iCs w:val="0"/>
          <w:kern w:val="32"/>
          <w:sz w:val="28"/>
          <w:szCs w:val="32"/>
          <w:lang w:eastAsia="en-AU"/>
        </w:rPr>
        <w:t>ariation of retention lease conditions</w:t>
      </w:r>
      <w:bookmarkEnd w:id="30"/>
    </w:p>
    <w:p w14:paraId="5E0A677F" w14:textId="77777777" w:rsidR="00C32642" w:rsidRPr="00FE0EE7" w:rsidRDefault="00C32642" w:rsidP="00FE0EE7">
      <w:pPr>
        <w:pStyle w:val="ListParagraph"/>
        <w:numPr>
          <w:ilvl w:val="1"/>
          <w:numId w:val="27"/>
        </w:numPr>
        <w:tabs>
          <w:tab w:val="left" w:pos="567"/>
        </w:tabs>
        <w:spacing w:after="120" w:line="240" w:lineRule="auto"/>
        <w:ind w:left="567" w:hanging="567"/>
        <w:contextualSpacing w:val="0"/>
        <w:rPr>
          <w:color w:val="auto"/>
          <w:sz w:val="22"/>
          <w:szCs w:val="22"/>
        </w:rPr>
      </w:pPr>
      <w:r w:rsidRPr="00FE0EE7">
        <w:rPr>
          <w:color w:val="auto"/>
          <w:sz w:val="22"/>
          <w:szCs w:val="22"/>
        </w:rPr>
        <w:t>If a lessee considers there are valid reasons to request a change to any conditions of a retention lease, the lessee may request that the Joint Authority vary those conditions (s264).</w:t>
      </w:r>
    </w:p>
    <w:p w14:paraId="50314A34" w14:textId="78294369" w:rsidR="00C32642" w:rsidRPr="00FE0EE7" w:rsidRDefault="00C32642" w:rsidP="00FE0EE7">
      <w:pPr>
        <w:pStyle w:val="ListParagraph"/>
        <w:numPr>
          <w:ilvl w:val="1"/>
          <w:numId w:val="27"/>
        </w:numPr>
        <w:tabs>
          <w:tab w:val="left" w:pos="567"/>
        </w:tabs>
        <w:spacing w:after="120" w:line="240" w:lineRule="auto"/>
        <w:ind w:left="567" w:hanging="567"/>
        <w:contextualSpacing w:val="0"/>
        <w:rPr>
          <w:color w:val="auto"/>
          <w:sz w:val="22"/>
          <w:szCs w:val="22"/>
        </w:rPr>
      </w:pPr>
      <w:r w:rsidRPr="00FE0EE7">
        <w:rPr>
          <w:color w:val="auto"/>
          <w:sz w:val="22"/>
          <w:szCs w:val="22"/>
        </w:rPr>
        <w:t xml:space="preserve">Applications for a variation must be submitted to NOPTA on the application form found at </w:t>
      </w:r>
      <w:hyperlink r:id="rId29" w:tooltip="NOPTA Forms webpage" w:history="1">
        <w:r w:rsidRPr="006D755B">
          <w:rPr>
            <w:rStyle w:val="Hyperlink"/>
            <w:sz w:val="22"/>
            <w:szCs w:val="22"/>
          </w:rPr>
          <w:t>http://www.nopta.gov.au/forms/forms.html</w:t>
        </w:r>
      </w:hyperlink>
      <w:r w:rsidRPr="00C32642">
        <w:rPr>
          <w:sz w:val="22"/>
          <w:szCs w:val="22"/>
        </w:rPr>
        <w:t>.</w:t>
      </w:r>
      <w:r>
        <w:rPr>
          <w:sz w:val="22"/>
          <w:szCs w:val="22"/>
        </w:rPr>
        <w:t xml:space="preserve"> </w:t>
      </w:r>
      <w:r w:rsidRPr="00FE0EE7">
        <w:rPr>
          <w:color w:val="auto"/>
          <w:sz w:val="22"/>
          <w:szCs w:val="22"/>
        </w:rPr>
        <w:t>Applications</w:t>
      </w:r>
      <w:r w:rsidR="003401C3">
        <w:rPr>
          <w:color w:val="auto"/>
          <w:sz w:val="22"/>
          <w:szCs w:val="22"/>
        </w:rPr>
        <w:t xml:space="preserve"> are subject to an application fee </w:t>
      </w:r>
      <w:hyperlink r:id="rId30" w:tooltip="NOPTA Schedule of Fees" w:history="1">
        <w:r w:rsidR="003401C3" w:rsidRPr="00F80FE0">
          <w:rPr>
            <w:rStyle w:val="Hyperlink"/>
            <w:sz w:val="22"/>
            <w:szCs w:val="22"/>
          </w:rPr>
          <w:t>http://www.nopta.gov.au/_documents/schedule-of-fees.pdf</w:t>
        </w:r>
      </w:hyperlink>
      <w:bookmarkStart w:id="31" w:name="_GoBack"/>
      <w:bookmarkEnd w:id="31"/>
      <w:r w:rsidR="003401C3">
        <w:rPr>
          <w:color w:val="auto"/>
          <w:sz w:val="22"/>
          <w:szCs w:val="22"/>
        </w:rPr>
        <w:t>) and</w:t>
      </w:r>
      <w:r w:rsidRPr="00FE0EE7">
        <w:rPr>
          <w:color w:val="auto"/>
          <w:sz w:val="22"/>
          <w:szCs w:val="22"/>
        </w:rPr>
        <w:t xml:space="preserve"> should be lodged in a timely manner and before any work program requirements associated with the conditions proposed to be varied are due to be met. Failure to meet a condition or work program requirement within the agreed timeframe will result in the lessee being in breach of its obligations under the OPGGSA.</w:t>
      </w:r>
    </w:p>
    <w:p w14:paraId="0DF88948" w14:textId="77777777" w:rsidR="00A77489" w:rsidRPr="00FE0EE7" w:rsidRDefault="00C32642" w:rsidP="00FE0EE7">
      <w:pPr>
        <w:pStyle w:val="ListParagraph"/>
        <w:numPr>
          <w:ilvl w:val="1"/>
          <w:numId w:val="27"/>
        </w:numPr>
        <w:tabs>
          <w:tab w:val="left" w:pos="567"/>
        </w:tabs>
        <w:spacing w:line="240" w:lineRule="auto"/>
        <w:ind w:left="567" w:hanging="567"/>
        <w:rPr>
          <w:color w:val="auto"/>
          <w:sz w:val="22"/>
          <w:szCs w:val="22"/>
        </w:rPr>
      </w:pPr>
      <w:r w:rsidRPr="00FE0EE7">
        <w:rPr>
          <w:color w:val="auto"/>
          <w:sz w:val="22"/>
          <w:szCs w:val="22"/>
        </w:rPr>
        <w:t>The time taken to consider the application will depend primarily on the complexity of the variation proposed and the information provided by the applicant in support of the application.</w:t>
      </w:r>
    </w:p>
    <w:p w14:paraId="12B74136" w14:textId="77777777" w:rsidR="00C32642" w:rsidRPr="00FE0EE7" w:rsidRDefault="00C32642" w:rsidP="00C32642">
      <w:pPr>
        <w:tabs>
          <w:tab w:val="left" w:pos="567"/>
        </w:tabs>
        <w:rPr>
          <w:color w:val="auto"/>
          <w:sz w:val="22"/>
          <w:szCs w:val="22"/>
        </w:rPr>
      </w:pPr>
    </w:p>
    <w:p w14:paraId="32EC50EA" w14:textId="77777777" w:rsidR="007511BF" w:rsidRDefault="007511BF">
      <w:pPr>
        <w:spacing w:line="240" w:lineRule="auto"/>
        <w:rPr>
          <w:rFonts w:cs="Arial"/>
          <w:b/>
          <w:bCs/>
          <w:color w:val="auto"/>
          <w:kern w:val="32"/>
          <w:sz w:val="28"/>
          <w:szCs w:val="32"/>
          <w:lang w:eastAsia="en-AU"/>
        </w:rPr>
      </w:pPr>
      <w:r>
        <w:rPr>
          <w:iCs/>
          <w:kern w:val="32"/>
          <w:sz w:val="28"/>
          <w:szCs w:val="32"/>
          <w:lang w:eastAsia="en-AU"/>
        </w:rPr>
        <w:br w:type="page"/>
      </w:r>
    </w:p>
    <w:p w14:paraId="1B4D74FC" w14:textId="0F33024F" w:rsidR="00C32642" w:rsidRPr="00FE0EE7" w:rsidRDefault="00C32642" w:rsidP="00FE0EE7">
      <w:pPr>
        <w:pStyle w:val="Heading2"/>
        <w:rPr>
          <w:iCs w:val="0"/>
          <w:kern w:val="32"/>
          <w:sz w:val="28"/>
          <w:szCs w:val="32"/>
          <w:lang w:eastAsia="en-AU"/>
        </w:rPr>
      </w:pPr>
      <w:bookmarkStart w:id="32" w:name="_Toc464747153"/>
      <w:r w:rsidRPr="00FE0EE7">
        <w:rPr>
          <w:iCs w:val="0"/>
          <w:kern w:val="32"/>
          <w:sz w:val="28"/>
          <w:szCs w:val="32"/>
          <w:lang w:eastAsia="en-AU"/>
        </w:rPr>
        <w:lastRenderedPageBreak/>
        <w:t>R</w:t>
      </w:r>
      <w:r w:rsidR="00B0714C" w:rsidRPr="00FE0EE7">
        <w:rPr>
          <w:iCs w:val="0"/>
          <w:kern w:val="32"/>
          <w:sz w:val="28"/>
          <w:szCs w:val="32"/>
          <w:lang w:eastAsia="en-AU"/>
        </w:rPr>
        <w:t>e-evaluation of commercial viability</w:t>
      </w:r>
      <w:r w:rsidRPr="00FE0EE7">
        <w:rPr>
          <w:iCs w:val="0"/>
          <w:kern w:val="32"/>
          <w:sz w:val="28"/>
          <w:szCs w:val="32"/>
          <w:lang w:eastAsia="en-AU"/>
        </w:rPr>
        <w:t xml:space="preserve"> (s136(5))</w:t>
      </w:r>
      <w:bookmarkEnd w:id="32"/>
    </w:p>
    <w:p w14:paraId="058D9C27" w14:textId="77777777" w:rsidR="00C32642" w:rsidRPr="00FE0EE7" w:rsidRDefault="00C32642" w:rsidP="00FE0EE7">
      <w:pPr>
        <w:pStyle w:val="ListParagraph"/>
        <w:numPr>
          <w:ilvl w:val="1"/>
          <w:numId w:val="29"/>
        </w:numPr>
        <w:tabs>
          <w:tab w:val="left" w:pos="567"/>
        </w:tabs>
        <w:spacing w:after="120" w:line="240" w:lineRule="auto"/>
        <w:ind w:left="567" w:hanging="567"/>
        <w:contextualSpacing w:val="0"/>
        <w:rPr>
          <w:color w:val="auto"/>
          <w:sz w:val="22"/>
          <w:szCs w:val="22"/>
        </w:rPr>
      </w:pPr>
      <w:r w:rsidRPr="00FE0EE7">
        <w:rPr>
          <w:color w:val="auto"/>
          <w:sz w:val="22"/>
          <w:szCs w:val="22"/>
        </w:rPr>
        <w:t xml:space="preserve">During the term of a retention lease, the Joint Authority may have reason to believe that the commercial status of the </w:t>
      </w:r>
      <w:r w:rsidR="00E87181" w:rsidRPr="00FE0EE7">
        <w:rPr>
          <w:color w:val="auto"/>
          <w:sz w:val="22"/>
          <w:szCs w:val="22"/>
        </w:rPr>
        <w:t xml:space="preserve">retention </w:t>
      </w:r>
      <w:r w:rsidRPr="00FE0EE7">
        <w:rPr>
          <w:color w:val="auto"/>
          <w:sz w:val="22"/>
          <w:szCs w:val="22"/>
        </w:rPr>
        <w:t>lease has changed since the grant or renewal of the title, such that the development of petroleum resources in the lease area may have become commercially viable or is unlikely to become commercially viable within 15 years.</w:t>
      </w:r>
    </w:p>
    <w:p w14:paraId="24AC24EA" w14:textId="77777777" w:rsidR="00C32642" w:rsidRPr="00FE0EE7" w:rsidRDefault="00C32642" w:rsidP="00FE0EE7">
      <w:pPr>
        <w:pStyle w:val="ListParagraph"/>
        <w:numPr>
          <w:ilvl w:val="1"/>
          <w:numId w:val="29"/>
        </w:numPr>
        <w:tabs>
          <w:tab w:val="left" w:pos="567"/>
        </w:tabs>
        <w:spacing w:after="120" w:line="240" w:lineRule="auto"/>
        <w:ind w:left="567" w:hanging="567"/>
        <w:contextualSpacing w:val="0"/>
        <w:rPr>
          <w:color w:val="auto"/>
          <w:sz w:val="22"/>
          <w:szCs w:val="22"/>
        </w:rPr>
      </w:pPr>
      <w:r w:rsidRPr="00FE0EE7">
        <w:rPr>
          <w:color w:val="auto"/>
          <w:sz w:val="22"/>
          <w:szCs w:val="22"/>
        </w:rPr>
        <w:t>All retention leases are subject to a statutory condition that if NOPTA gives the lessee a written notice requesting the lessee to re-evaluate the commercial viability of petroleum production in the lease area and report the results to NOPTA, the lessee must comply with the request within 90 days (s136(5)); or a longer period allowed by NOPTA, if the lessee requests a longer period in writing within the 90 day period (s135(6)).</w:t>
      </w:r>
    </w:p>
    <w:p w14:paraId="7B10E6F1" w14:textId="77777777" w:rsidR="00C32642" w:rsidRPr="00FE0EE7" w:rsidRDefault="00C32642" w:rsidP="00FE0EE7">
      <w:pPr>
        <w:pStyle w:val="ListParagraph"/>
        <w:numPr>
          <w:ilvl w:val="1"/>
          <w:numId w:val="29"/>
        </w:numPr>
        <w:tabs>
          <w:tab w:val="left" w:pos="567"/>
        </w:tabs>
        <w:spacing w:after="120" w:line="240" w:lineRule="auto"/>
        <w:ind w:left="567" w:hanging="567"/>
        <w:contextualSpacing w:val="0"/>
        <w:rPr>
          <w:color w:val="auto"/>
          <w:sz w:val="22"/>
          <w:szCs w:val="22"/>
        </w:rPr>
      </w:pPr>
      <w:r w:rsidRPr="00FE0EE7">
        <w:rPr>
          <w:color w:val="auto"/>
          <w:sz w:val="22"/>
          <w:szCs w:val="22"/>
        </w:rPr>
        <w:t>Only one re-evaluation under s136 can be requested per lease term.</w:t>
      </w:r>
    </w:p>
    <w:p w14:paraId="5278A5C2" w14:textId="77777777" w:rsidR="00C32642" w:rsidRPr="00FE0EE7" w:rsidRDefault="00C32642" w:rsidP="00FE0EE7">
      <w:pPr>
        <w:pStyle w:val="ListParagraph"/>
        <w:numPr>
          <w:ilvl w:val="1"/>
          <w:numId w:val="29"/>
        </w:numPr>
        <w:tabs>
          <w:tab w:val="left" w:pos="567"/>
        </w:tabs>
        <w:spacing w:after="120" w:line="240" w:lineRule="auto"/>
        <w:ind w:left="567" w:hanging="567"/>
        <w:contextualSpacing w:val="0"/>
        <w:rPr>
          <w:color w:val="auto"/>
          <w:sz w:val="22"/>
          <w:szCs w:val="22"/>
        </w:rPr>
      </w:pPr>
      <w:r w:rsidRPr="00FE0EE7">
        <w:rPr>
          <w:color w:val="auto"/>
          <w:sz w:val="22"/>
          <w:szCs w:val="22"/>
        </w:rPr>
        <w:t>A request for re-evaluation under s136(5) may require the lessee to carry out additional work to that required by the lease conditions. This additional work may include seismic surveying, re-interpretation of existing data, cost or marketing analyses or simulations, but will not include the drilling of a well.</w:t>
      </w:r>
    </w:p>
    <w:p w14:paraId="797BE734" w14:textId="77777777" w:rsidR="00C32642" w:rsidRPr="00FE0EE7" w:rsidRDefault="00C32642" w:rsidP="00FE0EE7">
      <w:pPr>
        <w:pStyle w:val="ListParagraph"/>
        <w:numPr>
          <w:ilvl w:val="1"/>
          <w:numId w:val="29"/>
        </w:numPr>
        <w:tabs>
          <w:tab w:val="left" w:pos="567"/>
        </w:tabs>
        <w:spacing w:after="120" w:line="240" w:lineRule="auto"/>
        <w:ind w:left="567" w:hanging="567"/>
        <w:contextualSpacing w:val="0"/>
        <w:rPr>
          <w:color w:val="auto"/>
          <w:sz w:val="22"/>
          <w:szCs w:val="22"/>
        </w:rPr>
      </w:pPr>
      <w:r w:rsidRPr="00FE0EE7">
        <w:rPr>
          <w:color w:val="auto"/>
          <w:sz w:val="22"/>
          <w:szCs w:val="22"/>
        </w:rPr>
        <w:t>If activities to be undertaken as part of a re-evaluation (such as seismic surveying) cannot be undertaken and evaluated within 90 days, the lessee should discuss this with NOPTA and request a longer period in writing, which may be granted at NOPTA’s discretion.</w:t>
      </w:r>
    </w:p>
    <w:p w14:paraId="2161AD07" w14:textId="77777777" w:rsidR="00C32642" w:rsidRPr="00FE0EE7" w:rsidRDefault="00C32642" w:rsidP="00FE0EE7">
      <w:pPr>
        <w:pStyle w:val="ListParagraph"/>
        <w:numPr>
          <w:ilvl w:val="1"/>
          <w:numId w:val="29"/>
        </w:numPr>
        <w:tabs>
          <w:tab w:val="left" w:pos="567"/>
        </w:tabs>
        <w:spacing w:after="120" w:line="240" w:lineRule="auto"/>
        <w:ind w:left="567" w:hanging="567"/>
        <w:contextualSpacing w:val="0"/>
        <w:rPr>
          <w:color w:val="auto"/>
          <w:sz w:val="22"/>
          <w:szCs w:val="22"/>
        </w:rPr>
      </w:pPr>
      <w:r w:rsidRPr="00FE0EE7">
        <w:rPr>
          <w:color w:val="auto"/>
          <w:sz w:val="22"/>
          <w:szCs w:val="22"/>
        </w:rPr>
        <w:t>Following an assessment, NOPTA will advise the Joint Authority of the results of the applicant’s re-evaluation.</w:t>
      </w:r>
    </w:p>
    <w:p w14:paraId="3B37B831" w14:textId="77777777" w:rsidR="00C32642" w:rsidRPr="00FE0EE7" w:rsidRDefault="00C32642" w:rsidP="00FE0EE7">
      <w:pPr>
        <w:pStyle w:val="ListParagraph"/>
        <w:numPr>
          <w:ilvl w:val="1"/>
          <w:numId w:val="29"/>
        </w:numPr>
        <w:tabs>
          <w:tab w:val="left" w:pos="567"/>
        </w:tabs>
        <w:spacing w:line="240" w:lineRule="auto"/>
        <w:ind w:left="567" w:hanging="567"/>
        <w:rPr>
          <w:color w:val="auto"/>
          <w:sz w:val="22"/>
          <w:szCs w:val="22"/>
        </w:rPr>
      </w:pPr>
      <w:r w:rsidRPr="00FE0EE7">
        <w:rPr>
          <w:color w:val="auto"/>
          <w:sz w:val="22"/>
          <w:szCs w:val="22"/>
        </w:rPr>
        <w:t>On the basis of the results of the re-evaluation, the Joint Authority may form the opinion that the recovery of petroleum is commercially viable. If so</w:t>
      </w:r>
      <w:r w:rsidR="008A1A27" w:rsidRPr="00FE0EE7">
        <w:rPr>
          <w:color w:val="auto"/>
          <w:sz w:val="22"/>
          <w:szCs w:val="22"/>
        </w:rPr>
        <w:t>,</w:t>
      </w:r>
      <w:r w:rsidRPr="00FE0EE7">
        <w:rPr>
          <w:color w:val="auto"/>
          <w:sz w:val="22"/>
          <w:szCs w:val="22"/>
        </w:rPr>
        <w:t xml:space="preserve"> the Joint Authority may seek to revoke the retention lease (see item 6 below).</w:t>
      </w:r>
    </w:p>
    <w:p w14:paraId="63A1F0B0" w14:textId="77777777" w:rsidR="00885B50" w:rsidRPr="00FE0EE7" w:rsidRDefault="00885B50" w:rsidP="00885B50">
      <w:pPr>
        <w:tabs>
          <w:tab w:val="left" w:pos="567"/>
        </w:tabs>
        <w:rPr>
          <w:color w:val="auto"/>
          <w:sz w:val="22"/>
          <w:szCs w:val="22"/>
        </w:rPr>
      </w:pPr>
    </w:p>
    <w:p w14:paraId="569B7550" w14:textId="2648E237" w:rsidR="00F922A6" w:rsidRPr="00FE0EE7" w:rsidRDefault="00F922A6" w:rsidP="00FE0EE7">
      <w:pPr>
        <w:pStyle w:val="Heading2"/>
        <w:rPr>
          <w:iCs w:val="0"/>
          <w:kern w:val="32"/>
          <w:sz w:val="28"/>
          <w:szCs w:val="32"/>
          <w:lang w:eastAsia="en-AU"/>
        </w:rPr>
      </w:pPr>
      <w:bookmarkStart w:id="33" w:name="_Toc464747154"/>
      <w:r w:rsidRPr="00FE0EE7">
        <w:rPr>
          <w:iCs w:val="0"/>
          <w:kern w:val="32"/>
          <w:sz w:val="28"/>
          <w:szCs w:val="32"/>
          <w:lang w:eastAsia="en-AU"/>
        </w:rPr>
        <w:t>R</w:t>
      </w:r>
      <w:r w:rsidR="00B0714C" w:rsidRPr="00FE0EE7">
        <w:rPr>
          <w:iCs w:val="0"/>
          <w:kern w:val="32"/>
          <w:sz w:val="28"/>
          <w:szCs w:val="32"/>
          <w:lang w:eastAsia="en-AU"/>
        </w:rPr>
        <w:t>evocation of a retention lease</w:t>
      </w:r>
      <w:r w:rsidRPr="00FE0EE7">
        <w:rPr>
          <w:iCs w:val="0"/>
          <w:kern w:val="32"/>
          <w:sz w:val="28"/>
          <w:szCs w:val="32"/>
          <w:lang w:eastAsia="en-AU"/>
        </w:rPr>
        <w:t xml:space="preserve"> (</w:t>
      </w:r>
      <w:r w:rsidR="00AC22BA" w:rsidRPr="00FE0EE7">
        <w:rPr>
          <w:iCs w:val="0"/>
          <w:kern w:val="32"/>
          <w:sz w:val="28"/>
          <w:szCs w:val="32"/>
          <w:lang w:eastAsia="en-AU"/>
        </w:rPr>
        <w:t>s</w:t>
      </w:r>
      <w:r w:rsidRPr="00FE0EE7">
        <w:rPr>
          <w:iCs w:val="0"/>
          <w:kern w:val="32"/>
          <w:sz w:val="28"/>
          <w:szCs w:val="32"/>
          <w:lang w:eastAsia="en-AU"/>
        </w:rPr>
        <w:t>158)</w:t>
      </w:r>
      <w:bookmarkEnd w:id="33"/>
    </w:p>
    <w:p w14:paraId="24F0750D" w14:textId="77777777" w:rsidR="00F922A6" w:rsidRPr="00FE0EE7" w:rsidRDefault="00F922A6" w:rsidP="00FE0EE7">
      <w:pPr>
        <w:pStyle w:val="ListParagraph"/>
        <w:numPr>
          <w:ilvl w:val="1"/>
          <w:numId w:val="30"/>
        </w:numPr>
        <w:tabs>
          <w:tab w:val="left" w:pos="567"/>
        </w:tabs>
        <w:spacing w:after="120" w:line="240" w:lineRule="auto"/>
        <w:ind w:left="567" w:hanging="567"/>
        <w:contextualSpacing w:val="0"/>
        <w:rPr>
          <w:color w:val="auto"/>
          <w:sz w:val="22"/>
          <w:szCs w:val="22"/>
        </w:rPr>
      </w:pPr>
      <w:r w:rsidRPr="00FE0EE7">
        <w:rPr>
          <w:color w:val="auto"/>
          <w:sz w:val="22"/>
          <w:szCs w:val="22"/>
        </w:rPr>
        <w:t>If, after re-evaluation under s136(5), the Joint Authority forms the opinion that the recovery of petroleum is commercially viable (s157(1)), it may:</w:t>
      </w:r>
    </w:p>
    <w:p w14:paraId="37C73848" w14:textId="6B7780CF" w:rsidR="00F922A6" w:rsidRPr="00FE0EE7" w:rsidRDefault="00F922A6" w:rsidP="00FE0EE7">
      <w:pPr>
        <w:pStyle w:val="ListParagraph"/>
        <w:numPr>
          <w:ilvl w:val="2"/>
          <w:numId w:val="30"/>
        </w:numPr>
        <w:tabs>
          <w:tab w:val="left" w:pos="567"/>
        </w:tabs>
        <w:spacing w:after="120" w:line="240" w:lineRule="auto"/>
        <w:ind w:left="1418" w:hanging="851"/>
        <w:contextualSpacing w:val="0"/>
        <w:rPr>
          <w:color w:val="auto"/>
          <w:sz w:val="22"/>
          <w:szCs w:val="22"/>
        </w:rPr>
      </w:pPr>
      <w:r w:rsidRPr="00FE0EE7">
        <w:rPr>
          <w:color w:val="auto"/>
          <w:sz w:val="22"/>
          <w:szCs w:val="22"/>
        </w:rPr>
        <w:t>notify the lessee, and any other parties that it thinks appropriate, of its intention to revoke the lease; and</w:t>
      </w:r>
    </w:p>
    <w:p w14:paraId="70C703B6" w14:textId="62957417" w:rsidR="00F922A6" w:rsidRPr="00FE0EE7" w:rsidRDefault="00F922A6" w:rsidP="00FE0EE7">
      <w:pPr>
        <w:pStyle w:val="ListParagraph"/>
        <w:numPr>
          <w:ilvl w:val="2"/>
          <w:numId w:val="30"/>
        </w:numPr>
        <w:tabs>
          <w:tab w:val="left" w:pos="567"/>
        </w:tabs>
        <w:spacing w:after="120" w:line="240" w:lineRule="auto"/>
        <w:ind w:left="1418" w:hanging="851"/>
        <w:contextualSpacing w:val="0"/>
        <w:rPr>
          <w:color w:val="auto"/>
          <w:sz w:val="22"/>
          <w:szCs w:val="22"/>
        </w:rPr>
      </w:pPr>
      <w:r w:rsidRPr="00FE0EE7">
        <w:rPr>
          <w:color w:val="auto"/>
          <w:sz w:val="22"/>
          <w:szCs w:val="22"/>
        </w:rPr>
        <w:t>give the lessee, and other notified interested parties, at least 30 days to make a submission on the proposed revocation (s157(2), s157(3)).</w:t>
      </w:r>
    </w:p>
    <w:p w14:paraId="1DE649FE" w14:textId="77777777" w:rsidR="00F922A6" w:rsidRPr="00FE0EE7" w:rsidRDefault="00F922A6" w:rsidP="00FE0EE7">
      <w:pPr>
        <w:pStyle w:val="ListParagraph"/>
        <w:numPr>
          <w:ilvl w:val="1"/>
          <w:numId w:val="30"/>
        </w:numPr>
        <w:tabs>
          <w:tab w:val="left" w:pos="567"/>
        </w:tabs>
        <w:spacing w:after="120" w:line="240" w:lineRule="auto"/>
        <w:ind w:left="567" w:hanging="567"/>
        <w:contextualSpacing w:val="0"/>
        <w:rPr>
          <w:color w:val="auto"/>
          <w:sz w:val="22"/>
          <w:szCs w:val="22"/>
        </w:rPr>
      </w:pPr>
      <w:r w:rsidRPr="00FE0EE7">
        <w:rPr>
          <w:color w:val="auto"/>
          <w:sz w:val="22"/>
          <w:szCs w:val="22"/>
        </w:rPr>
        <w:t>After considering any submissions, if the Joint Authority still decides to revoke the retention lease, it must do so by written notice to the lessee (s158(1)).</w:t>
      </w:r>
    </w:p>
    <w:p w14:paraId="26B145E7" w14:textId="06FD46CF" w:rsidR="00F922A6" w:rsidRPr="00FE0EE7" w:rsidRDefault="00F922A6" w:rsidP="00FE0EE7">
      <w:pPr>
        <w:pStyle w:val="ListParagraph"/>
        <w:numPr>
          <w:ilvl w:val="1"/>
          <w:numId w:val="30"/>
        </w:numPr>
        <w:tabs>
          <w:tab w:val="left" w:pos="567"/>
        </w:tabs>
        <w:spacing w:after="120" w:line="240" w:lineRule="auto"/>
        <w:ind w:left="567" w:hanging="567"/>
        <w:contextualSpacing w:val="0"/>
        <w:rPr>
          <w:color w:val="auto"/>
          <w:sz w:val="22"/>
          <w:szCs w:val="22"/>
        </w:rPr>
      </w:pPr>
      <w:r w:rsidRPr="00FE0EE7">
        <w:rPr>
          <w:color w:val="auto"/>
          <w:sz w:val="22"/>
          <w:szCs w:val="22"/>
        </w:rPr>
        <w:t>If the lessee is given a notice to revoke the lease under s158(1) the lessee has 12</w:t>
      </w:r>
      <w:r w:rsidR="00520405">
        <w:rPr>
          <w:color w:val="auto"/>
          <w:sz w:val="22"/>
          <w:szCs w:val="22"/>
        </w:rPr>
        <w:t> </w:t>
      </w:r>
      <w:r w:rsidRPr="00FE0EE7">
        <w:rPr>
          <w:color w:val="auto"/>
          <w:sz w:val="22"/>
          <w:szCs w:val="22"/>
        </w:rPr>
        <w:t xml:space="preserve">months from the day of the notice of revocation to apply for a production licence over the block(s) that were the subject of the retention lease. If an application for a production licence is not made within this period, the revocation of the lease takes effect 12 months after the date of service of the notice. If an application for a production licence is made within the </w:t>
      </w:r>
      <w:proofErr w:type="gramStart"/>
      <w:r w:rsidRPr="00FE0EE7">
        <w:rPr>
          <w:color w:val="auto"/>
          <w:sz w:val="22"/>
          <w:szCs w:val="22"/>
        </w:rPr>
        <w:t>12 month</w:t>
      </w:r>
      <w:proofErr w:type="gramEnd"/>
      <w:r w:rsidRPr="00FE0EE7">
        <w:rPr>
          <w:color w:val="auto"/>
          <w:sz w:val="22"/>
          <w:szCs w:val="22"/>
        </w:rPr>
        <w:t xml:space="preserve"> period, the revocation will take effect on:</w:t>
      </w:r>
    </w:p>
    <w:p w14:paraId="79D38455" w14:textId="1A938FF7" w:rsidR="00F922A6" w:rsidRPr="00FE0EE7" w:rsidRDefault="00F922A6" w:rsidP="00FE0EE7">
      <w:pPr>
        <w:pStyle w:val="ListParagraph"/>
        <w:numPr>
          <w:ilvl w:val="2"/>
          <w:numId w:val="30"/>
        </w:numPr>
        <w:tabs>
          <w:tab w:val="left" w:pos="567"/>
        </w:tabs>
        <w:spacing w:after="120" w:line="240" w:lineRule="auto"/>
        <w:ind w:left="1418" w:hanging="851"/>
        <w:contextualSpacing w:val="0"/>
        <w:rPr>
          <w:color w:val="auto"/>
          <w:sz w:val="22"/>
          <w:szCs w:val="22"/>
        </w:rPr>
      </w:pPr>
      <w:r w:rsidRPr="00FE0EE7">
        <w:rPr>
          <w:color w:val="auto"/>
          <w:sz w:val="22"/>
          <w:szCs w:val="22"/>
        </w:rPr>
        <w:tab/>
        <w:t>the date of grant of a production licence;</w:t>
      </w:r>
    </w:p>
    <w:p w14:paraId="4288B3C7" w14:textId="2A06C901" w:rsidR="00F922A6" w:rsidRPr="00FE0EE7" w:rsidRDefault="00F922A6" w:rsidP="00FE0EE7">
      <w:pPr>
        <w:pStyle w:val="ListParagraph"/>
        <w:numPr>
          <w:ilvl w:val="2"/>
          <w:numId w:val="30"/>
        </w:numPr>
        <w:tabs>
          <w:tab w:val="left" w:pos="567"/>
        </w:tabs>
        <w:spacing w:after="120" w:line="240" w:lineRule="auto"/>
        <w:ind w:left="1418" w:hanging="851"/>
        <w:contextualSpacing w:val="0"/>
        <w:rPr>
          <w:color w:val="auto"/>
          <w:sz w:val="22"/>
          <w:szCs w:val="22"/>
        </w:rPr>
      </w:pPr>
      <w:r w:rsidRPr="00FE0EE7">
        <w:rPr>
          <w:color w:val="auto"/>
          <w:sz w:val="22"/>
          <w:szCs w:val="22"/>
        </w:rPr>
        <w:tab/>
        <w:t>the date of refusal of a production licence; or</w:t>
      </w:r>
    </w:p>
    <w:p w14:paraId="1165BFB9" w14:textId="6159EFC5" w:rsidR="00F922A6" w:rsidRPr="00FE0EE7" w:rsidRDefault="00F922A6" w:rsidP="00FE0EE7">
      <w:pPr>
        <w:pStyle w:val="ListParagraph"/>
        <w:numPr>
          <w:ilvl w:val="2"/>
          <w:numId w:val="30"/>
        </w:numPr>
        <w:tabs>
          <w:tab w:val="left" w:pos="567"/>
        </w:tabs>
        <w:spacing w:after="120" w:line="240" w:lineRule="auto"/>
        <w:ind w:left="1418" w:hanging="851"/>
        <w:contextualSpacing w:val="0"/>
        <w:rPr>
          <w:color w:val="auto"/>
          <w:sz w:val="22"/>
          <w:szCs w:val="22"/>
        </w:rPr>
      </w:pPr>
      <w:r w:rsidRPr="00FE0EE7">
        <w:rPr>
          <w:color w:val="auto"/>
          <w:sz w:val="22"/>
          <w:szCs w:val="22"/>
        </w:rPr>
        <w:tab/>
        <w:t>the date when the application lapses (s158(2)).</w:t>
      </w:r>
    </w:p>
    <w:p w14:paraId="0778DB4D" w14:textId="77777777" w:rsidR="00F922A6" w:rsidRPr="00FE0EE7" w:rsidRDefault="00F922A6" w:rsidP="00FE0EE7">
      <w:pPr>
        <w:pStyle w:val="ListParagraph"/>
        <w:numPr>
          <w:ilvl w:val="1"/>
          <w:numId w:val="30"/>
        </w:numPr>
        <w:tabs>
          <w:tab w:val="left" w:pos="567"/>
        </w:tabs>
        <w:spacing w:line="240" w:lineRule="auto"/>
        <w:ind w:left="567" w:hanging="567"/>
        <w:rPr>
          <w:color w:val="auto"/>
          <w:sz w:val="22"/>
          <w:szCs w:val="22"/>
        </w:rPr>
      </w:pPr>
      <w:r w:rsidRPr="00FE0EE7">
        <w:rPr>
          <w:color w:val="auto"/>
          <w:sz w:val="22"/>
          <w:szCs w:val="22"/>
        </w:rPr>
        <w:t>If the revocation takes effect and no production licence has been granted, the block(s) making up the retention lease revert to vacant acreage.</w:t>
      </w:r>
    </w:p>
    <w:p w14:paraId="4281CA33" w14:textId="77777777" w:rsidR="00510C31" w:rsidRPr="00FE0EE7" w:rsidRDefault="00510C31" w:rsidP="00510C31">
      <w:pPr>
        <w:tabs>
          <w:tab w:val="left" w:pos="567"/>
        </w:tabs>
        <w:rPr>
          <w:color w:val="auto"/>
          <w:sz w:val="22"/>
          <w:szCs w:val="22"/>
        </w:rPr>
      </w:pPr>
    </w:p>
    <w:p w14:paraId="0836ED55" w14:textId="0BB9DEC6" w:rsidR="00510C31" w:rsidRPr="00FE0EE7" w:rsidRDefault="00B0714C" w:rsidP="00FE0EE7">
      <w:pPr>
        <w:pStyle w:val="Heading2"/>
        <w:rPr>
          <w:iCs w:val="0"/>
          <w:kern w:val="32"/>
          <w:sz w:val="28"/>
          <w:szCs w:val="32"/>
          <w:lang w:eastAsia="en-AU"/>
        </w:rPr>
      </w:pPr>
      <w:bookmarkStart w:id="34" w:name="_Toc464747155"/>
      <w:r w:rsidRPr="00FE0EE7">
        <w:rPr>
          <w:iCs w:val="0"/>
          <w:kern w:val="32"/>
          <w:sz w:val="28"/>
          <w:szCs w:val="32"/>
          <w:lang w:eastAsia="en-AU"/>
        </w:rPr>
        <w:lastRenderedPageBreak/>
        <w:t>Surrender or</w:t>
      </w:r>
      <w:r w:rsidR="00510C31" w:rsidRPr="00FE0EE7">
        <w:rPr>
          <w:iCs w:val="0"/>
          <w:kern w:val="32"/>
          <w:sz w:val="28"/>
          <w:szCs w:val="32"/>
          <w:lang w:eastAsia="en-AU"/>
        </w:rPr>
        <w:t xml:space="preserve"> C</w:t>
      </w:r>
      <w:r w:rsidRPr="00FE0EE7">
        <w:rPr>
          <w:iCs w:val="0"/>
          <w:kern w:val="32"/>
          <w:sz w:val="28"/>
          <w:szCs w:val="32"/>
          <w:lang w:eastAsia="en-AU"/>
        </w:rPr>
        <w:t>ancellation</w:t>
      </w:r>
      <w:bookmarkEnd w:id="34"/>
    </w:p>
    <w:p w14:paraId="3E3B9173" w14:textId="77777777" w:rsidR="00510C31" w:rsidRPr="00FE0EE7" w:rsidRDefault="00510C31" w:rsidP="00FE0EE7">
      <w:pPr>
        <w:pStyle w:val="ListParagraph"/>
        <w:numPr>
          <w:ilvl w:val="1"/>
          <w:numId w:val="31"/>
        </w:numPr>
        <w:tabs>
          <w:tab w:val="left" w:pos="567"/>
        </w:tabs>
        <w:spacing w:after="120" w:line="240" w:lineRule="auto"/>
        <w:ind w:left="567" w:hanging="567"/>
        <w:contextualSpacing w:val="0"/>
        <w:rPr>
          <w:color w:val="auto"/>
          <w:sz w:val="22"/>
          <w:szCs w:val="22"/>
        </w:rPr>
      </w:pPr>
      <w:r w:rsidRPr="00FE0EE7">
        <w:rPr>
          <w:color w:val="auto"/>
          <w:sz w:val="22"/>
          <w:szCs w:val="22"/>
        </w:rPr>
        <w:t>A lessee may apply at any time for consent to surrender the lease, refer to part 2.12 of the OPGGSA.</w:t>
      </w:r>
    </w:p>
    <w:p w14:paraId="0E47ABC4" w14:textId="77777777" w:rsidR="00510C31" w:rsidRPr="00FE0EE7" w:rsidRDefault="00510C31" w:rsidP="00FE0EE7">
      <w:pPr>
        <w:pStyle w:val="ListParagraph"/>
        <w:numPr>
          <w:ilvl w:val="1"/>
          <w:numId w:val="31"/>
        </w:numPr>
        <w:tabs>
          <w:tab w:val="left" w:pos="567"/>
        </w:tabs>
        <w:spacing w:line="240" w:lineRule="auto"/>
        <w:ind w:left="567" w:hanging="567"/>
        <w:rPr>
          <w:color w:val="auto"/>
          <w:sz w:val="22"/>
          <w:szCs w:val="22"/>
        </w:rPr>
      </w:pPr>
      <w:r w:rsidRPr="00FE0EE7">
        <w:rPr>
          <w:color w:val="auto"/>
          <w:sz w:val="22"/>
          <w:szCs w:val="22"/>
        </w:rPr>
        <w:t>A retention lease may be cancelled if any of the grounds for cancellation in s274 arise. Consultation procedures in s276 apply.</w:t>
      </w:r>
    </w:p>
    <w:p w14:paraId="6E954083" w14:textId="4F108377" w:rsidR="00510C31" w:rsidRPr="00FE0EE7" w:rsidRDefault="00510C31" w:rsidP="00510C31">
      <w:pPr>
        <w:tabs>
          <w:tab w:val="left" w:pos="567"/>
        </w:tabs>
        <w:rPr>
          <w:color w:val="auto"/>
          <w:sz w:val="22"/>
          <w:szCs w:val="22"/>
        </w:rPr>
      </w:pPr>
    </w:p>
    <w:p w14:paraId="4F4995F1" w14:textId="77777777" w:rsidR="00B0714C" w:rsidRDefault="00B0714C">
      <w:pPr>
        <w:pStyle w:val="Heading2"/>
        <w:rPr>
          <w:b w:val="0"/>
          <w:bCs w:val="0"/>
          <w:iCs w:val="0"/>
          <w:sz w:val="22"/>
          <w:szCs w:val="22"/>
          <w:lang w:eastAsia="en-AU"/>
        </w:rPr>
      </w:pPr>
    </w:p>
    <w:p w14:paraId="550A0D4D" w14:textId="77777777" w:rsidR="00B0714C" w:rsidRDefault="00B0714C">
      <w:pPr>
        <w:pStyle w:val="Heading2"/>
        <w:rPr>
          <w:b w:val="0"/>
          <w:bCs w:val="0"/>
          <w:iCs w:val="0"/>
          <w:sz w:val="22"/>
          <w:szCs w:val="22"/>
          <w:lang w:eastAsia="en-AU"/>
        </w:rPr>
      </w:pPr>
    </w:p>
    <w:p w14:paraId="7DAD1923" w14:textId="77777777" w:rsidR="00B0714C" w:rsidRDefault="00B0714C">
      <w:pPr>
        <w:pStyle w:val="Heading2"/>
        <w:rPr>
          <w:b w:val="0"/>
          <w:bCs w:val="0"/>
          <w:iCs w:val="0"/>
          <w:sz w:val="22"/>
          <w:szCs w:val="22"/>
          <w:lang w:eastAsia="en-AU"/>
        </w:rPr>
      </w:pPr>
    </w:p>
    <w:p w14:paraId="74AA4F92" w14:textId="77777777" w:rsidR="00B0714C" w:rsidRDefault="00B0714C">
      <w:pPr>
        <w:pStyle w:val="Heading2"/>
        <w:rPr>
          <w:b w:val="0"/>
          <w:bCs w:val="0"/>
          <w:iCs w:val="0"/>
          <w:sz w:val="22"/>
          <w:szCs w:val="22"/>
          <w:lang w:eastAsia="en-AU"/>
        </w:rPr>
      </w:pPr>
    </w:p>
    <w:p w14:paraId="44BB779E" w14:textId="77777777" w:rsidR="00B0714C" w:rsidRDefault="00B0714C">
      <w:pPr>
        <w:pStyle w:val="Heading2"/>
        <w:rPr>
          <w:b w:val="0"/>
          <w:bCs w:val="0"/>
          <w:iCs w:val="0"/>
          <w:sz w:val="22"/>
          <w:szCs w:val="22"/>
          <w:lang w:eastAsia="en-AU"/>
        </w:rPr>
      </w:pPr>
    </w:p>
    <w:p w14:paraId="66E8D1AC" w14:textId="77777777" w:rsidR="00B0714C" w:rsidRDefault="00B0714C">
      <w:pPr>
        <w:pStyle w:val="Heading2"/>
        <w:rPr>
          <w:b w:val="0"/>
          <w:bCs w:val="0"/>
          <w:iCs w:val="0"/>
          <w:sz w:val="22"/>
          <w:szCs w:val="22"/>
          <w:lang w:eastAsia="en-AU"/>
        </w:rPr>
      </w:pPr>
    </w:p>
    <w:p w14:paraId="0CC09532" w14:textId="77777777" w:rsidR="00B0714C" w:rsidRDefault="00B0714C">
      <w:pPr>
        <w:pStyle w:val="Heading2"/>
        <w:rPr>
          <w:b w:val="0"/>
          <w:bCs w:val="0"/>
          <w:iCs w:val="0"/>
          <w:sz w:val="22"/>
          <w:szCs w:val="22"/>
          <w:lang w:eastAsia="en-AU"/>
        </w:rPr>
      </w:pPr>
    </w:p>
    <w:p w14:paraId="4C283890" w14:textId="77777777" w:rsidR="00B0714C" w:rsidRDefault="00B0714C">
      <w:pPr>
        <w:pStyle w:val="Heading2"/>
        <w:rPr>
          <w:b w:val="0"/>
          <w:bCs w:val="0"/>
          <w:iCs w:val="0"/>
          <w:sz w:val="22"/>
          <w:szCs w:val="22"/>
          <w:lang w:eastAsia="en-AU"/>
        </w:rPr>
      </w:pPr>
    </w:p>
    <w:p w14:paraId="3E0EBB83" w14:textId="77777777" w:rsidR="00B0714C" w:rsidRDefault="00B0714C">
      <w:pPr>
        <w:pStyle w:val="Heading2"/>
        <w:rPr>
          <w:b w:val="0"/>
          <w:bCs w:val="0"/>
          <w:iCs w:val="0"/>
          <w:sz w:val="22"/>
          <w:szCs w:val="22"/>
          <w:lang w:eastAsia="en-AU"/>
        </w:rPr>
      </w:pPr>
    </w:p>
    <w:p w14:paraId="563C6A34" w14:textId="77777777" w:rsidR="00B0714C" w:rsidRDefault="00B0714C">
      <w:pPr>
        <w:pStyle w:val="Heading2"/>
        <w:rPr>
          <w:b w:val="0"/>
          <w:bCs w:val="0"/>
          <w:iCs w:val="0"/>
          <w:sz w:val="22"/>
          <w:szCs w:val="22"/>
          <w:lang w:eastAsia="en-AU"/>
        </w:rPr>
      </w:pPr>
    </w:p>
    <w:p w14:paraId="66C33005" w14:textId="77777777" w:rsidR="00B0714C" w:rsidRDefault="00B0714C">
      <w:pPr>
        <w:pStyle w:val="Heading2"/>
        <w:rPr>
          <w:b w:val="0"/>
          <w:bCs w:val="0"/>
          <w:iCs w:val="0"/>
          <w:sz w:val="22"/>
          <w:szCs w:val="22"/>
          <w:lang w:eastAsia="en-AU"/>
        </w:rPr>
      </w:pPr>
    </w:p>
    <w:p w14:paraId="69161591" w14:textId="77777777" w:rsidR="00B0714C" w:rsidRDefault="00B0714C">
      <w:pPr>
        <w:pStyle w:val="Heading2"/>
        <w:rPr>
          <w:b w:val="0"/>
          <w:bCs w:val="0"/>
          <w:iCs w:val="0"/>
          <w:sz w:val="22"/>
          <w:szCs w:val="22"/>
          <w:lang w:eastAsia="en-AU"/>
        </w:rPr>
      </w:pPr>
    </w:p>
    <w:p w14:paraId="7D951729" w14:textId="77777777" w:rsidR="007511BF" w:rsidRDefault="007511BF" w:rsidP="00B26FCF">
      <w:pPr>
        <w:rPr>
          <w:lang w:eastAsia="en-AU"/>
        </w:rPr>
      </w:pPr>
    </w:p>
    <w:p w14:paraId="5BA68CC2" w14:textId="77777777" w:rsidR="007511BF" w:rsidRDefault="007511BF" w:rsidP="00B26FCF">
      <w:pPr>
        <w:rPr>
          <w:lang w:eastAsia="en-AU"/>
        </w:rPr>
      </w:pPr>
    </w:p>
    <w:p w14:paraId="1F72DAE6" w14:textId="77777777" w:rsidR="007511BF" w:rsidRDefault="007511BF" w:rsidP="00B26FCF">
      <w:pPr>
        <w:rPr>
          <w:lang w:eastAsia="en-AU"/>
        </w:rPr>
      </w:pPr>
    </w:p>
    <w:p w14:paraId="14447D07" w14:textId="77777777" w:rsidR="007511BF" w:rsidRDefault="007511BF" w:rsidP="00B26FCF">
      <w:pPr>
        <w:rPr>
          <w:lang w:eastAsia="en-AU"/>
        </w:rPr>
      </w:pPr>
    </w:p>
    <w:p w14:paraId="227D365C" w14:textId="77777777" w:rsidR="007511BF" w:rsidRPr="00B26FCF" w:rsidRDefault="007511BF" w:rsidP="00B26FCF">
      <w:pPr>
        <w:rPr>
          <w:lang w:eastAsia="en-AU"/>
        </w:rPr>
      </w:pPr>
    </w:p>
    <w:p w14:paraId="1756EE66" w14:textId="77777777" w:rsidR="00B0714C" w:rsidRDefault="00B0714C">
      <w:pPr>
        <w:pStyle w:val="Heading2"/>
        <w:rPr>
          <w:b w:val="0"/>
          <w:bCs w:val="0"/>
          <w:iCs w:val="0"/>
          <w:sz w:val="22"/>
          <w:szCs w:val="22"/>
          <w:lang w:eastAsia="en-AU"/>
        </w:rPr>
      </w:pPr>
    </w:p>
    <w:p w14:paraId="7D047C1E" w14:textId="77777777" w:rsidR="00B0714C" w:rsidRPr="00FE0EE7" w:rsidRDefault="00B0714C">
      <w:pPr>
        <w:pStyle w:val="Heading2"/>
        <w:rPr>
          <w:b w:val="0"/>
          <w:bCs w:val="0"/>
          <w:iCs w:val="0"/>
          <w:sz w:val="22"/>
          <w:szCs w:val="22"/>
          <w:lang w:eastAsia="en-AU"/>
        </w:rPr>
      </w:pPr>
    </w:p>
    <w:p w14:paraId="6ED8D846" w14:textId="6281D4D0" w:rsidR="00510C31" w:rsidRPr="00FE0EE7" w:rsidRDefault="005C6628">
      <w:pPr>
        <w:pStyle w:val="Heading2"/>
        <w:rPr>
          <w:b w:val="0"/>
          <w:bCs w:val="0"/>
          <w:iCs w:val="0"/>
          <w:sz w:val="22"/>
          <w:szCs w:val="22"/>
          <w:lang w:eastAsia="en-AU"/>
        </w:rPr>
      </w:pPr>
      <w:bookmarkStart w:id="35" w:name="_Toc464746058"/>
      <w:bookmarkStart w:id="36" w:name="_Toc464747156"/>
      <w:r w:rsidRPr="00FE0EE7">
        <w:rPr>
          <w:b w:val="0"/>
          <w:sz w:val="22"/>
          <w:szCs w:val="22"/>
        </w:rPr>
        <w:t>Table of revisions</w:t>
      </w:r>
      <w:bookmarkEnd w:id="35"/>
      <w:bookmarkEnd w:id="36"/>
      <w:r w:rsidRPr="00FE0EE7" w:rsidDel="005C6628">
        <w:rPr>
          <w:b w:val="0"/>
          <w:bCs w:val="0"/>
          <w:iCs w:val="0"/>
          <w:sz w:val="22"/>
          <w:szCs w:val="22"/>
          <w:lang w:eastAsia="en-AU"/>
        </w:rPr>
        <w:t xml:space="preserve"> </w:t>
      </w:r>
    </w:p>
    <w:tbl>
      <w:tblPr>
        <w:tblW w:w="8717" w:type="dxa"/>
        <w:tblInd w:w="180" w:type="dxa"/>
        <w:tblBorders>
          <w:top w:val="single" w:sz="8" w:space="0" w:color="333333"/>
          <w:left w:val="single" w:sz="8" w:space="0" w:color="333333"/>
          <w:bottom w:val="single" w:sz="8" w:space="0" w:color="333333"/>
          <w:right w:val="single" w:sz="8" w:space="0" w:color="333333"/>
          <w:insideH w:val="single" w:sz="8" w:space="0" w:color="333333"/>
          <w:insideV w:val="single" w:sz="8" w:space="0" w:color="333333"/>
        </w:tblBorders>
        <w:tblLayout w:type="fixed"/>
        <w:tblLook w:val="0000" w:firstRow="0" w:lastRow="0" w:firstColumn="0" w:lastColumn="0" w:noHBand="0" w:noVBand="0"/>
      </w:tblPr>
      <w:tblGrid>
        <w:gridCol w:w="1511"/>
        <w:gridCol w:w="969"/>
        <w:gridCol w:w="4536"/>
        <w:gridCol w:w="1701"/>
      </w:tblGrid>
      <w:tr w:rsidR="005C6628" w:rsidRPr="00FE0EE7" w14:paraId="5D813119" w14:textId="77777777" w:rsidTr="005C6628">
        <w:trPr>
          <w:trHeight w:val="288"/>
          <w:tblHeader/>
        </w:trPr>
        <w:tc>
          <w:tcPr>
            <w:tcW w:w="1511" w:type="dxa"/>
            <w:shd w:val="clear" w:color="auto" w:fill="FFFFFF"/>
          </w:tcPr>
          <w:p w14:paraId="0FEDEAD8" w14:textId="77777777" w:rsidR="00510C31" w:rsidRPr="00FE0EE7" w:rsidRDefault="00510C31" w:rsidP="00510C31">
            <w:pPr>
              <w:tabs>
                <w:tab w:val="left" w:pos="567"/>
              </w:tabs>
              <w:rPr>
                <w:color w:val="auto"/>
                <w:sz w:val="20"/>
                <w:szCs w:val="20"/>
              </w:rPr>
            </w:pPr>
            <w:r w:rsidRPr="00FE0EE7">
              <w:rPr>
                <w:b/>
                <w:bCs/>
                <w:color w:val="auto"/>
                <w:sz w:val="20"/>
                <w:szCs w:val="20"/>
              </w:rPr>
              <w:t>Date</w:t>
            </w:r>
          </w:p>
        </w:tc>
        <w:tc>
          <w:tcPr>
            <w:tcW w:w="969" w:type="dxa"/>
            <w:shd w:val="clear" w:color="auto" w:fill="FFFFFF"/>
          </w:tcPr>
          <w:p w14:paraId="35572C39" w14:textId="77777777" w:rsidR="00510C31" w:rsidRPr="00FE0EE7" w:rsidRDefault="00510C31" w:rsidP="00510C31">
            <w:pPr>
              <w:tabs>
                <w:tab w:val="left" w:pos="567"/>
              </w:tabs>
              <w:rPr>
                <w:color w:val="auto"/>
                <w:sz w:val="20"/>
                <w:szCs w:val="20"/>
              </w:rPr>
            </w:pPr>
            <w:r w:rsidRPr="00FE0EE7">
              <w:rPr>
                <w:b/>
                <w:bCs/>
                <w:color w:val="auto"/>
                <w:sz w:val="20"/>
                <w:szCs w:val="20"/>
              </w:rPr>
              <w:t>Version</w:t>
            </w:r>
          </w:p>
        </w:tc>
        <w:tc>
          <w:tcPr>
            <w:tcW w:w="4536" w:type="dxa"/>
            <w:shd w:val="clear" w:color="auto" w:fill="FFFFFF"/>
          </w:tcPr>
          <w:p w14:paraId="6C4852AF" w14:textId="77777777" w:rsidR="00510C31" w:rsidRPr="00FE0EE7" w:rsidRDefault="00510C31" w:rsidP="00510C31">
            <w:pPr>
              <w:tabs>
                <w:tab w:val="left" w:pos="567"/>
              </w:tabs>
              <w:rPr>
                <w:color w:val="auto"/>
                <w:sz w:val="20"/>
                <w:szCs w:val="20"/>
              </w:rPr>
            </w:pPr>
            <w:r w:rsidRPr="00FE0EE7">
              <w:rPr>
                <w:b/>
                <w:bCs/>
                <w:color w:val="auto"/>
                <w:sz w:val="20"/>
                <w:szCs w:val="20"/>
              </w:rPr>
              <w:t xml:space="preserve">Purpose </w:t>
            </w:r>
          </w:p>
        </w:tc>
        <w:tc>
          <w:tcPr>
            <w:tcW w:w="1701" w:type="dxa"/>
            <w:shd w:val="clear" w:color="auto" w:fill="FFFFFF"/>
          </w:tcPr>
          <w:p w14:paraId="2D98E475" w14:textId="77777777" w:rsidR="00510C31" w:rsidRPr="00FE0EE7" w:rsidRDefault="00510C31" w:rsidP="00510C31">
            <w:pPr>
              <w:tabs>
                <w:tab w:val="left" w:pos="567"/>
              </w:tabs>
              <w:rPr>
                <w:color w:val="auto"/>
                <w:sz w:val="20"/>
                <w:szCs w:val="20"/>
              </w:rPr>
            </w:pPr>
            <w:r w:rsidRPr="00FE0EE7">
              <w:rPr>
                <w:b/>
                <w:bCs/>
                <w:color w:val="auto"/>
                <w:sz w:val="20"/>
                <w:szCs w:val="20"/>
              </w:rPr>
              <w:t>Jurisdiction</w:t>
            </w:r>
          </w:p>
        </w:tc>
      </w:tr>
      <w:tr w:rsidR="003401C3" w:rsidRPr="00FE0EE7" w14:paraId="5D264CD3" w14:textId="77777777" w:rsidTr="005C6628">
        <w:trPr>
          <w:trHeight w:val="571"/>
        </w:trPr>
        <w:tc>
          <w:tcPr>
            <w:tcW w:w="1511" w:type="dxa"/>
            <w:shd w:val="clear" w:color="auto" w:fill="FFFFFF"/>
          </w:tcPr>
          <w:p w14:paraId="1C94E345" w14:textId="16E97600" w:rsidR="003401C3" w:rsidRPr="00FE0EE7" w:rsidRDefault="003401C3" w:rsidP="00510C31">
            <w:pPr>
              <w:tabs>
                <w:tab w:val="left" w:pos="567"/>
              </w:tabs>
              <w:rPr>
                <w:color w:val="auto"/>
                <w:sz w:val="20"/>
                <w:szCs w:val="20"/>
              </w:rPr>
            </w:pPr>
            <w:r>
              <w:rPr>
                <w:color w:val="auto"/>
                <w:sz w:val="20"/>
                <w:szCs w:val="20"/>
              </w:rPr>
              <w:t>Ma</w:t>
            </w:r>
            <w:r w:rsidR="00A61791">
              <w:rPr>
                <w:color w:val="auto"/>
                <w:sz w:val="20"/>
                <w:szCs w:val="20"/>
              </w:rPr>
              <w:t>y</w:t>
            </w:r>
            <w:r>
              <w:rPr>
                <w:color w:val="auto"/>
                <w:sz w:val="20"/>
                <w:szCs w:val="20"/>
              </w:rPr>
              <w:t xml:space="preserve"> 2019</w:t>
            </w:r>
          </w:p>
        </w:tc>
        <w:tc>
          <w:tcPr>
            <w:tcW w:w="969" w:type="dxa"/>
            <w:shd w:val="clear" w:color="auto" w:fill="FFFFFF"/>
          </w:tcPr>
          <w:p w14:paraId="16DF9FAB" w14:textId="5B8154D0" w:rsidR="003401C3" w:rsidRPr="00FE0EE7" w:rsidRDefault="003401C3" w:rsidP="00FE0EE7">
            <w:pPr>
              <w:tabs>
                <w:tab w:val="left" w:pos="567"/>
              </w:tabs>
              <w:jc w:val="center"/>
              <w:rPr>
                <w:color w:val="auto"/>
                <w:sz w:val="20"/>
                <w:szCs w:val="20"/>
              </w:rPr>
            </w:pPr>
            <w:r>
              <w:rPr>
                <w:color w:val="auto"/>
                <w:sz w:val="20"/>
                <w:szCs w:val="20"/>
              </w:rPr>
              <w:t>2</w:t>
            </w:r>
          </w:p>
        </w:tc>
        <w:tc>
          <w:tcPr>
            <w:tcW w:w="4536" w:type="dxa"/>
            <w:shd w:val="clear" w:color="auto" w:fill="FFFFFF"/>
          </w:tcPr>
          <w:p w14:paraId="1BFD0F2E" w14:textId="32AD01EC" w:rsidR="003401C3" w:rsidRPr="00FE0EE7" w:rsidRDefault="003401C3" w:rsidP="00FE0EE7">
            <w:pPr>
              <w:tabs>
                <w:tab w:val="left" w:pos="567"/>
              </w:tabs>
              <w:rPr>
                <w:color w:val="auto"/>
                <w:sz w:val="20"/>
                <w:szCs w:val="20"/>
              </w:rPr>
            </w:pPr>
            <w:r>
              <w:rPr>
                <w:color w:val="auto"/>
                <w:sz w:val="20"/>
                <w:szCs w:val="20"/>
              </w:rPr>
              <w:t>Clarification on application process.</w:t>
            </w:r>
          </w:p>
        </w:tc>
        <w:tc>
          <w:tcPr>
            <w:tcW w:w="1701" w:type="dxa"/>
            <w:shd w:val="clear" w:color="auto" w:fill="FFFFFF"/>
          </w:tcPr>
          <w:p w14:paraId="563C2A0E" w14:textId="156090F4" w:rsidR="003401C3" w:rsidRPr="00FE0EE7" w:rsidRDefault="00B32BD2" w:rsidP="00510C31">
            <w:pPr>
              <w:tabs>
                <w:tab w:val="left" w:pos="567"/>
              </w:tabs>
              <w:rPr>
                <w:color w:val="auto"/>
                <w:sz w:val="20"/>
                <w:szCs w:val="20"/>
              </w:rPr>
            </w:pPr>
            <w:r>
              <w:rPr>
                <w:color w:val="auto"/>
                <w:sz w:val="20"/>
                <w:szCs w:val="20"/>
              </w:rPr>
              <w:t>Commonwealth</w:t>
            </w:r>
          </w:p>
        </w:tc>
      </w:tr>
      <w:tr w:rsidR="005C6628" w:rsidRPr="00FE0EE7" w14:paraId="4DBD9906" w14:textId="77777777" w:rsidTr="005C6628">
        <w:trPr>
          <w:trHeight w:val="571"/>
        </w:trPr>
        <w:tc>
          <w:tcPr>
            <w:tcW w:w="1511" w:type="dxa"/>
            <w:shd w:val="clear" w:color="auto" w:fill="FFFFFF"/>
          </w:tcPr>
          <w:p w14:paraId="404568B2" w14:textId="7D95B661" w:rsidR="00510C31" w:rsidRPr="00FE0EE7" w:rsidRDefault="005C6628" w:rsidP="00510C31">
            <w:pPr>
              <w:tabs>
                <w:tab w:val="left" w:pos="567"/>
              </w:tabs>
              <w:rPr>
                <w:color w:val="auto"/>
                <w:sz w:val="20"/>
                <w:szCs w:val="20"/>
              </w:rPr>
            </w:pPr>
            <w:r w:rsidRPr="00FE0EE7">
              <w:rPr>
                <w:color w:val="auto"/>
                <w:sz w:val="20"/>
                <w:szCs w:val="20"/>
              </w:rPr>
              <w:t>October 2016</w:t>
            </w:r>
          </w:p>
        </w:tc>
        <w:tc>
          <w:tcPr>
            <w:tcW w:w="969" w:type="dxa"/>
            <w:shd w:val="clear" w:color="auto" w:fill="FFFFFF"/>
          </w:tcPr>
          <w:p w14:paraId="41CE3B9F" w14:textId="71239846" w:rsidR="00510C31" w:rsidRPr="00FE0EE7" w:rsidRDefault="005C6628" w:rsidP="00FE0EE7">
            <w:pPr>
              <w:tabs>
                <w:tab w:val="left" w:pos="567"/>
              </w:tabs>
              <w:jc w:val="center"/>
              <w:rPr>
                <w:color w:val="auto"/>
                <w:sz w:val="20"/>
                <w:szCs w:val="20"/>
              </w:rPr>
            </w:pPr>
            <w:r w:rsidRPr="00FE0EE7">
              <w:rPr>
                <w:color w:val="auto"/>
                <w:sz w:val="20"/>
                <w:szCs w:val="20"/>
              </w:rPr>
              <w:t>1</w:t>
            </w:r>
          </w:p>
        </w:tc>
        <w:tc>
          <w:tcPr>
            <w:tcW w:w="4536" w:type="dxa"/>
            <w:shd w:val="clear" w:color="auto" w:fill="FFFFFF"/>
          </w:tcPr>
          <w:p w14:paraId="1FD21D21" w14:textId="7CF254F5" w:rsidR="00510C31" w:rsidRPr="00FE0EE7" w:rsidRDefault="005C6628" w:rsidP="00FE0EE7">
            <w:pPr>
              <w:tabs>
                <w:tab w:val="left" w:pos="567"/>
              </w:tabs>
              <w:rPr>
                <w:color w:val="auto"/>
                <w:sz w:val="20"/>
                <w:szCs w:val="20"/>
              </w:rPr>
            </w:pPr>
            <w:r w:rsidRPr="00FE0EE7">
              <w:rPr>
                <w:color w:val="auto"/>
                <w:sz w:val="20"/>
                <w:szCs w:val="20"/>
              </w:rPr>
              <w:t xml:space="preserve">Rewrite to streamline the information and guidance </w:t>
            </w:r>
            <w:proofErr w:type="gramStart"/>
            <w:r w:rsidRPr="00FE0EE7">
              <w:rPr>
                <w:color w:val="auto"/>
                <w:sz w:val="20"/>
                <w:szCs w:val="20"/>
              </w:rPr>
              <w:t>provided</w:t>
            </w:r>
            <w:r w:rsidR="00476E86">
              <w:rPr>
                <w:color w:val="auto"/>
                <w:sz w:val="20"/>
                <w:szCs w:val="20"/>
              </w:rPr>
              <w:t>,</w:t>
            </w:r>
            <w:r w:rsidRPr="00FE0EE7">
              <w:rPr>
                <w:color w:val="auto"/>
                <w:sz w:val="20"/>
                <w:szCs w:val="20"/>
              </w:rPr>
              <w:t xml:space="preserve"> and</w:t>
            </w:r>
            <w:proofErr w:type="gramEnd"/>
            <w:r w:rsidRPr="00FE0EE7">
              <w:rPr>
                <w:color w:val="auto"/>
                <w:sz w:val="20"/>
                <w:szCs w:val="20"/>
              </w:rPr>
              <w:t xml:space="preserve"> clarify the application and report</w:t>
            </w:r>
            <w:r w:rsidR="00476E86">
              <w:rPr>
                <w:color w:val="auto"/>
                <w:sz w:val="20"/>
                <w:szCs w:val="20"/>
              </w:rPr>
              <w:t>ing</w:t>
            </w:r>
            <w:r w:rsidRPr="00FE0EE7">
              <w:rPr>
                <w:color w:val="auto"/>
                <w:sz w:val="20"/>
                <w:szCs w:val="20"/>
              </w:rPr>
              <w:t xml:space="preserve"> process.</w:t>
            </w:r>
          </w:p>
        </w:tc>
        <w:tc>
          <w:tcPr>
            <w:tcW w:w="1701" w:type="dxa"/>
            <w:shd w:val="clear" w:color="auto" w:fill="FFFFFF"/>
          </w:tcPr>
          <w:p w14:paraId="5AB430B6" w14:textId="34A5A7E6" w:rsidR="00510C31" w:rsidRPr="00FE0EE7" w:rsidRDefault="00B32BD2" w:rsidP="00510C31">
            <w:pPr>
              <w:tabs>
                <w:tab w:val="left" w:pos="567"/>
              </w:tabs>
              <w:rPr>
                <w:color w:val="auto"/>
                <w:sz w:val="20"/>
                <w:szCs w:val="20"/>
              </w:rPr>
            </w:pPr>
            <w:r>
              <w:rPr>
                <w:color w:val="auto"/>
                <w:sz w:val="20"/>
                <w:szCs w:val="20"/>
              </w:rPr>
              <w:t>Commonwealth</w:t>
            </w:r>
          </w:p>
        </w:tc>
      </w:tr>
      <w:tr w:rsidR="005C6628" w:rsidRPr="00FE0EE7" w14:paraId="2DFA9A48" w14:textId="77777777" w:rsidTr="005C6628">
        <w:trPr>
          <w:trHeight w:val="571"/>
        </w:trPr>
        <w:tc>
          <w:tcPr>
            <w:tcW w:w="1511" w:type="dxa"/>
            <w:shd w:val="clear" w:color="auto" w:fill="FFFFFF"/>
          </w:tcPr>
          <w:p w14:paraId="7DA44C06" w14:textId="1F48869C" w:rsidR="00510C31" w:rsidRPr="00FE0EE7" w:rsidRDefault="00B0714C" w:rsidP="00510C31">
            <w:pPr>
              <w:tabs>
                <w:tab w:val="left" w:pos="567"/>
              </w:tabs>
              <w:rPr>
                <w:color w:val="auto"/>
                <w:sz w:val="20"/>
                <w:szCs w:val="20"/>
              </w:rPr>
            </w:pPr>
            <w:r w:rsidRPr="00FE0EE7">
              <w:rPr>
                <w:color w:val="auto"/>
                <w:sz w:val="20"/>
                <w:szCs w:val="20"/>
              </w:rPr>
              <w:t>May 2012</w:t>
            </w:r>
          </w:p>
        </w:tc>
        <w:tc>
          <w:tcPr>
            <w:tcW w:w="969" w:type="dxa"/>
            <w:shd w:val="clear" w:color="auto" w:fill="FFFFFF"/>
          </w:tcPr>
          <w:p w14:paraId="23058202" w14:textId="6BEFFF57" w:rsidR="00510C31" w:rsidRPr="00FE0EE7" w:rsidRDefault="005C6628" w:rsidP="00510C31">
            <w:pPr>
              <w:tabs>
                <w:tab w:val="left" w:pos="567"/>
              </w:tabs>
              <w:rPr>
                <w:color w:val="auto"/>
                <w:sz w:val="20"/>
                <w:szCs w:val="20"/>
              </w:rPr>
            </w:pPr>
            <w:r w:rsidRPr="00FE0EE7">
              <w:rPr>
                <w:color w:val="auto"/>
                <w:sz w:val="20"/>
                <w:szCs w:val="20"/>
              </w:rPr>
              <w:t>Interim</w:t>
            </w:r>
          </w:p>
        </w:tc>
        <w:tc>
          <w:tcPr>
            <w:tcW w:w="4536" w:type="dxa"/>
            <w:shd w:val="clear" w:color="auto" w:fill="FFFFFF"/>
          </w:tcPr>
          <w:p w14:paraId="25595C12" w14:textId="50E66318" w:rsidR="00510C31" w:rsidRPr="00FE0EE7" w:rsidRDefault="00B0714C" w:rsidP="00510C31">
            <w:pPr>
              <w:tabs>
                <w:tab w:val="left" w:pos="567"/>
              </w:tabs>
              <w:rPr>
                <w:color w:val="auto"/>
                <w:sz w:val="20"/>
                <w:szCs w:val="20"/>
              </w:rPr>
            </w:pPr>
            <w:r w:rsidRPr="00FE0EE7">
              <w:rPr>
                <w:rFonts w:cs="Arial"/>
                <w:color w:val="auto"/>
                <w:sz w:val="20"/>
                <w:szCs w:val="20"/>
              </w:rPr>
              <w:t>Updated to reflect changes to OPGGSA—transfer to NOPTA.</w:t>
            </w:r>
          </w:p>
        </w:tc>
        <w:tc>
          <w:tcPr>
            <w:tcW w:w="1701" w:type="dxa"/>
            <w:shd w:val="clear" w:color="auto" w:fill="FFFFFF"/>
          </w:tcPr>
          <w:p w14:paraId="702DF41B" w14:textId="5226F26D" w:rsidR="00510C31" w:rsidRPr="00FE0EE7" w:rsidRDefault="00B32BD2" w:rsidP="00510C31">
            <w:pPr>
              <w:tabs>
                <w:tab w:val="left" w:pos="567"/>
              </w:tabs>
              <w:rPr>
                <w:color w:val="auto"/>
                <w:sz w:val="20"/>
                <w:szCs w:val="20"/>
              </w:rPr>
            </w:pPr>
            <w:r>
              <w:rPr>
                <w:color w:val="auto"/>
                <w:sz w:val="20"/>
                <w:szCs w:val="20"/>
              </w:rPr>
              <w:t>Commonwealth</w:t>
            </w:r>
          </w:p>
        </w:tc>
      </w:tr>
    </w:tbl>
    <w:p w14:paraId="01FD9A58" w14:textId="77777777" w:rsidR="00FE584F" w:rsidRPr="00FE0EE7" w:rsidRDefault="00FE584F" w:rsidP="00510C31">
      <w:pPr>
        <w:tabs>
          <w:tab w:val="left" w:pos="567"/>
        </w:tabs>
        <w:rPr>
          <w:color w:val="auto"/>
          <w:sz w:val="22"/>
          <w:szCs w:val="22"/>
        </w:rPr>
      </w:pPr>
    </w:p>
    <w:p w14:paraId="7916E1CE" w14:textId="77777777" w:rsidR="00FE584F" w:rsidRPr="00FE0EE7" w:rsidRDefault="00FE584F">
      <w:pPr>
        <w:spacing w:line="240" w:lineRule="auto"/>
        <w:rPr>
          <w:color w:val="auto"/>
          <w:sz w:val="22"/>
          <w:szCs w:val="22"/>
        </w:rPr>
      </w:pPr>
      <w:r w:rsidRPr="00FE0EE7">
        <w:rPr>
          <w:color w:val="auto"/>
          <w:sz w:val="22"/>
          <w:szCs w:val="22"/>
        </w:rPr>
        <w:lastRenderedPageBreak/>
        <w:br w:type="page"/>
      </w:r>
    </w:p>
    <w:p w14:paraId="7DE192BF" w14:textId="60BFC75F" w:rsidR="00FE584F" w:rsidRPr="00FE0EE7" w:rsidRDefault="00FE584F">
      <w:pPr>
        <w:pStyle w:val="Heading2"/>
        <w:rPr>
          <w:iCs w:val="0"/>
          <w:kern w:val="32"/>
          <w:sz w:val="28"/>
          <w:szCs w:val="32"/>
          <w:lang w:eastAsia="en-AU"/>
        </w:rPr>
      </w:pPr>
      <w:bookmarkStart w:id="37" w:name="_Toc464747157"/>
      <w:r w:rsidRPr="00FE0EE7">
        <w:rPr>
          <w:iCs w:val="0"/>
          <w:kern w:val="32"/>
          <w:sz w:val="28"/>
          <w:szCs w:val="32"/>
          <w:lang w:eastAsia="en-AU"/>
        </w:rPr>
        <w:lastRenderedPageBreak/>
        <w:t xml:space="preserve">ATTACHMENT A </w:t>
      </w:r>
      <w:r w:rsidR="00F739DD">
        <w:rPr>
          <w:iCs w:val="0"/>
          <w:kern w:val="32"/>
          <w:sz w:val="28"/>
          <w:szCs w:val="32"/>
          <w:lang w:eastAsia="en-AU"/>
        </w:rPr>
        <w:t>-</w:t>
      </w:r>
      <w:r w:rsidRPr="00FE0EE7">
        <w:rPr>
          <w:iCs w:val="0"/>
          <w:kern w:val="32"/>
          <w:sz w:val="28"/>
          <w:szCs w:val="32"/>
          <w:lang w:eastAsia="en-AU"/>
        </w:rPr>
        <w:t xml:space="preserve"> S</w:t>
      </w:r>
      <w:r w:rsidR="00B0714C" w:rsidRPr="00FE0EE7">
        <w:rPr>
          <w:iCs w:val="0"/>
          <w:kern w:val="32"/>
          <w:sz w:val="28"/>
          <w:szCs w:val="32"/>
          <w:lang w:eastAsia="en-AU"/>
        </w:rPr>
        <w:t>uggested information for retention lease applications</w:t>
      </w:r>
      <w:bookmarkEnd w:id="37"/>
    </w:p>
    <w:p w14:paraId="51C7A458" w14:textId="77777777" w:rsidR="00FE584F" w:rsidRPr="00FE0EE7" w:rsidRDefault="00FE584F" w:rsidP="00FE0EE7">
      <w:pPr>
        <w:tabs>
          <w:tab w:val="left" w:pos="567"/>
        </w:tabs>
        <w:spacing w:line="240" w:lineRule="auto"/>
        <w:rPr>
          <w:color w:val="auto"/>
          <w:sz w:val="22"/>
          <w:szCs w:val="22"/>
        </w:rPr>
      </w:pPr>
      <w:r w:rsidRPr="00FE0EE7">
        <w:rPr>
          <w:color w:val="auto"/>
          <w:sz w:val="22"/>
          <w:szCs w:val="22"/>
        </w:rPr>
        <w:t xml:space="preserve">Suggested information for inclusion in retention lease applications (under sections 141, 147 and 154), as applicable to the individual circumstances of each application. </w:t>
      </w:r>
    </w:p>
    <w:p w14:paraId="72F8A0A7" w14:textId="77777777" w:rsidR="008B1BCC" w:rsidRPr="00FE0EE7" w:rsidRDefault="008B1BCC" w:rsidP="00FE584F">
      <w:pPr>
        <w:tabs>
          <w:tab w:val="left" w:pos="567"/>
        </w:tabs>
        <w:rPr>
          <w:color w:val="auto"/>
          <w:sz w:val="22"/>
          <w:szCs w:val="22"/>
        </w:rPr>
      </w:pPr>
    </w:p>
    <w:p w14:paraId="47381AF5" w14:textId="77777777" w:rsidR="00FE584F" w:rsidRPr="00FE0EE7" w:rsidRDefault="00FE584F" w:rsidP="00D553D5">
      <w:pPr>
        <w:pStyle w:val="Heading4"/>
      </w:pPr>
      <w:r w:rsidRPr="00FE0EE7">
        <w:t>Development options</w:t>
      </w:r>
    </w:p>
    <w:p w14:paraId="4E6EFF3F" w14:textId="77777777" w:rsidR="00FE584F" w:rsidRPr="00FE0EE7" w:rsidRDefault="00FE584F" w:rsidP="00FE0EE7">
      <w:pPr>
        <w:pStyle w:val="ListParagraph"/>
        <w:numPr>
          <w:ilvl w:val="1"/>
          <w:numId w:val="34"/>
        </w:numPr>
        <w:tabs>
          <w:tab w:val="left" w:pos="567"/>
        </w:tabs>
        <w:spacing w:after="120" w:line="240" w:lineRule="auto"/>
        <w:ind w:left="567" w:hanging="567"/>
        <w:contextualSpacing w:val="0"/>
        <w:rPr>
          <w:color w:val="auto"/>
          <w:sz w:val="22"/>
          <w:szCs w:val="22"/>
        </w:rPr>
      </w:pPr>
      <w:r w:rsidRPr="00FE0EE7">
        <w:rPr>
          <w:color w:val="auto"/>
          <w:sz w:val="22"/>
          <w:szCs w:val="22"/>
        </w:rPr>
        <w:t>A detailed assessment, discussion and comparison of any potential development option(s) including schematics, timeframes and advantages for each, as well as a detailed breakdown of development components which provides support for the cost estimates in the project economics.</w:t>
      </w:r>
    </w:p>
    <w:p w14:paraId="1342F05A" w14:textId="77777777" w:rsidR="00FE584F" w:rsidRPr="00FE0EE7" w:rsidRDefault="00FE584F" w:rsidP="00FE0EE7">
      <w:pPr>
        <w:pStyle w:val="ListParagraph"/>
        <w:numPr>
          <w:ilvl w:val="1"/>
          <w:numId w:val="34"/>
        </w:numPr>
        <w:tabs>
          <w:tab w:val="left" w:pos="567"/>
        </w:tabs>
        <w:spacing w:after="120" w:line="240" w:lineRule="auto"/>
        <w:ind w:left="567" w:hanging="567"/>
        <w:contextualSpacing w:val="0"/>
        <w:rPr>
          <w:color w:val="auto"/>
          <w:sz w:val="22"/>
          <w:szCs w:val="22"/>
        </w:rPr>
      </w:pPr>
      <w:r w:rsidRPr="00FE0EE7">
        <w:rPr>
          <w:color w:val="auto"/>
          <w:sz w:val="22"/>
          <w:szCs w:val="22"/>
        </w:rPr>
        <w:t>Where the applicant refers to integration in a larger project as a development option, provide comprehensive supporting information on the project as a whole. This includes information on other fields (whether production licences or retention leases) which are intended to be developed through the same facilities, and the anticipated development path for the project including timeframes for each field.</w:t>
      </w:r>
    </w:p>
    <w:p w14:paraId="0A0B65B8" w14:textId="77777777" w:rsidR="008B1BCC" w:rsidRPr="00FE0EE7" w:rsidRDefault="00FE584F" w:rsidP="00FE0EE7">
      <w:pPr>
        <w:pStyle w:val="ListParagraph"/>
        <w:numPr>
          <w:ilvl w:val="1"/>
          <w:numId w:val="34"/>
        </w:numPr>
        <w:tabs>
          <w:tab w:val="left" w:pos="567"/>
        </w:tabs>
        <w:spacing w:after="120" w:line="240" w:lineRule="auto"/>
        <w:ind w:left="567" w:hanging="567"/>
        <w:contextualSpacing w:val="0"/>
        <w:rPr>
          <w:color w:val="auto"/>
          <w:sz w:val="22"/>
          <w:szCs w:val="22"/>
        </w:rPr>
      </w:pPr>
      <w:r w:rsidRPr="00FE0EE7">
        <w:rPr>
          <w:color w:val="auto"/>
          <w:sz w:val="22"/>
          <w:szCs w:val="22"/>
        </w:rPr>
        <w:t xml:space="preserve">Applicants should provide evidence of preliminary negotiations, if any, with infrastructure owners and current understanding of likely access cost assumptions for any </w:t>
      </w:r>
      <w:r w:rsidR="008B1BCC" w:rsidRPr="00FE0EE7">
        <w:rPr>
          <w:color w:val="auto"/>
          <w:sz w:val="22"/>
          <w:szCs w:val="22"/>
        </w:rPr>
        <w:t>facilities under consideration.</w:t>
      </w:r>
    </w:p>
    <w:p w14:paraId="724A0015" w14:textId="77777777" w:rsidR="008B1BCC" w:rsidRPr="00FE0EE7" w:rsidRDefault="00FE584F" w:rsidP="00FE0EE7">
      <w:pPr>
        <w:pStyle w:val="ListParagraph"/>
        <w:numPr>
          <w:ilvl w:val="1"/>
          <w:numId w:val="34"/>
        </w:numPr>
        <w:tabs>
          <w:tab w:val="left" w:pos="567"/>
        </w:tabs>
        <w:spacing w:after="120" w:line="240" w:lineRule="auto"/>
        <w:ind w:left="567" w:hanging="567"/>
        <w:contextualSpacing w:val="0"/>
        <w:rPr>
          <w:color w:val="auto"/>
          <w:sz w:val="22"/>
          <w:szCs w:val="22"/>
        </w:rPr>
      </w:pPr>
      <w:r w:rsidRPr="00FE0EE7">
        <w:rPr>
          <w:color w:val="auto"/>
          <w:sz w:val="22"/>
          <w:szCs w:val="22"/>
        </w:rPr>
        <w:t>If a preferred development option has been identified, include information on the basis for selecting that option, along with details on all other options which were considered, referencing previo</w:t>
      </w:r>
      <w:r w:rsidR="008B1BCC" w:rsidRPr="00FE0EE7">
        <w:rPr>
          <w:color w:val="auto"/>
          <w:sz w:val="22"/>
          <w:szCs w:val="22"/>
        </w:rPr>
        <w:t>us applications if appropriate.</w:t>
      </w:r>
    </w:p>
    <w:p w14:paraId="1BF22755" w14:textId="77777777" w:rsidR="00FE584F" w:rsidRPr="00FE0EE7" w:rsidRDefault="00FE584F" w:rsidP="00FE0EE7">
      <w:pPr>
        <w:pStyle w:val="ListParagraph"/>
        <w:numPr>
          <w:ilvl w:val="1"/>
          <w:numId w:val="34"/>
        </w:numPr>
        <w:tabs>
          <w:tab w:val="left" w:pos="567"/>
        </w:tabs>
        <w:spacing w:line="240" w:lineRule="auto"/>
        <w:ind w:left="567" w:hanging="567"/>
        <w:rPr>
          <w:color w:val="auto"/>
          <w:sz w:val="22"/>
          <w:szCs w:val="22"/>
        </w:rPr>
      </w:pPr>
      <w:r w:rsidRPr="00FE0EE7">
        <w:rPr>
          <w:color w:val="auto"/>
          <w:sz w:val="22"/>
          <w:szCs w:val="22"/>
        </w:rPr>
        <w:t>Applications in relation to gas fields should thoroughly assess the economics of the range of different options for bringing a gas field into production including domestic gas development, liquefied natural gas development and gas to liquids development, where appropriate.</w:t>
      </w:r>
    </w:p>
    <w:p w14:paraId="33DBAB8A" w14:textId="77777777" w:rsidR="008B1BCC" w:rsidRPr="00FE0EE7" w:rsidRDefault="008B1BCC" w:rsidP="00FE0EE7">
      <w:pPr>
        <w:tabs>
          <w:tab w:val="left" w:pos="567"/>
        </w:tabs>
        <w:spacing w:line="240" w:lineRule="auto"/>
        <w:rPr>
          <w:color w:val="auto"/>
          <w:sz w:val="22"/>
          <w:szCs w:val="22"/>
        </w:rPr>
      </w:pPr>
    </w:p>
    <w:p w14:paraId="0D50A7CD" w14:textId="77777777" w:rsidR="00FE584F" w:rsidRPr="00FE0EE7" w:rsidRDefault="00FE584F" w:rsidP="00D553D5">
      <w:pPr>
        <w:pStyle w:val="Heading4"/>
      </w:pPr>
      <w:r w:rsidRPr="00FE0EE7">
        <w:t>Resources</w:t>
      </w:r>
    </w:p>
    <w:p w14:paraId="6A420EB4" w14:textId="77777777" w:rsidR="008B1BCC" w:rsidRPr="00FE0EE7" w:rsidRDefault="00FE584F" w:rsidP="00FE0EE7">
      <w:pPr>
        <w:pStyle w:val="ListParagraph"/>
        <w:numPr>
          <w:ilvl w:val="1"/>
          <w:numId w:val="34"/>
        </w:numPr>
        <w:tabs>
          <w:tab w:val="left" w:pos="567"/>
        </w:tabs>
        <w:spacing w:after="120" w:line="240" w:lineRule="auto"/>
        <w:ind w:left="567" w:hanging="567"/>
        <w:contextualSpacing w:val="0"/>
        <w:rPr>
          <w:color w:val="auto"/>
          <w:sz w:val="22"/>
          <w:szCs w:val="22"/>
        </w:rPr>
      </w:pPr>
      <w:r w:rsidRPr="00FE0EE7">
        <w:rPr>
          <w:color w:val="auto"/>
          <w:sz w:val="22"/>
          <w:szCs w:val="22"/>
        </w:rPr>
        <w:t xml:space="preserve">Applicants should demonstrate existing knowledge of the field, including mapping and </w:t>
      </w:r>
      <w:r w:rsidR="00126813" w:rsidRPr="00FE0EE7">
        <w:rPr>
          <w:color w:val="auto"/>
          <w:sz w:val="22"/>
          <w:szCs w:val="22"/>
        </w:rPr>
        <w:t xml:space="preserve">in-place and ultimate recoverable </w:t>
      </w:r>
      <w:r w:rsidRPr="00FE0EE7">
        <w:rPr>
          <w:color w:val="auto"/>
          <w:sz w:val="22"/>
          <w:szCs w:val="22"/>
        </w:rPr>
        <w:t>resource estimates at proved, probable and possible (</w:t>
      </w:r>
      <w:r w:rsidR="00126813" w:rsidRPr="00FE0EE7">
        <w:rPr>
          <w:color w:val="auto"/>
          <w:sz w:val="22"/>
          <w:szCs w:val="22"/>
        </w:rPr>
        <w:t>1C/</w:t>
      </w:r>
      <w:r w:rsidRPr="00FE0EE7">
        <w:rPr>
          <w:color w:val="auto"/>
          <w:sz w:val="22"/>
          <w:szCs w:val="22"/>
        </w:rPr>
        <w:t xml:space="preserve">P90, </w:t>
      </w:r>
      <w:r w:rsidR="00126813" w:rsidRPr="00FE0EE7">
        <w:rPr>
          <w:color w:val="auto"/>
          <w:sz w:val="22"/>
          <w:szCs w:val="22"/>
        </w:rPr>
        <w:t>2C/</w:t>
      </w:r>
      <w:r w:rsidRPr="00FE0EE7">
        <w:rPr>
          <w:color w:val="auto"/>
          <w:sz w:val="22"/>
          <w:szCs w:val="22"/>
        </w:rPr>
        <w:t xml:space="preserve">P50 and </w:t>
      </w:r>
      <w:r w:rsidR="00126813" w:rsidRPr="00FE0EE7">
        <w:rPr>
          <w:color w:val="auto"/>
          <w:sz w:val="22"/>
          <w:szCs w:val="22"/>
        </w:rPr>
        <w:t>3C/</w:t>
      </w:r>
      <w:r w:rsidRPr="00FE0EE7">
        <w:rPr>
          <w:color w:val="auto"/>
          <w:sz w:val="22"/>
          <w:szCs w:val="22"/>
        </w:rPr>
        <w:t>P10) levels, and any critical uncertainti</w:t>
      </w:r>
      <w:r w:rsidR="008B1BCC" w:rsidRPr="00FE0EE7">
        <w:rPr>
          <w:color w:val="auto"/>
          <w:sz w:val="22"/>
          <w:szCs w:val="22"/>
        </w:rPr>
        <w:t>es relating to these estimates.</w:t>
      </w:r>
      <w:r w:rsidR="00245DEE" w:rsidRPr="00FE0EE7">
        <w:rPr>
          <w:color w:val="auto"/>
          <w:sz w:val="22"/>
          <w:szCs w:val="22"/>
        </w:rPr>
        <w:t xml:space="preserve"> Undrilled prospects should be separately identified. </w:t>
      </w:r>
    </w:p>
    <w:p w14:paraId="033B082E" w14:textId="77777777" w:rsidR="00245DEE" w:rsidRPr="00FE0EE7" w:rsidRDefault="00245DEE" w:rsidP="00FE0EE7">
      <w:pPr>
        <w:pStyle w:val="ListParagraph"/>
        <w:numPr>
          <w:ilvl w:val="1"/>
          <w:numId w:val="34"/>
        </w:numPr>
        <w:tabs>
          <w:tab w:val="left" w:pos="567"/>
        </w:tabs>
        <w:spacing w:after="120" w:line="240" w:lineRule="auto"/>
        <w:ind w:left="567" w:hanging="567"/>
        <w:contextualSpacing w:val="0"/>
        <w:rPr>
          <w:color w:val="auto"/>
          <w:sz w:val="22"/>
          <w:szCs w:val="22"/>
        </w:rPr>
      </w:pPr>
      <w:r w:rsidRPr="00FE0EE7">
        <w:rPr>
          <w:color w:val="auto"/>
          <w:sz w:val="22"/>
          <w:szCs w:val="22"/>
        </w:rPr>
        <w:t xml:space="preserve">ESRI Shapefile, Geodatabase file or a spreadsheet with the coordinate listing (latitude, longitude and datum) of pool/field should be provided. </w:t>
      </w:r>
    </w:p>
    <w:p w14:paraId="0AB578B3" w14:textId="77777777" w:rsidR="008B1BCC" w:rsidRPr="00FE0EE7" w:rsidRDefault="00FE584F" w:rsidP="00FE0EE7">
      <w:pPr>
        <w:pStyle w:val="ListParagraph"/>
        <w:numPr>
          <w:ilvl w:val="1"/>
          <w:numId w:val="34"/>
        </w:numPr>
        <w:tabs>
          <w:tab w:val="left" w:pos="567"/>
        </w:tabs>
        <w:spacing w:after="120" w:line="240" w:lineRule="auto"/>
        <w:ind w:left="567" w:hanging="567"/>
        <w:contextualSpacing w:val="0"/>
        <w:rPr>
          <w:color w:val="auto"/>
          <w:sz w:val="22"/>
          <w:szCs w:val="22"/>
        </w:rPr>
      </w:pPr>
      <w:r w:rsidRPr="00FE0EE7">
        <w:rPr>
          <w:color w:val="auto"/>
          <w:sz w:val="22"/>
          <w:szCs w:val="22"/>
        </w:rPr>
        <w:t>The anticipated production profile</w:t>
      </w:r>
      <w:r w:rsidR="00126813" w:rsidRPr="00FE0EE7">
        <w:rPr>
          <w:color w:val="auto"/>
          <w:sz w:val="22"/>
          <w:szCs w:val="22"/>
        </w:rPr>
        <w:t>,</w:t>
      </w:r>
      <w:r w:rsidRPr="00FE0EE7">
        <w:rPr>
          <w:color w:val="auto"/>
          <w:sz w:val="22"/>
          <w:szCs w:val="22"/>
        </w:rPr>
        <w:t xml:space="preserve"> </w:t>
      </w:r>
      <w:r w:rsidR="00126813" w:rsidRPr="00FE0EE7">
        <w:rPr>
          <w:color w:val="auto"/>
          <w:sz w:val="22"/>
          <w:szCs w:val="22"/>
        </w:rPr>
        <w:t xml:space="preserve">with a breakdown into gas, condensate, and oil phases </w:t>
      </w:r>
      <w:r w:rsidRPr="00FE0EE7">
        <w:rPr>
          <w:color w:val="auto"/>
          <w:sz w:val="22"/>
          <w:szCs w:val="22"/>
        </w:rPr>
        <w:t>for each level of certainty</w:t>
      </w:r>
      <w:r w:rsidR="00126813" w:rsidRPr="00FE0EE7">
        <w:rPr>
          <w:color w:val="auto"/>
          <w:sz w:val="22"/>
          <w:szCs w:val="22"/>
        </w:rPr>
        <w:t>,</w:t>
      </w:r>
      <w:r w:rsidRPr="00FE0EE7">
        <w:rPr>
          <w:color w:val="auto"/>
          <w:sz w:val="22"/>
          <w:szCs w:val="22"/>
        </w:rPr>
        <w:t xml:space="preserve"> should be provided and presented gra</w:t>
      </w:r>
      <w:r w:rsidR="008B1BCC" w:rsidRPr="00FE0EE7">
        <w:rPr>
          <w:color w:val="auto"/>
          <w:sz w:val="22"/>
          <w:szCs w:val="22"/>
        </w:rPr>
        <w:t>phically and in a tabular form.</w:t>
      </w:r>
      <w:r w:rsidR="00126813" w:rsidRPr="00FE0EE7">
        <w:rPr>
          <w:color w:val="auto"/>
          <w:sz w:val="22"/>
          <w:szCs w:val="22"/>
        </w:rPr>
        <w:t xml:space="preserve"> Tables should be submitted in digital format (e.g. comma-separated values).</w:t>
      </w:r>
    </w:p>
    <w:p w14:paraId="6EE4100B" w14:textId="77777777" w:rsidR="008B1BCC" w:rsidRPr="00FE0EE7" w:rsidRDefault="00FE584F" w:rsidP="00FE0EE7">
      <w:pPr>
        <w:pStyle w:val="ListParagraph"/>
        <w:numPr>
          <w:ilvl w:val="1"/>
          <w:numId w:val="34"/>
        </w:numPr>
        <w:tabs>
          <w:tab w:val="left" w:pos="567"/>
        </w:tabs>
        <w:spacing w:line="240" w:lineRule="auto"/>
        <w:ind w:left="567" w:hanging="567"/>
        <w:rPr>
          <w:color w:val="auto"/>
          <w:sz w:val="22"/>
          <w:szCs w:val="22"/>
        </w:rPr>
      </w:pPr>
      <w:r w:rsidRPr="00FE0EE7">
        <w:rPr>
          <w:color w:val="auto"/>
          <w:sz w:val="22"/>
          <w:szCs w:val="22"/>
        </w:rPr>
        <w:t>If these estimates differ from resource estimates previously provided to NOPTA, an explanation should be included for the difference.</w:t>
      </w:r>
    </w:p>
    <w:p w14:paraId="3E485C7D" w14:textId="77777777" w:rsidR="008B1BCC" w:rsidRPr="00FE0EE7" w:rsidRDefault="008B1BCC" w:rsidP="00FE0EE7">
      <w:pPr>
        <w:tabs>
          <w:tab w:val="left" w:pos="567"/>
        </w:tabs>
        <w:spacing w:line="240" w:lineRule="auto"/>
        <w:rPr>
          <w:color w:val="auto"/>
          <w:sz w:val="22"/>
          <w:szCs w:val="22"/>
        </w:rPr>
      </w:pPr>
    </w:p>
    <w:p w14:paraId="32131357" w14:textId="77777777" w:rsidR="007511BF" w:rsidRDefault="007511BF">
      <w:pPr>
        <w:spacing w:line="240" w:lineRule="auto"/>
        <w:rPr>
          <w:color w:val="auto"/>
          <w:sz w:val="22"/>
          <w:szCs w:val="22"/>
          <w:u w:val="single"/>
        </w:rPr>
      </w:pPr>
      <w:r>
        <w:rPr>
          <w:color w:val="auto"/>
          <w:sz w:val="22"/>
          <w:szCs w:val="22"/>
          <w:u w:val="single"/>
        </w:rPr>
        <w:br w:type="page"/>
      </w:r>
    </w:p>
    <w:p w14:paraId="791104B1" w14:textId="389B1F78" w:rsidR="008B1BCC" w:rsidRPr="00FE0EE7" w:rsidRDefault="008B1BCC" w:rsidP="00D553D5">
      <w:pPr>
        <w:pStyle w:val="Heading4"/>
      </w:pPr>
      <w:r w:rsidRPr="00FE0EE7">
        <w:lastRenderedPageBreak/>
        <w:t>Commerciality</w:t>
      </w:r>
    </w:p>
    <w:p w14:paraId="1CEDFFFA" w14:textId="77777777" w:rsidR="008B1BCC" w:rsidRPr="00FE0EE7" w:rsidRDefault="00FE584F" w:rsidP="00FE0EE7">
      <w:pPr>
        <w:pStyle w:val="ListParagraph"/>
        <w:numPr>
          <w:ilvl w:val="1"/>
          <w:numId w:val="34"/>
        </w:numPr>
        <w:tabs>
          <w:tab w:val="left" w:pos="567"/>
        </w:tabs>
        <w:spacing w:after="120" w:line="240" w:lineRule="auto"/>
        <w:ind w:left="567" w:hanging="567"/>
        <w:contextualSpacing w:val="0"/>
        <w:rPr>
          <w:color w:val="auto"/>
          <w:sz w:val="22"/>
          <w:szCs w:val="22"/>
        </w:rPr>
      </w:pPr>
      <w:r w:rsidRPr="00FE0EE7">
        <w:rPr>
          <w:color w:val="auto"/>
          <w:sz w:val="22"/>
          <w:szCs w:val="22"/>
        </w:rPr>
        <w:t>The application should provide a clear, detailed discussion of the barriers that are currently presenting an impediment to the recovery of petroleum from the block(s), and what is required in order to overcome those identified barriers to commerciality.</w:t>
      </w:r>
    </w:p>
    <w:p w14:paraId="7181CF17" w14:textId="77777777" w:rsidR="006E437F" w:rsidRPr="00FE0EE7" w:rsidRDefault="00FE584F" w:rsidP="00FE0EE7">
      <w:pPr>
        <w:pStyle w:val="ListParagraph"/>
        <w:numPr>
          <w:ilvl w:val="1"/>
          <w:numId w:val="34"/>
        </w:numPr>
        <w:tabs>
          <w:tab w:val="left" w:pos="567"/>
        </w:tabs>
        <w:spacing w:after="120" w:line="240" w:lineRule="auto"/>
        <w:ind w:left="567" w:hanging="567"/>
        <w:contextualSpacing w:val="0"/>
        <w:rPr>
          <w:color w:val="auto"/>
          <w:sz w:val="22"/>
          <w:szCs w:val="22"/>
        </w:rPr>
      </w:pPr>
      <w:r w:rsidRPr="00FE0EE7">
        <w:rPr>
          <w:color w:val="auto"/>
          <w:sz w:val="22"/>
          <w:szCs w:val="22"/>
        </w:rPr>
        <w:t>An application should identify the critical factors which would make the relevant discovery commercially viable and address their likelihood of occurrence.  Any factors which are critical to the assessment of commercial viability should be discussed in detail. The details should include:</w:t>
      </w:r>
    </w:p>
    <w:p w14:paraId="1BF2AB2E" w14:textId="77777777" w:rsidR="006E437F" w:rsidRPr="00FE0EE7" w:rsidRDefault="008B1BCC" w:rsidP="00FE0EE7">
      <w:pPr>
        <w:pStyle w:val="ListParagraph"/>
        <w:numPr>
          <w:ilvl w:val="2"/>
          <w:numId w:val="34"/>
        </w:numPr>
        <w:tabs>
          <w:tab w:val="left" w:pos="567"/>
        </w:tabs>
        <w:spacing w:after="120" w:line="240" w:lineRule="auto"/>
        <w:ind w:left="1418" w:hanging="851"/>
        <w:contextualSpacing w:val="0"/>
        <w:rPr>
          <w:color w:val="auto"/>
          <w:sz w:val="22"/>
          <w:szCs w:val="22"/>
        </w:rPr>
      </w:pPr>
      <w:r w:rsidRPr="00FE0EE7">
        <w:rPr>
          <w:color w:val="auto"/>
          <w:sz w:val="22"/>
          <w:szCs w:val="22"/>
        </w:rPr>
        <w:t>particulars of expected changes to the details provided above which are likely to make development of the discovery commercially viable within 15 years;</w:t>
      </w:r>
    </w:p>
    <w:p w14:paraId="479DC712" w14:textId="77777777" w:rsidR="006E437F" w:rsidRPr="00FE0EE7" w:rsidRDefault="008B1BCC" w:rsidP="00FE0EE7">
      <w:pPr>
        <w:pStyle w:val="ListParagraph"/>
        <w:numPr>
          <w:ilvl w:val="2"/>
          <w:numId w:val="34"/>
        </w:numPr>
        <w:tabs>
          <w:tab w:val="left" w:pos="567"/>
        </w:tabs>
        <w:spacing w:after="120" w:line="240" w:lineRule="auto"/>
        <w:ind w:left="1418" w:hanging="851"/>
        <w:contextualSpacing w:val="0"/>
        <w:rPr>
          <w:color w:val="auto"/>
          <w:sz w:val="22"/>
          <w:szCs w:val="22"/>
        </w:rPr>
      </w:pPr>
      <w:r w:rsidRPr="00FE0EE7">
        <w:rPr>
          <w:color w:val="auto"/>
          <w:sz w:val="22"/>
          <w:szCs w:val="22"/>
        </w:rPr>
        <w:t xml:space="preserve">such other matters or information the applicant wishes to be </w:t>
      </w:r>
      <w:proofErr w:type="gramStart"/>
      <w:r w:rsidRPr="00FE0EE7">
        <w:rPr>
          <w:color w:val="auto"/>
          <w:sz w:val="22"/>
          <w:szCs w:val="22"/>
        </w:rPr>
        <w:t>taken into account</w:t>
      </w:r>
      <w:proofErr w:type="gramEnd"/>
      <w:r w:rsidRPr="00FE0EE7">
        <w:rPr>
          <w:color w:val="auto"/>
          <w:sz w:val="22"/>
          <w:szCs w:val="22"/>
        </w:rPr>
        <w:t xml:space="preserve"> in the application, including research and development of relevant technology; and</w:t>
      </w:r>
    </w:p>
    <w:p w14:paraId="0AEAE2B2" w14:textId="77777777" w:rsidR="008B1BCC" w:rsidRPr="00FE0EE7" w:rsidRDefault="008B1BCC" w:rsidP="00FE0EE7">
      <w:pPr>
        <w:pStyle w:val="ListParagraph"/>
        <w:numPr>
          <w:ilvl w:val="2"/>
          <w:numId w:val="34"/>
        </w:numPr>
        <w:tabs>
          <w:tab w:val="left" w:pos="567"/>
        </w:tabs>
        <w:spacing w:after="120" w:line="240" w:lineRule="auto"/>
        <w:ind w:left="1418" w:hanging="851"/>
        <w:contextualSpacing w:val="0"/>
        <w:rPr>
          <w:color w:val="auto"/>
          <w:sz w:val="22"/>
          <w:szCs w:val="22"/>
        </w:rPr>
      </w:pPr>
      <w:r w:rsidRPr="00FE0EE7">
        <w:rPr>
          <w:color w:val="auto"/>
          <w:sz w:val="22"/>
          <w:szCs w:val="22"/>
        </w:rPr>
        <w:t>evidence that such changes would be sufficient to make the project viable.</w:t>
      </w:r>
    </w:p>
    <w:p w14:paraId="70078261" w14:textId="77777777" w:rsidR="00346896" w:rsidRPr="00FE0EE7" w:rsidRDefault="00FE584F" w:rsidP="00FE0EE7">
      <w:pPr>
        <w:pStyle w:val="ListParagraph"/>
        <w:numPr>
          <w:ilvl w:val="1"/>
          <w:numId w:val="34"/>
        </w:numPr>
        <w:tabs>
          <w:tab w:val="left" w:pos="567"/>
        </w:tabs>
        <w:spacing w:after="120" w:line="240" w:lineRule="auto"/>
        <w:ind w:left="567" w:hanging="567"/>
        <w:contextualSpacing w:val="0"/>
        <w:rPr>
          <w:color w:val="auto"/>
          <w:sz w:val="22"/>
          <w:szCs w:val="22"/>
        </w:rPr>
      </w:pPr>
      <w:r w:rsidRPr="00FE0EE7">
        <w:rPr>
          <w:color w:val="auto"/>
          <w:sz w:val="22"/>
          <w:szCs w:val="22"/>
        </w:rPr>
        <w:t xml:space="preserve">Applicants should </w:t>
      </w:r>
      <w:r w:rsidR="00126813" w:rsidRPr="00FE0EE7">
        <w:rPr>
          <w:color w:val="auto"/>
          <w:sz w:val="22"/>
          <w:szCs w:val="22"/>
        </w:rPr>
        <w:t>use 2C/</w:t>
      </w:r>
      <w:r w:rsidRPr="00FE0EE7">
        <w:rPr>
          <w:color w:val="auto"/>
          <w:sz w:val="22"/>
          <w:szCs w:val="22"/>
        </w:rPr>
        <w:t xml:space="preserve">P50 </w:t>
      </w:r>
      <w:r w:rsidR="00126813" w:rsidRPr="00FE0EE7">
        <w:rPr>
          <w:color w:val="auto"/>
          <w:sz w:val="22"/>
          <w:szCs w:val="22"/>
        </w:rPr>
        <w:t xml:space="preserve">recoverable </w:t>
      </w:r>
      <w:r w:rsidRPr="00FE0EE7">
        <w:rPr>
          <w:color w:val="auto"/>
          <w:sz w:val="22"/>
          <w:szCs w:val="22"/>
        </w:rPr>
        <w:t>hydrocarbon volumetric estimates when undert</w:t>
      </w:r>
      <w:r w:rsidR="00346896" w:rsidRPr="00FE0EE7">
        <w:rPr>
          <w:color w:val="auto"/>
          <w:sz w:val="22"/>
          <w:szCs w:val="22"/>
        </w:rPr>
        <w:t>aking the commercial analyses.</w:t>
      </w:r>
    </w:p>
    <w:p w14:paraId="6B21BA86" w14:textId="77777777" w:rsidR="00346896" w:rsidRPr="00FE0EE7" w:rsidRDefault="00FE584F" w:rsidP="00FE0EE7">
      <w:pPr>
        <w:pStyle w:val="ListParagraph"/>
        <w:numPr>
          <w:ilvl w:val="1"/>
          <w:numId w:val="34"/>
        </w:numPr>
        <w:tabs>
          <w:tab w:val="left" w:pos="567"/>
        </w:tabs>
        <w:spacing w:after="120" w:line="240" w:lineRule="auto"/>
        <w:ind w:left="567" w:hanging="567"/>
        <w:contextualSpacing w:val="0"/>
        <w:rPr>
          <w:color w:val="auto"/>
          <w:sz w:val="22"/>
          <w:szCs w:val="22"/>
        </w:rPr>
      </w:pPr>
      <w:r w:rsidRPr="00FE0EE7">
        <w:rPr>
          <w:color w:val="auto"/>
          <w:sz w:val="22"/>
          <w:szCs w:val="22"/>
        </w:rPr>
        <w:t xml:space="preserve">Where for reasons of commercial propriety it is not possible for a consortium </w:t>
      </w:r>
      <w:r w:rsidR="00126813" w:rsidRPr="00FE0EE7">
        <w:rPr>
          <w:color w:val="auto"/>
          <w:sz w:val="22"/>
          <w:szCs w:val="22"/>
        </w:rPr>
        <w:t xml:space="preserve">(e.g. a Joint Venture) </w:t>
      </w:r>
      <w:r w:rsidRPr="00FE0EE7">
        <w:rPr>
          <w:color w:val="auto"/>
          <w:sz w:val="22"/>
          <w:szCs w:val="22"/>
        </w:rPr>
        <w:t>to provide commonly agreed estimates of, for example, project revenues and rate or return, the applicant may provide its estimates, or separate data may be provided by individual members of a joint venture, on an in confidence basis.</w:t>
      </w:r>
    </w:p>
    <w:p w14:paraId="07FD871E" w14:textId="77777777" w:rsidR="00346896" w:rsidRPr="00FE0EE7" w:rsidRDefault="00FE584F" w:rsidP="00FE0EE7">
      <w:pPr>
        <w:pStyle w:val="ListParagraph"/>
        <w:numPr>
          <w:ilvl w:val="1"/>
          <w:numId w:val="34"/>
        </w:numPr>
        <w:tabs>
          <w:tab w:val="left" w:pos="567"/>
        </w:tabs>
        <w:spacing w:after="120" w:line="240" w:lineRule="auto"/>
        <w:ind w:left="567" w:hanging="567"/>
        <w:contextualSpacing w:val="0"/>
        <w:rPr>
          <w:color w:val="auto"/>
          <w:sz w:val="22"/>
          <w:szCs w:val="22"/>
        </w:rPr>
      </w:pPr>
      <w:r w:rsidRPr="00FE0EE7">
        <w:rPr>
          <w:color w:val="auto"/>
          <w:sz w:val="22"/>
          <w:szCs w:val="22"/>
        </w:rPr>
        <w:t xml:space="preserve">An analysis of commercial viability should include the assumptions, methodology and conclusions reached by the applicant. This analysis should </w:t>
      </w:r>
      <w:r w:rsidR="00126813" w:rsidRPr="00FE0EE7">
        <w:rPr>
          <w:color w:val="auto"/>
          <w:sz w:val="22"/>
          <w:szCs w:val="22"/>
        </w:rPr>
        <w:t xml:space="preserve">be consistent across concepts, </w:t>
      </w:r>
      <w:r w:rsidRPr="00FE0EE7">
        <w:rPr>
          <w:color w:val="auto"/>
          <w:sz w:val="22"/>
          <w:szCs w:val="22"/>
        </w:rPr>
        <w:t>provide sufficient information to demonstrate that the assumptions and methodology are realistic and lead to a likely outcome, or if app</w:t>
      </w:r>
      <w:r w:rsidR="00346896" w:rsidRPr="00FE0EE7">
        <w:rPr>
          <w:color w:val="auto"/>
          <w:sz w:val="22"/>
          <w:szCs w:val="22"/>
        </w:rPr>
        <w:t>ropriate, a range of outcomes.</w:t>
      </w:r>
    </w:p>
    <w:p w14:paraId="243534AF" w14:textId="77777777" w:rsidR="00346896" w:rsidRPr="00FE0EE7" w:rsidRDefault="00FE584F" w:rsidP="00FE0EE7">
      <w:pPr>
        <w:pStyle w:val="ListParagraph"/>
        <w:numPr>
          <w:ilvl w:val="1"/>
          <w:numId w:val="34"/>
        </w:numPr>
        <w:tabs>
          <w:tab w:val="left" w:pos="567"/>
        </w:tabs>
        <w:spacing w:after="120" w:line="240" w:lineRule="auto"/>
        <w:ind w:left="567" w:hanging="567"/>
        <w:contextualSpacing w:val="0"/>
        <w:rPr>
          <w:color w:val="auto"/>
          <w:sz w:val="22"/>
          <w:szCs w:val="22"/>
        </w:rPr>
      </w:pPr>
      <w:r w:rsidRPr="00FE0EE7">
        <w:rPr>
          <w:color w:val="auto"/>
          <w:sz w:val="22"/>
          <w:szCs w:val="22"/>
        </w:rPr>
        <w:t xml:space="preserve">The impact of alternative development </w:t>
      </w:r>
      <w:r w:rsidR="00126813" w:rsidRPr="00FE0EE7">
        <w:rPr>
          <w:color w:val="auto"/>
          <w:sz w:val="22"/>
          <w:szCs w:val="22"/>
        </w:rPr>
        <w:t xml:space="preserve">concepts </w:t>
      </w:r>
      <w:r w:rsidRPr="00FE0EE7">
        <w:rPr>
          <w:color w:val="auto"/>
          <w:sz w:val="22"/>
          <w:szCs w:val="22"/>
        </w:rPr>
        <w:t xml:space="preserve">should also be identified and assessed. Factors </w:t>
      </w:r>
      <w:r w:rsidR="00126813" w:rsidRPr="00FE0EE7">
        <w:rPr>
          <w:color w:val="auto"/>
          <w:sz w:val="22"/>
          <w:szCs w:val="22"/>
        </w:rPr>
        <w:t xml:space="preserve">and assumptions </w:t>
      </w:r>
      <w:r w:rsidRPr="00FE0EE7">
        <w:rPr>
          <w:color w:val="auto"/>
          <w:sz w:val="22"/>
          <w:szCs w:val="22"/>
        </w:rPr>
        <w:t>which particularly impact on commercial viability (sensitivities) should be clearly identified and discussed. For example, a large possible range of development costs due to technical challenges, or dependence on access to third party infrastructure.</w:t>
      </w:r>
    </w:p>
    <w:p w14:paraId="2832EC8D" w14:textId="77777777" w:rsidR="00346896" w:rsidRPr="00FE0EE7" w:rsidRDefault="00FE584F" w:rsidP="00FE0EE7">
      <w:pPr>
        <w:pStyle w:val="ListParagraph"/>
        <w:numPr>
          <w:ilvl w:val="1"/>
          <w:numId w:val="34"/>
        </w:numPr>
        <w:tabs>
          <w:tab w:val="left" w:pos="567"/>
        </w:tabs>
        <w:spacing w:after="120" w:line="240" w:lineRule="auto"/>
        <w:ind w:left="567" w:hanging="567"/>
        <w:contextualSpacing w:val="0"/>
        <w:rPr>
          <w:color w:val="auto"/>
          <w:sz w:val="22"/>
          <w:szCs w:val="22"/>
        </w:rPr>
      </w:pPr>
      <w:r w:rsidRPr="00FE0EE7">
        <w:rPr>
          <w:color w:val="auto"/>
          <w:sz w:val="22"/>
          <w:szCs w:val="22"/>
        </w:rPr>
        <w:t>NOPTA will analyse the extent to which there are reasonable grounds for adopting alternative assumptions and methodologies. Applicants should provide more detailed information to support those parts of the application that are critical to convincing the Joint Authority that the criteria in s142, s148 or s154 can be met.</w:t>
      </w:r>
    </w:p>
    <w:p w14:paraId="44A9A1EF" w14:textId="77777777" w:rsidR="00346896" w:rsidRPr="00FE0EE7" w:rsidRDefault="00FE584F" w:rsidP="00FE0EE7">
      <w:pPr>
        <w:pStyle w:val="ListParagraph"/>
        <w:numPr>
          <w:ilvl w:val="1"/>
          <w:numId w:val="34"/>
        </w:numPr>
        <w:tabs>
          <w:tab w:val="left" w:pos="567"/>
        </w:tabs>
        <w:spacing w:after="120" w:line="240" w:lineRule="auto"/>
        <w:ind w:left="567" w:hanging="567"/>
        <w:contextualSpacing w:val="0"/>
        <w:rPr>
          <w:color w:val="auto"/>
          <w:sz w:val="22"/>
          <w:szCs w:val="22"/>
        </w:rPr>
      </w:pPr>
      <w:r w:rsidRPr="00FE0EE7">
        <w:rPr>
          <w:color w:val="auto"/>
          <w:sz w:val="22"/>
          <w:szCs w:val="22"/>
        </w:rPr>
        <w:t>Applications should also identify the conditions required to commercialise a field and address their likelihood of occurrence and indicative timeframes (e.g. technical appraisals, market conditio</w:t>
      </w:r>
      <w:r w:rsidR="00346896" w:rsidRPr="00FE0EE7">
        <w:rPr>
          <w:color w:val="auto"/>
          <w:sz w:val="22"/>
          <w:szCs w:val="22"/>
        </w:rPr>
        <w:t>ns or supporting developments).</w:t>
      </w:r>
    </w:p>
    <w:p w14:paraId="3AB616F4" w14:textId="77777777" w:rsidR="008C2AA2" w:rsidRPr="00FE0EE7" w:rsidRDefault="008C2AA2" w:rsidP="00FE0EE7">
      <w:pPr>
        <w:pStyle w:val="ListParagraph"/>
        <w:numPr>
          <w:ilvl w:val="1"/>
          <w:numId w:val="34"/>
        </w:numPr>
        <w:tabs>
          <w:tab w:val="left" w:pos="567"/>
        </w:tabs>
        <w:spacing w:line="240" w:lineRule="auto"/>
        <w:ind w:left="567" w:hanging="567"/>
        <w:rPr>
          <w:color w:val="auto"/>
          <w:sz w:val="22"/>
          <w:szCs w:val="22"/>
        </w:rPr>
      </w:pPr>
      <w:r w:rsidRPr="00FE0EE7">
        <w:rPr>
          <w:color w:val="auto"/>
          <w:sz w:val="22"/>
          <w:szCs w:val="22"/>
        </w:rPr>
        <w:t xml:space="preserve">Where the commercial viability is dependent upon securing customers for gas off-take, </w:t>
      </w:r>
      <w:r w:rsidR="00EE5C7C" w:rsidRPr="00FE0EE7">
        <w:rPr>
          <w:color w:val="auto"/>
          <w:sz w:val="22"/>
          <w:szCs w:val="22"/>
        </w:rPr>
        <w:t>a</w:t>
      </w:r>
      <w:r w:rsidRPr="00FE0EE7">
        <w:rPr>
          <w:color w:val="auto"/>
          <w:sz w:val="22"/>
          <w:szCs w:val="22"/>
        </w:rPr>
        <w:t>pplicants should provide evidence of efforts made to obtain contracts for the sale of non-liquids, including any information on approaches by third parties to purchase gas, engagements with potential buyers and reasons for not proceeding.</w:t>
      </w:r>
    </w:p>
    <w:p w14:paraId="769B7344" w14:textId="77777777" w:rsidR="00AF26AF" w:rsidRPr="00FE0EE7" w:rsidRDefault="00AF26AF" w:rsidP="00FE0EE7">
      <w:pPr>
        <w:tabs>
          <w:tab w:val="left" w:pos="567"/>
        </w:tabs>
        <w:spacing w:line="240" w:lineRule="auto"/>
        <w:rPr>
          <w:color w:val="auto"/>
          <w:sz w:val="22"/>
          <w:szCs w:val="22"/>
          <w:u w:val="single"/>
        </w:rPr>
      </w:pPr>
    </w:p>
    <w:p w14:paraId="44A1F5BC" w14:textId="77777777" w:rsidR="00346896" w:rsidRPr="00FE0EE7" w:rsidRDefault="00346896" w:rsidP="00D553D5">
      <w:pPr>
        <w:pStyle w:val="Heading4"/>
      </w:pPr>
      <w:r w:rsidRPr="00FE0EE7">
        <w:t>Project Economics</w:t>
      </w:r>
    </w:p>
    <w:p w14:paraId="145CF4DB" w14:textId="77777777" w:rsidR="008C2AA2" w:rsidRPr="00FE0EE7" w:rsidRDefault="00FE584F" w:rsidP="00FE0EE7">
      <w:pPr>
        <w:pStyle w:val="ListParagraph"/>
        <w:numPr>
          <w:ilvl w:val="1"/>
          <w:numId w:val="34"/>
        </w:numPr>
        <w:tabs>
          <w:tab w:val="left" w:pos="567"/>
        </w:tabs>
        <w:spacing w:after="120" w:line="240" w:lineRule="auto"/>
        <w:ind w:left="567" w:hanging="567"/>
        <w:contextualSpacing w:val="0"/>
        <w:rPr>
          <w:color w:val="auto"/>
          <w:sz w:val="22"/>
          <w:szCs w:val="22"/>
        </w:rPr>
      </w:pPr>
      <w:r w:rsidRPr="00FE0EE7">
        <w:rPr>
          <w:color w:val="auto"/>
          <w:sz w:val="22"/>
          <w:szCs w:val="22"/>
        </w:rPr>
        <w:t xml:space="preserve">Cash flows for each viable development option should be provided based on </w:t>
      </w:r>
      <w:r w:rsidR="00126813" w:rsidRPr="00FE0EE7">
        <w:rPr>
          <w:color w:val="auto"/>
          <w:sz w:val="22"/>
          <w:szCs w:val="22"/>
        </w:rPr>
        <w:t>2C/</w:t>
      </w:r>
      <w:r w:rsidRPr="00FE0EE7">
        <w:rPr>
          <w:color w:val="auto"/>
          <w:sz w:val="22"/>
          <w:szCs w:val="22"/>
        </w:rPr>
        <w:t>P50</w:t>
      </w:r>
      <w:r w:rsidR="00854F4B" w:rsidRPr="00FE0EE7">
        <w:rPr>
          <w:color w:val="auto"/>
          <w:sz w:val="22"/>
          <w:szCs w:val="22"/>
        </w:rPr>
        <w:t xml:space="preserve"> (</w:t>
      </w:r>
      <w:r w:rsidR="00245DEE" w:rsidRPr="00FE0EE7">
        <w:rPr>
          <w:color w:val="auto"/>
          <w:sz w:val="22"/>
          <w:szCs w:val="22"/>
        </w:rPr>
        <w:t xml:space="preserve">proved and </w:t>
      </w:r>
      <w:r w:rsidR="00854F4B" w:rsidRPr="00FE0EE7">
        <w:rPr>
          <w:color w:val="auto"/>
          <w:sz w:val="22"/>
          <w:szCs w:val="22"/>
        </w:rPr>
        <w:t>probable)</w:t>
      </w:r>
      <w:r w:rsidRPr="00FE0EE7">
        <w:rPr>
          <w:color w:val="auto"/>
          <w:sz w:val="22"/>
          <w:szCs w:val="22"/>
        </w:rPr>
        <w:t xml:space="preserve"> </w:t>
      </w:r>
      <w:r w:rsidR="008C2AA2" w:rsidRPr="00FE0EE7">
        <w:rPr>
          <w:color w:val="auto"/>
          <w:sz w:val="22"/>
          <w:szCs w:val="22"/>
        </w:rPr>
        <w:t xml:space="preserve">resource estimates </w:t>
      </w:r>
      <w:r w:rsidRPr="00FE0EE7">
        <w:rPr>
          <w:color w:val="auto"/>
          <w:sz w:val="22"/>
          <w:szCs w:val="22"/>
        </w:rPr>
        <w:t xml:space="preserve">and current P50 estimates of capital expenditure. </w:t>
      </w:r>
    </w:p>
    <w:p w14:paraId="4D2A3AF1" w14:textId="77777777" w:rsidR="008C2AA2" w:rsidRPr="00FE0EE7" w:rsidRDefault="008C2AA2" w:rsidP="00FE0EE7">
      <w:pPr>
        <w:pStyle w:val="ListParagraph"/>
        <w:numPr>
          <w:ilvl w:val="1"/>
          <w:numId w:val="34"/>
        </w:numPr>
        <w:tabs>
          <w:tab w:val="left" w:pos="567"/>
        </w:tabs>
        <w:spacing w:after="120" w:line="240" w:lineRule="auto"/>
        <w:ind w:left="567" w:hanging="567"/>
        <w:contextualSpacing w:val="0"/>
        <w:rPr>
          <w:color w:val="auto"/>
          <w:sz w:val="22"/>
          <w:szCs w:val="22"/>
        </w:rPr>
      </w:pPr>
      <w:r w:rsidRPr="00FE0EE7">
        <w:rPr>
          <w:color w:val="auto"/>
          <w:sz w:val="22"/>
          <w:szCs w:val="22"/>
        </w:rPr>
        <w:t xml:space="preserve">Where an applicant relies on </w:t>
      </w:r>
      <w:r w:rsidR="00EF26AE" w:rsidRPr="00FE0EE7">
        <w:rPr>
          <w:color w:val="auto"/>
          <w:sz w:val="22"/>
          <w:szCs w:val="22"/>
        </w:rPr>
        <w:t>scenarios based on other levels of probability (e</w:t>
      </w:r>
      <w:r w:rsidR="00527A7D" w:rsidRPr="00FE0EE7">
        <w:rPr>
          <w:color w:val="auto"/>
          <w:sz w:val="22"/>
          <w:szCs w:val="22"/>
        </w:rPr>
        <w:t>.</w:t>
      </w:r>
      <w:r w:rsidR="00EF26AE" w:rsidRPr="00FE0EE7">
        <w:rPr>
          <w:color w:val="auto"/>
          <w:sz w:val="22"/>
          <w:szCs w:val="22"/>
        </w:rPr>
        <w:t>g</w:t>
      </w:r>
      <w:r w:rsidR="00527A7D" w:rsidRPr="00FE0EE7">
        <w:rPr>
          <w:color w:val="auto"/>
          <w:sz w:val="22"/>
          <w:szCs w:val="22"/>
        </w:rPr>
        <w:t>.</w:t>
      </w:r>
      <w:r w:rsidR="00EF26AE" w:rsidRPr="00FE0EE7">
        <w:rPr>
          <w:color w:val="auto"/>
          <w:sz w:val="22"/>
          <w:szCs w:val="22"/>
        </w:rPr>
        <w:t xml:space="preserve"> 1C/P90 &amp; 3C/P10) cash flows for relevant development options should also be provided.</w:t>
      </w:r>
    </w:p>
    <w:p w14:paraId="5AF98E76" w14:textId="77777777" w:rsidR="007511BF" w:rsidRDefault="007511BF">
      <w:pPr>
        <w:spacing w:line="240" w:lineRule="auto"/>
        <w:rPr>
          <w:color w:val="auto"/>
          <w:sz w:val="22"/>
          <w:szCs w:val="22"/>
        </w:rPr>
      </w:pPr>
      <w:r>
        <w:rPr>
          <w:color w:val="auto"/>
          <w:sz w:val="22"/>
          <w:szCs w:val="22"/>
        </w:rPr>
        <w:br w:type="page"/>
      </w:r>
    </w:p>
    <w:p w14:paraId="68241108" w14:textId="20D9B4CB" w:rsidR="00FE584F" w:rsidRPr="00FE0EE7" w:rsidRDefault="00FE584F" w:rsidP="00FE0EE7">
      <w:pPr>
        <w:pStyle w:val="ListParagraph"/>
        <w:numPr>
          <w:ilvl w:val="1"/>
          <w:numId w:val="34"/>
        </w:numPr>
        <w:tabs>
          <w:tab w:val="left" w:pos="567"/>
        </w:tabs>
        <w:spacing w:after="120" w:line="240" w:lineRule="auto"/>
        <w:ind w:left="567" w:hanging="567"/>
        <w:contextualSpacing w:val="0"/>
        <w:rPr>
          <w:color w:val="auto"/>
          <w:sz w:val="22"/>
          <w:szCs w:val="22"/>
        </w:rPr>
      </w:pPr>
      <w:r w:rsidRPr="00FE0EE7">
        <w:rPr>
          <w:color w:val="auto"/>
          <w:sz w:val="22"/>
          <w:szCs w:val="22"/>
        </w:rPr>
        <w:lastRenderedPageBreak/>
        <w:t xml:space="preserve">The following data, where applicable, should be provided for each year of the project in real Australian dollars: </w:t>
      </w:r>
    </w:p>
    <w:tbl>
      <w:tblPr>
        <w:tblW w:w="8639" w:type="dxa"/>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850"/>
        <w:gridCol w:w="850"/>
        <w:gridCol w:w="850"/>
        <w:gridCol w:w="850"/>
        <w:gridCol w:w="850"/>
        <w:gridCol w:w="850"/>
      </w:tblGrid>
      <w:tr w:rsidR="00B0714C" w:rsidRPr="00FE0EE7" w14:paraId="69689BB1" w14:textId="77777777" w:rsidTr="00D553D5">
        <w:trPr>
          <w:tblHeader/>
        </w:trPr>
        <w:tc>
          <w:tcPr>
            <w:tcW w:w="3539" w:type="dxa"/>
            <w:shd w:val="clear" w:color="auto" w:fill="auto"/>
          </w:tcPr>
          <w:p w14:paraId="4AAE45CF" w14:textId="77777777" w:rsidR="00346896" w:rsidRPr="00FE0EE7" w:rsidRDefault="00346896" w:rsidP="00346896">
            <w:pPr>
              <w:tabs>
                <w:tab w:val="left" w:pos="567"/>
              </w:tabs>
              <w:rPr>
                <w:color w:val="auto"/>
                <w:sz w:val="20"/>
                <w:szCs w:val="20"/>
                <w:lang w:val="en-US"/>
              </w:rPr>
            </w:pPr>
            <w:r w:rsidRPr="00FE0EE7">
              <w:rPr>
                <w:color w:val="auto"/>
                <w:sz w:val="20"/>
                <w:szCs w:val="20"/>
                <w:lang w:val="en-US"/>
              </w:rPr>
              <w:t>Year</w:t>
            </w:r>
          </w:p>
        </w:tc>
        <w:tc>
          <w:tcPr>
            <w:tcW w:w="850" w:type="dxa"/>
            <w:shd w:val="clear" w:color="auto" w:fill="auto"/>
          </w:tcPr>
          <w:p w14:paraId="1AB8F13D" w14:textId="77777777" w:rsidR="00346896" w:rsidRPr="00FE0EE7" w:rsidRDefault="00346896" w:rsidP="00346896">
            <w:pPr>
              <w:tabs>
                <w:tab w:val="left" w:pos="567"/>
              </w:tabs>
              <w:rPr>
                <w:color w:val="auto"/>
                <w:sz w:val="20"/>
                <w:szCs w:val="20"/>
                <w:lang w:val="en-US"/>
              </w:rPr>
            </w:pPr>
            <w:r w:rsidRPr="00FE0EE7">
              <w:rPr>
                <w:color w:val="auto"/>
                <w:sz w:val="20"/>
                <w:szCs w:val="20"/>
                <w:lang w:val="en-US"/>
              </w:rPr>
              <w:t>20XX</w:t>
            </w:r>
          </w:p>
        </w:tc>
        <w:tc>
          <w:tcPr>
            <w:tcW w:w="850" w:type="dxa"/>
            <w:shd w:val="clear" w:color="auto" w:fill="auto"/>
          </w:tcPr>
          <w:p w14:paraId="440B7F3C" w14:textId="77777777" w:rsidR="00346896" w:rsidRPr="00FE0EE7" w:rsidRDefault="00346896" w:rsidP="00346896">
            <w:pPr>
              <w:tabs>
                <w:tab w:val="left" w:pos="567"/>
              </w:tabs>
              <w:rPr>
                <w:color w:val="auto"/>
                <w:sz w:val="20"/>
                <w:szCs w:val="20"/>
                <w:lang w:val="en-US"/>
              </w:rPr>
            </w:pPr>
            <w:r w:rsidRPr="00FE0EE7">
              <w:rPr>
                <w:color w:val="auto"/>
                <w:sz w:val="20"/>
                <w:szCs w:val="20"/>
                <w:lang w:val="en-US"/>
              </w:rPr>
              <w:t>20XX</w:t>
            </w:r>
          </w:p>
        </w:tc>
        <w:tc>
          <w:tcPr>
            <w:tcW w:w="850" w:type="dxa"/>
            <w:shd w:val="clear" w:color="auto" w:fill="auto"/>
          </w:tcPr>
          <w:p w14:paraId="081D04FB" w14:textId="77777777" w:rsidR="00346896" w:rsidRPr="00FE0EE7" w:rsidRDefault="00346896" w:rsidP="00346896">
            <w:pPr>
              <w:tabs>
                <w:tab w:val="left" w:pos="567"/>
              </w:tabs>
              <w:rPr>
                <w:color w:val="auto"/>
                <w:sz w:val="20"/>
                <w:szCs w:val="20"/>
                <w:lang w:val="en-US"/>
              </w:rPr>
            </w:pPr>
            <w:r w:rsidRPr="00FE0EE7">
              <w:rPr>
                <w:color w:val="auto"/>
                <w:sz w:val="20"/>
                <w:szCs w:val="20"/>
                <w:lang w:val="en-US"/>
              </w:rPr>
              <w:t>20XX</w:t>
            </w:r>
          </w:p>
        </w:tc>
        <w:tc>
          <w:tcPr>
            <w:tcW w:w="850" w:type="dxa"/>
            <w:shd w:val="clear" w:color="auto" w:fill="auto"/>
          </w:tcPr>
          <w:p w14:paraId="5C54BF0A" w14:textId="77777777" w:rsidR="00346896" w:rsidRPr="00FE0EE7" w:rsidRDefault="00346896" w:rsidP="00346896">
            <w:pPr>
              <w:tabs>
                <w:tab w:val="left" w:pos="567"/>
              </w:tabs>
              <w:rPr>
                <w:color w:val="auto"/>
                <w:sz w:val="20"/>
                <w:szCs w:val="20"/>
                <w:lang w:val="en-US"/>
              </w:rPr>
            </w:pPr>
            <w:r w:rsidRPr="00FE0EE7">
              <w:rPr>
                <w:color w:val="auto"/>
                <w:sz w:val="20"/>
                <w:szCs w:val="20"/>
                <w:lang w:val="en-US"/>
              </w:rPr>
              <w:t>20XX</w:t>
            </w:r>
          </w:p>
        </w:tc>
        <w:tc>
          <w:tcPr>
            <w:tcW w:w="850" w:type="dxa"/>
            <w:shd w:val="clear" w:color="auto" w:fill="auto"/>
          </w:tcPr>
          <w:p w14:paraId="3A31C2C4" w14:textId="77777777" w:rsidR="00346896" w:rsidRPr="00FE0EE7" w:rsidRDefault="00346896" w:rsidP="00346896">
            <w:pPr>
              <w:tabs>
                <w:tab w:val="left" w:pos="567"/>
              </w:tabs>
              <w:rPr>
                <w:color w:val="auto"/>
                <w:sz w:val="20"/>
                <w:szCs w:val="20"/>
                <w:lang w:val="en-US"/>
              </w:rPr>
            </w:pPr>
            <w:r w:rsidRPr="00FE0EE7">
              <w:rPr>
                <w:color w:val="auto"/>
                <w:sz w:val="20"/>
                <w:szCs w:val="20"/>
                <w:lang w:val="en-US"/>
              </w:rPr>
              <w:t>20XX</w:t>
            </w:r>
          </w:p>
        </w:tc>
        <w:tc>
          <w:tcPr>
            <w:tcW w:w="850" w:type="dxa"/>
            <w:shd w:val="clear" w:color="auto" w:fill="auto"/>
          </w:tcPr>
          <w:p w14:paraId="2209B4C5" w14:textId="77777777" w:rsidR="00346896" w:rsidRPr="00FE0EE7" w:rsidRDefault="00346896" w:rsidP="00346896">
            <w:pPr>
              <w:tabs>
                <w:tab w:val="left" w:pos="567"/>
              </w:tabs>
              <w:rPr>
                <w:color w:val="auto"/>
                <w:sz w:val="20"/>
                <w:szCs w:val="20"/>
                <w:lang w:val="en-US"/>
              </w:rPr>
            </w:pPr>
            <w:r w:rsidRPr="00FE0EE7">
              <w:rPr>
                <w:color w:val="auto"/>
                <w:sz w:val="20"/>
                <w:szCs w:val="20"/>
                <w:lang w:val="en-US"/>
              </w:rPr>
              <w:t>20XX</w:t>
            </w:r>
          </w:p>
        </w:tc>
      </w:tr>
      <w:tr w:rsidR="00B0714C" w:rsidRPr="00FE0EE7" w14:paraId="60359609" w14:textId="77777777" w:rsidTr="00F75CA2">
        <w:tc>
          <w:tcPr>
            <w:tcW w:w="3539" w:type="dxa"/>
            <w:shd w:val="clear" w:color="auto" w:fill="auto"/>
          </w:tcPr>
          <w:p w14:paraId="6D29C2FE" w14:textId="77777777" w:rsidR="00346896" w:rsidRPr="00FE0EE7" w:rsidRDefault="00346896" w:rsidP="00346896">
            <w:pPr>
              <w:tabs>
                <w:tab w:val="left" w:pos="567"/>
              </w:tabs>
              <w:rPr>
                <w:color w:val="auto"/>
                <w:sz w:val="20"/>
                <w:szCs w:val="20"/>
                <w:lang w:val="en-US"/>
              </w:rPr>
            </w:pPr>
            <w:r w:rsidRPr="00FE0EE7">
              <w:rPr>
                <w:color w:val="auto"/>
                <w:sz w:val="20"/>
                <w:szCs w:val="20"/>
                <w:lang w:val="en-US"/>
              </w:rPr>
              <w:t xml:space="preserve">Annual production </w:t>
            </w:r>
            <w:r w:rsidRPr="00FE0EE7">
              <w:rPr>
                <w:i/>
                <w:color w:val="auto"/>
                <w:sz w:val="20"/>
                <w:szCs w:val="20"/>
                <w:lang w:val="en-US"/>
              </w:rPr>
              <w:t>for each product</w:t>
            </w:r>
            <w:r w:rsidRPr="00FE0EE7">
              <w:rPr>
                <w:color w:val="auto"/>
                <w:sz w:val="20"/>
                <w:szCs w:val="20"/>
                <w:lang w:val="en-US"/>
              </w:rPr>
              <w:t xml:space="preserve"> </w:t>
            </w:r>
          </w:p>
        </w:tc>
        <w:tc>
          <w:tcPr>
            <w:tcW w:w="850" w:type="dxa"/>
            <w:shd w:val="clear" w:color="auto" w:fill="auto"/>
          </w:tcPr>
          <w:p w14:paraId="762A877A"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589C413D"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7D7FACFB"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261C01A3"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1B7785C9"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53543301" w14:textId="77777777" w:rsidR="00346896" w:rsidRPr="00FE0EE7" w:rsidRDefault="00346896" w:rsidP="00346896">
            <w:pPr>
              <w:tabs>
                <w:tab w:val="left" w:pos="567"/>
              </w:tabs>
              <w:rPr>
                <w:color w:val="auto"/>
                <w:sz w:val="20"/>
                <w:szCs w:val="20"/>
                <w:lang w:val="en-US"/>
              </w:rPr>
            </w:pPr>
          </w:p>
        </w:tc>
      </w:tr>
      <w:tr w:rsidR="00B0714C" w:rsidRPr="00FE0EE7" w14:paraId="3198AE61" w14:textId="77777777" w:rsidTr="00F75CA2">
        <w:tc>
          <w:tcPr>
            <w:tcW w:w="3539" w:type="dxa"/>
            <w:shd w:val="clear" w:color="auto" w:fill="auto"/>
          </w:tcPr>
          <w:p w14:paraId="02C9CDF6" w14:textId="77777777" w:rsidR="00346896" w:rsidRPr="00FE0EE7" w:rsidRDefault="00346896" w:rsidP="00346896">
            <w:pPr>
              <w:tabs>
                <w:tab w:val="left" w:pos="567"/>
              </w:tabs>
              <w:rPr>
                <w:color w:val="auto"/>
                <w:sz w:val="20"/>
                <w:szCs w:val="20"/>
                <w:lang w:val="en-US"/>
              </w:rPr>
            </w:pPr>
            <w:r w:rsidRPr="00FE0EE7">
              <w:rPr>
                <w:color w:val="auto"/>
                <w:sz w:val="20"/>
                <w:szCs w:val="20"/>
                <w:lang w:val="en-US"/>
              </w:rPr>
              <w:t xml:space="preserve">Price assumption </w:t>
            </w:r>
            <w:r w:rsidRPr="00FE0EE7">
              <w:rPr>
                <w:i/>
                <w:color w:val="auto"/>
                <w:sz w:val="20"/>
                <w:szCs w:val="20"/>
                <w:lang w:val="en-US"/>
              </w:rPr>
              <w:t>for each product</w:t>
            </w:r>
          </w:p>
        </w:tc>
        <w:tc>
          <w:tcPr>
            <w:tcW w:w="850" w:type="dxa"/>
            <w:shd w:val="clear" w:color="auto" w:fill="auto"/>
          </w:tcPr>
          <w:p w14:paraId="12EEFF0E"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75BB87C3"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36544637"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5A1687EB"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2D691757"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33B13DB2" w14:textId="77777777" w:rsidR="00346896" w:rsidRPr="00FE0EE7" w:rsidRDefault="00346896" w:rsidP="00346896">
            <w:pPr>
              <w:tabs>
                <w:tab w:val="left" w:pos="567"/>
              </w:tabs>
              <w:rPr>
                <w:color w:val="auto"/>
                <w:sz w:val="20"/>
                <w:szCs w:val="20"/>
                <w:lang w:val="en-US"/>
              </w:rPr>
            </w:pPr>
          </w:p>
        </w:tc>
      </w:tr>
      <w:tr w:rsidR="00B0714C" w:rsidRPr="00FE0EE7" w14:paraId="1C8832F1" w14:textId="77777777" w:rsidTr="00F75CA2">
        <w:tc>
          <w:tcPr>
            <w:tcW w:w="3539" w:type="dxa"/>
            <w:shd w:val="clear" w:color="auto" w:fill="auto"/>
          </w:tcPr>
          <w:p w14:paraId="49669B7A" w14:textId="77777777" w:rsidR="00346896" w:rsidRPr="00FE0EE7" w:rsidRDefault="00F93CE1" w:rsidP="00F93CE1">
            <w:pPr>
              <w:tabs>
                <w:tab w:val="left" w:pos="567"/>
              </w:tabs>
              <w:rPr>
                <w:color w:val="auto"/>
                <w:sz w:val="20"/>
                <w:szCs w:val="20"/>
                <w:lang w:val="en-US"/>
              </w:rPr>
            </w:pPr>
            <w:r w:rsidRPr="00FE0EE7">
              <w:rPr>
                <w:color w:val="auto"/>
                <w:sz w:val="20"/>
                <w:szCs w:val="20"/>
                <w:lang w:val="en-US"/>
              </w:rPr>
              <w:t>Annual r</w:t>
            </w:r>
            <w:r w:rsidR="00346896" w:rsidRPr="00FE0EE7">
              <w:rPr>
                <w:color w:val="auto"/>
                <w:sz w:val="20"/>
                <w:szCs w:val="20"/>
                <w:lang w:val="en-US"/>
              </w:rPr>
              <w:t xml:space="preserve">evenue </w:t>
            </w:r>
            <w:r w:rsidR="00346896" w:rsidRPr="00FE0EE7">
              <w:rPr>
                <w:i/>
                <w:color w:val="auto"/>
                <w:sz w:val="20"/>
                <w:szCs w:val="20"/>
                <w:lang w:val="en-US"/>
              </w:rPr>
              <w:t>from each product</w:t>
            </w:r>
          </w:p>
        </w:tc>
        <w:tc>
          <w:tcPr>
            <w:tcW w:w="850" w:type="dxa"/>
            <w:shd w:val="clear" w:color="auto" w:fill="auto"/>
          </w:tcPr>
          <w:p w14:paraId="006761CE"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191FBE15"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71CBDF7A"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35494E34"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5849E8BF"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2672C8A5" w14:textId="77777777" w:rsidR="00346896" w:rsidRPr="00FE0EE7" w:rsidRDefault="00346896" w:rsidP="00346896">
            <w:pPr>
              <w:tabs>
                <w:tab w:val="left" w:pos="567"/>
              </w:tabs>
              <w:rPr>
                <w:color w:val="auto"/>
                <w:sz w:val="20"/>
                <w:szCs w:val="20"/>
                <w:lang w:val="en-US"/>
              </w:rPr>
            </w:pPr>
          </w:p>
        </w:tc>
      </w:tr>
      <w:tr w:rsidR="00B0714C" w:rsidRPr="00FE0EE7" w14:paraId="286D3001" w14:textId="77777777" w:rsidTr="00F75CA2">
        <w:tc>
          <w:tcPr>
            <w:tcW w:w="3539" w:type="dxa"/>
            <w:shd w:val="clear" w:color="auto" w:fill="auto"/>
          </w:tcPr>
          <w:p w14:paraId="30170897" w14:textId="77777777" w:rsidR="00346896" w:rsidRPr="00FE0EE7" w:rsidRDefault="00346896" w:rsidP="00346896">
            <w:pPr>
              <w:tabs>
                <w:tab w:val="left" w:pos="567"/>
              </w:tabs>
              <w:rPr>
                <w:color w:val="auto"/>
                <w:sz w:val="20"/>
                <w:szCs w:val="20"/>
                <w:lang w:val="en-US"/>
              </w:rPr>
            </w:pPr>
            <w:r w:rsidRPr="00FE0EE7">
              <w:rPr>
                <w:color w:val="auto"/>
                <w:sz w:val="20"/>
                <w:szCs w:val="20"/>
                <w:lang w:val="en-US"/>
              </w:rPr>
              <w:t>Exploration &amp; appraisal CAPEX</w:t>
            </w:r>
          </w:p>
        </w:tc>
        <w:tc>
          <w:tcPr>
            <w:tcW w:w="850" w:type="dxa"/>
            <w:shd w:val="clear" w:color="auto" w:fill="auto"/>
          </w:tcPr>
          <w:p w14:paraId="7EB155CE"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7435AE94"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4A774F96"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5E351604"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359A8034"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03352230" w14:textId="77777777" w:rsidR="00346896" w:rsidRPr="00FE0EE7" w:rsidRDefault="00346896" w:rsidP="00346896">
            <w:pPr>
              <w:tabs>
                <w:tab w:val="left" w:pos="567"/>
              </w:tabs>
              <w:rPr>
                <w:color w:val="auto"/>
                <w:sz w:val="20"/>
                <w:szCs w:val="20"/>
                <w:lang w:val="en-US"/>
              </w:rPr>
            </w:pPr>
          </w:p>
        </w:tc>
      </w:tr>
      <w:tr w:rsidR="00B0714C" w:rsidRPr="00FE0EE7" w14:paraId="1D87400A" w14:textId="77777777" w:rsidTr="00F75CA2">
        <w:tc>
          <w:tcPr>
            <w:tcW w:w="3539" w:type="dxa"/>
            <w:shd w:val="clear" w:color="auto" w:fill="auto"/>
          </w:tcPr>
          <w:p w14:paraId="7FD7626A" w14:textId="77777777" w:rsidR="00346896" w:rsidRPr="00FE0EE7" w:rsidRDefault="00346896" w:rsidP="00346896">
            <w:pPr>
              <w:tabs>
                <w:tab w:val="left" w:pos="567"/>
              </w:tabs>
              <w:rPr>
                <w:color w:val="auto"/>
                <w:sz w:val="20"/>
                <w:szCs w:val="20"/>
                <w:lang w:val="en-US"/>
              </w:rPr>
            </w:pPr>
            <w:r w:rsidRPr="00FE0EE7">
              <w:rPr>
                <w:color w:val="auto"/>
                <w:sz w:val="20"/>
                <w:szCs w:val="20"/>
                <w:lang w:val="en-US"/>
              </w:rPr>
              <w:t>Upstream CAPEX</w:t>
            </w:r>
          </w:p>
        </w:tc>
        <w:tc>
          <w:tcPr>
            <w:tcW w:w="850" w:type="dxa"/>
            <w:shd w:val="clear" w:color="auto" w:fill="auto"/>
          </w:tcPr>
          <w:p w14:paraId="04E77B5E"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3F746631"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6F81439C"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4D0BA165"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523B84EB"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5067146B" w14:textId="77777777" w:rsidR="00346896" w:rsidRPr="00FE0EE7" w:rsidRDefault="00346896" w:rsidP="00346896">
            <w:pPr>
              <w:tabs>
                <w:tab w:val="left" w:pos="567"/>
              </w:tabs>
              <w:rPr>
                <w:color w:val="auto"/>
                <w:sz w:val="20"/>
                <w:szCs w:val="20"/>
                <w:lang w:val="en-US"/>
              </w:rPr>
            </w:pPr>
          </w:p>
        </w:tc>
      </w:tr>
      <w:tr w:rsidR="00B0714C" w:rsidRPr="00FE0EE7" w14:paraId="32A1148D" w14:textId="77777777" w:rsidTr="00F75CA2">
        <w:tc>
          <w:tcPr>
            <w:tcW w:w="3539" w:type="dxa"/>
            <w:shd w:val="clear" w:color="auto" w:fill="auto"/>
          </w:tcPr>
          <w:p w14:paraId="68B07A13" w14:textId="77777777" w:rsidR="00346896" w:rsidRPr="00FE0EE7" w:rsidRDefault="00346896" w:rsidP="00346896">
            <w:pPr>
              <w:tabs>
                <w:tab w:val="left" w:pos="567"/>
              </w:tabs>
              <w:rPr>
                <w:color w:val="auto"/>
                <w:sz w:val="20"/>
                <w:szCs w:val="20"/>
                <w:lang w:val="en-US"/>
              </w:rPr>
            </w:pPr>
            <w:r w:rsidRPr="00FE0EE7">
              <w:rPr>
                <w:color w:val="auto"/>
                <w:sz w:val="20"/>
                <w:szCs w:val="20"/>
                <w:lang w:val="en-US"/>
              </w:rPr>
              <w:t>Downstream CAPEX</w:t>
            </w:r>
          </w:p>
        </w:tc>
        <w:tc>
          <w:tcPr>
            <w:tcW w:w="850" w:type="dxa"/>
            <w:shd w:val="clear" w:color="auto" w:fill="auto"/>
          </w:tcPr>
          <w:p w14:paraId="55481ED1"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4AD311B1"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1E5A7E02"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10A0C9E1"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036D643B"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16AAD459" w14:textId="77777777" w:rsidR="00346896" w:rsidRPr="00FE0EE7" w:rsidRDefault="00346896" w:rsidP="00346896">
            <w:pPr>
              <w:tabs>
                <w:tab w:val="left" w:pos="567"/>
              </w:tabs>
              <w:rPr>
                <w:color w:val="auto"/>
                <w:sz w:val="20"/>
                <w:szCs w:val="20"/>
                <w:lang w:val="en-US"/>
              </w:rPr>
            </w:pPr>
          </w:p>
        </w:tc>
      </w:tr>
      <w:tr w:rsidR="00B0714C" w:rsidRPr="00FE0EE7" w14:paraId="179AE56A" w14:textId="77777777" w:rsidTr="00F75CA2">
        <w:tc>
          <w:tcPr>
            <w:tcW w:w="3539" w:type="dxa"/>
            <w:shd w:val="clear" w:color="auto" w:fill="auto"/>
          </w:tcPr>
          <w:p w14:paraId="689E443B" w14:textId="77777777" w:rsidR="00346896" w:rsidRPr="00FE0EE7" w:rsidRDefault="00346896" w:rsidP="00346896">
            <w:pPr>
              <w:tabs>
                <w:tab w:val="left" w:pos="567"/>
              </w:tabs>
              <w:rPr>
                <w:color w:val="auto"/>
                <w:sz w:val="20"/>
                <w:szCs w:val="20"/>
                <w:lang w:val="en-US"/>
              </w:rPr>
            </w:pPr>
            <w:r w:rsidRPr="00FE0EE7">
              <w:rPr>
                <w:color w:val="auto"/>
                <w:sz w:val="20"/>
                <w:szCs w:val="20"/>
                <w:lang w:val="en-US"/>
              </w:rPr>
              <w:t>Upstream OPEX</w:t>
            </w:r>
          </w:p>
        </w:tc>
        <w:tc>
          <w:tcPr>
            <w:tcW w:w="850" w:type="dxa"/>
            <w:shd w:val="clear" w:color="auto" w:fill="auto"/>
          </w:tcPr>
          <w:p w14:paraId="1AAC7190"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648D6AE4"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204A94E8"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683F4738"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5E9C1F5C"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266BFB78" w14:textId="77777777" w:rsidR="00346896" w:rsidRPr="00FE0EE7" w:rsidRDefault="00346896" w:rsidP="00346896">
            <w:pPr>
              <w:tabs>
                <w:tab w:val="left" w:pos="567"/>
              </w:tabs>
              <w:rPr>
                <w:color w:val="auto"/>
                <w:sz w:val="20"/>
                <w:szCs w:val="20"/>
                <w:lang w:val="en-US"/>
              </w:rPr>
            </w:pPr>
          </w:p>
        </w:tc>
      </w:tr>
      <w:tr w:rsidR="00B0714C" w:rsidRPr="00FE0EE7" w14:paraId="382F94E0" w14:textId="77777777" w:rsidTr="00F75CA2">
        <w:tc>
          <w:tcPr>
            <w:tcW w:w="3539" w:type="dxa"/>
            <w:shd w:val="clear" w:color="auto" w:fill="auto"/>
          </w:tcPr>
          <w:p w14:paraId="2C5FDD8A" w14:textId="77777777" w:rsidR="00346896" w:rsidRPr="00FE0EE7" w:rsidRDefault="00346896" w:rsidP="00346896">
            <w:pPr>
              <w:tabs>
                <w:tab w:val="left" w:pos="567"/>
              </w:tabs>
              <w:rPr>
                <w:color w:val="auto"/>
                <w:sz w:val="20"/>
                <w:szCs w:val="20"/>
                <w:lang w:val="en-US"/>
              </w:rPr>
            </w:pPr>
            <w:r w:rsidRPr="00FE0EE7">
              <w:rPr>
                <w:color w:val="auto"/>
                <w:sz w:val="20"/>
                <w:szCs w:val="20"/>
                <w:lang w:val="en-US"/>
              </w:rPr>
              <w:t>Downstream OPEX</w:t>
            </w:r>
          </w:p>
        </w:tc>
        <w:tc>
          <w:tcPr>
            <w:tcW w:w="850" w:type="dxa"/>
            <w:shd w:val="clear" w:color="auto" w:fill="auto"/>
          </w:tcPr>
          <w:p w14:paraId="74C2BC4A"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6DBE55D2"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39EF4BB5"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2C382051"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003C9ACC"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300B2FA5" w14:textId="77777777" w:rsidR="00346896" w:rsidRPr="00FE0EE7" w:rsidRDefault="00346896" w:rsidP="00346896">
            <w:pPr>
              <w:tabs>
                <w:tab w:val="left" w:pos="567"/>
              </w:tabs>
              <w:rPr>
                <w:color w:val="auto"/>
                <w:sz w:val="20"/>
                <w:szCs w:val="20"/>
                <w:lang w:val="en-US"/>
              </w:rPr>
            </w:pPr>
          </w:p>
        </w:tc>
      </w:tr>
      <w:tr w:rsidR="00B0714C" w:rsidRPr="00FE0EE7" w14:paraId="2790F9A7" w14:textId="77777777" w:rsidTr="00F75CA2">
        <w:tc>
          <w:tcPr>
            <w:tcW w:w="3539" w:type="dxa"/>
            <w:shd w:val="clear" w:color="auto" w:fill="auto"/>
          </w:tcPr>
          <w:p w14:paraId="146F25A0" w14:textId="77777777" w:rsidR="00346896" w:rsidRPr="00FE0EE7" w:rsidRDefault="00346896" w:rsidP="00346896">
            <w:pPr>
              <w:tabs>
                <w:tab w:val="left" w:pos="567"/>
              </w:tabs>
              <w:rPr>
                <w:color w:val="auto"/>
                <w:sz w:val="20"/>
                <w:szCs w:val="20"/>
                <w:lang w:val="en-US"/>
              </w:rPr>
            </w:pPr>
            <w:r w:rsidRPr="00FE0EE7">
              <w:rPr>
                <w:color w:val="auto"/>
                <w:sz w:val="20"/>
                <w:szCs w:val="20"/>
                <w:lang w:val="en-US"/>
              </w:rPr>
              <w:t>Exploration &amp; appraisal OPEX</w:t>
            </w:r>
          </w:p>
        </w:tc>
        <w:tc>
          <w:tcPr>
            <w:tcW w:w="850" w:type="dxa"/>
            <w:shd w:val="clear" w:color="auto" w:fill="auto"/>
          </w:tcPr>
          <w:p w14:paraId="07033336"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20D0480E"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716905B8"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650D4C5E"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4A379AF9"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524120B7" w14:textId="77777777" w:rsidR="00346896" w:rsidRPr="00FE0EE7" w:rsidRDefault="00346896" w:rsidP="00346896">
            <w:pPr>
              <w:tabs>
                <w:tab w:val="left" w:pos="567"/>
              </w:tabs>
              <w:rPr>
                <w:color w:val="auto"/>
                <w:sz w:val="20"/>
                <w:szCs w:val="20"/>
                <w:lang w:val="en-US"/>
              </w:rPr>
            </w:pPr>
          </w:p>
        </w:tc>
      </w:tr>
      <w:tr w:rsidR="00B0714C" w:rsidRPr="00FE0EE7" w14:paraId="6FA9801B" w14:textId="77777777" w:rsidTr="00F75CA2">
        <w:tc>
          <w:tcPr>
            <w:tcW w:w="3539" w:type="dxa"/>
            <w:shd w:val="clear" w:color="auto" w:fill="auto"/>
          </w:tcPr>
          <w:p w14:paraId="7FC64817" w14:textId="77777777" w:rsidR="00346896" w:rsidRPr="00FE0EE7" w:rsidRDefault="00346896" w:rsidP="00346896">
            <w:pPr>
              <w:tabs>
                <w:tab w:val="left" w:pos="567"/>
              </w:tabs>
              <w:rPr>
                <w:color w:val="auto"/>
                <w:sz w:val="20"/>
                <w:szCs w:val="20"/>
                <w:lang w:val="en-US"/>
              </w:rPr>
            </w:pPr>
            <w:r w:rsidRPr="00FE0EE7">
              <w:rPr>
                <w:color w:val="auto"/>
                <w:sz w:val="20"/>
                <w:szCs w:val="20"/>
                <w:lang w:val="en-US"/>
              </w:rPr>
              <w:t>Tariff paid</w:t>
            </w:r>
          </w:p>
        </w:tc>
        <w:tc>
          <w:tcPr>
            <w:tcW w:w="850" w:type="dxa"/>
            <w:shd w:val="clear" w:color="auto" w:fill="auto"/>
          </w:tcPr>
          <w:p w14:paraId="74C8A50B"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50709F97"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0BA742CB"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2ABA1E8B"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41328832"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4A9FCDDD" w14:textId="77777777" w:rsidR="00346896" w:rsidRPr="00FE0EE7" w:rsidRDefault="00346896" w:rsidP="00346896">
            <w:pPr>
              <w:tabs>
                <w:tab w:val="left" w:pos="567"/>
              </w:tabs>
              <w:rPr>
                <w:color w:val="auto"/>
                <w:sz w:val="20"/>
                <w:szCs w:val="20"/>
                <w:lang w:val="en-US"/>
              </w:rPr>
            </w:pPr>
          </w:p>
        </w:tc>
      </w:tr>
      <w:tr w:rsidR="00B0714C" w:rsidRPr="00FE0EE7" w14:paraId="51EAF16C" w14:textId="77777777" w:rsidTr="00F75CA2">
        <w:tc>
          <w:tcPr>
            <w:tcW w:w="3539" w:type="dxa"/>
            <w:shd w:val="clear" w:color="auto" w:fill="auto"/>
          </w:tcPr>
          <w:p w14:paraId="54A4906E" w14:textId="77777777" w:rsidR="00346896" w:rsidRPr="00FE0EE7" w:rsidRDefault="00346896" w:rsidP="00346896">
            <w:pPr>
              <w:tabs>
                <w:tab w:val="left" w:pos="567"/>
              </w:tabs>
              <w:rPr>
                <w:color w:val="auto"/>
                <w:sz w:val="20"/>
                <w:szCs w:val="20"/>
                <w:lang w:val="en-US"/>
              </w:rPr>
            </w:pPr>
            <w:r w:rsidRPr="00FE0EE7">
              <w:rPr>
                <w:color w:val="auto"/>
                <w:sz w:val="20"/>
                <w:szCs w:val="20"/>
                <w:lang w:val="en-US"/>
              </w:rPr>
              <w:t>Tariff received</w:t>
            </w:r>
          </w:p>
        </w:tc>
        <w:tc>
          <w:tcPr>
            <w:tcW w:w="850" w:type="dxa"/>
            <w:shd w:val="clear" w:color="auto" w:fill="auto"/>
          </w:tcPr>
          <w:p w14:paraId="4845B948"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35E1D985"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34629F68"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468A1553"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3A60E200"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31CAF377" w14:textId="77777777" w:rsidR="00346896" w:rsidRPr="00FE0EE7" w:rsidRDefault="00346896" w:rsidP="00346896">
            <w:pPr>
              <w:tabs>
                <w:tab w:val="left" w:pos="567"/>
              </w:tabs>
              <w:rPr>
                <w:color w:val="auto"/>
                <w:sz w:val="20"/>
                <w:szCs w:val="20"/>
                <w:lang w:val="en-US"/>
              </w:rPr>
            </w:pPr>
          </w:p>
        </w:tc>
      </w:tr>
      <w:tr w:rsidR="00B0714C" w:rsidRPr="00FE0EE7" w14:paraId="06310E6F" w14:textId="77777777" w:rsidTr="00F75CA2">
        <w:tc>
          <w:tcPr>
            <w:tcW w:w="3539" w:type="dxa"/>
            <w:shd w:val="clear" w:color="auto" w:fill="auto"/>
          </w:tcPr>
          <w:p w14:paraId="3D3CAA3B" w14:textId="77777777" w:rsidR="00346896" w:rsidRPr="00FE0EE7" w:rsidRDefault="00346896" w:rsidP="00346896">
            <w:pPr>
              <w:tabs>
                <w:tab w:val="left" w:pos="567"/>
              </w:tabs>
              <w:rPr>
                <w:color w:val="auto"/>
                <w:sz w:val="20"/>
                <w:szCs w:val="20"/>
                <w:lang w:val="en-US"/>
              </w:rPr>
            </w:pPr>
            <w:r w:rsidRPr="00FE0EE7">
              <w:rPr>
                <w:color w:val="auto"/>
                <w:sz w:val="20"/>
                <w:szCs w:val="20"/>
                <w:lang w:val="en-US"/>
              </w:rPr>
              <w:t>Abandonment less salvage</w:t>
            </w:r>
          </w:p>
        </w:tc>
        <w:tc>
          <w:tcPr>
            <w:tcW w:w="850" w:type="dxa"/>
            <w:shd w:val="clear" w:color="auto" w:fill="auto"/>
          </w:tcPr>
          <w:p w14:paraId="5B5B65C9"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5C5CAD61"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6A744883"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0A0EC779"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7407266D"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515A09A6" w14:textId="77777777" w:rsidR="00346896" w:rsidRPr="00FE0EE7" w:rsidRDefault="00346896" w:rsidP="00346896">
            <w:pPr>
              <w:tabs>
                <w:tab w:val="left" w:pos="567"/>
              </w:tabs>
              <w:rPr>
                <w:color w:val="auto"/>
                <w:sz w:val="20"/>
                <w:szCs w:val="20"/>
                <w:lang w:val="en-US"/>
              </w:rPr>
            </w:pPr>
          </w:p>
        </w:tc>
      </w:tr>
      <w:tr w:rsidR="00B0714C" w:rsidRPr="00FE0EE7" w14:paraId="43069173" w14:textId="77777777" w:rsidTr="00F75CA2">
        <w:tc>
          <w:tcPr>
            <w:tcW w:w="3539" w:type="dxa"/>
            <w:shd w:val="clear" w:color="auto" w:fill="auto"/>
          </w:tcPr>
          <w:p w14:paraId="230365BC" w14:textId="77777777" w:rsidR="00346896" w:rsidRPr="00FE0EE7" w:rsidRDefault="00346896" w:rsidP="00346896">
            <w:pPr>
              <w:tabs>
                <w:tab w:val="left" w:pos="567"/>
              </w:tabs>
              <w:rPr>
                <w:color w:val="auto"/>
                <w:sz w:val="20"/>
                <w:szCs w:val="20"/>
                <w:lang w:val="en-US"/>
              </w:rPr>
            </w:pPr>
            <w:r w:rsidRPr="00FE0EE7">
              <w:rPr>
                <w:color w:val="auto"/>
                <w:sz w:val="20"/>
                <w:szCs w:val="20"/>
                <w:lang w:val="en-US"/>
              </w:rPr>
              <w:t>Depreciation</w:t>
            </w:r>
          </w:p>
        </w:tc>
        <w:tc>
          <w:tcPr>
            <w:tcW w:w="850" w:type="dxa"/>
            <w:shd w:val="clear" w:color="auto" w:fill="auto"/>
          </w:tcPr>
          <w:p w14:paraId="5462939E"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64C608AF"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1C481E2F"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15BAA72D"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34AC225E"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4AAF52C1" w14:textId="77777777" w:rsidR="00346896" w:rsidRPr="00FE0EE7" w:rsidRDefault="00346896" w:rsidP="00346896">
            <w:pPr>
              <w:tabs>
                <w:tab w:val="left" w:pos="567"/>
              </w:tabs>
              <w:rPr>
                <w:color w:val="auto"/>
                <w:sz w:val="20"/>
                <w:szCs w:val="20"/>
                <w:lang w:val="en-US"/>
              </w:rPr>
            </w:pPr>
          </w:p>
        </w:tc>
      </w:tr>
      <w:tr w:rsidR="00B0714C" w:rsidRPr="00FE0EE7" w14:paraId="661D63BD" w14:textId="77777777" w:rsidTr="00F75CA2">
        <w:tc>
          <w:tcPr>
            <w:tcW w:w="3539" w:type="dxa"/>
            <w:shd w:val="clear" w:color="auto" w:fill="auto"/>
          </w:tcPr>
          <w:p w14:paraId="6E06D2B9" w14:textId="77777777" w:rsidR="00F93CE1" w:rsidRPr="00FE0EE7" w:rsidRDefault="00F93CE1" w:rsidP="00346896">
            <w:pPr>
              <w:tabs>
                <w:tab w:val="left" w:pos="567"/>
              </w:tabs>
              <w:rPr>
                <w:color w:val="auto"/>
                <w:sz w:val="20"/>
                <w:szCs w:val="20"/>
                <w:lang w:val="en-US"/>
              </w:rPr>
            </w:pPr>
            <w:r w:rsidRPr="00FE0EE7">
              <w:rPr>
                <w:color w:val="auto"/>
                <w:sz w:val="20"/>
                <w:szCs w:val="20"/>
                <w:lang w:val="en-US"/>
              </w:rPr>
              <w:t>Royalty / excise for NWS projects</w:t>
            </w:r>
          </w:p>
        </w:tc>
        <w:tc>
          <w:tcPr>
            <w:tcW w:w="850" w:type="dxa"/>
            <w:shd w:val="clear" w:color="auto" w:fill="auto"/>
          </w:tcPr>
          <w:p w14:paraId="16CEFD45" w14:textId="77777777" w:rsidR="00F93CE1" w:rsidRPr="00FE0EE7" w:rsidRDefault="00F93CE1" w:rsidP="00346896">
            <w:pPr>
              <w:tabs>
                <w:tab w:val="left" w:pos="567"/>
              </w:tabs>
              <w:rPr>
                <w:color w:val="auto"/>
                <w:sz w:val="20"/>
                <w:szCs w:val="20"/>
                <w:lang w:val="en-US"/>
              </w:rPr>
            </w:pPr>
          </w:p>
        </w:tc>
        <w:tc>
          <w:tcPr>
            <w:tcW w:w="850" w:type="dxa"/>
            <w:shd w:val="clear" w:color="auto" w:fill="auto"/>
          </w:tcPr>
          <w:p w14:paraId="1DD6EF80" w14:textId="77777777" w:rsidR="00F93CE1" w:rsidRPr="00FE0EE7" w:rsidRDefault="00F93CE1" w:rsidP="00346896">
            <w:pPr>
              <w:tabs>
                <w:tab w:val="left" w:pos="567"/>
              </w:tabs>
              <w:rPr>
                <w:color w:val="auto"/>
                <w:sz w:val="20"/>
                <w:szCs w:val="20"/>
                <w:lang w:val="en-US"/>
              </w:rPr>
            </w:pPr>
          </w:p>
        </w:tc>
        <w:tc>
          <w:tcPr>
            <w:tcW w:w="850" w:type="dxa"/>
            <w:shd w:val="clear" w:color="auto" w:fill="auto"/>
          </w:tcPr>
          <w:p w14:paraId="59AEB426" w14:textId="77777777" w:rsidR="00F93CE1" w:rsidRPr="00FE0EE7" w:rsidRDefault="00F93CE1" w:rsidP="00346896">
            <w:pPr>
              <w:tabs>
                <w:tab w:val="left" w:pos="567"/>
              </w:tabs>
              <w:rPr>
                <w:color w:val="auto"/>
                <w:sz w:val="20"/>
                <w:szCs w:val="20"/>
                <w:lang w:val="en-US"/>
              </w:rPr>
            </w:pPr>
          </w:p>
        </w:tc>
        <w:tc>
          <w:tcPr>
            <w:tcW w:w="850" w:type="dxa"/>
            <w:shd w:val="clear" w:color="auto" w:fill="auto"/>
          </w:tcPr>
          <w:p w14:paraId="1E420DEB" w14:textId="77777777" w:rsidR="00F93CE1" w:rsidRPr="00FE0EE7" w:rsidRDefault="00F93CE1" w:rsidP="00346896">
            <w:pPr>
              <w:tabs>
                <w:tab w:val="left" w:pos="567"/>
              </w:tabs>
              <w:rPr>
                <w:color w:val="auto"/>
                <w:sz w:val="20"/>
                <w:szCs w:val="20"/>
                <w:lang w:val="en-US"/>
              </w:rPr>
            </w:pPr>
          </w:p>
        </w:tc>
        <w:tc>
          <w:tcPr>
            <w:tcW w:w="850" w:type="dxa"/>
            <w:shd w:val="clear" w:color="auto" w:fill="auto"/>
          </w:tcPr>
          <w:p w14:paraId="671CAA5D" w14:textId="77777777" w:rsidR="00F93CE1" w:rsidRPr="00FE0EE7" w:rsidRDefault="00F93CE1" w:rsidP="00346896">
            <w:pPr>
              <w:tabs>
                <w:tab w:val="left" w:pos="567"/>
              </w:tabs>
              <w:rPr>
                <w:color w:val="auto"/>
                <w:sz w:val="20"/>
                <w:szCs w:val="20"/>
                <w:lang w:val="en-US"/>
              </w:rPr>
            </w:pPr>
          </w:p>
        </w:tc>
        <w:tc>
          <w:tcPr>
            <w:tcW w:w="850" w:type="dxa"/>
            <w:shd w:val="clear" w:color="auto" w:fill="auto"/>
          </w:tcPr>
          <w:p w14:paraId="51C0A240" w14:textId="77777777" w:rsidR="00F93CE1" w:rsidRPr="00FE0EE7" w:rsidRDefault="00F93CE1" w:rsidP="00346896">
            <w:pPr>
              <w:tabs>
                <w:tab w:val="left" w:pos="567"/>
              </w:tabs>
              <w:rPr>
                <w:color w:val="auto"/>
                <w:sz w:val="20"/>
                <w:szCs w:val="20"/>
                <w:lang w:val="en-US"/>
              </w:rPr>
            </w:pPr>
          </w:p>
        </w:tc>
      </w:tr>
      <w:tr w:rsidR="00B0714C" w:rsidRPr="00FE0EE7" w14:paraId="1134B974" w14:textId="77777777" w:rsidTr="00F75CA2">
        <w:tc>
          <w:tcPr>
            <w:tcW w:w="3539" w:type="dxa"/>
            <w:shd w:val="clear" w:color="auto" w:fill="auto"/>
          </w:tcPr>
          <w:p w14:paraId="1088387B" w14:textId="77777777" w:rsidR="00346896" w:rsidRPr="00FE0EE7" w:rsidRDefault="00346896" w:rsidP="00346896">
            <w:pPr>
              <w:tabs>
                <w:tab w:val="left" w:pos="567"/>
              </w:tabs>
              <w:rPr>
                <w:color w:val="auto"/>
                <w:sz w:val="20"/>
                <w:szCs w:val="20"/>
                <w:lang w:val="en-US"/>
              </w:rPr>
            </w:pPr>
            <w:r w:rsidRPr="00FE0EE7">
              <w:rPr>
                <w:color w:val="auto"/>
                <w:sz w:val="20"/>
                <w:szCs w:val="20"/>
                <w:lang w:val="en-US"/>
              </w:rPr>
              <w:t>PRRT</w:t>
            </w:r>
          </w:p>
        </w:tc>
        <w:tc>
          <w:tcPr>
            <w:tcW w:w="850" w:type="dxa"/>
            <w:shd w:val="clear" w:color="auto" w:fill="auto"/>
          </w:tcPr>
          <w:p w14:paraId="54EB92F6"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6C71BDC2"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6289A5DF"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55AD5984"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7650004E"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7628AAFE" w14:textId="77777777" w:rsidR="00346896" w:rsidRPr="00FE0EE7" w:rsidRDefault="00346896" w:rsidP="00346896">
            <w:pPr>
              <w:tabs>
                <w:tab w:val="left" w:pos="567"/>
              </w:tabs>
              <w:rPr>
                <w:color w:val="auto"/>
                <w:sz w:val="20"/>
                <w:szCs w:val="20"/>
                <w:lang w:val="en-US"/>
              </w:rPr>
            </w:pPr>
          </w:p>
        </w:tc>
      </w:tr>
      <w:tr w:rsidR="00B0714C" w:rsidRPr="00FE0EE7" w14:paraId="461FEF99" w14:textId="77777777" w:rsidTr="00F75CA2">
        <w:tc>
          <w:tcPr>
            <w:tcW w:w="3539" w:type="dxa"/>
            <w:shd w:val="clear" w:color="auto" w:fill="auto"/>
          </w:tcPr>
          <w:p w14:paraId="2EBB4F43" w14:textId="77777777" w:rsidR="00F93CE1" w:rsidRPr="00FE0EE7" w:rsidRDefault="00F93CE1" w:rsidP="00346896">
            <w:pPr>
              <w:tabs>
                <w:tab w:val="left" w:pos="567"/>
              </w:tabs>
              <w:rPr>
                <w:color w:val="auto"/>
                <w:sz w:val="20"/>
                <w:szCs w:val="20"/>
                <w:lang w:val="en-US"/>
              </w:rPr>
            </w:pPr>
            <w:r w:rsidRPr="00FE0EE7">
              <w:rPr>
                <w:color w:val="auto"/>
                <w:sz w:val="20"/>
                <w:szCs w:val="20"/>
                <w:lang w:val="en-US"/>
              </w:rPr>
              <w:t>Net Cashflow Pre Tax</w:t>
            </w:r>
          </w:p>
        </w:tc>
        <w:tc>
          <w:tcPr>
            <w:tcW w:w="850" w:type="dxa"/>
            <w:shd w:val="clear" w:color="auto" w:fill="auto"/>
          </w:tcPr>
          <w:p w14:paraId="62DC990D" w14:textId="77777777" w:rsidR="00F93CE1" w:rsidRPr="00FE0EE7" w:rsidRDefault="00F93CE1" w:rsidP="00346896">
            <w:pPr>
              <w:tabs>
                <w:tab w:val="left" w:pos="567"/>
              </w:tabs>
              <w:rPr>
                <w:color w:val="auto"/>
                <w:sz w:val="20"/>
                <w:szCs w:val="20"/>
                <w:lang w:val="en-US"/>
              </w:rPr>
            </w:pPr>
          </w:p>
        </w:tc>
        <w:tc>
          <w:tcPr>
            <w:tcW w:w="850" w:type="dxa"/>
            <w:shd w:val="clear" w:color="auto" w:fill="auto"/>
          </w:tcPr>
          <w:p w14:paraId="43E86E26" w14:textId="77777777" w:rsidR="00F93CE1" w:rsidRPr="00FE0EE7" w:rsidRDefault="00F93CE1" w:rsidP="00346896">
            <w:pPr>
              <w:tabs>
                <w:tab w:val="left" w:pos="567"/>
              </w:tabs>
              <w:rPr>
                <w:color w:val="auto"/>
                <w:sz w:val="20"/>
                <w:szCs w:val="20"/>
                <w:lang w:val="en-US"/>
              </w:rPr>
            </w:pPr>
          </w:p>
        </w:tc>
        <w:tc>
          <w:tcPr>
            <w:tcW w:w="850" w:type="dxa"/>
            <w:shd w:val="clear" w:color="auto" w:fill="auto"/>
          </w:tcPr>
          <w:p w14:paraId="46D68D42" w14:textId="77777777" w:rsidR="00F93CE1" w:rsidRPr="00FE0EE7" w:rsidRDefault="00F93CE1" w:rsidP="00346896">
            <w:pPr>
              <w:tabs>
                <w:tab w:val="left" w:pos="567"/>
              </w:tabs>
              <w:rPr>
                <w:color w:val="auto"/>
                <w:sz w:val="20"/>
                <w:szCs w:val="20"/>
                <w:lang w:val="en-US"/>
              </w:rPr>
            </w:pPr>
          </w:p>
        </w:tc>
        <w:tc>
          <w:tcPr>
            <w:tcW w:w="850" w:type="dxa"/>
            <w:shd w:val="clear" w:color="auto" w:fill="auto"/>
          </w:tcPr>
          <w:p w14:paraId="2FF5F492" w14:textId="77777777" w:rsidR="00F93CE1" w:rsidRPr="00FE0EE7" w:rsidRDefault="00F93CE1" w:rsidP="00346896">
            <w:pPr>
              <w:tabs>
                <w:tab w:val="left" w:pos="567"/>
              </w:tabs>
              <w:rPr>
                <w:color w:val="auto"/>
                <w:sz w:val="20"/>
                <w:szCs w:val="20"/>
                <w:lang w:val="en-US"/>
              </w:rPr>
            </w:pPr>
          </w:p>
        </w:tc>
        <w:tc>
          <w:tcPr>
            <w:tcW w:w="850" w:type="dxa"/>
            <w:shd w:val="clear" w:color="auto" w:fill="auto"/>
          </w:tcPr>
          <w:p w14:paraId="09B4457B" w14:textId="77777777" w:rsidR="00F93CE1" w:rsidRPr="00FE0EE7" w:rsidRDefault="00F93CE1" w:rsidP="00346896">
            <w:pPr>
              <w:tabs>
                <w:tab w:val="left" w:pos="567"/>
              </w:tabs>
              <w:rPr>
                <w:color w:val="auto"/>
                <w:sz w:val="20"/>
                <w:szCs w:val="20"/>
                <w:lang w:val="en-US"/>
              </w:rPr>
            </w:pPr>
          </w:p>
        </w:tc>
        <w:tc>
          <w:tcPr>
            <w:tcW w:w="850" w:type="dxa"/>
            <w:shd w:val="clear" w:color="auto" w:fill="auto"/>
          </w:tcPr>
          <w:p w14:paraId="63DA3B40" w14:textId="77777777" w:rsidR="00F93CE1" w:rsidRPr="00FE0EE7" w:rsidRDefault="00F93CE1" w:rsidP="00346896">
            <w:pPr>
              <w:tabs>
                <w:tab w:val="left" w:pos="567"/>
              </w:tabs>
              <w:rPr>
                <w:color w:val="auto"/>
                <w:sz w:val="20"/>
                <w:szCs w:val="20"/>
                <w:lang w:val="en-US"/>
              </w:rPr>
            </w:pPr>
          </w:p>
        </w:tc>
      </w:tr>
      <w:tr w:rsidR="00B0714C" w:rsidRPr="00FE0EE7" w14:paraId="5146EB0A" w14:textId="77777777" w:rsidTr="00F75CA2">
        <w:tc>
          <w:tcPr>
            <w:tcW w:w="3539" w:type="dxa"/>
            <w:shd w:val="clear" w:color="auto" w:fill="auto"/>
          </w:tcPr>
          <w:p w14:paraId="5237A942" w14:textId="77777777" w:rsidR="00346896" w:rsidRPr="00FE0EE7" w:rsidRDefault="00346896" w:rsidP="00346896">
            <w:pPr>
              <w:tabs>
                <w:tab w:val="left" w:pos="567"/>
              </w:tabs>
              <w:rPr>
                <w:color w:val="auto"/>
                <w:sz w:val="20"/>
                <w:szCs w:val="20"/>
                <w:lang w:val="en-US"/>
              </w:rPr>
            </w:pPr>
            <w:r w:rsidRPr="00FE0EE7">
              <w:rPr>
                <w:color w:val="auto"/>
                <w:sz w:val="20"/>
                <w:szCs w:val="20"/>
                <w:lang w:val="en-US"/>
              </w:rPr>
              <w:t>Company tax</w:t>
            </w:r>
          </w:p>
        </w:tc>
        <w:tc>
          <w:tcPr>
            <w:tcW w:w="850" w:type="dxa"/>
            <w:shd w:val="clear" w:color="auto" w:fill="auto"/>
          </w:tcPr>
          <w:p w14:paraId="3C65194D"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0D886E07"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45F1A7DB"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62C167EE"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30BCFA77"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5CE17B60" w14:textId="77777777" w:rsidR="00346896" w:rsidRPr="00FE0EE7" w:rsidRDefault="00346896" w:rsidP="00346896">
            <w:pPr>
              <w:tabs>
                <w:tab w:val="left" w:pos="567"/>
              </w:tabs>
              <w:rPr>
                <w:color w:val="auto"/>
                <w:sz w:val="20"/>
                <w:szCs w:val="20"/>
                <w:lang w:val="en-US"/>
              </w:rPr>
            </w:pPr>
          </w:p>
        </w:tc>
      </w:tr>
      <w:tr w:rsidR="00B0714C" w:rsidRPr="00FE0EE7" w14:paraId="22E25656" w14:textId="77777777" w:rsidTr="00F75CA2">
        <w:tc>
          <w:tcPr>
            <w:tcW w:w="3539" w:type="dxa"/>
            <w:shd w:val="clear" w:color="auto" w:fill="auto"/>
          </w:tcPr>
          <w:p w14:paraId="28B3BE51" w14:textId="77777777" w:rsidR="00346896" w:rsidRPr="00FE0EE7" w:rsidRDefault="00346896" w:rsidP="00346896">
            <w:pPr>
              <w:tabs>
                <w:tab w:val="left" w:pos="567"/>
              </w:tabs>
              <w:rPr>
                <w:color w:val="auto"/>
                <w:sz w:val="20"/>
                <w:szCs w:val="20"/>
                <w:lang w:val="en-US"/>
              </w:rPr>
            </w:pPr>
            <w:r w:rsidRPr="00FE0EE7">
              <w:rPr>
                <w:color w:val="auto"/>
                <w:sz w:val="20"/>
                <w:szCs w:val="20"/>
                <w:lang w:val="en-US"/>
              </w:rPr>
              <w:t>Net Cashflow</w:t>
            </w:r>
            <w:r w:rsidR="00F93CE1" w:rsidRPr="00FE0EE7">
              <w:rPr>
                <w:color w:val="auto"/>
                <w:sz w:val="20"/>
                <w:szCs w:val="20"/>
                <w:lang w:val="en-US"/>
              </w:rPr>
              <w:t xml:space="preserve"> Post Tax</w:t>
            </w:r>
          </w:p>
        </w:tc>
        <w:tc>
          <w:tcPr>
            <w:tcW w:w="850" w:type="dxa"/>
            <w:shd w:val="clear" w:color="auto" w:fill="auto"/>
          </w:tcPr>
          <w:p w14:paraId="1299018B"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12DCFC5A"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42C9CDC8"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52E83744"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319CFBBA"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6E71E81B" w14:textId="77777777" w:rsidR="00346896" w:rsidRPr="00FE0EE7" w:rsidRDefault="00346896" w:rsidP="00346896">
            <w:pPr>
              <w:tabs>
                <w:tab w:val="left" w:pos="567"/>
              </w:tabs>
              <w:rPr>
                <w:color w:val="auto"/>
                <w:sz w:val="20"/>
                <w:szCs w:val="20"/>
                <w:lang w:val="en-US"/>
              </w:rPr>
            </w:pPr>
          </w:p>
        </w:tc>
      </w:tr>
      <w:tr w:rsidR="00B0714C" w:rsidRPr="00FE0EE7" w14:paraId="70AE4FF6" w14:textId="77777777" w:rsidTr="00F75CA2">
        <w:tc>
          <w:tcPr>
            <w:tcW w:w="3539" w:type="dxa"/>
            <w:shd w:val="clear" w:color="auto" w:fill="auto"/>
          </w:tcPr>
          <w:p w14:paraId="6016E4E7" w14:textId="77777777" w:rsidR="00346896" w:rsidRPr="00FE0EE7" w:rsidRDefault="00346896" w:rsidP="00346896">
            <w:pPr>
              <w:tabs>
                <w:tab w:val="left" w:pos="567"/>
              </w:tabs>
              <w:rPr>
                <w:color w:val="auto"/>
                <w:sz w:val="20"/>
                <w:szCs w:val="20"/>
                <w:lang w:val="en-US"/>
              </w:rPr>
            </w:pPr>
            <w:r w:rsidRPr="00FE0EE7">
              <w:rPr>
                <w:color w:val="auto"/>
                <w:sz w:val="20"/>
                <w:szCs w:val="20"/>
                <w:lang w:val="en-US"/>
              </w:rPr>
              <w:t>NPV &amp; IRR</w:t>
            </w:r>
          </w:p>
        </w:tc>
        <w:tc>
          <w:tcPr>
            <w:tcW w:w="850" w:type="dxa"/>
            <w:shd w:val="clear" w:color="auto" w:fill="auto"/>
          </w:tcPr>
          <w:p w14:paraId="69584C94"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7B7EC1B9"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48DACEFE"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0D43B8A0"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7A0E7723" w14:textId="77777777" w:rsidR="00346896" w:rsidRPr="00FE0EE7" w:rsidRDefault="00346896" w:rsidP="00346896">
            <w:pPr>
              <w:tabs>
                <w:tab w:val="left" w:pos="567"/>
              </w:tabs>
              <w:rPr>
                <w:color w:val="auto"/>
                <w:sz w:val="20"/>
                <w:szCs w:val="20"/>
                <w:lang w:val="en-US"/>
              </w:rPr>
            </w:pPr>
          </w:p>
        </w:tc>
        <w:tc>
          <w:tcPr>
            <w:tcW w:w="850" w:type="dxa"/>
            <w:shd w:val="clear" w:color="auto" w:fill="auto"/>
          </w:tcPr>
          <w:p w14:paraId="17FD6F94" w14:textId="77777777" w:rsidR="00346896" w:rsidRPr="00FE0EE7" w:rsidRDefault="00346896" w:rsidP="00346896">
            <w:pPr>
              <w:tabs>
                <w:tab w:val="left" w:pos="567"/>
              </w:tabs>
              <w:rPr>
                <w:color w:val="auto"/>
                <w:sz w:val="20"/>
                <w:szCs w:val="20"/>
                <w:lang w:val="en-US"/>
              </w:rPr>
            </w:pPr>
          </w:p>
        </w:tc>
      </w:tr>
    </w:tbl>
    <w:p w14:paraId="6A3E9058" w14:textId="77777777" w:rsidR="00FE584F" w:rsidRPr="00FE0EE7" w:rsidRDefault="00FE584F" w:rsidP="00FE584F">
      <w:pPr>
        <w:tabs>
          <w:tab w:val="left" w:pos="567"/>
        </w:tabs>
        <w:rPr>
          <w:color w:val="auto"/>
          <w:sz w:val="22"/>
          <w:szCs w:val="22"/>
        </w:rPr>
      </w:pPr>
    </w:p>
    <w:p w14:paraId="7D346318" w14:textId="77777777" w:rsidR="006E437F" w:rsidRPr="00FE0EE7" w:rsidRDefault="00FE584F" w:rsidP="00FE0EE7">
      <w:pPr>
        <w:pStyle w:val="ListParagraph"/>
        <w:numPr>
          <w:ilvl w:val="1"/>
          <w:numId w:val="34"/>
        </w:numPr>
        <w:tabs>
          <w:tab w:val="left" w:pos="567"/>
        </w:tabs>
        <w:spacing w:after="120" w:line="240" w:lineRule="auto"/>
        <w:contextualSpacing w:val="0"/>
        <w:rPr>
          <w:color w:val="auto"/>
          <w:sz w:val="22"/>
          <w:szCs w:val="22"/>
        </w:rPr>
      </w:pPr>
      <w:r w:rsidRPr="00FE0EE7">
        <w:rPr>
          <w:color w:val="auto"/>
          <w:sz w:val="22"/>
          <w:szCs w:val="22"/>
        </w:rPr>
        <w:t>Information on the following assumptions should also be included:</w:t>
      </w:r>
    </w:p>
    <w:p w14:paraId="5DCA9BD5" w14:textId="77777777" w:rsidR="00346896" w:rsidRPr="00FE0EE7" w:rsidRDefault="00346896" w:rsidP="00FE0EE7">
      <w:pPr>
        <w:pStyle w:val="ListParagraph"/>
        <w:numPr>
          <w:ilvl w:val="2"/>
          <w:numId w:val="34"/>
        </w:numPr>
        <w:tabs>
          <w:tab w:val="left" w:pos="567"/>
        </w:tabs>
        <w:spacing w:after="120" w:line="240" w:lineRule="auto"/>
        <w:ind w:left="1418" w:hanging="851"/>
        <w:contextualSpacing w:val="0"/>
        <w:rPr>
          <w:color w:val="auto"/>
          <w:sz w:val="22"/>
          <w:szCs w:val="22"/>
        </w:rPr>
      </w:pPr>
      <w:r w:rsidRPr="00FE0EE7">
        <w:rPr>
          <w:color w:val="auto"/>
          <w:sz w:val="22"/>
          <w:szCs w:val="22"/>
        </w:rPr>
        <w:t>Annual capital costs for upstream and downstream (e.g. appraisal and production drilling, facilities costs etc.), including cost estimate basis;</w:t>
      </w:r>
    </w:p>
    <w:p w14:paraId="40C92DFE" w14:textId="77777777" w:rsidR="00346896" w:rsidRPr="00FE0EE7" w:rsidRDefault="00346896" w:rsidP="00FE0EE7">
      <w:pPr>
        <w:pStyle w:val="ListParagraph"/>
        <w:numPr>
          <w:ilvl w:val="2"/>
          <w:numId w:val="34"/>
        </w:numPr>
        <w:tabs>
          <w:tab w:val="left" w:pos="567"/>
        </w:tabs>
        <w:spacing w:after="120" w:line="240" w:lineRule="auto"/>
        <w:ind w:left="1418" w:hanging="851"/>
        <w:contextualSpacing w:val="0"/>
        <w:rPr>
          <w:color w:val="auto"/>
          <w:sz w:val="22"/>
          <w:szCs w:val="22"/>
        </w:rPr>
      </w:pPr>
      <w:r w:rsidRPr="00FE0EE7">
        <w:rPr>
          <w:color w:val="auto"/>
          <w:sz w:val="22"/>
          <w:szCs w:val="22"/>
        </w:rPr>
        <w:t>Annual operating costs for upstream and downstream, including cost estimate basis;</w:t>
      </w:r>
    </w:p>
    <w:p w14:paraId="00F64D88" w14:textId="77777777" w:rsidR="00346896" w:rsidRPr="00FE0EE7" w:rsidRDefault="00346896" w:rsidP="00FE0EE7">
      <w:pPr>
        <w:pStyle w:val="ListParagraph"/>
        <w:numPr>
          <w:ilvl w:val="2"/>
          <w:numId w:val="34"/>
        </w:numPr>
        <w:tabs>
          <w:tab w:val="left" w:pos="567"/>
        </w:tabs>
        <w:spacing w:after="120" w:line="240" w:lineRule="auto"/>
        <w:ind w:left="1418" w:hanging="851"/>
        <w:contextualSpacing w:val="0"/>
        <w:rPr>
          <w:color w:val="auto"/>
          <w:sz w:val="22"/>
          <w:szCs w:val="22"/>
        </w:rPr>
      </w:pPr>
      <w:r w:rsidRPr="00FE0EE7">
        <w:rPr>
          <w:color w:val="auto"/>
          <w:sz w:val="22"/>
          <w:szCs w:val="22"/>
        </w:rPr>
        <w:t>Annual tariffs paid or received (upstream and downstream), including cost estimate basis;</w:t>
      </w:r>
    </w:p>
    <w:p w14:paraId="04090F3C" w14:textId="77777777" w:rsidR="00346896" w:rsidRPr="00FE0EE7" w:rsidRDefault="006E437F" w:rsidP="00FE0EE7">
      <w:pPr>
        <w:pStyle w:val="ListParagraph"/>
        <w:numPr>
          <w:ilvl w:val="2"/>
          <w:numId w:val="34"/>
        </w:numPr>
        <w:tabs>
          <w:tab w:val="left" w:pos="567"/>
        </w:tabs>
        <w:spacing w:after="120" w:line="240" w:lineRule="auto"/>
        <w:ind w:left="1418" w:hanging="851"/>
        <w:contextualSpacing w:val="0"/>
        <w:rPr>
          <w:color w:val="auto"/>
          <w:sz w:val="22"/>
          <w:szCs w:val="22"/>
        </w:rPr>
      </w:pPr>
      <w:r w:rsidRPr="00FE0EE7">
        <w:rPr>
          <w:color w:val="auto"/>
          <w:sz w:val="22"/>
          <w:szCs w:val="22"/>
        </w:rPr>
        <w:t>A</w:t>
      </w:r>
      <w:r w:rsidR="00346896" w:rsidRPr="00FE0EE7">
        <w:rPr>
          <w:color w:val="auto"/>
          <w:sz w:val="22"/>
          <w:szCs w:val="22"/>
        </w:rPr>
        <w:t>nnual production volumes, product prices and annual revenues from sale of product(s) for each product type</w:t>
      </w:r>
      <w:r w:rsidR="00F93CE1" w:rsidRPr="00FE0EE7">
        <w:rPr>
          <w:color w:val="auto"/>
          <w:sz w:val="22"/>
          <w:szCs w:val="22"/>
        </w:rPr>
        <w:t>, including modelling assumptions about decline curves</w:t>
      </w:r>
      <w:r w:rsidR="00346896" w:rsidRPr="00FE0EE7">
        <w:rPr>
          <w:color w:val="auto"/>
          <w:sz w:val="22"/>
          <w:szCs w:val="22"/>
        </w:rPr>
        <w:t>;</w:t>
      </w:r>
    </w:p>
    <w:p w14:paraId="6A9A2672" w14:textId="77777777" w:rsidR="00346896" w:rsidRPr="00FE0EE7" w:rsidRDefault="00346896" w:rsidP="00FE0EE7">
      <w:pPr>
        <w:pStyle w:val="ListParagraph"/>
        <w:numPr>
          <w:ilvl w:val="2"/>
          <w:numId w:val="34"/>
        </w:numPr>
        <w:tabs>
          <w:tab w:val="left" w:pos="567"/>
        </w:tabs>
        <w:spacing w:after="120" w:line="240" w:lineRule="auto"/>
        <w:ind w:left="1418" w:hanging="851"/>
        <w:contextualSpacing w:val="0"/>
        <w:rPr>
          <w:color w:val="auto"/>
          <w:sz w:val="22"/>
          <w:szCs w:val="22"/>
        </w:rPr>
      </w:pPr>
      <w:r w:rsidRPr="00FE0EE7">
        <w:rPr>
          <w:color w:val="auto"/>
          <w:sz w:val="22"/>
          <w:szCs w:val="22"/>
        </w:rPr>
        <w:t>Product(s) pricing basis used and the basis for these assumptions;</w:t>
      </w:r>
    </w:p>
    <w:p w14:paraId="36C1CAD9" w14:textId="77777777" w:rsidR="00346896" w:rsidRPr="00FE0EE7" w:rsidRDefault="00346896" w:rsidP="00FE0EE7">
      <w:pPr>
        <w:pStyle w:val="ListParagraph"/>
        <w:numPr>
          <w:ilvl w:val="2"/>
          <w:numId w:val="34"/>
        </w:numPr>
        <w:tabs>
          <w:tab w:val="left" w:pos="567"/>
        </w:tabs>
        <w:spacing w:after="120" w:line="240" w:lineRule="auto"/>
        <w:ind w:left="1418" w:hanging="851"/>
        <w:contextualSpacing w:val="0"/>
        <w:rPr>
          <w:color w:val="auto"/>
          <w:sz w:val="22"/>
          <w:szCs w:val="22"/>
        </w:rPr>
      </w:pPr>
      <w:r w:rsidRPr="00FE0EE7">
        <w:rPr>
          <w:color w:val="auto"/>
          <w:sz w:val="22"/>
          <w:szCs w:val="22"/>
        </w:rPr>
        <w:t>Depreciation method</w:t>
      </w:r>
      <w:r w:rsidR="0069160D" w:rsidRPr="00FE0EE7">
        <w:rPr>
          <w:color w:val="auto"/>
          <w:sz w:val="22"/>
          <w:szCs w:val="22"/>
        </w:rPr>
        <w:t>, lifetimes,</w:t>
      </w:r>
      <w:r w:rsidRPr="00FE0EE7">
        <w:rPr>
          <w:color w:val="auto"/>
          <w:sz w:val="22"/>
          <w:szCs w:val="22"/>
        </w:rPr>
        <w:t xml:space="preserve"> and assumptions</w:t>
      </w:r>
      <w:r w:rsidR="0069160D" w:rsidRPr="00FE0EE7">
        <w:rPr>
          <w:color w:val="auto"/>
          <w:sz w:val="22"/>
          <w:szCs w:val="22"/>
        </w:rPr>
        <w:t xml:space="preserve"> and formulae for calculation</w:t>
      </w:r>
      <w:r w:rsidRPr="00FE0EE7">
        <w:rPr>
          <w:color w:val="auto"/>
          <w:sz w:val="22"/>
          <w:szCs w:val="22"/>
        </w:rPr>
        <w:t>;</w:t>
      </w:r>
    </w:p>
    <w:p w14:paraId="438FC2D8" w14:textId="77777777" w:rsidR="00346896" w:rsidRPr="00FE0EE7" w:rsidRDefault="00346896" w:rsidP="00FE0EE7">
      <w:pPr>
        <w:pStyle w:val="ListParagraph"/>
        <w:numPr>
          <w:ilvl w:val="2"/>
          <w:numId w:val="34"/>
        </w:numPr>
        <w:tabs>
          <w:tab w:val="left" w:pos="567"/>
        </w:tabs>
        <w:spacing w:after="120" w:line="240" w:lineRule="auto"/>
        <w:ind w:left="1418" w:hanging="851"/>
        <w:contextualSpacing w:val="0"/>
        <w:rPr>
          <w:color w:val="auto"/>
          <w:sz w:val="22"/>
          <w:szCs w:val="22"/>
        </w:rPr>
      </w:pPr>
      <w:r w:rsidRPr="00FE0EE7">
        <w:rPr>
          <w:color w:val="auto"/>
          <w:sz w:val="22"/>
          <w:szCs w:val="22"/>
        </w:rPr>
        <w:t>Inflation rates, exchange rates and company tax provisions used in analysis;</w:t>
      </w:r>
    </w:p>
    <w:p w14:paraId="7D32B467" w14:textId="77777777" w:rsidR="00346896" w:rsidRPr="00FE0EE7" w:rsidRDefault="00346896" w:rsidP="00FE0EE7">
      <w:pPr>
        <w:pStyle w:val="ListParagraph"/>
        <w:numPr>
          <w:ilvl w:val="2"/>
          <w:numId w:val="34"/>
        </w:numPr>
        <w:tabs>
          <w:tab w:val="left" w:pos="567"/>
        </w:tabs>
        <w:spacing w:after="120" w:line="240" w:lineRule="auto"/>
        <w:ind w:left="1418" w:hanging="851"/>
        <w:contextualSpacing w:val="0"/>
        <w:rPr>
          <w:color w:val="auto"/>
          <w:sz w:val="22"/>
          <w:szCs w:val="22"/>
        </w:rPr>
      </w:pPr>
      <w:r w:rsidRPr="00FE0EE7">
        <w:rPr>
          <w:color w:val="auto"/>
          <w:sz w:val="22"/>
          <w:szCs w:val="22"/>
        </w:rPr>
        <w:t>PRRT;</w:t>
      </w:r>
    </w:p>
    <w:p w14:paraId="1D3FCEC1" w14:textId="77777777" w:rsidR="0069160D" w:rsidRPr="00FE0EE7" w:rsidRDefault="0069160D" w:rsidP="00FE0EE7">
      <w:pPr>
        <w:pStyle w:val="ListParagraph"/>
        <w:numPr>
          <w:ilvl w:val="2"/>
          <w:numId w:val="34"/>
        </w:numPr>
        <w:tabs>
          <w:tab w:val="left" w:pos="567"/>
        </w:tabs>
        <w:spacing w:after="120" w:line="240" w:lineRule="auto"/>
        <w:ind w:left="1418" w:hanging="851"/>
        <w:contextualSpacing w:val="0"/>
        <w:rPr>
          <w:color w:val="auto"/>
          <w:sz w:val="22"/>
          <w:szCs w:val="22"/>
        </w:rPr>
      </w:pPr>
      <w:r w:rsidRPr="00FE0EE7">
        <w:rPr>
          <w:color w:val="auto"/>
          <w:sz w:val="22"/>
          <w:szCs w:val="22"/>
        </w:rPr>
        <w:t>Where applicable, royalty;</w:t>
      </w:r>
    </w:p>
    <w:p w14:paraId="33EB74FE" w14:textId="77777777" w:rsidR="00346896" w:rsidRPr="00FE0EE7" w:rsidRDefault="00346896" w:rsidP="00FE0EE7">
      <w:pPr>
        <w:pStyle w:val="ListParagraph"/>
        <w:numPr>
          <w:ilvl w:val="2"/>
          <w:numId w:val="34"/>
        </w:numPr>
        <w:tabs>
          <w:tab w:val="left" w:pos="567"/>
        </w:tabs>
        <w:spacing w:after="120" w:line="240" w:lineRule="auto"/>
        <w:ind w:left="1418" w:hanging="851"/>
        <w:contextualSpacing w:val="0"/>
        <w:rPr>
          <w:color w:val="auto"/>
          <w:sz w:val="22"/>
          <w:szCs w:val="22"/>
        </w:rPr>
      </w:pPr>
      <w:r w:rsidRPr="00FE0EE7">
        <w:rPr>
          <w:color w:val="auto"/>
          <w:sz w:val="22"/>
          <w:szCs w:val="22"/>
        </w:rPr>
        <w:t>Bond rate and GDP uplift factor assumptions for PRRT;</w:t>
      </w:r>
    </w:p>
    <w:p w14:paraId="6AF3F48F" w14:textId="77777777" w:rsidR="00346896" w:rsidRPr="00FE0EE7" w:rsidRDefault="00346896" w:rsidP="00FE0EE7">
      <w:pPr>
        <w:pStyle w:val="ListParagraph"/>
        <w:numPr>
          <w:ilvl w:val="2"/>
          <w:numId w:val="34"/>
        </w:numPr>
        <w:tabs>
          <w:tab w:val="left" w:pos="567"/>
        </w:tabs>
        <w:spacing w:after="120" w:line="240" w:lineRule="auto"/>
        <w:ind w:left="1418" w:hanging="851"/>
        <w:contextualSpacing w:val="0"/>
        <w:rPr>
          <w:color w:val="auto"/>
          <w:sz w:val="22"/>
          <w:szCs w:val="22"/>
        </w:rPr>
      </w:pPr>
      <w:r w:rsidRPr="00FE0EE7">
        <w:rPr>
          <w:color w:val="auto"/>
          <w:sz w:val="22"/>
          <w:szCs w:val="22"/>
        </w:rPr>
        <w:t>PRRT credits expected to be applied to this project;</w:t>
      </w:r>
    </w:p>
    <w:p w14:paraId="2BFA0C4F" w14:textId="77777777" w:rsidR="00346896" w:rsidRPr="00FE0EE7" w:rsidRDefault="00346896" w:rsidP="00FE0EE7">
      <w:pPr>
        <w:pStyle w:val="ListParagraph"/>
        <w:numPr>
          <w:ilvl w:val="2"/>
          <w:numId w:val="34"/>
        </w:numPr>
        <w:tabs>
          <w:tab w:val="left" w:pos="567"/>
        </w:tabs>
        <w:spacing w:after="120" w:line="240" w:lineRule="auto"/>
        <w:ind w:left="1418" w:hanging="851"/>
        <w:contextualSpacing w:val="0"/>
        <w:rPr>
          <w:color w:val="auto"/>
          <w:sz w:val="22"/>
          <w:szCs w:val="22"/>
        </w:rPr>
      </w:pPr>
      <w:r w:rsidRPr="00FE0EE7">
        <w:rPr>
          <w:color w:val="auto"/>
          <w:sz w:val="22"/>
          <w:szCs w:val="22"/>
        </w:rPr>
        <w:t>Discount rate (this should reflect the weighted average cost of capital needed to fund the investment);</w:t>
      </w:r>
    </w:p>
    <w:p w14:paraId="32B6FE01" w14:textId="77777777" w:rsidR="00346896" w:rsidRPr="00FE0EE7" w:rsidRDefault="00346896" w:rsidP="00FE0EE7">
      <w:pPr>
        <w:pStyle w:val="ListParagraph"/>
        <w:numPr>
          <w:ilvl w:val="2"/>
          <w:numId w:val="34"/>
        </w:numPr>
        <w:tabs>
          <w:tab w:val="left" w:pos="567"/>
        </w:tabs>
        <w:spacing w:after="120" w:line="240" w:lineRule="auto"/>
        <w:ind w:left="1418" w:hanging="851"/>
        <w:contextualSpacing w:val="0"/>
        <w:rPr>
          <w:color w:val="auto"/>
          <w:sz w:val="22"/>
          <w:szCs w:val="22"/>
        </w:rPr>
      </w:pPr>
      <w:r w:rsidRPr="00FE0EE7">
        <w:rPr>
          <w:color w:val="auto"/>
          <w:sz w:val="22"/>
          <w:szCs w:val="22"/>
        </w:rPr>
        <w:t>Reference date; and</w:t>
      </w:r>
    </w:p>
    <w:p w14:paraId="313B34E5" w14:textId="77777777" w:rsidR="00346896" w:rsidRPr="00FE0EE7" w:rsidRDefault="00346896" w:rsidP="00FE0EE7">
      <w:pPr>
        <w:pStyle w:val="ListParagraph"/>
        <w:numPr>
          <w:ilvl w:val="2"/>
          <w:numId w:val="34"/>
        </w:numPr>
        <w:tabs>
          <w:tab w:val="left" w:pos="567"/>
        </w:tabs>
        <w:spacing w:after="120" w:line="240" w:lineRule="auto"/>
        <w:ind w:left="1418" w:hanging="851"/>
        <w:contextualSpacing w:val="0"/>
        <w:rPr>
          <w:color w:val="auto"/>
          <w:sz w:val="22"/>
          <w:szCs w:val="22"/>
        </w:rPr>
      </w:pPr>
      <w:r w:rsidRPr="00FE0EE7">
        <w:rPr>
          <w:color w:val="auto"/>
          <w:sz w:val="22"/>
          <w:szCs w:val="22"/>
        </w:rPr>
        <w:t xml:space="preserve">Product conversion rates (e.g. </w:t>
      </w:r>
      <w:r w:rsidR="0069160D" w:rsidRPr="00FE0EE7">
        <w:rPr>
          <w:color w:val="auto"/>
          <w:sz w:val="22"/>
          <w:szCs w:val="22"/>
        </w:rPr>
        <w:t>Ms</w:t>
      </w:r>
      <w:r w:rsidRPr="00FE0EE7">
        <w:rPr>
          <w:color w:val="auto"/>
          <w:sz w:val="22"/>
          <w:szCs w:val="22"/>
        </w:rPr>
        <w:t>m</w:t>
      </w:r>
      <w:r w:rsidR="0069160D" w:rsidRPr="00FE0EE7">
        <w:rPr>
          <w:color w:val="auto"/>
          <w:sz w:val="22"/>
          <w:szCs w:val="22"/>
          <w:vertAlign w:val="superscript"/>
        </w:rPr>
        <w:t>3</w:t>
      </w:r>
      <w:r w:rsidRPr="00FE0EE7">
        <w:rPr>
          <w:color w:val="auto"/>
          <w:sz w:val="22"/>
          <w:szCs w:val="22"/>
        </w:rPr>
        <w:t xml:space="preserve"> / </w:t>
      </w:r>
      <w:r w:rsidR="0069160D" w:rsidRPr="00FE0EE7">
        <w:rPr>
          <w:color w:val="auto"/>
          <w:sz w:val="22"/>
          <w:szCs w:val="22"/>
        </w:rPr>
        <w:t>MJ</w:t>
      </w:r>
      <w:r w:rsidRPr="00FE0EE7">
        <w:rPr>
          <w:color w:val="auto"/>
          <w:sz w:val="22"/>
          <w:szCs w:val="22"/>
        </w:rPr>
        <w:t>).</w:t>
      </w:r>
    </w:p>
    <w:p w14:paraId="237582F6" w14:textId="77777777" w:rsidR="006E437F" w:rsidRPr="00FE0EE7" w:rsidRDefault="00FE584F" w:rsidP="00FE0EE7">
      <w:pPr>
        <w:pStyle w:val="ListParagraph"/>
        <w:numPr>
          <w:ilvl w:val="1"/>
          <w:numId w:val="34"/>
        </w:numPr>
        <w:tabs>
          <w:tab w:val="left" w:pos="567"/>
        </w:tabs>
        <w:spacing w:after="120" w:line="240" w:lineRule="auto"/>
        <w:ind w:left="567" w:hanging="567"/>
        <w:contextualSpacing w:val="0"/>
        <w:rPr>
          <w:color w:val="auto"/>
          <w:sz w:val="22"/>
          <w:szCs w:val="22"/>
        </w:rPr>
      </w:pPr>
      <w:r w:rsidRPr="00FE0EE7">
        <w:rPr>
          <w:color w:val="auto"/>
          <w:sz w:val="22"/>
          <w:szCs w:val="22"/>
        </w:rPr>
        <w:lastRenderedPageBreak/>
        <w:t>A table showing the breakdown of capital expenditure, upstream and downstream, across key infrastructure for all development options considered including basis for estimates. The breakdown should include, as applicable:</w:t>
      </w:r>
    </w:p>
    <w:p w14:paraId="6E2DDBC6" w14:textId="77777777" w:rsidR="00346896" w:rsidRPr="00FE0EE7" w:rsidRDefault="00346896" w:rsidP="00FE0EE7">
      <w:pPr>
        <w:pStyle w:val="ListParagraph"/>
        <w:numPr>
          <w:ilvl w:val="2"/>
          <w:numId w:val="34"/>
        </w:numPr>
        <w:tabs>
          <w:tab w:val="left" w:pos="567"/>
        </w:tabs>
        <w:spacing w:after="120" w:line="240" w:lineRule="auto"/>
        <w:ind w:left="1418" w:hanging="851"/>
        <w:contextualSpacing w:val="0"/>
        <w:rPr>
          <w:color w:val="auto"/>
          <w:sz w:val="22"/>
          <w:szCs w:val="22"/>
        </w:rPr>
      </w:pPr>
      <w:r w:rsidRPr="00FE0EE7">
        <w:rPr>
          <w:color w:val="auto"/>
          <w:sz w:val="22"/>
          <w:szCs w:val="22"/>
        </w:rPr>
        <w:t>Pre-FEED and/or Pre-FID costs;</w:t>
      </w:r>
    </w:p>
    <w:p w14:paraId="705534E9" w14:textId="77777777" w:rsidR="00346896" w:rsidRPr="00FE0EE7" w:rsidRDefault="00346896" w:rsidP="00FE0EE7">
      <w:pPr>
        <w:pStyle w:val="ListParagraph"/>
        <w:numPr>
          <w:ilvl w:val="2"/>
          <w:numId w:val="34"/>
        </w:numPr>
        <w:tabs>
          <w:tab w:val="left" w:pos="567"/>
        </w:tabs>
        <w:spacing w:after="120" w:line="240" w:lineRule="auto"/>
        <w:ind w:left="1418" w:hanging="851"/>
        <w:contextualSpacing w:val="0"/>
        <w:rPr>
          <w:color w:val="auto"/>
          <w:sz w:val="22"/>
          <w:szCs w:val="22"/>
        </w:rPr>
      </w:pPr>
      <w:r w:rsidRPr="00FE0EE7">
        <w:rPr>
          <w:color w:val="auto"/>
          <w:sz w:val="22"/>
          <w:szCs w:val="22"/>
        </w:rPr>
        <w:t>Future exploration within the lease area;</w:t>
      </w:r>
    </w:p>
    <w:p w14:paraId="0FDBC3C3" w14:textId="77777777" w:rsidR="00346896" w:rsidRPr="00FE0EE7" w:rsidRDefault="00346896" w:rsidP="00FE0EE7">
      <w:pPr>
        <w:pStyle w:val="ListParagraph"/>
        <w:numPr>
          <w:ilvl w:val="2"/>
          <w:numId w:val="34"/>
        </w:numPr>
        <w:tabs>
          <w:tab w:val="left" w:pos="567"/>
        </w:tabs>
        <w:spacing w:after="120" w:line="240" w:lineRule="auto"/>
        <w:ind w:left="1418" w:hanging="851"/>
        <w:contextualSpacing w:val="0"/>
        <w:rPr>
          <w:color w:val="auto"/>
          <w:sz w:val="22"/>
          <w:szCs w:val="22"/>
        </w:rPr>
      </w:pPr>
      <w:r w:rsidRPr="00FE0EE7">
        <w:rPr>
          <w:color w:val="auto"/>
          <w:sz w:val="22"/>
          <w:szCs w:val="22"/>
        </w:rPr>
        <w:t xml:space="preserve">Future appraisal within the lease area; </w:t>
      </w:r>
    </w:p>
    <w:p w14:paraId="7CF1BFB7" w14:textId="77777777" w:rsidR="00346896" w:rsidRPr="00FE0EE7" w:rsidRDefault="00346896" w:rsidP="00FE0EE7">
      <w:pPr>
        <w:pStyle w:val="ListParagraph"/>
        <w:numPr>
          <w:ilvl w:val="2"/>
          <w:numId w:val="34"/>
        </w:numPr>
        <w:tabs>
          <w:tab w:val="left" w:pos="567"/>
        </w:tabs>
        <w:spacing w:after="120" w:line="240" w:lineRule="auto"/>
        <w:ind w:left="1418" w:hanging="851"/>
        <w:contextualSpacing w:val="0"/>
        <w:rPr>
          <w:color w:val="auto"/>
          <w:sz w:val="22"/>
          <w:szCs w:val="22"/>
        </w:rPr>
      </w:pPr>
      <w:r w:rsidRPr="00FE0EE7">
        <w:rPr>
          <w:color w:val="auto"/>
          <w:sz w:val="22"/>
          <w:szCs w:val="22"/>
        </w:rPr>
        <w:t xml:space="preserve">Development well costs (rig types, well profile types and multilateral well sites); </w:t>
      </w:r>
    </w:p>
    <w:p w14:paraId="6154D24E" w14:textId="77777777" w:rsidR="00346896" w:rsidRPr="00FE0EE7" w:rsidRDefault="00346896" w:rsidP="00FE0EE7">
      <w:pPr>
        <w:pStyle w:val="ListParagraph"/>
        <w:numPr>
          <w:ilvl w:val="2"/>
          <w:numId w:val="34"/>
        </w:numPr>
        <w:tabs>
          <w:tab w:val="left" w:pos="567"/>
        </w:tabs>
        <w:spacing w:after="120" w:line="240" w:lineRule="auto"/>
        <w:ind w:left="1418" w:hanging="851"/>
        <w:contextualSpacing w:val="0"/>
        <w:rPr>
          <w:color w:val="auto"/>
          <w:sz w:val="22"/>
          <w:szCs w:val="22"/>
        </w:rPr>
      </w:pPr>
      <w:r w:rsidRPr="00FE0EE7">
        <w:rPr>
          <w:color w:val="auto"/>
          <w:sz w:val="22"/>
          <w:szCs w:val="22"/>
        </w:rPr>
        <w:t>Subsea facilities (manifolding, equipment and flow lines);</w:t>
      </w:r>
    </w:p>
    <w:p w14:paraId="0E14D9DF" w14:textId="77777777" w:rsidR="00346896" w:rsidRPr="00FE0EE7" w:rsidRDefault="00346896" w:rsidP="00FE0EE7">
      <w:pPr>
        <w:pStyle w:val="ListParagraph"/>
        <w:numPr>
          <w:ilvl w:val="2"/>
          <w:numId w:val="34"/>
        </w:numPr>
        <w:tabs>
          <w:tab w:val="left" w:pos="567"/>
        </w:tabs>
        <w:spacing w:after="120" w:line="240" w:lineRule="auto"/>
        <w:ind w:left="1418" w:hanging="851"/>
        <w:contextualSpacing w:val="0"/>
        <w:rPr>
          <w:color w:val="auto"/>
          <w:sz w:val="22"/>
          <w:szCs w:val="22"/>
        </w:rPr>
      </w:pPr>
      <w:r w:rsidRPr="00FE0EE7">
        <w:rPr>
          <w:color w:val="auto"/>
          <w:sz w:val="22"/>
          <w:szCs w:val="22"/>
        </w:rPr>
        <w:t>Production facilities (Wellhead Platforms, Central Processing Facility, FLNG facility);</w:t>
      </w:r>
    </w:p>
    <w:p w14:paraId="50F70A31" w14:textId="77777777" w:rsidR="00346896" w:rsidRPr="00FE0EE7" w:rsidRDefault="00346896" w:rsidP="00FE0EE7">
      <w:pPr>
        <w:pStyle w:val="ListParagraph"/>
        <w:numPr>
          <w:ilvl w:val="2"/>
          <w:numId w:val="34"/>
        </w:numPr>
        <w:tabs>
          <w:tab w:val="left" w:pos="567"/>
        </w:tabs>
        <w:spacing w:after="120" w:line="240" w:lineRule="auto"/>
        <w:ind w:left="1418" w:hanging="851"/>
        <w:contextualSpacing w:val="0"/>
        <w:rPr>
          <w:color w:val="auto"/>
          <w:sz w:val="22"/>
          <w:szCs w:val="22"/>
        </w:rPr>
      </w:pPr>
      <w:r w:rsidRPr="00FE0EE7">
        <w:rPr>
          <w:color w:val="auto"/>
          <w:sz w:val="22"/>
          <w:szCs w:val="22"/>
        </w:rPr>
        <w:t>Terminals (inland and coastal terminals including storage and export systems);</w:t>
      </w:r>
    </w:p>
    <w:p w14:paraId="304ECCE6" w14:textId="77777777" w:rsidR="00346896" w:rsidRPr="00FE0EE7" w:rsidRDefault="00346896" w:rsidP="00FE0EE7">
      <w:pPr>
        <w:pStyle w:val="ListParagraph"/>
        <w:numPr>
          <w:ilvl w:val="2"/>
          <w:numId w:val="34"/>
        </w:numPr>
        <w:tabs>
          <w:tab w:val="left" w:pos="567"/>
        </w:tabs>
        <w:spacing w:after="120" w:line="240" w:lineRule="auto"/>
        <w:ind w:left="1418" w:hanging="851"/>
        <w:contextualSpacing w:val="0"/>
        <w:rPr>
          <w:color w:val="auto"/>
          <w:sz w:val="22"/>
          <w:szCs w:val="22"/>
        </w:rPr>
      </w:pPr>
      <w:r w:rsidRPr="00FE0EE7">
        <w:rPr>
          <w:color w:val="auto"/>
          <w:sz w:val="22"/>
          <w:szCs w:val="22"/>
        </w:rPr>
        <w:t>Pipelines (infield flowlines and export pipelines);</w:t>
      </w:r>
    </w:p>
    <w:p w14:paraId="5A1757E3" w14:textId="77777777" w:rsidR="00346896" w:rsidRPr="00FE0EE7" w:rsidRDefault="00346896" w:rsidP="00FE0EE7">
      <w:pPr>
        <w:pStyle w:val="ListParagraph"/>
        <w:numPr>
          <w:ilvl w:val="2"/>
          <w:numId w:val="34"/>
        </w:numPr>
        <w:tabs>
          <w:tab w:val="left" w:pos="567"/>
        </w:tabs>
        <w:spacing w:after="120" w:line="240" w:lineRule="auto"/>
        <w:ind w:left="1418" w:hanging="851"/>
        <w:contextualSpacing w:val="0"/>
        <w:rPr>
          <w:color w:val="auto"/>
          <w:sz w:val="22"/>
          <w:szCs w:val="22"/>
        </w:rPr>
      </w:pPr>
      <w:r w:rsidRPr="00FE0EE7">
        <w:rPr>
          <w:color w:val="auto"/>
          <w:sz w:val="22"/>
          <w:szCs w:val="22"/>
        </w:rPr>
        <w:t>Relocation and Decommissioning;</w:t>
      </w:r>
    </w:p>
    <w:p w14:paraId="4C93927B" w14:textId="77777777" w:rsidR="00346896" w:rsidRPr="00FE0EE7" w:rsidRDefault="00346896" w:rsidP="00FE0EE7">
      <w:pPr>
        <w:pStyle w:val="ListParagraph"/>
        <w:numPr>
          <w:ilvl w:val="2"/>
          <w:numId w:val="34"/>
        </w:numPr>
        <w:tabs>
          <w:tab w:val="left" w:pos="567"/>
        </w:tabs>
        <w:spacing w:after="120" w:line="240" w:lineRule="auto"/>
        <w:ind w:left="1418" w:hanging="851"/>
        <w:contextualSpacing w:val="0"/>
        <w:rPr>
          <w:color w:val="auto"/>
          <w:sz w:val="22"/>
          <w:szCs w:val="22"/>
        </w:rPr>
      </w:pPr>
      <w:r w:rsidRPr="00FE0EE7">
        <w:rPr>
          <w:color w:val="auto"/>
          <w:sz w:val="22"/>
          <w:szCs w:val="22"/>
        </w:rPr>
        <w:t xml:space="preserve">Owners Costs; and </w:t>
      </w:r>
    </w:p>
    <w:p w14:paraId="54674B8E" w14:textId="77777777" w:rsidR="00346896" w:rsidRPr="00FE0EE7" w:rsidRDefault="00346896" w:rsidP="00FE0EE7">
      <w:pPr>
        <w:pStyle w:val="ListParagraph"/>
        <w:numPr>
          <w:ilvl w:val="2"/>
          <w:numId w:val="34"/>
        </w:numPr>
        <w:tabs>
          <w:tab w:val="left" w:pos="567"/>
        </w:tabs>
        <w:spacing w:line="240" w:lineRule="auto"/>
        <w:ind w:left="1418" w:hanging="851"/>
        <w:rPr>
          <w:color w:val="auto"/>
          <w:sz w:val="22"/>
          <w:szCs w:val="22"/>
        </w:rPr>
      </w:pPr>
      <w:r w:rsidRPr="00FE0EE7">
        <w:rPr>
          <w:color w:val="auto"/>
          <w:sz w:val="22"/>
          <w:szCs w:val="22"/>
        </w:rPr>
        <w:t>Contingency.</w:t>
      </w:r>
    </w:p>
    <w:p w14:paraId="19CA5C62" w14:textId="77777777" w:rsidR="00346896" w:rsidRPr="00FE0EE7" w:rsidRDefault="00346896" w:rsidP="00FE0EE7">
      <w:pPr>
        <w:tabs>
          <w:tab w:val="left" w:pos="567"/>
        </w:tabs>
        <w:spacing w:line="240" w:lineRule="auto"/>
        <w:rPr>
          <w:color w:val="auto"/>
          <w:sz w:val="22"/>
          <w:szCs w:val="22"/>
        </w:rPr>
      </w:pPr>
    </w:p>
    <w:p w14:paraId="0346CE42" w14:textId="77777777" w:rsidR="00346896" w:rsidRPr="00FE0EE7" w:rsidRDefault="00346896" w:rsidP="00D553D5">
      <w:pPr>
        <w:pStyle w:val="Heading4"/>
      </w:pPr>
      <w:r w:rsidRPr="00FE0EE7">
        <w:t>Proposed work program</w:t>
      </w:r>
    </w:p>
    <w:p w14:paraId="4E63655C" w14:textId="77777777" w:rsidR="00346896" w:rsidRPr="00FE0EE7" w:rsidRDefault="00FE584F" w:rsidP="00FE0EE7">
      <w:pPr>
        <w:pStyle w:val="ListParagraph"/>
        <w:numPr>
          <w:ilvl w:val="1"/>
          <w:numId w:val="34"/>
        </w:numPr>
        <w:tabs>
          <w:tab w:val="left" w:pos="567"/>
        </w:tabs>
        <w:spacing w:after="120" w:line="240" w:lineRule="auto"/>
        <w:contextualSpacing w:val="0"/>
        <w:rPr>
          <w:color w:val="auto"/>
          <w:sz w:val="22"/>
          <w:szCs w:val="22"/>
        </w:rPr>
      </w:pPr>
      <w:r w:rsidRPr="00FE0EE7">
        <w:rPr>
          <w:color w:val="auto"/>
          <w:sz w:val="22"/>
          <w:szCs w:val="22"/>
        </w:rPr>
        <w:t xml:space="preserve">Work programs are </w:t>
      </w:r>
      <w:r w:rsidR="00346896" w:rsidRPr="00FE0EE7">
        <w:rPr>
          <w:color w:val="auto"/>
          <w:sz w:val="22"/>
          <w:szCs w:val="22"/>
        </w:rPr>
        <w:t>unique to each retention lease.</w:t>
      </w:r>
    </w:p>
    <w:p w14:paraId="56345AC8" w14:textId="77777777" w:rsidR="00346896" w:rsidRPr="00FE0EE7" w:rsidRDefault="00346896" w:rsidP="00FE0EE7">
      <w:pPr>
        <w:tabs>
          <w:tab w:val="left" w:pos="567"/>
        </w:tabs>
        <w:spacing w:after="120" w:line="240" w:lineRule="auto"/>
        <w:ind w:left="567"/>
        <w:rPr>
          <w:color w:val="auto"/>
          <w:sz w:val="22"/>
          <w:szCs w:val="22"/>
        </w:rPr>
      </w:pPr>
      <w:r w:rsidRPr="00FE0EE7">
        <w:rPr>
          <w:color w:val="auto"/>
          <w:sz w:val="22"/>
          <w:szCs w:val="22"/>
        </w:rPr>
        <w:t xml:space="preserve">As referenced in assessment, above, applicants are expected to identify the phasing of activities. In general, a year-by-year breakdown for the </w:t>
      </w:r>
      <w:proofErr w:type="gramStart"/>
      <w:r w:rsidRPr="00FE0EE7">
        <w:rPr>
          <w:color w:val="auto"/>
          <w:sz w:val="22"/>
          <w:szCs w:val="22"/>
        </w:rPr>
        <w:t>five year</w:t>
      </w:r>
      <w:proofErr w:type="gramEnd"/>
      <w:r w:rsidRPr="00FE0EE7">
        <w:rPr>
          <w:color w:val="auto"/>
          <w:sz w:val="22"/>
          <w:szCs w:val="22"/>
        </w:rPr>
        <w:t xml:space="preserve"> retention lease term is not required. However, the work program should be consistent (with regards to timing, the activities proposed and the level of effort) with what a titleholder could be expected to reasonably carry out in order to commercialise the project in a timely manner. </w:t>
      </w:r>
    </w:p>
    <w:p w14:paraId="318B8BC4" w14:textId="77777777" w:rsidR="00346896" w:rsidRPr="00FE0EE7" w:rsidRDefault="00346896" w:rsidP="00FE0EE7">
      <w:pPr>
        <w:tabs>
          <w:tab w:val="left" w:pos="567"/>
        </w:tabs>
        <w:spacing w:after="120" w:line="240" w:lineRule="auto"/>
        <w:ind w:left="567"/>
        <w:rPr>
          <w:color w:val="auto"/>
          <w:sz w:val="22"/>
          <w:szCs w:val="22"/>
        </w:rPr>
      </w:pPr>
      <w:r w:rsidRPr="00FE0EE7">
        <w:rPr>
          <w:color w:val="auto"/>
          <w:sz w:val="22"/>
          <w:szCs w:val="22"/>
        </w:rPr>
        <w:t xml:space="preserve">Annual reporting of activities carried out by lessees is required through the annual title assessment reports.  </w:t>
      </w:r>
    </w:p>
    <w:p w14:paraId="517DA143" w14:textId="77777777" w:rsidR="00346896" w:rsidRPr="00FE0EE7" w:rsidRDefault="00346896" w:rsidP="00FE0EE7">
      <w:pPr>
        <w:tabs>
          <w:tab w:val="left" w:pos="567"/>
        </w:tabs>
        <w:spacing w:after="120" w:line="240" w:lineRule="auto"/>
        <w:ind w:left="567"/>
        <w:rPr>
          <w:color w:val="auto"/>
          <w:sz w:val="22"/>
          <w:szCs w:val="22"/>
        </w:rPr>
      </w:pPr>
      <w:r w:rsidRPr="00FE0EE7">
        <w:rPr>
          <w:color w:val="auto"/>
          <w:sz w:val="22"/>
          <w:szCs w:val="22"/>
        </w:rPr>
        <w:t>In the case of a lease renewal, lessees should describe how the work program to date has made progress towards removing identified commercial barriers.</w:t>
      </w:r>
    </w:p>
    <w:p w14:paraId="5BA076FB" w14:textId="77777777" w:rsidR="00DC6F6F" w:rsidRPr="00FE0EE7" w:rsidRDefault="00FE584F" w:rsidP="00FE0EE7">
      <w:pPr>
        <w:pStyle w:val="ListParagraph"/>
        <w:numPr>
          <w:ilvl w:val="1"/>
          <w:numId w:val="34"/>
        </w:numPr>
        <w:tabs>
          <w:tab w:val="left" w:pos="567"/>
        </w:tabs>
        <w:spacing w:after="120" w:line="240" w:lineRule="auto"/>
        <w:ind w:left="567" w:hanging="567"/>
        <w:contextualSpacing w:val="0"/>
        <w:rPr>
          <w:color w:val="auto"/>
          <w:sz w:val="22"/>
          <w:szCs w:val="22"/>
        </w:rPr>
      </w:pPr>
      <w:r w:rsidRPr="00FE0EE7">
        <w:rPr>
          <w:color w:val="auto"/>
          <w:sz w:val="22"/>
          <w:szCs w:val="22"/>
        </w:rPr>
        <w:t>Where a resource is located across two or more adjacent titles held by the applicant, the applicant must provide a standalone work program for each lease area with work program activities and indicative expe</w:t>
      </w:r>
      <w:r w:rsidR="00DC6F6F" w:rsidRPr="00FE0EE7">
        <w:rPr>
          <w:color w:val="auto"/>
          <w:sz w:val="22"/>
          <w:szCs w:val="22"/>
        </w:rPr>
        <w:t>nditure specific to each lease.</w:t>
      </w:r>
    </w:p>
    <w:p w14:paraId="36016DC0" w14:textId="77777777" w:rsidR="006E437F" w:rsidRPr="00FE0EE7" w:rsidRDefault="00FE584F" w:rsidP="00FE0EE7">
      <w:pPr>
        <w:pStyle w:val="ListParagraph"/>
        <w:numPr>
          <w:ilvl w:val="1"/>
          <w:numId w:val="34"/>
        </w:numPr>
        <w:tabs>
          <w:tab w:val="left" w:pos="567"/>
        </w:tabs>
        <w:spacing w:after="120" w:line="240" w:lineRule="auto"/>
        <w:ind w:left="567" w:hanging="567"/>
        <w:contextualSpacing w:val="0"/>
        <w:rPr>
          <w:color w:val="auto"/>
          <w:sz w:val="22"/>
          <w:szCs w:val="22"/>
        </w:rPr>
      </w:pPr>
      <w:r w:rsidRPr="00FE0EE7">
        <w:rPr>
          <w:color w:val="auto"/>
          <w:sz w:val="22"/>
          <w:szCs w:val="22"/>
        </w:rPr>
        <w:t>Proposed work programs may include, for example:</w:t>
      </w:r>
    </w:p>
    <w:p w14:paraId="6FDC2E2C" w14:textId="77777777" w:rsidR="00DC6F6F" w:rsidRPr="00FE0EE7" w:rsidRDefault="00DC6F6F" w:rsidP="00FE0EE7">
      <w:pPr>
        <w:pStyle w:val="ListParagraph"/>
        <w:numPr>
          <w:ilvl w:val="2"/>
          <w:numId w:val="34"/>
        </w:numPr>
        <w:tabs>
          <w:tab w:val="left" w:pos="567"/>
        </w:tabs>
        <w:spacing w:after="120" w:line="240" w:lineRule="auto"/>
        <w:ind w:left="1418" w:hanging="851"/>
        <w:contextualSpacing w:val="0"/>
        <w:rPr>
          <w:color w:val="auto"/>
          <w:sz w:val="22"/>
          <w:szCs w:val="22"/>
        </w:rPr>
      </w:pPr>
      <w:r w:rsidRPr="00FE0EE7">
        <w:rPr>
          <w:color w:val="auto"/>
          <w:sz w:val="22"/>
          <w:szCs w:val="22"/>
        </w:rPr>
        <w:t>project feasibility studies to bring the project closer to FID;</w:t>
      </w:r>
    </w:p>
    <w:p w14:paraId="6CE43C80" w14:textId="77777777" w:rsidR="00DC6F6F" w:rsidRPr="00FE0EE7" w:rsidRDefault="00DC6F6F" w:rsidP="00FE0EE7">
      <w:pPr>
        <w:pStyle w:val="ListParagraph"/>
        <w:numPr>
          <w:ilvl w:val="2"/>
          <w:numId w:val="34"/>
        </w:numPr>
        <w:tabs>
          <w:tab w:val="left" w:pos="567"/>
        </w:tabs>
        <w:spacing w:after="120" w:line="240" w:lineRule="auto"/>
        <w:ind w:left="1418" w:hanging="851"/>
        <w:contextualSpacing w:val="0"/>
        <w:rPr>
          <w:color w:val="auto"/>
          <w:sz w:val="22"/>
          <w:szCs w:val="22"/>
        </w:rPr>
      </w:pPr>
      <w:r w:rsidRPr="00FE0EE7">
        <w:rPr>
          <w:color w:val="auto"/>
          <w:sz w:val="22"/>
          <w:szCs w:val="22"/>
        </w:rPr>
        <w:t>reviews of exploration data or proposals to undertake further appraisal or exploration activities to improve understanding of the hydrocarbon resources; and</w:t>
      </w:r>
    </w:p>
    <w:p w14:paraId="0AF1F7B5" w14:textId="77777777" w:rsidR="00DC6F6F" w:rsidRPr="00FE0EE7" w:rsidRDefault="00DC6F6F" w:rsidP="00FE0EE7">
      <w:pPr>
        <w:pStyle w:val="ListParagraph"/>
        <w:numPr>
          <w:ilvl w:val="2"/>
          <w:numId w:val="34"/>
        </w:numPr>
        <w:tabs>
          <w:tab w:val="left" w:pos="567"/>
        </w:tabs>
        <w:spacing w:after="120" w:line="240" w:lineRule="auto"/>
        <w:ind w:left="1418" w:hanging="851"/>
        <w:contextualSpacing w:val="0"/>
        <w:rPr>
          <w:color w:val="auto"/>
          <w:sz w:val="22"/>
          <w:szCs w:val="22"/>
        </w:rPr>
      </w:pPr>
      <w:r w:rsidRPr="00FE0EE7">
        <w:rPr>
          <w:color w:val="auto"/>
          <w:sz w:val="22"/>
          <w:szCs w:val="22"/>
        </w:rPr>
        <w:t>reviews of technology to assess potential reductions in capital costs.</w:t>
      </w:r>
    </w:p>
    <w:p w14:paraId="7FB8A24F" w14:textId="77777777" w:rsidR="00FE584F" w:rsidRPr="00FE0EE7" w:rsidRDefault="00FE584F" w:rsidP="00FE0EE7">
      <w:pPr>
        <w:pStyle w:val="ListParagraph"/>
        <w:numPr>
          <w:ilvl w:val="2"/>
          <w:numId w:val="34"/>
        </w:numPr>
        <w:tabs>
          <w:tab w:val="left" w:pos="567"/>
        </w:tabs>
        <w:spacing w:line="240" w:lineRule="auto"/>
        <w:ind w:left="1418" w:hanging="851"/>
        <w:rPr>
          <w:color w:val="auto"/>
          <w:sz w:val="22"/>
          <w:szCs w:val="22"/>
        </w:rPr>
      </w:pPr>
      <w:r w:rsidRPr="00FE0EE7">
        <w:rPr>
          <w:color w:val="auto"/>
          <w:sz w:val="22"/>
          <w:szCs w:val="22"/>
        </w:rPr>
        <w:t>Refer to Section 3 of these guidelines for further detai</w:t>
      </w:r>
      <w:r w:rsidR="00885B50" w:rsidRPr="00FE0EE7">
        <w:rPr>
          <w:color w:val="auto"/>
          <w:sz w:val="22"/>
          <w:szCs w:val="22"/>
        </w:rPr>
        <w:t>l on work program requirements.</w:t>
      </w:r>
    </w:p>
    <w:p w14:paraId="69379C72" w14:textId="77777777" w:rsidR="00DC6F6F" w:rsidRPr="00FE0EE7" w:rsidRDefault="00DC6F6F" w:rsidP="00FE0EE7">
      <w:pPr>
        <w:tabs>
          <w:tab w:val="left" w:pos="567"/>
        </w:tabs>
        <w:spacing w:line="240" w:lineRule="auto"/>
        <w:rPr>
          <w:color w:val="auto"/>
          <w:sz w:val="22"/>
          <w:szCs w:val="22"/>
          <w:u w:val="single"/>
        </w:rPr>
      </w:pPr>
    </w:p>
    <w:p w14:paraId="1579A30C" w14:textId="77777777" w:rsidR="00FE584F" w:rsidRPr="00FE0EE7" w:rsidRDefault="00FE584F" w:rsidP="00D553D5">
      <w:pPr>
        <w:pStyle w:val="Heading4"/>
      </w:pPr>
      <w:r w:rsidRPr="00FE0EE7">
        <w:t>Renewal only – compliance</w:t>
      </w:r>
    </w:p>
    <w:p w14:paraId="7670D0D5" w14:textId="77777777" w:rsidR="00DC6F6F" w:rsidRPr="00FE0EE7" w:rsidRDefault="00FE584F" w:rsidP="00FE0EE7">
      <w:pPr>
        <w:pStyle w:val="ListParagraph"/>
        <w:numPr>
          <w:ilvl w:val="1"/>
          <w:numId w:val="34"/>
        </w:numPr>
        <w:tabs>
          <w:tab w:val="left" w:pos="567"/>
        </w:tabs>
        <w:spacing w:line="240" w:lineRule="auto"/>
        <w:ind w:left="567" w:hanging="567"/>
        <w:rPr>
          <w:color w:val="auto"/>
          <w:sz w:val="22"/>
          <w:szCs w:val="22"/>
        </w:rPr>
      </w:pPr>
      <w:r w:rsidRPr="00FE0EE7">
        <w:rPr>
          <w:color w:val="auto"/>
          <w:sz w:val="22"/>
          <w:szCs w:val="22"/>
        </w:rPr>
        <w:t>Titleholders applying to renew their retention lease(s) should include an overview of compliance with the title conditions, chapters 2, 4, 6, Part 7.1 of the OPGGSA and the associated regulations. If applicable, provide details of non-compliance (s154).</w:t>
      </w:r>
    </w:p>
    <w:sectPr w:rsidR="00DC6F6F" w:rsidRPr="00FE0EE7" w:rsidSect="00D150A0">
      <w:headerReference w:type="even" r:id="rId31"/>
      <w:headerReference w:type="default" r:id="rId32"/>
      <w:footerReference w:type="even" r:id="rId33"/>
      <w:footerReference w:type="default" r:id="rId34"/>
      <w:headerReference w:type="first" r:id="rId35"/>
      <w:footerReference w:type="first" r:id="rId36"/>
      <w:type w:val="continuous"/>
      <w:pgSz w:w="11906" w:h="16838" w:code="9"/>
      <w:pgMar w:top="822" w:right="1304" w:bottom="1440" w:left="130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E26C15" w14:textId="77777777" w:rsidR="009C2D03" w:rsidRDefault="009C2D03">
      <w:r>
        <w:separator/>
      </w:r>
    </w:p>
    <w:p w14:paraId="32593C98" w14:textId="77777777" w:rsidR="009C2D03" w:rsidRDefault="009C2D03"/>
  </w:endnote>
  <w:endnote w:type="continuationSeparator" w:id="0">
    <w:p w14:paraId="6B740A73" w14:textId="77777777" w:rsidR="009C2D03" w:rsidRDefault="009C2D03">
      <w:r>
        <w:continuationSeparator/>
      </w:r>
    </w:p>
    <w:p w14:paraId="5DC1D7FC" w14:textId="77777777" w:rsidR="009C2D03" w:rsidRDefault="009C2D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15381" w14:textId="77777777" w:rsidR="00CC7A13" w:rsidRDefault="00CC7A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55B851" w14:textId="054A864F" w:rsidR="00B26FCF" w:rsidRPr="00B26FCF" w:rsidRDefault="00B26FCF" w:rsidP="00D150A0">
    <w:pPr>
      <w:pStyle w:val="Footer"/>
      <w:tabs>
        <w:tab w:val="left" w:pos="6976"/>
      </w:tabs>
    </w:pPr>
    <w:r>
      <w:t>Guideline - Grant and Administration of a Retention Lease and Related Matters</w:t>
    </w:r>
    <w:r>
      <w:tab/>
    </w:r>
    <w:r>
      <w:tab/>
    </w:r>
    <w:r>
      <w:fldChar w:fldCharType="begin"/>
    </w:r>
    <w:r>
      <w:instrText xml:space="preserve"> PAGE   \* MERGEFORMAT </w:instrText>
    </w:r>
    <w:r>
      <w:fldChar w:fldCharType="separate"/>
    </w:r>
    <w:r w:rsidR="00B32BD2">
      <w:rPr>
        <w:noProof/>
      </w:rPr>
      <w:t>15</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7315A" w14:textId="77777777" w:rsidR="00CC7A13" w:rsidRDefault="00CC7A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DA06F2" w14:textId="77777777" w:rsidR="009C2D03" w:rsidRDefault="009C2D03">
      <w:r>
        <w:separator/>
      </w:r>
    </w:p>
    <w:p w14:paraId="5F496740" w14:textId="77777777" w:rsidR="009C2D03" w:rsidRDefault="009C2D03"/>
  </w:footnote>
  <w:footnote w:type="continuationSeparator" w:id="0">
    <w:p w14:paraId="24451207" w14:textId="77777777" w:rsidR="009C2D03" w:rsidRDefault="009C2D03">
      <w:r>
        <w:continuationSeparator/>
      </w:r>
    </w:p>
    <w:p w14:paraId="08D14C92" w14:textId="77777777" w:rsidR="009C2D03" w:rsidRDefault="009C2D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6A096C" w14:textId="77777777" w:rsidR="00CC7A13" w:rsidRDefault="00CC7A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5F1A80" w14:textId="77777777" w:rsidR="00CC7A13" w:rsidRDefault="00CC7A1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427933" w14:textId="77777777" w:rsidR="00CC7A13" w:rsidRDefault="00CC7A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70698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54A4D5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B34288C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ECE4A12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7B562EA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72A212F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70D4075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A8DED906"/>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5AECFC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BEFAFF7C"/>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87AC36EA"/>
    <w:lvl w:ilvl="0">
      <w:start w:val="1"/>
      <w:numFmt w:val="bullet"/>
      <w:pStyle w:val="ListBullet"/>
      <w:lvlText w:val=""/>
      <w:lvlJc w:val="left"/>
      <w:pPr>
        <w:tabs>
          <w:tab w:val="num" w:pos="360"/>
        </w:tabs>
        <w:ind w:left="360" w:hanging="360"/>
      </w:pPr>
      <w:rPr>
        <w:rFonts w:ascii="Wingdings" w:hAnsi="Wingdings" w:hint="default"/>
      </w:rPr>
    </w:lvl>
  </w:abstractNum>
  <w:abstractNum w:abstractNumId="11" w15:restartNumberingAfterBreak="0">
    <w:nsid w:val="1E9D21F5"/>
    <w:multiLevelType w:val="multilevel"/>
    <w:tmpl w:val="E87EA6A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5114506"/>
    <w:multiLevelType w:val="multilevel"/>
    <w:tmpl w:val="6EECAE2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58B0B54"/>
    <w:multiLevelType w:val="multilevel"/>
    <w:tmpl w:val="60146314"/>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5962F8F"/>
    <w:multiLevelType w:val="multilevel"/>
    <w:tmpl w:val="2ABCB470"/>
    <w:lvl w:ilvl="0">
      <w:start w:val="1"/>
      <w:numFmt w:val="none"/>
      <w:lvlText w:val=""/>
      <w:lvlJc w:val="left"/>
      <w:pPr>
        <w:tabs>
          <w:tab w:val="num" w:pos="432"/>
        </w:tabs>
        <w:ind w:left="432" w:hanging="432"/>
      </w:pPr>
      <w:rPr>
        <w:rFonts w:hint="default"/>
      </w:rPr>
    </w:lvl>
    <w:lvl w:ilvl="1">
      <w:start w:val="1"/>
      <w:numFmt w:val="decimal"/>
      <w:lvlText w:val="%1%2"/>
      <w:lvlJc w:val="left"/>
      <w:pPr>
        <w:tabs>
          <w:tab w:val="num" w:pos="634"/>
        </w:tabs>
        <w:ind w:left="634" w:hanging="454"/>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1%2.%3.%4.%5"/>
      <w:lvlJc w:val="left"/>
      <w:pPr>
        <w:tabs>
          <w:tab w:val="num" w:pos="1106"/>
        </w:tabs>
        <w:ind w:left="1106" w:hanging="1106"/>
      </w:pPr>
      <w:rPr>
        <w:rFonts w:hint="default"/>
      </w:rPr>
    </w:lvl>
    <w:lvl w:ilvl="5">
      <w:start w:val="1"/>
      <w:numFmt w:val="decimal"/>
      <w:lvlText w:val="%1"/>
      <w:lvlJc w:val="left"/>
      <w:pPr>
        <w:tabs>
          <w:tab w:val="num" w:pos="0"/>
        </w:tabs>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26BE71D3"/>
    <w:multiLevelType w:val="multilevel"/>
    <w:tmpl w:val="0A0814E0"/>
    <w:lvl w:ilvl="0">
      <w:start w:val="1"/>
      <w:numFmt w:val="decimal"/>
      <w:pStyle w:val="ListContinue2"/>
      <w:lvlText w:val="%1"/>
      <w:lvlJc w:val="left"/>
      <w:pPr>
        <w:tabs>
          <w:tab w:val="num" w:pos="0"/>
        </w:tabs>
        <w:ind w:left="360" w:hanging="360"/>
      </w:pPr>
      <w:rPr>
        <w:rFonts w:hint="default"/>
        <w:sz w:val="20"/>
      </w:rPr>
    </w:lvl>
    <w:lvl w:ilvl="1">
      <w:start w:val="1"/>
      <w:numFmt w:val="lowerRoman"/>
      <w:lvlText w:val="%2)"/>
      <w:lvlJc w:val="left"/>
      <w:pPr>
        <w:tabs>
          <w:tab w:val="num" w:pos="0"/>
        </w:tabs>
        <w:ind w:left="720" w:hanging="360"/>
      </w:pPr>
      <w:rPr>
        <w:rFonts w:hint="default"/>
      </w:rPr>
    </w:lvl>
    <w:lvl w:ilvl="2">
      <w:start w:val="1"/>
      <w:numFmt w:val="lowerLetter"/>
      <w:lvlText w:val="%3)"/>
      <w:lvlJc w:val="left"/>
      <w:pPr>
        <w:tabs>
          <w:tab w:val="num" w:pos="0"/>
        </w:tabs>
        <w:ind w:left="1080" w:hanging="360"/>
      </w:pPr>
      <w:rPr>
        <w:rFonts w:hint="default"/>
      </w:rPr>
    </w:lvl>
    <w:lvl w:ilvl="3">
      <w:start w:val="1"/>
      <w:numFmt w:val="lowerLetter"/>
      <w:lvlText w:val="(%4)"/>
      <w:lvlJc w:val="left"/>
      <w:pPr>
        <w:tabs>
          <w:tab w:val="num" w:pos="0"/>
        </w:tabs>
        <w:ind w:left="1440" w:hanging="360"/>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6" w15:restartNumberingAfterBreak="0">
    <w:nsid w:val="284D3BFC"/>
    <w:multiLevelType w:val="multilevel"/>
    <w:tmpl w:val="D8F27B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77E221A"/>
    <w:multiLevelType w:val="multilevel"/>
    <w:tmpl w:val="E6C6C03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BD51955"/>
    <w:multiLevelType w:val="multilevel"/>
    <w:tmpl w:val="DFAA2E62"/>
    <w:lvl w:ilvl="0">
      <w:start w:val="1"/>
      <w:numFmt w:val="bullet"/>
      <w:pStyle w:val="ListContinue"/>
      <w:lvlText w:val=""/>
      <w:lvlJc w:val="left"/>
      <w:pPr>
        <w:tabs>
          <w:tab w:val="num" w:pos="360"/>
        </w:tabs>
        <w:ind w:left="360" w:hanging="360"/>
      </w:pPr>
      <w:rPr>
        <w:rFonts w:ascii="Wingdings" w:hAnsi="Wingdings" w:hint="default"/>
      </w:rPr>
    </w:lvl>
    <w:lvl w:ilvl="1">
      <w:start w:val="1"/>
      <w:numFmt w:val="bullet"/>
      <w:lvlText w:val="o"/>
      <w:lvlJc w:val="left"/>
      <w:pPr>
        <w:tabs>
          <w:tab w:val="num" w:pos="720"/>
        </w:tabs>
        <w:ind w:left="720" w:hanging="360"/>
      </w:pPr>
      <w:rPr>
        <w:rFonts w:ascii="Courier New" w:hAnsi="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40DB463E"/>
    <w:multiLevelType w:val="multilevel"/>
    <w:tmpl w:val="6F98B300"/>
    <w:lvl w:ilvl="0">
      <w:start w:val="1"/>
      <w:numFmt w:val="none"/>
      <w:lvlText w:val=""/>
      <w:lvlJc w:val="left"/>
      <w:pPr>
        <w:tabs>
          <w:tab w:val="num" w:pos="432"/>
        </w:tabs>
        <w:ind w:left="432" w:hanging="432"/>
      </w:pPr>
      <w:rPr>
        <w:rFonts w:hint="default"/>
      </w:rPr>
    </w:lvl>
    <w:lvl w:ilvl="1">
      <w:start w:val="1"/>
      <w:numFmt w:val="decimal"/>
      <w:lvlText w:val="%1%2"/>
      <w:lvlJc w:val="left"/>
      <w:pPr>
        <w:tabs>
          <w:tab w:val="num" w:pos="634"/>
        </w:tabs>
        <w:ind w:left="634" w:hanging="454"/>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1%2.%3.%4.%5"/>
      <w:lvlJc w:val="left"/>
      <w:pPr>
        <w:tabs>
          <w:tab w:val="num" w:pos="1106"/>
        </w:tabs>
        <w:ind w:left="1106" w:hanging="1106"/>
      </w:pPr>
      <w:rPr>
        <w:rFonts w:hint="default"/>
      </w:rPr>
    </w:lvl>
    <w:lvl w:ilvl="5">
      <w:start w:val="1"/>
      <w:numFmt w:val="decimal"/>
      <w:lvlText w:val="%1"/>
      <w:lvlJc w:val="left"/>
      <w:pPr>
        <w:tabs>
          <w:tab w:val="num" w:pos="0"/>
        </w:tabs>
        <w:ind w:left="0" w:firstLine="0"/>
      </w:pPr>
      <w:rPr>
        <w:rFonts w:hint="default"/>
      </w:rPr>
    </w:lvl>
    <w:lvl w:ilvl="6">
      <w:start w:val="1"/>
      <w:numFmt w:val="decimal"/>
      <w:lvlText w:val="%1"/>
      <w:lvlJc w:val="left"/>
      <w:pPr>
        <w:tabs>
          <w:tab w:val="num" w:pos="1296"/>
        </w:tabs>
        <w:ind w:left="1296" w:hanging="1296"/>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41C868E5"/>
    <w:multiLevelType w:val="multilevel"/>
    <w:tmpl w:val="DCCE7FD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CA933B8"/>
    <w:multiLevelType w:val="multilevel"/>
    <w:tmpl w:val="961E9F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025575D"/>
    <w:multiLevelType w:val="multilevel"/>
    <w:tmpl w:val="8DD6EA3A"/>
    <w:lvl w:ilvl="0">
      <w:start w:val="1"/>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16B2AEF"/>
    <w:multiLevelType w:val="multilevel"/>
    <w:tmpl w:val="A01CE982"/>
    <w:lvl w:ilvl="0">
      <w:start w:val="1"/>
      <w:numFmt w:val="none"/>
      <w:lvlText w:val=""/>
      <w:lvlJc w:val="left"/>
      <w:pPr>
        <w:tabs>
          <w:tab w:val="num" w:pos="432"/>
        </w:tabs>
        <w:ind w:left="432" w:hanging="432"/>
      </w:pPr>
      <w:rPr>
        <w:rFonts w:hint="default"/>
      </w:rPr>
    </w:lvl>
    <w:lvl w:ilvl="1">
      <w:start w:val="1"/>
      <w:numFmt w:val="decimal"/>
      <w:lvlText w:val="%1%2"/>
      <w:lvlJc w:val="left"/>
      <w:pPr>
        <w:tabs>
          <w:tab w:val="num" w:pos="634"/>
        </w:tabs>
        <w:ind w:left="634" w:hanging="454"/>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1%2.%3.%4.%5"/>
      <w:lvlJc w:val="left"/>
      <w:pPr>
        <w:tabs>
          <w:tab w:val="num" w:pos="1106"/>
        </w:tabs>
        <w:ind w:left="1106" w:hanging="1106"/>
      </w:pPr>
      <w:rPr>
        <w:rFonts w:hint="default"/>
      </w:rPr>
    </w:lvl>
    <w:lvl w:ilvl="5">
      <w:start w:val="1"/>
      <w:numFmt w:val="decimal"/>
      <w:lvlText w:val="%1"/>
      <w:lvlJc w:val="left"/>
      <w:pPr>
        <w:tabs>
          <w:tab w:val="num" w:pos="0"/>
        </w:tabs>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22D621D"/>
    <w:multiLevelType w:val="multilevel"/>
    <w:tmpl w:val="BB7E4B0E"/>
    <w:lvl w:ilvl="0">
      <w:start w:val="1"/>
      <w:numFmt w:val="none"/>
      <w:pStyle w:val="TitlePage"/>
      <w:lvlText w:val=""/>
      <w:lvlJc w:val="left"/>
      <w:pPr>
        <w:tabs>
          <w:tab w:val="num" w:pos="432"/>
        </w:tabs>
        <w:ind w:left="432" w:hanging="432"/>
      </w:pPr>
      <w:rPr>
        <w:rFonts w:hint="default"/>
      </w:rPr>
    </w:lvl>
    <w:lvl w:ilvl="1">
      <w:start w:val="1"/>
      <w:numFmt w:val="decimal"/>
      <w:lvlText w:val="%1%2"/>
      <w:lvlJc w:val="left"/>
      <w:pPr>
        <w:tabs>
          <w:tab w:val="num" w:pos="634"/>
        </w:tabs>
        <w:ind w:left="634" w:hanging="454"/>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1%2.%3.%4.%5"/>
      <w:lvlJc w:val="left"/>
      <w:pPr>
        <w:tabs>
          <w:tab w:val="num" w:pos="1106"/>
        </w:tabs>
        <w:ind w:left="1106" w:hanging="1106"/>
      </w:pPr>
      <w:rPr>
        <w:rFonts w:hint="default"/>
      </w:rPr>
    </w:lvl>
    <w:lvl w:ilvl="5">
      <w:start w:val="1"/>
      <w:numFmt w:val="decimal"/>
      <w:lvlText w:val="%1"/>
      <w:lvlJc w:val="left"/>
      <w:pPr>
        <w:tabs>
          <w:tab w:val="num" w:pos="0"/>
        </w:tabs>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584F219D"/>
    <w:multiLevelType w:val="multilevel"/>
    <w:tmpl w:val="2ABCB470"/>
    <w:lvl w:ilvl="0">
      <w:start w:val="1"/>
      <w:numFmt w:val="none"/>
      <w:lvlText w:val=""/>
      <w:lvlJc w:val="left"/>
      <w:pPr>
        <w:tabs>
          <w:tab w:val="num" w:pos="432"/>
        </w:tabs>
        <w:ind w:left="432" w:hanging="432"/>
      </w:pPr>
      <w:rPr>
        <w:rFonts w:hint="default"/>
      </w:rPr>
    </w:lvl>
    <w:lvl w:ilvl="1">
      <w:start w:val="1"/>
      <w:numFmt w:val="decimal"/>
      <w:lvlText w:val="%1%2"/>
      <w:lvlJc w:val="left"/>
      <w:pPr>
        <w:tabs>
          <w:tab w:val="num" w:pos="634"/>
        </w:tabs>
        <w:ind w:left="634" w:hanging="454"/>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1%2.%3.%4.%5"/>
      <w:lvlJc w:val="left"/>
      <w:pPr>
        <w:tabs>
          <w:tab w:val="num" w:pos="1106"/>
        </w:tabs>
        <w:ind w:left="1106" w:hanging="1106"/>
      </w:pPr>
      <w:rPr>
        <w:rFonts w:hint="default"/>
      </w:rPr>
    </w:lvl>
    <w:lvl w:ilvl="5">
      <w:start w:val="1"/>
      <w:numFmt w:val="decimal"/>
      <w:lvlText w:val="%1"/>
      <w:lvlJc w:val="left"/>
      <w:pPr>
        <w:tabs>
          <w:tab w:val="num" w:pos="0"/>
        </w:tabs>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6AE7F45"/>
    <w:multiLevelType w:val="multilevel"/>
    <w:tmpl w:val="2840A2B0"/>
    <w:lvl w:ilvl="0">
      <w:start w:val="1"/>
      <w:numFmt w:val="none"/>
      <w:pStyle w:val="Heading1"/>
      <w:lvlText w:val=""/>
      <w:lvlJc w:val="left"/>
      <w:pPr>
        <w:tabs>
          <w:tab w:val="num" w:pos="432"/>
        </w:tabs>
        <w:ind w:left="432" w:hanging="432"/>
      </w:pPr>
      <w:rPr>
        <w:rFonts w:hint="default"/>
      </w:rPr>
    </w:lvl>
    <w:lvl w:ilvl="1">
      <w:start w:val="1"/>
      <w:numFmt w:val="decimal"/>
      <w:lvlText w:val="%2"/>
      <w:lvlJc w:val="left"/>
      <w:pPr>
        <w:tabs>
          <w:tab w:val="num" w:pos="634"/>
        </w:tabs>
        <w:ind w:left="634" w:hanging="454"/>
      </w:pPr>
      <w:rPr>
        <w:rFonts w:ascii="Arial" w:eastAsia="Times New Roman" w:hAnsi="Arial" w:cs="Arial"/>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1%2.%3.%4.%5"/>
      <w:lvlJc w:val="left"/>
      <w:pPr>
        <w:tabs>
          <w:tab w:val="num" w:pos="1106"/>
        </w:tabs>
        <w:ind w:left="1106" w:hanging="1106"/>
      </w:pPr>
      <w:rPr>
        <w:rFonts w:hint="default"/>
      </w:rPr>
    </w:lvl>
    <w:lvl w:ilvl="5">
      <w:start w:val="1"/>
      <w:numFmt w:val="decimal"/>
      <w:pStyle w:val="Heading6"/>
      <w:lvlText w:val="%1"/>
      <w:lvlJc w:val="left"/>
      <w:pPr>
        <w:tabs>
          <w:tab w:val="num" w:pos="0"/>
        </w:tabs>
        <w:ind w:left="0" w:firstLine="0"/>
      </w:pPr>
      <w:rPr>
        <w:rFonts w:hint="default"/>
      </w:rPr>
    </w:lvl>
    <w:lvl w:ilvl="6">
      <w:start w:val="1"/>
      <w:numFmt w:val="decimal"/>
      <w:lvlText w:val="%1"/>
      <w:lvlJc w:val="left"/>
      <w:pPr>
        <w:tabs>
          <w:tab w:val="num" w:pos="1296"/>
        </w:tabs>
        <w:ind w:left="1296" w:hanging="1296"/>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8"/>
  </w:num>
  <w:num w:numId="12">
    <w:abstractNumId w:val="15"/>
  </w:num>
  <w:num w:numId="13">
    <w:abstractNumId w:val="24"/>
  </w:num>
  <w:num w:numId="14">
    <w:abstractNumId w:val="23"/>
  </w:num>
  <w:num w:numId="15">
    <w:abstractNumId w:val="26"/>
  </w:num>
  <w:num w:numId="16">
    <w:abstractNumId w:val="25"/>
  </w:num>
  <w:num w:numId="17">
    <w:abstractNumId w:val="14"/>
  </w:num>
  <w:num w:numId="18">
    <w:abstractNumId w:val="19"/>
  </w:num>
  <w:num w:numId="19">
    <w:abstractNumId w:val="0"/>
  </w:num>
  <w:num w:numId="20">
    <w:abstractNumId w:val="11"/>
  </w:num>
  <w:num w:numId="21">
    <w:abstractNumId w:val="26"/>
    <w:lvlOverride w:ilvl="0">
      <w:startOverride w:val="1"/>
    </w:lvlOverride>
    <w:lvlOverride w:ilvl="1">
      <w:startOverride w:val="1"/>
    </w:lvlOverride>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13"/>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12"/>
  </w:num>
  <w:num w:numId="31">
    <w:abstractNumId w:val="21"/>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autoFormatOverrid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B1B"/>
    <w:rsid w:val="00014ACC"/>
    <w:rsid w:val="000150D0"/>
    <w:rsid w:val="00034EFF"/>
    <w:rsid w:val="000369C9"/>
    <w:rsid w:val="00051011"/>
    <w:rsid w:val="0005493C"/>
    <w:rsid w:val="00057BA8"/>
    <w:rsid w:val="000610F3"/>
    <w:rsid w:val="00063B2F"/>
    <w:rsid w:val="00073206"/>
    <w:rsid w:val="0007360D"/>
    <w:rsid w:val="0008595A"/>
    <w:rsid w:val="0008653F"/>
    <w:rsid w:val="000B00B4"/>
    <w:rsid w:val="000B020F"/>
    <w:rsid w:val="000C6694"/>
    <w:rsid w:val="000E2801"/>
    <w:rsid w:val="000E53D0"/>
    <w:rsid w:val="000F1AFA"/>
    <w:rsid w:val="000F1FF3"/>
    <w:rsid w:val="000F3BB5"/>
    <w:rsid w:val="000F4E9C"/>
    <w:rsid w:val="0010228F"/>
    <w:rsid w:val="001056C2"/>
    <w:rsid w:val="001104F2"/>
    <w:rsid w:val="001132D8"/>
    <w:rsid w:val="00122833"/>
    <w:rsid w:val="00125006"/>
    <w:rsid w:val="001261B6"/>
    <w:rsid w:val="00126813"/>
    <w:rsid w:val="0012707E"/>
    <w:rsid w:val="001272D8"/>
    <w:rsid w:val="0013501F"/>
    <w:rsid w:val="001374FF"/>
    <w:rsid w:val="0014215B"/>
    <w:rsid w:val="0015253F"/>
    <w:rsid w:val="00157234"/>
    <w:rsid w:val="00174083"/>
    <w:rsid w:val="0017595A"/>
    <w:rsid w:val="001803A4"/>
    <w:rsid w:val="00181C19"/>
    <w:rsid w:val="00184F28"/>
    <w:rsid w:val="00193A35"/>
    <w:rsid w:val="0019690E"/>
    <w:rsid w:val="001A210D"/>
    <w:rsid w:val="001A6B1B"/>
    <w:rsid w:val="001A7C6C"/>
    <w:rsid w:val="001B16BF"/>
    <w:rsid w:val="001B3F63"/>
    <w:rsid w:val="001B74F2"/>
    <w:rsid w:val="001D54D0"/>
    <w:rsid w:val="001E63EB"/>
    <w:rsid w:val="001F42F4"/>
    <w:rsid w:val="002023A2"/>
    <w:rsid w:val="002160E0"/>
    <w:rsid w:val="00226D9E"/>
    <w:rsid w:val="002278A8"/>
    <w:rsid w:val="0023020F"/>
    <w:rsid w:val="0023207D"/>
    <w:rsid w:val="00235ECC"/>
    <w:rsid w:val="00241EAD"/>
    <w:rsid w:val="00243D57"/>
    <w:rsid w:val="00245DEE"/>
    <w:rsid w:val="00274048"/>
    <w:rsid w:val="002753DC"/>
    <w:rsid w:val="00282C47"/>
    <w:rsid w:val="002A1818"/>
    <w:rsid w:val="002A3AAD"/>
    <w:rsid w:val="002A4105"/>
    <w:rsid w:val="002A730D"/>
    <w:rsid w:val="002C10B1"/>
    <w:rsid w:val="002C2709"/>
    <w:rsid w:val="002D0370"/>
    <w:rsid w:val="002D2FD6"/>
    <w:rsid w:val="002F1A60"/>
    <w:rsid w:val="003168EF"/>
    <w:rsid w:val="003177AB"/>
    <w:rsid w:val="00322E77"/>
    <w:rsid w:val="0032354B"/>
    <w:rsid w:val="0033034F"/>
    <w:rsid w:val="00335ADA"/>
    <w:rsid w:val="003401C3"/>
    <w:rsid w:val="00346896"/>
    <w:rsid w:val="00350277"/>
    <w:rsid w:val="003547CB"/>
    <w:rsid w:val="00357300"/>
    <w:rsid w:val="00363BC8"/>
    <w:rsid w:val="00367B7E"/>
    <w:rsid w:val="00371052"/>
    <w:rsid w:val="0037433B"/>
    <w:rsid w:val="003760F8"/>
    <w:rsid w:val="003772EA"/>
    <w:rsid w:val="003817C0"/>
    <w:rsid w:val="00387D24"/>
    <w:rsid w:val="00390032"/>
    <w:rsid w:val="003A13B3"/>
    <w:rsid w:val="003D3D75"/>
    <w:rsid w:val="003D5D38"/>
    <w:rsid w:val="003D6692"/>
    <w:rsid w:val="003E1D1A"/>
    <w:rsid w:val="003F412E"/>
    <w:rsid w:val="003F720B"/>
    <w:rsid w:val="003F72F6"/>
    <w:rsid w:val="003F7ABD"/>
    <w:rsid w:val="00401F16"/>
    <w:rsid w:val="004134CB"/>
    <w:rsid w:val="004172AC"/>
    <w:rsid w:val="00431AE3"/>
    <w:rsid w:val="004327AB"/>
    <w:rsid w:val="00442743"/>
    <w:rsid w:val="00450197"/>
    <w:rsid w:val="004603F5"/>
    <w:rsid w:val="00464302"/>
    <w:rsid w:val="00476E86"/>
    <w:rsid w:val="00486407"/>
    <w:rsid w:val="004966FB"/>
    <w:rsid w:val="00496D1E"/>
    <w:rsid w:val="004A2EA1"/>
    <w:rsid w:val="004B26D4"/>
    <w:rsid w:val="004B52C1"/>
    <w:rsid w:val="004B5BED"/>
    <w:rsid w:val="004B76D5"/>
    <w:rsid w:val="004C0380"/>
    <w:rsid w:val="004C770F"/>
    <w:rsid w:val="004D2EDF"/>
    <w:rsid w:val="004D530F"/>
    <w:rsid w:val="004D72E5"/>
    <w:rsid w:val="004F2C77"/>
    <w:rsid w:val="004F4D77"/>
    <w:rsid w:val="004F58DC"/>
    <w:rsid w:val="004F5E76"/>
    <w:rsid w:val="004F7374"/>
    <w:rsid w:val="00500274"/>
    <w:rsid w:val="0050553F"/>
    <w:rsid w:val="00510C31"/>
    <w:rsid w:val="00511A0B"/>
    <w:rsid w:val="00520405"/>
    <w:rsid w:val="005253F9"/>
    <w:rsid w:val="00527712"/>
    <w:rsid w:val="00527A7D"/>
    <w:rsid w:val="0053134A"/>
    <w:rsid w:val="00534920"/>
    <w:rsid w:val="00542006"/>
    <w:rsid w:val="0055562C"/>
    <w:rsid w:val="00567DC3"/>
    <w:rsid w:val="00574FAC"/>
    <w:rsid w:val="0057509D"/>
    <w:rsid w:val="00580A72"/>
    <w:rsid w:val="00580C97"/>
    <w:rsid w:val="00583EC5"/>
    <w:rsid w:val="005844BE"/>
    <w:rsid w:val="005916DB"/>
    <w:rsid w:val="00593A1C"/>
    <w:rsid w:val="005975A8"/>
    <w:rsid w:val="005A355E"/>
    <w:rsid w:val="005B6C00"/>
    <w:rsid w:val="005B7D64"/>
    <w:rsid w:val="005C2DF1"/>
    <w:rsid w:val="005C6628"/>
    <w:rsid w:val="005E18ED"/>
    <w:rsid w:val="005E5A8D"/>
    <w:rsid w:val="00602528"/>
    <w:rsid w:val="00613808"/>
    <w:rsid w:val="00624188"/>
    <w:rsid w:val="006258CE"/>
    <w:rsid w:val="00647768"/>
    <w:rsid w:val="0065165E"/>
    <w:rsid w:val="00666C56"/>
    <w:rsid w:val="006744E9"/>
    <w:rsid w:val="00675B5B"/>
    <w:rsid w:val="00684DBA"/>
    <w:rsid w:val="0068514F"/>
    <w:rsid w:val="0069160D"/>
    <w:rsid w:val="0069362B"/>
    <w:rsid w:val="00696340"/>
    <w:rsid w:val="006A0DDE"/>
    <w:rsid w:val="006A5C8D"/>
    <w:rsid w:val="006C0DAF"/>
    <w:rsid w:val="006D037D"/>
    <w:rsid w:val="006D69AF"/>
    <w:rsid w:val="006D6F21"/>
    <w:rsid w:val="006E154A"/>
    <w:rsid w:val="006E437F"/>
    <w:rsid w:val="006E44AA"/>
    <w:rsid w:val="006F08AE"/>
    <w:rsid w:val="006F2A1E"/>
    <w:rsid w:val="00707F59"/>
    <w:rsid w:val="00712347"/>
    <w:rsid w:val="00717E58"/>
    <w:rsid w:val="00721FA0"/>
    <w:rsid w:val="00723DCB"/>
    <w:rsid w:val="00730210"/>
    <w:rsid w:val="00733D0C"/>
    <w:rsid w:val="007348A5"/>
    <w:rsid w:val="00740BE1"/>
    <w:rsid w:val="00744C0E"/>
    <w:rsid w:val="007511BF"/>
    <w:rsid w:val="00751A83"/>
    <w:rsid w:val="00761A3E"/>
    <w:rsid w:val="00764268"/>
    <w:rsid w:val="007649D8"/>
    <w:rsid w:val="00770E05"/>
    <w:rsid w:val="00775A63"/>
    <w:rsid w:val="00776843"/>
    <w:rsid w:val="007829B2"/>
    <w:rsid w:val="00783900"/>
    <w:rsid w:val="00785A84"/>
    <w:rsid w:val="007A3852"/>
    <w:rsid w:val="007A5265"/>
    <w:rsid w:val="007A6B5E"/>
    <w:rsid w:val="007B0A9D"/>
    <w:rsid w:val="007B0D7D"/>
    <w:rsid w:val="007B53C5"/>
    <w:rsid w:val="007C2DDA"/>
    <w:rsid w:val="007C5149"/>
    <w:rsid w:val="007C7BA2"/>
    <w:rsid w:val="007D0C76"/>
    <w:rsid w:val="007D3B52"/>
    <w:rsid w:val="007D497E"/>
    <w:rsid w:val="007D7123"/>
    <w:rsid w:val="007E7AB7"/>
    <w:rsid w:val="007F07B0"/>
    <w:rsid w:val="007F104C"/>
    <w:rsid w:val="007F56CB"/>
    <w:rsid w:val="007F65C7"/>
    <w:rsid w:val="00803425"/>
    <w:rsid w:val="00803A99"/>
    <w:rsid w:val="00810646"/>
    <w:rsid w:val="00810F4D"/>
    <w:rsid w:val="0081513E"/>
    <w:rsid w:val="008227F3"/>
    <w:rsid w:val="00831F7B"/>
    <w:rsid w:val="00833432"/>
    <w:rsid w:val="00834397"/>
    <w:rsid w:val="008361A1"/>
    <w:rsid w:val="00844881"/>
    <w:rsid w:val="0085203C"/>
    <w:rsid w:val="00854E6A"/>
    <w:rsid w:val="00854F4B"/>
    <w:rsid w:val="00862C4C"/>
    <w:rsid w:val="0086497D"/>
    <w:rsid w:val="0087076E"/>
    <w:rsid w:val="00874ABE"/>
    <w:rsid w:val="00874D58"/>
    <w:rsid w:val="00881E6E"/>
    <w:rsid w:val="008841FD"/>
    <w:rsid w:val="008853B5"/>
    <w:rsid w:val="00885B50"/>
    <w:rsid w:val="0089012A"/>
    <w:rsid w:val="008A1A27"/>
    <w:rsid w:val="008B0B24"/>
    <w:rsid w:val="008B1BCC"/>
    <w:rsid w:val="008B4D03"/>
    <w:rsid w:val="008C2AA2"/>
    <w:rsid w:val="008C510B"/>
    <w:rsid w:val="008D14BB"/>
    <w:rsid w:val="008D3F72"/>
    <w:rsid w:val="008F0BDB"/>
    <w:rsid w:val="0090032C"/>
    <w:rsid w:val="00900DB2"/>
    <w:rsid w:val="009013F7"/>
    <w:rsid w:val="0090273F"/>
    <w:rsid w:val="00904D3E"/>
    <w:rsid w:val="0090582F"/>
    <w:rsid w:val="00914317"/>
    <w:rsid w:val="00915814"/>
    <w:rsid w:val="009175A0"/>
    <w:rsid w:val="00924A08"/>
    <w:rsid w:val="0093453D"/>
    <w:rsid w:val="00935C24"/>
    <w:rsid w:val="0094070F"/>
    <w:rsid w:val="00945A4C"/>
    <w:rsid w:val="0094658C"/>
    <w:rsid w:val="00946954"/>
    <w:rsid w:val="00950B31"/>
    <w:rsid w:val="00953B39"/>
    <w:rsid w:val="00954047"/>
    <w:rsid w:val="009574DC"/>
    <w:rsid w:val="00963824"/>
    <w:rsid w:val="00966B89"/>
    <w:rsid w:val="009674E4"/>
    <w:rsid w:val="00967D22"/>
    <w:rsid w:val="00972EA5"/>
    <w:rsid w:val="0097579E"/>
    <w:rsid w:val="00976170"/>
    <w:rsid w:val="0098100E"/>
    <w:rsid w:val="00982B5A"/>
    <w:rsid w:val="009866F9"/>
    <w:rsid w:val="00992581"/>
    <w:rsid w:val="0099456A"/>
    <w:rsid w:val="00995B0D"/>
    <w:rsid w:val="009973B6"/>
    <w:rsid w:val="009A0BB0"/>
    <w:rsid w:val="009A49D9"/>
    <w:rsid w:val="009B293E"/>
    <w:rsid w:val="009B4953"/>
    <w:rsid w:val="009B7965"/>
    <w:rsid w:val="009C09E3"/>
    <w:rsid w:val="009C2D03"/>
    <w:rsid w:val="009D5220"/>
    <w:rsid w:val="009F0DED"/>
    <w:rsid w:val="009F39CE"/>
    <w:rsid w:val="009F6F0E"/>
    <w:rsid w:val="009F7D2E"/>
    <w:rsid w:val="00A00CF5"/>
    <w:rsid w:val="00A03311"/>
    <w:rsid w:val="00A049EB"/>
    <w:rsid w:val="00A11237"/>
    <w:rsid w:val="00A13BAB"/>
    <w:rsid w:val="00A14C38"/>
    <w:rsid w:val="00A33059"/>
    <w:rsid w:val="00A474B6"/>
    <w:rsid w:val="00A57E48"/>
    <w:rsid w:val="00A61791"/>
    <w:rsid w:val="00A620B0"/>
    <w:rsid w:val="00A64B6E"/>
    <w:rsid w:val="00A657A4"/>
    <w:rsid w:val="00A77489"/>
    <w:rsid w:val="00A8093A"/>
    <w:rsid w:val="00A87457"/>
    <w:rsid w:val="00A92E73"/>
    <w:rsid w:val="00A93246"/>
    <w:rsid w:val="00AA7182"/>
    <w:rsid w:val="00AC0884"/>
    <w:rsid w:val="00AC18FB"/>
    <w:rsid w:val="00AC22BA"/>
    <w:rsid w:val="00AC441B"/>
    <w:rsid w:val="00AD0615"/>
    <w:rsid w:val="00AD27B1"/>
    <w:rsid w:val="00AD2EA4"/>
    <w:rsid w:val="00AD4927"/>
    <w:rsid w:val="00AD5454"/>
    <w:rsid w:val="00AE5B5F"/>
    <w:rsid w:val="00AE758C"/>
    <w:rsid w:val="00AF26AF"/>
    <w:rsid w:val="00B02332"/>
    <w:rsid w:val="00B0714C"/>
    <w:rsid w:val="00B1220C"/>
    <w:rsid w:val="00B23C49"/>
    <w:rsid w:val="00B26FCF"/>
    <w:rsid w:val="00B30B96"/>
    <w:rsid w:val="00B32BD2"/>
    <w:rsid w:val="00B336E3"/>
    <w:rsid w:val="00B3495F"/>
    <w:rsid w:val="00B37488"/>
    <w:rsid w:val="00B454B7"/>
    <w:rsid w:val="00B5648A"/>
    <w:rsid w:val="00B7195C"/>
    <w:rsid w:val="00B768E6"/>
    <w:rsid w:val="00B8625F"/>
    <w:rsid w:val="00B86EE3"/>
    <w:rsid w:val="00B87813"/>
    <w:rsid w:val="00B9455C"/>
    <w:rsid w:val="00BA550C"/>
    <w:rsid w:val="00BB2258"/>
    <w:rsid w:val="00BB2F5F"/>
    <w:rsid w:val="00BC4289"/>
    <w:rsid w:val="00BD7AE5"/>
    <w:rsid w:val="00BE2E54"/>
    <w:rsid w:val="00BE3720"/>
    <w:rsid w:val="00BE3C23"/>
    <w:rsid w:val="00BE4705"/>
    <w:rsid w:val="00BF119A"/>
    <w:rsid w:val="00BF39E4"/>
    <w:rsid w:val="00BF6D71"/>
    <w:rsid w:val="00BF71DD"/>
    <w:rsid w:val="00C030DD"/>
    <w:rsid w:val="00C12BF4"/>
    <w:rsid w:val="00C160BE"/>
    <w:rsid w:val="00C30560"/>
    <w:rsid w:val="00C307A1"/>
    <w:rsid w:val="00C317C5"/>
    <w:rsid w:val="00C32642"/>
    <w:rsid w:val="00C36C3A"/>
    <w:rsid w:val="00C51013"/>
    <w:rsid w:val="00C53761"/>
    <w:rsid w:val="00C57763"/>
    <w:rsid w:val="00C613CE"/>
    <w:rsid w:val="00C66D56"/>
    <w:rsid w:val="00C70B0E"/>
    <w:rsid w:val="00C7268D"/>
    <w:rsid w:val="00C7460E"/>
    <w:rsid w:val="00C8386A"/>
    <w:rsid w:val="00C84EFD"/>
    <w:rsid w:val="00CA1C5B"/>
    <w:rsid w:val="00CA2202"/>
    <w:rsid w:val="00CB44C7"/>
    <w:rsid w:val="00CB5B62"/>
    <w:rsid w:val="00CB63D2"/>
    <w:rsid w:val="00CC1AC1"/>
    <w:rsid w:val="00CC7A13"/>
    <w:rsid w:val="00CD6387"/>
    <w:rsid w:val="00CE7647"/>
    <w:rsid w:val="00CF103A"/>
    <w:rsid w:val="00CF3425"/>
    <w:rsid w:val="00D150A0"/>
    <w:rsid w:val="00D317E1"/>
    <w:rsid w:val="00D32748"/>
    <w:rsid w:val="00D33040"/>
    <w:rsid w:val="00D459A6"/>
    <w:rsid w:val="00D50A47"/>
    <w:rsid w:val="00D525E2"/>
    <w:rsid w:val="00D531BD"/>
    <w:rsid w:val="00D553D5"/>
    <w:rsid w:val="00D564D3"/>
    <w:rsid w:val="00D574DD"/>
    <w:rsid w:val="00D637A0"/>
    <w:rsid w:val="00D6644E"/>
    <w:rsid w:val="00D76D67"/>
    <w:rsid w:val="00D8333E"/>
    <w:rsid w:val="00D87555"/>
    <w:rsid w:val="00D953F3"/>
    <w:rsid w:val="00DA4220"/>
    <w:rsid w:val="00DA61BE"/>
    <w:rsid w:val="00DB03D5"/>
    <w:rsid w:val="00DB6720"/>
    <w:rsid w:val="00DC4B95"/>
    <w:rsid w:val="00DC6B38"/>
    <w:rsid w:val="00DC6F6F"/>
    <w:rsid w:val="00DC7A73"/>
    <w:rsid w:val="00DD0CD3"/>
    <w:rsid w:val="00DD62D8"/>
    <w:rsid w:val="00DD630F"/>
    <w:rsid w:val="00DD6691"/>
    <w:rsid w:val="00DE125F"/>
    <w:rsid w:val="00DF1D4D"/>
    <w:rsid w:val="00DF1F14"/>
    <w:rsid w:val="00E01FBE"/>
    <w:rsid w:val="00E038A6"/>
    <w:rsid w:val="00E175A6"/>
    <w:rsid w:val="00E26F46"/>
    <w:rsid w:val="00E33790"/>
    <w:rsid w:val="00E450DE"/>
    <w:rsid w:val="00E5310B"/>
    <w:rsid w:val="00E550CD"/>
    <w:rsid w:val="00E5602A"/>
    <w:rsid w:val="00E6602A"/>
    <w:rsid w:val="00E7465A"/>
    <w:rsid w:val="00E74F3F"/>
    <w:rsid w:val="00E779D9"/>
    <w:rsid w:val="00E83E86"/>
    <w:rsid w:val="00E841FC"/>
    <w:rsid w:val="00E87181"/>
    <w:rsid w:val="00E96401"/>
    <w:rsid w:val="00EB47F0"/>
    <w:rsid w:val="00ED5999"/>
    <w:rsid w:val="00EE2E18"/>
    <w:rsid w:val="00EE5C7C"/>
    <w:rsid w:val="00EE6A3D"/>
    <w:rsid w:val="00EF14FC"/>
    <w:rsid w:val="00EF26AE"/>
    <w:rsid w:val="00EF49E8"/>
    <w:rsid w:val="00EF7095"/>
    <w:rsid w:val="00F00455"/>
    <w:rsid w:val="00F21E76"/>
    <w:rsid w:val="00F24F3C"/>
    <w:rsid w:val="00F2689C"/>
    <w:rsid w:val="00F2758C"/>
    <w:rsid w:val="00F31A4B"/>
    <w:rsid w:val="00F41D06"/>
    <w:rsid w:val="00F457F8"/>
    <w:rsid w:val="00F47742"/>
    <w:rsid w:val="00F60325"/>
    <w:rsid w:val="00F658DB"/>
    <w:rsid w:val="00F72D61"/>
    <w:rsid w:val="00F739DD"/>
    <w:rsid w:val="00F75CA2"/>
    <w:rsid w:val="00F87BBB"/>
    <w:rsid w:val="00F922A6"/>
    <w:rsid w:val="00F92B2F"/>
    <w:rsid w:val="00F93CE1"/>
    <w:rsid w:val="00FA4479"/>
    <w:rsid w:val="00FB5946"/>
    <w:rsid w:val="00FB73F1"/>
    <w:rsid w:val="00FC1BE0"/>
    <w:rsid w:val="00FD0A8D"/>
    <w:rsid w:val="00FD0BC6"/>
    <w:rsid w:val="00FD2F2D"/>
    <w:rsid w:val="00FE0EE7"/>
    <w:rsid w:val="00FE584F"/>
    <w:rsid w:val="00FE715C"/>
    <w:rsid w:val="00FE7462"/>
    <w:rsid w:val="00FF0999"/>
    <w:rsid w:val="00FF5AE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C7AC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locked="1"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42"/>
    <w:pPr>
      <w:spacing w:line="300" w:lineRule="auto"/>
    </w:pPr>
    <w:rPr>
      <w:rFonts w:ascii="Arial" w:hAnsi="Arial"/>
      <w:color w:val="333333"/>
      <w:sz w:val="24"/>
      <w:szCs w:val="24"/>
      <w:lang w:eastAsia="en-US"/>
    </w:rPr>
  </w:style>
  <w:style w:type="paragraph" w:styleId="Heading1">
    <w:name w:val="heading 1"/>
    <w:basedOn w:val="Normal"/>
    <w:next w:val="Normal"/>
    <w:autoRedefine/>
    <w:qFormat/>
    <w:rsid w:val="001B74F2"/>
    <w:pPr>
      <w:keepNext/>
      <w:numPr>
        <w:numId w:val="15"/>
      </w:numPr>
      <w:spacing w:after="200"/>
      <w:outlineLvl w:val="0"/>
    </w:pPr>
    <w:rPr>
      <w:rFonts w:cs="Arial"/>
      <w:b/>
      <w:bCs/>
      <w:color w:val="auto"/>
      <w:kern w:val="32"/>
      <w:sz w:val="40"/>
      <w:szCs w:val="44"/>
    </w:rPr>
  </w:style>
  <w:style w:type="paragraph" w:styleId="Heading2">
    <w:name w:val="heading 2"/>
    <w:basedOn w:val="Normal"/>
    <w:next w:val="Normal"/>
    <w:link w:val="Heading2Char"/>
    <w:autoRedefine/>
    <w:qFormat/>
    <w:rsid w:val="00E038A6"/>
    <w:pPr>
      <w:keepNext/>
      <w:spacing w:after="200"/>
      <w:outlineLvl w:val="1"/>
    </w:pPr>
    <w:rPr>
      <w:rFonts w:cs="Arial"/>
      <w:b/>
      <w:bCs/>
      <w:iCs/>
      <w:color w:val="auto"/>
      <w:sz w:val="36"/>
      <w:szCs w:val="28"/>
    </w:rPr>
  </w:style>
  <w:style w:type="paragraph" w:styleId="Heading3">
    <w:name w:val="heading 3"/>
    <w:basedOn w:val="Normal"/>
    <w:next w:val="Normal"/>
    <w:link w:val="Heading3Char"/>
    <w:autoRedefine/>
    <w:qFormat/>
    <w:rsid w:val="001B74F2"/>
    <w:pPr>
      <w:keepNext/>
      <w:spacing w:after="200"/>
      <w:outlineLvl w:val="2"/>
    </w:pPr>
    <w:rPr>
      <w:rFonts w:cs="Arial"/>
      <w:b/>
      <w:bCs/>
      <w:color w:val="auto"/>
      <w:sz w:val="32"/>
      <w:szCs w:val="26"/>
    </w:rPr>
  </w:style>
  <w:style w:type="paragraph" w:styleId="Heading4">
    <w:name w:val="heading 4"/>
    <w:basedOn w:val="Normal"/>
    <w:next w:val="Normal"/>
    <w:autoRedefine/>
    <w:qFormat/>
    <w:rsid w:val="00D553D5"/>
    <w:pPr>
      <w:tabs>
        <w:tab w:val="left" w:pos="567"/>
      </w:tabs>
      <w:spacing w:after="120" w:line="240" w:lineRule="auto"/>
      <w:outlineLvl w:val="3"/>
    </w:pPr>
    <w:rPr>
      <w:color w:val="auto"/>
      <w:sz w:val="22"/>
      <w:szCs w:val="22"/>
      <w:u w:val="single"/>
    </w:rPr>
  </w:style>
  <w:style w:type="paragraph" w:styleId="Heading5">
    <w:name w:val="heading 5"/>
    <w:basedOn w:val="Normal"/>
    <w:next w:val="Normal"/>
    <w:autoRedefine/>
    <w:qFormat/>
    <w:rsid w:val="00D553D5"/>
    <w:pPr>
      <w:keepNext/>
      <w:tabs>
        <w:tab w:val="left" w:pos="567"/>
      </w:tabs>
      <w:spacing w:after="120" w:line="240" w:lineRule="auto"/>
      <w:outlineLvl w:val="4"/>
    </w:pPr>
    <w:rPr>
      <w:i/>
      <w:color w:val="auto"/>
      <w:sz w:val="22"/>
      <w:szCs w:val="22"/>
    </w:rPr>
  </w:style>
  <w:style w:type="paragraph" w:styleId="Heading6">
    <w:name w:val="heading 6"/>
    <w:basedOn w:val="Normal"/>
    <w:next w:val="Normal"/>
    <w:autoRedefine/>
    <w:qFormat/>
    <w:rsid w:val="007649D8"/>
    <w:pPr>
      <w:numPr>
        <w:ilvl w:val="5"/>
        <w:numId w:val="15"/>
      </w:numPr>
      <w:spacing w:after="200"/>
      <w:outlineLvl w:val="5"/>
    </w:pPr>
    <w:rPr>
      <w:sz w:val="26"/>
      <w:szCs w:val="20"/>
    </w:rPr>
  </w:style>
  <w:style w:type="paragraph" w:styleId="Heading7">
    <w:name w:val="heading 7"/>
    <w:basedOn w:val="Normal"/>
    <w:next w:val="Normal"/>
    <w:qFormat/>
    <w:rsid w:val="007649D8"/>
    <w:pPr>
      <w:spacing w:before="240" w:after="60"/>
      <w:outlineLvl w:val="6"/>
    </w:pPr>
    <w:rPr>
      <w:rFonts w:ascii="Times New Roman" w:hAnsi="Times New Roman"/>
      <w:b/>
    </w:rPr>
  </w:style>
  <w:style w:type="paragraph" w:styleId="Heading8">
    <w:name w:val="heading 8"/>
    <w:basedOn w:val="Normal"/>
    <w:next w:val="Normal"/>
    <w:qFormat/>
    <w:rsid w:val="001B74F2"/>
    <w:pPr>
      <w:numPr>
        <w:ilvl w:val="7"/>
        <w:numId w:val="13"/>
      </w:numPr>
      <w:spacing w:before="240" w:after="60"/>
      <w:outlineLvl w:val="7"/>
    </w:pPr>
    <w:rPr>
      <w:rFonts w:ascii="Times New Roman" w:hAnsi="Times New Roman"/>
      <w:i/>
      <w:iCs/>
    </w:rPr>
  </w:style>
  <w:style w:type="paragraph" w:styleId="Heading9">
    <w:name w:val="heading 9"/>
    <w:basedOn w:val="Normal"/>
    <w:next w:val="Normal"/>
    <w:qFormat/>
    <w:rsid w:val="001B74F2"/>
    <w:pPr>
      <w:numPr>
        <w:ilvl w:val="8"/>
        <w:numId w:val="13"/>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ISRTEFOOTER">
    <w:name w:val="DIISRTE FOOTER"/>
    <w:basedOn w:val="Normal"/>
    <w:autoRedefine/>
    <w:locked/>
    <w:rsid w:val="005E18ED"/>
    <w:pPr>
      <w:tabs>
        <w:tab w:val="center" w:pos="4320"/>
        <w:tab w:val="right" w:pos="8640"/>
      </w:tabs>
      <w:spacing w:line="360" w:lineRule="auto"/>
      <w:ind w:right="360"/>
      <w:jc w:val="right"/>
    </w:pPr>
    <w:rPr>
      <w:sz w:val="16"/>
    </w:rPr>
  </w:style>
  <w:style w:type="paragraph" w:styleId="BodyTextIndent2">
    <w:name w:val="Body Text Indent 2"/>
    <w:basedOn w:val="Normal"/>
    <w:semiHidden/>
    <w:rsid w:val="00D317E1"/>
    <w:pPr>
      <w:spacing w:after="120" w:line="480" w:lineRule="auto"/>
      <w:ind w:left="283"/>
    </w:pPr>
  </w:style>
  <w:style w:type="paragraph" w:customStyle="1" w:styleId="CSMsubheadings">
    <w:name w:val="CSM sub headings"/>
    <w:basedOn w:val="Normal"/>
    <w:semiHidden/>
    <w:locked/>
    <w:rsid w:val="00D317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567"/>
    </w:pPr>
    <w:rPr>
      <w:rFonts w:ascii="Helvetica" w:hAnsi="Helvetica"/>
      <w:b/>
      <w:color w:val="56678E"/>
      <w:lang w:val="en-US"/>
    </w:rPr>
  </w:style>
  <w:style w:type="paragraph" w:customStyle="1" w:styleId="TOC">
    <w:name w:val="TOC"/>
    <w:basedOn w:val="Heading2"/>
    <w:rsid w:val="001B74F2"/>
  </w:style>
  <w:style w:type="table" w:customStyle="1" w:styleId="DIISRTETableThree">
    <w:name w:val="DIISRTE Table Three"/>
    <w:basedOn w:val="TableNormal"/>
    <w:locked/>
    <w:rsid w:val="004F5E76"/>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20"/>
      </w:rPr>
    </w:tblStylePr>
    <w:tblStylePr w:type="lastRow">
      <w:rPr>
        <w:rFonts w:ascii="Arial" w:hAnsi="Arial"/>
        <w:b/>
        <w:sz w:val="20"/>
      </w:rPr>
    </w:tblStylePr>
    <w:tblStylePr w:type="firstCol">
      <w:rPr>
        <w:rFonts w:ascii="Arial" w:hAnsi="Arial"/>
        <w:b/>
        <w:sz w:val="20"/>
      </w:rPr>
    </w:tblStylePr>
  </w:style>
  <w:style w:type="table" w:customStyle="1" w:styleId="DIISRTETableTwo">
    <w:name w:val="DIISRTE Table Two"/>
    <w:basedOn w:val="TableNormal"/>
    <w:locked/>
    <w:rsid w:val="004F5E76"/>
    <w:rPr>
      <w:rFonts w:ascii="Arial" w:hAnsi="Arial"/>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blStylePr w:type="firstRow">
      <w:rPr>
        <w:rFonts w:ascii="Arial" w:hAnsi="Arial"/>
        <w:b/>
        <w:sz w:val="20"/>
      </w:rPr>
    </w:tblStylePr>
    <w:tblStylePr w:type="firstCol">
      <w:rPr>
        <w:rFonts w:ascii="Arial" w:hAnsi="Arial"/>
        <w:b/>
        <w:sz w:val="20"/>
      </w:rPr>
    </w:tblStylePr>
    <w:tblStylePr w:type="lastCol">
      <w:rPr>
        <w:b/>
      </w:rPr>
      <w:tblPr/>
      <w:tcPr>
        <w:tcBorders>
          <w:top w:val="nil"/>
          <w:left w:val="nil"/>
          <w:bottom w:val="nil"/>
          <w:right w:val="nil"/>
          <w:insideH w:val="nil"/>
          <w:insideV w:val="nil"/>
          <w:tl2br w:val="nil"/>
          <w:tr2bl w:val="nil"/>
        </w:tcBorders>
      </w:tcPr>
    </w:tblStylePr>
  </w:style>
  <w:style w:type="paragraph" w:customStyle="1" w:styleId="FMHeader">
    <w:name w:val="FM Header"/>
    <w:semiHidden/>
    <w:locked/>
    <w:rsid w:val="00D317E1"/>
    <w:pPr>
      <w:spacing w:before="120" w:after="120" w:line="360" w:lineRule="auto"/>
    </w:pPr>
    <w:rPr>
      <w:rFonts w:ascii="Arial" w:hAnsi="Arial"/>
      <w:b/>
      <w:color w:val="165387"/>
      <w:sz w:val="40"/>
      <w:szCs w:val="24"/>
      <w:lang w:eastAsia="en-US"/>
    </w:rPr>
  </w:style>
  <w:style w:type="paragraph" w:customStyle="1" w:styleId="PilbrowBodyText">
    <w:name w:val="Pilbrow Body Text"/>
    <w:semiHidden/>
    <w:locked/>
    <w:rsid w:val="00D317E1"/>
    <w:pPr>
      <w:spacing w:before="120" w:after="120" w:line="360" w:lineRule="auto"/>
      <w:ind w:left="-425" w:right="-204"/>
    </w:pPr>
    <w:rPr>
      <w:rFonts w:ascii="Arial" w:hAnsi="Arial"/>
      <w:b/>
      <w:color w:val="D35200"/>
      <w:sz w:val="28"/>
      <w:szCs w:val="24"/>
      <w:lang w:eastAsia="en-US"/>
    </w:rPr>
  </w:style>
  <w:style w:type="paragraph" w:customStyle="1" w:styleId="PilbrowHeaderCover">
    <w:name w:val="Pilbrow Header Cover"/>
    <w:semiHidden/>
    <w:locked/>
    <w:rsid w:val="00D317E1"/>
    <w:pPr>
      <w:spacing w:before="360" w:after="360"/>
      <w:ind w:left="-425" w:right="-204"/>
    </w:pPr>
    <w:rPr>
      <w:rFonts w:ascii="Arial" w:hAnsi="Arial"/>
      <w:b/>
      <w:color w:val="D1530B"/>
      <w:sz w:val="48"/>
      <w:szCs w:val="24"/>
      <w:lang w:eastAsia="en-US"/>
    </w:rPr>
  </w:style>
  <w:style w:type="paragraph" w:customStyle="1" w:styleId="PilbrowHeaderOne">
    <w:name w:val="Pilbrow Header One"/>
    <w:next w:val="PilbrowBodyText"/>
    <w:semiHidden/>
    <w:locked/>
    <w:rsid w:val="00D317E1"/>
    <w:rPr>
      <w:rFonts w:ascii="Arial" w:hAnsi="Arial"/>
      <w:b/>
      <w:color w:val="D35200"/>
      <w:sz w:val="32"/>
      <w:szCs w:val="24"/>
      <w:lang w:eastAsia="en-US"/>
    </w:rPr>
  </w:style>
  <w:style w:type="paragraph" w:customStyle="1" w:styleId="PilbrowHeaderOnenotab">
    <w:name w:val="Pilbrow Header One (no tab)"/>
    <w:semiHidden/>
    <w:locked/>
    <w:rsid w:val="00D317E1"/>
    <w:rPr>
      <w:rFonts w:ascii="Arial" w:hAnsi="Arial"/>
      <w:b/>
      <w:color w:val="D35200"/>
      <w:sz w:val="32"/>
      <w:szCs w:val="24"/>
      <w:lang w:eastAsia="en-US"/>
    </w:rPr>
  </w:style>
  <w:style w:type="paragraph" w:customStyle="1" w:styleId="PilbrowHeaderTwo">
    <w:name w:val="Pilbrow Header Two"/>
    <w:basedOn w:val="PilbrowBodyText"/>
    <w:semiHidden/>
    <w:locked/>
    <w:rsid w:val="00D317E1"/>
    <w:rPr>
      <w:color w:val="333333"/>
    </w:rPr>
  </w:style>
  <w:style w:type="paragraph" w:customStyle="1" w:styleId="PilbrowSubHeaderCover">
    <w:name w:val="Pilbrow Sub Header Cover"/>
    <w:basedOn w:val="PilbrowHeaderCover"/>
    <w:semiHidden/>
    <w:locked/>
    <w:rsid w:val="00D317E1"/>
    <w:rPr>
      <w:color w:val="333333"/>
      <w:sz w:val="36"/>
    </w:rPr>
  </w:style>
  <w:style w:type="paragraph" w:customStyle="1" w:styleId="PlibrowHeaderOnenotab">
    <w:name w:val="Plibrow Header One (no tab)"/>
    <w:basedOn w:val="PilbrowBodyText"/>
    <w:semiHidden/>
    <w:locked/>
    <w:rsid w:val="00D317E1"/>
    <w:pPr>
      <w:ind w:left="0"/>
    </w:pPr>
    <w:rPr>
      <w:sz w:val="32"/>
    </w:rPr>
  </w:style>
  <w:style w:type="paragraph" w:styleId="Header">
    <w:name w:val="header"/>
    <w:basedOn w:val="Normal"/>
    <w:autoRedefine/>
    <w:rsid w:val="00226D9E"/>
    <w:pPr>
      <w:tabs>
        <w:tab w:val="center" w:pos="4320"/>
        <w:tab w:val="right" w:pos="8640"/>
      </w:tabs>
    </w:pPr>
    <w:rPr>
      <w:sz w:val="18"/>
    </w:rPr>
  </w:style>
  <w:style w:type="paragraph" w:styleId="TOC1">
    <w:name w:val="toc 1"/>
    <w:basedOn w:val="Normal"/>
    <w:next w:val="Normal"/>
    <w:autoRedefine/>
    <w:uiPriority w:val="39"/>
    <w:rsid w:val="00B8625F"/>
  </w:style>
  <w:style w:type="paragraph" w:styleId="ListBullet">
    <w:name w:val="List Bullet"/>
    <w:basedOn w:val="Normal"/>
    <w:autoRedefine/>
    <w:rsid w:val="00226D9E"/>
    <w:pPr>
      <w:numPr>
        <w:numId w:val="1"/>
      </w:numPr>
      <w:spacing w:after="200"/>
    </w:pPr>
  </w:style>
  <w:style w:type="paragraph" w:styleId="ListNumber">
    <w:name w:val="List Number"/>
    <w:basedOn w:val="Normal"/>
    <w:rsid w:val="00226D9E"/>
    <w:pPr>
      <w:numPr>
        <w:numId w:val="6"/>
      </w:numPr>
      <w:spacing w:after="200"/>
    </w:pPr>
  </w:style>
  <w:style w:type="table" w:customStyle="1" w:styleId="DIISRTETableOne">
    <w:name w:val="DIISRTE Table One"/>
    <w:basedOn w:val="TableNormal"/>
    <w:locked/>
    <w:rsid w:val="004F5E76"/>
    <w:rPr>
      <w:rFonts w:ascii="Arial" w:hAnsi="Arial"/>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blStylePr w:type="firstRow">
      <w:rPr>
        <w:rFonts w:ascii="Arial" w:hAnsi="Arial"/>
        <w:b/>
        <w:sz w:val="20"/>
      </w:rPr>
    </w:tblStylePr>
    <w:tblStylePr w:type="firstCol">
      <w:rPr>
        <w:rFonts w:ascii="Arial" w:hAnsi="Arial"/>
        <w:b/>
        <w:sz w:val="20"/>
      </w:rPr>
    </w:tblStylePr>
  </w:style>
  <w:style w:type="paragraph" w:styleId="TOC2">
    <w:name w:val="toc 2"/>
    <w:basedOn w:val="Normal"/>
    <w:next w:val="Normal"/>
    <w:autoRedefine/>
    <w:uiPriority w:val="39"/>
    <w:rsid w:val="00181C19"/>
    <w:pPr>
      <w:ind w:left="240"/>
    </w:pPr>
  </w:style>
  <w:style w:type="paragraph" w:styleId="TOC3">
    <w:name w:val="toc 3"/>
    <w:basedOn w:val="Normal"/>
    <w:next w:val="Normal"/>
    <w:autoRedefine/>
    <w:uiPriority w:val="39"/>
    <w:rsid w:val="00181C19"/>
    <w:pPr>
      <w:ind w:left="480"/>
    </w:pPr>
  </w:style>
  <w:style w:type="paragraph" w:styleId="TOC4">
    <w:name w:val="toc 4"/>
    <w:basedOn w:val="Normal"/>
    <w:next w:val="Normal"/>
    <w:autoRedefine/>
    <w:uiPriority w:val="39"/>
    <w:rsid w:val="00181C19"/>
    <w:pPr>
      <w:ind w:left="720"/>
    </w:pPr>
  </w:style>
  <w:style w:type="paragraph" w:styleId="TOC5">
    <w:name w:val="toc 5"/>
    <w:basedOn w:val="Normal"/>
    <w:next w:val="Normal"/>
    <w:autoRedefine/>
    <w:uiPriority w:val="39"/>
    <w:rsid w:val="00181C19"/>
    <w:pPr>
      <w:ind w:left="960"/>
    </w:pPr>
  </w:style>
  <w:style w:type="character" w:styleId="Hyperlink">
    <w:name w:val="Hyperlink"/>
    <w:uiPriority w:val="99"/>
    <w:rsid w:val="005975A8"/>
    <w:rPr>
      <w:color w:val="0000FF"/>
      <w:u w:val="single"/>
    </w:rPr>
  </w:style>
  <w:style w:type="character" w:styleId="PageNumber">
    <w:name w:val="page number"/>
    <w:rsid w:val="0094658C"/>
    <w:rPr>
      <w:rFonts w:ascii="Arial" w:hAnsi="Arial"/>
      <w:sz w:val="16"/>
    </w:rPr>
  </w:style>
  <w:style w:type="paragraph" w:styleId="HTMLAddress">
    <w:name w:val="HTML Address"/>
    <w:basedOn w:val="Normal"/>
    <w:rsid w:val="00924A08"/>
    <w:rPr>
      <w:i/>
      <w:iCs/>
    </w:rPr>
  </w:style>
  <w:style w:type="character" w:styleId="Strong">
    <w:name w:val="Strong"/>
    <w:qFormat/>
    <w:rsid w:val="00226D9E"/>
    <w:rPr>
      <w:b/>
    </w:rPr>
  </w:style>
  <w:style w:type="character" w:styleId="Emphasis">
    <w:name w:val="Emphasis"/>
    <w:qFormat/>
    <w:rsid w:val="00D32748"/>
    <w:rPr>
      <w:i/>
    </w:rPr>
  </w:style>
  <w:style w:type="paragraph" w:styleId="BodyTextIndent">
    <w:name w:val="Body Text Indent"/>
    <w:basedOn w:val="Normal"/>
    <w:next w:val="Normal"/>
    <w:autoRedefine/>
    <w:rsid w:val="009866F9"/>
    <w:pPr>
      <w:spacing w:after="120"/>
      <w:ind w:left="360"/>
    </w:pPr>
  </w:style>
  <w:style w:type="paragraph" w:styleId="Footer">
    <w:name w:val="footer"/>
    <w:basedOn w:val="Normal"/>
    <w:link w:val="FooterChar"/>
    <w:uiPriority w:val="99"/>
    <w:rsid w:val="00226D9E"/>
    <w:pPr>
      <w:tabs>
        <w:tab w:val="center" w:pos="4320"/>
        <w:tab w:val="right" w:pos="8640"/>
      </w:tabs>
    </w:pPr>
    <w:rPr>
      <w:sz w:val="18"/>
    </w:rPr>
  </w:style>
  <w:style w:type="paragraph" w:styleId="TOC6">
    <w:name w:val="toc 6"/>
    <w:basedOn w:val="Normal"/>
    <w:next w:val="Normal"/>
    <w:autoRedefine/>
    <w:uiPriority w:val="39"/>
    <w:rsid w:val="00946954"/>
    <w:pPr>
      <w:ind w:left="1200"/>
    </w:pPr>
  </w:style>
  <w:style w:type="paragraph" w:styleId="ListContinue2">
    <w:name w:val="List Continue 2"/>
    <w:basedOn w:val="Normal"/>
    <w:rsid w:val="00226D9E"/>
    <w:pPr>
      <w:numPr>
        <w:numId w:val="12"/>
      </w:numPr>
      <w:spacing w:after="200"/>
    </w:pPr>
  </w:style>
  <w:style w:type="paragraph" w:styleId="BodyText">
    <w:name w:val="Body Text"/>
    <w:basedOn w:val="Normal"/>
    <w:uiPriority w:val="1"/>
    <w:qFormat/>
    <w:rsid w:val="00D32748"/>
    <w:pPr>
      <w:spacing w:after="200"/>
    </w:pPr>
  </w:style>
  <w:style w:type="paragraph" w:styleId="ListContinue">
    <w:name w:val="List Continue"/>
    <w:basedOn w:val="Normal"/>
    <w:rsid w:val="004A2EA1"/>
    <w:pPr>
      <w:numPr>
        <w:numId w:val="11"/>
      </w:numPr>
      <w:spacing w:after="200"/>
    </w:pPr>
  </w:style>
  <w:style w:type="paragraph" w:styleId="Caption">
    <w:name w:val="caption"/>
    <w:basedOn w:val="Normal"/>
    <w:next w:val="Normal"/>
    <w:qFormat/>
    <w:rsid w:val="00226D9E"/>
    <w:pPr>
      <w:spacing w:after="120"/>
    </w:pPr>
    <w:rPr>
      <w:rFonts w:eastAsia="MS Mincho"/>
      <w:b/>
      <w:color w:val="auto"/>
      <w:sz w:val="18"/>
      <w:lang w:val="en-US"/>
    </w:rPr>
  </w:style>
  <w:style w:type="paragraph" w:styleId="BlockText">
    <w:name w:val="Block Text"/>
    <w:basedOn w:val="Normal"/>
    <w:rsid w:val="007649D8"/>
    <w:pPr>
      <w:spacing w:after="200"/>
      <w:ind w:left="357" w:right="357"/>
    </w:pPr>
    <w:rPr>
      <w:rFonts w:eastAsia="MS Mincho"/>
      <w:color w:val="000000"/>
      <w:lang w:val="en-US"/>
    </w:rPr>
  </w:style>
  <w:style w:type="paragraph" w:customStyle="1" w:styleId="TitlePage">
    <w:name w:val="TitlePage"/>
    <w:basedOn w:val="Normal"/>
    <w:rsid w:val="001B74F2"/>
    <w:pPr>
      <w:numPr>
        <w:numId w:val="13"/>
      </w:numPr>
    </w:pPr>
  </w:style>
  <w:style w:type="paragraph" w:styleId="BalloonText">
    <w:name w:val="Balloon Text"/>
    <w:basedOn w:val="Normal"/>
    <w:link w:val="BalloonTextChar"/>
    <w:rsid w:val="00542006"/>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rsid w:val="00542006"/>
    <w:rPr>
      <w:rFonts w:ascii="Lucida Grande" w:hAnsi="Lucida Grande" w:cs="Lucida Grande"/>
      <w:color w:val="333333"/>
      <w:sz w:val="18"/>
      <w:szCs w:val="18"/>
      <w:lang w:eastAsia="en-US"/>
    </w:rPr>
  </w:style>
  <w:style w:type="character" w:customStyle="1" w:styleId="FooterChar">
    <w:name w:val="Footer Char"/>
    <w:basedOn w:val="DefaultParagraphFont"/>
    <w:link w:val="Footer"/>
    <w:uiPriority w:val="99"/>
    <w:rsid w:val="00F658DB"/>
    <w:rPr>
      <w:rFonts w:ascii="Arial" w:hAnsi="Arial"/>
      <w:color w:val="333333"/>
      <w:sz w:val="18"/>
      <w:szCs w:val="24"/>
      <w:lang w:eastAsia="en-US"/>
    </w:rPr>
  </w:style>
  <w:style w:type="paragraph" w:styleId="ListParagraph">
    <w:name w:val="List Paragraph"/>
    <w:basedOn w:val="Normal"/>
    <w:uiPriority w:val="34"/>
    <w:qFormat/>
    <w:rsid w:val="00712347"/>
    <w:pPr>
      <w:ind w:left="720"/>
      <w:contextualSpacing/>
    </w:pPr>
  </w:style>
  <w:style w:type="character" w:customStyle="1" w:styleId="Heading2Char">
    <w:name w:val="Heading 2 Char"/>
    <w:basedOn w:val="DefaultParagraphFont"/>
    <w:link w:val="Heading2"/>
    <w:rsid w:val="00E038A6"/>
    <w:rPr>
      <w:rFonts w:ascii="Arial" w:hAnsi="Arial" w:cs="Arial"/>
      <w:b/>
      <w:bCs/>
      <w:iCs/>
      <w:sz w:val="36"/>
      <w:szCs w:val="28"/>
      <w:lang w:eastAsia="en-US"/>
    </w:rPr>
  </w:style>
  <w:style w:type="character" w:styleId="CommentReference">
    <w:name w:val="annotation reference"/>
    <w:basedOn w:val="DefaultParagraphFont"/>
    <w:semiHidden/>
    <w:unhideWhenUsed/>
    <w:rsid w:val="009B293E"/>
    <w:rPr>
      <w:sz w:val="16"/>
      <w:szCs w:val="16"/>
    </w:rPr>
  </w:style>
  <w:style w:type="paragraph" w:styleId="CommentText">
    <w:name w:val="annotation text"/>
    <w:basedOn w:val="Normal"/>
    <w:link w:val="CommentTextChar"/>
    <w:semiHidden/>
    <w:unhideWhenUsed/>
    <w:rsid w:val="009B293E"/>
    <w:pPr>
      <w:spacing w:line="240" w:lineRule="auto"/>
    </w:pPr>
    <w:rPr>
      <w:sz w:val="20"/>
      <w:szCs w:val="20"/>
    </w:rPr>
  </w:style>
  <w:style w:type="character" w:customStyle="1" w:styleId="CommentTextChar">
    <w:name w:val="Comment Text Char"/>
    <w:basedOn w:val="DefaultParagraphFont"/>
    <w:link w:val="CommentText"/>
    <w:semiHidden/>
    <w:rsid w:val="009B293E"/>
    <w:rPr>
      <w:rFonts w:ascii="Arial" w:hAnsi="Arial"/>
      <w:color w:val="333333"/>
      <w:lang w:eastAsia="en-US"/>
    </w:rPr>
  </w:style>
  <w:style w:type="paragraph" w:styleId="CommentSubject">
    <w:name w:val="annotation subject"/>
    <w:basedOn w:val="CommentText"/>
    <w:next w:val="CommentText"/>
    <w:link w:val="CommentSubjectChar"/>
    <w:semiHidden/>
    <w:unhideWhenUsed/>
    <w:rsid w:val="009B293E"/>
    <w:rPr>
      <w:b/>
      <w:bCs/>
    </w:rPr>
  </w:style>
  <w:style w:type="character" w:customStyle="1" w:styleId="CommentSubjectChar">
    <w:name w:val="Comment Subject Char"/>
    <w:basedOn w:val="CommentTextChar"/>
    <w:link w:val="CommentSubject"/>
    <w:semiHidden/>
    <w:rsid w:val="009B293E"/>
    <w:rPr>
      <w:rFonts w:ascii="Arial" w:hAnsi="Arial"/>
      <w:b/>
      <w:bCs/>
      <w:color w:val="333333"/>
      <w:lang w:eastAsia="en-US"/>
    </w:rPr>
  </w:style>
  <w:style w:type="character" w:styleId="FollowedHyperlink">
    <w:name w:val="FollowedHyperlink"/>
    <w:basedOn w:val="DefaultParagraphFont"/>
    <w:semiHidden/>
    <w:unhideWhenUsed/>
    <w:rsid w:val="00833432"/>
    <w:rPr>
      <w:color w:val="800080" w:themeColor="followedHyperlink"/>
      <w:u w:val="single"/>
    </w:rPr>
  </w:style>
  <w:style w:type="paragraph" w:styleId="Revision">
    <w:name w:val="Revision"/>
    <w:hidden/>
    <w:uiPriority w:val="99"/>
    <w:semiHidden/>
    <w:rsid w:val="00AC441B"/>
    <w:rPr>
      <w:sz w:val="24"/>
      <w:szCs w:val="24"/>
    </w:rPr>
  </w:style>
  <w:style w:type="character" w:customStyle="1" w:styleId="Heading3Char">
    <w:name w:val="Heading 3 Char"/>
    <w:basedOn w:val="DefaultParagraphFont"/>
    <w:link w:val="Heading3"/>
    <w:rsid w:val="00B0714C"/>
    <w:rPr>
      <w:rFonts w:ascii="Arial" w:hAnsi="Arial" w:cs="Arial"/>
      <w:b/>
      <w:bCs/>
      <w:sz w:val="32"/>
      <w:szCs w:val="26"/>
      <w:lang w:eastAsia="en-US"/>
    </w:rPr>
  </w:style>
  <w:style w:type="paragraph" w:styleId="Title">
    <w:name w:val="Title"/>
    <w:basedOn w:val="Normal"/>
    <w:next w:val="Normal"/>
    <w:link w:val="TitleChar"/>
    <w:qFormat/>
    <w:rsid w:val="00D553D5"/>
    <w:pPr>
      <w:spacing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rsid w:val="00D553D5"/>
    <w:rPr>
      <w:rFonts w:asciiTheme="majorHAnsi" w:eastAsiaTheme="majorEastAsia" w:hAnsiTheme="majorHAnsi" w:cstheme="majorBidi"/>
      <w:spacing w:val="-10"/>
      <w:kern w:val="28"/>
      <w:sz w:val="56"/>
      <w:szCs w:val="56"/>
      <w:lang w:eastAsia="en-US"/>
    </w:rPr>
  </w:style>
  <w:style w:type="character" w:customStyle="1" w:styleId="UnresolvedMention1">
    <w:name w:val="Unresolved Mention1"/>
    <w:basedOn w:val="DefaultParagraphFont"/>
    <w:uiPriority w:val="99"/>
    <w:semiHidden/>
    <w:unhideWhenUsed/>
    <w:rsid w:val="00F004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76236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legislation.gov.au/Details/C2018C00151" TargetMode="External"/><Relationship Id="rId18" Type="http://schemas.openxmlformats.org/officeDocument/2006/relationships/hyperlink" Target="https://www.legislation.gov.au/Details/F2018C00062" TargetMode="External"/><Relationship Id="rId26" Type="http://schemas.openxmlformats.org/officeDocument/2006/relationships/hyperlink" Target="mailto:titles@nopta.gov.au" TargetMode="External"/><Relationship Id="rId3" Type="http://schemas.openxmlformats.org/officeDocument/2006/relationships/customXml" Target="../customXml/item3.xml"/><Relationship Id="rId21" Type="http://schemas.openxmlformats.org/officeDocument/2006/relationships/hyperlink" Target="http://www.nopta.gov.au/_documents/JA-operating-protocols-july2015.pdf" TargetMode="External"/><Relationship Id="rId34"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slation.gov.au/Details/C2019C00054" TargetMode="External"/><Relationship Id="rId25" Type="http://schemas.openxmlformats.org/officeDocument/2006/relationships/image" Target="cid:image001.png@01D11C9F.B64FB5B0"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slation.gov.au/Details/C2018C00151" TargetMode="External"/><Relationship Id="rId20" Type="http://schemas.openxmlformats.org/officeDocument/2006/relationships/hyperlink" Target="http://www.nopta.gov.au/cost-recovery-and-fees.html" TargetMode="External"/><Relationship Id="rId29" Type="http://schemas.openxmlformats.org/officeDocument/2006/relationships/hyperlink" Target="http://www.nopta.gov.au/forms/forms.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2.png"/><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nopta.gov.au/" TargetMode="External"/><Relationship Id="rId23" Type="http://schemas.openxmlformats.org/officeDocument/2006/relationships/hyperlink" Target="http://www.nopta.gov.au/_documents/schedule-of-fees.pdf" TargetMode="External"/><Relationship Id="rId28" Type="http://schemas.openxmlformats.org/officeDocument/2006/relationships/hyperlink" Target="http://neats.nopta.gov.au/ApprovalTracking" TargetMode="External"/><Relationship Id="rId36"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www.nopta.gov.au/forms/forms.html"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ndustry.gov.au/Pages/default.aspx" TargetMode="External"/><Relationship Id="rId22" Type="http://schemas.openxmlformats.org/officeDocument/2006/relationships/hyperlink" Target="http://www.nopta.gov.au/forms/forms.html" TargetMode="External"/><Relationship Id="rId27" Type="http://schemas.openxmlformats.org/officeDocument/2006/relationships/hyperlink" Target="http://neats.nopta.gov.au/" TargetMode="External"/><Relationship Id="rId30" Type="http://schemas.openxmlformats.org/officeDocument/2006/relationships/hyperlink" Target="http://www.nopta.gov.au/_documents/schedule-of-fees.pdf" TargetMode="External"/><Relationship Id="rId35"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012054d-3a07-4b40-940b-a148fc76e5c4">
      <Value>424</Value>
      <Value>916</Value>
      <Value>573</Value>
      <Value>10973</Value>
      <Value>137</Value>
    </TaxCatchAll>
    <_dlc_DocId xmlns="7012054d-3a07-4b40-940b-a148fc76e5c4">NOPTANET-146877423-3594</_dlc_DocId>
    <_dlc_DocIdUrl xmlns="7012054d-3a07-4b40-940b-a148fc76e5c4">
      <Url>https://nopta.sharepoint.com/team/LCT/_layouts/15/DocIdRedir.aspx?ID=NOPTANET-146877423-3594</Url>
      <Description>NOPTANET-146877423-3594</Description>
    </_dlc_DocIdUrl>
    <BusinessFunction_Note xmlns="7012054d-3a07-4b40-940b-a148fc76e5c4">
      <Terms xmlns="http://schemas.microsoft.com/office/infopath/2007/PartnerControls">
        <TermInfo xmlns="http://schemas.microsoft.com/office/infopath/2007/PartnerControls">
          <TermName xmlns="http://schemas.microsoft.com/office/infopath/2007/PartnerControls">External Guidance</TermName>
          <TermId xmlns="http://schemas.microsoft.com/office/infopath/2007/PartnerControls">b09c6caf-08fd-461c-b4ef-37c1e36f5aed</TermId>
        </TermInfo>
      </Terms>
    </BusinessFunction_Note>
    <CaveatCategory xmlns="7012054d-3a07-4b40-940b-a148fc76e5c4">DLM: For Official Use Only</CaveatCategory>
    <FormatVersion xmlns="7012054d-3a07-4b40-940b-a148fc76e5c4">2013</FormatVersion>
    <RecordKeywords xmlns="7012054d-3a07-4b40-940b-a148fc76e5c4" xsi:nil="true"/>
    <RightsStatement xmlns="7012054d-3a07-4b40-940b-a148fc76e5c4">NOPTA Members Only</RightsStatement>
    <CreatingApplicationVersion xmlns="7012054d-3a07-4b40-940b-a148fc76e5c4">2013</CreatingApplicationVersion>
    <DateRangeEnd xmlns="7012054d-3a07-4b40-940b-a148fc76e5c4" xsi:nil="true"/>
    <RecordLocation xmlns="7012054d-3a07-4b40-940b-a148fc76e5c4" xsi:nil="true"/>
    <AssignedTo xmlns="df2ee7c4-96ab-439d-aaf5-28f58522ec0d">
      <UserInfo>
        <DisplayName/>
        <AccountId xsi:nil="true"/>
        <AccountType/>
      </UserInfo>
    </AssignedTo>
    <AGRkMSDescription xmlns="7012054d-3a07-4b40-940b-a148fc76e5c4">Updated guideline effective May 2019</AGRkMSDescription>
    <Team_Note xmlns="7012054d-3a07-4b40-940b-a148fc76e5c4">
      <Terms xmlns="http://schemas.microsoft.com/office/infopath/2007/PartnerControls">
        <TermInfo xmlns="http://schemas.microsoft.com/office/infopath/2007/PartnerControls">
          <TermName xmlns="http://schemas.microsoft.com/office/infopath/2007/PartnerControls">Legislative Compliance</TermName>
          <TermId xmlns="http://schemas.microsoft.com/office/infopath/2007/PartnerControls">cb4b5b1d-0a66-42b0-ad54-d9e1e7b82ef0</TermId>
        </TermInfo>
      </Terms>
    </Team_Note>
    <CaveatText xmlns="7012054d-3a07-4b40-940b-a148fc76e5c4">PSPF</CaveatText>
    <_dlc_DocIdPersistId xmlns="7012054d-3a07-4b40-940b-a148fc76e5c4" xsi:nil="true"/>
    <SpatialCoverage xmlns="7012054d-3a07-4b40-940b-a148fc76e5c4">Commonwealth of Australia</SpatialCoverage>
    <NameScheme xmlns="7012054d-3a07-4b40-940b-a148fc76e5c4" xsi:nil="true"/>
    <m3f2ca6b2c9a4802967adedbb4af06ae xmlns="7012054d-3a07-4b40-940b-a148fc76e5c4">
      <Terms xmlns="http://schemas.microsoft.com/office/infopath/2007/PartnerControls"/>
    </m3f2ca6b2c9a4802967adedbb4af06ae>
    <RightsStatus xmlns="7012054d-3a07-4b40-940b-a148fc76e5c4">Open</RightsStatus>
    <KeywordScheme xmlns="7012054d-3a07-4b40-940b-a148fc76e5c4" xsi:nil="true"/>
    <FormatName xmlns="7012054d-3a07-4b40-940b-a148fc76e5c4">Word</FormatName>
    <RecordContactDetails xmlns="7012054d-3a07-4b40-940b-a148fc76e5c4" xsi:nil="true"/>
    <Quantity xmlns="7012054d-3a07-4b40-940b-a148fc76e5c4" xsi:nil="true"/>
    <Medium xmlns="7012054d-3a07-4b40-940b-a148fc76e5c4">Digital File</Medium>
    <DocumentForm xmlns="7012054d-3a07-4b40-940b-a148fc76e5c4" xsi:nil="true"/>
    <KeywordID xmlns="7012054d-3a07-4b40-940b-a148fc76e5c4" xsi:nil="true"/>
    <FormatRegistry xmlns="7012054d-3a07-4b40-940b-a148fc76e5c4">System generated</FormatRegistry>
    <Entity xmlns="7012054d-3a07-4b40-940b-a148fc76e5c4" xsi:nil="true"/>
    <OfNationalSignificance xmlns="7012054d-3a07-4b40-940b-a148fc76e5c4">No</OfNationalSignificance>
    <DocumentSetDescription xmlns="http://schemas.microsoft.com/sharepoint/v3" xsi:nil="true"/>
    <Precedence xmlns="7012054d-3a07-4b40-940b-a148fc76e5c4" xsi:nil="true"/>
    <Identifier xmlns="7012054d-3a07-4b40-940b-a148fc76e5c4">0</Identifier>
    <RecordContact xmlns="7012054d-3a07-4b40-940b-a148fc76e5c4">
      <UserInfo>
        <DisplayName/>
        <AccountId xsi:nil="true"/>
        <AccountType/>
      </UserInfo>
    </RecordContact>
    <RecordExtentUnits xmlns="7012054d-3a07-4b40-940b-a148fc76e5c4" xsi:nil="true"/>
    <_Status xmlns="df2ee7c4-96ab-439d-aaf5-28f58522ec0d">Not Started</_Status>
    <RecordExtent xmlns="7012054d-3a07-4b40-940b-a148fc76e5c4" xsi:nil="true"/>
    <DocumentType_Note xmlns="7012054d-3a07-4b40-940b-a148fc76e5c4">
      <Terms xmlns="http://schemas.microsoft.com/office/infopath/2007/PartnerControls">
        <TermInfo xmlns="http://schemas.microsoft.com/office/infopath/2007/PartnerControls">
          <TermName xmlns="http://schemas.microsoft.com/office/infopath/2007/PartnerControls">Guideline</TermName>
          <TermId xmlns="http://schemas.microsoft.com/office/infopath/2007/PartnerControls">d1b666ff-1768-485a-b83d-c8693c6a4acc</TermId>
        </TermInfo>
      </Terms>
    </DocumentType_Note>
    <pfcb0be319e247388db2251ff9d23f72 xmlns="7012054d-3a07-4b40-940b-a148fc76e5c4">
      <Terms xmlns="http://schemas.microsoft.com/office/infopath/2007/PartnerControls"/>
    </pfcb0be319e247388db2251ff9d23f72>
    <AGRkMSLanguage xmlns="7012054d-3a07-4b40-940b-a148fc76e5c4">en-au</AGRkMSLanguage>
    <MessageDigest xmlns="7012054d-3a07-4b40-940b-a148fc76e5c4" xsi:nil="true"/>
    <TemporalCoverage xmlns="7012054d-3a07-4b40-940b-a148fc76e5c4" xsi:nil="true"/>
    <HashFunctionName xmlns="7012054d-3a07-4b40-940b-a148fc76e5c4">MD5</HashFunctionName>
    <DateRangeStart xmlns="7012054d-3a07-4b40-940b-a148fc76e5c4" xsi:nil="true"/>
    <AGRkMSCategory xmlns="7012054d-3a07-4b40-940b-a148fc76e5c4">Item</AGRkMSCategory>
    <JurisdictionalCoverage xmlns="7012054d-3a07-4b40-940b-a148fc76e5c4">
      <Value>Commonwealth of Australia (AU)</Value>
    </JurisdictionalCoverage>
    <RightsType xmlns="7012054d-3a07-4b40-940b-a148fc76e5c4">Use Permission</RightsType>
    <TaxKeywordTaxHTField xmlns="7012054d-3a07-4b40-940b-a148fc76e5c4">
      <Terms xmlns="http://schemas.microsoft.com/office/infopath/2007/PartnerControls">
        <TermInfo xmlns="http://schemas.microsoft.com/office/infopath/2007/PartnerControls">
          <TermName xmlns="http://schemas.microsoft.com/office/infopath/2007/PartnerControls">approved guideline</TermName>
          <TermId xmlns="http://schemas.microsoft.com/office/infopath/2007/PartnerControls">0498a99f-dddf-46e2-861b-5c726a23b223</TermId>
        </TermInfo>
        <TermInfo xmlns="http://schemas.microsoft.com/office/infopath/2007/PartnerControls">
          <TermName xmlns="http://schemas.microsoft.com/office/infopath/2007/PartnerControls">retention lease</TermName>
          <TermId xmlns="http://schemas.microsoft.com/office/infopath/2007/PartnerControls">d41ae312-19ae-4d77-a8f0-fd053e6206a7</TermId>
        </TermInfo>
      </Terms>
    </TaxKeywordTaxHTField>
    <g91dc4f691a04421b1edf463601fabf6 xmlns="7012054d-3a07-4b40-940b-a148fc76e5c4">
      <Terms xmlns="http://schemas.microsoft.com/office/infopath/2007/PartnerControls"/>
    </g91dc4f691a04421b1edf463601fabf6>
    <KeywordSchemeType xmlns="7012054d-3a07-4b40-940b-a148fc76e5c4" xsi:nil="true"/>
    <CreatingApplicationName xmlns="7012054d-3a07-4b40-940b-a148fc76e5c4">Microsoft Word</CreatingApplicationName>
    <Units xmlns="7012054d-3a07-4b40-940b-a148fc76e5c4">KB</Units>
    <Titles_Note xmlns="7012054d-3a07-4b40-940b-a148fc76e5c4">
      <Terms xmlns="http://schemas.microsoft.com/office/infopath/2007/PartnerControls"/>
    </Titles_Note>
    <SecurityClassification xmlns="7012054d-3a07-4b40-940b-a148fc76e5c4">DLM: For Official Use Only</SecurityClassification>
    <Jurisdiction xmlns="7012054d-3a07-4b40-940b-a148fc76e5c4">
      <Value>AU</Value>
    </Jurisdiction>
    <IdentifierScheme xmlns="7012054d-3a07-4b40-940b-a148fc76e5c4">RecordPoint</IdentifierScheme>
  </documentManagement>
</p:properties>
</file>

<file path=customXml/item2.xml><?xml version="1.0" encoding="utf-8"?>
<ct:contentTypeSchema xmlns:ct="http://schemas.microsoft.com/office/2006/metadata/contentType" xmlns:ma="http://schemas.microsoft.com/office/2006/metadata/properties/metaAttributes" ct:_="" ma:_="" ma:contentTypeName="NOPTA Base Document" ma:contentTypeID="0x01010063547D135F865547B104B3688A6EB0DB005292097638003245A1880F551FCE18BD" ma:contentTypeVersion="2063" ma:contentTypeDescription="Create a new document." ma:contentTypeScope="" ma:versionID="70c94860c1a81ef96557403becd09431">
  <xsd:schema xmlns:xsd="http://www.w3.org/2001/XMLSchema" xmlns:xs="http://www.w3.org/2001/XMLSchema" xmlns:p="http://schemas.microsoft.com/office/2006/metadata/properties" xmlns:ns1="http://schemas.microsoft.com/sharepoint/v3" xmlns:ns2="7012054d-3a07-4b40-940b-a148fc76e5c4" xmlns:ns3="df2ee7c4-96ab-439d-aaf5-28f58522ec0d" xmlns:ns4="a8fdb9f5-4e6c-4c4a-a24d-2c5439f6d702" targetNamespace="http://schemas.microsoft.com/office/2006/metadata/properties" ma:root="true" ma:fieldsID="973aef90094265795b64b54ea27c58a7" ns1:_="" ns2:_="" ns3:_="" ns4:_="">
    <xsd:import namespace="http://schemas.microsoft.com/sharepoint/v3"/>
    <xsd:import namespace="7012054d-3a07-4b40-940b-a148fc76e5c4"/>
    <xsd:import namespace="df2ee7c4-96ab-439d-aaf5-28f58522ec0d"/>
    <xsd:import namespace="a8fdb9f5-4e6c-4c4a-a24d-2c5439f6d702"/>
    <xsd:element name="properties">
      <xsd:complexType>
        <xsd:sequence>
          <xsd:element name="documentManagement">
            <xsd:complexType>
              <xsd:all>
                <xsd:element ref="ns2:AGRkMSDescription" minOccurs="0"/>
                <xsd:element ref="ns2:SecurityClassification" minOccurs="0"/>
                <xsd:element ref="ns2:RightsType" minOccurs="0"/>
                <xsd:element ref="ns2:RightsStatus" minOccurs="0"/>
                <xsd:element ref="ns2:TaxCatchAllLabel" minOccurs="0"/>
                <xsd:element ref="ns2:TaxKeywordTaxHTField" minOccurs="0"/>
                <xsd:element ref="ns2:Team_Note" minOccurs="0"/>
                <xsd:element ref="ns2:TaxCatchAll" minOccurs="0"/>
                <xsd:element ref="ns2:BusinessFunction_Note" minOccurs="0"/>
                <xsd:element ref="ns2:DocumentType_Note" minOccurs="0"/>
                <xsd:element ref="ns2:pfcb0be319e247388db2251ff9d23f72" minOccurs="0"/>
                <xsd:element ref="ns2:g91dc4f691a04421b1edf463601fabf6" minOccurs="0"/>
                <xsd:element ref="ns2:_dlc_DocId" minOccurs="0"/>
                <xsd:element ref="ns2:_dlc_DocIdUrl" minOccurs="0"/>
                <xsd:element ref="ns2:_dlc_DocIdPersistId" minOccurs="0"/>
                <xsd:element ref="ns2:Titles_Note" minOccurs="0"/>
                <xsd:element ref="ns2:Jurisdiction" minOccurs="0"/>
                <xsd:element ref="ns2:CaveatText"/>
                <xsd:element ref="ns2:CaveatCategory"/>
                <xsd:element ref="ns2:RightsStatement" minOccurs="0"/>
                <xsd:element ref="ns2:AGRkMSCategory"/>
                <xsd:element ref="ns2:AGRkMSLanguage"/>
                <xsd:element ref="ns2:JurisdictionalCoverage" minOccurs="0"/>
                <xsd:element ref="ns2:TemporalCoverage" minOccurs="0"/>
                <xsd:element ref="ns2:SpatialCoverage" minOccurs="0"/>
                <xsd:element ref="ns2:KeywordID" minOccurs="0"/>
                <xsd:element ref="ns2:KeywordScheme" minOccurs="0"/>
                <xsd:element ref="ns2:KeywordSchemeType" minOccurs="0"/>
                <xsd:element ref="ns2:FormatName" minOccurs="0"/>
                <xsd:element ref="ns2:FormatVersion" minOccurs="0"/>
                <xsd:element ref="ns2:CreatingApplicationName" minOccurs="0"/>
                <xsd:element ref="ns2:CreatingApplicationVersion" minOccurs="0"/>
                <xsd:element ref="ns2:FormatRegistry" minOccurs="0"/>
                <xsd:element ref="ns2:Quantity" minOccurs="0"/>
                <xsd:element ref="ns2:Units" minOccurs="0"/>
                <xsd:element ref="ns2:Medium" minOccurs="0"/>
                <xsd:element ref="ns2:HashFunctionName"/>
                <xsd:element ref="ns2:MessageDigest" minOccurs="0"/>
                <xsd:element ref="ns2:RecordKeywords" minOccurs="0"/>
                <xsd:element ref="ns2:DateRangeStart" minOccurs="0"/>
                <xsd:element ref="ns2:DateRangeEnd" minOccurs="0"/>
                <xsd:element ref="ns2:DocumentForm" minOccurs="0"/>
                <xsd:element ref="ns2:Entity" minOccurs="0"/>
                <xsd:element ref="ns2:Identifier" minOccurs="0"/>
                <xsd:element ref="ns2:Precedence" minOccurs="0"/>
                <xsd:element ref="ns2:RecordContact" minOccurs="0"/>
                <xsd:element ref="ns2:RecordContactDetails" minOccurs="0"/>
                <xsd:element ref="ns2:RecordExtent" minOccurs="0"/>
                <xsd:element ref="ns2:RecordExtentUnits" minOccurs="0"/>
                <xsd:element ref="ns2:RecordLocation" minOccurs="0"/>
                <xsd:element ref="ns2:NameScheme" minOccurs="0"/>
                <xsd:element ref="ns2:IdentifierScheme" minOccurs="0"/>
                <xsd:element ref="ns2:m3f2ca6b2c9a4802967adedbb4af06ae" minOccurs="0"/>
                <xsd:element ref="ns2:OfNationalSignificance"/>
                <xsd:element ref="ns3:_Status" minOccurs="0"/>
                <xsd:element ref="ns3:AssignedTo" minOccurs="0"/>
                <xsd:element ref="ns1:DocumentSetDescription" minOccurs="0"/>
                <xsd:element ref="ns3:MediaServiceMetadata" minOccurs="0"/>
                <xsd:element ref="ns3:MediaServiceFastMetadata"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73" nillable="true" ma:displayName="Description" ma:description="A description of the Document Set" ma:internalName="DocumentSetDescription"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012054d-3a07-4b40-940b-a148fc76e5c4" elementFormDefault="qualified">
    <xsd:import namespace="http://schemas.microsoft.com/office/2006/documentManagement/types"/>
    <xsd:import namespace="http://schemas.microsoft.com/office/infopath/2007/PartnerControls"/>
    <xsd:element name="AGRkMSDescription" ma:index="3" nillable="true" ma:displayName="Description" ma:internalName="AGRkMSDescription" ma:readOnly="false">
      <xsd:simpleType>
        <xsd:restriction base="dms:Note">
          <xsd:maxLength value="255"/>
        </xsd:restriction>
      </xsd:simpleType>
    </xsd:element>
    <xsd:element name="SecurityClassification" ma:index="9" nillable="true" ma:displayName="Security Classification" ma:default="DLM: For Official Use Only" ma:format="Dropdown" ma:hidden="true" ma:internalName="SecurityClassification" ma:readOnly="false">
      <xsd:simpleType>
        <xsd:restriction base="dms:Choice">
          <xsd:enumeration value="Unofficial"/>
          <xsd:enumeration value="Unclassified"/>
          <xsd:enumeration value="DLM: For Official Use Only"/>
          <xsd:enumeration value="DLM: Sensitive"/>
          <xsd:enumeration value="DLM: Sensitive - Legal"/>
          <xsd:enumeration value="DLM: Sensitive - Personal"/>
        </xsd:restriction>
      </xsd:simpleType>
    </xsd:element>
    <xsd:element name="RightsType" ma:index="10" nillable="true" ma:displayName="Rights Type" ma:default="Use Permission" ma:format="Dropdown" ma:hidden="true" ma:internalName="RightsType" ma:readOnly="false">
      <xsd:simpleType>
        <xsd:restriction base="dms:Choice">
          <xsd:enumeration value="Archival Access"/>
          <xsd:enumeration value="Authorised Public Access"/>
          <xsd:enumeration value="Copyright"/>
          <xsd:enumeration value="Disclaimer"/>
          <xsd:enumeration value="Embargo"/>
          <xsd:enumeration value="FOI"/>
          <xsd:enumeration value="Intellectual Property"/>
          <xsd:enumeration value="Privacy"/>
          <xsd:enumeration value="Use Permission"/>
        </xsd:restriction>
      </xsd:simpleType>
    </xsd:element>
    <xsd:element name="RightsStatus" ma:index="11" nillable="true" ma:displayName="Rights Status" ma:default="Open" ma:format="Dropdown" ma:hidden="true" ma:internalName="RightsStatus" ma:readOnly="false">
      <xsd:simpleType>
        <xsd:restriction base="dms:Choice">
          <xsd:enumeration value="Open"/>
          <xsd:enumeration value="Open with Exemptions"/>
          <xsd:enumeration value="Closed"/>
          <xsd:enumeration value="May be Released Under FOI"/>
          <xsd:enumeration value="Not for Release"/>
          <xsd:enumeration value="FOI"/>
          <xsd:enumeration value="May be Published"/>
          <xsd:enumeration value="Limited Release"/>
          <xsd:enumeration value="Published"/>
        </xsd:restriction>
      </xsd:simpleType>
    </xsd:element>
    <xsd:element name="TaxCatchAllLabel" ma:index="13" nillable="true" ma:displayName="Taxonomy Catch All Column1" ma:hidden="true" ma:list="{6409ff59-da27-43b9-9466-eca8795ec41c}" ma:internalName="TaxCatchAllLabel" ma:readOnly="true" ma:showField="CatchAllDataLabel" ma:web="7012054d-3a07-4b40-940b-a148fc76e5c4">
      <xsd:complexType>
        <xsd:complexContent>
          <xsd:extension base="dms:MultiChoiceLookup">
            <xsd:sequence>
              <xsd:element name="Value" type="dms:Lookup" maxOccurs="unbounded" minOccurs="0" nillable="true"/>
            </xsd:sequence>
          </xsd:extension>
        </xsd:complexContent>
      </xsd:complexType>
    </xsd:element>
    <xsd:element name="TaxKeywordTaxHTField" ma:index="16" nillable="true" ma:taxonomy="true" ma:internalName="TaxKeywordTaxHTField" ma:taxonomyFieldName="TaxKeyword" ma:displayName="Enterprise Keywords" ma:readOnly="false" ma:fieldId="{23f27201-bee3-471e-b2e7-b64fd8b7ca38}" ma:taxonomyMulti="true" ma:sspId="bce47a14-5049-44f5-9725-de9c3b17a93b" ma:termSetId="00000000-0000-0000-0000-000000000000" ma:anchorId="00000000-0000-0000-0000-000000000000" ma:open="true" ma:isKeyword="true">
      <xsd:complexType>
        <xsd:sequence>
          <xsd:element ref="pc:Terms" minOccurs="0" maxOccurs="1"/>
        </xsd:sequence>
      </xsd:complexType>
    </xsd:element>
    <xsd:element name="Team_Note" ma:index="18" nillable="true" ma:taxonomy="true" ma:internalName="Team_Note" ma:taxonomyFieldName="Team" ma:displayName="Team" ma:readOnly="false" ma:fieldId="{ffcfccb1-4c47-4d58-b2df-6c0b84387c6a}" ma:sspId="bce47a14-5049-44f5-9725-de9c3b17a93b" ma:termSetId="e9f09cd7-4608-4f5c-8067-70e51caf957b" ma:anchorId="00000000-0000-0000-0000-000000000000" ma:open="false" ma:isKeyword="false">
      <xsd:complexType>
        <xsd:sequence>
          <xsd:element ref="pc:Terms" minOccurs="0" maxOccurs="1"/>
        </xsd:sequence>
      </xsd:complexType>
    </xsd:element>
    <xsd:element name="TaxCatchAll" ma:index="19" nillable="true" ma:displayName="Taxonomy Catch All Column" ma:hidden="true" ma:list="{6409ff59-da27-43b9-9466-eca8795ec41c}" ma:internalName="TaxCatchAll" ma:readOnly="false" ma:showField="CatchAllData" ma:web="7012054d-3a07-4b40-940b-a148fc76e5c4">
      <xsd:complexType>
        <xsd:complexContent>
          <xsd:extension base="dms:MultiChoiceLookup">
            <xsd:sequence>
              <xsd:element name="Value" type="dms:Lookup" maxOccurs="unbounded" minOccurs="0" nillable="true"/>
            </xsd:sequence>
          </xsd:extension>
        </xsd:complexContent>
      </xsd:complexType>
    </xsd:element>
    <xsd:element name="BusinessFunction_Note" ma:index="20" ma:taxonomy="true" ma:internalName="BusinessFunction_Note" ma:taxonomyFieldName="BusinessFunction" ma:displayName="Business Function" ma:indexed="true" ma:readOnly="false" ma:fieldId="{959dd842-3424-40db-9a11-e62432e4b565}" ma:sspId="bce47a14-5049-44f5-9725-de9c3b17a93b" ma:termSetId="e204d62f-d264-43c4-8e63-421b70a2954d" ma:anchorId="00000000-0000-0000-0000-000000000000" ma:open="false" ma:isKeyword="false">
      <xsd:complexType>
        <xsd:sequence>
          <xsd:element ref="pc:Terms" minOccurs="0" maxOccurs="1"/>
        </xsd:sequence>
      </xsd:complexType>
    </xsd:element>
    <xsd:element name="DocumentType_Note" ma:index="22" nillable="true" ma:taxonomy="true" ma:internalName="DocumentType_Note" ma:taxonomyFieldName="DocumentType" ma:displayName="Document Type" ma:indexed="true" ma:readOnly="false" ma:fieldId="{d7e9db9a-de6b-4b6b-9730-7a48bbc6c396}" ma:sspId="bce47a14-5049-44f5-9725-de9c3b17a93b" ma:termSetId="333c4037-fbfd-4298-be21-e3183fae6b8e" ma:anchorId="00000000-0000-0000-0000-000000000000" ma:open="false" ma:isKeyword="false">
      <xsd:complexType>
        <xsd:sequence>
          <xsd:element ref="pc:Terms" minOccurs="0" maxOccurs="1"/>
        </xsd:sequence>
      </xsd:complexType>
    </xsd:element>
    <xsd:element name="pfcb0be319e247388db2251ff9d23f72" ma:index="24" nillable="true" ma:taxonomy="true" ma:internalName="pfcb0be319e247388db2251ff9d23f72" ma:taxonomyFieldName="Title_x0020_Type" ma:displayName="Title Type" ma:readOnly="false" ma:fieldId="{9fcb0be3-19e2-4738-8db2-251ff9d23f72}" ma:sspId="bce47a14-5049-44f5-9725-de9c3b17a93b" ma:termSetId="e204d62f-d264-43c4-8e63-421b70a2954d" ma:anchorId="286f6102-6be4-40f5-8b73-32f93e1dd849" ma:open="false" ma:isKeyword="false">
      <xsd:complexType>
        <xsd:sequence>
          <xsd:element ref="pc:Terms" minOccurs="0" maxOccurs="1"/>
        </xsd:sequence>
      </xsd:complexType>
    </xsd:element>
    <xsd:element name="g91dc4f691a04421b1edf463601fabf6" ma:index="26" nillable="true" ma:taxonomy="true" ma:internalName="g91dc4f691a04421b1edf463601fabf6" ma:taxonomyFieldName="Offshore_x0020_Region" ma:displayName="Offshore Region" ma:readOnly="false" ma:fieldId="{091dc4f6-91a0-4421-b1ed-f463601fabf6}" ma:sspId="bce47a14-5049-44f5-9725-de9c3b17a93b" ma:termSetId="99cd5c32-502d-4aba-9558-a497c5e865e4"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false">
      <xsd:simpleType>
        <xsd:restriction base="dms:Boolean"/>
      </xsd:simpleType>
    </xsd:element>
    <xsd:element name="Titles_Note" ma:index="30" nillable="true" ma:taxonomy="true" ma:internalName="Titles_Note" ma:taxonomyFieldName="Titles" ma:displayName="Titles" ma:readOnly="false" ma:fieldId="{97b812e5-e380-4ca1-b625-eb849df8b920}" ma:taxonomyMulti="true" ma:sspId="bce47a14-5049-44f5-9725-de9c3b17a93b" ma:termSetId="a0720935-c824-4aaf-b152-24826a10ab35" ma:anchorId="00000000-0000-0000-0000-000000000000" ma:open="false" ma:isKeyword="false">
      <xsd:complexType>
        <xsd:sequence>
          <xsd:element ref="pc:Terms" minOccurs="0" maxOccurs="1"/>
        </xsd:sequence>
      </xsd:complexType>
    </xsd:element>
    <xsd:element name="Jurisdiction" ma:index="31" nillable="true" ma:displayName="Jurisdiction" ma:default="AU" ma:hidden="true" ma:internalName="Jurisdiction" ma:readOnly="false">
      <xsd:complexType>
        <xsd:complexContent>
          <xsd:extension base="dms:MultiChoice">
            <xsd:sequence>
              <xsd:element name="Value" maxOccurs="unbounded" minOccurs="0" nillable="true">
                <xsd:simpleType>
                  <xsd:restriction base="dms:Choice">
                    <xsd:enumeration value="AU"/>
                    <xsd:enumeration value="AAT"/>
                    <xsd:enumeration value="ACT"/>
                    <xsd:enumeration value="IOT"/>
                    <xsd:enumeration value="NSW"/>
                    <xsd:enumeration value="NI"/>
                    <xsd:enumeration value="NT"/>
                    <xsd:enumeration value="QLD"/>
                    <xsd:enumeration value="SA"/>
                    <xsd:enumeration value="TAS"/>
                    <xsd:enumeration value="VIC"/>
                    <xsd:enumeration value="WA"/>
                    <xsd:enumeration value="O"/>
                  </xsd:restriction>
                </xsd:simpleType>
              </xsd:element>
            </xsd:sequence>
          </xsd:extension>
        </xsd:complexContent>
      </xsd:complexType>
    </xsd:element>
    <xsd:element name="CaveatText" ma:index="32" ma:displayName="Caveat Text" ma:default="PSPF" ma:hidden="true" ma:internalName="CaveatText" ma:readOnly="false">
      <xsd:simpleType>
        <xsd:restriction base="dms:Text"/>
      </xsd:simpleType>
    </xsd:element>
    <xsd:element name="CaveatCategory" ma:index="33" ma:displayName="Caveat Category" ma:default="DLM: For Official Use Only" ma:hidden="true" ma:internalName="CaveatCategory" ma:readOnly="false">
      <xsd:simpleType>
        <xsd:restriction base="dms:Text"/>
      </xsd:simpleType>
    </xsd:element>
    <xsd:element name="RightsStatement" ma:index="34" nillable="true" ma:displayName="Rights Statement" ma:default="NOPTA Members Only" ma:hidden="true" ma:internalName="RightsStatement" ma:readOnly="false">
      <xsd:simpleType>
        <xsd:restriction base="dms:Note"/>
      </xsd:simpleType>
    </xsd:element>
    <xsd:element name="AGRkMSCategory" ma:index="35" ma:displayName="Category" ma:default="Item" ma:format="Dropdown" ma:hidden="true" ma:internalName="AGRkMSCategory" ma:readOnly="false">
      <xsd:simpleType>
        <xsd:restriction base="dms:Choice">
          <xsd:enumeration value="Archives"/>
          <xsd:enumeration value="Archive"/>
          <xsd:enumeration value="Series"/>
          <xsd:enumeration value="File"/>
          <xsd:enumeration value="Transaction Sequence"/>
          <xsd:enumeration value="Item"/>
        </xsd:restriction>
      </xsd:simpleType>
    </xsd:element>
    <xsd:element name="AGRkMSLanguage" ma:index="36" ma:displayName="AGRkMS Language" ma:default="en-au" ma:hidden="true" ma:internalName="AGRkMSLanguage" ma:readOnly="false">
      <xsd:simpleType>
        <xsd:restriction base="dms:Text"/>
      </xsd:simpleType>
    </xsd:element>
    <xsd:element name="JurisdictionalCoverage" ma:index="37" nillable="true" ma:displayName="Jurisdictional Coverage" ma:default="Commonwealth of Australia (AU)" ma:hidden="true" ma:internalName="JurisdictionalCoverage" ma:readOnly="false">
      <xsd:complexType>
        <xsd:complexContent>
          <xsd:extension base="dms:MultiChoice">
            <xsd:sequence>
              <xsd:element name="Value" maxOccurs="unbounded" minOccurs="0" nillable="true">
                <xsd:simpleType>
                  <xsd:restriction base="dms:Choice">
                    <xsd:enumeration value="Commonwealth of Australia (AU)"/>
                    <xsd:enumeration value="Australian Antarctic Territory (AAT)"/>
                    <xsd:enumeration value="Indian Ocean Territories (IOT)"/>
                    <xsd:enumeration value="Norfolk Island (NI)"/>
                    <xsd:enumeration value="Other (O)"/>
                  </xsd:restriction>
                </xsd:simpleType>
              </xsd:element>
            </xsd:sequence>
          </xsd:extension>
        </xsd:complexContent>
      </xsd:complexType>
    </xsd:element>
    <xsd:element name="TemporalCoverage" ma:index="38" nillable="true" ma:displayName="Temporal Coverage" ma:hidden="true" ma:internalName="TemporalCoverage" ma:readOnly="false">
      <xsd:simpleType>
        <xsd:restriction base="dms:Text"/>
      </xsd:simpleType>
    </xsd:element>
    <xsd:element name="SpatialCoverage" ma:index="39" nillable="true" ma:displayName="Spatial Coverage" ma:default="Commonwealth of Australia" ma:hidden="true" ma:internalName="SpatialCoverage" ma:readOnly="false">
      <xsd:simpleType>
        <xsd:restriction base="dms:Text"/>
      </xsd:simpleType>
    </xsd:element>
    <xsd:element name="KeywordID" ma:index="40" nillable="true" ma:displayName="Keyword ID" ma:hidden="true" ma:internalName="KeywordID" ma:readOnly="false">
      <xsd:simpleType>
        <xsd:restriction base="dms:Text"/>
      </xsd:simpleType>
    </xsd:element>
    <xsd:element name="KeywordScheme" ma:index="41" nillable="true" ma:displayName="Keyword Scheme" ma:hidden="true" ma:internalName="KeywordScheme" ma:readOnly="false">
      <xsd:simpleType>
        <xsd:restriction base="dms:Text"/>
      </xsd:simpleType>
    </xsd:element>
    <xsd:element name="KeywordSchemeType" ma:index="42" nillable="true" ma:displayName="Keyword Scheme Type" ma:hidden="true" ma:internalName="KeywordSchemeType" ma:readOnly="false">
      <xsd:simpleType>
        <xsd:restriction base="dms:Text"/>
      </xsd:simpleType>
    </xsd:element>
    <xsd:element name="FormatName" ma:index="43" nillable="true" ma:displayName="Format Name" ma:default="Word" ma:hidden="true" ma:internalName="FormatName" ma:readOnly="false">
      <xsd:simpleType>
        <xsd:restriction base="dms:Text"/>
      </xsd:simpleType>
    </xsd:element>
    <xsd:element name="FormatVersion" ma:index="44" nillable="true" ma:displayName="Format Version" ma:default="2013" ma:hidden="true" ma:internalName="FormatVersion" ma:readOnly="false">
      <xsd:simpleType>
        <xsd:restriction base="dms:Text"/>
      </xsd:simpleType>
    </xsd:element>
    <xsd:element name="CreatingApplicationName" ma:index="45" nillable="true" ma:displayName="Creating Application Name" ma:default="Microsoft Word" ma:hidden="true" ma:internalName="CreatingApplicationName" ma:readOnly="false">
      <xsd:simpleType>
        <xsd:restriction base="dms:Text"/>
      </xsd:simpleType>
    </xsd:element>
    <xsd:element name="CreatingApplicationVersion" ma:index="46" nillable="true" ma:displayName="Creating Application Version" ma:default="2013" ma:hidden="true" ma:internalName="CreatingApplicationVersion" ma:readOnly="false">
      <xsd:simpleType>
        <xsd:restriction base="dms:Text"/>
      </xsd:simpleType>
    </xsd:element>
    <xsd:element name="FormatRegistry" ma:index="47" nillable="true" ma:displayName="Format Registry" ma:default="System generated" ma:hidden="true" ma:internalName="FormatRegistry" ma:readOnly="false">
      <xsd:simpleType>
        <xsd:restriction base="dms:Text"/>
      </xsd:simpleType>
    </xsd:element>
    <xsd:element name="Quantity" ma:index="48" nillable="true" ma:displayName="Quantity" ma:hidden="true" ma:internalName="Quantity" ma:readOnly="false">
      <xsd:simpleType>
        <xsd:restriction base="dms:Text"/>
      </xsd:simpleType>
    </xsd:element>
    <xsd:element name="Units" ma:index="49" nillable="true" ma:displayName="Units" ma:default="KB" ma:format="Dropdown" ma:hidden="true" ma:internalName="Units" ma:readOnly="false">
      <xsd:simpleType>
        <xsd:restriction base="dms:Choice">
          <xsd:enumeration value="B"/>
          <xsd:enumeration value="KB"/>
          <xsd:enumeration value="MB"/>
          <xsd:enumeration value="GB"/>
          <xsd:enumeration value="TB"/>
          <xsd:enumeration value="PB"/>
          <xsd:enumeration value="EB"/>
          <xsd:enumeration value="ZB"/>
          <xsd:enumeration value="YB"/>
          <xsd:enumeration value="CM"/>
        </xsd:restriction>
      </xsd:simpleType>
    </xsd:element>
    <xsd:element name="Medium" ma:index="50" nillable="true" ma:displayName="Medium" ma:default="Digital File" ma:hidden="true" ma:internalName="Medium" ma:readOnly="false">
      <xsd:simpleType>
        <xsd:restriction base="dms:Text"/>
      </xsd:simpleType>
    </xsd:element>
    <xsd:element name="HashFunctionName" ma:index="51" ma:displayName="Hash Function Name" ma:default="MD5" ma:hidden="true" ma:internalName="HashFunctionName" ma:readOnly="false">
      <xsd:simpleType>
        <xsd:restriction base="dms:Text"/>
      </xsd:simpleType>
    </xsd:element>
    <xsd:element name="MessageDigest" ma:index="52" nillable="true" ma:displayName="Message Digest" ma:hidden="true" ma:internalName="MessageDigest" ma:readOnly="false">
      <xsd:simpleType>
        <xsd:restriction base="dms:Text"/>
      </xsd:simpleType>
    </xsd:element>
    <xsd:element name="RecordKeywords" ma:index="53" nillable="true" ma:displayName="Record Keywords" ma:hidden="true" ma:internalName="RecordKeywords" ma:readOnly="false">
      <xsd:simpleType>
        <xsd:restriction base="dms:Text"/>
      </xsd:simpleType>
    </xsd:element>
    <xsd:element name="DateRangeStart" ma:index="54" nillable="true" ma:displayName="Date Range - Start Date" ma:format="DateOnly" ma:hidden="true" ma:internalName="DateRangeStart" ma:readOnly="false">
      <xsd:simpleType>
        <xsd:restriction base="dms:DateTime"/>
      </xsd:simpleType>
    </xsd:element>
    <xsd:element name="DateRangeEnd" ma:index="55" nillable="true" ma:displayName="Date Range - End Date" ma:format="DateOnly" ma:hidden="true" ma:internalName="DateRangeEnd" ma:readOnly="false">
      <xsd:simpleType>
        <xsd:restriction base="dms:DateTime"/>
      </xsd:simpleType>
    </xsd:element>
    <xsd:element name="DocumentForm" ma:index="56" nillable="true" ma:displayName="Document Form" ma:hidden="true" ma:internalName="DocumentForm" ma:readOnly="false">
      <xsd:simpleType>
        <xsd:restriction base="dms:Text"/>
      </xsd:simpleType>
    </xsd:element>
    <xsd:element name="Entity" ma:index="57" nillable="true" ma:displayName="Entity" ma:format="Dropdown" ma:hidden="true" ma:internalName="Entity" ma:readOnly="false">
      <xsd:simpleType>
        <xsd:restriction base="dms:Choice">
          <xsd:enumeration value="Agent"/>
          <xsd:enumeration value="Business"/>
          <xsd:enumeration value="Mandate"/>
          <xsd:enumeration value="Record"/>
          <xsd:enumeration value="Relationship"/>
        </xsd:restriction>
      </xsd:simpleType>
    </xsd:element>
    <xsd:element name="Identifier" ma:index="58" nillable="true" ma:displayName="Identifier" ma:decimals="0" ma:default="0" ma:hidden="true" ma:internalName="Identifier" ma:readOnly="false" ma:percentage="FALSE">
      <xsd:simpleType>
        <xsd:restriction base="dms:Number"/>
      </xsd:simpleType>
    </xsd:element>
    <xsd:element name="Precedence" ma:index="59" nillable="true" ma:displayName="Precedence" ma:hidden="true" ma:internalName="Precedence" ma:readOnly="false">
      <xsd:simpleType>
        <xsd:restriction base="dms:Text"/>
      </xsd:simpleType>
    </xsd:element>
    <xsd:element name="RecordContact" ma:index="60" nillable="true" ma:displayName="Record Contact" ma:hidden="true" ma:SearchPeopleOnly="false" ma:SharePointGroup="0" ma:internalName="RecordContac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cordContactDetails" ma:index="61" nillable="true" ma:displayName="Record Contact Details" ma:hidden="true" ma:internalName="RecordContactDetails" ma:readOnly="false">
      <xsd:simpleType>
        <xsd:restriction base="dms:Text"/>
      </xsd:simpleType>
    </xsd:element>
    <xsd:element name="RecordExtent" ma:index="62" nillable="true" ma:displayName="Record Extent" ma:hidden="true" ma:internalName="RecordExtent" ma:readOnly="false">
      <xsd:simpleType>
        <xsd:restriction base="dms:Text"/>
      </xsd:simpleType>
    </xsd:element>
    <xsd:element name="RecordExtentUnits" ma:index="63" nillable="true" ma:displayName="Record Extent Units" ma:hidden="true" ma:internalName="RecordExtentUnits" ma:readOnly="false">
      <xsd:simpleType>
        <xsd:restriction base="dms:Text"/>
      </xsd:simpleType>
    </xsd:element>
    <xsd:element name="RecordLocation" ma:index="64" nillable="true" ma:displayName="Record Location" ma:hidden="true" ma:internalName="RecordLocation" ma:readOnly="false">
      <xsd:simpleType>
        <xsd:restriction base="dms:Text"/>
      </xsd:simpleType>
    </xsd:element>
    <xsd:element name="NameScheme" ma:index="65" nillable="true" ma:displayName="Name Scheme" ma:hidden="true" ma:internalName="NameScheme" ma:readOnly="false">
      <xsd:simpleType>
        <xsd:restriction base="dms:Text"/>
      </xsd:simpleType>
    </xsd:element>
    <xsd:element name="IdentifierScheme" ma:index="66" nillable="true" ma:displayName="Identifier Scheme" ma:default="RecordPoint" ma:hidden="true" ma:internalName="IdentifierScheme" ma:readOnly="false">
      <xsd:simpleType>
        <xsd:restriction base="dms:Text"/>
      </xsd:simpleType>
    </xsd:element>
    <xsd:element name="m3f2ca6b2c9a4802967adedbb4af06ae" ma:index="67" nillable="true" ma:taxonomy="true" ma:internalName="m3f2ca6b2c9a4802967adedbb4af06ae" ma:taxonomyFieldName="Application_x0020_Library" ma:displayName="Application Library" ma:readOnly="false" ma:fieldId="{63f2ca6b-2c9a-4802-967a-dedbb4af06ae}" ma:sspId="bce47a14-5049-44f5-9725-de9c3b17a93b" ma:termSetId="55c24099-0a67-4aa1-976f-bac0dc13e218" ma:anchorId="00000000-0000-0000-0000-000000000000" ma:open="false" ma:isKeyword="false">
      <xsd:complexType>
        <xsd:sequence>
          <xsd:element ref="pc:Terms" minOccurs="0" maxOccurs="1"/>
        </xsd:sequence>
      </xsd:complexType>
    </xsd:element>
    <xsd:element name="OfNationalSignificance" ma:index="69" ma:displayName="Of National Significance" ma:format="Dropdown" ma:internalName="Of_x0020_National_x0020_Significance" ma:readOnly="false">
      <xsd:simpleType>
        <xsd:restriction base="dms:Choice">
          <xsd:enumeration value="Yes"/>
          <xsd:enumeration value="No"/>
        </xsd:restriction>
      </xsd:simpleType>
    </xsd:element>
  </xsd:schema>
  <xsd:schema xmlns:xsd="http://www.w3.org/2001/XMLSchema" xmlns:xs="http://www.w3.org/2001/XMLSchema" xmlns:dms="http://schemas.microsoft.com/office/2006/documentManagement/types" xmlns:pc="http://schemas.microsoft.com/office/infopath/2007/PartnerControls" targetNamespace="df2ee7c4-96ab-439d-aaf5-28f58522ec0d" elementFormDefault="qualified">
    <xsd:import namespace="http://schemas.microsoft.com/office/2006/documentManagement/types"/>
    <xsd:import namespace="http://schemas.microsoft.com/office/infopath/2007/PartnerControls"/>
    <xsd:element name="_Status" ma:index="71" nillable="true" ma:displayName="Status" ma:default="Not Started" ma:format="Dropdown" ma:internalName="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element name="AssignedTo" ma:index="72" nillable="true" ma:displayName="Assigned To" ma:list="UserInfo" ma:SearchPeopleOnly="false" ma:SharePointGroup="0" ma:internalName="Assigned_x0020_To0"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74" nillable="true" ma:displayName="MediaServiceMetadata" ma:hidden="true" ma:internalName="MediaServiceMetadata" ma:readOnly="true">
      <xsd:simpleType>
        <xsd:restriction base="dms:Note"/>
      </xsd:simpleType>
    </xsd:element>
    <xsd:element name="MediaServiceFastMetadata" ma:index="75"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fdb9f5-4e6c-4c4a-a24d-2c5439f6d702" elementFormDefault="qualified">
    <xsd:import namespace="http://schemas.microsoft.com/office/2006/documentManagement/types"/>
    <xsd:import namespace="http://schemas.microsoft.com/office/infopath/2007/PartnerControls"/>
    <xsd:element name="SharedWithUsers" ma:index="7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7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2" ma:displayName="Title"/>
        <xsd:element ref="dc:subject" minOccurs="0" maxOccurs="1"/>
        <xsd:element ref="dc:description" minOccurs="0" maxOccurs="1" ma:index="7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A9100-D53E-45DD-9399-C6E174478CD3}">
  <ds:schemaRefs>
    <ds:schemaRef ds:uri="http://purl.org/dc/terms/"/>
    <ds:schemaRef ds:uri="http://schemas.openxmlformats.org/package/2006/metadata/core-properties"/>
    <ds:schemaRef ds:uri="a8fdb9f5-4e6c-4c4a-a24d-2c5439f6d702"/>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df2ee7c4-96ab-439d-aaf5-28f58522ec0d"/>
    <ds:schemaRef ds:uri="7012054d-3a07-4b40-940b-a148fc76e5c4"/>
    <ds:schemaRef ds:uri="http://www.w3.org/XML/1998/namespace"/>
    <ds:schemaRef ds:uri="http://purl.org/dc/dcmitype/"/>
  </ds:schemaRefs>
</ds:datastoreItem>
</file>

<file path=customXml/itemProps2.xml><?xml version="1.0" encoding="utf-8"?>
<ds:datastoreItem xmlns:ds="http://schemas.openxmlformats.org/officeDocument/2006/customXml" ds:itemID="{ACC083A4-E09A-46EF-A311-A9B07CB0F8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012054d-3a07-4b40-940b-a148fc76e5c4"/>
    <ds:schemaRef ds:uri="df2ee7c4-96ab-439d-aaf5-28f58522ec0d"/>
    <ds:schemaRef ds:uri="a8fdb9f5-4e6c-4c4a-a24d-2c5439f6d7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498A6A-E993-4010-A94D-5EF792B61B77}">
  <ds:schemaRefs>
    <ds:schemaRef ds:uri="http://schemas.microsoft.com/sharepoint/events"/>
  </ds:schemaRefs>
</ds:datastoreItem>
</file>

<file path=customXml/itemProps4.xml><?xml version="1.0" encoding="utf-8"?>
<ds:datastoreItem xmlns:ds="http://schemas.openxmlformats.org/officeDocument/2006/customXml" ds:itemID="{4DA1BF1F-6E81-4CE2-9F7B-F3D97E8B8CCB}">
  <ds:schemaRefs>
    <ds:schemaRef ds:uri="http://schemas.microsoft.com/sharepoint/v3/contenttype/forms"/>
  </ds:schemaRefs>
</ds:datastoreItem>
</file>

<file path=customXml/itemProps5.xml><?xml version="1.0" encoding="utf-8"?>
<ds:datastoreItem xmlns:ds="http://schemas.openxmlformats.org/officeDocument/2006/customXml" ds:itemID="{A833211F-DFBF-4C2F-8E80-D8FA1D747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6335</Words>
  <Characters>36325</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Grant and Administration of a Retention Lease and Related Matters</vt:lpstr>
    </vt:vector>
  </TitlesOfParts>
  <Company/>
  <LinksUpToDate>false</LinksUpToDate>
  <CharactersWithSpaces>42575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and Administration of a Retention Lease and Related Matters</dc:title>
  <dc:subject/>
  <dc:creator/>
  <cp:keywords>approved guideline; retention lease</cp:keywords>
  <dc:description/>
  <cp:lastModifiedBy/>
  <cp:revision>1</cp:revision>
  <dcterms:created xsi:type="dcterms:W3CDTF">2019-05-13T01:00:00Z</dcterms:created>
  <dcterms:modified xsi:type="dcterms:W3CDTF">2019-05-13T01:52:00Z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0x01010063547D135F865547B104B3688A6EB0DB005292097638003245A1880F551FCE18BD</vt:lpwstr>
  </property>
  <property fmtid="{D5CDD505-2E9C-101B-9397-08002B2CF9AE}" pid="3" name="TaxKeyword">
    <vt:lpwstr>10973;#approved guideline|0498a99f-dddf-46e2-861b-5c726a23b223;#916;#retention lease|d41ae312-19ae-4d77-a8f0-fd053e6206a7</vt:lpwstr>
  </property>
  <property fmtid="{D5CDD505-2E9C-101B-9397-08002B2CF9AE}" pid="4" name="BusinessFunction">
    <vt:lpwstr>573;#External Guidance|b09c6caf-08fd-461c-b4ef-37c1e36f5aed</vt:lpwstr>
  </property>
  <property fmtid="{D5CDD505-2E9C-101B-9397-08002B2CF9AE}" pid="5" name="_dlc_DocIdItemGuid">
    <vt:lpwstr>1a6da0e7-fcd8-4b58-9e24-8ad1bc2595e0</vt:lpwstr>
  </property>
  <property fmtid="{D5CDD505-2E9C-101B-9397-08002B2CF9AE}" pid="6" name="Team">
    <vt:lpwstr>424;#Legislative Compliance|cb4b5b1d-0a66-42b0-ad54-d9e1e7b82ef0</vt:lpwstr>
  </property>
  <property fmtid="{D5CDD505-2E9C-101B-9397-08002B2CF9AE}" pid="7" name="Titles">
    <vt:lpwstr/>
  </property>
  <property fmtid="{D5CDD505-2E9C-101B-9397-08002B2CF9AE}" pid="8" name="Title Type">
    <vt:lpwstr/>
  </property>
  <property fmtid="{D5CDD505-2E9C-101B-9397-08002B2CF9AE}" pid="9" name="DocumentType">
    <vt:lpwstr>137;#Guideline|d1b666ff-1768-485a-b83d-c8693c6a4acc</vt:lpwstr>
  </property>
  <property fmtid="{D5CDD505-2E9C-101B-9397-08002B2CF9AE}" pid="10" name="Comments">
    <vt:lpwstr/>
  </property>
  <property fmtid="{D5CDD505-2E9C-101B-9397-08002B2CF9AE}" pid="11" name="Offshore Region">
    <vt:lpwstr/>
  </property>
  <property fmtid="{D5CDD505-2E9C-101B-9397-08002B2CF9AE}" pid="12" name="Application Library">
    <vt:lpwstr/>
  </property>
  <property fmtid="{D5CDD505-2E9C-101B-9397-08002B2CF9AE}" pid="13" name="RecordPoint_WorkflowType">
    <vt:lpwstr>ActiveSubmitStub</vt:lpwstr>
  </property>
  <property fmtid="{D5CDD505-2E9C-101B-9397-08002B2CF9AE}" pid="14" name="RecordPoint_ActiveItemWebId">
    <vt:lpwstr>{534ecb78-ceec-4263-97fc-d32ad715d31f}</vt:lpwstr>
  </property>
  <property fmtid="{D5CDD505-2E9C-101B-9397-08002B2CF9AE}" pid="15" name="RecordPoint_ActiveItemSiteId">
    <vt:lpwstr>{d02ec70a-6101-41fa-8072-ecbec6fd4fd8}</vt:lpwstr>
  </property>
  <property fmtid="{D5CDD505-2E9C-101B-9397-08002B2CF9AE}" pid="16" name="RecordPoint_ActiveItemListId">
    <vt:lpwstr>{478775bc-9c4f-4f34-ba66-087519ae94a1}</vt:lpwstr>
  </property>
  <property fmtid="{D5CDD505-2E9C-101B-9397-08002B2CF9AE}" pid="17" name="RecordPoint_ActiveItemUniqueId">
    <vt:lpwstr>{ed2f82a4-e3ac-48e8-a1a2-059d2dd6a130}</vt:lpwstr>
  </property>
  <property fmtid="{D5CDD505-2E9C-101B-9397-08002B2CF9AE}" pid="18" name="RecordPoint_RecordNumberSubmitted">
    <vt:lpwstr>R0000175954</vt:lpwstr>
  </property>
  <property fmtid="{D5CDD505-2E9C-101B-9397-08002B2CF9AE}" pid="19" name="RecordPoint_SubmissionCompleted">
    <vt:lpwstr>2019-02-12T12:19:50.1835490+08:00</vt:lpwstr>
  </property>
  <property fmtid="{D5CDD505-2E9C-101B-9397-08002B2CF9AE}" pid="20" name="DocHub_Year">
    <vt:lpwstr>3075;#2019|7e451fe0-4dc6-437a-a849-bab7965a9aee</vt:lpwstr>
  </property>
  <property fmtid="{D5CDD505-2E9C-101B-9397-08002B2CF9AE}" pid="21" name="DocHub_Section">
    <vt:lpwstr>3234;#Petroleum Development|abf40c76-aec9-4fef-a323-92c4bb0075e2</vt:lpwstr>
  </property>
  <property fmtid="{D5CDD505-2E9C-101B-9397-08002B2CF9AE}" pid="22" name="DocHub_DocumentType">
    <vt:lpwstr>81;#Guideline|1cb7cffe-f5b4-42ac-8a71-3f61d9d0fa0a</vt:lpwstr>
  </property>
  <property fmtid="{D5CDD505-2E9C-101B-9397-08002B2CF9AE}" pid="23" name="DocHub_SecurityClassification">
    <vt:lpwstr>46;#For Official Use Only|11f6fb0b-52ce-4109-8f7f-521b2a62f692</vt:lpwstr>
  </property>
  <property fmtid="{D5CDD505-2E9C-101B-9397-08002B2CF9AE}" pid="24" name="DocHub_WorkActivity">
    <vt:lpwstr/>
  </property>
  <property fmtid="{D5CDD505-2E9C-101B-9397-08002B2CF9AE}" pid="25" name="DocHub_Keywords">
    <vt:lpwstr/>
  </property>
</Properties>
</file>