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2"/>
      </w:tblGrid>
      <w:tr w:rsidR="00A26BDC" w:rsidRPr="00523291" w14:paraId="5167ACA7" w14:textId="77777777" w:rsidTr="00A3178E">
        <w:trPr>
          <w:trHeight w:val="3239"/>
        </w:trPr>
        <w:tc>
          <w:tcPr>
            <w:tcW w:w="9912" w:type="dxa"/>
          </w:tcPr>
          <w:p w14:paraId="5B25BA44" w14:textId="77777777" w:rsidR="00A26BDC" w:rsidRPr="00FE471B" w:rsidRDefault="00A26BDC" w:rsidP="00A3178E">
            <w:pPr>
              <w:tabs>
                <w:tab w:val="left" w:pos="5096"/>
              </w:tabs>
              <w:rPr>
                <w:sz w:val="20"/>
                <w:szCs w:val="22"/>
              </w:rPr>
            </w:pPr>
            <w:r>
              <w:rPr>
                <w:sz w:val="20"/>
                <w:szCs w:val="22"/>
              </w:rPr>
              <w:t>Lodgement and approvals information - f</w:t>
            </w:r>
            <w:r w:rsidRPr="008A4BB6">
              <w:rPr>
                <w:sz w:val="20"/>
                <w:szCs w:val="22"/>
              </w:rPr>
              <w:t>or NOPTA use only:</w:t>
            </w:r>
          </w:p>
        </w:tc>
      </w:tr>
    </w:tbl>
    <w:p w14:paraId="1157565E" w14:textId="77777777" w:rsidR="00A26BDC" w:rsidRPr="000F4E98" w:rsidRDefault="00A26BDC" w:rsidP="00A26BDC">
      <w:pPr>
        <w:tabs>
          <w:tab w:val="left" w:pos="5096"/>
        </w:tabs>
        <w:jc w:val="center"/>
        <w:rPr>
          <w:rFonts w:cstheme="minorHAnsi"/>
          <w:b/>
          <w:color w:val="595959" w:themeColor="text1" w:themeTint="A6"/>
          <w:sz w:val="28"/>
          <w:szCs w:val="28"/>
        </w:rPr>
      </w:pPr>
    </w:p>
    <w:p w14:paraId="5E990380" w14:textId="5E6180F0" w:rsidR="00A26BDC" w:rsidRDefault="00A26BDC" w:rsidP="00A26BDC">
      <w:pPr>
        <w:tabs>
          <w:tab w:val="left" w:pos="5096"/>
        </w:tabs>
        <w:jc w:val="center"/>
        <w:rPr>
          <w:rFonts w:cstheme="minorHAnsi"/>
          <w:b/>
          <w:bCs/>
          <w:iCs/>
          <w:color w:val="595959" w:themeColor="text1" w:themeTint="A6"/>
          <w:sz w:val="28"/>
          <w:szCs w:val="28"/>
        </w:rPr>
      </w:pPr>
      <w:r w:rsidRPr="0015558E">
        <w:rPr>
          <w:rFonts w:cstheme="minorHAnsi"/>
          <w:b/>
          <w:bCs/>
          <w:iCs/>
          <w:color w:val="595959" w:themeColor="text1" w:themeTint="A6"/>
          <w:sz w:val="28"/>
          <w:szCs w:val="28"/>
        </w:rPr>
        <w:t xml:space="preserve">Supplementary </w:t>
      </w:r>
      <w:r>
        <w:rPr>
          <w:rFonts w:cstheme="minorHAnsi"/>
          <w:b/>
          <w:bCs/>
          <w:iCs/>
          <w:color w:val="595959" w:themeColor="text1" w:themeTint="A6"/>
          <w:sz w:val="28"/>
          <w:szCs w:val="28"/>
        </w:rPr>
        <w:t>i</w:t>
      </w:r>
      <w:r w:rsidRPr="0015558E">
        <w:rPr>
          <w:rFonts w:cstheme="minorHAnsi"/>
          <w:b/>
          <w:bCs/>
          <w:iCs/>
          <w:color w:val="595959" w:themeColor="text1" w:themeTint="A6"/>
          <w:sz w:val="28"/>
          <w:szCs w:val="28"/>
        </w:rPr>
        <w:t xml:space="preserve">nstrument to accompany an application for approval of dealing under subsection </w:t>
      </w:r>
      <w:r w:rsidR="007F733F">
        <w:rPr>
          <w:rFonts w:cstheme="minorHAnsi"/>
          <w:b/>
          <w:bCs/>
          <w:iCs/>
          <w:color w:val="595959" w:themeColor="text1" w:themeTint="A6"/>
          <w:sz w:val="28"/>
          <w:szCs w:val="28"/>
        </w:rPr>
        <w:t>540</w:t>
      </w:r>
      <w:r w:rsidRPr="0015558E">
        <w:rPr>
          <w:rFonts w:cstheme="minorHAnsi"/>
          <w:b/>
          <w:bCs/>
          <w:iCs/>
          <w:color w:val="595959" w:themeColor="text1" w:themeTint="A6"/>
          <w:sz w:val="28"/>
          <w:szCs w:val="28"/>
        </w:rPr>
        <w:t xml:space="preserve">(2) of the </w:t>
      </w:r>
      <w:r w:rsidRPr="0015558E">
        <w:rPr>
          <w:rFonts w:cstheme="minorHAnsi"/>
          <w:b/>
          <w:bCs/>
          <w:i/>
          <w:color w:val="595959" w:themeColor="text1" w:themeTint="A6"/>
          <w:sz w:val="28"/>
          <w:szCs w:val="28"/>
        </w:rPr>
        <w:t>Offshore Petroleum and Greenhouse Gas Storage Act 2006</w:t>
      </w:r>
      <w:r w:rsidRPr="0015558E">
        <w:rPr>
          <w:rFonts w:cstheme="minorHAnsi"/>
          <w:b/>
          <w:bCs/>
          <w:iCs/>
          <w:color w:val="595959" w:themeColor="text1" w:themeTint="A6"/>
          <w:sz w:val="28"/>
          <w:szCs w:val="28"/>
        </w:rPr>
        <w:t xml:space="preserve"> (the OPGGS Act).</w:t>
      </w:r>
    </w:p>
    <w:p w14:paraId="2F283DE9" w14:textId="77777777" w:rsidR="00A26BDC" w:rsidRPr="0015558E" w:rsidRDefault="00A26BDC" w:rsidP="00A26BDC">
      <w:pPr>
        <w:tabs>
          <w:tab w:val="left" w:pos="5096"/>
        </w:tabs>
        <w:jc w:val="center"/>
        <w:rPr>
          <w:rFonts w:cstheme="minorHAnsi"/>
          <w:b/>
          <w:color w:val="595959" w:themeColor="text1" w:themeTint="A6"/>
          <w:sz w:val="28"/>
          <w:szCs w:val="28"/>
        </w:rPr>
      </w:pPr>
    </w:p>
    <w:tbl>
      <w:tblPr>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Caption w:val="Supplementary instrument details"/>
        <w:tblDescription w:val="Summarised details relating to a confidential dealing "/>
      </w:tblPr>
      <w:tblGrid>
        <w:gridCol w:w="3256"/>
        <w:gridCol w:w="6656"/>
      </w:tblGrid>
      <w:tr w:rsidR="00A26BDC" w:rsidRPr="00F8761A" w14:paraId="44C6A307" w14:textId="77777777" w:rsidTr="00A3178E">
        <w:tc>
          <w:tcPr>
            <w:tcW w:w="3256" w:type="dxa"/>
          </w:tcPr>
          <w:p w14:paraId="35DBE983" w14:textId="77777777" w:rsidR="00A26BDC" w:rsidRPr="003F6B86" w:rsidRDefault="00A26BDC" w:rsidP="00A26BDC">
            <w:pPr>
              <w:pStyle w:val="ListParagraph"/>
              <w:rPr>
                <w:rStyle w:val="Strong"/>
                <w:rFonts w:ascii="Aptos SemiBold" w:hAnsi="Aptos SemiBold"/>
                <w:color w:val="5F5F5F"/>
              </w:rPr>
            </w:pPr>
            <w:bookmarkStart w:id="0" w:name="_Toc204764853"/>
            <w:bookmarkStart w:id="1" w:name="_Toc204769564"/>
            <w:r w:rsidRPr="003F6B86">
              <w:rPr>
                <w:rStyle w:val="Strong"/>
                <w:rFonts w:ascii="Aptos SemiBold" w:hAnsi="Aptos SemiBold"/>
                <w:color w:val="5F5F5F"/>
              </w:rPr>
              <w:t>Name of dealing</w:t>
            </w:r>
            <w:bookmarkEnd w:id="0"/>
            <w:bookmarkEnd w:id="1"/>
            <w:r w:rsidRPr="003F6B86">
              <w:rPr>
                <w:rStyle w:val="Strong"/>
                <w:rFonts w:ascii="Aptos SemiBold" w:hAnsi="Aptos SemiBold"/>
                <w:color w:val="5F5F5F"/>
              </w:rPr>
              <w:t xml:space="preserve"> </w:t>
            </w:r>
          </w:p>
        </w:tc>
        <w:tc>
          <w:tcPr>
            <w:tcW w:w="6656" w:type="dxa"/>
          </w:tcPr>
          <w:p w14:paraId="509A2693" w14:textId="77777777" w:rsidR="00A26BDC" w:rsidRPr="00A26BDC" w:rsidRDefault="00A26BDC" w:rsidP="00A26BDC">
            <w:pPr>
              <w:tabs>
                <w:tab w:val="left" w:pos="5096"/>
              </w:tabs>
              <w:spacing w:before="120" w:after="120" w:line="240" w:lineRule="auto"/>
              <w:rPr>
                <w:rFonts w:asciiTheme="minorHAnsi" w:hAnsiTheme="minorHAnsi"/>
                <w:sz w:val="24"/>
                <w:szCs w:val="24"/>
                <w:lang w:eastAsia="en-AU"/>
              </w:rPr>
            </w:pPr>
          </w:p>
        </w:tc>
      </w:tr>
      <w:tr w:rsidR="00A26BDC" w:rsidRPr="00F8761A" w14:paraId="257A06C3" w14:textId="77777777" w:rsidTr="00A3178E">
        <w:tc>
          <w:tcPr>
            <w:tcW w:w="3256" w:type="dxa"/>
          </w:tcPr>
          <w:p w14:paraId="13692447" w14:textId="77777777" w:rsidR="00A26BDC" w:rsidRPr="003F6B86" w:rsidRDefault="00A26BDC" w:rsidP="00A26BDC">
            <w:pPr>
              <w:pStyle w:val="ListParagraph"/>
              <w:rPr>
                <w:rStyle w:val="Strong"/>
                <w:rFonts w:ascii="Aptos SemiBold" w:hAnsi="Aptos SemiBold"/>
                <w:color w:val="5F5F5F"/>
              </w:rPr>
            </w:pPr>
            <w:bookmarkStart w:id="2" w:name="_Toc204764854"/>
            <w:bookmarkStart w:id="3" w:name="_Toc204769565"/>
            <w:r w:rsidRPr="003F6B86">
              <w:rPr>
                <w:rStyle w:val="Strong"/>
                <w:rFonts w:ascii="Aptos SemiBold" w:hAnsi="Aptos SemiBold"/>
                <w:color w:val="5F5F5F"/>
              </w:rPr>
              <w:t>Date of execution</w:t>
            </w:r>
            <w:bookmarkEnd w:id="2"/>
            <w:bookmarkEnd w:id="3"/>
            <w:r w:rsidRPr="003F6B86">
              <w:rPr>
                <w:rStyle w:val="Strong"/>
                <w:rFonts w:ascii="Aptos SemiBold" w:hAnsi="Aptos SemiBold"/>
                <w:color w:val="5F5F5F"/>
              </w:rPr>
              <w:t xml:space="preserve"> </w:t>
            </w:r>
          </w:p>
        </w:tc>
        <w:tc>
          <w:tcPr>
            <w:tcW w:w="6656" w:type="dxa"/>
          </w:tcPr>
          <w:p w14:paraId="43A17E60" w14:textId="77777777" w:rsidR="00A26BDC" w:rsidRPr="00A26BDC" w:rsidRDefault="00A26BDC" w:rsidP="00A26BDC">
            <w:pPr>
              <w:pStyle w:val="Heading2"/>
              <w:tabs>
                <w:tab w:val="left" w:pos="5096"/>
              </w:tabs>
              <w:spacing w:before="120" w:after="120" w:line="240" w:lineRule="auto"/>
              <w:ind w:left="-44"/>
              <w:rPr>
                <w:rFonts w:asciiTheme="minorHAnsi" w:hAnsiTheme="minorHAnsi"/>
                <w:sz w:val="24"/>
                <w:szCs w:val="24"/>
              </w:rPr>
            </w:pPr>
          </w:p>
        </w:tc>
      </w:tr>
      <w:tr w:rsidR="00A26BDC" w:rsidRPr="00F8761A" w14:paraId="669C2C1F" w14:textId="77777777" w:rsidTr="00A3178E">
        <w:tc>
          <w:tcPr>
            <w:tcW w:w="3256" w:type="dxa"/>
          </w:tcPr>
          <w:p w14:paraId="5562312B" w14:textId="77777777" w:rsidR="00A26BDC" w:rsidRPr="003F6B86" w:rsidRDefault="00A26BDC" w:rsidP="00A26BDC">
            <w:pPr>
              <w:pStyle w:val="ListParagraph"/>
              <w:rPr>
                <w:rStyle w:val="Strong"/>
                <w:rFonts w:ascii="Aptos SemiBold" w:hAnsi="Aptos SemiBold"/>
                <w:color w:val="5F5F5F"/>
              </w:rPr>
            </w:pPr>
            <w:bookmarkStart w:id="4" w:name="_Toc204764855"/>
            <w:bookmarkStart w:id="5" w:name="_Toc204769566"/>
            <w:r w:rsidRPr="003F6B86">
              <w:rPr>
                <w:rStyle w:val="Strong"/>
                <w:rFonts w:ascii="Aptos SemiBold" w:hAnsi="Aptos SemiBold"/>
                <w:color w:val="5F5F5F"/>
              </w:rPr>
              <w:t>Title</w:t>
            </w:r>
            <w:bookmarkEnd w:id="4"/>
            <w:bookmarkEnd w:id="5"/>
            <w:r w:rsidRPr="003F6B86">
              <w:rPr>
                <w:rStyle w:val="Strong"/>
                <w:rFonts w:ascii="Aptos SemiBold" w:hAnsi="Aptos SemiBold"/>
                <w:color w:val="5F5F5F"/>
              </w:rPr>
              <w:t xml:space="preserve"> number</w:t>
            </w:r>
          </w:p>
        </w:tc>
        <w:tc>
          <w:tcPr>
            <w:tcW w:w="6656" w:type="dxa"/>
          </w:tcPr>
          <w:p w14:paraId="33051FA8" w14:textId="77777777" w:rsidR="00A26BDC" w:rsidRPr="00A26BDC" w:rsidRDefault="00A26BDC" w:rsidP="00A26BDC">
            <w:pPr>
              <w:pStyle w:val="Heading2"/>
              <w:tabs>
                <w:tab w:val="left" w:pos="5096"/>
              </w:tabs>
              <w:spacing w:before="120" w:after="120" w:line="240" w:lineRule="auto"/>
              <w:ind w:left="-44"/>
              <w:rPr>
                <w:rFonts w:asciiTheme="minorHAnsi" w:hAnsiTheme="minorHAnsi"/>
                <w:sz w:val="24"/>
                <w:szCs w:val="24"/>
              </w:rPr>
            </w:pPr>
          </w:p>
        </w:tc>
      </w:tr>
      <w:tr w:rsidR="00A26BDC" w:rsidRPr="00F8761A" w14:paraId="2A658475" w14:textId="77777777" w:rsidTr="00A3178E">
        <w:tc>
          <w:tcPr>
            <w:tcW w:w="3256" w:type="dxa"/>
          </w:tcPr>
          <w:p w14:paraId="10559507" w14:textId="77777777" w:rsidR="00A26BDC" w:rsidRPr="003F6B86" w:rsidRDefault="00A26BDC" w:rsidP="00A26BDC">
            <w:pPr>
              <w:pStyle w:val="ListParagraph"/>
              <w:rPr>
                <w:rStyle w:val="Strong"/>
                <w:rFonts w:ascii="Aptos SemiBold" w:hAnsi="Aptos SemiBold"/>
                <w:color w:val="5F5F5F"/>
              </w:rPr>
            </w:pPr>
            <w:r w:rsidRPr="003F6B86">
              <w:rPr>
                <w:rStyle w:val="Strong"/>
                <w:rFonts w:ascii="Aptos SemiBold" w:hAnsi="Aptos SemiBold"/>
                <w:color w:val="5F5F5F"/>
              </w:rPr>
              <w:t>Title type</w:t>
            </w:r>
          </w:p>
        </w:tc>
        <w:tc>
          <w:tcPr>
            <w:tcW w:w="6656" w:type="dxa"/>
          </w:tcPr>
          <w:p w14:paraId="3E42F95F" w14:textId="77777777" w:rsidR="00A26BDC" w:rsidRPr="00A26BDC" w:rsidRDefault="00A26BDC" w:rsidP="00A26BDC">
            <w:pPr>
              <w:pStyle w:val="Heading2"/>
              <w:tabs>
                <w:tab w:val="left" w:pos="5096"/>
              </w:tabs>
              <w:spacing w:before="120" w:after="120" w:line="240" w:lineRule="auto"/>
              <w:ind w:left="-44"/>
              <w:rPr>
                <w:rFonts w:asciiTheme="minorHAnsi" w:hAnsiTheme="minorHAnsi"/>
                <w:sz w:val="24"/>
                <w:szCs w:val="24"/>
              </w:rPr>
            </w:pPr>
          </w:p>
        </w:tc>
      </w:tr>
      <w:tr w:rsidR="00A26BDC" w:rsidRPr="00F8761A" w14:paraId="62C871B4" w14:textId="77777777" w:rsidTr="00A3178E">
        <w:tc>
          <w:tcPr>
            <w:tcW w:w="3256" w:type="dxa"/>
          </w:tcPr>
          <w:p w14:paraId="13975945" w14:textId="77777777" w:rsidR="00A26BDC" w:rsidRPr="003F6B86" w:rsidRDefault="00A26BDC" w:rsidP="00A26BDC">
            <w:pPr>
              <w:pStyle w:val="ListParagraph"/>
              <w:rPr>
                <w:rStyle w:val="Strong"/>
                <w:rFonts w:ascii="Aptos SemiBold" w:hAnsi="Aptos SemiBold"/>
                <w:color w:val="5F5F5F"/>
              </w:rPr>
            </w:pPr>
            <w:r w:rsidRPr="003F6B86">
              <w:rPr>
                <w:rStyle w:val="Strong"/>
                <w:rFonts w:ascii="Aptos SemiBold" w:hAnsi="Aptos SemiBold"/>
                <w:color w:val="5F5F5F"/>
              </w:rPr>
              <w:t>Parties to the dealing</w:t>
            </w:r>
          </w:p>
        </w:tc>
        <w:tc>
          <w:tcPr>
            <w:tcW w:w="6656" w:type="dxa"/>
          </w:tcPr>
          <w:p w14:paraId="30485A99" w14:textId="77777777" w:rsidR="00A26BDC" w:rsidRPr="00A26BDC" w:rsidRDefault="00A26BDC" w:rsidP="00A26BDC">
            <w:pPr>
              <w:tabs>
                <w:tab w:val="left" w:pos="5096"/>
              </w:tabs>
              <w:spacing w:before="120" w:after="120" w:line="240" w:lineRule="auto"/>
              <w:rPr>
                <w:rFonts w:asciiTheme="minorHAnsi" w:hAnsiTheme="minorHAnsi"/>
                <w:sz w:val="24"/>
                <w:szCs w:val="24"/>
                <w:lang w:eastAsia="en-AU"/>
              </w:rPr>
            </w:pPr>
          </w:p>
        </w:tc>
      </w:tr>
      <w:tr w:rsidR="00A26BDC" w:rsidRPr="00F8761A" w14:paraId="3343B5D3" w14:textId="77777777" w:rsidTr="00A3178E">
        <w:tc>
          <w:tcPr>
            <w:tcW w:w="3256" w:type="dxa"/>
          </w:tcPr>
          <w:p w14:paraId="3EBEE33A" w14:textId="77777777" w:rsidR="00A26BDC" w:rsidRPr="003F6B86" w:rsidRDefault="00A26BDC" w:rsidP="00A26BDC">
            <w:pPr>
              <w:pStyle w:val="ListParagraph"/>
              <w:rPr>
                <w:rStyle w:val="Strong"/>
                <w:rFonts w:ascii="Aptos SemiBold" w:hAnsi="Aptos SemiBold"/>
                <w:color w:val="5F5F5F"/>
              </w:rPr>
            </w:pPr>
            <w:bookmarkStart w:id="6" w:name="_Toc204764857"/>
            <w:bookmarkStart w:id="7" w:name="_Toc204769568"/>
            <w:r w:rsidRPr="003F6B86">
              <w:rPr>
                <w:rStyle w:val="Strong"/>
                <w:rFonts w:ascii="Aptos SemiBold" w:hAnsi="Aptos SemiBold"/>
                <w:color w:val="5F5F5F"/>
              </w:rPr>
              <w:t>Summary of the dealing</w:t>
            </w:r>
            <w:bookmarkEnd w:id="6"/>
            <w:bookmarkEnd w:id="7"/>
            <w:r w:rsidRPr="003F6B86">
              <w:rPr>
                <w:rStyle w:val="Strong"/>
                <w:rFonts w:ascii="Aptos SemiBold" w:hAnsi="Aptos SemiBold"/>
                <w:color w:val="5F5F5F"/>
              </w:rPr>
              <w:t xml:space="preserve"> </w:t>
            </w:r>
          </w:p>
        </w:tc>
        <w:tc>
          <w:tcPr>
            <w:tcW w:w="6656" w:type="dxa"/>
          </w:tcPr>
          <w:p w14:paraId="3C2003EF" w14:textId="77777777" w:rsidR="00A26BDC" w:rsidRPr="00A26BDC" w:rsidRDefault="00A26BDC" w:rsidP="00A26BDC">
            <w:pPr>
              <w:tabs>
                <w:tab w:val="left" w:pos="5096"/>
              </w:tabs>
              <w:spacing w:before="120" w:after="120" w:line="240" w:lineRule="auto"/>
              <w:rPr>
                <w:rFonts w:asciiTheme="minorHAnsi" w:hAnsiTheme="minorHAnsi"/>
                <w:sz w:val="24"/>
                <w:szCs w:val="24"/>
                <w:lang w:eastAsia="en-AU"/>
              </w:rPr>
            </w:pPr>
          </w:p>
        </w:tc>
      </w:tr>
      <w:tr w:rsidR="00A26BDC" w:rsidRPr="00F8761A" w14:paraId="53D153E2" w14:textId="77777777" w:rsidTr="00A3178E">
        <w:tc>
          <w:tcPr>
            <w:tcW w:w="3256" w:type="dxa"/>
          </w:tcPr>
          <w:p w14:paraId="47A33CDD" w14:textId="77777777" w:rsidR="00A26BDC" w:rsidRPr="003F6B86" w:rsidRDefault="00A26BDC" w:rsidP="00A26BDC">
            <w:pPr>
              <w:pStyle w:val="ListParagraph"/>
              <w:rPr>
                <w:rStyle w:val="Strong"/>
                <w:rFonts w:ascii="Aptos SemiBold" w:hAnsi="Aptos SemiBold"/>
                <w:color w:val="5F5F5F"/>
              </w:rPr>
            </w:pPr>
            <w:bookmarkStart w:id="8" w:name="_Toc204764858"/>
            <w:bookmarkStart w:id="9" w:name="_Toc204769569"/>
            <w:r w:rsidRPr="003F6B86">
              <w:rPr>
                <w:rStyle w:val="Strong"/>
                <w:rFonts w:ascii="Aptos SemiBold" w:hAnsi="Aptos SemiBold"/>
                <w:color w:val="5F5F5F"/>
              </w:rPr>
              <w:t>Effect or effects of the dealing</w:t>
            </w:r>
            <w:bookmarkEnd w:id="8"/>
            <w:bookmarkEnd w:id="9"/>
            <w:r w:rsidRPr="003F6B86">
              <w:rPr>
                <w:rStyle w:val="Strong"/>
                <w:rFonts w:ascii="Aptos SemiBold" w:hAnsi="Aptos SemiBold"/>
                <w:color w:val="5F5F5F"/>
              </w:rPr>
              <w:t xml:space="preserve"> </w:t>
            </w:r>
          </w:p>
        </w:tc>
        <w:tc>
          <w:tcPr>
            <w:tcW w:w="6656" w:type="dxa"/>
          </w:tcPr>
          <w:p w14:paraId="5C62C2A0" w14:textId="77777777" w:rsidR="00A26BDC" w:rsidRPr="00A26BDC" w:rsidRDefault="00A26BDC" w:rsidP="00A26BDC">
            <w:pPr>
              <w:tabs>
                <w:tab w:val="left" w:pos="5096"/>
              </w:tabs>
              <w:spacing w:before="120" w:after="120" w:line="240" w:lineRule="auto"/>
              <w:rPr>
                <w:rFonts w:asciiTheme="minorHAnsi" w:hAnsiTheme="minorHAnsi"/>
                <w:sz w:val="24"/>
                <w:szCs w:val="24"/>
                <w:lang w:eastAsia="en-AU"/>
              </w:rPr>
            </w:pPr>
          </w:p>
        </w:tc>
      </w:tr>
    </w:tbl>
    <w:p w14:paraId="208BE430" w14:textId="77777777" w:rsidR="00A26BDC" w:rsidRDefault="00A26BDC" w:rsidP="00A26BDC">
      <w:pPr>
        <w:tabs>
          <w:tab w:val="left" w:pos="5096"/>
        </w:tabs>
        <w:spacing w:before="120" w:line="240" w:lineRule="auto"/>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04"/>
        <w:gridCol w:w="3304"/>
        <w:gridCol w:w="3304"/>
      </w:tblGrid>
      <w:tr w:rsidR="00A26BDC" w14:paraId="37D32C48" w14:textId="77777777" w:rsidTr="00A3178E">
        <w:tc>
          <w:tcPr>
            <w:tcW w:w="3304" w:type="dxa"/>
          </w:tcPr>
          <w:p w14:paraId="31BDCC2C" w14:textId="77777777" w:rsidR="00A26BDC" w:rsidRPr="003F6B86" w:rsidRDefault="00A26BDC" w:rsidP="003F6B86">
            <w:pPr>
              <w:pStyle w:val="ListParagraph"/>
              <w:rPr>
                <w:rStyle w:val="Strong"/>
                <w:rFonts w:ascii="Aptos SemiBold" w:hAnsi="Aptos SemiBold"/>
                <w:color w:val="5F5F5F"/>
              </w:rPr>
            </w:pPr>
            <w:r w:rsidRPr="003F6B86">
              <w:rPr>
                <w:rStyle w:val="Strong"/>
                <w:rFonts w:ascii="Aptos SemiBold" w:hAnsi="Aptos SemiBold"/>
                <w:color w:val="5F5F5F"/>
              </w:rPr>
              <w:t>Titleholders and parties to the dealing</w:t>
            </w:r>
          </w:p>
        </w:tc>
        <w:tc>
          <w:tcPr>
            <w:tcW w:w="3304" w:type="dxa"/>
          </w:tcPr>
          <w:p w14:paraId="594E7971" w14:textId="77777777" w:rsidR="00A26BDC" w:rsidRPr="003F6B86" w:rsidRDefault="00A26BDC" w:rsidP="003F6B86">
            <w:pPr>
              <w:pStyle w:val="ListParagraph"/>
              <w:rPr>
                <w:rStyle w:val="Strong"/>
                <w:rFonts w:ascii="Aptos SemiBold" w:hAnsi="Aptos SemiBold"/>
                <w:color w:val="5F5F5F"/>
              </w:rPr>
            </w:pPr>
            <w:r w:rsidRPr="003F6B86">
              <w:rPr>
                <w:rStyle w:val="Strong"/>
                <w:rFonts w:ascii="Aptos SemiBold" w:hAnsi="Aptos SemiBold"/>
                <w:color w:val="5F5F5F"/>
              </w:rPr>
              <w:t>Interests (%) in the title before registration of the dealing</w:t>
            </w:r>
          </w:p>
        </w:tc>
        <w:tc>
          <w:tcPr>
            <w:tcW w:w="3304" w:type="dxa"/>
          </w:tcPr>
          <w:p w14:paraId="3295CC81" w14:textId="77777777" w:rsidR="00A26BDC" w:rsidRPr="003F6B86" w:rsidRDefault="00A26BDC" w:rsidP="003F6B86">
            <w:pPr>
              <w:pStyle w:val="ListParagraph"/>
              <w:rPr>
                <w:rStyle w:val="Strong"/>
                <w:rFonts w:ascii="Aptos SemiBold" w:hAnsi="Aptos SemiBold"/>
                <w:color w:val="5F5F5F"/>
              </w:rPr>
            </w:pPr>
            <w:r w:rsidRPr="003F6B86">
              <w:rPr>
                <w:rStyle w:val="Strong"/>
                <w:rFonts w:ascii="Aptos SemiBold" w:hAnsi="Aptos SemiBold"/>
                <w:color w:val="5F5F5F"/>
              </w:rPr>
              <w:t>Interests (%) in the title after registration of the dealing</w:t>
            </w:r>
          </w:p>
        </w:tc>
      </w:tr>
      <w:tr w:rsidR="00A26BDC" w14:paraId="444D27D7" w14:textId="77777777" w:rsidTr="00A3178E">
        <w:tc>
          <w:tcPr>
            <w:tcW w:w="3304" w:type="dxa"/>
          </w:tcPr>
          <w:p w14:paraId="3B56A192" w14:textId="77777777" w:rsidR="00A26BDC" w:rsidRDefault="00A26BDC" w:rsidP="00A3178E">
            <w:pPr>
              <w:tabs>
                <w:tab w:val="left" w:pos="5096"/>
              </w:tabs>
            </w:pPr>
          </w:p>
        </w:tc>
        <w:tc>
          <w:tcPr>
            <w:tcW w:w="3304" w:type="dxa"/>
          </w:tcPr>
          <w:p w14:paraId="05812899" w14:textId="77777777" w:rsidR="00A26BDC" w:rsidRDefault="00A26BDC" w:rsidP="00A3178E">
            <w:pPr>
              <w:tabs>
                <w:tab w:val="left" w:pos="5096"/>
              </w:tabs>
            </w:pPr>
          </w:p>
        </w:tc>
        <w:tc>
          <w:tcPr>
            <w:tcW w:w="3304" w:type="dxa"/>
          </w:tcPr>
          <w:p w14:paraId="46FF1ECB" w14:textId="77777777" w:rsidR="00A26BDC" w:rsidRDefault="00A26BDC" w:rsidP="00A3178E">
            <w:pPr>
              <w:tabs>
                <w:tab w:val="left" w:pos="5096"/>
              </w:tabs>
            </w:pPr>
          </w:p>
        </w:tc>
      </w:tr>
      <w:tr w:rsidR="00A26BDC" w14:paraId="72342DB5" w14:textId="77777777" w:rsidTr="00A3178E">
        <w:tc>
          <w:tcPr>
            <w:tcW w:w="3304" w:type="dxa"/>
          </w:tcPr>
          <w:p w14:paraId="5EFE31A1" w14:textId="77777777" w:rsidR="00A26BDC" w:rsidRDefault="00A26BDC" w:rsidP="00A3178E">
            <w:pPr>
              <w:tabs>
                <w:tab w:val="left" w:pos="5096"/>
              </w:tabs>
            </w:pPr>
          </w:p>
        </w:tc>
        <w:tc>
          <w:tcPr>
            <w:tcW w:w="3304" w:type="dxa"/>
          </w:tcPr>
          <w:p w14:paraId="58C2D51D" w14:textId="77777777" w:rsidR="00A26BDC" w:rsidRDefault="00A26BDC" w:rsidP="00A3178E">
            <w:pPr>
              <w:tabs>
                <w:tab w:val="left" w:pos="5096"/>
              </w:tabs>
            </w:pPr>
          </w:p>
        </w:tc>
        <w:tc>
          <w:tcPr>
            <w:tcW w:w="3304" w:type="dxa"/>
          </w:tcPr>
          <w:p w14:paraId="45769B64" w14:textId="77777777" w:rsidR="00A26BDC" w:rsidRDefault="00A26BDC" w:rsidP="00A3178E">
            <w:pPr>
              <w:tabs>
                <w:tab w:val="left" w:pos="5096"/>
              </w:tabs>
            </w:pPr>
          </w:p>
        </w:tc>
      </w:tr>
      <w:tr w:rsidR="00A26BDC" w14:paraId="0E5ADBDF" w14:textId="77777777" w:rsidTr="00A3178E">
        <w:tc>
          <w:tcPr>
            <w:tcW w:w="3304" w:type="dxa"/>
          </w:tcPr>
          <w:p w14:paraId="56CA658C" w14:textId="77777777" w:rsidR="00A26BDC" w:rsidRDefault="00A26BDC" w:rsidP="00A3178E">
            <w:pPr>
              <w:tabs>
                <w:tab w:val="left" w:pos="5096"/>
              </w:tabs>
            </w:pPr>
          </w:p>
        </w:tc>
        <w:tc>
          <w:tcPr>
            <w:tcW w:w="3304" w:type="dxa"/>
          </w:tcPr>
          <w:p w14:paraId="2DA6A22C" w14:textId="77777777" w:rsidR="00A26BDC" w:rsidRDefault="00A26BDC" w:rsidP="00A3178E">
            <w:pPr>
              <w:tabs>
                <w:tab w:val="left" w:pos="5096"/>
              </w:tabs>
            </w:pPr>
          </w:p>
        </w:tc>
        <w:tc>
          <w:tcPr>
            <w:tcW w:w="3304" w:type="dxa"/>
          </w:tcPr>
          <w:p w14:paraId="6CA8448E" w14:textId="77777777" w:rsidR="00A26BDC" w:rsidRDefault="00A26BDC" w:rsidP="00A3178E">
            <w:pPr>
              <w:tabs>
                <w:tab w:val="left" w:pos="5096"/>
              </w:tabs>
            </w:pPr>
          </w:p>
        </w:tc>
      </w:tr>
      <w:tr w:rsidR="00A26BDC" w14:paraId="3DD0119F" w14:textId="77777777" w:rsidTr="00A3178E">
        <w:tc>
          <w:tcPr>
            <w:tcW w:w="3304" w:type="dxa"/>
          </w:tcPr>
          <w:p w14:paraId="4EB1BD39" w14:textId="77777777" w:rsidR="00A26BDC" w:rsidRDefault="00A26BDC" w:rsidP="00A3178E">
            <w:pPr>
              <w:tabs>
                <w:tab w:val="left" w:pos="5096"/>
              </w:tabs>
            </w:pPr>
          </w:p>
        </w:tc>
        <w:tc>
          <w:tcPr>
            <w:tcW w:w="3304" w:type="dxa"/>
          </w:tcPr>
          <w:p w14:paraId="13B50AED" w14:textId="77777777" w:rsidR="00A26BDC" w:rsidRDefault="00A26BDC" w:rsidP="00A3178E">
            <w:pPr>
              <w:tabs>
                <w:tab w:val="left" w:pos="5096"/>
              </w:tabs>
            </w:pPr>
          </w:p>
        </w:tc>
        <w:tc>
          <w:tcPr>
            <w:tcW w:w="3304" w:type="dxa"/>
          </w:tcPr>
          <w:p w14:paraId="2370EA0F" w14:textId="77777777" w:rsidR="00A26BDC" w:rsidRDefault="00A26BDC" w:rsidP="00A3178E">
            <w:pPr>
              <w:tabs>
                <w:tab w:val="left" w:pos="5096"/>
              </w:tabs>
            </w:pPr>
          </w:p>
        </w:tc>
      </w:tr>
    </w:tbl>
    <w:p w14:paraId="7240E83C" w14:textId="77777777" w:rsidR="00A26BDC" w:rsidRDefault="00A26BDC" w:rsidP="00A26BDC">
      <w:pPr>
        <w:tabs>
          <w:tab w:val="left" w:pos="5096"/>
        </w:tabs>
      </w:pPr>
    </w:p>
    <w:tbl>
      <w:tblPr>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Caption w:val="Supplementary instrument details"/>
        <w:tblDescription w:val="Summarised details relating to a confidential dealing "/>
      </w:tblPr>
      <w:tblGrid>
        <w:gridCol w:w="4531"/>
        <w:gridCol w:w="5381"/>
      </w:tblGrid>
      <w:tr w:rsidR="00A26BDC" w:rsidRPr="00F8761A" w14:paraId="7968D582" w14:textId="77777777" w:rsidTr="00A3178E">
        <w:tc>
          <w:tcPr>
            <w:tcW w:w="4531" w:type="dxa"/>
          </w:tcPr>
          <w:p w14:paraId="3F1A4015" w14:textId="77777777" w:rsidR="00A26BDC" w:rsidRPr="003F6B86" w:rsidRDefault="00A26BDC" w:rsidP="003F6B86">
            <w:pPr>
              <w:pStyle w:val="ListParagraph"/>
              <w:rPr>
                <w:rStyle w:val="Strong"/>
                <w:rFonts w:ascii="Aptos SemiBold" w:hAnsi="Aptos SemiBold"/>
                <w:color w:val="5F5F5F"/>
              </w:rPr>
            </w:pPr>
            <w:r w:rsidRPr="003F6B86">
              <w:rPr>
                <w:rStyle w:val="Strong"/>
                <w:rFonts w:ascii="Aptos SemiBold" w:hAnsi="Aptos SemiBold"/>
                <w:color w:val="5F5F5F"/>
              </w:rPr>
              <w:t>Has or will a transfer of title be submitted to give effect to the change in interests in the dealing</w:t>
            </w:r>
          </w:p>
        </w:tc>
        <w:tc>
          <w:tcPr>
            <w:tcW w:w="5381" w:type="dxa"/>
          </w:tcPr>
          <w:p w14:paraId="6D1929E3" w14:textId="77777777" w:rsidR="00A26BDC" w:rsidRPr="00F56DD0" w:rsidRDefault="00A26BDC" w:rsidP="00A3178E">
            <w:pPr>
              <w:tabs>
                <w:tab w:val="left" w:pos="5096"/>
              </w:tabs>
              <w:spacing w:before="120"/>
              <w:rPr>
                <w:color w:val="595959" w:themeColor="text1" w:themeTint="A6"/>
                <w:sz w:val="24"/>
                <w:szCs w:val="24"/>
              </w:rPr>
            </w:pPr>
            <w:r w:rsidRPr="00F56DD0">
              <w:rPr>
                <w:color w:val="595959" w:themeColor="text1" w:themeTint="A6"/>
                <w:sz w:val="24"/>
                <w:szCs w:val="24"/>
              </w:rPr>
              <w:t>Yes/No</w:t>
            </w:r>
          </w:p>
        </w:tc>
      </w:tr>
      <w:tr w:rsidR="00A26BDC" w:rsidRPr="00F8761A" w14:paraId="2D17D10D" w14:textId="77777777" w:rsidTr="00A3178E">
        <w:tc>
          <w:tcPr>
            <w:tcW w:w="4531" w:type="dxa"/>
          </w:tcPr>
          <w:p w14:paraId="45D3D9BB" w14:textId="77777777" w:rsidR="00A26BDC" w:rsidRPr="003F6B86" w:rsidRDefault="00A26BDC" w:rsidP="003F6B86">
            <w:pPr>
              <w:pStyle w:val="ListParagraph"/>
              <w:rPr>
                <w:rStyle w:val="Strong"/>
                <w:rFonts w:ascii="Aptos SemiBold" w:hAnsi="Aptos SemiBold"/>
                <w:color w:val="5F5F5F"/>
              </w:rPr>
            </w:pPr>
            <w:r w:rsidRPr="003F6B86">
              <w:rPr>
                <w:rStyle w:val="Strong"/>
                <w:rFonts w:ascii="Aptos SemiBold" w:hAnsi="Aptos SemiBold"/>
                <w:color w:val="5F5F5F"/>
              </w:rPr>
              <w:t>Related dealings</w:t>
            </w:r>
          </w:p>
        </w:tc>
        <w:tc>
          <w:tcPr>
            <w:tcW w:w="5381" w:type="dxa"/>
          </w:tcPr>
          <w:p w14:paraId="6B54BE5C" w14:textId="77777777" w:rsidR="00A26BDC" w:rsidRPr="00F8761A" w:rsidRDefault="00A26BDC" w:rsidP="00A3178E">
            <w:pPr>
              <w:tabs>
                <w:tab w:val="left" w:pos="5096"/>
              </w:tabs>
              <w:spacing w:before="120"/>
              <w:jc w:val="center"/>
              <w:rPr>
                <w:b/>
                <w:bCs/>
                <w:color w:val="595959" w:themeColor="text1" w:themeTint="A6"/>
                <w:sz w:val="24"/>
                <w:szCs w:val="24"/>
              </w:rPr>
            </w:pPr>
          </w:p>
        </w:tc>
      </w:tr>
    </w:tbl>
    <w:p w14:paraId="05BB9C7E" w14:textId="77777777" w:rsidR="00A26BDC" w:rsidRDefault="00A26BDC" w:rsidP="00A26BDC">
      <w:pPr>
        <w:tabs>
          <w:tab w:val="left" w:pos="5096"/>
        </w:tabs>
        <w:rPr>
          <w:b/>
          <w:bCs/>
          <w:color w:val="595959" w:themeColor="text1" w:themeTint="A6"/>
        </w:rPr>
      </w:pPr>
    </w:p>
    <w:p w14:paraId="23EBAD71" w14:textId="77777777" w:rsidR="00A26BDC" w:rsidRPr="00A26BDC" w:rsidRDefault="00A26BDC" w:rsidP="00A26BDC">
      <w:pPr>
        <w:spacing w:after="240"/>
        <w:rPr>
          <w:rStyle w:val="Strong"/>
          <w:color w:val="C00000"/>
        </w:rPr>
      </w:pPr>
      <w:r w:rsidRPr="00F8761A">
        <w:rPr>
          <w:color w:val="595959" w:themeColor="text1" w:themeTint="A6"/>
        </w:rPr>
        <w:br w:type="page"/>
      </w:r>
      <w:r w:rsidRPr="00A26BDC">
        <w:rPr>
          <w:rStyle w:val="Strong"/>
          <w:color w:val="C00000"/>
        </w:rPr>
        <w:lastRenderedPageBreak/>
        <w:t>Applicant to delete this page from final version and provide to NOPTA in word format</w:t>
      </w:r>
    </w:p>
    <w:p w14:paraId="23698B57" w14:textId="77777777" w:rsidR="00A26BDC" w:rsidRPr="00A26BDC" w:rsidRDefault="00A26BDC" w:rsidP="00A26BDC">
      <w:pPr>
        <w:spacing w:after="240"/>
        <w:rPr>
          <w:bCs/>
          <w:color w:val="5F5F5F"/>
          <w:szCs w:val="22"/>
        </w:rPr>
      </w:pPr>
      <w:r w:rsidRPr="00A26BDC">
        <w:rPr>
          <w:bCs/>
          <w:color w:val="5F5F5F"/>
        </w:rPr>
        <w:t>Follow the instructions for completion below and refer to the Supplementary instrument factsheet for additional guidance.</w:t>
      </w:r>
    </w:p>
    <w:p w14:paraId="2313406E" w14:textId="77777777" w:rsidR="00A26BDC" w:rsidRPr="00C31C29" w:rsidRDefault="00A26BDC" w:rsidP="00A26BDC">
      <w:pPr>
        <w:pStyle w:val="ListParagraph"/>
        <w:numPr>
          <w:ilvl w:val="0"/>
          <w:numId w:val="7"/>
        </w:numPr>
        <w:rPr>
          <w:b w:val="0"/>
          <w:bCs/>
          <w:sz w:val="22"/>
          <w:szCs w:val="22"/>
        </w:rPr>
      </w:pPr>
      <w:r w:rsidRPr="00C31C29">
        <w:rPr>
          <w:b w:val="0"/>
          <w:bCs/>
          <w:sz w:val="22"/>
          <w:szCs w:val="22"/>
        </w:rPr>
        <w:t>Insert the full name of the dealing as shown on the instrument.</w:t>
      </w:r>
    </w:p>
    <w:p w14:paraId="349B7BCD" w14:textId="77777777" w:rsidR="00A26BDC" w:rsidRPr="00C31C29" w:rsidRDefault="00A26BDC" w:rsidP="00A26BDC">
      <w:pPr>
        <w:pStyle w:val="ListParagraph"/>
        <w:numPr>
          <w:ilvl w:val="0"/>
          <w:numId w:val="7"/>
        </w:numPr>
        <w:rPr>
          <w:b w:val="0"/>
          <w:bCs/>
          <w:sz w:val="22"/>
          <w:szCs w:val="22"/>
        </w:rPr>
      </w:pPr>
      <w:r w:rsidRPr="00C31C29">
        <w:rPr>
          <w:b w:val="0"/>
          <w:bCs/>
          <w:sz w:val="22"/>
          <w:szCs w:val="22"/>
        </w:rPr>
        <w:t>Insert the date the instrument evidencing the dealing was executed.</w:t>
      </w:r>
    </w:p>
    <w:p w14:paraId="106E9EC3" w14:textId="77777777" w:rsidR="00D0291B" w:rsidRPr="00D0291B" w:rsidRDefault="00D0291B" w:rsidP="00D0291B">
      <w:pPr>
        <w:pStyle w:val="ListParagraph"/>
        <w:numPr>
          <w:ilvl w:val="0"/>
          <w:numId w:val="7"/>
        </w:numPr>
        <w:rPr>
          <w:b w:val="0"/>
          <w:bCs/>
          <w:sz w:val="22"/>
          <w:szCs w:val="22"/>
        </w:rPr>
      </w:pPr>
      <w:r w:rsidRPr="00D0291B">
        <w:rPr>
          <w:b w:val="0"/>
          <w:bCs/>
          <w:sz w:val="22"/>
          <w:szCs w:val="22"/>
        </w:rPr>
        <w:t>Insert the title number to which the dealing relates e.g., G-8-AP.</w:t>
      </w:r>
    </w:p>
    <w:p w14:paraId="7ECD638C" w14:textId="77777777" w:rsidR="00D0291B" w:rsidRPr="00D0291B" w:rsidRDefault="00D0291B" w:rsidP="00D0291B">
      <w:pPr>
        <w:pStyle w:val="ListParagraph"/>
        <w:numPr>
          <w:ilvl w:val="0"/>
          <w:numId w:val="7"/>
        </w:numPr>
        <w:rPr>
          <w:b w:val="0"/>
          <w:bCs/>
          <w:sz w:val="22"/>
          <w:szCs w:val="22"/>
        </w:rPr>
      </w:pPr>
      <w:r w:rsidRPr="00D0291B">
        <w:rPr>
          <w:b w:val="0"/>
          <w:bCs/>
          <w:sz w:val="22"/>
          <w:szCs w:val="22"/>
        </w:rPr>
        <w:t>Insert the title type to which the dealing relates e.g., Greenhouse Gas Assessment Permit.</w:t>
      </w:r>
    </w:p>
    <w:p w14:paraId="05C59A3F" w14:textId="77777777" w:rsidR="00A26BDC" w:rsidRPr="00C31C29" w:rsidRDefault="00A26BDC" w:rsidP="00A26BDC">
      <w:pPr>
        <w:pStyle w:val="ListParagraph"/>
        <w:numPr>
          <w:ilvl w:val="0"/>
          <w:numId w:val="7"/>
        </w:numPr>
        <w:rPr>
          <w:b w:val="0"/>
          <w:bCs/>
          <w:sz w:val="22"/>
          <w:szCs w:val="22"/>
        </w:rPr>
      </w:pPr>
      <w:r w:rsidRPr="00C31C29">
        <w:rPr>
          <w:b w:val="0"/>
          <w:bCs/>
          <w:sz w:val="22"/>
          <w:szCs w:val="22"/>
        </w:rPr>
        <w:t xml:space="preserve">List the full name, ACN, ARBN or foreign equivalent; and business address of each party to the dealing as specified on the of the instrument. </w:t>
      </w:r>
    </w:p>
    <w:p w14:paraId="08BB2906" w14:textId="77777777" w:rsidR="00A26BDC" w:rsidRPr="00C31C29" w:rsidRDefault="00A26BDC" w:rsidP="00A26BDC">
      <w:pPr>
        <w:spacing w:after="120"/>
        <w:ind w:left="360"/>
        <w:rPr>
          <w:color w:val="5F5F5F"/>
          <w:szCs w:val="22"/>
        </w:rPr>
      </w:pPr>
      <w:r w:rsidRPr="00C31C29">
        <w:rPr>
          <w:rStyle w:val="Strong"/>
          <w:color w:val="5F5F5F"/>
          <w:sz w:val="22"/>
          <w:szCs w:val="22"/>
        </w:rPr>
        <w:t>Note</w:t>
      </w:r>
      <w:r w:rsidRPr="00C31C29">
        <w:rPr>
          <w:color w:val="5F5F5F"/>
          <w:szCs w:val="22"/>
        </w:rPr>
        <w:t>: where the parties to the dealing have been amended by subsequent dealings, also list the full name, ACN, ARBN or foreign equivalent; and business address of the current parties to the dealing.</w:t>
      </w:r>
    </w:p>
    <w:p w14:paraId="0F217F42"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Provide a p</w:t>
      </w:r>
      <w:r w:rsidRPr="00C31C29">
        <w:rPr>
          <w:rFonts w:cstheme="minorHAnsi"/>
          <w:b w:val="0"/>
          <w:bCs/>
          <w:color w:val="595959" w:themeColor="text1" w:themeTint="A6"/>
          <w:sz w:val="22"/>
          <w:szCs w:val="22"/>
        </w:rPr>
        <w:t xml:space="preserve">lain English description of the specific action(s) of the dealing in relation to the title. </w:t>
      </w:r>
    </w:p>
    <w:p w14:paraId="5F149F14" w14:textId="77777777" w:rsidR="0087264F" w:rsidRPr="0087264F" w:rsidRDefault="0087264F" w:rsidP="0087264F">
      <w:pPr>
        <w:pStyle w:val="ListParagraph"/>
        <w:numPr>
          <w:ilvl w:val="0"/>
          <w:numId w:val="7"/>
        </w:numPr>
        <w:rPr>
          <w:b w:val="0"/>
          <w:bCs/>
          <w:color w:val="595959" w:themeColor="text1" w:themeTint="A6"/>
          <w:sz w:val="22"/>
          <w:szCs w:val="22"/>
        </w:rPr>
      </w:pPr>
      <w:r w:rsidRPr="0087264F">
        <w:rPr>
          <w:b w:val="0"/>
          <w:bCs/>
          <w:color w:val="595959" w:themeColor="text1" w:themeTint="A6"/>
          <w:sz w:val="22"/>
          <w:szCs w:val="22"/>
        </w:rPr>
        <w:t>Provide details of the effect(s) of the dealing (upon registration), specified in terms of the relevant item in the table in section 537 of the OPGGS Act. e.g., The dealing has the effect set out in item 1 of the table in section 537 of the OPGGS Act, being the creation or assignment of an interest in an existing title.</w:t>
      </w:r>
    </w:p>
    <w:p w14:paraId="2B2E55E8"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List all titleholders and parties to the dealing.</w:t>
      </w:r>
    </w:p>
    <w:p w14:paraId="2BA27681"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 xml:space="preserve">Provide details of the percentage (%) interests in the title of all parties to the dealing and titleholders before registration of the dealing. Percentage (%) interests in the title must total 100%. </w:t>
      </w:r>
    </w:p>
    <w:p w14:paraId="12A908CF" w14:textId="77777777" w:rsidR="00A26BDC" w:rsidRPr="00C31C29" w:rsidRDefault="00A26BDC" w:rsidP="00A26BDC">
      <w:pPr>
        <w:spacing w:after="120"/>
        <w:ind w:left="360"/>
        <w:rPr>
          <w:color w:val="5F5F5F"/>
          <w:szCs w:val="22"/>
        </w:rPr>
      </w:pPr>
      <w:r w:rsidRPr="00C31C29">
        <w:rPr>
          <w:rStyle w:val="Strong"/>
          <w:color w:val="5F5F5F"/>
          <w:sz w:val="22"/>
          <w:szCs w:val="22"/>
        </w:rPr>
        <w:t>Note:</w:t>
      </w:r>
      <w:r w:rsidRPr="00C31C29">
        <w:rPr>
          <w:color w:val="5F5F5F"/>
          <w:szCs w:val="22"/>
        </w:rPr>
        <w:t xml:space="preserve"> if a party to the dealing has no interests in the title reflect this as 0%.</w:t>
      </w:r>
    </w:p>
    <w:p w14:paraId="79C3ADC9"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Provide details of the what the percentage (%) interest(s) in the title of all parties to the dealing and titleholders will be if registration of the dealing occurs or state ‘No Change’. Percentage (%) interests in the title must total 100%.</w:t>
      </w:r>
    </w:p>
    <w:p w14:paraId="62EEE7E3"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 xml:space="preserve">Indicate whether a </w:t>
      </w:r>
      <w:r w:rsidRPr="00C31C29">
        <w:rPr>
          <w:rFonts w:cstheme="minorHAnsi"/>
          <w:b w:val="0"/>
          <w:bCs/>
          <w:color w:val="595959" w:themeColor="text1" w:themeTint="A6"/>
          <w:sz w:val="22"/>
          <w:szCs w:val="22"/>
          <w:lang w:eastAsia="en-AU"/>
        </w:rPr>
        <w:t>transfer of title has or will be submitted to give effect to any change in interests reflected in the dealing.</w:t>
      </w:r>
    </w:p>
    <w:p w14:paraId="0242D0A7" w14:textId="77777777" w:rsidR="00A26BDC" w:rsidRPr="00C31C29" w:rsidRDefault="00A26BDC" w:rsidP="00A26BDC">
      <w:pPr>
        <w:pStyle w:val="ListParagraph"/>
        <w:numPr>
          <w:ilvl w:val="0"/>
          <w:numId w:val="7"/>
        </w:numPr>
        <w:rPr>
          <w:b w:val="0"/>
          <w:bCs/>
          <w:color w:val="595959" w:themeColor="text1" w:themeTint="A6"/>
          <w:sz w:val="22"/>
          <w:szCs w:val="22"/>
        </w:rPr>
      </w:pPr>
      <w:r w:rsidRPr="00C31C29">
        <w:rPr>
          <w:b w:val="0"/>
          <w:bCs/>
          <w:color w:val="595959" w:themeColor="text1" w:themeTint="A6"/>
          <w:sz w:val="22"/>
          <w:szCs w:val="22"/>
        </w:rPr>
        <w:t>Provide details of any related dealing including dealing name, executed date, approved date and registration number (if any) and a brief description of how it is a related dealing.</w:t>
      </w:r>
    </w:p>
    <w:p w14:paraId="584B3A55" w14:textId="77777777" w:rsidR="00A26BDC" w:rsidRPr="00C31C29" w:rsidRDefault="00A26BDC" w:rsidP="00A26BDC">
      <w:pPr>
        <w:spacing w:after="120"/>
        <w:ind w:left="360"/>
        <w:rPr>
          <w:color w:val="595959" w:themeColor="text1" w:themeTint="A6"/>
          <w:szCs w:val="22"/>
        </w:rPr>
      </w:pPr>
      <w:r w:rsidRPr="00C31C29">
        <w:rPr>
          <w:rStyle w:val="Strong"/>
          <w:i/>
          <w:iCs/>
          <w:color w:val="5F5F5F"/>
          <w:sz w:val="22"/>
          <w:szCs w:val="22"/>
        </w:rPr>
        <w:t>Related dealing</w:t>
      </w:r>
      <w:r w:rsidRPr="00C31C29">
        <w:rPr>
          <w:color w:val="5F5F5F"/>
          <w:szCs w:val="22"/>
        </w:rPr>
        <w:t xml:space="preserve"> </w:t>
      </w:r>
      <w:r w:rsidRPr="00C31C29">
        <w:rPr>
          <w:color w:val="595959" w:themeColor="text1" w:themeTint="A6"/>
          <w:szCs w:val="22"/>
        </w:rPr>
        <w:t xml:space="preserve">means a dealing executed, before the execution of the instrument evidencing the dealing, by some or </w:t>
      </w:r>
      <w:proofErr w:type="gramStart"/>
      <w:r w:rsidRPr="00C31C29">
        <w:rPr>
          <w:color w:val="595959" w:themeColor="text1" w:themeTint="A6"/>
          <w:szCs w:val="22"/>
        </w:rPr>
        <w:t>all of</w:t>
      </w:r>
      <w:proofErr w:type="gramEnd"/>
      <w:r w:rsidRPr="00C31C29">
        <w:rPr>
          <w:color w:val="595959" w:themeColor="text1" w:themeTint="A6"/>
          <w:szCs w:val="22"/>
        </w:rPr>
        <w:t xml:space="preserve"> the parties to that instrument: </w:t>
      </w:r>
    </w:p>
    <w:p w14:paraId="5909BA67" w14:textId="77777777" w:rsidR="00A26BDC" w:rsidRPr="00C31C29" w:rsidRDefault="00A26BDC" w:rsidP="00A26BDC">
      <w:pPr>
        <w:spacing w:after="120"/>
        <w:ind w:left="360"/>
        <w:rPr>
          <w:color w:val="595959" w:themeColor="text1" w:themeTint="A6"/>
          <w:szCs w:val="22"/>
        </w:rPr>
      </w:pPr>
      <w:r w:rsidRPr="00C31C29">
        <w:rPr>
          <w:color w:val="595959" w:themeColor="text1" w:themeTint="A6"/>
          <w:szCs w:val="22"/>
        </w:rPr>
        <w:t>(a)</w:t>
      </w:r>
      <w:r w:rsidRPr="00C31C29">
        <w:rPr>
          <w:color w:val="595959" w:themeColor="text1" w:themeTint="A6"/>
          <w:szCs w:val="22"/>
        </w:rPr>
        <w:tab/>
        <w:t>that affects the title which is the subject of the dealing to which the instrument relates; and</w:t>
      </w:r>
    </w:p>
    <w:p w14:paraId="6540E4FF" w14:textId="77777777" w:rsidR="00A26BDC" w:rsidRPr="00C31C29" w:rsidRDefault="00A26BDC" w:rsidP="00A26BDC">
      <w:pPr>
        <w:spacing w:after="120"/>
        <w:ind w:left="720"/>
        <w:rPr>
          <w:color w:val="595959" w:themeColor="text1" w:themeTint="A6"/>
          <w:szCs w:val="22"/>
        </w:rPr>
      </w:pPr>
      <w:r w:rsidRPr="00C31C29">
        <w:rPr>
          <w:color w:val="595959" w:themeColor="text1" w:themeTint="A6"/>
          <w:szCs w:val="22"/>
        </w:rPr>
        <w:t>that:</w:t>
      </w:r>
    </w:p>
    <w:p w14:paraId="059DF3D7" w14:textId="77777777" w:rsidR="00A26BDC" w:rsidRPr="00C31C29" w:rsidRDefault="00A26BDC" w:rsidP="00C31C29">
      <w:pPr>
        <w:spacing w:after="120"/>
        <w:ind w:left="993"/>
        <w:rPr>
          <w:color w:val="595959" w:themeColor="text1" w:themeTint="A6"/>
          <w:szCs w:val="22"/>
        </w:rPr>
      </w:pPr>
      <w:r w:rsidRPr="00C31C29">
        <w:rPr>
          <w:color w:val="595959" w:themeColor="text1" w:themeTint="A6"/>
          <w:szCs w:val="22"/>
        </w:rPr>
        <w:t>(</w:t>
      </w:r>
      <w:proofErr w:type="spellStart"/>
      <w:r w:rsidRPr="00C31C29">
        <w:rPr>
          <w:color w:val="595959" w:themeColor="text1" w:themeTint="A6"/>
          <w:szCs w:val="22"/>
        </w:rPr>
        <w:t>i</w:t>
      </w:r>
      <w:proofErr w:type="spellEnd"/>
      <w:r w:rsidRPr="00C31C29">
        <w:rPr>
          <w:color w:val="595959" w:themeColor="text1" w:themeTint="A6"/>
          <w:szCs w:val="22"/>
        </w:rPr>
        <w:t>)</w:t>
      </w:r>
      <w:r w:rsidRPr="00C31C29">
        <w:rPr>
          <w:color w:val="595959" w:themeColor="text1" w:themeTint="A6"/>
          <w:szCs w:val="22"/>
        </w:rPr>
        <w:tab/>
        <w:t xml:space="preserve">creates or assigns an option to </w:t>
      </w:r>
      <w:proofErr w:type="gramStart"/>
      <w:r w:rsidRPr="00C31C29">
        <w:rPr>
          <w:color w:val="595959" w:themeColor="text1" w:themeTint="A6"/>
          <w:szCs w:val="22"/>
        </w:rPr>
        <w:t>enter into</w:t>
      </w:r>
      <w:proofErr w:type="gramEnd"/>
      <w:r w:rsidRPr="00C31C29">
        <w:rPr>
          <w:color w:val="595959" w:themeColor="text1" w:themeTint="A6"/>
          <w:szCs w:val="22"/>
        </w:rPr>
        <w:t xml:space="preserve"> the dealing; or </w:t>
      </w:r>
    </w:p>
    <w:p w14:paraId="17A0337C" w14:textId="77777777" w:rsidR="00A26BDC" w:rsidRPr="00C31C29" w:rsidRDefault="00A26BDC" w:rsidP="00C31C29">
      <w:pPr>
        <w:spacing w:after="120"/>
        <w:ind w:left="993"/>
        <w:rPr>
          <w:color w:val="595959" w:themeColor="text1" w:themeTint="A6"/>
          <w:szCs w:val="22"/>
        </w:rPr>
      </w:pPr>
      <w:r w:rsidRPr="00C31C29">
        <w:rPr>
          <w:color w:val="595959" w:themeColor="text1" w:themeTint="A6"/>
          <w:szCs w:val="22"/>
        </w:rPr>
        <w:t>(ii)</w:t>
      </w:r>
      <w:r w:rsidRPr="00C31C29">
        <w:rPr>
          <w:color w:val="595959" w:themeColor="text1" w:themeTint="A6"/>
          <w:szCs w:val="22"/>
        </w:rPr>
        <w:tab/>
        <w:t xml:space="preserve">creates or assigns a right to </w:t>
      </w:r>
      <w:proofErr w:type="gramStart"/>
      <w:r w:rsidRPr="00C31C29">
        <w:rPr>
          <w:color w:val="595959" w:themeColor="text1" w:themeTint="A6"/>
          <w:szCs w:val="22"/>
        </w:rPr>
        <w:t>enter into</w:t>
      </w:r>
      <w:proofErr w:type="gramEnd"/>
      <w:r w:rsidRPr="00C31C29">
        <w:rPr>
          <w:color w:val="595959" w:themeColor="text1" w:themeTint="A6"/>
          <w:szCs w:val="22"/>
        </w:rPr>
        <w:t xml:space="preserve"> the dealing; or </w:t>
      </w:r>
    </w:p>
    <w:p w14:paraId="77E3CE3F" w14:textId="77777777" w:rsidR="00A26BDC" w:rsidRPr="00C31C29" w:rsidRDefault="00A26BDC" w:rsidP="00C31C29">
      <w:pPr>
        <w:spacing w:after="120"/>
        <w:ind w:left="993"/>
        <w:rPr>
          <w:color w:val="595959" w:themeColor="text1" w:themeTint="A6"/>
          <w:szCs w:val="22"/>
        </w:rPr>
      </w:pPr>
      <w:r w:rsidRPr="00C31C29">
        <w:rPr>
          <w:color w:val="595959" w:themeColor="text1" w:themeTint="A6"/>
          <w:szCs w:val="22"/>
        </w:rPr>
        <w:t>(ii)</w:t>
      </w:r>
      <w:r w:rsidRPr="00C31C29">
        <w:rPr>
          <w:color w:val="595959" w:themeColor="text1" w:themeTint="A6"/>
          <w:szCs w:val="22"/>
        </w:rPr>
        <w:tab/>
        <w:t xml:space="preserve">is altered or terminated by the </w:t>
      </w:r>
      <w:proofErr w:type="gramStart"/>
      <w:r w:rsidRPr="00C31C29">
        <w:rPr>
          <w:color w:val="595959" w:themeColor="text1" w:themeTint="A6"/>
          <w:szCs w:val="22"/>
        </w:rPr>
        <w:t>dealing;</w:t>
      </w:r>
      <w:proofErr w:type="gramEnd"/>
    </w:p>
    <w:p w14:paraId="796C3B8C" w14:textId="77777777" w:rsidR="00A26BDC" w:rsidRPr="00C31C29" w:rsidRDefault="00A26BDC" w:rsidP="00C31C29">
      <w:pPr>
        <w:spacing w:after="120"/>
        <w:ind w:left="720"/>
        <w:rPr>
          <w:szCs w:val="22"/>
        </w:rPr>
      </w:pPr>
      <w:r w:rsidRPr="00C31C29">
        <w:rPr>
          <w:color w:val="595959" w:themeColor="text1" w:themeTint="A6"/>
          <w:szCs w:val="22"/>
        </w:rPr>
        <w:t>and includes any transaction in respect of which an instrument was registered under section 81 of the </w:t>
      </w:r>
      <w:r w:rsidRPr="00C31C29">
        <w:rPr>
          <w:i/>
          <w:iCs/>
          <w:color w:val="595959" w:themeColor="text1" w:themeTint="A6"/>
          <w:szCs w:val="22"/>
        </w:rPr>
        <w:t>Petroleum (Submerged Lands) Act 1967 </w:t>
      </w:r>
      <w:r w:rsidRPr="00C31C29">
        <w:rPr>
          <w:color w:val="595959" w:themeColor="text1" w:themeTint="A6"/>
          <w:szCs w:val="22"/>
        </w:rPr>
        <w:t>before 22 July 1985.</w:t>
      </w:r>
    </w:p>
    <w:p w14:paraId="48356305" w14:textId="77777777" w:rsidR="00A26BDC" w:rsidRPr="00C31C29" w:rsidRDefault="00A26BDC" w:rsidP="00C31C29">
      <w:pPr>
        <w:spacing w:after="120"/>
        <w:ind w:left="720"/>
        <w:rPr>
          <w:color w:val="595959" w:themeColor="text1" w:themeTint="A6"/>
          <w:szCs w:val="22"/>
        </w:rPr>
      </w:pPr>
      <w:r w:rsidRPr="00C31C29">
        <w:rPr>
          <w:rStyle w:val="Strong"/>
          <w:color w:val="5F5F5F"/>
          <w:sz w:val="22"/>
          <w:szCs w:val="22"/>
        </w:rPr>
        <w:t xml:space="preserve">Note: </w:t>
      </w:r>
      <w:r w:rsidRPr="00C31C29">
        <w:rPr>
          <w:color w:val="5F5F5F"/>
          <w:szCs w:val="22"/>
        </w:rPr>
        <w:t xml:space="preserve">Please ensure that all related dealings have been registered against the title or that an </w:t>
      </w:r>
      <w:r w:rsidRPr="00C31C29">
        <w:rPr>
          <w:color w:val="595959" w:themeColor="text1" w:themeTint="A6"/>
          <w:szCs w:val="22"/>
        </w:rPr>
        <w:t>application for approval has been lodged.</w:t>
      </w:r>
    </w:p>
    <w:p w14:paraId="432485B7" w14:textId="77777777" w:rsidR="00A26BDC" w:rsidRPr="00C31C29" w:rsidRDefault="00A26BDC" w:rsidP="00A26BDC">
      <w:pPr>
        <w:rPr>
          <w:color w:val="595959" w:themeColor="text1" w:themeTint="A6"/>
          <w:szCs w:val="22"/>
        </w:rPr>
      </w:pPr>
    </w:p>
    <w:p w14:paraId="2FB902F4" w14:textId="6B2AA195" w:rsidR="00303F53" w:rsidRPr="00C31C29" w:rsidRDefault="00303F53" w:rsidP="00A26BDC">
      <w:pPr>
        <w:rPr>
          <w:szCs w:val="22"/>
        </w:rPr>
      </w:pPr>
    </w:p>
    <w:sectPr w:rsidR="00303F53" w:rsidRPr="00C31C29" w:rsidSect="00A26BDC">
      <w:pgSz w:w="11906" w:h="16838"/>
      <w:pgMar w:top="1418" w:right="992"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9260" w14:textId="77777777" w:rsidR="005D3ACD" w:rsidRDefault="005D3ACD" w:rsidP="00C31C29">
      <w:pPr>
        <w:spacing w:line="240" w:lineRule="auto"/>
      </w:pPr>
      <w:r>
        <w:separator/>
      </w:r>
    </w:p>
  </w:endnote>
  <w:endnote w:type="continuationSeparator" w:id="0">
    <w:p w14:paraId="7AA30445" w14:textId="77777777" w:rsidR="005D3ACD" w:rsidRDefault="005D3ACD" w:rsidP="00C31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CB73" w14:textId="77777777" w:rsidR="005D3ACD" w:rsidRDefault="005D3ACD" w:rsidP="00C31C29">
      <w:pPr>
        <w:spacing w:line="240" w:lineRule="auto"/>
      </w:pPr>
      <w:r>
        <w:separator/>
      </w:r>
    </w:p>
  </w:footnote>
  <w:footnote w:type="continuationSeparator" w:id="0">
    <w:p w14:paraId="013CE454" w14:textId="77777777" w:rsidR="005D3ACD" w:rsidRDefault="005D3ACD" w:rsidP="00C31C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3375"/>
    <w:multiLevelType w:val="hybridMultilevel"/>
    <w:tmpl w:val="B71AF532"/>
    <w:lvl w:ilvl="0" w:tplc="03B2FCDA">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DE508F"/>
    <w:multiLevelType w:val="hybridMultilevel"/>
    <w:tmpl w:val="EB04803C"/>
    <w:lvl w:ilvl="0" w:tplc="F0929156">
      <w:start w:val="1"/>
      <w:numFmt w:val="decimal"/>
      <w:pStyle w:val="ListParagraph"/>
      <w:lvlText w:val="(%1)"/>
      <w:lvlJc w:val="left"/>
      <w:pPr>
        <w:ind w:left="360" w:hanging="360"/>
      </w:pPr>
      <w:rPr>
        <w:rFonts w:hint="default"/>
        <w:b/>
        <w:bCs/>
        <w:sz w:val="22"/>
        <w:szCs w:val="22"/>
        <w:vertAlign w:val="superscript"/>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num w:numId="1" w16cid:durableId="1314791837">
    <w:abstractNumId w:val="1"/>
  </w:num>
  <w:num w:numId="2" w16cid:durableId="218171035">
    <w:abstractNumId w:val="1"/>
  </w:num>
  <w:num w:numId="3" w16cid:durableId="1148519234">
    <w:abstractNumId w:val="1"/>
  </w:num>
  <w:num w:numId="4" w16cid:durableId="1051265173">
    <w:abstractNumId w:val="1"/>
  </w:num>
  <w:num w:numId="5" w16cid:durableId="1589580728">
    <w:abstractNumId w:val="1"/>
  </w:num>
  <w:num w:numId="6" w16cid:durableId="1411198887">
    <w:abstractNumId w:val="0"/>
  </w:num>
  <w:num w:numId="7" w16cid:durableId="1369918227">
    <w:abstractNumId w:val="1"/>
    <w:lvlOverride w:ilvl="0">
      <w:startOverride w:val="1"/>
    </w:lvlOverride>
  </w:num>
  <w:num w:numId="8" w16cid:durableId="1406413074">
    <w:abstractNumId w:val="1"/>
  </w:num>
  <w:num w:numId="9" w16cid:durableId="306134928">
    <w:abstractNumId w:val="1"/>
  </w:num>
  <w:num w:numId="10" w16cid:durableId="2113740261">
    <w:abstractNumId w:val="1"/>
  </w:num>
  <w:num w:numId="11" w16cid:durableId="1181509255">
    <w:abstractNumId w:val="1"/>
  </w:num>
  <w:num w:numId="12" w16cid:durableId="1356152342">
    <w:abstractNumId w:val="1"/>
  </w:num>
  <w:num w:numId="13" w16cid:durableId="2083021116">
    <w:abstractNumId w:val="1"/>
  </w:num>
  <w:num w:numId="14" w16cid:durableId="445197840">
    <w:abstractNumId w:val="1"/>
  </w:num>
  <w:num w:numId="15" w16cid:durableId="762267627">
    <w:abstractNumId w:val="1"/>
  </w:num>
  <w:num w:numId="16" w16cid:durableId="998267829">
    <w:abstractNumId w:val="1"/>
  </w:num>
  <w:num w:numId="17" w16cid:durableId="142410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DC"/>
    <w:rsid w:val="00261C13"/>
    <w:rsid w:val="00284CCE"/>
    <w:rsid w:val="00303F53"/>
    <w:rsid w:val="00303FF6"/>
    <w:rsid w:val="003F6B86"/>
    <w:rsid w:val="00446AAD"/>
    <w:rsid w:val="005D3ACD"/>
    <w:rsid w:val="007424E7"/>
    <w:rsid w:val="007F733F"/>
    <w:rsid w:val="0087264F"/>
    <w:rsid w:val="00947138"/>
    <w:rsid w:val="00A26BDC"/>
    <w:rsid w:val="00BC3991"/>
    <w:rsid w:val="00C31C29"/>
    <w:rsid w:val="00CB39AD"/>
    <w:rsid w:val="00D0291B"/>
    <w:rsid w:val="00ED5DFC"/>
    <w:rsid w:val="00ED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BD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6BDC"/>
    <w:pPr>
      <w:spacing w:after="0" w:line="260" w:lineRule="atLeast"/>
    </w:pPr>
    <w:rPr>
      <w:rFonts w:ascii="Aptos" w:hAnsi="Aptos"/>
      <w:kern w:val="0"/>
      <w:sz w:val="22"/>
      <w:szCs w:val="20"/>
      <w14:ligatures w14:val="none"/>
    </w:rPr>
  </w:style>
  <w:style w:type="paragraph" w:styleId="Heading1">
    <w:name w:val="heading 1"/>
    <w:basedOn w:val="Normal"/>
    <w:next w:val="Normal"/>
    <w:link w:val="Heading1Char"/>
    <w:uiPriority w:val="9"/>
    <w:qFormat/>
    <w:rsid w:val="00A26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26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B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B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B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B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26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BDC"/>
    <w:rPr>
      <w:rFonts w:eastAsiaTheme="majorEastAsia" w:cstheme="majorBidi"/>
      <w:color w:val="272727" w:themeColor="text1" w:themeTint="D8"/>
    </w:rPr>
  </w:style>
  <w:style w:type="paragraph" w:styleId="Title">
    <w:name w:val="Title"/>
    <w:basedOn w:val="Normal"/>
    <w:next w:val="Normal"/>
    <w:link w:val="TitleChar"/>
    <w:uiPriority w:val="10"/>
    <w:qFormat/>
    <w:rsid w:val="00A26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BDC"/>
    <w:pPr>
      <w:spacing w:before="160"/>
      <w:jc w:val="center"/>
    </w:pPr>
    <w:rPr>
      <w:i/>
      <w:iCs/>
      <w:color w:val="404040" w:themeColor="text1" w:themeTint="BF"/>
    </w:rPr>
  </w:style>
  <w:style w:type="character" w:customStyle="1" w:styleId="QuoteChar">
    <w:name w:val="Quote Char"/>
    <w:basedOn w:val="DefaultParagraphFont"/>
    <w:link w:val="Quote"/>
    <w:uiPriority w:val="29"/>
    <w:rsid w:val="00A26BDC"/>
    <w:rPr>
      <w:i/>
      <w:iCs/>
      <w:color w:val="404040" w:themeColor="text1" w:themeTint="BF"/>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Heading2"/>
    <w:link w:val="ListParagraphChar"/>
    <w:uiPriority w:val="34"/>
    <w:qFormat/>
    <w:rsid w:val="00A26BDC"/>
    <w:pPr>
      <w:numPr>
        <w:numId w:val="1"/>
      </w:numPr>
      <w:tabs>
        <w:tab w:val="left" w:pos="5096"/>
      </w:tabs>
      <w:spacing w:before="120" w:after="120" w:line="240" w:lineRule="auto"/>
    </w:pPr>
    <w:rPr>
      <w:rFonts w:ascii="Aptos" w:hAnsi="Aptos"/>
      <w:b/>
      <w:color w:val="5F5F5F"/>
      <w:sz w:val="24"/>
      <w:szCs w:val="24"/>
    </w:rPr>
  </w:style>
  <w:style w:type="character" w:styleId="IntenseEmphasis">
    <w:name w:val="Intense Emphasis"/>
    <w:basedOn w:val="DefaultParagraphFont"/>
    <w:uiPriority w:val="21"/>
    <w:qFormat/>
    <w:rsid w:val="00A26BDC"/>
    <w:rPr>
      <w:i/>
      <w:iCs/>
      <w:color w:val="0F4761" w:themeColor="accent1" w:themeShade="BF"/>
    </w:rPr>
  </w:style>
  <w:style w:type="paragraph" w:styleId="IntenseQuote">
    <w:name w:val="Intense Quote"/>
    <w:basedOn w:val="Normal"/>
    <w:next w:val="Normal"/>
    <w:link w:val="IntenseQuoteChar"/>
    <w:uiPriority w:val="30"/>
    <w:qFormat/>
    <w:rsid w:val="00A26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BDC"/>
    <w:rPr>
      <w:i/>
      <w:iCs/>
      <w:color w:val="0F4761" w:themeColor="accent1" w:themeShade="BF"/>
    </w:rPr>
  </w:style>
  <w:style w:type="character" w:styleId="IntenseReference">
    <w:name w:val="Intense Reference"/>
    <w:basedOn w:val="DefaultParagraphFont"/>
    <w:uiPriority w:val="32"/>
    <w:qFormat/>
    <w:rsid w:val="00A26BDC"/>
    <w:rPr>
      <w:b/>
      <w:bCs/>
      <w:smallCaps/>
      <w:color w:val="0F4761" w:themeColor="accent1" w:themeShade="BF"/>
      <w:spacing w:val="5"/>
    </w:rPr>
  </w:style>
  <w:style w:type="table" w:styleId="TableGrid">
    <w:name w:val="Table Grid"/>
    <w:aliases w:val="Table Grid (Row Header)"/>
    <w:basedOn w:val="TableNormal"/>
    <w:uiPriority w:val="59"/>
    <w:rsid w:val="00A26BDC"/>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6BDC"/>
    <w:rPr>
      <w:rFonts w:ascii="Aptos" w:hAnsi="Aptos"/>
      <w:b/>
      <w:bCs/>
      <w:color w:val="auto"/>
      <w:sz w:val="24"/>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A26BDC"/>
    <w:rPr>
      <w:rFonts w:ascii="Aptos" w:eastAsiaTheme="majorEastAsia" w:hAnsi="Aptos" w:cstheme="majorBidi"/>
      <w:b/>
      <w:color w:val="5F5F5F"/>
      <w:kern w:val="0"/>
      <w14:ligatures w14:val="none"/>
    </w:rPr>
  </w:style>
  <w:style w:type="paragraph" w:styleId="Header">
    <w:name w:val="header"/>
    <w:basedOn w:val="Normal"/>
    <w:link w:val="HeaderChar"/>
    <w:uiPriority w:val="99"/>
    <w:unhideWhenUsed/>
    <w:rsid w:val="00C31C29"/>
    <w:pPr>
      <w:tabs>
        <w:tab w:val="center" w:pos="4513"/>
        <w:tab w:val="right" w:pos="9026"/>
      </w:tabs>
      <w:spacing w:line="240" w:lineRule="auto"/>
    </w:pPr>
  </w:style>
  <w:style w:type="character" w:customStyle="1" w:styleId="HeaderChar">
    <w:name w:val="Header Char"/>
    <w:basedOn w:val="DefaultParagraphFont"/>
    <w:link w:val="Header"/>
    <w:uiPriority w:val="99"/>
    <w:rsid w:val="00C31C29"/>
    <w:rPr>
      <w:rFonts w:ascii="Aptos" w:hAnsi="Aptos"/>
      <w:kern w:val="0"/>
      <w:sz w:val="22"/>
      <w:szCs w:val="20"/>
      <w14:ligatures w14:val="none"/>
    </w:rPr>
  </w:style>
  <w:style w:type="paragraph" w:styleId="Footer">
    <w:name w:val="footer"/>
    <w:basedOn w:val="Normal"/>
    <w:link w:val="FooterChar"/>
    <w:uiPriority w:val="99"/>
    <w:unhideWhenUsed/>
    <w:rsid w:val="00C31C29"/>
    <w:pPr>
      <w:tabs>
        <w:tab w:val="center" w:pos="4513"/>
        <w:tab w:val="right" w:pos="9026"/>
      </w:tabs>
      <w:spacing w:line="240" w:lineRule="auto"/>
    </w:pPr>
  </w:style>
  <w:style w:type="character" w:customStyle="1" w:styleId="FooterChar">
    <w:name w:val="Footer Char"/>
    <w:basedOn w:val="DefaultParagraphFont"/>
    <w:link w:val="Footer"/>
    <w:uiPriority w:val="99"/>
    <w:rsid w:val="00C31C29"/>
    <w:rPr>
      <w:rFonts w:ascii="Aptos" w:hAnsi="Apto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Jurisdiction xmlns="7012054d-3a07-4b40-940b-a148fc76e5c4">
      <Value>AU</Value>
    </Jurisdiction>
    <CaveatCategory xmlns="7012054d-3a07-4b40-940b-a148fc76e5c4">DLM: For Official Use Only</CaveatCategory>
    <NameScheme xmlns="7012054d-3a07-4b40-940b-a148fc76e5c4" xsi:nil="true"/>
    <_dlc_DocId xmlns="7012054d-3a07-4b40-940b-a148fc76e5c4">NOPTANET-716839524-10610</_dlc_DocId>
    <DateRangeEnd xmlns="7012054d-3a07-4b40-940b-a148fc76e5c4" xsi:nil="true"/>
    <SecurityClassification xmlns="7012054d-3a07-4b40-940b-a148fc76e5c4">OFFICIAL: Sensitive</SecurityClassification>
    <RightsStatus xmlns="7012054d-3a07-4b40-940b-a148fc76e5c4">Open</RightsStatus>
    <TaxKeywordTaxHTField xmlns="7012054d-3a07-4b40-940b-a148fc76e5c4">
      <Terms xmlns="http://schemas.microsoft.com/office/infopath/2007/PartnerControls"/>
    </TaxKeywordTaxHTField>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xsi:nil="true"/>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https://nopta.sharepoint.com/WST/_layouts/15/DocIdRedir.aspx?ID=NOPTANET-716839524-10610</Url>
      <Description>NOPTANET-716839524-10610</Description>
    </_dlc_DocIdUrl>
    <AGRkMSLanguage xmlns="7012054d-3a07-4b40-940b-a148fc76e5c4">en-au</AGRkMSLanguage>
    <AGRkMSDescription xmlns="7012054d-3a07-4b40-940b-a148fc76e5c4" xsi:nil="true"/>
    <Units xmlns="7012054d-3a07-4b40-940b-a148fc76e5c4">KB</Units>
    <RecordExtent xmlns="7012054d-3a07-4b40-940b-a148fc76e5c4" xsi:nil="true"/>
    <DocumentForm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documentManagement>
</p:properties>
</file>

<file path=customXml/itemProps1.xml><?xml version="1.0" encoding="utf-8"?>
<ds:datastoreItem xmlns:ds="http://schemas.openxmlformats.org/officeDocument/2006/customXml" ds:itemID="{B6D622C6-F865-4A0D-9043-74679A26B2B2}"/>
</file>

<file path=customXml/itemProps2.xml><?xml version="1.0" encoding="utf-8"?>
<ds:datastoreItem xmlns:ds="http://schemas.openxmlformats.org/officeDocument/2006/customXml" ds:itemID="{237548A9-81B9-4FF2-824D-508E2EFAD34D}"/>
</file>

<file path=customXml/itemProps3.xml><?xml version="1.0" encoding="utf-8"?>
<ds:datastoreItem xmlns:ds="http://schemas.openxmlformats.org/officeDocument/2006/customXml" ds:itemID="{4C2798D4-7013-4E29-BCD6-DCDBBE7AE405}"/>
</file>

<file path=customXml/itemProps4.xml><?xml version="1.0" encoding="utf-8"?>
<ds:datastoreItem xmlns:ds="http://schemas.openxmlformats.org/officeDocument/2006/customXml" ds:itemID="{7659A722-0C05-43B7-893A-EA9421F9670C}"/>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3024</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2026-02-27T04:18:00Z</dcterms:created>
  <dcterms:modified xsi:type="dcterms:W3CDTF">2026-02-27T04:18:00Z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2026-02-27T04:18:27Z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a74a2688-ea62-4e78-8c46-a20c53380f7a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ediaServiceImageTags">
    <vt:lpwstr/>
  </property>
  <property fmtid="{D5CDD505-2E9C-101B-9397-08002B2CF9AE}" pid="12" name="ContentTypeId">
    <vt:lpwstr>0x01010063547D135F865547B104B3688A6EB0DB1400F03BA615DEB94544B0E4AA523FDA1B39</vt:lpwstr>
  </property>
  <property fmtid="{D5CDD505-2E9C-101B-9397-08002B2CF9AE}" pid="13" name="Titles">
    <vt:lpwstr/>
  </property>
  <property fmtid="{D5CDD505-2E9C-101B-9397-08002B2CF9AE}" pid="14" name="Title Type">
    <vt:lpwstr/>
  </property>
  <property fmtid="{D5CDD505-2E9C-101B-9397-08002B2CF9AE}" pid="15" name="Offshore Region">
    <vt:lpwstr/>
  </property>
  <property fmtid="{D5CDD505-2E9C-101B-9397-08002B2CF9AE}" pid="16" name="Offshore_x0020_Region">
    <vt:lpwstr/>
  </property>
  <property fmtid="{D5CDD505-2E9C-101B-9397-08002B2CF9AE}" pid="17" name="Application Library">
    <vt:lpwstr/>
  </property>
  <property fmtid="{D5CDD505-2E9C-101B-9397-08002B2CF9AE}" pid="18" name="Team">
    <vt:lpwstr/>
  </property>
  <property fmtid="{D5CDD505-2E9C-101B-9397-08002B2CF9AE}" pid="19" name="Application_x0020_Library">
    <vt:lpwstr/>
  </property>
  <property fmtid="{D5CDD505-2E9C-101B-9397-08002B2CF9AE}" pid="20" name="_dlc_DocIdItemGuid">
    <vt:lpwstr>2965ea53-da8f-40c9-b5eb-2b414a061ae4</vt:lpwstr>
  </property>
  <property fmtid="{D5CDD505-2E9C-101B-9397-08002B2CF9AE}" pid="21" name="DocumentType">
    <vt:lpwstr/>
  </property>
  <property fmtid="{D5CDD505-2E9C-101B-9397-08002B2CF9AE}" pid="22" name="Title_x0020_Type">
    <vt:lpwstr/>
  </property>
</Properties>
</file>