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4783" w14:textId="77777777" w:rsidR="00F8108A" w:rsidRDefault="00262C1B" w:rsidP="00E11C31">
      <w:bookmarkStart w:id="0" w:name="_Toc19289801"/>
      <w:r w:rsidRPr="00837F65">
        <w:rPr>
          <w:noProof/>
        </w:rPr>
        <w:drawing>
          <wp:anchor distT="0" distB="0" distL="114300" distR="114300" simplePos="0" relativeHeight="251658240" behindDoc="0" locked="0" layoutInCell="1" allowOverlap="1" wp14:anchorId="6AD26E23" wp14:editId="16514195">
            <wp:simplePos x="716890" y="541325"/>
            <wp:positionH relativeFrom="column">
              <wp:align>left</wp:align>
            </wp:positionH>
            <wp:positionV relativeFrom="paragraph">
              <wp:align>top</wp:align>
            </wp:positionV>
            <wp:extent cx="2085975" cy="541020"/>
            <wp:effectExtent l="0" t="0" r="9525" b="0"/>
            <wp:wrapSquare wrapText="bothSides"/>
            <wp:docPr id="2073990877" name="Picture 2073990877" descr="Australian Government National Offshore Petroleum Administrator logo, black and whi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ustralian Government National Offshore Petroleum Administrator logo, black and white&#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85975" cy="541020"/>
                    </a:xfrm>
                    <a:prstGeom prst="rect">
                      <a:avLst/>
                    </a:prstGeom>
                  </pic:spPr>
                </pic:pic>
              </a:graphicData>
            </a:graphic>
          </wp:anchor>
        </w:drawing>
      </w:r>
    </w:p>
    <w:p w14:paraId="5EADE164" w14:textId="77777777" w:rsidR="004B4401" w:rsidRPr="004B4401" w:rsidRDefault="00F8108A" w:rsidP="00265D50">
      <w:pPr>
        <w:pStyle w:val="Heading1"/>
        <w:spacing w:before="120" w:after="480"/>
        <w:rPr>
          <w:sz w:val="16"/>
          <w:szCs w:val="16"/>
        </w:rPr>
      </w:pPr>
      <w:bookmarkStart w:id="1" w:name="_Petroleum_production_licence"/>
      <w:bookmarkEnd w:id="1"/>
      <w:r w:rsidRPr="004B4401">
        <w:rPr>
          <w:sz w:val="16"/>
          <w:szCs w:val="16"/>
        </w:rPr>
        <w:tab/>
      </w:r>
      <w:bookmarkStart w:id="2" w:name="_Toc144911604"/>
      <w:bookmarkStart w:id="3" w:name="_Toc155176735"/>
      <w:bookmarkEnd w:id="0"/>
    </w:p>
    <w:bookmarkStart w:id="4" w:name="_Rate_of_recovery"/>
    <w:bookmarkEnd w:id="4"/>
    <w:p w14:paraId="2B99CECA" w14:textId="04C55BD2" w:rsidR="00510815" w:rsidRPr="00F8108A" w:rsidRDefault="003D0E5B" w:rsidP="00E11C31">
      <w:pPr>
        <w:pStyle w:val="Heading1"/>
        <w:spacing w:before="0"/>
        <w:rPr>
          <w:rFonts w:ascii="Aptos Display" w:hAnsi="Aptos Display"/>
        </w:rPr>
      </w:pPr>
      <w:sdt>
        <w:sdtPr>
          <w:rPr>
            <w:rFonts w:ascii="Aptos Display" w:eastAsiaTheme="minorHAnsi" w:hAnsi="Aptos Display" w:cstheme="minorBidi"/>
            <w:color w:val="auto"/>
            <w:sz w:val="22"/>
            <w:szCs w:val="22"/>
          </w:rPr>
          <w:id w:val="-2088995269"/>
          <w:docPartObj>
            <w:docPartGallery w:val="Cover Pages"/>
            <w:docPartUnique/>
          </w:docPartObj>
        </w:sdtPr>
        <w:sdtEndPr>
          <w:rPr>
            <w:rFonts w:eastAsiaTheme="majorEastAsia" w:cstheme="majorBidi"/>
            <w:color w:val="15659B" w:themeColor="accent4"/>
            <w:sz w:val="44"/>
            <w:szCs w:val="32"/>
          </w:rPr>
        </w:sdtEndPr>
        <w:sdtContent>
          <w:bookmarkEnd w:id="2"/>
          <w:bookmarkEnd w:id="3"/>
          <w:r w:rsidR="00015DDF" w:rsidRPr="00015DDF">
            <w:rPr>
              <w:rFonts w:ascii="Aptos Display" w:hAnsi="Aptos Display"/>
            </w:rPr>
            <w:t>Rate of recovery and equipment and procedures – forms guidance</w:t>
          </w:r>
        </w:sdtContent>
      </w:sdt>
    </w:p>
    <w:p w14:paraId="469ED7C6" w14:textId="77777777" w:rsidR="00510815" w:rsidRPr="008867A1" w:rsidRDefault="00510815" w:rsidP="00B85FEC">
      <w:pPr>
        <w:spacing w:before="240"/>
        <w:rPr>
          <w:szCs w:val="24"/>
        </w:rPr>
      </w:pPr>
      <w:r w:rsidRPr="008867A1">
        <w:rPr>
          <w:szCs w:val="24"/>
        </w:rPr>
        <w:t>This document contains general guidance to assist applicants and titleholders in making valid applications. This relates to titles administration under the:</w:t>
      </w:r>
    </w:p>
    <w:p w14:paraId="56C8B034" w14:textId="4974A3B0" w:rsidR="00510815" w:rsidRPr="008867A1" w:rsidRDefault="00510815" w:rsidP="005E1794">
      <w:pPr>
        <w:pStyle w:val="ListParagraph"/>
        <w:numPr>
          <w:ilvl w:val="0"/>
          <w:numId w:val="4"/>
        </w:numPr>
        <w:spacing w:before="240"/>
        <w:rPr>
          <w:szCs w:val="24"/>
        </w:rPr>
      </w:pPr>
      <w:r w:rsidRPr="002E7696">
        <w:rPr>
          <w:i/>
          <w:iCs w:val="0"/>
          <w:szCs w:val="24"/>
        </w:rPr>
        <w:t>Offshore Petroleum and Greenhouse Gas Storage Act 2006</w:t>
      </w:r>
      <w:r w:rsidRPr="008867A1">
        <w:rPr>
          <w:szCs w:val="24"/>
        </w:rPr>
        <w:t xml:space="preserve"> </w:t>
      </w:r>
      <w:r w:rsidRPr="00F8108A">
        <w:rPr>
          <w:rFonts w:cstheme="minorHAnsi"/>
          <w:szCs w:val="24"/>
        </w:rPr>
        <w:t>(</w:t>
      </w:r>
      <w:r w:rsidRPr="00F8108A">
        <w:rPr>
          <w:szCs w:val="24"/>
        </w:rPr>
        <w:t xml:space="preserve">the </w:t>
      </w:r>
      <w:r w:rsidRPr="002A3166">
        <w:rPr>
          <w:rStyle w:val="Strong"/>
        </w:rPr>
        <w:t>OPGGS Act</w:t>
      </w:r>
      <w:proofErr w:type="gramStart"/>
      <w:r w:rsidRPr="008867A1">
        <w:rPr>
          <w:szCs w:val="24"/>
        </w:rPr>
        <w:t>)</w:t>
      </w:r>
      <w:r w:rsidR="00425309">
        <w:rPr>
          <w:szCs w:val="24"/>
        </w:rPr>
        <w:t>;</w:t>
      </w:r>
      <w:proofErr w:type="gramEnd"/>
    </w:p>
    <w:p w14:paraId="389A4AB7" w14:textId="7640AFF8" w:rsidR="009208EB" w:rsidRPr="009208EB" w:rsidRDefault="009208EB" w:rsidP="005E1794">
      <w:pPr>
        <w:pStyle w:val="ListParagraph"/>
        <w:numPr>
          <w:ilvl w:val="0"/>
          <w:numId w:val="4"/>
        </w:numPr>
        <w:spacing w:before="240"/>
        <w:rPr>
          <w:szCs w:val="24"/>
          <w:lang w:eastAsia="en-AU"/>
        </w:rPr>
      </w:pPr>
      <w:hyperlink r:id="rId13" w:history="1">
        <w:r w:rsidRPr="00334920">
          <w:rPr>
            <w:rStyle w:val="Hyperlink"/>
            <w:rFonts w:ascii="Aptos" w:hAnsi="Aptos" w:cstheme="minorHAnsi"/>
            <w:i/>
            <w:szCs w:val="20"/>
          </w:rPr>
          <w:t>Offshore Petroleum (Royalty) Act 2006</w:t>
        </w:r>
      </w:hyperlink>
      <w:r>
        <w:rPr>
          <w:rFonts w:ascii="Aptos" w:hAnsi="Aptos" w:cstheme="minorHAnsi"/>
          <w:i/>
          <w:szCs w:val="20"/>
        </w:rPr>
        <w:t xml:space="preserve"> </w:t>
      </w:r>
      <w:r w:rsidRPr="001E151C">
        <w:rPr>
          <w:rFonts w:ascii="Aptos" w:hAnsi="Aptos" w:cstheme="minorHAnsi"/>
          <w:szCs w:val="20"/>
        </w:rPr>
        <w:t xml:space="preserve">(the </w:t>
      </w:r>
      <w:r w:rsidRPr="001E151C">
        <w:rPr>
          <w:rStyle w:val="Strong"/>
        </w:rPr>
        <w:t>Royalty Act</w:t>
      </w:r>
      <w:r w:rsidRPr="001E151C">
        <w:rPr>
          <w:rFonts w:ascii="Aptos" w:hAnsi="Aptos" w:cstheme="minorHAnsi"/>
          <w:szCs w:val="20"/>
        </w:rPr>
        <w:t>)</w:t>
      </w:r>
      <w:r w:rsidR="00425309">
        <w:rPr>
          <w:rFonts w:ascii="Aptos" w:hAnsi="Aptos" w:cstheme="minorHAnsi"/>
          <w:szCs w:val="20"/>
        </w:rPr>
        <w:t>; and</w:t>
      </w:r>
    </w:p>
    <w:p w14:paraId="6C1C9C98" w14:textId="00E6FD91" w:rsidR="00510815" w:rsidRDefault="00510815" w:rsidP="005E1794">
      <w:pPr>
        <w:pStyle w:val="ListParagraph"/>
        <w:numPr>
          <w:ilvl w:val="0"/>
          <w:numId w:val="4"/>
        </w:numPr>
        <w:spacing w:before="240"/>
        <w:rPr>
          <w:szCs w:val="24"/>
          <w:lang w:eastAsia="en-AU"/>
        </w:rPr>
      </w:pPr>
      <w:r w:rsidRPr="00D2446B">
        <w:rPr>
          <w:i/>
          <w:iCs w:val="0"/>
          <w:szCs w:val="24"/>
        </w:rPr>
        <w:t>Offshore Petroleum and Greenhouse Gas Storage (Resource Management and Administration) Regulations 20</w:t>
      </w:r>
      <w:r w:rsidR="005A64FB" w:rsidRPr="00D2446B">
        <w:rPr>
          <w:i/>
          <w:iCs w:val="0"/>
          <w:szCs w:val="24"/>
        </w:rPr>
        <w:t>25</w:t>
      </w:r>
      <w:r w:rsidRPr="002E7696">
        <w:rPr>
          <w:i/>
          <w:iCs w:val="0"/>
          <w:szCs w:val="24"/>
        </w:rPr>
        <w:t xml:space="preserve"> </w:t>
      </w:r>
      <w:r w:rsidRPr="008867A1">
        <w:rPr>
          <w:szCs w:val="24"/>
        </w:rPr>
        <w:t xml:space="preserve">(the </w:t>
      </w:r>
      <w:r w:rsidRPr="002A3166">
        <w:rPr>
          <w:rStyle w:val="Strong"/>
        </w:rPr>
        <w:t>RMA Regulations</w:t>
      </w:r>
      <w:r w:rsidRPr="008867A1">
        <w:rPr>
          <w:szCs w:val="24"/>
        </w:rPr>
        <w:t xml:space="preserve">). </w:t>
      </w:r>
    </w:p>
    <w:p w14:paraId="20B06E07" w14:textId="77777777" w:rsidR="00510815" w:rsidRPr="000D0C1B" w:rsidRDefault="00510815" w:rsidP="005E1794">
      <w:pPr>
        <w:spacing w:before="240"/>
        <w:rPr>
          <w:rFonts w:ascii="Aptos" w:hAnsi="Aptos" w:cstheme="minorHAnsi"/>
        </w:rPr>
      </w:pPr>
      <w:bookmarkStart w:id="5" w:name="_Hlk197680999"/>
      <w:r w:rsidRPr="000D0C1B">
        <w:rPr>
          <w:rFonts w:ascii="Aptos" w:hAnsi="Aptos" w:cstheme="minorHAnsi"/>
        </w:rPr>
        <w:t xml:space="preserve">This document has been developed as a general guide only. It is subject to and does not replace or amend the requirements of the OPGGS Act and associated regulations, which should be read in conjunction with this guidance. </w:t>
      </w:r>
    </w:p>
    <w:p w14:paraId="2B79D14B" w14:textId="77777777" w:rsidR="00510815" w:rsidRPr="000D0C1B" w:rsidRDefault="00510815" w:rsidP="005E1794">
      <w:pPr>
        <w:spacing w:before="240"/>
        <w:rPr>
          <w:rFonts w:ascii="Aptos" w:hAnsi="Aptos" w:cstheme="minorHAnsi"/>
        </w:rPr>
      </w:pPr>
      <w:r w:rsidRPr="000D0C1B">
        <w:rPr>
          <w:rFonts w:ascii="Aptos" w:hAnsi="Aptos" w:cstheme="minorHAnsi"/>
        </w:rPr>
        <w:t>Before relying on this material, use</w:t>
      </w:r>
      <w:r w:rsidRPr="000A7777">
        <w:rPr>
          <w:rFonts w:ascii="Aptos" w:hAnsi="Aptos" w:cstheme="minorHAnsi"/>
        </w:rPr>
        <w:t>rs should caref</w:t>
      </w:r>
      <w:r w:rsidRPr="000D0C1B">
        <w:rPr>
          <w:rFonts w:ascii="Aptos" w:hAnsi="Aptos" w:cstheme="minorHAnsi"/>
        </w:rPr>
        <w:t xml:space="preserve">ully evaluate the accuracy, currency, completeness and relevance of the information, and obtain independent legal or other professional advice relevant to their </w:t>
      </w:r>
      <w:proofErr w:type="gramStart"/>
      <w:r w:rsidRPr="000D0C1B">
        <w:rPr>
          <w:rFonts w:ascii="Aptos" w:hAnsi="Aptos" w:cstheme="minorHAnsi"/>
        </w:rPr>
        <w:t>particular circumstances</w:t>
      </w:r>
      <w:proofErr w:type="gramEnd"/>
      <w:r w:rsidRPr="000D0C1B">
        <w:rPr>
          <w:rFonts w:ascii="Aptos" w:hAnsi="Aptos" w:cstheme="minorHAnsi"/>
        </w:rPr>
        <w:t>. This document will be reviewed and updated as required.</w:t>
      </w:r>
    </w:p>
    <w:p w14:paraId="7B5F0069" w14:textId="77777777" w:rsidR="00510815" w:rsidRPr="008867A1" w:rsidRDefault="00510815" w:rsidP="00B85FEC">
      <w:pPr>
        <w:pStyle w:val="Heading2"/>
        <w:spacing w:before="240"/>
        <w:rPr>
          <w:szCs w:val="36"/>
        </w:rPr>
      </w:pPr>
      <w:bookmarkStart w:id="6" w:name="_Revisions"/>
      <w:bookmarkEnd w:id="5"/>
      <w:bookmarkEnd w:id="6"/>
      <w:r w:rsidRPr="008867A1">
        <w:rPr>
          <w:szCs w:val="36"/>
        </w:rPr>
        <w:t>Revisions</w:t>
      </w:r>
    </w:p>
    <w:p w14:paraId="1BA661A0" w14:textId="1B689BEE" w:rsidR="00856B3D" w:rsidRDefault="00856B3D" w:rsidP="00856B3D">
      <w:pPr>
        <w:pStyle w:val="Caption"/>
        <w:keepNext/>
      </w:pPr>
      <w:r>
        <w:t xml:space="preserve">Table </w:t>
      </w:r>
      <w:r>
        <w:fldChar w:fldCharType="begin"/>
      </w:r>
      <w:r>
        <w:instrText xml:space="preserve"> SEQ Table \* ARABIC </w:instrText>
      </w:r>
      <w:r>
        <w:fldChar w:fldCharType="separate"/>
      </w:r>
      <w:r>
        <w:rPr>
          <w:noProof/>
        </w:rPr>
        <w:t>1</w:t>
      </w:r>
      <w:r>
        <w:fldChar w:fldCharType="end"/>
      </w:r>
      <w:r w:rsidRPr="00EE0A70">
        <w:t>: Guidance revision dates</w:t>
      </w:r>
    </w:p>
    <w:tbl>
      <w:tblPr>
        <w:tblW w:w="9639" w:type="dxa"/>
        <w:tblInd w:w="-10" w:type="dxa"/>
        <w:tblLayout w:type="fixed"/>
        <w:tblCellMar>
          <w:left w:w="0" w:type="dxa"/>
          <w:right w:w="0" w:type="dxa"/>
        </w:tblCellMar>
        <w:tblLook w:val="0000" w:firstRow="0" w:lastRow="0" w:firstColumn="0" w:lastColumn="0" w:noHBand="0" w:noVBand="0"/>
        <w:tblCaption w:val="Guidance revision dates"/>
        <w:tblDescription w:val="Table detailing the effective date, version number and purpose of each revision.&#10;"/>
      </w:tblPr>
      <w:tblGrid>
        <w:gridCol w:w="1560"/>
        <w:gridCol w:w="992"/>
        <w:gridCol w:w="5386"/>
        <w:gridCol w:w="1701"/>
      </w:tblGrid>
      <w:tr w:rsidR="00393B33" w:rsidRPr="00FD3F42" w14:paraId="51CAFE92" w14:textId="77777777" w:rsidTr="00393B33">
        <w:trPr>
          <w:trHeight w:val="253"/>
        </w:trPr>
        <w:tc>
          <w:tcPr>
            <w:tcW w:w="1560" w:type="dxa"/>
            <w:tcBorders>
              <w:top w:val="single" w:sz="8" w:space="0" w:color="333333"/>
              <w:left w:val="single" w:sz="8" w:space="0" w:color="333333"/>
              <w:bottom w:val="single" w:sz="8" w:space="0" w:color="333333"/>
              <w:right w:val="single" w:sz="8" w:space="0" w:color="333333"/>
            </w:tcBorders>
          </w:tcPr>
          <w:p w14:paraId="32EB4E2B" w14:textId="77777777" w:rsidR="00393B33" w:rsidRPr="00393B33" w:rsidRDefault="00393B33">
            <w:pPr>
              <w:kinsoku w:val="0"/>
              <w:overflowPunct w:val="0"/>
              <w:autoSpaceDE w:val="0"/>
              <w:autoSpaceDN w:val="0"/>
              <w:adjustRightInd w:val="0"/>
              <w:spacing w:before="60" w:after="60"/>
              <w:ind w:left="57" w:right="57"/>
              <w:rPr>
                <w:rFonts w:ascii="Aptos" w:hAnsi="Aptos" w:cstheme="minorHAnsi"/>
                <w:b/>
                <w:bCs/>
                <w:sz w:val="22"/>
              </w:rPr>
            </w:pPr>
            <w:r w:rsidRPr="00393B33">
              <w:rPr>
                <w:rFonts w:ascii="Aptos" w:hAnsi="Aptos" w:cstheme="minorHAnsi"/>
                <w:b/>
                <w:bCs/>
                <w:sz w:val="22"/>
              </w:rPr>
              <w:t>Effective date</w:t>
            </w:r>
          </w:p>
        </w:tc>
        <w:tc>
          <w:tcPr>
            <w:tcW w:w="992" w:type="dxa"/>
            <w:tcBorders>
              <w:top w:val="single" w:sz="8" w:space="0" w:color="333333"/>
              <w:left w:val="single" w:sz="8" w:space="0" w:color="333333"/>
              <w:bottom w:val="single" w:sz="8" w:space="0" w:color="333333"/>
              <w:right w:val="single" w:sz="8" w:space="0" w:color="333333"/>
            </w:tcBorders>
          </w:tcPr>
          <w:p w14:paraId="08228837" w14:textId="77777777" w:rsidR="00393B33" w:rsidRPr="00393B33" w:rsidRDefault="00393B33">
            <w:pPr>
              <w:kinsoku w:val="0"/>
              <w:overflowPunct w:val="0"/>
              <w:autoSpaceDE w:val="0"/>
              <w:autoSpaceDN w:val="0"/>
              <w:adjustRightInd w:val="0"/>
              <w:spacing w:before="60" w:after="60"/>
              <w:ind w:left="57" w:right="57"/>
              <w:jc w:val="center"/>
              <w:rPr>
                <w:rFonts w:ascii="Aptos" w:hAnsi="Aptos" w:cstheme="minorHAnsi"/>
                <w:b/>
                <w:bCs/>
                <w:sz w:val="22"/>
              </w:rPr>
            </w:pPr>
            <w:r w:rsidRPr="00393B33">
              <w:rPr>
                <w:rFonts w:ascii="Aptos" w:hAnsi="Aptos" w:cstheme="minorHAnsi"/>
                <w:b/>
                <w:bCs/>
                <w:sz w:val="22"/>
              </w:rPr>
              <w:t>Version</w:t>
            </w:r>
          </w:p>
        </w:tc>
        <w:tc>
          <w:tcPr>
            <w:tcW w:w="5386" w:type="dxa"/>
            <w:tcBorders>
              <w:top w:val="single" w:sz="8" w:space="0" w:color="333333"/>
              <w:left w:val="single" w:sz="8" w:space="0" w:color="333333"/>
              <w:bottom w:val="single" w:sz="8" w:space="0" w:color="333333"/>
              <w:right w:val="single" w:sz="8" w:space="0" w:color="333333"/>
            </w:tcBorders>
          </w:tcPr>
          <w:p w14:paraId="2FD04920" w14:textId="77777777" w:rsidR="00393B33" w:rsidRPr="00393B33" w:rsidRDefault="00393B33">
            <w:pPr>
              <w:kinsoku w:val="0"/>
              <w:overflowPunct w:val="0"/>
              <w:autoSpaceDE w:val="0"/>
              <w:autoSpaceDN w:val="0"/>
              <w:adjustRightInd w:val="0"/>
              <w:spacing w:before="60" w:after="60"/>
              <w:ind w:left="57" w:right="57"/>
              <w:rPr>
                <w:rFonts w:ascii="Aptos" w:hAnsi="Aptos" w:cstheme="minorHAnsi"/>
                <w:b/>
                <w:bCs/>
                <w:sz w:val="22"/>
              </w:rPr>
            </w:pPr>
            <w:r w:rsidRPr="00393B33">
              <w:rPr>
                <w:rFonts w:ascii="Aptos" w:hAnsi="Aptos" w:cstheme="minorHAnsi"/>
                <w:b/>
                <w:bCs/>
                <w:sz w:val="22"/>
              </w:rPr>
              <w:t>Purpose</w:t>
            </w:r>
          </w:p>
        </w:tc>
        <w:tc>
          <w:tcPr>
            <w:tcW w:w="1701" w:type="dxa"/>
            <w:tcBorders>
              <w:top w:val="single" w:sz="8" w:space="0" w:color="333333"/>
              <w:left w:val="single" w:sz="8" w:space="0" w:color="333333"/>
              <w:bottom w:val="single" w:sz="8" w:space="0" w:color="333333"/>
              <w:right w:val="single" w:sz="8" w:space="0" w:color="333333"/>
            </w:tcBorders>
          </w:tcPr>
          <w:p w14:paraId="64920B5E" w14:textId="77777777" w:rsidR="00393B33" w:rsidRPr="00393B33" w:rsidRDefault="00393B33">
            <w:pPr>
              <w:kinsoku w:val="0"/>
              <w:overflowPunct w:val="0"/>
              <w:autoSpaceDE w:val="0"/>
              <w:autoSpaceDN w:val="0"/>
              <w:adjustRightInd w:val="0"/>
              <w:spacing w:before="60" w:after="60"/>
              <w:ind w:left="57" w:right="57"/>
              <w:rPr>
                <w:rFonts w:ascii="Aptos" w:hAnsi="Aptos" w:cstheme="minorHAnsi"/>
                <w:b/>
                <w:bCs/>
                <w:sz w:val="22"/>
              </w:rPr>
            </w:pPr>
            <w:r w:rsidRPr="00393B33">
              <w:rPr>
                <w:rFonts w:ascii="Aptos" w:hAnsi="Aptos" w:cstheme="minorHAnsi"/>
                <w:b/>
                <w:bCs/>
                <w:sz w:val="22"/>
              </w:rPr>
              <w:t>Jurisdiction</w:t>
            </w:r>
          </w:p>
        </w:tc>
      </w:tr>
      <w:tr w:rsidR="00393B33" w:rsidRPr="00393B33" w14:paraId="0C0FC7A9" w14:textId="77777777" w:rsidTr="00393B33">
        <w:trPr>
          <w:trHeight w:val="253"/>
        </w:trPr>
        <w:tc>
          <w:tcPr>
            <w:tcW w:w="1560" w:type="dxa"/>
            <w:tcBorders>
              <w:top w:val="single" w:sz="8" w:space="0" w:color="333333"/>
              <w:left w:val="single" w:sz="8" w:space="0" w:color="333333"/>
              <w:bottom w:val="single" w:sz="8" w:space="0" w:color="333333"/>
              <w:right w:val="single" w:sz="8" w:space="0" w:color="333333"/>
            </w:tcBorders>
          </w:tcPr>
          <w:p w14:paraId="739516AE" w14:textId="77777777" w:rsidR="00393B33" w:rsidRPr="00393B33" w:rsidRDefault="00393B33">
            <w:pPr>
              <w:kinsoku w:val="0"/>
              <w:overflowPunct w:val="0"/>
              <w:autoSpaceDE w:val="0"/>
              <w:autoSpaceDN w:val="0"/>
              <w:adjustRightInd w:val="0"/>
              <w:spacing w:before="60" w:after="60"/>
              <w:ind w:left="57" w:right="57"/>
              <w:rPr>
                <w:rFonts w:ascii="Aptos" w:hAnsi="Aptos" w:cstheme="minorHAnsi"/>
                <w:sz w:val="22"/>
              </w:rPr>
            </w:pPr>
            <w:r w:rsidRPr="00393B33">
              <w:rPr>
                <w:rFonts w:ascii="Aptos" w:hAnsi="Aptos" w:cstheme="minorHAnsi"/>
                <w:sz w:val="22"/>
              </w:rPr>
              <w:t>31 March 2016</w:t>
            </w:r>
          </w:p>
        </w:tc>
        <w:tc>
          <w:tcPr>
            <w:tcW w:w="992" w:type="dxa"/>
            <w:tcBorders>
              <w:top w:val="single" w:sz="8" w:space="0" w:color="333333"/>
              <w:left w:val="single" w:sz="8" w:space="0" w:color="333333"/>
              <w:bottom w:val="single" w:sz="8" w:space="0" w:color="333333"/>
              <w:right w:val="single" w:sz="8" w:space="0" w:color="333333"/>
            </w:tcBorders>
          </w:tcPr>
          <w:p w14:paraId="399403C7" w14:textId="77777777" w:rsidR="00393B33" w:rsidRPr="00393B33" w:rsidRDefault="00393B33">
            <w:pPr>
              <w:kinsoku w:val="0"/>
              <w:overflowPunct w:val="0"/>
              <w:autoSpaceDE w:val="0"/>
              <w:autoSpaceDN w:val="0"/>
              <w:adjustRightInd w:val="0"/>
              <w:spacing w:before="60" w:after="60"/>
              <w:ind w:left="57" w:right="57"/>
              <w:jc w:val="center"/>
              <w:rPr>
                <w:rFonts w:ascii="Aptos" w:hAnsi="Aptos" w:cstheme="minorHAnsi"/>
                <w:sz w:val="22"/>
              </w:rPr>
            </w:pPr>
            <w:r w:rsidRPr="00393B33">
              <w:rPr>
                <w:rFonts w:ascii="Aptos" w:hAnsi="Aptos" w:cstheme="minorHAnsi"/>
                <w:sz w:val="22"/>
              </w:rPr>
              <w:t>1</w:t>
            </w:r>
          </w:p>
        </w:tc>
        <w:tc>
          <w:tcPr>
            <w:tcW w:w="5386" w:type="dxa"/>
            <w:tcBorders>
              <w:top w:val="single" w:sz="8" w:space="0" w:color="333333"/>
              <w:left w:val="single" w:sz="8" w:space="0" w:color="333333"/>
              <w:bottom w:val="single" w:sz="8" w:space="0" w:color="333333"/>
              <w:right w:val="single" w:sz="8" w:space="0" w:color="333333"/>
            </w:tcBorders>
          </w:tcPr>
          <w:p w14:paraId="7E61B8CA" w14:textId="43E06FF4" w:rsidR="00393B33" w:rsidRPr="00393B33" w:rsidRDefault="00393B33">
            <w:pPr>
              <w:kinsoku w:val="0"/>
              <w:overflowPunct w:val="0"/>
              <w:autoSpaceDE w:val="0"/>
              <w:autoSpaceDN w:val="0"/>
              <w:adjustRightInd w:val="0"/>
              <w:spacing w:before="60" w:after="60"/>
              <w:ind w:left="57" w:right="57"/>
              <w:rPr>
                <w:rFonts w:ascii="Aptos" w:hAnsi="Aptos" w:cstheme="minorHAnsi"/>
                <w:sz w:val="22"/>
              </w:rPr>
            </w:pPr>
            <w:r w:rsidRPr="00393B33">
              <w:rPr>
                <w:rFonts w:ascii="Aptos" w:hAnsi="Aptos" w:cstheme="minorHAnsi"/>
                <w:sz w:val="22"/>
              </w:rPr>
              <w:t xml:space="preserve">Separate the NOPTA Forms Guidance Petroleum and create new forms guidance specific to </w:t>
            </w:r>
            <w:r w:rsidRPr="00731133">
              <w:rPr>
                <w:rFonts w:ascii="Aptos" w:hAnsi="Aptos" w:cstheme="minorHAnsi"/>
                <w:sz w:val="22"/>
              </w:rPr>
              <w:t>rate of recovery and equipment and procedures applications</w:t>
            </w:r>
            <w:r w:rsidR="00D907BD">
              <w:rPr>
                <w:rFonts w:ascii="Aptos" w:hAnsi="Aptos" w:cstheme="minorHAnsi"/>
                <w:sz w:val="22"/>
                <w:szCs w:val="24"/>
              </w:rPr>
              <w:t xml:space="preserve"> and incorporate changes resulting from the updated RMA Regulations</w:t>
            </w:r>
            <w:r w:rsidRPr="00393B33">
              <w:rPr>
                <w:rFonts w:ascii="Aptos" w:hAnsi="Aptos" w:cstheme="minorHAnsi"/>
                <w:sz w:val="22"/>
              </w:rPr>
              <w:t xml:space="preserve">. </w:t>
            </w:r>
          </w:p>
        </w:tc>
        <w:tc>
          <w:tcPr>
            <w:tcW w:w="1701" w:type="dxa"/>
            <w:tcBorders>
              <w:top w:val="single" w:sz="8" w:space="0" w:color="333333"/>
              <w:left w:val="single" w:sz="8" w:space="0" w:color="333333"/>
              <w:bottom w:val="single" w:sz="8" w:space="0" w:color="333333"/>
              <w:right w:val="single" w:sz="8" w:space="0" w:color="333333"/>
            </w:tcBorders>
          </w:tcPr>
          <w:p w14:paraId="05FB12E0" w14:textId="77777777" w:rsidR="00393B33" w:rsidRPr="00393B33" w:rsidRDefault="00393B33">
            <w:pPr>
              <w:kinsoku w:val="0"/>
              <w:overflowPunct w:val="0"/>
              <w:autoSpaceDE w:val="0"/>
              <w:autoSpaceDN w:val="0"/>
              <w:adjustRightInd w:val="0"/>
              <w:spacing w:before="60" w:after="60"/>
              <w:ind w:left="57" w:right="57"/>
              <w:rPr>
                <w:rFonts w:ascii="Aptos" w:hAnsi="Aptos" w:cstheme="minorHAnsi"/>
                <w:sz w:val="22"/>
              </w:rPr>
            </w:pPr>
            <w:r w:rsidRPr="00393B33">
              <w:rPr>
                <w:rFonts w:ascii="Aptos" w:hAnsi="Aptos" w:cstheme="minorHAnsi"/>
                <w:sz w:val="22"/>
              </w:rPr>
              <w:t>Commonwealth</w:t>
            </w:r>
          </w:p>
        </w:tc>
      </w:tr>
    </w:tbl>
    <w:p w14:paraId="5CA883D1" w14:textId="77777777" w:rsidR="00510815" w:rsidRPr="00F8108A" w:rsidRDefault="00510815" w:rsidP="00510815">
      <w:pPr>
        <w:tabs>
          <w:tab w:val="left" w:pos="1843"/>
          <w:tab w:val="left" w:pos="2977"/>
          <w:tab w:val="left" w:pos="7371"/>
        </w:tabs>
        <w:kinsoku w:val="0"/>
        <w:overflowPunct w:val="0"/>
        <w:autoSpaceDE w:val="0"/>
        <w:autoSpaceDN w:val="0"/>
        <w:adjustRightInd w:val="0"/>
        <w:spacing w:before="0" w:after="0"/>
        <w:ind w:right="57"/>
        <w:rPr>
          <w:rFonts w:cstheme="minorHAnsi"/>
          <w:sz w:val="22"/>
          <w:szCs w:val="24"/>
        </w:rPr>
      </w:pPr>
      <w:r w:rsidRPr="00006AFE">
        <w:rPr>
          <w:rFonts w:cstheme="minorHAnsi"/>
          <w:sz w:val="22"/>
          <w:szCs w:val="24"/>
        </w:rPr>
        <w:tab/>
      </w:r>
    </w:p>
    <w:sdt>
      <w:sdtPr>
        <w:rPr>
          <w:rFonts w:asciiTheme="minorHAnsi" w:eastAsiaTheme="minorEastAsia" w:hAnsiTheme="minorHAnsi" w:cs="Calibri"/>
          <w:smallCaps/>
          <w:color w:val="565751"/>
          <w:kern w:val="2"/>
          <w:sz w:val="24"/>
          <w:szCs w:val="24"/>
          <w14:ligatures w14:val="standardContextual"/>
        </w:rPr>
        <w:id w:val="167382597"/>
        <w:docPartObj>
          <w:docPartGallery w:val="Table of Contents"/>
          <w:docPartUnique/>
        </w:docPartObj>
      </w:sdtPr>
      <w:sdtEndPr>
        <w:rPr>
          <w:rFonts w:cstheme="minorBidi"/>
          <w:smallCaps w:val="0"/>
          <w:color w:val="auto"/>
          <w:kern w:val="0"/>
          <w:sz w:val="22"/>
          <w:szCs w:val="22"/>
          <w14:ligatures w14:val="none"/>
        </w:rPr>
      </w:sdtEndPr>
      <w:sdtContent>
        <w:p w14:paraId="47D5D7AB" w14:textId="77777777" w:rsidR="00510815" w:rsidRPr="00812D6B" w:rsidRDefault="00510815" w:rsidP="00615151">
          <w:pPr>
            <w:pStyle w:val="Heading2"/>
            <w:spacing w:before="0" w:after="0"/>
            <w:rPr>
              <w:szCs w:val="36"/>
            </w:rPr>
          </w:pPr>
          <w:r w:rsidRPr="008867A1">
            <w:rPr>
              <w:szCs w:val="36"/>
            </w:rPr>
            <w:t>Table of contents</w:t>
          </w:r>
        </w:p>
        <w:p w14:paraId="71BFA6CA" w14:textId="51109CF0" w:rsidR="00510815" w:rsidRPr="00A05691" w:rsidRDefault="00015DDF" w:rsidP="00615151">
          <w:pPr>
            <w:pStyle w:val="TOC1"/>
            <w:spacing w:before="0" w:after="0"/>
            <w:rPr>
              <w:szCs w:val="24"/>
            </w:rPr>
          </w:pPr>
          <w:hyperlink w:anchor="_Rate_of_recovery" w:history="1">
            <w:r w:rsidRPr="00A05691">
              <w:rPr>
                <w:rStyle w:val="Hyperlink"/>
                <w:szCs w:val="24"/>
              </w:rPr>
              <w:t>Rate of recovery and equipment and procedures – forms guidance</w:t>
            </w:r>
          </w:hyperlink>
          <w:r w:rsidR="00510815" w:rsidRPr="00A05691">
            <w:rPr>
              <w:szCs w:val="24"/>
            </w:rPr>
            <w:ptab w:relativeTo="margin" w:alignment="right" w:leader="dot"/>
          </w:r>
          <w:r w:rsidR="00510815" w:rsidRPr="00A05691">
            <w:rPr>
              <w:szCs w:val="24"/>
            </w:rPr>
            <w:t>1</w:t>
          </w:r>
        </w:p>
        <w:bookmarkStart w:id="7" w:name="_Hlk197680961"/>
        <w:p w14:paraId="606E9442" w14:textId="30DF572E" w:rsidR="00510815" w:rsidRPr="00A05691" w:rsidRDefault="00510815" w:rsidP="00615151">
          <w:pPr>
            <w:pStyle w:val="TOC1"/>
            <w:tabs>
              <w:tab w:val="clear" w:pos="9016"/>
            </w:tabs>
            <w:spacing w:before="0" w:after="0"/>
            <w:rPr>
              <w:szCs w:val="24"/>
            </w:rPr>
          </w:pPr>
          <w:r w:rsidRPr="00A05691">
            <w:rPr>
              <w:szCs w:val="24"/>
            </w:rPr>
            <w:fldChar w:fldCharType="begin"/>
          </w:r>
          <w:r w:rsidR="008A59B4" w:rsidRPr="00A05691">
            <w:rPr>
              <w:szCs w:val="24"/>
            </w:rPr>
            <w:instrText>HYPERLINK  \l "_Revisions"</w:instrText>
          </w:r>
          <w:r w:rsidRPr="00A05691">
            <w:rPr>
              <w:szCs w:val="24"/>
            </w:rPr>
          </w:r>
          <w:r w:rsidRPr="00A05691">
            <w:rPr>
              <w:szCs w:val="24"/>
            </w:rPr>
            <w:fldChar w:fldCharType="separate"/>
          </w:r>
          <w:r w:rsidRPr="00A05691">
            <w:rPr>
              <w:rStyle w:val="Hyperlink"/>
              <w:szCs w:val="24"/>
            </w:rPr>
            <w:t>Revisions</w:t>
          </w:r>
          <w:r w:rsidRPr="00A05691">
            <w:rPr>
              <w:szCs w:val="24"/>
            </w:rPr>
            <w:fldChar w:fldCharType="end"/>
          </w:r>
          <w:r w:rsidRPr="00A05691">
            <w:rPr>
              <w:szCs w:val="24"/>
            </w:rPr>
            <w:ptab w:relativeTo="margin" w:alignment="right" w:leader="dot"/>
          </w:r>
          <w:r w:rsidRPr="00A05691">
            <w:rPr>
              <w:szCs w:val="24"/>
            </w:rPr>
            <w:t>1</w:t>
          </w:r>
        </w:p>
        <w:p w14:paraId="0D3A9201" w14:textId="02E018BE" w:rsidR="00510815" w:rsidRPr="00A05691" w:rsidRDefault="00510815" w:rsidP="00615151">
          <w:pPr>
            <w:pStyle w:val="TOC1"/>
            <w:tabs>
              <w:tab w:val="clear" w:pos="9016"/>
            </w:tabs>
            <w:spacing w:before="0" w:after="0"/>
            <w:rPr>
              <w:szCs w:val="24"/>
            </w:rPr>
          </w:pPr>
          <w:hyperlink w:anchor="_Accessibility" w:history="1">
            <w:r w:rsidRPr="00A05691">
              <w:rPr>
                <w:rStyle w:val="Hyperlink"/>
                <w:szCs w:val="24"/>
              </w:rPr>
              <w:t>Accessibility</w:t>
            </w:r>
          </w:hyperlink>
          <w:r w:rsidRPr="00A05691">
            <w:rPr>
              <w:szCs w:val="24"/>
            </w:rPr>
            <w:ptab w:relativeTo="margin" w:alignment="right" w:leader="dot"/>
          </w:r>
          <w:r w:rsidR="00965698" w:rsidRPr="00A05691">
            <w:rPr>
              <w:szCs w:val="24"/>
            </w:rPr>
            <w:t>1</w:t>
          </w:r>
        </w:p>
        <w:bookmarkEnd w:id="7"/>
        <w:p w14:paraId="08E61557" w14:textId="7257A159" w:rsidR="00615151" w:rsidRPr="00A05691" w:rsidRDefault="00073921" w:rsidP="00615151">
          <w:pPr>
            <w:spacing w:before="0" w:after="0"/>
            <w:rPr>
              <w:szCs w:val="24"/>
            </w:rPr>
          </w:pPr>
          <w:r w:rsidRPr="00A05691">
            <w:rPr>
              <w:szCs w:val="24"/>
            </w:rPr>
            <w:fldChar w:fldCharType="begin"/>
          </w:r>
          <w:r w:rsidR="00015DDF" w:rsidRPr="00A05691">
            <w:rPr>
              <w:szCs w:val="24"/>
            </w:rPr>
            <w:instrText>HYPERLINK  \l "_Petroleum_production_licence_1"</w:instrText>
          </w:r>
          <w:r w:rsidRPr="00A05691">
            <w:rPr>
              <w:szCs w:val="24"/>
            </w:rPr>
          </w:r>
          <w:r w:rsidRPr="00A05691">
            <w:rPr>
              <w:szCs w:val="24"/>
            </w:rPr>
            <w:fldChar w:fldCharType="separate"/>
          </w:r>
          <w:r w:rsidRPr="00A05691">
            <w:rPr>
              <w:rStyle w:val="Hyperlink"/>
              <w:szCs w:val="24"/>
            </w:rPr>
            <w:t>Approval of rate of recovery</w:t>
          </w:r>
          <w:r w:rsidRPr="00A05691">
            <w:rPr>
              <w:szCs w:val="24"/>
            </w:rPr>
            <w:fldChar w:fldCharType="end"/>
          </w:r>
          <w:r w:rsidR="00615151" w:rsidRPr="00A05691">
            <w:rPr>
              <w:szCs w:val="24"/>
            </w:rPr>
            <w:ptab w:relativeTo="margin" w:alignment="right" w:leader="dot"/>
          </w:r>
          <w:r w:rsidR="00924693" w:rsidRPr="00A05691">
            <w:rPr>
              <w:szCs w:val="24"/>
            </w:rPr>
            <w:t>2</w:t>
          </w:r>
        </w:p>
        <w:p w14:paraId="571AA704" w14:textId="18BACFCE" w:rsidR="00510815" w:rsidRPr="00615151" w:rsidRDefault="00B37598" w:rsidP="00015DDF">
          <w:pPr>
            <w:spacing w:before="0" w:after="0"/>
            <w:rPr>
              <w:rFonts w:ascii="Aptos Narrow" w:hAnsi="Aptos Narrow"/>
              <w:sz w:val="22"/>
            </w:rPr>
          </w:pPr>
          <w:hyperlink w:anchor="_Approval_of_equipment" w:history="1">
            <w:r w:rsidRPr="00A05691">
              <w:rPr>
                <w:rStyle w:val="Hyperlink"/>
                <w:szCs w:val="24"/>
              </w:rPr>
              <w:t xml:space="preserve">Approval of equipment and procedures </w:t>
            </w:r>
          </w:hyperlink>
          <w:r w:rsidRPr="00A05691">
            <w:rPr>
              <w:szCs w:val="24"/>
            </w:rPr>
            <w:ptab w:relativeTo="margin" w:alignment="right" w:leader="dot"/>
          </w:r>
          <w:r w:rsidR="00924693" w:rsidRPr="00A05691">
            <w:rPr>
              <w:szCs w:val="24"/>
            </w:rPr>
            <w:t>4</w:t>
          </w:r>
        </w:p>
      </w:sdtContent>
    </w:sdt>
    <w:p w14:paraId="34863A04" w14:textId="77777777" w:rsidR="00510815" w:rsidRDefault="00510815" w:rsidP="00B85FEC">
      <w:pPr>
        <w:pStyle w:val="Heading2"/>
        <w:spacing w:before="240"/>
      </w:pPr>
      <w:bookmarkStart w:id="8" w:name="_Accessibility"/>
      <w:bookmarkEnd w:id="8"/>
      <w:r>
        <w:rPr>
          <w:lang w:eastAsia="en-AU"/>
        </w:rPr>
        <w:t>A</w:t>
      </w:r>
      <w:r>
        <w:t>ccessibility</w:t>
      </w:r>
    </w:p>
    <w:p w14:paraId="1C6C8512" w14:textId="77777777" w:rsidR="00510815" w:rsidRPr="008867A1" w:rsidRDefault="00510815" w:rsidP="005E1794">
      <w:pPr>
        <w:spacing w:before="240"/>
        <w:rPr>
          <w:szCs w:val="28"/>
        </w:rPr>
      </w:pPr>
      <w:r w:rsidRPr="008867A1">
        <w:rPr>
          <w:szCs w:val="28"/>
        </w:rPr>
        <w:t xml:space="preserve">If you are having difficulty using this document, please email </w:t>
      </w:r>
      <w:hyperlink r:id="rId14" w:history="1">
        <w:r w:rsidRPr="008867A1">
          <w:rPr>
            <w:rStyle w:val="Hyperlink"/>
            <w:szCs w:val="28"/>
          </w:rPr>
          <w:t>titles@nopta.gov.au</w:t>
        </w:r>
      </w:hyperlink>
      <w:r w:rsidRPr="008867A1">
        <w:rPr>
          <w:szCs w:val="28"/>
        </w:rPr>
        <w:t>.</w:t>
      </w:r>
    </w:p>
    <w:p w14:paraId="384C1D68" w14:textId="77777777" w:rsidR="00015DDF" w:rsidRDefault="00015DDF" w:rsidP="005E1794">
      <w:pPr>
        <w:spacing w:before="240" w:line="259" w:lineRule="auto"/>
        <w:rPr>
          <w:rFonts w:ascii="Aptos Display" w:eastAsiaTheme="majorEastAsia" w:hAnsi="Aptos Display" w:cstheme="majorBidi"/>
          <w:color w:val="15659B" w:themeColor="accent4"/>
          <w:sz w:val="36"/>
          <w:szCs w:val="48"/>
        </w:rPr>
      </w:pPr>
      <w:bookmarkStart w:id="9" w:name="_Petroleum_production_licence_1"/>
      <w:bookmarkStart w:id="10" w:name="_Approval_of_rate"/>
      <w:bookmarkEnd w:id="9"/>
      <w:bookmarkEnd w:id="10"/>
      <w:r>
        <w:br w:type="page"/>
      </w:r>
    </w:p>
    <w:p w14:paraId="3923798F" w14:textId="51C2C6A9" w:rsidR="00F6066C" w:rsidRPr="001A3E32" w:rsidRDefault="006F4DDE" w:rsidP="005E1794">
      <w:pPr>
        <w:pStyle w:val="Heading2"/>
        <w:spacing w:before="240"/>
      </w:pPr>
      <w:r w:rsidRPr="006F4DDE">
        <w:lastRenderedPageBreak/>
        <w:t>Approval of rate of recovery</w:t>
      </w:r>
      <w:r w:rsidR="00F6066C">
        <w:t xml:space="preserve"> </w:t>
      </w:r>
    </w:p>
    <w:p w14:paraId="20FB3A2B" w14:textId="61F6C93C" w:rsidR="00F6066C" w:rsidRPr="00873BA9" w:rsidRDefault="00F6066C" w:rsidP="005E1794">
      <w:pPr>
        <w:spacing w:before="240"/>
        <w:rPr>
          <w:lang w:eastAsia="en-AU"/>
        </w:rPr>
      </w:pPr>
      <w:r w:rsidRPr="00873BA9">
        <w:rPr>
          <w:lang w:eastAsia="en-AU"/>
        </w:rPr>
        <w:t>In making an application under</w:t>
      </w:r>
      <w:r w:rsidR="004E0F9E" w:rsidRPr="00873BA9">
        <w:rPr>
          <w:rFonts w:ascii="Aptos" w:hAnsi="Aptos" w:cstheme="minorHAnsi"/>
        </w:rPr>
        <w:t xml:space="preserve"> </w:t>
      </w:r>
      <w:r w:rsidR="006046D3" w:rsidRPr="00873BA9">
        <w:rPr>
          <w:rFonts w:ascii="Aptos" w:hAnsi="Aptos" w:cstheme="minorHAnsi"/>
        </w:rPr>
        <w:t>section 60</w:t>
      </w:r>
      <w:r w:rsidR="004E0F9E" w:rsidRPr="00873BA9">
        <w:rPr>
          <w:rFonts w:ascii="Aptos" w:hAnsi="Aptos" w:cstheme="minorHAnsi"/>
        </w:rPr>
        <w:t xml:space="preserve"> of the RMA Regulations</w:t>
      </w:r>
      <w:r w:rsidRPr="00873BA9">
        <w:rPr>
          <w:lang w:eastAsia="en-AU"/>
        </w:rPr>
        <w:t>, please refer to following material.</w:t>
      </w:r>
    </w:p>
    <w:p w14:paraId="60F34794" w14:textId="77777777" w:rsidR="00F6066C" w:rsidRPr="00873BA9" w:rsidRDefault="00F6066C" w:rsidP="005E1794">
      <w:pPr>
        <w:pStyle w:val="Heading3"/>
        <w:rPr>
          <w:lang w:eastAsia="en-AU"/>
        </w:rPr>
      </w:pPr>
      <w:r w:rsidRPr="00873BA9">
        <w:rPr>
          <w:lang w:eastAsia="en-AU"/>
        </w:rPr>
        <w:t>Legislation</w:t>
      </w:r>
    </w:p>
    <w:p w14:paraId="700DEF4D" w14:textId="67A3BF56" w:rsidR="00F6066C" w:rsidRPr="00873BA9" w:rsidRDefault="006F4DDE" w:rsidP="005E1794">
      <w:pPr>
        <w:pStyle w:val="ListParagraph"/>
        <w:spacing w:before="240"/>
        <w:rPr>
          <w:lang w:eastAsia="en-AU"/>
        </w:rPr>
      </w:pPr>
      <w:r w:rsidRPr="00873BA9">
        <w:rPr>
          <w:lang w:eastAsia="en-AU"/>
        </w:rPr>
        <w:t>T</w:t>
      </w:r>
      <w:r w:rsidR="00F6066C" w:rsidRPr="00873BA9">
        <w:rPr>
          <w:lang w:eastAsia="en-AU"/>
        </w:rPr>
        <w:t>he OPGGS Act.</w:t>
      </w:r>
    </w:p>
    <w:p w14:paraId="038BF25D" w14:textId="77777777" w:rsidR="009208EB" w:rsidRPr="00873BA9" w:rsidRDefault="009208EB" w:rsidP="009208EB">
      <w:pPr>
        <w:pStyle w:val="ListParagraph"/>
        <w:spacing w:before="240"/>
        <w:rPr>
          <w:lang w:eastAsia="en-AU"/>
        </w:rPr>
      </w:pPr>
      <w:r w:rsidRPr="00873BA9">
        <w:rPr>
          <w:rFonts w:ascii="Aptos" w:hAnsi="Aptos" w:cstheme="minorHAnsi"/>
          <w:szCs w:val="20"/>
        </w:rPr>
        <w:t xml:space="preserve">The </w:t>
      </w:r>
      <w:r w:rsidRPr="00873BA9">
        <w:rPr>
          <w:rStyle w:val="Strong"/>
          <w:b w:val="0"/>
          <w:bCs w:val="0"/>
        </w:rPr>
        <w:t>Royalty Act.</w:t>
      </w:r>
    </w:p>
    <w:p w14:paraId="61A24472" w14:textId="77777777" w:rsidR="00F6066C" w:rsidRPr="00873BA9" w:rsidRDefault="00F6066C" w:rsidP="005E1794">
      <w:pPr>
        <w:pStyle w:val="Heading3"/>
        <w:rPr>
          <w:lang w:eastAsia="en-AU"/>
        </w:rPr>
      </w:pPr>
      <w:r w:rsidRPr="00873BA9">
        <w:rPr>
          <w:lang w:eastAsia="en-AU"/>
        </w:rPr>
        <w:t>Regulations</w:t>
      </w:r>
    </w:p>
    <w:p w14:paraId="625D0DC7" w14:textId="154EC38F" w:rsidR="00C126F2" w:rsidRPr="00873BA9" w:rsidRDefault="00C126F2" w:rsidP="005E1794">
      <w:pPr>
        <w:spacing w:before="240"/>
        <w:rPr>
          <w:lang w:eastAsia="en-AU"/>
        </w:rPr>
      </w:pPr>
      <w:r w:rsidRPr="00873BA9">
        <w:rPr>
          <w:lang w:eastAsia="en-AU"/>
        </w:rPr>
        <w:t>Part 4</w:t>
      </w:r>
      <w:r w:rsidR="005A64FB" w:rsidRPr="00873BA9">
        <w:rPr>
          <w:lang w:eastAsia="en-AU"/>
        </w:rPr>
        <w:t>, division 7</w:t>
      </w:r>
      <w:r w:rsidRPr="00873BA9">
        <w:rPr>
          <w:lang w:eastAsia="en-AU"/>
        </w:rPr>
        <w:t xml:space="preserve"> of the RMA Regulations</w:t>
      </w:r>
      <w:r w:rsidR="009208EB" w:rsidRPr="00873BA9">
        <w:rPr>
          <w:lang w:eastAsia="en-AU"/>
        </w:rPr>
        <w:t>.</w:t>
      </w:r>
      <w:r w:rsidRPr="00873BA9">
        <w:rPr>
          <w:lang w:eastAsia="en-AU"/>
        </w:rPr>
        <w:t xml:space="preserve"> </w:t>
      </w:r>
    </w:p>
    <w:p w14:paraId="1BEB4E29" w14:textId="260D2BFB" w:rsidR="00F6066C" w:rsidRPr="004E3013" w:rsidRDefault="00F6066C" w:rsidP="005E1794">
      <w:pPr>
        <w:pStyle w:val="Heading3"/>
        <w:rPr>
          <w:lang w:eastAsia="en-AU"/>
        </w:rPr>
      </w:pPr>
      <w:r w:rsidRPr="00873BA9">
        <w:t>Guidance material</w:t>
      </w:r>
    </w:p>
    <w:p w14:paraId="054E7F5D" w14:textId="4390E9D1" w:rsidR="00FF45E1" w:rsidRDefault="006F17F5" w:rsidP="005E1794">
      <w:pPr>
        <w:spacing w:before="240"/>
        <w:rPr>
          <w:lang w:eastAsia="en-AU"/>
        </w:rPr>
      </w:pPr>
      <w:bookmarkStart w:id="11" w:name="_Hlk198200523"/>
      <w:r w:rsidRPr="006F17F5">
        <w:rPr>
          <w:lang w:eastAsia="en-AU"/>
        </w:rPr>
        <w:t xml:space="preserve">Guidelines and fact sheets </w:t>
      </w:r>
      <w:r w:rsidR="00FF45E1">
        <w:rPr>
          <w:lang w:eastAsia="en-AU"/>
        </w:rPr>
        <w:t xml:space="preserve">have been developed to </w:t>
      </w:r>
      <w:r w:rsidR="00FF45E1" w:rsidRPr="00CC7E08">
        <w:rPr>
          <w:lang w:eastAsia="en-AU"/>
        </w:rPr>
        <w:t>assists applicants and titleholders to understand the expectations of</w:t>
      </w:r>
      <w:r w:rsidR="00FF45E1">
        <w:rPr>
          <w:lang w:eastAsia="en-AU"/>
        </w:rPr>
        <w:t xml:space="preserve"> decision makers and to provide useful guidance when making applications.</w:t>
      </w:r>
    </w:p>
    <w:p w14:paraId="7B628CA0" w14:textId="186963A4" w:rsidR="00F6066C" w:rsidRPr="004E3013" w:rsidRDefault="00190DCE" w:rsidP="005E1794">
      <w:pPr>
        <w:spacing w:before="240"/>
        <w:rPr>
          <w:lang w:eastAsia="en-AU"/>
        </w:rPr>
      </w:pPr>
      <w:r w:rsidRPr="60C3FF7F">
        <w:rPr>
          <w:lang w:eastAsia="en-AU"/>
        </w:rPr>
        <w:t xml:space="preserve">The following </w:t>
      </w:r>
      <w:hyperlink r:id="rId15">
        <w:r w:rsidRPr="60C3FF7F">
          <w:rPr>
            <w:rStyle w:val="Hyperlink"/>
            <w:lang w:eastAsia="en-AU"/>
          </w:rPr>
          <w:t>fact</w:t>
        </w:r>
        <w:r w:rsidR="003D544D" w:rsidRPr="60C3FF7F">
          <w:rPr>
            <w:rStyle w:val="Hyperlink"/>
            <w:lang w:eastAsia="en-AU"/>
          </w:rPr>
          <w:t xml:space="preserve"> </w:t>
        </w:r>
        <w:r w:rsidRPr="60C3FF7F">
          <w:rPr>
            <w:rStyle w:val="Hyperlink"/>
            <w:lang w:eastAsia="en-AU"/>
          </w:rPr>
          <w:t>sheets</w:t>
        </w:r>
      </w:hyperlink>
      <w:r w:rsidRPr="60C3FF7F">
        <w:rPr>
          <w:lang w:eastAsia="en-AU"/>
        </w:rPr>
        <w:t xml:space="preserve"> are available on our website to assist in making an application</w:t>
      </w:r>
      <w:bookmarkEnd w:id="11"/>
      <w:r w:rsidR="00F6066C" w:rsidRPr="60C3FF7F">
        <w:rPr>
          <w:lang w:eastAsia="en-AU"/>
        </w:rPr>
        <w:t>:</w:t>
      </w:r>
    </w:p>
    <w:p w14:paraId="4515C6D3" w14:textId="441AAA75" w:rsidR="0060254A" w:rsidRPr="00104660" w:rsidRDefault="0060254A" w:rsidP="00973005">
      <w:pPr>
        <w:pStyle w:val="ListParagraph"/>
        <w:ind w:left="714" w:hanging="357"/>
      </w:pPr>
      <w:r w:rsidRPr="00397874">
        <w:rPr>
          <w:rStyle w:val="Strong"/>
          <w:b w:val="0"/>
          <w:bCs w:val="0"/>
        </w:rPr>
        <w:t>Signatures fact sheet</w:t>
      </w:r>
      <w:r w:rsidRPr="00104660">
        <w:t>.</w:t>
      </w:r>
    </w:p>
    <w:p w14:paraId="328FD211" w14:textId="0EA140DD" w:rsidR="003B6078" w:rsidRPr="004E3013" w:rsidRDefault="003B6078" w:rsidP="00973005">
      <w:pPr>
        <w:pStyle w:val="ListParagraph"/>
        <w:spacing w:before="240"/>
        <w:ind w:left="714" w:hanging="357"/>
      </w:pPr>
      <w:r w:rsidRPr="004E3013">
        <w:t>Rate of recovery &amp; equipment &amp; procedures (</w:t>
      </w:r>
      <w:proofErr w:type="spellStart"/>
      <w:r w:rsidRPr="002A3166">
        <w:rPr>
          <w:rStyle w:val="Strong"/>
        </w:rPr>
        <w:t>RoR</w:t>
      </w:r>
      <w:proofErr w:type="spellEnd"/>
      <w:r w:rsidRPr="002A3166">
        <w:rPr>
          <w:rStyle w:val="Strong"/>
        </w:rPr>
        <w:t xml:space="preserve"> </w:t>
      </w:r>
      <w:r w:rsidR="003D544D" w:rsidRPr="002A3166">
        <w:rPr>
          <w:rStyle w:val="Strong"/>
        </w:rPr>
        <w:t>f</w:t>
      </w:r>
      <w:r w:rsidRPr="002A3166">
        <w:rPr>
          <w:rStyle w:val="Strong"/>
        </w:rPr>
        <w:t>act</w:t>
      </w:r>
      <w:r w:rsidR="003D544D" w:rsidRPr="002A3166">
        <w:rPr>
          <w:rStyle w:val="Strong"/>
        </w:rPr>
        <w:t xml:space="preserve"> </w:t>
      </w:r>
      <w:r w:rsidRPr="002A3166">
        <w:rPr>
          <w:rStyle w:val="Strong"/>
        </w:rPr>
        <w:t>sheet</w:t>
      </w:r>
      <w:r w:rsidRPr="004E3013">
        <w:t>)</w:t>
      </w:r>
      <w:r w:rsidR="00D774D3">
        <w:t>.</w:t>
      </w:r>
    </w:p>
    <w:p w14:paraId="4BAF2AD8" w14:textId="77777777" w:rsidR="00F6066C" w:rsidRPr="004E3013" w:rsidRDefault="00F6066C" w:rsidP="005E1794">
      <w:pPr>
        <w:pStyle w:val="Heading3"/>
        <w:rPr>
          <w:lang w:eastAsia="en-AU"/>
        </w:rPr>
      </w:pPr>
      <w:r w:rsidRPr="004E3013">
        <w:rPr>
          <w:lang w:eastAsia="en-AU"/>
        </w:rPr>
        <w:t>Application form</w:t>
      </w:r>
    </w:p>
    <w:p w14:paraId="1A0B88B2" w14:textId="7F607F94" w:rsidR="00F6066C" w:rsidRPr="004E3013" w:rsidRDefault="00F6066C" w:rsidP="005E1794">
      <w:pPr>
        <w:spacing w:before="240"/>
        <w:rPr>
          <w:lang w:eastAsia="en-AU"/>
        </w:rPr>
      </w:pPr>
      <w:r w:rsidRPr="004E3013">
        <w:rPr>
          <w:lang w:eastAsia="en-AU"/>
        </w:rPr>
        <w:t xml:space="preserve">Use the </w:t>
      </w:r>
      <w:hyperlink r:id="rId16" w:history="1">
        <w:r w:rsidR="003D544D">
          <w:rPr>
            <w:rStyle w:val="Hyperlink"/>
            <w:lang w:eastAsia="en-AU"/>
          </w:rPr>
          <w:t>Approval of rate of recovery application form</w:t>
        </w:r>
      </w:hyperlink>
      <w:r w:rsidRPr="004E3013">
        <w:rPr>
          <w:lang w:eastAsia="en-AU"/>
        </w:rPr>
        <w:t xml:space="preserve"> on the forms page of our website.</w:t>
      </w:r>
    </w:p>
    <w:p w14:paraId="4787E18A" w14:textId="77777777" w:rsidR="00F6066C" w:rsidRPr="004E3013" w:rsidRDefault="00F6066C" w:rsidP="005E1794">
      <w:pPr>
        <w:pStyle w:val="Heading3"/>
        <w:rPr>
          <w:lang w:eastAsia="en-AU"/>
        </w:rPr>
      </w:pPr>
      <w:r w:rsidRPr="004E3013">
        <w:rPr>
          <w:lang w:eastAsia="en-AU"/>
        </w:rPr>
        <w:t>Application fee</w:t>
      </w:r>
    </w:p>
    <w:p w14:paraId="42E452E9" w14:textId="38BE6DCC" w:rsidR="00F6066C" w:rsidRPr="004E3013" w:rsidRDefault="00F6066C" w:rsidP="005E1794">
      <w:pPr>
        <w:spacing w:before="240"/>
        <w:rPr>
          <w:lang w:eastAsia="en-AU"/>
        </w:rPr>
      </w:pPr>
      <w:r w:rsidRPr="004E3013">
        <w:rPr>
          <w:lang w:eastAsia="en-AU"/>
        </w:rPr>
        <w:t xml:space="preserve">Yes, under section </w:t>
      </w:r>
      <w:r w:rsidR="003B6078" w:rsidRPr="004E3013">
        <w:rPr>
          <w:lang w:eastAsia="en-AU"/>
        </w:rPr>
        <w:t>695L</w:t>
      </w:r>
      <w:r w:rsidRPr="004E3013">
        <w:rPr>
          <w:lang w:eastAsia="en-AU"/>
        </w:rPr>
        <w:t xml:space="preserve"> of the OPGGS Act - refer to the </w:t>
      </w:r>
      <w:hyperlink r:id="rId17" w:history="1">
        <w:r w:rsidRPr="004E3013">
          <w:rPr>
            <w:rStyle w:val="Hyperlink"/>
            <w:lang w:eastAsia="en-AU"/>
          </w:rPr>
          <w:t>schedule of fees</w:t>
        </w:r>
      </w:hyperlink>
      <w:r w:rsidRPr="004E3013">
        <w:rPr>
          <w:lang w:eastAsia="en-AU"/>
        </w:rPr>
        <w:t xml:space="preserve"> on our website.</w:t>
      </w:r>
    </w:p>
    <w:p w14:paraId="1404316B" w14:textId="77777777" w:rsidR="00ED3895" w:rsidRPr="00873BA9" w:rsidRDefault="00ED3895" w:rsidP="00ED3895">
      <w:pPr>
        <w:pStyle w:val="Heading3"/>
        <w:rPr>
          <w:lang w:eastAsia="en-AU"/>
        </w:rPr>
      </w:pPr>
      <w:r w:rsidRPr="00873BA9">
        <w:rPr>
          <w:lang w:eastAsia="en-AU"/>
        </w:rPr>
        <w:t>To note</w:t>
      </w:r>
    </w:p>
    <w:p w14:paraId="20D2D34D" w14:textId="77777777" w:rsidR="004939C1" w:rsidRPr="00873BA9" w:rsidRDefault="004939C1" w:rsidP="00973005">
      <w:pPr>
        <w:pStyle w:val="ListParagraph"/>
        <w:spacing w:before="100" w:beforeAutospacing="1"/>
        <w:ind w:left="714" w:hanging="357"/>
      </w:pPr>
      <w:r>
        <w:t>Applicants must have an approved equipment and procedures prior to submitting the rate of recovery.</w:t>
      </w:r>
    </w:p>
    <w:p w14:paraId="7FE8975B" w14:textId="6B035E44" w:rsidR="00ED3895" w:rsidRDefault="00ED3895" w:rsidP="00973005">
      <w:pPr>
        <w:pStyle w:val="ListParagraph"/>
        <w:spacing w:before="100" w:beforeAutospacing="1"/>
        <w:ind w:left="714" w:hanging="357"/>
      </w:pPr>
      <w:r w:rsidRPr="00873BA9">
        <w:t>It is advised that the application</w:t>
      </w:r>
      <w:r w:rsidR="001D1834">
        <w:t xml:space="preserve"> for approval of rate of recovery</w:t>
      </w:r>
      <w:r w:rsidRPr="00873BA9">
        <w:t xml:space="preserve"> be submitted a minimum of 12 weeks prior to the earliest possible start-up date including commissioning.</w:t>
      </w:r>
    </w:p>
    <w:p w14:paraId="4C4D7E13" w14:textId="580E1822" w:rsidR="00F6066C" w:rsidRPr="004E3013" w:rsidRDefault="00F6066C" w:rsidP="005E1794">
      <w:pPr>
        <w:pStyle w:val="Heading3"/>
        <w:rPr>
          <w:lang w:eastAsia="en-AU"/>
        </w:rPr>
      </w:pPr>
      <w:r w:rsidRPr="004E3013">
        <w:rPr>
          <w:lang w:eastAsia="en-AU"/>
        </w:rPr>
        <w:t>Other resources</w:t>
      </w:r>
    </w:p>
    <w:p w14:paraId="70D6C165" w14:textId="77777777" w:rsidR="003B6078" w:rsidRPr="009E6066" w:rsidRDefault="003B6078" w:rsidP="005E1794">
      <w:pPr>
        <w:spacing w:before="240"/>
        <w:rPr>
          <w:lang w:eastAsia="en-AU"/>
        </w:rPr>
      </w:pPr>
      <w:r w:rsidRPr="004E3013">
        <w:rPr>
          <w:lang w:eastAsia="en-AU"/>
        </w:rPr>
        <w:t>Not applicable.</w:t>
      </w:r>
    </w:p>
    <w:p w14:paraId="5A98B14A" w14:textId="77777777" w:rsidR="00F6066C" w:rsidRDefault="00F6066C" w:rsidP="00F372C1">
      <w:pPr>
        <w:pStyle w:val="Heading3"/>
      </w:pPr>
      <w:r>
        <w:lastRenderedPageBreak/>
        <w:t>Required information</w:t>
      </w:r>
    </w:p>
    <w:p w14:paraId="2ED65088" w14:textId="77777777" w:rsidR="00F6066C" w:rsidRDefault="00F6066C" w:rsidP="00873BA9">
      <w:pPr>
        <w:keepNext/>
        <w:keepLines/>
        <w:spacing w:before="240"/>
        <w:rPr>
          <w:szCs w:val="24"/>
        </w:rPr>
      </w:pPr>
      <w:r>
        <w:t>You must provide the following for your application to be valid.</w:t>
      </w:r>
      <w:r w:rsidRPr="00846F20">
        <w:rPr>
          <w:szCs w:val="24"/>
        </w:rPr>
        <w:t xml:space="preserve"> </w:t>
      </w:r>
    </w:p>
    <w:p w14:paraId="7EDF14D6" w14:textId="792214A0" w:rsidR="00856B3D" w:rsidRDefault="00856B3D" w:rsidP="00856B3D">
      <w:pPr>
        <w:pStyle w:val="Caption"/>
        <w:keepNext/>
      </w:pPr>
      <w:r>
        <w:t xml:space="preserve">Table </w:t>
      </w:r>
      <w:r>
        <w:fldChar w:fldCharType="begin"/>
      </w:r>
      <w:r>
        <w:instrText xml:space="preserve"> SEQ Table \* ARABIC </w:instrText>
      </w:r>
      <w:r>
        <w:fldChar w:fldCharType="separate"/>
      </w:r>
      <w:r>
        <w:rPr>
          <w:noProof/>
        </w:rPr>
        <w:t>2</w:t>
      </w:r>
      <w:r>
        <w:fldChar w:fldCharType="end"/>
      </w:r>
      <w:r w:rsidRPr="00D2261B">
        <w:t>: Required information for approval of rate of recovery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approval of rate of recovery applications"/>
        <w:tblDescription w:val="Table detailing items that are required to be submitted with approval of rate of recovery applications to meet valid submission requirements."/>
      </w:tblPr>
      <w:tblGrid>
        <w:gridCol w:w="704"/>
        <w:gridCol w:w="8930"/>
      </w:tblGrid>
      <w:tr w:rsidR="00F6066C" w:rsidRPr="00992374" w14:paraId="67E29B1B" w14:textId="77777777" w:rsidTr="45233F20">
        <w:trPr>
          <w:cnfStyle w:val="100000000000" w:firstRow="1" w:lastRow="0" w:firstColumn="0" w:lastColumn="0" w:oddVBand="0" w:evenVBand="0" w:oddHBand="0" w:evenHBand="0" w:firstRowFirstColumn="0" w:firstRowLastColumn="0" w:lastRowFirstColumn="0" w:lastRowLastColumn="0"/>
          <w:tblHeader/>
        </w:trPr>
        <w:tc>
          <w:tcPr>
            <w:tcW w:w="704" w:type="dxa"/>
          </w:tcPr>
          <w:p w14:paraId="6EDC336A" w14:textId="77777777" w:rsidR="00F6066C" w:rsidRPr="00992374" w:rsidRDefault="00F6066C" w:rsidP="00873BA9">
            <w:pPr>
              <w:keepNext/>
              <w:keepLines/>
              <w:spacing w:before="60" w:after="60"/>
              <w:jc w:val="center"/>
              <w:rPr>
                <w:b w:val="0"/>
                <w:bCs/>
              </w:rPr>
            </w:pPr>
            <w:r>
              <w:rPr>
                <w:bCs/>
              </w:rPr>
              <w:t>Item</w:t>
            </w:r>
          </w:p>
        </w:tc>
        <w:tc>
          <w:tcPr>
            <w:tcW w:w="8930" w:type="dxa"/>
          </w:tcPr>
          <w:p w14:paraId="10AD6AB0" w14:textId="77777777" w:rsidR="00F6066C" w:rsidRPr="00992374" w:rsidRDefault="00F6066C" w:rsidP="00873BA9">
            <w:pPr>
              <w:keepNext/>
              <w:keepLines/>
              <w:spacing w:before="60" w:after="60"/>
              <w:rPr>
                <w:b w:val="0"/>
                <w:bCs/>
              </w:rPr>
            </w:pPr>
            <w:r w:rsidRPr="00992374">
              <w:rPr>
                <w:bCs/>
              </w:rPr>
              <w:t>Description</w:t>
            </w:r>
          </w:p>
        </w:tc>
      </w:tr>
      <w:tr w:rsidR="00F6066C" w:rsidRPr="00E721ED" w14:paraId="7B5AC627" w14:textId="77777777" w:rsidTr="45233F20">
        <w:tc>
          <w:tcPr>
            <w:tcW w:w="704" w:type="dxa"/>
          </w:tcPr>
          <w:p w14:paraId="7B654B59" w14:textId="77777777" w:rsidR="00F6066C" w:rsidRPr="00E721ED" w:rsidRDefault="00F6066C" w:rsidP="00873BA9">
            <w:pPr>
              <w:pStyle w:val="ListParagraph"/>
              <w:keepNext/>
              <w:keepLines/>
              <w:numPr>
                <w:ilvl w:val="0"/>
                <w:numId w:val="5"/>
              </w:numPr>
              <w:spacing w:before="60" w:after="60"/>
              <w:ind w:left="587"/>
              <w:jc w:val="center"/>
              <w:rPr>
                <w:szCs w:val="24"/>
              </w:rPr>
            </w:pPr>
          </w:p>
        </w:tc>
        <w:tc>
          <w:tcPr>
            <w:tcW w:w="8930" w:type="dxa"/>
          </w:tcPr>
          <w:p w14:paraId="78088ECA" w14:textId="6DF8D9C0" w:rsidR="00F6066C" w:rsidRPr="00E721ED" w:rsidRDefault="00F6066C" w:rsidP="00873BA9">
            <w:pPr>
              <w:pStyle w:val="NoSpacing"/>
              <w:keepNext/>
              <w:keepLines/>
              <w:spacing w:before="60" w:after="60"/>
              <w:rPr>
                <w:sz w:val="24"/>
                <w:szCs w:val="24"/>
              </w:rPr>
            </w:pPr>
            <w:r w:rsidRPr="00E721ED">
              <w:rPr>
                <w:sz w:val="24"/>
                <w:szCs w:val="24"/>
              </w:rPr>
              <w:t xml:space="preserve">A completed application form executed in accordance with the Signatures </w:t>
            </w:r>
            <w:r w:rsidR="00A00746">
              <w:rPr>
                <w:sz w:val="24"/>
                <w:szCs w:val="24"/>
              </w:rPr>
              <w:t>f</w:t>
            </w:r>
            <w:r w:rsidRPr="00E721ED">
              <w:rPr>
                <w:sz w:val="24"/>
                <w:szCs w:val="24"/>
              </w:rPr>
              <w:t>act</w:t>
            </w:r>
            <w:r w:rsidR="00A00746">
              <w:rPr>
                <w:sz w:val="24"/>
                <w:szCs w:val="24"/>
              </w:rPr>
              <w:t xml:space="preserve"> s</w:t>
            </w:r>
            <w:r w:rsidRPr="00E721ED">
              <w:rPr>
                <w:sz w:val="24"/>
                <w:szCs w:val="24"/>
              </w:rPr>
              <w:t>heet</w:t>
            </w:r>
            <w:r w:rsidRPr="00E721ED">
              <w:rPr>
                <w:rStyle w:val="Hyperlink"/>
                <w:sz w:val="24"/>
                <w:szCs w:val="24"/>
                <w:u w:val="none"/>
              </w:rPr>
              <w:t>.</w:t>
            </w:r>
          </w:p>
        </w:tc>
      </w:tr>
      <w:tr w:rsidR="00E5508C" w:rsidRPr="00E721ED" w14:paraId="6C808326" w14:textId="77777777" w:rsidTr="00873BA9">
        <w:tc>
          <w:tcPr>
            <w:tcW w:w="704" w:type="dxa"/>
          </w:tcPr>
          <w:p w14:paraId="30E9E028" w14:textId="77777777" w:rsidR="00E5508C" w:rsidRPr="00E721ED" w:rsidRDefault="00E5508C" w:rsidP="00F372C1">
            <w:pPr>
              <w:pStyle w:val="ListParagraph"/>
              <w:keepNext/>
              <w:keepLines/>
              <w:numPr>
                <w:ilvl w:val="0"/>
                <w:numId w:val="5"/>
              </w:numPr>
              <w:spacing w:before="60" w:after="60"/>
              <w:ind w:left="587"/>
              <w:jc w:val="center"/>
              <w:rPr>
                <w:szCs w:val="24"/>
              </w:rPr>
            </w:pPr>
          </w:p>
        </w:tc>
        <w:tc>
          <w:tcPr>
            <w:tcW w:w="8930" w:type="dxa"/>
          </w:tcPr>
          <w:p w14:paraId="2BF21DE1" w14:textId="79D70C38" w:rsidR="00E5508C" w:rsidRDefault="00E5508C" w:rsidP="00F372C1">
            <w:pPr>
              <w:keepNext/>
              <w:keepLines/>
              <w:spacing w:before="60" w:after="60"/>
            </w:pPr>
            <w:r w:rsidRPr="45233F20">
              <w:rPr>
                <w:rFonts w:ascii="Aptos" w:hAnsi="Aptos"/>
              </w:rPr>
              <w:t>An application must</w:t>
            </w:r>
            <w:r>
              <w:t xml:space="preserve"> include the information </w:t>
            </w:r>
            <w:r w:rsidR="008B7652">
              <w:t xml:space="preserve">prescribed </w:t>
            </w:r>
            <w:r>
              <w:t xml:space="preserve">in </w:t>
            </w:r>
            <w:r w:rsidR="004F01A4">
              <w:t>paragraphs</w:t>
            </w:r>
            <w:r>
              <w:t> 60(</w:t>
            </w:r>
            <w:r w:rsidR="00A93AFE">
              <w:t>3</w:t>
            </w:r>
            <w:r>
              <w:t>)</w:t>
            </w:r>
            <w:r w:rsidR="004F01A4">
              <w:t>(a</w:t>
            </w:r>
            <w:r w:rsidR="001E2650">
              <w:t>) to (</w:t>
            </w:r>
            <w:r w:rsidR="004F01A4">
              <w:t>d)</w:t>
            </w:r>
            <w:r>
              <w:t xml:space="preserve"> of the RMA regulations</w:t>
            </w:r>
            <w:r w:rsidR="004F01A4">
              <w:t xml:space="preserve"> including:</w:t>
            </w:r>
          </w:p>
          <w:p w14:paraId="49881DAB" w14:textId="77777777" w:rsidR="006976E4" w:rsidRDefault="006976E4" w:rsidP="00F372C1">
            <w:pPr>
              <w:pStyle w:val="ListParagraph"/>
              <w:keepNext/>
              <w:keepLines/>
              <w:numPr>
                <w:ilvl w:val="0"/>
                <w:numId w:val="9"/>
              </w:numPr>
              <w:spacing w:before="60" w:after="60" w:line="259" w:lineRule="auto"/>
              <w:rPr>
                <w:rFonts w:cstheme="minorHAnsi"/>
              </w:rPr>
            </w:pPr>
            <w:r w:rsidRPr="003E6960">
              <w:rPr>
                <w:rFonts w:cstheme="minorHAnsi"/>
              </w:rPr>
              <w:t>The proposed rates</w:t>
            </w:r>
            <w:r>
              <w:rPr>
                <w:rFonts w:cstheme="minorHAnsi"/>
              </w:rPr>
              <w:t>,</w:t>
            </w:r>
            <w:r w:rsidRPr="003E6960">
              <w:rPr>
                <w:rFonts w:cstheme="minorHAnsi"/>
              </w:rPr>
              <w:t xml:space="preserve"> or range</w:t>
            </w:r>
            <w:r w:rsidRPr="007B13B8">
              <w:rPr>
                <w:rFonts w:cstheme="minorHAnsi"/>
              </w:rPr>
              <w:t xml:space="preserve"> of rates</w:t>
            </w:r>
            <w:r>
              <w:rPr>
                <w:rFonts w:cstheme="minorHAnsi"/>
              </w:rPr>
              <w:t>,</w:t>
            </w:r>
            <w:r w:rsidRPr="007B13B8">
              <w:rPr>
                <w:rFonts w:cstheme="minorHAnsi"/>
              </w:rPr>
              <w:t xml:space="preserve"> of recovery of petroleum from</w:t>
            </w:r>
            <w:r>
              <w:rPr>
                <w:rFonts w:cstheme="minorHAnsi"/>
              </w:rPr>
              <w:t>:</w:t>
            </w:r>
          </w:p>
          <w:p w14:paraId="05E70B5B" w14:textId="77777777" w:rsidR="006976E4" w:rsidRDefault="006976E4" w:rsidP="00F372C1">
            <w:pPr>
              <w:pStyle w:val="ListParagraph"/>
              <w:keepNext/>
              <w:keepLines/>
              <w:numPr>
                <w:ilvl w:val="0"/>
                <w:numId w:val="10"/>
              </w:numPr>
              <w:spacing w:before="60" w:after="60" w:line="259" w:lineRule="auto"/>
              <w:rPr>
                <w:rFonts w:cstheme="minorHAnsi"/>
              </w:rPr>
            </w:pPr>
            <w:r>
              <w:rPr>
                <w:rFonts w:cstheme="minorHAnsi"/>
              </w:rPr>
              <w:t>The petroleum pool; and</w:t>
            </w:r>
          </w:p>
          <w:p w14:paraId="0BAB5A8F" w14:textId="77777777" w:rsidR="006976E4" w:rsidRDefault="006976E4" w:rsidP="00F372C1">
            <w:pPr>
              <w:pStyle w:val="ListParagraph"/>
              <w:keepNext/>
              <w:keepLines/>
              <w:numPr>
                <w:ilvl w:val="0"/>
                <w:numId w:val="10"/>
              </w:numPr>
              <w:spacing w:before="60" w:after="60" w:line="259" w:lineRule="auto"/>
              <w:rPr>
                <w:rFonts w:cstheme="minorHAnsi"/>
              </w:rPr>
            </w:pPr>
            <w:r>
              <w:rPr>
                <w:rFonts w:cstheme="minorHAnsi"/>
              </w:rPr>
              <w:t>Each well through which petroleum will be recovered from the petroleum pool; and</w:t>
            </w:r>
          </w:p>
          <w:p w14:paraId="47BDD1C7" w14:textId="77777777" w:rsidR="006976E4" w:rsidRDefault="006976E4" w:rsidP="00F372C1">
            <w:pPr>
              <w:pStyle w:val="ListParagraph"/>
              <w:keepNext/>
              <w:keepLines/>
              <w:numPr>
                <w:ilvl w:val="0"/>
                <w:numId w:val="10"/>
              </w:numPr>
              <w:spacing w:before="60" w:after="60" w:line="259" w:lineRule="auto"/>
              <w:rPr>
                <w:rFonts w:cstheme="minorHAnsi"/>
              </w:rPr>
            </w:pPr>
            <w:r>
              <w:rPr>
                <w:rFonts w:cstheme="minorHAnsi"/>
              </w:rPr>
              <w:t>The field that includes the petroleum pool.</w:t>
            </w:r>
          </w:p>
          <w:p w14:paraId="5825911D" w14:textId="580BABA4" w:rsidR="006976E4" w:rsidRDefault="006976E4" w:rsidP="00F372C1">
            <w:pPr>
              <w:pStyle w:val="ListParagraph"/>
              <w:keepNext/>
              <w:keepLines/>
              <w:numPr>
                <w:ilvl w:val="0"/>
                <w:numId w:val="11"/>
              </w:numPr>
              <w:spacing w:before="60" w:after="60" w:line="259" w:lineRule="auto"/>
              <w:rPr>
                <w:rFonts w:cstheme="minorHAnsi"/>
              </w:rPr>
            </w:pPr>
            <w:r>
              <w:rPr>
                <w:rFonts w:cstheme="minorHAnsi"/>
              </w:rPr>
              <w:t xml:space="preserve">How each of the proposed rates, or range of rates, of recovery are consistent with the accepted </w:t>
            </w:r>
            <w:r w:rsidR="002E5543">
              <w:rPr>
                <w:rFonts w:cstheme="minorHAnsi"/>
              </w:rPr>
              <w:t xml:space="preserve">field development plan </w:t>
            </w:r>
            <w:r>
              <w:rPr>
                <w:rFonts w:cstheme="minorHAnsi"/>
              </w:rPr>
              <w:t xml:space="preserve">for the field that includes the petroleum </w:t>
            </w:r>
            <w:proofErr w:type="gramStart"/>
            <w:r>
              <w:rPr>
                <w:rFonts w:cstheme="minorHAnsi"/>
              </w:rPr>
              <w:t>pool;</w:t>
            </w:r>
            <w:proofErr w:type="gramEnd"/>
          </w:p>
          <w:p w14:paraId="343CECDD" w14:textId="77777777" w:rsidR="006976E4" w:rsidRDefault="006976E4" w:rsidP="00F372C1">
            <w:pPr>
              <w:pStyle w:val="ListParagraph"/>
              <w:keepNext/>
              <w:keepLines/>
              <w:numPr>
                <w:ilvl w:val="0"/>
                <w:numId w:val="11"/>
              </w:numPr>
              <w:spacing w:before="60" w:after="60" w:line="259" w:lineRule="auto"/>
              <w:rPr>
                <w:rFonts w:cstheme="minorHAnsi"/>
              </w:rPr>
            </w:pPr>
            <w:r>
              <w:rPr>
                <w:rFonts w:cstheme="minorHAnsi"/>
              </w:rPr>
              <w:t>The past performance (if any), and a prediction of the future performance, of each production well in the licence area; and</w:t>
            </w:r>
          </w:p>
          <w:p w14:paraId="2057A045" w14:textId="77777777" w:rsidR="006976E4" w:rsidRDefault="006976E4" w:rsidP="00F372C1">
            <w:pPr>
              <w:pStyle w:val="ListParagraph"/>
              <w:keepNext/>
              <w:keepLines/>
              <w:numPr>
                <w:ilvl w:val="0"/>
                <w:numId w:val="11"/>
              </w:numPr>
              <w:spacing w:before="60" w:after="60" w:line="259" w:lineRule="auto"/>
              <w:rPr>
                <w:rFonts w:cstheme="minorHAnsi"/>
              </w:rPr>
            </w:pPr>
            <w:r>
              <w:rPr>
                <w:rFonts w:cstheme="minorHAnsi"/>
              </w:rPr>
              <w:t>An estimate of the volume of petroleum in place and recoverable petroleum, including data supporting the estimates for each of the following:</w:t>
            </w:r>
          </w:p>
          <w:p w14:paraId="5CAC4391" w14:textId="77777777" w:rsidR="006976E4" w:rsidRDefault="006976E4" w:rsidP="00F372C1">
            <w:pPr>
              <w:pStyle w:val="ListParagraph"/>
              <w:keepNext/>
              <w:keepLines/>
              <w:numPr>
                <w:ilvl w:val="0"/>
                <w:numId w:val="12"/>
              </w:numPr>
              <w:spacing w:before="60" w:after="60" w:line="259" w:lineRule="auto"/>
              <w:rPr>
                <w:rFonts w:cstheme="minorHAnsi"/>
              </w:rPr>
            </w:pPr>
            <w:r>
              <w:rPr>
                <w:rFonts w:cstheme="minorHAnsi"/>
              </w:rPr>
              <w:t xml:space="preserve">The petroleum </w:t>
            </w:r>
            <w:proofErr w:type="gramStart"/>
            <w:r>
              <w:rPr>
                <w:rFonts w:cstheme="minorHAnsi"/>
              </w:rPr>
              <w:t>pool;</w:t>
            </w:r>
            <w:proofErr w:type="gramEnd"/>
          </w:p>
          <w:p w14:paraId="57A8FCF9" w14:textId="77777777" w:rsidR="006976E4" w:rsidRDefault="006976E4" w:rsidP="00F372C1">
            <w:pPr>
              <w:pStyle w:val="ListParagraph"/>
              <w:keepNext/>
              <w:keepLines/>
              <w:numPr>
                <w:ilvl w:val="0"/>
                <w:numId w:val="12"/>
              </w:numPr>
              <w:spacing w:before="60" w:after="60" w:line="259" w:lineRule="auto"/>
              <w:rPr>
                <w:rFonts w:cstheme="minorHAnsi"/>
              </w:rPr>
            </w:pPr>
            <w:r>
              <w:rPr>
                <w:rFonts w:cstheme="minorHAnsi"/>
              </w:rPr>
              <w:t>Each well through which petroleum will be recovered from the petroleum pool; and</w:t>
            </w:r>
          </w:p>
          <w:p w14:paraId="17492797" w14:textId="69CAA784" w:rsidR="004F01A4" w:rsidRPr="006976E4" w:rsidRDefault="006976E4" w:rsidP="00F372C1">
            <w:pPr>
              <w:pStyle w:val="ListParagraph"/>
              <w:keepNext/>
              <w:keepLines/>
              <w:numPr>
                <w:ilvl w:val="0"/>
                <w:numId w:val="12"/>
              </w:numPr>
              <w:spacing w:before="60" w:after="60" w:line="259" w:lineRule="auto"/>
              <w:rPr>
                <w:rFonts w:cstheme="minorHAnsi"/>
              </w:rPr>
            </w:pPr>
            <w:r>
              <w:rPr>
                <w:rFonts w:cstheme="minorHAnsi"/>
              </w:rPr>
              <w:t>The field that includes the petroleum pool.</w:t>
            </w:r>
          </w:p>
        </w:tc>
      </w:tr>
      <w:tr w:rsidR="006976E4" w:rsidRPr="00E721ED" w14:paraId="6BF62F6B" w14:textId="77777777" w:rsidTr="00873BA9">
        <w:tc>
          <w:tcPr>
            <w:tcW w:w="704" w:type="dxa"/>
          </w:tcPr>
          <w:p w14:paraId="2368A0A4" w14:textId="77777777" w:rsidR="006976E4" w:rsidRPr="00E721ED" w:rsidRDefault="006976E4" w:rsidP="005E1794">
            <w:pPr>
              <w:pStyle w:val="ListParagraph"/>
              <w:numPr>
                <w:ilvl w:val="0"/>
                <w:numId w:val="5"/>
              </w:numPr>
              <w:spacing w:before="60" w:after="60"/>
              <w:ind w:left="587"/>
              <w:jc w:val="center"/>
              <w:rPr>
                <w:szCs w:val="24"/>
              </w:rPr>
            </w:pPr>
          </w:p>
        </w:tc>
        <w:tc>
          <w:tcPr>
            <w:tcW w:w="8930" w:type="dxa"/>
          </w:tcPr>
          <w:p w14:paraId="440DFF4F" w14:textId="436CFB36" w:rsidR="004E6343" w:rsidRPr="00DF0596" w:rsidRDefault="004E6343" w:rsidP="005E1794">
            <w:pPr>
              <w:spacing w:before="60" w:after="60" w:line="259" w:lineRule="auto"/>
            </w:pPr>
            <w:r w:rsidRPr="00DF0596">
              <w:t>The application must include (</w:t>
            </w:r>
            <w:r w:rsidR="004E2C9C">
              <w:t>paragraph</w:t>
            </w:r>
            <w:r w:rsidR="004E2C9C" w:rsidRPr="00DF0596">
              <w:t xml:space="preserve"> 60(</w:t>
            </w:r>
            <w:r w:rsidR="00A93AFE">
              <w:t>3</w:t>
            </w:r>
            <w:r w:rsidR="004E2C9C" w:rsidRPr="00DF0596">
              <w:t>)(e)</w:t>
            </w:r>
            <w:r w:rsidR="004E2C9C">
              <w:t xml:space="preserve"> of the </w:t>
            </w:r>
            <w:r w:rsidRPr="00DF0596">
              <w:t>RMA Regulation</w:t>
            </w:r>
            <w:r w:rsidR="003006E2">
              <w:t>)</w:t>
            </w:r>
            <w:r w:rsidRPr="00DF0596">
              <w:t>:</w:t>
            </w:r>
          </w:p>
          <w:p w14:paraId="68085C74" w14:textId="1BF0356C" w:rsidR="004E6343" w:rsidRPr="00DF0596" w:rsidRDefault="004E6343" w:rsidP="005E1794">
            <w:pPr>
              <w:pStyle w:val="ListParagraph"/>
              <w:numPr>
                <w:ilvl w:val="0"/>
                <w:numId w:val="13"/>
              </w:numPr>
              <w:spacing w:before="60" w:after="60" w:line="259" w:lineRule="auto"/>
            </w:pPr>
            <w:r w:rsidRPr="00DF0596">
              <w:t xml:space="preserve">Evidence that the equipment and procedures that will be used to determine the quantity and composition of petroleum and water has been approved under section </w:t>
            </w:r>
            <w:r w:rsidR="00E12BBD" w:rsidRPr="00DF0596">
              <w:t xml:space="preserve">66 of the </w:t>
            </w:r>
            <w:r w:rsidRPr="00DF0596">
              <w:t xml:space="preserve">RMA </w:t>
            </w:r>
            <w:proofErr w:type="gramStart"/>
            <w:r w:rsidRPr="00DF0596">
              <w:t>Regulations;</w:t>
            </w:r>
            <w:proofErr w:type="gramEnd"/>
            <w:r w:rsidRPr="00DF0596">
              <w:t xml:space="preserve"> </w:t>
            </w:r>
            <w:r w:rsidRPr="00AA55C3">
              <w:rPr>
                <w:rStyle w:val="Strong"/>
              </w:rPr>
              <w:t>OR</w:t>
            </w:r>
          </w:p>
          <w:p w14:paraId="7FE76AB9" w14:textId="76134F7E" w:rsidR="006976E4" w:rsidRPr="005E1794" w:rsidRDefault="004E6343" w:rsidP="005E1794">
            <w:pPr>
              <w:pStyle w:val="ListParagraph"/>
              <w:numPr>
                <w:ilvl w:val="0"/>
                <w:numId w:val="13"/>
              </w:numPr>
              <w:spacing w:before="60" w:after="60" w:line="259" w:lineRule="auto"/>
              <w:rPr>
                <w:rFonts w:ascii="Aptos" w:hAnsi="Aptos" w:cstheme="minorHAnsi"/>
                <w:szCs w:val="24"/>
              </w:rPr>
            </w:pPr>
            <w:r w:rsidRPr="00DF0596">
              <w:t xml:space="preserve">Evidence that the equipment and procedures that will be used to determine the quantity of petroleum from the pool has been approved under section 13 of the </w:t>
            </w:r>
            <w:r w:rsidRPr="005E1794">
              <w:rPr>
                <w:iCs w:val="0"/>
              </w:rPr>
              <w:t>Royalty Act</w:t>
            </w:r>
            <w:r w:rsidRPr="00DF0596">
              <w:rPr>
                <w:iCs w:val="0"/>
              </w:rPr>
              <w:t xml:space="preserve"> (</w:t>
            </w:r>
            <w:r w:rsidRPr="00DF0596">
              <w:t>subsection 66(1)</w:t>
            </w:r>
            <w:r w:rsidR="00E12BBD" w:rsidRPr="00DF0596">
              <w:t xml:space="preserve"> of the RMA Regulations</w:t>
            </w:r>
            <w:r w:rsidRPr="00DF0596">
              <w:t>).</w:t>
            </w:r>
          </w:p>
        </w:tc>
      </w:tr>
    </w:tbl>
    <w:p w14:paraId="3B7D0CB8" w14:textId="77777777" w:rsidR="00F6066C" w:rsidRDefault="00F6066C" w:rsidP="00F372C1">
      <w:pPr>
        <w:pStyle w:val="Heading3"/>
      </w:pPr>
      <w:r>
        <w:lastRenderedPageBreak/>
        <w:t>Additional information to be included with the application</w:t>
      </w:r>
    </w:p>
    <w:p w14:paraId="475DCF47" w14:textId="77777777" w:rsidR="00F6066C" w:rsidRDefault="00F6066C" w:rsidP="00F372C1">
      <w:pPr>
        <w:keepNext/>
        <w:keepLines/>
        <w:spacing w:before="240"/>
      </w:pPr>
      <w:r>
        <w:t xml:space="preserve">Check that you have included the following information with your application. </w:t>
      </w:r>
    </w:p>
    <w:p w14:paraId="56B7256D" w14:textId="77777777" w:rsidR="001F5E34" w:rsidRPr="001F5E34" w:rsidRDefault="001F5E34" w:rsidP="001F5E34">
      <w:pPr>
        <w:keepNext/>
        <w:keepLines/>
        <w:spacing w:before="240"/>
      </w:pPr>
      <w:r w:rsidRPr="001F5E34">
        <w:t xml:space="preserve">Providing this information with your application may reduce delays in the assessment of your application resulting from the need to request further information. </w:t>
      </w:r>
    </w:p>
    <w:p w14:paraId="0CA1CDA7" w14:textId="1874B3BC" w:rsidR="00856B3D" w:rsidRDefault="00856B3D" w:rsidP="00856B3D">
      <w:pPr>
        <w:pStyle w:val="Caption"/>
        <w:keepNext/>
      </w:pPr>
      <w:r>
        <w:t xml:space="preserve">Table </w:t>
      </w:r>
      <w:r>
        <w:fldChar w:fldCharType="begin"/>
      </w:r>
      <w:r>
        <w:instrText xml:space="preserve"> SEQ Table \* ARABIC </w:instrText>
      </w:r>
      <w:r>
        <w:fldChar w:fldCharType="separate"/>
      </w:r>
      <w:r>
        <w:rPr>
          <w:noProof/>
        </w:rPr>
        <w:t>3</w:t>
      </w:r>
      <w:r>
        <w:fldChar w:fldCharType="end"/>
      </w:r>
      <w:r w:rsidRPr="00FA3881">
        <w:t xml:space="preserve">: </w:t>
      </w:r>
      <w:r w:rsidR="000E4E43" w:rsidRPr="003166D5">
        <w:t xml:space="preserve">Additional information to be included with approval of </w:t>
      </w:r>
      <w:r w:rsidR="000E4E43">
        <w:t>rate of recovery</w:t>
      </w:r>
      <w:r w:rsidR="000E4E43" w:rsidRPr="003166D5">
        <w:t xml:space="preserve"> applications</w:t>
      </w:r>
      <w:r w:rsidR="000E4E43" w:rsidRPr="00FA3881" w:rsidDel="000E4E43">
        <w:t xml:space="preserve"> </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approval of rate of recovery applications"/>
        <w:tblDescription w:val="Table detailing additional information that NOPTA requires to facilitate timely assessment of approval of rate of recovery applications.&#10;"/>
      </w:tblPr>
      <w:tblGrid>
        <w:gridCol w:w="704"/>
        <w:gridCol w:w="8930"/>
      </w:tblGrid>
      <w:tr w:rsidR="00F6066C" w:rsidRPr="00DA1A01" w14:paraId="3C5076E9" w14:textId="77777777" w:rsidTr="1CDE4693">
        <w:trPr>
          <w:cnfStyle w:val="100000000000" w:firstRow="1" w:lastRow="0" w:firstColumn="0" w:lastColumn="0" w:oddVBand="0" w:evenVBand="0" w:oddHBand="0" w:evenHBand="0" w:firstRowFirstColumn="0" w:firstRowLastColumn="0" w:lastRowFirstColumn="0" w:lastRowLastColumn="0"/>
          <w:tblHeader/>
        </w:trPr>
        <w:tc>
          <w:tcPr>
            <w:tcW w:w="704" w:type="dxa"/>
          </w:tcPr>
          <w:p w14:paraId="2965B7A8" w14:textId="77777777" w:rsidR="00F6066C" w:rsidRPr="00DA1A01" w:rsidRDefault="00F6066C" w:rsidP="00F372C1">
            <w:pPr>
              <w:keepNext/>
              <w:keepLines/>
              <w:spacing w:before="60" w:after="60"/>
              <w:jc w:val="center"/>
              <w:rPr>
                <w:b w:val="0"/>
                <w:bCs/>
                <w:szCs w:val="24"/>
              </w:rPr>
            </w:pPr>
            <w:r>
              <w:rPr>
                <w:bCs/>
                <w:szCs w:val="24"/>
              </w:rPr>
              <w:t>Item</w:t>
            </w:r>
          </w:p>
        </w:tc>
        <w:tc>
          <w:tcPr>
            <w:tcW w:w="8930" w:type="dxa"/>
          </w:tcPr>
          <w:p w14:paraId="3E4370F0" w14:textId="77777777" w:rsidR="00F6066C" w:rsidRPr="006175B8" w:rsidRDefault="00F6066C" w:rsidP="00F372C1">
            <w:pPr>
              <w:keepNext/>
              <w:keepLines/>
              <w:spacing w:before="60" w:after="60"/>
              <w:rPr>
                <w:b w:val="0"/>
                <w:bCs/>
                <w:color w:val="000000" w:themeColor="text1"/>
                <w:szCs w:val="24"/>
              </w:rPr>
            </w:pPr>
            <w:r w:rsidRPr="006175B8">
              <w:rPr>
                <w:bCs/>
                <w:color w:val="000000" w:themeColor="text1"/>
                <w:szCs w:val="24"/>
              </w:rPr>
              <w:t>Description</w:t>
            </w:r>
          </w:p>
        </w:tc>
      </w:tr>
      <w:tr w:rsidR="006175B8" w:rsidRPr="00DA1A01" w14:paraId="5813ED83" w14:textId="77777777" w:rsidTr="1CDE4693">
        <w:tc>
          <w:tcPr>
            <w:tcW w:w="704" w:type="dxa"/>
          </w:tcPr>
          <w:p w14:paraId="75EEACAC" w14:textId="77777777" w:rsidR="006175B8" w:rsidRPr="00DA1A01" w:rsidRDefault="006175B8" w:rsidP="00F372C1">
            <w:pPr>
              <w:pStyle w:val="ListParagraph"/>
              <w:keepNext/>
              <w:keepLines/>
              <w:numPr>
                <w:ilvl w:val="0"/>
                <w:numId w:val="6"/>
              </w:numPr>
              <w:spacing w:before="60" w:after="60"/>
              <w:ind w:left="587"/>
              <w:contextualSpacing w:val="0"/>
              <w:jc w:val="right"/>
              <w:rPr>
                <w:szCs w:val="24"/>
              </w:rPr>
            </w:pPr>
          </w:p>
        </w:tc>
        <w:tc>
          <w:tcPr>
            <w:tcW w:w="8930" w:type="dxa"/>
          </w:tcPr>
          <w:p w14:paraId="7259387E" w14:textId="14C3B70D" w:rsidR="00CB1364" w:rsidRDefault="00D71A7B" w:rsidP="1CDE4693">
            <w:pPr>
              <w:keepNext/>
              <w:keepLines/>
              <w:spacing w:before="60" w:after="60"/>
              <w:rPr>
                <w:rFonts w:ascii="Aptos" w:hAnsi="Aptos"/>
                <w:color w:val="000000" w:themeColor="text1"/>
              </w:rPr>
            </w:pPr>
            <w:r>
              <w:rPr>
                <w:rFonts w:ascii="Aptos" w:hAnsi="Aptos"/>
                <w:color w:val="000000" w:themeColor="text1"/>
              </w:rPr>
              <w:t>I</w:t>
            </w:r>
            <w:r w:rsidR="004E4B60">
              <w:rPr>
                <w:rFonts w:ascii="Aptos" w:hAnsi="Aptos"/>
                <w:color w:val="000000" w:themeColor="text1"/>
              </w:rPr>
              <w:t xml:space="preserve">nclude </w:t>
            </w:r>
            <w:r w:rsidR="009952BB">
              <w:rPr>
                <w:rFonts w:ascii="Aptos" w:hAnsi="Aptos"/>
                <w:color w:val="000000" w:themeColor="text1"/>
              </w:rPr>
              <w:t xml:space="preserve">supporting information to </w:t>
            </w:r>
            <w:r w:rsidR="00E06581" w:rsidRPr="00E06581">
              <w:rPr>
                <w:rFonts w:ascii="Aptos" w:hAnsi="Aptos"/>
                <w:color w:val="000000" w:themeColor="text1"/>
              </w:rPr>
              <w:t>demonstrate how the proposed rate of recovery is consistent with the accepted FDP</w:t>
            </w:r>
            <w:r w:rsidR="005A36BE">
              <w:rPr>
                <w:rFonts w:ascii="Aptos" w:hAnsi="Aptos"/>
                <w:color w:val="000000" w:themeColor="text1"/>
              </w:rPr>
              <w:t>.</w:t>
            </w:r>
            <w:r w:rsidR="00E06581" w:rsidRPr="00E06581">
              <w:rPr>
                <w:rFonts w:ascii="Aptos" w:hAnsi="Aptos"/>
                <w:color w:val="000000" w:themeColor="text1"/>
              </w:rPr>
              <w:t xml:space="preserve"> </w:t>
            </w:r>
          </w:p>
          <w:p w14:paraId="60632F21" w14:textId="4DFB5152" w:rsidR="006175B8" w:rsidRPr="006175B8" w:rsidRDefault="00B46240" w:rsidP="1CDE4693">
            <w:pPr>
              <w:keepNext/>
              <w:keepLines/>
              <w:spacing w:before="60" w:after="60"/>
              <w:rPr>
                <w:color w:val="000000" w:themeColor="text1"/>
              </w:rPr>
            </w:pPr>
            <w:r>
              <w:rPr>
                <w:rFonts w:ascii="Aptos" w:hAnsi="Aptos"/>
                <w:color w:val="000000" w:themeColor="text1"/>
              </w:rPr>
              <w:t>Refer to</w:t>
            </w:r>
            <w:r w:rsidR="006175B8" w:rsidRPr="00873BA9">
              <w:rPr>
                <w:rFonts w:ascii="Aptos" w:hAnsi="Aptos"/>
                <w:color w:val="000000" w:themeColor="text1"/>
              </w:rPr>
              <w:t xml:space="preserve"> the “rate of recovery submission”</w:t>
            </w:r>
            <w:r w:rsidR="001138DA">
              <w:rPr>
                <w:rFonts w:ascii="Aptos" w:hAnsi="Aptos"/>
                <w:color w:val="000000" w:themeColor="text1"/>
              </w:rPr>
              <w:t xml:space="preserve"> section of</w:t>
            </w:r>
            <w:r w:rsidR="006175B8" w:rsidRPr="00873BA9">
              <w:rPr>
                <w:rFonts w:ascii="Aptos" w:hAnsi="Aptos"/>
                <w:color w:val="000000" w:themeColor="text1"/>
              </w:rPr>
              <w:t xml:space="preserve"> the </w:t>
            </w:r>
            <w:proofErr w:type="spellStart"/>
            <w:r w:rsidR="006175B8" w:rsidRPr="00873BA9">
              <w:rPr>
                <w:rFonts w:ascii="Aptos" w:hAnsi="Aptos"/>
                <w:color w:val="000000" w:themeColor="text1"/>
              </w:rPr>
              <w:t>RoR</w:t>
            </w:r>
            <w:proofErr w:type="spellEnd"/>
            <w:r w:rsidR="006175B8" w:rsidRPr="00873BA9">
              <w:rPr>
                <w:rFonts w:ascii="Aptos" w:hAnsi="Aptos"/>
                <w:color w:val="000000" w:themeColor="text1"/>
              </w:rPr>
              <w:t xml:space="preserve"> </w:t>
            </w:r>
            <w:r w:rsidR="00E21B27" w:rsidRPr="00873BA9">
              <w:rPr>
                <w:rFonts w:ascii="Aptos" w:hAnsi="Aptos"/>
                <w:color w:val="000000" w:themeColor="text1"/>
              </w:rPr>
              <w:t>f</w:t>
            </w:r>
            <w:r w:rsidR="006175B8" w:rsidRPr="00873BA9">
              <w:rPr>
                <w:rFonts w:ascii="Aptos" w:hAnsi="Aptos"/>
                <w:color w:val="000000" w:themeColor="text1"/>
              </w:rPr>
              <w:t>act</w:t>
            </w:r>
            <w:r w:rsidR="00E21B27" w:rsidRPr="00873BA9">
              <w:rPr>
                <w:rFonts w:ascii="Aptos" w:hAnsi="Aptos"/>
                <w:color w:val="000000" w:themeColor="text1"/>
              </w:rPr>
              <w:t xml:space="preserve"> </w:t>
            </w:r>
            <w:r w:rsidR="54648A9A" w:rsidRPr="00873BA9">
              <w:rPr>
                <w:rFonts w:ascii="Aptos" w:hAnsi="Aptos"/>
                <w:color w:val="000000" w:themeColor="text1"/>
              </w:rPr>
              <w:t>sheet</w:t>
            </w:r>
            <w:r w:rsidR="00DC2B90">
              <w:rPr>
                <w:rFonts w:ascii="Aptos" w:hAnsi="Aptos"/>
                <w:color w:val="000000" w:themeColor="text1"/>
              </w:rPr>
              <w:t xml:space="preserve"> for </w:t>
            </w:r>
            <w:r w:rsidR="00043AF0">
              <w:rPr>
                <w:rFonts w:ascii="Aptos" w:hAnsi="Aptos"/>
                <w:color w:val="000000" w:themeColor="text1"/>
              </w:rPr>
              <w:t>the supporting information NOPTA expects to be included</w:t>
            </w:r>
            <w:r w:rsidR="006175B8" w:rsidRPr="00873BA9">
              <w:rPr>
                <w:rFonts w:ascii="Aptos" w:hAnsi="Aptos"/>
                <w:color w:val="000000" w:themeColor="text1"/>
              </w:rPr>
              <w:t>.</w:t>
            </w:r>
          </w:p>
        </w:tc>
      </w:tr>
      <w:tr w:rsidR="006175B8" w:rsidRPr="00DA1A01" w14:paraId="33CF9D7C" w14:textId="77777777" w:rsidTr="1CDE4693">
        <w:tc>
          <w:tcPr>
            <w:tcW w:w="704" w:type="dxa"/>
          </w:tcPr>
          <w:p w14:paraId="0F8BA358" w14:textId="77777777" w:rsidR="006175B8" w:rsidRPr="00DA1A01" w:rsidRDefault="006175B8" w:rsidP="00F372C1">
            <w:pPr>
              <w:pStyle w:val="ListParagraph"/>
              <w:keepNext/>
              <w:keepLines/>
              <w:numPr>
                <w:ilvl w:val="0"/>
                <w:numId w:val="6"/>
              </w:numPr>
              <w:spacing w:before="60" w:after="60"/>
              <w:ind w:left="227" w:firstLine="0"/>
              <w:contextualSpacing w:val="0"/>
              <w:jc w:val="right"/>
              <w:rPr>
                <w:szCs w:val="24"/>
              </w:rPr>
            </w:pPr>
          </w:p>
        </w:tc>
        <w:tc>
          <w:tcPr>
            <w:tcW w:w="8930" w:type="dxa"/>
          </w:tcPr>
          <w:p w14:paraId="7B0617E5" w14:textId="0F247F29" w:rsidR="006175B8" w:rsidRPr="006175B8" w:rsidRDefault="006175B8" w:rsidP="00F372C1">
            <w:pPr>
              <w:pStyle w:val="NoSpacing"/>
              <w:keepNext/>
              <w:keepLines/>
              <w:spacing w:before="60" w:after="60"/>
              <w:rPr>
                <w:color w:val="000000" w:themeColor="text1"/>
                <w:sz w:val="24"/>
                <w:szCs w:val="24"/>
              </w:rPr>
            </w:pPr>
            <w:r w:rsidRPr="006175B8">
              <w:rPr>
                <w:rFonts w:ascii="Aptos" w:hAnsi="Aptos" w:cstheme="minorHAnsi"/>
                <w:color w:val="000000" w:themeColor="text1"/>
                <w:sz w:val="24"/>
                <w:szCs w:val="24"/>
              </w:rPr>
              <w:t xml:space="preserve">A statement </w:t>
            </w:r>
            <w:proofErr w:type="gramStart"/>
            <w:r w:rsidRPr="006175B8">
              <w:rPr>
                <w:rFonts w:ascii="Aptos" w:hAnsi="Aptos" w:cstheme="minorHAnsi"/>
                <w:color w:val="000000" w:themeColor="text1"/>
                <w:sz w:val="24"/>
                <w:szCs w:val="24"/>
              </w:rPr>
              <w:t>of</w:t>
            </w:r>
            <w:proofErr w:type="gramEnd"/>
            <w:r w:rsidRPr="006175B8">
              <w:rPr>
                <w:rFonts w:ascii="Aptos" w:hAnsi="Aptos" w:cstheme="minorHAnsi"/>
                <w:color w:val="000000" w:themeColor="text1"/>
                <w:sz w:val="24"/>
                <w:szCs w:val="24"/>
              </w:rPr>
              <w:t xml:space="preserve"> any other matters that the applicant wishes to be considered.</w:t>
            </w:r>
          </w:p>
        </w:tc>
      </w:tr>
      <w:tr w:rsidR="006175B8" w:rsidRPr="00DA1A01" w14:paraId="5AD72939" w14:textId="77777777" w:rsidTr="1CDE4693">
        <w:tc>
          <w:tcPr>
            <w:tcW w:w="704" w:type="dxa"/>
          </w:tcPr>
          <w:p w14:paraId="3ED96A19" w14:textId="77777777" w:rsidR="006175B8" w:rsidRPr="00DA1A01" w:rsidRDefault="006175B8" w:rsidP="00F372C1">
            <w:pPr>
              <w:pStyle w:val="ListParagraph"/>
              <w:keepNext/>
              <w:keepLines/>
              <w:numPr>
                <w:ilvl w:val="0"/>
                <w:numId w:val="6"/>
              </w:numPr>
              <w:spacing w:before="60" w:after="60"/>
              <w:ind w:left="227" w:firstLine="0"/>
              <w:contextualSpacing w:val="0"/>
              <w:jc w:val="right"/>
              <w:rPr>
                <w:szCs w:val="24"/>
              </w:rPr>
            </w:pPr>
          </w:p>
        </w:tc>
        <w:tc>
          <w:tcPr>
            <w:tcW w:w="8930" w:type="dxa"/>
          </w:tcPr>
          <w:p w14:paraId="35C828EF" w14:textId="062F06B0" w:rsidR="006175B8" w:rsidRPr="006175B8" w:rsidRDefault="006175B8" w:rsidP="00F372C1">
            <w:pPr>
              <w:keepNext/>
              <w:keepLines/>
              <w:spacing w:before="60" w:after="60"/>
              <w:rPr>
                <w:color w:val="000000" w:themeColor="text1"/>
                <w:szCs w:val="24"/>
              </w:rPr>
            </w:pPr>
            <w:r w:rsidRPr="006175B8">
              <w:rPr>
                <w:rFonts w:ascii="Aptos" w:hAnsi="Aptos" w:cstheme="minorHAnsi"/>
                <w:color w:val="000000" w:themeColor="text1"/>
                <w:szCs w:val="24"/>
              </w:rPr>
              <w:t xml:space="preserve">Figures in the text should be </w:t>
            </w:r>
            <w:proofErr w:type="gramStart"/>
            <w:r w:rsidRPr="006175B8">
              <w:rPr>
                <w:rFonts w:ascii="Aptos" w:hAnsi="Aptos" w:cstheme="minorHAnsi"/>
                <w:color w:val="000000" w:themeColor="text1"/>
                <w:szCs w:val="24"/>
              </w:rPr>
              <w:t>legible, and</w:t>
            </w:r>
            <w:proofErr w:type="gramEnd"/>
            <w:r w:rsidRPr="006175B8">
              <w:rPr>
                <w:rFonts w:ascii="Aptos" w:hAnsi="Aptos" w:cstheme="minorHAnsi"/>
                <w:color w:val="000000" w:themeColor="text1"/>
                <w:szCs w:val="24"/>
              </w:rPr>
              <w:t xml:space="preserve"> should also be provided as separate files in an attached appendix at a resolution of at least 300 dpi.</w:t>
            </w:r>
          </w:p>
        </w:tc>
      </w:tr>
    </w:tbl>
    <w:p w14:paraId="0660582D" w14:textId="4D6D9184" w:rsidR="00EB6660" w:rsidRDefault="00EB6660">
      <w:pPr>
        <w:spacing w:before="0" w:after="160" w:line="259" w:lineRule="auto"/>
        <w:rPr>
          <w:rFonts w:ascii="Aptos Display" w:eastAsiaTheme="majorEastAsia" w:hAnsi="Aptos Display" w:cstheme="majorBidi"/>
          <w:color w:val="15659B" w:themeColor="accent4"/>
          <w:sz w:val="36"/>
          <w:szCs w:val="48"/>
        </w:rPr>
      </w:pPr>
      <w:r>
        <w:br w:type="page"/>
      </w:r>
    </w:p>
    <w:p w14:paraId="4BB1AD02" w14:textId="77777777" w:rsidR="00DE453E" w:rsidRDefault="00DE453E" w:rsidP="00BC5F8B">
      <w:pPr>
        <w:pStyle w:val="Heading2"/>
        <w:spacing w:after="240"/>
      </w:pPr>
      <w:bookmarkStart w:id="12" w:name="_Approval_of_equipment"/>
      <w:bookmarkEnd w:id="12"/>
      <w:r w:rsidRPr="00DE453E">
        <w:lastRenderedPageBreak/>
        <w:t xml:space="preserve">Approval of equipment and procedures </w:t>
      </w:r>
    </w:p>
    <w:p w14:paraId="1E9C12BD" w14:textId="6AE0E31C" w:rsidR="00E64895" w:rsidRPr="00873BA9" w:rsidRDefault="00E64895" w:rsidP="00274FFD">
      <w:pPr>
        <w:spacing w:before="240"/>
        <w:rPr>
          <w:rFonts w:ascii="Aptos" w:hAnsi="Aptos" w:cstheme="minorHAnsi"/>
        </w:rPr>
      </w:pPr>
      <w:r w:rsidRPr="00873BA9">
        <w:rPr>
          <w:rFonts w:ascii="Aptos" w:hAnsi="Aptos" w:cstheme="minorHAnsi"/>
        </w:rPr>
        <w:t xml:space="preserve">In making an application under </w:t>
      </w:r>
      <w:r w:rsidR="00C30092" w:rsidRPr="00873BA9">
        <w:rPr>
          <w:rFonts w:ascii="Aptos" w:hAnsi="Aptos" w:cstheme="minorHAnsi"/>
        </w:rPr>
        <w:t xml:space="preserve">section 66 </w:t>
      </w:r>
      <w:r w:rsidRPr="00873BA9">
        <w:rPr>
          <w:rFonts w:ascii="Aptos" w:hAnsi="Aptos" w:cstheme="minorHAnsi"/>
        </w:rPr>
        <w:t>of the RMA Regulations, please refer to following guidance.</w:t>
      </w:r>
    </w:p>
    <w:p w14:paraId="69186EA4" w14:textId="77777777" w:rsidR="00CB2EE5" w:rsidRPr="00873BA9" w:rsidRDefault="00CB2EE5" w:rsidP="00274FFD">
      <w:pPr>
        <w:pStyle w:val="Heading3"/>
        <w:rPr>
          <w:lang w:eastAsia="en-AU"/>
        </w:rPr>
      </w:pPr>
      <w:r w:rsidRPr="00873BA9">
        <w:rPr>
          <w:lang w:eastAsia="en-AU"/>
        </w:rPr>
        <w:t>Legislation</w:t>
      </w:r>
    </w:p>
    <w:p w14:paraId="1E01F95E" w14:textId="77777777" w:rsidR="001E151C" w:rsidRPr="00873BA9" w:rsidRDefault="00CB2EE5" w:rsidP="00274FFD">
      <w:pPr>
        <w:pStyle w:val="ListParagraph"/>
        <w:spacing w:before="240"/>
        <w:rPr>
          <w:rFonts w:ascii="Aptos" w:hAnsi="Aptos" w:cstheme="minorHAnsi"/>
          <w:i/>
          <w:szCs w:val="20"/>
        </w:rPr>
      </w:pPr>
      <w:r w:rsidRPr="00873BA9">
        <w:rPr>
          <w:lang w:eastAsia="en-AU"/>
        </w:rPr>
        <w:t>The OPGGS Act.</w:t>
      </w:r>
      <w:r w:rsidR="001E151C" w:rsidRPr="00873BA9">
        <w:rPr>
          <w:rFonts w:ascii="Aptos" w:hAnsi="Aptos" w:cstheme="minorHAnsi"/>
          <w:i/>
          <w:szCs w:val="20"/>
        </w:rPr>
        <w:t xml:space="preserve"> </w:t>
      </w:r>
    </w:p>
    <w:p w14:paraId="47EDBA5A" w14:textId="77DA7BDF" w:rsidR="005E5BE0" w:rsidRPr="00873BA9" w:rsidRDefault="005E5BE0" w:rsidP="00274FFD">
      <w:pPr>
        <w:pStyle w:val="ListParagraph"/>
        <w:spacing w:before="240"/>
        <w:rPr>
          <w:lang w:eastAsia="en-AU"/>
        </w:rPr>
      </w:pPr>
      <w:r w:rsidRPr="00873BA9">
        <w:rPr>
          <w:rFonts w:ascii="Aptos" w:hAnsi="Aptos" w:cstheme="minorHAnsi"/>
          <w:szCs w:val="20"/>
        </w:rPr>
        <w:t xml:space="preserve">The </w:t>
      </w:r>
      <w:r w:rsidRPr="00873BA9">
        <w:rPr>
          <w:rStyle w:val="Strong"/>
          <w:b w:val="0"/>
          <w:bCs w:val="0"/>
        </w:rPr>
        <w:t>Royalty Act</w:t>
      </w:r>
      <w:r w:rsidR="00DF0596" w:rsidRPr="00873BA9">
        <w:rPr>
          <w:rStyle w:val="Strong"/>
          <w:b w:val="0"/>
          <w:bCs w:val="0"/>
        </w:rPr>
        <w:t>.</w:t>
      </w:r>
    </w:p>
    <w:p w14:paraId="269DE228" w14:textId="77777777" w:rsidR="00CB2EE5" w:rsidRPr="00873BA9" w:rsidRDefault="00CB2EE5" w:rsidP="00274FFD">
      <w:pPr>
        <w:pStyle w:val="Heading3"/>
        <w:rPr>
          <w:lang w:eastAsia="en-AU"/>
        </w:rPr>
      </w:pPr>
      <w:r w:rsidRPr="00873BA9">
        <w:rPr>
          <w:lang w:eastAsia="en-AU"/>
        </w:rPr>
        <w:t>Regulations</w:t>
      </w:r>
    </w:p>
    <w:p w14:paraId="11F9D3E1" w14:textId="46DDE9D2" w:rsidR="00CB2EE5" w:rsidRPr="00873BA9" w:rsidRDefault="00CB2EE5" w:rsidP="00274FFD">
      <w:pPr>
        <w:spacing w:before="240"/>
        <w:rPr>
          <w:lang w:eastAsia="en-AU"/>
        </w:rPr>
      </w:pPr>
      <w:r w:rsidRPr="00873BA9">
        <w:rPr>
          <w:lang w:eastAsia="en-AU"/>
        </w:rPr>
        <w:t>Part 4</w:t>
      </w:r>
      <w:r w:rsidR="00083439" w:rsidRPr="00873BA9">
        <w:rPr>
          <w:lang w:eastAsia="en-AU"/>
        </w:rPr>
        <w:t>, division 7</w:t>
      </w:r>
      <w:r w:rsidRPr="00873BA9">
        <w:rPr>
          <w:lang w:eastAsia="en-AU"/>
        </w:rPr>
        <w:t xml:space="preserve"> of the RMA Regulations</w:t>
      </w:r>
      <w:r w:rsidR="009208EB" w:rsidRPr="00873BA9">
        <w:rPr>
          <w:lang w:eastAsia="en-AU"/>
        </w:rPr>
        <w:t>.</w:t>
      </w:r>
      <w:r w:rsidRPr="00873BA9">
        <w:rPr>
          <w:lang w:eastAsia="en-AU"/>
        </w:rPr>
        <w:t xml:space="preserve"> </w:t>
      </w:r>
    </w:p>
    <w:p w14:paraId="2063C2BE" w14:textId="77777777" w:rsidR="00EB6660" w:rsidRPr="00873BA9" w:rsidRDefault="00EB6660" w:rsidP="00274FFD">
      <w:pPr>
        <w:pStyle w:val="Heading3"/>
        <w:rPr>
          <w:lang w:eastAsia="en-AU"/>
        </w:rPr>
      </w:pPr>
      <w:r w:rsidRPr="00873BA9">
        <w:t>Guidance material</w:t>
      </w:r>
    </w:p>
    <w:p w14:paraId="31AFEC41" w14:textId="16C17F2A" w:rsidR="00FF45E1" w:rsidRPr="00873BA9" w:rsidRDefault="006F17F5" w:rsidP="00274FFD">
      <w:pPr>
        <w:spacing w:before="240"/>
        <w:rPr>
          <w:lang w:eastAsia="en-AU"/>
        </w:rPr>
      </w:pPr>
      <w:r w:rsidRPr="00873BA9">
        <w:rPr>
          <w:lang w:eastAsia="en-AU"/>
        </w:rPr>
        <w:t xml:space="preserve">Guidelines and fact sheets </w:t>
      </w:r>
      <w:r w:rsidR="00FF45E1" w:rsidRPr="00873BA9">
        <w:rPr>
          <w:lang w:eastAsia="en-AU"/>
        </w:rPr>
        <w:t>have been developed to assists applicants and titleholders to understand the expectations of decision makers and to provide useful guidance when making applications.</w:t>
      </w:r>
    </w:p>
    <w:p w14:paraId="6A49628D" w14:textId="54CDE1D8" w:rsidR="00BC5F8B" w:rsidRPr="00873BA9" w:rsidRDefault="0005039B" w:rsidP="00274FFD">
      <w:pPr>
        <w:spacing w:before="240"/>
        <w:rPr>
          <w:lang w:eastAsia="en-AU"/>
        </w:rPr>
      </w:pPr>
      <w:r w:rsidRPr="00873BA9">
        <w:rPr>
          <w:lang w:eastAsia="en-AU"/>
        </w:rPr>
        <w:t xml:space="preserve">The following </w:t>
      </w:r>
      <w:hyperlink r:id="rId18" w:history="1">
        <w:r w:rsidRPr="00873BA9">
          <w:rPr>
            <w:rStyle w:val="Hyperlink"/>
            <w:lang w:eastAsia="en-AU"/>
          </w:rPr>
          <w:t>fact</w:t>
        </w:r>
        <w:r w:rsidR="00A00746" w:rsidRPr="00873BA9">
          <w:rPr>
            <w:rStyle w:val="Hyperlink"/>
            <w:lang w:eastAsia="en-AU"/>
          </w:rPr>
          <w:t xml:space="preserve"> </w:t>
        </w:r>
        <w:r w:rsidRPr="00873BA9">
          <w:rPr>
            <w:rStyle w:val="Hyperlink"/>
            <w:lang w:eastAsia="en-AU"/>
          </w:rPr>
          <w:t>sheets</w:t>
        </w:r>
      </w:hyperlink>
      <w:r w:rsidRPr="00873BA9">
        <w:rPr>
          <w:lang w:eastAsia="en-AU"/>
        </w:rPr>
        <w:t xml:space="preserve"> are available on our website to assist you in making an application</w:t>
      </w:r>
      <w:r w:rsidR="00BC5F8B" w:rsidRPr="00873BA9">
        <w:rPr>
          <w:lang w:eastAsia="en-AU"/>
        </w:rPr>
        <w:t>:</w:t>
      </w:r>
    </w:p>
    <w:p w14:paraId="7CB0BCCD" w14:textId="3A4AC42F" w:rsidR="00397874" w:rsidRDefault="00397874" w:rsidP="00C03F59">
      <w:pPr>
        <w:pStyle w:val="ListParagraph"/>
        <w:spacing w:before="240"/>
      </w:pPr>
      <w:r w:rsidRPr="00D774D3">
        <w:rPr>
          <w:rStyle w:val="Strong"/>
          <w:b w:val="0"/>
          <w:bCs w:val="0"/>
        </w:rPr>
        <w:t>Signatures fact sheet.</w:t>
      </w:r>
    </w:p>
    <w:p w14:paraId="43BD94A9" w14:textId="61D837C4" w:rsidR="00BC5F8B" w:rsidRPr="00873BA9" w:rsidRDefault="00BC5F8B" w:rsidP="00C03F59">
      <w:pPr>
        <w:pStyle w:val="ListParagraph"/>
        <w:spacing w:before="240"/>
      </w:pPr>
      <w:r w:rsidRPr="00873BA9">
        <w:t>Rate of recovery &amp; equipment &amp; procedures (</w:t>
      </w:r>
      <w:proofErr w:type="spellStart"/>
      <w:r w:rsidRPr="00873BA9">
        <w:rPr>
          <w:rStyle w:val="Strong"/>
        </w:rPr>
        <w:t>RoR</w:t>
      </w:r>
      <w:proofErr w:type="spellEnd"/>
      <w:r w:rsidRPr="00873BA9">
        <w:rPr>
          <w:rStyle w:val="Strong"/>
        </w:rPr>
        <w:t xml:space="preserve"> </w:t>
      </w:r>
      <w:r w:rsidR="00A00746" w:rsidRPr="00873BA9">
        <w:rPr>
          <w:rStyle w:val="Strong"/>
        </w:rPr>
        <w:t>f</w:t>
      </w:r>
      <w:r w:rsidRPr="00873BA9">
        <w:rPr>
          <w:rStyle w:val="Strong"/>
        </w:rPr>
        <w:t>act</w:t>
      </w:r>
      <w:r w:rsidR="00A00746" w:rsidRPr="00873BA9">
        <w:rPr>
          <w:rStyle w:val="Strong"/>
        </w:rPr>
        <w:t xml:space="preserve"> </w:t>
      </w:r>
      <w:r w:rsidRPr="00873BA9">
        <w:rPr>
          <w:rStyle w:val="Strong"/>
        </w:rPr>
        <w:t>sheet</w:t>
      </w:r>
      <w:r w:rsidRPr="00873BA9">
        <w:t>)</w:t>
      </w:r>
      <w:r w:rsidR="00397874">
        <w:t>.</w:t>
      </w:r>
    </w:p>
    <w:p w14:paraId="6C6FEECA" w14:textId="77777777" w:rsidR="00EB6660" w:rsidRPr="00873BA9" w:rsidRDefault="00EB6660" w:rsidP="00274FFD">
      <w:pPr>
        <w:pStyle w:val="Heading3"/>
        <w:rPr>
          <w:lang w:eastAsia="en-AU"/>
        </w:rPr>
      </w:pPr>
      <w:r w:rsidRPr="00873BA9">
        <w:rPr>
          <w:lang w:eastAsia="en-AU"/>
        </w:rPr>
        <w:t>Application form</w:t>
      </w:r>
    </w:p>
    <w:p w14:paraId="1D289CA4" w14:textId="709669AE" w:rsidR="00EB6660" w:rsidRPr="00873BA9" w:rsidRDefault="00EB6660" w:rsidP="00274FFD">
      <w:pPr>
        <w:spacing w:before="240"/>
        <w:rPr>
          <w:lang w:eastAsia="en-AU"/>
        </w:rPr>
      </w:pPr>
      <w:r w:rsidRPr="00873BA9">
        <w:rPr>
          <w:lang w:eastAsia="en-AU"/>
        </w:rPr>
        <w:t xml:space="preserve">Use the </w:t>
      </w:r>
      <w:hyperlink r:id="rId19" w:history="1">
        <w:r w:rsidR="003D544D" w:rsidRPr="00873BA9">
          <w:rPr>
            <w:rStyle w:val="Hyperlink"/>
            <w:lang w:eastAsia="en-AU"/>
          </w:rPr>
          <w:t>Approval of equipment and procedures application form</w:t>
        </w:r>
      </w:hyperlink>
      <w:r w:rsidRPr="00873BA9">
        <w:rPr>
          <w:lang w:eastAsia="en-AU"/>
        </w:rPr>
        <w:t xml:space="preserve"> on the forms page of our website.</w:t>
      </w:r>
    </w:p>
    <w:p w14:paraId="3A0E10BA" w14:textId="77777777" w:rsidR="00EB6660" w:rsidRPr="00873BA9" w:rsidRDefault="00EB6660" w:rsidP="00274FFD">
      <w:pPr>
        <w:pStyle w:val="Heading3"/>
        <w:rPr>
          <w:lang w:eastAsia="en-AU"/>
        </w:rPr>
      </w:pPr>
      <w:r w:rsidRPr="00873BA9">
        <w:rPr>
          <w:lang w:eastAsia="en-AU"/>
        </w:rPr>
        <w:t>Application fee</w:t>
      </w:r>
    </w:p>
    <w:p w14:paraId="257902BE" w14:textId="77777777" w:rsidR="00BC5F8B" w:rsidRPr="00873BA9" w:rsidRDefault="00BC5F8B" w:rsidP="00274FFD">
      <w:pPr>
        <w:spacing w:before="240"/>
        <w:rPr>
          <w:lang w:eastAsia="en-AU"/>
        </w:rPr>
      </w:pPr>
      <w:r w:rsidRPr="00873BA9">
        <w:rPr>
          <w:lang w:eastAsia="en-AU"/>
        </w:rPr>
        <w:t>Not applicable.</w:t>
      </w:r>
    </w:p>
    <w:p w14:paraId="19904000" w14:textId="77777777" w:rsidR="002E7CAB" w:rsidRPr="00873BA9" w:rsidRDefault="002E7CAB" w:rsidP="00274FFD">
      <w:pPr>
        <w:pStyle w:val="Heading3"/>
        <w:rPr>
          <w:lang w:eastAsia="en-AU"/>
        </w:rPr>
      </w:pPr>
      <w:r w:rsidRPr="00873BA9">
        <w:rPr>
          <w:lang w:eastAsia="en-AU"/>
        </w:rPr>
        <w:t>To note</w:t>
      </w:r>
    </w:p>
    <w:p w14:paraId="3EDD2D3D" w14:textId="6DA58E6B" w:rsidR="001238F7" w:rsidRPr="00873BA9" w:rsidRDefault="001238F7" w:rsidP="00873BA9">
      <w:pPr>
        <w:pStyle w:val="ListParagraph"/>
        <w:spacing w:before="240"/>
        <w:ind w:left="714" w:hanging="357"/>
        <w:contextualSpacing w:val="0"/>
      </w:pPr>
      <w:r w:rsidRPr="00873BA9">
        <w:t xml:space="preserve">It is advised that the application </w:t>
      </w:r>
      <w:r w:rsidR="00BA7299">
        <w:t xml:space="preserve">for approval of the equipment and procedures </w:t>
      </w:r>
      <w:r w:rsidR="001D1834">
        <w:t xml:space="preserve">should be made in a timely manner so that approval is given before the rate of recovery application is submitted. </w:t>
      </w:r>
    </w:p>
    <w:p w14:paraId="32D62B7E" w14:textId="256E1A20" w:rsidR="002E7CAB" w:rsidRDefault="002E7CAB" w:rsidP="009208EB">
      <w:pPr>
        <w:pStyle w:val="ListParagraph"/>
        <w:spacing w:before="240"/>
        <w:ind w:left="714" w:hanging="357"/>
        <w:contextualSpacing w:val="0"/>
        <w:rPr>
          <w:rFonts w:ascii="Aptos" w:hAnsi="Aptos" w:cstheme="minorHAnsi"/>
          <w:szCs w:val="20"/>
        </w:rPr>
      </w:pPr>
      <w:r w:rsidRPr="005E1794">
        <w:t>If</w:t>
      </w:r>
      <w:r w:rsidRPr="002627B2">
        <w:rPr>
          <w:rFonts w:ascii="Aptos" w:hAnsi="Aptos" w:cstheme="minorHAnsi"/>
          <w:szCs w:val="20"/>
        </w:rPr>
        <w:t xml:space="preserve"> the </w:t>
      </w:r>
      <w:r w:rsidR="001238F7">
        <w:rPr>
          <w:rFonts w:ascii="Aptos" w:hAnsi="Aptos" w:cstheme="minorHAnsi"/>
          <w:szCs w:val="20"/>
        </w:rPr>
        <w:t xml:space="preserve">Royalty Act </w:t>
      </w:r>
      <w:r w:rsidRPr="002627B2">
        <w:rPr>
          <w:rFonts w:ascii="Aptos" w:hAnsi="Aptos" w:cstheme="minorHAnsi"/>
          <w:szCs w:val="20"/>
        </w:rPr>
        <w:t>applies, an application for approval of the equipment and procedures should be made to the</w:t>
      </w:r>
      <w:r w:rsidRPr="002627B2">
        <w:rPr>
          <w:rFonts w:ascii="Aptos" w:hAnsi="Aptos" w:cstheme="minorHAnsi"/>
        </w:rPr>
        <w:t xml:space="preserve"> relevant WA State department </w:t>
      </w:r>
      <w:r w:rsidRPr="002627B2">
        <w:rPr>
          <w:rFonts w:ascii="Aptos" w:hAnsi="Aptos" w:cstheme="minorHAnsi"/>
          <w:szCs w:val="20"/>
        </w:rPr>
        <w:t>in a timely manner so that approval is given before the rate of recovery application is submitted.</w:t>
      </w:r>
    </w:p>
    <w:p w14:paraId="3A9C56FF" w14:textId="77777777" w:rsidR="00EB6660" w:rsidRDefault="00EB6660" w:rsidP="005E1794">
      <w:pPr>
        <w:pStyle w:val="Heading3"/>
      </w:pPr>
      <w:r>
        <w:lastRenderedPageBreak/>
        <w:t>Required information</w:t>
      </w:r>
    </w:p>
    <w:p w14:paraId="1AC23873" w14:textId="77777777" w:rsidR="00EB6660" w:rsidRDefault="00EB6660" w:rsidP="005E1794">
      <w:pPr>
        <w:keepNext/>
        <w:keepLines/>
        <w:spacing w:before="240"/>
        <w:rPr>
          <w:szCs w:val="24"/>
        </w:rPr>
      </w:pPr>
      <w:r>
        <w:t>You must provide the following for your application to be valid.</w:t>
      </w:r>
      <w:r w:rsidRPr="00846F20">
        <w:rPr>
          <w:szCs w:val="24"/>
        </w:rPr>
        <w:t xml:space="preserve"> </w:t>
      </w:r>
    </w:p>
    <w:p w14:paraId="3B37A5C3" w14:textId="7D6255FD" w:rsidR="00856B3D" w:rsidRDefault="00856B3D" w:rsidP="00856B3D">
      <w:pPr>
        <w:pStyle w:val="Caption"/>
        <w:keepNext/>
      </w:pPr>
      <w:r>
        <w:t xml:space="preserve">Table </w:t>
      </w:r>
      <w:r>
        <w:fldChar w:fldCharType="begin"/>
      </w:r>
      <w:r>
        <w:instrText xml:space="preserve"> SEQ Table \* ARABIC </w:instrText>
      </w:r>
      <w:r>
        <w:fldChar w:fldCharType="separate"/>
      </w:r>
      <w:r>
        <w:rPr>
          <w:noProof/>
        </w:rPr>
        <w:t>4</w:t>
      </w:r>
      <w:r>
        <w:fldChar w:fldCharType="end"/>
      </w:r>
      <w:r w:rsidRPr="00F9405F">
        <w:t>: Required information for approval of equipment and procedures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approval of equipment and procedures applications"/>
        <w:tblDescription w:val="Table detailing items that are required to be submitted with approval of equipment and procedures applications to meet valid submission requirements.&#10;"/>
      </w:tblPr>
      <w:tblGrid>
        <w:gridCol w:w="704"/>
        <w:gridCol w:w="8930"/>
      </w:tblGrid>
      <w:tr w:rsidR="00EB6660" w:rsidRPr="00992374" w14:paraId="4631F85F" w14:textId="77777777" w:rsidTr="006D683B">
        <w:trPr>
          <w:cnfStyle w:val="100000000000" w:firstRow="1" w:lastRow="0" w:firstColumn="0" w:lastColumn="0" w:oddVBand="0" w:evenVBand="0" w:oddHBand="0" w:evenHBand="0" w:firstRowFirstColumn="0" w:firstRowLastColumn="0" w:lastRowFirstColumn="0" w:lastRowLastColumn="0"/>
          <w:tblHeader/>
        </w:trPr>
        <w:tc>
          <w:tcPr>
            <w:tcW w:w="704" w:type="dxa"/>
          </w:tcPr>
          <w:p w14:paraId="27FC5604" w14:textId="77777777" w:rsidR="00EB6660" w:rsidRPr="00992374" w:rsidRDefault="00EB6660" w:rsidP="005E5BE0">
            <w:pPr>
              <w:keepNext/>
              <w:keepLines/>
              <w:spacing w:before="60" w:after="60"/>
              <w:jc w:val="center"/>
              <w:rPr>
                <w:b w:val="0"/>
                <w:bCs/>
              </w:rPr>
            </w:pPr>
            <w:r>
              <w:rPr>
                <w:bCs/>
              </w:rPr>
              <w:t>Item</w:t>
            </w:r>
          </w:p>
        </w:tc>
        <w:tc>
          <w:tcPr>
            <w:tcW w:w="8930" w:type="dxa"/>
          </w:tcPr>
          <w:p w14:paraId="167CA0D0" w14:textId="77777777" w:rsidR="00EB6660" w:rsidRPr="00992374" w:rsidRDefault="00EB6660" w:rsidP="005E5BE0">
            <w:pPr>
              <w:keepNext/>
              <w:keepLines/>
              <w:spacing w:before="60" w:after="60"/>
              <w:rPr>
                <w:b w:val="0"/>
                <w:bCs/>
              </w:rPr>
            </w:pPr>
            <w:r w:rsidRPr="00992374">
              <w:rPr>
                <w:bCs/>
              </w:rPr>
              <w:t>Description</w:t>
            </w:r>
          </w:p>
        </w:tc>
      </w:tr>
      <w:tr w:rsidR="00EB6660" w:rsidRPr="00E721ED" w14:paraId="4C1D24C0" w14:textId="77777777">
        <w:tc>
          <w:tcPr>
            <w:tcW w:w="704" w:type="dxa"/>
          </w:tcPr>
          <w:p w14:paraId="06121FD2" w14:textId="77777777" w:rsidR="00EB6660" w:rsidRPr="00E721ED" w:rsidRDefault="00EB6660" w:rsidP="005E1794">
            <w:pPr>
              <w:pStyle w:val="ListParagraph"/>
              <w:keepNext/>
              <w:keepLines/>
              <w:numPr>
                <w:ilvl w:val="0"/>
                <w:numId w:val="7"/>
              </w:numPr>
              <w:spacing w:before="60" w:after="60"/>
              <w:ind w:left="587"/>
              <w:jc w:val="center"/>
              <w:rPr>
                <w:szCs w:val="24"/>
              </w:rPr>
            </w:pPr>
          </w:p>
        </w:tc>
        <w:tc>
          <w:tcPr>
            <w:tcW w:w="8930" w:type="dxa"/>
          </w:tcPr>
          <w:p w14:paraId="005B5D76" w14:textId="4894E38F" w:rsidR="00EB6660" w:rsidRPr="00E721ED" w:rsidRDefault="00EB6660" w:rsidP="005E5BE0">
            <w:pPr>
              <w:pStyle w:val="NoSpacing"/>
              <w:keepNext/>
              <w:keepLines/>
              <w:spacing w:before="60" w:after="60"/>
              <w:rPr>
                <w:sz w:val="24"/>
                <w:szCs w:val="24"/>
              </w:rPr>
            </w:pPr>
            <w:r w:rsidRPr="00E721ED">
              <w:rPr>
                <w:sz w:val="24"/>
                <w:szCs w:val="24"/>
              </w:rPr>
              <w:t xml:space="preserve">A completed application form executed in accordance with the Signatures </w:t>
            </w:r>
            <w:r w:rsidR="00A00746">
              <w:rPr>
                <w:sz w:val="24"/>
                <w:szCs w:val="24"/>
              </w:rPr>
              <w:t>f</w:t>
            </w:r>
            <w:r w:rsidRPr="00E721ED">
              <w:rPr>
                <w:sz w:val="24"/>
                <w:szCs w:val="24"/>
              </w:rPr>
              <w:t>act</w:t>
            </w:r>
            <w:r w:rsidR="00A00746">
              <w:rPr>
                <w:sz w:val="24"/>
                <w:szCs w:val="24"/>
              </w:rPr>
              <w:t xml:space="preserve"> </w:t>
            </w:r>
            <w:r w:rsidRPr="00E721ED">
              <w:rPr>
                <w:sz w:val="24"/>
                <w:szCs w:val="24"/>
              </w:rPr>
              <w:t>sheet</w:t>
            </w:r>
            <w:r w:rsidRPr="00E721ED">
              <w:rPr>
                <w:rStyle w:val="Hyperlink"/>
                <w:sz w:val="24"/>
                <w:szCs w:val="24"/>
                <w:u w:val="none"/>
              </w:rPr>
              <w:t>.</w:t>
            </w:r>
          </w:p>
        </w:tc>
      </w:tr>
      <w:tr w:rsidR="00E5508C" w:rsidRPr="00E721ED" w14:paraId="0ADADD55" w14:textId="77777777" w:rsidTr="00B25C09">
        <w:tc>
          <w:tcPr>
            <w:tcW w:w="704" w:type="dxa"/>
          </w:tcPr>
          <w:p w14:paraId="4F188D7B" w14:textId="77777777" w:rsidR="00E5508C" w:rsidRPr="00E721ED" w:rsidRDefault="00E5508C" w:rsidP="005E1794">
            <w:pPr>
              <w:pStyle w:val="ListParagraph"/>
              <w:keepNext/>
              <w:keepLines/>
              <w:numPr>
                <w:ilvl w:val="0"/>
                <w:numId w:val="7"/>
              </w:numPr>
              <w:spacing w:before="60" w:after="60"/>
              <w:ind w:left="587"/>
              <w:jc w:val="center"/>
              <w:rPr>
                <w:szCs w:val="24"/>
              </w:rPr>
            </w:pPr>
          </w:p>
        </w:tc>
        <w:tc>
          <w:tcPr>
            <w:tcW w:w="8930" w:type="dxa"/>
          </w:tcPr>
          <w:p w14:paraId="09CE6307" w14:textId="13102089" w:rsidR="00EA17AE" w:rsidRPr="00873BA9" w:rsidRDefault="00EA17AE" w:rsidP="00EA17AE">
            <w:pPr>
              <w:pStyle w:val="Bullets"/>
              <w:tabs>
                <w:tab w:val="clear" w:pos="371"/>
                <w:tab w:val="left" w:pos="0"/>
              </w:tabs>
              <w:rPr>
                <w:rFonts w:eastAsiaTheme="minorEastAsia" w:cstheme="minorBidi"/>
                <w:color w:val="auto"/>
                <w:sz w:val="24"/>
                <w:lang w:val="en-US" w:eastAsia="en-US"/>
              </w:rPr>
            </w:pPr>
            <w:r w:rsidRPr="00873BA9">
              <w:rPr>
                <w:rFonts w:eastAsiaTheme="minorEastAsia" w:cstheme="minorBidi"/>
                <w:color w:val="auto"/>
                <w:sz w:val="24"/>
                <w:lang w:val="en-US" w:eastAsia="en-US"/>
              </w:rPr>
              <w:t>The application must include the proposed description of the equipment and procedures used to determine the quantity and composition of petroleum and water (subsection 66(2) of the RMA Regulations</w:t>
            </w:r>
            <w:r>
              <w:rPr>
                <w:rFonts w:eastAsiaTheme="minorEastAsia" w:cstheme="minorBidi"/>
                <w:color w:val="auto"/>
                <w:sz w:val="24"/>
                <w:lang w:val="en-US" w:eastAsia="en-US"/>
              </w:rPr>
              <w:t>)</w:t>
            </w:r>
            <w:r w:rsidRPr="00873BA9">
              <w:rPr>
                <w:rFonts w:eastAsiaTheme="minorEastAsia" w:cstheme="minorBidi"/>
                <w:color w:val="auto"/>
                <w:sz w:val="24"/>
                <w:lang w:val="en-US" w:eastAsia="en-US"/>
              </w:rPr>
              <w:t xml:space="preserve"> </w:t>
            </w:r>
          </w:p>
          <w:p w14:paraId="4DB9BF56" w14:textId="77777777" w:rsidR="00EA17AE" w:rsidRPr="00EA17AE" w:rsidRDefault="00EA17AE" w:rsidP="00EA17AE">
            <w:pPr>
              <w:pStyle w:val="Bullets"/>
              <w:tabs>
                <w:tab w:val="left" w:pos="0"/>
              </w:tabs>
              <w:rPr>
                <w:rStyle w:val="Strong"/>
              </w:rPr>
            </w:pPr>
            <w:r w:rsidRPr="00EA17AE">
              <w:rPr>
                <w:rStyle w:val="Strong"/>
              </w:rPr>
              <w:t>OR</w:t>
            </w:r>
          </w:p>
          <w:p w14:paraId="7BF8978C" w14:textId="66B46C19" w:rsidR="00E5508C" w:rsidRPr="00E721ED" w:rsidRDefault="00EA17AE" w:rsidP="00EA17AE">
            <w:pPr>
              <w:pStyle w:val="NoSpacing"/>
              <w:keepNext/>
              <w:keepLines/>
              <w:spacing w:before="60" w:after="60"/>
              <w:rPr>
                <w:sz w:val="24"/>
                <w:szCs w:val="24"/>
              </w:rPr>
            </w:pPr>
            <w:r w:rsidRPr="00873BA9">
              <w:rPr>
                <w:rFonts w:ascii="Aptos" w:hAnsi="Aptos"/>
                <w:sz w:val="24"/>
                <w:szCs w:val="24"/>
              </w:rPr>
              <w:t>Evidence that the equipment that will be used to determine the quantity of petroleum recovered from the pool or pools has been approved under section 13 of the Royalty Act</w:t>
            </w:r>
            <w:r w:rsidRPr="00873BA9">
              <w:rPr>
                <w:rFonts w:ascii="Aptos" w:hAnsi="Aptos"/>
                <w:i/>
                <w:iCs/>
                <w:sz w:val="24"/>
                <w:szCs w:val="24"/>
              </w:rPr>
              <w:t xml:space="preserve"> </w:t>
            </w:r>
            <w:r w:rsidRPr="00873BA9">
              <w:rPr>
                <w:rFonts w:ascii="Aptos" w:hAnsi="Aptos" w:cstheme="minorHAnsi"/>
                <w:sz w:val="24"/>
                <w:szCs w:val="24"/>
              </w:rPr>
              <w:t>(</w:t>
            </w:r>
            <w:r w:rsidRPr="00873BA9">
              <w:rPr>
                <w:rFonts w:ascii="Aptos" w:hAnsi="Aptos"/>
                <w:sz w:val="24"/>
                <w:szCs w:val="24"/>
              </w:rPr>
              <w:t>subsection 66(1) of the RMA Regulations</w:t>
            </w:r>
            <w:r w:rsidRPr="00873BA9">
              <w:rPr>
                <w:rFonts w:ascii="Aptos" w:hAnsi="Aptos" w:cstheme="minorHAnsi"/>
                <w:sz w:val="24"/>
                <w:szCs w:val="24"/>
              </w:rPr>
              <w:t>).</w:t>
            </w:r>
          </w:p>
        </w:tc>
      </w:tr>
    </w:tbl>
    <w:p w14:paraId="451A7C14" w14:textId="77777777" w:rsidR="00EB6660" w:rsidRDefault="00EB6660" w:rsidP="005E1794">
      <w:pPr>
        <w:pStyle w:val="Heading3"/>
      </w:pPr>
      <w:r>
        <w:t>Additional information to be included with the application</w:t>
      </w:r>
    </w:p>
    <w:p w14:paraId="2416DCA4" w14:textId="77777777" w:rsidR="00EB6660" w:rsidRDefault="00EB6660" w:rsidP="005E1794">
      <w:pPr>
        <w:keepNext/>
        <w:keepLines/>
        <w:spacing w:before="240"/>
      </w:pPr>
      <w:r>
        <w:t xml:space="preserve">Check that you have included the following information with your application. </w:t>
      </w:r>
    </w:p>
    <w:p w14:paraId="44FB079D" w14:textId="77777777" w:rsidR="001F5E34" w:rsidRPr="001F5E34" w:rsidRDefault="001F5E34" w:rsidP="001F5E34">
      <w:pPr>
        <w:keepNext/>
        <w:keepLines/>
        <w:spacing w:before="240"/>
      </w:pPr>
      <w:r w:rsidRPr="001F5E34">
        <w:t xml:space="preserve">Providing this information with your application may reduce delays in the assessment of your application resulting from the need to request further information. </w:t>
      </w:r>
    </w:p>
    <w:p w14:paraId="3B00C6C2" w14:textId="01826704" w:rsidR="00856B3D" w:rsidRDefault="00856B3D" w:rsidP="00873BA9">
      <w:pPr>
        <w:pStyle w:val="Caption"/>
        <w:keepNext/>
      </w:pPr>
      <w:r>
        <w:t xml:space="preserve">Table </w:t>
      </w:r>
      <w:r>
        <w:fldChar w:fldCharType="begin"/>
      </w:r>
      <w:r>
        <w:instrText xml:space="preserve"> SEQ Table \* ARABIC </w:instrText>
      </w:r>
      <w:r>
        <w:fldChar w:fldCharType="separate"/>
      </w:r>
      <w:r>
        <w:rPr>
          <w:noProof/>
        </w:rPr>
        <w:t>5</w:t>
      </w:r>
      <w:r>
        <w:fldChar w:fldCharType="end"/>
      </w:r>
      <w:r w:rsidRPr="003166D5">
        <w:t>: Additional information to be included with approval of equipment and procedures applications</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approval of equipment and procedures applications"/>
        <w:tblDescription w:val="Table detailing additional information that NOPTA requires to facilitate timely assessment of approval of equipment and procedures applications.&#10;"/>
      </w:tblPr>
      <w:tblGrid>
        <w:gridCol w:w="704"/>
        <w:gridCol w:w="8930"/>
      </w:tblGrid>
      <w:tr w:rsidR="00EB6660" w:rsidRPr="00DA1A01" w14:paraId="1914260C" w14:textId="77777777" w:rsidTr="006D683B">
        <w:trPr>
          <w:cnfStyle w:val="100000000000" w:firstRow="1" w:lastRow="0" w:firstColumn="0" w:lastColumn="0" w:oddVBand="0" w:evenVBand="0" w:oddHBand="0" w:evenHBand="0" w:firstRowFirstColumn="0" w:firstRowLastColumn="0" w:lastRowFirstColumn="0" w:lastRowLastColumn="0"/>
          <w:tblHeader/>
        </w:trPr>
        <w:tc>
          <w:tcPr>
            <w:tcW w:w="704" w:type="dxa"/>
          </w:tcPr>
          <w:p w14:paraId="5C03A06D" w14:textId="77777777" w:rsidR="00EB6660" w:rsidRPr="00DA1A01" w:rsidRDefault="00EB6660">
            <w:pPr>
              <w:spacing w:before="60" w:after="60"/>
              <w:jc w:val="center"/>
              <w:rPr>
                <w:b w:val="0"/>
                <w:bCs/>
                <w:szCs w:val="24"/>
              </w:rPr>
            </w:pPr>
            <w:r>
              <w:rPr>
                <w:bCs/>
                <w:szCs w:val="24"/>
              </w:rPr>
              <w:t>Item</w:t>
            </w:r>
          </w:p>
        </w:tc>
        <w:tc>
          <w:tcPr>
            <w:tcW w:w="8930" w:type="dxa"/>
          </w:tcPr>
          <w:p w14:paraId="122E6638" w14:textId="77777777" w:rsidR="00EB6660" w:rsidRPr="001529F4" w:rsidRDefault="00EB6660">
            <w:pPr>
              <w:spacing w:before="60" w:after="60"/>
              <w:rPr>
                <w:b w:val="0"/>
                <w:bCs/>
                <w:color w:val="000000" w:themeColor="text1"/>
                <w:szCs w:val="24"/>
              </w:rPr>
            </w:pPr>
            <w:r w:rsidRPr="001529F4">
              <w:rPr>
                <w:bCs/>
                <w:color w:val="000000" w:themeColor="text1"/>
                <w:szCs w:val="24"/>
              </w:rPr>
              <w:t>Description</w:t>
            </w:r>
          </w:p>
        </w:tc>
      </w:tr>
      <w:tr w:rsidR="001529F4" w:rsidRPr="00DA1A01" w14:paraId="1F18F950" w14:textId="77777777">
        <w:tc>
          <w:tcPr>
            <w:tcW w:w="704" w:type="dxa"/>
          </w:tcPr>
          <w:p w14:paraId="35045A93" w14:textId="77777777" w:rsidR="001529F4" w:rsidRPr="00DA1A01" w:rsidRDefault="001529F4" w:rsidP="005E1794">
            <w:pPr>
              <w:pStyle w:val="ListParagraph"/>
              <w:numPr>
                <w:ilvl w:val="0"/>
                <w:numId w:val="8"/>
              </w:numPr>
              <w:spacing w:before="60" w:after="60"/>
              <w:ind w:left="587"/>
              <w:contextualSpacing w:val="0"/>
              <w:jc w:val="right"/>
              <w:rPr>
                <w:szCs w:val="24"/>
              </w:rPr>
            </w:pPr>
          </w:p>
        </w:tc>
        <w:tc>
          <w:tcPr>
            <w:tcW w:w="8930" w:type="dxa"/>
          </w:tcPr>
          <w:p w14:paraId="70EEF564" w14:textId="03558F58" w:rsidR="00AF4D8C" w:rsidRDefault="00685177" w:rsidP="001529F4">
            <w:pPr>
              <w:spacing w:before="60" w:after="60"/>
              <w:rPr>
                <w:rFonts w:ascii="Aptos" w:hAnsi="Aptos" w:cstheme="minorHAnsi"/>
                <w:color w:val="000000" w:themeColor="text1"/>
                <w:szCs w:val="24"/>
              </w:rPr>
            </w:pPr>
            <w:r>
              <w:rPr>
                <w:rFonts w:ascii="Aptos" w:hAnsi="Aptos" w:cstheme="minorHAnsi"/>
                <w:color w:val="000000" w:themeColor="text1"/>
                <w:szCs w:val="24"/>
              </w:rPr>
              <w:t xml:space="preserve">Include </w:t>
            </w:r>
            <w:r w:rsidR="009400AE">
              <w:rPr>
                <w:rFonts w:ascii="Aptos" w:hAnsi="Aptos" w:cstheme="minorHAnsi"/>
                <w:color w:val="000000" w:themeColor="text1"/>
                <w:szCs w:val="24"/>
              </w:rPr>
              <w:t xml:space="preserve">information supporting the description of </w:t>
            </w:r>
            <w:r w:rsidR="005C3AFB" w:rsidRPr="005C3AFB">
              <w:rPr>
                <w:rFonts w:ascii="Aptos" w:hAnsi="Aptos" w:cstheme="minorHAnsi"/>
                <w:color w:val="000000" w:themeColor="text1"/>
                <w:szCs w:val="24"/>
              </w:rPr>
              <w:t>equipment and procedures that the petroleum production licensee intends to use</w:t>
            </w:r>
            <w:r w:rsidR="005C3AFB">
              <w:rPr>
                <w:rFonts w:ascii="Aptos" w:hAnsi="Aptos" w:cstheme="minorHAnsi"/>
                <w:color w:val="000000" w:themeColor="text1"/>
                <w:szCs w:val="24"/>
              </w:rPr>
              <w:t>.</w:t>
            </w:r>
            <w:r w:rsidR="005C3AFB" w:rsidRPr="005C3AFB">
              <w:rPr>
                <w:rFonts w:ascii="Aptos" w:hAnsi="Aptos" w:cstheme="minorHAnsi"/>
                <w:color w:val="000000" w:themeColor="text1"/>
                <w:szCs w:val="24"/>
              </w:rPr>
              <w:t xml:space="preserve"> </w:t>
            </w:r>
          </w:p>
          <w:p w14:paraId="0313866F" w14:textId="42EC7CA0" w:rsidR="001529F4" w:rsidRPr="001529F4" w:rsidRDefault="00AF4D8C" w:rsidP="001529F4">
            <w:pPr>
              <w:spacing w:before="60" w:after="60"/>
              <w:rPr>
                <w:color w:val="000000" w:themeColor="text1"/>
                <w:szCs w:val="24"/>
              </w:rPr>
            </w:pPr>
            <w:r>
              <w:rPr>
                <w:rFonts w:ascii="Aptos" w:hAnsi="Aptos"/>
                <w:color w:val="000000" w:themeColor="text1"/>
              </w:rPr>
              <w:t>Refer to</w:t>
            </w:r>
            <w:r w:rsidRPr="00873BA9">
              <w:rPr>
                <w:rFonts w:ascii="Aptos" w:hAnsi="Aptos"/>
                <w:color w:val="000000" w:themeColor="text1"/>
              </w:rPr>
              <w:t xml:space="preserve"> the </w:t>
            </w:r>
            <w:r w:rsidR="001529F4" w:rsidRPr="001529F4">
              <w:rPr>
                <w:rFonts w:ascii="Aptos" w:hAnsi="Aptos" w:cstheme="minorHAnsi"/>
                <w:color w:val="000000" w:themeColor="text1"/>
                <w:szCs w:val="24"/>
              </w:rPr>
              <w:t xml:space="preserve">“equipment and procedures submission” </w:t>
            </w:r>
            <w:r w:rsidR="001138DA">
              <w:rPr>
                <w:rFonts w:ascii="Aptos" w:hAnsi="Aptos" w:cstheme="minorHAnsi"/>
                <w:color w:val="000000" w:themeColor="text1"/>
                <w:szCs w:val="24"/>
              </w:rPr>
              <w:t>section of</w:t>
            </w:r>
            <w:r w:rsidR="001529F4" w:rsidRPr="001529F4">
              <w:rPr>
                <w:rFonts w:ascii="Aptos" w:hAnsi="Aptos" w:cstheme="minorHAnsi"/>
                <w:color w:val="000000" w:themeColor="text1"/>
                <w:szCs w:val="24"/>
              </w:rPr>
              <w:t xml:space="preserve"> the </w:t>
            </w:r>
            <w:proofErr w:type="spellStart"/>
            <w:r w:rsidR="001529F4" w:rsidRPr="001529F4">
              <w:rPr>
                <w:rFonts w:ascii="Aptos" w:hAnsi="Aptos" w:cstheme="minorHAnsi"/>
                <w:color w:val="000000" w:themeColor="text1"/>
                <w:szCs w:val="24"/>
              </w:rPr>
              <w:t>RoR</w:t>
            </w:r>
            <w:proofErr w:type="spellEnd"/>
            <w:r w:rsidR="001529F4" w:rsidRPr="001529F4">
              <w:rPr>
                <w:rFonts w:ascii="Aptos" w:hAnsi="Aptos" w:cstheme="minorHAnsi"/>
                <w:color w:val="000000" w:themeColor="text1"/>
                <w:szCs w:val="24"/>
              </w:rPr>
              <w:t xml:space="preserve"> </w:t>
            </w:r>
            <w:r w:rsidR="000A7777">
              <w:rPr>
                <w:rFonts w:ascii="Aptos" w:hAnsi="Aptos" w:cstheme="minorHAnsi"/>
                <w:color w:val="000000" w:themeColor="text1"/>
                <w:szCs w:val="24"/>
              </w:rPr>
              <w:t>f</w:t>
            </w:r>
            <w:r w:rsidR="001529F4" w:rsidRPr="001529F4">
              <w:rPr>
                <w:rFonts w:ascii="Aptos" w:hAnsi="Aptos" w:cstheme="minorHAnsi"/>
                <w:color w:val="000000" w:themeColor="text1"/>
                <w:szCs w:val="24"/>
              </w:rPr>
              <w:t>act</w:t>
            </w:r>
            <w:r w:rsidR="000A7777">
              <w:rPr>
                <w:rFonts w:ascii="Aptos" w:hAnsi="Aptos" w:cstheme="minorHAnsi"/>
                <w:color w:val="000000" w:themeColor="text1"/>
                <w:szCs w:val="24"/>
              </w:rPr>
              <w:t xml:space="preserve"> </w:t>
            </w:r>
            <w:r w:rsidR="001529F4" w:rsidRPr="001529F4">
              <w:rPr>
                <w:rFonts w:ascii="Aptos" w:hAnsi="Aptos" w:cstheme="minorHAnsi"/>
                <w:color w:val="000000" w:themeColor="text1"/>
                <w:szCs w:val="24"/>
              </w:rPr>
              <w:t>sheet</w:t>
            </w:r>
            <w:r>
              <w:rPr>
                <w:rFonts w:ascii="Aptos" w:hAnsi="Aptos"/>
                <w:color w:val="000000" w:themeColor="text1"/>
              </w:rPr>
              <w:t xml:space="preserve"> for the supporting information NOPTA expects to be included</w:t>
            </w:r>
            <w:r w:rsidR="001529F4" w:rsidRPr="001529F4">
              <w:rPr>
                <w:rFonts w:ascii="Aptos" w:hAnsi="Aptos" w:cstheme="minorHAnsi"/>
                <w:color w:val="000000" w:themeColor="text1"/>
                <w:szCs w:val="24"/>
              </w:rPr>
              <w:t>.</w:t>
            </w:r>
          </w:p>
        </w:tc>
      </w:tr>
      <w:tr w:rsidR="001529F4" w:rsidRPr="00DA1A01" w14:paraId="70501283" w14:textId="77777777">
        <w:tc>
          <w:tcPr>
            <w:tcW w:w="704" w:type="dxa"/>
          </w:tcPr>
          <w:p w14:paraId="1C213341" w14:textId="77777777" w:rsidR="001529F4" w:rsidRPr="00DA1A01" w:rsidRDefault="001529F4" w:rsidP="005E1794">
            <w:pPr>
              <w:pStyle w:val="ListParagraph"/>
              <w:numPr>
                <w:ilvl w:val="0"/>
                <w:numId w:val="8"/>
              </w:numPr>
              <w:spacing w:before="60" w:after="60"/>
              <w:ind w:left="227" w:firstLine="0"/>
              <w:contextualSpacing w:val="0"/>
              <w:jc w:val="right"/>
              <w:rPr>
                <w:szCs w:val="24"/>
              </w:rPr>
            </w:pPr>
          </w:p>
        </w:tc>
        <w:tc>
          <w:tcPr>
            <w:tcW w:w="8930" w:type="dxa"/>
          </w:tcPr>
          <w:p w14:paraId="40B81024" w14:textId="5BCB9568" w:rsidR="001529F4" w:rsidRPr="001529F4" w:rsidRDefault="001529F4" w:rsidP="001529F4">
            <w:pPr>
              <w:pStyle w:val="NoSpacing"/>
              <w:spacing w:before="60" w:after="60"/>
              <w:rPr>
                <w:color w:val="000000" w:themeColor="text1"/>
                <w:sz w:val="24"/>
                <w:szCs w:val="24"/>
              </w:rPr>
            </w:pPr>
            <w:r w:rsidRPr="001529F4">
              <w:rPr>
                <w:rFonts w:ascii="Aptos" w:hAnsi="Aptos" w:cstheme="minorHAnsi"/>
                <w:color w:val="000000" w:themeColor="text1"/>
                <w:sz w:val="24"/>
                <w:szCs w:val="24"/>
              </w:rPr>
              <w:t xml:space="preserve">A statement </w:t>
            </w:r>
            <w:proofErr w:type="gramStart"/>
            <w:r w:rsidRPr="001529F4">
              <w:rPr>
                <w:rFonts w:ascii="Aptos" w:hAnsi="Aptos" w:cstheme="minorHAnsi"/>
                <w:color w:val="000000" w:themeColor="text1"/>
                <w:sz w:val="24"/>
                <w:szCs w:val="24"/>
              </w:rPr>
              <w:t>of</w:t>
            </w:r>
            <w:proofErr w:type="gramEnd"/>
            <w:r w:rsidRPr="001529F4">
              <w:rPr>
                <w:rFonts w:ascii="Aptos" w:hAnsi="Aptos" w:cstheme="minorHAnsi"/>
                <w:color w:val="000000" w:themeColor="text1"/>
                <w:sz w:val="24"/>
                <w:szCs w:val="24"/>
              </w:rPr>
              <w:t xml:space="preserve"> any other matters that the applicant wishes to be considered.</w:t>
            </w:r>
          </w:p>
        </w:tc>
      </w:tr>
      <w:tr w:rsidR="001529F4" w:rsidRPr="00DA1A01" w14:paraId="016AE7AB" w14:textId="77777777">
        <w:tc>
          <w:tcPr>
            <w:tcW w:w="704" w:type="dxa"/>
          </w:tcPr>
          <w:p w14:paraId="4AE318D6" w14:textId="77777777" w:rsidR="001529F4" w:rsidRPr="00DA1A01" w:rsidRDefault="001529F4" w:rsidP="005E1794">
            <w:pPr>
              <w:pStyle w:val="ListParagraph"/>
              <w:numPr>
                <w:ilvl w:val="0"/>
                <w:numId w:val="8"/>
              </w:numPr>
              <w:spacing w:before="60" w:after="60"/>
              <w:ind w:left="227" w:firstLine="0"/>
              <w:contextualSpacing w:val="0"/>
              <w:jc w:val="right"/>
              <w:rPr>
                <w:szCs w:val="24"/>
              </w:rPr>
            </w:pPr>
          </w:p>
        </w:tc>
        <w:tc>
          <w:tcPr>
            <w:tcW w:w="8930" w:type="dxa"/>
          </w:tcPr>
          <w:p w14:paraId="053C9D4B" w14:textId="2C2FA1B5" w:rsidR="001529F4" w:rsidRPr="001529F4" w:rsidRDefault="001529F4" w:rsidP="001529F4">
            <w:pPr>
              <w:keepNext/>
              <w:spacing w:before="60" w:after="60"/>
              <w:rPr>
                <w:color w:val="000000" w:themeColor="text1"/>
                <w:szCs w:val="24"/>
              </w:rPr>
            </w:pPr>
            <w:r w:rsidRPr="001529F4">
              <w:rPr>
                <w:rFonts w:ascii="Aptos" w:hAnsi="Aptos" w:cstheme="minorHAnsi"/>
                <w:color w:val="000000" w:themeColor="text1"/>
                <w:szCs w:val="24"/>
              </w:rPr>
              <w:t xml:space="preserve">Figures in the text should be </w:t>
            </w:r>
            <w:proofErr w:type="gramStart"/>
            <w:r w:rsidRPr="001529F4">
              <w:rPr>
                <w:rFonts w:ascii="Aptos" w:hAnsi="Aptos" w:cstheme="minorHAnsi"/>
                <w:color w:val="000000" w:themeColor="text1"/>
                <w:szCs w:val="24"/>
              </w:rPr>
              <w:t>legible, and</w:t>
            </w:r>
            <w:proofErr w:type="gramEnd"/>
            <w:r w:rsidRPr="001529F4">
              <w:rPr>
                <w:rFonts w:ascii="Aptos" w:hAnsi="Aptos" w:cstheme="minorHAnsi"/>
                <w:color w:val="000000" w:themeColor="text1"/>
                <w:szCs w:val="24"/>
              </w:rPr>
              <w:t xml:space="preserve"> should also be provided as separate files in an attached appendix at a resolution of at least 300 dpi.</w:t>
            </w:r>
          </w:p>
        </w:tc>
      </w:tr>
    </w:tbl>
    <w:p w14:paraId="7F746471" w14:textId="2B6EED62" w:rsidR="003F1C4A" w:rsidRDefault="003F1C4A">
      <w:pPr>
        <w:spacing w:before="0" w:after="160" w:line="259" w:lineRule="auto"/>
        <w:rPr>
          <w:rFonts w:ascii="Aptos Display" w:eastAsiaTheme="majorEastAsia" w:hAnsi="Aptos Display" w:cstheme="majorBidi"/>
          <w:color w:val="15659B" w:themeColor="accent4"/>
          <w:sz w:val="36"/>
          <w:szCs w:val="48"/>
        </w:rPr>
      </w:pPr>
    </w:p>
    <w:sectPr w:rsidR="003F1C4A" w:rsidSect="003D28B2">
      <w:headerReference w:type="default" r:id="rId20"/>
      <w:footerReference w:type="default" r:id="rId21"/>
      <w:footerReference w:type="first" r:id="rId22"/>
      <w:pgSz w:w="11906" w:h="16838"/>
      <w:pgMar w:top="851" w:right="1134" w:bottom="851"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4A9B9" w14:textId="77777777" w:rsidR="004963D1" w:rsidRDefault="004963D1" w:rsidP="00B251DB">
      <w:pPr>
        <w:spacing w:after="0"/>
      </w:pPr>
      <w:r>
        <w:separator/>
      </w:r>
    </w:p>
  </w:endnote>
  <w:endnote w:type="continuationSeparator" w:id="0">
    <w:p w14:paraId="1BFEFD7A" w14:textId="77777777" w:rsidR="004963D1" w:rsidRDefault="004963D1" w:rsidP="00B251DB">
      <w:pPr>
        <w:spacing w:after="0"/>
      </w:pPr>
      <w:r>
        <w:continuationSeparator/>
      </w:r>
    </w:p>
  </w:endnote>
  <w:endnote w:type="continuationNotice" w:id="1">
    <w:p w14:paraId="11FEE5FE" w14:textId="77777777" w:rsidR="004963D1" w:rsidRDefault="004963D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82F7" w14:textId="5EE3D815" w:rsidR="0035140F" w:rsidRDefault="00015DDF" w:rsidP="00F8108A">
    <w:pPr>
      <w:pStyle w:val="Footer"/>
      <w:tabs>
        <w:tab w:val="clear" w:pos="4513"/>
        <w:tab w:val="clear" w:pos="9026"/>
        <w:tab w:val="right" w:pos="9638"/>
      </w:tabs>
      <w:spacing w:before="0"/>
    </w:pPr>
    <w:r>
      <w:rPr>
        <w:color w:val="001B35" w:themeColor="accent1"/>
      </w:rPr>
      <w:t>Rate of recovery and equipment and procedures – forms guidance</w:t>
    </w:r>
    <w:r w:rsidR="00BD0F8A">
      <w:tab/>
    </w:r>
  </w:p>
  <w:p w14:paraId="3D1B1060" w14:textId="60508777" w:rsidR="00D27B99" w:rsidRDefault="0035140F" w:rsidP="00006AFE">
    <w:pPr>
      <w:pStyle w:val="Footer"/>
      <w:tabs>
        <w:tab w:val="clear" w:pos="4513"/>
        <w:tab w:val="clear" w:pos="9026"/>
        <w:tab w:val="left" w:pos="4585"/>
        <w:tab w:val="right" w:pos="9638"/>
      </w:tabs>
      <w:rPr>
        <w:noProof/>
      </w:rPr>
    </w:pPr>
    <w:r w:rsidRPr="00C65E4E">
      <w:rPr>
        <w:b/>
        <w:bCs/>
        <w:color w:val="15659B" w:themeColor="accent4"/>
      </w:rPr>
      <w:t>|</w:t>
    </w:r>
    <w:r w:rsidRPr="0035140F">
      <w:rPr>
        <w:b/>
        <w:bCs/>
        <w:color w:val="001B35" w:themeColor="accent1"/>
      </w:rPr>
      <w:t xml:space="preserve"> </w:t>
    </w:r>
    <w:r w:rsidR="00B70752">
      <w:rPr>
        <w:b/>
        <w:bCs/>
        <w:color w:val="001B35" w:themeColor="accent1"/>
      </w:rPr>
      <w:t>nopta</w:t>
    </w:r>
    <w:r w:rsidR="00BD0F8A" w:rsidRPr="0035140F">
      <w:rPr>
        <w:b/>
        <w:bCs/>
        <w:color w:val="001B35" w:themeColor="accent1"/>
      </w:rPr>
      <w:t>.</w:t>
    </w:r>
    <w:r w:rsidR="00BD0F8A" w:rsidRPr="0035140F">
      <w:rPr>
        <w:color w:val="001B35" w:themeColor="accent1"/>
      </w:rPr>
      <w:t>gov.au</w:t>
    </w:r>
    <w:r w:rsidR="00BD0F8A">
      <w:tab/>
    </w:r>
    <w:r w:rsidR="00F8108A">
      <w:tab/>
    </w:r>
    <w:sdt>
      <w:sdtPr>
        <w:id w:val="-1044901746"/>
        <w:docPartObj>
          <w:docPartGallery w:val="Page Numbers (Bottom of Page)"/>
          <w:docPartUnique/>
        </w:docPartObj>
      </w:sdtPr>
      <w:sdtEndPr>
        <w:rPr>
          <w:noProof/>
        </w:rPr>
      </w:sdtEndPr>
      <w:sdtContent>
        <w:r w:rsidR="00BD0F8A">
          <w:fldChar w:fldCharType="begin"/>
        </w:r>
        <w:r w:rsidR="00BD0F8A">
          <w:instrText xml:space="preserve"> PAGE   \* MERGEFORMAT </w:instrText>
        </w:r>
        <w:r w:rsidR="00BD0F8A">
          <w:fldChar w:fldCharType="separate"/>
        </w:r>
        <w:r w:rsidR="004E5181">
          <w:rPr>
            <w:noProof/>
          </w:rPr>
          <w:t>7</w:t>
        </w:r>
        <w:r w:rsidR="00BD0F8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E826" w14:textId="32A0202D" w:rsidR="004A7856" w:rsidRDefault="00015DDF" w:rsidP="00F8108A">
    <w:pPr>
      <w:pStyle w:val="Footer"/>
      <w:tabs>
        <w:tab w:val="clear" w:pos="4513"/>
        <w:tab w:val="clear" w:pos="9026"/>
        <w:tab w:val="center" w:pos="4820"/>
        <w:tab w:val="right" w:pos="9638"/>
      </w:tabs>
    </w:pPr>
    <w:r>
      <w:rPr>
        <w:color w:val="001B35" w:themeColor="accent1"/>
      </w:rPr>
      <w:t>Rate of recovery and equipment and procedures – forms guidance</w:t>
    </w:r>
    <w:r w:rsidR="004A7856">
      <w:tab/>
    </w:r>
  </w:p>
  <w:p w14:paraId="74E39AA6" w14:textId="0627ED03" w:rsidR="00194586" w:rsidRPr="00F8108A" w:rsidRDefault="004A7856" w:rsidP="00F8108A">
    <w:pPr>
      <w:pStyle w:val="Footer"/>
      <w:tabs>
        <w:tab w:val="clear" w:pos="4513"/>
        <w:tab w:val="clear" w:pos="9026"/>
        <w:tab w:val="right" w:pos="9638"/>
      </w:tabs>
      <w:rPr>
        <w:b/>
        <w:bCs/>
      </w:rPr>
    </w:pPr>
    <w:r w:rsidRPr="00C65E4E">
      <w:rPr>
        <w:b/>
        <w:bCs/>
        <w:color w:val="15659B" w:themeColor="accent4"/>
      </w:rPr>
      <w:t>|</w:t>
    </w:r>
    <w:r w:rsidRPr="0035140F">
      <w:rPr>
        <w:b/>
        <w:bCs/>
        <w:color w:val="001B35" w:themeColor="accent1"/>
      </w:rPr>
      <w:t xml:space="preserve"> </w:t>
    </w:r>
    <w:r w:rsidR="00C62878">
      <w:rPr>
        <w:b/>
        <w:bCs/>
        <w:color w:val="001B35" w:themeColor="accent1"/>
      </w:rPr>
      <w:t>nopta</w:t>
    </w:r>
    <w:r w:rsidRPr="0035140F">
      <w:rPr>
        <w:b/>
        <w:bCs/>
        <w:color w:val="001B35" w:themeColor="accent1"/>
      </w:rPr>
      <w:t>.</w:t>
    </w:r>
    <w:r w:rsidRPr="0035140F">
      <w:rPr>
        <w:color w:val="001B35" w:themeColor="accent1"/>
      </w:rPr>
      <w:t>gov.au</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675FB" w14:textId="77777777" w:rsidR="004963D1" w:rsidRDefault="004963D1" w:rsidP="00B251DB">
      <w:pPr>
        <w:spacing w:after="0"/>
      </w:pPr>
      <w:r>
        <w:separator/>
      </w:r>
    </w:p>
  </w:footnote>
  <w:footnote w:type="continuationSeparator" w:id="0">
    <w:p w14:paraId="46D56A3C" w14:textId="77777777" w:rsidR="004963D1" w:rsidRDefault="004963D1" w:rsidP="00B251DB">
      <w:pPr>
        <w:spacing w:after="0"/>
      </w:pPr>
      <w:r>
        <w:continuationSeparator/>
      </w:r>
    </w:p>
  </w:footnote>
  <w:footnote w:type="continuationNotice" w:id="1">
    <w:p w14:paraId="7240DA5A" w14:textId="77777777" w:rsidR="004963D1" w:rsidRDefault="004963D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D8D6" w14:textId="77777777" w:rsidR="00846F20" w:rsidRDefault="00846F20" w:rsidP="00F8108A">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42544F"/>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803280"/>
    <w:multiLevelType w:val="hybridMultilevel"/>
    <w:tmpl w:val="5F0A624E"/>
    <w:lvl w:ilvl="0" w:tplc="FFFFFFFF">
      <w:start w:val="1"/>
      <w:numFmt w:val="decimal"/>
      <w:lvlText w:val="%1"/>
      <w:lvlJc w:val="left"/>
      <w:pPr>
        <w:ind w:left="928"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2609D8"/>
    <w:multiLevelType w:val="hybridMultilevel"/>
    <w:tmpl w:val="B2A27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D615E7"/>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9C60C9"/>
    <w:multiLevelType w:val="hybridMultilevel"/>
    <w:tmpl w:val="83108C84"/>
    <w:lvl w:ilvl="0" w:tplc="6A50F8DA">
      <w:start w:val="1"/>
      <w:numFmt w:val="bullet"/>
      <w:pStyle w:val="ListParagraph"/>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5F274D"/>
    <w:multiLevelType w:val="hybridMultilevel"/>
    <w:tmpl w:val="B316C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5868CF"/>
    <w:multiLevelType w:val="hybridMultilevel"/>
    <w:tmpl w:val="32E029C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5ABB7229"/>
    <w:multiLevelType w:val="hybridMultilevel"/>
    <w:tmpl w:val="A7F27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CB96A14"/>
    <w:multiLevelType w:val="hybridMultilevel"/>
    <w:tmpl w:val="8AD44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98605F4"/>
    <w:multiLevelType w:val="hybridMultilevel"/>
    <w:tmpl w:val="286040B8"/>
    <w:lvl w:ilvl="0" w:tplc="0C090003">
      <w:start w:val="1"/>
      <w:numFmt w:val="bullet"/>
      <w:lvlText w:val="o"/>
      <w:lvlJc w:val="left"/>
      <w:pPr>
        <w:ind w:left="1486" w:hanging="360"/>
      </w:pPr>
      <w:rPr>
        <w:rFonts w:ascii="Courier New" w:hAnsi="Courier New" w:cs="Courier New" w:hint="default"/>
      </w:rPr>
    </w:lvl>
    <w:lvl w:ilvl="1" w:tplc="0C090003" w:tentative="1">
      <w:start w:val="1"/>
      <w:numFmt w:val="bullet"/>
      <w:lvlText w:val="o"/>
      <w:lvlJc w:val="left"/>
      <w:pPr>
        <w:ind w:left="2206" w:hanging="360"/>
      </w:pPr>
      <w:rPr>
        <w:rFonts w:ascii="Courier New" w:hAnsi="Courier New" w:cs="Courier New" w:hint="default"/>
      </w:rPr>
    </w:lvl>
    <w:lvl w:ilvl="2" w:tplc="0C090005" w:tentative="1">
      <w:start w:val="1"/>
      <w:numFmt w:val="bullet"/>
      <w:lvlText w:val=""/>
      <w:lvlJc w:val="left"/>
      <w:pPr>
        <w:ind w:left="2926" w:hanging="360"/>
      </w:pPr>
      <w:rPr>
        <w:rFonts w:ascii="Wingdings" w:hAnsi="Wingdings" w:hint="default"/>
      </w:rPr>
    </w:lvl>
    <w:lvl w:ilvl="3" w:tplc="0C090001" w:tentative="1">
      <w:start w:val="1"/>
      <w:numFmt w:val="bullet"/>
      <w:lvlText w:val=""/>
      <w:lvlJc w:val="left"/>
      <w:pPr>
        <w:ind w:left="3646" w:hanging="360"/>
      </w:pPr>
      <w:rPr>
        <w:rFonts w:ascii="Symbol" w:hAnsi="Symbol" w:hint="default"/>
      </w:rPr>
    </w:lvl>
    <w:lvl w:ilvl="4" w:tplc="0C090003" w:tentative="1">
      <w:start w:val="1"/>
      <w:numFmt w:val="bullet"/>
      <w:lvlText w:val="o"/>
      <w:lvlJc w:val="left"/>
      <w:pPr>
        <w:ind w:left="4366" w:hanging="360"/>
      </w:pPr>
      <w:rPr>
        <w:rFonts w:ascii="Courier New" w:hAnsi="Courier New" w:cs="Courier New" w:hint="default"/>
      </w:rPr>
    </w:lvl>
    <w:lvl w:ilvl="5" w:tplc="0C090005" w:tentative="1">
      <w:start w:val="1"/>
      <w:numFmt w:val="bullet"/>
      <w:lvlText w:val=""/>
      <w:lvlJc w:val="left"/>
      <w:pPr>
        <w:ind w:left="5086" w:hanging="360"/>
      </w:pPr>
      <w:rPr>
        <w:rFonts w:ascii="Wingdings" w:hAnsi="Wingdings" w:hint="default"/>
      </w:rPr>
    </w:lvl>
    <w:lvl w:ilvl="6" w:tplc="0C090001" w:tentative="1">
      <w:start w:val="1"/>
      <w:numFmt w:val="bullet"/>
      <w:lvlText w:val=""/>
      <w:lvlJc w:val="left"/>
      <w:pPr>
        <w:ind w:left="5806" w:hanging="360"/>
      </w:pPr>
      <w:rPr>
        <w:rFonts w:ascii="Symbol" w:hAnsi="Symbol" w:hint="default"/>
      </w:rPr>
    </w:lvl>
    <w:lvl w:ilvl="7" w:tplc="0C090003" w:tentative="1">
      <w:start w:val="1"/>
      <w:numFmt w:val="bullet"/>
      <w:lvlText w:val="o"/>
      <w:lvlJc w:val="left"/>
      <w:pPr>
        <w:ind w:left="6526" w:hanging="360"/>
      </w:pPr>
      <w:rPr>
        <w:rFonts w:ascii="Courier New" w:hAnsi="Courier New" w:cs="Courier New" w:hint="default"/>
      </w:rPr>
    </w:lvl>
    <w:lvl w:ilvl="8" w:tplc="0C090005" w:tentative="1">
      <w:start w:val="1"/>
      <w:numFmt w:val="bullet"/>
      <w:lvlText w:val=""/>
      <w:lvlJc w:val="left"/>
      <w:pPr>
        <w:ind w:left="7246" w:hanging="360"/>
      </w:pPr>
      <w:rPr>
        <w:rFonts w:ascii="Wingdings" w:hAnsi="Wingdings" w:hint="default"/>
      </w:rPr>
    </w:lvl>
  </w:abstractNum>
  <w:abstractNum w:abstractNumId="12" w15:restartNumberingAfterBreak="0">
    <w:nsid w:val="77A12634"/>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60547498">
    <w:abstractNumId w:val="1"/>
  </w:num>
  <w:num w:numId="2" w16cid:durableId="1405948882">
    <w:abstractNumId w:val="0"/>
  </w:num>
  <w:num w:numId="3" w16cid:durableId="1386446016">
    <w:abstractNumId w:val="6"/>
  </w:num>
  <w:num w:numId="4" w16cid:durableId="532809632">
    <w:abstractNumId w:val="7"/>
  </w:num>
  <w:num w:numId="5" w16cid:durableId="1067725534">
    <w:abstractNumId w:val="12"/>
  </w:num>
  <w:num w:numId="6" w16cid:durableId="572816007">
    <w:abstractNumId w:val="2"/>
  </w:num>
  <w:num w:numId="7" w16cid:durableId="130296668">
    <w:abstractNumId w:val="3"/>
  </w:num>
  <w:num w:numId="8" w16cid:durableId="1934895669">
    <w:abstractNumId w:val="5"/>
  </w:num>
  <w:num w:numId="9" w16cid:durableId="276447204">
    <w:abstractNumId w:val="10"/>
  </w:num>
  <w:num w:numId="10" w16cid:durableId="826629505">
    <w:abstractNumId w:val="11"/>
  </w:num>
  <w:num w:numId="11" w16cid:durableId="73554995">
    <w:abstractNumId w:val="9"/>
  </w:num>
  <w:num w:numId="12" w16cid:durableId="2117824160">
    <w:abstractNumId w:val="8"/>
  </w:num>
  <w:num w:numId="13" w16cid:durableId="1446926798">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EC"/>
    <w:rsid w:val="00003467"/>
    <w:rsid w:val="00003766"/>
    <w:rsid w:val="0000629B"/>
    <w:rsid w:val="000065E3"/>
    <w:rsid w:val="00006AFE"/>
    <w:rsid w:val="00012F57"/>
    <w:rsid w:val="00015DDF"/>
    <w:rsid w:val="00016803"/>
    <w:rsid w:val="00020A97"/>
    <w:rsid w:val="000238E6"/>
    <w:rsid w:val="00025B97"/>
    <w:rsid w:val="00032995"/>
    <w:rsid w:val="00033163"/>
    <w:rsid w:val="000341D6"/>
    <w:rsid w:val="00034867"/>
    <w:rsid w:val="000375FF"/>
    <w:rsid w:val="0004389F"/>
    <w:rsid w:val="00043AF0"/>
    <w:rsid w:val="00043F36"/>
    <w:rsid w:val="000440A4"/>
    <w:rsid w:val="00044B66"/>
    <w:rsid w:val="00047436"/>
    <w:rsid w:val="0005039B"/>
    <w:rsid w:val="0005518B"/>
    <w:rsid w:val="000552B3"/>
    <w:rsid w:val="000555D4"/>
    <w:rsid w:val="000570BB"/>
    <w:rsid w:val="000604C2"/>
    <w:rsid w:val="00060EA7"/>
    <w:rsid w:val="00061AED"/>
    <w:rsid w:val="00063D22"/>
    <w:rsid w:val="0007067B"/>
    <w:rsid w:val="00073921"/>
    <w:rsid w:val="00075C5B"/>
    <w:rsid w:val="00076D28"/>
    <w:rsid w:val="0008167B"/>
    <w:rsid w:val="00081D07"/>
    <w:rsid w:val="00083439"/>
    <w:rsid w:val="00084308"/>
    <w:rsid w:val="000847B2"/>
    <w:rsid w:val="00085ADC"/>
    <w:rsid w:val="00090A71"/>
    <w:rsid w:val="00090DDB"/>
    <w:rsid w:val="000947F2"/>
    <w:rsid w:val="000958C3"/>
    <w:rsid w:val="000A1EA8"/>
    <w:rsid w:val="000A75CB"/>
    <w:rsid w:val="000A7777"/>
    <w:rsid w:val="000B0C60"/>
    <w:rsid w:val="000B0E49"/>
    <w:rsid w:val="000B4AE8"/>
    <w:rsid w:val="000B6A13"/>
    <w:rsid w:val="000B6C60"/>
    <w:rsid w:val="000B7CB8"/>
    <w:rsid w:val="000C11EC"/>
    <w:rsid w:val="000C1DC8"/>
    <w:rsid w:val="000C29D0"/>
    <w:rsid w:val="000C3494"/>
    <w:rsid w:val="000C7F5D"/>
    <w:rsid w:val="000D2080"/>
    <w:rsid w:val="000D27DF"/>
    <w:rsid w:val="000D5AB9"/>
    <w:rsid w:val="000E05D1"/>
    <w:rsid w:val="000E0F53"/>
    <w:rsid w:val="000E48E0"/>
    <w:rsid w:val="000E4E43"/>
    <w:rsid w:val="000E599A"/>
    <w:rsid w:val="000E5C60"/>
    <w:rsid w:val="000F2564"/>
    <w:rsid w:val="000F2C57"/>
    <w:rsid w:val="000F2E5C"/>
    <w:rsid w:val="000F2F6E"/>
    <w:rsid w:val="000F3E02"/>
    <w:rsid w:val="000F572E"/>
    <w:rsid w:val="000F6B6F"/>
    <w:rsid w:val="001015E0"/>
    <w:rsid w:val="00102949"/>
    <w:rsid w:val="00102B64"/>
    <w:rsid w:val="00104902"/>
    <w:rsid w:val="001063B9"/>
    <w:rsid w:val="001074E4"/>
    <w:rsid w:val="001106B9"/>
    <w:rsid w:val="001112AC"/>
    <w:rsid w:val="001138DA"/>
    <w:rsid w:val="00115262"/>
    <w:rsid w:val="0012041A"/>
    <w:rsid w:val="0012342D"/>
    <w:rsid w:val="00123732"/>
    <w:rsid w:val="001238F7"/>
    <w:rsid w:val="00126630"/>
    <w:rsid w:val="00134750"/>
    <w:rsid w:val="00134AA6"/>
    <w:rsid w:val="001432B8"/>
    <w:rsid w:val="001432D4"/>
    <w:rsid w:val="00144A18"/>
    <w:rsid w:val="00144C6D"/>
    <w:rsid w:val="001453E8"/>
    <w:rsid w:val="00151A23"/>
    <w:rsid w:val="001529F4"/>
    <w:rsid w:val="00153C15"/>
    <w:rsid w:val="00154F1F"/>
    <w:rsid w:val="00155BB0"/>
    <w:rsid w:val="00157300"/>
    <w:rsid w:val="001609A1"/>
    <w:rsid w:val="00163F3E"/>
    <w:rsid w:val="00164B5B"/>
    <w:rsid w:val="0017167B"/>
    <w:rsid w:val="00171757"/>
    <w:rsid w:val="00175534"/>
    <w:rsid w:val="00176E94"/>
    <w:rsid w:val="0018753C"/>
    <w:rsid w:val="00190DCE"/>
    <w:rsid w:val="00194586"/>
    <w:rsid w:val="001A0EDB"/>
    <w:rsid w:val="001A38CC"/>
    <w:rsid w:val="001A3E32"/>
    <w:rsid w:val="001A5260"/>
    <w:rsid w:val="001B1BFD"/>
    <w:rsid w:val="001B273D"/>
    <w:rsid w:val="001B314C"/>
    <w:rsid w:val="001C3729"/>
    <w:rsid w:val="001C5745"/>
    <w:rsid w:val="001D09F9"/>
    <w:rsid w:val="001D1834"/>
    <w:rsid w:val="001D216A"/>
    <w:rsid w:val="001D2E82"/>
    <w:rsid w:val="001D49B9"/>
    <w:rsid w:val="001D51DA"/>
    <w:rsid w:val="001E151C"/>
    <w:rsid w:val="001E225D"/>
    <w:rsid w:val="001E2650"/>
    <w:rsid w:val="001E562A"/>
    <w:rsid w:val="001F1284"/>
    <w:rsid w:val="001F388D"/>
    <w:rsid w:val="001F4792"/>
    <w:rsid w:val="001F5660"/>
    <w:rsid w:val="001F5AB1"/>
    <w:rsid w:val="001F5E34"/>
    <w:rsid w:val="00200B3C"/>
    <w:rsid w:val="002020E0"/>
    <w:rsid w:val="00205DF3"/>
    <w:rsid w:val="002067E4"/>
    <w:rsid w:val="002114FF"/>
    <w:rsid w:val="00211CC6"/>
    <w:rsid w:val="00216A94"/>
    <w:rsid w:val="0021794F"/>
    <w:rsid w:val="0022083E"/>
    <w:rsid w:val="00222D0B"/>
    <w:rsid w:val="00224BB0"/>
    <w:rsid w:val="00226040"/>
    <w:rsid w:val="00230426"/>
    <w:rsid w:val="0023065B"/>
    <w:rsid w:val="00232AC5"/>
    <w:rsid w:val="00236555"/>
    <w:rsid w:val="002367B4"/>
    <w:rsid w:val="00236F78"/>
    <w:rsid w:val="00241D3D"/>
    <w:rsid w:val="00242A5F"/>
    <w:rsid w:val="0024326D"/>
    <w:rsid w:val="00244467"/>
    <w:rsid w:val="00244736"/>
    <w:rsid w:val="002508A1"/>
    <w:rsid w:val="00253550"/>
    <w:rsid w:val="00253E3A"/>
    <w:rsid w:val="00254DA8"/>
    <w:rsid w:val="0025530F"/>
    <w:rsid w:val="002556CA"/>
    <w:rsid w:val="00256BA2"/>
    <w:rsid w:val="0025758A"/>
    <w:rsid w:val="002617DA"/>
    <w:rsid w:val="00262C1B"/>
    <w:rsid w:val="00262F24"/>
    <w:rsid w:val="00263365"/>
    <w:rsid w:val="00265D50"/>
    <w:rsid w:val="0026697F"/>
    <w:rsid w:val="00266B15"/>
    <w:rsid w:val="00266F7C"/>
    <w:rsid w:val="002703FF"/>
    <w:rsid w:val="00272B04"/>
    <w:rsid w:val="00274364"/>
    <w:rsid w:val="00274C94"/>
    <w:rsid w:val="00274FFD"/>
    <w:rsid w:val="0028122F"/>
    <w:rsid w:val="00282ED3"/>
    <w:rsid w:val="00283142"/>
    <w:rsid w:val="00284798"/>
    <w:rsid w:val="002870BC"/>
    <w:rsid w:val="002A101F"/>
    <w:rsid w:val="002A158A"/>
    <w:rsid w:val="002A1F3B"/>
    <w:rsid w:val="002A3166"/>
    <w:rsid w:val="002A699B"/>
    <w:rsid w:val="002B17AE"/>
    <w:rsid w:val="002B2F46"/>
    <w:rsid w:val="002B3A3A"/>
    <w:rsid w:val="002B5C69"/>
    <w:rsid w:val="002B6C0C"/>
    <w:rsid w:val="002B7594"/>
    <w:rsid w:val="002C2544"/>
    <w:rsid w:val="002C3A85"/>
    <w:rsid w:val="002C5212"/>
    <w:rsid w:val="002C55E8"/>
    <w:rsid w:val="002D04FA"/>
    <w:rsid w:val="002D0767"/>
    <w:rsid w:val="002D230B"/>
    <w:rsid w:val="002E134E"/>
    <w:rsid w:val="002E236B"/>
    <w:rsid w:val="002E27B4"/>
    <w:rsid w:val="002E5543"/>
    <w:rsid w:val="002E7CAB"/>
    <w:rsid w:val="002F051B"/>
    <w:rsid w:val="002F36D9"/>
    <w:rsid w:val="002F3838"/>
    <w:rsid w:val="002F60C0"/>
    <w:rsid w:val="002F62FE"/>
    <w:rsid w:val="002F691D"/>
    <w:rsid w:val="002F7C2A"/>
    <w:rsid w:val="003006E2"/>
    <w:rsid w:val="00301947"/>
    <w:rsid w:val="003025EC"/>
    <w:rsid w:val="00302D6A"/>
    <w:rsid w:val="0031037C"/>
    <w:rsid w:val="0031048E"/>
    <w:rsid w:val="00310976"/>
    <w:rsid w:val="00312F02"/>
    <w:rsid w:val="00313044"/>
    <w:rsid w:val="0031654A"/>
    <w:rsid w:val="00320450"/>
    <w:rsid w:val="0032177D"/>
    <w:rsid w:val="00324ED1"/>
    <w:rsid w:val="00330C0B"/>
    <w:rsid w:val="00334920"/>
    <w:rsid w:val="00342FA9"/>
    <w:rsid w:val="00343409"/>
    <w:rsid w:val="003473C7"/>
    <w:rsid w:val="0035140F"/>
    <w:rsid w:val="00361761"/>
    <w:rsid w:val="00363025"/>
    <w:rsid w:val="00365726"/>
    <w:rsid w:val="00366E56"/>
    <w:rsid w:val="00371B4C"/>
    <w:rsid w:val="00372DA3"/>
    <w:rsid w:val="00373DA2"/>
    <w:rsid w:val="00375D85"/>
    <w:rsid w:val="00381783"/>
    <w:rsid w:val="00384D35"/>
    <w:rsid w:val="00393784"/>
    <w:rsid w:val="00393B33"/>
    <w:rsid w:val="00394EB5"/>
    <w:rsid w:val="00397874"/>
    <w:rsid w:val="003A0E7F"/>
    <w:rsid w:val="003A2D9C"/>
    <w:rsid w:val="003B5FC5"/>
    <w:rsid w:val="003B6078"/>
    <w:rsid w:val="003C583F"/>
    <w:rsid w:val="003D0E5B"/>
    <w:rsid w:val="003D21F1"/>
    <w:rsid w:val="003D28B2"/>
    <w:rsid w:val="003D325B"/>
    <w:rsid w:val="003D3522"/>
    <w:rsid w:val="003D38ED"/>
    <w:rsid w:val="003D43CF"/>
    <w:rsid w:val="003D544D"/>
    <w:rsid w:val="003D747D"/>
    <w:rsid w:val="003E2B20"/>
    <w:rsid w:val="003E3D0F"/>
    <w:rsid w:val="003E62E9"/>
    <w:rsid w:val="003F1C4A"/>
    <w:rsid w:val="003F7FE7"/>
    <w:rsid w:val="004002C1"/>
    <w:rsid w:val="00401756"/>
    <w:rsid w:val="004036E1"/>
    <w:rsid w:val="00406032"/>
    <w:rsid w:val="00407769"/>
    <w:rsid w:val="00407C93"/>
    <w:rsid w:val="00411379"/>
    <w:rsid w:val="004154DE"/>
    <w:rsid w:val="00415890"/>
    <w:rsid w:val="004162EA"/>
    <w:rsid w:val="004215CA"/>
    <w:rsid w:val="00423B2E"/>
    <w:rsid w:val="00423D13"/>
    <w:rsid w:val="00425309"/>
    <w:rsid w:val="00430D9B"/>
    <w:rsid w:val="00432C41"/>
    <w:rsid w:val="00434D46"/>
    <w:rsid w:val="0043720A"/>
    <w:rsid w:val="00443448"/>
    <w:rsid w:val="00447F32"/>
    <w:rsid w:val="00454350"/>
    <w:rsid w:val="00460557"/>
    <w:rsid w:val="004632E9"/>
    <w:rsid w:val="0046678C"/>
    <w:rsid w:val="004774BD"/>
    <w:rsid w:val="00482019"/>
    <w:rsid w:val="0048236F"/>
    <w:rsid w:val="00487E6F"/>
    <w:rsid w:val="0049005D"/>
    <w:rsid w:val="004936CB"/>
    <w:rsid w:val="004939C1"/>
    <w:rsid w:val="00493F51"/>
    <w:rsid w:val="004956E4"/>
    <w:rsid w:val="004963D1"/>
    <w:rsid w:val="004A098C"/>
    <w:rsid w:val="004A0EA5"/>
    <w:rsid w:val="004A55BD"/>
    <w:rsid w:val="004A6EDF"/>
    <w:rsid w:val="004A7856"/>
    <w:rsid w:val="004B4254"/>
    <w:rsid w:val="004B4401"/>
    <w:rsid w:val="004B6D19"/>
    <w:rsid w:val="004C0441"/>
    <w:rsid w:val="004C6680"/>
    <w:rsid w:val="004C7541"/>
    <w:rsid w:val="004D3B0F"/>
    <w:rsid w:val="004D3FE3"/>
    <w:rsid w:val="004D5914"/>
    <w:rsid w:val="004E0EDD"/>
    <w:rsid w:val="004E0F9E"/>
    <w:rsid w:val="004E12BC"/>
    <w:rsid w:val="004E23A9"/>
    <w:rsid w:val="004E2C9C"/>
    <w:rsid w:val="004E3013"/>
    <w:rsid w:val="004E4B60"/>
    <w:rsid w:val="004E5181"/>
    <w:rsid w:val="004E6343"/>
    <w:rsid w:val="004E75D2"/>
    <w:rsid w:val="004F01A4"/>
    <w:rsid w:val="004F3424"/>
    <w:rsid w:val="004F5BB1"/>
    <w:rsid w:val="004F6C36"/>
    <w:rsid w:val="0050001C"/>
    <w:rsid w:val="00500615"/>
    <w:rsid w:val="005044AE"/>
    <w:rsid w:val="00510815"/>
    <w:rsid w:val="00512647"/>
    <w:rsid w:val="00513152"/>
    <w:rsid w:val="005141B0"/>
    <w:rsid w:val="005158D1"/>
    <w:rsid w:val="00516B0E"/>
    <w:rsid w:val="0051779B"/>
    <w:rsid w:val="00525104"/>
    <w:rsid w:val="00527381"/>
    <w:rsid w:val="00531A87"/>
    <w:rsid w:val="00536A32"/>
    <w:rsid w:val="00537DDC"/>
    <w:rsid w:val="00540672"/>
    <w:rsid w:val="00541141"/>
    <w:rsid w:val="005419C2"/>
    <w:rsid w:val="0054482D"/>
    <w:rsid w:val="00546F16"/>
    <w:rsid w:val="005477DE"/>
    <w:rsid w:val="005512D6"/>
    <w:rsid w:val="005531A8"/>
    <w:rsid w:val="00553ACA"/>
    <w:rsid w:val="00561B20"/>
    <w:rsid w:val="0057003D"/>
    <w:rsid w:val="005706FD"/>
    <w:rsid w:val="00572521"/>
    <w:rsid w:val="005762C3"/>
    <w:rsid w:val="005777BC"/>
    <w:rsid w:val="0058270B"/>
    <w:rsid w:val="00582D24"/>
    <w:rsid w:val="00583909"/>
    <w:rsid w:val="00584B74"/>
    <w:rsid w:val="0058632D"/>
    <w:rsid w:val="0059702A"/>
    <w:rsid w:val="005A1B5C"/>
    <w:rsid w:val="005A26A3"/>
    <w:rsid w:val="005A3329"/>
    <w:rsid w:val="005A36BE"/>
    <w:rsid w:val="005A5DA9"/>
    <w:rsid w:val="005A64FB"/>
    <w:rsid w:val="005A75EC"/>
    <w:rsid w:val="005B1FDC"/>
    <w:rsid w:val="005B3D5C"/>
    <w:rsid w:val="005B5568"/>
    <w:rsid w:val="005C12AA"/>
    <w:rsid w:val="005C3AFB"/>
    <w:rsid w:val="005C5B50"/>
    <w:rsid w:val="005C5BB7"/>
    <w:rsid w:val="005C6018"/>
    <w:rsid w:val="005C7548"/>
    <w:rsid w:val="005D135D"/>
    <w:rsid w:val="005D1366"/>
    <w:rsid w:val="005D27F7"/>
    <w:rsid w:val="005D7624"/>
    <w:rsid w:val="005E1794"/>
    <w:rsid w:val="005E5611"/>
    <w:rsid w:val="005E5BA0"/>
    <w:rsid w:val="005E5BE0"/>
    <w:rsid w:val="005E5F5F"/>
    <w:rsid w:val="005F2113"/>
    <w:rsid w:val="005F767F"/>
    <w:rsid w:val="0060254A"/>
    <w:rsid w:val="006030EE"/>
    <w:rsid w:val="00603DDF"/>
    <w:rsid w:val="006046D3"/>
    <w:rsid w:val="00607188"/>
    <w:rsid w:val="0060732A"/>
    <w:rsid w:val="00611B97"/>
    <w:rsid w:val="006131F8"/>
    <w:rsid w:val="006150A6"/>
    <w:rsid w:val="00615151"/>
    <w:rsid w:val="00615F49"/>
    <w:rsid w:val="00616526"/>
    <w:rsid w:val="006175B8"/>
    <w:rsid w:val="00621CC2"/>
    <w:rsid w:val="00622252"/>
    <w:rsid w:val="00623633"/>
    <w:rsid w:val="00630B08"/>
    <w:rsid w:val="0063245B"/>
    <w:rsid w:val="006337C7"/>
    <w:rsid w:val="00635CF7"/>
    <w:rsid w:val="0064021E"/>
    <w:rsid w:val="006420A8"/>
    <w:rsid w:val="00642E5D"/>
    <w:rsid w:val="0064724D"/>
    <w:rsid w:val="00652C6F"/>
    <w:rsid w:val="00654EFD"/>
    <w:rsid w:val="00657602"/>
    <w:rsid w:val="00661BF4"/>
    <w:rsid w:val="00663347"/>
    <w:rsid w:val="00663611"/>
    <w:rsid w:val="00663AB2"/>
    <w:rsid w:val="00667A3F"/>
    <w:rsid w:val="00671011"/>
    <w:rsid w:val="00671D1D"/>
    <w:rsid w:val="00671FC8"/>
    <w:rsid w:val="006734B5"/>
    <w:rsid w:val="006774EB"/>
    <w:rsid w:val="0068286F"/>
    <w:rsid w:val="0068329A"/>
    <w:rsid w:val="00683F2E"/>
    <w:rsid w:val="00685177"/>
    <w:rsid w:val="006855B0"/>
    <w:rsid w:val="0069509D"/>
    <w:rsid w:val="00695B12"/>
    <w:rsid w:val="00697567"/>
    <w:rsid w:val="006976E4"/>
    <w:rsid w:val="00697C73"/>
    <w:rsid w:val="006A7078"/>
    <w:rsid w:val="006B278C"/>
    <w:rsid w:val="006B37B8"/>
    <w:rsid w:val="006C1806"/>
    <w:rsid w:val="006C29E9"/>
    <w:rsid w:val="006C4C9C"/>
    <w:rsid w:val="006C4F65"/>
    <w:rsid w:val="006D2221"/>
    <w:rsid w:val="006D33A0"/>
    <w:rsid w:val="006D683B"/>
    <w:rsid w:val="006D7C51"/>
    <w:rsid w:val="006E1636"/>
    <w:rsid w:val="006E1E6A"/>
    <w:rsid w:val="006E246C"/>
    <w:rsid w:val="006E25CF"/>
    <w:rsid w:val="006E29BB"/>
    <w:rsid w:val="006E4001"/>
    <w:rsid w:val="006F17F5"/>
    <w:rsid w:val="006F18F9"/>
    <w:rsid w:val="006F4DDE"/>
    <w:rsid w:val="006F58A5"/>
    <w:rsid w:val="006F6D91"/>
    <w:rsid w:val="0070235A"/>
    <w:rsid w:val="00702968"/>
    <w:rsid w:val="00703734"/>
    <w:rsid w:val="00711349"/>
    <w:rsid w:val="007130E9"/>
    <w:rsid w:val="00716360"/>
    <w:rsid w:val="0071693A"/>
    <w:rsid w:val="00717A50"/>
    <w:rsid w:val="00722A2C"/>
    <w:rsid w:val="00722F04"/>
    <w:rsid w:val="00723C5D"/>
    <w:rsid w:val="00725074"/>
    <w:rsid w:val="00726098"/>
    <w:rsid w:val="00726103"/>
    <w:rsid w:val="0072666C"/>
    <w:rsid w:val="00726B3B"/>
    <w:rsid w:val="00726D6E"/>
    <w:rsid w:val="007301C9"/>
    <w:rsid w:val="00730F57"/>
    <w:rsid w:val="00731133"/>
    <w:rsid w:val="00732FE6"/>
    <w:rsid w:val="0073362E"/>
    <w:rsid w:val="00737808"/>
    <w:rsid w:val="007378CD"/>
    <w:rsid w:val="00737F7C"/>
    <w:rsid w:val="00740282"/>
    <w:rsid w:val="007424E7"/>
    <w:rsid w:val="00747F8B"/>
    <w:rsid w:val="00752FEC"/>
    <w:rsid w:val="00755C3C"/>
    <w:rsid w:val="007618B4"/>
    <w:rsid w:val="00763143"/>
    <w:rsid w:val="00772ED3"/>
    <w:rsid w:val="0078074D"/>
    <w:rsid w:val="0078324F"/>
    <w:rsid w:val="007833EE"/>
    <w:rsid w:val="007952B2"/>
    <w:rsid w:val="007B02BE"/>
    <w:rsid w:val="007B0F68"/>
    <w:rsid w:val="007B478D"/>
    <w:rsid w:val="007B553F"/>
    <w:rsid w:val="007B67EC"/>
    <w:rsid w:val="007C7968"/>
    <w:rsid w:val="007D038F"/>
    <w:rsid w:val="007D3CDF"/>
    <w:rsid w:val="007D4CBB"/>
    <w:rsid w:val="007D5D6C"/>
    <w:rsid w:val="007D62C4"/>
    <w:rsid w:val="007D64D6"/>
    <w:rsid w:val="007E67D5"/>
    <w:rsid w:val="007F322C"/>
    <w:rsid w:val="007F6191"/>
    <w:rsid w:val="007F7421"/>
    <w:rsid w:val="0080465C"/>
    <w:rsid w:val="00804DBD"/>
    <w:rsid w:val="00806473"/>
    <w:rsid w:val="008123F6"/>
    <w:rsid w:val="00812D6B"/>
    <w:rsid w:val="00813036"/>
    <w:rsid w:val="00813910"/>
    <w:rsid w:val="00822F65"/>
    <w:rsid w:val="00823019"/>
    <w:rsid w:val="00826293"/>
    <w:rsid w:val="00831957"/>
    <w:rsid w:val="00832192"/>
    <w:rsid w:val="0083422E"/>
    <w:rsid w:val="00837F65"/>
    <w:rsid w:val="00843C79"/>
    <w:rsid w:val="00844847"/>
    <w:rsid w:val="00844E35"/>
    <w:rsid w:val="00845922"/>
    <w:rsid w:val="00846F20"/>
    <w:rsid w:val="0085012E"/>
    <w:rsid w:val="00853A7A"/>
    <w:rsid w:val="0085483F"/>
    <w:rsid w:val="008558D0"/>
    <w:rsid w:val="00855EE7"/>
    <w:rsid w:val="00856ABD"/>
    <w:rsid w:val="00856B3D"/>
    <w:rsid w:val="008653E9"/>
    <w:rsid w:val="00867866"/>
    <w:rsid w:val="00872DFF"/>
    <w:rsid w:val="00873BA9"/>
    <w:rsid w:val="00877C85"/>
    <w:rsid w:val="008820C6"/>
    <w:rsid w:val="00883F19"/>
    <w:rsid w:val="008867A1"/>
    <w:rsid w:val="008905C5"/>
    <w:rsid w:val="0089178E"/>
    <w:rsid w:val="00891C4E"/>
    <w:rsid w:val="00891D17"/>
    <w:rsid w:val="00892B6E"/>
    <w:rsid w:val="008952F1"/>
    <w:rsid w:val="00897124"/>
    <w:rsid w:val="008A59B4"/>
    <w:rsid w:val="008A686D"/>
    <w:rsid w:val="008A6B31"/>
    <w:rsid w:val="008B10E3"/>
    <w:rsid w:val="008B5BBC"/>
    <w:rsid w:val="008B7652"/>
    <w:rsid w:val="008B7B1E"/>
    <w:rsid w:val="008B7CEB"/>
    <w:rsid w:val="008C2718"/>
    <w:rsid w:val="008C3B21"/>
    <w:rsid w:val="008C6F20"/>
    <w:rsid w:val="008D11DF"/>
    <w:rsid w:val="008D244C"/>
    <w:rsid w:val="008D38F2"/>
    <w:rsid w:val="008E09E9"/>
    <w:rsid w:val="008E12F9"/>
    <w:rsid w:val="008E142E"/>
    <w:rsid w:val="008E1650"/>
    <w:rsid w:val="008E35BA"/>
    <w:rsid w:val="008E3C31"/>
    <w:rsid w:val="008E5E4B"/>
    <w:rsid w:val="008F351C"/>
    <w:rsid w:val="008F483F"/>
    <w:rsid w:val="008F61F7"/>
    <w:rsid w:val="00900607"/>
    <w:rsid w:val="009006E3"/>
    <w:rsid w:val="00900D7B"/>
    <w:rsid w:val="009059E9"/>
    <w:rsid w:val="00914570"/>
    <w:rsid w:val="0091556D"/>
    <w:rsid w:val="00915FB4"/>
    <w:rsid w:val="00917329"/>
    <w:rsid w:val="0091734B"/>
    <w:rsid w:val="009208EB"/>
    <w:rsid w:val="00922B0A"/>
    <w:rsid w:val="00922C0A"/>
    <w:rsid w:val="00922C2E"/>
    <w:rsid w:val="00923722"/>
    <w:rsid w:val="00923F1D"/>
    <w:rsid w:val="00924693"/>
    <w:rsid w:val="00927FC5"/>
    <w:rsid w:val="009400AE"/>
    <w:rsid w:val="00950019"/>
    <w:rsid w:val="00954ABD"/>
    <w:rsid w:val="00954F76"/>
    <w:rsid w:val="00960D98"/>
    <w:rsid w:val="009632BC"/>
    <w:rsid w:val="00963E95"/>
    <w:rsid w:val="00965698"/>
    <w:rsid w:val="009708DF"/>
    <w:rsid w:val="00973005"/>
    <w:rsid w:val="00974CF4"/>
    <w:rsid w:val="009806EB"/>
    <w:rsid w:val="009830D1"/>
    <w:rsid w:val="00986681"/>
    <w:rsid w:val="0098697E"/>
    <w:rsid w:val="00991FF0"/>
    <w:rsid w:val="00993876"/>
    <w:rsid w:val="009952BB"/>
    <w:rsid w:val="009A135E"/>
    <w:rsid w:val="009A549D"/>
    <w:rsid w:val="009A64AF"/>
    <w:rsid w:val="009A68DA"/>
    <w:rsid w:val="009B0E6F"/>
    <w:rsid w:val="009B16BD"/>
    <w:rsid w:val="009B1A51"/>
    <w:rsid w:val="009B6015"/>
    <w:rsid w:val="009B7F4C"/>
    <w:rsid w:val="009C0A25"/>
    <w:rsid w:val="009C60B9"/>
    <w:rsid w:val="009D2B5B"/>
    <w:rsid w:val="009D3229"/>
    <w:rsid w:val="009D6530"/>
    <w:rsid w:val="009D7715"/>
    <w:rsid w:val="009E0BD1"/>
    <w:rsid w:val="009E1866"/>
    <w:rsid w:val="009E2211"/>
    <w:rsid w:val="009E23B8"/>
    <w:rsid w:val="009E39E6"/>
    <w:rsid w:val="009E6066"/>
    <w:rsid w:val="009F5F5A"/>
    <w:rsid w:val="00A00746"/>
    <w:rsid w:val="00A0096C"/>
    <w:rsid w:val="00A0555C"/>
    <w:rsid w:val="00A05691"/>
    <w:rsid w:val="00A12425"/>
    <w:rsid w:val="00A13033"/>
    <w:rsid w:val="00A146EE"/>
    <w:rsid w:val="00A15362"/>
    <w:rsid w:val="00A225B5"/>
    <w:rsid w:val="00A24186"/>
    <w:rsid w:val="00A2606B"/>
    <w:rsid w:val="00A30AD7"/>
    <w:rsid w:val="00A30BF0"/>
    <w:rsid w:val="00A31FEB"/>
    <w:rsid w:val="00A36236"/>
    <w:rsid w:val="00A36745"/>
    <w:rsid w:val="00A43893"/>
    <w:rsid w:val="00A43B13"/>
    <w:rsid w:val="00A50B67"/>
    <w:rsid w:val="00A526DA"/>
    <w:rsid w:val="00A52F3D"/>
    <w:rsid w:val="00A54BC5"/>
    <w:rsid w:val="00A614E5"/>
    <w:rsid w:val="00A61699"/>
    <w:rsid w:val="00A6365B"/>
    <w:rsid w:val="00A7039E"/>
    <w:rsid w:val="00A729FF"/>
    <w:rsid w:val="00A731BB"/>
    <w:rsid w:val="00A73F4C"/>
    <w:rsid w:val="00A75123"/>
    <w:rsid w:val="00A81DA7"/>
    <w:rsid w:val="00A830CA"/>
    <w:rsid w:val="00A835D4"/>
    <w:rsid w:val="00A84740"/>
    <w:rsid w:val="00A9213F"/>
    <w:rsid w:val="00A93AFE"/>
    <w:rsid w:val="00A944DD"/>
    <w:rsid w:val="00A94BDC"/>
    <w:rsid w:val="00AA3C68"/>
    <w:rsid w:val="00AA55C3"/>
    <w:rsid w:val="00AA6386"/>
    <w:rsid w:val="00AA740C"/>
    <w:rsid w:val="00AB07F4"/>
    <w:rsid w:val="00AB71D6"/>
    <w:rsid w:val="00AC0503"/>
    <w:rsid w:val="00AC758E"/>
    <w:rsid w:val="00AD22BA"/>
    <w:rsid w:val="00AD243C"/>
    <w:rsid w:val="00AD42C9"/>
    <w:rsid w:val="00AD4611"/>
    <w:rsid w:val="00AD71D6"/>
    <w:rsid w:val="00AE06AC"/>
    <w:rsid w:val="00AE4CB4"/>
    <w:rsid w:val="00AF074C"/>
    <w:rsid w:val="00AF377A"/>
    <w:rsid w:val="00AF4D8C"/>
    <w:rsid w:val="00AF6099"/>
    <w:rsid w:val="00B0054C"/>
    <w:rsid w:val="00B01B2C"/>
    <w:rsid w:val="00B01C7F"/>
    <w:rsid w:val="00B020D1"/>
    <w:rsid w:val="00B157F1"/>
    <w:rsid w:val="00B15C01"/>
    <w:rsid w:val="00B17B99"/>
    <w:rsid w:val="00B200C0"/>
    <w:rsid w:val="00B251DB"/>
    <w:rsid w:val="00B25C09"/>
    <w:rsid w:val="00B26C25"/>
    <w:rsid w:val="00B309C5"/>
    <w:rsid w:val="00B342A2"/>
    <w:rsid w:val="00B35C0C"/>
    <w:rsid w:val="00B3689C"/>
    <w:rsid w:val="00B37598"/>
    <w:rsid w:val="00B40A60"/>
    <w:rsid w:val="00B40D36"/>
    <w:rsid w:val="00B42444"/>
    <w:rsid w:val="00B45B98"/>
    <w:rsid w:val="00B46240"/>
    <w:rsid w:val="00B46FE9"/>
    <w:rsid w:val="00B51402"/>
    <w:rsid w:val="00B51408"/>
    <w:rsid w:val="00B51BB8"/>
    <w:rsid w:val="00B52DC6"/>
    <w:rsid w:val="00B662D7"/>
    <w:rsid w:val="00B66D0E"/>
    <w:rsid w:val="00B674EF"/>
    <w:rsid w:val="00B7013C"/>
    <w:rsid w:val="00B70752"/>
    <w:rsid w:val="00B73763"/>
    <w:rsid w:val="00B74E4D"/>
    <w:rsid w:val="00B75D4F"/>
    <w:rsid w:val="00B828A4"/>
    <w:rsid w:val="00B82BC8"/>
    <w:rsid w:val="00B85FEC"/>
    <w:rsid w:val="00B94798"/>
    <w:rsid w:val="00B950BF"/>
    <w:rsid w:val="00B967BA"/>
    <w:rsid w:val="00BA16AD"/>
    <w:rsid w:val="00BA7299"/>
    <w:rsid w:val="00BB350F"/>
    <w:rsid w:val="00BB4DA9"/>
    <w:rsid w:val="00BB6C0B"/>
    <w:rsid w:val="00BC2554"/>
    <w:rsid w:val="00BC54C4"/>
    <w:rsid w:val="00BC5F8B"/>
    <w:rsid w:val="00BD0F8A"/>
    <w:rsid w:val="00BD478D"/>
    <w:rsid w:val="00BD7A0C"/>
    <w:rsid w:val="00BE1CB4"/>
    <w:rsid w:val="00BE2BB6"/>
    <w:rsid w:val="00BE53C7"/>
    <w:rsid w:val="00BE6D0F"/>
    <w:rsid w:val="00BE6EEA"/>
    <w:rsid w:val="00BF3209"/>
    <w:rsid w:val="00BF6736"/>
    <w:rsid w:val="00C01D63"/>
    <w:rsid w:val="00C037B9"/>
    <w:rsid w:val="00C126F2"/>
    <w:rsid w:val="00C155CD"/>
    <w:rsid w:val="00C216F3"/>
    <w:rsid w:val="00C23467"/>
    <w:rsid w:val="00C25EA1"/>
    <w:rsid w:val="00C27CB3"/>
    <w:rsid w:val="00C30092"/>
    <w:rsid w:val="00C3616A"/>
    <w:rsid w:val="00C36989"/>
    <w:rsid w:val="00C402A7"/>
    <w:rsid w:val="00C42F09"/>
    <w:rsid w:val="00C43D48"/>
    <w:rsid w:val="00C44D28"/>
    <w:rsid w:val="00C46015"/>
    <w:rsid w:val="00C478F0"/>
    <w:rsid w:val="00C50A9A"/>
    <w:rsid w:val="00C51987"/>
    <w:rsid w:val="00C52678"/>
    <w:rsid w:val="00C5795D"/>
    <w:rsid w:val="00C60909"/>
    <w:rsid w:val="00C61F03"/>
    <w:rsid w:val="00C62878"/>
    <w:rsid w:val="00C65E4E"/>
    <w:rsid w:val="00C671F4"/>
    <w:rsid w:val="00C7274B"/>
    <w:rsid w:val="00C7610D"/>
    <w:rsid w:val="00C81175"/>
    <w:rsid w:val="00C8316B"/>
    <w:rsid w:val="00C84A9B"/>
    <w:rsid w:val="00C87C33"/>
    <w:rsid w:val="00C90FA3"/>
    <w:rsid w:val="00C933C4"/>
    <w:rsid w:val="00CA23A8"/>
    <w:rsid w:val="00CA2E1E"/>
    <w:rsid w:val="00CA7138"/>
    <w:rsid w:val="00CB1364"/>
    <w:rsid w:val="00CB1ECA"/>
    <w:rsid w:val="00CB2DE1"/>
    <w:rsid w:val="00CB2EE5"/>
    <w:rsid w:val="00CB4004"/>
    <w:rsid w:val="00CB674B"/>
    <w:rsid w:val="00CB6BE0"/>
    <w:rsid w:val="00CB7499"/>
    <w:rsid w:val="00CC7063"/>
    <w:rsid w:val="00CC7E08"/>
    <w:rsid w:val="00CD4118"/>
    <w:rsid w:val="00CD4E85"/>
    <w:rsid w:val="00CD7148"/>
    <w:rsid w:val="00CD7871"/>
    <w:rsid w:val="00CE23DB"/>
    <w:rsid w:val="00CE4789"/>
    <w:rsid w:val="00CE6BBD"/>
    <w:rsid w:val="00CE6C06"/>
    <w:rsid w:val="00CE7F17"/>
    <w:rsid w:val="00CF0CB8"/>
    <w:rsid w:val="00CF7604"/>
    <w:rsid w:val="00D05D7D"/>
    <w:rsid w:val="00D06E64"/>
    <w:rsid w:val="00D102C8"/>
    <w:rsid w:val="00D11598"/>
    <w:rsid w:val="00D2012F"/>
    <w:rsid w:val="00D220CF"/>
    <w:rsid w:val="00D2446B"/>
    <w:rsid w:val="00D2499E"/>
    <w:rsid w:val="00D24C8F"/>
    <w:rsid w:val="00D2579B"/>
    <w:rsid w:val="00D25C14"/>
    <w:rsid w:val="00D27B99"/>
    <w:rsid w:val="00D31A86"/>
    <w:rsid w:val="00D33662"/>
    <w:rsid w:val="00D36741"/>
    <w:rsid w:val="00D40F44"/>
    <w:rsid w:val="00D41F36"/>
    <w:rsid w:val="00D4279D"/>
    <w:rsid w:val="00D51E51"/>
    <w:rsid w:val="00D5654E"/>
    <w:rsid w:val="00D56F43"/>
    <w:rsid w:val="00D6178A"/>
    <w:rsid w:val="00D62E69"/>
    <w:rsid w:val="00D64BFA"/>
    <w:rsid w:val="00D657EE"/>
    <w:rsid w:val="00D673CF"/>
    <w:rsid w:val="00D71A7B"/>
    <w:rsid w:val="00D74763"/>
    <w:rsid w:val="00D75E08"/>
    <w:rsid w:val="00D774D3"/>
    <w:rsid w:val="00D8013B"/>
    <w:rsid w:val="00D8190C"/>
    <w:rsid w:val="00D841E9"/>
    <w:rsid w:val="00D842A6"/>
    <w:rsid w:val="00D85D34"/>
    <w:rsid w:val="00D907BD"/>
    <w:rsid w:val="00D9122B"/>
    <w:rsid w:val="00D923AC"/>
    <w:rsid w:val="00D9613A"/>
    <w:rsid w:val="00DA1A01"/>
    <w:rsid w:val="00DA66B5"/>
    <w:rsid w:val="00DA7FEE"/>
    <w:rsid w:val="00DB1CBE"/>
    <w:rsid w:val="00DB4090"/>
    <w:rsid w:val="00DB7383"/>
    <w:rsid w:val="00DB78A2"/>
    <w:rsid w:val="00DC2905"/>
    <w:rsid w:val="00DC2B90"/>
    <w:rsid w:val="00DC63B3"/>
    <w:rsid w:val="00DC65BC"/>
    <w:rsid w:val="00DC703D"/>
    <w:rsid w:val="00DC7AD8"/>
    <w:rsid w:val="00DD2F8A"/>
    <w:rsid w:val="00DD7406"/>
    <w:rsid w:val="00DE04A8"/>
    <w:rsid w:val="00DE1060"/>
    <w:rsid w:val="00DE453E"/>
    <w:rsid w:val="00DF0596"/>
    <w:rsid w:val="00DF0C81"/>
    <w:rsid w:val="00DF25E0"/>
    <w:rsid w:val="00DF30B4"/>
    <w:rsid w:val="00DF6E61"/>
    <w:rsid w:val="00E018A3"/>
    <w:rsid w:val="00E01D7D"/>
    <w:rsid w:val="00E01DAF"/>
    <w:rsid w:val="00E02E2A"/>
    <w:rsid w:val="00E04229"/>
    <w:rsid w:val="00E04DA0"/>
    <w:rsid w:val="00E06030"/>
    <w:rsid w:val="00E06581"/>
    <w:rsid w:val="00E11298"/>
    <w:rsid w:val="00E11B00"/>
    <w:rsid w:val="00E11C31"/>
    <w:rsid w:val="00E12BBD"/>
    <w:rsid w:val="00E131F1"/>
    <w:rsid w:val="00E15953"/>
    <w:rsid w:val="00E171A8"/>
    <w:rsid w:val="00E209B7"/>
    <w:rsid w:val="00E2124A"/>
    <w:rsid w:val="00E21B27"/>
    <w:rsid w:val="00E24548"/>
    <w:rsid w:val="00E2684B"/>
    <w:rsid w:val="00E3027E"/>
    <w:rsid w:val="00E34754"/>
    <w:rsid w:val="00E36C61"/>
    <w:rsid w:val="00E37443"/>
    <w:rsid w:val="00E51EC5"/>
    <w:rsid w:val="00E527BB"/>
    <w:rsid w:val="00E5400B"/>
    <w:rsid w:val="00E5508C"/>
    <w:rsid w:val="00E601AA"/>
    <w:rsid w:val="00E63906"/>
    <w:rsid w:val="00E64895"/>
    <w:rsid w:val="00E70C5B"/>
    <w:rsid w:val="00E712FD"/>
    <w:rsid w:val="00E721ED"/>
    <w:rsid w:val="00E72231"/>
    <w:rsid w:val="00E74EA0"/>
    <w:rsid w:val="00E75D7B"/>
    <w:rsid w:val="00E76D92"/>
    <w:rsid w:val="00E80E3A"/>
    <w:rsid w:val="00E81B3B"/>
    <w:rsid w:val="00E836B9"/>
    <w:rsid w:val="00E83DAC"/>
    <w:rsid w:val="00E95372"/>
    <w:rsid w:val="00E95DAB"/>
    <w:rsid w:val="00EA0739"/>
    <w:rsid w:val="00EA17AE"/>
    <w:rsid w:val="00EA58B2"/>
    <w:rsid w:val="00EB2A69"/>
    <w:rsid w:val="00EB31AD"/>
    <w:rsid w:val="00EB55D7"/>
    <w:rsid w:val="00EB584E"/>
    <w:rsid w:val="00EB6660"/>
    <w:rsid w:val="00EB666A"/>
    <w:rsid w:val="00EC145C"/>
    <w:rsid w:val="00EC1817"/>
    <w:rsid w:val="00EC44DC"/>
    <w:rsid w:val="00ED173E"/>
    <w:rsid w:val="00ED18DE"/>
    <w:rsid w:val="00ED3188"/>
    <w:rsid w:val="00ED3548"/>
    <w:rsid w:val="00ED3895"/>
    <w:rsid w:val="00ED5DFC"/>
    <w:rsid w:val="00EE09AB"/>
    <w:rsid w:val="00EE1F4B"/>
    <w:rsid w:val="00EE32E5"/>
    <w:rsid w:val="00EE6044"/>
    <w:rsid w:val="00EE6EAF"/>
    <w:rsid w:val="00EF0F84"/>
    <w:rsid w:val="00EF5249"/>
    <w:rsid w:val="00EF6671"/>
    <w:rsid w:val="00F014DA"/>
    <w:rsid w:val="00F1441E"/>
    <w:rsid w:val="00F167A0"/>
    <w:rsid w:val="00F16FE0"/>
    <w:rsid w:val="00F22BB9"/>
    <w:rsid w:val="00F25545"/>
    <w:rsid w:val="00F266E7"/>
    <w:rsid w:val="00F32757"/>
    <w:rsid w:val="00F3409A"/>
    <w:rsid w:val="00F340E4"/>
    <w:rsid w:val="00F372C1"/>
    <w:rsid w:val="00F40E87"/>
    <w:rsid w:val="00F433A3"/>
    <w:rsid w:val="00F4480A"/>
    <w:rsid w:val="00F45AAA"/>
    <w:rsid w:val="00F50B08"/>
    <w:rsid w:val="00F50FA6"/>
    <w:rsid w:val="00F51216"/>
    <w:rsid w:val="00F53816"/>
    <w:rsid w:val="00F56076"/>
    <w:rsid w:val="00F6066C"/>
    <w:rsid w:val="00F62B4E"/>
    <w:rsid w:val="00F62F69"/>
    <w:rsid w:val="00F669E4"/>
    <w:rsid w:val="00F66A4B"/>
    <w:rsid w:val="00F66FAE"/>
    <w:rsid w:val="00F67A2C"/>
    <w:rsid w:val="00F7093F"/>
    <w:rsid w:val="00F711FA"/>
    <w:rsid w:val="00F73262"/>
    <w:rsid w:val="00F73512"/>
    <w:rsid w:val="00F75C22"/>
    <w:rsid w:val="00F8108A"/>
    <w:rsid w:val="00F86174"/>
    <w:rsid w:val="00F90217"/>
    <w:rsid w:val="00F9026B"/>
    <w:rsid w:val="00F90C08"/>
    <w:rsid w:val="00F9550C"/>
    <w:rsid w:val="00FA0454"/>
    <w:rsid w:val="00FA64F9"/>
    <w:rsid w:val="00FA79D1"/>
    <w:rsid w:val="00FB106A"/>
    <w:rsid w:val="00FB7FEF"/>
    <w:rsid w:val="00FC2F4B"/>
    <w:rsid w:val="00FC4FB6"/>
    <w:rsid w:val="00FD3823"/>
    <w:rsid w:val="00FD7E41"/>
    <w:rsid w:val="00FE4569"/>
    <w:rsid w:val="00FE4F36"/>
    <w:rsid w:val="00FE605B"/>
    <w:rsid w:val="00FE7DB2"/>
    <w:rsid w:val="00FF3A18"/>
    <w:rsid w:val="00FF45E1"/>
    <w:rsid w:val="00FF770E"/>
    <w:rsid w:val="1CDE4693"/>
    <w:rsid w:val="32F105AA"/>
    <w:rsid w:val="45233F20"/>
    <w:rsid w:val="48B0AB11"/>
    <w:rsid w:val="54648A9A"/>
    <w:rsid w:val="60C3FF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4B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7A1"/>
    <w:pPr>
      <w:spacing w:before="120" w:after="120" w:line="240" w:lineRule="auto"/>
    </w:pPr>
    <w:rPr>
      <w:sz w:val="24"/>
    </w:rPr>
  </w:style>
  <w:style w:type="paragraph" w:styleId="Heading1">
    <w:name w:val="heading 1"/>
    <w:basedOn w:val="Normal"/>
    <w:next w:val="Normal"/>
    <w:link w:val="Heading1Char"/>
    <w:uiPriority w:val="9"/>
    <w:qFormat/>
    <w:rsid w:val="00C7610D"/>
    <w:pPr>
      <w:keepNext/>
      <w:keepLines/>
      <w:spacing w:before="200"/>
      <w:outlineLvl w:val="0"/>
    </w:pPr>
    <w:rPr>
      <w:rFonts w:asciiTheme="majorHAnsi" w:eastAsiaTheme="majorEastAsia" w:hAnsiTheme="majorHAnsi" w:cstheme="majorBidi"/>
      <w:color w:val="15659B" w:themeColor="accent4"/>
      <w:sz w:val="44"/>
      <w:szCs w:val="32"/>
    </w:rPr>
  </w:style>
  <w:style w:type="paragraph" w:styleId="Heading2">
    <w:name w:val="heading 2"/>
    <w:basedOn w:val="Normal"/>
    <w:next w:val="Normal"/>
    <w:link w:val="Heading2Char"/>
    <w:unhideWhenUsed/>
    <w:qFormat/>
    <w:rsid w:val="00846F20"/>
    <w:pPr>
      <w:keepNext/>
      <w:keepLines/>
      <w:outlineLvl w:val="1"/>
    </w:pPr>
    <w:rPr>
      <w:rFonts w:ascii="Aptos Display" w:eastAsiaTheme="majorEastAsia" w:hAnsi="Aptos Display" w:cstheme="majorBidi"/>
      <w:color w:val="15659B" w:themeColor="accent4"/>
      <w:sz w:val="36"/>
      <w:szCs w:val="48"/>
    </w:rPr>
  </w:style>
  <w:style w:type="paragraph" w:styleId="Heading3">
    <w:name w:val="heading 3"/>
    <w:basedOn w:val="Normal"/>
    <w:next w:val="Normal"/>
    <w:link w:val="Heading3Char"/>
    <w:uiPriority w:val="9"/>
    <w:unhideWhenUsed/>
    <w:qFormat/>
    <w:rsid w:val="005762C3"/>
    <w:pPr>
      <w:keepNext/>
      <w:keepLines/>
      <w:spacing w:before="240"/>
      <w:outlineLvl w:val="2"/>
    </w:pPr>
    <w:rPr>
      <w:rFonts w:asciiTheme="majorHAnsi" w:eastAsiaTheme="majorEastAsia" w:hAnsiTheme="majorHAnsi" w:cstheme="majorBidi"/>
      <w:color w:val="15659B" w:themeColor="accent4"/>
      <w:sz w:val="28"/>
      <w:szCs w:val="40"/>
    </w:rPr>
  </w:style>
  <w:style w:type="paragraph" w:styleId="Heading4">
    <w:name w:val="heading 4"/>
    <w:basedOn w:val="Normal"/>
    <w:next w:val="Normal"/>
    <w:link w:val="Heading4Char"/>
    <w:uiPriority w:val="9"/>
    <w:unhideWhenUsed/>
    <w:qFormat/>
    <w:rsid w:val="00E04DA0"/>
    <w:pPr>
      <w:keepNext/>
      <w:keepLines/>
      <w:spacing w:before="240"/>
      <w:outlineLvl w:val="3"/>
    </w:pPr>
    <w:rPr>
      <w:rFonts w:asciiTheme="majorHAnsi" w:eastAsiaTheme="majorEastAsia" w:hAnsiTheme="majorHAnsi" w:cstheme="majorBidi"/>
      <w:iCs/>
      <w:color w:val="15659B" w:themeColor="accent4"/>
      <w:sz w:val="32"/>
      <w:szCs w:val="28"/>
    </w:rPr>
  </w:style>
  <w:style w:type="paragraph" w:styleId="Heading5">
    <w:name w:val="heading 5"/>
    <w:basedOn w:val="Normal"/>
    <w:next w:val="Normal"/>
    <w:link w:val="Heading5Char"/>
    <w:uiPriority w:val="9"/>
    <w:unhideWhenUsed/>
    <w:qFormat/>
    <w:rsid w:val="000E5C60"/>
    <w:pPr>
      <w:keepNext/>
      <w:keepLines/>
      <w:spacing w:before="240"/>
      <w:outlineLvl w:val="4"/>
    </w:pPr>
    <w:rPr>
      <w:rFonts w:asciiTheme="majorHAnsi" w:eastAsiaTheme="majorEastAsia" w:hAnsiTheme="majorHAnsi" w:cstheme="majorBidi"/>
      <w:color w:val="15659B" w:themeColor="accent4"/>
      <w:sz w:val="26"/>
      <w:szCs w:val="26"/>
    </w:rPr>
  </w:style>
  <w:style w:type="paragraph" w:styleId="Heading6">
    <w:name w:val="heading 6"/>
    <w:basedOn w:val="Normal"/>
    <w:next w:val="Normal"/>
    <w:link w:val="Heading6Char"/>
    <w:uiPriority w:val="9"/>
    <w:unhideWhenUsed/>
    <w:qFormat/>
    <w:rsid w:val="00C50A9A"/>
    <w:pPr>
      <w:keepNext/>
      <w:keepLines/>
      <w:spacing w:before="24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unhideWhenUsed/>
    <w:qFormat/>
    <w:rsid w:val="00C50A9A"/>
    <w:pPr>
      <w:keepNext/>
      <w:keepLines/>
      <w:spacing w:before="240"/>
      <w:outlineLvl w:val="6"/>
    </w:pPr>
    <w:rPr>
      <w:rFonts w:asciiTheme="majorHAnsi" w:eastAsiaTheme="majorEastAsia" w:hAnsiTheme="majorHAnsi" w:cstheme="majorBidi"/>
      <w:b/>
      <w:iCs/>
      <w:color w:val="001B35" w:themeColor="accent1"/>
      <w:sz w:val="22"/>
    </w:rPr>
  </w:style>
  <w:style w:type="paragraph" w:styleId="Heading8">
    <w:name w:val="heading 8"/>
    <w:basedOn w:val="Normal"/>
    <w:next w:val="Normal"/>
    <w:link w:val="Heading8Char"/>
    <w:uiPriority w:val="9"/>
    <w:unhideWhenUsed/>
    <w:qFormat/>
    <w:rsid w:val="00C50A9A"/>
    <w:pPr>
      <w:keepNext/>
      <w:keepLines/>
      <w:spacing w:before="2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C0441"/>
    <w:pPr>
      <w:keepNext/>
      <w:keepLines/>
      <w:spacing w:before="0" w:after="0"/>
      <w:outlineLvl w:val="8"/>
    </w:pPr>
    <w:rPr>
      <w:rFonts w:eastAsiaTheme="majorEastAsia" w:cstheme="majorBidi"/>
      <w:color w:val="272727" w:themeColor="text1" w:themeTint="D8"/>
      <w:kern w:val="2"/>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C7610D"/>
    <w:rPr>
      <w:rFonts w:asciiTheme="majorHAnsi" w:eastAsiaTheme="majorEastAsia" w:hAnsiTheme="majorHAnsi" w:cstheme="majorBidi"/>
      <w:color w:val="15659B" w:themeColor="accent4"/>
      <w:sz w:val="44"/>
      <w:szCs w:val="32"/>
    </w:rPr>
  </w:style>
  <w:style w:type="table" w:customStyle="1" w:styleId="Verticaltable">
    <w:name w:val="Vertical table"/>
    <w:basedOn w:val="TableNormal"/>
    <w:uiPriority w:val="99"/>
    <w:rsid w:val="00AD22BA"/>
    <w:pPr>
      <w:spacing w:after="0" w:line="240" w:lineRule="auto"/>
    </w:pPr>
    <w:tblPr>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lastRow">
      <w:rPr>
        <w:b w:val="0"/>
      </w:rPr>
    </w:tblStylePr>
    <w:tblStylePr w:type="firstCol">
      <w:rPr>
        <w:b/>
        <w:color w:val="FFFFFF" w:themeColor="background1"/>
      </w:rPr>
      <w:tblPr/>
      <w:tcPr>
        <w:shd w:val="clear" w:color="auto" w:fill="15659B" w:themeFill="accent4"/>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11"/>
    <w:qFormat/>
    <w:rsid w:val="00960D98"/>
    <w:pPr>
      <w:numPr>
        <w:ilvl w:val="1"/>
      </w:numPr>
    </w:pPr>
    <w:rPr>
      <w:rFonts w:eastAsiaTheme="minorEastAsia"/>
      <w:color w:val="15659B" w:themeColor="accent4"/>
      <w:sz w:val="40"/>
    </w:rPr>
  </w:style>
  <w:style w:type="character" w:customStyle="1" w:styleId="SubtitleChar">
    <w:name w:val="Subtitle Char"/>
    <w:basedOn w:val="DefaultParagraphFont"/>
    <w:link w:val="Subtitle"/>
    <w:uiPriority w:val="11"/>
    <w:rsid w:val="00960D98"/>
    <w:rPr>
      <w:rFonts w:eastAsiaTheme="minorEastAsia"/>
      <w:color w:val="15659B" w:themeColor="accent4"/>
      <w:sz w:val="40"/>
    </w:rPr>
  </w:style>
  <w:style w:type="character" w:customStyle="1" w:styleId="Heading2Char">
    <w:name w:val="Heading 2 Char"/>
    <w:basedOn w:val="DefaultParagraphFont"/>
    <w:link w:val="Heading2"/>
    <w:rsid w:val="00846F20"/>
    <w:rPr>
      <w:rFonts w:ascii="Aptos Display" w:eastAsiaTheme="majorEastAsia" w:hAnsi="Aptos Display" w:cstheme="majorBidi"/>
      <w:color w:val="15659B" w:themeColor="accent4"/>
      <w:sz w:val="36"/>
      <w:szCs w:val="48"/>
    </w:rPr>
  </w:style>
  <w:style w:type="character" w:customStyle="1" w:styleId="Heading3Char">
    <w:name w:val="Heading 3 Char"/>
    <w:basedOn w:val="DefaultParagraphFont"/>
    <w:link w:val="Heading3"/>
    <w:uiPriority w:val="9"/>
    <w:rsid w:val="005762C3"/>
    <w:rPr>
      <w:rFonts w:asciiTheme="majorHAnsi" w:eastAsiaTheme="majorEastAsia" w:hAnsiTheme="majorHAnsi" w:cstheme="majorBidi"/>
      <w:color w:val="15659B" w:themeColor="accent4"/>
      <w:sz w:val="28"/>
      <w:szCs w:val="40"/>
    </w:rPr>
  </w:style>
  <w:style w:type="character" w:customStyle="1" w:styleId="Heading4Char">
    <w:name w:val="Heading 4 Char"/>
    <w:basedOn w:val="DefaultParagraphFont"/>
    <w:link w:val="Heading4"/>
    <w:uiPriority w:val="9"/>
    <w:rsid w:val="00E04DA0"/>
    <w:rPr>
      <w:rFonts w:asciiTheme="majorHAnsi" w:eastAsiaTheme="majorEastAsia" w:hAnsiTheme="majorHAnsi" w:cstheme="majorBidi"/>
      <w:iCs/>
      <w:color w:val="15659B" w:themeColor="accent4"/>
      <w:sz w:val="32"/>
      <w:szCs w:val="28"/>
    </w:rPr>
  </w:style>
  <w:style w:type="character" w:customStyle="1" w:styleId="Heading5Char">
    <w:name w:val="Heading 5 Char"/>
    <w:basedOn w:val="DefaultParagraphFont"/>
    <w:link w:val="Heading5"/>
    <w:uiPriority w:val="9"/>
    <w:rsid w:val="000E5C60"/>
    <w:rPr>
      <w:rFonts w:asciiTheme="majorHAnsi" w:eastAsiaTheme="majorEastAsia" w:hAnsiTheme="majorHAnsi" w:cstheme="majorBidi"/>
      <w:color w:val="15659B" w:themeColor="accent4"/>
      <w:sz w:val="26"/>
      <w:szCs w:val="26"/>
    </w:rPr>
  </w:style>
  <w:style w:type="paragraph" w:styleId="Quote">
    <w:name w:val="Quote"/>
    <w:basedOn w:val="Normal"/>
    <w:next w:val="Normal"/>
    <w:link w:val="QuoteChar"/>
    <w:uiPriority w:val="29"/>
    <w:qFormat/>
    <w:rsid w:val="00171757"/>
    <w:pPr>
      <w:pBdr>
        <w:top w:val="single" w:sz="4" w:space="6" w:color="15659B" w:themeColor="accent4"/>
        <w:bottom w:val="single" w:sz="4" w:space="6" w:color="15659B" w:themeColor="accent4"/>
      </w:pBdr>
      <w:spacing w:before="240" w:after="240"/>
      <w:ind w:right="2835"/>
    </w:pPr>
    <w:rPr>
      <w:iCs/>
      <w:color w:val="000000" w:themeColor="text1"/>
      <w:sz w:val="22"/>
      <w:szCs w:val="24"/>
    </w:rPr>
  </w:style>
  <w:style w:type="character" w:customStyle="1" w:styleId="QuoteChar">
    <w:name w:val="Quote Char"/>
    <w:basedOn w:val="DefaultParagraphFont"/>
    <w:link w:val="Quote"/>
    <w:uiPriority w:val="29"/>
    <w:rsid w:val="00171757"/>
    <w:rPr>
      <w:iCs/>
      <w:color w:val="000000" w:themeColor="text1"/>
      <w:szCs w:val="24"/>
    </w:rPr>
  </w:style>
  <w:style w:type="character" w:styleId="Strong">
    <w:name w:val="Strong"/>
    <w:basedOn w:val="DefaultParagraphFont"/>
    <w:uiPriority w:val="22"/>
    <w:qFormat/>
    <w:rsid w:val="00A00746"/>
    <w:rPr>
      <w:rFonts w:ascii="Aptos" w:hAnsi="Aptos"/>
      <w:b/>
      <w:bCs/>
      <w:color w:val="auto"/>
      <w:sz w:val="24"/>
    </w:rPr>
  </w:style>
  <w:style w:type="character" w:styleId="Emphasis">
    <w:name w:val="Emphasis"/>
    <w:basedOn w:val="DefaultParagraphFont"/>
    <w:uiPriority w:val="20"/>
    <w:qFormat/>
    <w:rsid w:val="00B251DB"/>
    <w:rPr>
      <w:i/>
      <w:iCs/>
    </w:rPr>
  </w:style>
  <w:style w:type="paragraph" w:styleId="ListParagraph">
    <w:name w:val="List Paragraph"/>
    <w:aliases w:val="Bullet list,Recommendation,L,List Paragraph1,List Paragraph11,bullet point list,Bullet point,NFP GP Bulleted List,List Paragraph - bullets,Bulletr List Paragraph,FooterText,List Paragraph2,List Paragraph21,Listeafsnit1,Paragraphe de liste"/>
    <w:basedOn w:val="Normal"/>
    <w:link w:val="ListParagraphChar"/>
    <w:uiPriority w:val="34"/>
    <w:qFormat/>
    <w:rsid w:val="007618B4"/>
    <w:pPr>
      <w:numPr>
        <w:numId w:val="3"/>
      </w:numPr>
      <w:contextualSpacing/>
    </w:pPr>
    <w:rPr>
      <w:iCs/>
    </w:rPr>
  </w:style>
  <w:style w:type="character" w:styleId="Hyperlink">
    <w:name w:val="Hyperlink"/>
    <w:basedOn w:val="DefaultParagraphFont"/>
    <w:uiPriority w:val="99"/>
    <w:unhideWhenUsed/>
    <w:rsid w:val="0031654A"/>
    <w:rPr>
      <w:color w:val="15659B" w:themeColor="accent4"/>
      <w:u w:val="single"/>
    </w:rPr>
  </w:style>
  <w:style w:type="table" w:styleId="TableGrid">
    <w:name w:val="Table Grid"/>
    <w:aliases w:val="DISR plain Table 1,Table Grid (Row Header)"/>
    <w:basedOn w:val="TableNormal"/>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0065E3"/>
    <w:pPr>
      <w:spacing w:after="100"/>
      <w:ind w:right="424"/>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00D3D1" w:themeColor="accent3"/>
        <w:left w:val="single" w:sz="4" w:space="0" w:color="00D3D1" w:themeColor="accent3"/>
        <w:bottom w:val="single" w:sz="4" w:space="0" w:color="00D3D1" w:themeColor="accent3"/>
        <w:right w:val="single" w:sz="4" w:space="0" w:color="00D3D1" w:themeColor="accent3"/>
      </w:tblBorders>
    </w:tblPr>
    <w:tblStylePr w:type="firstRow">
      <w:rPr>
        <w:b/>
        <w:bCs/>
        <w:color w:val="FFFFFF" w:themeColor="background1"/>
      </w:rPr>
      <w:tblPr/>
      <w:tcPr>
        <w:shd w:val="clear" w:color="auto" w:fill="00D3D1" w:themeFill="accent3"/>
      </w:tcPr>
    </w:tblStylePr>
    <w:tblStylePr w:type="lastRow">
      <w:rPr>
        <w:b/>
        <w:bCs/>
      </w:rPr>
      <w:tblPr/>
      <w:tcPr>
        <w:tcBorders>
          <w:top w:val="double" w:sz="4" w:space="0" w:color="00D3D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3D1" w:themeColor="accent3"/>
          <w:right w:val="single" w:sz="4" w:space="0" w:color="00D3D1" w:themeColor="accent3"/>
        </w:tcBorders>
      </w:tcPr>
    </w:tblStylePr>
    <w:tblStylePr w:type="band1Horz">
      <w:tblPr/>
      <w:tcPr>
        <w:tcBorders>
          <w:top w:val="single" w:sz="4" w:space="0" w:color="00D3D1" w:themeColor="accent3"/>
          <w:bottom w:val="single" w:sz="4" w:space="0" w:color="00D3D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3D1" w:themeColor="accent3"/>
          <w:left w:val="nil"/>
        </w:tcBorders>
      </w:tcPr>
    </w:tblStylePr>
    <w:tblStylePr w:type="swCell">
      <w:tblPr/>
      <w:tcPr>
        <w:tcBorders>
          <w:top w:val="double" w:sz="4" w:space="0" w:color="00D3D1" w:themeColor="accent3"/>
          <w:right w:val="nil"/>
        </w:tcBorders>
      </w:tcPr>
    </w:tblStylePr>
  </w:style>
  <w:style w:type="paragraph" w:styleId="IntenseQuote">
    <w:name w:val="Intense Quote"/>
    <w:basedOn w:val="Normal"/>
    <w:next w:val="Normal"/>
    <w:link w:val="IntenseQuoteChar"/>
    <w:uiPriority w:val="30"/>
    <w:qFormat/>
    <w:rsid w:val="000A75CB"/>
    <w:pPr>
      <w:pBdr>
        <w:top w:val="single" w:sz="4" w:space="6" w:color="15659B" w:themeColor="accent4"/>
        <w:bottom w:val="single" w:sz="4" w:space="6" w:color="15659B" w:themeColor="accent4"/>
      </w:pBdr>
      <w:spacing w:before="360" w:after="360"/>
      <w:ind w:right="2835"/>
      <w:jc w:val="center"/>
    </w:pPr>
    <w:rPr>
      <w:b/>
      <w:iCs/>
    </w:rPr>
  </w:style>
  <w:style w:type="character" w:customStyle="1" w:styleId="IntenseQuoteChar">
    <w:name w:val="Intense Quote Char"/>
    <w:basedOn w:val="DefaultParagraphFont"/>
    <w:link w:val="IntenseQuote"/>
    <w:uiPriority w:val="30"/>
    <w:rsid w:val="000A75CB"/>
    <w:rPr>
      <w:b/>
      <w:iCs/>
      <w:sz w:val="24"/>
    </w:rPr>
  </w:style>
  <w:style w:type="paragraph" w:customStyle="1" w:styleId="Calloutbox">
    <w:name w:val="Call out box"/>
    <w:basedOn w:val="Normal"/>
    <w:qFormat/>
    <w:rsid w:val="00266F7C"/>
    <w:pPr>
      <w:pBdr>
        <w:top w:val="single" w:sz="4" w:space="6" w:color="E7E6E6" w:themeColor="background2"/>
        <w:left w:val="single" w:sz="4" w:space="4" w:color="E7E6E6" w:themeColor="background2"/>
        <w:bottom w:val="single" w:sz="4" w:space="6" w:color="E7E6E6" w:themeColor="background2"/>
        <w:right w:val="single" w:sz="4" w:space="4" w:color="E7E6E6" w:themeColor="background2"/>
      </w:pBdr>
      <w:shd w:val="clear" w:color="auto" w:fill="E7E6E6" w:themeFill="background2"/>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B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B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B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B35" w:themeFill="accent1"/>
      </w:tcPr>
    </w:tblStylePr>
    <w:tblStylePr w:type="band1Vert">
      <w:tblPr/>
      <w:tcPr>
        <w:shd w:val="clear" w:color="auto" w:fill="48A4FF" w:themeFill="accent1" w:themeFillTint="66"/>
      </w:tcPr>
    </w:tblStylePr>
    <w:tblStylePr w:type="band1Horz">
      <w:tblPr/>
      <w:tcPr>
        <w:shd w:val="clear" w:color="auto" w:fill="48A4FF"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0077EB" w:themeColor="accent1" w:themeTint="99"/>
        <w:left w:val="single" w:sz="4" w:space="0" w:color="0077EB" w:themeColor="accent1" w:themeTint="99"/>
        <w:bottom w:val="single" w:sz="4" w:space="0" w:color="0077EB" w:themeColor="accent1" w:themeTint="99"/>
        <w:right w:val="single" w:sz="4" w:space="0" w:color="0077EB" w:themeColor="accent1" w:themeTint="99"/>
        <w:insideH w:val="single" w:sz="4" w:space="0" w:color="0077EB" w:themeColor="accent1" w:themeTint="99"/>
        <w:insideV w:val="single" w:sz="4" w:space="0" w:color="0077EB" w:themeColor="accent1" w:themeTint="99"/>
      </w:tblBorders>
    </w:tblPr>
    <w:tblStylePr w:type="firstRow">
      <w:rPr>
        <w:b/>
        <w:bCs/>
        <w:color w:val="FFFFFF" w:themeColor="background1"/>
      </w:rPr>
      <w:tblPr/>
      <w:tcPr>
        <w:shd w:val="clear" w:color="auto" w:fill="001427" w:themeFill="accent1" w:themeFillShade="BF"/>
      </w:tcPr>
    </w:tblStylePr>
    <w:tblStylePr w:type="lastRow">
      <w:rPr>
        <w:b/>
        <w:bCs/>
      </w:rPr>
      <w:tblPr/>
      <w:tcPr>
        <w:tcBorders>
          <w:top w:val="double" w:sz="4" w:space="0" w:color="001B35" w:themeColor="accent1"/>
        </w:tcBorders>
      </w:tcPr>
    </w:tblStylePr>
    <w:tblStylePr w:type="firstCol">
      <w:rPr>
        <w:b/>
        <w:bCs/>
      </w:rPr>
    </w:tblStylePr>
    <w:tblStylePr w:type="lastCol">
      <w:rPr>
        <w:b/>
        <w:bCs/>
      </w:rPr>
    </w:tblStylePr>
    <w:tblStylePr w:type="band1Vert">
      <w:tblPr/>
      <w:tcPr>
        <w:shd w:val="clear" w:color="auto" w:fill="A3D1FF" w:themeFill="accent1" w:themeFillTint="33"/>
      </w:tcPr>
    </w:tblStylePr>
    <w:tblStylePr w:type="band1Horz">
      <w:tblPr/>
      <w:tcPr>
        <w:shd w:val="clear" w:color="auto" w:fill="A3D1FF"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EFFDB9" w:themeColor="accent5" w:themeTint="99"/>
        <w:left w:val="single" w:sz="4" w:space="0" w:color="EFFDB9" w:themeColor="accent5" w:themeTint="99"/>
        <w:bottom w:val="single" w:sz="4" w:space="0" w:color="EFFDB9" w:themeColor="accent5" w:themeTint="99"/>
        <w:right w:val="single" w:sz="4" w:space="0" w:color="EFFDB9" w:themeColor="accent5" w:themeTint="99"/>
        <w:insideH w:val="single" w:sz="4" w:space="0" w:color="EFFDB9" w:themeColor="accent5" w:themeTint="99"/>
        <w:insideV w:val="single" w:sz="4" w:space="0" w:color="EFFDB9" w:themeColor="accent5" w:themeTint="99"/>
      </w:tblBorders>
    </w:tblPr>
    <w:tblStylePr w:type="firstRow">
      <w:rPr>
        <w:b/>
        <w:bCs/>
        <w:color w:val="FFFFFF" w:themeColor="background1"/>
      </w:rPr>
      <w:tblPr/>
      <w:tcPr>
        <w:tcBorders>
          <w:top w:val="single" w:sz="4" w:space="0" w:color="E5FD8C" w:themeColor="accent5"/>
          <w:left w:val="single" w:sz="4" w:space="0" w:color="E5FD8C" w:themeColor="accent5"/>
          <w:bottom w:val="single" w:sz="4" w:space="0" w:color="E5FD8C" w:themeColor="accent5"/>
          <w:right w:val="single" w:sz="4" w:space="0" w:color="E5FD8C" w:themeColor="accent5"/>
          <w:insideH w:val="nil"/>
          <w:insideV w:val="nil"/>
        </w:tcBorders>
        <w:shd w:val="clear" w:color="auto" w:fill="E5FD8C" w:themeFill="accent5"/>
      </w:tcPr>
    </w:tblStylePr>
    <w:tblStylePr w:type="lastRow">
      <w:rPr>
        <w:b/>
        <w:bCs/>
      </w:rPr>
      <w:tblPr/>
      <w:tcPr>
        <w:tcBorders>
          <w:top w:val="double" w:sz="4" w:space="0" w:color="E5FD8C" w:themeColor="accent5"/>
        </w:tcBorders>
      </w:tcPr>
    </w:tblStylePr>
    <w:tblStylePr w:type="firstCol">
      <w:rPr>
        <w:b/>
        <w:bCs/>
      </w:rPr>
    </w:tblStylePr>
    <w:tblStylePr w:type="lastCol">
      <w:rPr>
        <w:b/>
        <w:bCs/>
      </w:rPr>
    </w:tblStylePr>
    <w:tblStylePr w:type="band1Vert">
      <w:tblPr/>
      <w:tcPr>
        <w:shd w:val="clear" w:color="auto" w:fill="F9FEE7" w:themeFill="accent5" w:themeFillTint="33"/>
      </w:tcPr>
    </w:tblStylePr>
    <w:tblStylePr w:type="band1Horz">
      <w:tblPr/>
      <w:tcPr>
        <w:shd w:val="clear" w:color="auto" w:fill="F9FEE7" w:themeFill="accent5" w:themeFillTint="33"/>
      </w:tcPr>
    </w:tblStylePr>
  </w:style>
  <w:style w:type="table" w:styleId="GridTable4-Accent4">
    <w:name w:val="Grid Table 4 Accent 4"/>
    <w:aliases w:val="DISR banded - Table 2"/>
    <w:basedOn w:val="TableNormal"/>
    <w:uiPriority w:val="49"/>
    <w:rsid w:val="005777BC"/>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firstRow">
      <w:rPr>
        <w:b/>
        <w:bCs/>
        <w:color w:val="FFFFFF" w:themeColor="background1"/>
      </w:rPr>
      <w:tblPr/>
      <w:tcPr>
        <w:tcBorders>
          <w:top w:val="single" w:sz="4" w:space="0" w:color="15659B" w:themeColor="accent4"/>
          <w:left w:val="single" w:sz="4" w:space="0" w:color="15659B" w:themeColor="accent4"/>
          <w:bottom w:val="single" w:sz="4" w:space="0" w:color="15659B" w:themeColor="accent4"/>
          <w:right w:val="single" w:sz="4" w:space="0" w:color="15659B" w:themeColor="accent4"/>
          <w:insideH w:val="nil"/>
          <w:insideV w:val="nil"/>
        </w:tcBorders>
        <w:shd w:val="clear" w:color="auto" w:fill="15659B" w:themeFill="accent4"/>
      </w:tcPr>
    </w:tblStylePr>
    <w:tblStylePr w:type="lastRow">
      <w:rPr>
        <w:b/>
        <w:bCs/>
      </w:rPr>
      <w:tblPr/>
      <w:tcPr>
        <w:tcBorders>
          <w:top w:val="single" w:sz="18" w:space="0" w:color="15659B" w:themeColor="accent4"/>
        </w:tcBorders>
      </w:tcPr>
    </w:tblStylePr>
    <w:tblStylePr w:type="firstCol">
      <w:rPr>
        <w:b/>
        <w:bCs/>
      </w:rPr>
    </w:tblStylePr>
    <w:tblStylePr w:type="lastCol">
      <w:rPr>
        <w:b/>
        <w:bCs/>
      </w:rPr>
    </w:tblStylePr>
    <w:tblStylePr w:type="band1Vert">
      <w:tblPr/>
      <w:tcPr>
        <w:shd w:val="clear" w:color="auto" w:fill="C4E2F7" w:themeFill="accent4" w:themeFillTint="33"/>
      </w:tcPr>
    </w:tblStylePr>
    <w:tblStylePr w:type="band1Horz">
      <w:tblPr/>
      <w:tcPr>
        <w:shd w:val="clear" w:color="auto" w:fill="E7E6E6" w:themeFill="background2"/>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4BFFFC" w:themeColor="accent3" w:themeTint="99"/>
        <w:left w:val="single" w:sz="4" w:space="0" w:color="4BFFFC" w:themeColor="accent3" w:themeTint="99"/>
        <w:bottom w:val="single" w:sz="4" w:space="0" w:color="4BFFFC" w:themeColor="accent3" w:themeTint="99"/>
        <w:right w:val="single" w:sz="4" w:space="0" w:color="4BFFFC" w:themeColor="accent3" w:themeTint="99"/>
        <w:insideH w:val="single" w:sz="4" w:space="0" w:color="4BFFFC" w:themeColor="accent3" w:themeTint="99"/>
        <w:insideV w:val="single" w:sz="4" w:space="0" w:color="4BFFFC" w:themeColor="accent3" w:themeTint="99"/>
      </w:tblBorders>
    </w:tblPr>
    <w:tblStylePr w:type="firstRow">
      <w:rPr>
        <w:b/>
        <w:bCs/>
        <w:color w:val="FFFFFF" w:themeColor="background1"/>
      </w:rPr>
      <w:tblPr/>
      <w:tcPr>
        <w:tcBorders>
          <w:top w:val="single" w:sz="4" w:space="0" w:color="00D3D1" w:themeColor="accent3"/>
          <w:left w:val="single" w:sz="4" w:space="0" w:color="00D3D1" w:themeColor="accent3"/>
          <w:bottom w:val="single" w:sz="4" w:space="0" w:color="00D3D1" w:themeColor="accent3"/>
          <w:right w:val="single" w:sz="4" w:space="0" w:color="00D3D1" w:themeColor="accent3"/>
          <w:insideH w:val="nil"/>
          <w:insideV w:val="nil"/>
        </w:tcBorders>
        <w:shd w:val="clear" w:color="auto" w:fill="00D3D1" w:themeFill="accent3"/>
      </w:tcPr>
    </w:tblStylePr>
    <w:tblStylePr w:type="lastRow">
      <w:rPr>
        <w:b/>
        <w:bCs/>
      </w:rPr>
      <w:tblPr/>
      <w:tcPr>
        <w:tcBorders>
          <w:top w:val="double" w:sz="4" w:space="0" w:color="00D3D1" w:themeColor="accent3"/>
        </w:tcBorders>
      </w:tcPr>
    </w:tblStylePr>
    <w:tblStylePr w:type="firstCol">
      <w:rPr>
        <w:b/>
        <w:bCs/>
      </w:rPr>
    </w:tblStylePr>
    <w:tblStylePr w:type="lastCol">
      <w:rPr>
        <w:b/>
        <w:bCs/>
      </w:rPr>
    </w:tblStylePr>
    <w:tblStylePr w:type="band1Vert">
      <w:tblPr/>
      <w:tcPr>
        <w:shd w:val="clear" w:color="auto" w:fill="C3FFFE" w:themeFill="accent3" w:themeFillTint="33"/>
      </w:tcPr>
    </w:tblStylePr>
    <w:tblStylePr w:type="band1Horz">
      <w:tblPr/>
      <w:tcPr>
        <w:shd w:val="clear" w:color="auto" w:fill="C3FFFE" w:themeFill="accent3" w:themeFillTint="33"/>
      </w:tcPr>
    </w:tblStylePr>
  </w:style>
  <w:style w:type="paragraph" w:customStyle="1" w:styleId="Authoranddate">
    <w:name w:val="Author and date"/>
    <w:basedOn w:val="Subtitle"/>
    <w:link w:val="AuthoranddateChar"/>
    <w:qFormat/>
    <w:rsid w:val="001D51DA"/>
    <w:rPr>
      <w:szCs w:val="40"/>
    </w:rPr>
  </w:style>
  <w:style w:type="character" w:customStyle="1" w:styleId="AuthoranddateChar">
    <w:name w:val="Author and date Char"/>
    <w:basedOn w:val="SubtitleChar"/>
    <w:link w:val="Authoranddate"/>
    <w:rsid w:val="001D51DA"/>
    <w:rPr>
      <w:rFonts w:eastAsiaTheme="minorEastAsia"/>
      <w:color w:val="E7E6E6"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01B3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tblBorders>
    </w:tblPr>
    <w:tblStylePr w:type="firstRow">
      <w:rPr>
        <w:b/>
        <w:bCs/>
        <w:color w:val="FFFFFF" w:themeColor="background1"/>
      </w:rPr>
      <w:tblPr/>
      <w:tcPr>
        <w:shd w:val="clear" w:color="auto" w:fill="15659B" w:themeFill="accent4"/>
      </w:tcPr>
    </w:tblStylePr>
    <w:tblStylePr w:type="lastRow">
      <w:rPr>
        <w:b/>
        <w:bCs/>
      </w:rPr>
      <w:tblPr/>
      <w:tcPr>
        <w:tcBorders>
          <w:top w:val="double" w:sz="4" w:space="0" w:color="1565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59B" w:themeColor="accent4"/>
          <w:right w:val="single" w:sz="4" w:space="0" w:color="15659B" w:themeColor="accent4"/>
        </w:tcBorders>
      </w:tcPr>
    </w:tblStylePr>
    <w:tblStylePr w:type="band1Horz">
      <w:tblPr/>
      <w:tcPr>
        <w:tcBorders>
          <w:top w:val="single" w:sz="4" w:space="0" w:color="15659B" w:themeColor="accent4"/>
          <w:bottom w:val="single" w:sz="4" w:space="0" w:color="1565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59B" w:themeColor="accent4"/>
          <w:left w:val="nil"/>
        </w:tcBorders>
      </w:tcPr>
    </w:tblStylePr>
    <w:tblStylePr w:type="swCell">
      <w:tblPr/>
      <w:tcPr>
        <w:tcBorders>
          <w:top w:val="double" w:sz="4" w:space="0" w:color="15659B"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1"/>
      </w:numPr>
      <w:ind w:left="567" w:hanging="567"/>
      <w:contextualSpacing/>
    </w:pPr>
  </w:style>
  <w:style w:type="paragraph" w:styleId="ListBullet2">
    <w:name w:val="List Bullet 2"/>
    <w:basedOn w:val="Normal"/>
    <w:uiPriority w:val="99"/>
    <w:semiHidden/>
    <w:unhideWhenUsed/>
    <w:rsid w:val="00703734"/>
    <w:pPr>
      <w:numPr>
        <w:numId w:val="2"/>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character" w:customStyle="1" w:styleId="Heading9Char">
    <w:name w:val="Heading 9 Char"/>
    <w:basedOn w:val="DefaultParagraphFont"/>
    <w:link w:val="Heading9"/>
    <w:uiPriority w:val="9"/>
    <w:semiHidden/>
    <w:rsid w:val="004C0441"/>
    <w:rPr>
      <w:rFonts w:eastAsiaTheme="majorEastAsia" w:cstheme="majorBidi"/>
      <w:color w:val="272727" w:themeColor="text1" w:themeTint="D8"/>
      <w:kern w:val="2"/>
      <w:sz w:val="20"/>
      <w:szCs w:val="20"/>
      <w14:ligatures w14:val="standardContextual"/>
    </w:rPr>
  </w:style>
  <w:style w:type="paragraph" w:customStyle="1" w:styleId="Green22">
    <w:name w:val="Green 22"/>
    <w:basedOn w:val="Heading1"/>
    <w:link w:val="Green22Char"/>
    <w:autoRedefine/>
    <w:rsid w:val="004C0441"/>
    <w:pPr>
      <w:spacing w:before="0"/>
    </w:pPr>
    <w:rPr>
      <w:color w:val="55BFEC" w:themeColor="accent6" w:themeShade="BF"/>
      <w:kern w:val="2"/>
      <w14:ligatures w14:val="standardContextual"/>
    </w:rPr>
  </w:style>
  <w:style w:type="character" w:customStyle="1" w:styleId="Green22Char">
    <w:name w:val="Green 22 Char"/>
    <w:basedOn w:val="Heading1Char"/>
    <w:link w:val="Green22"/>
    <w:rsid w:val="004C0441"/>
    <w:rPr>
      <w:rFonts w:asciiTheme="majorHAnsi" w:eastAsiaTheme="majorEastAsia" w:hAnsiTheme="majorHAnsi" w:cstheme="majorBidi"/>
      <w:color w:val="55BFEC" w:themeColor="accent6" w:themeShade="BF"/>
      <w:kern w:val="2"/>
      <w:sz w:val="44"/>
      <w:szCs w:val="32"/>
      <w14:ligatures w14:val="standardContextual"/>
    </w:rPr>
  </w:style>
  <w:style w:type="paragraph" w:styleId="Title">
    <w:name w:val="Title"/>
    <w:basedOn w:val="Normal"/>
    <w:next w:val="Normal"/>
    <w:link w:val="TitleChar"/>
    <w:uiPriority w:val="10"/>
    <w:qFormat/>
    <w:rsid w:val="004C0441"/>
    <w:pPr>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0441"/>
    <w:rPr>
      <w:rFonts w:asciiTheme="majorHAnsi" w:eastAsiaTheme="majorEastAsia" w:hAnsiTheme="majorHAnsi" w:cstheme="majorBidi"/>
      <w:spacing w:val="-10"/>
      <w:kern w:val="28"/>
      <w:sz w:val="56"/>
      <w:szCs w:val="56"/>
      <w14:ligatures w14:val="standardContextual"/>
    </w:rPr>
  </w:style>
  <w:style w:type="character" w:styleId="IntenseEmphasis">
    <w:name w:val="Intense Emphasis"/>
    <w:basedOn w:val="DefaultParagraphFont"/>
    <w:uiPriority w:val="21"/>
    <w:qFormat/>
    <w:rsid w:val="004C0441"/>
    <w:rPr>
      <w:i/>
      <w:iCs/>
      <w:color w:val="001427" w:themeColor="accent1" w:themeShade="BF"/>
    </w:rPr>
  </w:style>
  <w:style w:type="character" w:styleId="IntenseReference">
    <w:name w:val="Intense Reference"/>
    <w:basedOn w:val="DefaultParagraphFont"/>
    <w:uiPriority w:val="32"/>
    <w:qFormat/>
    <w:rsid w:val="004C0441"/>
    <w:rPr>
      <w:b/>
      <w:bCs/>
      <w:smallCaps/>
      <w:color w:val="001427" w:themeColor="accent1" w:themeShade="BF"/>
      <w:spacing w:val="5"/>
    </w:rPr>
  </w:style>
  <w:style w:type="character" w:customStyle="1" w:styleId="ListParagraphChar">
    <w:name w:val="List Paragraph Char"/>
    <w:aliases w:val="Bullet list Char,Recommendation Char,L Char,List Paragraph1 Char,List Paragraph11 Char,bullet point list Char,Bullet point Char,NFP GP Bulleted List Char,List Paragraph - bullets Char,Bulletr List Paragraph Char,FooterText Char"/>
    <w:basedOn w:val="DefaultParagraphFont"/>
    <w:link w:val="ListParagraph"/>
    <w:uiPriority w:val="34"/>
    <w:qFormat/>
    <w:locked/>
    <w:rsid w:val="007618B4"/>
    <w:rPr>
      <w:iCs/>
      <w:sz w:val="24"/>
    </w:rPr>
  </w:style>
  <w:style w:type="paragraph" w:customStyle="1" w:styleId="Bullets">
    <w:name w:val="Bullets"/>
    <w:basedOn w:val="ListBullet"/>
    <w:link w:val="BulletsChar"/>
    <w:rsid w:val="004C0441"/>
    <w:pPr>
      <w:numPr>
        <w:numId w:val="0"/>
      </w:numPr>
      <w:tabs>
        <w:tab w:val="left" w:pos="371"/>
      </w:tabs>
      <w:spacing w:before="60" w:after="60"/>
      <w:contextualSpacing w:val="0"/>
    </w:pPr>
    <w:rPr>
      <w:rFonts w:ascii="Aptos" w:eastAsia="Times New Roman" w:hAnsi="Aptos" w:cs="Times New Roman"/>
      <w:color w:val="5F5F5F"/>
      <w:sz w:val="18"/>
      <w:szCs w:val="24"/>
      <w:lang w:eastAsia="en-AU"/>
    </w:rPr>
  </w:style>
  <w:style w:type="character" w:customStyle="1" w:styleId="BulletsChar">
    <w:name w:val="Bullets Char"/>
    <w:basedOn w:val="DefaultParagraphFont"/>
    <w:link w:val="Bullets"/>
    <w:rsid w:val="004C0441"/>
    <w:rPr>
      <w:rFonts w:ascii="Aptos" w:eastAsia="Times New Roman" w:hAnsi="Aptos" w:cs="Times New Roman"/>
      <w:color w:val="5F5F5F"/>
      <w:sz w:val="18"/>
      <w:szCs w:val="24"/>
      <w:lang w:eastAsia="en-AU"/>
    </w:rPr>
  </w:style>
  <w:style w:type="paragraph" w:styleId="TOC6">
    <w:name w:val="toc 6"/>
    <w:basedOn w:val="Normal"/>
    <w:next w:val="Normal"/>
    <w:autoRedefine/>
    <w:uiPriority w:val="39"/>
    <w:unhideWhenUsed/>
    <w:rsid w:val="004C0441"/>
    <w:pPr>
      <w:spacing w:before="0" w:after="0"/>
      <w:ind w:left="1000"/>
    </w:pPr>
    <w:rPr>
      <w:rFonts w:cs="Calibri"/>
      <w:color w:val="565751"/>
      <w:kern w:val="2"/>
      <w:sz w:val="18"/>
      <w:szCs w:val="18"/>
      <w14:ligatures w14:val="standardContextual"/>
    </w:rPr>
  </w:style>
  <w:style w:type="paragraph" w:styleId="TOC7">
    <w:name w:val="toc 7"/>
    <w:basedOn w:val="Normal"/>
    <w:next w:val="Normal"/>
    <w:autoRedefine/>
    <w:uiPriority w:val="39"/>
    <w:unhideWhenUsed/>
    <w:rsid w:val="004C0441"/>
    <w:pPr>
      <w:spacing w:before="0" w:after="0"/>
      <w:ind w:left="1200"/>
    </w:pPr>
    <w:rPr>
      <w:rFonts w:cs="Calibri"/>
      <w:color w:val="565751"/>
      <w:kern w:val="2"/>
      <w:sz w:val="18"/>
      <w:szCs w:val="18"/>
      <w14:ligatures w14:val="standardContextual"/>
    </w:rPr>
  </w:style>
  <w:style w:type="paragraph" w:styleId="TOC8">
    <w:name w:val="toc 8"/>
    <w:basedOn w:val="Normal"/>
    <w:next w:val="Normal"/>
    <w:autoRedefine/>
    <w:uiPriority w:val="39"/>
    <w:unhideWhenUsed/>
    <w:rsid w:val="004C0441"/>
    <w:pPr>
      <w:spacing w:before="0" w:after="0"/>
      <w:ind w:left="1400"/>
    </w:pPr>
    <w:rPr>
      <w:rFonts w:cs="Calibri"/>
      <w:color w:val="565751"/>
      <w:kern w:val="2"/>
      <w:sz w:val="18"/>
      <w:szCs w:val="18"/>
      <w14:ligatures w14:val="standardContextual"/>
    </w:rPr>
  </w:style>
  <w:style w:type="paragraph" w:styleId="TOC9">
    <w:name w:val="toc 9"/>
    <w:basedOn w:val="Normal"/>
    <w:next w:val="Normal"/>
    <w:autoRedefine/>
    <w:uiPriority w:val="39"/>
    <w:unhideWhenUsed/>
    <w:rsid w:val="004C0441"/>
    <w:pPr>
      <w:spacing w:before="0" w:after="0"/>
      <w:ind w:left="1600"/>
    </w:pPr>
    <w:rPr>
      <w:rFonts w:cs="Calibri"/>
      <w:color w:val="565751"/>
      <w:kern w:val="2"/>
      <w:sz w:val="18"/>
      <w:szCs w:val="18"/>
      <w14:ligatures w14:val="standardContextual"/>
    </w:rPr>
  </w:style>
  <w:style w:type="paragraph" w:styleId="Revision">
    <w:name w:val="Revision"/>
    <w:hidden/>
    <w:uiPriority w:val="99"/>
    <w:semiHidden/>
    <w:rsid w:val="0085483F"/>
    <w:pPr>
      <w:spacing w:after="0" w:line="240" w:lineRule="auto"/>
    </w:pPr>
    <w:rPr>
      <w:sz w:val="20"/>
    </w:rPr>
  </w:style>
  <w:style w:type="paragraph" w:customStyle="1" w:styleId="notepara">
    <w:name w:val="note(para)"/>
    <w:aliases w:val="na"/>
    <w:basedOn w:val="Normal"/>
    <w:rsid w:val="00900D7B"/>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900D7B"/>
    <w:pPr>
      <w:spacing w:before="122" w:after="0"/>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900D7B"/>
    <w:rPr>
      <w:rFonts w:ascii="Times New Roman" w:eastAsia="Times New Roman" w:hAnsi="Times New Roman" w:cs="Times New Roman"/>
      <w:sz w:val="1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595409994">
      <w:bodyDiv w:val="1"/>
      <w:marLeft w:val="0"/>
      <w:marRight w:val="0"/>
      <w:marTop w:val="0"/>
      <w:marBottom w:val="0"/>
      <w:divBdr>
        <w:top w:val="none" w:sz="0" w:space="0" w:color="auto"/>
        <w:left w:val="none" w:sz="0" w:space="0" w:color="auto"/>
        <w:bottom w:val="none" w:sz="0" w:space="0" w:color="auto"/>
        <w:right w:val="none" w:sz="0" w:space="0" w:color="auto"/>
      </w:divBdr>
    </w:div>
    <w:div w:id="767385605">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au/Series/C2006A00018" TargetMode="External"/><Relationship Id="rId18" Type="http://schemas.openxmlformats.org/officeDocument/2006/relationships/hyperlink" Target="https://www.nopta.gov.au/guidelines-and-factsheets/fact-sheets.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nopta.gov.au/cost-recovery-and-fees.html" TargetMode="External"/><Relationship Id="rId2" Type="http://schemas.openxmlformats.org/officeDocument/2006/relationships/customXml" Target="../customXml/item2.xml"/><Relationship Id="rId16" Type="http://schemas.openxmlformats.org/officeDocument/2006/relationships/hyperlink" Target="https://www.nopta.gov.au/forms-and-templates/petroleum-and-greenhouse-gas-form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opta.gov.au/guidelines-and-factsheets/fact-sheets.htm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nopta.gov.au/forms-and-templates/petroleum-and-greenhouse-gas-form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itles@nopta.gov.a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DISR 2023">
      <a:dk1>
        <a:srgbClr val="000000"/>
      </a:dk1>
      <a:lt1>
        <a:sysClr val="window" lastClr="FFFFFF"/>
      </a:lt1>
      <a:dk2>
        <a:srgbClr val="095258"/>
      </a:dk2>
      <a:lt2>
        <a:srgbClr val="E7E6E6"/>
      </a:lt2>
      <a:accent1>
        <a:srgbClr val="001B35"/>
      </a:accent1>
      <a:accent2>
        <a:srgbClr val="993533"/>
      </a:accent2>
      <a:accent3>
        <a:srgbClr val="00D3D1"/>
      </a:accent3>
      <a:accent4>
        <a:srgbClr val="15659B"/>
      </a:accent4>
      <a:accent5>
        <a:srgbClr val="E5FD8C"/>
      </a:accent5>
      <a:accent6>
        <a:srgbClr val="B7E4F7"/>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ocumentSetDescription xmlns="http://schemas.microsoft.com/sharepoint/v3"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xsi:nil="true"/>
    <TaxCatchAll xmlns="7012054d-3a07-4b40-940b-a148fc76e5c4">
      <Value>5</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false</_dlc_DocIdPersistId>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_dlc_DocIdUrl xmlns="7012054d-3a07-4b40-940b-a148fc76e5c4">
      <Url>https://nopta.sharepoint.com/WST/_layouts/15/DocIdRedir.aspx?ID=NOPTANET-716839524-10876</Url>
      <Description>NOPTANET-716839524-10876</Description>
    </_dlc_DocIdUrl>
    <g91dc4f691a04421b1edf463601fabf6 xmlns="7012054d-3a07-4b40-940b-a148fc76e5c4">
      <Terms xmlns="http://schemas.microsoft.com/office/infopath/2007/PartnerControls"/>
    </g91dc4f691a04421b1edf463601fabf6>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DocumentType_Note>
    <CaveatCategory xmlns="7012054d-3a07-4b40-940b-a148fc76e5c4">DLM: For Official Use Only</CaveatCategory>
    <Jurisdiction xmlns="7012054d-3a07-4b40-940b-a148fc76e5c4">
      <Value>AU</Value>
    </Jurisdiction>
    <_dlc_DocId xmlns="7012054d-3a07-4b40-940b-a148fc76e5c4">NOPTANET-716839524-10876</_dlc_DocId>
    <SecurityClassification xmlns="7012054d-3a07-4b40-940b-a148fc76e5c4">OFFICIAL: Sensitive</SecurityClassification>
    <TaxKeywordTaxHTField xmlns="7012054d-3a07-4b40-940b-a148fc76e5c4">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NOPTA Base Document" ma:contentTypeID="0x01010063547D135F865547B104B3688A6EB0DB00F4C4AF551FA6E84F9660D2D5879C24B3" ma:contentTypeVersion="2631" ma:contentTypeDescription="Create a new document." ma:contentTypeScope="" ma:versionID="58021627eb85c2f07bab626b3a5485b4">
  <xsd:schema xmlns:xsd="http://www.w3.org/2001/XMLSchema" xmlns:xs="http://www.w3.org/2001/XMLSchema" xmlns:p="http://schemas.microsoft.com/office/2006/metadata/properties" xmlns:ns1="http://schemas.microsoft.com/sharepoint/v3" xmlns:ns2="7012054d-3a07-4b40-940b-a148fc76e5c4" xmlns:ns3="0c151cca-57ff-4eaf-a1fe-17d5293d916f" targetNamespace="http://schemas.microsoft.com/office/2006/metadata/properties" ma:root="true" ma:fieldsID="5cc902f808277a5e1fd4541bde16560e" ns1:_="" ns2:_="" ns3:_="">
    <xsd:import namespace="http://schemas.microsoft.com/sharepoint/v3"/>
    <xsd:import namespace="7012054d-3a07-4b40-940b-a148fc76e5c4"/>
    <xsd:import namespace="0c151cca-57ff-4eaf-a1fe-17d5293d916f"/>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1:DocumentSetDescrip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0"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hidden="true"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lcf76f155ced4ddcb4097134ff3c332f" ma:index="7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CEE98-BB1D-42B4-9882-9CC457E17CCF}">
  <ds:schemaRefs>
    <ds:schemaRef ds:uri="http://schemas.microsoft.com/office/2006/metadata/properties"/>
    <ds:schemaRef ds:uri="http://schemas.microsoft.com/sharepoint/v3"/>
    <ds:schemaRef ds:uri="0c151cca-57ff-4eaf-a1fe-17d5293d916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7012054d-3a07-4b40-940b-a148fc76e5c4"/>
    <ds:schemaRef ds:uri="http://www.w3.org/XML/1998/namespace"/>
    <ds:schemaRef ds:uri="http://purl.org/dc/dcmitype/"/>
  </ds:schemaRefs>
</ds:datastoreItem>
</file>

<file path=customXml/itemProps2.xml><?xml version="1.0" encoding="utf-8"?>
<ds:datastoreItem xmlns:ds="http://schemas.openxmlformats.org/officeDocument/2006/customXml" ds:itemID="{BF6061AC-734E-410C-AF99-3A15A62E3ED1}">
  <ds:schemaRefs>
    <ds:schemaRef ds:uri="http://schemas.microsoft.com/sharepoint/v3/contenttype/forms"/>
  </ds:schemaRefs>
</ds:datastoreItem>
</file>

<file path=customXml/itemProps3.xml><?xml version="1.0" encoding="utf-8"?>
<ds:datastoreItem xmlns:ds="http://schemas.openxmlformats.org/officeDocument/2006/customXml" ds:itemID="{C4C009F8-F778-4444-8011-26E5B46F5DAB}">
  <ds:schemaRefs>
    <ds:schemaRef ds:uri="http://schemas.microsoft.com/sharepoint/events"/>
  </ds:schemaRefs>
</ds:datastoreItem>
</file>

<file path=customXml/itemProps4.xml><?xml version="1.0" encoding="utf-8"?>
<ds:datastoreItem xmlns:ds="http://schemas.openxmlformats.org/officeDocument/2006/customXml" ds:itemID="{28BF0245-93C1-4E87-9BDE-80C8DD0C1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12054d-3a07-4b40-940b-a148fc76e5c4"/>
    <ds:schemaRef ds:uri="0c151cca-57ff-4eaf-a1fe-17d5293d9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1259</Words>
  <Characters>6882</Characters>
  <Application>Microsoft Office Word</Application>
  <DocSecurity>0</DocSecurity>
  <Lines>181</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2026-02-27T05:19:00Z</dcterms:created>
  <dcterms:modified xsi:type="dcterms:W3CDTF">2026-02-27T05:51:00Z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2026-02-27T05:19:31Z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67d936ac-ece1-42ed-b822-0982254dd116</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ComplianceAssetId">
    <vt:lpwstr/>
  </property>
  <property fmtid="{D5CDD505-2E9C-101B-9397-08002B2CF9AE}" pid="12" name="Titles">
    <vt:lpwstr/>
  </property>
  <property fmtid="{D5CDD505-2E9C-101B-9397-08002B2CF9AE}" pid="13" name="Title Type">
    <vt:lpwstr/>
  </property>
  <property fmtid="{D5CDD505-2E9C-101B-9397-08002B2CF9AE}" pid="14" name="_ExtendedDescription">
    <vt:lpwstr/>
  </property>
  <property fmtid="{D5CDD505-2E9C-101B-9397-08002B2CF9AE}" pid="15" name="Offshore Region">
    <vt:lpwstr/>
  </property>
  <property fmtid="{D5CDD505-2E9C-101B-9397-08002B2CF9AE}" pid="16" name="Offshore_x0020_Region">
    <vt:lpwstr/>
  </property>
  <property fmtid="{D5CDD505-2E9C-101B-9397-08002B2CF9AE}" pid="17" name="URL">
    <vt:lpwstr/>
  </property>
  <property fmtid="{D5CDD505-2E9C-101B-9397-08002B2CF9AE}" pid="18" name="xd_Signature">
    <vt:bool>false</vt:bool>
  </property>
  <property fmtid="{D5CDD505-2E9C-101B-9397-08002B2CF9AE}" pid="19" name="Application Library">
    <vt:lpwstr/>
  </property>
  <property fmtid="{D5CDD505-2E9C-101B-9397-08002B2CF9AE}" pid="20" name="Team">
    <vt:lpwstr>5;#Titles|801afcd6-487c-4a4b-bec1-53eb73ea8033</vt:lpwstr>
  </property>
  <property fmtid="{D5CDD505-2E9C-101B-9397-08002B2CF9AE}" pid="21" name="Application_x0020_Library">
    <vt:lpwstr/>
  </property>
  <property fmtid="{D5CDD505-2E9C-101B-9397-08002B2CF9AE}" pid="22" name="_dlc_DocIdItemGuid">
    <vt:lpwstr>63a03e47-d012-4ec5-973a-5973f528b0da</vt:lpwstr>
  </property>
  <property fmtid="{D5CDD505-2E9C-101B-9397-08002B2CF9AE}" pid="23" name="DocumentType">
    <vt:lpwstr/>
  </property>
  <property fmtid="{D5CDD505-2E9C-101B-9397-08002B2CF9AE}" pid="24" name="TriggerFlowInfo">
    <vt:lpwstr/>
  </property>
  <property fmtid="{D5CDD505-2E9C-101B-9397-08002B2CF9AE}" pid="25" name="Title_x0020_Type">
    <vt:lpwstr/>
  </property>
  <property fmtid="{D5CDD505-2E9C-101B-9397-08002B2CF9AE}" pid="26" name="MediaServiceImageTags">
    <vt:lpwstr/>
  </property>
  <property fmtid="{D5CDD505-2E9C-101B-9397-08002B2CF9AE}" pid="27" name="xd_ProgID">
    <vt:lpwstr/>
  </property>
  <property fmtid="{D5CDD505-2E9C-101B-9397-08002B2CF9AE}" pid="28" name="ContentTypeId">
    <vt:lpwstr>0x01010063547D135F865547B104B3688A6EB0DB00F4C4AF551FA6E84F9660D2D5879C24B3</vt:lpwstr>
  </property>
  <property fmtid="{D5CDD505-2E9C-101B-9397-08002B2CF9AE}" pid="29" name="TemplateUrl">
    <vt:lpwstr/>
  </property>
</Properties>
</file>