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6D1409E5" w14:textId="77777777" w:rsidR="001D2FA9" w:rsidRPr="00876EBC" w:rsidRDefault="001D2FA9" w:rsidP="00E027AA">
      <w:bookmarkStart w:id="1" w:name="_Toc144911604"/>
      <w:bookmarkStart w:id="2" w:name="_Toc155176735"/>
      <w:bookmarkEnd w:id="0"/>
    </w:p>
    <w:p w14:paraId="2B99CECA" w14:textId="22E76FCC" w:rsidR="00510815" w:rsidRPr="00F8108A" w:rsidRDefault="00DA4EDD" w:rsidP="00A60E6D">
      <w:pPr>
        <w:pStyle w:val="Heading1"/>
        <w:spacing w:before="240" w:after="240"/>
        <w:rPr>
          <w:rFonts w:ascii="Aptos Display" w:hAnsi="Aptos Display"/>
        </w:rPr>
      </w:pPr>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1"/>
          <w:bookmarkEnd w:id="2"/>
          <w:r w:rsidR="00203D76" w:rsidRPr="00203D76">
            <w:rPr>
              <w:rFonts w:ascii="Aptos Display" w:hAnsi="Aptos Display"/>
            </w:rPr>
            <w:t>Declaration of a location</w:t>
          </w:r>
          <w:r w:rsidR="00B03D5D">
            <w:rPr>
              <w:rFonts w:ascii="Aptos Display" w:hAnsi="Aptos Display"/>
            </w:rPr>
            <w:t xml:space="preserve"> </w:t>
          </w:r>
          <w:r w:rsidR="00203D76" w:rsidRPr="00203D76">
            <w:rPr>
              <w:rFonts w:ascii="Aptos Display" w:hAnsi="Aptos Display"/>
            </w:rPr>
            <w:t>– forms guidance</w:t>
          </w:r>
        </w:sdtContent>
      </w:sdt>
    </w:p>
    <w:p w14:paraId="6C1C9C98" w14:textId="40BC666D" w:rsidR="00510815" w:rsidRPr="00EB0BDA" w:rsidRDefault="00510815" w:rsidP="00360CD2">
      <w:pPr>
        <w:spacing w:before="360" w:after="240"/>
        <w:rPr>
          <w:szCs w:val="24"/>
          <w:lang w:eastAsia="en-AU"/>
        </w:rPr>
      </w:pPr>
      <w:r w:rsidRPr="008867A1">
        <w:rPr>
          <w:szCs w:val="24"/>
        </w:rPr>
        <w:t>This document contains general guidance to assist applicants and titleholders in making valid applications. This relates to titles administration under the</w:t>
      </w:r>
      <w:r w:rsidR="006158E5">
        <w:rPr>
          <w:szCs w:val="24"/>
        </w:rPr>
        <w:t xml:space="preserve"> </w:t>
      </w:r>
      <w:r w:rsidRPr="002E7696">
        <w:rPr>
          <w:i/>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AA5D96">
        <w:rPr>
          <w:rStyle w:val="Strong"/>
        </w:rPr>
        <w:t>OPGGS Act</w:t>
      </w:r>
      <w:r w:rsidRPr="008867A1">
        <w:rPr>
          <w:szCs w:val="24"/>
        </w:rPr>
        <w:t>)</w:t>
      </w:r>
      <w:r w:rsidRPr="00EB0BDA">
        <w:rPr>
          <w:szCs w:val="24"/>
        </w:rPr>
        <w:t xml:space="preserve">. </w:t>
      </w:r>
    </w:p>
    <w:p w14:paraId="20B06E07" w14:textId="77777777" w:rsidR="00510815" w:rsidRPr="000D0C1B" w:rsidRDefault="00510815" w:rsidP="00510815">
      <w:pPr>
        <w:spacing w:after="240"/>
        <w:rPr>
          <w:rFonts w:ascii="Aptos" w:hAnsi="Aptos" w:cstheme="minorHAnsi"/>
        </w:rPr>
      </w:pPr>
      <w:bookmarkStart w:id="3"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user</w:t>
      </w:r>
      <w:r w:rsidRPr="00EC4ECD">
        <w:rPr>
          <w:rFonts w:ascii="Aptos" w:hAnsi="Aptos" w:cstheme="minorHAnsi"/>
        </w:rPr>
        <w:t xml:space="preserve">s should carefully </w:t>
      </w:r>
      <w:r w:rsidRPr="000D0C1B">
        <w:rPr>
          <w:rFonts w:ascii="Aptos" w:hAnsi="Aptos" w:cstheme="minorHAnsi"/>
        </w:rPr>
        <w:t xml:space="preserve">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B3240A">
      <w:pPr>
        <w:pStyle w:val="Heading2"/>
        <w:spacing w:before="360" w:after="240"/>
        <w:rPr>
          <w:szCs w:val="36"/>
        </w:rPr>
      </w:pPr>
      <w:bookmarkStart w:id="4" w:name="_Revisions"/>
      <w:bookmarkEnd w:id="3"/>
      <w:bookmarkEnd w:id="4"/>
      <w:r w:rsidRPr="008867A1">
        <w:rPr>
          <w:szCs w:val="36"/>
        </w:rPr>
        <w:t>Revisions</w:t>
      </w:r>
    </w:p>
    <w:p w14:paraId="6BD87998" w14:textId="18C98F6D" w:rsidR="00E76D34" w:rsidRDefault="00E76D34" w:rsidP="000A2F67">
      <w:pPr>
        <w:pStyle w:val="Caption"/>
        <w:keepNext/>
      </w:pPr>
      <w:r>
        <w:t xml:space="preserve">Table </w:t>
      </w:r>
      <w:r>
        <w:fldChar w:fldCharType="begin"/>
      </w:r>
      <w:r>
        <w:instrText xml:space="preserve"> SEQ Table \* ARABIC </w:instrText>
      </w:r>
      <w:r>
        <w:fldChar w:fldCharType="separate"/>
      </w:r>
      <w:r w:rsidR="00EF1956">
        <w:rPr>
          <w:noProof/>
        </w:rPr>
        <w:t>1</w:t>
      </w:r>
      <w:r>
        <w:fldChar w:fldCharType="end"/>
      </w:r>
      <w:r w:rsidRPr="00AC763D">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10;"/>
      </w:tblPr>
      <w:tblGrid>
        <w:gridCol w:w="1560"/>
        <w:gridCol w:w="992"/>
        <w:gridCol w:w="5386"/>
        <w:gridCol w:w="1701"/>
      </w:tblGrid>
      <w:tr w:rsidR="00510815" w:rsidRPr="008867A1" w14:paraId="0A825E33" w14:textId="77777777" w:rsidTr="008B1C54">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F8108A" w:rsidRDefault="00510815">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F8108A" w:rsidRDefault="00510815">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510815" w:rsidRPr="008867A1" w14:paraId="6A01A875" w14:textId="77777777">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18F6772E" w:rsidR="00510815" w:rsidRPr="00F8108A" w:rsidRDefault="007D6517">
            <w:pPr>
              <w:kinsoku w:val="0"/>
              <w:overflowPunct w:val="0"/>
              <w:autoSpaceDE w:val="0"/>
              <w:autoSpaceDN w:val="0"/>
              <w:adjustRightInd w:val="0"/>
              <w:spacing w:before="60" w:after="60"/>
              <w:ind w:left="57" w:right="57"/>
              <w:rPr>
                <w:rFonts w:cstheme="minorHAnsi"/>
                <w:sz w:val="22"/>
                <w:szCs w:val="24"/>
              </w:rPr>
            </w:pPr>
            <w:r>
              <w:rPr>
                <w:rFonts w:cstheme="minorHAnsi"/>
                <w:sz w:val="22"/>
                <w:szCs w:val="24"/>
              </w:rPr>
              <w:t>31 March 202</w:t>
            </w:r>
            <w:r w:rsidR="009F777D">
              <w:rPr>
                <w:rFonts w:cstheme="minorHAnsi"/>
                <w:sz w:val="22"/>
                <w:szCs w:val="24"/>
              </w:rPr>
              <w:t>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F8108A" w:rsidRDefault="00510815">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4CFE006D" w:rsidR="00510815" w:rsidRPr="00F8108A" w:rsidRDefault="00510815">
            <w:pPr>
              <w:kinsoku w:val="0"/>
              <w:overflowPunct w:val="0"/>
              <w:autoSpaceDE w:val="0"/>
              <w:autoSpaceDN w:val="0"/>
              <w:adjustRightInd w:val="0"/>
              <w:spacing w:before="60" w:after="60"/>
              <w:ind w:left="57" w:right="57"/>
              <w:rPr>
                <w:rFonts w:cstheme="minorHAnsi"/>
                <w:sz w:val="22"/>
                <w:szCs w:val="24"/>
              </w:rPr>
            </w:pPr>
            <w:r w:rsidRPr="00510815">
              <w:rPr>
                <w:rFonts w:cstheme="minorHAnsi"/>
                <w:sz w:val="22"/>
                <w:szCs w:val="24"/>
              </w:rPr>
              <w:t xml:space="preserve">Separate the NOPTA Forms Guidance Petroleum and </w:t>
            </w:r>
            <w:r w:rsidRPr="007557AF">
              <w:rPr>
                <w:rFonts w:cstheme="minorHAnsi"/>
                <w:sz w:val="22"/>
                <w:szCs w:val="24"/>
              </w:rPr>
              <w:t xml:space="preserve">create new forms guidance specific to </w:t>
            </w:r>
            <w:r w:rsidR="00203D76" w:rsidRPr="007557AF">
              <w:rPr>
                <w:rFonts w:cstheme="minorHAnsi"/>
                <w:sz w:val="22"/>
                <w:szCs w:val="24"/>
              </w:rPr>
              <w:t>declaration of a location related applications</w:t>
            </w:r>
            <w:r w:rsidR="00D307AF">
              <w:rPr>
                <w:rFonts w:cstheme="minorHAnsi"/>
                <w:sz w:val="22"/>
                <w:szCs w:val="24"/>
              </w:rPr>
              <w:t xml:space="preserve"> and</w:t>
            </w:r>
            <w:r w:rsidR="00845EB6">
              <w:rPr>
                <w:rFonts w:cstheme="minorHAnsi"/>
                <w:sz w:val="22"/>
                <w:szCs w:val="24"/>
              </w:rPr>
              <w:t xml:space="preserve"> updated </w:t>
            </w:r>
            <w:r w:rsidR="002D3EE1">
              <w:rPr>
                <w:rFonts w:cstheme="minorHAnsi"/>
                <w:sz w:val="22"/>
                <w:szCs w:val="24"/>
              </w:rPr>
              <w:t xml:space="preserve">Location guideline and Signatures fact sheet </w:t>
            </w:r>
            <w:r w:rsidR="00D307AF">
              <w:rPr>
                <w:rFonts w:cstheme="minorHAnsi"/>
                <w:sz w:val="22"/>
                <w:szCs w:val="24"/>
              </w:rPr>
              <w:t>references</w:t>
            </w:r>
            <w:r w:rsidR="00203D76" w:rsidRPr="007557AF">
              <w:rPr>
                <w:rFonts w:cstheme="minorHAnsi"/>
                <w:sz w:val="22"/>
                <w:szCs w:val="24"/>
              </w:rPr>
              <w:t>.</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F8108A" w:rsidRDefault="00510815">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47D5D7AB" w14:textId="77777777" w:rsidR="00510815" w:rsidRPr="00812D6B" w:rsidRDefault="00510815" w:rsidP="00DB78A2">
          <w:pPr>
            <w:pStyle w:val="Heading2"/>
            <w:rPr>
              <w:szCs w:val="36"/>
            </w:rPr>
          </w:pPr>
          <w:r w:rsidRPr="008867A1">
            <w:rPr>
              <w:szCs w:val="36"/>
            </w:rPr>
            <w:t>Table of contents</w:t>
          </w:r>
        </w:p>
        <w:p w14:paraId="71BFA6CA" w14:textId="342943E3" w:rsidR="00510815" w:rsidRPr="00CB290B" w:rsidRDefault="00203D76" w:rsidP="00510815">
          <w:pPr>
            <w:pStyle w:val="TOC1"/>
            <w:spacing w:before="0" w:after="0"/>
            <w:rPr>
              <w:szCs w:val="24"/>
            </w:rPr>
          </w:pPr>
          <w:hyperlink w:anchor="_Petroleum_exploration_permit" w:history="1">
            <w:r w:rsidRPr="00CB290B">
              <w:rPr>
                <w:rStyle w:val="Hyperlink"/>
                <w:szCs w:val="24"/>
              </w:rPr>
              <w:t>Declaration of a location related applications</w:t>
            </w:r>
            <w:r w:rsidR="00510815" w:rsidRPr="00CB290B">
              <w:rPr>
                <w:rStyle w:val="Hyperlink"/>
                <w:szCs w:val="24"/>
              </w:rPr>
              <w:t xml:space="preserve"> – forms guidance</w:t>
            </w:r>
          </w:hyperlink>
          <w:r w:rsidR="00510815" w:rsidRPr="00CB290B">
            <w:rPr>
              <w:szCs w:val="24"/>
            </w:rPr>
            <w:ptab w:relativeTo="margin" w:alignment="right" w:leader="dot"/>
          </w:r>
          <w:r w:rsidR="00510815" w:rsidRPr="00CB290B">
            <w:rPr>
              <w:szCs w:val="24"/>
            </w:rPr>
            <w:t>1</w:t>
          </w:r>
        </w:p>
        <w:bookmarkStart w:id="5" w:name="_Hlk197680961"/>
        <w:p w14:paraId="606E9442" w14:textId="77777777" w:rsidR="00510815" w:rsidRPr="00CB290B" w:rsidRDefault="00510815" w:rsidP="00510815">
          <w:pPr>
            <w:pStyle w:val="TOC1"/>
            <w:tabs>
              <w:tab w:val="clear" w:pos="9016"/>
            </w:tabs>
            <w:spacing w:before="0" w:after="0"/>
            <w:rPr>
              <w:szCs w:val="24"/>
            </w:rPr>
          </w:pPr>
          <w:r w:rsidRPr="00CB290B">
            <w:rPr>
              <w:szCs w:val="24"/>
            </w:rPr>
            <w:fldChar w:fldCharType="begin"/>
          </w:r>
          <w:r w:rsidRPr="00CB290B">
            <w:rPr>
              <w:szCs w:val="24"/>
            </w:rPr>
            <w:instrText>HYPERLINK  \l "_Revisions"</w:instrText>
          </w:r>
          <w:r w:rsidRPr="00CB290B">
            <w:rPr>
              <w:szCs w:val="24"/>
            </w:rPr>
          </w:r>
          <w:r w:rsidRPr="00CB290B">
            <w:rPr>
              <w:szCs w:val="24"/>
            </w:rPr>
            <w:fldChar w:fldCharType="separate"/>
          </w:r>
          <w:r w:rsidRPr="00CB290B">
            <w:rPr>
              <w:rStyle w:val="Hyperlink"/>
              <w:szCs w:val="24"/>
            </w:rPr>
            <w:t>Revisions</w:t>
          </w:r>
          <w:r w:rsidRPr="00CB290B">
            <w:rPr>
              <w:szCs w:val="24"/>
            </w:rPr>
            <w:fldChar w:fldCharType="end"/>
          </w:r>
          <w:r w:rsidRPr="00CB290B">
            <w:rPr>
              <w:szCs w:val="24"/>
            </w:rPr>
            <w:ptab w:relativeTo="margin" w:alignment="right" w:leader="dot"/>
          </w:r>
          <w:r w:rsidRPr="00CB290B">
            <w:rPr>
              <w:szCs w:val="24"/>
            </w:rPr>
            <w:t>1</w:t>
          </w:r>
        </w:p>
        <w:p w14:paraId="0D3A9201" w14:textId="08BBF1E7" w:rsidR="00510815" w:rsidRPr="00CB290B" w:rsidRDefault="00510815" w:rsidP="00510815">
          <w:pPr>
            <w:pStyle w:val="TOC1"/>
            <w:tabs>
              <w:tab w:val="clear" w:pos="9016"/>
            </w:tabs>
            <w:spacing w:before="0" w:after="0"/>
            <w:rPr>
              <w:szCs w:val="24"/>
            </w:rPr>
          </w:pPr>
          <w:hyperlink w:anchor="_Accessibility" w:history="1">
            <w:r w:rsidRPr="00CB290B">
              <w:rPr>
                <w:rStyle w:val="Hyperlink"/>
                <w:szCs w:val="24"/>
              </w:rPr>
              <w:t>Accessibility</w:t>
            </w:r>
          </w:hyperlink>
          <w:r w:rsidRPr="00CB290B">
            <w:rPr>
              <w:szCs w:val="24"/>
            </w:rPr>
            <w:ptab w:relativeTo="margin" w:alignment="right" w:leader="dot"/>
          </w:r>
          <w:r w:rsidR="00965698" w:rsidRPr="00CB290B">
            <w:rPr>
              <w:szCs w:val="24"/>
            </w:rPr>
            <w:t>1</w:t>
          </w:r>
        </w:p>
        <w:bookmarkEnd w:id="5"/>
        <w:p w14:paraId="1AFFE4AA" w14:textId="674A83B3" w:rsidR="00510815" w:rsidRPr="00CB290B" w:rsidRDefault="00510815" w:rsidP="00510815">
          <w:pPr>
            <w:pStyle w:val="TOC2"/>
            <w:spacing w:before="0" w:after="0"/>
            <w:ind w:right="0"/>
            <w:rPr>
              <w:szCs w:val="24"/>
            </w:rPr>
          </w:pPr>
          <w:r w:rsidRPr="00CB290B">
            <w:rPr>
              <w:szCs w:val="24"/>
            </w:rPr>
            <w:fldChar w:fldCharType="begin"/>
          </w:r>
          <w:r w:rsidR="00D33301" w:rsidRPr="00CB290B">
            <w:rPr>
              <w:szCs w:val="24"/>
            </w:rPr>
            <w:instrText>HYPERLINK  \l "_Nomination_of_block(s)"</w:instrText>
          </w:r>
          <w:r w:rsidRPr="00CB290B">
            <w:rPr>
              <w:szCs w:val="24"/>
            </w:rPr>
          </w:r>
          <w:r w:rsidRPr="00CB290B">
            <w:rPr>
              <w:szCs w:val="24"/>
            </w:rPr>
            <w:fldChar w:fldCharType="separate"/>
          </w:r>
          <w:r w:rsidR="00B3240A" w:rsidRPr="00CB290B">
            <w:rPr>
              <w:rStyle w:val="Hyperlink"/>
              <w:szCs w:val="24"/>
            </w:rPr>
            <w:t>Nomination of block(s) for the purpose of declaring a location</w:t>
          </w:r>
          <w:r w:rsidRPr="00CB290B">
            <w:rPr>
              <w:rStyle w:val="Hyperlink"/>
              <w:szCs w:val="24"/>
            </w:rPr>
            <w:t xml:space="preserve"> </w:t>
          </w:r>
          <w:r w:rsidRPr="00CB290B">
            <w:rPr>
              <w:szCs w:val="24"/>
            </w:rPr>
            <w:fldChar w:fldCharType="end"/>
          </w:r>
          <w:r w:rsidRPr="00CB290B">
            <w:rPr>
              <w:szCs w:val="24"/>
            </w:rPr>
            <w:ptab w:relativeTo="margin" w:alignment="right" w:leader="dot"/>
          </w:r>
          <w:r w:rsidRPr="00CB290B">
            <w:rPr>
              <w:szCs w:val="24"/>
            </w:rPr>
            <w:t>2</w:t>
          </w:r>
        </w:p>
        <w:p w14:paraId="65F41F5A" w14:textId="7335CECF" w:rsidR="00510815" w:rsidRPr="00CB290B" w:rsidRDefault="00620CC0" w:rsidP="00510815">
          <w:pPr>
            <w:pStyle w:val="TOC2"/>
            <w:spacing w:before="0" w:after="0"/>
            <w:ind w:right="0"/>
            <w:rPr>
              <w:szCs w:val="24"/>
            </w:rPr>
          </w:pPr>
          <w:hyperlink w:anchor="_Variation_of_a" w:history="1">
            <w:r w:rsidRPr="00CB290B">
              <w:rPr>
                <w:rStyle w:val="Hyperlink"/>
                <w:szCs w:val="24"/>
              </w:rPr>
              <w:t>Variation of a declaration of a location</w:t>
            </w:r>
          </w:hyperlink>
          <w:r w:rsidR="00510815" w:rsidRPr="00CB290B">
            <w:rPr>
              <w:szCs w:val="24"/>
            </w:rPr>
            <w:ptab w:relativeTo="margin" w:alignment="right" w:leader="dot"/>
          </w:r>
          <w:r w:rsidR="00657A90" w:rsidRPr="00CB290B">
            <w:rPr>
              <w:szCs w:val="24"/>
            </w:rPr>
            <w:t>4</w:t>
          </w:r>
        </w:p>
        <w:p w14:paraId="5E15B3E0" w14:textId="4DF24E25" w:rsidR="007557AF" w:rsidRPr="00CB290B" w:rsidRDefault="00B0432E" w:rsidP="00510815">
          <w:pPr>
            <w:pStyle w:val="TOC2"/>
            <w:spacing w:before="0" w:after="0"/>
            <w:ind w:right="0"/>
            <w:rPr>
              <w:rFonts w:eastAsiaTheme="minorEastAsia"/>
              <w:noProof/>
              <w:szCs w:val="24"/>
              <w:lang w:eastAsia="en-AU"/>
            </w:rPr>
          </w:pPr>
          <w:hyperlink w:anchor="_Revocation_of_a" w:history="1">
            <w:r w:rsidRPr="00CB290B">
              <w:rPr>
                <w:rStyle w:val="Hyperlink"/>
                <w:rFonts w:ascii="Aptos" w:hAnsi="Aptos"/>
                <w:noProof/>
                <w:szCs w:val="24"/>
              </w:rPr>
              <w:t>Revocation of a declared location</w:t>
            </w:r>
            <w:r w:rsidR="00510815" w:rsidRPr="00CB290B">
              <w:rPr>
                <w:szCs w:val="24"/>
              </w:rPr>
              <w:ptab w:relativeTo="margin" w:alignment="right" w:leader="dot"/>
            </w:r>
            <w:r w:rsidR="00657A90" w:rsidRPr="00CB290B">
              <w:rPr>
                <w:noProof/>
                <w:webHidden/>
                <w:szCs w:val="24"/>
              </w:rPr>
              <w:t>6</w:t>
            </w:r>
          </w:hyperlink>
        </w:p>
        <w:p w14:paraId="571AA704" w14:textId="64C0E031" w:rsidR="00510815" w:rsidRPr="00CB290B" w:rsidRDefault="004728AB" w:rsidP="00510815">
          <w:pPr>
            <w:pStyle w:val="TOC2"/>
            <w:spacing w:before="0" w:after="0"/>
            <w:ind w:right="0"/>
            <w:rPr>
              <w:rStyle w:val="Hyperlink"/>
              <w:rFonts w:eastAsiaTheme="minorEastAsia"/>
              <w:noProof/>
              <w:color w:val="auto"/>
              <w:szCs w:val="24"/>
              <w:u w:val="none"/>
              <w:lang w:eastAsia="en-AU"/>
            </w:rPr>
          </w:pPr>
          <w:hyperlink w:anchor="_Extension_of_application" w:history="1">
            <w:r w:rsidRPr="00CB290B">
              <w:rPr>
                <w:rStyle w:val="Hyperlink"/>
                <w:rFonts w:ascii="Aptos" w:hAnsi="Aptos"/>
                <w:noProof/>
                <w:szCs w:val="24"/>
              </w:rPr>
              <w:t xml:space="preserve">Extension of application period for a retention lease or production licence </w:t>
            </w:r>
            <w:r w:rsidR="00510815" w:rsidRPr="00CB290B">
              <w:rPr>
                <w:szCs w:val="24"/>
              </w:rPr>
              <w:ptab w:relativeTo="margin" w:alignment="right" w:leader="dot"/>
            </w:r>
          </w:hyperlink>
          <w:r w:rsidR="00657A90" w:rsidRPr="00CB290B">
            <w:rPr>
              <w:szCs w:val="24"/>
            </w:rPr>
            <w:t>8</w:t>
          </w:r>
        </w:p>
      </w:sdtContent>
    </w:sdt>
    <w:p w14:paraId="34863A04" w14:textId="77777777" w:rsidR="00510815" w:rsidRDefault="00510815" w:rsidP="00B3240A">
      <w:pPr>
        <w:pStyle w:val="Heading2"/>
        <w:keepNext w:val="0"/>
        <w:keepLines w:val="0"/>
        <w:spacing w:before="360"/>
      </w:pPr>
      <w:bookmarkStart w:id="6" w:name="_Accessibility"/>
      <w:bookmarkEnd w:id="6"/>
      <w:r>
        <w:rPr>
          <w:lang w:eastAsia="en-AU"/>
        </w:rPr>
        <w:t>A</w:t>
      </w:r>
      <w:r>
        <w:t>ccessibility</w:t>
      </w:r>
    </w:p>
    <w:p w14:paraId="1C6C8512" w14:textId="77777777" w:rsidR="00510815" w:rsidRPr="008867A1" w:rsidRDefault="00510815" w:rsidP="00B3240A">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768A9069" w14:textId="77777777" w:rsidR="006158E5" w:rsidRDefault="006158E5">
      <w:pPr>
        <w:spacing w:before="0" w:after="160" w:line="259" w:lineRule="auto"/>
        <w:rPr>
          <w:rFonts w:ascii="Aptos Display" w:eastAsiaTheme="majorEastAsia" w:hAnsi="Aptos Display" w:cstheme="majorBidi"/>
          <w:color w:val="15659B" w:themeColor="accent4"/>
          <w:sz w:val="36"/>
          <w:szCs w:val="48"/>
        </w:rPr>
      </w:pPr>
      <w:bookmarkStart w:id="7" w:name="_Nomination_of_block(s)"/>
      <w:bookmarkEnd w:id="7"/>
      <w:r>
        <w:br w:type="page"/>
      </w:r>
    </w:p>
    <w:p w14:paraId="38512986" w14:textId="713E1A79" w:rsidR="00B3240A" w:rsidRPr="00F52E95" w:rsidRDefault="00B3240A" w:rsidP="00657A90">
      <w:pPr>
        <w:pStyle w:val="Heading2"/>
      </w:pPr>
      <w:r w:rsidRPr="00F52E95">
        <w:lastRenderedPageBreak/>
        <w:t>Nomination of block(s) for the purpose of declaring a location</w:t>
      </w:r>
    </w:p>
    <w:p w14:paraId="6E73C8A8" w14:textId="47F4E218" w:rsidR="004C0441" w:rsidRPr="00F52E95" w:rsidRDefault="004C0441" w:rsidP="00A60E6D">
      <w:pPr>
        <w:spacing w:before="240"/>
        <w:rPr>
          <w:lang w:eastAsia="en-AU"/>
        </w:rPr>
      </w:pPr>
      <w:r w:rsidRPr="00F52E95">
        <w:rPr>
          <w:lang w:eastAsia="en-AU"/>
        </w:rPr>
        <w:t xml:space="preserve">In making an application under section </w:t>
      </w:r>
      <w:r w:rsidR="000A6CD0" w:rsidRPr="00F52E95">
        <w:rPr>
          <w:lang w:eastAsia="en-AU"/>
        </w:rPr>
        <w:t>129</w:t>
      </w:r>
      <w:r w:rsidRPr="00F52E95">
        <w:rPr>
          <w:lang w:eastAsia="en-AU"/>
        </w:rPr>
        <w:t xml:space="preserve"> of the OPGGS Act, please refer to following </w:t>
      </w:r>
      <w:r w:rsidR="00D2579B" w:rsidRPr="00F52E95">
        <w:rPr>
          <w:lang w:eastAsia="en-AU"/>
        </w:rPr>
        <w:t>material</w:t>
      </w:r>
      <w:r w:rsidRPr="00F52E95">
        <w:rPr>
          <w:lang w:eastAsia="en-AU"/>
        </w:rPr>
        <w:t>.</w:t>
      </w:r>
    </w:p>
    <w:p w14:paraId="6AE5C26D" w14:textId="77777777" w:rsidR="004C0441" w:rsidRPr="00F52E95" w:rsidRDefault="004C0441" w:rsidP="00A60E6D">
      <w:pPr>
        <w:pStyle w:val="Heading3"/>
        <w:rPr>
          <w:lang w:eastAsia="en-AU"/>
        </w:rPr>
      </w:pPr>
      <w:r w:rsidRPr="00F52E95">
        <w:rPr>
          <w:lang w:eastAsia="en-AU"/>
        </w:rPr>
        <w:t>Legislation</w:t>
      </w:r>
    </w:p>
    <w:p w14:paraId="0B60B0EF" w14:textId="32723C8B" w:rsidR="004C0441" w:rsidRPr="00F52E95" w:rsidRDefault="004C0441" w:rsidP="00A60E6D">
      <w:pPr>
        <w:spacing w:before="240"/>
        <w:rPr>
          <w:lang w:eastAsia="en-AU"/>
        </w:rPr>
      </w:pPr>
      <w:r w:rsidRPr="00F52E95">
        <w:rPr>
          <w:lang w:eastAsia="en-AU"/>
        </w:rPr>
        <w:t>Part 2.2 of the OPGGS Act</w:t>
      </w:r>
      <w:r w:rsidR="00200B3C" w:rsidRPr="00F52E95">
        <w:rPr>
          <w:lang w:eastAsia="en-AU"/>
        </w:rPr>
        <w:t>.</w:t>
      </w:r>
    </w:p>
    <w:p w14:paraId="32D5C8F5" w14:textId="302D2838" w:rsidR="004C0441" w:rsidRPr="00F52E95" w:rsidRDefault="004C0441" w:rsidP="00A60E6D">
      <w:pPr>
        <w:pStyle w:val="Heading3"/>
        <w:rPr>
          <w:lang w:eastAsia="en-AU"/>
        </w:rPr>
      </w:pPr>
      <w:r w:rsidRPr="00F52E95">
        <w:t>Guidance material</w:t>
      </w:r>
    </w:p>
    <w:p w14:paraId="580B4B51" w14:textId="0420F222" w:rsidR="001055B1" w:rsidRDefault="00C52FD0" w:rsidP="00A60E6D">
      <w:pPr>
        <w:spacing w:before="240"/>
        <w:rPr>
          <w:lang w:eastAsia="en-AU"/>
        </w:rPr>
      </w:pPr>
      <w:bookmarkStart w:id="8" w:name="_Hlk198198882"/>
      <w:bookmarkStart w:id="9" w:name="_Hlk197505322"/>
      <w:r>
        <w:rPr>
          <w:lang w:eastAsia="en-AU"/>
        </w:rPr>
        <w:t>G</w:t>
      </w:r>
      <w:r w:rsidRPr="00CC7E08">
        <w:rPr>
          <w:lang w:eastAsia="en-AU"/>
        </w:rPr>
        <w:t>uideline</w:t>
      </w:r>
      <w:r>
        <w:rPr>
          <w:lang w:eastAsia="en-AU"/>
        </w:rPr>
        <w:t xml:space="preserve">s and fact sheets </w:t>
      </w:r>
      <w:r w:rsidR="001055B1">
        <w:rPr>
          <w:lang w:eastAsia="en-AU"/>
        </w:rPr>
        <w:t xml:space="preserve">have been developed to </w:t>
      </w:r>
      <w:r w:rsidR="001055B1" w:rsidRPr="00CC7E08">
        <w:rPr>
          <w:lang w:eastAsia="en-AU"/>
        </w:rPr>
        <w:t>assists applicants and titleholders to understand the expectations of</w:t>
      </w:r>
      <w:r w:rsidR="001055B1">
        <w:rPr>
          <w:lang w:eastAsia="en-AU"/>
        </w:rPr>
        <w:t xml:space="preserve"> decision makers and to provide useful guidance when making applications.</w:t>
      </w:r>
    </w:p>
    <w:p w14:paraId="032B2D96" w14:textId="07438A0E" w:rsidR="002D0BC2" w:rsidRPr="00F52E95" w:rsidRDefault="002D0BC2" w:rsidP="00A60E6D">
      <w:pPr>
        <w:spacing w:before="240"/>
        <w:rPr>
          <w:lang w:eastAsia="en-AU"/>
        </w:rPr>
      </w:pPr>
      <w:r>
        <w:rPr>
          <w:lang w:eastAsia="en-AU"/>
        </w:rPr>
        <w:t>T</w:t>
      </w:r>
      <w:r w:rsidRPr="00906743">
        <w:rPr>
          <w:lang w:eastAsia="en-AU"/>
        </w:rPr>
        <w:t xml:space="preserve">he following </w:t>
      </w:r>
      <w:hyperlink r:id="rId10" w:tooltip="Link to guidelines page" w:history="1">
        <w:r w:rsidRPr="00906743">
          <w:rPr>
            <w:rStyle w:val="Hyperlink"/>
            <w:lang w:eastAsia="en-AU"/>
          </w:rPr>
          <w:t>guideline</w:t>
        </w:r>
      </w:hyperlink>
      <w:r w:rsidRPr="00906743">
        <w:rPr>
          <w:lang w:eastAsia="en-AU"/>
        </w:rPr>
        <w:t xml:space="preserve"> </w:t>
      </w:r>
      <w:bookmarkStart w:id="10" w:name="_Hlk198198914"/>
      <w:r w:rsidR="0002717B">
        <w:rPr>
          <w:lang w:eastAsia="en-AU"/>
        </w:rPr>
        <w:t>is</w:t>
      </w:r>
      <w:r w:rsidR="0002717B" w:rsidRPr="007F7DCC">
        <w:rPr>
          <w:lang w:eastAsia="en-AU"/>
        </w:rPr>
        <w:t xml:space="preserve"> </w:t>
      </w:r>
      <w:r>
        <w:rPr>
          <w:lang w:eastAsia="en-AU"/>
        </w:rPr>
        <w:t xml:space="preserve">available </w:t>
      </w:r>
      <w:bookmarkEnd w:id="10"/>
      <w:r w:rsidRPr="00906743">
        <w:rPr>
          <w:lang w:eastAsia="en-AU"/>
        </w:rPr>
        <w:t>on our website</w:t>
      </w:r>
      <w:r>
        <w:rPr>
          <w:lang w:eastAsia="en-AU"/>
        </w:rPr>
        <w:t xml:space="preserve"> to assist you in making an application</w:t>
      </w:r>
      <w:r w:rsidRPr="00F52E95">
        <w:rPr>
          <w:lang w:eastAsia="en-AU"/>
        </w:rPr>
        <w:t xml:space="preserve">: </w:t>
      </w:r>
    </w:p>
    <w:p w14:paraId="0ED4FCA5" w14:textId="51086C8B" w:rsidR="008D11DF" w:rsidRPr="00F52E95" w:rsidRDefault="00284DB2" w:rsidP="00A60E6D">
      <w:pPr>
        <w:pStyle w:val="ListParagraph"/>
        <w:spacing w:before="240"/>
        <w:rPr>
          <w:iCs w:val="0"/>
          <w:lang w:eastAsia="en-AU"/>
        </w:rPr>
      </w:pPr>
      <w:r w:rsidRPr="00110F93">
        <w:rPr>
          <w:rFonts w:ascii="Aptos" w:hAnsi="Aptos" w:cstheme="minorHAnsi"/>
          <w:iCs w:val="0"/>
          <w:szCs w:val="20"/>
        </w:rPr>
        <w:t>Guideline: Offshore petroleum declaration of location (effective 9 December 2025)</w:t>
      </w:r>
      <w:r>
        <w:rPr>
          <w:rFonts w:ascii="Aptos" w:hAnsi="Aptos" w:cstheme="minorHAnsi"/>
          <w:iCs w:val="0"/>
          <w:szCs w:val="20"/>
        </w:rPr>
        <w:t xml:space="preserve"> </w:t>
      </w:r>
      <w:r w:rsidR="00B6292B" w:rsidRPr="00F52E95">
        <w:rPr>
          <w:rStyle w:val="Hyperlink"/>
          <w:rFonts w:ascii="Aptos" w:hAnsi="Aptos" w:cstheme="minorHAnsi"/>
          <w:iCs w:val="0"/>
          <w:color w:val="auto"/>
          <w:szCs w:val="20"/>
          <w:u w:val="none"/>
        </w:rPr>
        <w:t>(</w:t>
      </w:r>
      <w:r w:rsidR="00B6292B" w:rsidRPr="008B1C54">
        <w:rPr>
          <w:rStyle w:val="Strong"/>
        </w:rPr>
        <w:t>Location Guideline</w:t>
      </w:r>
      <w:r w:rsidR="00B6292B" w:rsidRPr="00F52E95">
        <w:rPr>
          <w:rFonts w:ascii="Aptos" w:hAnsi="Aptos" w:cstheme="minorHAnsi"/>
          <w:iCs w:val="0"/>
          <w:szCs w:val="20"/>
        </w:rPr>
        <w:t>)</w:t>
      </w:r>
      <w:r w:rsidR="002952A3" w:rsidRPr="00F52E95">
        <w:rPr>
          <w:rFonts w:ascii="Aptos" w:hAnsi="Aptos" w:cstheme="minorHAnsi"/>
          <w:iCs w:val="0"/>
          <w:szCs w:val="20"/>
        </w:rPr>
        <w:t>.</w:t>
      </w:r>
    </w:p>
    <w:p w14:paraId="125BF010" w14:textId="0A1BE4FD" w:rsidR="004C0441" w:rsidRPr="00F52E95" w:rsidRDefault="002D0BC2" w:rsidP="00A60E6D">
      <w:pPr>
        <w:spacing w:before="240"/>
        <w:rPr>
          <w:lang w:eastAsia="en-AU"/>
        </w:rPr>
      </w:pPr>
      <w:r>
        <w:rPr>
          <w:lang w:eastAsia="en-AU"/>
        </w:rPr>
        <w:t>T</w:t>
      </w:r>
      <w:r w:rsidR="004C0441" w:rsidRPr="00F52E95">
        <w:rPr>
          <w:lang w:eastAsia="en-AU"/>
        </w:rPr>
        <w:t xml:space="preserve">he following </w:t>
      </w:r>
      <w:hyperlink r:id="rId11" w:tooltip="Link to fact sheets page" w:history="1">
        <w:r w:rsidR="004C0441" w:rsidRPr="00F52E95">
          <w:rPr>
            <w:rStyle w:val="Hyperlink"/>
            <w:lang w:eastAsia="en-AU"/>
          </w:rPr>
          <w:t>fact</w:t>
        </w:r>
        <w:r w:rsidR="001E7621">
          <w:rPr>
            <w:rStyle w:val="Hyperlink"/>
            <w:lang w:eastAsia="en-AU"/>
          </w:rPr>
          <w:t xml:space="preserve"> </w:t>
        </w:r>
        <w:r w:rsidR="004C0441" w:rsidRPr="00F52E95">
          <w:rPr>
            <w:rStyle w:val="Hyperlink"/>
            <w:lang w:eastAsia="en-AU"/>
          </w:rPr>
          <w:t>sheet</w:t>
        </w:r>
      </w:hyperlink>
      <w:r w:rsidR="004C0441" w:rsidRPr="00F52E95">
        <w:rPr>
          <w:lang w:eastAsia="en-AU"/>
        </w:rPr>
        <w:t xml:space="preserve"> </w:t>
      </w:r>
      <w:r w:rsidR="0002717B">
        <w:rPr>
          <w:lang w:eastAsia="en-AU"/>
        </w:rPr>
        <w:t>is</w:t>
      </w:r>
      <w:r w:rsidR="0002717B" w:rsidRPr="007F7DCC">
        <w:rPr>
          <w:lang w:eastAsia="en-AU"/>
        </w:rPr>
        <w:t xml:space="preserve"> </w:t>
      </w:r>
      <w:r>
        <w:rPr>
          <w:lang w:eastAsia="en-AU"/>
        </w:rPr>
        <w:t xml:space="preserve">available </w:t>
      </w:r>
      <w:r w:rsidR="004C0441" w:rsidRPr="00F52E95">
        <w:rPr>
          <w:lang w:eastAsia="en-AU"/>
        </w:rPr>
        <w:t>on our website</w:t>
      </w:r>
      <w:r>
        <w:rPr>
          <w:lang w:eastAsia="en-AU"/>
        </w:rPr>
        <w:t xml:space="preserve"> to assist you in making an application</w:t>
      </w:r>
      <w:r w:rsidR="0049005D" w:rsidRPr="00F52E95">
        <w:rPr>
          <w:lang w:eastAsia="en-AU"/>
        </w:rPr>
        <w:t>:</w:t>
      </w:r>
    </w:p>
    <w:bookmarkEnd w:id="8"/>
    <w:bookmarkEnd w:id="9"/>
    <w:p w14:paraId="25FBCC60" w14:textId="62296F69" w:rsidR="00277522" w:rsidRPr="00104660" w:rsidRDefault="008E6465" w:rsidP="00277522">
      <w:pPr>
        <w:pStyle w:val="ListParagraph"/>
        <w:spacing w:before="240"/>
      </w:pPr>
      <w:r w:rsidRPr="008E6465">
        <w:rPr>
          <w:rFonts w:ascii="Aptos" w:hAnsi="Aptos"/>
        </w:rPr>
        <w:t>Signatures fact</w:t>
      </w:r>
      <w:r>
        <w:rPr>
          <w:rFonts w:ascii="Aptos" w:hAnsi="Aptos"/>
        </w:rPr>
        <w:t xml:space="preserve"> </w:t>
      </w:r>
      <w:r w:rsidRPr="008E6465">
        <w:rPr>
          <w:rFonts w:ascii="Aptos" w:hAnsi="Aptos"/>
        </w:rPr>
        <w:t>sheet</w:t>
      </w:r>
      <w:r w:rsidR="00277522" w:rsidRPr="00104660">
        <w:t>.</w:t>
      </w:r>
    </w:p>
    <w:p w14:paraId="117DC13D" w14:textId="77777777" w:rsidR="004C0441" w:rsidRPr="00F52E95" w:rsidRDefault="004C0441" w:rsidP="00A60E6D">
      <w:pPr>
        <w:pStyle w:val="Heading3"/>
        <w:rPr>
          <w:lang w:eastAsia="en-AU"/>
        </w:rPr>
      </w:pPr>
      <w:r w:rsidRPr="00F52E95">
        <w:rPr>
          <w:lang w:eastAsia="en-AU"/>
        </w:rPr>
        <w:t>Application form</w:t>
      </w:r>
    </w:p>
    <w:p w14:paraId="206AF251" w14:textId="54081DA1" w:rsidR="004C0441" w:rsidRPr="00F52E95" w:rsidRDefault="004C0441" w:rsidP="00A60E6D">
      <w:pPr>
        <w:spacing w:before="240"/>
        <w:rPr>
          <w:lang w:eastAsia="en-AU"/>
        </w:rPr>
      </w:pPr>
      <w:r w:rsidRPr="00F52E95">
        <w:rPr>
          <w:lang w:eastAsia="en-AU"/>
        </w:rPr>
        <w:t xml:space="preserve">Use the </w:t>
      </w:r>
      <w:hyperlink r:id="rId12" w:tooltip="Link to forms page" w:history="1">
        <w:r w:rsidR="008B1C54" w:rsidRPr="000A2F67">
          <w:rPr>
            <w:rStyle w:val="Hyperlink"/>
            <w:lang w:eastAsia="en-AU"/>
          </w:rPr>
          <w:t>Nomination of block(s) for the purposes of declaring a location application form</w:t>
        </w:r>
      </w:hyperlink>
      <w:r w:rsidRPr="00F52E95">
        <w:rPr>
          <w:lang w:eastAsia="en-AU"/>
        </w:rPr>
        <w:t xml:space="preserve"> on the forms page of our website.</w:t>
      </w:r>
    </w:p>
    <w:p w14:paraId="41DEC6E5" w14:textId="77777777" w:rsidR="004C0441" w:rsidRPr="00F52E95" w:rsidRDefault="004C0441" w:rsidP="00A60E6D">
      <w:pPr>
        <w:pStyle w:val="Heading3"/>
        <w:rPr>
          <w:lang w:eastAsia="en-AU"/>
        </w:rPr>
      </w:pPr>
      <w:r w:rsidRPr="00F52E95">
        <w:rPr>
          <w:lang w:eastAsia="en-AU"/>
        </w:rPr>
        <w:t>Application fee</w:t>
      </w:r>
    </w:p>
    <w:p w14:paraId="1A81253F" w14:textId="3560ACE2" w:rsidR="004C0441" w:rsidRPr="00F52E95" w:rsidRDefault="004C0441" w:rsidP="00A60E6D">
      <w:pPr>
        <w:spacing w:before="240"/>
        <w:rPr>
          <w:lang w:eastAsia="en-AU"/>
        </w:rPr>
      </w:pPr>
      <w:r w:rsidRPr="00F52E95">
        <w:rPr>
          <w:lang w:eastAsia="en-AU"/>
        </w:rPr>
        <w:t xml:space="preserve">Yes, under section </w:t>
      </w:r>
      <w:r w:rsidR="000A6CD0" w:rsidRPr="00F52E95">
        <w:rPr>
          <w:lang w:eastAsia="en-AU"/>
        </w:rPr>
        <w:t>695L</w:t>
      </w:r>
      <w:r w:rsidRPr="00F52E95">
        <w:rPr>
          <w:lang w:eastAsia="en-AU"/>
        </w:rPr>
        <w:t xml:space="preserve"> of the OPGGS Act - refer to the </w:t>
      </w:r>
      <w:hyperlink r:id="rId13" w:history="1">
        <w:r w:rsidRPr="00F52E95">
          <w:rPr>
            <w:rStyle w:val="Hyperlink"/>
            <w:lang w:eastAsia="en-AU"/>
          </w:rPr>
          <w:t>schedule of fees</w:t>
        </w:r>
      </w:hyperlink>
      <w:r w:rsidRPr="00F52E95">
        <w:rPr>
          <w:lang w:eastAsia="en-AU"/>
        </w:rPr>
        <w:t xml:space="preserve"> on our website.</w:t>
      </w:r>
    </w:p>
    <w:p w14:paraId="677EA47F" w14:textId="484510BD" w:rsidR="004C0441" w:rsidRPr="00F52E95" w:rsidRDefault="002235D1" w:rsidP="00A60E6D">
      <w:pPr>
        <w:pStyle w:val="Heading3"/>
        <w:rPr>
          <w:lang w:eastAsia="en-AU"/>
        </w:rPr>
      </w:pPr>
      <w:r w:rsidRPr="00F52E95">
        <w:rPr>
          <w:lang w:eastAsia="en-AU"/>
        </w:rPr>
        <w:t>To note</w:t>
      </w:r>
    </w:p>
    <w:p w14:paraId="59CEA6A0" w14:textId="680D813D" w:rsidR="004C0441" w:rsidRPr="00F52E95" w:rsidRDefault="002235D1" w:rsidP="00A60E6D">
      <w:pPr>
        <w:spacing w:before="240"/>
        <w:rPr>
          <w:lang w:eastAsia="en-AU"/>
        </w:rPr>
      </w:pPr>
      <w:r w:rsidRPr="00F52E95">
        <w:rPr>
          <w:rFonts w:ascii="Aptos" w:hAnsi="Aptos" w:cstheme="minorHAnsi"/>
          <w:szCs w:val="20"/>
        </w:rPr>
        <w:t>Applicants should allow at least four months for the Joint Authority to make a decision on the application once submitted.</w:t>
      </w:r>
    </w:p>
    <w:p w14:paraId="67DB1F6A" w14:textId="77777777" w:rsidR="004C0441" w:rsidRPr="00F52E95" w:rsidRDefault="004C0441" w:rsidP="00A60E6D">
      <w:pPr>
        <w:pStyle w:val="Heading3"/>
      </w:pPr>
      <w:r w:rsidRPr="00F52E95">
        <w:t>Required information</w:t>
      </w:r>
    </w:p>
    <w:p w14:paraId="02D2C1BD" w14:textId="7BF9C211" w:rsidR="00253550" w:rsidRDefault="004036E1" w:rsidP="00A60E6D">
      <w:pPr>
        <w:spacing w:before="240"/>
        <w:rPr>
          <w:szCs w:val="24"/>
        </w:rPr>
      </w:pPr>
      <w:r w:rsidRPr="00F52E95">
        <w:t xml:space="preserve">You must </w:t>
      </w:r>
      <w:r w:rsidR="007B478D" w:rsidRPr="00F52E95">
        <w:t>provide the following for your application to be valid.</w:t>
      </w:r>
      <w:r w:rsidR="00A15362" w:rsidRPr="00F52E95">
        <w:rPr>
          <w:szCs w:val="24"/>
        </w:rPr>
        <w:t xml:space="preserve"> </w:t>
      </w:r>
    </w:p>
    <w:p w14:paraId="7EF24F28" w14:textId="650C23A8" w:rsidR="004D1AC4" w:rsidRDefault="004D1AC4" w:rsidP="00616EF4">
      <w:pPr>
        <w:pStyle w:val="Caption"/>
        <w:keepNext/>
      </w:pPr>
      <w:r>
        <w:t xml:space="preserve">Table </w:t>
      </w:r>
      <w:r>
        <w:fldChar w:fldCharType="begin"/>
      </w:r>
      <w:r>
        <w:instrText xml:space="preserve"> SEQ Table \* ARABIC </w:instrText>
      </w:r>
      <w:r>
        <w:fldChar w:fldCharType="separate"/>
      </w:r>
      <w:r w:rsidR="00EF1956">
        <w:rPr>
          <w:noProof/>
        </w:rPr>
        <w:t>2</w:t>
      </w:r>
      <w:r>
        <w:fldChar w:fldCharType="end"/>
      </w:r>
      <w:r w:rsidRPr="005F2BD5">
        <w:t xml:space="preserve">: Required information for nomination of block(s) for the purpose of declaring a location </w:t>
      </w:r>
      <w:proofErr w:type="gramStart"/>
      <w:r w:rsidRPr="005F2BD5">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mination of block(s) for the purpose of declaring a location applications"/>
        <w:tblDescription w:val="Table detailing items that are required to be submitted with nomination of block(s) for the purpose of declaring a location applications to meet valid submission requirements.&#10;"/>
      </w:tblPr>
      <w:tblGrid>
        <w:gridCol w:w="704"/>
        <w:gridCol w:w="8930"/>
      </w:tblGrid>
      <w:tr w:rsidR="003D28B2" w:rsidRPr="00992374" w14:paraId="4B2ACAE4" w14:textId="77777777" w:rsidTr="000425C1">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F52E95" w:rsidRDefault="003D28B2" w:rsidP="003D28B2">
            <w:pPr>
              <w:spacing w:before="60" w:after="60"/>
              <w:jc w:val="center"/>
              <w:rPr>
                <w:b w:val="0"/>
                <w:bCs/>
              </w:rPr>
            </w:pPr>
            <w:r w:rsidRPr="00F52E95">
              <w:rPr>
                <w:bCs/>
              </w:rPr>
              <w:t>Item</w:t>
            </w:r>
          </w:p>
        </w:tc>
        <w:tc>
          <w:tcPr>
            <w:tcW w:w="8930" w:type="dxa"/>
          </w:tcPr>
          <w:p w14:paraId="2DE48287" w14:textId="60635FE1" w:rsidR="003D28B2" w:rsidRPr="00992374" w:rsidRDefault="003D28B2" w:rsidP="003D28B2">
            <w:pPr>
              <w:spacing w:before="60" w:after="60"/>
              <w:rPr>
                <w:b w:val="0"/>
                <w:bCs/>
              </w:rPr>
            </w:pPr>
            <w:r w:rsidRPr="00F52E95">
              <w:rPr>
                <w:bCs/>
              </w:rPr>
              <w:t>Description</w:t>
            </w:r>
          </w:p>
        </w:tc>
      </w:tr>
      <w:tr w:rsidR="003D28B2" w:rsidRPr="008A66BE" w14:paraId="0EA58992" w14:textId="77777777" w:rsidTr="003D28B2">
        <w:tc>
          <w:tcPr>
            <w:tcW w:w="704" w:type="dxa"/>
          </w:tcPr>
          <w:p w14:paraId="1F78E7DB" w14:textId="5152AB10" w:rsidR="003D28B2" w:rsidRPr="008A66BE" w:rsidRDefault="003D28B2" w:rsidP="00702968">
            <w:pPr>
              <w:pStyle w:val="ListParagraph"/>
              <w:numPr>
                <w:ilvl w:val="0"/>
                <w:numId w:val="5"/>
              </w:numPr>
              <w:spacing w:before="60" w:after="60"/>
              <w:ind w:left="587"/>
              <w:jc w:val="center"/>
            </w:pPr>
          </w:p>
        </w:tc>
        <w:tc>
          <w:tcPr>
            <w:tcW w:w="8930" w:type="dxa"/>
          </w:tcPr>
          <w:p w14:paraId="7C63841D" w14:textId="14B67496" w:rsidR="003D28B2" w:rsidRPr="00C50FF0" w:rsidRDefault="003D28B2" w:rsidP="003D28B2">
            <w:pPr>
              <w:pStyle w:val="NoSpacing"/>
              <w:spacing w:before="60" w:after="60"/>
              <w:rPr>
                <w:sz w:val="24"/>
                <w:szCs w:val="24"/>
              </w:rPr>
            </w:pPr>
            <w:bookmarkStart w:id="11" w:name="_Hlk73381221"/>
            <w:r w:rsidRPr="00C50FF0">
              <w:rPr>
                <w:sz w:val="24"/>
                <w:szCs w:val="24"/>
              </w:rPr>
              <w:t xml:space="preserve">A completed application form executed in accordance with the Signatures </w:t>
            </w:r>
            <w:r w:rsidR="00F677AA">
              <w:rPr>
                <w:sz w:val="24"/>
                <w:szCs w:val="24"/>
              </w:rPr>
              <w:t>f</w:t>
            </w:r>
            <w:r w:rsidRPr="00C50FF0">
              <w:rPr>
                <w:sz w:val="24"/>
                <w:szCs w:val="24"/>
              </w:rPr>
              <w:t>act</w:t>
            </w:r>
            <w:r w:rsidR="00F677AA">
              <w:rPr>
                <w:sz w:val="24"/>
                <w:szCs w:val="24"/>
              </w:rPr>
              <w:t xml:space="preserve"> </w:t>
            </w:r>
            <w:r w:rsidRPr="00C50FF0">
              <w:rPr>
                <w:sz w:val="24"/>
                <w:szCs w:val="24"/>
              </w:rPr>
              <w:t>sheet</w:t>
            </w:r>
            <w:bookmarkEnd w:id="11"/>
            <w:r w:rsidRPr="00C50FF0">
              <w:rPr>
                <w:rStyle w:val="Hyperlink"/>
                <w:sz w:val="24"/>
                <w:szCs w:val="24"/>
                <w:u w:val="none"/>
              </w:rPr>
              <w:t>.</w:t>
            </w:r>
          </w:p>
        </w:tc>
      </w:tr>
    </w:tbl>
    <w:p w14:paraId="2AFA29DC" w14:textId="77777777" w:rsidR="004C0441" w:rsidRDefault="004C0441" w:rsidP="00A60E6D">
      <w:pPr>
        <w:pStyle w:val="Heading3"/>
      </w:pPr>
      <w:r>
        <w:lastRenderedPageBreak/>
        <w:t>Additional information to be included with the application</w:t>
      </w:r>
    </w:p>
    <w:p w14:paraId="33D6A4DF" w14:textId="72073D32" w:rsidR="008D38F2" w:rsidRDefault="00144A18" w:rsidP="00A60E6D">
      <w:pPr>
        <w:keepNext/>
        <w:keepLines/>
        <w:spacing w:before="240"/>
      </w:pPr>
      <w:r>
        <w:t xml:space="preserve">Check that you have included the </w:t>
      </w:r>
      <w:r w:rsidR="008A686D">
        <w:t>following</w:t>
      </w:r>
      <w:r>
        <w:t xml:space="preserve"> information </w:t>
      </w:r>
      <w:r w:rsidR="008A686D">
        <w:t>with</w:t>
      </w:r>
      <w:r>
        <w:t xml:space="preserve"> your application. </w:t>
      </w:r>
    </w:p>
    <w:p w14:paraId="163D2997" w14:textId="452FCBF6" w:rsidR="00253550" w:rsidRDefault="00934D68" w:rsidP="00A60E6D">
      <w:pPr>
        <w:keepNext/>
        <w:keepLines/>
        <w:spacing w:before="240"/>
      </w:pPr>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3CB9918C" w14:textId="16D09A6F" w:rsidR="00136BA6" w:rsidRDefault="00136BA6" w:rsidP="008428ED">
      <w:pPr>
        <w:pStyle w:val="Caption"/>
        <w:keepNext/>
      </w:pPr>
      <w:r>
        <w:t xml:space="preserve">Table </w:t>
      </w:r>
      <w:r>
        <w:fldChar w:fldCharType="begin"/>
      </w:r>
      <w:r>
        <w:instrText xml:space="preserve"> SEQ Table \* ARABIC </w:instrText>
      </w:r>
      <w:r>
        <w:fldChar w:fldCharType="separate"/>
      </w:r>
      <w:r w:rsidR="00EF1956">
        <w:rPr>
          <w:noProof/>
        </w:rPr>
        <w:t>3</w:t>
      </w:r>
      <w:r>
        <w:fldChar w:fldCharType="end"/>
      </w:r>
      <w:r w:rsidRPr="005D0A41">
        <w:t xml:space="preserve">: Additional information to be included with nomination of block(s) for the purpose of declaring a location </w:t>
      </w:r>
      <w:proofErr w:type="gramStart"/>
      <w:r w:rsidRPr="005D0A41">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nomination of block(s) for the purpose of declaring a location applications"/>
        <w:tblDescription w:val="Table detailing additional information that NOPTA requires to facilitate timely assessment of nomination of block(s) for the purpose of declaring a location applications."/>
      </w:tblPr>
      <w:tblGrid>
        <w:gridCol w:w="704"/>
        <w:gridCol w:w="8930"/>
      </w:tblGrid>
      <w:tr w:rsidR="003D28B2" w:rsidRPr="00DA1A01" w14:paraId="5860B259" w14:textId="392CEB50" w:rsidTr="00F677AA">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8A73F1">
            <w:pPr>
              <w:keepNext/>
              <w:keepLines/>
              <w:spacing w:before="60" w:after="60"/>
              <w:jc w:val="center"/>
              <w:rPr>
                <w:b w:val="0"/>
                <w:bCs/>
                <w:szCs w:val="24"/>
              </w:rPr>
            </w:pPr>
            <w:r>
              <w:rPr>
                <w:bCs/>
                <w:szCs w:val="24"/>
              </w:rPr>
              <w:t>Item</w:t>
            </w:r>
          </w:p>
        </w:tc>
        <w:tc>
          <w:tcPr>
            <w:tcW w:w="8930" w:type="dxa"/>
          </w:tcPr>
          <w:p w14:paraId="4C75F4AB" w14:textId="5F2F6B1C" w:rsidR="00144A18" w:rsidRPr="00DA1A01" w:rsidRDefault="00144A18" w:rsidP="008A73F1">
            <w:pPr>
              <w:keepNext/>
              <w:keepLines/>
              <w:spacing w:before="60" w:after="60"/>
              <w:rPr>
                <w:b w:val="0"/>
                <w:bCs/>
                <w:szCs w:val="24"/>
              </w:rPr>
            </w:pPr>
            <w:r w:rsidRPr="00DA1A01">
              <w:rPr>
                <w:bCs/>
                <w:szCs w:val="24"/>
              </w:rPr>
              <w:t>Description</w:t>
            </w:r>
          </w:p>
        </w:tc>
      </w:tr>
      <w:tr w:rsidR="008A73F1" w:rsidRPr="00DA1A01" w14:paraId="2017D9B5" w14:textId="3097DEC1" w:rsidTr="003D28B2">
        <w:tc>
          <w:tcPr>
            <w:tcW w:w="704" w:type="dxa"/>
          </w:tcPr>
          <w:p w14:paraId="10A6E437" w14:textId="0B4C233F" w:rsidR="008A73F1" w:rsidRPr="00DA1A01" w:rsidRDefault="008A73F1" w:rsidP="008A73F1">
            <w:pPr>
              <w:pStyle w:val="ListParagraph"/>
              <w:keepNext/>
              <w:keepLines/>
              <w:numPr>
                <w:ilvl w:val="0"/>
                <w:numId w:val="6"/>
              </w:numPr>
              <w:spacing w:before="60" w:after="60"/>
              <w:ind w:left="227" w:firstLine="0"/>
              <w:contextualSpacing w:val="0"/>
              <w:jc w:val="right"/>
              <w:rPr>
                <w:szCs w:val="24"/>
              </w:rPr>
            </w:pPr>
          </w:p>
        </w:tc>
        <w:tc>
          <w:tcPr>
            <w:tcW w:w="8930" w:type="dxa"/>
          </w:tcPr>
          <w:p w14:paraId="6D8DCA53" w14:textId="6FB5C977" w:rsidR="008A73F1" w:rsidRPr="000A6CD0" w:rsidRDefault="008A73F1" w:rsidP="008A73F1">
            <w:pPr>
              <w:keepNext/>
              <w:keepLines/>
              <w:spacing w:before="60" w:after="60"/>
              <w:rPr>
                <w:szCs w:val="24"/>
              </w:rPr>
            </w:pPr>
            <w:r w:rsidRPr="000A6CD0">
              <w:rPr>
                <w:rFonts w:ascii="Aptos" w:hAnsi="Aptos" w:cstheme="minorHAnsi"/>
                <w:szCs w:val="24"/>
              </w:rPr>
              <w:t xml:space="preserve">A map showing the outline of the pool(s) within the block(s) nominated to be declared as a location, at basin (regional) and permit (detailed) scales. </w:t>
            </w:r>
          </w:p>
        </w:tc>
      </w:tr>
      <w:tr w:rsidR="008A73F1" w:rsidRPr="00DA1A01" w14:paraId="2B155249" w14:textId="57C135A5" w:rsidTr="003D28B2">
        <w:tc>
          <w:tcPr>
            <w:tcW w:w="704" w:type="dxa"/>
          </w:tcPr>
          <w:p w14:paraId="4E07BC03" w14:textId="4D495553" w:rsidR="008A73F1" w:rsidRPr="00DA1A01" w:rsidRDefault="008A73F1" w:rsidP="008A73F1">
            <w:pPr>
              <w:pStyle w:val="ListParagraph"/>
              <w:keepNext/>
              <w:keepLines/>
              <w:numPr>
                <w:ilvl w:val="0"/>
                <w:numId w:val="6"/>
              </w:numPr>
              <w:spacing w:before="60" w:after="60"/>
              <w:ind w:left="227" w:firstLine="0"/>
              <w:contextualSpacing w:val="0"/>
              <w:jc w:val="right"/>
              <w:rPr>
                <w:szCs w:val="24"/>
              </w:rPr>
            </w:pPr>
          </w:p>
        </w:tc>
        <w:tc>
          <w:tcPr>
            <w:tcW w:w="8930" w:type="dxa"/>
          </w:tcPr>
          <w:p w14:paraId="19C48EF7" w14:textId="6AA4060E" w:rsidR="008A73F1" w:rsidRPr="000A6CD0" w:rsidRDefault="008A73F1" w:rsidP="008A73F1">
            <w:pPr>
              <w:pStyle w:val="NoSpacing"/>
              <w:keepNext/>
              <w:keepLines/>
              <w:spacing w:before="60" w:after="60"/>
              <w:rPr>
                <w:sz w:val="24"/>
                <w:szCs w:val="24"/>
              </w:rPr>
            </w:pPr>
            <w:r w:rsidRPr="000A6CD0">
              <w:rPr>
                <w:rFonts w:ascii="Aptos" w:hAnsi="Aptos" w:cstheme="minorHAnsi"/>
                <w:sz w:val="24"/>
                <w:szCs w:val="24"/>
              </w:rPr>
              <w:t xml:space="preserve">Applicants should address the “suggested information to support a nomination to declare a location” outlined in </w:t>
            </w:r>
            <w:r w:rsidR="00F831D2">
              <w:rPr>
                <w:rFonts w:ascii="Aptos" w:hAnsi="Aptos" w:cstheme="minorHAnsi"/>
                <w:sz w:val="24"/>
                <w:szCs w:val="24"/>
              </w:rPr>
              <w:t>section 3</w:t>
            </w:r>
            <w:r w:rsidRPr="000A6CD0">
              <w:rPr>
                <w:rFonts w:ascii="Aptos" w:hAnsi="Aptos" w:cstheme="minorHAnsi"/>
                <w:sz w:val="24"/>
                <w:szCs w:val="24"/>
              </w:rPr>
              <w:t xml:space="preserve"> of the Location Guideline</w:t>
            </w:r>
            <w:r w:rsidRPr="000A6CD0">
              <w:rPr>
                <w:rFonts w:ascii="Aptos" w:hAnsi="Aptos" w:cstheme="minorHAnsi"/>
                <w:bCs/>
                <w:sz w:val="24"/>
                <w:szCs w:val="24"/>
              </w:rPr>
              <w:t>.</w:t>
            </w:r>
          </w:p>
        </w:tc>
      </w:tr>
      <w:tr w:rsidR="008A73F1" w:rsidRPr="00DA1A01" w14:paraId="5ECAFF66" w14:textId="11F6DCF4" w:rsidTr="00006AFE">
        <w:tc>
          <w:tcPr>
            <w:tcW w:w="704" w:type="dxa"/>
          </w:tcPr>
          <w:p w14:paraId="6C027D47" w14:textId="2A33F18E" w:rsidR="008A73F1" w:rsidRPr="00DA1A01" w:rsidRDefault="008A73F1" w:rsidP="008A73F1">
            <w:pPr>
              <w:pStyle w:val="ListParagraph"/>
              <w:numPr>
                <w:ilvl w:val="0"/>
                <w:numId w:val="6"/>
              </w:numPr>
              <w:spacing w:before="60" w:after="60"/>
              <w:ind w:left="227" w:firstLine="0"/>
              <w:contextualSpacing w:val="0"/>
              <w:jc w:val="right"/>
              <w:rPr>
                <w:szCs w:val="24"/>
              </w:rPr>
            </w:pPr>
          </w:p>
        </w:tc>
        <w:tc>
          <w:tcPr>
            <w:tcW w:w="8930" w:type="dxa"/>
          </w:tcPr>
          <w:p w14:paraId="162B42B0" w14:textId="69F4F2BE" w:rsidR="008A73F1" w:rsidRPr="000A6CD0" w:rsidRDefault="008A73F1" w:rsidP="008A73F1">
            <w:pPr>
              <w:keepNext/>
              <w:spacing w:before="60" w:after="60"/>
              <w:rPr>
                <w:szCs w:val="24"/>
              </w:rPr>
            </w:pPr>
            <w:r w:rsidRPr="000A6CD0">
              <w:rPr>
                <w:rFonts w:ascii="Aptos" w:hAnsi="Aptos" w:cstheme="minorHAnsi"/>
                <w:szCs w:val="24"/>
              </w:rPr>
              <w:t>A statement of any other matters that the applicant wishes to be considered.</w:t>
            </w:r>
          </w:p>
        </w:tc>
      </w:tr>
      <w:tr w:rsidR="008A73F1" w:rsidRPr="00DA1A01" w14:paraId="0618BD05" w14:textId="0BEE34F5" w:rsidTr="00006AFE">
        <w:tc>
          <w:tcPr>
            <w:tcW w:w="704" w:type="dxa"/>
          </w:tcPr>
          <w:p w14:paraId="2CB4C466" w14:textId="46872E05" w:rsidR="008A73F1" w:rsidRPr="00DA1A01" w:rsidRDefault="008A73F1" w:rsidP="008A73F1">
            <w:pPr>
              <w:pStyle w:val="ListParagraph"/>
              <w:numPr>
                <w:ilvl w:val="0"/>
                <w:numId w:val="6"/>
              </w:numPr>
              <w:spacing w:before="60" w:after="60"/>
              <w:ind w:left="227" w:firstLine="0"/>
              <w:contextualSpacing w:val="0"/>
              <w:jc w:val="right"/>
              <w:rPr>
                <w:szCs w:val="24"/>
              </w:rPr>
            </w:pPr>
          </w:p>
        </w:tc>
        <w:tc>
          <w:tcPr>
            <w:tcW w:w="8930" w:type="dxa"/>
          </w:tcPr>
          <w:p w14:paraId="2DDF3674" w14:textId="7511579C" w:rsidR="008A73F1" w:rsidRPr="000A6CD0" w:rsidRDefault="008A73F1" w:rsidP="008A73F1">
            <w:pPr>
              <w:spacing w:before="60" w:after="60"/>
              <w:rPr>
                <w:szCs w:val="24"/>
              </w:rPr>
            </w:pPr>
            <w:r w:rsidRPr="000A6CD0">
              <w:rPr>
                <w:rFonts w:ascii="Aptos" w:hAnsi="Apto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6489BBB8" w14:textId="77777777" w:rsidR="00D74763" w:rsidRDefault="00D74763" w:rsidP="00006AFE">
      <w:pPr>
        <w:spacing w:after="240"/>
        <w:rPr>
          <w:rFonts w:ascii="Aptos Display" w:eastAsiaTheme="majorEastAsia" w:hAnsi="Aptos Display" w:cstheme="majorBidi"/>
          <w:color w:val="15659B" w:themeColor="accent4"/>
          <w:sz w:val="36"/>
          <w:szCs w:val="48"/>
        </w:rPr>
      </w:pPr>
      <w:bookmarkStart w:id="12" w:name="_Variation_and/or_suspension"/>
      <w:bookmarkStart w:id="13" w:name="_Toc191047149"/>
      <w:bookmarkStart w:id="14" w:name="_Toc191047271"/>
      <w:bookmarkEnd w:id="12"/>
      <w:r>
        <w:br w:type="page"/>
      </w:r>
    </w:p>
    <w:p w14:paraId="5FD33EF2" w14:textId="77777777" w:rsidR="00620CC0" w:rsidRPr="00F52E95" w:rsidRDefault="00620CC0" w:rsidP="00D33301">
      <w:pPr>
        <w:pStyle w:val="Heading2"/>
      </w:pPr>
      <w:bookmarkStart w:id="15" w:name="_Variation_of_a"/>
      <w:bookmarkEnd w:id="13"/>
      <w:bookmarkEnd w:id="14"/>
      <w:bookmarkEnd w:id="15"/>
      <w:r w:rsidRPr="00F52E95">
        <w:lastRenderedPageBreak/>
        <w:t>Variation of a declaration of a location</w:t>
      </w:r>
    </w:p>
    <w:p w14:paraId="3104F55E" w14:textId="1FFDACA6" w:rsidR="001E225D" w:rsidRPr="00F52E95" w:rsidRDefault="001E225D" w:rsidP="00A60E6D">
      <w:pPr>
        <w:spacing w:before="240"/>
        <w:rPr>
          <w:lang w:eastAsia="en-AU"/>
        </w:rPr>
      </w:pPr>
      <w:r w:rsidRPr="00F52E95">
        <w:rPr>
          <w:lang w:eastAsia="en-AU"/>
        </w:rPr>
        <w:t xml:space="preserve">In making an application under section </w:t>
      </w:r>
      <w:r w:rsidR="00620CC0" w:rsidRPr="00F52E95">
        <w:rPr>
          <w:lang w:eastAsia="en-AU"/>
        </w:rPr>
        <w:t>133</w:t>
      </w:r>
      <w:r w:rsidRPr="00F52E95">
        <w:rPr>
          <w:lang w:eastAsia="en-AU"/>
        </w:rPr>
        <w:t xml:space="preserve"> of the OPGGS Act, please refer to following material.</w:t>
      </w:r>
    </w:p>
    <w:p w14:paraId="2645F33D" w14:textId="77777777" w:rsidR="001E225D" w:rsidRPr="00F52E95" w:rsidRDefault="001E225D" w:rsidP="00A60E6D">
      <w:pPr>
        <w:pStyle w:val="Heading3"/>
        <w:rPr>
          <w:lang w:eastAsia="en-AU"/>
        </w:rPr>
      </w:pPr>
      <w:r w:rsidRPr="00F52E95">
        <w:rPr>
          <w:lang w:eastAsia="en-AU"/>
        </w:rPr>
        <w:t>Legislation</w:t>
      </w:r>
    </w:p>
    <w:p w14:paraId="649127B3" w14:textId="45C1EAD8" w:rsidR="001E225D" w:rsidRPr="00F52E95" w:rsidRDefault="001E225D" w:rsidP="00A60E6D">
      <w:pPr>
        <w:spacing w:before="240"/>
        <w:rPr>
          <w:lang w:eastAsia="en-AU"/>
        </w:rPr>
      </w:pPr>
      <w:r w:rsidRPr="00F52E95">
        <w:rPr>
          <w:lang w:eastAsia="en-AU"/>
        </w:rPr>
        <w:t>Part 2.2</w:t>
      </w:r>
      <w:r w:rsidR="00A52805" w:rsidRPr="00F52E95">
        <w:rPr>
          <w:lang w:eastAsia="en-AU"/>
        </w:rPr>
        <w:t xml:space="preserve"> - 2.4</w:t>
      </w:r>
      <w:r w:rsidRPr="00F52E95">
        <w:rPr>
          <w:lang w:eastAsia="en-AU"/>
        </w:rPr>
        <w:t xml:space="preserve"> of the OPGGS Act.</w:t>
      </w:r>
    </w:p>
    <w:p w14:paraId="205D1552" w14:textId="77777777" w:rsidR="001E225D" w:rsidRPr="00F52E95" w:rsidRDefault="001E225D" w:rsidP="00A60E6D">
      <w:pPr>
        <w:pStyle w:val="Heading3"/>
        <w:rPr>
          <w:lang w:eastAsia="en-AU"/>
        </w:rPr>
      </w:pPr>
      <w:r w:rsidRPr="00F52E95">
        <w:t>Guidance material</w:t>
      </w:r>
    </w:p>
    <w:p w14:paraId="78905948" w14:textId="316A6D6A" w:rsidR="004F555B" w:rsidRDefault="00C52FD0" w:rsidP="00A60E6D">
      <w:pPr>
        <w:spacing w:before="240"/>
        <w:rPr>
          <w:lang w:eastAsia="en-AU"/>
        </w:rPr>
      </w:pPr>
      <w:bookmarkStart w:id="16" w:name="_Hlk197694325"/>
      <w:bookmarkStart w:id="17" w:name="_Hlk197691771"/>
      <w:r>
        <w:rPr>
          <w:lang w:eastAsia="en-AU"/>
        </w:rPr>
        <w:t>G</w:t>
      </w:r>
      <w:r w:rsidRPr="00CC7E08">
        <w:rPr>
          <w:lang w:eastAsia="en-AU"/>
        </w:rPr>
        <w:t>uideline</w:t>
      </w:r>
      <w:r>
        <w:rPr>
          <w:lang w:eastAsia="en-AU"/>
        </w:rPr>
        <w:t xml:space="preserve">s and fact sheets </w:t>
      </w:r>
      <w:r w:rsidR="004F555B">
        <w:rPr>
          <w:lang w:eastAsia="en-AU"/>
        </w:rPr>
        <w:t xml:space="preserve">have been developed to </w:t>
      </w:r>
      <w:r w:rsidR="004F555B" w:rsidRPr="00CC7E08">
        <w:rPr>
          <w:lang w:eastAsia="en-AU"/>
        </w:rPr>
        <w:t>assists applicants and titleholders to understand the expectations of</w:t>
      </w:r>
      <w:r w:rsidR="004F555B">
        <w:rPr>
          <w:lang w:eastAsia="en-AU"/>
        </w:rPr>
        <w:t xml:space="preserve"> decision makers and to provide useful guidance when making applications.</w:t>
      </w:r>
      <w:bookmarkEnd w:id="16"/>
      <w:r w:rsidR="004F555B" w:rsidRPr="00CC7E08">
        <w:rPr>
          <w:lang w:eastAsia="en-AU"/>
        </w:rPr>
        <w:t xml:space="preserve"> </w:t>
      </w:r>
    </w:p>
    <w:bookmarkEnd w:id="17"/>
    <w:p w14:paraId="282464D1" w14:textId="70DB67F8" w:rsidR="00F52E95" w:rsidRPr="00F52E95" w:rsidRDefault="004F555B" w:rsidP="00A60E6D">
      <w:pPr>
        <w:spacing w:before="240"/>
        <w:rPr>
          <w:lang w:eastAsia="en-AU"/>
        </w:rPr>
      </w:pPr>
      <w:r>
        <w:rPr>
          <w:lang w:eastAsia="en-AU"/>
        </w:rPr>
        <w:t>T</w:t>
      </w:r>
      <w:r w:rsidRPr="00906743">
        <w:rPr>
          <w:lang w:eastAsia="en-AU"/>
        </w:rPr>
        <w:t xml:space="preserve">he following </w:t>
      </w:r>
      <w:hyperlink r:id="rId14" w:tooltip="Link to guidelines page" w:history="1">
        <w:r w:rsidR="00CA7B87" w:rsidRPr="00906743">
          <w:rPr>
            <w:rStyle w:val="Hyperlink"/>
            <w:lang w:eastAsia="en-AU"/>
          </w:rPr>
          <w:t>guideline</w:t>
        </w:r>
      </w:hyperlink>
      <w:r w:rsidRPr="00906743">
        <w:rPr>
          <w:lang w:eastAsia="en-AU"/>
        </w:rPr>
        <w:t xml:space="preserve"> </w:t>
      </w:r>
      <w:r w:rsidR="00DB7E89">
        <w:rPr>
          <w:lang w:eastAsia="en-AU"/>
        </w:rPr>
        <w:t>is</w:t>
      </w:r>
      <w:r w:rsidR="00DB7E89"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w:t>
      </w:r>
      <w:r w:rsidR="002D0BC2">
        <w:rPr>
          <w:lang w:eastAsia="en-AU"/>
        </w:rPr>
        <w:t xml:space="preserve"> an application</w:t>
      </w:r>
      <w:r w:rsidR="00F52E95" w:rsidRPr="00F52E95">
        <w:rPr>
          <w:lang w:eastAsia="en-AU"/>
        </w:rPr>
        <w:t xml:space="preserve">: </w:t>
      </w:r>
    </w:p>
    <w:p w14:paraId="173C60D2" w14:textId="7645044F" w:rsidR="00F52E95" w:rsidRPr="00F52E95" w:rsidRDefault="00BE69D2" w:rsidP="00A60E6D">
      <w:pPr>
        <w:pStyle w:val="ListParagraph"/>
        <w:spacing w:before="240"/>
        <w:rPr>
          <w:iCs w:val="0"/>
          <w:lang w:eastAsia="en-AU"/>
        </w:rPr>
      </w:pPr>
      <w:r w:rsidRPr="00BE69D2">
        <w:rPr>
          <w:rFonts w:ascii="Aptos" w:hAnsi="Aptos" w:cstheme="minorHAnsi"/>
          <w:iCs w:val="0"/>
          <w:szCs w:val="20"/>
        </w:rPr>
        <w:t>Guideline: Offshore petroleum declaration of location (effective 9 December 2025)</w:t>
      </w:r>
      <w:r w:rsidRPr="00BE69D2" w:rsidDel="00BE69D2">
        <w:rPr>
          <w:rFonts w:ascii="Aptos" w:hAnsi="Aptos" w:cstheme="minorHAnsi"/>
          <w:szCs w:val="20"/>
        </w:rPr>
        <w:t xml:space="preserve"> </w:t>
      </w:r>
      <w:r w:rsidR="00F52E95" w:rsidRPr="00F52E95">
        <w:rPr>
          <w:rStyle w:val="Hyperlink"/>
          <w:rFonts w:ascii="Aptos" w:hAnsi="Aptos" w:cstheme="minorHAnsi"/>
          <w:iCs w:val="0"/>
          <w:color w:val="auto"/>
          <w:szCs w:val="20"/>
          <w:u w:val="none"/>
        </w:rPr>
        <w:t>(</w:t>
      </w:r>
      <w:r w:rsidR="00F52E95" w:rsidRPr="00B02C93">
        <w:rPr>
          <w:rStyle w:val="Strong"/>
        </w:rPr>
        <w:t>Location Guideline</w:t>
      </w:r>
      <w:r w:rsidR="00F52E95" w:rsidRPr="008764AB">
        <w:t>).</w:t>
      </w:r>
    </w:p>
    <w:p w14:paraId="025B294A" w14:textId="26D57D9D" w:rsidR="00F52E95" w:rsidRPr="00F52E95" w:rsidRDefault="002D0BC2" w:rsidP="00A60E6D">
      <w:pPr>
        <w:spacing w:before="240"/>
        <w:rPr>
          <w:lang w:eastAsia="en-AU"/>
        </w:rPr>
      </w:pPr>
      <w:r>
        <w:rPr>
          <w:lang w:eastAsia="en-AU"/>
        </w:rPr>
        <w:t xml:space="preserve">The following </w:t>
      </w:r>
      <w:hyperlink r:id="rId15" w:tooltip="Link to fact sheets page" w:history="1">
        <w:r w:rsidR="00CA7B87" w:rsidRPr="00F52E95">
          <w:rPr>
            <w:rStyle w:val="Hyperlink"/>
            <w:lang w:eastAsia="en-AU"/>
          </w:rPr>
          <w:t>fact</w:t>
        </w:r>
        <w:r w:rsidR="00CA7B87">
          <w:rPr>
            <w:rStyle w:val="Hyperlink"/>
            <w:lang w:eastAsia="en-AU"/>
          </w:rPr>
          <w:t xml:space="preserve"> </w:t>
        </w:r>
        <w:r w:rsidR="00CA7B87" w:rsidRPr="00F52E95">
          <w:rPr>
            <w:rStyle w:val="Hyperlink"/>
            <w:lang w:eastAsia="en-AU"/>
          </w:rPr>
          <w:t>sheet</w:t>
        </w:r>
      </w:hyperlink>
      <w:r>
        <w:rPr>
          <w:lang w:eastAsia="en-AU"/>
        </w:rPr>
        <w:t xml:space="preserve"> </w:t>
      </w:r>
      <w:r w:rsidR="00DB7E89">
        <w:rPr>
          <w:lang w:eastAsia="en-AU"/>
        </w:rPr>
        <w:t>is</w:t>
      </w:r>
      <w:r w:rsidR="00DB7E89"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00F52E95" w:rsidRPr="00F52E95">
        <w:rPr>
          <w:lang w:eastAsia="en-AU"/>
        </w:rPr>
        <w:t>:</w:t>
      </w:r>
    </w:p>
    <w:p w14:paraId="72B81878" w14:textId="08791E01" w:rsidR="00277522" w:rsidRPr="008E6465" w:rsidRDefault="008E6465" w:rsidP="008E6465">
      <w:pPr>
        <w:pStyle w:val="ListParagraph"/>
      </w:pPr>
      <w:r w:rsidRPr="008E6465">
        <w:rPr>
          <w:rStyle w:val="Strong"/>
          <w:rFonts w:asciiTheme="minorHAnsi" w:hAnsiTheme="minorHAnsi"/>
          <w:b w:val="0"/>
          <w:bCs w:val="0"/>
        </w:rPr>
        <w:t>Signatures fact sheet</w:t>
      </w:r>
      <w:r w:rsidR="00277522" w:rsidRPr="008E6465">
        <w:t>.</w:t>
      </w:r>
    </w:p>
    <w:p w14:paraId="75DA5838" w14:textId="77777777" w:rsidR="001E225D" w:rsidRPr="00F52E95" w:rsidRDefault="001E225D" w:rsidP="00A60E6D">
      <w:pPr>
        <w:pStyle w:val="Heading3"/>
        <w:rPr>
          <w:lang w:eastAsia="en-AU"/>
        </w:rPr>
      </w:pPr>
      <w:r w:rsidRPr="00F52E95">
        <w:rPr>
          <w:lang w:eastAsia="en-AU"/>
        </w:rPr>
        <w:t>Application form</w:t>
      </w:r>
    </w:p>
    <w:p w14:paraId="547760F7" w14:textId="1D22CDE8" w:rsidR="001E225D" w:rsidRPr="00F52E95" w:rsidRDefault="001E225D" w:rsidP="00A60E6D">
      <w:pPr>
        <w:spacing w:before="240"/>
        <w:rPr>
          <w:lang w:eastAsia="en-AU"/>
        </w:rPr>
      </w:pPr>
      <w:r w:rsidRPr="00F52E95">
        <w:rPr>
          <w:lang w:eastAsia="en-AU"/>
        </w:rPr>
        <w:t xml:space="preserve">Use the </w:t>
      </w:r>
      <w:hyperlink r:id="rId16" w:tooltip="Link to forms page" w:history="1">
        <w:r w:rsidR="00B02C93">
          <w:rPr>
            <w:rStyle w:val="Hyperlink"/>
            <w:lang w:eastAsia="en-AU"/>
          </w:rPr>
          <w:t>Variation of a declaration of a location application form</w:t>
        </w:r>
      </w:hyperlink>
      <w:r w:rsidRPr="00F52E95">
        <w:rPr>
          <w:lang w:eastAsia="en-AU"/>
        </w:rPr>
        <w:t xml:space="preserve"> on the forms page of our website.</w:t>
      </w:r>
    </w:p>
    <w:p w14:paraId="02CFD10E" w14:textId="77777777" w:rsidR="001E225D" w:rsidRPr="00F52E95" w:rsidRDefault="001E225D" w:rsidP="00A60E6D">
      <w:pPr>
        <w:pStyle w:val="Heading3"/>
        <w:rPr>
          <w:lang w:eastAsia="en-AU"/>
        </w:rPr>
      </w:pPr>
      <w:r w:rsidRPr="00F52E95">
        <w:rPr>
          <w:lang w:eastAsia="en-AU"/>
        </w:rPr>
        <w:t>Application fee</w:t>
      </w:r>
    </w:p>
    <w:p w14:paraId="7993BA15" w14:textId="77707C96" w:rsidR="001E225D" w:rsidRDefault="001E225D" w:rsidP="00A60E6D">
      <w:pPr>
        <w:spacing w:before="240"/>
        <w:rPr>
          <w:lang w:eastAsia="en-AU"/>
        </w:rPr>
      </w:pPr>
      <w:r w:rsidRPr="00F52E95">
        <w:rPr>
          <w:lang w:eastAsia="en-AU"/>
        </w:rPr>
        <w:t xml:space="preserve">Yes, under section </w:t>
      </w:r>
      <w:r w:rsidR="006C2196" w:rsidRPr="00F52E95">
        <w:rPr>
          <w:lang w:eastAsia="en-AU"/>
        </w:rPr>
        <w:t>695L</w:t>
      </w:r>
      <w:r w:rsidRPr="00F52E95">
        <w:rPr>
          <w:lang w:eastAsia="en-AU"/>
        </w:rPr>
        <w:t xml:space="preserve"> of the OPGGS Act - refer to the </w:t>
      </w:r>
      <w:hyperlink r:id="rId17" w:history="1">
        <w:r w:rsidRPr="00F52E95">
          <w:rPr>
            <w:rStyle w:val="Hyperlink"/>
            <w:lang w:eastAsia="en-AU"/>
          </w:rPr>
          <w:t>schedule of fees</w:t>
        </w:r>
      </w:hyperlink>
      <w:r w:rsidRPr="00F52E95">
        <w:rPr>
          <w:lang w:eastAsia="en-AU"/>
        </w:rPr>
        <w:t xml:space="preserve"> on our website.</w:t>
      </w:r>
    </w:p>
    <w:p w14:paraId="59FCEA18" w14:textId="77777777" w:rsidR="00F52E95" w:rsidRPr="002202BD" w:rsidRDefault="00F52E95" w:rsidP="00A60E6D">
      <w:pPr>
        <w:pStyle w:val="Heading3"/>
        <w:rPr>
          <w:lang w:eastAsia="en-AU"/>
        </w:rPr>
      </w:pPr>
      <w:r w:rsidRPr="002202BD">
        <w:rPr>
          <w:lang w:eastAsia="en-AU"/>
        </w:rPr>
        <w:t>To note</w:t>
      </w:r>
    </w:p>
    <w:p w14:paraId="6D43307E" w14:textId="77777777" w:rsidR="002202BD" w:rsidRPr="002202BD" w:rsidRDefault="002202BD" w:rsidP="00A60E6D">
      <w:pPr>
        <w:pStyle w:val="ListParagraph"/>
        <w:numPr>
          <w:ilvl w:val="0"/>
          <w:numId w:val="4"/>
        </w:numPr>
        <w:spacing w:before="240"/>
        <w:ind w:left="714" w:hanging="357"/>
        <w:rPr>
          <w:rFonts w:ascii="Aptos" w:hAnsi="Aptos" w:cstheme="minorHAnsi"/>
          <w:szCs w:val="20"/>
        </w:rPr>
      </w:pPr>
      <w:r w:rsidRPr="002202BD">
        <w:rPr>
          <w:rFonts w:ascii="Aptos" w:hAnsi="Aptos" w:cstheme="minorHAnsi"/>
          <w:szCs w:val="20"/>
        </w:rPr>
        <w:t xml:space="preserve">Only a single block can be added or deleted. </w:t>
      </w:r>
    </w:p>
    <w:p w14:paraId="069481FE" w14:textId="379135B6" w:rsidR="001E225D" w:rsidRPr="002202BD" w:rsidRDefault="002202BD" w:rsidP="00B073A3">
      <w:pPr>
        <w:pStyle w:val="ListParagraph"/>
        <w:numPr>
          <w:ilvl w:val="0"/>
          <w:numId w:val="4"/>
        </w:numPr>
        <w:spacing w:before="240"/>
        <w:ind w:left="714" w:hanging="357"/>
        <w:contextualSpacing w:val="0"/>
        <w:rPr>
          <w:lang w:eastAsia="en-AU"/>
        </w:rPr>
      </w:pPr>
      <w:r w:rsidRPr="002202BD">
        <w:rPr>
          <w:rFonts w:ascii="Aptos" w:hAnsi="Aptos" w:cstheme="minorHAnsi"/>
          <w:szCs w:val="20"/>
        </w:rPr>
        <w:t>Application to vary a declaration of location should be made at least six (6) months prior to the expiry of the location, as the variation does not change the application period</w:t>
      </w:r>
      <w:r w:rsidR="001E225D" w:rsidRPr="002202BD">
        <w:rPr>
          <w:lang w:eastAsia="en-AU"/>
        </w:rPr>
        <w:t>.</w:t>
      </w:r>
    </w:p>
    <w:p w14:paraId="0A4B8E8C" w14:textId="77777777" w:rsidR="001E225D" w:rsidRDefault="001E225D" w:rsidP="00CA7B87">
      <w:pPr>
        <w:pStyle w:val="Heading3"/>
        <w:keepNext w:val="0"/>
        <w:keepLines w:val="0"/>
      </w:pPr>
      <w:r>
        <w:t>Required information</w:t>
      </w:r>
    </w:p>
    <w:p w14:paraId="0FA836DA" w14:textId="77777777" w:rsidR="001E225D" w:rsidRDefault="001E225D" w:rsidP="00CA7B87">
      <w:pPr>
        <w:spacing w:before="240"/>
        <w:rPr>
          <w:szCs w:val="24"/>
        </w:rPr>
      </w:pPr>
      <w:r>
        <w:t>You must provide the following for your application to be valid.</w:t>
      </w:r>
      <w:r w:rsidRPr="00846F20">
        <w:rPr>
          <w:szCs w:val="24"/>
        </w:rPr>
        <w:t xml:space="preserve"> </w:t>
      </w:r>
    </w:p>
    <w:p w14:paraId="3AB1FB55" w14:textId="76C862EF" w:rsidR="008428ED" w:rsidRDefault="008428ED" w:rsidP="00CA7B87">
      <w:pPr>
        <w:pStyle w:val="Caption"/>
      </w:pPr>
      <w:r>
        <w:t xml:space="preserve">Table </w:t>
      </w:r>
      <w:r>
        <w:fldChar w:fldCharType="begin"/>
      </w:r>
      <w:r>
        <w:instrText xml:space="preserve"> SEQ Table \* ARABIC </w:instrText>
      </w:r>
      <w:r>
        <w:fldChar w:fldCharType="separate"/>
      </w:r>
      <w:r w:rsidR="00EF1956">
        <w:rPr>
          <w:noProof/>
        </w:rPr>
        <w:t>4</w:t>
      </w:r>
      <w:r>
        <w:fldChar w:fldCharType="end"/>
      </w:r>
      <w:r w:rsidRPr="00AC2B7B">
        <w:t xml:space="preserve">: Required information for variation of a declaration of a location </w:t>
      </w:r>
      <w:proofErr w:type="gramStart"/>
      <w:r w:rsidRPr="00AC2B7B">
        <w:t>applications</w:t>
      </w:r>
      <w:proofErr w:type="gramEnd"/>
    </w:p>
    <w:tbl>
      <w:tblPr>
        <w:tblStyle w:val="TableGrid"/>
        <w:tblW w:w="9634" w:type="dxa"/>
        <w:tblLayout w:type="fixed"/>
        <w:tblCellMar>
          <w:left w:w="57" w:type="dxa"/>
          <w:right w:w="57" w:type="dxa"/>
        </w:tblCellMar>
        <w:tblLook w:val="04A0" w:firstRow="1" w:lastRow="0" w:firstColumn="1" w:lastColumn="0" w:noHBand="0" w:noVBand="1"/>
        <w:tblCaption w:val="Required information for variation of a declaration of a location applications"/>
        <w:tblDescription w:val="Table detailing items that are required to be submitted with variation of a declaration of a location applications to meet valid submission requirements.&#10;"/>
      </w:tblPr>
      <w:tblGrid>
        <w:gridCol w:w="704"/>
        <w:gridCol w:w="8930"/>
      </w:tblGrid>
      <w:tr w:rsidR="001E225D" w:rsidRPr="00992374" w14:paraId="23135CC9" w14:textId="77777777" w:rsidTr="0098471E">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992374" w:rsidRDefault="001E225D" w:rsidP="00CA7B87">
            <w:pPr>
              <w:spacing w:before="60" w:after="60"/>
              <w:jc w:val="center"/>
              <w:rPr>
                <w:b w:val="0"/>
                <w:bCs/>
              </w:rPr>
            </w:pPr>
            <w:r>
              <w:rPr>
                <w:bCs/>
              </w:rPr>
              <w:t>Item</w:t>
            </w:r>
          </w:p>
        </w:tc>
        <w:tc>
          <w:tcPr>
            <w:tcW w:w="8930" w:type="dxa"/>
          </w:tcPr>
          <w:p w14:paraId="7C0D3E13" w14:textId="77777777" w:rsidR="001E225D" w:rsidRPr="00992374" w:rsidRDefault="001E225D" w:rsidP="00CA7B87">
            <w:pPr>
              <w:spacing w:before="60" w:after="60"/>
              <w:rPr>
                <w:b w:val="0"/>
                <w:bCs/>
              </w:rPr>
            </w:pPr>
            <w:r w:rsidRPr="00992374">
              <w:rPr>
                <w:bCs/>
              </w:rPr>
              <w:t>Description</w:t>
            </w:r>
          </w:p>
        </w:tc>
      </w:tr>
      <w:tr w:rsidR="001E225D" w:rsidRPr="008A66BE" w14:paraId="68DE78D7" w14:textId="77777777" w:rsidTr="0098471E">
        <w:tc>
          <w:tcPr>
            <w:tcW w:w="704" w:type="dxa"/>
          </w:tcPr>
          <w:p w14:paraId="38DB447E" w14:textId="77777777" w:rsidR="001E225D" w:rsidRPr="008A66BE" w:rsidRDefault="001E225D" w:rsidP="00CA7B87">
            <w:pPr>
              <w:pStyle w:val="ListParagraph"/>
              <w:numPr>
                <w:ilvl w:val="0"/>
                <w:numId w:val="22"/>
              </w:numPr>
              <w:spacing w:before="60" w:after="60"/>
              <w:ind w:left="587"/>
              <w:jc w:val="center"/>
            </w:pPr>
          </w:p>
        </w:tc>
        <w:tc>
          <w:tcPr>
            <w:tcW w:w="8930" w:type="dxa"/>
          </w:tcPr>
          <w:p w14:paraId="4EDF5576" w14:textId="375985D1" w:rsidR="001E225D" w:rsidRPr="00C50FF0" w:rsidRDefault="001E225D" w:rsidP="00CA7B87">
            <w:pPr>
              <w:pStyle w:val="NoSpacing"/>
              <w:spacing w:before="60" w:after="60"/>
              <w:rPr>
                <w:sz w:val="24"/>
                <w:szCs w:val="24"/>
              </w:rPr>
            </w:pPr>
            <w:r w:rsidRPr="00C50FF0">
              <w:rPr>
                <w:sz w:val="24"/>
                <w:szCs w:val="24"/>
              </w:rPr>
              <w:t xml:space="preserve">A completed application form executed in accordance with the Signatures </w:t>
            </w:r>
            <w:r w:rsidR="009B358C">
              <w:rPr>
                <w:sz w:val="24"/>
                <w:szCs w:val="24"/>
              </w:rPr>
              <w:t>f</w:t>
            </w:r>
            <w:r w:rsidRPr="00C50FF0">
              <w:rPr>
                <w:sz w:val="24"/>
                <w:szCs w:val="24"/>
              </w:rPr>
              <w:t>act</w:t>
            </w:r>
            <w:r w:rsidR="009B358C">
              <w:rPr>
                <w:sz w:val="24"/>
                <w:szCs w:val="24"/>
              </w:rPr>
              <w:t xml:space="preserve"> </w:t>
            </w:r>
            <w:r w:rsidRPr="00C50FF0">
              <w:rPr>
                <w:sz w:val="24"/>
                <w:szCs w:val="24"/>
              </w:rPr>
              <w:t>sheet</w:t>
            </w:r>
            <w:r w:rsidRPr="00C50FF0">
              <w:rPr>
                <w:rStyle w:val="Hyperlink"/>
                <w:sz w:val="24"/>
                <w:szCs w:val="24"/>
                <w:u w:val="none"/>
              </w:rPr>
              <w:t>.</w:t>
            </w:r>
          </w:p>
        </w:tc>
      </w:tr>
    </w:tbl>
    <w:p w14:paraId="7E7A5F00" w14:textId="77777777" w:rsidR="001E225D" w:rsidRDefault="001E225D" w:rsidP="00B073A3">
      <w:pPr>
        <w:pStyle w:val="Heading3"/>
        <w:keepLines w:val="0"/>
      </w:pPr>
      <w:r>
        <w:t>Additional information to be included with the application</w:t>
      </w:r>
    </w:p>
    <w:p w14:paraId="379B88AC" w14:textId="77777777" w:rsidR="001E225D" w:rsidRDefault="001E225D" w:rsidP="00A60E6D">
      <w:pPr>
        <w:spacing w:before="240"/>
      </w:pPr>
      <w:r>
        <w:t xml:space="preserve">Check that you have included the following information with your application. </w:t>
      </w:r>
    </w:p>
    <w:p w14:paraId="64D70A1F" w14:textId="0AE64801" w:rsidR="001E225D" w:rsidRDefault="00934D68" w:rsidP="00A60E6D">
      <w:pPr>
        <w:spacing w:before="240"/>
      </w:pPr>
      <w:r>
        <w:lastRenderedPageBreak/>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14547358" w14:textId="5F12D863" w:rsidR="008428ED" w:rsidRDefault="008428ED" w:rsidP="002C2131">
      <w:pPr>
        <w:pStyle w:val="Caption"/>
        <w:keepNext/>
      </w:pPr>
      <w:r>
        <w:t xml:space="preserve">Table </w:t>
      </w:r>
      <w:r>
        <w:fldChar w:fldCharType="begin"/>
      </w:r>
      <w:r>
        <w:instrText xml:space="preserve"> SEQ Table \* ARABIC </w:instrText>
      </w:r>
      <w:r>
        <w:fldChar w:fldCharType="separate"/>
      </w:r>
      <w:r w:rsidR="00EF1956">
        <w:rPr>
          <w:noProof/>
        </w:rPr>
        <w:t>5</w:t>
      </w:r>
      <w:r>
        <w:fldChar w:fldCharType="end"/>
      </w:r>
      <w:r w:rsidRPr="00D220E5">
        <w:t xml:space="preserve">: Additional information to be included with variation of a declaration of a location </w:t>
      </w:r>
      <w:proofErr w:type="gramStart"/>
      <w:r w:rsidRPr="00D220E5">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a declaration of a location applications"/>
        <w:tblDescription w:val="Table detailing additional information that NOPTA requires to facilitate timely assessment of variation of a declaration of a location applications.&#10;"/>
      </w:tblPr>
      <w:tblGrid>
        <w:gridCol w:w="704"/>
        <w:gridCol w:w="8930"/>
      </w:tblGrid>
      <w:tr w:rsidR="001E225D" w:rsidRPr="00DA1A01" w14:paraId="5C71C216" w14:textId="77777777" w:rsidTr="006D3CE5">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DA1A01" w:rsidRDefault="001E225D">
            <w:pPr>
              <w:spacing w:before="60" w:after="60"/>
              <w:jc w:val="center"/>
              <w:rPr>
                <w:b w:val="0"/>
                <w:bCs/>
                <w:szCs w:val="24"/>
              </w:rPr>
            </w:pPr>
            <w:r>
              <w:rPr>
                <w:bCs/>
                <w:szCs w:val="24"/>
              </w:rPr>
              <w:t>Item</w:t>
            </w:r>
          </w:p>
        </w:tc>
        <w:tc>
          <w:tcPr>
            <w:tcW w:w="8930" w:type="dxa"/>
          </w:tcPr>
          <w:p w14:paraId="6F564A6A" w14:textId="77777777" w:rsidR="001E225D" w:rsidRPr="00DA1A01" w:rsidRDefault="001E225D" w:rsidP="007A4BDF">
            <w:pPr>
              <w:spacing w:before="60" w:after="60"/>
              <w:rPr>
                <w:b w:val="0"/>
                <w:bCs/>
                <w:szCs w:val="24"/>
              </w:rPr>
            </w:pPr>
            <w:r w:rsidRPr="00DA1A01">
              <w:rPr>
                <w:bCs/>
                <w:szCs w:val="24"/>
              </w:rPr>
              <w:t>Description</w:t>
            </w:r>
          </w:p>
        </w:tc>
      </w:tr>
      <w:tr w:rsidR="007A4BDF" w:rsidRPr="00DA1A01" w14:paraId="3CA74C0F" w14:textId="77777777">
        <w:tc>
          <w:tcPr>
            <w:tcW w:w="704" w:type="dxa"/>
          </w:tcPr>
          <w:p w14:paraId="132FB052" w14:textId="77777777" w:rsidR="007A4BDF" w:rsidRPr="00DA1A01" w:rsidRDefault="007A4BDF" w:rsidP="007A4BDF">
            <w:pPr>
              <w:pStyle w:val="ListParagraph"/>
              <w:numPr>
                <w:ilvl w:val="0"/>
                <w:numId w:val="23"/>
              </w:numPr>
              <w:spacing w:before="60" w:after="60"/>
              <w:ind w:left="587"/>
              <w:contextualSpacing w:val="0"/>
              <w:jc w:val="right"/>
              <w:rPr>
                <w:szCs w:val="24"/>
              </w:rPr>
            </w:pPr>
          </w:p>
        </w:tc>
        <w:tc>
          <w:tcPr>
            <w:tcW w:w="8930" w:type="dxa"/>
          </w:tcPr>
          <w:p w14:paraId="6A0BBBF8" w14:textId="77777777" w:rsidR="007A4BDF" w:rsidRPr="007A4BDF" w:rsidRDefault="007A4BDF" w:rsidP="007A4BDF">
            <w:pPr>
              <w:pStyle w:val="Bullets"/>
              <w:tabs>
                <w:tab w:val="clear" w:pos="371"/>
              </w:tabs>
              <w:rPr>
                <w:rFonts w:cstheme="minorHAnsi"/>
                <w:bCs/>
                <w:color w:val="auto"/>
                <w:sz w:val="24"/>
              </w:rPr>
            </w:pPr>
            <w:r w:rsidRPr="007A4BDF">
              <w:rPr>
                <w:rFonts w:cstheme="minorHAnsi"/>
                <w:bCs/>
                <w:color w:val="auto"/>
                <w:sz w:val="24"/>
              </w:rPr>
              <w:t>If the variation is to add a block to the location, a map showing the outline of the pool(s) within the block(s) nominated to be declared as a location, at basin (regional) and permit (detailed) scales.</w:t>
            </w:r>
          </w:p>
          <w:p w14:paraId="278BE39A" w14:textId="2980C4F0" w:rsidR="007A4BDF" w:rsidRPr="007A4BDF" w:rsidRDefault="007A4BDF" w:rsidP="007A4BDF">
            <w:pPr>
              <w:spacing w:before="60" w:after="60"/>
              <w:rPr>
                <w:szCs w:val="24"/>
              </w:rPr>
            </w:pPr>
            <w:r w:rsidRPr="006D3CE5">
              <w:rPr>
                <w:rStyle w:val="Strong"/>
              </w:rPr>
              <w:t>Note:</w:t>
            </w:r>
            <w:r w:rsidRPr="00AC49A1">
              <w:rPr>
                <w:rStyle w:val="Strong"/>
              </w:rPr>
              <w:t xml:space="preserve"> </w:t>
            </w:r>
            <w:r w:rsidRPr="007A4BDF">
              <w:rPr>
                <w:rFonts w:ascii="Aptos" w:hAnsi="Aptos" w:cstheme="minorHAnsi"/>
                <w:bCs/>
                <w:szCs w:val="24"/>
              </w:rPr>
              <w:t xml:space="preserve">Applicants should address the “suggested information to support a nomination to declare a location” outlined in </w:t>
            </w:r>
            <w:r w:rsidR="00F831D2">
              <w:rPr>
                <w:rFonts w:ascii="Aptos" w:hAnsi="Aptos" w:cstheme="minorHAnsi"/>
                <w:bCs/>
                <w:szCs w:val="24"/>
              </w:rPr>
              <w:t>section 3</w:t>
            </w:r>
            <w:r w:rsidRPr="007A4BDF">
              <w:rPr>
                <w:rFonts w:ascii="Aptos" w:hAnsi="Aptos" w:cstheme="minorHAnsi"/>
                <w:bCs/>
                <w:szCs w:val="24"/>
              </w:rPr>
              <w:t xml:space="preserve"> of the</w:t>
            </w:r>
            <w:r w:rsidRPr="009B358C">
              <w:rPr>
                <w:rFonts w:ascii="Aptos" w:hAnsi="Aptos" w:cstheme="minorHAnsi"/>
                <w:bCs/>
                <w:szCs w:val="24"/>
              </w:rPr>
              <w:t xml:space="preserve"> </w:t>
            </w:r>
            <w:hyperlink r:id="rId18" w:tooltip="Link to the Offshore Petroleum: Declaration of a Location Guideline" w:history="1">
              <w:r w:rsidRPr="009B358C">
                <w:rPr>
                  <w:rStyle w:val="Hyperlink"/>
                  <w:rFonts w:ascii="Aptos" w:hAnsi="Aptos" w:cstheme="minorHAnsi"/>
                  <w:color w:val="auto"/>
                  <w:szCs w:val="24"/>
                  <w:u w:val="none"/>
                </w:rPr>
                <w:t>Location Guideline</w:t>
              </w:r>
            </w:hyperlink>
            <w:r w:rsidRPr="007A4BDF">
              <w:rPr>
                <w:rFonts w:ascii="Aptos" w:hAnsi="Aptos" w:cstheme="minorHAnsi"/>
                <w:bCs/>
                <w:szCs w:val="24"/>
              </w:rPr>
              <w:t xml:space="preserve">. </w:t>
            </w:r>
          </w:p>
        </w:tc>
      </w:tr>
      <w:tr w:rsidR="007A4BDF" w:rsidRPr="00DA1A01" w14:paraId="097AD8B1" w14:textId="77777777">
        <w:tc>
          <w:tcPr>
            <w:tcW w:w="704" w:type="dxa"/>
          </w:tcPr>
          <w:p w14:paraId="791DAF5E" w14:textId="77777777" w:rsidR="007A4BDF" w:rsidRPr="00DA1A01" w:rsidRDefault="007A4BDF" w:rsidP="007A4BDF">
            <w:pPr>
              <w:pStyle w:val="ListParagraph"/>
              <w:numPr>
                <w:ilvl w:val="0"/>
                <w:numId w:val="23"/>
              </w:numPr>
              <w:spacing w:before="60" w:after="60"/>
              <w:ind w:left="227" w:firstLine="0"/>
              <w:contextualSpacing w:val="0"/>
              <w:jc w:val="right"/>
              <w:rPr>
                <w:szCs w:val="24"/>
              </w:rPr>
            </w:pPr>
          </w:p>
        </w:tc>
        <w:tc>
          <w:tcPr>
            <w:tcW w:w="8930" w:type="dxa"/>
          </w:tcPr>
          <w:p w14:paraId="5F22FDA2" w14:textId="77777777" w:rsidR="007A4BDF" w:rsidRPr="007A4BDF" w:rsidRDefault="007A4BDF" w:rsidP="007A4BDF">
            <w:pPr>
              <w:spacing w:before="60" w:after="60"/>
              <w:rPr>
                <w:rFonts w:ascii="Aptos" w:hAnsi="Aptos" w:cstheme="minorHAnsi"/>
                <w:bCs/>
                <w:szCs w:val="24"/>
              </w:rPr>
            </w:pPr>
            <w:r w:rsidRPr="006D3CE5">
              <w:rPr>
                <w:rStyle w:val="Strong"/>
              </w:rPr>
              <w:t>If the variation is to delete a block from the location</w:t>
            </w:r>
            <w:r w:rsidRPr="007A4BDF">
              <w:rPr>
                <w:rFonts w:ascii="Aptos" w:hAnsi="Aptos" w:cstheme="minorHAnsi"/>
                <w:bCs/>
                <w:szCs w:val="24"/>
              </w:rPr>
              <w:t xml:space="preserve">, please provide details of and reasons for the variation to demonstrate that no petroleum pool exists within the block to be deleted from the location. </w:t>
            </w:r>
          </w:p>
          <w:p w14:paraId="5C69166D" w14:textId="77777777" w:rsidR="007A4BDF" w:rsidRPr="007A4BDF" w:rsidRDefault="007A4BDF" w:rsidP="007A4BDF">
            <w:pPr>
              <w:spacing w:after="60"/>
              <w:rPr>
                <w:rFonts w:ascii="Aptos" w:hAnsi="Aptos" w:cstheme="minorHAnsi"/>
                <w:bCs/>
                <w:szCs w:val="24"/>
              </w:rPr>
            </w:pPr>
            <w:r w:rsidRPr="007A4BDF">
              <w:rPr>
                <w:rFonts w:ascii="Aptos" w:hAnsi="Aptos" w:cstheme="minorHAnsi"/>
                <w:bCs/>
                <w:szCs w:val="24"/>
              </w:rPr>
              <w:t>Your application should specifically include the following information:</w:t>
            </w:r>
          </w:p>
          <w:p w14:paraId="468E46FD" w14:textId="77777777" w:rsidR="007A4BDF" w:rsidRPr="007A4BDF" w:rsidRDefault="007A4BDF" w:rsidP="009B358C">
            <w:pPr>
              <w:pStyle w:val="ListParagraph"/>
            </w:pPr>
            <w:r w:rsidRPr="007A4BDF">
              <w:t>a map showing the outline of the block nominated to be deleted from the location, at basin (regional) and permit (detailed) scales</w:t>
            </w:r>
          </w:p>
          <w:p w14:paraId="5B462742" w14:textId="77777777" w:rsidR="007A4BDF" w:rsidRPr="007A4BDF" w:rsidRDefault="007A4BDF" w:rsidP="009B358C">
            <w:pPr>
              <w:pStyle w:val="ListParagraph"/>
            </w:pPr>
            <w:r w:rsidRPr="007A4BDF">
              <w:t>a report, including, inter alia, discovery history and exploration well results and key petrophysical, stratigraphic and pressure interpretation and results for the pool(s) and aquifers within the block to be deleted from the location</w:t>
            </w:r>
          </w:p>
          <w:p w14:paraId="2D5CF687" w14:textId="77777777" w:rsidR="007A4BDF" w:rsidRPr="007A4BDF" w:rsidRDefault="007A4BDF" w:rsidP="009B358C">
            <w:pPr>
              <w:pStyle w:val="ListParagraph"/>
            </w:pPr>
            <w:r w:rsidRPr="007A4BDF">
              <w:t>details of the testing programs and the recovery of petroleum from the block(s) within the location, to demonstrate that no petroleum pool exists within the block to be deleted from the location</w:t>
            </w:r>
          </w:p>
          <w:p w14:paraId="02DD93C7" w14:textId="626A73EE" w:rsidR="007A4BDF" w:rsidRPr="007A4BDF" w:rsidRDefault="007A4BDF" w:rsidP="009B358C">
            <w:pPr>
              <w:pStyle w:val="ListParagraph"/>
            </w:pPr>
            <w:r w:rsidRPr="002D0BC2">
              <w:t>structure contour maps and/or structural amplitude maps of key horizons and cross sections; and seismic sections through the pool(s) showing lateral and vertical extents of the hydrocarbon pool(s), annotated with the graticular block boundaries, to demonstrate that no petroleum pool exists within the block to be deleted from the location.</w:t>
            </w:r>
          </w:p>
        </w:tc>
      </w:tr>
      <w:tr w:rsidR="007A4BDF" w:rsidRPr="00DA1A01" w14:paraId="007AE965" w14:textId="77777777">
        <w:tc>
          <w:tcPr>
            <w:tcW w:w="704" w:type="dxa"/>
          </w:tcPr>
          <w:p w14:paraId="48D7B5E6" w14:textId="77777777" w:rsidR="007A4BDF" w:rsidRPr="00DA1A01" w:rsidRDefault="007A4BDF" w:rsidP="007A4BDF">
            <w:pPr>
              <w:pStyle w:val="ListParagraph"/>
              <w:numPr>
                <w:ilvl w:val="0"/>
                <w:numId w:val="23"/>
              </w:numPr>
              <w:spacing w:before="60" w:after="60"/>
              <w:ind w:left="227" w:firstLine="0"/>
              <w:contextualSpacing w:val="0"/>
              <w:jc w:val="right"/>
              <w:rPr>
                <w:szCs w:val="24"/>
              </w:rPr>
            </w:pPr>
          </w:p>
        </w:tc>
        <w:tc>
          <w:tcPr>
            <w:tcW w:w="8930" w:type="dxa"/>
          </w:tcPr>
          <w:p w14:paraId="166A20D9" w14:textId="28EE57F7" w:rsidR="007A4BDF" w:rsidRPr="007A4BDF" w:rsidRDefault="007A4BDF" w:rsidP="007A4BDF">
            <w:pPr>
              <w:keepNext/>
              <w:spacing w:before="60" w:after="60"/>
              <w:rPr>
                <w:szCs w:val="24"/>
              </w:rPr>
            </w:pPr>
            <w:r w:rsidRPr="007A4BDF">
              <w:rPr>
                <w:rFonts w:ascii="Aptos" w:hAnsi="Aptos" w:cstheme="minorHAnsi"/>
                <w:bCs/>
                <w:szCs w:val="24"/>
              </w:rPr>
              <w:t>A statement of any other matters that the applicant wishes to be considered.</w:t>
            </w:r>
          </w:p>
        </w:tc>
      </w:tr>
      <w:tr w:rsidR="007A4BDF" w:rsidRPr="00DA1A01" w14:paraId="3EA5A6DF" w14:textId="77777777">
        <w:tc>
          <w:tcPr>
            <w:tcW w:w="704" w:type="dxa"/>
          </w:tcPr>
          <w:p w14:paraId="065882E3" w14:textId="77777777" w:rsidR="007A4BDF" w:rsidRPr="00DA1A01" w:rsidRDefault="007A4BDF" w:rsidP="007A4BDF">
            <w:pPr>
              <w:pStyle w:val="ListParagraph"/>
              <w:numPr>
                <w:ilvl w:val="0"/>
                <w:numId w:val="23"/>
              </w:numPr>
              <w:spacing w:before="60" w:after="60"/>
              <w:ind w:left="227" w:firstLine="0"/>
              <w:contextualSpacing w:val="0"/>
              <w:jc w:val="right"/>
              <w:rPr>
                <w:szCs w:val="24"/>
              </w:rPr>
            </w:pPr>
          </w:p>
        </w:tc>
        <w:tc>
          <w:tcPr>
            <w:tcW w:w="8930" w:type="dxa"/>
          </w:tcPr>
          <w:p w14:paraId="0CA204FA" w14:textId="5AB164CA" w:rsidR="007A4BDF" w:rsidRPr="007A4BDF" w:rsidRDefault="007A4BDF" w:rsidP="007A4BDF">
            <w:pPr>
              <w:spacing w:before="60" w:after="60"/>
              <w:rPr>
                <w:szCs w:val="24"/>
              </w:rPr>
            </w:pPr>
            <w:r w:rsidRPr="007A4BDF">
              <w:rPr>
                <w:rFonts w:ascii="Aptos" w:hAnsi="Aptos" w:cstheme="minorHAnsi"/>
                <w:bCs/>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26D9D99B" w14:textId="77777777" w:rsidR="006158E5" w:rsidRPr="006158E5" w:rsidRDefault="006158E5" w:rsidP="00CA7B87">
      <w:bookmarkStart w:id="18" w:name="_Revocation_of_a"/>
      <w:bookmarkEnd w:id="18"/>
    </w:p>
    <w:p w14:paraId="0C8369B7" w14:textId="77777777" w:rsidR="006158E5" w:rsidRDefault="006158E5">
      <w:pPr>
        <w:spacing w:before="0" w:after="160" w:line="259" w:lineRule="auto"/>
        <w:rPr>
          <w:rFonts w:ascii="Aptos Display" w:eastAsiaTheme="majorEastAsia" w:hAnsi="Aptos Display" w:cstheme="majorBidi"/>
          <w:color w:val="15659B" w:themeColor="accent4"/>
          <w:sz w:val="36"/>
          <w:szCs w:val="48"/>
        </w:rPr>
      </w:pPr>
      <w:r>
        <w:br w:type="page"/>
      </w:r>
    </w:p>
    <w:p w14:paraId="49B3D542" w14:textId="0E7DD5E5" w:rsidR="003A7D5F" w:rsidRDefault="003A7D5F" w:rsidP="00D33301">
      <w:pPr>
        <w:pStyle w:val="Heading2"/>
      </w:pPr>
      <w:r w:rsidRPr="003A7D5F">
        <w:lastRenderedPageBreak/>
        <w:t>Revocation of a declared location</w:t>
      </w:r>
    </w:p>
    <w:p w14:paraId="2D616310" w14:textId="516F5D62" w:rsidR="001E225D" w:rsidRPr="00B0432E" w:rsidRDefault="001E225D" w:rsidP="00A60E6D">
      <w:pPr>
        <w:spacing w:before="240"/>
        <w:rPr>
          <w:lang w:eastAsia="en-AU"/>
        </w:rPr>
      </w:pPr>
      <w:r w:rsidRPr="00B0432E">
        <w:rPr>
          <w:lang w:eastAsia="en-AU"/>
        </w:rPr>
        <w:t>In making an application under section 1</w:t>
      </w:r>
      <w:r w:rsidR="003A7D5F" w:rsidRPr="00B0432E">
        <w:rPr>
          <w:lang w:eastAsia="en-AU"/>
        </w:rPr>
        <w:t>32</w:t>
      </w:r>
      <w:r w:rsidRPr="00B0432E">
        <w:rPr>
          <w:lang w:eastAsia="en-AU"/>
        </w:rPr>
        <w:t xml:space="preserve"> of the OPGGS Act, please refer to following material.</w:t>
      </w:r>
    </w:p>
    <w:p w14:paraId="0C222C9D" w14:textId="77777777" w:rsidR="001E225D" w:rsidRPr="00B0432E" w:rsidRDefault="001E225D" w:rsidP="00A60E6D">
      <w:pPr>
        <w:pStyle w:val="Heading3"/>
        <w:rPr>
          <w:lang w:eastAsia="en-AU"/>
        </w:rPr>
      </w:pPr>
      <w:r w:rsidRPr="00B0432E">
        <w:rPr>
          <w:lang w:eastAsia="en-AU"/>
        </w:rPr>
        <w:t>Legislation</w:t>
      </w:r>
    </w:p>
    <w:p w14:paraId="161647AC" w14:textId="77777777" w:rsidR="001E225D" w:rsidRPr="00B0432E" w:rsidRDefault="001E225D" w:rsidP="00A60E6D">
      <w:pPr>
        <w:spacing w:before="240"/>
        <w:rPr>
          <w:lang w:eastAsia="en-AU"/>
        </w:rPr>
      </w:pPr>
      <w:r w:rsidRPr="00B0432E">
        <w:rPr>
          <w:lang w:eastAsia="en-AU"/>
        </w:rPr>
        <w:t>Part 2.2 of the OPGGS Act.</w:t>
      </w:r>
    </w:p>
    <w:p w14:paraId="246F62BE" w14:textId="77777777" w:rsidR="001E225D" w:rsidRPr="00B0432E" w:rsidRDefault="001E225D" w:rsidP="00A60E6D">
      <w:pPr>
        <w:pStyle w:val="Heading3"/>
        <w:rPr>
          <w:lang w:eastAsia="en-AU"/>
        </w:rPr>
      </w:pPr>
      <w:r w:rsidRPr="00B0432E">
        <w:t>Guidance material</w:t>
      </w:r>
    </w:p>
    <w:p w14:paraId="6A386586" w14:textId="7944FD3B" w:rsidR="001D4BE3" w:rsidRDefault="001D4BE3" w:rsidP="00A60E6D">
      <w:pPr>
        <w:spacing w:before="240"/>
        <w:rPr>
          <w:lang w:eastAsia="en-AU"/>
        </w:rPr>
      </w:pPr>
      <w:r>
        <w:rPr>
          <w:lang w:eastAsia="en-AU"/>
        </w:rPr>
        <w:t>G</w:t>
      </w:r>
      <w:r w:rsidRPr="00CC7E08">
        <w:rPr>
          <w:lang w:eastAsia="en-AU"/>
        </w:rPr>
        <w:t>uideline</w:t>
      </w:r>
      <w:r>
        <w:rPr>
          <w:lang w:eastAsia="en-AU"/>
        </w:rPr>
        <w:t>s</w:t>
      </w:r>
      <w:r w:rsidR="00C52FD0">
        <w:rPr>
          <w:lang w:eastAsia="en-AU"/>
        </w:rPr>
        <w:t xml:space="preserve"> and</w:t>
      </w:r>
      <w:r>
        <w:rPr>
          <w:lang w:eastAsia="en-AU"/>
        </w:rPr>
        <w:t xml:space="preserve"> fact</w:t>
      </w:r>
      <w:r w:rsidR="00277140">
        <w:rPr>
          <w:lang w:eastAsia="en-AU"/>
        </w:rPr>
        <w:t xml:space="preserve"> </w:t>
      </w:r>
      <w:r>
        <w:rPr>
          <w:lang w:eastAsia="en-AU"/>
        </w:rPr>
        <w:t xml:space="preserve">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r w:rsidRPr="00CC7E08">
        <w:rPr>
          <w:lang w:eastAsia="en-AU"/>
        </w:rPr>
        <w:t xml:space="preserve"> </w:t>
      </w:r>
    </w:p>
    <w:p w14:paraId="109BB16E" w14:textId="361900A7" w:rsidR="001D4BE3" w:rsidRPr="00F52E95" w:rsidRDefault="001D4BE3" w:rsidP="00A60E6D">
      <w:pPr>
        <w:spacing w:before="240"/>
        <w:rPr>
          <w:lang w:eastAsia="en-AU"/>
        </w:rPr>
      </w:pPr>
      <w:r>
        <w:rPr>
          <w:lang w:eastAsia="en-AU"/>
        </w:rPr>
        <w:t>T</w:t>
      </w:r>
      <w:r w:rsidRPr="00906743">
        <w:rPr>
          <w:lang w:eastAsia="en-AU"/>
        </w:rPr>
        <w:t xml:space="preserve">he following </w:t>
      </w:r>
      <w:hyperlink r:id="rId19" w:tooltip="Link to guidelines page" w:history="1">
        <w:r w:rsidRPr="00906743">
          <w:rPr>
            <w:rStyle w:val="Hyperlink"/>
            <w:lang w:eastAsia="en-AU"/>
          </w:rPr>
          <w:t>guideline</w:t>
        </w:r>
      </w:hyperlink>
      <w:r w:rsidRPr="00906743">
        <w:rPr>
          <w:lang w:eastAsia="en-AU"/>
        </w:rPr>
        <w:t xml:space="preserve"> </w:t>
      </w:r>
      <w:r w:rsidR="00DB7E89">
        <w:rPr>
          <w:lang w:eastAsia="en-AU"/>
        </w:rPr>
        <w:t>is</w:t>
      </w:r>
      <w:r w:rsidR="00DB7E89"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Pr="00F52E95">
        <w:rPr>
          <w:lang w:eastAsia="en-AU"/>
        </w:rPr>
        <w:t xml:space="preserve">: </w:t>
      </w:r>
    </w:p>
    <w:p w14:paraId="7B505827" w14:textId="4C0FE3FC" w:rsidR="006976C2" w:rsidRPr="00B0432E" w:rsidRDefault="00BE69D2" w:rsidP="00A60E6D">
      <w:pPr>
        <w:pStyle w:val="ListParagraph"/>
        <w:spacing w:before="240"/>
        <w:rPr>
          <w:iCs w:val="0"/>
          <w:lang w:eastAsia="en-AU"/>
        </w:rPr>
      </w:pPr>
      <w:r w:rsidRPr="00BE69D2">
        <w:rPr>
          <w:rFonts w:ascii="Aptos" w:hAnsi="Aptos" w:cstheme="minorHAnsi"/>
          <w:iCs w:val="0"/>
          <w:szCs w:val="20"/>
        </w:rPr>
        <w:t>Guideline: Offshore petroleum declaration of location (effective 9 December 2025)</w:t>
      </w:r>
      <w:r w:rsidR="00385A24">
        <w:rPr>
          <w:rFonts w:ascii="Aptos" w:hAnsi="Aptos" w:cstheme="minorHAnsi"/>
          <w:iCs w:val="0"/>
          <w:szCs w:val="20"/>
        </w:rPr>
        <w:t xml:space="preserve"> </w:t>
      </w:r>
      <w:r w:rsidR="006976C2" w:rsidRPr="00B0432E">
        <w:rPr>
          <w:rStyle w:val="Hyperlink"/>
          <w:rFonts w:ascii="Aptos" w:hAnsi="Aptos" w:cstheme="minorHAnsi"/>
          <w:iCs w:val="0"/>
          <w:color w:val="auto"/>
          <w:szCs w:val="20"/>
          <w:u w:val="none"/>
        </w:rPr>
        <w:t>(</w:t>
      </w:r>
      <w:r w:rsidR="006976C2" w:rsidRPr="0077588D">
        <w:rPr>
          <w:rStyle w:val="Strong"/>
        </w:rPr>
        <w:t>Location Guideline</w:t>
      </w:r>
      <w:r w:rsidR="006976C2" w:rsidRPr="00B0432E">
        <w:rPr>
          <w:rFonts w:ascii="Aptos" w:hAnsi="Aptos" w:cstheme="minorHAnsi"/>
          <w:iCs w:val="0"/>
          <w:szCs w:val="20"/>
        </w:rPr>
        <w:t>).</w:t>
      </w:r>
    </w:p>
    <w:p w14:paraId="2F73E61E" w14:textId="4ACBDFC2" w:rsidR="001D4BE3" w:rsidRPr="00F52E95" w:rsidRDefault="001D4BE3" w:rsidP="00A60E6D">
      <w:pPr>
        <w:spacing w:before="240"/>
        <w:rPr>
          <w:lang w:eastAsia="en-AU"/>
        </w:rPr>
      </w:pPr>
      <w:r>
        <w:rPr>
          <w:lang w:eastAsia="en-AU"/>
        </w:rPr>
        <w:t>T</w:t>
      </w:r>
      <w:r w:rsidRPr="00F52E95">
        <w:rPr>
          <w:lang w:eastAsia="en-AU"/>
        </w:rPr>
        <w:t xml:space="preserve">he following </w:t>
      </w:r>
      <w:hyperlink r:id="rId20" w:tooltip="Link to fact sheets page" w:history="1">
        <w:r w:rsidRPr="00F52E95">
          <w:rPr>
            <w:rStyle w:val="Hyperlink"/>
            <w:lang w:eastAsia="en-AU"/>
          </w:rPr>
          <w:t>fact</w:t>
        </w:r>
        <w:r w:rsidR="001E7621">
          <w:rPr>
            <w:rStyle w:val="Hyperlink"/>
            <w:lang w:eastAsia="en-AU"/>
          </w:rPr>
          <w:t xml:space="preserve"> </w:t>
        </w:r>
        <w:r w:rsidRPr="00F52E95">
          <w:rPr>
            <w:rStyle w:val="Hyperlink"/>
            <w:lang w:eastAsia="en-AU"/>
          </w:rPr>
          <w:t>sheet</w:t>
        </w:r>
      </w:hyperlink>
      <w:r w:rsidRPr="00F52E95">
        <w:rPr>
          <w:lang w:eastAsia="en-AU"/>
        </w:rPr>
        <w:t xml:space="preserve"> </w:t>
      </w:r>
      <w:r w:rsidR="00DB7E89">
        <w:rPr>
          <w:lang w:eastAsia="en-AU"/>
        </w:rPr>
        <w:t>is</w:t>
      </w:r>
      <w:r w:rsidR="00DB7E89"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Pr="00F52E95">
        <w:rPr>
          <w:lang w:eastAsia="en-AU"/>
        </w:rPr>
        <w:t>:</w:t>
      </w:r>
    </w:p>
    <w:p w14:paraId="1629864E" w14:textId="4E0B4096" w:rsidR="00616EF4" w:rsidRPr="00F52E95" w:rsidRDefault="007E5C2B" w:rsidP="00616EF4">
      <w:pPr>
        <w:pStyle w:val="ListParagraph"/>
        <w:spacing w:before="240"/>
      </w:pPr>
      <w:r w:rsidRPr="007E5C2B">
        <w:t>Signatures fact</w:t>
      </w:r>
      <w:r>
        <w:t xml:space="preserve"> </w:t>
      </w:r>
      <w:r w:rsidRPr="007E5C2B">
        <w:t>sheet</w:t>
      </w:r>
      <w:r w:rsidR="00616EF4" w:rsidRPr="00F52E95">
        <w:t>.</w:t>
      </w:r>
    </w:p>
    <w:p w14:paraId="18C67641" w14:textId="77777777" w:rsidR="001E225D" w:rsidRPr="00B0432E" w:rsidRDefault="001E225D" w:rsidP="00A60E6D">
      <w:pPr>
        <w:pStyle w:val="Heading3"/>
        <w:rPr>
          <w:lang w:eastAsia="en-AU"/>
        </w:rPr>
      </w:pPr>
      <w:r w:rsidRPr="00B0432E">
        <w:rPr>
          <w:lang w:eastAsia="en-AU"/>
        </w:rPr>
        <w:t>Application form</w:t>
      </w:r>
    </w:p>
    <w:p w14:paraId="10B34F64" w14:textId="37D6C413" w:rsidR="001E225D" w:rsidRPr="00B0432E" w:rsidRDefault="001E225D" w:rsidP="00A60E6D">
      <w:pPr>
        <w:spacing w:before="240"/>
        <w:rPr>
          <w:lang w:eastAsia="en-AU"/>
        </w:rPr>
      </w:pPr>
      <w:r w:rsidRPr="00B0432E">
        <w:rPr>
          <w:lang w:eastAsia="en-AU"/>
        </w:rPr>
        <w:t>Use the</w:t>
      </w:r>
      <w:r w:rsidR="00366839">
        <w:rPr>
          <w:lang w:eastAsia="en-AU"/>
        </w:rPr>
        <w:t xml:space="preserve"> </w:t>
      </w:r>
      <w:hyperlink r:id="rId21" w:tooltip="Link to forms page" w:history="1">
        <w:r w:rsidR="009843AE" w:rsidRPr="009843AE">
          <w:rPr>
            <w:rStyle w:val="Hyperlink"/>
            <w:lang w:eastAsia="en-AU"/>
          </w:rPr>
          <w:t>Revocation of a declared location application form</w:t>
        </w:r>
      </w:hyperlink>
      <w:r w:rsidR="009843AE">
        <w:rPr>
          <w:lang w:eastAsia="en-AU"/>
        </w:rPr>
        <w:t xml:space="preserve"> </w:t>
      </w:r>
      <w:r w:rsidRPr="00B0432E">
        <w:rPr>
          <w:lang w:eastAsia="en-AU"/>
        </w:rPr>
        <w:t>on the forms page of our website.</w:t>
      </w:r>
    </w:p>
    <w:p w14:paraId="49F97682" w14:textId="77777777" w:rsidR="001E225D" w:rsidRPr="00B0432E" w:rsidRDefault="001E225D" w:rsidP="00A60E6D">
      <w:pPr>
        <w:pStyle w:val="Heading3"/>
        <w:rPr>
          <w:lang w:eastAsia="en-AU"/>
        </w:rPr>
      </w:pPr>
      <w:r w:rsidRPr="00B0432E">
        <w:rPr>
          <w:lang w:eastAsia="en-AU"/>
        </w:rPr>
        <w:t>Application fee</w:t>
      </w:r>
    </w:p>
    <w:p w14:paraId="02444880" w14:textId="0144B4CC" w:rsidR="001E225D" w:rsidRPr="00B0432E" w:rsidRDefault="00636AE3" w:rsidP="00A60E6D">
      <w:pPr>
        <w:spacing w:before="240"/>
        <w:rPr>
          <w:lang w:eastAsia="en-AU"/>
        </w:rPr>
      </w:pPr>
      <w:r w:rsidRPr="00B0432E">
        <w:rPr>
          <w:lang w:eastAsia="en-AU"/>
        </w:rPr>
        <w:t>Not applicable</w:t>
      </w:r>
      <w:r w:rsidR="001E225D" w:rsidRPr="00B0432E">
        <w:rPr>
          <w:lang w:eastAsia="en-AU"/>
        </w:rPr>
        <w:t>.</w:t>
      </w:r>
    </w:p>
    <w:p w14:paraId="312E340D" w14:textId="77777777" w:rsidR="00EA442E" w:rsidRPr="002202BD" w:rsidRDefault="00EA442E" w:rsidP="00A60E6D">
      <w:pPr>
        <w:pStyle w:val="Heading3"/>
        <w:rPr>
          <w:lang w:eastAsia="en-AU"/>
        </w:rPr>
      </w:pPr>
      <w:r w:rsidRPr="00B0432E">
        <w:rPr>
          <w:lang w:eastAsia="en-AU"/>
        </w:rPr>
        <w:t>To note</w:t>
      </w:r>
    </w:p>
    <w:p w14:paraId="548FA339" w14:textId="77777777" w:rsidR="00EA442E" w:rsidRPr="002627B2" w:rsidRDefault="00EA442E" w:rsidP="00A60E6D">
      <w:pPr>
        <w:pStyle w:val="ListParagraph"/>
        <w:numPr>
          <w:ilvl w:val="0"/>
          <w:numId w:val="4"/>
        </w:numPr>
        <w:spacing w:before="240"/>
        <w:ind w:left="714" w:hanging="357"/>
        <w:rPr>
          <w:rFonts w:ascii="Aptos" w:hAnsi="Aptos" w:cstheme="minorHAnsi"/>
          <w:szCs w:val="20"/>
          <w:lang w:eastAsia="en-AU"/>
        </w:rPr>
      </w:pPr>
      <w:r w:rsidRPr="002627B2">
        <w:rPr>
          <w:rFonts w:ascii="Aptos" w:hAnsi="Aptos" w:cstheme="minorHAnsi"/>
          <w:szCs w:val="20"/>
          <w:lang w:eastAsia="en-AU"/>
        </w:rPr>
        <w:t>A revocation applies to the entire declaration of location. Applications for partial revocation of a declaration of location are not permitted. If you wish to delete a single block from a declaration location, please use the Variation of a Declared Location application form.</w:t>
      </w:r>
    </w:p>
    <w:p w14:paraId="333D736B" w14:textId="7B7AF6B7" w:rsidR="001E225D" w:rsidRPr="00EA442E" w:rsidRDefault="00EA442E" w:rsidP="00A60E6D">
      <w:pPr>
        <w:pStyle w:val="ListParagraph"/>
        <w:numPr>
          <w:ilvl w:val="0"/>
          <w:numId w:val="4"/>
        </w:numPr>
        <w:spacing w:before="240"/>
        <w:ind w:left="714" w:hanging="357"/>
        <w:contextualSpacing w:val="0"/>
      </w:pPr>
      <w:r w:rsidRPr="002627B2">
        <w:rPr>
          <w:rFonts w:ascii="Aptos" w:hAnsi="Aptos" w:cstheme="minorHAnsi"/>
          <w:szCs w:val="20"/>
          <w:lang w:eastAsia="en-AU"/>
        </w:rPr>
        <w:t>A request to revoke a declaration of location should be made at least three (3) months prior to the expiry of the location (refer section 188 of the OPGGS Act).</w:t>
      </w:r>
      <w:r>
        <w:t>Required information</w:t>
      </w:r>
      <w:r w:rsidR="001E225D" w:rsidRPr="00EA442E">
        <w:rPr>
          <w:lang w:eastAsia="en-AU"/>
        </w:rPr>
        <w:t>.</w:t>
      </w:r>
    </w:p>
    <w:p w14:paraId="5781AF54" w14:textId="77777777" w:rsidR="001E225D" w:rsidRDefault="001E225D" w:rsidP="006D7115">
      <w:pPr>
        <w:pStyle w:val="Heading3"/>
        <w:keepNext w:val="0"/>
        <w:keepLines w:val="0"/>
      </w:pPr>
      <w:r>
        <w:t>Required information</w:t>
      </w:r>
    </w:p>
    <w:p w14:paraId="25301317" w14:textId="77777777" w:rsidR="001E225D" w:rsidRDefault="001E225D" w:rsidP="006D7115">
      <w:pPr>
        <w:spacing w:before="240"/>
        <w:rPr>
          <w:szCs w:val="24"/>
        </w:rPr>
      </w:pPr>
      <w:r>
        <w:t>You must provide the following for your application to be valid.</w:t>
      </w:r>
      <w:r w:rsidRPr="00846F20">
        <w:rPr>
          <w:szCs w:val="24"/>
        </w:rPr>
        <w:t xml:space="preserve"> </w:t>
      </w:r>
    </w:p>
    <w:p w14:paraId="7205D306" w14:textId="660A6766" w:rsidR="002C2131" w:rsidRDefault="002C2131" w:rsidP="006D7115">
      <w:pPr>
        <w:pStyle w:val="Caption"/>
      </w:pPr>
      <w:r>
        <w:t xml:space="preserve">Table </w:t>
      </w:r>
      <w:r>
        <w:fldChar w:fldCharType="begin"/>
      </w:r>
      <w:r>
        <w:instrText xml:space="preserve"> SEQ Table \* ARABIC </w:instrText>
      </w:r>
      <w:r>
        <w:fldChar w:fldCharType="separate"/>
      </w:r>
      <w:r w:rsidR="00EF1956">
        <w:rPr>
          <w:noProof/>
        </w:rPr>
        <w:t>6</w:t>
      </w:r>
      <w:r>
        <w:fldChar w:fldCharType="end"/>
      </w:r>
      <w:r w:rsidRPr="00DA1C34">
        <w:t xml:space="preserve">: Required information for revocation of a declared location </w:t>
      </w:r>
      <w:proofErr w:type="gramStart"/>
      <w:r w:rsidRPr="00DA1C34">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vocation of a declared location applications"/>
        <w:tblDescription w:val="Table detailing items that are required to be submitted with revocation of a declared location applications to meet valid submission requirements."/>
      </w:tblPr>
      <w:tblGrid>
        <w:gridCol w:w="704"/>
        <w:gridCol w:w="8930"/>
      </w:tblGrid>
      <w:tr w:rsidR="001E225D" w:rsidRPr="00992374" w14:paraId="4F572EF5" w14:textId="77777777" w:rsidTr="00A01C71">
        <w:trPr>
          <w:cnfStyle w:val="100000000000" w:firstRow="1" w:lastRow="0" w:firstColumn="0" w:lastColumn="0" w:oddVBand="0" w:evenVBand="0" w:oddHBand="0" w:evenHBand="0" w:firstRowFirstColumn="0" w:firstRowLastColumn="0" w:lastRowFirstColumn="0" w:lastRowLastColumn="0"/>
          <w:tblHeader/>
        </w:trPr>
        <w:tc>
          <w:tcPr>
            <w:tcW w:w="704" w:type="dxa"/>
          </w:tcPr>
          <w:p w14:paraId="40593093" w14:textId="77777777" w:rsidR="001E225D" w:rsidRPr="00992374" w:rsidRDefault="001E225D" w:rsidP="006D7115">
            <w:pPr>
              <w:spacing w:before="60" w:after="60"/>
              <w:jc w:val="center"/>
              <w:rPr>
                <w:b w:val="0"/>
                <w:bCs/>
              </w:rPr>
            </w:pPr>
            <w:r>
              <w:rPr>
                <w:bCs/>
              </w:rPr>
              <w:t>Item</w:t>
            </w:r>
          </w:p>
        </w:tc>
        <w:tc>
          <w:tcPr>
            <w:tcW w:w="8930" w:type="dxa"/>
          </w:tcPr>
          <w:p w14:paraId="38A93B5D" w14:textId="77777777" w:rsidR="001E225D" w:rsidRPr="00992374" w:rsidRDefault="001E225D" w:rsidP="006D7115">
            <w:pPr>
              <w:spacing w:before="60" w:after="60"/>
              <w:rPr>
                <w:b w:val="0"/>
                <w:bCs/>
              </w:rPr>
            </w:pPr>
            <w:r w:rsidRPr="00992374">
              <w:rPr>
                <w:bCs/>
              </w:rPr>
              <w:t>Description</w:t>
            </w:r>
          </w:p>
        </w:tc>
      </w:tr>
      <w:tr w:rsidR="001E225D" w:rsidRPr="008A66BE" w14:paraId="0989EC92" w14:textId="77777777">
        <w:tc>
          <w:tcPr>
            <w:tcW w:w="704" w:type="dxa"/>
          </w:tcPr>
          <w:p w14:paraId="5EB1547A" w14:textId="77777777" w:rsidR="001E225D" w:rsidRPr="008A66BE" w:rsidRDefault="001E225D" w:rsidP="006D7115">
            <w:pPr>
              <w:pStyle w:val="ListParagraph"/>
              <w:numPr>
                <w:ilvl w:val="0"/>
                <w:numId w:val="27"/>
              </w:numPr>
              <w:spacing w:before="60" w:after="60"/>
              <w:ind w:left="587"/>
              <w:jc w:val="center"/>
            </w:pPr>
          </w:p>
        </w:tc>
        <w:tc>
          <w:tcPr>
            <w:tcW w:w="8930" w:type="dxa"/>
          </w:tcPr>
          <w:p w14:paraId="5402C69A" w14:textId="52CB57ED" w:rsidR="001E225D" w:rsidRPr="00BE2B9E" w:rsidRDefault="001E225D" w:rsidP="006D7115">
            <w:pPr>
              <w:pStyle w:val="NoSpacing"/>
              <w:spacing w:before="60" w:after="60"/>
              <w:rPr>
                <w:sz w:val="24"/>
                <w:szCs w:val="24"/>
              </w:rPr>
            </w:pPr>
            <w:r w:rsidRPr="00BE2B9E">
              <w:rPr>
                <w:sz w:val="24"/>
                <w:szCs w:val="24"/>
              </w:rPr>
              <w:t xml:space="preserve">A completed application form executed in accordance with the Signatures </w:t>
            </w:r>
            <w:r w:rsidR="00B03873">
              <w:rPr>
                <w:sz w:val="24"/>
                <w:szCs w:val="24"/>
              </w:rPr>
              <w:t>f</w:t>
            </w:r>
            <w:r w:rsidRPr="00BE2B9E">
              <w:rPr>
                <w:sz w:val="24"/>
                <w:szCs w:val="24"/>
              </w:rPr>
              <w:t>act</w:t>
            </w:r>
            <w:r w:rsidR="00B03873">
              <w:rPr>
                <w:sz w:val="24"/>
                <w:szCs w:val="24"/>
              </w:rPr>
              <w:t xml:space="preserve"> </w:t>
            </w:r>
            <w:r w:rsidRPr="00BE2B9E">
              <w:rPr>
                <w:sz w:val="24"/>
                <w:szCs w:val="24"/>
              </w:rPr>
              <w:t>sheet</w:t>
            </w:r>
            <w:r w:rsidRPr="00BE2B9E">
              <w:rPr>
                <w:rStyle w:val="Hyperlink"/>
                <w:sz w:val="24"/>
                <w:szCs w:val="24"/>
                <w:u w:val="none"/>
              </w:rPr>
              <w:t>.</w:t>
            </w:r>
          </w:p>
        </w:tc>
      </w:tr>
    </w:tbl>
    <w:p w14:paraId="63AB0F73" w14:textId="77777777" w:rsidR="001E225D" w:rsidRDefault="001E225D" w:rsidP="00A60E6D">
      <w:pPr>
        <w:pStyle w:val="Heading3"/>
      </w:pPr>
      <w:r>
        <w:lastRenderedPageBreak/>
        <w:t>Additional information to be included with the application</w:t>
      </w:r>
    </w:p>
    <w:p w14:paraId="347C9521" w14:textId="77777777" w:rsidR="001E225D" w:rsidRDefault="001E225D" w:rsidP="00A60E6D">
      <w:pPr>
        <w:spacing w:before="240"/>
      </w:pPr>
      <w:r>
        <w:t xml:space="preserve">Check that you have included the following information with your application. </w:t>
      </w:r>
    </w:p>
    <w:p w14:paraId="2A71F179" w14:textId="2CE46D86" w:rsidR="001E225D" w:rsidRDefault="00934D68" w:rsidP="00A60E6D">
      <w:pPr>
        <w:spacing w:before="240"/>
      </w:pPr>
      <w:r>
        <w:t>P</w:t>
      </w:r>
      <w:r w:rsidR="001E225D">
        <w:t xml:space="preserve">roviding this information with your application </w:t>
      </w:r>
      <w:r>
        <w:t>may</w:t>
      </w:r>
      <w:r w:rsidR="001E225D">
        <w:t xml:space="preserve"> reduce of delays in the assessment of your application resulting from the need to request further information. </w:t>
      </w:r>
    </w:p>
    <w:p w14:paraId="607DC7CF" w14:textId="4D0AE113" w:rsidR="002C2131" w:rsidRDefault="002C2131" w:rsidP="00FB1C32">
      <w:pPr>
        <w:pStyle w:val="Caption"/>
        <w:keepNext/>
      </w:pPr>
      <w:r>
        <w:t xml:space="preserve">Table </w:t>
      </w:r>
      <w:r>
        <w:fldChar w:fldCharType="begin"/>
      </w:r>
      <w:r>
        <w:instrText xml:space="preserve"> SEQ Table \* ARABIC </w:instrText>
      </w:r>
      <w:r>
        <w:fldChar w:fldCharType="separate"/>
      </w:r>
      <w:r w:rsidR="00EF1956">
        <w:rPr>
          <w:noProof/>
        </w:rPr>
        <w:t>7</w:t>
      </w:r>
      <w:r>
        <w:fldChar w:fldCharType="end"/>
      </w:r>
      <w:r w:rsidRPr="006B2462">
        <w:t xml:space="preserve">: Additional information to be included with revocation of a declared location </w:t>
      </w:r>
      <w:proofErr w:type="gramStart"/>
      <w:r w:rsidRPr="006B2462">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revocation of a declared location applications"/>
        <w:tblDescription w:val="Table detailing additional information that NOPTA requires to facilitate timely assessment of revocation of a declared location applications.&#10;"/>
      </w:tblPr>
      <w:tblGrid>
        <w:gridCol w:w="704"/>
        <w:gridCol w:w="8930"/>
      </w:tblGrid>
      <w:tr w:rsidR="001E225D" w:rsidRPr="00DA1A01" w14:paraId="1AA3E864" w14:textId="77777777" w:rsidTr="00756068">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DA1A01" w:rsidRDefault="001E225D">
            <w:pPr>
              <w:spacing w:before="60" w:after="60"/>
              <w:jc w:val="center"/>
              <w:rPr>
                <w:b w:val="0"/>
                <w:bCs/>
                <w:szCs w:val="24"/>
              </w:rPr>
            </w:pPr>
            <w:r>
              <w:rPr>
                <w:bCs/>
                <w:szCs w:val="24"/>
              </w:rPr>
              <w:t>Item</w:t>
            </w:r>
          </w:p>
        </w:tc>
        <w:tc>
          <w:tcPr>
            <w:tcW w:w="8930" w:type="dxa"/>
          </w:tcPr>
          <w:p w14:paraId="5059A88C" w14:textId="77777777" w:rsidR="001E225D" w:rsidRPr="00DA1A01" w:rsidRDefault="001E225D">
            <w:pPr>
              <w:spacing w:before="60" w:after="60"/>
              <w:rPr>
                <w:b w:val="0"/>
                <w:bCs/>
                <w:szCs w:val="24"/>
              </w:rPr>
            </w:pPr>
            <w:r w:rsidRPr="00DA1A01">
              <w:rPr>
                <w:bCs/>
                <w:szCs w:val="24"/>
              </w:rPr>
              <w:t>Description</w:t>
            </w:r>
          </w:p>
        </w:tc>
      </w:tr>
      <w:tr w:rsidR="00251AB9" w:rsidRPr="00DA1A01" w14:paraId="2DD642BB" w14:textId="77777777">
        <w:tc>
          <w:tcPr>
            <w:tcW w:w="704" w:type="dxa"/>
          </w:tcPr>
          <w:p w14:paraId="1D16FC87" w14:textId="77777777" w:rsidR="00251AB9" w:rsidRPr="00DA1A01" w:rsidRDefault="00251AB9" w:rsidP="00251AB9">
            <w:pPr>
              <w:pStyle w:val="ListParagraph"/>
              <w:numPr>
                <w:ilvl w:val="0"/>
                <w:numId w:val="28"/>
              </w:numPr>
              <w:spacing w:before="60" w:after="60"/>
              <w:ind w:left="587"/>
              <w:contextualSpacing w:val="0"/>
              <w:jc w:val="right"/>
              <w:rPr>
                <w:szCs w:val="24"/>
              </w:rPr>
            </w:pPr>
          </w:p>
        </w:tc>
        <w:tc>
          <w:tcPr>
            <w:tcW w:w="8930" w:type="dxa"/>
          </w:tcPr>
          <w:p w14:paraId="15E2835D" w14:textId="20B9A352" w:rsidR="00251AB9" w:rsidRPr="00251AB9" w:rsidRDefault="00251AB9" w:rsidP="00251AB9">
            <w:pPr>
              <w:spacing w:before="60" w:after="60"/>
              <w:rPr>
                <w:szCs w:val="24"/>
              </w:rPr>
            </w:pPr>
            <w:r w:rsidRPr="00251AB9">
              <w:rPr>
                <w:rFonts w:ascii="Aptos" w:hAnsi="Aptos" w:cstheme="minorHAnsi"/>
                <w:szCs w:val="24"/>
              </w:rPr>
              <w:t xml:space="preserve">Reasons and evidence demonstrating that there are sufficient grounds for the request (section </w:t>
            </w:r>
            <w:r w:rsidR="00096AA3">
              <w:rPr>
                <w:rFonts w:ascii="Aptos" w:hAnsi="Aptos" w:cstheme="minorHAnsi"/>
                <w:szCs w:val="24"/>
              </w:rPr>
              <w:t>5</w:t>
            </w:r>
            <w:r w:rsidR="00096AA3" w:rsidRPr="00251AB9">
              <w:rPr>
                <w:rFonts w:ascii="Aptos" w:hAnsi="Aptos" w:cstheme="minorHAnsi"/>
                <w:szCs w:val="24"/>
              </w:rPr>
              <w:t xml:space="preserve"> </w:t>
            </w:r>
            <w:r w:rsidRPr="00251AB9">
              <w:rPr>
                <w:rFonts w:ascii="Aptos" w:hAnsi="Aptos" w:cstheme="minorHAnsi"/>
                <w:szCs w:val="24"/>
              </w:rPr>
              <w:t>of the Location Guideline).</w:t>
            </w:r>
          </w:p>
        </w:tc>
      </w:tr>
      <w:tr w:rsidR="00251AB9" w:rsidRPr="00DA1A01" w14:paraId="36C91DD2" w14:textId="77777777">
        <w:tc>
          <w:tcPr>
            <w:tcW w:w="704" w:type="dxa"/>
          </w:tcPr>
          <w:p w14:paraId="0FCABF67" w14:textId="77777777" w:rsidR="00251AB9" w:rsidRPr="00DA1A01" w:rsidRDefault="00251AB9" w:rsidP="00251AB9">
            <w:pPr>
              <w:pStyle w:val="ListParagraph"/>
              <w:numPr>
                <w:ilvl w:val="0"/>
                <w:numId w:val="28"/>
              </w:numPr>
              <w:spacing w:before="60" w:after="60"/>
              <w:ind w:left="227" w:firstLine="0"/>
              <w:contextualSpacing w:val="0"/>
              <w:jc w:val="right"/>
              <w:rPr>
                <w:szCs w:val="24"/>
              </w:rPr>
            </w:pPr>
          </w:p>
        </w:tc>
        <w:tc>
          <w:tcPr>
            <w:tcW w:w="8930" w:type="dxa"/>
          </w:tcPr>
          <w:p w14:paraId="701D801F" w14:textId="7E20952A" w:rsidR="00251AB9" w:rsidRPr="00251AB9" w:rsidRDefault="00251AB9" w:rsidP="00251AB9">
            <w:pPr>
              <w:pStyle w:val="NoSpacing"/>
              <w:spacing w:before="60" w:after="60"/>
              <w:rPr>
                <w:sz w:val="24"/>
                <w:szCs w:val="24"/>
              </w:rPr>
            </w:pPr>
            <w:r w:rsidRPr="00251AB9">
              <w:rPr>
                <w:rFonts w:ascii="Aptos" w:hAnsi="Aptos" w:cstheme="minorHAnsi"/>
                <w:sz w:val="24"/>
                <w:szCs w:val="24"/>
              </w:rPr>
              <w:t xml:space="preserve">A statement </w:t>
            </w:r>
            <w:proofErr w:type="gramStart"/>
            <w:r w:rsidRPr="00251AB9">
              <w:rPr>
                <w:rFonts w:ascii="Aptos" w:hAnsi="Aptos" w:cstheme="minorHAnsi"/>
                <w:sz w:val="24"/>
                <w:szCs w:val="24"/>
              </w:rPr>
              <w:t>of</w:t>
            </w:r>
            <w:proofErr w:type="gramEnd"/>
            <w:r w:rsidRPr="00251AB9">
              <w:rPr>
                <w:rFonts w:ascii="Aptos" w:hAnsi="Aptos" w:cstheme="minorHAnsi"/>
                <w:sz w:val="24"/>
                <w:szCs w:val="24"/>
              </w:rPr>
              <w:t xml:space="preserve"> any other matters that the applicant wishes to be considered.</w:t>
            </w:r>
          </w:p>
        </w:tc>
      </w:tr>
      <w:tr w:rsidR="00251AB9" w:rsidRPr="00DA1A01" w14:paraId="20536423" w14:textId="77777777">
        <w:tc>
          <w:tcPr>
            <w:tcW w:w="704" w:type="dxa"/>
          </w:tcPr>
          <w:p w14:paraId="5C89E52B" w14:textId="77777777" w:rsidR="00251AB9" w:rsidRPr="00DA1A01" w:rsidRDefault="00251AB9" w:rsidP="00251AB9">
            <w:pPr>
              <w:pStyle w:val="ListParagraph"/>
              <w:numPr>
                <w:ilvl w:val="0"/>
                <w:numId w:val="28"/>
              </w:numPr>
              <w:spacing w:before="60" w:after="60"/>
              <w:ind w:left="227" w:firstLine="0"/>
              <w:contextualSpacing w:val="0"/>
              <w:jc w:val="right"/>
              <w:rPr>
                <w:szCs w:val="24"/>
              </w:rPr>
            </w:pPr>
          </w:p>
        </w:tc>
        <w:tc>
          <w:tcPr>
            <w:tcW w:w="8930" w:type="dxa"/>
          </w:tcPr>
          <w:p w14:paraId="31298155" w14:textId="4307797F" w:rsidR="00251AB9" w:rsidRPr="00251AB9" w:rsidRDefault="00251AB9" w:rsidP="00251AB9">
            <w:pPr>
              <w:keepNext/>
              <w:spacing w:before="60" w:after="60"/>
              <w:rPr>
                <w:szCs w:val="24"/>
              </w:rPr>
            </w:pPr>
            <w:r w:rsidRPr="00251AB9">
              <w:rPr>
                <w:rFonts w:ascii="Aptos" w:hAnsi="Aptos" w:cstheme="minorHAnsi"/>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52479A52" w14:textId="77777777" w:rsidR="001E225D" w:rsidRPr="00D33301" w:rsidRDefault="001E225D" w:rsidP="00D33301"/>
    <w:p w14:paraId="0E9E6DEB" w14:textId="77777777" w:rsidR="001E225D" w:rsidRDefault="001E225D">
      <w:pPr>
        <w:spacing w:before="0" w:after="160" w:line="259" w:lineRule="auto"/>
        <w:rPr>
          <w:rFonts w:ascii="Aptos Display" w:eastAsiaTheme="majorEastAsia" w:hAnsi="Aptos Display" w:cstheme="majorBidi"/>
          <w:color w:val="15659B" w:themeColor="accent4"/>
          <w:sz w:val="36"/>
          <w:szCs w:val="48"/>
        </w:rPr>
      </w:pPr>
      <w:r>
        <w:br w:type="page"/>
      </w:r>
    </w:p>
    <w:p w14:paraId="7EB067B1" w14:textId="77777777" w:rsidR="004728AB" w:rsidRPr="0042743F" w:rsidRDefault="004728AB" w:rsidP="00D33301">
      <w:pPr>
        <w:pStyle w:val="Heading2"/>
      </w:pPr>
      <w:bookmarkStart w:id="19" w:name="_Extension_of_application"/>
      <w:bookmarkEnd w:id="19"/>
      <w:r w:rsidRPr="0042743F">
        <w:lastRenderedPageBreak/>
        <w:t xml:space="preserve">Extension of application period for a retention lease or production licence </w:t>
      </w:r>
    </w:p>
    <w:p w14:paraId="7D17CBD7" w14:textId="467A58BA" w:rsidR="006976C2" w:rsidRPr="0042743F" w:rsidRDefault="006976C2" w:rsidP="00A60E6D">
      <w:pPr>
        <w:spacing w:before="240"/>
        <w:rPr>
          <w:lang w:eastAsia="en-AU"/>
        </w:rPr>
      </w:pPr>
      <w:r w:rsidRPr="0042743F">
        <w:rPr>
          <w:lang w:eastAsia="en-AU"/>
        </w:rPr>
        <w:t xml:space="preserve">In making an application under </w:t>
      </w:r>
      <w:r w:rsidR="00710774" w:rsidRPr="0042743F">
        <w:rPr>
          <w:rFonts w:ascii="Aptos" w:hAnsi="Aptos" w:cstheme="minorHAnsi"/>
        </w:rPr>
        <w:t xml:space="preserve">subsections 141(4) and 169(2) </w:t>
      </w:r>
      <w:r w:rsidRPr="0042743F">
        <w:rPr>
          <w:lang w:eastAsia="en-AU"/>
        </w:rPr>
        <w:t>of the OPGGS Act, please refer to following material.</w:t>
      </w:r>
    </w:p>
    <w:p w14:paraId="14F3FB0F" w14:textId="77777777" w:rsidR="006976C2" w:rsidRPr="0042743F" w:rsidRDefault="006976C2" w:rsidP="00A60E6D">
      <w:pPr>
        <w:pStyle w:val="Heading3"/>
        <w:rPr>
          <w:lang w:eastAsia="en-AU"/>
        </w:rPr>
      </w:pPr>
      <w:r w:rsidRPr="0042743F">
        <w:rPr>
          <w:lang w:eastAsia="en-AU"/>
        </w:rPr>
        <w:t>Legislation</w:t>
      </w:r>
    </w:p>
    <w:p w14:paraId="6EF31CFA" w14:textId="1B5238DB" w:rsidR="006976C2" w:rsidRPr="0042743F" w:rsidRDefault="00624E04" w:rsidP="00A60E6D">
      <w:pPr>
        <w:spacing w:before="240"/>
        <w:rPr>
          <w:lang w:eastAsia="en-AU"/>
        </w:rPr>
      </w:pPr>
      <w:r w:rsidRPr="0042743F">
        <w:rPr>
          <w:lang w:eastAsia="en-AU"/>
        </w:rPr>
        <w:t>Part 2.3 and 2.4</w:t>
      </w:r>
      <w:r w:rsidR="006976C2" w:rsidRPr="0042743F">
        <w:rPr>
          <w:lang w:eastAsia="en-AU"/>
        </w:rPr>
        <w:t xml:space="preserve"> of the OPGGS Act.</w:t>
      </w:r>
    </w:p>
    <w:p w14:paraId="2C185FEC" w14:textId="77777777" w:rsidR="006976C2" w:rsidRPr="0042743F" w:rsidRDefault="006976C2" w:rsidP="00A60E6D">
      <w:pPr>
        <w:pStyle w:val="Heading3"/>
        <w:rPr>
          <w:lang w:eastAsia="en-AU"/>
        </w:rPr>
      </w:pPr>
      <w:r w:rsidRPr="0042743F">
        <w:t>Guidance material</w:t>
      </w:r>
    </w:p>
    <w:p w14:paraId="7D42B0F3" w14:textId="4D53B9E1" w:rsidR="001D4BE3" w:rsidRDefault="008C10DD" w:rsidP="00A60E6D">
      <w:pPr>
        <w:spacing w:before="240"/>
        <w:rPr>
          <w:lang w:eastAsia="en-AU"/>
        </w:rPr>
      </w:pPr>
      <w:r>
        <w:rPr>
          <w:lang w:eastAsia="en-AU"/>
        </w:rPr>
        <w:t>G</w:t>
      </w:r>
      <w:r w:rsidRPr="00CC7E08">
        <w:rPr>
          <w:lang w:eastAsia="en-AU"/>
        </w:rPr>
        <w:t>uideline</w:t>
      </w:r>
      <w:r>
        <w:rPr>
          <w:lang w:eastAsia="en-AU"/>
        </w:rPr>
        <w:t>s</w:t>
      </w:r>
      <w:r w:rsidR="00C1026A">
        <w:rPr>
          <w:lang w:eastAsia="en-AU"/>
        </w:rPr>
        <w:t>,</w:t>
      </w:r>
      <w:r>
        <w:rPr>
          <w:lang w:eastAsia="en-AU"/>
        </w:rPr>
        <w:t xml:space="preserve"> fact sheets </w:t>
      </w:r>
      <w:r w:rsidR="00586EEB">
        <w:rPr>
          <w:lang w:eastAsia="en-AU"/>
        </w:rPr>
        <w:t xml:space="preserve">and FAQs </w:t>
      </w:r>
      <w:r w:rsidR="001D4BE3">
        <w:rPr>
          <w:lang w:eastAsia="en-AU"/>
        </w:rPr>
        <w:t xml:space="preserve">have been developed to </w:t>
      </w:r>
      <w:r w:rsidR="001D4BE3" w:rsidRPr="00CC7E08">
        <w:rPr>
          <w:lang w:eastAsia="en-AU"/>
        </w:rPr>
        <w:t>assists applicants and titleholders to understand the expectations of</w:t>
      </w:r>
      <w:r w:rsidR="001D4BE3">
        <w:rPr>
          <w:lang w:eastAsia="en-AU"/>
        </w:rPr>
        <w:t xml:space="preserve"> decision makers and to provide useful guidance when making applications.</w:t>
      </w:r>
      <w:r w:rsidR="001D4BE3" w:rsidRPr="00CC7E08">
        <w:rPr>
          <w:lang w:eastAsia="en-AU"/>
        </w:rPr>
        <w:t xml:space="preserve"> </w:t>
      </w:r>
    </w:p>
    <w:p w14:paraId="215E735A" w14:textId="1EA3193D" w:rsidR="006976C2" w:rsidRPr="0042743F" w:rsidRDefault="001D4BE3" w:rsidP="00616EF4">
      <w:pPr>
        <w:spacing w:before="240" w:after="240"/>
        <w:rPr>
          <w:lang w:eastAsia="en-AU"/>
        </w:rPr>
      </w:pPr>
      <w:r>
        <w:rPr>
          <w:lang w:eastAsia="en-AU"/>
        </w:rPr>
        <w:t>T</w:t>
      </w:r>
      <w:r w:rsidRPr="00906743">
        <w:rPr>
          <w:lang w:eastAsia="en-AU"/>
        </w:rPr>
        <w:t xml:space="preserve">he following </w:t>
      </w:r>
      <w:hyperlink r:id="rId22" w:tooltip="Link to guidelines page" w:history="1">
        <w:r w:rsidRPr="00906743">
          <w:rPr>
            <w:rStyle w:val="Hyperlink"/>
            <w:lang w:eastAsia="en-AU"/>
          </w:rPr>
          <w:t>guidelines</w:t>
        </w:r>
      </w:hyperlink>
      <w:r w:rsidRPr="00906743">
        <w:rPr>
          <w:lang w:eastAsia="en-AU"/>
        </w:rPr>
        <w:t xml:space="preserve"> </w:t>
      </w:r>
      <w:r>
        <w:rPr>
          <w:lang w:eastAsia="en-AU"/>
        </w:rPr>
        <w:t>are</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r w:rsidRPr="00F52E95">
        <w:rPr>
          <w:lang w:eastAsia="en-AU"/>
        </w:rPr>
        <w:t>:</w:t>
      </w:r>
      <w:r w:rsidR="006976C2" w:rsidRPr="0042743F">
        <w:rPr>
          <w:lang w:eastAsia="en-AU"/>
        </w:rPr>
        <w:t xml:space="preserve"> </w:t>
      </w:r>
    </w:p>
    <w:p w14:paraId="3F7C184A" w14:textId="057A7EC0" w:rsidR="006976C2" w:rsidRPr="0042743F" w:rsidRDefault="00BE69D2" w:rsidP="00616EF4">
      <w:pPr>
        <w:pStyle w:val="ListParagraph"/>
        <w:spacing w:before="240" w:after="240"/>
        <w:rPr>
          <w:iCs w:val="0"/>
          <w:lang w:eastAsia="en-AU"/>
        </w:rPr>
      </w:pPr>
      <w:r w:rsidRPr="00BE69D2">
        <w:rPr>
          <w:rFonts w:ascii="Aptos" w:hAnsi="Aptos" w:cstheme="minorHAnsi"/>
          <w:iCs w:val="0"/>
          <w:szCs w:val="20"/>
        </w:rPr>
        <w:t>Guideline: Offshore petroleum declaration of location (effective 9 December 2025)</w:t>
      </w:r>
      <w:r w:rsidRPr="00BE69D2" w:rsidDel="00BE69D2">
        <w:rPr>
          <w:rFonts w:ascii="Aptos" w:hAnsi="Aptos" w:cstheme="minorHAnsi"/>
          <w:szCs w:val="20"/>
        </w:rPr>
        <w:t xml:space="preserve"> </w:t>
      </w:r>
      <w:r w:rsidR="006976C2" w:rsidRPr="0042743F">
        <w:rPr>
          <w:rStyle w:val="Hyperlink"/>
          <w:rFonts w:ascii="Aptos" w:hAnsi="Aptos" w:cstheme="minorHAnsi"/>
          <w:iCs w:val="0"/>
          <w:color w:val="auto"/>
          <w:szCs w:val="20"/>
          <w:u w:val="none"/>
        </w:rPr>
        <w:t>(</w:t>
      </w:r>
      <w:r w:rsidR="006976C2" w:rsidRPr="00231CB3">
        <w:rPr>
          <w:rStyle w:val="Strong"/>
        </w:rPr>
        <w:t>Location Guideline</w:t>
      </w:r>
      <w:r w:rsidR="006976C2" w:rsidRPr="0042743F">
        <w:rPr>
          <w:rFonts w:ascii="Aptos" w:hAnsi="Aptos" w:cstheme="minorHAnsi"/>
          <w:iCs w:val="0"/>
          <w:szCs w:val="20"/>
        </w:rPr>
        <w:t>).</w:t>
      </w:r>
    </w:p>
    <w:p w14:paraId="55251330" w14:textId="5D4CDCE4" w:rsidR="00525C9C" w:rsidRPr="0042743F" w:rsidRDefault="00B378BD" w:rsidP="00616EF4">
      <w:pPr>
        <w:pStyle w:val="ListParagraph"/>
        <w:spacing w:before="240" w:after="240"/>
        <w:rPr>
          <w:rFonts w:ascii="Aptos" w:hAnsi="Aptos" w:cstheme="minorHAnsi"/>
          <w:szCs w:val="20"/>
        </w:rPr>
      </w:pPr>
      <w:r w:rsidRPr="00616EF4">
        <w:rPr>
          <w:rFonts w:ascii="Aptos" w:hAnsi="Aptos" w:cstheme="minorHAnsi"/>
          <w:iCs w:val="0"/>
          <w:szCs w:val="20"/>
        </w:rPr>
        <w:t>Guideline: Offshore petroleum retention lease (effective 9 December 2025)</w:t>
      </w:r>
      <w:r w:rsidRPr="00B378BD" w:rsidDel="00B378BD">
        <w:rPr>
          <w:rFonts w:ascii="Aptos" w:hAnsi="Aptos" w:cstheme="minorHAnsi"/>
          <w:iCs w:val="0"/>
          <w:szCs w:val="20"/>
        </w:rPr>
        <w:t xml:space="preserve"> </w:t>
      </w:r>
      <w:r w:rsidR="00525C9C" w:rsidRPr="0042743F">
        <w:rPr>
          <w:rStyle w:val="Hyperlink"/>
          <w:rFonts w:ascii="Aptos" w:hAnsi="Aptos" w:cstheme="minorHAnsi"/>
          <w:color w:val="auto"/>
          <w:szCs w:val="20"/>
          <w:u w:val="none"/>
        </w:rPr>
        <w:t>(</w:t>
      </w:r>
      <w:r w:rsidR="00BE1BDC" w:rsidRPr="00231CB3">
        <w:rPr>
          <w:rStyle w:val="Strong"/>
        </w:rPr>
        <w:t>RL</w:t>
      </w:r>
      <w:r w:rsidR="00BE1BDC">
        <w:rPr>
          <w:rStyle w:val="Strong"/>
        </w:rPr>
        <w:t> </w:t>
      </w:r>
      <w:r w:rsidR="00525C9C" w:rsidRPr="00231CB3">
        <w:rPr>
          <w:rStyle w:val="Strong"/>
        </w:rPr>
        <w:t>Guideline</w:t>
      </w:r>
      <w:r w:rsidR="00525C9C" w:rsidRPr="0042743F">
        <w:rPr>
          <w:rStyle w:val="Hyperlink"/>
          <w:rFonts w:ascii="Aptos" w:hAnsi="Aptos" w:cstheme="minorHAnsi"/>
          <w:color w:val="auto"/>
          <w:szCs w:val="20"/>
          <w:u w:val="none"/>
        </w:rPr>
        <w:t>)</w:t>
      </w:r>
      <w:r w:rsidR="00231CB3">
        <w:rPr>
          <w:rStyle w:val="Hyperlink"/>
          <w:rFonts w:ascii="Aptos" w:hAnsi="Aptos" w:cstheme="minorHAnsi"/>
          <w:color w:val="auto"/>
          <w:szCs w:val="20"/>
          <w:u w:val="none"/>
        </w:rPr>
        <w:t>.</w:t>
      </w:r>
    </w:p>
    <w:p w14:paraId="16BCAB7F" w14:textId="46BDCFD9" w:rsidR="006976C2" w:rsidRPr="0042743F" w:rsidRDefault="001D4BE3" w:rsidP="00616EF4">
      <w:pPr>
        <w:spacing w:before="240" w:after="240"/>
        <w:rPr>
          <w:lang w:eastAsia="en-AU"/>
        </w:rPr>
      </w:pPr>
      <w:r>
        <w:rPr>
          <w:lang w:eastAsia="en-AU"/>
        </w:rPr>
        <w:t>Th</w:t>
      </w:r>
      <w:r w:rsidRPr="00F52E95">
        <w:rPr>
          <w:lang w:eastAsia="en-AU"/>
        </w:rPr>
        <w:t xml:space="preserve">e following </w:t>
      </w:r>
      <w:hyperlink r:id="rId23" w:tooltip="Link to fact sheets page" w:history="1">
        <w:r w:rsidRPr="00F52E95">
          <w:rPr>
            <w:rStyle w:val="Hyperlink"/>
            <w:lang w:eastAsia="en-AU"/>
          </w:rPr>
          <w:t>fact</w:t>
        </w:r>
        <w:r w:rsidR="00B03873">
          <w:rPr>
            <w:rStyle w:val="Hyperlink"/>
            <w:lang w:eastAsia="en-AU"/>
          </w:rPr>
          <w:t xml:space="preserve"> </w:t>
        </w:r>
        <w:r w:rsidRPr="00F52E95">
          <w:rPr>
            <w:rStyle w:val="Hyperlink"/>
            <w:lang w:eastAsia="en-AU"/>
          </w:rPr>
          <w:t>sheet</w:t>
        </w:r>
      </w:hyperlink>
      <w:r w:rsidRPr="00F52E95">
        <w:rPr>
          <w:lang w:eastAsia="en-AU"/>
        </w:rPr>
        <w:t xml:space="preserve"> </w:t>
      </w:r>
      <w:r w:rsidR="00E01083">
        <w:rPr>
          <w:lang w:eastAsia="en-AU"/>
        </w:rPr>
        <w:t>is</w:t>
      </w:r>
      <w:r w:rsidR="00E01083"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r w:rsidRPr="00F52E95">
        <w:rPr>
          <w:lang w:eastAsia="en-AU"/>
        </w:rPr>
        <w:t>:</w:t>
      </w:r>
    </w:p>
    <w:p w14:paraId="74CA41A1" w14:textId="44D9B772" w:rsidR="00616EF4" w:rsidRPr="00F52E95" w:rsidRDefault="00616EF4" w:rsidP="00616EF4">
      <w:pPr>
        <w:pStyle w:val="ListParagraph"/>
        <w:spacing w:before="240"/>
      </w:pPr>
      <w:r w:rsidRPr="00626BDA">
        <w:rPr>
          <w:rStyle w:val="Strong"/>
          <w:b w:val="0"/>
          <w:bCs w:val="0"/>
        </w:rPr>
        <w:t>Signatures fact sheet</w:t>
      </w:r>
      <w:r w:rsidRPr="00F52E95">
        <w:t>.</w:t>
      </w:r>
    </w:p>
    <w:p w14:paraId="71C66299" w14:textId="35126F72" w:rsidR="00E01083" w:rsidRDefault="00E01083" w:rsidP="00E01083">
      <w:pPr>
        <w:spacing w:before="240" w:after="240"/>
        <w:rPr>
          <w:lang w:eastAsia="en-AU"/>
        </w:rPr>
      </w:pPr>
      <w:r>
        <w:rPr>
          <w:lang w:eastAsia="en-AU"/>
        </w:rPr>
        <w:t>T</w:t>
      </w:r>
      <w:r w:rsidRPr="00F52E95">
        <w:rPr>
          <w:lang w:eastAsia="en-AU"/>
        </w:rPr>
        <w:t xml:space="preserve">he following </w:t>
      </w:r>
      <w:hyperlink r:id="rId24" w:tooltip="Link to guidelines page" w:history="1">
        <w:r>
          <w:rPr>
            <w:rStyle w:val="Hyperlink"/>
            <w:lang w:eastAsia="en-AU"/>
          </w:rPr>
          <w:t>FAQ</w:t>
        </w:r>
      </w:hyperlink>
      <w:r w:rsidRPr="00F52E95">
        <w:rPr>
          <w:lang w:eastAsia="en-AU"/>
        </w:rPr>
        <w:t xml:space="preserve"> </w:t>
      </w:r>
      <w:r>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62C169A9" w14:textId="77777777" w:rsidR="00E01083" w:rsidRPr="0042743F" w:rsidRDefault="00E01083" w:rsidP="00E01083">
      <w:pPr>
        <w:pStyle w:val="ListParagraph"/>
        <w:spacing w:before="240" w:after="240"/>
      </w:pPr>
      <w:r w:rsidRPr="00465B18">
        <w:t>Offshore petroleum retention lease guideline (effective 9 December 2025)</w:t>
      </w:r>
      <w:r>
        <w:t xml:space="preserve"> - f</w:t>
      </w:r>
      <w:r w:rsidRPr="00E01083">
        <w:t>requently asked questions</w:t>
      </w:r>
    </w:p>
    <w:p w14:paraId="67B9E915" w14:textId="77777777" w:rsidR="006976C2" w:rsidRPr="0042743F" w:rsidRDefault="006976C2" w:rsidP="00A60E6D">
      <w:pPr>
        <w:pStyle w:val="Heading3"/>
        <w:rPr>
          <w:lang w:eastAsia="en-AU"/>
        </w:rPr>
      </w:pPr>
      <w:r w:rsidRPr="0042743F">
        <w:rPr>
          <w:lang w:eastAsia="en-AU"/>
        </w:rPr>
        <w:t>Application form</w:t>
      </w:r>
    </w:p>
    <w:p w14:paraId="622FA6B7" w14:textId="56E9F9CE" w:rsidR="006976C2" w:rsidRPr="0042743F" w:rsidRDefault="006976C2" w:rsidP="00A60E6D">
      <w:pPr>
        <w:spacing w:before="240"/>
        <w:rPr>
          <w:lang w:eastAsia="en-AU"/>
        </w:rPr>
      </w:pPr>
      <w:r w:rsidRPr="0042743F">
        <w:rPr>
          <w:lang w:eastAsia="en-AU"/>
        </w:rPr>
        <w:t xml:space="preserve">Use the </w:t>
      </w:r>
      <w:hyperlink r:id="rId25" w:tooltip="Link to forms page" w:history="1">
        <w:r w:rsidR="00231CB3">
          <w:rPr>
            <w:rStyle w:val="Hyperlink"/>
            <w:lang w:eastAsia="en-AU"/>
          </w:rPr>
          <w:t>Extension of application period for a retention lease or production licence application form</w:t>
        </w:r>
      </w:hyperlink>
      <w:r w:rsidRPr="0042743F">
        <w:rPr>
          <w:lang w:eastAsia="en-AU"/>
        </w:rPr>
        <w:t xml:space="preserve"> on the forms page of our website.</w:t>
      </w:r>
    </w:p>
    <w:p w14:paraId="591B9D62" w14:textId="77777777" w:rsidR="006976C2" w:rsidRPr="0042743F" w:rsidRDefault="006976C2" w:rsidP="00A60E6D">
      <w:pPr>
        <w:pStyle w:val="Heading3"/>
        <w:rPr>
          <w:lang w:eastAsia="en-AU"/>
        </w:rPr>
      </w:pPr>
      <w:r w:rsidRPr="0042743F">
        <w:rPr>
          <w:lang w:eastAsia="en-AU"/>
        </w:rPr>
        <w:t>Application fee</w:t>
      </w:r>
    </w:p>
    <w:p w14:paraId="731CA148" w14:textId="77777777" w:rsidR="0042743F" w:rsidRPr="0042743F" w:rsidRDefault="0042743F" w:rsidP="00A60E6D">
      <w:pPr>
        <w:spacing w:before="240"/>
        <w:rPr>
          <w:lang w:eastAsia="en-AU"/>
        </w:rPr>
      </w:pPr>
      <w:r w:rsidRPr="0042743F">
        <w:rPr>
          <w:lang w:eastAsia="en-AU"/>
        </w:rPr>
        <w:t>Not applicable.</w:t>
      </w:r>
    </w:p>
    <w:p w14:paraId="0B729808" w14:textId="77777777" w:rsidR="006976C2" w:rsidRPr="0042743F" w:rsidRDefault="006976C2" w:rsidP="00A60E6D">
      <w:pPr>
        <w:pStyle w:val="Heading3"/>
        <w:rPr>
          <w:lang w:eastAsia="en-AU"/>
        </w:rPr>
      </w:pPr>
      <w:r w:rsidRPr="0042743F">
        <w:rPr>
          <w:lang w:eastAsia="en-AU"/>
        </w:rPr>
        <w:t>To note</w:t>
      </w:r>
    </w:p>
    <w:p w14:paraId="09DDA17F" w14:textId="77777777" w:rsidR="009843B8" w:rsidRPr="0042743F" w:rsidRDefault="009843B8" w:rsidP="00A60E6D">
      <w:pPr>
        <w:pStyle w:val="ListParagraph"/>
        <w:numPr>
          <w:ilvl w:val="0"/>
          <w:numId w:val="4"/>
        </w:numPr>
        <w:spacing w:before="240"/>
        <w:ind w:left="714" w:hanging="357"/>
        <w:rPr>
          <w:rFonts w:ascii="Aptos" w:hAnsi="Aptos" w:cstheme="minorHAnsi"/>
          <w:szCs w:val="20"/>
          <w:lang w:eastAsia="en-AU"/>
        </w:rPr>
      </w:pPr>
      <w:r w:rsidRPr="0042743F">
        <w:rPr>
          <w:rFonts w:ascii="Aptos" w:hAnsi="Aptos" w:cstheme="minorHAnsi"/>
          <w:szCs w:val="20"/>
          <w:lang w:eastAsia="en-AU"/>
        </w:rPr>
        <w:t xml:space="preserve">A request to extend the application period should be made at least 30 days prior to the end of the initial </w:t>
      </w:r>
      <w:proofErr w:type="gramStart"/>
      <w:r w:rsidRPr="0042743F">
        <w:rPr>
          <w:rFonts w:ascii="Aptos" w:hAnsi="Aptos" w:cstheme="minorHAnsi"/>
          <w:szCs w:val="20"/>
          <w:lang w:eastAsia="en-AU"/>
        </w:rPr>
        <w:t>two year</w:t>
      </w:r>
      <w:proofErr w:type="gramEnd"/>
      <w:r w:rsidRPr="0042743F">
        <w:rPr>
          <w:rFonts w:ascii="Aptos" w:hAnsi="Aptos" w:cstheme="minorHAnsi"/>
          <w:szCs w:val="20"/>
          <w:lang w:eastAsia="en-AU"/>
        </w:rPr>
        <w:t xml:space="preserve"> period. </w:t>
      </w:r>
    </w:p>
    <w:p w14:paraId="5B6FF704" w14:textId="393312B3" w:rsidR="006976C2" w:rsidRPr="0042743F" w:rsidRDefault="009843B8" w:rsidP="00B073A3">
      <w:pPr>
        <w:pStyle w:val="ListParagraph"/>
        <w:numPr>
          <w:ilvl w:val="0"/>
          <w:numId w:val="4"/>
        </w:numPr>
        <w:spacing w:before="240"/>
        <w:ind w:left="714" w:hanging="357"/>
        <w:contextualSpacing w:val="0"/>
        <w:rPr>
          <w:lang w:eastAsia="en-AU"/>
        </w:rPr>
      </w:pPr>
      <w:r w:rsidRPr="0042743F">
        <w:rPr>
          <w:rFonts w:ascii="Aptos" w:hAnsi="Aptos" w:cstheme="minorHAnsi"/>
          <w:szCs w:val="20"/>
          <w:lang w:eastAsia="en-AU"/>
        </w:rPr>
        <w:t>An extension of the application period does not extend the term of the exploration permit. See also section 188 of the OPGGS Act</w:t>
      </w:r>
      <w:r w:rsidR="006976C2" w:rsidRPr="0042743F">
        <w:rPr>
          <w:lang w:eastAsia="en-AU"/>
        </w:rPr>
        <w:t>.</w:t>
      </w:r>
    </w:p>
    <w:p w14:paraId="716441C5" w14:textId="77777777" w:rsidR="006976C2" w:rsidRPr="0042743F" w:rsidRDefault="006976C2" w:rsidP="00A60E6D">
      <w:pPr>
        <w:pStyle w:val="Heading3"/>
      </w:pPr>
      <w:r w:rsidRPr="0042743F">
        <w:lastRenderedPageBreak/>
        <w:t>Required information</w:t>
      </w:r>
    </w:p>
    <w:p w14:paraId="2E3C234B" w14:textId="77777777" w:rsidR="006976C2" w:rsidRDefault="006976C2" w:rsidP="00A60E6D">
      <w:pPr>
        <w:keepNext/>
        <w:keepLines/>
        <w:spacing w:before="240"/>
        <w:rPr>
          <w:szCs w:val="24"/>
        </w:rPr>
      </w:pPr>
      <w:r w:rsidRPr="0042743F">
        <w:t>You must provide the following for your application to be valid.</w:t>
      </w:r>
      <w:r w:rsidRPr="00846F20">
        <w:rPr>
          <w:szCs w:val="24"/>
        </w:rPr>
        <w:t xml:space="preserve"> </w:t>
      </w:r>
    </w:p>
    <w:p w14:paraId="2F4F0179" w14:textId="6489A4D1" w:rsidR="00FB1C32" w:rsidRDefault="00FB1C32" w:rsidP="00EF1956">
      <w:pPr>
        <w:pStyle w:val="Caption"/>
        <w:keepNext/>
      </w:pPr>
      <w:r>
        <w:t xml:space="preserve">Table </w:t>
      </w:r>
      <w:r>
        <w:fldChar w:fldCharType="begin"/>
      </w:r>
      <w:r>
        <w:instrText xml:space="preserve"> SEQ Table \* ARABIC </w:instrText>
      </w:r>
      <w:r>
        <w:fldChar w:fldCharType="separate"/>
      </w:r>
      <w:r w:rsidR="00EF1956">
        <w:rPr>
          <w:noProof/>
        </w:rPr>
        <w:t>8</w:t>
      </w:r>
      <w:r>
        <w:fldChar w:fldCharType="end"/>
      </w:r>
      <w:r w:rsidRPr="00040B51">
        <w:t>: Required information for extension of application period for a retention lease or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tension of application period for a retention lease or production licence applications"/>
        <w:tblDescription w:val="Table detailing items that are required to be submitted with revocation of a declared location applications to meet valid submission requirements.&#10;"/>
      </w:tblPr>
      <w:tblGrid>
        <w:gridCol w:w="704"/>
        <w:gridCol w:w="8930"/>
      </w:tblGrid>
      <w:tr w:rsidR="006976C2" w:rsidRPr="00992374" w14:paraId="1085D6A7" w14:textId="77777777" w:rsidTr="00624D5F">
        <w:trPr>
          <w:cnfStyle w:val="100000000000" w:firstRow="1" w:lastRow="0" w:firstColumn="0" w:lastColumn="0" w:oddVBand="0" w:evenVBand="0" w:oddHBand="0" w:evenHBand="0" w:firstRowFirstColumn="0" w:firstRowLastColumn="0" w:lastRowFirstColumn="0" w:lastRowLastColumn="0"/>
          <w:tblHeader/>
        </w:trPr>
        <w:tc>
          <w:tcPr>
            <w:tcW w:w="704" w:type="dxa"/>
          </w:tcPr>
          <w:p w14:paraId="5422D07B" w14:textId="77777777" w:rsidR="006976C2" w:rsidRPr="00992374" w:rsidRDefault="006976C2" w:rsidP="00624D5F">
            <w:pPr>
              <w:keepNext/>
              <w:keepLines/>
              <w:spacing w:before="60" w:after="60"/>
              <w:jc w:val="center"/>
              <w:rPr>
                <w:b w:val="0"/>
                <w:bCs/>
              </w:rPr>
            </w:pPr>
            <w:r>
              <w:rPr>
                <w:bCs/>
              </w:rPr>
              <w:t>Item</w:t>
            </w:r>
          </w:p>
        </w:tc>
        <w:tc>
          <w:tcPr>
            <w:tcW w:w="8930" w:type="dxa"/>
          </w:tcPr>
          <w:p w14:paraId="56A4EF86" w14:textId="77777777" w:rsidR="006976C2" w:rsidRPr="00992374" w:rsidRDefault="006976C2" w:rsidP="00624D5F">
            <w:pPr>
              <w:keepNext/>
              <w:keepLines/>
              <w:spacing w:before="60" w:after="60"/>
              <w:rPr>
                <w:b w:val="0"/>
                <w:bCs/>
              </w:rPr>
            </w:pPr>
            <w:r w:rsidRPr="00992374">
              <w:rPr>
                <w:bCs/>
              </w:rPr>
              <w:t>Description</w:t>
            </w:r>
          </w:p>
        </w:tc>
      </w:tr>
      <w:tr w:rsidR="006976C2" w:rsidRPr="008A66BE" w14:paraId="06A94475" w14:textId="77777777">
        <w:tc>
          <w:tcPr>
            <w:tcW w:w="704" w:type="dxa"/>
          </w:tcPr>
          <w:p w14:paraId="79887884" w14:textId="77777777" w:rsidR="006976C2" w:rsidRPr="008A66BE" w:rsidRDefault="006976C2" w:rsidP="00624D5F">
            <w:pPr>
              <w:pStyle w:val="ListParagraph"/>
              <w:keepNext/>
              <w:keepLines/>
              <w:numPr>
                <w:ilvl w:val="0"/>
                <w:numId w:val="29"/>
              </w:numPr>
              <w:spacing w:before="60" w:after="60"/>
              <w:ind w:left="587"/>
              <w:jc w:val="center"/>
            </w:pPr>
          </w:p>
        </w:tc>
        <w:tc>
          <w:tcPr>
            <w:tcW w:w="8930" w:type="dxa"/>
          </w:tcPr>
          <w:p w14:paraId="03845478" w14:textId="2F7CC20E" w:rsidR="006976C2" w:rsidRPr="00BE2B9E" w:rsidRDefault="006976C2" w:rsidP="00624D5F">
            <w:pPr>
              <w:pStyle w:val="NoSpacing"/>
              <w:keepNext/>
              <w:keepLines/>
              <w:spacing w:before="60" w:after="60"/>
              <w:rPr>
                <w:sz w:val="24"/>
                <w:szCs w:val="24"/>
              </w:rPr>
            </w:pPr>
            <w:r w:rsidRPr="00BE2B9E">
              <w:rPr>
                <w:sz w:val="24"/>
                <w:szCs w:val="24"/>
              </w:rPr>
              <w:t xml:space="preserve">A completed application form executed in accordance with the Signatures </w:t>
            </w:r>
            <w:r w:rsidR="00B62A94">
              <w:rPr>
                <w:sz w:val="24"/>
                <w:szCs w:val="24"/>
              </w:rPr>
              <w:t>f</w:t>
            </w:r>
            <w:r w:rsidRPr="00BE2B9E">
              <w:rPr>
                <w:sz w:val="24"/>
                <w:szCs w:val="24"/>
              </w:rPr>
              <w:t>act</w:t>
            </w:r>
            <w:r w:rsidR="00B62A94">
              <w:rPr>
                <w:sz w:val="24"/>
                <w:szCs w:val="24"/>
              </w:rPr>
              <w:t xml:space="preserve"> </w:t>
            </w:r>
            <w:r w:rsidRPr="00BE2B9E">
              <w:rPr>
                <w:sz w:val="24"/>
                <w:szCs w:val="24"/>
              </w:rPr>
              <w:t>sheet</w:t>
            </w:r>
            <w:r w:rsidRPr="00BE2B9E">
              <w:rPr>
                <w:rStyle w:val="Hyperlink"/>
                <w:sz w:val="24"/>
                <w:szCs w:val="24"/>
                <w:u w:val="none"/>
              </w:rPr>
              <w:t>.</w:t>
            </w:r>
          </w:p>
        </w:tc>
      </w:tr>
    </w:tbl>
    <w:p w14:paraId="26B3ED36" w14:textId="77777777" w:rsidR="006976C2" w:rsidRDefault="006976C2" w:rsidP="00A60E6D">
      <w:pPr>
        <w:pStyle w:val="Heading3"/>
      </w:pPr>
      <w:r>
        <w:t>Additional information to be included with the application</w:t>
      </w:r>
    </w:p>
    <w:p w14:paraId="5F9FE6A4" w14:textId="77777777" w:rsidR="006976C2" w:rsidRDefault="006976C2" w:rsidP="00A60E6D">
      <w:pPr>
        <w:spacing w:before="240"/>
      </w:pPr>
      <w:r>
        <w:t xml:space="preserve">Check that you have included the following information with your application. </w:t>
      </w:r>
    </w:p>
    <w:p w14:paraId="145FF9FF" w14:textId="73584EC0" w:rsidR="006976C2" w:rsidRDefault="00E62F51" w:rsidP="00A60E6D">
      <w:pPr>
        <w:spacing w:before="240"/>
      </w:pPr>
      <w:r>
        <w:t>P</w:t>
      </w:r>
      <w:r w:rsidR="006976C2">
        <w:t xml:space="preserve">roviding this information with your application </w:t>
      </w:r>
      <w:r>
        <w:t>may</w:t>
      </w:r>
      <w:r w:rsidR="006976C2">
        <w:t xml:space="preserve"> delays in the assessment of your application resulting from the need to request further information. </w:t>
      </w:r>
    </w:p>
    <w:p w14:paraId="5D8D95F0" w14:textId="7D946037" w:rsidR="00EF1956" w:rsidRDefault="00EF1956" w:rsidP="0019433A">
      <w:pPr>
        <w:pStyle w:val="Caption"/>
        <w:keepNext/>
      </w:pPr>
      <w:r>
        <w:t xml:space="preserve">Table </w:t>
      </w:r>
      <w:r>
        <w:fldChar w:fldCharType="begin"/>
      </w:r>
      <w:r>
        <w:instrText xml:space="preserve"> SEQ Table \* ARABIC </w:instrText>
      </w:r>
      <w:r>
        <w:fldChar w:fldCharType="separate"/>
      </w:r>
      <w:r>
        <w:rPr>
          <w:noProof/>
        </w:rPr>
        <w:t>9</w:t>
      </w:r>
      <w:r>
        <w:fldChar w:fldCharType="end"/>
      </w:r>
      <w:r w:rsidRPr="00812DBC">
        <w:t>: Additional information to be included with extension of application period for a retention lease or production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tension of application period for a retention lease or production licence applications"/>
        <w:tblDescription w:val="Table detailing additional information that NOPTA requires to facilitate timely assessment of extension of application period for a retention lease or production licence applications.&#10;"/>
      </w:tblPr>
      <w:tblGrid>
        <w:gridCol w:w="704"/>
        <w:gridCol w:w="8930"/>
      </w:tblGrid>
      <w:tr w:rsidR="006976C2" w:rsidRPr="00DA1A01" w14:paraId="36FFC8D7" w14:textId="77777777" w:rsidTr="001E7621">
        <w:trPr>
          <w:cnfStyle w:val="100000000000" w:firstRow="1" w:lastRow="0" w:firstColumn="0" w:lastColumn="0" w:oddVBand="0" w:evenVBand="0" w:oddHBand="0" w:evenHBand="0" w:firstRowFirstColumn="0" w:firstRowLastColumn="0" w:lastRowFirstColumn="0" w:lastRowLastColumn="0"/>
          <w:tblHeader/>
        </w:trPr>
        <w:tc>
          <w:tcPr>
            <w:tcW w:w="704" w:type="dxa"/>
          </w:tcPr>
          <w:p w14:paraId="41066C00" w14:textId="77777777" w:rsidR="006976C2" w:rsidRPr="00DA1A01" w:rsidRDefault="006976C2">
            <w:pPr>
              <w:spacing w:before="60" w:after="60"/>
              <w:jc w:val="center"/>
              <w:rPr>
                <w:b w:val="0"/>
                <w:bCs/>
                <w:szCs w:val="24"/>
              </w:rPr>
            </w:pPr>
            <w:r>
              <w:rPr>
                <w:bCs/>
                <w:szCs w:val="24"/>
              </w:rPr>
              <w:t>Item</w:t>
            </w:r>
          </w:p>
        </w:tc>
        <w:tc>
          <w:tcPr>
            <w:tcW w:w="8930" w:type="dxa"/>
          </w:tcPr>
          <w:p w14:paraId="2E6A16F7" w14:textId="77777777" w:rsidR="006976C2" w:rsidRPr="00DA1A01" w:rsidRDefault="006976C2">
            <w:pPr>
              <w:spacing w:before="60" w:after="60"/>
              <w:rPr>
                <w:b w:val="0"/>
                <w:bCs/>
                <w:szCs w:val="24"/>
              </w:rPr>
            </w:pPr>
            <w:r w:rsidRPr="00DA1A01">
              <w:rPr>
                <w:bCs/>
                <w:szCs w:val="24"/>
              </w:rPr>
              <w:t>Description</w:t>
            </w:r>
          </w:p>
        </w:tc>
      </w:tr>
      <w:tr w:rsidR="00657A90" w:rsidRPr="00DA1A01" w14:paraId="658642C2" w14:textId="77777777">
        <w:tc>
          <w:tcPr>
            <w:tcW w:w="704" w:type="dxa"/>
          </w:tcPr>
          <w:p w14:paraId="0DC8A20C" w14:textId="77777777" w:rsidR="00657A90" w:rsidRPr="00DA1A01" w:rsidRDefault="00657A90" w:rsidP="00657A90">
            <w:pPr>
              <w:pStyle w:val="ListParagraph"/>
              <w:numPr>
                <w:ilvl w:val="0"/>
                <w:numId w:val="30"/>
              </w:numPr>
              <w:spacing w:before="60" w:after="60"/>
              <w:ind w:left="587"/>
              <w:contextualSpacing w:val="0"/>
              <w:jc w:val="right"/>
              <w:rPr>
                <w:szCs w:val="24"/>
              </w:rPr>
            </w:pPr>
          </w:p>
        </w:tc>
        <w:tc>
          <w:tcPr>
            <w:tcW w:w="8930" w:type="dxa"/>
          </w:tcPr>
          <w:p w14:paraId="64FD53D7" w14:textId="7D094D72" w:rsidR="00657A90" w:rsidRPr="00657A90" w:rsidRDefault="00657A90" w:rsidP="00657A90">
            <w:pPr>
              <w:spacing w:before="60" w:after="60"/>
              <w:rPr>
                <w:szCs w:val="24"/>
              </w:rPr>
            </w:pPr>
            <w:r w:rsidRPr="00657A90">
              <w:rPr>
                <w:rFonts w:ascii="Aptos" w:hAnsi="Aptos" w:cstheme="minorHAnsi"/>
                <w:szCs w:val="24"/>
              </w:rPr>
              <w:t>Reasons and evidence supporting the request (e.g. detail why the applicant isn’t ready to apply for a retention lease or production licence</w:t>
            </w:r>
            <w:r w:rsidR="00465B18">
              <w:rPr>
                <w:rFonts w:ascii="Aptos" w:hAnsi="Aptos" w:cstheme="minorHAnsi"/>
                <w:szCs w:val="24"/>
              </w:rPr>
              <w:t>).</w:t>
            </w:r>
            <w:r w:rsidRPr="00657A90">
              <w:rPr>
                <w:rFonts w:ascii="Aptos" w:hAnsi="Aptos" w:cstheme="minorHAnsi"/>
                <w:szCs w:val="24"/>
              </w:rPr>
              <w:t xml:space="preserve"> </w:t>
            </w:r>
          </w:p>
        </w:tc>
      </w:tr>
      <w:tr w:rsidR="0052593F" w:rsidRPr="00DA1A01" w14:paraId="304738EE" w14:textId="77777777">
        <w:tc>
          <w:tcPr>
            <w:tcW w:w="704" w:type="dxa"/>
          </w:tcPr>
          <w:p w14:paraId="34F4AB5C" w14:textId="77777777" w:rsidR="0052593F" w:rsidRPr="00DA1A01" w:rsidRDefault="0052593F" w:rsidP="00657A90">
            <w:pPr>
              <w:pStyle w:val="ListParagraph"/>
              <w:numPr>
                <w:ilvl w:val="0"/>
                <w:numId w:val="30"/>
              </w:numPr>
              <w:spacing w:before="60" w:after="60"/>
              <w:ind w:left="587"/>
              <w:contextualSpacing w:val="0"/>
              <w:jc w:val="right"/>
              <w:rPr>
                <w:szCs w:val="24"/>
              </w:rPr>
            </w:pPr>
          </w:p>
        </w:tc>
        <w:tc>
          <w:tcPr>
            <w:tcW w:w="8930" w:type="dxa"/>
          </w:tcPr>
          <w:p w14:paraId="295EAE08" w14:textId="74B08237" w:rsidR="0052593F" w:rsidRPr="00657A90" w:rsidRDefault="00DF4010" w:rsidP="00657A90">
            <w:pPr>
              <w:spacing w:before="60" w:after="60"/>
              <w:rPr>
                <w:rFonts w:ascii="Aptos" w:hAnsi="Aptos" w:cstheme="minorHAnsi"/>
                <w:szCs w:val="24"/>
              </w:rPr>
            </w:pPr>
            <w:r w:rsidRPr="00DF4010">
              <w:rPr>
                <w:rFonts w:ascii="Aptos" w:hAnsi="Aptos" w:cstheme="minorHAnsi"/>
                <w:szCs w:val="24"/>
              </w:rPr>
              <w:t xml:space="preserve">A schedule of activities that will be conducted during the extended </w:t>
            </w:r>
            <w:proofErr w:type="gramStart"/>
            <w:r w:rsidRPr="00DF4010">
              <w:rPr>
                <w:rFonts w:ascii="Aptos" w:hAnsi="Aptos" w:cstheme="minorHAnsi"/>
                <w:szCs w:val="24"/>
              </w:rPr>
              <w:t>two year</w:t>
            </w:r>
            <w:proofErr w:type="gramEnd"/>
            <w:r w:rsidRPr="00DF4010">
              <w:rPr>
                <w:rFonts w:ascii="Aptos" w:hAnsi="Aptos" w:cstheme="minorHAnsi"/>
                <w:szCs w:val="24"/>
              </w:rPr>
              <w:t xml:space="preserve"> application period to progress the location block or blocks towards either a retention lease or production licence and justification as to why these activities have not been able to be undertaken in this initial </w:t>
            </w:r>
            <w:proofErr w:type="gramStart"/>
            <w:r w:rsidRPr="00DF4010">
              <w:rPr>
                <w:rFonts w:ascii="Aptos" w:hAnsi="Aptos" w:cstheme="minorHAnsi"/>
                <w:szCs w:val="24"/>
              </w:rPr>
              <w:t>two year</w:t>
            </w:r>
            <w:proofErr w:type="gramEnd"/>
            <w:r w:rsidRPr="00DF4010">
              <w:rPr>
                <w:rFonts w:ascii="Aptos" w:hAnsi="Aptos" w:cstheme="minorHAnsi"/>
                <w:szCs w:val="24"/>
              </w:rPr>
              <w:t xml:space="preserve"> application period (section 3.38 of the Location Guideline).</w:t>
            </w:r>
          </w:p>
        </w:tc>
      </w:tr>
      <w:tr w:rsidR="00657A90" w:rsidRPr="00DA1A01" w14:paraId="25CC72E4" w14:textId="77777777">
        <w:tc>
          <w:tcPr>
            <w:tcW w:w="704" w:type="dxa"/>
          </w:tcPr>
          <w:p w14:paraId="6ABBFCA4" w14:textId="77777777" w:rsidR="00657A90" w:rsidRPr="00DA1A01" w:rsidRDefault="00657A90" w:rsidP="00657A90">
            <w:pPr>
              <w:pStyle w:val="ListParagraph"/>
              <w:numPr>
                <w:ilvl w:val="0"/>
                <w:numId w:val="30"/>
              </w:numPr>
              <w:spacing w:before="60" w:after="60"/>
              <w:ind w:left="227" w:firstLine="0"/>
              <w:contextualSpacing w:val="0"/>
              <w:jc w:val="right"/>
              <w:rPr>
                <w:szCs w:val="24"/>
              </w:rPr>
            </w:pPr>
          </w:p>
        </w:tc>
        <w:tc>
          <w:tcPr>
            <w:tcW w:w="8930" w:type="dxa"/>
          </w:tcPr>
          <w:p w14:paraId="48D81C8F" w14:textId="1F759006" w:rsidR="00657A90" w:rsidRPr="00657A90" w:rsidRDefault="00657A90" w:rsidP="00657A90">
            <w:pPr>
              <w:pStyle w:val="NoSpacing"/>
              <w:spacing w:before="60" w:after="60"/>
              <w:rPr>
                <w:sz w:val="24"/>
                <w:szCs w:val="24"/>
              </w:rPr>
            </w:pPr>
            <w:r w:rsidRPr="00657A90">
              <w:rPr>
                <w:rFonts w:ascii="Aptos" w:hAnsi="Aptos" w:cstheme="minorHAnsi"/>
                <w:sz w:val="24"/>
                <w:szCs w:val="24"/>
              </w:rPr>
              <w:t xml:space="preserve">A statement </w:t>
            </w:r>
            <w:proofErr w:type="gramStart"/>
            <w:r w:rsidRPr="00657A90">
              <w:rPr>
                <w:rFonts w:ascii="Aptos" w:hAnsi="Aptos" w:cstheme="minorHAnsi"/>
                <w:sz w:val="24"/>
                <w:szCs w:val="24"/>
              </w:rPr>
              <w:t>of</w:t>
            </w:r>
            <w:proofErr w:type="gramEnd"/>
            <w:r w:rsidRPr="00657A90">
              <w:rPr>
                <w:rFonts w:ascii="Aptos" w:hAnsi="Aptos" w:cstheme="minorHAnsi"/>
                <w:sz w:val="24"/>
                <w:szCs w:val="24"/>
              </w:rPr>
              <w:t xml:space="preserve"> any other matters that the applicant wishes to be considered.</w:t>
            </w:r>
          </w:p>
        </w:tc>
      </w:tr>
    </w:tbl>
    <w:p w14:paraId="3BAA118E" w14:textId="68F2C5FF" w:rsidR="006E29BB" w:rsidRPr="004E66B1" w:rsidRDefault="006E29BB" w:rsidP="004E66B1"/>
    <w:sectPr w:rsidR="006E29BB" w:rsidRPr="004E66B1" w:rsidSect="003D28B2">
      <w:headerReference w:type="default" r:id="rId26"/>
      <w:footerReference w:type="default" r:id="rId27"/>
      <w:footerReference w:type="first" r:id="rId28"/>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418B" w14:textId="77777777" w:rsidR="00194993" w:rsidRDefault="00194993" w:rsidP="00B251DB">
      <w:pPr>
        <w:spacing w:after="0"/>
      </w:pPr>
      <w:r>
        <w:separator/>
      </w:r>
    </w:p>
  </w:endnote>
  <w:endnote w:type="continuationSeparator" w:id="0">
    <w:p w14:paraId="50A497CC" w14:textId="77777777" w:rsidR="00194993" w:rsidRDefault="00194993" w:rsidP="00B251DB">
      <w:pPr>
        <w:spacing w:after="0"/>
      </w:pPr>
      <w:r>
        <w:continuationSeparator/>
      </w:r>
    </w:p>
  </w:endnote>
  <w:endnote w:type="continuationNotice" w:id="1">
    <w:p w14:paraId="68219A5F" w14:textId="77777777" w:rsidR="00194993" w:rsidRDefault="001949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7D497293" w:rsidR="0035140F" w:rsidRDefault="00B03D5D" w:rsidP="00F8108A">
    <w:pPr>
      <w:pStyle w:val="Footer"/>
      <w:tabs>
        <w:tab w:val="clear" w:pos="4513"/>
        <w:tab w:val="clear" w:pos="9026"/>
        <w:tab w:val="right" w:pos="9638"/>
      </w:tabs>
      <w:spacing w:before="0"/>
    </w:pPr>
    <w:r>
      <w:rPr>
        <w:color w:val="001B35" w:themeColor="accent1"/>
      </w:rPr>
      <w:t>Declaration of a location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4C2A022E" w:rsidR="004A7856" w:rsidRDefault="00B03D5D" w:rsidP="00F8108A">
    <w:pPr>
      <w:pStyle w:val="Footer"/>
      <w:tabs>
        <w:tab w:val="clear" w:pos="4513"/>
        <w:tab w:val="clear" w:pos="9026"/>
        <w:tab w:val="center" w:pos="4820"/>
        <w:tab w:val="right" w:pos="9638"/>
      </w:tabs>
    </w:pPr>
    <w:r>
      <w:rPr>
        <w:color w:val="001B35" w:themeColor="accent1"/>
      </w:rPr>
      <w:t>Declaration of a location – forms guidance</w:t>
    </w:r>
    <w:r w:rsidR="004A7856">
      <w:tab/>
    </w:r>
  </w:p>
  <w:p w14:paraId="74E39AA6" w14:textId="1CA6179E"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FE49" w14:textId="77777777" w:rsidR="00194993" w:rsidRDefault="00194993" w:rsidP="00B251DB">
      <w:pPr>
        <w:spacing w:after="0"/>
      </w:pPr>
      <w:r>
        <w:separator/>
      </w:r>
    </w:p>
  </w:footnote>
  <w:footnote w:type="continuationSeparator" w:id="0">
    <w:p w14:paraId="612BEFBF" w14:textId="77777777" w:rsidR="00194993" w:rsidRDefault="00194993" w:rsidP="00B251DB">
      <w:pPr>
        <w:spacing w:after="0"/>
      </w:pPr>
      <w:r>
        <w:continuationSeparator/>
      </w:r>
    </w:p>
  </w:footnote>
  <w:footnote w:type="continuationNotice" w:id="1">
    <w:p w14:paraId="31F92619" w14:textId="77777777" w:rsidR="00194993" w:rsidRDefault="001949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A6CE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D10CEE"/>
    <w:multiLevelType w:val="hybridMultilevel"/>
    <w:tmpl w:val="82EAE060"/>
    <w:lvl w:ilvl="0" w:tplc="581A3500">
      <w:start w:val="1"/>
      <w:numFmt w:val="bullet"/>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BA6C5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FF08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E05A9A"/>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72368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825B48"/>
    <w:multiLevelType w:val="hybridMultilevel"/>
    <w:tmpl w:val="674A0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0E006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9"/>
  </w:num>
  <w:num w:numId="4" w16cid:durableId="1939680316">
    <w:abstractNumId w:val="10"/>
  </w:num>
  <w:num w:numId="5" w16cid:durableId="1496803978">
    <w:abstractNumId w:val="23"/>
  </w:num>
  <w:num w:numId="6" w16cid:durableId="728067889">
    <w:abstractNumId w:val="25"/>
  </w:num>
  <w:num w:numId="7" w16cid:durableId="1927610813">
    <w:abstractNumId w:val="16"/>
  </w:num>
  <w:num w:numId="8" w16cid:durableId="747655624">
    <w:abstractNumId w:val="8"/>
  </w:num>
  <w:num w:numId="9" w16cid:durableId="792284009">
    <w:abstractNumId w:val="13"/>
  </w:num>
  <w:num w:numId="10" w16cid:durableId="279337683">
    <w:abstractNumId w:val="19"/>
  </w:num>
  <w:num w:numId="11" w16cid:durableId="1488746525">
    <w:abstractNumId w:val="15"/>
  </w:num>
  <w:num w:numId="12" w16cid:durableId="559948350">
    <w:abstractNumId w:val="4"/>
  </w:num>
  <w:num w:numId="13" w16cid:durableId="1311447936">
    <w:abstractNumId w:val="5"/>
  </w:num>
  <w:num w:numId="14" w16cid:durableId="532809632">
    <w:abstractNumId w:val="11"/>
  </w:num>
  <w:num w:numId="15" w16cid:durableId="1925452785">
    <w:abstractNumId w:val="17"/>
  </w:num>
  <w:num w:numId="16" w16cid:durableId="959991453">
    <w:abstractNumId w:val="20"/>
  </w:num>
  <w:num w:numId="17" w16cid:durableId="193427015">
    <w:abstractNumId w:val="27"/>
  </w:num>
  <w:num w:numId="18" w16cid:durableId="237833599">
    <w:abstractNumId w:val="7"/>
  </w:num>
  <w:num w:numId="19" w16cid:durableId="101456391">
    <w:abstractNumId w:val="14"/>
  </w:num>
  <w:num w:numId="20" w16cid:durableId="2025475627">
    <w:abstractNumId w:val="12"/>
  </w:num>
  <w:num w:numId="21" w16cid:durableId="789662866">
    <w:abstractNumId w:val="9"/>
  </w:num>
  <w:num w:numId="22" w16cid:durableId="1616787485">
    <w:abstractNumId w:val="24"/>
  </w:num>
  <w:num w:numId="23" w16cid:durableId="206457159">
    <w:abstractNumId w:val="22"/>
  </w:num>
  <w:num w:numId="24" w16cid:durableId="1541672282">
    <w:abstractNumId w:val="6"/>
  </w:num>
  <w:num w:numId="25" w16cid:durableId="499345691">
    <w:abstractNumId w:val="3"/>
  </w:num>
  <w:num w:numId="26" w16cid:durableId="74255339">
    <w:abstractNumId w:val="26"/>
  </w:num>
  <w:num w:numId="27" w16cid:durableId="1894464836">
    <w:abstractNumId w:val="2"/>
  </w:num>
  <w:num w:numId="28" w16cid:durableId="564611629">
    <w:abstractNumId w:val="18"/>
  </w:num>
  <w:num w:numId="29" w16cid:durableId="18242522">
    <w:abstractNumId w:val="28"/>
  </w:num>
  <w:num w:numId="30" w16cid:durableId="1182280759">
    <w:abstractNumId w:val="21"/>
  </w:num>
  <w:num w:numId="31" w16cid:durableId="50379029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629B"/>
    <w:rsid w:val="000065E3"/>
    <w:rsid w:val="00006AFE"/>
    <w:rsid w:val="00016803"/>
    <w:rsid w:val="00025B97"/>
    <w:rsid w:val="0002717B"/>
    <w:rsid w:val="00032995"/>
    <w:rsid w:val="00033163"/>
    <w:rsid w:val="000341D6"/>
    <w:rsid w:val="00034867"/>
    <w:rsid w:val="000375FF"/>
    <w:rsid w:val="000425C1"/>
    <w:rsid w:val="00043F36"/>
    <w:rsid w:val="00044B66"/>
    <w:rsid w:val="00054A30"/>
    <w:rsid w:val="000552B3"/>
    <w:rsid w:val="000570BB"/>
    <w:rsid w:val="000604C2"/>
    <w:rsid w:val="00066690"/>
    <w:rsid w:val="0007067B"/>
    <w:rsid w:val="00076D28"/>
    <w:rsid w:val="0008167B"/>
    <w:rsid w:val="00081D07"/>
    <w:rsid w:val="00084308"/>
    <w:rsid w:val="00090A71"/>
    <w:rsid w:val="00090DDB"/>
    <w:rsid w:val="000947F2"/>
    <w:rsid w:val="00096AA3"/>
    <w:rsid w:val="000A2F67"/>
    <w:rsid w:val="000A6CD0"/>
    <w:rsid w:val="000A75CB"/>
    <w:rsid w:val="000B0C60"/>
    <w:rsid w:val="000B0E49"/>
    <w:rsid w:val="000B4AE8"/>
    <w:rsid w:val="000B6C60"/>
    <w:rsid w:val="000B7CB8"/>
    <w:rsid w:val="000C0A43"/>
    <w:rsid w:val="000C11EC"/>
    <w:rsid w:val="000C1DC8"/>
    <w:rsid w:val="000C29D0"/>
    <w:rsid w:val="000C3494"/>
    <w:rsid w:val="000C7F5D"/>
    <w:rsid w:val="000D2080"/>
    <w:rsid w:val="000D27DF"/>
    <w:rsid w:val="000D5AB9"/>
    <w:rsid w:val="000E05D1"/>
    <w:rsid w:val="000E0F53"/>
    <w:rsid w:val="000E599A"/>
    <w:rsid w:val="000E5C60"/>
    <w:rsid w:val="000F2564"/>
    <w:rsid w:val="000F2E5C"/>
    <w:rsid w:val="000F2F6E"/>
    <w:rsid w:val="000F3E02"/>
    <w:rsid w:val="000F6B6F"/>
    <w:rsid w:val="001015E0"/>
    <w:rsid w:val="00102949"/>
    <w:rsid w:val="00104902"/>
    <w:rsid w:val="001055B1"/>
    <w:rsid w:val="001063B9"/>
    <w:rsid w:val="001074E4"/>
    <w:rsid w:val="001106B9"/>
    <w:rsid w:val="00110F93"/>
    <w:rsid w:val="0011158E"/>
    <w:rsid w:val="00115262"/>
    <w:rsid w:val="0012041A"/>
    <w:rsid w:val="00126630"/>
    <w:rsid w:val="00136BA6"/>
    <w:rsid w:val="001432B8"/>
    <w:rsid w:val="001432D4"/>
    <w:rsid w:val="00144A18"/>
    <w:rsid w:val="00144C6D"/>
    <w:rsid w:val="001453E8"/>
    <w:rsid w:val="00153C15"/>
    <w:rsid w:val="00157300"/>
    <w:rsid w:val="00160522"/>
    <w:rsid w:val="00162DF6"/>
    <w:rsid w:val="0017167B"/>
    <w:rsid w:val="00171757"/>
    <w:rsid w:val="00175534"/>
    <w:rsid w:val="0018753C"/>
    <w:rsid w:val="0019433A"/>
    <w:rsid w:val="00194586"/>
    <w:rsid w:val="00194993"/>
    <w:rsid w:val="001A38CC"/>
    <w:rsid w:val="001A3E32"/>
    <w:rsid w:val="001A5260"/>
    <w:rsid w:val="001B1BFD"/>
    <w:rsid w:val="001B273D"/>
    <w:rsid w:val="001B314C"/>
    <w:rsid w:val="001B7DB3"/>
    <w:rsid w:val="001C3729"/>
    <w:rsid w:val="001D216A"/>
    <w:rsid w:val="001D2E82"/>
    <w:rsid w:val="001D2FA9"/>
    <w:rsid w:val="001D49B9"/>
    <w:rsid w:val="001D4BE3"/>
    <w:rsid w:val="001D51DA"/>
    <w:rsid w:val="001E225D"/>
    <w:rsid w:val="001E531A"/>
    <w:rsid w:val="001E7621"/>
    <w:rsid w:val="001F4792"/>
    <w:rsid w:val="001F5AB1"/>
    <w:rsid w:val="00200B3C"/>
    <w:rsid w:val="002020E0"/>
    <w:rsid w:val="00203D76"/>
    <w:rsid w:val="00205DF3"/>
    <w:rsid w:val="002067E4"/>
    <w:rsid w:val="002071DD"/>
    <w:rsid w:val="00213B90"/>
    <w:rsid w:val="0021794F"/>
    <w:rsid w:val="002202BD"/>
    <w:rsid w:val="0022083E"/>
    <w:rsid w:val="00222D0B"/>
    <w:rsid w:val="002235D1"/>
    <w:rsid w:val="00230426"/>
    <w:rsid w:val="00231CB3"/>
    <w:rsid w:val="00241D3D"/>
    <w:rsid w:val="00242A5F"/>
    <w:rsid w:val="0024326D"/>
    <w:rsid w:val="00251AB9"/>
    <w:rsid w:val="00253550"/>
    <w:rsid w:val="00254DA8"/>
    <w:rsid w:val="0025758A"/>
    <w:rsid w:val="002617DA"/>
    <w:rsid w:val="00262C1B"/>
    <w:rsid w:val="00262F24"/>
    <w:rsid w:val="00263365"/>
    <w:rsid w:val="0026697F"/>
    <w:rsid w:val="00266B15"/>
    <w:rsid w:val="00266F7C"/>
    <w:rsid w:val="002703FF"/>
    <w:rsid w:val="00272B04"/>
    <w:rsid w:val="00274364"/>
    <w:rsid w:val="00274C94"/>
    <w:rsid w:val="00277140"/>
    <w:rsid w:val="00277522"/>
    <w:rsid w:val="00282ED3"/>
    <w:rsid w:val="00283142"/>
    <w:rsid w:val="00284DB2"/>
    <w:rsid w:val="002952A3"/>
    <w:rsid w:val="002A101F"/>
    <w:rsid w:val="002A699B"/>
    <w:rsid w:val="002B17AE"/>
    <w:rsid w:val="002B3A3A"/>
    <w:rsid w:val="002B5C69"/>
    <w:rsid w:val="002B6C0C"/>
    <w:rsid w:val="002B7594"/>
    <w:rsid w:val="002C2131"/>
    <w:rsid w:val="002C2544"/>
    <w:rsid w:val="002C3A85"/>
    <w:rsid w:val="002C5212"/>
    <w:rsid w:val="002D04FA"/>
    <w:rsid w:val="002D0767"/>
    <w:rsid w:val="002D0BC2"/>
    <w:rsid w:val="002D230B"/>
    <w:rsid w:val="002D3EE1"/>
    <w:rsid w:val="002E134E"/>
    <w:rsid w:val="002F41C5"/>
    <w:rsid w:val="002F60C0"/>
    <w:rsid w:val="0030122A"/>
    <w:rsid w:val="00301947"/>
    <w:rsid w:val="003025EC"/>
    <w:rsid w:val="0031048E"/>
    <w:rsid w:val="003112E2"/>
    <w:rsid w:val="00312DAF"/>
    <w:rsid w:val="00313044"/>
    <w:rsid w:val="0031654A"/>
    <w:rsid w:val="00320450"/>
    <w:rsid w:val="00321A07"/>
    <w:rsid w:val="00323E85"/>
    <w:rsid w:val="00324ED1"/>
    <w:rsid w:val="00330C0B"/>
    <w:rsid w:val="00342592"/>
    <w:rsid w:val="00342FA9"/>
    <w:rsid w:val="0035140F"/>
    <w:rsid w:val="003573D3"/>
    <w:rsid w:val="00360CD2"/>
    <w:rsid w:val="00361761"/>
    <w:rsid w:val="00363025"/>
    <w:rsid w:val="00365726"/>
    <w:rsid w:val="0036663B"/>
    <w:rsid w:val="00366839"/>
    <w:rsid w:val="00366E56"/>
    <w:rsid w:val="003770D8"/>
    <w:rsid w:val="00381783"/>
    <w:rsid w:val="00385A24"/>
    <w:rsid w:val="00393784"/>
    <w:rsid w:val="00394EB5"/>
    <w:rsid w:val="003A0E7F"/>
    <w:rsid w:val="003A7D5F"/>
    <w:rsid w:val="003D1380"/>
    <w:rsid w:val="003D21F1"/>
    <w:rsid w:val="003D28B2"/>
    <w:rsid w:val="003D38ED"/>
    <w:rsid w:val="003D43CF"/>
    <w:rsid w:val="003D6137"/>
    <w:rsid w:val="003D747D"/>
    <w:rsid w:val="003E2B20"/>
    <w:rsid w:val="003E3D0F"/>
    <w:rsid w:val="003F7FE7"/>
    <w:rsid w:val="004002C1"/>
    <w:rsid w:val="00401756"/>
    <w:rsid w:val="004036E1"/>
    <w:rsid w:val="00406032"/>
    <w:rsid w:val="00407C93"/>
    <w:rsid w:val="00415890"/>
    <w:rsid w:val="004162EA"/>
    <w:rsid w:val="004215CA"/>
    <w:rsid w:val="00423B2E"/>
    <w:rsid w:val="00423D13"/>
    <w:rsid w:val="0042743F"/>
    <w:rsid w:val="00430D9B"/>
    <w:rsid w:val="00432C41"/>
    <w:rsid w:val="00434D46"/>
    <w:rsid w:val="0043720A"/>
    <w:rsid w:val="00447F32"/>
    <w:rsid w:val="004632E9"/>
    <w:rsid w:val="00465B18"/>
    <w:rsid w:val="0046678C"/>
    <w:rsid w:val="004728AB"/>
    <w:rsid w:val="004774BD"/>
    <w:rsid w:val="0048236F"/>
    <w:rsid w:val="0049005D"/>
    <w:rsid w:val="004936CB"/>
    <w:rsid w:val="004956E4"/>
    <w:rsid w:val="004A098C"/>
    <w:rsid w:val="004A6A36"/>
    <w:rsid w:val="004A6EDF"/>
    <w:rsid w:val="004A7856"/>
    <w:rsid w:val="004B0E13"/>
    <w:rsid w:val="004B4254"/>
    <w:rsid w:val="004C0441"/>
    <w:rsid w:val="004C7541"/>
    <w:rsid w:val="004D1AC4"/>
    <w:rsid w:val="004D3B0F"/>
    <w:rsid w:val="004E12BC"/>
    <w:rsid w:val="004E23A9"/>
    <w:rsid w:val="004E5181"/>
    <w:rsid w:val="004E66B1"/>
    <w:rsid w:val="004E75D2"/>
    <w:rsid w:val="004F555B"/>
    <w:rsid w:val="004F5BB1"/>
    <w:rsid w:val="0050001C"/>
    <w:rsid w:val="005044AE"/>
    <w:rsid w:val="00505844"/>
    <w:rsid w:val="00510815"/>
    <w:rsid w:val="00512647"/>
    <w:rsid w:val="005141B0"/>
    <w:rsid w:val="00516B0E"/>
    <w:rsid w:val="0051779B"/>
    <w:rsid w:val="0052564E"/>
    <w:rsid w:val="0052593F"/>
    <w:rsid w:val="00525C9C"/>
    <w:rsid w:val="00527381"/>
    <w:rsid w:val="00537DDC"/>
    <w:rsid w:val="00540672"/>
    <w:rsid w:val="005419C2"/>
    <w:rsid w:val="005477DE"/>
    <w:rsid w:val="00553ACA"/>
    <w:rsid w:val="005560B6"/>
    <w:rsid w:val="00561B20"/>
    <w:rsid w:val="0057003D"/>
    <w:rsid w:val="005706FD"/>
    <w:rsid w:val="00572521"/>
    <w:rsid w:val="005762C3"/>
    <w:rsid w:val="005777BC"/>
    <w:rsid w:val="00582D24"/>
    <w:rsid w:val="00584B74"/>
    <w:rsid w:val="00586EEB"/>
    <w:rsid w:val="0059702A"/>
    <w:rsid w:val="005A1B5C"/>
    <w:rsid w:val="005A26A3"/>
    <w:rsid w:val="005A3329"/>
    <w:rsid w:val="005B5568"/>
    <w:rsid w:val="005C12AA"/>
    <w:rsid w:val="005C185E"/>
    <w:rsid w:val="005C19B9"/>
    <w:rsid w:val="005C320A"/>
    <w:rsid w:val="005C5B50"/>
    <w:rsid w:val="005C60C7"/>
    <w:rsid w:val="005D135D"/>
    <w:rsid w:val="005D1366"/>
    <w:rsid w:val="005D27F7"/>
    <w:rsid w:val="005E5BA0"/>
    <w:rsid w:val="005E5F5F"/>
    <w:rsid w:val="005F2113"/>
    <w:rsid w:val="005F767F"/>
    <w:rsid w:val="00603DDF"/>
    <w:rsid w:val="00607188"/>
    <w:rsid w:val="0060732A"/>
    <w:rsid w:val="0061047A"/>
    <w:rsid w:val="00611B97"/>
    <w:rsid w:val="006143DF"/>
    <w:rsid w:val="006150A6"/>
    <w:rsid w:val="006158E5"/>
    <w:rsid w:val="00615F49"/>
    <w:rsid w:val="00616526"/>
    <w:rsid w:val="00616EF4"/>
    <w:rsid w:val="00620CC0"/>
    <w:rsid w:val="00621CC2"/>
    <w:rsid w:val="00623633"/>
    <w:rsid w:val="00624D5F"/>
    <w:rsid w:val="00624E04"/>
    <w:rsid w:val="0062581E"/>
    <w:rsid w:val="00626BDA"/>
    <w:rsid w:val="0063245B"/>
    <w:rsid w:val="006337C7"/>
    <w:rsid w:val="00635113"/>
    <w:rsid w:val="00636AE3"/>
    <w:rsid w:val="00636C32"/>
    <w:rsid w:val="00654EFD"/>
    <w:rsid w:val="00657602"/>
    <w:rsid w:val="00657A90"/>
    <w:rsid w:val="00670B14"/>
    <w:rsid w:val="00671D1D"/>
    <w:rsid w:val="00671FC8"/>
    <w:rsid w:val="006734B5"/>
    <w:rsid w:val="0068286F"/>
    <w:rsid w:val="00683F2E"/>
    <w:rsid w:val="0069509D"/>
    <w:rsid w:val="00695B12"/>
    <w:rsid w:val="00697567"/>
    <w:rsid w:val="006976C2"/>
    <w:rsid w:val="00697C73"/>
    <w:rsid w:val="006A2C65"/>
    <w:rsid w:val="006A7078"/>
    <w:rsid w:val="006B278C"/>
    <w:rsid w:val="006C1CA2"/>
    <w:rsid w:val="006C2196"/>
    <w:rsid w:val="006C4C9C"/>
    <w:rsid w:val="006D2221"/>
    <w:rsid w:val="006D3CE5"/>
    <w:rsid w:val="006D64E3"/>
    <w:rsid w:val="006D7115"/>
    <w:rsid w:val="006D7C51"/>
    <w:rsid w:val="006E1636"/>
    <w:rsid w:val="006E1E6A"/>
    <w:rsid w:val="006E29BB"/>
    <w:rsid w:val="006E4001"/>
    <w:rsid w:val="006F58A5"/>
    <w:rsid w:val="0070235A"/>
    <w:rsid w:val="00702968"/>
    <w:rsid w:val="00703734"/>
    <w:rsid w:val="00710774"/>
    <w:rsid w:val="00711349"/>
    <w:rsid w:val="00713084"/>
    <w:rsid w:val="00716360"/>
    <w:rsid w:val="00717A50"/>
    <w:rsid w:val="00722A2C"/>
    <w:rsid w:val="00722F04"/>
    <w:rsid w:val="00723C5D"/>
    <w:rsid w:val="0072666C"/>
    <w:rsid w:val="0073362E"/>
    <w:rsid w:val="00737F7C"/>
    <w:rsid w:val="00740282"/>
    <w:rsid w:val="007424E7"/>
    <w:rsid w:val="00747B3F"/>
    <w:rsid w:val="00747F8B"/>
    <w:rsid w:val="007557AF"/>
    <w:rsid w:val="00755C3C"/>
    <w:rsid w:val="00756068"/>
    <w:rsid w:val="007618B4"/>
    <w:rsid w:val="0077588D"/>
    <w:rsid w:val="0078074D"/>
    <w:rsid w:val="0078324F"/>
    <w:rsid w:val="007833EE"/>
    <w:rsid w:val="007952B2"/>
    <w:rsid w:val="007A0A96"/>
    <w:rsid w:val="007A4BDF"/>
    <w:rsid w:val="007B27AF"/>
    <w:rsid w:val="007B478D"/>
    <w:rsid w:val="007B553F"/>
    <w:rsid w:val="007C7968"/>
    <w:rsid w:val="007D038F"/>
    <w:rsid w:val="007D31D9"/>
    <w:rsid w:val="007D3CDF"/>
    <w:rsid w:val="007D4CBB"/>
    <w:rsid w:val="007D5D6C"/>
    <w:rsid w:val="007D64D6"/>
    <w:rsid w:val="007D6517"/>
    <w:rsid w:val="007E5C2B"/>
    <w:rsid w:val="007F6191"/>
    <w:rsid w:val="007F7421"/>
    <w:rsid w:val="0080465C"/>
    <w:rsid w:val="00804DBD"/>
    <w:rsid w:val="00804F03"/>
    <w:rsid w:val="00806473"/>
    <w:rsid w:val="008123F6"/>
    <w:rsid w:val="00812D6B"/>
    <w:rsid w:val="00813036"/>
    <w:rsid w:val="00817B20"/>
    <w:rsid w:val="00823019"/>
    <w:rsid w:val="00826293"/>
    <w:rsid w:val="00831957"/>
    <w:rsid w:val="00837F65"/>
    <w:rsid w:val="008428ED"/>
    <w:rsid w:val="00844847"/>
    <w:rsid w:val="00844E35"/>
    <w:rsid w:val="00845922"/>
    <w:rsid w:val="00845EB6"/>
    <w:rsid w:val="00846F20"/>
    <w:rsid w:val="00853A7A"/>
    <w:rsid w:val="0085483F"/>
    <w:rsid w:val="008558D0"/>
    <w:rsid w:val="00855EE7"/>
    <w:rsid w:val="0085787D"/>
    <w:rsid w:val="008653E9"/>
    <w:rsid w:val="00872DFF"/>
    <w:rsid w:val="008764AB"/>
    <w:rsid w:val="00876EBC"/>
    <w:rsid w:val="00877C85"/>
    <w:rsid w:val="00883F19"/>
    <w:rsid w:val="008867A1"/>
    <w:rsid w:val="008916AA"/>
    <w:rsid w:val="0089178E"/>
    <w:rsid w:val="00891C4E"/>
    <w:rsid w:val="00892B6E"/>
    <w:rsid w:val="008952F1"/>
    <w:rsid w:val="00897124"/>
    <w:rsid w:val="008A686D"/>
    <w:rsid w:val="008A73F1"/>
    <w:rsid w:val="008B1C54"/>
    <w:rsid w:val="008B5BBC"/>
    <w:rsid w:val="008B7B1E"/>
    <w:rsid w:val="008B7CEB"/>
    <w:rsid w:val="008C10DD"/>
    <w:rsid w:val="008C2718"/>
    <w:rsid w:val="008C3B21"/>
    <w:rsid w:val="008D11DF"/>
    <w:rsid w:val="008D244C"/>
    <w:rsid w:val="008D38F2"/>
    <w:rsid w:val="008D5AC9"/>
    <w:rsid w:val="008D6614"/>
    <w:rsid w:val="008D7B53"/>
    <w:rsid w:val="008E09E9"/>
    <w:rsid w:val="008E1650"/>
    <w:rsid w:val="008E3C31"/>
    <w:rsid w:val="008E5E4B"/>
    <w:rsid w:val="008E6465"/>
    <w:rsid w:val="008F351C"/>
    <w:rsid w:val="008F61F7"/>
    <w:rsid w:val="00900607"/>
    <w:rsid w:val="00902A93"/>
    <w:rsid w:val="009059E9"/>
    <w:rsid w:val="00910199"/>
    <w:rsid w:val="00914570"/>
    <w:rsid w:val="0091556D"/>
    <w:rsid w:val="00915FB4"/>
    <w:rsid w:val="00917329"/>
    <w:rsid w:val="00922B0A"/>
    <w:rsid w:val="00922C0A"/>
    <w:rsid w:val="00922C2E"/>
    <w:rsid w:val="00927228"/>
    <w:rsid w:val="00927FC5"/>
    <w:rsid w:val="00934D68"/>
    <w:rsid w:val="00943F92"/>
    <w:rsid w:val="009459AF"/>
    <w:rsid w:val="00960D98"/>
    <w:rsid w:val="00963E95"/>
    <w:rsid w:val="00965698"/>
    <w:rsid w:val="009708DF"/>
    <w:rsid w:val="00974CF4"/>
    <w:rsid w:val="009806EB"/>
    <w:rsid w:val="009807A2"/>
    <w:rsid w:val="009830D1"/>
    <w:rsid w:val="009843AE"/>
    <w:rsid w:val="009843B8"/>
    <w:rsid w:val="0098471E"/>
    <w:rsid w:val="00993876"/>
    <w:rsid w:val="00994BC2"/>
    <w:rsid w:val="009A549D"/>
    <w:rsid w:val="009A5A28"/>
    <w:rsid w:val="009A64AF"/>
    <w:rsid w:val="009B16BD"/>
    <w:rsid w:val="009B1A51"/>
    <w:rsid w:val="009B358C"/>
    <w:rsid w:val="009B6015"/>
    <w:rsid w:val="009C0A25"/>
    <w:rsid w:val="009C60B9"/>
    <w:rsid w:val="009D2B5B"/>
    <w:rsid w:val="009D3229"/>
    <w:rsid w:val="009E1866"/>
    <w:rsid w:val="009E23B8"/>
    <w:rsid w:val="009E39E6"/>
    <w:rsid w:val="009F5F5A"/>
    <w:rsid w:val="009F777D"/>
    <w:rsid w:val="00A01C71"/>
    <w:rsid w:val="00A0555C"/>
    <w:rsid w:val="00A10007"/>
    <w:rsid w:val="00A146EE"/>
    <w:rsid w:val="00A15362"/>
    <w:rsid w:val="00A17749"/>
    <w:rsid w:val="00A225B5"/>
    <w:rsid w:val="00A24186"/>
    <w:rsid w:val="00A30BF0"/>
    <w:rsid w:val="00A31FEB"/>
    <w:rsid w:val="00A43893"/>
    <w:rsid w:val="00A526DA"/>
    <w:rsid w:val="00A52805"/>
    <w:rsid w:val="00A52F3D"/>
    <w:rsid w:val="00A60E6D"/>
    <w:rsid w:val="00A614E5"/>
    <w:rsid w:val="00A61699"/>
    <w:rsid w:val="00A6365B"/>
    <w:rsid w:val="00A67932"/>
    <w:rsid w:val="00A731BB"/>
    <w:rsid w:val="00A73C3B"/>
    <w:rsid w:val="00A75EA0"/>
    <w:rsid w:val="00A81DA7"/>
    <w:rsid w:val="00A835D4"/>
    <w:rsid w:val="00A9213F"/>
    <w:rsid w:val="00A94BDC"/>
    <w:rsid w:val="00AA0273"/>
    <w:rsid w:val="00AA214E"/>
    <w:rsid w:val="00AA3C68"/>
    <w:rsid w:val="00AA5D96"/>
    <w:rsid w:val="00AA6386"/>
    <w:rsid w:val="00AA740C"/>
    <w:rsid w:val="00AC49A1"/>
    <w:rsid w:val="00AC67F6"/>
    <w:rsid w:val="00AD22BA"/>
    <w:rsid w:val="00AD42C9"/>
    <w:rsid w:val="00AD4611"/>
    <w:rsid w:val="00AD593E"/>
    <w:rsid w:val="00AD71D6"/>
    <w:rsid w:val="00AF377A"/>
    <w:rsid w:val="00AF3DB9"/>
    <w:rsid w:val="00B020D1"/>
    <w:rsid w:val="00B02C93"/>
    <w:rsid w:val="00B03873"/>
    <w:rsid w:val="00B03D5D"/>
    <w:rsid w:val="00B0432E"/>
    <w:rsid w:val="00B073A3"/>
    <w:rsid w:val="00B15C01"/>
    <w:rsid w:val="00B17B99"/>
    <w:rsid w:val="00B251DB"/>
    <w:rsid w:val="00B26C25"/>
    <w:rsid w:val="00B30DA2"/>
    <w:rsid w:val="00B3240A"/>
    <w:rsid w:val="00B342A2"/>
    <w:rsid w:val="00B35C0C"/>
    <w:rsid w:val="00B378BD"/>
    <w:rsid w:val="00B40A60"/>
    <w:rsid w:val="00B45B98"/>
    <w:rsid w:val="00B51408"/>
    <w:rsid w:val="00B51BB8"/>
    <w:rsid w:val="00B52DC6"/>
    <w:rsid w:val="00B6292B"/>
    <w:rsid w:val="00B62A94"/>
    <w:rsid w:val="00B662D7"/>
    <w:rsid w:val="00B674EF"/>
    <w:rsid w:val="00B70424"/>
    <w:rsid w:val="00B70752"/>
    <w:rsid w:val="00B73763"/>
    <w:rsid w:val="00B75D4F"/>
    <w:rsid w:val="00B828A4"/>
    <w:rsid w:val="00B84A04"/>
    <w:rsid w:val="00B945A0"/>
    <w:rsid w:val="00BA16AD"/>
    <w:rsid w:val="00BA6B1C"/>
    <w:rsid w:val="00BB350F"/>
    <w:rsid w:val="00BB4DA9"/>
    <w:rsid w:val="00BB5545"/>
    <w:rsid w:val="00BB6C0B"/>
    <w:rsid w:val="00BC2814"/>
    <w:rsid w:val="00BC54C4"/>
    <w:rsid w:val="00BD0F8A"/>
    <w:rsid w:val="00BE1BDC"/>
    <w:rsid w:val="00BE1CB4"/>
    <w:rsid w:val="00BE2B9E"/>
    <w:rsid w:val="00BE53C7"/>
    <w:rsid w:val="00BE69D2"/>
    <w:rsid w:val="00BE6EEA"/>
    <w:rsid w:val="00BF3209"/>
    <w:rsid w:val="00BF6736"/>
    <w:rsid w:val="00C01937"/>
    <w:rsid w:val="00C1026A"/>
    <w:rsid w:val="00C17898"/>
    <w:rsid w:val="00C27CB3"/>
    <w:rsid w:val="00C3616A"/>
    <w:rsid w:val="00C42F09"/>
    <w:rsid w:val="00C43D48"/>
    <w:rsid w:val="00C478F0"/>
    <w:rsid w:val="00C50A9A"/>
    <w:rsid w:val="00C50FF0"/>
    <w:rsid w:val="00C51987"/>
    <w:rsid w:val="00C52FD0"/>
    <w:rsid w:val="00C550B5"/>
    <w:rsid w:val="00C61F03"/>
    <w:rsid w:val="00C62878"/>
    <w:rsid w:val="00C65E4E"/>
    <w:rsid w:val="00C7610D"/>
    <w:rsid w:val="00C81175"/>
    <w:rsid w:val="00C8316B"/>
    <w:rsid w:val="00CA23A8"/>
    <w:rsid w:val="00CA2E1E"/>
    <w:rsid w:val="00CA7138"/>
    <w:rsid w:val="00CA7B87"/>
    <w:rsid w:val="00CB290B"/>
    <w:rsid w:val="00CB2DE1"/>
    <w:rsid w:val="00CB674B"/>
    <w:rsid w:val="00CB7499"/>
    <w:rsid w:val="00CC7E08"/>
    <w:rsid w:val="00CD4E85"/>
    <w:rsid w:val="00CE4789"/>
    <w:rsid w:val="00CE6BBD"/>
    <w:rsid w:val="00CE7F17"/>
    <w:rsid w:val="00CF317C"/>
    <w:rsid w:val="00CF7604"/>
    <w:rsid w:val="00D04711"/>
    <w:rsid w:val="00D05D7D"/>
    <w:rsid w:val="00D102C8"/>
    <w:rsid w:val="00D11598"/>
    <w:rsid w:val="00D2012F"/>
    <w:rsid w:val="00D220CF"/>
    <w:rsid w:val="00D2499E"/>
    <w:rsid w:val="00D2579B"/>
    <w:rsid w:val="00D25C14"/>
    <w:rsid w:val="00D27B99"/>
    <w:rsid w:val="00D307AF"/>
    <w:rsid w:val="00D33301"/>
    <w:rsid w:val="00D4279D"/>
    <w:rsid w:val="00D4455D"/>
    <w:rsid w:val="00D57808"/>
    <w:rsid w:val="00D6178A"/>
    <w:rsid w:val="00D64BFA"/>
    <w:rsid w:val="00D657EE"/>
    <w:rsid w:val="00D673CF"/>
    <w:rsid w:val="00D730D0"/>
    <w:rsid w:val="00D74763"/>
    <w:rsid w:val="00D75E08"/>
    <w:rsid w:val="00D8013B"/>
    <w:rsid w:val="00D841E9"/>
    <w:rsid w:val="00D842A6"/>
    <w:rsid w:val="00D84D49"/>
    <w:rsid w:val="00D85D34"/>
    <w:rsid w:val="00D85FA8"/>
    <w:rsid w:val="00D9122B"/>
    <w:rsid w:val="00D923AC"/>
    <w:rsid w:val="00D929FC"/>
    <w:rsid w:val="00DA1A01"/>
    <w:rsid w:val="00DA4EDD"/>
    <w:rsid w:val="00DA7FEE"/>
    <w:rsid w:val="00DB1CBE"/>
    <w:rsid w:val="00DB4090"/>
    <w:rsid w:val="00DB78A2"/>
    <w:rsid w:val="00DB7E89"/>
    <w:rsid w:val="00DC2905"/>
    <w:rsid w:val="00DC63B3"/>
    <w:rsid w:val="00DC703D"/>
    <w:rsid w:val="00DD2F8A"/>
    <w:rsid w:val="00DD7406"/>
    <w:rsid w:val="00DE04A8"/>
    <w:rsid w:val="00DE1060"/>
    <w:rsid w:val="00DF0C81"/>
    <w:rsid w:val="00DF25E0"/>
    <w:rsid w:val="00DF4010"/>
    <w:rsid w:val="00DF6463"/>
    <w:rsid w:val="00DF6E61"/>
    <w:rsid w:val="00E01083"/>
    <w:rsid w:val="00E018A3"/>
    <w:rsid w:val="00E01D7D"/>
    <w:rsid w:val="00E01DAF"/>
    <w:rsid w:val="00E027AA"/>
    <w:rsid w:val="00E04DA0"/>
    <w:rsid w:val="00E06030"/>
    <w:rsid w:val="00E11B00"/>
    <w:rsid w:val="00E131F1"/>
    <w:rsid w:val="00E137A8"/>
    <w:rsid w:val="00E140ED"/>
    <w:rsid w:val="00E1632A"/>
    <w:rsid w:val="00E171A8"/>
    <w:rsid w:val="00E209B7"/>
    <w:rsid w:val="00E212C4"/>
    <w:rsid w:val="00E24548"/>
    <w:rsid w:val="00E2684B"/>
    <w:rsid w:val="00E3027E"/>
    <w:rsid w:val="00E37443"/>
    <w:rsid w:val="00E51EC5"/>
    <w:rsid w:val="00E527BB"/>
    <w:rsid w:val="00E5400B"/>
    <w:rsid w:val="00E601AA"/>
    <w:rsid w:val="00E62F51"/>
    <w:rsid w:val="00E63906"/>
    <w:rsid w:val="00E70C5B"/>
    <w:rsid w:val="00E712FD"/>
    <w:rsid w:val="00E72231"/>
    <w:rsid w:val="00E74EA0"/>
    <w:rsid w:val="00E75D7B"/>
    <w:rsid w:val="00E76D34"/>
    <w:rsid w:val="00E80E3A"/>
    <w:rsid w:val="00E836B9"/>
    <w:rsid w:val="00E8482A"/>
    <w:rsid w:val="00E95372"/>
    <w:rsid w:val="00EA0739"/>
    <w:rsid w:val="00EA442E"/>
    <w:rsid w:val="00EB0BDA"/>
    <w:rsid w:val="00EB2A69"/>
    <w:rsid w:val="00EB31AD"/>
    <w:rsid w:val="00EB3627"/>
    <w:rsid w:val="00EB55D7"/>
    <w:rsid w:val="00EB584E"/>
    <w:rsid w:val="00EC145C"/>
    <w:rsid w:val="00EC3839"/>
    <w:rsid w:val="00EC44DC"/>
    <w:rsid w:val="00EC4ECD"/>
    <w:rsid w:val="00ED173E"/>
    <w:rsid w:val="00ED18DE"/>
    <w:rsid w:val="00ED3188"/>
    <w:rsid w:val="00ED5DFC"/>
    <w:rsid w:val="00ED7845"/>
    <w:rsid w:val="00EE09AB"/>
    <w:rsid w:val="00EE1F4B"/>
    <w:rsid w:val="00EE6044"/>
    <w:rsid w:val="00EE6EAF"/>
    <w:rsid w:val="00EF0F84"/>
    <w:rsid w:val="00EF1956"/>
    <w:rsid w:val="00EF6671"/>
    <w:rsid w:val="00F014DA"/>
    <w:rsid w:val="00F0198C"/>
    <w:rsid w:val="00F02929"/>
    <w:rsid w:val="00F1441E"/>
    <w:rsid w:val="00F16079"/>
    <w:rsid w:val="00F16FE0"/>
    <w:rsid w:val="00F22BB9"/>
    <w:rsid w:val="00F25545"/>
    <w:rsid w:val="00F266E7"/>
    <w:rsid w:val="00F32757"/>
    <w:rsid w:val="00F3409A"/>
    <w:rsid w:val="00F340E4"/>
    <w:rsid w:val="00F4324F"/>
    <w:rsid w:val="00F45AAA"/>
    <w:rsid w:val="00F50FA6"/>
    <w:rsid w:val="00F51216"/>
    <w:rsid w:val="00F52E95"/>
    <w:rsid w:val="00F62B4E"/>
    <w:rsid w:val="00F62F69"/>
    <w:rsid w:val="00F669E4"/>
    <w:rsid w:val="00F66A4B"/>
    <w:rsid w:val="00F677AA"/>
    <w:rsid w:val="00F67A2C"/>
    <w:rsid w:val="00F711FA"/>
    <w:rsid w:val="00F73262"/>
    <w:rsid w:val="00F73512"/>
    <w:rsid w:val="00F75C22"/>
    <w:rsid w:val="00F8108A"/>
    <w:rsid w:val="00F831D2"/>
    <w:rsid w:val="00F86174"/>
    <w:rsid w:val="00F90C08"/>
    <w:rsid w:val="00FA0454"/>
    <w:rsid w:val="00FA79D1"/>
    <w:rsid w:val="00FB106A"/>
    <w:rsid w:val="00FB1C32"/>
    <w:rsid w:val="00FB7FEF"/>
    <w:rsid w:val="00FC4694"/>
    <w:rsid w:val="00FD3823"/>
    <w:rsid w:val="00FD691E"/>
    <w:rsid w:val="00FE4569"/>
    <w:rsid w:val="00FE4F36"/>
    <w:rsid w:val="00FE7DB2"/>
    <w:rsid w:val="00FF06F3"/>
    <w:rsid w:val="00FF3A18"/>
    <w:rsid w:val="00FF770E"/>
    <w:rsid w:val="51E4A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AA5D96"/>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cost-recovery-and-fees.html" TargetMode="External"/><Relationship Id="rId18" Type="http://schemas.openxmlformats.org/officeDocument/2006/relationships/hyperlink" Target="http://www.nopta.gov.au/_documents/guidelines/declaration-of-location-guideline.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opta.gov.au/forms-and-templates/petroleum-and-greenhouse-gas-forms.html"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forms-and-templates/petroleum-and-greenhouse-gas-forms.html" TargetMode="External"/><Relationship Id="rId17" Type="http://schemas.openxmlformats.org/officeDocument/2006/relationships/hyperlink" Target="https://www.nopta.gov.au/cost-recovery-and-fees.html" TargetMode="External"/><Relationship Id="rId25" Type="http://schemas.openxmlformats.org/officeDocument/2006/relationships/hyperlink" Target="https://www.nopta.gov.au/forms-and-templates/petroleum-and-greenhouse-gas-forms.html"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0" Type="http://schemas.openxmlformats.org/officeDocument/2006/relationships/hyperlink" Target="https://www.nopta.gov.au/guidelines-and-factsheets/fact-sheet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hyperlink" Target="https://www.nopta.gov.au/guidelines-and-factsheets/offshore-petroleum-guidelines.html"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nopta.gov.au/guidelines-and-factsheets/fact-sheets.html" TargetMode="External"/><Relationship Id="rId23" Type="http://schemas.openxmlformats.org/officeDocument/2006/relationships/hyperlink" Target="https://www.nopta.gov.au/guidelines-and-factsheets/fact-sheets.html" TargetMode="External"/><Relationship Id="rId28" Type="http://schemas.openxmlformats.org/officeDocument/2006/relationships/footer" Target="footer2.xm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guidelines-and-factsheets/offshore-petroleum-guidelines.html"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offshore-petroleum-guidelines.html" TargetMode="External"/><Relationship Id="rId22" Type="http://schemas.openxmlformats.org/officeDocument/2006/relationships/hyperlink" Target="https://www.nopta.gov.au/guidelines-and-factsheets/offshore-petroleum-guidelines.html" TargetMode="External"/><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SpatialCoverage xmlns="7012054d-3a07-4b40-940b-a148fc76e5c4">Commonwealth of Australia</SpatialCoverage>
    <TaxCatchAll xmlns="7012054d-3a07-4b40-940b-a148fc76e5c4">
      <Value>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https://nopta.sharepoint.com/WST/_layouts/15/DocIdRedir.aspx?ID=NOPTANET-716839524-10865</Url>
      <Description>NOPTANET-716839524-10865</Description>
    </_dlc_DocIdUrl>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NOPTANET-716839524-10865</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3CB8E95E-1329-4FC5-AA50-56FE2D221E09}"/>
</file>

<file path=customXml/itemProps3.xml><?xml version="1.0" encoding="utf-8"?>
<ds:datastoreItem xmlns:ds="http://schemas.openxmlformats.org/officeDocument/2006/customXml" ds:itemID="{9DC2BC40-E218-4E23-9EAB-F0B35FE9DA39}"/>
</file>

<file path=customXml/itemProps4.xml><?xml version="1.0" encoding="utf-8"?>
<ds:datastoreItem xmlns:ds="http://schemas.openxmlformats.org/officeDocument/2006/customXml" ds:itemID="{F3FC6932-2158-4ADD-9DF0-EA161EC8F9D2}"/>
</file>

<file path=customXml/itemProps5.xml><?xml version="1.0" encoding="utf-8"?>
<ds:datastoreItem xmlns:ds="http://schemas.openxmlformats.org/officeDocument/2006/customXml" ds:itemID="{BB8CCE36-B83C-40B2-AC87-284E05452D52}"/>
</file>

<file path=docProps/app.xml><?xml version="1.0" encoding="utf-8"?>
<Properties xmlns="http://schemas.openxmlformats.org/officeDocument/2006/extended-properties" xmlns:vt="http://schemas.openxmlformats.org/officeDocument/2006/docPropsVTypes">
  <Template>Normal</Template>
  <TotalTime>0</TotalTime>
  <Pages>9</Pages>
  <Words>2349</Words>
  <Characters>13108</Characters>
  <Application>Microsoft Office Word</Application>
  <DocSecurity>0</DocSecurity>
  <Lines>304</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15237</CharactersWithSpaces>
  <SharedDoc>false</SharedDoc>
  <HLinks>
    <vt:vector size="144" baseType="variant">
      <vt:variant>
        <vt:i4>4980757</vt:i4>
      </vt:variant>
      <vt:variant>
        <vt:i4>90</vt:i4>
      </vt:variant>
      <vt:variant>
        <vt:i4>0</vt:i4>
      </vt:variant>
      <vt:variant>
        <vt:i4>5</vt:i4>
      </vt:variant>
      <vt:variant>
        <vt:lpwstr>https://www.nopta.gov.au/forms/forms.html</vt:lpwstr>
      </vt:variant>
      <vt:variant>
        <vt:lpwstr/>
      </vt:variant>
      <vt:variant>
        <vt:i4>7864416</vt:i4>
      </vt:variant>
      <vt:variant>
        <vt:i4>87</vt:i4>
      </vt:variant>
      <vt:variant>
        <vt:i4>0</vt:i4>
      </vt:variant>
      <vt:variant>
        <vt:i4>5</vt:i4>
      </vt:variant>
      <vt:variant>
        <vt:lpwstr>https://www.nopta.gov.au/guidelines-and-factsheets/fact-sheets.html</vt:lpwstr>
      </vt:variant>
      <vt:variant>
        <vt:lpwstr/>
      </vt:variant>
      <vt:variant>
        <vt:i4>7864416</vt:i4>
      </vt:variant>
      <vt:variant>
        <vt:i4>84</vt:i4>
      </vt:variant>
      <vt:variant>
        <vt:i4>0</vt:i4>
      </vt:variant>
      <vt:variant>
        <vt:i4>5</vt:i4>
      </vt:variant>
      <vt:variant>
        <vt:lpwstr>https://www.nopta.gov.au/guidelines-and-factsheets/fact-sheets.html</vt:lpwstr>
      </vt:variant>
      <vt:variant>
        <vt:lpwstr/>
      </vt:variant>
      <vt:variant>
        <vt:i4>5439500</vt:i4>
      </vt:variant>
      <vt:variant>
        <vt:i4>81</vt:i4>
      </vt:variant>
      <vt:variant>
        <vt:i4>0</vt:i4>
      </vt:variant>
      <vt:variant>
        <vt:i4>5</vt:i4>
      </vt:variant>
      <vt:variant>
        <vt:lpwstr>https://www.nopta.gov.au/guidelines-and-factsheets/offshore-petroleum-guidelines.html</vt:lpwstr>
      </vt:variant>
      <vt:variant>
        <vt:lpwstr/>
      </vt:variant>
      <vt:variant>
        <vt:i4>4980757</vt:i4>
      </vt:variant>
      <vt:variant>
        <vt:i4>72</vt:i4>
      </vt:variant>
      <vt:variant>
        <vt:i4>0</vt:i4>
      </vt:variant>
      <vt:variant>
        <vt:i4>5</vt:i4>
      </vt:variant>
      <vt:variant>
        <vt:lpwstr>https://www.nopta.gov.au/forms/forms.html</vt:lpwstr>
      </vt:variant>
      <vt:variant>
        <vt:lpwstr/>
      </vt:variant>
      <vt:variant>
        <vt:i4>7864416</vt:i4>
      </vt:variant>
      <vt:variant>
        <vt:i4>69</vt:i4>
      </vt:variant>
      <vt:variant>
        <vt:i4>0</vt:i4>
      </vt:variant>
      <vt:variant>
        <vt:i4>5</vt:i4>
      </vt:variant>
      <vt:variant>
        <vt:lpwstr>https://www.nopta.gov.au/guidelines-and-factsheets/fact-sheets.html</vt:lpwstr>
      </vt:variant>
      <vt:variant>
        <vt:lpwstr/>
      </vt:variant>
      <vt:variant>
        <vt:i4>5439500</vt:i4>
      </vt:variant>
      <vt:variant>
        <vt:i4>66</vt:i4>
      </vt:variant>
      <vt:variant>
        <vt:i4>0</vt:i4>
      </vt:variant>
      <vt:variant>
        <vt:i4>5</vt:i4>
      </vt:variant>
      <vt:variant>
        <vt:lpwstr>https://www.nopta.gov.au/guidelines-and-factsheets/offshore-petroleum-guidelines.html</vt:lpwstr>
      </vt:variant>
      <vt:variant>
        <vt:lpwstr/>
      </vt:variant>
      <vt:variant>
        <vt:i4>8323094</vt:i4>
      </vt:variant>
      <vt:variant>
        <vt:i4>63</vt:i4>
      </vt:variant>
      <vt:variant>
        <vt:i4>0</vt:i4>
      </vt:variant>
      <vt:variant>
        <vt:i4>5</vt:i4>
      </vt:variant>
      <vt:variant>
        <vt:lpwstr>http://www.nopta.gov.au/_documents/guidelines/declaration-of-location-guideline.pdf</vt:lpwstr>
      </vt:variant>
      <vt:variant>
        <vt:lpwstr/>
      </vt:variant>
      <vt:variant>
        <vt:i4>5373971</vt:i4>
      </vt:variant>
      <vt:variant>
        <vt:i4>54</vt:i4>
      </vt:variant>
      <vt:variant>
        <vt:i4>0</vt:i4>
      </vt:variant>
      <vt:variant>
        <vt:i4>5</vt:i4>
      </vt:variant>
      <vt:variant>
        <vt:lpwstr>https://www.nopta.gov.au/cost-recovery-and-fees.html</vt:lpwstr>
      </vt:variant>
      <vt:variant>
        <vt:lpwstr/>
      </vt:variant>
      <vt:variant>
        <vt:i4>4980757</vt:i4>
      </vt:variant>
      <vt:variant>
        <vt:i4>51</vt:i4>
      </vt:variant>
      <vt:variant>
        <vt:i4>0</vt:i4>
      </vt:variant>
      <vt:variant>
        <vt:i4>5</vt:i4>
      </vt:variant>
      <vt:variant>
        <vt:lpwstr>https://www.nopta.gov.au/forms/forms.html</vt:lpwstr>
      </vt:variant>
      <vt:variant>
        <vt:lpwstr/>
      </vt:variant>
      <vt:variant>
        <vt:i4>7864416</vt:i4>
      </vt:variant>
      <vt:variant>
        <vt:i4>48</vt:i4>
      </vt:variant>
      <vt:variant>
        <vt:i4>0</vt:i4>
      </vt:variant>
      <vt:variant>
        <vt:i4>5</vt:i4>
      </vt:variant>
      <vt:variant>
        <vt:lpwstr>https://www.nopta.gov.au/guidelines-and-factsheets/fact-sheets.html</vt:lpwstr>
      </vt:variant>
      <vt:variant>
        <vt:lpwstr/>
      </vt:variant>
      <vt:variant>
        <vt:i4>5439500</vt:i4>
      </vt:variant>
      <vt:variant>
        <vt:i4>45</vt:i4>
      </vt:variant>
      <vt:variant>
        <vt:i4>0</vt:i4>
      </vt:variant>
      <vt:variant>
        <vt:i4>5</vt:i4>
      </vt:variant>
      <vt:variant>
        <vt:lpwstr>https://www.nopta.gov.au/guidelines-and-factsheets/offshore-petroleum-guidelines.html</vt:lpwstr>
      </vt:variant>
      <vt:variant>
        <vt:lpwstr/>
      </vt:variant>
      <vt:variant>
        <vt:i4>5373971</vt:i4>
      </vt:variant>
      <vt:variant>
        <vt:i4>36</vt:i4>
      </vt:variant>
      <vt:variant>
        <vt:i4>0</vt:i4>
      </vt:variant>
      <vt:variant>
        <vt:i4>5</vt:i4>
      </vt:variant>
      <vt:variant>
        <vt:lpwstr>https://www.nopta.gov.au/cost-recovery-and-fees.html</vt:lpwstr>
      </vt:variant>
      <vt:variant>
        <vt:lpwstr/>
      </vt:variant>
      <vt:variant>
        <vt:i4>4980757</vt:i4>
      </vt:variant>
      <vt:variant>
        <vt:i4>33</vt:i4>
      </vt:variant>
      <vt:variant>
        <vt:i4>0</vt:i4>
      </vt:variant>
      <vt:variant>
        <vt:i4>5</vt:i4>
      </vt:variant>
      <vt:variant>
        <vt:lpwstr>https://www.nopta.gov.au/forms/forms.html</vt:lpwstr>
      </vt:variant>
      <vt:variant>
        <vt:lpwstr/>
      </vt:variant>
      <vt:variant>
        <vt:i4>7864416</vt:i4>
      </vt:variant>
      <vt:variant>
        <vt:i4>30</vt:i4>
      </vt:variant>
      <vt:variant>
        <vt:i4>0</vt:i4>
      </vt:variant>
      <vt:variant>
        <vt:i4>5</vt:i4>
      </vt:variant>
      <vt:variant>
        <vt:lpwstr>https://www.nopta.gov.au/guidelines-and-factsheets/fact-sheets.html</vt:lpwstr>
      </vt:variant>
      <vt:variant>
        <vt:lpwstr/>
      </vt:variant>
      <vt:variant>
        <vt:i4>5439500</vt:i4>
      </vt:variant>
      <vt:variant>
        <vt:i4>27</vt:i4>
      </vt:variant>
      <vt:variant>
        <vt:i4>0</vt:i4>
      </vt:variant>
      <vt:variant>
        <vt:i4>5</vt:i4>
      </vt:variant>
      <vt:variant>
        <vt:lpwstr>https://www.nopta.gov.au/guidelines-and-factsheets/offshore-petroleum-guidelines.html</vt:lpwstr>
      </vt:variant>
      <vt:variant>
        <vt:lpwstr/>
      </vt:variant>
      <vt:variant>
        <vt:i4>4587571</vt:i4>
      </vt:variant>
      <vt:variant>
        <vt:i4>24</vt:i4>
      </vt:variant>
      <vt:variant>
        <vt:i4>0</vt:i4>
      </vt:variant>
      <vt:variant>
        <vt:i4>5</vt:i4>
      </vt:variant>
      <vt:variant>
        <vt:lpwstr>mailto:titles@nopta.gov.au</vt:lpwstr>
      </vt:variant>
      <vt:variant>
        <vt:lpwstr/>
      </vt:variant>
      <vt:variant>
        <vt:i4>2883607</vt:i4>
      </vt:variant>
      <vt:variant>
        <vt:i4>21</vt:i4>
      </vt:variant>
      <vt:variant>
        <vt:i4>0</vt:i4>
      </vt:variant>
      <vt:variant>
        <vt:i4>5</vt:i4>
      </vt:variant>
      <vt:variant>
        <vt:lpwstr/>
      </vt:variant>
      <vt:variant>
        <vt:lpwstr>_Extension_of_application</vt:lpwstr>
      </vt:variant>
      <vt:variant>
        <vt:i4>2359299</vt:i4>
      </vt:variant>
      <vt:variant>
        <vt:i4>18</vt:i4>
      </vt:variant>
      <vt:variant>
        <vt:i4>0</vt:i4>
      </vt:variant>
      <vt:variant>
        <vt:i4>5</vt:i4>
      </vt:variant>
      <vt:variant>
        <vt:lpwstr/>
      </vt:variant>
      <vt:variant>
        <vt:lpwstr>_Revocation_of_a</vt:lpwstr>
      </vt:variant>
      <vt:variant>
        <vt:i4>5374069</vt:i4>
      </vt:variant>
      <vt:variant>
        <vt:i4>15</vt:i4>
      </vt:variant>
      <vt:variant>
        <vt:i4>0</vt:i4>
      </vt:variant>
      <vt:variant>
        <vt:i4>5</vt:i4>
      </vt:variant>
      <vt:variant>
        <vt:lpwstr/>
      </vt:variant>
      <vt:variant>
        <vt:lpwstr>_Variation_of_a</vt:lpwstr>
      </vt:variant>
      <vt:variant>
        <vt:i4>5898280</vt:i4>
      </vt:variant>
      <vt:variant>
        <vt:i4>12</vt:i4>
      </vt:variant>
      <vt:variant>
        <vt:i4>0</vt:i4>
      </vt:variant>
      <vt:variant>
        <vt:i4>5</vt:i4>
      </vt:variant>
      <vt:variant>
        <vt:lpwstr/>
      </vt:variant>
      <vt:variant>
        <vt:lpwstr>_Nomination_of_block(s)</vt:lpwstr>
      </vt:variant>
      <vt:variant>
        <vt:i4>6357072</vt:i4>
      </vt:variant>
      <vt:variant>
        <vt:i4>9</vt:i4>
      </vt:variant>
      <vt:variant>
        <vt:i4>0</vt:i4>
      </vt:variant>
      <vt:variant>
        <vt:i4>5</vt:i4>
      </vt:variant>
      <vt:variant>
        <vt:lpwstr/>
      </vt:variant>
      <vt:variant>
        <vt:lpwstr>_Accessibility</vt:lpwstr>
      </vt:variant>
      <vt:variant>
        <vt:i4>7012436</vt:i4>
      </vt:variant>
      <vt:variant>
        <vt:i4>6</vt:i4>
      </vt:variant>
      <vt:variant>
        <vt:i4>0</vt:i4>
      </vt:variant>
      <vt:variant>
        <vt:i4>5</vt:i4>
      </vt:variant>
      <vt:variant>
        <vt:lpwstr/>
      </vt:variant>
      <vt:variant>
        <vt:lpwstr>_Revisions</vt:lpwstr>
      </vt:variant>
      <vt:variant>
        <vt:i4>1310756</vt:i4>
      </vt:variant>
      <vt:variant>
        <vt:i4>3</vt:i4>
      </vt:variant>
      <vt:variant>
        <vt:i4>0</vt:i4>
      </vt:variant>
      <vt:variant>
        <vt:i4>5</vt:i4>
      </vt:variant>
      <vt:variant>
        <vt:lpwstr/>
      </vt:variant>
      <vt:variant>
        <vt:lpwstr>_Petroleum_exploration_permit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2026-02-27T05:39:00Z</dcterms:created>
  <dcterms:modified xsi:type="dcterms:W3CDTF">2026-02-27T05:39:00Z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2026-02-27T05:39:44Z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e4a39b0d-f8b4-41b1-942d-f87f768384da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e6661fdd-0b0f-42c0-b959-c06bb2353979</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MediaServiceImageTags">
    <vt:lpwstr/>
  </property>
  <property fmtid="{D5CDD505-2E9C-101B-9397-08002B2CF9AE}" pid="27" name="xd_ProgID">
    <vt:lpwstr/>
  </property>
  <property fmtid="{D5CDD505-2E9C-101B-9397-08002B2CF9AE}" pid="28" name="ContentTypeId">
    <vt:lpwstr>0x01010063547D135F865547B104B3688A6EB0DB00F4C4AF551FA6E84F9660D2D5879C24B3</vt:lpwstr>
  </property>
  <property fmtid="{D5CDD505-2E9C-101B-9397-08002B2CF9AE}" pid="29" name="TemplateUrl">
    <vt:lpwstr/>
  </property>
</Properties>
</file>