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039E" w14:textId="77777777" w:rsidR="008072C7" w:rsidRDefault="008072C7" w:rsidP="008072C7">
      <w:pPr>
        <w:pStyle w:val="Heading1"/>
        <w:spacing w:before="10"/>
        <w:rPr>
          <w:color w:val="27629B"/>
        </w:rPr>
      </w:pPr>
      <w:r>
        <w:rPr>
          <w:color w:val="27629B"/>
        </w:rPr>
        <w:t>F</w:t>
      </w:r>
      <w:r w:rsidRPr="00065513">
        <w:rPr>
          <w:color w:val="27629B"/>
        </w:rPr>
        <w:t xml:space="preserve">inancial </w:t>
      </w:r>
      <w:r>
        <w:rPr>
          <w:color w:val="27629B"/>
        </w:rPr>
        <w:t>resources</w:t>
      </w:r>
      <w:r w:rsidRPr="00065513">
        <w:rPr>
          <w:color w:val="27629B"/>
        </w:rPr>
        <w:t xml:space="preserve"> </w:t>
      </w:r>
    </w:p>
    <w:p w14:paraId="7AF39398" w14:textId="77777777" w:rsidR="008072C7" w:rsidRPr="000C0CBC" w:rsidRDefault="008072C7" w:rsidP="008072C7">
      <w:pPr>
        <w:widowControl/>
        <w:pBdr>
          <w:bottom w:val="single" w:sz="4" w:space="1" w:color="5F5F5F"/>
        </w:pBdr>
        <w:autoSpaceDE/>
        <w:autoSpaceDN/>
        <w:spacing w:before="120"/>
        <w:ind w:left="142"/>
        <w:contextualSpacing/>
        <w:rPr>
          <w:rFonts w:eastAsia="Times New Roman"/>
          <w:color w:val="595959"/>
          <w:sz w:val="20"/>
          <w:szCs w:val="20"/>
          <w:lang w:val="en-AU"/>
        </w:rPr>
      </w:pPr>
      <w:r w:rsidRPr="000C0CBC">
        <w:rPr>
          <w:rFonts w:eastAsia="Times New Roman"/>
          <w:color w:val="5F5F5F"/>
          <w:sz w:val="20"/>
          <w:szCs w:val="24"/>
          <w:lang w:eastAsia="en-AU"/>
        </w:rPr>
        <w:t xml:space="preserve">All </w:t>
      </w:r>
      <w:r>
        <w:rPr>
          <w:rFonts w:eastAsia="Times New Roman"/>
          <w:color w:val="5F5F5F"/>
          <w:sz w:val="20"/>
          <w:szCs w:val="24"/>
          <w:lang w:eastAsia="en-AU"/>
        </w:rPr>
        <w:t>information</w:t>
      </w:r>
      <w:r w:rsidRPr="000C0CBC">
        <w:rPr>
          <w:rFonts w:eastAsia="Times New Roman"/>
          <w:color w:val="5F5F5F"/>
          <w:sz w:val="20"/>
          <w:szCs w:val="24"/>
          <w:lang w:eastAsia="en-AU"/>
        </w:rPr>
        <w:t xml:space="preserve"> </w:t>
      </w:r>
      <w:r w:rsidRPr="000C0CBC">
        <w:rPr>
          <w:rFonts w:eastAsia="Times New Roman"/>
          <w:color w:val="5F5F5F"/>
          <w:sz w:val="20"/>
          <w:szCs w:val="24"/>
          <w:lang w:val="en-AU"/>
        </w:rPr>
        <w:t xml:space="preserve">should be read in conjunction with the </w:t>
      </w:r>
      <w:hyperlink r:id="rId11" w:tooltip="Link to offshore petroleum and greenhouse gas act" w:history="1">
        <w:r w:rsidRPr="000C0CBC">
          <w:rPr>
            <w:rFonts w:eastAsia="Times New Roman"/>
            <w:i/>
            <w:color w:val="0563C1"/>
            <w:sz w:val="20"/>
            <w:szCs w:val="24"/>
            <w:u w:val="single"/>
            <w:lang w:val="en-AU"/>
          </w:rPr>
          <w:t>Offshore Petroleum and Greenhouse Gas Storage Act 2006</w:t>
        </w:r>
      </w:hyperlink>
      <w:r w:rsidRPr="000C0CBC">
        <w:rPr>
          <w:rFonts w:eastAsia="Times New Roman"/>
          <w:i/>
          <w:color w:val="5F5F5F"/>
          <w:sz w:val="20"/>
          <w:szCs w:val="24"/>
          <w:lang w:val="en-AU"/>
        </w:rPr>
        <w:t xml:space="preserve"> </w:t>
      </w:r>
      <w:r w:rsidRPr="000C0CBC">
        <w:rPr>
          <w:rFonts w:eastAsia="Times New Roman"/>
          <w:color w:val="5F5F5F"/>
          <w:sz w:val="20"/>
          <w:szCs w:val="24"/>
          <w:lang w:val="en-AU"/>
        </w:rPr>
        <w:t xml:space="preserve">(the </w:t>
      </w:r>
      <w:r>
        <w:rPr>
          <w:rFonts w:eastAsia="Times New Roman"/>
          <w:color w:val="5F5F5F"/>
          <w:sz w:val="20"/>
          <w:szCs w:val="24"/>
          <w:lang w:val="en-AU"/>
        </w:rPr>
        <w:t xml:space="preserve">OPGGS </w:t>
      </w:r>
      <w:r w:rsidRPr="000C0CBC">
        <w:rPr>
          <w:rFonts w:eastAsia="Times New Roman"/>
          <w:color w:val="5F5F5F"/>
          <w:sz w:val="20"/>
          <w:szCs w:val="24"/>
          <w:lang w:val="en-AU"/>
        </w:rPr>
        <w:t xml:space="preserve">Act), associated regulations, relevant guidelines and policies (available on </w:t>
      </w:r>
      <w:hyperlink r:id="rId12" w:tooltip="Link to NOPTA's website" w:history="1">
        <w:r w:rsidRPr="000C0CBC">
          <w:rPr>
            <w:rFonts w:eastAsia="Times New Roman"/>
            <w:color w:val="0563C1"/>
            <w:sz w:val="20"/>
            <w:szCs w:val="24"/>
            <w:u w:val="single"/>
            <w:lang w:val="en-AU"/>
          </w:rPr>
          <w:t>NOPTA’s website</w:t>
        </w:r>
      </w:hyperlink>
      <w:r w:rsidRPr="000C0CBC">
        <w:rPr>
          <w:rFonts w:eastAsia="Times New Roman"/>
          <w:color w:val="5F5F5F"/>
          <w:sz w:val="20"/>
          <w:szCs w:val="24"/>
          <w:lang w:val="en-AU"/>
        </w:rPr>
        <w:t>).</w:t>
      </w:r>
    </w:p>
    <w:p w14:paraId="6D722E32" w14:textId="77777777" w:rsidR="008072C7" w:rsidRDefault="008072C7" w:rsidP="008072C7">
      <w:pPr>
        <w:pStyle w:val="BodyText"/>
        <w:spacing w:before="0"/>
        <w:ind w:left="120" w:right="282"/>
        <w:rPr>
          <w:color w:val="5F5F5F"/>
        </w:rPr>
      </w:pPr>
    </w:p>
    <w:p w14:paraId="5063174B" w14:textId="77777777" w:rsidR="008072C7" w:rsidRDefault="008072C7" w:rsidP="008072C7">
      <w:pPr>
        <w:pStyle w:val="BodyText"/>
        <w:spacing w:before="0"/>
        <w:ind w:left="120" w:right="282"/>
        <w:rPr>
          <w:color w:val="5F5F5F"/>
        </w:rPr>
        <w:sectPr w:rsidR="008072C7" w:rsidSect="008072C7">
          <w:headerReference w:type="default" r:id="rId13"/>
          <w:footerReference w:type="default" r:id="rId14"/>
          <w:pgSz w:w="11910" w:h="16840"/>
          <w:pgMar w:top="2460" w:right="620" w:bottom="680" w:left="600" w:header="3" w:footer="480" w:gutter="0"/>
          <w:cols w:space="720"/>
        </w:sectPr>
      </w:pPr>
    </w:p>
    <w:p w14:paraId="04817E14" w14:textId="77777777" w:rsidR="008072C7" w:rsidRDefault="008072C7" w:rsidP="008072C7">
      <w:pPr>
        <w:pStyle w:val="List2"/>
        <w:spacing w:after="120" w:line="240" w:lineRule="auto"/>
        <w:ind w:left="142" w:firstLine="0"/>
        <w:contextualSpacing w:val="0"/>
        <w:rPr>
          <w:rFonts w:ascii="Calibri" w:eastAsia="Calibri" w:hAnsi="Calibri" w:cs="Calibri"/>
          <w:color w:val="5F5F5F"/>
          <w:sz w:val="20"/>
          <w:szCs w:val="20"/>
          <w:lang w:val="en-US"/>
        </w:rPr>
      </w:pPr>
      <w:r w:rsidRPr="00C43A92">
        <w:rPr>
          <w:rFonts w:ascii="Calibri" w:eastAsia="Calibri" w:hAnsi="Calibri" w:cs="Calibri"/>
          <w:color w:val="5F5F5F"/>
          <w:sz w:val="20"/>
          <w:szCs w:val="20"/>
          <w:lang w:val="en-US"/>
        </w:rPr>
        <w:t xml:space="preserve">The purpose of this </w:t>
      </w:r>
      <w:r>
        <w:rPr>
          <w:rFonts w:ascii="Calibri" w:eastAsia="Calibri" w:hAnsi="Calibri" w:cs="Calibri"/>
          <w:color w:val="5F5F5F"/>
          <w:sz w:val="20"/>
          <w:szCs w:val="20"/>
          <w:lang w:val="en-US"/>
        </w:rPr>
        <w:t>factsheet</w:t>
      </w:r>
      <w:r w:rsidRPr="00C43A92">
        <w:rPr>
          <w:rFonts w:ascii="Calibri" w:eastAsia="Calibri" w:hAnsi="Calibri" w:cs="Calibri"/>
          <w:color w:val="5F5F5F"/>
          <w:sz w:val="20"/>
          <w:szCs w:val="20"/>
          <w:lang w:val="en-US"/>
        </w:rPr>
        <w:t xml:space="preserve"> is to provide an overview of the </w:t>
      </w:r>
      <w:r>
        <w:rPr>
          <w:rFonts w:ascii="Calibri" w:eastAsia="Calibri" w:hAnsi="Calibri" w:cs="Calibri"/>
          <w:color w:val="5F5F5F"/>
          <w:sz w:val="20"/>
          <w:szCs w:val="20"/>
          <w:lang w:val="en-US"/>
        </w:rPr>
        <w:t xml:space="preserve">types of </w:t>
      </w:r>
      <w:r w:rsidRPr="00C43A92">
        <w:rPr>
          <w:rFonts w:ascii="Calibri" w:eastAsia="Calibri" w:hAnsi="Calibri" w:cs="Calibri"/>
          <w:color w:val="5F5F5F"/>
          <w:sz w:val="20"/>
          <w:szCs w:val="20"/>
          <w:lang w:val="en-US"/>
        </w:rPr>
        <w:t xml:space="preserve">information </w:t>
      </w:r>
      <w:r>
        <w:rPr>
          <w:rFonts w:ascii="Calibri" w:eastAsia="Calibri" w:hAnsi="Calibri" w:cs="Calibri"/>
          <w:color w:val="5F5F5F"/>
          <w:sz w:val="20"/>
          <w:szCs w:val="20"/>
          <w:lang w:val="en-US"/>
        </w:rPr>
        <w:t>that could be expected</w:t>
      </w:r>
      <w:r w:rsidRPr="00C43A92">
        <w:rPr>
          <w:rFonts w:ascii="Calibri" w:eastAsia="Calibri" w:hAnsi="Calibri" w:cs="Calibri"/>
          <w:color w:val="5F5F5F"/>
          <w:sz w:val="20"/>
          <w:szCs w:val="20"/>
          <w:lang w:val="en-US"/>
        </w:rPr>
        <w:t xml:space="preserve"> to support </w:t>
      </w:r>
      <w:r>
        <w:rPr>
          <w:rFonts w:ascii="Calibri" w:eastAsia="Calibri" w:hAnsi="Calibri" w:cs="Calibri"/>
          <w:color w:val="5F5F5F"/>
          <w:sz w:val="20"/>
          <w:szCs w:val="20"/>
          <w:lang w:val="en-US"/>
        </w:rPr>
        <w:t>the</w:t>
      </w:r>
      <w:r w:rsidRPr="00C43A92">
        <w:rPr>
          <w:rFonts w:ascii="Calibri" w:eastAsia="Calibri" w:hAnsi="Calibri" w:cs="Calibri"/>
          <w:color w:val="5F5F5F"/>
          <w:sz w:val="20"/>
          <w:szCs w:val="20"/>
          <w:lang w:val="en-US"/>
        </w:rPr>
        <w:t xml:space="preserve"> assessment of the </w:t>
      </w:r>
      <w:r>
        <w:rPr>
          <w:rFonts w:ascii="Calibri" w:eastAsia="Calibri" w:hAnsi="Calibri" w:cs="Calibri"/>
          <w:color w:val="5F5F5F"/>
          <w:sz w:val="20"/>
          <w:szCs w:val="20"/>
          <w:lang w:val="en-US"/>
        </w:rPr>
        <w:t xml:space="preserve">financial resources of the </w:t>
      </w:r>
      <w:r w:rsidRPr="00C43A92">
        <w:rPr>
          <w:rFonts w:ascii="Calibri" w:eastAsia="Calibri" w:hAnsi="Calibri" w:cs="Calibri"/>
          <w:color w:val="5F5F5F"/>
          <w:sz w:val="20"/>
          <w:szCs w:val="20"/>
          <w:lang w:val="en-US"/>
        </w:rPr>
        <w:t>applicant</w:t>
      </w:r>
      <w:r>
        <w:rPr>
          <w:rFonts w:ascii="Calibri" w:eastAsia="Calibri" w:hAnsi="Calibri" w:cs="Calibri"/>
          <w:color w:val="5F5F5F"/>
          <w:sz w:val="20"/>
          <w:szCs w:val="20"/>
          <w:lang w:val="en-US"/>
        </w:rPr>
        <w:t>.</w:t>
      </w:r>
      <w:r w:rsidRPr="00C43A92">
        <w:rPr>
          <w:rFonts w:ascii="Calibri" w:eastAsia="Calibri" w:hAnsi="Calibri" w:cs="Calibri"/>
          <w:color w:val="5F5F5F"/>
          <w:sz w:val="20"/>
          <w:szCs w:val="20"/>
          <w:lang w:val="en-US"/>
        </w:rPr>
        <w:t xml:space="preserve"> </w:t>
      </w:r>
    </w:p>
    <w:p w14:paraId="76CE72F8" w14:textId="77777777" w:rsidR="008072C7" w:rsidRDefault="008072C7" w:rsidP="008072C7">
      <w:pPr>
        <w:spacing w:before="119"/>
        <w:ind w:left="119" w:right="164"/>
        <w:rPr>
          <w:i/>
          <w:color w:val="5F5F5F"/>
          <w:sz w:val="20"/>
          <w:szCs w:val="20"/>
        </w:rPr>
      </w:pPr>
      <w:r w:rsidRPr="00C635A7">
        <w:rPr>
          <w:b/>
          <w:i/>
          <w:color w:val="5F5F5F"/>
          <w:sz w:val="20"/>
          <w:szCs w:val="20"/>
        </w:rPr>
        <w:t xml:space="preserve">Please note: </w:t>
      </w:r>
      <w:r>
        <w:rPr>
          <w:i/>
          <w:color w:val="5F5F5F"/>
          <w:sz w:val="20"/>
          <w:szCs w:val="20"/>
        </w:rPr>
        <w:t>this factsheet</w:t>
      </w:r>
      <w:r w:rsidRPr="00C635A7">
        <w:rPr>
          <w:i/>
          <w:color w:val="5F5F5F"/>
          <w:sz w:val="20"/>
          <w:szCs w:val="20"/>
        </w:rPr>
        <w:t xml:space="preserve"> is intended as a guide only and should not be relied on as legal advice or regarded as a substitute for legal advice in individual cases.</w:t>
      </w:r>
    </w:p>
    <w:p w14:paraId="691D8CA7" w14:textId="77777777" w:rsidR="008072C7" w:rsidRPr="00222023" w:rsidRDefault="008072C7" w:rsidP="008072C7">
      <w:pPr>
        <w:pStyle w:val="Heading2"/>
        <w:rPr>
          <w:color w:val="27629B"/>
        </w:rPr>
      </w:pPr>
      <w:r w:rsidRPr="00222023">
        <w:rPr>
          <w:color w:val="27629B"/>
        </w:rPr>
        <w:t>Overview</w:t>
      </w:r>
    </w:p>
    <w:p w14:paraId="2DA9C68C" w14:textId="77777777" w:rsidR="008072C7" w:rsidRDefault="008072C7" w:rsidP="008072C7">
      <w:pPr>
        <w:ind w:left="142"/>
      </w:pPr>
      <w:r w:rsidRPr="00065513">
        <w:rPr>
          <w:color w:val="5F5F5F"/>
          <w:sz w:val="20"/>
          <w:szCs w:val="20"/>
        </w:rPr>
        <w:t>The information requirements vary depending on the legal form of the applicant, and any entity</w:t>
      </w:r>
      <w:r>
        <w:rPr>
          <w:color w:val="5F5F5F"/>
          <w:sz w:val="20"/>
          <w:szCs w:val="20"/>
        </w:rPr>
        <w:t xml:space="preserve"> making financial resources available to the </w:t>
      </w:r>
      <w:proofErr w:type="spellStart"/>
      <w:proofErr w:type="gramStart"/>
      <w:r>
        <w:rPr>
          <w:color w:val="5F5F5F"/>
          <w:sz w:val="20"/>
          <w:szCs w:val="20"/>
        </w:rPr>
        <w:t>applicant</w:t>
      </w:r>
      <w:r w:rsidRPr="00065513">
        <w:rPr>
          <w:color w:val="5F5F5F"/>
          <w:sz w:val="20"/>
          <w:szCs w:val="20"/>
        </w:rPr>
        <w:t>,and</w:t>
      </w:r>
      <w:proofErr w:type="spellEnd"/>
      <w:proofErr w:type="gramEnd"/>
      <w:r w:rsidRPr="00065513">
        <w:rPr>
          <w:color w:val="5F5F5F"/>
          <w:sz w:val="20"/>
          <w:szCs w:val="20"/>
        </w:rPr>
        <w:t xml:space="preserve"> should be provided for both the applicant and any </w:t>
      </w:r>
      <w:r>
        <w:rPr>
          <w:color w:val="5F5F5F"/>
          <w:sz w:val="20"/>
          <w:szCs w:val="20"/>
        </w:rPr>
        <w:t>such entity.</w:t>
      </w:r>
    </w:p>
    <w:p w14:paraId="6532C791" w14:textId="77777777" w:rsidR="008072C7" w:rsidRDefault="008072C7" w:rsidP="008072C7">
      <w:pPr>
        <w:ind w:left="142"/>
        <w:rPr>
          <w:color w:val="5F5F5F"/>
          <w:sz w:val="20"/>
          <w:szCs w:val="20"/>
        </w:rPr>
      </w:pPr>
    </w:p>
    <w:p w14:paraId="681EF64A" w14:textId="77777777" w:rsidR="008072C7" w:rsidRDefault="008072C7" w:rsidP="008072C7">
      <w:pPr>
        <w:ind w:left="142"/>
        <w:rPr>
          <w:color w:val="5F5F5F"/>
          <w:sz w:val="20"/>
          <w:szCs w:val="20"/>
        </w:rPr>
      </w:pPr>
      <w:r>
        <w:rPr>
          <w:b/>
          <w:color w:val="5F5F5F"/>
          <w:sz w:val="20"/>
          <w:szCs w:val="20"/>
        </w:rPr>
        <w:t xml:space="preserve">Note: </w:t>
      </w:r>
      <w:r>
        <w:rPr>
          <w:color w:val="5F5F5F"/>
          <w:sz w:val="20"/>
          <w:szCs w:val="20"/>
        </w:rPr>
        <w:t xml:space="preserve">Applicants are not required to provide the types of information listed under the ‘Other Supporting Information’ section </w:t>
      </w:r>
      <w:proofErr w:type="gramStart"/>
      <w:r>
        <w:rPr>
          <w:color w:val="5F5F5F"/>
          <w:sz w:val="20"/>
          <w:szCs w:val="20"/>
        </w:rPr>
        <w:t>in order to</w:t>
      </w:r>
      <w:proofErr w:type="gramEnd"/>
      <w:r>
        <w:rPr>
          <w:color w:val="5F5F5F"/>
          <w:sz w:val="20"/>
          <w:szCs w:val="20"/>
        </w:rPr>
        <w:t xml:space="preserve"> validly submit an application. However, a</w:t>
      </w:r>
      <w:r w:rsidRPr="00B04609">
        <w:rPr>
          <w:color w:val="5F5F5F"/>
          <w:sz w:val="20"/>
          <w:szCs w:val="20"/>
        </w:rPr>
        <w:t>pplicants may be requested to provide additional information where it is deemed necessary to allow an assessment of finan</w:t>
      </w:r>
      <w:r>
        <w:rPr>
          <w:color w:val="5F5F5F"/>
          <w:sz w:val="20"/>
          <w:szCs w:val="20"/>
        </w:rPr>
        <w:t>cial resources to be completed.</w:t>
      </w:r>
    </w:p>
    <w:p w14:paraId="06DB7550" w14:textId="77777777" w:rsidR="008072C7" w:rsidRDefault="008072C7" w:rsidP="008072C7">
      <w:pPr>
        <w:ind w:left="142"/>
        <w:rPr>
          <w:color w:val="5F5F5F"/>
          <w:sz w:val="20"/>
          <w:szCs w:val="20"/>
        </w:rPr>
      </w:pPr>
    </w:p>
    <w:p w14:paraId="2C303E47" w14:textId="77777777" w:rsidR="008072C7" w:rsidRDefault="008072C7" w:rsidP="008072C7">
      <w:pPr>
        <w:ind w:left="142"/>
        <w:rPr>
          <w:color w:val="5F5F5F"/>
          <w:sz w:val="20"/>
          <w:szCs w:val="20"/>
        </w:rPr>
      </w:pPr>
      <w:r>
        <w:rPr>
          <w:color w:val="5F5F5F"/>
          <w:sz w:val="20"/>
          <w:szCs w:val="20"/>
        </w:rPr>
        <w:t>The ‘Other Supporting Information’ section provides a guide as to the type of information that may be requested. T</w:t>
      </w:r>
      <w:r w:rsidRPr="00154154">
        <w:rPr>
          <w:color w:val="5F5F5F"/>
          <w:sz w:val="20"/>
          <w:szCs w:val="20"/>
        </w:rPr>
        <w:t>he list is not exhaustive, and other forms of credible evidence may be considered suitable</w:t>
      </w:r>
      <w:r>
        <w:rPr>
          <w:color w:val="5F5F5F"/>
          <w:sz w:val="20"/>
          <w:szCs w:val="20"/>
        </w:rPr>
        <w:t>.</w:t>
      </w:r>
    </w:p>
    <w:p w14:paraId="51D1F6D2" w14:textId="77777777" w:rsidR="008072C7" w:rsidRDefault="008072C7" w:rsidP="008072C7">
      <w:pPr>
        <w:ind w:left="142"/>
        <w:rPr>
          <w:color w:val="5F5F5F"/>
          <w:sz w:val="20"/>
          <w:szCs w:val="20"/>
        </w:rPr>
      </w:pPr>
    </w:p>
    <w:p w14:paraId="7EF6A5A2" w14:textId="77777777" w:rsidR="008072C7" w:rsidRDefault="008072C7" w:rsidP="008072C7">
      <w:pPr>
        <w:ind w:left="142"/>
        <w:rPr>
          <w:color w:val="5F5F5F"/>
          <w:sz w:val="20"/>
          <w:szCs w:val="20"/>
        </w:rPr>
      </w:pPr>
      <w:r>
        <w:rPr>
          <w:color w:val="5F5F5F"/>
          <w:sz w:val="20"/>
          <w:szCs w:val="20"/>
        </w:rPr>
        <w:t xml:space="preserve">NOPTA has identified a set of financial indicators and threshold values to allow an applicant to conduct a self-assessment and determine if it is likely to be required to provide additional information. Tables 2 and 3 in </w:t>
      </w:r>
      <w:hyperlink w:anchor="_Attachment_B:_Financial" w:tooltip="Link to Attachment B" w:history="1">
        <w:r w:rsidRPr="00D36759">
          <w:rPr>
            <w:rStyle w:val="Hyperlink"/>
            <w:b/>
            <w:bCs/>
            <w:color w:val="0562C1"/>
            <w:sz w:val="20"/>
            <w:szCs w:val="20"/>
          </w:rPr>
          <w:t>Attachment B</w:t>
        </w:r>
      </w:hyperlink>
      <w:r w:rsidRPr="00D36759">
        <w:rPr>
          <w:rStyle w:val="Hyperlink"/>
          <w:b/>
          <w:bCs/>
          <w:color w:val="0562C1"/>
        </w:rPr>
        <w:t xml:space="preserve"> </w:t>
      </w:r>
      <w:r w:rsidRPr="00D36759">
        <w:rPr>
          <w:color w:val="5F5F5F"/>
          <w:sz w:val="20"/>
          <w:szCs w:val="20"/>
        </w:rPr>
        <w:t>d</w:t>
      </w:r>
      <w:r>
        <w:rPr>
          <w:color w:val="5F5F5F"/>
          <w:sz w:val="20"/>
          <w:szCs w:val="20"/>
        </w:rPr>
        <w:t xml:space="preserve">efine these indicators and threshold values. Where appropriate, applicants should consider providing additional information along with the required information when they </w:t>
      </w:r>
      <w:proofErr w:type="gramStart"/>
      <w:r>
        <w:rPr>
          <w:color w:val="5F5F5F"/>
          <w:sz w:val="20"/>
          <w:szCs w:val="20"/>
        </w:rPr>
        <w:t>submit an application</w:t>
      </w:r>
      <w:proofErr w:type="gramEnd"/>
      <w:r>
        <w:rPr>
          <w:color w:val="5F5F5F"/>
          <w:sz w:val="20"/>
          <w:szCs w:val="20"/>
        </w:rPr>
        <w:t>. This will allow NOPTA to conduct a more streamlined and timely assessment.</w:t>
      </w:r>
    </w:p>
    <w:p w14:paraId="573D45C4" w14:textId="77777777" w:rsidR="008072C7" w:rsidRDefault="008072C7" w:rsidP="008072C7">
      <w:pPr>
        <w:ind w:left="142"/>
        <w:rPr>
          <w:color w:val="5F5F5F"/>
          <w:sz w:val="20"/>
          <w:szCs w:val="20"/>
        </w:rPr>
      </w:pPr>
    </w:p>
    <w:p w14:paraId="64AA4B3D" w14:textId="77777777" w:rsidR="008072C7" w:rsidRDefault="008072C7" w:rsidP="008072C7">
      <w:pPr>
        <w:ind w:left="142"/>
        <w:rPr>
          <w:color w:val="5F5F5F"/>
          <w:sz w:val="20"/>
          <w:szCs w:val="20"/>
        </w:rPr>
      </w:pPr>
      <w:r w:rsidRPr="00793E04">
        <w:rPr>
          <w:color w:val="5F5F5F"/>
          <w:sz w:val="20"/>
          <w:szCs w:val="20"/>
        </w:rPr>
        <w:t xml:space="preserve">Evidence that does not enable NOPTA to assess the adequacy of the </w:t>
      </w:r>
      <w:proofErr w:type="gramStart"/>
      <w:r w:rsidRPr="00793E04">
        <w:rPr>
          <w:color w:val="5F5F5F"/>
          <w:sz w:val="20"/>
          <w:szCs w:val="20"/>
        </w:rPr>
        <w:t>resources, or</w:t>
      </w:r>
      <w:proofErr w:type="gramEnd"/>
      <w:r w:rsidRPr="00793E04">
        <w:rPr>
          <w:color w:val="5F5F5F"/>
          <w:sz w:val="20"/>
          <w:szCs w:val="20"/>
        </w:rPr>
        <w:t xml:space="preserve"> is not in a form where the operation of the form of evidence is legally effective may result in delays processing applications and/ or requests for further information</w:t>
      </w:r>
      <w:r>
        <w:rPr>
          <w:color w:val="5F5F5F"/>
          <w:sz w:val="20"/>
          <w:szCs w:val="20"/>
        </w:rPr>
        <w:t>.</w:t>
      </w:r>
    </w:p>
    <w:p w14:paraId="74155799" w14:textId="77777777" w:rsidR="008072C7" w:rsidRDefault="008072C7" w:rsidP="008072C7">
      <w:pPr>
        <w:ind w:left="142"/>
        <w:rPr>
          <w:color w:val="5F5F5F"/>
          <w:sz w:val="20"/>
          <w:szCs w:val="20"/>
        </w:rPr>
      </w:pPr>
    </w:p>
    <w:p w14:paraId="71CE6CC2" w14:textId="77777777" w:rsidR="008072C7" w:rsidRDefault="008072C7" w:rsidP="008072C7">
      <w:pPr>
        <w:ind w:left="142"/>
        <w:rPr>
          <w:color w:val="5F5F5F"/>
          <w:sz w:val="20"/>
          <w:szCs w:val="20"/>
        </w:rPr>
      </w:pPr>
      <w:r w:rsidRPr="003704D1">
        <w:rPr>
          <w:color w:val="5F5F5F"/>
          <w:sz w:val="20"/>
          <w:szCs w:val="20"/>
        </w:rPr>
        <w:t xml:space="preserve">The decision maker will </w:t>
      </w:r>
      <w:proofErr w:type="gramStart"/>
      <w:r w:rsidRPr="003704D1">
        <w:rPr>
          <w:color w:val="5F5F5F"/>
          <w:sz w:val="20"/>
          <w:szCs w:val="20"/>
        </w:rPr>
        <w:t>take into account</w:t>
      </w:r>
      <w:proofErr w:type="gramEnd"/>
      <w:r w:rsidRPr="003704D1">
        <w:rPr>
          <w:color w:val="5F5F5F"/>
          <w:sz w:val="20"/>
          <w:szCs w:val="20"/>
        </w:rPr>
        <w:t xml:space="preserve"> the nature of the title with an expectation that an applicant demonstrates a level of financial resources that reflects the activities </w:t>
      </w:r>
      <w:proofErr w:type="spellStart"/>
      <w:r w:rsidRPr="003704D1">
        <w:rPr>
          <w:color w:val="5F5F5F"/>
          <w:sz w:val="20"/>
          <w:szCs w:val="20"/>
        </w:rPr>
        <w:t>authorised</w:t>
      </w:r>
      <w:proofErr w:type="spellEnd"/>
      <w:r w:rsidRPr="003704D1">
        <w:rPr>
          <w:color w:val="5F5F5F"/>
          <w:sz w:val="20"/>
          <w:szCs w:val="20"/>
        </w:rPr>
        <w:t xml:space="preserve"> by the title and the obligations imposed under the OPGGS Act and regulations in relation to the title.</w:t>
      </w:r>
      <w:r w:rsidRPr="00FC532C" w:rsidDel="003704D1">
        <w:rPr>
          <w:color w:val="5F5F5F"/>
          <w:sz w:val="20"/>
          <w:szCs w:val="20"/>
        </w:rPr>
        <w:t xml:space="preserve"> </w:t>
      </w:r>
    </w:p>
    <w:p w14:paraId="172F4923" w14:textId="77777777" w:rsidR="008072C7" w:rsidRDefault="008072C7" w:rsidP="008072C7">
      <w:pPr>
        <w:keepLines/>
        <w:rPr>
          <w:color w:val="5F5F5F"/>
          <w:sz w:val="20"/>
          <w:szCs w:val="20"/>
        </w:rPr>
      </w:pPr>
      <w:r w:rsidRPr="00E738F2">
        <w:rPr>
          <w:color w:val="5F5F5F"/>
          <w:sz w:val="20"/>
          <w:szCs w:val="20"/>
        </w:rPr>
        <w:t>It will be at the</w:t>
      </w:r>
      <w:r>
        <w:rPr>
          <w:color w:val="5F5F5F"/>
          <w:sz w:val="20"/>
          <w:szCs w:val="20"/>
        </w:rPr>
        <w:t xml:space="preserve"> relevant</w:t>
      </w:r>
      <w:r w:rsidRPr="00E738F2">
        <w:rPr>
          <w:color w:val="5F5F5F"/>
          <w:sz w:val="20"/>
          <w:szCs w:val="20"/>
        </w:rPr>
        <w:t xml:space="preserve"> </w:t>
      </w:r>
      <w:r>
        <w:rPr>
          <w:color w:val="5F5F5F"/>
          <w:sz w:val="20"/>
          <w:szCs w:val="20"/>
        </w:rPr>
        <w:t>decision-</w:t>
      </w:r>
      <w:r w:rsidRPr="00E738F2">
        <w:rPr>
          <w:color w:val="5F5F5F"/>
          <w:sz w:val="20"/>
          <w:szCs w:val="20"/>
        </w:rPr>
        <w:t xml:space="preserve">maker’s discretion as to whether the evidence of financial resources is satisfactory. </w:t>
      </w:r>
    </w:p>
    <w:p w14:paraId="0C158488" w14:textId="77777777" w:rsidR="008072C7" w:rsidRPr="00222023" w:rsidRDefault="008072C7" w:rsidP="008072C7">
      <w:pPr>
        <w:pStyle w:val="Heading2"/>
        <w:ind w:left="0"/>
        <w:rPr>
          <w:color w:val="27629B"/>
        </w:rPr>
      </w:pPr>
      <w:r w:rsidRPr="00222023">
        <w:rPr>
          <w:color w:val="27629B"/>
        </w:rPr>
        <w:t>Companies</w:t>
      </w:r>
    </w:p>
    <w:p w14:paraId="308A0D74" w14:textId="77777777" w:rsidR="008072C7" w:rsidRPr="00065513" w:rsidRDefault="008072C7" w:rsidP="008072C7">
      <w:pPr>
        <w:pStyle w:val="ListParagraph"/>
        <w:widowControl/>
        <w:numPr>
          <w:ilvl w:val="1"/>
          <w:numId w:val="1"/>
        </w:numPr>
        <w:autoSpaceDE/>
        <w:autoSpaceDN/>
        <w:spacing w:before="0" w:line="259" w:lineRule="auto"/>
        <w:ind w:left="426"/>
        <w:contextualSpacing/>
        <w:rPr>
          <w:color w:val="5F5F5F"/>
          <w:sz w:val="20"/>
          <w:szCs w:val="20"/>
        </w:rPr>
      </w:pPr>
      <w:bookmarkStart w:id="1" w:name="_Ref78977575"/>
      <w:r w:rsidRPr="00065513">
        <w:rPr>
          <w:color w:val="5F5F5F"/>
          <w:sz w:val="20"/>
          <w:szCs w:val="20"/>
        </w:rPr>
        <w:t>Specific company type. For example: proprietary, foreign owned, Government owned, public listed, public non listed, corporate trustee, etc.</w:t>
      </w:r>
      <w:bookmarkEnd w:id="1"/>
    </w:p>
    <w:p w14:paraId="3B32EFE3" w14:textId="77777777" w:rsidR="008072C7" w:rsidRPr="00065513" w:rsidRDefault="008072C7" w:rsidP="008072C7">
      <w:pPr>
        <w:pStyle w:val="ListParagraph"/>
        <w:keepLines/>
        <w:widowControl/>
        <w:numPr>
          <w:ilvl w:val="1"/>
          <w:numId w:val="1"/>
        </w:numPr>
        <w:autoSpaceDE/>
        <w:autoSpaceDN/>
        <w:spacing w:before="0" w:line="259" w:lineRule="auto"/>
        <w:ind w:left="425" w:hanging="431"/>
        <w:contextualSpacing/>
        <w:rPr>
          <w:color w:val="5F5F5F"/>
          <w:sz w:val="20"/>
          <w:szCs w:val="20"/>
        </w:rPr>
      </w:pPr>
      <w:r w:rsidRPr="00E76D4E">
        <w:rPr>
          <w:rFonts w:cstheme="minorBidi"/>
          <w:color w:val="5F5F5F"/>
          <w:sz w:val="20"/>
        </w:rPr>
        <w:t>Australian Se</w:t>
      </w:r>
      <w:r w:rsidRPr="00E76D4E">
        <w:rPr>
          <w:color w:val="5F5F5F"/>
        </w:rPr>
        <w:t>c</w:t>
      </w:r>
      <w:r w:rsidRPr="00E76D4E">
        <w:rPr>
          <w:rFonts w:cstheme="minorBidi"/>
          <w:color w:val="5F5F5F"/>
          <w:sz w:val="20"/>
        </w:rPr>
        <w:t xml:space="preserve">urities and Investments Commission </w:t>
      </w:r>
      <w:r w:rsidRPr="002D34E4">
        <w:rPr>
          <w:rFonts w:cstheme="minorBidi"/>
          <w:color w:val="5F5F5F"/>
          <w:sz w:val="20"/>
        </w:rPr>
        <w:t>(</w:t>
      </w:r>
      <w:r w:rsidRPr="00065513">
        <w:rPr>
          <w:color w:val="5F5F5F"/>
          <w:sz w:val="20"/>
          <w:szCs w:val="20"/>
        </w:rPr>
        <w:t>ASIC</w:t>
      </w:r>
      <w:r>
        <w:rPr>
          <w:color w:val="5F5F5F"/>
          <w:sz w:val="20"/>
          <w:szCs w:val="20"/>
        </w:rPr>
        <w:t>)</w:t>
      </w:r>
      <w:r w:rsidRPr="00065513">
        <w:rPr>
          <w:color w:val="5F5F5F"/>
          <w:sz w:val="20"/>
          <w:szCs w:val="20"/>
        </w:rPr>
        <w:t xml:space="preserve"> “Current and Historical” company extract if this has changed since the most recent, if any, submission to NOPTA. If this has not changed, provide a reference to the appropriate document that has been submitted to NOPTA. If this has not previously been provided this must be included.</w:t>
      </w:r>
    </w:p>
    <w:p w14:paraId="2C299BA7" w14:textId="77777777" w:rsidR="008072C7" w:rsidRPr="00065513" w:rsidRDefault="008072C7" w:rsidP="008072C7">
      <w:pPr>
        <w:pStyle w:val="ListParagraph"/>
        <w:widowControl/>
        <w:numPr>
          <w:ilvl w:val="1"/>
          <w:numId w:val="1"/>
        </w:numPr>
        <w:autoSpaceDE/>
        <w:autoSpaceDN/>
        <w:spacing w:before="0" w:line="259" w:lineRule="auto"/>
        <w:ind w:left="426"/>
        <w:contextualSpacing/>
        <w:rPr>
          <w:color w:val="5F5F5F"/>
          <w:sz w:val="20"/>
          <w:szCs w:val="20"/>
        </w:rPr>
      </w:pPr>
      <w:r w:rsidRPr="00065513">
        <w:rPr>
          <w:color w:val="5F5F5F"/>
          <w:sz w:val="20"/>
          <w:szCs w:val="20"/>
        </w:rPr>
        <w:t>Audited Consolidated Financial Statements: The most recent audited consolidated financial statements including profit and loss, balance sheet and statement of cash flows where available, and accompanying notes. Commitments s</w:t>
      </w:r>
      <w:r>
        <w:rPr>
          <w:color w:val="5F5F5F"/>
          <w:sz w:val="20"/>
          <w:szCs w:val="20"/>
        </w:rPr>
        <w:t xml:space="preserve">hould be provided as set out in Table 1 </w:t>
      </w:r>
      <w:r w:rsidRPr="00D36759">
        <w:rPr>
          <w:color w:val="5F5F5F"/>
          <w:sz w:val="20"/>
          <w:szCs w:val="20"/>
        </w:rPr>
        <w:t xml:space="preserve">of </w:t>
      </w:r>
      <w:hyperlink w:anchor="_Attachment_A_–" w:tooltip="Link to Attachment A" w:history="1">
        <w:r w:rsidRPr="00D36759">
          <w:rPr>
            <w:rStyle w:val="Hyperlink"/>
            <w:b/>
            <w:bCs/>
            <w:color w:val="0562C1"/>
            <w:sz w:val="20"/>
            <w:szCs w:val="20"/>
          </w:rPr>
          <w:t>Attachment A</w:t>
        </w:r>
        <w:r w:rsidRPr="00D36759">
          <w:rPr>
            <w:rStyle w:val="Hyperlink"/>
            <w:sz w:val="20"/>
            <w:szCs w:val="20"/>
          </w:rPr>
          <w:t>.</w:t>
        </w:r>
      </w:hyperlink>
      <w:r w:rsidRPr="00065513">
        <w:rPr>
          <w:color w:val="5F5F5F"/>
          <w:sz w:val="20"/>
          <w:szCs w:val="20"/>
        </w:rPr>
        <w:t xml:space="preserve"> </w:t>
      </w:r>
    </w:p>
    <w:p w14:paraId="53451462" w14:textId="77777777" w:rsidR="008072C7" w:rsidRPr="00065513" w:rsidRDefault="008072C7" w:rsidP="008072C7">
      <w:pPr>
        <w:pStyle w:val="ListParagraph"/>
        <w:widowControl/>
        <w:numPr>
          <w:ilvl w:val="1"/>
          <w:numId w:val="1"/>
        </w:numPr>
        <w:autoSpaceDE/>
        <w:autoSpaceDN/>
        <w:spacing w:before="0" w:line="259" w:lineRule="auto"/>
        <w:ind w:left="426"/>
        <w:contextualSpacing/>
        <w:rPr>
          <w:color w:val="5F5F5F"/>
          <w:sz w:val="20"/>
          <w:szCs w:val="20"/>
        </w:rPr>
      </w:pPr>
      <w:r w:rsidRPr="00065513">
        <w:rPr>
          <w:color w:val="5F5F5F"/>
          <w:sz w:val="20"/>
          <w:szCs w:val="20"/>
        </w:rPr>
        <w:t xml:space="preserve">Unaudited consolidated financial statements and accompanying notes can be provided where audited accounts are not available. </w:t>
      </w:r>
    </w:p>
    <w:p w14:paraId="1C2BCEB8" w14:textId="77777777" w:rsidR="008072C7" w:rsidRPr="00065513" w:rsidRDefault="008072C7" w:rsidP="008072C7">
      <w:pPr>
        <w:pStyle w:val="ListParagraph"/>
        <w:widowControl/>
        <w:numPr>
          <w:ilvl w:val="2"/>
          <w:numId w:val="1"/>
        </w:numPr>
        <w:autoSpaceDE/>
        <w:autoSpaceDN/>
        <w:spacing w:before="0" w:line="259" w:lineRule="auto"/>
        <w:ind w:left="993"/>
        <w:contextualSpacing/>
        <w:rPr>
          <w:color w:val="5F5F5F"/>
          <w:sz w:val="20"/>
          <w:szCs w:val="20"/>
        </w:rPr>
      </w:pPr>
      <w:r w:rsidRPr="00065513">
        <w:rPr>
          <w:color w:val="5F5F5F"/>
          <w:sz w:val="20"/>
          <w:szCs w:val="20"/>
        </w:rPr>
        <w:t xml:space="preserve">Unaudited financial statements are to be prepared by an independent qualified accountant. </w:t>
      </w:r>
    </w:p>
    <w:p w14:paraId="57A61786" w14:textId="77777777" w:rsidR="008072C7" w:rsidRDefault="008072C7" w:rsidP="008072C7">
      <w:pPr>
        <w:pStyle w:val="ListParagraph"/>
        <w:widowControl/>
        <w:numPr>
          <w:ilvl w:val="2"/>
          <w:numId w:val="1"/>
        </w:numPr>
        <w:autoSpaceDE/>
        <w:autoSpaceDN/>
        <w:spacing w:before="0" w:line="259" w:lineRule="auto"/>
        <w:ind w:left="993"/>
        <w:contextualSpacing/>
        <w:rPr>
          <w:color w:val="5F5F5F"/>
          <w:sz w:val="20"/>
          <w:szCs w:val="20"/>
        </w:rPr>
      </w:pPr>
      <w:r w:rsidRPr="00065513">
        <w:rPr>
          <w:color w:val="5F5F5F"/>
          <w:sz w:val="20"/>
          <w:szCs w:val="20"/>
        </w:rPr>
        <w:t xml:space="preserve">These must be accompanied by a declaration from the directors that the applicant </w:t>
      </w:r>
      <w:proofErr w:type="gramStart"/>
      <w:r w:rsidRPr="00065513">
        <w:rPr>
          <w:color w:val="5F5F5F"/>
          <w:sz w:val="20"/>
          <w:szCs w:val="20"/>
        </w:rPr>
        <w:t>has the ability to</w:t>
      </w:r>
      <w:proofErr w:type="gramEnd"/>
      <w:r w:rsidRPr="00065513">
        <w:rPr>
          <w:color w:val="5F5F5F"/>
          <w:sz w:val="20"/>
          <w:szCs w:val="20"/>
        </w:rPr>
        <w:t xml:space="preserve"> continue as a going concern, and that the accounts have been prepared under Australian Accounting Standards or equivalent international standards. In some circumstances NOPTA may seek external verification that the accounts meet these standards.</w:t>
      </w:r>
    </w:p>
    <w:p w14:paraId="19E14FBE" w14:textId="77777777" w:rsidR="008072C7" w:rsidRDefault="008072C7" w:rsidP="008072C7">
      <w:pPr>
        <w:pStyle w:val="ListParagraph"/>
        <w:widowControl/>
        <w:numPr>
          <w:ilvl w:val="2"/>
          <w:numId w:val="1"/>
        </w:numPr>
        <w:autoSpaceDE/>
        <w:autoSpaceDN/>
        <w:spacing w:before="0" w:line="259" w:lineRule="auto"/>
        <w:ind w:left="993"/>
        <w:contextualSpacing/>
        <w:rPr>
          <w:color w:val="5F5F5F"/>
          <w:sz w:val="20"/>
          <w:szCs w:val="20"/>
        </w:rPr>
      </w:pPr>
      <w:r w:rsidRPr="00065513">
        <w:rPr>
          <w:color w:val="5F5F5F"/>
          <w:sz w:val="20"/>
          <w:szCs w:val="20"/>
        </w:rPr>
        <w:t>Provision of unaudited financial statements rather than audited statements may result in requests for further information or cause delays in processing applications</w:t>
      </w:r>
      <w:r>
        <w:rPr>
          <w:color w:val="5F5F5F"/>
          <w:sz w:val="20"/>
          <w:szCs w:val="20"/>
        </w:rPr>
        <w:t>.</w:t>
      </w:r>
    </w:p>
    <w:p w14:paraId="73BCDA40" w14:textId="77777777" w:rsidR="008072C7" w:rsidRPr="00065513" w:rsidRDefault="008072C7" w:rsidP="008072C7">
      <w:pPr>
        <w:pStyle w:val="ListParagraph"/>
        <w:widowControl/>
        <w:numPr>
          <w:ilvl w:val="2"/>
          <w:numId w:val="1"/>
        </w:numPr>
        <w:autoSpaceDE/>
        <w:autoSpaceDN/>
        <w:spacing w:before="0" w:line="259" w:lineRule="auto"/>
        <w:ind w:left="993"/>
        <w:contextualSpacing/>
        <w:rPr>
          <w:color w:val="5F5F5F"/>
          <w:sz w:val="20"/>
          <w:szCs w:val="20"/>
        </w:rPr>
      </w:pPr>
      <w:r w:rsidRPr="00065513">
        <w:rPr>
          <w:color w:val="5F5F5F"/>
          <w:sz w:val="20"/>
          <w:szCs w:val="20"/>
        </w:rPr>
        <w:t>For newly established entities this must include</w:t>
      </w:r>
      <w:r>
        <w:rPr>
          <w:color w:val="5F5F5F"/>
          <w:sz w:val="20"/>
          <w:szCs w:val="20"/>
        </w:rPr>
        <w:t>,</w:t>
      </w:r>
      <w:r w:rsidRPr="00065513">
        <w:rPr>
          <w:color w:val="5F5F5F"/>
          <w:sz w:val="20"/>
          <w:szCs w:val="20"/>
        </w:rPr>
        <w:t xml:space="preserve"> at a minimum, a proforma balance sheet and the accompanying notes. </w:t>
      </w:r>
    </w:p>
    <w:p w14:paraId="2F0DCC3A" w14:textId="77777777" w:rsidR="008072C7" w:rsidRPr="00065513" w:rsidRDefault="008072C7" w:rsidP="008072C7">
      <w:pPr>
        <w:pStyle w:val="ListParagraph"/>
        <w:widowControl/>
        <w:numPr>
          <w:ilvl w:val="1"/>
          <w:numId w:val="1"/>
        </w:numPr>
        <w:autoSpaceDE/>
        <w:autoSpaceDN/>
        <w:spacing w:before="0" w:line="259" w:lineRule="auto"/>
        <w:ind w:left="426"/>
        <w:contextualSpacing/>
        <w:rPr>
          <w:color w:val="5F5F5F"/>
          <w:sz w:val="20"/>
          <w:szCs w:val="20"/>
        </w:rPr>
      </w:pPr>
      <w:r w:rsidRPr="00065513">
        <w:rPr>
          <w:color w:val="5F5F5F"/>
          <w:sz w:val="20"/>
          <w:szCs w:val="20"/>
        </w:rPr>
        <w:t xml:space="preserve">Notes to the financial </w:t>
      </w:r>
      <w:r>
        <w:rPr>
          <w:color w:val="5F5F5F"/>
          <w:sz w:val="20"/>
          <w:szCs w:val="20"/>
        </w:rPr>
        <w:t>statements</w:t>
      </w:r>
      <w:r w:rsidRPr="00065513">
        <w:rPr>
          <w:color w:val="5F5F5F"/>
          <w:sz w:val="20"/>
          <w:szCs w:val="20"/>
        </w:rPr>
        <w:t xml:space="preserve"> or proforma balance sheets should contain sufficient information to allow NOPTA to undertake its financial assessment. These must cover:</w:t>
      </w:r>
    </w:p>
    <w:p w14:paraId="3F609407" w14:textId="77777777" w:rsidR="008072C7" w:rsidRPr="00065513" w:rsidRDefault="008072C7" w:rsidP="008072C7">
      <w:pPr>
        <w:pStyle w:val="ListParagraph"/>
        <w:keepLines/>
        <w:widowControl/>
        <w:numPr>
          <w:ilvl w:val="2"/>
          <w:numId w:val="1"/>
        </w:numPr>
        <w:autoSpaceDE/>
        <w:autoSpaceDN/>
        <w:spacing w:before="0" w:line="259" w:lineRule="auto"/>
        <w:ind w:left="1134" w:hanging="505"/>
        <w:contextualSpacing/>
        <w:rPr>
          <w:color w:val="5F5F5F"/>
          <w:sz w:val="20"/>
          <w:szCs w:val="20"/>
        </w:rPr>
      </w:pPr>
      <w:r w:rsidRPr="00065513">
        <w:rPr>
          <w:color w:val="5F5F5F"/>
          <w:sz w:val="20"/>
          <w:szCs w:val="20"/>
        </w:rPr>
        <w:lastRenderedPageBreak/>
        <w:t>the basis of estimates for any decommissioning costs/ restoration provisions</w:t>
      </w:r>
      <w:r>
        <w:rPr>
          <w:color w:val="5F5F5F"/>
          <w:sz w:val="20"/>
          <w:szCs w:val="20"/>
        </w:rPr>
        <w:t xml:space="preserve">, including information to support any assumptions regarding the </w:t>
      </w:r>
      <w:r w:rsidRPr="00065513">
        <w:rPr>
          <w:color w:val="5F5F5F"/>
          <w:sz w:val="20"/>
          <w:szCs w:val="20"/>
        </w:rPr>
        <w:t>full removal of structures, e</w:t>
      </w:r>
      <w:r>
        <w:rPr>
          <w:color w:val="5F5F5F"/>
          <w:sz w:val="20"/>
          <w:szCs w:val="20"/>
        </w:rPr>
        <w:t xml:space="preserve">quipment, and other property. For further information about the maintenance, repair and removal of property, please see the </w:t>
      </w:r>
      <w:hyperlink r:id="rId15" w:history="1">
        <w:r w:rsidRPr="008C3BE1">
          <w:rPr>
            <w:rStyle w:val="Hyperlink"/>
            <w:i/>
            <w:sz w:val="20"/>
            <w:szCs w:val="20"/>
          </w:rPr>
          <w:t>Guideline: Offshore Petroleum Decommissioning</w:t>
        </w:r>
      </w:hyperlink>
      <w:r>
        <w:rPr>
          <w:color w:val="5F5F5F"/>
          <w:sz w:val="20"/>
          <w:szCs w:val="20"/>
        </w:rPr>
        <w:t>.</w:t>
      </w:r>
    </w:p>
    <w:p w14:paraId="771BAAE7" w14:textId="77777777" w:rsidR="008072C7" w:rsidRPr="00065513" w:rsidRDefault="008072C7" w:rsidP="008072C7">
      <w:pPr>
        <w:pStyle w:val="ListParagraph"/>
        <w:widowControl/>
        <w:numPr>
          <w:ilvl w:val="2"/>
          <w:numId w:val="1"/>
        </w:numPr>
        <w:autoSpaceDE/>
        <w:autoSpaceDN/>
        <w:spacing w:before="0" w:line="259" w:lineRule="auto"/>
        <w:ind w:left="1134"/>
        <w:contextualSpacing/>
        <w:rPr>
          <w:color w:val="5F5F5F"/>
          <w:sz w:val="20"/>
          <w:szCs w:val="20"/>
        </w:rPr>
      </w:pPr>
      <w:r w:rsidRPr="00065513">
        <w:rPr>
          <w:color w:val="5F5F5F"/>
          <w:sz w:val="20"/>
          <w:szCs w:val="20"/>
        </w:rPr>
        <w:t xml:space="preserve">Underlying assumptions used in the valuation of assets should be clearly identified, including economic assumptions underpinning any asset valuations, </w:t>
      </w:r>
      <w:proofErr w:type="spellStart"/>
      <w:r w:rsidRPr="00065513">
        <w:rPr>
          <w:color w:val="5F5F5F"/>
          <w:sz w:val="20"/>
          <w:szCs w:val="20"/>
        </w:rPr>
        <w:t>capitalised</w:t>
      </w:r>
      <w:proofErr w:type="spellEnd"/>
      <w:r w:rsidRPr="00065513">
        <w:rPr>
          <w:color w:val="5F5F5F"/>
          <w:sz w:val="20"/>
          <w:szCs w:val="20"/>
        </w:rPr>
        <w:t xml:space="preserve"> royalties, </w:t>
      </w:r>
      <w:proofErr w:type="spellStart"/>
      <w:r w:rsidRPr="00065513">
        <w:rPr>
          <w:color w:val="5F5F5F"/>
          <w:sz w:val="20"/>
          <w:szCs w:val="20"/>
        </w:rPr>
        <w:t>capitalised</w:t>
      </w:r>
      <w:proofErr w:type="spellEnd"/>
      <w:r w:rsidRPr="00065513">
        <w:rPr>
          <w:color w:val="5F5F5F"/>
          <w:sz w:val="20"/>
          <w:szCs w:val="20"/>
        </w:rPr>
        <w:t xml:space="preserve"> exploration spend, etc. Any independent asset reports that are available to support these valuations should also be provided.</w:t>
      </w:r>
    </w:p>
    <w:p w14:paraId="7B78625D" w14:textId="77777777" w:rsidR="008072C7" w:rsidRPr="00666456" w:rsidRDefault="008072C7" w:rsidP="008072C7">
      <w:pPr>
        <w:pStyle w:val="ListParagraph"/>
        <w:widowControl/>
        <w:numPr>
          <w:ilvl w:val="1"/>
          <w:numId w:val="1"/>
        </w:numPr>
        <w:autoSpaceDE/>
        <w:autoSpaceDN/>
        <w:spacing w:before="0" w:line="259" w:lineRule="auto"/>
        <w:ind w:left="567"/>
        <w:contextualSpacing/>
        <w:rPr>
          <w:color w:val="5F5F5F"/>
          <w:sz w:val="20"/>
          <w:szCs w:val="20"/>
        </w:rPr>
      </w:pPr>
      <w:r w:rsidRPr="002F510E">
        <w:rPr>
          <w:color w:val="5F5F5F"/>
          <w:sz w:val="20"/>
          <w:szCs w:val="20"/>
        </w:rPr>
        <w:t>Statement of no material change</w:t>
      </w:r>
      <w:bookmarkStart w:id="2" w:name="_Hlk121751764"/>
      <w:r w:rsidRPr="002F510E">
        <w:rPr>
          <w:color w:val="5F5F5F"/>
          <w:sz w:val="20"/>
          <w:szCs w:val="20"/>
        </w:rPr>
        <w:t xml:space="preserve">:  </w:t>
      </w:r>
      <w:r>
        <w:rPr>
          <w:color w:val="5F5F5F"/>
          <w:sz w:val="20"/>
          <w:szCs w:val="20"/>
        </w:rPr>
        <w:t>Where this is the case a</w:t>
      </w:r>
      <w:r w:rsidRPr="002F510E">
        <w:rPr>
          <w:color w:val="5F5F5F"/>
          <w:sz w:val="20"/>
          <w:szCs w:val="20"/>
        </w:rPr>
        <w:t>pplicants</w:t>
      </w:r>
      <w:r w:rsidRPr="00666456">
        <w:rPr>
          <w:color w:val="5F5F5F"/>
          <w:sz w:val="20"/>
          <w:szCs w:val="20"/>
        </w:rPr>
        <w:t xml:space="preserve"> must provide a written statement confirming that since the reporting date of the financial information submitted with the application</w:t>
      </w:r>
      <w:r>
        <w:rPr>
          <w:color w:val="5F5F5F"/>
          <w:sz w:val="20"/>
          <w:szCs w:val="20"/>
        </w:rPr>
        <w:t xml:space="preserve"> (or a referenced recent application)</w:t>
      </w:r>
      <w:r w:rsidRPr="00666456">
        <w:rPr>
          <w:color w:val="5F5F5F"/>
          <w:sz w:val="20"/>
          <w:szCs w:val="20"/>
        </w:rPr>
        <w:t>, there has not been:</w:t>
      </w:r>
    </w:p>
    <w:p w14:paraId="54629321" w14:textId="77777777" w:rsidR="008072C7" w:rsidRPr="00065513" w:rsidRDefault="008072C7" w:rsidP="008072C7">
      <w:pPr>
        <w:pStyle w:val="ListParagraph"/>
        <w:widowControl/>
        <w:numPr>
          <w:ilvl w:val="2"/>
          <w:numId w:val="1"/>
        </w:numPr>
        <w:autoSpaceDE/>
        <w:autoSpaceDN/>
        <w:spacing w:before="0" w:line="259" w:lineRule="auto"/>
        <w:ind w:left="1134"/>
        <w:contextualSpacing/>
        <w:rPr>
          <w:color w:val="5F5F5F"/>
          <w:sz w:val="20"/>
          <w:szCs w:val="20"/>
        </w:rPr>
      </w:pPr>
      <w:r w:rsidRPr="00065513">
        <w:rPr>
          <w:color w:val="5F5F5F"/>
          <w:sz w:val="20"/>
          <w:szCs w:val="20"/>
        </w:rPr>
        <w:t>Any material change in financial or trading position which may impact the assessment of financial resources as set out within th</w:t>
      </w:r>
      <w:r>
        <w:rPr>
          <w:color w:val="5F5F5F"/>
          <w:sz w:val="20"/>
          <w:szCs w:val="20"/>
        </w:rPr>
        <w:t>e</w:t>
      </w:r>
      <w:r w:rsidRPr="00065513">
        <w:rPr>
          <w:color w:val="5F5F5F"/>
          <w:sz w:val="20"/>
          <w:szCs w:val="20"/>
        </w:rPr>
        <w:t xml:space="preserve"> </w:t>
      </w:r>
      <w:hyperlink r:id="rId16" w:tooltip="Link to Guideline on NOPTA's website" w:history="1">
        <w:r w:rsidRPr="00D36759">
          <w:rPr>
            <w:rFonts w:eastAsia="Times New Roman"/>
            <w:i/>
            <w:color w:val="0563C1"/>
            <w:sz w:val="20"/>
            <w:szCs w:val="20"/>
            <w:u w:val="single"/>
            <w:lang w:val="en-AU"/>
          </w:rPr>
          <w:t>Guideline: Applicant suitability</w:t>
        </w:r>
      </w:hyperlink>
      <w:r w:rsidRPr="00D36759">
        <w:rPr>
          <w:i/>
          <w:iCs/>
          <w:color w:val="5F5F5F"/>
          <w:sz w:val="20"/>
          <w:szCs w:val="20"/>
        </w:rPr>
        <w:t xml:space="preserve"> </w:t>
      </w:r>
      <w:r w:rsidRPr="00D36759">
        <w:rPr>
          <w:color w:val="5F5F5F"/>
          <w:sz w:val="20"/>
          <w:szCs w:val="20"/>
        </w:rPr>
        <w:t>(</w:t>
      </w:r>
      <w:r>
        <w:rPr>
          <w:color w:val="5F5F5F"/>
          <w:sz w:val="20"/>
          <w:szCs w:val="20"/>
        </w:rPr>
        <w:t>the Guideline)</w:t>
      </w:r>
      <w:r w:rsidRPr="00D965A1">
        <w:rPr>
          <w:i/>
          <w:iCs/>
          <w:color w:val="5F5F5F"/>
          <w:sz w:val="20"/>
          <w:szCs w:val="20"/>
        </w:rPr>
        <w:t>.</w:t>
      </w:r>
    </w:p>
    <w:bookmarkEnd w:id="2"/>
    <w:p w14:paraId="64B330E1" w14:textId="77777777" w:rsidR="008072C7" w:rsidRPr="00065513" w:rsidRDefault="008072C7" w:rsidP="008072C7">
      <w:pPr>
        <w:pStyle w:val="ListParagraph"/>
        <w:widowControl/>
        <w:numPr>
          <w:ilvl w:val="2"/>
          <w:numId w:val="1"/>
        </w:numPr>
        <w:autoSpaceDE/>
        <w:autoSpaceDN/>
        <w:spacing w:before="0" w:line="259" w:lineRule="auto"/>
        <w:ind w:left="1134"/>
        <w:contextualSpacing/>
        <w:rPr>
          <w:color w:val="5F5F5F"/>
          <w:sz w:val="20"/>
          <w:szCs w:val="20"/>
        </w:rPr>
      </w:pPr>
      <w:r w:rsidRPr="00065513">
        <w:rPr>
          <w:color w:val="5F5F5F"/>
          <w:sz w:val="20"/>
          <w:szCs w:val="20"/>
        </w:rPr>
        <w:t>Any material post balance sheet event which may impact the assessment of financial resources as set out within th</w:t>
      </w:r>
      <w:r>
        <w:rPr>
          <w:color w:val="5F5F5F"/>
          <w:sz w:val="20"/>
          <w:szCs w:val="20"/>
        </w:rPr>
        <w:t>e</w:t>
      </w:r>
      <w:r w:rsidRPr="00065513">
        <w:rPr>
          <w:color w:val="5F5F5F"/>
          <w:sz w:val="20"/>
          <w:szCs w:val="20"/>
        </w:rPr>
        <w:t xml:space="preserve"> Guideline.</w:t>
      </w:r>
    </w:p>
    <w:p w14:paraId="4967040D" w14:textId="77777777" w:rsidR="008072C7" w:rsidRPr="00065513" w:rsidRDefault="008072C7" w:rsidP="008072C7">
      <w:pPr>
        <w:pStyle w:val="ListParagraph"/>
        <w:widowControl/>
        <w:numPr>
          <w:ilvl w:val="2"/>
          <w:numId w:val="1"/>
        </w:numPr>
        <w:autoSpaceDE/>
        <w:autoSpaceDN/>
        <w:spacing w:before="0" w:line="259" w:lineRule="auto"/>
        <w:ind w:left="1134"/>
        <w:contextualSpacing/>
        <w:rPr>
          <w:color w:val="5F5F5F"/>
          <w:sz w:val="20"/>
          <w:szCs w:val="20"/>
        </w:rPr>
      </w:pPr>
      <w:r w:rsidRPr="00065513">
        <w:rPr>
          <w:color w:val="5F5F5F"/>
          <w:sz w:val="20"/>
          <w:szCs w:val="20"/>
        </w:rPr>
        <w:t>Any contingent liabilities or significant losses which may impact the assessment of financial resources as set out within th</w:t>
      </w:r>
      <w:r>
        <w:rPr>
          <w:color w:val="5F5F5F"/>
          <w:sz w:val="20"/>
          <w:szCs w:val="20"/>
        </w:rPr>
        <w:t>e</w:t>
      </w:r>
      <w:r w:rsidRPr="00065513">
        <w:rPr>
          <w:color w:val="5F5F5F"/>
          <w:sz w:val="20"/>
          <w:szCs w:val="20"/>
        </w:rPr>
        <w:t xml:space="preserve"> Guideline which would require a disclosure.</w:t>
      </w:r>
    </w:p>
    <w:p w14:paraId="1013382C" w14:textId="77777777" w:rsidR="008072C7" w:rsidRDefault="008072C7" w:rsidP="008072C7">
      <w:pPr>
        <w:pStyle w:val="ListParagraph"/>
        <w:keepLines/>
        <w:widowControl/>
        <w:numPr>
          <w:ilvl w:val="2"/>
          <w:numId w:val="1"/>
        </w:numPr>
        <w:autoSpaceDE/>
        <w:autoSpaceDN/>
        <w:spacing w:before="0" w:line="259" w:lineRule="auto"/>
        <w:ind w:left="1134" w:hanging="505"/>
        <w:contextualSpacing/>
        <w:rPr>
          <w:color w:val="5F5F5F"/>
          <w:sz w:val="20"/>
          <w:szCs w:val="20"/>
        </w:rPr>
      </w:pPr>
      <w:r w:rsidRPr="00AA4E64">
        <w:rPr>
          <w:color w:val="5F5F5F"/>
          <w:sz w:val="20"/>
          <w:szCs w:val="20"/>
        </w:rPr>
        <w:t xml:space="preserve">A material change is defined as any change in the business, operations, assets, liabilities, ownership or access to capital of the applicant(s) that would reasonably be expected to have a significant effect on the financial resources available to the applicant(s) to carry out the operations and works that will be or are </w:t>
      </w:r>
      <w:proofErr w:type="spellStart"/>
      <w:r w:rsidRPr="00AA4E64">
        <w:rPr>
          <w:color w:val="5F5F5F"/>
          <w:sz w:val="20"/>
          <w:szCs w:val="20"/>
        </w:rPr>
        <w:t>authorised</w:t>
      </w:r>
      <w:proofErr w:type="spellEnd"/>
      <w:r w:rsidRPr="00AA4E64">
        <w:rPr>
          <w:color w:val="5F5F5F"/>
          <w:sz w:val="20"/>
          <w:szCs w:val="20"/>
        </w:rPr>
        <w:t xml:space="preserve"> by the permit, lease or licence; and discharge the obligations that will be imposed under the OPGGS Act, or a legislative instrument under the OPGGS Act, in relation to the permit, lease or licence (including decommissioning).</w:t>
      </w:r>
    </w:p>
    <w:p w14:paraId="4C5EB478" w14:textId="77777777" w:rsidR="008072C7" w:rsidRDefault="008072C7" w:rsidP="008072C7">
      <w:pPr>
        <w:pStyle w:val="ListParagraph"/>
        <w:keepLines/>
        <w:widowControl/>
        <w:numPr>
          <w:ilvl w:val="1"/>
          <w:numId w:val="1"/>
        </w:numPr>
        <w:autoSpaceDE/>
        <w:autoSpaceDN/>
        <w:spacing w:before="0" w:line="259" w:lineRule="auto"/>
        <w:contextualSpacing/>
        <w:rPr>
          <w:color w:val="5F5F5F"/>
          <w:sz w:val="20"/>
          <w:szCs w:val="20"/>
        </w:rPr>
      </w:pPr>
      <w:r w:rsidRPr="00AA4E64">
        <w:rPr>
          <w:color w:val="5F5F5F"/>
          <w:sz w:val="20"/>
          <w:szCs w:val="20"/>
        </w:rPr>
        <w:t xml:space="preserve">If </w:t>
      </w:r>
      <w:r w:rsidRPr="00666456">
        <w:rPr>
          <w:color w:val="5F5F5F"/>
          <w:sz w:val="20"/>
          <w:szCs w:val="20"/>
        </w:rPr>
        <w:t>since the reporting date of the financial information submitted with the application</w:t>
      </w:r>
      <w:r>
        <w:rPr>
          <w:color w:val="5F5F5F"/>
          <w:sz w:val="20"/>
          <w:szCs w:val="20"/>
        </w:rPr>
        <w:t xml:space="preserve"> (or a referenced recent application)</w:t>
      </w:r>
      <w:r w:rsidRPr="00666456">
        <w:rPr>
          <w:color w:val="5F5F5F"/>
          <w:sz w:val="20"/>
          <w:szCs w:val="20"/>
        </w:rPr>
        <w:t>, there has been</w:t>
      </w:r>
      <w:r w:rsidRPr="00AA4E64">
        <w:rPr>
          <w:color w:val="5F5F5F"/>
          <w:sz w:val="20"/>
          <w:szCs w:val="20"/>
        </w:rPr>
        <w:t xml:space="preserve"> </w:t>
      </w:r>
      <w:r>
        <w:rPr>
          <w:color w:val="5F5F5F"/>
          <w:sz w:val="20"/>
          <w:szCs w:val="20"/>
        </w:rPr>
        <w:t xml:space="preserve">a material change </w:t>
      </w:r>
      <w:r w:rsidRPr="00AA4E64">
        <w:rPr>
          <w:color w:val="5F5F5F"/>
          <w:sz w:val="20"/>
          <w:szCs w:val="20"/>
        </w:rPr>
        <w:t xml:space="preserve">the applicant must provide a set of proforma financial statements and accompanying notes for the period from the previous reporting date to a date </w:t>
      </w:r>
      <w:proofErr w:type="gramStart"/>
      <w:r w:rsidRPr="00AA4E64">
        <w:rPr>
          <w:color w:val="5F5F5F"/>
          <w:sz w:val="20"/>
          <w:szCs w:val="20"/>
        </w:rPr>
        <w:t>subsequent to</w:t>
      </w:r>
      <w:proofErr w:type="gramEnd"/>
      <w:r w:rsidRPr="00AA4E64">
        <w:rPr>
          <w:color w:val="5F5F5F"/>
          <w:sz w:val="20"/>
          <w:szCs w:val="20"/>
        </w:rPr>
        <w:t xml:space="preserve"> the material change but not more than seven days prior to submission. It must also provide supporting commentary specifying how its financial resources are sufficient to satisfy its obligations under the OPGGS Act. </w:t>
      </w:r>
    </w:p>
    <w:p w14:paraId="683E3A2E" w14:textId="77777777" w:rsidR="008072C7" w:rsidRPr="00AA4E64" w:rsidRDefault="008072C7" w:rsidP="008072C7">
      <w:pPr>
        <w:pStyle w:val="ListParagraph"/>
        <w:keepLines/>
        <w:widowControl/>
        <w:numPr>
          <w:ilvl w:val="1"/>
          <w:numId w:val="1"/>
        </w:numPr>
        <w:autoSpaceDE/>
        <w:autoSpaceDN/>
        <w:spacing w:before="0" w:line="259" w:lineRule="auto"/>
        <w:contextualSpacing/>
        <w:rPr>
          <w:color w:val="5F5F5F"/>
          <w:sz w:val="20"/>
          <w:szCs w:val="20"/>
        </w:rPr>
      </w:pPr>
      <w:r w:rsidRPr="00AA4E64">
        <w:rPr>
          <w:color w:val="5F5F5F"/>
          <w:sz w:val="20"/>
          <w:szCs w:val="20"/>
        </w:rPr>
        <w:t xml:space="preserve">Where an applicant is a corporate trustee provide a copy of the trust deed specifying how funds are made available to the trustee, and evidence of the funds available in the trust. An applicant could also provide a statement or a personal guarantee confirming that funds will be made available when required to discharge the financial commitments associated with the application (if granted). </w:t>
      </w:r>
    </w:p>
    <w:p w14:paraId="364AE7B4" w14:textId="77777777" w:rsidR="008072C7" w:rsidRPr="00222023" w:rsidRDefault="008072C7" w:rsidP="008072C7">
      <w:pPr>
        <w:pStyle w:val="Heading2"/>
        <w:rPr>
          <w:color w:val="27629B"/>
        </w:rPr>
      </w:pPr>
      <w:r w:rsidRPr="00222023">
        <w:rPr>
          <w:color w:val="27629B"/>
        </w:rPr>
        <w:t>High-net</w:t>
      </w:r>
      <w:r w:rsidRPr="00222023">
        <w:rPr>
          <w:rStyle w:val="MyStyle1ParaHeadingsChar"/>
        </w:rPr>
        <w:t>-</w:t>
      </w:r>
      <w:r w:rsidRPr="00222023">
        <w:rPr>
          <w:color w:val="27629B"/>
        </w:rPr>
        <w:t>worth individuals/ sophisticated investors</w:t>
      </w:r>
    </w:p>
    <w:p w14:paraId="72A7BAEE" w14:textId="77777777" w:rsidR="008072C7" w:rsidRPr="001F59EC" w:rsidRDefault="008072C7" w:rsidP="008072C7">
      <w:pPr>
        <w:widowControl/>
        <w:autoSpaceDE/>
        <w:autoSpaceDN/>
        <w:spacing w:line="259" w:lineRule="auto"/>
        <w:ind w:left="142"/>
        <w:contextualSpacing/>
        <w:rPr>
          <w:color w:val="5F5F5F"/>
          <w:sz w:val="20"/>
          <w:szCs w:val="20"/>
        </w:rPr>
      </w:pPr>
      <w:r w:rsidRPr="001F59EC">
        <w:rPr>
          <w:color w:val="5F5F5F"/>
          <w:sz w:val="20"/>
          <w:szCs w:val="20"/>
        </w:rPr>
        <w:t>Where an applicant is a high-net-worth individual(s) a certificate from a qualified accountant certifying their prescribed net assets must be provided. The terms ‘qualified accountant’ and ‘net asset’ should be taken to have their normal meaning.</w:t>
      </w:r>
    </w:p>
    <w:p w14:paraId="27BB34CC" w14:textId="77777777" w:rsidR="008072C7" w:rsidRPr="00222023" w:rsidRDefault="008072C7" w:rsidP="008072C7">
      <w:pPr>
        <w:pStyle w:val="Heading2"/>
        <w:rPr>
          <w:color w:val="27629B"/>
        </w:rPr>
      </w:pPr>
      <w:r w:rsidRPr="00222023">
        <w:rPr>
          <w:color w:val="27629B"/>
        </w:rPr>
        <w:t>All applicants</w:t>
      </w:r>
    </w:p>
    <w:p w14:paraId="53E54528" w14:textId="77777777" w:rsidR="008072C7" w:rsidRPr="00D36759" w:rsidRDefault="008072C7" w:rsidP="008072C7">
      <w:pPr>
        <w:widowControl/>
        <w:autoSpaceDE/>
        <w:autoSpaceDN/>
        <w:spacing w:line="259" w:lineRule="auto"/>
        <w:ind w:left="142"/>
        <w:contextualSpacing/>
        <w:rPr>
          <w:color w:val="5F5F5F"/>
          <w:sz w:val="20"/>
          <w:szCs w:val="20"/>
        </w:rPr>
      </w:pPr>
      <w:bookmarkStart w:id="3" w:name="_Ref78977600"/>
      <w:r w:rsidRPr="001F59EC">
        <w:rPr>
          <w:color w:val="5F5F5F"/>
          <w:sz w:val="20"/>
          <w:szCs w:val="20"/>
        </w:rPr>
        <w:t xml:space="preserve">All applicants are to specify commitments and obligations </w:t>
      </w:r>
      <w:r w:rsidRPr="00D36759">
        <w:rPr>
          <w:color w:val="5F5F5F"/>
          <w:sz w:val="20"/>
          <w:szCs w:val="20"/>
        </w:rPr>
        <w:t xml:space="preserve">as set out in Table 1 at </w:t>
      </w:r>
      <w:hyperlink w:anchor="__Attachment_A_–" w:tooltip="Link to Attachment A" w:history="1">
        <w:r w:rsidRPr="00D36759">
          <w:rPr>
            <w:rStyle w:val="Hyperlink"/>
            <w:b/>
            <w:bCs/>
            <w:color w:val="0562C1"/>
            <w:sz w:val="20"/>
            <w:szCs w:val="20"/>
          </w:rPr>
          <w:t>Attachment A</w:t>
        </w:r>
      </w:hyperlink>
      <w:r w:rsidRPr="00D36759">
        <w:rPr>
          <w:color w:val="5F5F5F"/>
          <w:sz w:val="20"/>
          <w:szCs w:val="20"/>
        </w:rPr>
        <w:t>.</w:t>
      </w:r>
      <w:bookmarkEnd w:id="3"/>
      <w:r w:rsidRPr="00D36759">
        <w:rPr>
          <w:color w:val="5F5F5F"/>
          <w:sz w:val="20"/>
          <w:szCs w:val="20"/>
        </w:rPr>
        <w:t xml:space="preserve"> </w:t>
      </w:r>
    </w:p>
    <w:p w14:paraId="1D9B0193" w14:textId="77777777" w:rsidR="008072C7" w:rsidRPr="00D36759" w:rsidRDefault="008072C7" w:rsidP="008072C7">
      <w:pPr>
        <w:pStyle w:val="Heading2"/>
        <w:rPr>
          <w:color w:val="27629B"/>
        </w:rPr>
      </w:pPr>
      <w:r w:rsidRPr="00D36759">
        <w:rPr>
          <w:color w:val="27629B"/>
        </w:rPr>
        <w:t>Other Information</w:t>
      </w:r>
    </w:p>
    <w:p w14:paraId="5E982969" w14:textId="77777777" w:rsidR="008072C7" w:rsidRDefault="008072C7" w:rsidP="008072C7">
      <w:pPr>
        <w:widowControl/>
        <w:autoSpaceDE/>
        <w:autoSpaceDN/>
        <w:spacing w:line="259" w:lineRule="auto"/>
        <w:ind w:left="142"/>
        <w:contextualSpacing/>
        <w:rPr>
          <w:color w:val="5F5F5F"/>
          <w:sz w:val="20"/>
          <w:szCs w:val="20"/>
        </w:rPr>
      </w:pPr>
      <w:r w:rsidRPr="00D36759">
        <w:rPr>
          <w:color w:val="5F5F5F"/>
          <w:sz w:val="20"/>
          <w:szCs w:val="20"/>
        </w:rPr>
        <w:t>Where an applicant has financial indicators that do not meet the threshold values in Tables 2 and 3 at</w:t>
      </w:r>
      <w:r w:rsidRPr="00D36759">
        <w:rPr>
          <w:color w:val="5F5F5F"/>
          <w:sz w:val="20"/>
          <w:szCs w:val="20"/>
        </w:rPr>
        <w:br/>
      </w:r>
      <w:hyperlink w:anchor="_Attachment_B_–" w:tooltip="Link to Attachment B" w:history="1">
        <w:r w:rsidRPr="00D36759">
          <w:rPr>
            <w:rStyle w:val="Hyperlink"/>
            <w:b/>
            <w:color w:val="0562C1"/>
            <w:sz w:val="20"/>
            <w:szCs w:val="20"/>
          </w:rPr>
          <w:t>Attachment B</w:t>
        </w:r>
      </w:hyperlink>
      <w:r w:rsidRPr="00D36759">
        <w:rPr>
          <w:b/>
          <w:color w:val="5F5F5F"/>
          <w:sz w:val="20"/>
          <w:szCs w:val="20"/>
        </w:rPr>
        <w:t>,</w:t>
      </w:r>
      <w:r w:rsidRPr="00D36759">
        <w:rPr>
          <w:color w:val="5F5F5F"/>
          <w:sz w:val="20"/>
          <w:szCs w:val="20"/>
        </w:rPr>
        <w:t xml:space="preserve"> o</w:t>
      </w:r>
      <w:r w:rsidRPr="00CC2EE1">
        <w:rPr>
          <w:color w:val="5F5F5F"/>
          <w:sz w:val="20"/>
          <w:szCs w:val="20"/>
        </w:rPr>
        <w:t>r in any case where it is deemed necess</w:t>
      </w:r>
      <w:r w:rsidRPr="001F59EC">
        <w:rPr>
          <w:color w:val="5F5F5F"/>
          <w:sz w:val="20"/>
          <w:szCs w:val="20"/>
        </w:rPr>
        <w:t xml:space="preserve">ary, other information may be requested to evidence an applicant(s)’ financial resources. NOPTA has provided general guidance in the </w:t>
      </w:r>
      <w:r>
        <w:rPr>
          <w:color w:val="5F5F5F"/>
          <w:sz w:val="20"/>
          <w:szCs w:val="20"/>
        </w:rPr>
        <w:t xml:space="preserve">Other supporting Information section </w:t>
      </w:r>
      <w:r w:rsidRPr="001F59EC">
        <w:rPr>
          <w:color w:val="5F5F5F"/>
          <w:sz w:val="20"/>
          <w:szCs w:val="20"/>
        </w:rPr>
        <w:t>below</w:t>
      </w:r>
      <w:r>
        <w:rPr>
          <w:color w:val="5F5F5F"/>
          <w:sz w:val="20"/>
          <w:szCs w:val="20"/>
        </w:rPr>
        <w:t>,</w:t>
      </w:r>
      <w:r w:rsidRPr="001F59EC">
        <w:rPr>
          <w:color w:val="5F5F5F"/>
          <w:sz w:val="20"/>
          <w:szCs w:val="20"/>
        </w:rPr>
        <w:t xml:space="preserve"> on the characteristics of additional evidence which could be provided or may be requested by NOPTA. The list is not exhaustive, and other forms of credible evidence may be considered suitable. Evidence that does not have the suggested </w:t>
      </w:r>
      <w:proofErr w:type="gramStart"/>
      <w:r w:rsidRPr="001F59EC">
        <w:rPr>
          <w:color w:val="5F5F5F"/>
          <w:sz w:val="20"/>
          <w:szCs w:val="20"/>
        </w:rPr>
        <w:t>characteristics, or</w:t>
      </w:r>
      <w:proofErr w:type="gramEnd"/>
      <w:r w:rsidRPr="001F59EC">
        <w:rPr>
          <w:color w:val="5F5F5F"/>
          <w:sz w:val="20"/>
          <w:szCs w:val="20"/>
        </w:rPr>
        <w:t xml:space="preserve"> does not enable an assessment of the adequacy of the resources, or where the legal or practical operation of the form of evidence would not make financial resources available to the applicant, may result in delays processing applications and/ or requests for further information.</w:t>
      </w:r>
    </w:p>
    <w:p w14:paraId="0E798627" w14:textId="77777777" w:rsidR="008072C7" w:rsidRPr="00222023" w:rsidRDefault="008072C7" w:rsidP="008072C7">
      <w:pPr>
        <w:pStyle w:val="Heading2"/>
        <w:keepNext/>
        <w:keepLines/>
        <w:rPr>
          <w:color w:val="27629B"/>
        </w:rPr>
      </w:pPr>
      <w:bookmarkStart w:id="4" w:name="_Glossary"/>
      <w:bookmarkStart w:id="5" w:name="_Other_Supporting_Information"/>
      <w:bookmarkEnd w:id="4"/>
      <w:bookmarkEnd w:id="5"/>
      <w:r>
        <w:rPr>
          <w:color w:val="27629B"/>
        </w:rPr>
        <w:lastRenderedPageBreak/>
        <w:t>Other Supporting Information</w:t>
      </w:r>
    </w:p>
    <w:p w14:paraId="671C33F2" w14:textId="77777777" w:rsidR="008072C7" w:rsidRPr="00AF4E7B" w:rsidRDefault="008072C7" w:rsidP="008072C7">
      <w:pPr>
        <w:pStyle w:val="ListParagraph"/>
        <w:keepNext/>
        <w:keepLines/>
        <w:widowControl/>
        <w:autoSpaceDE/>
        <w:autoSpaceDN/>
        <w:spacing w:line="259" w:lineRule="auto"/>
        <w:ind w:left="120" w:firstLine="0"/>
        <w:contextualSpacing/>
        <w:rPr>
          <w:color w:val="5F5F5F"/>
          <w:sz w:val="20"/>
          <w:szCs w:val="20"/>
        </w:rPr>
      </w:pPr>
      <w:r w:rsidRPr="00831352">
        <w:rPr>
          <w:b/>
          <w:color w:val="5F5F5F"/>
          <w:sz w:val="20"/>
          <w:szCs w:val="20"/>
        </w:rPr>
        <w:t>Bonds (for example treasury bonds, corporate bonds, convertible notes etc.):</w:t>
      </w:r>
      <w:r w:rsidRPr="00AF4E7B">
        <w:rPr>
          <w:color w:val="5F5F5F"/>
          <w:sz w:val="20"/>
          <w:szCs w:val="20"/>
        </w:rPr>
        <w:t xml:space="preserve"> Anticipated or existing bond funding should be detailed in full. Including the borrowed amount, size and timing of capital repayments and interest payments. Any agreements related to this type of funding could be submitted as supporting evidence. Details on how the bond repayment is anticipated to be financed during the term of the commitment should also be submitted.</w:t>
      </w:r>
    </w:p>
    <w:p w14:paraId="4001CA71" w14:textId="77777777" w:rsidR="008072C7" w:rsidRPr="00AF4E7B" w:rsidRDefault="008072C7" w:rsidP="008072C7">
      <w:pPr>
        <w:pStyle w:val="ListParagraph"/>
        <w:widowControl/>
        <w:autoSpaceDE/>
        <w:autoSpaceDN/>
        <w:spacing w:line="259" w:lineRule="auto"/>
        <w:ind w:left="120" w:firstLine="0"/>
        <w:contextualSpacing/>
        <w:rPr>
          <w:color w:val="5F5F5F"/>
          <w:sz w:val="20"/>
          <w:szCs w:val="20"/>
        </w:rPr>
      </w:pPr>
    </w:p>
    <w:p w14:paraId="1FC030BD" w14:textId="77777777" w:rsidR="008072C7" w:rsidRPr="00AF4E7B" w:rsidRDefault="008072C7" w:rsidP="008072C7">
      <w:pPr>
        <w:pStyle w:val="ListParagraph"/>
        <w:widowControl/>
        <w:autoSpaceDE/>
        <w:autoSpaceDN/>
        <w:spacing w:line="259" w:lineRule="auto"/>
        <w:ind w:left="120" w:firstLine="0"/>
        <w:contextualSpacing/>
        <w:rPr>
          <w:color w:val="5F5F5F"/>
          <w:sz w:val="20"/>
          <w:szCs w:val="20"/>
        </w:rPr>
      </w:pPr>
      <w:r w:rsidRPr="00831352">
        <w:rPr>
          <w:b/>
          <w:color w:val="5F5F5F"/>
          <w:sz w:val="20"/>
          <w:szCs w:val="20"/>
        </w:rPr>
        <w:t>Cash flow forecasts:</w:t>
      </w:r>
      <w:r w:rsidRPr="00AF4E7B">
        <w:rPr>
          <w:color w:val="5F5F5F"/>
          <w:sz w:val="20"/>
          <w:szCs w:val="20"/>
        </w:rPr>
        <w:t xml:space="preserve"> The applicant could provide cash flow forecasts starting from the date of the last audited financial reports to the point in time when the commitment</w:t>
      </w:r>
      <w:r>
        <w:rPr>
          <w:color w:val="5F5F5F"/>
          <w:sz w:val="20"/>
          <w:szCs w:val="20"/>
        </w:rPr>
        <w:t>s</w:t>
      </w:r>
      <w:r w:rsidRPr="00AF4E7B">
        <w:rPr>
          <w:color w:val="5F5F5F"/>
          <w:sz w:val="20"/>
          <w:szCs w:val="20"/>
        </w:rPr>
        <w:t xml:space="preserve"> associated with the application, and all other firm commitments, have been discharged. These could include:</w:t>
      </w:r>
    </w:p>
    <w:p w14:paraId="2B1A746A" w14:textId="77777777" w:rsidR="008072C7" w:rsidRPr="00AF4E7B" w:rsidRDefault="008072C7" w:rsidP="008072C7">
      <w:pPr>
        <w:pStyle w:val="ListParagraph"/>
        <w:widowControl/>
        <w:autoSpaceDE/>
        <w:autoSpaceDN/>
        <w:spacing w:line="259" w:lineRule="auto"/>
        <w:ind w:left="426"/>
        <w:contextualSpacing/>
        <w:rPr>
          <w:color w:val="5F5F5F"/>
          <w:sz w:val="20"/>
          <w:szCs w:val="20"/>
        </w:rPr>
      </w:pPr>
    </w:p>
    <w:p w14:paraId="30F0D15D" w14:textId="77777777" w:rsidR="008072C7" w:rsidRPr="00AF4E7B" w:rsidRDefault="008072C7" w:rsidP="008072C7">
      <w:pPr>
        <w:pStyle w:val="ListParagraph"/>
        <w:widowControl/>
        <w:autoSpaceDE/>
        <w:autoSpaceDN/>
        <w:spacing w:line="259" w:lineRule="auto"/>
        <w:ind w:left="567"/>
        <w:contextualSpacing/>
        <w:rPr>
          <w:color w:val="5F5F5F"/>
          <w:sz w:val="20"/>
          <w:szCs w:val="20"/>
        </w:rPr>
      </w:pPr>
      <w:r w:rsidRPr="00AF4E7B">
        <w:rPr>
          <w:color w:val="5F5F5F"/>
          <w:sz w:val="20"/>
          <w:szCs w:val="20"/>
        </w:rPr>
        <w:t>•</w:t>
      </w:r>
      <w:r w:rsidRPr="00AF4E7B">
        <w:rPr>
          <w:color w:val="5F5F5F"/>
          <w:sz w:val="20"/>
          <w:szCs w:val="20"/>
        </w:rPr>
        <w:tab/>
        <w:t>details of all sources of free cash flow expected to be available for the p</w:t>
      </w:r>
      <w:r>
        <w:rPr>
          <w:color w:val="5F5F5F"/>
          <w:sz w:val="20"/>
          <w:szCs w:val="20"/>
        </w:rPr>
        <w:t xml:space="preserve">eriod of the cash flow </w:t>
      </w:r>
      <w:proofErr w:type="gramStart"/>
      <w:r>
        <w:rPr>
          <w:color w:val="5F5F5F"/>
          <w:sz w:val="20"/>
          <w:szCs w:val="20"/>
        </w:rPr>
        <w:t>forecast;</w:t>
      </w:r>
      <w:proofErr w:type="gramEnd"/>
    </w:p>
    <w:p w14:paraId="219CA1DF" w14:textId="77777777" w:rsidR="008072C7" w:rsidRPr="00AF4E7B" w:rsidRDefault="008072C7" w:rsidP="008072C7">
      <w:pPr>
        <w:pStyle w:val="ListParagraph"/>
        <w:widowControl/>
        <w:autoSpaceDE/>
        <w:autoSpaceDN/>
        <w:spacing w:line="259" w:lineRule="auto"/>
        <w:ind w:left="567"/>
        <w:contextualSpacing/>
        <w:rPr>
          <w:color w:val="5F5F5F"/>
          <w:sz w:val="20"/>
          <w:szCs w:val="20"/>
        </w:rPr>
      </w:pPr>
      <w:r w:rsidRPr="00AF4E7B">
        <w:rPr>
          <w:color w:val="5F5F5F"/>
          <w:sz w:val="20"/>
          <w:szCs w:val="20"/>
        </w:rPr>
        <w:t>•</w:t>
      </w:r>
      <w:r w:rsidRPr="00AF4E7B">
        <w:rPr>
          <w:color w:val="5F5F5F"/>
          <w:sz w:val="20"/>
          <w:szCs w:val="20"/>
        </w:rPr>
        <w:tab/>
        <w:t>full details of debt facilities including a breakdown of the debt funding by type, lender, rates, and security</w:t>
      </w:r>
      <w:r>
        <w:rPr>
          <w:color w:val="5F5F5F"/>
          <w:sz w:val="20"/>
          <w:szCs w:val="20"/>
        </w:rPr>
        <w:t>,</w:t>
      </w:r>
      <w:r w:rsidRPr="00AF4E7B">
        <w:rPr>
          <w:color w:val="5F5F5F"/>
          <w:sz w:val="20"/>
          <w:szCs w:val="20"/>
        </w:rPr>
        <w:t xml:space="preserve"> specifically identifying lending from shareholders and other connected parties, sepa</w:t>
      </w:r>
      <w:r>
        <w:rPr>
          <w:color w:val="5F5F5F"/>
          <w:sz w:val="20"/>
          <w:szCs w:val="20"/>
        </w:rPr>
        <w:t xml:space="preserve">rately from third party </w:t>
      </w:r>
      <w:proofErr w:type="gramStart"/>
      <w:r>
        <w:rPr>
          <w:color w:val="5F5F5F"/>
          <w:sz w:val="20"/>
          <w:szCs w:val="20"/>
        </w:rPr>
        <w:t>lenders;</w:t>
      </w:r>
      <w:proofErr w:type="gramEnd"/>
    </w:p>
    <w:p w14:paraId="10FAADA0" w14:textId="77777777" w:rsidR="008072C7" w:rsidRPr="00AF4E7B" w:rsidRDefault="008072C7" w:rsidP="008072C7">
      <w:pPr>
        <w:pStyle w:val="ListParagraph"/>
        <w:widowControl/>
        <w:autoSpaceDE/>
        <w:autoSpaceDN/>
        <w:spacing w:line="259" w:lineRule="auto"/>
        <w:ind w:left="567"/>
        <w:contextualSpacing/>
        <w:rPr>
          <w:color w:val="5F5F5F"/>
          <w:sz w:val="20"/>
          <w:szCs w:val="20"/>
        </w:rPr>
      </w:pPr>
      <w:r w:rsidRPr="00AF4E7B">
        <w:rPr>
          <w:color w:val="5F5F5F"/>
          <w:sz w:val="20"/>
          <w:szCs w:val="20"/>
        </w:rPr>
        <w:t>•</w:t>
      </w:r>
      <w:r w:rsidRPr="00AF4E7B">
        <w:rPr>
          <w:color w:val="5F5F5F"/>
          <w:sz w:val="20"/>
          <w:szCs w:val="20"/>
        </w:rPr>
        <w:tab/>
        <w:t xml:space="preserve">any other expenses or repayments the </w:t>
      </w:r>
      <w:r>
        <w:rPr>
          <w:color w:val="5F5F5F"/>
          <w:sz w:val="20"/>
          <w:szCs w:val="20"/>
        </w:rPr>
        <w:t xml:space="preserve">applicant will need to </w:t>
      </w:r>
      <w:proofErr w:type="gramStart"/>
      <w:r>
        <w:rPr>
          <w:color w:val="5F5F5F"/>
          <w:sz w:val="20"/>
          <w:szCs w:val="20"/>
        </w:rPr>
        <w:t>satisfy;</w:t>
      </w:r>
      <w:proofErr w:type="gramEnd"/>
    </w:p>
    <w:p w14:paraId="7BE37CC8" w14:textId="77777777" w:rsidR="008072C7" w:rsidRPr="00AF4E7B" w:rsidRDefault="008072C7" w:rsidP="008072C7">
      <w:pPr>
        <w:pStyle w:val="ListParagraph"/>
        <w:widowControl/>
        <w:autoSpaceDE/>
        <w:autoSpaceDN/>
        <w:spacing w:line="259" w:lineRule="auto"/>
        <w:ind w:left="567"/>
        <w:contextualSpacing/>
        <w:rPr>
          <w:color w:val="5F5F5F"/>
          <w:sz w:val="20"/>
          <w:szCs w:val="20"/>
        </w:rPr>
      </w:pPr>
      <w:r w:rsidRPr="00AF4E7B">
        <w:rPr>
          <w:color w:val="5F5F5F"/>
          <w:sz w:val="20"/>
          <w:szCs w:val="20"/>
        </w:rPr>
        <w:t>•</w:t>
      </w:r>
      <w:r w:rsidRPr="00AF4E7B">
        <w:rPr>
          <w:color w:val="5F5F5F"/>
          <w:sz w:val="20"/>
          <w:szCs w:val="20"/>
        </w:rPr>
        <w:tab/>
        <w:t>overriding royalty payments, net profit in</w:t>
      </w:r>
      <w:r>
        <w:rPr>
          <w:color w:val="5F5F5F"/>
          <w:sz w:val="20"/>
          <w:szCs w:val="20"/>
        </w:rPr>
        <w:t xml:space="preserve">terests etc. for offshore </w:t>
      </w:r>
      <w:proofErr w:type="gramStart"/>
      <w:r>
        <w:rPr>
          <w:color w:val="5F5F5F"/>
          <w:sz w:val="20"/>
          <w:szCs w:val="20"/>
        </w:rPr>
        <w:t>titles;</w:t>
      </w:r>
      <w:proofErr w:type="gramEnd"/>
    </w:p>
    <w:p w14:paraId="6137048F" w14:textId="77777777" w:rsidR="008072C7" w:rsidRPr="00AF4E7B" w:rsidRDefault="008072C7" w:rsidP="008072C7">
      <w:pPr>
        <w:pStyle w:val="ListParagraph"/>
        <w:widowControl/>
        <w:autoSpaceDE/>
        <w:autoSpaceDN/>
        <w:spacing w:line="259" w:lineRule="auto"/>
        <w:ind w:left="567"/>
        <w:contextualSpacing/>
        <w:rPr>
          <w:color w:val="5F5F5F"/>
          <w:sz w:val="20"/>
          <w:szCs w:val="20"/>
        </w:rPr>
      </w:pPr>
      <w:r w:rsidRPr="00AF4E7B">
        <w:rPr>
          <w:color w:val="5F5F5F"/>
          <w:sz w:val="20"/>
          <w:szCs w:val="20"/>
        </w:rPr>
        <w:t>•</w:t>
      </w:r>
      <w:r w:rsidRPr="00AF4E7B">
        <w:rPr>
          <w:color w:val="5F5F5F"/>
          <w:sz w:val="20"/>
          <w:szCs w:val="20"/>
        </w:rPr>
        <w:tab/>
        <w:t>the costs and timing of all committed projects, including the commitment</w:t>
      </w:r>
      <w:r>
        <w:rPr>
          <w:color w:val="5F5F5F"/>
          <w:sz w:val="20"/>
          <w:szCs w:val="20"/>
        </w:rPr>
        <w:t>s</w:t>
      </w:r>
      <w:r w:rsidRPr="00AF4E7B">
        <w:rPr>
          <w:color w:val="5F5F5F"/>
          <w:sz w:val="20"/>
          <w:szCs w:val="20"/>
        </w:rPr>
        <w:t xml:space="preserve"> </w:t>
      </w:r>
      <w:r>
        <w:rPr>
          <w:color w:val="5F5F5F"/>
          <w:sz w:val="20"/>
          <w:szCs w:val="20"/>
        </w:rPr>
        <w:t xml:space="preserve">associated with the </w:t>
      </w:r>
      <w:proofErr w:type="gramStart"/>
      <w:r>
        <w:rPr>
          <w:color w:val="5F5F5F"/>
          <w:sz w:val="20"/>
          <w:szCs w:val="20"/>
        </w:rPr>
        <w:t>application;</w:t>
      </w:r>
      <w:proofErr w:type="gramEnd"/>
    </w:p>
    <w:p w14:paraId="16B6BE30" w14:textId="77777777" w:rsidR="008072C7" w:rsidRPr="00AF4E7B" w:rsidRDefault="008072C7" w:rsidP="008072C7">
      <w:pPr>
        <w:pStyle w:val="ListParagraph"/>
        <w:widowControl/>
        <w:autoSpaceDE/>
        <w:autoSpaceDN/>
        <w:spacing w:line="259" w:lineRule="auto"/>
        <w:ind w:left="567"/>
        <w:contextualSpacing/>
        <w:rPr>
          <w:color w:val="5F5F5F"/>
          <w:sz w:val="20"/>
          <w:szCs w:val="20"/>
        </w:rPr>
      </w:pPr>
      <w:r w:rsidRPr="00AF4E7B">
        <w:rPr>
          <w:color w:val="5F5F5F"/>
          <w:sz w:val="20"/>
          <w:szCs w:val="20"/>
        </w:rPr>
        <w:t>•</w:t>
      </w:r>
      <w:r w:rsidRPr="00AF4E7B">
        <w:rPr>
          <w:color w:val="5F5F5F"/>
          <w:sz w:val="20"/>
          <w:szCs w:val="20"/>
        </w:rPr>
        <w:tab/>
        <w:t>the costs of any uncommitted or contingent projects where cash flows are inc</w:t>
      </w:r>
      <w:r>
        <w:rPr>
          <w:color w:val="5F5F5F"/>
          <w:sz w:val="20"/>
          <w:szCs w:val="20"/>
        </w:rPr>
        <w:t xml:space="preserve">luded in the cash flow </w:t>
      </w:r>
      <w:proofErr w:type="gramStart"/>
      <w:r>
        <w:rPr>
          <w:color w:val="5F5F5F"/>
          <w:sz w:val="20"/>
          <w:szCs w:val="20"/>
        </w:rPr>
        <w:t>forecast;</w:t>
      </w:r>
      <w:proofErr w:type="gramEnd"/>
    </w:p>
    <w:p w14:paraId="7BAB01EA" w14:textId="77777777" w:rsidR="008072C7" w:rsidRPr="00AF4E7B" w:rsidRDefault="008072C7" w:rsidP="008072C7">
      <w:pPr>
        <w:pStyle w:val="ListParagraph"/>
        <w:widowControl/>
        <w:autoSpaceDE/>
        <w:autoSpaceDN/>
        <w:spacing w:line="259" w:lineRule="auto"/>
        <w:ind w:left="567"/>
        <w:contextualSpacing/>
        <w:rPr>
          <w:color w:val="5F5F5F"/>
          <w:sz w:val="20"/>
          <w:szCs w:val="20"/>
        </w:rPr>
      </w:pPr>
      <w:r w:rsidRPr="00AF4E7B">
        <w:rPr>
          <w:color w:val="5F5F5F"/>
          <w:sz w:val="20"/>
          <w:szCs w:val="20"/>
        </w:rPr>
        <w:t>•</w:t>
      </w:r>
      <w:r w:rsidRPr="00AF4E7B">
        <w:rPr>
          <w:color w:val="5F5F5F"/>
          <w:sz w:val="20"/>
          <w:szCs w:val="20"/>
        </w:rPr>
        <w:tab/>
        <w:t>the most up to date decommissioning profile where relevant, with low, mid, and high case scenarios</w:t>
      </w:r>
      <w:r>
        <w:rPr>
          <w:color w:val="5F5F5F"/>
          <w:sz w:val="20"/>
          <w:szCs w:val="20"/>
        </w:rPr>
        <w:t>; and</w:t>
      </w:r>
    </w:p>
    <w:p w14:paraId="6A755CF9" w14:textId="77777777" w:rsidR="008072C7" w:rsidRPr="00AF4E7B" w:rsidRDefault="008072C7" w:rsidP="008072C7">
      <w:pPr>
        <w:pStyle w:val="ListParagraph"/>
        <w:widowControl/>
        <w:autoSpaceDE/>
        <w:autoSpaceDN/>
        <w:spacing w:line="259" w:lineRule="auto"/>
        <w:ind w:left="567"/>
        <w:contextualSpacing/>
        <w:rPr>
          <w:color w:val="5F5F5F"/>
          <w:sz w:val="20"/>
          <w:szCs w:val="20"/>
        </w:rPr>
      </w:pPr>
      <w:r w:rsidRPr="00AF4E7B">
        <w:rPr>
          <w:color w:val="5F5F5F"/>
          <w:sz w:val="20"/>
          <w:szCs w:val="20"/>
        </w:rPr>
        <w:t>•</w:t>
      </w:r>
      <w:r w:rsidRPr="00AF4E7B">
        <w:rPr>
          <w:color w:val="5F5F5F"/>
          <w:sz w:val="20"/>
          <w:szCs w:val="20"/>
        </w:rPr>
        <w:tab/>
        <w:t>all key assumptions and methodologies underlying the cash flow forecast, in particular the oil and gas price assumptions, interest and infl</w:t>
      </w:r>
      <w:r>
        <w:rPr>
          <w:color w:val="5F5F5F"/>
          <w:sz w:val="20"/>
          <w:szCs w:val="20"/>
        </w:rPr>
        <w:t>ation rates, maturity dates etc.</w:t>
      </w:r>
    </w:p>
    <w:p w14:paraId="337CBD1C" w14:textId="77777777" w:rsidR="008072C7" w:rsidRDefault="008072C7" w:rsidP="008072C7">
      <w:pPr>
        <w:pStyle w:val="ListParagraph"/>
        <w:widowControl/>
        <w:autoSpaceDE/>
        <w:autoSpaceDN/>
        <w:spacing w:line="259" w:lineRule="auto"/>
        <w:ind w:left="426"/>
        <w:contextualSpacing/>
        <w:rPr>
          <w:color w:val="5F5F5F"/>
          <w:sz w:val="20"/>
          <w:szCs w:val="20"/>
        </w:rPr>
      </w:pPr>
    </w:p>
    <w:p w14:paraId="536FB04A"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Pr>
          <w:color w:val="5F5F5F"/>
          <w:sz w:val="20"/>
          <w:szCs w:val="20"/>
        </w:rPr>
        <w:t>C</w:t>
      </w:r>
      <w:r w:rsidRPr="00AF4E7B">
        <w:rPr>
          <w:color w:val="5F5F5F"/>
          <w:sz w:val="20"/>
          <w:szCs w:val="20"/>
        </w:rPr>
        <w:t>ash flows from any project associated with the application should be provided separately from the overall applicant cash flows.</w:t>
      </w:r>
    </w:p>
    <w:p w14:paraId="7ECAEDE8" w14:textId="77777777" w:rsidR="008072C7" w:rsidRPr="00AF4E7B" w:rsidRDefault="008072C7" w:rsidP="008072C7">
      <w:pPr>
        <w:pStyle w:val="ListParagraph"/>
        <w:keepLines/>
        <w:widowControl/>
        <w:autoSpaceDE/>
        <w:autoSpaceDN/>
        <w:spacing w:line="259" w:lineRule="auto"/>
        <w:ind w:left="-142" w:firstLine="0"/>
        <w:contextualSpacing/>
        <w:rPr>
          <w:color w:val="5F5F5F"/>
          <w:sz w:val="20"/>
          <w:szCs w:val="20"/>
        </w:rPr>
      </w:pPr>
      <w:r w:rsidRPr="00831352">
        <w:rPr>
          <w:b/>
          <w:color w:val="5F5F5F"/>
          <w:sz w:val="20"/>
          <w:szCs w:val="20"/>
        </w:rPr>
        <w:t>Commercial funding agreements:</w:t>
      </w:r>
      <w:r w:rsidRPr="00AF4E7B">
        <w:rPr>
          <w:color w:val="5F5F5F"/>
          <w:sz w:val="20"/>
          <w:szCs w:val="20"/>
        </w:rPr>
        <w:t xml:space="preserve"> Provide evidence of any recent commercial agreements between the applicant and a funding entity demonstrating that the resources are adequate for the purposes of the financial assessment. There is no standard for these agreements, and they may take </w:t>
      </w:r>
      <w:proofErr w:type="gramStart"/>
      <w:r w:rsidRPr="00AF4E7B">
        <w:rPr>
          <w:color w:val="5F5F5F"/>
          <w:sz w:val="20"/>
          <w:szCs w:val="20"/>
        </w:rPr>
        <w:t>a number of</w:t>
      </w:r>
      <w:proofErr w:type="gramEnd"/>
      <w:r w:rsidRPr="00AF4E7B">
        <w:rPr>
          <w:color w:val="5F5F5F"/>
          <w:sz w:val="20"/>
          <w:szCs w:val="20"/>
        </w:rPr>
        <w:t xml:space="preserve"> different forms. Sufficient documentation should be provided showing how the funds are made available to the applicant and contain clear evidence that these will be available when needed. </w:t>
      </w:r>
    </w:p>
    <w:p w14:paraId="4A15D41E"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p>
    <w:p w14:paraId="42776009"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sidRPr="00831352">
        <w:rPr>
          <w:b/>
          <w:color w:val="5F5F5F"/>
          <w:sz w:val="20"/>
          <w:szCs w:val="20"/>
        </w:rPr>
        <w:t>Commodity based loan:</w:t>
      </w:r>
      <w:r w:rsidRPr="00AF4E7B">
        <w:rPr>
          <w:color w:val="5F5F5F"/>
          <w:sz w:val="20"/>
          <w:szCs w:val="20"/>
        </w:rPr>
        <w:t xml:space="preserve"> Where funding is linked to a commodity (for example, reserve-based lending) the applicant could disclose the assumptions that have been made for the provision of this funding including anticipated commodity value. The applicant is encouraged to share any financial assessment or other third-party reports commissioned in securing this type of funding.</w:t>
      </w:r>
    </w:p>
    <w:p w14:paraId="78AC0AA3"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p>
    <w:p w14:paraId="7B211974"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sidRPr="00831352">
        <w:rPr>
          <w:b/>
          <w:color w:val="5F5F5F"/>
          <w:sz w:val="20"/>
          <w:szCs w:val="20"/>
        </w:rPr>
        <w:t xml:space="preserve">Conditional or future sales contracts: </w:t>
      </w:r>
      <w:r w:rsidRPr="00AF4E7B">
        <w:rPr>
          <w:color w:val="5F5F5F"/>
          <w:sz w:val="20"/>
          <w:szCs w:val="20"/>
        </w:rPr>
        <w:t>Where future cash flow is dependent on sales contracts which are still subject to satisfaction of conditions precedent, provide copies of the contracts. For example</w:t>
      </w:r>
      <w:r>
        <w:rPr>
          <w:color w:val="5F5F5F"/>
          <w:sz w:val="20"/>
          <w:szCs w:val="20"/>
        </w:rPr>
        <w:t>,</w:t>
      </w:r>
      <w:r w:rsidRPr="00AF4E7B">
        <w:rPr>
          <w:color w:val="5F5F5F"/>
          <w:sz w:val="20"/>
          <w:szCs w:val="20"/>
        </w:rPr>
        <w:t xml:space="preserve"> copies of asset sales to be executed, or sales contracts for future production from a project that is not yet producing.</w:t>
      </w:r>
      <w:r>
        <w:rPr>
          <w:color w:val="5F5F5F"/>
          <w:sz w:val="20"/>
          <w:szCs w:val="20"/>
        </w:rPr>
        <w:t xml:space="preserve"> </w:t>
      </w:r>
      <w:r w:rsidRPr="00AF4E7B">
        <w:rPr>
          <w:color w:val="5F5F5F"/>
          <w:sz w:val="20"/>
          <w:szCs w:val="20"/>
        </w:rPr>
        <w:t xml:space="preserve">If these are available in dealings that have already been submitted to NOPTA an applicant need only draw attention to the relevant document. Resubmission of the document is not required. </w:t>
      </w:r>
    </w:p>
    <w:p w14:paraId="3FDA7C4A"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p>
    <w:p w14:paraId="3BDEF42E"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sidRPr="00831352">
        <w:rPr>
          <w:b/>
          <w:color w:val="5F5F5F"/>
          <w:sz w:val="20"/>
          <w:szCs w:val="20"/>
        </w:rPr>
        <w:t>Conditional funding agreements:</w:t>
      </w:r>
      <w:r w:rsidRPr="00AF4E7B">
        <w:rPr>
          <w:color w:val="5F5F5F"/>
          <w:sz w:val="20"/>
          <w:szCs w:val="20"/>
        </w:rPr>
        <w:t xml:space="preserve"> Where the applicant intends to rely on another entity for funding conditional on approval of the application, the applicant could provide a draft legally binding agreement, together with a letter of undertaking from the entity confirming that they will execute such agreement if the application is successful. NOPTA’s financial assessment will be applied to that entity in addition to the applicant.</w:t>
      </w:r>
    </w:p>
    <w:p w14:paraId="734A659F"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p>
    <w:p w14:paraId="08296799"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Pr>
          <w:b/>
          <w:color w:val="5F5F5F"/>
          <w:sz w:val="20"/>
          <w:szCs w:val="20"/>
        </w:rPr>
        <w:t>Dealings (registerable)</w:t>
      </w:r>
      <w:r w:rsidRPr="00831352">
        <w:rPr>
          <w:b/>
          <w:color w:val="5F5F5F"/>
          <w:sz w:val="20"/>
          <w:szCs w:val="20"/>
        </w:rPr>
        <w:t xml:space="preserve">: </w:t>
      </w:r>
      <w:r w:rsidRPr="00AF4E7B">
        <w:rPr>
          <w:color w:val="5F5F5F"/>
          <w:sz w:val="20"/>
          <w:szCs w:val="20"/>
        </w:rPr>
        <w:t>Where evidence of financial resources or commitments are evidenced in a dealing(s) which has been submitted to NOPTA, an applicant should draw attention to this. Resubmission of the relevant documentation is not required. This could include for example sale and purchase agreements, any present or conditional liabilities associated with offshore title areas, overriding royalty obligations, or expected payments, net profit interest deeds etc.</w:t>
      </w:r>
    </w:p>
    <w:p w14:paraId="3777FC2C"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p>
    <w:p w14:paraId="1112088B"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sidRPr="00750AFF">
        <w:rPr>
          <w:b/>
          <w:color w:val="5F5F5F"/>
          <w:sz w:val="20"/>
          <w:szCs w:val="20"/>
        </w:rPr>
        <w:t>Deferred payments:</w:t>
      </w:r>
      <w:r w:rsidRPr="00AF4E7B">
        <w:rPr>
          <w:color w:val="5F5F5F"/>
          <w:sz w:val="20"/>
          <w:szCs w:val="20"/>
        </w:rPr>
        <w:t xml:space="preserve"> Any funding source that is deferred, or contingent on performance or the passage of time or other future events should be detailed by the applicant</w:t>
      </w:r>
      <w:r>
        <w:rPr>
          <w:color w:val="5F5F5F"/>
          <w:sz w:val="20"/>
          <w:szCs w:val="20"/>
        </w:rPr>
        <w:t>,</w:t>
      </w:r>
      <w:r w:rsidRPr="00AF4E7B">
        <w:rPr>
          <w:color w:val="5F5F5F"/>
          <w:sz w:val="20"/>
          <w:szCs w:val="20"/>
        </w:rPr>
        <w:t xml:space="preserve"> including the key terms that govern the payment and anticipated impact on the commitment if the funding is not provided.</w:t>
      </w:r>
    </w:p>
    <w:p w14:paraId="7BDE66D4"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sidRPr="00750AFF">
        <w:rPr>
          <w:b/>
          <w:color w:val="5F5F5F"/>
          <w:sz w:val="20"/>
          <w:szCs w:val="20"/>
        </w:rPr>
        <w:lastRenderedPageBreak/>
        <w:t>Equity capital markets:</w:t>
      </w:r>
      <w:r w:rsidRPr="00AF4E7B">
        <w:rPr>
          <w:color w:val="5F5F5F"/>
          <w:sz w:val="20"/>
          <w:szCs w:val="20"/>
        </w:rPr>
        <w:t xml:space="preserve"> The applicant should disclose any intention to raise funds via </w:t>
      </w:r>
      <w:r>
        <w:rPr>
          <w:color w:val="5F5F5F"/>
          <w:sz w:val="20"/>
          <w:szCs w:val="20"/>
        </w:rPr>
        <w:t>an initial public offering (</w:t>
      </w:r>
      <w:r w:rsidRPr="00AF4E7B">
        <w:rPr>
          <w:color w:val="5F5F5F"/>
          <w:sz w:val="20"/>
          <w:szCs w:val="20"/>
        </w:rPr>
        <w:t>IPO</w:t>
      </w:r>
      <w:r>
        <w:rPr>
          <w:color w:val="5F5F5F"/>
          <w:sz w:val="20"/>
          <w:szCs w:val="20"/>
        </w:rPr>
        <w:t>)</w:t>
      </w:r>
      <w:r w:rsidRPr="00AF4E7B">
        <w:rPr>
          <w:color w:val="5F5F5F"/>
          <w:sz w:val="20"/>
          <w:szCs w:val="20"/>
        </w:rPr>
        <w:t>, rights issue or issue of additional share capital and anticipated timing. It should be evidenced where the share issues are underwritten. Intentions to raise funds on a best-efforts basis are considered less reliable and evidence of the applicant’s track record to raising funds through these means, and of a magnitude commensurate with the commitment, will be required.</w:t>
      </w:r>
    </w:p>
    <w:p w14:paraId="1E1BC4E9"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p>
    <w:p w14:paraId="2A5DD5B8"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sidRPr="00750AFF">
        <w:rPr>
          <w:b/>
          <w:color w:val="5F5F5F"/>
          <w:sz w:val="20"/>
          <w:szCs w:val="20"/>
        </w:rPr>
        <w:t>Farm-out / cost carry:</w:t>
      </w:r>
      <w:r w:rsidRPr="00AF4E7B">
        <w:rPr>
          <w:color w:val="5F5F5F"/>
          <w:sz w:val="20"/>
          <w:szCs w:val="20"/>
        </w:rPr>
        <w:t xml:space="preserve"> </w:t>
      </w:r>
      <w:r>
        <w:rPr>
          <w:color w:val="5F5F5F"/>
          <w:sz w:val="20"/>
          <w:szCs w:val="20"/>
        </w:rPr>
        <w:t>W</w:t>
      </w:r>
      <w:r w:rsidRPr="00AF4E7B">
        <w:rPr>
          <w:color w:val="5F5F5F"/>
          <w:sz w:val="20"/>
          <w:szCs w:val="20"/>
        </w:rPr>
        <w:t>here an applicant’s commitment will be funded or part-funded by a cost carry arrangement a copy of the farm-out and /or cost carry agreement is required. In this scenario NOPTA will also assess the other entity’s financial resources.</w:t>
      </w:r>
    </w:p>
    <w:p w14:paraId="6CDCBAB9"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p>
    <w:p w14:paraId="6AF444F7"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r>
        <w:rPr>
          <w:b/>
          <w:color w:val="5F5F5F"/>
          <w:sz w:val="20"/>
          <w:szCs w:val="20"/>
        </w:rPr>
        <w:t>Free cash f</w:t>
      </w:r>
      <w:r w:rsidRPr="00750AFF">
        <w:rPr>
          <w:b/>
          <w:color w:val="5F5F5F"/>
          <w:sz w:val="20"/>
          <w:szCs w:val="20"/>
        </w:rPr>
        <w:t>low:</w:t>
      </w:r>
      <w:r w:rsidRPr="00AF4E7B">
        <w:rPr>
          <w:color w:val="5F5F5F"/>
          <w:sz w:val="20"/>
          <w:szCs w:val="20"/>
        </w:rPr>
        <w:t xml:space="preserve"> </w:t>
      </w:r>
      <w:r>
        <w:rPr>
          <w:color w:val="5F5F5F"/>
          <w:sz w:val="20"/>
          <w:szCs w:val="20"/>
        </w:rPr>
        <w:t>W</w:t>
      </w:r>
      <w:r w:rsidRPr="00AF4E7B">
        <w:rPr>
          <w:color w:val="5F5F5F"/>
          <w:sz w:val="20"/>
          <w:szCs w:val="20"/>
        </w:rPr>
        <w:t>here an applicant holds a production licence(s) or retention lease(s) NOPTA may request or the applicant may provide further detail on free cash flow, defined as:</w:t>
      </w:r>
    </w:p>
    <w:p w14:paraId="38069804" w14:textId="77777777" w:rsidR="008072C7" w:rsidRPr="00AF4E7B" w:rsidRDefault="008072C7" w:rsidP="008072C7">
      <w:pPr>
        <w:pStyle w:val="ListParagraph"/>
        <w:widowControl/>
        <w:autoSpaceDE/>
        <w:autoSpaceDN/>
        <w:spacing w:line="259" w:lineRule="auto"/>
        <w:ind w:left="426"/>
        <w:contextualSpacing/>
        <w:rPr>
          <w:color w:val="5F5F5F"/>
          <w:sz w:val="20"/>
          <w:szCs w:val="20"/>
        </w:rPr>
      </w:pPr>
    </w:p>
    <w:p w14:paraId="700294A9" w14:textId="77777777" w:rsidR="008072C7" w:rsidRPr="00AF4E7B" w:rsidRDefault="008072C7" w:rsidP="008072C7">
      <w:pPr>
        <w:pStyle w:val="ListParagraph"/>
        <w:widowControl/>
        <w:autoSpaceDE/>
        <w:autoSpaceDN/>
        <w:spacing w:line="259" w:lineRule="auto"/>
        <w:ind w:left="567" w:firstLine="0"/>
        <w:contextualSpacing/>
        <w:rPr>
          <w:color w:val="5F5F5F"/>
          <w:sz w:val="20"/>
          <w:szCs w:val="20"/>
        </w:rPr>
      </w:pPr>
      <w:r w:rsidRPr="00AF4E7B">
        <w:rPr>
          <w:color w:val="5F5F5F"/>
          <w:sz w:val="20"/>
          <w:szCs w:val="20"/>
        </w:rPr>
        <w:t>Operating cash flow at end of reporting period - investing cash flows + net acquisition and disposals + capital expenditure – lease liability payments</w:t>
      </w:r>
    </w:p>
    <w:p w14:paraId="2E0E14FA" w14:textId="77777777" w:rsidR="008072C7" w:rsidRPr="00AF4E7B" w:rsidRDefault="008072C7" w:rsidP="008072C7">
      <w:pPr>
        <w:pStyle w:val="ListParagraph"/>
        <w:widowControl/>
        <w:autoSpaceDE/>
        <w:autoSpaceDN/>
        <w:spacing w:line="259" w:lineRule="auto"/>
        <w:ind w:left="426"/>
        <w:contextualSpacing/>
        <w:rPr>
          <w:color w:val="5F5F5F"/>
          <w:sz w:val="20"/>
          <w:szCs w:val="20"/>
        </w:rPr>
      </w:pPr>
    </w:p>
    <w:p w14:paraId="6D477EC7" w14:textId="77777777" w:rsidR="008072C7" w:rsidRPr="00AF4E7B" w:rsidRDefault="008072C7" w:rsidP="008072C7">
      <w:pPr>
        <w:pStyle w:val="ListParagraph"/>
        <w:keepLines/>
        <w:widowControl/>
        <w:autoSpaceDE/>
        <w:autoSpaceDN/>
        <w:spacing w:line="259" w:lineRule="auto"/>
        <w:ind w:left="142" w:firstLine="0"/>
        <w:contextualSpacing/>
        <w:rPr>
          <w:color w:val="5F5F5F"/>
          <w:sz w:val="20"/>
          <w:szCs w:val="20"/>
        </w:rPr>
      </w:pPr>
      <w:r w:rsidRPr="00D01058">
        <w:rPr>
          <w:b/>
          <w:color w:val="5F5F5F"/>
          <w:sz w:val="20"/>
          <w:szCs w:val="20"/>
        </w:rPr>
        <w:t>Funding from high-net-worth individuals:</w:t>
      </w:r>
      <w:r w:rsidRPr="00AF4E7B">
        <w:rPr>
          <w:color w:val="5F5F5F"/>
          <w:sz w:val="20"/>
          <w:szCs w:val="20"/>
        </w:rPr>
        <w:t xml:space="preserve"> NOPTA will assess the financial position of the high</w:t>
      </w:r>
      <w:r>
        <w:rPr>
          <w:color w:val="5F5F5F"/>
          <w:sz w:val="20"/>
          <w:szCs w:val="20"/>
        </w:rPr>
        <w:t>-</w:t>
      </w:r>
      <w:r w:rsidRPr="00AF4E7B">
        <w:rPr>
          <w:color w:val="5F5F5F"/>
          <w:sz w:val="20"/>
          <w:szCs w:val="20"/>
        </w:rPr>
        <w:t>net-worth individuals. Evidence of the high-net-worth individual’s ability to finance the commitment should be provided. Details of any funding agreement between the applicant and high</w:t>
      </w:r>
      <w:r>
        <w:rPr>
          <w:color w:val="5F5F5F"/>
          <w:sz w:val="20"/>
          <w:szCs w:val="20"/>
        </w:rPr>
        <w:t>-</w:t>
      </w:r>
      <w:r w:rsidRPr="00AF4E7B">
        <w:rPr>
          <w:color w:val="5F5F5F"/>
          <w:sz w:val="20"/>
          <w:szCs w:val="20"/>
        </w:rPr>
        <w:t>net-worth individual(s) should be provided to establish credibility.</w:t>
      </w:r>
    </w:p>
    <w:p w14:paraId="6AD78ED4" w14:textId="77777777" w:rsidR="008072C7" w:rsidRPr="00AF4E7B" w:rsidRDefault="008072C7" w:rsidP="008072C7">
      <w:pPr>
        <w:pStyle w:val="ListParagraph"/>
        <w:widowControl/>
        <w:autoSpaceDE/>
        <w:autoSpaceDN/>
        <w:spacing w:line="259" w:lineRule="auto"/>
        <w:ind w:left="142" w:firstLine="0"/>
        <w:contextualSpacing/>
        <w:rPr>
          <w:color w:val="5F5F5F"/>
          <w:sz w:val="20"/>
          <w:szCs w:val="20"/>
        </w:rPr>
      </w:pPr>
    </w:p>
    <w:p w14:paraId="6A8F42A4" w14:textId="77777777" w:rsidR="008072C7" w:rsidRPr="00AF4E7B" w:rsidRDefault="008072C7" w:rsidP="008072C7">
      <w:pPr>
        <w:pStyle w:val="ListParagraph"/>
        <w:widowControl/>
        <w:autoSpaceDE/>
        <w:autoSpaceDN/>
        <w:spacing w:line="259" w:lineRule="auto"/>
        <w:ind w:left="0" w:firstLine="0"/>
        <w:contextualSpacing/>
        <w:rPr>
          <w:color w:val="5F5F5F"/>
          <w:sz w:val="20"/>
          <w:szCs w:val="20"/>
        </w:rPr>
      </w:pPr>
      <w:r w:rsidRPr="00D01058">
        <w:rPr>
          <w:b/>
          <w:color w:val="5F5F5F"/>
          <w:sz w:val="20"/>
          <w:szCs w:val="20"/>
        </w:rPr>
        <w:t xml:space="preserve">Guarantees: </w:t>
      </w:r>
      <w:r w:rsidRPr="00AF4E7B">
        <w:rPr>
          <w:color w:val="5F5F5F"/>
          <w:sz w:val="20"/>
          <w:szCs w:val="20"/>
        </w:rPr>
        <w:t xml:space="preserve">Evidence of any guarantees by entities in </w:t>
      </w:r>
      <w:proofErr w:type="spellStart"/>
      <w:r w:rsidRPr="00AF4E7B">
        <w:rPr>
          <w:color w:val="5F5F5F"/>
          <w:sz w:val="20"/>
          <w:szCs w:val="20"/>
        </w:rPr>
        <w:t>favour</w:t>
      </w:r>
      <w:proofErr w:type="spellEnd"/>
      <w:r w:rsidRPr="00AF4E7B">
        <w:rPr>
          <w:color w:val="5F5F5F"/>
          <w:sz w:val="20"/>
          <w:szCs w:val="20"/>
        </w:rPr>
        <w:t xml:space="preserve"> of the applicant(s), including cross guarantees between </w:t>
      </w:r>
      <w:r w:rsidRPr="00AF4E7B">
        <w:rPr>
          <w:color w:val="5F5F5F"/>
          <w:sz w:val="20"/>
          <w:szCs w:val="20"/>
        </w:rPr>
        <w:t>titleholders</w:t>
      </w:r>
      <w:r>
        <w:rPr>
          <w:color w:val="5F5F5F"/>
          <w:sz w:val="20"/>
          <w:szCs w:val="20"/>
        </w:rPr>
        <w:t>,</w:t>
      </w:r>
      <w:r w:rsidRPr="00AF4E7B">
        <w:rPr>
          <w:color w:val="5F5F5F"/>
          <w:sz w:val="20"/>
          <w:szCs w:val="20"/>
        </w:rPr>
        <w:t xml:space="preserve"> could be provided or, if already available to NOPTA, be referenced with an application.</w:t>
      </w:r>
    </w:p>
    <w:p w14:paraId="14FC6F83" w14:textId="77777777" w:rsidR="008072C7" w:rsidRPr="00AF4E7B" w:rsidRDefault="008072C7" w:rsidP="008072C7">
      <w:pPr>
        <w:pStyle w:val="ListParagraph"/>
        <w:widowControl/>
        <w:autoSpaceDE/>
        <w:autoSpaceDN/>
        <w:spacing w:line="259" w:lineRule="auto"/>
        <w:ind w:left="426"/>
        <w:contextualSpacing/>
        <w:rPr>
          <w:color w:val="5F5F5F"/>
          <w:sz w:val="20"/>
          <w:szCs w:val="20"/>
        </w:rPr>
      </w:pPr>
    </w:p>
    <w:p w14:paraId="334EB794" w14:textId="77777777" w:rsidR="008072C7" w:rsidRPr="00AF4E7B" w:rsidRDefault="008072C7" w:rsidP="008072C7">
      <w:pPr>
        <w:pStyle w:val="ListParagraph"/>
        <w:widowControl/>
        <w:autoSpaceDE/>
        <w:autoSpaceDN/>
        <w:spacing w:line="259" w:lineRule="auto"/>
        <w:ind w:left="0" w:firstLine="0"/>
        <w:contextualSpacing/>
        <w:rPr>
          <w:color w:val="5F5F5F"/>
          <w:sz w:val="20"/>
          <w:szCs w:val="20"/>
        </w:rPr>
      </w:pPr>
      <w:r>
        <w:rPr>
          <w:b/>
          <w:color w:val="5F5F5F"/>
          <w:sz w:val="20"/>
          <w:szCs w:val="20"/>
        </w:rPr>
        <w:t>Independent asset r</w:t>
      </w:r>
      <w:r w:rsidRPr="00D01058">
        <w:rPr>
          <w:b/>
          <w:color w:val="5F5F5F"/>
          <w:sz w:val="20"/>
          <w:szCs w:val="20"/>
        </w:rPr>
        <w:t>eports:</w:t>
      </w:r>
      <w:r w:rsidRPr="00AF4E7B">
        <w:rPr>
          <w:color w:val="5F5F5F"/>
          <w:sz w:val="20"/>
          <w:szCs w:val="20"/>
        </w:rPr>
        <w:t xml:space="preserve"> A copy of any independent asset reports supporting asset valuations could be provided.</w:t>
      </w:r>
    </w:p>
    <w:p w14:paraId="6DE56B13" w14:textId="77777777" w:rsidR="008072C7" w:rsidRPr="00AF4E7B" w:rsidRDefault="008072C7" w:rsidP="008072C7">
      <w:pPr>
        <w:pStyle w:val="ListParagraph"/>
        <w:widowControl/>
        <w:autoSpaceDE/>
        <w:autoSpaceDN/>
        <w:spacing w:line="259" w:lineRule="auto"/>
        <w:ind w:left="0" w:firstLine="0"/>
        <w:contextualSpacing/>
        <w:rPr>
          <w:color w:val="5F5F5F"/>
          <w:sz w:val="20"/>
          <w:szCs w:val="20"/>
        </w:rPr>
      </w:pPr>
    </w:p>
    <w:p w14:paraId="1549AE97" w14:textId="77777777" w:rsidR="008072C7" w:rsidRPr="00AF4E7B" w:rsidRDefault="008072C7" w:rsidP="008072C7">
      <w:pPr>
        <w:pStyle w:val="ListParagraph"/>
        <w:widowControl/>
        <w:autoSpaceDE/>
        <w:autoSpaceDN/>
        <w:spacing w:line="259" w:lineRule="auto"/>
        <w:ind w:left="0" w:firstLine="0"/>
        <w:contextualSpacing/>
        <w:rPr>
          <w:color w:val="5F5F5F"/>
          <w:sz w:val="20"/>
          <w:szCs w:val="20"/>
        </w:rPr>
      </w:pPr>
      <w:r w:rsidRPr="00D01058">
        <w:rPr>
          <w:b/>
          <w:color w:val="5F5F5F"/>
          <w:sz w:val="20"/>
          <w:szCs w:val="20"/>
        </w:rPr>
        <w:t xml:space="preserve">Letters of Intent: </w:t>
      </w:r>
      <w:r w:rsidRPr="00AF4E7B">
        <w:rPr>
          <w:color w:val="5F5F5F"/>
          <w:sz w:val="20"/>
          <w:szCs w:val="20"/>
        </w:rPr>
        <w:t xml:space="preserve">A copy of any binding letters of intent from proposed funding entity(s) could be provided. </w:t>
      </w:r>
      <w:proofErr w:type="gramStart"/>
      <w:r w:rsidRPr="00AF4E7B">
        <w:rPr>
          <w:color w:val="5F5F5F"/>
          <w:sz w:val="20"/>
          <w:szCs w:val="20"/>
        </w:rPr>
        <w:t>These</w:t>
      </w:r>
      <w:proofErr w:type="gramEnd"/>
      <w:r w:rsidRPr="00AF4E7B">
        <w:rPr>
          <w:color w:val="5F5F5F"/>
          <w:sz w:val="20"/>
          <w:szCs w:val="20"/>
        </w:rPr>
        <w:t xml:space="preserve"> will be considered </w:t>
      </w:r>
      <w:r>
        <w:rPr>
          <w:color w:val="5F5F5F"/>
          <w:sz w:val="20"/>
          <w:szCs w:val="20"/>
        </w:rPr>
        <w:t xml:space="preserve">as </w:t>
      </w:r>
      <w:proofErr w:type="gramStart"/>
      <w:r>
        <w:rPr>
          <w:color w:val="5F5F5F"/>
          <w:sz w:val="20"/>
          <w:szCs w:val="20"/>
        </w:rPr>
        <w:t xml:space="preserve">a </w:t>
      </w:r>
      <w:r w:rsidRPr="00AF4E7B">
        <w:rPr>
          <w:color w:val="5F5F5F"/>
          <w:sz w:val="20"/>
          <w:szCs w:val="20"/>
        </w:rPr>
        <w:t>more reliable evidence of financial resources</w:t>
      </w:r>
      <w:proofErr w:type="gramEnd"/>
      <w:r w:rsidRPr="00AF4E7B">
        <w:rPr>
          <w:color w:val="5F5F5F"/>
          <w:sz w:val="20"/>
          <w:szCs w:val="20"/>
        </w:rPr>
        <w:t xml:space="preserve"> than would a conditional letter of intent.</w:t>
      </w:r>
    </w:p>
    <w:p w14:paraId="46BBA5E8" w14:textId="77777777" w:rsidR="008072C7" w:rsidRPr="00AF4E7B" w:rsidRDefault="008072C7" w:rsidP="008072C7">
      <w:pPr>
        <w:pStyle w:val="ListParagraph"/>
        <w:widowControl/>
        <w:autoSpaceDE/>
        <w:autoSpaceDN/>
        <w:spacing w:line="259" w:lineRule="auto"/>
        <w:ind w:left="0" w:firstLine="0"/>
        <w:contextualSpacing/>
        <w:rPr>
          <w:color w:val="5F5F5F"/>
          <w:sz w:val="20"/>
          <w:szCs w:val="20"/>
        </w:rPr>
      </w:pPr>
    </w:p>
    <w:p w14:paraId="27D880F6" w14:textId="77777777" w:rsidR="008072C7" w:rsidRPr="00AF4E7B" w:rsidRDefault="008072C7" w:rsidP="008072C7">
      <w:pPr>
        <w:pStyle w:val="ListParagraph"/>
        <w:widowControl/>
        <w:autoSpaceDE/>
        <w:autoSpaceDN/>
        <w:spacing w:line="259" w:lineRule="auto"/>
        <w:ind w:left="0" w:firstLine="0"/>
        <w:contextualSpacing/>
        <w:rPr>
          <w:color w:val="5F5F5F"/>
          <w:sz w:val="20"/>
          <w:szCs w:val="20"/>
        </w:rPr>
      </w:pPr>
      <w:r>
        <w:rPr>
          <w:b/>
          <w:color w:val="5F5F5F"/>
          <w:sz w:val="20"/>
          <w:szCs w:val="20"/>
        </w:rPr>
        <w:t>Loan ag</w:t>
      </w:r>
      <w:r w:rsidRPr="00D01058">
        <w:rPr>
          <w:b/>
          <w:color w:val="5F5F5F"/>
          <w:sz w:val="20"/>
          <w:szCs w:val="20"/>
        </w:rPr>
        <w:t>reements:</w:t>
      </w:r>
      <w:r w:rsidRPr="00AF4E7B">
        <w:rPr>
          <w:color w:val="5F5F5F"/>
          <w:sz w:val="20"/>
          <w:szCs w:val="20"/>
        </w:rPr>
        <w:t xml:space="preserve"> A copy of an executed loan agreement between the applicant and the lender, including director loans, along with a summary of the key terms could be provided. </w:t>
      </w:r>
    </w:p>
    <w:p w14:paraId="37D82261" w14:textId="77777777" w:rsidR="008072C7" w:rsidRPr="00AF4E7B" w:rsidRDefault="008072C7" w:rsidP="008072C7">
      <w:pPr>
        <w:pStyle w:val="ListParagraph"/>
        <w:widowControl/>
        <w:autoSpaceDE/>
        <w:autoSpaceDN/>
        <w:spacing w:line="259" w:lineRule="auto"/>
        <w:ind w:left="0" w:firstLine="0"/>
        <w:contextualSpacing/>
        <w:rPr>
          <w:color w:val="5F5F5F"/>
          <w:sz w:val="20"/>
          <w:szCs w:val="20"/>
        </w:rPr>
      </w:pPr>
    </w:p>
    <w:p w14:paraId="79ABA1E0" w14:textId="77777777" w:rsidR="008072C7" w:rsidRDefault="008072C7" w:rsidP="008072C7">
      <w:pPr>
        <w:pStyle w:val="ListParagraph"/>
        <w:widowControl/>
        <w:autoSpaceDE/>
        <w:autoSpaceDN/>
        <w:spacing w:before="0" w:line="259" w:lineRule="auto"/>
        <w:ind w:left="0" w:firstLine="0"/>
        <w:contextualSpacing/>
        <w:rPr>
          <w:color w:val="5F5F5F"/>
          <w:sz w:val="20"/>
          <w:szCs w:val="20"/>
        </w:rPr>
      </w:pPr>
      <w:r>
        <w:rPr>
          <w:b/>
          <w:color w:val="5F5F5F"/>
          <w:sz w:val="20"/>
          <w:szCs w:val="20"/>
        </w:rPr>
        <w:t>Track r</w:t>
      </w:r>
      <w:r w:rsidRPr="00D01058">
        <w:rPr>
          <w:b/>
          <w:color w:val="5F5F5F"/>
          <w:sz w:val="20"/>
          <w:szCs w:val="20"/>
        </w:rPr>
        <w:t>ecord:</w:t>
      </w:r>
      <w:r w:rsidRPr="00AF4E7B">
        <w:rPr>
          <w:color w:val="5F5F5F"/>
          <w:sz w:val="20"/>
          <w:szCs w:val="20"/>
        </w:rPr>
        <w:t xml:space="preserve"> Evidence of an applicant’s history of being able to successfully fund exploration </w:t>
      </w:r>
      <w:r>
        <w:rPr>
          <w:color w:val="5F5F5F"/>
          <w:sz w:val="20"/>
          <w:szCs w:val="20"/>
        </w:rPr>
        <w:t xml:space="preserve">and/or production </w:t>
      </w:r>
      <w:r w:rsidRPr="00AF4E7B">
        <w:rPr>
          <w:color w:val="5F5F5F"/>
          <w:sz w:val="20"/>
          <w:szCs w:val="20"/>
        </w:rPr>
        <w:t>projects, attract farm-in partners, and/ or raise capital by public or private means, of a magnitude commensurate with the size of the commitments, should be provided to support its credibility.</w:t>
      </w:r>
    </w:p>
    <w:p w14:paraId="486E08E2" w14:textId="77777777" w:rsidR="008072C7" w:rsidRPr="00AB2717" w:rsidRDefault="008072C7" w:rsidP="008072C7">
      <w:pPr>
        <w:pStyle w:val="Heading2"/>
        <w:ind w:left="0"/>
        <w:rPr>
          <w:color w:val="27629B"/>
        </w:rPr>
      </w:pPr>
      <w:r>
        <w:rPr>
          <w:color w:val="27629B"/>
        </w:rPr>
        <w:t>Questions</w:t>
      </w:r>
    </w:p>
    <w:p w14:paraId="40579F57" w14:textId="77777777" w:rsidR="008072C7" w:rsidRPr="00820415" w:rsidRDefault="008072C7" w:rsidP="008072C7">
      <w:pPr>
        <w:pStyle w:val="BodyText"/>
        <w:spacing w:before="122"/>
        <w:ind w:left="0" w:right="611"/>
        <w:rPr>
          <w:color w:val="5F5F5F"/>
        </w:rPr>
      </w:pPr>
      <w:r w:rsidRPr="00820415">
        <w:rPr>
          <w:color w:val="5F5F5F"/>
        </w:rPr>
        <w:t>If you have any questions about this factsheet, please contact NOPTA via</w:t>
      </w:r>
      <w:r w:rsidRPr="00820415">
        <w:rPr>
          <w:color w:val="5F5F5F"/>
          <w:spacing w:val="-3"/>
        </w:rPr>
        <w:t xml:space="preserve"> </w:t>
      </w:r>
      <w:hyperlink r:id="rId17">
        <w:r w:rsidRPr="00820415">
          <w:rPr>
            <w:color w:val="0562C1"/>
            <w:u w:val="single" w:color="0562C1"/>
          </w:rPr>
          <w:t>titles@nopta.gov.au</w:t>
        </w:r>
        <w:r w:rsidRPr="00820415">
          <w:rPr>
            <w:color w:val="5F5F5F"/>
          </w:rPr>
          <w:t>.</w:t>
        </w:r>
      </w:hyperlink>
    </w:p>
    <w:p w14:paraId="7C88B341" w14:textId="77777777" w:rsidR="008072C7" w:rsidRPr="00B80880" w:rsidRDefault="008072C7" w:rsidP="008072C7">
      <w:pPr>
        <w:pStyle w:val="MyStyle1ParaHeadings"/>
        <w:spacing w:before="240"/>
        <w:ind w:left="0"/>
        <w:rPr>
          <w:lang w:eastAsia="en-AU"/>
        </w:rPr>
      </w:pPr>
      <w:bookmarkStart w:id="6" w:name="_Hlk15570741"/>
      <w:r w:rsidRPr="00B80880">
        <w:rPr>
          <w:lang w:eastAsia="en-AU"/>
        </w:rPr>
        <w:t xml:space="preserve">Version </w:t>
      </w:r>
      <w:r>
        <w:rPr>
          <w:lang w:eastAsia="en-AU"/>
        </w:rPr>
        <w:t>h</w:t>
      </w:r>
      <w:r w:rsidRPr="00B80880">
        <w:rPr>
          <w:lang w:eastAsia="en-AU"/>
        </w:rPr>
        <w:t>istory</w:t>
      </w:r>
    </w:p>
    <w:tbl>
      <w:tblPr>
        <w:tblStyle w:val="GridTable1Light11"/>
        <w:tblW w:w="4673" w:type="dxa"/>
        <w:tblLook w:val="0420" w:firstRow="1" w:lastRow="0" w:firstColumn="0" w:lastColumn="0" w:noHBand="0" w:noVBand="1"/>
      </w:tblPr>
      <w:tblGrid>
        <w:gridCol w:w="803"/>
        <w:gridCol w:w="1319"/>
        <w:gridCol w:w="2551"/>
      </w:tblGrid>
      <w:tr w:rsidR="008072C7" w:rsidRPr="00D51425" w14:paraId="59D255C1" w14:textId="77777777" w:rsidTr="00110533">
        <w:trPr>
          <w:cnfStyle w:val="100000000000" w:firstRow="1" w:lastRow="0" w:firstColumn="0" w:lastColumn="0" w:oddVBand="0" w:evenVBand="0" w:oddHBand="0" w:evenHBand="0" w:firstRowFirstColumn="0" w:firstRowLastColumn="0" w:lastRowFirstColumn="0" w:lastRowLastColumn="0"/>
          <w:tblHeader/>
        </w:trPr>
        <w:tc>
          <w:tcPr>
            <w:tcW w:w="803" w:type="dxa"/>
          </w:tcPr>
          <w:p w14:paraId="2351BEF9" w14:textId="77777777" w:rsidR="008072C7" w:rsidRPr="00065513" w:rsidRDefault="008072C7" w:rsidP="00110533">
            <w:pPr>
              <w:spacing w:before="60" w:after="60"/>
              <w:jc w:val="center"/>
              <w:rPr>
                <w:color w:val="5F5F5F"/>
                <w:sz w:val="16"/>
                <w:szCs w:val="16"/>
              </w:rPr>
            </w:pPr>
            <w:r w:rsidRPr="00065513">
              <w:rPr>
                <w:color w:val="5F5F5F"/>
                <w:sz w:val="16"/>
                <w:szCs w:val="16"/>
              </w:rPr>
              <w:t>Version</w:t>
            </w:r>
          </w:p>
        </w:tc>
        <w:tc>
          <w:tcPr>
            <w:tcW w:w="1319" w:type="dxa"/>
          </w:tcPr>
          <w:p w14:paraId="121821C3" w14:textId="77777777" w:rsidR="008072C7" w:rsidRPr="00065513" w:rsidRDefault="008072C7" w:rsidP="00110533">
            <w:pPr>
              <w:spacing w:before="60" w:after="60"/>
              <w:rPr>
                <w:color w:val="5F5F5F"/>
                <w:sz w:val="16"/>
                <w:szCs w:val="16"/>
              </w:rPr>
            </w:pPr>
            <w:r w:rsidRPr="00065513">
              <w:rPr>
                <w:color w:val="5F5F5F"/>
                <w:sz w:val="16"/>
                <w:szCs w:val="16"/>
              </w:rPr>
              <w:t>Date</w:t>
            </w:r>
          </w:p>
        </w:tc>
        <w:tc>
          <w:tcPr>
            <w:tcW w:w="2551" w:type="dxa"/>
          </w:tcPr>
          <w:p w14:paraId="42D3FE5F" w14:textId="77777777" w:rsidR="008072C7" w:rsidRPr="00065513" w:rsidRDefault="008072C7" w:rsidP="00110533">
            <w:pPr>
              <w:spacing w:before="60" w:after="60"/>
              <w:rPr>
                <w:color w:val="5F5F5F"/>
                <w:sz w:val="16"/>
                <w:szCs w:val="16"/>
              </w:rPr>
            </w:pPr>
            <w:r w:rsidRPr="00065513">
              <w:rPr>
                <w:color w:val="5F5F5F"/>
                <w:sz w:val="16"/>
                <w:szCs w:val="16"/>
              </w:rPr>
              <w:t>Comment</w:t>
            </w:r>
          </w:p>
        </w:tc>
      </w:tr>
      <w:tr w:rsidR="008072C7" w:rsidRPr="00D51425" w14:paraId="7932C1A5" w14:textId="77777777" w:rsidTr="00110533">
        <w:tc>
          <w:tcPr>
            <w:tcW w:w="803" w:type="dxa"/>
            <w:vAlign w:val="center"/>
          </w:tcPr>
          <w:p w14:paraId="7530C5BF" w14:textId="77777777" w:rsidR="008072C7" w:rsidRPr="00065513" w:rsidRDefault="008072C7" w:rsidP="00110533">
            <w:pPr>
              <w:spacing w:after="60"/>
              <w:jc w:val="center"/>
              <w:rPr>
                <w:color w:val="5F5F5F"/>
                <w:sz w:val="16"/>
                <w:szCs w:val="16"/>
              </w:rPr>
            </w:pPr>
            <w:r>
              <w:rPr>
                <w:color w:val="5F5F5F"/>
                <w:sz w:val="16"/>
                <w:szCs w:val="16"/>
              </w:rPr>
              <w:t>1</w:t>
            </w:r>
            <w:r w:rsidRPr="00065513">
              <w:rPr>
                <w:color w:val="5F5F5F"/>
                <w:sz w:val="16"/>
                <w:szCs w:val="16"/>
              </w:rPr>
              <w:t>.0</w:t>
            </w:r>
          </w:p>
        </w:tc>
        <w:tc>
          <w:tcPr>
            <w:tcW w:w="1319" w:type="dxa"/>
            <w:vAlign w:val="center"/>
          </w:tcPr>
          <w:p w14:paraId="6B1F1B28" w14:textId="77777777" w:rsidR="008072C7" w:rsidRPr="00065513" w:rsidRDefault="008072C7" w:rsidP="00110533">
            <w:pPr>
              <w:tabs>
                <w:tab w:val="left" w:pos="371"/>
              </w:tabs>
              <w:spacing w:before="60" w:after="60"/>
              <w:jc w:val="center"/>
              <w:rPr>
                <w:color w:val="5F5F5F"/>
                <w:sz w:val="16"/>
                <w:szCs w:val="16"/>
              </w:rPr>
            </w:pPr>
            <w:r>
              <w:rPr>
                <w:color w:val="5F5F5F"/>
                <w:sz w:val="16"/>
                <w:szCs w:val="16"/>
              </w:rPr>
              <w:t>February 2022</w:t>
            </w:r>
          </w:p>
        </w:tc>
        <w:tc>
          <w:tcPr>
            <w:tcW w:w="2551" w:type="dxa"/>
            <w:vAlign w:val="center"/>
          </w:tcPr>
          <w:p w14:paraId="2361C797" w14:textId="77777777" w:rsidR="008072C7" w:rsidRPr="00065513" w:rsidRDefault="008072C7" w:rsidP="00110533">
            <w:pPr>
              <w:spacing w:before="60" w:after="60"/>
              <w:rPr>
                <w:color w:val="5F5F5F"/>
                <w:sz w:val="16"/>
                <w:szCs w:val="16"/>
              </w:rPr>
            </w:pPr>
            <w:r w:rsidRPr="00065513">
              <w:rPr>
                <w:color w:val="5F5F5F"/>
                <w:sz w:val="16"/>
                <w:szCs w:val="16"/>
              </w:rPr>
              <w:t xml:space="preserve">Creation of </w:t>
            </w:r>
            <w:r>
              <w:rPr>
                <w:color w:val="5F5F5F"/>
                <w:sz w:val="16"/>
                <w:szCs w:val="16"/>
              </w:rPr>
              <w:t>fact</w:t>
            </w:r>
            <w:r w:rsidRPr="00065513">
              <w:rPr>
                <w:color w:val="5F5F5F"/>
                <w:sz w:val="16"/>
                <w:szCs w:val="16"/>
              </w:rPr>
              <w:t>sheet</w:t>
            </w:r>
            <w:r>
              <w:rPr>
                <w:color w:val="5F5F5F"/>
                <w:sz w:val="16"/>
                <w:szCs w:val="16"/>
              </w:rPr>
              <w:t>. Factsheet comes into effect on 2 March 2022.</w:t>
            </w:r>
          </w:p>
        </w:tc>
      </w:tr>
      <w:tr w:rsidR="008072C7" w:rsidRPr="00D51425" w14:paraId="59A4E517" w14:textId="77777777" w:rsidTr="00110533">
        <w:tc>
          <w:tcPr>
            <w:tcW w:w="803" w:type="dxa"/>
            <w:vAlign w:val="center"/>
          </w:tcPr>
          <w:p w14:paraId="2B3BD652" w14:textId="0E4AC84A" w:rsidR="008072C7" w:rsidRDefault="00A75033" w:rsidP="00110533">
            <w:pPr>
              <w:spacing w:after="60"/>
              <w:jc w:val="center"/>
              <w:rPr>
                <w:color w:val="5F5F5F"/>
                <w:sz w:val="16"/>
                <w:szCs w:val="16"/>
              </w:rPr>
            </w:pPr>
            <w:r>
              <w:rPr>
                <w:color w:val="5F5F5F"/>
                <w:sz w:val="16"/>
                <w:szCs w:val="16"/>
              </w:rPr>
              <w:t>1.1</w:t>
            </w:r>
          </w:p>
        </w:tc>
        <w:tc>
          <w:tcPr>
            <w:tcW w:w="1319" w:type="dxa"/>
            <w:vAlign w:val="center"/>
          </w:tcPr>
          <w:p w14:paraId="3199D989" w14:textId="77777777" w:rsidR="008072C7" w:rsidRDefault="008072C7" w:rsidP="00110533">
            <w:pPr>
              <w:tabs>
                <w:tab w:val="left" w:pos="371"/>
              </w:tabs>
              <w:spacing w:before="60" w:after="60"/>
              <w:jc w:val="center"/>
              <w:rPr>
                <w:color w:val="5F5F5F"/>
                <w:sz w:val="16"/>
                <w:szCs w:val="16"/>
              </w:rPr>
            </w:pPr>
            <w:r>
              <w:rPr>
                <w:color w:val="5F5F5F"/>
                <w:sz w:val="16"/>
                <w:szCs w:val="16"/>
              </w:rPr>
              <w:t>December 2022</w:t>
            </w:r>
          </w:p>
        </w:tc>
        <w:tc>
          <w:tcPr>
            <w:tcW w:w="2551" w:type="dxa"/>
            <w:vAlign w:val="center"/>
          </w:tcPr>
          <w:p w14:paraId="763B3D20" w14:textId="77777777" w:rsidR="008072C7" w:rsidRPr="00065513" w:rsidRDefault="008072C7" w:rsidP="00110533">
            <w:pPr>
              <w:spacing w:before="60" w:after="60"/>
              <w:rPr>
                <w:color w:val="5F5F5F"/>
                <w:sz w:val="16"/>
                <w:szCs w:val="16"/>
              </w:rPr>
            </w:pPr>
            <w:r>
              <w:rPr>
                <w:color w:val="5F5F5F"/>
                <w:sz w:val="16"/>
                <w:szCs w:val="16"/>
              </w:rPr>
              <w:t>Minor amendment</w:t>
            </w:r>
          </w:p>
        </w:tc>
      </w:tr>
      <w:bookmarkEnd w:id="6"/>
    </w:tbl>
    <w:p w14:paraId="25F595EC" w14:textId="77777777" w:rsidR="008072C7" w:rsidRDefault="008072C7" w:rsidP="008072C7">
      <w:pPr>
        <w:rPr>
          <w:b/>
        </w:rPr>
        <w:sectPr w:rsidR="008072C7" w:rsidSect="0023770F">
          <w:type w:val="continuous"/>
          <w:pgSz w:w="11910" w:h="16840"/>
          <w:pgMar w:top="2461" w:right="618" w:bottom="851" w:left="601" w:header="6" w:footer="426" w:gutter="0"/>
          <w:cols w:num="2" w:space="720"/>
        </w:sectPr>
      </w:pPr>
    </w:p>
    <w:p w14:paraId="59854E28" w14:textId="77777777" w:rsidR="008072C7" w:rsidRDefault="008072C7" w:rsidP="008072C7">
      <w:pPr>
        <w:spacing w:after="160" w:line="259" w:lineRule="auto"/>
        <w:sectPr w:rsidR="008072C7" w:rsidSect="00046AF0">
          <w:headerReference w:type="even" r:id="rId18"/>
          <w:headerReference w:type="default" r:id="rId19"/>
          <w:headerReference w:type="first" r:id="rId20"/>
          <w:type w:val="continuous"/>
          <w:pgSz w:w="11910" w:h="16840"/>
          <w:pgMar w:top="1702" w:right="618" w:bottom="907" w:left="601" w:header="6" w:footer="482" w:gutter="0"/>
          <w:cols w:space="720"/>
        </w:sectPr>
      </w:pPr>
    </w:p>
    <w:p w14:paraId="6A14430C" w14:textId="77777777" w:rsidR="008072C7" w:rsidRPr="00AC529D" w:rsidRDefault="008072C7" w:rsidP="008072C7">
      <w:pPr>
        <w:pStyle w:val="Heading1"/>
        <w:ind w:left="709"/>
        <w:rPr>
          <w:color w:val="27629B"/>
        </w:rPr>
      </w:pPr>
      <w:bookmarkStart w:id="7" w:name="_Attachment_A_–"/>
      <w:bookmarkStart w:id="8" w:name="_Attachment_A:_Financial"/>
      <w:bookmarkStart w:id="9" w:name="__Attachment_A_–"/>
      <w:bookmarkEnd w:id="7"/>
      <w:bookmarkEnd w:id="8"/>
      <w:bookmarkEnd w:id="9"/>
      <w:r w:rsidRPr="00AC529D">
        <w:rPr>
          <w:color w:val="27629B"/>
        </w:rPr>
        <w:lastRenderedPageBreak/>
        <w:t>Attachment A</w:t>
      </w:r>
      <w:r>
        <w:rPr>
          <w:color w:val="27629B"/>
        </w:rPr>
        <w:t xml:space="preserve">: </w:t>
      </w:r>
      <w:r w:rsidRPr="00AC529D">
        <w:rPr>
          <w:color w:val="27629B"/>
        </w:rPr>
        <w:t>Financial commitments and obligations</w:t>
      </w:r>
    </w:p>
    <w:p w14:paraId="265D207E" w14:textId="77777777" w:rsidR="008072C7" w:rsidRPr="008403E5" w:rsidRDefault="008072C7" w:rsidP="008072C7"/>
    <w:p w14:paraId="5DB44249" w14:textId="77777777" w:rsidR="008072C7" w:rsidRDefault="008072C7" w:rsidP="008072C7">
      <w:pPr>
        <w:ind w:left="709"/>
        <w:rPr>
          <w:rFonts w:ascii="Arial" w:hAnsi="Arial" w:cs="Arial"/>
        </w:rPr>
      </w:pPr>
      <w:r w:rsidRPr="0032375E">
        <w:rPr>
          <w:rStyle w:val="SubtleEmphasis"/>
        </w:rPr>
        <w:t>T</w:t>
      </w:r>
      <w:r>
        <w:rPr>
          <w:rStyle w:val="SubtleEmphasis"/>
        </w:rPr>
        <w:t>able 1: Financial commitments and obligations template</w:t>
      </w:r>
      <w:r w:rsidRPr="0032375E">
        <w:rPr>
          <w:rStyle w:val="SubtleEmphasis"/>
        </w:rPr>
        <w:t xml:space="preserve">. </w:t>
      </w:r>
    </w:p>
    <w:tbl>
      <w:tblPr>
        <w:tblStyle w:val="TableGrid"/>
        <w:tblW w:w="13459" w:type="dxa"/>
        <w:jc w:val="center"/>
        <w:tblLook w:val="04A0" w:firstRow="1" w:lastRow="0" w:firstColumn="1" w:lastColumn="0" w:noHBand="0" w:noVBand="1"/>
      </w:tblPr>
      <w:tblGrid>
        <w:gridCol w:w="13459"/>
      </w:tblGrid>
      <w:tr w:rsidR="008072C7" w:rsidRPr="00362593" w14:paraId="623E9519" w14:textId="77777777" w:rsidTr="00110533">
        <w:trPr>
          <w:trHeight w:val="290"/>
          <w:jc w:val="center"/>
        </w:trPr>
        <w:tc>
          <w:tcPr>
            <w:tcW w:w="13459" w:type="dxa"/>
            <w:shd w:val="clear" w:color="auto" w:fill="BDD6EE" w:themeFill="accent1" w:themeFillTint="66"/>
          </w:tcPr>
          <w:p w14:paraId="675FD36B" w14:textId="77777777" w:rsidR="008072C7" w:rsidRPr="00362593" w:rsidRDefault="008072C7" w:rsidP="00110533">
            <w:pPr>
              <w:jc w:val="center"/>
              <w:rPr>
                <w:rFonts w:eastAsia="Times New Roman"/>
                <w:b/>
                <w:bCs/>
                <w:sz w:val="18"/>
                <w:szCs w:val="18"/>
                <w:lang w:eastAsia="en-AU"/>
              </w:rPr>
            </w:pPr>
            <w:r>
              <w:rPr>
                <w:rFonts w:eastAsia="Times New Roman"/>
                <w:b/>
                <w:bCs/>
                <w:sz w:val="18"/>
                <w:szCs w:val="18"/>
                <w:lang w:eastAsia="en-AU"/>
              </w:rPr>
              <w:t xml:space="preserve">Commitments Template - </w:t>
            </w:r>
            <w:r w:rsidRPr="00362593">
              <w:rPr>
                <w:rFonts w:eastAsia="Times New Roman"/>
                <w:b/>
                <w:bCs/>
                <w:sz w:val="18"/>
                <w:szCs w:val="18"/>
                <w:lang w:eastAsia="en-AU"/>
              </w:rPr>
              <w:t>As at Date (DDMMYYYY)</w:t>
            </w:r>
          </w:p>
        </w:tc>
      </w:tr>
    </w:tbl>
    <w:p w14:paraId="15EAC922" w14:textId="77777777" w:rsidR="008072C7" w:rsidRDefault="008072C7" w:rsidP="008072C7">
      <w:pPr>
        <w:pStyle w:val="ListParagraph"/>
        <w:ind w:left="0"/>
        <w:rPr>
          <w:rFonts w:ascii="Arial" w:hAnsi="Arial" w:cs="Arial"/>
        </w:rPr>
      </w:pPr>
    </w:p>
    <w:tbl>
      <w:tblPr>
        <w:tblStyle w:val="TableGrid"/>
        <w:tblW w:w="13462" w:type="dxa"/>
        <w:jc w:val="center"/>
        <w:tblLook w:val="04A0" w:firstRow="1" w:lastRow="0" w:firstColumn="1" w:lastColumn="0" w:noHBand="0" w:noVBand="1"/>
      </w:tblPr>
      <w:tblGrid>
        <w:gridCol w:w="5949"/>
        <w:gridCol w:w="2126"/>
        <w:gridCol w:w="1985"/>
        <w:gridCol w:w="1984"/>
        <w:gridCol w:w="1418"/>
      </w:tblGrid>
      <w:tr w:rsidR="008072C7" w:rsidRPr="00482C95" w14:paraId="5CFF6127" w14:textId="77777777" w:rsidTr="00110533">
        <w:trPr>
          <w:trHeight w:val="290"/>
          <w:jc w:val="center"/>
        </w:trPr>
        <w:tc>
          <w:tcPr>
            <w:tcW w:w="5949" w:type="dxa"/>
            <w:shd w:val="clear" w:color="auto" w:fill="BDD6EE" w:themeFill="accent1" w:themeFillTint="66"/>
          </w:tcPr>
          <w:p w14:paraId="6B32EA27" w14:textId="77777777" w:rsidR="008072C7" w:rsidRPr="00362593" w:rsidRDefault="008072C7" w:rsidP="00110533">
            <w:pPr>
              <w:rPr>
                <w:rFonts w:eastAsia="Times New Roman"/>
                <w:b/>
                <w:bCs/>
                <w:sz w:val="18"/>
                <w:szCs w:val="18"/>
                <w:lang w:eastAsia="en-AU"/>
              </w:rPr>
            </w:pPr>
            <w:r w:rsidRPr="00362593">
              <w:rPr>
                <w:rFonts w:eastAsia="Times New Roman"/>
                <w:b/>
                <w:bCs/>
                <w:sz w:val="18"/>
                <w:szCs w:val="18"/>
                <w:lang w:eastAsia="en-AU"/>
              </w:rPr>
              <w:t xml:space="preserve">OPGGSA (Title Number) </w:t>
            </w:r>
          </w:p>
          <w:p w14:paraId="1B4DBAFA" w14:textId="77777777" w:rsidR="008072C7" w:rsidRPr="008020B1" w:rsidRDefault="008072C7" w:rsidP="00110533">
            <w:pPr>
              <w:rPr>
                <w:rFonts w:eastAsia="Times New Roman"/>
                <w:sz w:val="18"/>
                <w:szCs w:val="18"/>
                <w:lang w:eastAsia="en-AU"/>
              </w:rPr>
            </w:pPr>
            <w:r w:rsidRPr="00BC5530">
              <w:rPr>
                <w:rFonts w:eastAsia="Times New Roman"/>
                <w:sz w:val="16"/>
                <w:szCs w:val="16"/>
                <w:lang w:eastAsia="en-AU"/>
              </w:rPr>
              <w:t xml:space="preserve">Where any financial commitment for an operational activity </w:t>
            </w:r>
            <w:r>
              <w:rPr>
                <w:rFonts w:eastAsia="Times New Roman"/>
                <w:sz w:val="16"/>
                <w:szCs w:val="16"/>
                <w:lang w:eastAsia="en-AU"/>
              </w:rPr>
              <w:t>under</w:t>
            </w:r>
            <w:r w:rsidRPr="00BC5530">
              <w:rPr>
                <w:rFonts w:eastAsia="Times New Roman"/>
                <w:sz w:val="16"/>
                <w:szCs w:val="16"/>
                <w:lang w:eastAsia="en-AU"/>
              </w:rPr>
              <w:t xml:space="preserve"> the title is less than the titleholder’s % interest, </w:t>
            </w:r>
            <w:proofErr w:type="gramStart"/>
            <w:r w:rsidRPr="00BC5530">
              <w:rPr>
                <w:rFonts w:eastAsia="Times New Roman"/>
                <w:sz w:val="16"/>
                <w:szCs w:val="16"/>
                <w:lang w:eastAsia="en-AU"/>
              </w:rPr>
              <w:t>e.g.</w:t>
            </w:r>
            <w:proofErr w:type="gramEnd"/>
            <w:r w:rsidRPr="00BC5530">
              <w:rPr>
                <w:rFonts w:eastAsia="Times New Roman"/>
                <w:sz w:val="16"/>
                <w:szCs w:val="16"/>
                <w:lang w:eastAsia="en-AU"/>
              </w:rPr>
              <w:t xml:space="preserve"> through a farm out/ cost carry or other arrangement</w:t>
            </w:r>
            <w:r>
              <w:rPr>
                <w:rFonts w:eastAsia="Times New Roman"/>
                <w:sz w:val="16"/>
                <w:szCs w:val="16"/>
                <w:lang w:eastAsia="en-AU"/>
              </w:rPr>
              <w:t xml:space="preserve"> p</w:t>
            </w:r>
            <w:r w:rsidRPr="00BC5530">
              <w:rPr>
                <w:rFonts w:eastAsia="Times New Roman"/>
                <w:sz w:val="16"/>
                <w:szCs w:val="16"/>
                <w:lang w:eastAsia="en-AU"/>
              </w:rPr>
              <w:t xml:space="preserve">lease state this, including the total value of the commitment according to % interest, and the value of the commitment subsequent to funding arrangement. Provide a NEATS reference for the relevant registered </w:t>
            </w:r>
            <w:proofErr w:type="gramStart"/>
            <w:r w:rsidRPr="00BC5530">
              <w:rPr>
                <w:rFonts w:eastAsia="Times New Roman"/>
                <w:sz w:val="16"/>
                <w:szCs w:val="16"/>
                <w:lang w:eastAsia="en-AU"/>
              </w:rPr>
              <w:t>dealing, or</w:t>
            </w:r>
            <w:proofErr w:type="gramEnd"/>
            <w:r w:rsidRPr="00BC5530">
              <w:rPr>
                <w:rFonts w:eastAsia="Times New Roman"/>
                <w:sz w:val="16"/>
                <w:szCs w:val="16"/>
                <w:lang w:eastAsia="en-AU"/>
              </w:rPr>
              <w:t xml:space="preserve"> dealing under assessment.</w:t>
            </w:r>
          </w:p>
        </w:tc>
        <w:tc>
          <w:tcPr>
            <w:tcW w:w="2126" w:type="dxa"/>
            <w:shd w:val="clear" w:color="auto" w:fill="BDD6EE" w:themeFill="accent1" w:themeFillTint="66"/>
          </w:tcPr>
          <w:p w14:paraId="100AD660" w14:textId="77777777" w:rsidR="008072C7" w:rsidRPr="00362593" w:rsidRDefault="008072C7" w:rsidP="00110533">
            <w:pPr>
              <w:rPr>
                <w:rFonts w:eastAsia="Times New Roman"/>
                <w:b/>
                <w:bCs/>
                <w:sz w:val="18"/>
                <w:szCs w:val="18"/>
                <w:lang w:eastAsia="en-AU"/>
              </w:rPr>
            </w:pPr>
            <w:r w:rsidRPr="00362593">
              <w:rPr>
                <w:rFonts w:eastAsia="Times New Roman"/>
                <w:b/>
                <w:bCs/>
                <w:sz w:val="18"/>
                <w:szCs w:val="18"/>
                <w:lang w:eastAsia="en-AU"/>
              </w:rPr>
              <w:t>&lt; 1 year</w:t>
            </w:r>
          </w:p>
        </w:tc>
        <w:tc>
          <w:tcPr>
            <w:tcW w:w="1985" w:type="dxa"/>
            <w:shd w:val="clear" w:color="auto" w:fill="BDD6EE" w:themeFill="accent1" w:themeFillTint="66"/>
          </w:tcPr>
          <w:p w14:paraId="0ACED448" w14:textId="77777777" w:rsidR="008072C7" w:rsidRPr="00362593" w:rsidRDefault="008072C7" w:rsidP="00110533">
            <w:pPr>
              <w:rPr>
                <w:rFonts w:eastAsia="Times New Roman"/>
                <w:b/>
                <w:bCs/>
                <w:sz w:val="18"/>
                <w:szCs w:val="18"/>
                <w:lang w:eastAsia="en-AU"/>
              </w:rPr>
            </w:pPr>
            <w:r w:rsidRPr="00362593">
              <w:rPr>
                <w:rFonts w:eastAsia="Times New Roman"/>
                <w:b/>
                <w:bCs/>
                <w:sz w:val="18"/>
                <w:szCs w:val="18"/>
                <w:lang w:eastAsia="en-AU"/>
              </w:rPr>
              <w:t>Primary Term &gt; 1 year</w:t>
            </w:r>
          </w:p>
        </w:tc>
        <w:tc>
          <w:tcPr>
            <w:tcW w:w="1984" w:type="dxa"/>
            <w:shd w:val="clear" w:color="auto" w:fill="BDD6EE" w:themeFill="accent1" w:themeFillTint="66"/>
          </w:tcPr>
          <w:p w14:paraId="3BB2727F" w14:textId="77777777" w:rsidR="008072C7" w:rsidRPr="008020B1" w:rsidRDefault="008072C7" w:rsidP="00110533">
            <w:pPr>
              <w:rPr>
                <w:rFonts w:eastAsia="Times New Roman"/>
                <w:b/>
                <w:bCs/>
                <w:sz w:val="18"/>
                <w:szCs w:val="18"/>
                <w:lang w:eastAsia="en-AU"/>
              </w:rPr>
            </w:pPr>
            <w:r w:rsidRPr="00362593">
              <w:rPr>
                <w:rFonts w:eastAsia="Times New Roman"/>
                <w:b/>
                <w:bCs/>
                <w:sz w:val="18"/>
                <w:szCs w:val="18"/>
                <w:lang w:eastAsia="en-AU"/>
              </w:rPr>
              <w:t>Secondary Term</w:t>
            </w:r>
          </w:p>
        </w:tc>
        <w:tc>
          <w:tcPr>
            <w:tcW w:w="1418" w:type="dxa"/>
            <w:shd w:val="clear" w:color="auto" w:fill="BDD6EE" w:themeFill="accent1" w:themeFillTint="66"/>
          </w:tcPr>
          <w:p w14:paraId="47DF4FA6" w14:textId="77777777" w:rsidR="008072C7" w:rsidRPr="00362593" w:rsidRDefault="008072C7" w:rsidP="00110533">
            <w:pPr>
              <w:rPr>
                <w:rFonts w:eastAsia="Times New Roman"/>
                <w:b/>
                <w:bCs/>
                <w:sz w:val="18"/>
                <w:szCs w:val="18"/>
                <w:lang w:eastAsia="en-AU"/>
              </w:rPr>
            </w:pPr>
            <w:r>
              <w:rPr>
                <w:rFonts w:eastAsia="Times New Roman"/>
                <w:b/>
                <w:bCs/>
                <w:sz w:val="18"/>
                <w:szCs w:val="18"/>
                <w:lang w:eastAsia="en-AU"/>
              </w:rPr>
              <w:t xml:space="preserve">Other OPGGSA obligations </w:t>
            </w:r>
          </w:p>
        </w:tc>
      </w:tr>
      <w:tr w:rsidR="008072C7" w:rsidRPr="00482C95" w14:paraId="36E18D08" w14:textId="77777777" w:rsidTr="00110533">
        <w:trPr>
          <w:trHeight w:val="457"/>
          <w:jc w:val="center"/>
        </w:trPr>
        <w:tc>
          <w:tcPr>
            <w:tcW w:w="5949" w:type="dxa"/>
            <w:vMerge w:val="restart"/>
          </w:tcPr>
          <w:p w14:paraId="4C3F0ACE" w14:textId="77777777" w:rsidR="008072C7" w:rsidRDefault="008072C7" w:rsidP="00110533">
            <w:pPr>
              <w:rPr>
                <w:rFonts w:eastAsia="Times New Roman"/>
                <w:sz w:val="18"/>
                <w:szCs w:val="18"/>
                <w:lang w:eastAsia="en-AU"/>
              </w:rPr>
            </w:pPr>
            <w:r>
              <w:rPr>
                <w:rFonts w:eastAsia="Times New Roman"/>
                <w:sz w:val="18"/>
                <w:szCs w:val="18"/>
                <w:lang w:eastAsia="en-AU"/>
              </w:rPr>
              <w:t>TITLE XXXX</w:t>
            </w:r>
          </w:p>
          <w:p w14:paraId="298E616C" w14:textId="77777777" w:rsidR="008072C7" w:rsidRPr="008020B1" w:rsidRDefault="008072C7" w:rsidP="00110533">
            <w:pPr>
              <w:rPr>
                <w:rFonts w:eastAsia="Times New Roman"/>
                <w:sz w:val="18"/>
                <w:szCs w:val="18"/>
                <w:lang w:eastAsia="en-AU"/>
              </w:rPr>
            </w:pPr>
          </w:p>
        </w:tc>
        <w:tc>
          <w:tcPr>
            <w:tcW w:w="2126" w:type="dxa"/>
          </w:tcPr>
          <w:p w14:paraId="563C24E1" w14:textId="77777777" w:rsidR="008072C7" w:rsidRDefault="008072C7" w:rsidP="00110533">
            <w:pPr>
              <w:rPr>
                <w:rFonts w:eastAsia="Times New Roman"/>
                <w:sz w:val="18"/>
                <w:szCs w:val="18"/>
                <w:lang w:eastAsia="en-AU"/>
              </w:rPr>
            </w:pPr>
            <w:r>
              <w:rPr>
                <w:rFonts w:eastAsia="Times New Roman"/>
                <w:sz w:val="18"/>
                <w:szCs w:val="18"/>
                <w:lang w:eastAsia="en-AU"/>
              </w:rPr>
              <w:t>Total commitment</w:t>
            </w:r>
          </w:p>
          <w:p w14:paraId="5C5FB1DD" w14:textId="77777777" w:rsidR="008072C7" w:rsidRPr="008020B1" w:rsidRDefault="008072C7" w:rsidP="00110533">
            <w:pPr>
              <w:rPr>
                <w:rFonts w:eastAsia="Times New Roman"/>
                <w:sz w:val="18"/>
                <w:szCs w:val="18"/>
                <w:lang w:eastAsia="en-AU"/>
              </w:rPr>
            </w:pPr>
          </w:p>
        </w:tc>
        <w:tc>
          <w:tcPr>
            <w:tcW w:w="1985" w:type="dxa"/>
          </w:tcPr>
          <w:p w14:paraId="5E375B3A" w14:textId="77777777" w:rsidR="008072C7" w:rsidRDefault="008072C7" w:rsidP="00110533">
            <w:pPr>
              <w:rPr>
                <w:rFonts w:eastAsia="Times New Roman"/>
                <w:sz w:val="18"/>
                <w:szCs w:val="18"/>
                <w:lang w:eastAsia="en-AU"/>
              </w:rPr>
            </w:pPr>
            <w:r>
              <w:rPr>
                <w:rFonts w:eastAsia="Times New Roman"/>
                <w:sz w:val="18"/>
                <w:szCs w:val="18"/>
                <w:lang w:eastAsia="en-AU"/>
              </w:rPr>
              <w:t>Total commitment</w:t>
            </w:r>
          </w:p>
          <w:p w14:paraId="0CB3A826" w14:textId="77777777" w:rsidR="008072C7" w:rsidRPr="008020B1" w:rsidRDefault="008072C7" w:rsidP="00110533">
            <w:pPr>
              <w:rPr>
                <w:rFonts w:eastAsia="Times New Roman"/>
                <w:sz w:val="18"/>
                <w:szCs w:val="18"/>
                <w:lang w:eastAsia="en-AU"/>
              </w:rPr>
            </w:pPr>
          </w:p>
        </w:tc>
        <w:tc>
          <w:tcPr>
            <w:tcW w:w="1984" w:type="dxa"/>
          </w:tcPr>
          <w:p w14:paraId="634678BE" w14:textId="77777777" w:rsidR="008072C7" w:rsidRDefault="008072C7" w:rsidP="00110533">
            <w:pPr>
              <w:rPr>
                <w:rFonts w:eastAsia="Times New Roman"/>
                <w:sz w:val="18"/>
                <w:szCs w:val="18"/>
                <w:lang w:eastAsia="en-AU"/>
              </w:rPr>
            </w:pPr>
            <w:r>
              <w:rPr>
                <w:rFonts w:eastAsia="Times New Roman"/>
                <w:sz w:val="18"/>
                <w:szCs w:val="18"/>
                <w:lang w:eastAsia="en-AU"/>
              </w:rPr>
              <w:t>Total commitment</w:t>
            </w:r>
          </w:p>
          <w:p w14:paraId="2193010B" w14:textId="77777777" w:rsidR="008072C7" w:rsidRPr="008020B1" w:rsidRDefault="008072C7" w:rsidP="00110533">
            <w:pPr>
              <w:rPr>
                <w:sz w:val="18"/>
                <w:szCs w:val="18"/>
              </w:rPr>
            </w:pPr>
          </w:p>
        </w:tc>
        <w:tc>
          <w:tcPr>
            <w:tcW w:w="1418" w:type="dxa"/>
          </w:tcPr>
          <w:p w14:paraId="1F9BCBAE" w14:textId="77777777" w:rsidR="008072C7" w:rsidRDefault="008072C7" w:rsidP="00110533">
            <w:pPr>
              <w:rPr>
                <w:rFonts w:eastAsia="Times New Roman"/>
                <w:sz w:val="18"/>
                <w:szCs w:val="18"/>
                <w:lang w:eastAsia="en-AU"/>
              </w:rPr>
            </w:pPr>
            <w:r>
              <w:rPr>
                <w:rFonts w:eastAsia="Times New Roman"/>
                <w:sz w:val="18"/>
                <w:szCs w:val="18"/>
                <w:lang w:eastAsia="en-AU"/>
              </w:rPr>
              <w:t>Yes/No/NA</w:t>
            </w:r>
          </w:p>
        </w:tc>
      </w:tr>
      <w:tr w:rsidR="008072C7" w:rsidRPr="00482C95" w14:paraId="4E516234" w14:textId="77777777" w:rsidTr="00110533">
        <w:trPr>
          <w:trHeight w:val="457"/>
          <w:jc w:val="center"/>
        </w:trPr>
        <w:tc>
          <w:tcPr>
            <w:tcW w:w="5949" w:type="dxa"/>
            <w:vMerge/>
          </w:tcPr>
          <w:p w14:paraId="05EC35F0" w14:textId="77777777" w:rsidR="008072C7" w:rsidRPr="00362593" w:rsidRDefault="008072C7" w:rsidP="00110533">
            <w:pPr>
              <w:rPr>
                <w:rFonts w:eastAsia="Times New Roman"/>
                <w:sz w:val="18"/>
                <w:szCs w:val="18"/>
                <w:lang w:eastAsia="en-AU"/>
              </w:rPr>
            </w:pPr>
          </w:p>
        </w:tc>
        <w:tc>
          <w:tcPr>
            <w:tcW w:w="2126" w:type="dxa"/>
          </w:tcPr>
          <w:p w14:paraId="51DDFD58" w14:textId="77777777" w:rsidR="008072C7" w:rsidRDefault="008072C7" w:rsidP="00110533">
            <w:pPr>
              <w:rPr>
                <w:rFonts w:eastAsia="Times New Roman"/>
                <w:sz w:val="18"/>
                <w:szCs w:val="18"/>
                <w:lang w:eastAsia="en-AU"/>
              </w:rPr>
            </w:pPr>
            <w:r>
              <w:rPr>
                <w:rFonts w:eastAsia="Times New Roman"/>
                <w:sz w:val="18"/>
                <w:szCs w:val="18"/>
                <w:lang w:eastAsia="en-AU"/>
              </w:rPr>
              <w:t>Titleholder % of commitment</w:t>
            </w:r>
          </w:p>
          <w:p w14:paraId="4C4D0BE9" w14:textId="77777777" w:rsidR="008072C7" w:rsidRDefault="008072C7" w:rsidP="00110533">
            <w:pPr>
              <w:rPr>
                <w:rFonts w:eastAsia="Times New Roman"/>
                <w:sz w:val="18"/>
                <w:szCs w:val="18"/>
                <w:lang w:eastAsia="en-AU"/>
              </w:rPr>
            </w:pPr>
            <w:r>
              <w:rPr>
                <w:rFonts w:eastAsia="Times New Roman"/>
                <w:sz w:val="18"/>
                <w:szCs w:val="18"/>
                <w:lang w:eastAsia="en-AU"/>
              </w:rPr>
              <w:t>$ value of commitment remaining</w:t>
            </w:r>
          </w:p>
        </w:tc>
        <w:tc>
          <w:tcPr>
            <w:tcW w:w="1985" w:type="dxa"/>
          </w:tcPr>
          <w:p w14:paraId="42CEB58C" w14:textId="77777777" w:rsidR="008072C7" w:rsidRDefault="008072C7" w:rsidP="00110533">
            <w:pPr>
              <w:rPr>
                <w:rFonts w:eastAsia="Times New Roman"/>
                <w:sz w:val="18"/>
                <w:szCs w:val="18"/>
                <w:lang w:eastAsia="en-AU"/>
              </w:rPr>
            </w:pPr>
            <w:r>
              <w:rPr>
                <w:rFonts w:eastAsia="Times New Roman"/>
                <w:sz w:val="18"/>
                <w:szCs w:val="18"/>
                <w:lang w:eastAsia="en-AU"/>
              </w:rPr>
              <w:t>Titleholder % of commitment</w:t>
            </w:r>
          </w:p>
          <w:p w14:paraId="0F1795C7" w14:textId="77777777" w:rsidR="008072C7" w:rsidRPr="00BB2769" w:rsidRDefault="008072C7" w:rsidP="00110533">
            <w:pPr>
              <w:rPr>
                <w:rFonts w:eastAsia="Times New Roman"/>
                <w:sz w:val="18"/>
                <w:szCs w:val="18"/>
                <w:lang w:eastAsia="en-AU"/>
              </w:rPr>
            </w:pPr>
            <w:r>
              <w:rPr>
                <w:rFonts w:eastAsia="Times New Roman"/>
                <w:sz w:val="18"/>
                <w:szCs w:val="18"/>
                <w:lang w:eastAsia="en-AU"/>
              </w:rPr>
              <w:t>$ value of commitment remaining</w:t>
            </w:r>
          </w:p>
        </w:tc>
        <w:tc>
          <w:tcPr>
            <w:tcW w:w="1984" w:type="dxa"/>
          </w:tcPr>
          <w:p w14:paraId="16D9A593" w14:textId="77777777" w:rsidR="008072C7" w:rsidRDefault="008072C7" w:rsidP="00110533">
            <w:pPr>
              <w:rPr>
                <w:rFonts w:eastAsia="Times New Roman"/>
                <w:sz w:val="18"/>
                <w:szCs w:val="18"/>
                <w:lang w:eastAsia="en-AU"/>
              </w:rPr>
            </w:pPr>
            <w:r>
              <w:rPr>
                <w:rFonts w:eastAsia="Times New Roman"/>
                <w:sz w:val="18"/>
                <w:szCs w:val="18"/>
                <w:lang w:eastAsia="en-AU"/>
              </w:rPr>
              <w:t>Titleholder % of commitment</w:t>
            </w:r>
          </w:p>
          <w:p w14:paraId="36B1A74F" w14:textId="77777777" w:rsidR="008072C7" w:rsidRPr="00BB2769" w:rsidRDefault="008072C7" w:rsidP="00110533">
            <w:pPr>
              <w:rPr>
                <w:sz w:val="18"/>
                <w:szCs w:val="18"/>
              </w:rPr>
            </w:pPr>
            <w:r>
              <w:rPr>
                <w:rFonts w:eastAsia="Times New Roman"/>
                <w:sz w:val="18"/>
                <w:szCs w:val="18"/>
                <w:lang w:eastAsia="en-AU"/>
              </w:rPr>
              <w:t>$ value of commitment remaining</w:t>
            </w:r>
          </w:p>
        </w:tc>
        <w:tc>
          <w:tcPr>
            <w:tcW w:w="1418" w:type="dxa"/>
          </w:tcPr>
          <w:p w14:paraId="586C504C" w14:textId="77777777" w:rsidR="008072C7" w:rsidRDefault="008072C7" w:rsidP="00110533">
            <w:pPr>
              <w:rPr>
                <w:rFonts w:eastAsia="Times New Roman"/>
                <w:sz w:val="18"/>
                <w:szCs w:val="18"/>
                <w:lang w:eastAsia="en-AU"/>
              </w:rPr>
            </w:pPr>
          </w:p>
        </w:tc>
      </w:tr>
    </w:tbl>
    <w:p w14:paraId="233142A1" w14:textId="77777777" w:rsidR="008072C7" w:rsidRDefault="008072C7" w:rsidP="008072C7">
      <w:pPr>
        <w:pStyle w:val="ListParagraph"/>
        <w:ind w:left="0"/>
        <w:rPr>
          <w:rFonts w:ascii="Arial" w:hAnsi="Arial" w:cs="Arial"/>
        </w:rPr>
      </w:pPr>
    </w:p>
    <w:tbl>
      <w:tblPr>
        <w:tblStyle w:val="TableGrid"/>
        <w:tblW w:w="13462" w:type="dxa"/>
        <w:jc w:val="center"/>
        <w:tblLook w:val="04A0" w:firstRow="1" w:lastRow="0" w:firstColumn="1" w:lastColumn="0" w:noHBand="0" w:noVBand="1"/>
      </w:tblPr>
      <w:tblGrid>
        <w:gridCol w:w="6232"/>
        <w:gridCol w:w="2127"/>
        <w:gridCol w:w="1701"/>
        <w:gridCol w:w="1559"/>
        <w:gridCol w:w="1843"/>
      </w:tblGrid>
      <w:tr w:rsidR="008072C7" w:rsidRPr="00362593" w14:paraId="39F8208A" w14:textId="77777777" w:rsidTr="00110533">
        <w:trPr>
          <w:trHeight w:val="290"/>
          <w:jc w:val="center"/>
        </w:trPr>
        <w:tc>
          <w:tcPr>
            <w:tcW w:w="6232" w:type="dxa"/>
            <w:shd w:val="clear" w:color="auto" w:fill="BDD6EE" w:themeFill="accent1" w:themeFillTint="66"/>
          </w:tcPr>
          <w:p w14:paraId="33D5D6E2" w14:textId="77777777" w:rsidR="008072C7" w:rsidRPr="00897C3E" w:rsidRDefault="008072C7" w:rsidP="00110533">
            <w:pPr>
              <w:rPr>
                <w:rFonts w:eastAsia="Times New Roman"/>
                <w:b/>
                <w:bCs/>
                <w:sz w:val="18"/>
                <w:szCs w:val="18"/>
                <w:lang w:eastAsia="en-AU"/>
              </w:rPr>
            </w:pPr>
            <w:r w:rsidRPr="00832944">
              <w:rPr>
                <w:rFonts w:eastAsia="Times New Roman"/>
                <w:b/>
                <w:bCs/>
                <w:sz w:val="18"/>
                <w:szCs w:val="18"/>
                <w:lang w:eastAsia="en-AU"/>
              </w:rPr>
              <w:t>Other Commitments</w:t>
            </w:r>
          </w:p>
        </w:tc>
        <w:tc>
          <w:tcPr>
            <w:tcW w:w="2127" w:type="dxa"/>
            <w:shd w:val="clear" w:color="auto" w:fill="BDD6EE" w:themeFill="accent1" w:themeFillTint="66"/>
          </w:tcPr>
          <w:p w14:paraId="2DA15F04" w14:textId="77777777" w:rsidR="008072C7" w:rsidRPr="00362593" w:rsidRDefault="008072C7" w:rsidP="00110533">
            <w:pPr>
              <w:rPr>
                <w:rFonts w:eastAsia="Times New Roman"/>
                <w:b/>
                <w:bCs/>
                <w:sz w:val="18"/>
                <w:szCs w:val="18"/>
                <w:lang w:eastAsia="en-AU"/>
              </w:rPr>
            </w:pPr>
            <w:r w:rsidRPr="00362593">
              <w:rPr>
                <w:rFonts w:eastAsia="Times New Roman"/>
                <w:b/>
                <w:bCs/>
                <w:sz w:val="18"/>
                <w:szCs w:val="18"/>
                <w:lang w:eastAsia="en-AU"/>
              </w:rPr>
              <w:t>&lt; 1 year</w:t>
            </w:r>
          </w:p>
        </w:tc>
        <w:tc>
          <w:tcPr>
            <w:tcW w:w="1701" w:type="dxa"/>
            <w:shd w:val="clear" w:color="auto" w:fill="BDD6EE" w:themeFill="accent1" w:themeFillTint="66"/>
          </w:tcPr>
          <w:p w14:paraId="22C6D7CC" w14:textId="77777777" w:rsidR="008072C7" w:rsidRPr="00362593" w:rsidRDefault="008072C7" w:rsidP="00110533">
            <w:pPr>
              <w:rPr>
                <w:rFonts w:eastAsia="Times New Roman"/>
                <w:b/>
                <w:bCs/>
                <w:sz w:val="18"/>
                <w:szCs w:val="18"/>
                <w:lang w:eastAsia="en-AU"/>
              </w:rPr>
            </w:pPr>
            <w:r w:rsidRPr="00832944">
              <w:rPr>
                <w:rFonts w:eastAsia="Times New Roman"/>
                <w:b/>
                <w:bCs/>
                <w:sz w:val="18"/>
                <w:szCs w:val="18"/>
                <w:lang w:eastAsia="en-AU"/>
              </w:rPr>
              <w:t>1 year &lt; 5 years</w:t>
            </w:r>
          </w:p>
        </w:tc>
        <w:tc>
          <w:tcPr>
            <w:tcW w:w="1559" w:type="dxa"/>
            <w:shd w:val="clear" w:color="auto" w:fill="BDD6EE" w:themeFill="accent1" w:themeFillTint="66"/>
          </w:tcPr>
          <w:p w14:paraId="4151818E" w14:textId="77777777" w:rsidR="008072C7" w:rsidRPr="00897C3E" w:rsidRDefault="008072C7" w:rsidP="00110533">
            <w:pPr>
              <w:rPr>
                <w:rFonts w:eastAsia="Times New Roman"/>
                <w:b/>
                <w:bCs/>
                <w:sz w:val="18"/>
                <w:szCs w:val="18"/>
                <w:lang w:eastAsia="en-AU"/>
              </w:rPr>
            </w:pPr>
            <w:r>
              <w:rPr>
                <w:rFonts w:eastAsia="Times New Roman"/>
                <w:b/>
                <w:bCs/>
                <w:sz w:val="18"/>
                <w:szCs w:val="18"/>
                <w:lang w:eastAsia="en-AU"/>
              </w:rPr>
              <w:t xml:space="preserve">&gt; </w:t>
            </w:r>
            <w:r w:rsidRPr="00832944">
              <w:rPr>
                <w:rFonts w:eastAsia="Times New Roman"/>
                <w:b/>
                <w:bCs/>
                <w:sz w:val="18"/>
                <w:szCs w:val="18"/>
                <w:lang w:eastAsia="en-AU"/>
              </w:rPr>
              <w:t>5 years</w:t>
            </w:r>
          </w:p>
        </w:tc>
        <w:tc>
          <w:tcPr>
            <w:tcW w:w="1843" w:type="dxa"/>
            <w:shd w:val="clear" w:color="auto" w:fill="BDD6EE" w:themeFill="accent1" w:themeFillTint="66"/>
          </w:tcPr>
          <w:p w14:paraId="6EE3F342" w14:textId="77777777" w:rsidR="008072C7" w:rsidRPr="00832944" w:rsidRDefault="008072C7" w:rsidP="00110533">
            <w:pPr>
              <w:rPr>
                <w:rFonts w:eastAsia="Times New Roman"/>
                <w:b/>
                <w:bCs/>
                <w:sz w:val="18"/>
                <w:szCs w:val="18"/>
                <w:lang w:eastAsia="en-AU"/>
              </w:rPr>
            </w:pPr>
            <w:r>
              <w:rPr>
                <w:rFonts w:eastAsia="Times New Roman"/>
                <w:b/>
                <w:bCs/>
                <w:sz w:val="18"/>
                <w:szCs w:val="18"/>
                <w:lang w:eastAsia="en-AU"/>
              </w:rPr>
              <w:t>Contingent</w:t>
            </w:r>
          </w:p>
        </w:tc>
      </w:tr>
      <w:tr w:rsidR="008072C7" w:rsidRPr="00362593" w14:paraId="7DD005BF" w14:textId="77777777" w:rsidTr="00110533">
        <w:trPr>
          <w:trHeight w:val="290"/>
          <w:jc w:val="center"/>
        </w:trPr>
        <w:tc>
          <w:tcPr>
            <w:tcW w:w="6232" w:type="dxa"/>
          </w:tcPr>
          <w:p w14:paraId="7F0527D2" w14:textId="77777777" w:rsidR="008072C7" w:rsidRPr="00832944" w:rsidRDefault="008072C7" w:rsidP="00110533">
            <w:pPr>
              <w:rPr>
                <w:rFonts w:eastAsia="Times New Roman"/>
                <w:sz w:val="18"/>
                <w:szCs w:val="18"/>
                <w:lang w:eastAsia="en-AU"/>
              </w:rPr>
            </w:pPr>
            <w:r w:rsidRPr="00832944">
              <w:rPr>
                <w:rFonts w:eastAsia="Times New Roman"/>
                <w:sz w:val="18"/>
                <w:szCs w:val="18"/>
                <w:lang w:eastAsia="en-AU"/>
              </w:rPr>
              <w:t>Other Exploration</w:t>
            </w:r>
          </w:p>
          <w:p w14:paraId="03D58D64" w14:textId="77777777" w:rsidR="008072C7" w:rsidRPr="00832944" w:rsidRDefault="008072C7" w:rsidP="00110533">
            <w:pPr>
              <w:rPr>
                <w:rFonts w:eastAsia="Times New Roman"/>
                <w:sz w:val="18"/>
                <w:szCs w:val="18"/>
                <w:lang w:eastAsia="en-AU"/>
              </w:rPr>
            </w:pPr>
            <w:r w:rsidRPr="00832944">
              <w:rPr>
                <w:rFonts w:eastAsia="Times New Roman"/>
                <w:sz w:val="18"/>
                <w:szCs w:val="18"/>
                <w:lang w:eastAsia="en-AU"/>
              </w:rPr>
              <w:t>Oil &amp; Gas Properties</w:t>
            </w:r>
          </w:p>
          <w:p w14:paraId="329DF099" w14:textId="77777777" w:rsidR="008072C7" w:rsidRPr="00832944" w:rsidRDefault="008072C7" w:rsidP="00110533">
            <w:pPr>
              <w:rPr>
                <w:rFonts w:eastAsia="Times New Roman"/>
                <w:sz w:val="18"/>
                <w:szCs w:val="18"/>
                <w:lang w:eastAsia="en-AU"/>
              </w:rPr>
            </w:pPr>
            <w:r w:rsidRPr="00832944">
              <w:rPr>
                <w:rFonts w:eastAsia="Times New Roman"/>
                <w:sz w:val="18"/>
                <w:szCs w:val="18"/>
                <w:lang w:eastAsia="en-AU"/>
              </w:rPr>
              <w:t>Purchase Obligations</w:t>
            </w:r>
          </w:p>
          <w:p w14:paraId="7023EB0E" w14:textId="77777777" w:rsidR="008072C7" w:rsidRPr="00832944" w:rsidRDefault="008072C7" w:rsidP="00110533">
            <w:pPr>
              <w:rPr>
                <w:rFonts w:eastAsia="Times New Roman"/>
                <w:sz w:val="18"/>
                <w:szCs w:val="18"/>
                <w:lang w:eastAsia="en-AU"/>
              </w:rPr>
            </w:pPr>
            <w:r w:rsidRPr="00832944">
              <w:rPr>
                <w:rFonts w:eastAsia="Times New Roman"/>
                <w:sz w:val="18"/>
                <w:szCs w:val="18"/>
                <w:lang w:eastAsia="en-AU"/>
              </w:rPr>
              <w:t>Take or Pay contracts</w:t>
            </w:r>
          </w:p>
          <w:p w14:paraId="2CFD713F" w14:textId="77777777" w:rsidR="008072C7" w:rsidRPr="00832944" w:rsidRDefault="008072C7" w:rsidP="00110533">
            <w:pPr>
              <w:rPr>
                <w:rFonts w:eastAsia="Times New Roman"/>
                <w:sz w:val="18"/>
                <w:szCs w:val="18"/>
                <w:lang w:eastAsia="en-AU"/>
              </w:rPr>
            </w:pPr>
          </w:p>
          <w:p w14:paraId="11EE4CCA" w14:textId="77777777" w:rsidR="008072C7" w:rsidRPr="00897C3E" w:rsidRDefault="008072C7" w:rsidP="00110533">
            <w:pPr>
              <w:rPr>
                <w:rFonts w:eastAsia="Times New Roman"/>
                <w:sz w:val="18"/>
                <w:szCs w:val="18"/>
                <w:lang w:eastAsia="en-AU"/>
              </w:rPr>
            </w:pPr>
            <w:r w:rsidRPr="00832944">
              <w:rPr>
                <w:rFonts w:eastAsia="Times New Roman"/>
                <w:sz w:val="18"/>
                <w:szCs w:val="18"/>
                <w:lang w:eastAsia="en-AU"/>
              </w:rPr>
              <w:t>Etc. as appropriate, this is a non-exhaustive list</w:t>
            </w:r>
          </w:p>
        </w:tc>
        <w:tc>
          <w:tcPr>
            <w:tcW w:w="2127" w:type="dxa"/>
          </w:tcPr>
          <w:p w14:paraId="7E049F1F" w14:textId="77777777" w:rsidR="008072C7" w:rsidRPr="00897C3E" w:rsidRDefault="008072C7" w:rsidP="00110533">
            <w:pPr>
              <w:rPr>
                <w:rFonts w:eastAsia="Times New Roman"/>
                <w:sz w:val="18"/>
                <w:szCs w:val="18"/>
                <w:lang w:eastAsia="en-AU"/>
              </w:rPr>
            </w:pPr>
          </w:p>
        </w:tc>
        <w:tc>
          <w:tcPr>
            <w:tcW w:w="1701" w:type="dxa"/>
          </w:tcPr>
          <w:p w14:paraId="12595BE1" w14:textId="77777777" w:rsidR="008072C7" w:rsidRPr="00897C3E" w:rsidRDefault="008072C7" w:rsidP="00110533">
            <w:pPr>
              <w:rPr>
                <w:rFonts w:eastAsia="Times New Roman"/>
                <w:sz w:val="18"/>
                <w:szCs w:val="18"/>
                <w:lang w:eastAsia="en-AU"/>
              </w:rPr>
            </w:pPr>
          </w:p>
        </w:tc>
        <w:tc>
          <w:tcPr>
            <w:tcW w:w="1559" w:type="dxa"/>
          </w:tcPr>
          <w:p w14:paraId="092684B5" w14:textId="77777777" w:rsidR="008072C7" w:rsidRPr="00897C3E" w:rsidRDefault="008072C7" w:rsidP="00110533">
            <w:pPr>
              <w:rPr>
                <w:sz w:val="18"/>
                <w:szCs w:val="18"/>
              </w:rPr>
            </w:pPr>
          </w:p>
        </w:tc>
        <w:tc>
          <w:tcPr>
            <w:tcW w:w="1843" w:type="dxa"/>
          </w:tcPr>
          <w:p w14:paraId="25BDCF8C" w14:textId="77777777" w:rsidR="008072C7" w:rsidRPr="00362593" w:rsidRDefault="008072C7" w:rsidP="00110533">
            <w:pPr>
              <w:rPr>
                <w:sz w:val="18"/>
                <w:szCs w:val="18"/>
              </w:rPr>
            </w:pPr>
          </w:p>
        </w:tc>
      </w:tr>
    </w:tbl>
    <w:p w14:paraId="30797310" w14:textId="77777777" w:rsidR="008072C7" w:rsidRDefault="008072C7" w:rsidP="008072C7">
      <w:pPr>
        <w:rPr>
          <w:rFonts w:ascii="Arial" w:hAnsi="Arial" w:cs="Arial"/>
        </w:rPr>
      </w:pPr>
    </w:p>
    <w:p w14:paraId="3E3FFE43" w14:textId="77777777" w:rsidR="008072C7" w:rsidRDefault="008072C7" w:rsidP="008072C7">
      <w:r>
        <w:br w:type="page"/>
      </w:r>
    </w:p>
    <w:p w14:paraId="380A14D3" w14:textId="77777777" w:rsidR="008072C7" w:rsidRDefault="008072C7" w:rsidP="008072C7">
      <w:pPr>
        <w:rPr>
          <w:rFonts w:ascii="Arial" w:hAnsi="Arial" w:cs="Arial"/>
          <w:u w:val="single"/>
        </w:rPr>
      </w:pPr>
      <w:bookmarkStart w:id="10" w:name="_Attachment_B_–"/>
      <w:bookmarkEnd w:id="10"/>
    </w:p>
    <w:p w14:paraId="75CDBD3D" w14:textId="77777777" w:rsidR="008072C7" w:rsidRDefault="008072C7" w:rsidP="008072C7">
      <w:pPr>
        <w:pStyle w:val="Heading1"/>
      </w:pPr>
      <w:bookmarkStart w:id="11" w:name="_Attachment_B:_Financial"/>
      <w:bookmarkEnd w:id="11"/>
      <w:r>
        <w:rPr>
          <w:color w:val="27629B"/>
        </w:rPr>
        <w:t xml:space="preserve">Attachment B: </w:t>
      </w:r>
      <w:r w:rsidRPr="00AC529D">
        <w:rPr>
          <w:color w:val="27629B"/>
        </w:rPr>
        <w:t xml:space="preserve">Financial indicators and threshold values </w:t>
      </w:r>
    </w:p>
    <w:p w14:paraId="70E1BE26" w14:textId="77777777" w:rsidR="008072C7" w:rsidRPr="008403E5" w:rsidRDefault="008072C7" w:rsidP="008072C7"/>
    <w:p w14:paraId="1F48B4B6" w14:textId="77777777" w:rsidR="008072C7" w:rsidRPr="0032375E" w:rsidRDefault="008072C7" w:rsidP="008072C7">
      <w:pPr>
        <w:rPr>
          <w:rStyle w:val="SubtleEmphasis"/>
        </w:rPr>
      </w:pPr>
      <w:r w:rsidRPr="0032375E">
        <w:rPr>
          <w:rStyle w:val="SubtleEmphasis"/>
        </w:rPr>
        <w:t>T</w:t>
      </w:r>
      <w:r>
        <w:rPr>
          <w:rStyle w:val="SubtleEmphasis"/>
        </w:rPr>
        <w:t>able 2: In</w:t>
      </w:r>
      <w:r w:rsidRPr="0032375E">
        <w:rPr>
          <w:rStyle w:val="SubtleEmphasis"/>
        </w:rPr>
        <w:t xml:space="preserve">dicators and threshold values to determine financial viability. </w:t>
      </w:r>
    </w:p>
    <w:tbl>
      <w:tblPr>
        <w:tblStyle w:val="TableGrid"/>
        <w:tblpPr w:leftFromText="180" w:rightFromText="180" w:vertAnchor="text" w:horzAnchor="margin" w:tblpY="72"/>
        <w:tblOverlap w:val="never"/>
        <w:tblW w:w="5000" w:type="pct"/>
        <w:tblLook w:val="04A0" w:firstRow="1" w:lastRow="0" w:firstColumn="1" w:lastColumn="0" w:noHBand="0" w:noVBand="1"/>
      </w:tblPr>
      <w:tblGrid>
        <w:gridCol w:w="1532"/>
        <w:gridCol w:w="4234"/>
        <w:gridCol w:w="1482"/>
        <w:gridCol w:w="7598"/>
      </w:tblGrid>
      <w:tr w:rsidR="008072C7" w:rsidRPr="00574938" w14:paraId="6129049B" w14:textId="77777777" w:rsidTr="00110533">
        <w:trPr>
          <w:trHeight w:val="290"/>
        </w:trPr>
        <w:tc>
          <w:tcPr>
            <w:tcW w:w="516" w:type="pct"/>
            <w:shd w:val="clear" w:color="auto" w:fill="BDD6EE" w:themeFill="accent1" w:themeFillTint="66"/>
          </w:tcPr>
          <w:p w14:paraId="43497C2A" w14:textId="77777777" w:rsidR="008072C7" w:rsidRPr="00574938" w:rsidRDefault="008072C7" w:rsidP="00110533">
            <w:pPr>
              <w:rPr>
                <w:rFonts w:eastAsia="Times New Roman"/>
                <w:b/>
                <w:bCs/>
                <w:sz w:val="18"/>
                <w:szCs w:val="18"/>
                <w:lang w:eastAsia="en-AU"/>
              </w:rPr>
            </w:pPr>
            <w:r w:rsidRPr="00574938">
              <w:rPr>
                <w:rFonts w:eastAsia="Times New Roman"/>
                <w:b/>
                <w:bCs/>
                <w:sz w:val="18"/>
                <w:szCs w:val="18"/>
                <w:lang w:eastAsia="en-AU"/>
              </w:rPr>
              <w:t>Financial Viability</w:t>
            </w:r>
            <w:r>
              <w:rPr>
                <w:rFonts w:eastAsia="Times New Roman"/>
                <w:b/>
                <w:bCs/>
                <w:sz w:val="18"/>
                <w:szCs w:val="18"/>
                <w:lang w:eastAsia="en-AU"/>
              </w:rPr>
              <w:t xml:space="preserve"> </w:t>
            </w:r>
          </w:p>
        </w:tc>
        <w:tc>
          <w:tcPr>
            <w:tcW w:w="4484" w:type="pct"/>
            <w:gridSpan w:val="3"/>
            <w:shd w:val="clear" w:color="auto" w:fill="BDD6EE" w:themeFill="accent1" w:themeFillTint="66"/>
          </w:tcPr>
          <w:p w14:paraId="752D2D1F" w14:textId="77777777" w:rsidR="008072C7" w:rsidRPr="00574938" w:rsidRDefault="008072C7" w:rsidP="00110533">
            <w:pPr>
              <w:rPr>
                <w:rFonts w:eastAsia="Times New Roman"/>
                <w:sz w:val="18"/>
                <w:szCs w:val="18"/>
                <w:lang w:eastAsia="en-AU"/>
              </w:rPr>
            </w:pPr>
            <w:r w:rsidRPr="00574938">
              <w:rPr>
                <w:rFonts w:eastAsia="Times New Roman"/>
                <w:sz w:val="18"/>
                <w:szCs w:val="18"/>
                <w:lang w:eastAsia="en-AU"/>
              </w:rPr>
              <w:t xml:space="preserve">The assessment of financial viability looks for evidence to demonstrate that the applicant is operating as an ongoing business concern, and that the future revenue and assets are sufficient to meet expected liabilities as they arise. An applicant(s) should meet </w:t>
            </w:r>
            <w:proofErr w:type="gramStart"/>
            <w:r w:rsidRPr="00574938">
              <w:rPr>
                <w:rFonts w:eastAsia="Times New Roman"/>
                <w:sz w:val="18"/>
                <w:szCs w:val="18"/>
                <w:lang w:eastAsia="en-AU"/>
              </w:rPr>
              <w:t>all of</w:t>
            </w:r>
            <w:proofErr w:type="gramEnd"/>
            <w:r w:rsidRPr="00574938">
              <w:rPr>
                <w:rFonts w:eastAsia="Times New Roman"/>
                <w:sz w:val="18"/>
                <w:szCs w:val="18"/>
                <w:lang w:eastAsia="en-AU"/>
              </w:rPr>
              <w:t xml:space="preserve"> NOPTA’s expectations for Financial Viability or provide additional evidence of its financial position.</w:t>
            </w:r>
          </w:p>
        </w:tc>
      </w:tr>
      <w:tr w:rsidR="008072C7" w:rsidRPr="00574938" w14:paraId="4E7332DF" w14:textId="77777777" w:rsidTr="00110533">
        <w:trPr>
          <w:trHeight w:val="290"/>
        </w:trPr>
        <w:tc>
          <w:tcPr>
            <w:tcW w:w="516" w:type="pct"/>
            <w:shd w:val="clear" w:color="auto" w:fill="DEEAF6" w:themeFill="accent1" w:themeFillTint="33"/>
          </w:tcPr>
          <w:p w14:paraId="7DA2A25E" w14:textId="77777777" w:rsidR="008072C7" w:rsidRPr="00574938" w:rsidRDefault="008072C7" w:rsidP="00110533">
            <w:pPr>
              <w:rPr>
                <w:rFonts w:eastAsia="Times New Roman"/>
                <w:b/>
                <w:bCs/>
                <w:sz w:val="18"/>
                <w:szCs w:val="18"/>
                <w:lang w:eastAsia="en-AU"/>
              </w:rPr>
            </w:pPr>
            <w:r w:rsidRPr="00574938">
              <w:rPr>
                <w:rFonts w:eastAsia="Times New Roman"/>
                <w:b/>
                <w:bCs/>
                <w:sz w:val="18"/>
                <w:szCs w:val="18"/>
                <w:lang w:eastAsia="en-AU"/>
              </w:rPr>
              <w:t>Indicator</w:t>
            </w:r>
          </w:p>
        </w:tc>
        <w:tc>
          <w:tcPr>
            <w:tcW w:w="1426" w:type="pct"/>
            <w:shd w:val="clear" w:color="auto" w:fill="DEEAF6" w:themeFill="accent1" w:themeFillTint="33"/>
          </w:tcPr>
          <w:p w14:paraId="633BFE36" w14:textId="77777777" w:rsidR="008072C7" w:rsidRPr="00574938" w:rsidRDefault="008072C7" w:rsidP="00110533">
            <w:pPr>
              <w:rPr>
                <w:rFonts w:eastAsia="Times New Roman"/>
                <w:sz w:val="18"/>
                <w:szCs w:val="18"/>
                <w:lang w:eastAsia="en-AU"/>
              </w:rPr>
            </w:pPr>
            <w:r w:rsidRPr="00574938">
              <w:rPr>
                <w:rFonts w:eastAsia="Times New Roman"/>
                <w:b/>
                <w:bCs/>
                <w:sz w:val="18"/>
                <w:szCs w:val="18"/>
                <w:lang w:eastAsia="en-AU"/>
              </w:rPr>
              <w:t>Calculation</w:t>
            </w:r>
          </w:p>
        </w:tc>
        <w:tc>
          <w:tcPr>
            <w:tcW w:w="499" w:type="pct"/>
            <w:shd w:val="clear" w:color="auto" w:fill="DEEAF6" w:themeFill="accent1" w:themeFillTint="33"/>
          </w:tcPr>
          <w:p w14:paraId="0F944672" w14:textId="77777777" w:rsidR="008072C7" w:rsidRPr="00574938" w:rsidRDefault="008072C7" w:rsidP="00110533">
            <w:pPr>
              <w:rPr>
                <w:rFonts w:eastAsia="Times New Roman"/>
                <w:b/>
                <w:bCs/>
                <w:sz w:val="18"/>
                <w:szCs w:val="18"/>
                <w:lang w:eastAsia="en-AU"/>
              </w:rPr>
            </w:pPr>
            <w:r>
              <w:rPr>
                <w:rFonts w:eastAsia="Times New Roman"/>
                <w:b/>
                <w:bCs/>
                <w:sz w:val="18"/>
                <w:szCs w:val="18"/>
                <w:lang w:eastAsia="en-AU"/>
              </w:rPr>
              <w:t>Threshold</w:t>
            </w:r>
          </w:p>
        </w:tc>
        <w:tc>
          <w:tcPr>
            <w:tcW w:w="2559" w:type="pct"/>
            <w:shd w:val="clear" w:color="auto" w:fill="DEEAF6" w:themeFill="accent1" w:themeFillTint="33"/>
          </w:tcPr>
          <w:p w14:paraId="465F3B4F" w14:textId="77777777" w:rsidR="008072C7" w:rsidRPr="00574938" w:rsidRDefault="008072C7" w:rsidP="00110533">
            <w:pPr>
              <w:rPr>
                <w:rFonts w:eastAsia="Times New Roman"/>
                <w:b/>
                <w:bCs/>
                <w:sz w:val="18"/>
                <w:szCs w:val="18"/>
                <w:lang w:eastAsia="en-AU"/>
              </w:rPr>
            </w:pPr>
            <w:r w:rsidRPr="00574938">
              <w:rPr>
                <w:rFonts w:eastAsia="Times New Roman"/>
                <w:b/>
                <w:bCs/>
                <w:sz w:val="18"/>
                <w:szCs w:val="18"/>
                <w:lang w:eastAsia="en-AU"/>
              </w:rPr>
              <w:t>Explanation</w:t>
            </w:r>
          </w:p>
        </w:tc>
      </w:tr>
      <w:tr w:rsidR="008072C7" w:rsidRPr="009635EE" w14:paraId="35C73C3A" w14:textId="77777777" w:rsidTr="00110533">
        <w:trPr>
          <w:trHeight w:val="290"/>
        </w:trPr>
        <w:tc>
          <w:tcPr>
            <w:tcW w:w="516" w:type="pct"/>
          </w:tcPr>
          <w:p w14:paraId="34736171" w14:textId="77777777" w:rsidR="008072C7" w:rsidRPr="00574938" w:rsidRDefault="008072C7" w:rsidP="00110533">
            <w:pPr>
              <w:rPr>
                <w:rFonts w:eastAsia="Times New Roman"/>
                <w:b/>
                <w:bCs/>
                <w:sz w:val="18"/>
                <w:szCs w:val="18"/>
                <w:lang w:eastAsia="en-AU"/>
              </w:rPr>
            </w:pPr>
            <w:r w:rsidRPr="00482C95">
              <w:rPr>
                <w:rFonts w:eastAsia="Times New Roman"/>
                <w:sz w:val="18"/>
                <w:szCs w:val="18"/>
                <w:lang w:eastAsia="en-AU"/>
              </w:rPr>
              <w:t>Going Concern</w:t>
            </w:r>
          </w:p>
        </w:tc>
        <w:tc>
          <w:tcPr>
            <w:tcW w:w="1426" w:type="pct"/>
          </w:tcPr>
          <w:p w14:paraId="496DEA04" w14:textId="77777777" w:rsidR="008072C7" w:rsidRPr="00574938" w:rsidRDefault="008072C7" w:rsidP="00110533">
            <w:pPr>
              <w:rPr>
                <w:rFonts w:eastAsia="Times New Roman"/>
                <w:sz w:val="18"/>
                <w:szCs w:val="18"/>
                <w:lang w:eastAsia="en-AU"/>
              </w:rPr>
            </w:pPr>
            <w:r w:rsidRPr="00574938">
              <w:rPr>
                <w:rFonts w:eastAsia="Times New Roman"/>
                <w:sz w:val="18"/>
                <w:szCs w:val="18"/>
                <w:lang w:eastAsia="en-AU"/>
              </w:rPr>
              <w:t>N/a</w:t>
            </w:r>
          </w:p>
        </w:tc>
        <w:tc>
          <w:tcPr>
            <w:tcW w:w="499" w:type="pct"/>
          </w:tcPr>
          <w:p w14:paraId="18B77D9D" w14:textId="77777777" w:rsidR="008072C7" w:rsidRPr="00574938" w:rsidRDefault="008072C7" w:rsidP="00110533">
            <w:pPr>
              <w:rPr>
                <w:rFonts w:eastAsia="Times New Roman"/>
                <w:sz w:val="18"/>
                <w:szCs w:val="18"/>
                <w:lang w:eastAsia="en-AU"/>
              </w:rPr>
            </w:pPr>
            <w:r w:rsidRPr="00574938">
              <w:rPr>
                <w:rFonts w:eastAsia="Times New Roman"/>
                <w:sz w:val="18"/>
                <w:szCs w:val="18"/>
                <w:lang w:eastAsia="en-AU"/>
              </w:rPr>
              <w:t>No going concern issues highlighted</w:t>
            </w:r>
          </w:p>
        </w:tc>
        <w:tc>
          <w:tcPr>
            <w:tcW w:w="2559" w:type="pct"/>
          </w:tcPr>
          <w:p w14:paraId="525AA190" w14:textId="77777777" w:rsidR="008072C7" w:rsidRPr="00574938" w:rsidRDefault="008072C7" w:rsidP="00110533">
            <w:pPr>
              <w:rPr>
                <w:rFonts w:eastAsia="Times New Roman"/>
                <w:sz w:val="18"/>
                <w:szCs w:val="18"/>
                <w:lang w:eastAsia="en-AU"/>
              </w:rPr>
            </w:pPr>
            <w:r w:rsidRPr="00574938">
              <w:rPr>
                <w:rFonts w:eastAsia="Times New Roman"/>
                <w:sz w:val="18"/>
                <w:szCs w:val="18"/>
                <w:lang w:eastAsia="en-AU"/>
              </w:rPr>
              <w:t>NOPTA will review information which includes, but is not limited to, the Auditor’s and Director’s report statement on going concern, and the applicant’s financial statements.</w:t>
            </w:r>
          </w:p>
          <w:p w14:paraId="79F4ED9F" w14:textId="77777777" w:rsidR="008072C7" w:rsidRPr="00574938" w:rsidRDefault="008072C7" w:rsidP="00110533">
            <w:pPr>
              <w:rPr>
                <w:rFonts w:eastAsia="Times New Roman"/>
                <w:sz w:val="18"/>
                <w:szCs w:val="18"/>
                <w:lang w:eastAsia="en-AU"/>
              </w:rPr>
            </w:pPr>
          </w:p>
          <w:p w14:paraId="444CE492" w14:textId="77777777" w:rsidR="008072C7" w:rsidRPr="00574938" w:rsidRDefault="008072C7" w:rsidP="00110533">
            <w:pPr>
              <w:rPr>
                <w:rFonts w:eastAsia="Times New Roman"/>
                <w:sz w:val="18"/>
                <w:szCs w:val="18"/>
                <w:lang w:eastAsia="en-AU"/>
              </w:rPr>
            </w:pPr>
            <w:r w:rsidRPr="00574938">
              <w:rPr>
                <w:rFonts w:eastAsia="Times New Roman"/>
                <w:sz w:val="18"/>
                <w:szCs w:val="18"/>
                <w:lang w:eastAsia="en-AU"/>
              </w:rPr>
              <w:t>If an entity has going concern issues</w:t>
            </w:r>
            <w:r>
              <w:rPr>
                <w:rFonts w:eastAsia="Times New Roman"/>
                <w:sz w:val="18"/>
                <w:szCs w:val="18"/>
                <w:lang w:eastAsia="en-AU"/>
              </w:rPr>
              <w:t>, it should advise</w:t>
            </w:r>
            <w:r w:rsidRPr="00574938">
              <w:rPr>
                <w:rFonts w:eastAsia="Times New Roman"/>
                <w:sz w:val="18"/>
                <w:szCs w:val="18"/>
                <w:lang w:eastAsia="en-AU"/>
              </w:rPr>
              <w:t xml:space="preserve"> if:</w:t>
            </w:r>
          </w:p>
          <w:p w14:paraId="54E99FF6" w14:textId="77777777" w:rsidR="008072C7" w:rsidRPr="009635EE" w:rsidRDefault="008072C7" w:rsidP="008072C7">
            <w:pPr>
              <w:pStyle w:val="ListParagraph"/>
              <w:widowControl/>
              <w:numPr>
                <w:ilvl w:val="0"/>
                <w:numId w:val="2"/>
              </w:numPr>
              <w:autoSpaceDE/>
              <w:autoSpaceDN/>
              <w:spacing w:before="0"/>
              <w:contextualSpacing/>
              <w:rPr>
                <w:sz w:val="18"/>
                <w:szCs w:val="18"/>
              </w:rPr>
            </w:pPr>
            <w:r w:rsidRPr="009635EE">
              <w:rPr>
                <w:sz w:val="18"/>
                <w:szCs w:val="18"/>
              </w:rPr>
              <w:t>rectification action has been undertaken,</w:t>
            </w:r>
          </w:p>
          <w:p w14:paraId="21AA81ED" w14:textId="77777777" w:rsidR="008072C7" w:rsidRPr="009635EE" w:rsidRDefault="008072C7" w:rsidP="008072C7">
            <w:pPr>
              <w:pStyle w:val="ListParagraph"/>
              <w:widowControl/>
              <w:numPr>
                <w:ilvl w:val="0"/>
                <w:numId w:val="2"/>
              </w:numPr>
              <w:autoSpaceDE/>
              <w:autoSpaceDN/>
              <w:spacing w:before="0"/>
              <w:contextualSpacing/>
              <w:rPr>
                <w:sz w:val="18"/>
                <w:szCs w:val="18"/>
              </w:rPr>
            </w:pPr>
            <w:r w:rsidRPr="009635EE">
              <w:rPr>
                <w:sz w:val="18"/>
                <w:szCs w:val="18"/>
              </w:rPr>
              <w:t>underlying reason for the qualification which will affect the applicant’s ability to undertake the proposed works,</w:t>
            </w:r>
          </w:p>
          <w:p w14:paraId="2547279B" w14:textId="77777777" w:rsidR="008072C7" w:rsidRPr="009635EE" w:rsidRDefault="008072C7" w:rsidP="008072C7">
            <w:pPr>
              <w:pStyle w:val="ListParagraph"/>
              <w:widowControl/>
              <w:numPr>
                <w:ilvl w:val="0"/>
                <w:numId w:val="2"/>
              </w:numPr>
              <w:autoSpaceDE/>
              <w:autoSpaceDN/>
              <w:spacing w:before="0"/>
              <w:contextualSpacing/>
              <w:rPr>
                <w:sz w:val="18"/>
                <w:szCs w:val="18"/>
              </w:rPr>
            </w:pPr>
            <w:r w:rsidRPr="009635EE">
              <w:rPr>
                <w:sz w:val="18"/>
                <w:szCs w:val="18"/>
              </w:rPr>
              <w:t>the qualification is a material concern which will have an impact on the applicant’s trading and financial performance.</w:t>
            </w:r>
          </w:p>
        </w:tc>
      </w:tr>
      <w:tr w:rsidR="008072C7" w:rsidRPr="00574938" w14:paraId="037121D6" w14:textId="77777777" w:rsidTr="00110533">
        <w:trPr>
          <w:trHeight w:val="290"/>
        </w:trPr>
        <w:tc>
          <w:tcPr>
            <w:tcW w:w="516" w:type="pct"/>
          </w:tcPr>
          <w:p w14:paraId="375E4B85" w14:textId="77777777" w:rsidR="008072C7" w:rsidRPr="00574938" w:rsidRDefault="008072C7" w:rsidP="00110533">
            <w:pPr>
              <w:rPr>
                <w:rFonts w:eastAsia="Times New Roman"/>
                <w:b/>
                <w:bCs/>
                <w:sz w:val="18"/>
                <w:szCs w:val="18"/>
                <w:lang w:eastAsia="en-AU"/>
              </w:rPr>
            </w:pPr>
            <w:r w:rsidRPr="00482C95">
              <w:rPr>
                <w:rFonts w:eastAsia="Times New Roman"/>
                <w:sz w:val="18"/>
                <w:szCs w:val="18"/>
                <w:lang w:eastAsia="en-AU"/>
              </w:rPr>
              <w:t>Current Ratio</w:t>
            </w:r>
          </w:p>
        </w:tc>
        <w:tc>
          <w:tcPr>
            <w:tcW w:w="1426" w:type="pct"/>
          </w:tcPr>
          <w:p w14:paraId="37840DFA" w14:textId="77777777" w:rsidR="008072C7" w:rsidRPr="00574938" w:rsidRDefault="008072C7" w:rsidP="00110533">
            <w:pPr>
              <w:rPr>
                <w:rFonts w:eastAsia="Times New Roman"/>
                <w:sz w:val="18"/>
                <w:szCs w:val="18"/>
                <w:lang w:eastAsia="en-AU"/>
              </w:rPr>
            </w:pPr>
            <w:r w:rsidRPr="00574938">
              <w:rPr>
                <w:rFonts w:eastAsia="Times New Roman"/>
                <w:sz w:val="18"/>
                <w:szCs w:val="18"/>
                <w:lang w:eastAsia="en-AU"/>
              </w:rPr>
              <w:t>Current Assets/ Current Liabilities</w:t>
            </w:r>
          </w:p>
        </w:tc>
        <w:tc>
          <w:tcPr>
            <w:tcW w:w="499" w:type="pct"/>
          </w:tcPr>
          <w:p w14:paraId="6018EF6F" w14:textId="77777777" w:rsidR="008072C7" w:rsidRPr="00574938" w:rsidRDefault="008072C7" w:rsidP="00110533">
            <w:pPr>
              <w:rPr>
                <w:rFonts w:eastAsia="Times New Roman"/>
                <w:sz w:val="18"/>
                <w:szCs w:val="18"/>
                <w:lang w:eastAsia="en-AU"/>
              </w:rPr>
            </w:pPr>
            <w:r w:rsidRPr="00574938">
              <w:rPr>
                <w:rFonts w:eastAsia="Times New Roman"/>
                <w:sz w:val="18"/>
                <w:szCs w:val="18"/>
                <w:lang w:eastAsia="en-AU"/>
              </w:rPr>
              <w:t>&gt; = 1</w:t>
            </w:r>
          </w:p>
        </w:tc>
        <w:tc>
          <w:tcPr>
            <w:tcW w:w="2559" w:type="pct"/>
          </w:tcPr>
          <w:p w14:paraId="37A65755" w14:textId="77777777" w:rsidR="008072C7" w:rsidRPr="00574938" w:rsidRDefault="008072C7" w:rsidP="00110533">
            <w:pPr>
              <w:rPr>
                <w:rFonts w:eastAsia="Times New Roman"/>
                <w:sz w:val="18"/>
                <w:szCs w:val="18"/>
                <w:lang w:eastAsia="en-AU"/>
              </w:rPr>
            </w:pPr>
            <w:r>
              <w:rPr>
                <w:rFonts w:eastAsia="Times New Roman"/>
                <w:sz w:val="18"/>
                <w:szCs w:val="18"/>
                <w:lang w:eastAsia="en-AU"/>
              </w:rPr>
              <w:t xml:space="preserve">Where Current Ratio &lt; 1 advise </w:t>
            </w:r>
            <w:r w:rsidRPr="00574938">
              <w:rPr>
                <w:rFonts w:eastAsia="Times New Roman"/>
                <w:sz w:val="18"/>
                <w:szCs w:val="18"/>
                <w:lang w:eastAsia="en-AU"/>
              </w:rPr>
              <w:t xml:space="preserve">how working capital requirements are </w:t>
            </w:r>
            <w:r>
              <w:rPr>
                <w:rFonts w:eastAsia="Times New Roman"/>
                <w:sz w:val="18"/>
                <w:szCs w:val="18"/>
                <w:lang w:eastAsia="en-AU"/>
              </w:rPr>
              <w:t xml:space="preserve">to be </w:t>
            </w:r>
            <w:r w:rsidRPr="00574938">
              <w:rPr>
                <w:rFonts w:eastAsia="Times New Roman"/>
                <w:sz w:val="18"/>
                <w:szCs w:val="18"/>
                <w:lang w:eastAsia="en-AU"/>
              </w:rPr>
              <w:t>financed by adequate short term funding arrangements</w:t>
            </w:r>
            <w:r>
              <w:rPr>
                <w:rFonts w:eastAsia="Times New Roman"/>
                <w:sz w:val="18"/>
                <w:szCs w:val="18"/>
                <w:lang w:eastAsia="en-AU"/>
              </w:rPr>
              <w:t xml:space="preserve"> </w:t>
            </w:r>
            <w:proofErr w:type="gramStart"/>
            <w:r>
              <w:rPr>
                <w:rFonts w:eastAsia="Times New Roman"/>
                <w:sz w:val="18"/>
                <w:szCs w:val="18"/>
                <w:lang w:eastAsia="en-AU"/>
              </w:rPr>
              <w:t>e.g.</w:t>
            </w:r>
            <w:proofErr w:type="gramEnd"/>
            <w:r>
              <w:rPr>
                <w:rFonts w:eastAsia="Times New Roman"/>
                <w:sz w:val="18"/>
                <w:szCs w:val="18"/>
                <w:lang w:eastAsia="en-AU"/>
              </w:rPr>
              <w:t xml:space="preserve"> cash flow forecasts, line of credit, underwritten capital raising etc</w:t>
            </w:r>
            <w:r w:rsidRPr="00574938">
              <w:rPr>
                <w:rFonts w:eastAsia="Times New Roman"/>
                <w:sz w:val="18"/>
                <w:szCs w:val="18"/>
                <w:lang w:eastAsia="en-AU"/>
              </w:rPr>
              <w:t xml:space="preserve">. </w:t>
            </w:r>
          </w:p>
        </w:tc>
      </w:tr>
      <w:tr w:rsidR="008072C7" w:rsidRPr="00574938" w14:paraId="3C0AB42F" w14:textId="77777777" w:rsidTr="00110533">
        <w:trPr>
          <w:trHeight w:val="290"/>
        </w:trPr>
        <w:tc>
          <w:tcPr>
            <w:tcW w:w="516" w:type="pct"/>
          </w:tcPr>
          <w:p w14:paraId="262BCCEF" w14:textId="77777777" w:rsidR="008072C7" w:rsidRPr="00574938" w:rsidRDefault="008072C7" w:rsidP="00110533">
            <w:pPr>
              <w:rPr>
                <w:rFonts w:eastAsia="Times New Roman"/>
                <w:b/>
                <w:bCs/>
                <w:sz w:val="18"/>
                <w:szCs w:val="18"/>
                <w:lang w:eastAsia="en-AU"/>
              </w:rPr>
            </w:pPr>
            <w:r w:rsidRPr="00482C95">
              <w:rPr>
                <w:rFonts w:eastAsia="Times New Roman"/>
                <w:sz w:val="18"/>
                <w:szCs w:val="18"/>
                <w:lang w:eastAsia="en-AU"/>
              </w:rPr>
              <w:t>Net Assets</w:t>
            </w:r>
          </w:p>
        </w:tc>
        <w:tc>
          <w:tcPr>
            <w:tcW w:w="1426" w:type="pct"/>
          </w:tcPr>
          <w:p w14:paraId="7961BD85" w14:textId="77777777" w:rsidR="008072C7" w:rsidRPr="00574938" w:rsidRDefault="008072C7" w:rsidP="00110533">
            <w:pPr>
              <w:rPr>
                <w:rFonts w:eastAsia="Times New Roman"/>
                <w:sz w:val="18"/>
                <w:szCs w:val="18"/>
                <w:lang w:eastAsia="en-AU"/>
              </w:rPr>
            </w:pPr>
            <w:r w:rsidRPr="00574938">
              <w:rPr>
                <w:rFonts w:eastAsia="Times New Roman"/>
                <w:sz w:val="18"/>
                <w:szCs w:val="18"/>
                <w:lang w:eastAsia="en-AU"/>
              </w:rPr>
              <w:t>Net Assets = Total Assets – Total Liabilities</w:t>
            </w:r>
          </w:p>
        </w:tc>
        <w:tc>
          <w:tcPr>
            <w:tcW w:w="499" w:type="pct"/>
          </w:tcPr>
          <w:p w14:paraId="35B08935" w14:textId="77777777" w:rsidR="008072C7" w:rsidRPr="00574938" w:rsidRDefault="008072C7" w:rsidP="00110533">
            <w:pPr>
              <w:rPr>
                <w:rFonts w:eastAsia="Times New Roman"/>
                <w:sz w:val="18"/>
                <w:szCs w:val="18"/>
                <w:lang w:eastAsia="en-AU"/>
              </w:rPr>
            </w:pPr>
            <w:r>
              <w:rPr>
                <w:rFonts w:eastAsia="Times New Roman"/>
                <w:sz w:val="18"/>
                <w:szCs w:val="18"/>
                <w:lang w:eastAsia="en-AU"/>
              </w:rPr>
              <w:t>&gt;</w:t>
            </w:r>
            <w:r w:rsidRPr="00574938">
              <w:rPr>
                <w:rFonts w:eastAsia="Times New Roman"/>
                <w:sz w:val="18"/>
                <w:szCs w:val="18"/>
                <w:lang w:eastAsia="en-AU"/>
              </w:rPr>
              <w:t xml:space="preserve"> 0</w:t>
            </w:r>
          </w:p>
        </w:tc>
        <w:tc>
          <w:tcPr>
            <w:tcW w:w="2559" w:type="pct"/>
          </w:tcPr>
          <w:p w14:paraId="508C93B0" w14:textId="77777777" w:rsidR="008072C7" w:rsidRPr="00574938" w:rsidRDefault="008072C7" w:rsidP="00110533">
            <w:pPr>
              <w:rPr>
                <w:rFonts w:eastAsia="Times New Roman"/>
                <w:sz w:val="18"/>
                <w:szCs w:val="18"/>
                <w:lang w:eastAsia="en-AU"/>
              </w:rPr>
            </w:pPr>
            <w:r>
              <w:rPr>
                <w:rFonts w:eastAsia="Times New Roman"/>
                <w:sz w:val="18"/>
                <w:szCs w:val="18"/>
                <w:lang w:eastAsia="en-AU"/>
              </w:rPr>
              <w:t xml:space="preserve">Where Net Assets &lt; 0,  provide </w:t>
            </w:r>
            <w:r w:rsidRPr="00574938">
              <w:rPr>
                <w:rFonts w:eastAsia="Times New Roman"/>
                <w:sz w:val="18"/>
                <w:szCs w:val="18"/>
                <w:lang w:eastAsia="en-AU"/>
              </w:rPr>
              <w:t xml:space="preserve">evidence </w:t>
            </w:r>
            <w:r>
              <w:rPr>
                <w:rFonts w:eastAsia="Times New Roman"/>
                <w:sz w:val="18"/>
                <w:szCs w:val="18"/>
                <w:lang w:eastAsia="en-AU"/>
              </w:rPr>
              <w:t>of how that deficit will be funded.</w:t>
            </w:r>
          </w:p>
        </w:tc>
      </w:tr>
    </w:tbl>
    <w:p w14:paraId="01AF4279" w14:textId="77777777" w:rsidR="008072C7" w:rsidRPr="00D36759" w:rsidRDefault="008072C7" w:rsidP="008072C7">
      <w:r w:rsidRPr="00D36759">
        <w:br w:type="page"/>
      </w:r>
    </w:p>
    <w:p w14:paraId="3B95D5CD" w14:textId="77777777" w:rsidR="008072C7" w:rsidRDefault="008072C7" w:rsidP="008072C7">
      <w:pPr>
        <w:rPr>
          <w:i/>
          <w:color w:val="000000" w:themeColor="text1"/>
          <w:szCs w:val="20"/>
        </w:rPr>
      </w:pPr>
    </w:p>
    <w:p w14:paraId="7E37FC01" w14:textId="77777777" w:rsidR="008072C7" w:rsidRDefault="008072C7" w:rsidP="008072C7">
      <w:pPr>
        <w:rPr>
          <w:i/>
          <w:color w:val="000000" w:themeColor="text1"/>
          <w:szCs w:val="20"/>
        </w:rPr>
      </w:pPr>
    </w:p>
    <w:p w14:paraId="44CB9DBC" w14:textId="77777777" w:rsidR="008072C7" w:rsidRDefault="008072C7" w:rsidP="008072C7">
      <w:r>
        <w:rPr>
          <w:rStyle w:val="SubtleEmphasis"/>
        </w:rPr>
        <w:t xml:space="preserve">Table 3: Indicators </w:t>
      </w:r>
      <w:r w:rsidRPr="0032375E">
        <w:rPr>
          <w:rStyle w:val="SubtleEmphasis"/>
        </w:rPr>
        <w:t xml:space="preserve">and threshold values to determine financial </w:t>
      </w:r>
      <w:r>
        <w:rPr>
          <w:rStyle w:val="SubtleEmphasis"/>
        </w:rPr>
        <w:t>capacity</w:t>
      </w:r>
      <w:r w:rsidRPr="0032375E">
        <w:rPr>
          <w:rStyle w:val="SubtleEmphasis"/>
        </w:rPr>
        <w:t xml:space="preserve">. </w:t>
      </w:r>
    </w:p>
    <w:tbl>
      <w:tblPr>
        <w:tblStyle w:val="TableGrid"/>
        <w:tblW w:w="14736" w:type="dxa"/>
        <w:tblLook w:val="04A0" w:firstRow="1" w:lastRow="0" w:firstColumn="1" w:lastColumn="0" w:noHBand="0" w:noVBand="1"/>
      </w:tblPr>
      <w:tblGrid>
        <w:gridCol w:w="1696"/>
        <w:gridCol w:w="5103"/>
        <w:gridCol w:w="1417"/>
        <w:gridCol w:w="6520"/>
      </w:tblGrid>
      <w:tr w:rsidR="008072C7" w:rsidRPr="00482C95" w14:paraId="249351F5" w14:textId="77777777" w:rsidTr="00110533">
        <w:trPr>
          <w:trHeight w:val="290"/>
        </w:trPr>
        <w:tc>
          <w:tcPr>
            <w:tcW w:w="1696" w:type="dxa"/>
            <w:shd w:val="clear" w:color="auto" w:fill="BDD6EE" w:themeFill="accent1" w:themeFillTint="66"/>
          </w:tcPr>
          <w:p w14:paraId="526F1A60" w14:textId="77777777" w:rsidR="008072C7" w:rsidRPr="009635EE" w:rsidRDefault="008072C7" w:rsidP="00110533">
            <w:pPr>
              <w:rPr>
                <w:rFonts w:eastAsia="Times New Roman"/>
                <w:b/>
                <w:bCs/>
                <w:sz w:val="18"/>
                <w:szCs w:val="18"/>
                <w:lang w:eastAsia="en-AU"/>
              </w:rPr>
            </w:pPr>
            <w:r w:rsidRPr="009635EE">
              <w:rPr>
                <w:rFonts w:eastAsia="Times New Roman"/>
                <w:b/>
                <w:bCs/>
                <w:sz w:val="18"/>
                <w:szCs w:val="18"/>
                <w:lang w:eastAsia="en-AU"/>
              </w:rPr>
              <w:t>Financial Capacity</w:t>
            </w:r>
          </w:p>
        </w:tc>
        <w:tc>
          <w:tcPr>
            <w:tcW w:w="13040" w:type="dxa"/>
            <w:gridSpan w:val="3"/>
            <w:shd w:val="clear" w:color="auto" w:fill="BDD6EE" w:themeFill="accent1" w:themeFillTint="66"/>
          </w:tcPr>
          <w:p w14:paraId="0B53AFFE" w14:textId="77777777" w:rsidR="008072C7" w:rsidRPr="009635EE" w:rsidRDefault="008072C7" w:rsidP="00110533">
            <w:pPr>
              <w:rPr>
                <w:rFonts w:eastAsia="Times New Roman"/>
                <w:sz w:val="18"/>
                <w:szCs w:val="18"/>
                <w:lang w:eastAsia="en-AU"/>
              </w:rPr>
            </w:pPr>
            <w:r w:rsidRPr="00E03331">
              <w:rPr>
                <w:rFonts w:eastAsia="Times New Roman"/>
                <w:sz w:val="18"/>
                <w:szCs w:val="18"/>
                <w:lang w:eastAsia="en-AU"/>
              </w:rPr>
              <w:t xml:space="preserve">Financial capacity indicators are designed to assess the sufficiency of an applicant’s financial resources to meet all of its known and anticipated commitments, to carry out the operations and works that will be or are authorised by the </w:t>
            </w:r>
            <w:proofErr w:type="gramStart"/>
            <w:r w:rsidRPr="00E03331">
              <w:rPr>
                <w:rFonts w:eastAsia="Times New Roman"/>
                <w:sz w:val="18"/>
                <w:szCs w:val="18"/>
                <w:lang w:eastAsia="en-AU"/>
              </w:rPr>
              <w:t>title, and</w:t>
            </w:r>
            <w:proofErr w:type="gramEnd"/>
            <w:r w:rsidRPr="00E03331">
              <w:rPr>
                <w:rFonts w:eastAsia="Times New Roman"/>
                <w:sz w:val="18"/>
                <w:szCs w:val="18"/>
                <w:lang w:eastAsia="en-AU"/>
              </w:rPr>
              <w:t xml:space="preserve"> discharge the obligations that will be imposed under the OPGGSA, or a legislative instrument under the OPGGSA, in relation to the title (including decommissioning).</w:t>
            </w:r>
          </w:p>
        </w:tc>
      </w:tr>
      <w:tr w:rsidR="008072C7" w:rsidRPr="00482C95" w14:paraId="0A678ABF" w14:textId="77777777" w:rsidTr="00110533">
        <w:trPr>
          <w:trHeight w:val="290"/>
        </w:trPr>
        <w:tc>
          <w:tcPr>
            <w:tcW w:w="1696" w:type="dxa"/>
            <w:shd w:val="clear" w:color="auto" w:fill="DEEAF6" w:themeFill="accent1" w:themeFillTint="33"/>
          </w:tcPr>
          <w:p w14:paraId="42BBDDB3" w14:textId="77777777" w:rsidR="008072C7" w:rsidRPr="009635EE" w:rsidRDefault="008072C7" w:rsidP="00110533">
            <w:pPr>
              <w:rPr>
                <w:rFonts w:eastAsia="Times New Roman"/>
                <w:b/>
                <w:bCs/>
                <w:sz w:val="18"/>
                <w:szCs w:val="18"/>
                <w:lang w:eastAsia="en-AU"/>
              </w:rPr>
            </w:pPr>
            <w:r w:rsidRPr="009635EE">
              <w:rPr>
                <w:rFonts w:eastAsia="Times New Roman"/>
                <w:b/>
                <w:bCs/>
                <w:sz w:val="18"/>
                <w:szCs w:val="18"/>
                <w:lang w:eastAsia="en-AU"/>
              </w:rPr>
              <w:t>Indicator</w:t>
            </w:r>
          </w:p>
        </w:tc>
        <w:tc>
          <w:tcPr>
            <w:tcW w:w="5103" w:type="dxa"/>
            <w:shd w:val="clear" w:color="auto" w:fill="DEEAF6" w:themeFill="accent1" w:themeFillTint="33"/>
          </w:tcPr>
          <w:p w14:paraId="3C34F09F" w14:textId="77777777" w:rsidR="008072C7" w:rsidRPr="009635EE" w:rsidRDefault="008072C7" w:rsidP="00110533">
            <w:pPr>
              <w:rPr>
                <w:rFonts w:eastAsia="Times New Roman"/>
                <w:sz w:val="18"/>
                <w:szCs w:val="18"/>
                <w:lang w:eastAsia="en-AU"/>
              </w:rPr>
            </w:pPr>
            <w:r w:rsidRPr="009635EE">
              <w:rPr>
                <w:rFonts w:eastAsia="Times New Roman"/>
                <w:b/>
                <w:bCs/>
                <w:sz w:val="18"/>
                <w:szCs w:val="18"/>
                <w:lang w:eastAsia="en-AU"/>
              </w:rPr>
              <w:t>Calculation</w:t>
            </w:r>
          </w:p>
        </w:tc>
        <w:tc>
          <w:tcPr>
            <w:tcW w:w="1417" w:type="dxa"/>
            <w:shd w:val="clear" w:color="auto" w:fill="DEEAF6" w:themeFill="accent1" w:themeFillTint="33"/>
          </w:tcPr>
          <w:p w14:paraId="55FFE05F" w14:textId="77777777" w:rsidR="008072C7" w:rsidRPr="009635EE" w:rsidRDefault="008072C7" w:rsidP="00110533">
            <w:pPr>
              <w:rPr>
                <w:rFonts w:eastAsia="Times New Roman"/>
                <w:b/>
                <w:bCs/>
                <w:sz w:val="18"/>
                <w:szCs w:val="18"/>
                <w:lang w:eastAsia="en-AU"/>
              </w:rPr>
            </w:pPr>
            <w:r>
              <w:rPr>
                <w:rFonts w:eastAsia="Times New Roman"/>
                <w:b/>
                <w:bCs/>
                <w:sz w:val="18"/>
                <w:szCs w:val="18"/>
                <w:lang w:eastAsia="en-AU"/>
              </w:rPr>
              <w:t>Threshold</w:t>
            </w:r>
          </w:p>
        </w:tc>
        <w:tc>
          <w:tcPr>
            <w:tcW w:w="6518" w:type="dxa"/>
            <w:shd w:val="clear" w:color="auto" w:fill="DEEAF6" w:themeFill="accent1" w:themeFillTint="33"/>
          </w:tcPr>
          <w:p w14:paraId="544F89D5" w14:textId="77777777" w:rsidR="008072C7" w:rsidRPr="009635EE" w:rsidRDefault="008072C7" w:rsidP="00110533">
            <w:pPr>
              <w:rPr>
                <w:rFonts w:eastAsia="Times New Roman"/>
                <w:b/>
                <w:bCs/>
                <w:sz w:val="18"/>
                <w:szCs w:val="18"/>
                <w:lang w:eastAsia="en-AU"/>
              </w:rPr>
            </w:pPr>
            <w:r>
              <w:rPr>
                <w:rFonts w:eastAsia="Times New Roman"/>
                <w:b/>
                <w:bCs/>
                <w:sz w:val="18"/>
                <w:szCs w:val="18"/>
                <w:lang w:eastAsia="en-AU"/>
              </w:rPr>
              <w:t>Explanation</w:t>
            </w:r>
          </w:p>
        </w:tc>
      </w:tr>
      <w:tr w:rsidR="008072C7" w:rsidRPr="00482C95" w14:paraId="4A28A959" w14:textId="77777777" w:rsidTr="00110533">
        <w:trPr>
          <w:trHeight w:val="290"/>
        </w:trPr>
        <w:tc>
          <w:tcPr>
            <w:tcW w:w="1696" w:type="dxa"/>
          </w:tcPr>
          <w:p w14:paraId="4142771C" w14:textId="77777777" w:rsidR="008072C7" w:rsidRPr="009635EE" w:rsidRDefault="008072C7" w:rsidP="00110533">
            <w:pPr>
              <w:rPr>
                <w:rFonts w:eastAsia="Times New Roman"/>
                <w:b/>
                <w:bCs/>
                <w:sz w:val="18"/>
                <w:szCs w:val="18"/>
                <w:lang w:eastAsia="en-AU"/>
              </w:rPr>
            </w:pPr>
            <w:r w:rsidRPr="009635EE">
              <w:rPr>
                <w:rFonts w:eastAsia="Times New Roman"/>
                <w:sz w:val="18"/>
                <w:szCs w:val="18"/>
                <w:lang w:eastAsia="en-AU"/>
              </w:rPr>
              <w:t>Commitment Cover</w:t>
            </w:r>
          </w:p>
        </w:tc>
        <w:tc>
          <w:tcPr>
            <w:tcW w:w="5103" w:type="dxa"/>
          </w:tcPr>
          <w:p w14:paraId="2DE05014" w14:textId="77777777" w:rsidR="008072C7" w:rsidRDefault="008072C7" w:rsidP="00110533">
            <w:pPr>
              <w:rPr>
                <w:rFonts w:eastAsia="Times New Roman"/>
                <w:sz w:val="18"/>
                <w:szCs w:val="18"/>
                <w:lang w:eastAsia="en-AU"/>
              </w:rPr>
            </w:pPr>
            <w:r w:rsidRPr="009635EE">
              <w:rPr>
                <w:rFonts w:eastAsia="Times New Roman"/>
                <w:sz w:val="18"/>
                <w:szCs w:val="18"/>
                <w:lang w:eastAsia="en-AU"/>
              </w:rPr>
              <w:t>Tangible Net Worth/ Total outstanding commitments</w:t>
            </w:r>
          </w:p>
          <w:p w14:paraId="116CE01E" w14:textId="77777777" w:rsidR="008072C7" w:rsidRDefault="008072C7" w:rsidP="00110533">
            <w:pPr>
              <w:rPr>
                <w:rFonts w:eastAsia="Times New Roman"/>
                <w:sz w:val="18"/>
                <w:szCs w:val="18"/>
                <w:lang w:eastAsia="en-AU"/>
              </w:rPr>
            </w:pPr>
          </w:p>
          <w:p w14:paraId="18DE9201" w14:textId="77777777" w:rsidR="008072C7" w:rsidRDefault="008072C7" w:rsidP="00110533">
            <w:pPr>
              <w:rPr>
                <w:rFonts w:eastAsia="Times New Roman"/>
                <w:sz w:val="18"/>
                <w:szCs w:val="18"/>
                <w:lang w:eastAsia="en-AU"/>
              </w:rPr>
            </w:pPr>
            <w:r>
              <w:rPr>
                <w:rFonts w:eastAsia="Times New Roman"/>
                <w:sz w:val="18"/>
                <w:szCs w:val="18"/>
                <w:lang w:eastAsia="en-AU"/>
              </w:rPr>
              <w:t xml:space="preserve">Tangible net worth does not include capitalised exploration </w:t>
            </w:r>
            <w:proofErr w:type="gramStart"/>
            <w:r>
              <w:rPr>
                <w:rFonts w:eastAsia="Times New Roman"/>
                <w:sz w:val="18"/>
                <w:szCs w:val="18"/>
                <w:lang w:eastAsia="en-AU"/>
              </w:rPr>
              <w:t>expenditure,</w:t>
            </w:r>
            <w:proofErr w:type="gramEnd"/>
            <w:r>
              <w:rPr>
                <w:rFonts w:eastAsia="Times New Roman"/>
                <w:sz w:val="18"/>
                <w:szCs w:val="18"/>
                <w:lang w:eastAsia="en-AU"/>
              </w:rPr>
              <w:t xml:space="preserve"> these should be stated clearly in the notes to the accounts.</w:t>
            </w:r>
          </w:p>
          <w:p w14:paraId="2D93DF32" w14:textId="77777777" w:rsidR="008072C7" w:rsidRDefault="008072C7" w:rsidP="00110533">
            <w:pPr>
              <w:rPr>
                <w:rFonts w:eastAsia="Times New Roman"/>
                <w:sz w:val="18"/>
                <w:szCs w:val="18"/>
                <w:lang w:eastAsia="en-AU"/>
              </w:rPr>
            </w:pPr>
          </w:p>
          <w:p w14:paraId="1CE648CC" w14:textId="77777777" w:rsidR="008072C7" w:rsidRPr="009635EE" w:rsidRDefault="008072C7" w:rsidP="00110533">
            <w:pPr>
              <w:rPr>
                <w:rFonts w:eastAsia="Times New Roman"/>
                <w:sz w:val="18"/>
                <w:szCs w:val="18"/>
                <w:lang w:eastAsia="en-AU"/>
              </w:rPr>
            </w:pPr>
            <w:r>
              <w:rPr>
                <w:rFonts w:eastAsia="Times New Roman"/>
                <w:sz w:val="18"/>
                <w:szCs w:val="18"/>
                <w:lang w:eastAsia="en-AU"/>
              </w:rPr>
              <w:t>Total outstanding commitments should be recorded as per the p</w:t>
            </w:r>
            <w:r w:rsidRPr="009635EE">
              <w:rPr>
                <w:rFonts w:eastAsia="Times New Roman"/>
                <w:sz w:val="18"/>
                <w:szCs w:val="18"/>
                <w:lang w:eastAsia="en-AU"/>
              </w:rPr>
              <w:t xml:space="preserve">roforma </w:t>
            </w:r>
            <w:r>
              <w:rPr>
                <w:rFonts w:eastAsia="Times New Roman"/>
                <w:sz w:val="18"/>
                <w:szCs w:val="18"/>
                <w:lang w:eastAsia="en-AU"/>
              </w:rPr>
              <w:t xml:space="preserve">at </w:t>
            </w:r>
            <w:hyperlink w:anchor="_Attachment_A_–" w:history="1">
              <w:r w:rsidRPr="008C3BE1">
                <w:rPr>
                  <w:rStyle w:val="Hyperlink"/>
                  <w:rFonts w:eastAsia="Times New Roman"/>
                  <w:color w:val="0562C1"/>
                  <w:sz w:val="18"/>
                  <w:szCs w:val="18"/>
                  <w:lang w:eastAsia="en-AU"/>
                </w:rPr>
                <w:t>Attachment A</w:t>
              </w:r>
            </w:hyperlink>
            <w:r>
              <w:rPr>
                <w:rFonts w:eastAsia="Times New Roman"/>
                <w:b/>
                <w:sz w:val="18"/>
                <w:szCs w:val="18"/>
                <w:lang w:eastAsia="en-AU"/>
              </w:rPr>
              <w:t>.</w:t>
            </w:r>
          </w:p>
        </w:tc>
        <w:tc>
          <w:tcPr>
            <w:tcW w:w="1417" w:type="dxa"/>
          </w:tcPr>
          <w:p w14:paraId="49838676" w14:textId="77777777" w:rsidR="008072C7" w:rsidRPr="009635EE" w:rsidRDefault="008072C7" w:rsidP="00110533">
            <w:pPr>
              <w:rPr>
                <w:rFonts w:eastAsia="Times New Roman"/>
                <w:sz w:val="18"/>
                <w:szCs w:val="18"/>
                <w:lang w:eastAsia="en-AU"/>
              </w:rPr>
            </w:pPr>
            <w:r w:rsidRPr="009635EE">
              <w:rPr>
                <w:rFonts w:eastAsia="Times New Roman"/>
                <w:sz w:val="18"/>
                <w:szCs w:val="18"/>
                <w:lang w:eastAsia="en-AU"/>
              </w:rPr>
              <w:t>&gt;</w:t>
            </w:r>
            <w:r>
              <w:rPr>
                <w:rFonts w:eastAsia="Times New Roman"/>
                <w:sz w:val="18"/>
                <w:szCs w:val="18"/>
                <w:lang w:eastAsia="en-AU"/>
              </w:rPr>
              <w:t xml:space="preserve"> </w:t>
            </w:r>
            <w:r w:rsidRPr="009635EE">
              <w:rPr>
                <w:rFonts w:eastAsia="Times New Roman"/>
                <w:sz w:val="18"/>
                <w:szCs w:val="18"/>
                <w:lang w:eastAsia="en-AU"/>
              </w:rPr>
              <w:t>=</w:t>
            </w:r>
            <w:r>
              <w:rPr>
                <w:rFonts w:eastAsia="Times New Roman"/>
                <w:sz w:val="18"/>
                <w:szCs w:val="18"/>
                <w:lang w:eastAsia="en-AU"/>
              </w:rPr>
              <w:t xml:space="preserve"> </w:t>
            </w:r>
            <w:r w:rsidRPr="009635EE">
              <w:rPr>
                <w:rFonts w:eastAsia="Times New Roman"/>
                <w:sz w:val="18"/>
                <w:szCs w:val="18"/>
                <w:lang w:eastAsia="en-AU"/>
              </w:rPr>
              <w:t>2</w:t>
            </w:r>
          </w:p>
        </w:tc>
        <w:tc>
          <w:tcPr>
            <w:tcW w:w="6518" w:type="dxa"/>
          </w:tcPr>
          <w:p w14:paraId="55CA3A3A" w14:textId="77777777" w:rsidR="008072C7" w:rsidRPr="009635EE" w:rsidRDefault="008072C7" w:rsidP="00110533">
            <w:pPr>
              <w:rPr>
                <w:sz w:val="18"/>
                <w:szCs w:val="18"/>
              </w:rPr>
            </w:pPr>
            <w:r w:rsidRPr="00EF6E94">
              <w:rPr>
                <w:sz w:val="18"/>
                <w:szCs w:val="18"/>
              </w:rPr>
              <w:t xml:space="preserve">Where commitment cover </w:t>
            </w:r>
            <w:r>
              <w:rPr>
                <w:sz w:val="18"/>
                <w:szCs w:val="18"/>
              </w:rPr>
              <w:t>&lt;2 th</w:t>
            </w:r>
            <w:r w:rsidRPr="00EF6E94">
              <w:rPr>
                <w:sz w:val="18"/>
                <w:szCs w:val="18"/>
              </w:rPr>
              <w:t xml:space="preserve">e applicant </w:t>
            </w:r>
            <w:r>
              <w:rPr>
                <w:sz w:val="18"/>
                <w:szCs w:val="18"/>
              </w:rPr>
              <w:t>sh</w:t>
            </w:r>
            <w:r w:rsidRPr="00EF6E94">
              <w:rPr>
                <w:sz w:val="18"/>
                <w:szCs w:val="18"/>
              </w:rPr>
              <w:t xml:space="preserve">ould provide additional information </w:t>
            </w:r>
            <w:r>
              <w:rPr>
                <w:sz w:val="18"/>
                <w:szCs w:val="18"/>
              </w:rPr>
              <w:t>showing how it will meet its commitments in the future.</w:t>
            </w:r>
          </w:p>
        </w:tc>
      </w:tr>
      <w:tr w:rsidR="008072C7" w:rsidRPr="00482C95" w14:paraId="66380D66" w14:textId="77777777" w:rsidTr="00110533">
        <w:trPr>
          <w:trHeight w:val="290"/>
        </w:trPr>
        <w:tc>
          <w:tcPr>
            <w:tcW w:w="1696" w:type="dxa"/>
          </w:tcPr>
          <w:p w14:paraId="14F592DA" w14:textId="77777777" w:rsidR="008072C7" w:rsidRPr="009635EE" w:rsidRDefault="008072C7" w:rsidP="00110533">
            <w:pPr>
              <w:rPr>
                <w:rFonts w:eastAsia="Times New Roman"/>
                <w:b/>
                <w:bCs/>
                <w:sz w:val="18"/>
                <w:szCs w:val="18"/>
                <w:lang w:eastAsia="en-AU"/>
              </w:rPr>
            </w:pPr>
            <w:r>
              <w:rPr>
                <w:rFonts w:eastAsia="Times New Roman"/>
                <w:sz w:val="18"/>
                <w:szCs w:val="18"/>
                <w:lang w:eastAsia="en-AU"/>
              </w:rPr>
              <w:t xml:space="preserve">OPGGSA Work Program </w:t>
            </w:r>
            <w:r w:rsidRPr="009635EE">
              <w:rPr>
                <w:rFonts w:eastAsia="Times New Roman"/>
                <w:sz w:val="18"/>
                <w:szCs w:val="18"/>
                <w:lang w:eastAsia="en-AU"/>
              </w:rPr>
              <w:t>Cash Cover</w:t>
            </w:r>
          </w:p>
        </w:tc>
        <w:tc>
          <w:tcPr>
            <w:tcW w:w="5103" w:type="dxa"/>
          </w:tcPr>
          <w:p w14:paraId="2C0F6EAB" w14:textId="77777777" w:rsidR="008072C7" w:rsidRPr="009635EE" w:rsidRDefault="008072C7" w:rsidP="00110533">
            <w:pPr>
              <w:rPr>
                <w:rFonts w:eastAsia="Times New Roman"/>
                <w:sz w:val="18"/>
                <w:szCs w:val="18"/>
                <w:lang w:eastAsia="en-AU"/>
              </w:rPr>
            </w:pPr>
            <w:r w:rsidRPr="009635EE">
              <w:rPr>
                <w:rFonts w:eastAsia="Times New Roman"/>
                <w:sz w:val="18"/>
                <w:szCs w:val="18"/>
                <w:lang w:eastAsia="en-AU"/>
              </w:rPr>
              <w:t xml:space="preserve">Cash and equivalents/ </w:t>
            </w:r>
            <w:r>
              <w:rPr>
                <w:rFonts w:eastAsia="Times New Roman"/>
                <w:sz w:val="18"/>
                <w:szCs w:val="18"/>
                <w:lang w:eastAsia="en-AU"/>
              </w:rPr>
              <w:t xml:space="preserve">(total guaranteed OPGGSA work program commitments + </w:t>
            </w:r>
            <w:r w:rsidRPr="009635EE">
              <w:rPr>
                <w:rFonts w:eastAsia="Times New Roman"/>
                <w:sz w:val="18"/>
                <w:szCs w:val="18"/>
                <w:lang w:eastAsia="en-AU"/>
              </w:rPr>
              <w:t>financial commitments</w:t>
            </w:r>
            <w:r>
              <w:rPr>
                <w:rFonts w:eastAsia="Times New Roman"/>
                <w:sz w:val="18"/>
                <w:szCs w:val="18"/>
                <w:lang w:eastAsia="en-AU"/>
              </w:rPr>
              <w:t xml:space="preserve"> associated with this title + financial commitments associated with titles for which there are any other applications under assessment)</w:t>
            </w:r>
          </w:p>
        </w:tc>
        <w:tc>
          <w:tcPr>
            <w:tcW w:w="1417" w:type="dxa"/>
          </w:tcPr>
          <w:p w14:paraId="671555CF" w14:textId="77777777" w:rsidR="008072C7" w:rsidRPr="009635EE" w:rsidRDefault="008072C7" w:rsidP="00110533">
            <w:pPr>
              <w:rPr>
                <w:rFonts w:eastAsia="Times New Roman"/>
                <w:sz w:val="18"/>
                <w:szCs w:val="18"/>
                <w:lang w:eastAsia="en-AU"/>
              </w:rPr>
            </w:pPr>
            <w:r w:rsidRPr="00EF6E94">
              <w:rPr>
                <w:rFonts w:eastAsia="Times New Roman"/>
                <w:sz w:val="18"/>
                <w:szCs w:val="18"/>
                <w:lang w:eastAsia="en-AU"/>
              </w:rPr>
              <w:t>&gt;</w:t>
            </w:r>
            <w:r>
              <w:rPr>
                <w:rFonts w:eastAsia="Times New Roman"/>
                <w:sz w:val="18"/>
                <w:szCs w:val="18"/>
                <w:lang w:eastAsia="en-AU"/>
              </w:rPr>
              <w:t xml:space="preserve"> </w:t>
            </w:r>
            <w:r w:rsidRPr="00EF6E94">
              <w:rPr>
                <w:rFonts w:eastAsia="Times New Roman"/>
                <w:sz w:val="18"/>
                <w:szCs w:val="18"/>
                <w:lang w:eastAsia="en-AU"/>
              </w:rPr>
              <w:t xml:space="preserve">= </w:t>
            </w:r>
            <w:r>
              <w:rPr>
                <w:rFonts w:eastAsia="Times New Roman"/>
                <w:sz w:val="18"/>
                <w:szCs w:val="18"/>
                <w:lang w:eastAsia="en-AU"/>
              </w:rPr>
              <w:t>1</w:t>
            </w:r>
          </w:p>
        </w:tc>
        <w:tc>
          <w:tcPr>
            <w:tcW w:w="6518" w:type="dxa"/>
          </w:tcPr>
          <w:p w14:paraId="3889CF2D" w14:textId="77777777" w:rsidR="008072C7" w:rsidRDefault="008072C7" w:rsidP="00110533">
            <w:pPr>
              <w:rPr>
                <w:rFonts w:eastAsia="Times New Roman"/>
                <w:sz w:val="18"/>
                <w:szCs w:val="18"/>
                <w:lang w:eastAsia="en-AU"/>
              </w:rPr>
            </w:pPr>
            <w:r w:rsidRPr="00EF6E94">
              <w:rPr>
                <w:rFonts w:eastAsia="Times New Roman"/>
                <w:sz w:val="18"/>
                <w:szCs w:val="18"/>
                <w:lang w:eastAsia="en-AU"/>
              </w:rPr>
              <w:t xml:space="preserve">Where an applicant has a </w:t>
            </w:r>
            <w:r>
              <w:rPr>
                <w:rFonts w:eastAsia="Times New Roman"/>
                <w:sz w:val="18"/>
                <w:szCs w:val="18"/>
                <w:lang w:eastAsia="en-AU"/>
              </w:rPr>
              <w:t xml:space="preserve">work program </w:t>
            </w:r>
            <w:r w:rsidRPr="00EF6E94">
              <w:rPr>
                <w:rFonts w:eastAsia="Times New Roman"/>
                <w:sz w:val="18"/>
                <w:szCs w:val="18"/>
                <w:lang w:eastAsia="en-AU"/>
              </w:rPr>
              <w:t xml:space="preserve">cash cover below NOPTA’s expected threshold it could provide additional information to evidence its financial </w:t>
            </w:r>
            <w:r>
              <w:rPr>
                <w:rFonts w:eastAsia="Times New Roman"/>
                <w:sz w:val="18"/>
                <w:szCs w:val="18"/>
                <w:lang w:eastAsia="en-AU"/>
              </w:rPr>
              <w:t>resources</w:t>
            </w:r>
            <w:r w:rsidRPr="00EF6E94">
              <w:rPr>
                <w:rFonts w:eastAsia="Times New Roman"/>
                <w:sz w:val="18"/>
                <w:szCs w:val="18"/>
                <w:lang w:eastAsia="en-AU"/>
              </w:rPr>
              <w:t>.</w:t>
            </w:r>
          </w:p>
          <w:p w14:paraId="19DDB72F" w14:textId="77777777" w:rsidR="008072C7" w:rsidRDefault="008072C7" w:rsidP="00110533">
            <w:pPr>
              <w:rPr>
                <w:rFonts w:eastAsia="Times New Roman"/>
                <w:sz w:val="18"/>
                <w:szCs w:val="18"/>
                <w:lang w:eastAsia="en-AU"/>
              </w:rPr>
            </w:pPr>
          </w:p>
          <w:p w14:paraId="69C944A3" w14:textId="77777777" w:rsidR="008072C7" w:rsidRPr="00EF6E94" w:rsidRDefault="008072C7" w:rsidP="00110533">
            <w:pPr>
              <w:rPr>
                <w:rFonts w:eastAsia="Times New Roman"/>
                <w:sz w:val="18"/>
                <w:szCs w:val="18"/>
                <w:lang w:eastAsia="en-AU"/>
              </w:rPr>
            </w:pPr>
            <w:r>
              <w:rPr>
                <w:rFonts w:eastAsia="Times New Roman"/>
                <w:sz w:val="18"/>
                <w:szCs w:val="18"/>
                <w:lang w:eastAsia="en-AU"/>
              </w:rPr>
              <w:t>In addition, wh</w:t>
            </w:r>
            <w:r w:rsidRPr="00EF6E94">
              <w:rPr>
                <w:rFonts w:eastAsia="Times New Roman"/>
                <w:sz w:val="18"/>
                <w:szCs w:val="18"/>
                <w:lang w:eastAsia="en-AU"/>
              </w:rPr>
              <w:t>ere</w:t>
            </w:r>
            <w:r>
              <w:rPr>
                <w:rFonts w:eastAsia="Times New Roman"/>
                <w:sz w:val="18"/>
                <w:szCs w:val="18"/>
                <w:lang w:eastAsia="en-AU"/>
              </w:rPr>
              <w:t xml:space="preserve"> applications</w:t>
            </w:r>
            <w:r w:rsidRPr="00EF6E94">
              <w:rPr>
                <w:rFonts w:eastAsia="Times New Roman"/>
                <w:sz w:val="18"/>
                <w:szCs w:val="18"/>
                <w:lang w:eastAsia="en-AU"/>
              </w:rPr>
              <w:t xml:space="preserve"> relate to a title with a work program in which there is a guaranteed well commitment</w:t>
            </w:r>
            <w:r>
              <w:rPr>
                <w:rFonts w:eastAsia="Times New Roman"/>
                <w:sz w:val="18"/>
                <w:szCs w:val="18"/>
                <w:lang w:eastAsia="en-AU"/>
              </w:rPr>
              <w:t xml:space="preserve">, </w:t>
            </w:r>
            <w:r w:rsidRPr="00EF6E94">
              <w:rPr>
                <w:rFonts w:eastAsia="Times New Roman"/>
                <w:sz w:val="18"/>
                <w:szCs w:val="18"/>
                <w:lang w:eastAsia="en-AU"/>
              </w:rPr>
              <w:t>NOPTA expects the applicant will have sufficient funds to meet its share of the drilling costs, the plugging and abandonment of the well if it is proven to be “dry” or otherwise non- viable and a minimum contingency of fifty per cent (50%) for both the drilling costs and plugging and abandonment costs.</w:t>
            </w:r>
          </w:p>
          <w:p w14:paraId="695B14C1" w14:textId="77777777" w:rsidR="008072C7" w:rsidRPr="009635EE" w:rsidRDefault="008072C7" w:rsidP="00110533">
            <w:pPr>
              <w:rPr>
                <w:rFonts w:eastAsia="Times New Roman"/>
                <w:sz w:val="18"/>
                <w:szCs w:val="18"/>
                <w:lang w:eastAsia="en-AU"/>
              </w:rPr>
            </w:pPr>
          </w:p>
        </w:tc>
      </w:tr>
      <w:tr w:rsidR="008072C7" w:rsidRPr="00482C95" w14:paraId="1904FD4B" w14:textId="77777777" w:rsidTr="00110533">
        <w:trPr>
          <w:trHeight w:val="290"/>
        </w:trPr>
        <w:tc>
          <w:tcPr>
            <w:tcW w:w="1696" w:type="dxa"/>
          </w:tcPr>
          <w:p w14:paraId="0F66E15E" w14:textId="77777777" w:rsidR="008072C7" w:rsidRPr="009635EE" w:rsidRDefault="008072C7" w:rsidP="00110533">
            <w:pPr>
              <w:rPr>
                <w:rFonts w:eastAsia="Times New Roman"/>
                <w:b/>
                <w:bCs/>
                <w:sz w:val="18"/>
                <w:szCs w:val="18"/>
                <w:lang w:eastAsia="en-AU"/>
              </w:rPr>
            </w:pPr>
            <w:r w:rsidRPr="009635EE">
              <w:rPr>
                <w:rFonts w:eastAsia="Times New Roman"/>
                <w:sz w:val="18"/>
                <w:szCs w:val="18"/>
                <w:lang w:eastAsia="en-AU"/>
              </w:rPr>
              <w:t>Gross Gearing</w:t>
            </w:r>
          </w:p>
        </w:tc>
        <w:tc>
          <w:tcPr>
            <w:tcW w:w="5103" w:type="dxa"/>
          </w:tcPr>
          <w:p w14:paraId="78E0886B" w14:textId="77777777" w:rsidR="008072C7" w:rsidRPr="009635EE" w:rsidRDefault="008072C7" w:rsidP="00110533">
            <w:pPr>
              <w:rPr>
                <w:rFonts w:eastAsia="Times New Roman"/>
                <w:sz w:val="18"/>
                <w:szCs w:val="18"/>
                <w:lang w:eastAsia="en-AU"/>
              </w:rPr>
            </w:pPr>
            <w:r w:rsidRPr="009635EE">
              <w:rPr>
                <w:rFonts w:eastAsia="Times New Roman"/>
                <w:sz w:val="18"/>
                <w:szCs w:val="18"/>
                <w:lang w:eastAsia="en-AU"/>
              </w:rPr>
              <w:t xml:space="preserve">Total Debt/ </w:t>
            </w:r>
            <w:r>
              <w:rPr>
                <w:rFonts w:eastAsia="Times New Roman"/>
                <w:sz w:val="18"/>
                <w:szCs w:val="18"/>
                <w:lang w:eastAsia="en-AU"/>
              </w:rPr>
              <w:t>(</w:t>
            </w:r>
            <w:r w:rsidRPr="009635EE">
              <w:rPr>
                <w:rFonts w:eastAsia="Times New Roman"/>
                <w:sz w:val="18"/>
                <w:szCs w:val="18"/>
                <w:lang w:eastAsia="en-AU"/>
              </w:rPr>
              <w:t>Total Debt + Equity</w:t>
            </w:r>
            <w:r>
              <w:rPr>
                <w:rFonts w:eastAsia="Times New Roman"/>
                <w:sz w:val="18"/>
                <w:szCs w:val="18"/>
                <w:lang w:eastAsia="en-AU"/>
              </w:rPr>
              <w:t>)</w:t>
            </w:r>
          </w:p>
        </w:tc>
        <w:tc>
          <w:tcPr>
            <w:tcW w:w="1417" w:type="dxa"/>
          </w:tcPr>
          <w:p w14:paraId="58DE76B1" w14:textId="77777777" w:rsidR="008072C7" w:rsidRPr="009635EE" w:rsidRDefault="008072C7" w:rsidP="00110533">
            <w:pPr>
              <w:rPr>
                <w:rFonts w:eastAsia="Times New Roman"/>
                <w:sz w:val="18"/>
                <w:szCs w:val="18"/>
                <w:lang w:eastAsia="en-AU"/>
              </w:rPr>
            </w:pPr>
            <w:r w:rsidRPr="009635EE">
              <w:rPr>
                <w:rFonts w:eastAsia="Times New Roman"/>
                <w:sz w:val="18"/>
                <w:szCs w:val="18"/>
                <w:lang w:eastAsia="en-AU"/>
              </w:rPr>
              <w:t>&lt;</w:t>
            </w:r>
            <w:r>
              <w:rPr>
                <w:rFonts w:eastAsia="Times New Roman"/>
                <w:sz w:val="18"/>
                <w:szCs w:val="18"/>
                <w:lang w:eastAsia="en-AU"/>
              </w:rPr>
              <w:t xml:space="preserve"> = </w:t>
            </w:r>
            <w:r w:rsidRPr="009635EE">
              <w:rPr>
                <w:rFonts w:eastAsia="Times New Roman"/>
                <w:sz w:val="18"/>
                <w:szCs w:val="18"/>
                <w:lang w:eastAsia="en-AU"/>
              </w:rPr>
              <w:t>0.75</w:t>
            </w:r>
          </w:p>
        </w:tc>
        <w:tc>
          <w:tcPr>
            <w:tcW w:w="6518" w:type="dxa"/>
          </w:tcPr>
          <w:p w14:paraId="697C4E06" w14:textId="77777777" w:rsidR="008072C7" w:rsidRDefault="008072C7" w:rsidP="00110533">
            <w:pPr>
              <w:rPr>
                <w:rFonts w:eastAsia="Times New Roman"/>
                <w:sz w:val="18"/>
                <w:szCs w:val="18"/>
                <w:lang w:eastAsia="en-AU"/>
              </w:rPr>
            </w:pPr>
            <w:r w:rsidRPr="001324C5">
              <w:rPr>
                <w:rFonts w:eastAsia="Times New Roman"/>
                <w:sz w:val="18"/>
                <w:szCs w:val="18"/>
                <w:lang w:eastAsia="en-AU"/>
              </w:rPr>
              <w:t>Where an applicant has an investment grade credit from a recognised entity evidence of this rating could be provided as evidence of ability to service debt.</w:t>
            </w:r>
          </w:p>
          <w:p w14:paraId="60CA2155" w14:textId="77777777" w:rsidR="008072C7" w:rsidRPr="001324C5" w:rsidRDefault="008072C7" w:rsidP="00110533">
            <w:pPr>
              <w:rPr>
                <w:rFonts w:eastAsia="Times New Roman"/>
                <w:sz w:val="18"/>
                <w:szCs w:val="18"/>
                <w:lang w:eastAsia="en-AU"/>
              </w:rPr>
            </w:pPr>
          </w:p>
          <w:p w14:paraId="456D9BF6" w14:textId="77777777" w:rsidR="008072C7" w:rsidRPr="009635EE" w:rsidRDefault="008072C7" w:rsidP="00110533">
            <w:pPr>
              <w:rPr>
                <w:rFonts w:eastAsia="Times New Roman"/>
                <w:sz w:val="18"/>
                <w:szCs w:val="18"/>
                <w:lang w:eastAsia="en-AU"/>
              </w:rPr>
            </w:pPr>
            <w:r w:rsidRPr="001324C5">
              <w:rPr>
                <w:rFonts w:eastAsia="Times New Roman"/>
                <w:sz w:val="18"/>
                <w:szCs w:val="18"/>
                <w:lang w:eastAsia="en-AU"/>
              </w:rPr>
              <w:t xml:space="preserve">Where an applicant has a gearing ratio above </w:t>
            </w:r>
            <w:r>
              <w:rPr>
                <w:rFonts w:eastAsia="Times New Roman"/>
                <w:sz w:val="18"/>
                <w:szCs w:val="18"/>
                <w:lang w:eastAsia="en-AU"/>
              </w:rPr>
              <w:t>seventy-five per cent (</w:t>
            </w:r>
            <w:r w:rsidRPr="001324C5">
              <w:rPr>
                <w:rFonts w:eastAsia="Times New Roman"/>
                <w:sz w:val="18"/>
                <w:szCs w:val="18"/>
                <w:lang w:eastAsia="en-AU"/>
              </w:rPr>
              <w:t>75%</w:t>
            </w:r>
            <w:r>
              <w:rPr>
                <w:rFonts w:eastAsia="Times New Roman"/>
                <w:sz w:val="18"/>
                <w:szCs w:val="18"/>
                <w:lang w:eastAsia="en-AU"/>
              </w:rPr>
              <w:t>)</w:t>
            </w:r>
            <w:r w:rsidRPr="001324C5">
              <w:rPr>
                <w:rFonts w:eastAsia="Times New Roman"/>
                <w:sz w:val="18"/>
                <w:szCs w:val="18"/>
                <w:lang w:eastAsia="en-AU"/>
              </w:rPr>
              <w:t xml:space="preserve"> it should provide detailed reasoning demonstrating it will be able to service the debt.</w:t>
            </w:r>
          </w:p>
        </w:tc>
      </w:tr>
      <w:tr w:rsidR="008072C7" w:rsidRPr="00482C95" w14:paraId="34BC57A5" w14:textId="77777777" w:rsidTr="00110533">
        <w:trPr>
          <w:trHeight w:val="290"/>
        </w:trPr>
        <w:tc>
          <w:tcPr>
            <w:tcW w:w="1696" w:type="dxa"/>
          </w:tcPr>
          <w:p w14:paraId="6F75E050" w14:textId="77777777" w:rsidR="008072C7" w:rsidRPr="009635EE" w:rsidRDefault="008072C7" w:rsidP="00110533">
            <w:pPr>
              <w:rPr>
                <w:rFonts w:eastAsia="Times New Roman"/>
                <w:b/>
                <w:bCs/>
                <w:sz w:val="18"/>
                <w:szCs w:val="18"/>
                <w:lang w:eastAsia="en-AU"/>
              </w:rPr>
            </w:pPr>
            <w:r w:rsidRPr="009635EE">
              <w:rPr>
                <w:rFonts w:eastAsia="Times New Roman"/>
                <w:sz w:val="18"/>
                <w:szCs w:val="18"/>
                <w:lang w:eastAsia="en-AU"/>
              </w:rPr>
              <w:t>Restoration Cover</w:t>
            </w:r>
          </w:p>
        </w:tc>
        <w:tc>
          <w:tcPr>
            <w:tcW w:w="5103" w:type="dxa"/>
          </w:tcPr>
          <w:p w14:paraId="182B5480" w14:textId="77777777" w:rsidR="008072C7" w:rsidRPr="009635EE" w:rsidRDefault="008072C7" w:rsidP="00110533">
            <w:pPr>
              <w:rPr>
                <w:rFonts w:eastAsia="Times New Roman"/>
                <w:sz w:val="18"/>
                <w:szCs w:val="18"/>
                <w:lang w:eastAsia="en-AU"/>
              </w:rPr>
            </w:pPr>
            <w:r w:rsidRPr="009635EE">
              <w:rPr>
                <w:rFonts w:eastAsia="Times New Roman"/>
                <w:sz w:val="18"/>
                <w:szCs w:val="18"/>
                <w:lang w:eastAsia="en-AU"/>
              </w:rPr>
              <w:t>Restoration provisions/ tangible net worth</w:t>
            </w:r>
          </w:p>
        </w:tc>
        <w:tc>
          <w:tcPr>
            <w:tcW w:w="1417" w:type="dxa"/>
          </w:tcPr>
          <w:p w14:paraId="51557AA8" w14:textId="77777777" w:rsidR="008072C7" w:rsidRPr="009635EE" w:rsidRDefault="008072C7" w:rsidP="00110533">
            <w:pPr>
              <w:rPr>
                <w:rFonts w:eastAsia="Times New Roman"/>
                <w:sz w:val="18"/>
                <w:szCs w:val="18"/>
                <w:lang w:eastAsia="en-AU"/>
              </w:rPr>
            </w:pPr>
            <w:r w:rsidRPr="009635EE">
              <w:rPr>
                <w:rFonts w:eastAsia="Times New Roman"/>
                <w:sz w:val="18"/>
                <w:szCs w:val="18"/>
                <w:lang w:eastAsia="en-AU"/>
              </w:rPr>
              <w:t>&lt;</w:t>
            </w:r>
            <w:r>
              <w:rPr>
                <w:rFonts w:eastAsia="Times New Roman"/>
                <w:sz w:val="18"/>
                <w:szCs w:val="18"/>
                <w:lang w:eastAsia="en-AU"/>
              </w:rPr>
              <w:t xml:space="preserve"> = </w:t>
            </w:r>
            <w:r w:rsidRPr="009635EE">
              <w:rPr>
                <w:rFonts w:eastAsia="Times New Roman"/>
                <w:sz w:val="18"/>
                <w:szCs w:val="18"/>
                <w:lang w:eastAsia="en-AU"/>
              </w:rPr>
              <w:t>0.7</w:t>
            </w:r>
          </w:p>
        </w:tc>
        <w:tc>
          <w:tcPr>
            <w:tcW w:w="6518" w:type="dxa"/>
          </w:tcPr>
          <w:p w14:paraId="574F55CC" w14:textId="77777777" w:rsidR="008072C7" w:rsidRDefault="008072C7" w:rsidP="00110533">
            <w:pPr>
              <w:rPr>
                <w:rFonts w:eastAsia="Times New Roman"/>
                <w:sz w:val="18"/>
                <w:szCs w:val="18"/>
                <w:lang w:eastAsia="en-AU"/>
              </w:rPr>
            </w:pPr>
            <w:r w:rsidRPr="001324C5">
              <w:rPr>
                <w:rFonts w:eastAsia="Times New Roman"/>
                <w:sz w:val="18"/>
                <w:szCs w:val="18"/>
                <w:lang w:eastAsia="en-AU"/>
              </w:rPr>
              <w:t>Where an applicant has a restoration cover ratio of greater than</w:t>
            </w:r>
            <w:r>
              <w:rPr>
                <w:rFonts w:eastAsia="Times New Roman"/>
                <w:sz w:val="18"/>
                <w:szCs w:val="18"/>
                <w:lang w:eastAsia="en-AU"/>
              </w:rPr>
              <w:t xml:space="preserve"> seventy per cent (</w:t>
            </w:r>
            <w:r w:rsidRPr="001324C5">
              <w:rPr>
                <w:rFonts w:eastAsia="Times New Roman"/>
                <w:sz w:val="18"/>
                <w:szCs w:val="18"/>
                <w:lang w:eastAsia="en-AU"/>
              </w:rPr>
              <w:t>70%</w:t>
            </w:r>
            <w:r>
              <w:rPr>
                <w:rFonts w:eastAsia="Times New Roman"/>
                <w:sz w:val="18"/>
                <w:szCs w:val="18"/>
                <w:lang w:eastAsia="en-AU"/>
              </w:rPr>
              <w:t>)</w:t>
            </w:r>
            <w:r w:rsidRPr="001324C5">
              <w:rPr>
                <w:rFonts w:eastAsia="Times New Roman"/>
                <w:sz w:val="18"/>
                <w:szCs w:val="18"/>
                <w:lang w:eastAsia="en-AU"/>
              </w:rPr>
              <w:t xml:space="preserve"> it should demonstrate how the decommissioning obligations can be funded and provide evidence of the funding arrangements. </w:t>
            </w:r>
          </w:p>
          <w:p w14:paraId="199B59FD" w14:textId="77777777" w:rsidR="008072C7" w:rsidRDefault="008072C7" w:rsidP="00110533">
            <w:pPr>
              <w:rPr>
                <w:rFonts w:eastAsia="Times New Roman"/>
                <w:sz w:val="18"/>
                <w:szCs w:val="18"/>
                <w:lang w:eastAsia="en-AU"/>
              </w:rPr>
            </w:pPr>
          </w:p>
          <w:p w14:paraId="77D80172" w14:textId="77777777" w:rsidR="008072C7" w:rsidRPr="009635EE" w:rsidRDefault="008072C7" w:rsidP="00110533">
            <w:pPr>
              <w:rPr>
                <w:rFonts w:eastAsia="Times New Roman"/>
                <w:sz w:val="18"/>
                <w:szCs w:val="18"/>
                <w:lang w:eastAsia="en-AU"/>
              </w:rPr>
            </w:pPr>
            <w:r>
              <w:rPr>
                <w:rFonts w:eastAsia="Times New Roman"/>
                <w:sz w:val="18"/>
                <w:szCs w:val="18"/>
                <w:lang w:eastAsia="en-AU"/>
              </w:rPr>
              <w:t xml:space="preserve">Note that the basis of estimates for any </w:t>
            </w:r>
            <w:proofErr w:type="spellStart"/>
            <w:r>
              <w:rPr>
                <w:rFonts w:eastAsia="Times New Roman"/>
                <w:sz w:val="18"/>
                <w:szCs w:val="18"/>
                <w:lang w:eastAsia="en-AU"/>
              </w:rPr>
              <w:t>decommissioining</w:t>
            </w:r>
            <w:proofErr w:type="spellEnd"/>
            <w:r>
              <w:rPr>
                <w:rFonts w:eastAsia="Times New Roman"/>
                <w:sz w:val="18"/>
                <w:szCs w:val="18"/>
                <w:lang w:eastAsia="en-AU"/>
              </w:rPr>
              <w:t xml:space="preserve"> costs/restoration provisions should include information to support any assumptions regarding the removal of structures, </w:t>
            </w:r>
            <w:proofErr w:type="gramStart"/>
            <w:r>
              <w:rPr>
                <w:rFonts w:eastAsia="Times New Roman"/>
                <w:sz w:val="18"/>
                <w:szCs w:val="18"/>
                <w:lang w:eastAsia="en-AU"/>
              </w:rPr>
              <w:t>equipment</w:t>
            </w:r>
            <w:proofErr w:type="gramEnd"/>
            <w:r>
              <w:rPr>
                <w:rFonts w:eastAsia="Times New Roman"/>
                <w:sz w:val="18"/>
                <w:szCs w:val="18"/>
                <w:lang w:eastAsia="en-AU"/>
              </w:rPr>
              <w:t xml:space="preserve"> and other property.</w:t>
            </w:r>
          </w:p>
        </w:tc>
      </w:tr>
    </w:tbl>
    <w:p w14:paraId="387B17B4" w14:textId="77777777" w:rsidR="008072C7" w:rsidRDefault="008072C7" w:rsidP="008072C7">
      <w:pPr>
        <w:spacing w:after="160" w:line="259" w:lineRule="auto"/>
      </w:pPr>
    </w:p>
    <w:p w14:paraId="672A6659" w14:textId="77777777" w:rsidR="00BE3FD2" w:rsidRDefault="00BE3FD2"/>
    <w:sectPr w:rsidR="00BE3FD2" w:rsidSect="0023770F">
      <w:headerReference w:type="default" r:id="rId21"/>
      <w:footerReference w:type="default" r:id="rId22"/>
      <w:pgSz w:w="16840" w:h="11910" w:orient="landscape"/>
      <w:pgMar w:top="1701" w:right="992" w:bottom="907" w:left="992" w:header="6" w:footer="4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B127" w14:textId="77777777" w:rsidR="00D83D9D" w:rsidRDefault="00D83D9D">
      <w:r>
        <w:separator/>
      </w:r>
    </w:p>
  </w:endnote>
  <w:endnote w:type="continuationSeparator" w:id="0">
    <w:p w14:paraId="2D78C684" w14:textId="77777777" w:rsidR="00D83D9D" w:rsidRDefault="00D8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1294" w14:textId="1CB84472" w:rsidR="003E6372" w:rsidRPr="0023770F" w:rsidRDefault="008072C7" w:rsidP="00D36759">
    <w:pPr>
      <w:pStyle w:val="Footer"/>
      <w:tabs>
        <w:tab w:val="clear" w:pos="4513"/>
        <w:tab w:val="clear" w:pos="9026"/>
        <w:tab w:val="center" w:pos="4962"/>
        <w:tab w:val="right" w:pos="10632"/>
      </w:tabs>
    </w:pPr>
    <w:r>
      <w:rPr>
        <w:noProof/>
      </w:rPr>
      <mc:AlternateContent>
        <mc:Choice Requires="wps">
          <w:drawing>
            <wp:inline distT="0" distB="0" distL="0" distR="0" wp14:anchorId="729F0BCC" wp14:editId="5A94980E">
              <wp:extent cx="6762750" cy="0"/>
              <wp:effectExtent l="0" t="0" r="0" b="0"/>
              <wp:docPr id="12" name="Straight Connector 12" descr="Title: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46A7AB5" id="Straight Connector 1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5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" strokecolor="#27639b">
              <w10:anchorlock/>
            </v:line>
          </w:pict>
        </mc:Fallback>
      </mc:AlternateContent>
    </w:r>
    <w:r>
      <w:t>www.nopta.gov.au</w:t>
    </w:r>
    <w:r>
      <w:tab/>
    </w:r>
    <w:r>
      <w:tab/>
      <w:t>Version 1.</w:t>
    </w:r>
    <w:r w:rsidR="00A75033">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5433" w14:textId="37D6575B" w:rsidR="00D36759" w:rsidRPr="0023770F" w:rsidRDefault="008072C7" w:rsidP="00D36759">
    <w:pPr>
      <w:pStyle w:val="Footer"/>
      <w:tabs>
        <w:tab w:val="clear" w:pos="4513"/>
        <w:tab w:val="clear" w:pos="9026"/>
        <w:tab w:val="center" w:pos="4962"/>
        <w:tab w:val="right" w:pos="14856"/>
      </w:tabs>
    </w:pPr>
    <w:r>
      <w:rPr>
        <w:noProof/>
      </w:rPr>
      <mc:AlternateContent>
        <mc:Choice Requires="wps">
          <w:drawing>
            <wp:inline distT="0" distB="0" distL="0" distR="0" wp14:anchorId="67ED0741" wp14:editId="0B3C2B4C">
              <wp:extent cx="9401175" cy="0"/>
              <wp:effectExtent l="0" t="0" r="0" b="0"/>
              <wp:docPr id="1" name="Straight Connector 1" descr="Title: 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01175"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B382121" id="Straight Connector 1"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74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" strokecolor="#27639b">
              <w10:anchorlock/>
            </v:line>
          </w:pict>
        </mc:Fallback>
      </mc:AlternateContent>
    </w:r>
    <w:r>
      <w:t>www.nopta.gov.au</w:t>
    </w:r>
    <w:r>
      <w:tab/>
    </w:r>
    <w:r>
      <w:tab/>
      <w:t>Version 1.</w:t>
    </w:r>
    <w:r w:rsidR="00A75033">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CA5B" w14:textId="77777777" w:rsidR="00D83D9D" w:rsidRDefault="00D83D9D">
      <w:r>
        <w:separator/>
      </w:r>
    </w:p>
  </w:footnote>
  <w:footnote w:type="continuationSeparator" w:id="0">
    <w:p w14:paraId="4485A898" w14:textId="77777777" w:rsidR="00D83D9D" w:rsidRDefault="00D83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2829" w14:textId="77777777" w:rsidR="00C347AF" w:rsidRDefault="008072C7" w:rsidP="00C347AF">
    <w:pPr>
      <w:pStyle w:val="Header"/>
      <w:tabs>
        <w:tab w:val="left" w:pos="6165"/>
        <w:tab w:val="right" w:pos="10408"/>
      </w:tabs>
      <w:ind w:right="282"/>
      <w:rPr>
        <w:b/>
        <w:color w:val="FFFFFF" w:themeColor="background1"/>
        <w:sz w:val="52"/>
      </w:rPr>
    </w:pPr>
    <w:bookmarkStart w:id="0" w:name="_Hlk87961066"/>
    <w:r>
      <w:rPr>
        <w:noProof/>
      </w:rPr>
      <w:drawing>
        <wp:anchor distT="0" distB="0" distL="0" distR="0" simplePos="0" relativeHeight="251659264" behindDoc="1" locked="0" layoutInCell="1" allowOverlap="1" wp14:anchorId="457CB416" wp14:editId="5C157AB2">
          <wp:simplePos x="0" y="0"/>
          <wp:positionH relativeFrom="page">
            <wp:posOffset>0</wp:posOffset>
          </wp:positionH>
          <wp:positionV relativeFrom="page">
            <wp:posOffset>0</wp:posOffset>
          </wp:positionV>
          <wp:extent cx="7581900" cy="156957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709" cy="1575745"/>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FFFFFF" w:themeColor="background1"/>
        <w:sz w:val="52"/>
      </w:rPr>
      <w:tab/>
    </w:r>
    <w:r>
      <w:rPr>
        <w:b/>
        <w:noProof/>
        <w:color w:val="FFFFFF" w:themeColor="background1"/>
        <w:sz w:val="52"/>
      </w:rPr>
      <w:tab/>
    </w:r>
  </w:p>
  <w:bookmarkEnd w:id="0"/>
  <w:p w14:paraId="42968995" w14:textId="77777777" w:rsidR="00C347AF" w:rsidRDefault="00000000" w:rsidP="00C347AF">
    <w:pPr>
      <w:pStyle w:val="BodyText"/>
      <w:spacing w:before="0" w:line="12" w:lineRule="auto"/>
      <w:ind w:left="0"/>
    </w:pPr>
  </w:p>
  <w:p w14:paraId="2428E70E" w14:textId="77777777" w:rsidR="00C347AF" w:rsidRDefault="00000000" w:rsidP="00C347AF">
    <w:pPr>
      <w:pStyle w:val="BodyText"/>
      <w:spacing w:before="0" w:line="12" w:lineRule="auto"/>
      <w:ind w:left="0"/>
    </w:pPr>
  </w:p>
  <w:p w14:paraId="5034DA54" w14:textId="77777777" w:rsidR="00C347AF" w:rsidRDefault="00000000" w:rsidP="00C347AF">
    <w:pPr>
      <w:pStyle w:val="Header"/>
    </w:pPr>
  </w:p>
  <w:p w14:paraId="16A8A4FB" w14:textId="77777777" w:rsidR="00C347AF" w:rsidRDefault="00000000" w:rsidP="00C347AF">
    <w:pPr>
      <w:pStyle w:val="BodyText"/>
      <w:spacing w:before="0" w:line="12" w:lineRule="auto"/>
      <w:ind w:left="0"/>
    </w:pPr>
  </w:p>
  <w:p w14:paraId="5ECDEA34" w14:textId="77777777" w:rsidR="00C347AF" w:rsidRDefault="008072C7" w:rsidP="00B32DDD">
    <w:pPr>
      <w:pStyle w:val="Header"/>
      <w:tabs>
        <w:tab w:val="left" w:pos="6165"/>
        <w:tab w:val="right" w:pos="10408"/>
      </w:tabs>
      <w:ind w:right="282"/>
      <w:rPr>
        <w:b/>
        <w:color w:val="FFFFFF" w:themeColor="background1"/>
        <w:sz w:val="52"/>
      </w:rPr>
    </w:pPr>
    <w:r>
      <w:rPr>
        <w:b/>
        <w:noProof/>
        <w:color w:val="FFFFFF" w:themeColor="background1"/>
        <w:sz w:val="52"/>
      </w:rPr>
      <w:tab/>
    </w:r>
    <w:r>
      <w:rPr>
        <w:b/>
        <w:noProof/>
        <w:color w:val="FFFFFF" w:themeColor="background1"/>
        <w:sz w:val="52"/>
      </w:rPr>
      <w:tab/>
    </w:r>
    <w:r>
      <w:rPr>
        <w:b/>
        <w:noProof/>
        <w:color w:val="FFFFFF" w:themeColor="background1"/>
        <w:sz w:val="52"/>
      </w:rPr>
      <w:tab/>
      <w:t>Fact Sheet</w:t>
    </w:r>
    <w:r>
      <w:rPr>
        <w:b/>
        <w:noProof/>
        <w:color w:val="FFFFFF" w:themeColor="background1"/>
        <w:sz w:val="52"/>
      </w:rPr>
      <w:tab/>
    </w:r>
  </w:p>
  <w:p w14:paraId="1C9EAF80" w14:textId="77777777" w:rsidR="00C347AF" w:rsidRDefault="008072C7" w:rsidP="00C347AF">
    <w:pPr>
      <w:pStyle w:val="BodyText"/>
      <w:spacing w:before="0" w:line="12" w:lineRule="auto"/>
      <w:ind w:left="0"/>
    </w:pPr>
    <w:r>
      <w:rPr>
        <w:noProof/>
      </w:rPr>
      <w:drawing>
        <wp:anchor distT="0" distB="0" distL="0" distR="0" simplePos="0" relativeHeight="251658240" behindDoc="1" locked="0" layoutInCell="1" allowOverlap="1" wp14:anchorId="3F10DC2D" wp14:editId="04DB7834">
          <wp:simplePos x="0" y="0"/>
          <wp:positionH relativeFrom="page">
            <wp:posOffset>1270</wp:posOffset>
          </wp:positionH>
          <wp:positionV relativeFrom="page">
            <wp:posOffset>1905</wp:posOffset>
          </wp:positionV>
          <wp:extent cx="6788150" cy="14052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0" cy="1405255"/>
                  </a:xfrm>
                  <a:prstGeom prst="rect">
                    <a:avLst/>
                  </a:prstGeom>
                  <a:noFill/>
                </pic:spPr>
              </pic:pic>
            </a:graphicData>
          </a:graphic>
          <wp14:sizeRelH relativeFrom="page">
            <wp14:pctWidth>0</wp14:pctWidth>
          </wp14:sizeRelH>
          <wp14:sizeRelV relativeFrom="page">
            <wp14:pctHeight>0</wp14:pctHeight>
          </wp14:sizeRelV>
        </wp:anchor>
      </w:drawing>
    </w:r>
  </w:p>
  <w:p w14:paraId="0EBF767A" w14:textId="77777777" w:rsidR="00C347AF" w:rsidRDefault="00000000" w:rsidP="00C347AF">
    <w:pPr>
      <w:pStyle w:val="BodyText"/>
      <w:spacing w:before="0" w:line="12" w:lineRule="auto"/>
      <w:ind w:left="0"/>
    </w:pPr>
  </w:p>
  <w:p w14:paraId="6230E9E7" w14:textId="77777777" w:rsidR="00C347AF" w:rsidRDefault="00000000" w:rsidP="00C347AF">
    <w:pPr>
      <w:pStyle w:val="Header"/>
    </w:pPr>
  </w:p>
  <w:p w14:paraId="098A3CFB" w14:textId="77777777" w:rsidR="00C347AF" w:rsidRDefault="00000000" w:rsidP="00C347AF">
    <w:pPr>
      <w:pStyle w:val="BodyText"/>
      <w:spacing w:before="0" w:line="12" w:lineRule="auto"/>
      <w:ind w:left="0"/>
    </w:pPr>
  </w:p>
  <w:p w14:paraId="1752188B" w14:textId="77777777" w:rsidR="003E6372" w:rsidRPr="00C347AF" w:rsidRDefault="00000000" w:rsidP="00C34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6E61" w14:textId="77777777" w:rsidR="00BA1A2D"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DC41" w14:textId="77777777" w:rsidR="003E6372" w:rsidRDefault="00000000" w:rsidP="00642819">
    <w:pPr>
      <w:pStyle w:val="Header"/>
      <w:rPr>
        <w:noProof/>
        <w:lang w:eastAsia="en-AU"/>
      </w:rPr>
    </w:pPr>
  </w:p>
  <w:p w14:paraId="5FA6877F" w14:textId="77777777" w:rsidR="003E6372" w:rsidRDefault="008072C7" w:rsidP="002208CF">
    <w:pPr>
      <w:pStyle w:val="Header"/>
      <w:tabs>
        <w:tab w:val="right" w:pos="9070"/>
      </w:tabs>
    </w:pPr>
    <w:r w:rsidRPr="00685495">
      <w:rPr>
        <w:noProof/>
        <w:lang w:val="en-AU" w:eastAsia="en-AU"/>
      </w:rPr>
      <w:drawing>
        <wp:anchor distT="0" distB="0" distL="114300" distR="114300" simplePos="0" relativeHeight="251656192" behindDoc="0" locked="0" layoutInCell="1" allowOverlap="1" wp14:anchorId="119A302C" wp14:editId="6336CEB7">
          <wp:simplePos x="0" y="0"/>
          <wp:positionH relativeFrom="margin">
            <wp:align>right</wp:align>
          </wp:positionH>
          <wp:positionV relativeFrom="paragraph">
            <wp:posOffset>-141869</wp:posOffset>
          </wp:positionV>
          <wp:extent cx="2600325" cy="676275"/>
          <wp:effectExtent l="0" t="0" r="9525" b="9525"/>
          <wp:wrapSquare wrapText="bothSides"/>
          <wp:docPr id="10"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2A903D5" w14:textId="77777777" w:rsidR="003E6372" w:rsidRPr="00642819" w:rsidRDefault="00000000" w:rsidP="006428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57D1" w14:textId="77777777" w:rsidR="00BA1A2D"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2E4D" w14:textId="77777777" w:rsidR="0023770F" w:rsidRDefault="00000000" w:rsidP="00642819">
    <w:pPr>
      <w:pStyle w:val="Header"/>
      <w:rPr>
        <w:noProof/>
        <w:lang w:eastAsia="en-AU"/>
      </w:rPr>
    </w:pPr>
  </w:p>
  <w:p w14:paraId="03EE286D" w14:textId="77777777" w:rsidR="0023770F" w:rsidRDefault="008072C7" w:rsidP="002208CF">
    <w:pPr>
      <w:pStyle w:val="Header"/>
      <w:tabs>
        <w:tab w:val="right" w:pos="9070"/>
      </w:tabs>
    </w:pPr>
    <w:r w:rsidRPr="00685495">
      <w:rPr>
        <w:noProof/>
        <w:lang w:val="en-AU" w:eastAsia="en-AU"/>
      </w:rPr>
      <w:drawing>
        <wp:anchor distT="0" distB="0" distL="114300" distR="114300" simplePos="0" relativeHeight="251657216" behindDoc="0" locked="0" layoutInCell="1" allowOverlap="1" wp14:anchorId="5D039179" wp14:editId="6CF0AB6B">
          <wp:simplePos x="0" y="0"/>
          <wp:positionH relativeFrom="margin">
            <wp:posOffset>6795135</wp:posOffset>
          </wp:positionH>
          <wp:positionV relativeFrom="paragraph">
            <wp:posOffset>67945</wp:posOffset>
          </wp:positionV>
          <wp:extent cx="2600325" cy="676275"/>
          <wp:effectExtent l="0" t="0" r="9525" b="9525"/>
          <wp:wrapSquare wrapText="bothSides"/>
          <wp:docPr id="11"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2919904" w14:textId="77777777" w:rsidR="0023770F" w:rsidRPr="00642819" w:rsidRDefault="00000000" w:rsidP="00642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909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352A10"/>
    <w:multiLevelType w:val="hybridMultilevel"/>
    <w:tmpl w:val="653C3298"/>
    <w:lvl w:ilvl="0" w:tplc="9C88BE2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8910203">
    <w:abstractNumId w:val="0"/>
  </w:num>
  <w:num w:numId="2" w16cid:durableId="1678537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34D0C0"/>
    <w:rsid w:val="007B3C6F"/>
    <w:rsid w:val="008072C7"/>
    <w:rsid w:val="009073EC"/>
    <w:rsid w:val="00A75033"/>
    <w:rsid w:val="00BE3FD2"/>
    <w:rsid w:val="00D83D9D"/>
    <w:rsid w:val="1934D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D0C0"/>
  <w15:chartTrackingRefBased/>
  <w15:docId w15:val="{9AE5D724-7B59-468B-AA6B-8915998C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C7"/>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qFormat/>
    <w:rsid w:val="008072C7"/>
    <w:pPr>
      <w:spacing w:before="5"/>
      <w:ind w:left="120"/>
      <w:outlineLvl w:val="0"/>
    </w:pPr>
    <w:rPr>
      <w:b/>
      <w:bCs/>
      <w:sz w:val="44"/>
      <w:szCs w:val="44"/>
    </w:rPr>
  </w:style>
  <w:style w:type="paragraph" w:styleId="Heading2">
    <w:name w:val="heading 2"/>
    <w:basedOn w:val="Normal"/>
    <w:link w:val="Heading2Char"/>
    <w:uiPriority w:val="9"/>
    <w:unhideWhenUsed/>
    <w:qFormat/>
    <w:rsid w:val="008072C7"/>
    <w:pPr>
      <w:spacing w:before="117"/>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2C7"/>
    <w:rPr>
      <w:rFonts w:ascii="Calibri" w:eastAsia="Calibri" w:hAnsi="Calibri" w:cs="Calibri"/>
      <w:b/>
      <w:bCs/>
      <w:sz w:val="44"/>
      <w:szCs w:val="44"/>
    </w:rPr>
  </w:style>
  <w:style w:type="character" w:customStyle="1" w:styleId="Heading2Char">
    <w:name w:val="Heading 2 Char"/>
    <w:basedOn w:val="DefaultParagraphFont"/>
    <w:link w:val="Heading2"/>
    <w:uiPriority w:val="9"/>
    <w:rsid w:val="008072C7"/>
    <w:rPr>
      <w:rFonts w:ascii="Calibri" w:eastAsia="Calibri" w:hAnsi="Calibri" w:cs="Calibri"/>
      <w:b/>
      <w:bCs/>
      <w:sz w:val="24"/>
      <w:szCs w:val="24"/>
    </w:rPr>
  </w:style>
  <w:style w:type="paragraph" w:styleId="BodyText">
    <w:name w:val="Body Text"/>
    <w:basedOn w:val="Normal"/>
    <w:link w:val="BodyTextChar"/>
    <w:uiPriority w:val="1"/>
    <w:qFormat/>
    <w:rsid w:val="008072C7"/>
    <w:pPr>
      <w:spacing w:before="120"/>
      <w:ind w:left="479"/>
    </w:pPr>
    <w:rPr>
      <w:sz w:val="20"/>
      <w:szCs w:val="20"/>
    </w:rPr>
  </w:style>
  <w:style w:type="character" w:customStyle="1" w:styleId="BodyTextChar">
    <w:name w:val="Body Text Char"/>
    <w:basedOn w:val="DefaultParagraphFont"/>
    <w:link w:val="BodyText"/>
    <w:uiPriority w:val="1"/>
    <w:rsid w:val="008072C7"/>
    <w:rPr>
      <w:rFonts w:ascii="Calibri" w:eastAsia="Calibri" w:hAnsi="Calibri" w:cs="Calibri"/>
      <w:sz w:val="20"/>
      <w:szCs w:val="20"/>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8072C7"/>
    <w:pPr>
      <w:spacing w:before="120"/>
      <w:ind w:left="479" w:hanging="360"/>
    </w:pPr>
  </w:style>
  <w:style w:type="paragraph" w:styleId="Header">
    <w:name w:val="header"/>
    <w:basedOn w:val="Normal"/>
    <w:link w:val="HeaderChar"/>
    <w:unhideWhenUsed/>
    <w:rsid w:val="008072C7"/>
    <w:pPr>
      <w:tabs>
        <w:tab w:val="center" w:pos="4513"/>
        <w:tab w:val="right" w:pos="9026"/>
      </w:tabs>
    </w:pPr>
  </w:style>
  <w:style w:type="character" w:customStyle="1" w:styleId="HeaderChar">
    <w:name w:val="Header Char"/>
    <w:basedOn w:val="DefaultParagraphFont"/>
    <w:link w:val="Header"/>
    <w:rsid w:val="008072C7"/>
    <w:rPr>
      <w:rFonts w:ascii="Calibri" w:eastAsia="Calibri" w:hAnsi="Calibri" w:cs="Calibri"/>
    </w:rPr>
  </w:style>
  <w:style w:type="paragraph" w:styleId="Footer">
    <w:name w:val="footer"/>
    <w:basedOn w:val="Normal"/>
    <w:link w:val="FooterChar"/>
    <w:uiPriority w:val="99"/>
    <w:unhideWhenUsed/>
    <w:rsid w:val="008072C7"/>
    <w:pPr>
      <w:tabs>
        <w:tab w:val="center" w:pos="4513"/>
        <w:tab w:val="right" w:pos="9026"/>
      </w:tabs>
    </w:pPr>
  </w:style>
  <w:style w:type="character" w:customStyle="1" w:styleId="FooterChar">
    <w:name w:val="Footer Char"/>
    <w:basedOn w:val="DefaultParagraphFont"/>
    <w:link w:val="Footer"/>
    <w:uiPriority w:val="99"/>
    <w:rsid w:val="008072C7"/>
    <w:rPr>
      <w:rFonts w:ascii="Calibri" w:eastAsia="Calibri" w:hAnsi="Calibri" w:cs="Calibri"/>
    </w:rPr>
  </w:style>
  <w:style w:type="character" w:styleId="Hyperlink">
    <w:name w:val="Hyperlink"/>
    <w:basedOn w:val="DefaultParagraphFont"/>
    <w:uiPriority w:val="99"/>
    <w:unhideWhenUsed/>
    <w:rsid w:val="008072C7"/>
    <w:rPr>
      <w:color w:val="0563C1" w:themeColor="hyperlink"/>
      <w:u w:val="single"/>
    </w:rPr>
  </w:style>
  <w:style w:type="table" w:customStyle="1" w:styleId="GridTable1Light11">
    <w:name w:val="Grid Table 1 Light11"/>
    <w:basedOn w:val="TableNormal"/>
    <w:next w:val="GridTable1Light"/>
    <w:uiPriority w:val="46"/>
    <w:rsid w:val="008072C7"/>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List2">
    <w:name w:val="List 2"/>
    <w:basedOn w:val="Normal"/>
    <w:uiPriority w:val="99"/>
    <w:unhideWhenUsed/>
    <w:rsid w:val="008072C7"/>
    <w:pPr>
      <w:widowControl/>
      <w:autoSpaceDE/>
      <w:autoSpaceDN/>
      <w:spacing w:after="160" w:line="259" w:lineRule="auto"/>
      <w:ind w:left="566" w:hanging="283"/>
      <w:contextualSpacing/>
    </w:pPr>
    <w:rPr>
      <w:rFonts w:ascii="Times New Roman" w:eastAsiaTheme="minorHAnsi" w:hAnsi="Times New Roman" w:cs="Times New Roman"/>
      <w:sz w:val="24"/>
      <w:szCs w:val="24"/>
      <w:lang w:val="en-AU"/>
    </w:rPr>
  </w:style>
  <w:style w:type="table" w:styleId="TableGrid">
    <w:name w:val="Table Grid"/>
    <w:basedOn w:val="TableNormal"/>
    <w:uiPriority w:val="39"/>
    <w:rsid w:val="008072C7"/>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8072C7"/>
    <w:rPr>
      <w:rFonts w:ascii="Calibri" w:eastAsia="Calibri" w:hAnsi="Calibri" w:cs="Calibri"/>
    </w:rPr>
  </w:style>
  <w:style w:type="character" w:styleId="SubtleEmphasis">
    <w:name w:val="Subtle Emphasis"/>
    <w:basedOn w:val="DefaultParagraphFont"/>
    <w:uiPriority w:val="19"/>
    <w:qFormat/>
    <w:rsid w:val="008072C7"/>
    <w:rPr>
      <w:i/>
      <w:iCs/>
      <w:color w:val="404040" w:themeColor="text1" w:themeTint="BF"/>
    </w:rPr>
  </w:style>
  <w:style w:type="paragraph" w:customStyle="1" w:styleId="MyStyle1ParaHeadings">
    <w:name w:val="MyStyle1 Para Headings"/>
    <w:basedOn w:val="ListParagraph"/>
    <w:link w:val="MyStyle1ParaHeadingsChar"/>
    <w:qFormat/>
    <w:rsid w:val="008072C7"/>
    <w:pPr>
      <w:ind w:left="360" w:firstLine="0"/>
    </w:pPr>
    <w:rPr>
      <w:b/>
      <w:bCs/>
      <w:color w:val="27629B"/>
      <w:sz w:val="24"/>
      <w:szCs w:val="24"/>
    </w:rPr>
  </w:style>
  <w:style w:type="character" w:customStyle="1" w:styleId="MyStyle1ParaHeadingsChar">
    <w:name w:val="MyStyle1 Para Headings Char"/>
    <w:basedOn w:val="ListParagraphChar"/>
    <w:link w:val="MyStyle1ParaHeadings"/>
    <w:rsid w:val="008072C7"/>
    <w:rPr>
      <w:rFonts w:ascii="Calibri" w:eastAsia="Calibri" w:hAnsi="Calibri" w:cs="Calibri"/>
      <w:b/>
      <w:bCs/>
      <w:color w:val="27629B"/>
      <w:sz w:val="24"/>
      <w:szCs w:val="24"/>
    </w:rPr>
  </w:style>
  <w:style w:type="table" w:styleId="GridTable1Light">
    <w:name w:val="Grid Table 1 Light"/>
    <w:basedOn w:val="TableNormal"/>
    <w:uiPriority w:val="46"/>
    <w:rsid w:val="008072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nopta.gov.au/" TargetMode="External"/><Relationship Id="rId17" Type="http://schemas.openxmlformats.org/officeDocument/2006/relationships/hyperlink" Target="mailto:titles@nopta.gov.au" TargetMode="External"/><Relationship Id="rId2" Type="http://schemas.openxmlformats.org/officeDocument/2006/relationships/customXml" Target="../customXml/item2.xml"/><Relationship Id="rId16" Type="http://schemas.openxmlformats.org/officeDocument/2006/relationships/hyperlink" Target="https://www.nopta.gov.au/_documents/guidelines/Applicant-Suitability-Guideline.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law.gov.au/Series/C2006A0001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pta.gov.au/_documents/guidelines/decommissioning-guidelin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PTA Operational Document" ma:contentTypeID="0x010100F8645BF632A9D54BB9622FA6FB859D2F00FBDAE3E39BE0C543A8642E12741DD711" ma:contentTypeVersion="104" ma:contentTypeDescription="Used for controlled documents." ma:contentTypeScope="" ma:versionID="cd8ce6c39c1282b2aa1ce75cddae146b">
  <xsd:schema xmlns:xsd="http://www.w3.org/2001/XMLSchema" xmlns:xs="http://www.w3.org/2001/XMLSchema" xmlns:p="http://schemas.microsoft.com/office/2006/metadata/properties" xmlns:ns2="7012054d-3a07-4b40-940b-a148fc76e5c4" xmlns:ns3="0430bafc-b7eb-4926-9cd4-4df3b37457b0" targetNamespace="http://schemas.microsoft.com/office/2006/metadata/properties" ma:root="true" ma:fieldsID="71fb9bc3bd6f206ee40d5c700c3e1038" ns2:_="" ns3:_="">
    <xsd:import namespace="7012054d-3a07-4b40-940b-a148fc76e5c4"/>
    <xsd:import namespace="0430bafc-b7eb-4926-9cd4-4df3b37457b0"/>
    <xsd:element name="properties">
      <xsd:complexType>
        <xsd:sequence>
          <xsd:element name="documentManagement">
            <xsd:complexType>
              <xsd:all>
                <xsd:element ref="ns2:NodRisk"/>
                <xsd:element ref="ns2:NodTeamOwner"/>
                <xsd:element ref="ns2:NodDocumentType"/>
                <xsd:element ref="ns2:NodCategory"/>
                <xsd:element ref="ns2:NodDocumentUtility" minOccurs="0"/>
                <xsd:element ref="ns2:OfNationalSignificance"/>
                <xsd:element ref="ns2:_dlc_DocIdPersistId" minOccurs="0"/>
                <xsd:element ref="ns2:NodEffectiveDate" minOccurs="0"/>
                <xsd:element ref="ns2:NodReviewDate" minOccurs="0"/>
                <xsd:element ref="ns2:_dlc_DocId" minOccurs="0"/>
                <xsd:element ref="ns2:_dlc_DocIdUrl"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NodRisk" ma:index="2" ma:displayName="Risk" ma:internalName="NodRisk">
      <xsd:simpleType>
        <xsd:restriction base="dms:Choice">
          <xsd:enumeration value="Low"/>
          <xsd:enumeration value="Medium"/>
          <xsd:enumeration value="High"/>
        </xsd:restriction>
      </xsd:simpleType>
    </xsd:element>
    <xsd:element name="NodTeamOwner" ma:index="3" ma:displayName="Team/Owner" ma:default="Commercial" ma:format="Dropdown" ma:internalName="NodTeamOwner">
      <xsd:simpleType>
        <xsd:restriction base="dms:Choice">
          <xsd:enumeration value="Business Support"/>
          <xsd:enumeration value="Commercial"/>
          <xsd:enumeration value="Compliance"/>
          <xsd:enumeration value="Data Management"/>
          <xsd:enumeration value="Geographic Information Systems"/>
          <xsd:enumeration value="Geoscience and Engineering"/>
          <xsd:enumeration value="Information and Communications Technology"/>
          <xsd:enumeration value="Legislative Compliance"/>
          <xsd:enumeration value="Titles"/>
        </xsd:restriction>
      </xsd:simpleType>
    </xsd:element>
    <xsd:element name="NodDocumentType" ma:index="4" ma:displayName="Document Type" ma:internalName="NodDocumentType">
      <xsd:simpleType>
        <xsd:restriction base="dms:Choice">
          <xsd:enumeration value="Policy"/>
          <xsd:enumeration value="Process"/>
          <xsd:enumeration value="Procedure"/>
          <xsd:enumeration value="Instruction"/>
          <xsd:enumeration value="Checklist"/>
          <xsd:enumeration value="Form"/>
          <xsd:enumeration value="Factsheet"/>
          <xsd:enumeration value="Template"/>
          <xsd:enumeration value="Guidance"/>
        </xsd:restriction>
      </xsd:simpleType>
    </xsd:element>
    <xsd:element name="NodCategory" ma:index="5" ma:displayName="Category" ma:internalName="NodCategory">
      <xsd:simpleType>
        <xsd:restriction base="dms:Choice">
          <xsd:enumeration value="Application"/>
          <xsd:enumeration value="Commercial"/>
          <xsd:enumeration value="Compliance"/>
          <xsd:enumeration value="Data Management"/>
          <xsd:enumeration value="Finance"/>
          <xsd:enumeration value="Resource Management"/>
          <xsd:enumeration value="Spatial"/>
          <xsd:enumeration value="Strategic"/>
        </xsd:restriction>
      </xsd:simpleType>
    </xsd:element>
    <xsd:element name="NodDocumentUtility" ma:index="6" nillable="true" ma:displayName="Document Utility" ma:internalName="NodDocumentUtility" ma:requiredMultiChoice="true">
      <xsd:complexType>
        <xsd:complexContent>
          <xsd:extension base="dms:MultiChoice">
            <xsd:sequence>
              <xsd:element name="Value" maxOccurs="unbounded" minOccurs="0" nillable="true">
                <xsd:simpleType>
                  <xsd:restriction base="dms:Choice">
                    <xsd:enumeration value="External"/>
                    <xsd:enumeration value="Internal"/>
                  </xsd:restriction>
                </xsd:simpleType>
              </xsd:element>
            </xsd:sequence>
          </xsd:extension>
        </xsd:complexContent>
      </xsd:complexType>
    </xsd:element>
    <xsd:element name="OfNationalSignificance" ma:index="7" ma:displayName="Of National Significance" ma:format="Dropdown" ma:internalName="OfNationalSignificance" ma:readOnly="false">
      <xsd:simpleType>
        <xsd:restriction base="dms:Choice">
          <xsd:enumeration value="Yes"/>
          <xsd:enumeration value="No"/>
        </xsd:restriction>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NodEffectiveDate" ma:index="10" nillable="true" ma:displayName="Effective Date" ma:format="DateOnly" ma:hidden="true" ma:internalName="NodEffectiveDate" ma:readOnly="false">
      <xsd:simpleType>
        <xsd:restriction base="dms:DateTime"/>
      </xsd:simpleType>
    </xsd:element>
    <xsd:element name="NodReviewDate" ma:index="11" nillable="true" ma:displayName="Review Date" ma:format="DateOnly" ma:hidden="true" ma:internalName="NodReviewDate" ma:readOnly="false">
      <xsd:simpleType>
        <xsd:restriction base="dms:DateTime"/>
      </xsd:simple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0bafc-b7eb-4926-9cd4-4df3b37457b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dEffectiveDate xmlns="7012054d-3a07-4b40-940b-a148fc76e5c4" xsi:nil="true"/>
    <NodRisk xmlns="7012054d-3a07-4b40-940b-a148fc76e5c4">Low</NodRisk>
    <NodDocumentUtility xmlns="7012054d-3a07-4b40-940b-a148fc76e5c4">
      <Value>External</Value>
    </NodDocumentUtility>
    <NodReviewDate xmlns="7012054d-3a07-4b40-940b-a148fc76e5c4" xsi:nil="true"/>
    <OfNationalSignificance xmlns="7012054d-3a07-4b40-940b-a148fc76e5c4">No</OfNationalSignificance>
    <NodTeamOwner xmlns="7012054d-3a07-4b40-940b-a148fc76e5c4">Commercial</NodTeamOwner>
    <NodDocumentType xmlns="7012054d-3a07-4b40-940b-a148fc76e5c4">Factsheet</NodDocumentType>
    <NodCategory xmlns="7012054d-3a07-4b40-940b-a148fc76e5c4">Application</NodCategory>
    <_dlc_DocId xmlns="7012054d-3a07-4b40-940b-a148fc76e5c4">NOPTANET-882986114-11</_dlc_DocId>
    <_dlc_DocIdUrl xmlns="7012054d-3a07-4b40-940b-a148fc76e5c4">
      <Url>https://nopta.sharepoint.com/team/Commercial/_layouts/15/DocIdRedir.aspx?ID=NOPTANET-882986114-11</Url>
      <Description>NOPTANET-882986114-11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C7BDDB-A374-49B0-8100-517AD11D0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430bafc-b7eb-4926-9cd4-4df3b374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E2038-6952-494C-A35C-89232BC8637D}">
  <ds:schemaRefs>
    <ds:schemaRef ds:uri="http://schemas.microsoft.com/office/2006/metadata/properties"/>
    <ds:schemaRef ds:uri="http://schemas.microsoft.com/office/infopath/2007/PartnerControls"/>
    <ds:schemaRef ds:uri="7012054d-3a07-4b40-940b-a148fc76e5c4"/>
  </ds:schemaRefs>
</ds:datastoreItem>
</file>

<file path=customXml/itemProps3.xml><?xml version="1.0" encoding="utf-8"?>
<ds:datastoreItem xmlns:ds="http://schemas.openxmlformats.org/officeDocument/2006/customXml" ds:itemID="{CEFD9F15-CF5C-43C1-BBB8-17D1CCF4BC98}">
  <ds:schemaRefs>
    <ds:schemaRef ds:uri="http://schemas.microsoft.com/sharepoint/v3/contenttype/forms"/>
  </ds:schemaRefs>
</ds:datastoreItem>
</file>

<file path=customXml/itemProps4.xml><?xml version="1.0" encoding="utf-8"?>
<ds:datastoreItem xmlns:ds="http://schemas.openxmlformats.org/officeDocument/2006/customXml" ds:itemID="{14D913DE-F1E2-4A53-8D1C-08F64EDC7A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3256</Words>
  <Characters>18565</Characters>
  <Application>Microsoft Office Word</Application>
  <DocSecurity>0</DocSecurity>
  <Lines>154</Lines>
  <Paragraphs>43</Paragraphs>
  <ScaleCrop>false</ScaleCrop>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Chamarette</dc:creator>
  <cp:keywords/>
  <dc:description/>
  <cp:lastModifiedBy>Gary Floyd</cp:lastModifiedBy>
  <cp:revision>2</cp:revision>
  <dcterms:created xsi:type="dcterms:W3CDTF">2022-12-13T05:42:00Z</dcterms:created>
  <dcterms:modified xsi:type="dcterms:W3CDTF">2022-12-13T05:42:00Z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0x010100F8645BF632A9D54BB9622FA6FB859D2F00FBDAE3E39BE0C543A8642E12741DD711</vt:lpwstr>
  </property>
  <property fmtid="{D5CDD505-2E9C-101B-9397-08002B2CF9AE}" pid="3" name="_dlc_DocIdItemGuid">
    <vt:lpwstr>264cef4a-911f-4c69-bb67-adcc9a601da8</vt:lpwstr>
  </property>
  <property fmtid="{D5CDD505-2E9C-101B-9397-08002B2CF9AE}" pid="4" name="MSIP_Label_93cd4f2a-0040-47df-a467-7cba635d669c_Enabled">
    <vt:lpwstr>true</vt:lpwstr>
  </property>
  <property fmtid="{D5CDD505-2E9C-101B-9397-08002B2CF9AE}" pid="5" name="MSIP_Label_93cd4f2a-0040-47df-a467-7cba635d669c_SetDate">
    <vt:lpwstr>2022-12-13T03:58:15Z</vt:lpwstr>
  </property>
  <property fmtid="{D5CDD505-2E9C-101B-9397-08002B2CF9AE}" pid="6" name="MSIP_Label_93cd4f2a-0040-47df-a467-7cba635d669c_Method">
    <vt:lpwstr>Standard</vt:lpwstr>
  </property>
  <property fmtid="{D5CDD505-2E9C-101B-9397-08002B2CF9AE}" pid="7" name="MSIP_Label_93cd4f2a-0040-47df-a467-7cba635d669c_Name">
    <vt:lpwstr>OFFICIAL - NOPTA</vt:lpwstr>
  </property>
  <property fmtid="{D5CDD505-2E9C-101B-9397-08002B2CF9AE}" pid="8" name="MSIP_Label_93cd4f2a-0040-47df-a467-7cba635d669c_SiteId">
    <vt:lpwstr>2940859f-ee86-4ee3-848f-02ac9eba62b2</vt:lpwstr>
  </property>
  <property fmtid="{D5CDD505-2E9C-101B-9397-08002B2CF9AE}" pid="9" name="MSIP_Label_93cd4f2a-0040-47df-a467-7cba635d669c_ActionId">
    <vt:lpwstr>59160efa-adc5-4857-ad2c-04bb8cfdb676</vt:lpwstr>
  </property>
  <property fmtid="{D5CDD505-2E9C-101B-9397-08002B2CF9AE}" pid="10" name="MSIP_Label_93cd4f2a-0040-47df-a467-7cba635d669c_ContentBits">
    <vt:lpwstr>0</vt:lpwstr>
  </property>
</Properties>
</file>