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90D7" w14:textId="2D0F3595" w:rsidR="00434E8A" w:rsidRDefault="00D566EC" w:rsidP="009A73B9">
      <w:pPr>
        <w:pStyle w:val="Heading1"/>
        <w:spacing w:before="10"/>
        <w:ind w:left="119"/>
        <w:rPr>
          <w:color w:val="27629B"/>
        </w:rPr>
      </w:pPr>
      <w:r>
        <w:rPr>
          <w:color w:val="27629B"/>
        </w:rPr>
        <w:t>R</w:t>
      </w:r>
      <w:r w:rsidR="00F80BB1">
        <w:rPr>
          <w:color w:val="27629B"/>
        </w:rPr>
        <w:t xml:space="preserve">etention </w:t>
      </w:r>
      <w:r w:rsidR="005A7C0A">
        <w:rPr>
          <w:color w:val="27629B"/>
        </w:rPr>
        <w:t>l</w:t>
      </w:r>
      <w:r w:rsidR="00F80BB1">
        <w:rPr>
          <w:color w:val="27629B"/>
        </w:rPr>
        <w:t>ease</w:t>
      </w:r>
      <w:r w:rsidR="00B422E4">
        <w:rPr>
          <w:color w:val="27629B"/>
        </w:rPr>
        <w:t xml:space="preserve"> </w:t>
      </w:r>
      <w:r w:rsidR="005A7C0A">
        <w:rPr>
          <w:color w:val="27629B"/>
        </w:rPr>
        <w:t>a</w:t>
      </w:r>
      <w:r w:rsidR="00B422E4">
        <w:rPr>
          <w:color w:val="27629B"/>
        </w:rPr>
        <w:t xml:space="preserve">pplication </w:t>
      </w:r>
      <w:r w:rsidR="005A7C0A">
        <w:rPr>
          <w:color w:val="27629B"/>
        </w:rPr>
        <w:t>c</w:t>
      </w:r>
      <w:r w:rsidR="00B422E4">
        <w:rPr>
          <w:color w:val="27629B"/>
        </w:rPr>
        <w:t>ontent</w:t>
      </w:r>
    </w:p>
    <w:p w14:paraId="0B443031" w14:textId="3AD9B71F" w:rsidR="000C0CBC" w:rsidRDefault="000C0CBC" w:rsidP="009A73B9">
      <w:pPr>
        <w:widowControl/>
        <w:pBdr>
          <w:bottom w:val="single" w:sz="4" w:space="1" w:color="5F5F5F"/>
        </w:pBdr>
        <w:autoSpaceDE/>
        <w:autoSpaceDN/>
        <w:spacing w:before="120"/>
        <w:ind w:left="119"/>
        <w:contextualSpacing/>
        <w:rPr>
          <w:rFonts w:eastAsia="Times New Roman"/>
          <w:color w:val="5F5F5F"/>
          <w:sz w:val="20"/>
          <w:szCs w:val="24"/>
          <w:lang w:val="en-AU"/>
        </w:rPr>
      </w:pPr>
      <w:r w:rsidRPr="000C0CBC">
        <w:rPr>
          <w:rFonts w:eastAsia="Times New Roman"/>
          <w:color w:val="5F5F5F"/>
          <w:sz w:val="20"/>
          <w:szCs w:val="24"/>
          <w:lang w:eastAsia="en-AU"/>
        </w:rPr>
        <w:t xml:space="preserve">All </w:t>
      </w:r>
      <w:r w:rsidR="00642819">
        <w:rPr>
          <w:rFonts w:eastAsia="Times New Roman"/>
          <w:color w:val="5F5F5F"/>
          <w:sz w:val="20"/>
          <w:szCs w:val="24"/>
          <w:lang w:eastAsia="en-AU"/>
        </w:rPr>
        <w:t>information</w:t>
      </w:r>
      <w:r w:rsidRPr="000C0CBC">
        <w:rPr>
          <w:rFonts w:eastAsia="Times New Roman"/>
          <w:color w:val="5F5F5F"/>
          <w:sz w:val="20"/>
          <w:szCs w:val="24"/>
          <w:lang w:eastAsia="en-AU"/>
        </w:rPr>
        <w:t xml:space="preserve"> </w:t>
      </w:r>
      <w:r w:rsidRPr="000C0CBC">
        <w:rPr>
          <w:rFonts w:eastAsia="Times New Roman"/>
          <w:color w:val="5F5F5F"/>
          <w:sz w:val="20"/>
          <w:szCs w:val="24"/>
          <w:lang w:val="en-AU"/>
        </w:rPr>
        <w:t xml:space="preserve">should be read in conjunction with the </w:t>
      </w:r>
      <w:hyperlink r:id="rId12" w:tooltip="Link to offshore petroleum and greenhouse gas act" w:history="1">
        <w:r w:rsidRPr="000C0CBC">
          <w:rPr>
            <w:rFonts w:eastAsia="Times New Roman"/>
            <w:i/>
            <w:color w:val="0563C1"/>
            <w:sz w:val="20"/>
            <w:szCs w:val="24"/>
            <w:u w:val="single"/>
            <w:lang w:val="en-AU"/>
          </w:rPr>
          <w:t>Offshore Petroleum and Greenhouse Gas Storage Act 2006</w:t>
        </w:r>
      </w:hyperlink>
      <w:r w:rsidRPr="000C0CBC">
        <w:rPr>
          <w:rFonts w:eastAsia="Times New Roman"/>
          <w:i/>
          <w:color w:val="5F5F5F"/>
          <w:sz w:val="20"/>
          <w:szCs w:val="24"/>
          <w:lang w:val="en-AU"/>
        </w:rPr>
        <w:t xml:space="preserve"> </w:t>
      </w:r>
      <w:r w:rsidRPr="000C0CBC">
        <w:rPr>
          <w:rFonts w:eastAsia="Times New Roman"/>
          <w:color w:val="5F5F5F"/>
          <w:sz w:val="20"/>
          <w:szCs w:val="24"/>
          <w:lang w:val="en-AU"/>
        </w:rPr>
        <w:t xml:space="preserve">(the </w:t>
      </w:r>
      <w:r w:rsidR="00C43A92">
        <w:rPr>
          <w:rFonts w:eastAsia="Times New Roman"/>
          <w:color w:val="5F5F5F"/>
          <w:sz w:val="20"/>
          <w:szCs w:val="24"/>
          <w:lang w:val="en-AU"/>
        </w:rPr>
        <w:t xml:space="preserve">OPGGS </w:t>
      </w:r>
      <w:r w:rsidRPr="000C0CBC">
        <w:rPr>
          <w:rFonts w:eastAsia="Times New Roman"/>
          <w:color w:val="5F5F5F"/>
          <w:sz w:val="20"/>
          <w:szCs w:val="24"/>
          <w:lang w:val="en-AU"/>
        </w:rPr>
        <w:t xml:space="preserve">Act), associated regulations and policies (available on </w:t>
      </w:r>
      <w:hyperlink r:id="rId13" w:tooltip="Link to NOPTA's website" w:history="1">
        <w:r w:rsidRPr="000C0CBC">
          <w:rPr>
            <w:rFonts w:eastAsia="Times New Roman"/>
            <w:color w:val="0563C1"/>
            <w:sz w:val="20"/>
            <w:szCs w:val="24"/>
            <w:u w:val="single"/>
            <w:lang w:val="en-AU"/>
          </w:rPr>
          <w:t>NOPTA’s website</w:t>
        </w:r>
      </w:hyperlink>
      <w:r w:rsidRPr="000C0CBC">
        <w:rPr>
          <w:rFonts w:eastAsia="Times New Roman"/>
          <w:color w:val="5F5F5F"/>
          <w:sz w:val="20"/>
          <w:szCs w:val="24"/>
          <w:lang w:val="en-AU"/>
        </w:rPr>
        <w:t>).</w:t>
      </w:r>
    </w:p>
    <w:p w14:paraId="270E85AE" w14:textId="77777777" w:rsidR="000C0CBC" w:rsidRDefault="000C0CBC" w:rsidP="000C0CBC">
      <w:pPr>
        <w:pStyle w:val="BodyText"/>
        <w:spacing w:before="0"/>
        <w:ind w:left="120" w:right="282"/>
        <w:rPr>
          <w:color w:val="5F5F5F"/>
        </w:rPr>
      </w:pPr>
    </w:p>
    <w:p w14:paraId="3A329A40" w14:textId="77777777" w:rsidR="000C0CBC" w:rsidRDefault="000C0CBC" w:rsidP="000C0CBC">
      <w:pPr>
        <w:pStyle w:val="BodyText"/>
        <w:spacing w:before="0"/>
        <w:ind w:left="120" w:right="282"/>
        <w:rPr>
          <w:color w:val="5F5F5F"/>
        </w:rPr>
        <w:sectPr w:rsidR="000C0CBC" w:rsidSect="000C0CBC">
          <w:headerReference w:type="default" r:id="rId14"/>
          <w:footerReference w:type="default" r:id="rId15"/>
          <w:type w:val="continuous"/>
          <w:pgSz w:w="11910" w:h="16840"/>
          <w:pgMar w:top="2460" w:right="620" w:bottom="680" w:left="600" w:header="3" w:footer="480" w:gutter="0"/>
          <w:cols w:space="720"/>
        </w:sectPr>
      </w:pPr>
    </w:p>
    <w:p w14:paraId="4E451AE9" w14:textId="52148661" w:rsidR="00AF6656" w:rsidRPr="009A73B9" w:rsidRDefault="00574126" w:rsidP="00B627AE">
      <w:pPr>
        <w:ind w:left="142"/>
        <w:rPr>
          <w:rFonts w:eastAsia="Times New Roman"/>
          <w:color w:val="5F5F5F"/>
          <w:sz w:val="20"/>
          <w:szCs w:val="20"/>
          <w:lang w:val="en-AU"/>
        </w:rPr>
      </w:pPr>
      <w:r>
        <w:rPr>
          <w:color w:val="5F5F5F"/>
          <w:sz w:val="20"/>
          <w:szCs w:val="20"/>
        </w:rPr>
        <w:t xml:space="preserve">This factsheet provides additional detailed </w:t>
      </w:r>
      <w:r w:rsidR="001731DB" w:rsidRPr="00C43A92">
        <w:rPr>
          <w:color w:val="5F5F5F"/>
          <w:sz w:val="20"/>
          <w:szCs w:val="20"/>
        </w:rPr>
        <w:t>information</w:t>
      </w:r>
      <w:r>
        <w:rPr>
          <w:color w:val="5F5F5F"/>
          <w:sz w:val="20"/>
          <w:szCs w:val="20"/>
        </w:rPr>
        <w:t xml:space="preserve"> related to </w:t>
      </w:r>
      <w:r w:rsidR="00F80BB1">
        <w:rPr>
          <w:color w:val="5F5F5F"/>
          <w:sz w:val="20"/>
          <w:szCs w:val="20"/>
        </w:rPr>
        <w:t>an application for grant or renewal of a retention lease.</w:t>
      </w:r>
      <w:r w:rsidR="001731DB" w:rsidRPr="00C43A92">
        <w:rPr>
          <w:color w:val="5F5F5F"/>
          <w:sz w:val="20"/>
          <w:szCs w:val="20"/>
        </w:rPr>
        <w:t xml:space="preserve"> </w:t>
      </w:r>
      <w:r>
        <w:rPr>
          <w:rFonts w:eastAsia="Times New Roman"/>
          <w:color w:val="5F5F5F"/>
          <w:sz w:val="20"/>
          <w:szCs w:val="24"/>
          <w:lang w:val="en-AU"/>
        </w:rPr>
        <w:t xml:space="preserve">This factsheet should be read in </w:t>
      </w:r>
      <w:r w:rsidRPr="009A73B9">
        <w:rPr>
          <w:rFonts w:eastAsia="Times New Roman"/>
          <w:color w:val="5F5F5F"/>
          <w:sz w:val="20"/>
          <w:szCs w:val="20"/>
          <w:lang w:val="en-AU"/>
        </w:rPr>
        <w:t>conjunction with the ‘</w:t>
      </w:r>
      <w:hyperlink r:id="rId16" w:tooltip="Link to Guideline on NOPTA's website" w:history="1">
        <w:r w:rsidR="00C876AB" w:rsidRPr="008672BC">
          <w:rPr>
            <w:i/>
            <w:color w:val="0563C1"/>
            <w:sz w:val="20"/>
            <w:szCs w:val="20"/>
            <w:u w:val="single"/>
            <w:lang w:val="en-AU"/>
          </w:rPr>
          <w:t xml:space="preserve">Guideline: </w:t>
        </w:r>
        <w:r w:rsidR="003041A0" w:rsidRPr="008672BC">
          <w:rPr>
            <w:i/>
            <w:color w:val="0563C1"/>
            <w:sz w:val="20"/>
            <w:szCs w:val="20"/>
            <w:u w:val="single"/>
            <w:lang w:val="en-AU"/>
          </w:rPr>
          <w:t>Retention l</w:t>
        </w:r>
        <w:r w:rsidRPr="008672BC">
          <w:rPr>
            <w:i/>
            <w:color w:val="0563C1"/>
            <w:sz w:val="20"/>
            <w:szCs w:val="20"/>
            <w:u w:val="single"/>
            <w:lang w:val="en-AU"/>
          </w:rPr>
          <w:t>eases</w:t>
        </w:r>
      </w:hyperlink>
      <w:r w:rsidRPr="009A73B9">
        <w:rPr>
          <w:rFonts w:eastAsia="Times New Roman"/>
          <w:color w:val="5F5F5F"/>
          <w:sz w:val="20"/>
          <w:szCs w:val="20"/>
          <w:lang w:val="en-AU"/>
        </w:rPr>
        <w:t>’.</w:t>
      </w:r>
    </w:p>
    <w:p w14:paraId="07EC7E2C" w14:textId="00803994" w:rsidR="006343F9" w:rsidRPr="009A73B9" w:rsidRDefault="006343F9" w:rsidP="009A73B9">
      <w:pPr>
        <w:spacing w:before="119"/>
        <w:ind w:left="119" w:right="164"/>
        <w:rPr>
          <w:i/>
          <w:color w:val="5F5F5F"/>
          <w:sz w:val="20"/>
          <w:szCs w:val="20"/>
        </w:rPr>
      </w:pPr>
      <w:r w:rsidRPr="009A73B9">
        <w:rPr>
          <w:b/>
          <w:i/>
          <w:color w:val="5F5F5F"/>
          <w:sz w:val="20"/>
          <w:szCs w:val="20"/>
        </w:rPr>
        <w:t xml:space="preserve">Please note: </w:t>
      </w:r>
      <w:r w:rsidRPr="009A73B9">
        <w:rPr>
          <w:i/>
          <w:color w:val="5F5F5F"/>
          <w:sz w:val="20"/>
          <w:szCs w:val="20"/>
        </w:rPr>
        <w:t xml:space="preserve">this </w:t>
      </w:r>
      <w:r w:rsidR="009A73B9">
        <w:rPr>
          <w:i/>
          <w:color w:val="5F5F5F"/>
          <w:sz w:val="20"/>
          <w:szCs w:val="20"/>
        </w:rPr>
        <w:t>factsheet</w:t>
      </w:r>
      <w:r w:rsidRPr="009A73B9">
        <w:rPr>
          <w:i/>
          <w:color w:val="5F5F5F"/>
          <w:sz w:val="20"/>
          <w:szCs w:val="20"/>
        </w:rPr>
        <w:t xml:space="preserve"> is intended as a guide only and should not be relied on as legal advice or regarded as a substitute for legal advice in individual cases.</w:t>
      </w:r>
    </w:p>
    <w:p w14:paraId="60584DC9" w14:textId="25D5BA3A" w:rsidR="00D05A14" w:rsidRPr="006343F9" w:rsidRDefault="00D00CE4" w:rsidP="009A73B9">
      <w:pPr>
        <w:pStyle w:val="Heading2"/>
        <w:ind w:left="119"/>
        <w:rPr>
          <w:color w:val="27629B"/>
          <w:sz w:val="20"/>
          <w:szCs w:val="20"/>
        </w:rPr>
      </w:pPr>
      <w:r w:rsidRPr="006343F9">
        <w:rPr>
          <w:color w:val="27629B"/>
        </w:rPr>
        <w:t>Overview</w:t>
      </w:r>
    </w:p>
    <w:p w14:paraId="41C22CF9" w14:textId="77777777" w:rsidR="00666229" w:rsidRDefault="00D05A14" w:rsidP="00D00CE4">
      <w:pPr>
        <w:widowControl/>
        <w:tabs>
          <w:tab w:val="left" w:pos="567"/>
        </w:tabs>
        <w:autoSpaceDE/>
        <w:autoSpaceDN/>
        <w:spacing w:after="120"/>
        <w:ind w:left="142"/>
        <w:rPr>
          <w:color w:val="5F5F5F"/>
          <w:sz w:val="20"/>
          <w:szCs w:val="20"/>
        </w:rPr>
      </w:pPr>
      <w:bookmarkStart w:id="1" w:name="_Hlk81228990"/>
      <w:r w:rsidRPr="00D00CE4">
        <w:rPr>
          <w:color w:val="5F5F5F"/>
          <w:sz w:val="20"/>
          <w:szCs w:val="20"/>
        </w:rPr>
        <w:t>The application should provide a clear, detailed discussion of the barriers that are impedi</w:t>
      </w:r>
      <w:r w:rsidR="00CA3D28">
        <w:rPr>
          <w:color w:val="5F5F5F"/>
          <w:sz w:val="20"/>
          <w:szCs w:val="20"/>
        </w:rPr>
        <w:t xml:space="preserve">ng </w:t>
      </w:r>
      <w:r w:rsidRPr="00D00CE4">
        <w:rPr>
          <w:color w:val="5F5F5F"/>
          <w:sz w:val="20"/>
          <w:szCs w:val="20"/>
        </w:rPr>
        <w:t xml:space="preserve">the </w:t>
      </w:r>
      <w:r w:rsidR="000125BB">
        <w:rPr>
          <w:color w:val="5F5F5F"/>
          <w:sz w:val="20"/>
          <w:szCs w:val="20"/>
        </w:rPr>
        <w:t xml:space="preserve">commercial </w:t>
      </w:r>
      <w:r w:rsidRPr="00D00CE4">
        <w:rPr>
          <w:color w:val="5F5F5F"/>
          <w:sz w:val="20"/>
          <w:szCs w:val="20"/>
        </w:rPr>
        <w:t>recovery of petroleum from the block(s)</w:t>
      </w:r>
      <w:r w:rsidR="00666229">
        <w:rPr>
          <w:color w:val="5F5F5F"/>
          <w:sz w:val="20"/>
          <w:szCs w:val="20"/>
        </w:rPr>
        <w:t>.</w:t>
      </w:r>
    </w:p>
    <w:p w14:paraId="3151DE9C" w14:textId="39B34F97" w:rsidR="00D05A14" w:rsidRPr="00D00CE4" w:rsidRDefault="00666229" w:rsidP="00D00CE4">
      <w:pPr>
        <w:widowControl/>
        <w:tabs>
          <w:tab w:val="left" w:pos="567"/>
        </w:tabs>
        <w:autoSpaceDE/>
        <w:autoSpaceDN/>
        <w:spacing w:after="120"/>
        <w:ind w:left="142"/>
        <w:rPr>
          <w:color w:val="5F5F5F"/>
          <w:sz w:val="20"/>
          <w:szCs w:val="20"/>
        </w:rPr>
      </w:pPr>
      <w:r>
        <w:rPr>
          <w:color w:val="5F5F5F"/>
          <w:sz w:val="20"/>
          <w:szCs w:val="20"/>
        </w:rPr>
        <w:t xml:space="preserve">How these barriers are being actively addressed, with a clear link to the </w:t>
      </w:r>
      <w:r w:rsidR="00EA272C" w:rsidRPr="00D00CE4">
        <w:rPr>
          <w:color w:val="5F5F5F"/>
          <w:sz w:val="20"/>
          <w:szCs w:val="20"/>
        </w:rPr>
        <w:t>activities in the proposed work program</w:t>
      </w:r>
      <w:r>
        <w:rPr>
          <w:color w:val="5F5F5F"/>
          <w:sz w:val="20"/>
          <w:szCs w:val="20"/>
        </w:rPr>
        <w:t>,</w:t>
      </w:r>
      <w:r w:rsidR="000125BB">
        <w:rPr>
          <w:color w:val="5F5F5F"/>
          <w:sz w:val="20"/>
          <w:szCs w:val="20"/>
        </w:rPr>
        <w:t xml:space="preserve"> should </w:t>
      </w:r>
      <w:r>
        <w:rPr>
          <w:color w:val="5F5F5F"/>
          <w:sz w:val="20"/>
          <w:szCs w:val="20"/>
        </w:rPr>
        <w:t>also be identified</w:t>
      </w:r>
      <w:r w:rsidR="00EA272C" w:rsidRPr="00D00CE4">
        <w:rPr>
          <w:color w:val="5F5F5F"/>
          <w:sz w:val="20"/>
          <w:szCs w:val="20"/>
        </w:rPr>
        <w:t>.</w:t>
      </w:r>
    </w:p>
    <w:bookmarkEnd w:id="1"/>
    <w:p w14:paraId="2CD5D4E6" w14:textId="6F714EF5" w:rsidR="00D05A14" w:rsidRPr="00D00CE4" w:rsidRDefault="00D05A14" w:rsidP="00D00CE4">
      <w:pPr>
        <w:widowControl/>
        <w:tabs>
          <w:tab w:val="left" w:pos="567"/>
        </w:tabs>
        <w:autoSpaceDE/>
        <w:autoSpaceDN/>
        <w:spacing w:after="120"/>
        <w:ind w:left="142"/>
        <w:rPr>
          <w:color w:val="5F5F5F"/>
          <w:sz w:val="20"/>
          <w:szCs w:val="20"/>
        </w:rPr>
      </w:pPr>
      <w:r w:rsidRPr="00D00CE4">
        <w:rPr>
          <w:color w:val="5F5F5F"/>
          <w:sz w:val="20"/>
          <w:szCs w:val="20"/>
        </w:rPr>
        <w:t xml:space="preserve">An application should </w:t>
      </w:r>
      <w:r w:rsidR="000125BB">
        <w:rPr>
          <w:color w:val="5F5F5F"/>
          <w:sz w:val="20"/>
          <w:szCs w:val="20"/>
        </w:rPr>
        <w:t xml:space="preserve">discuss in detail </w:t>
      </w:r>
      <w:r w:rsidRPr="00D00CE4">
        <w:rPr>
          <w:color w:val="5F5F5F"/>
          <w:sz w:val="20"/>
          <w:szCs w:val="20"/>
        </w:rPr>
        <w:t xml:space="preserve">the </w:t>
      </w:r>
      <w:r w:rsidR="00E760AC">
        <w:rPr>
          <w:color w:val="5F5F5F"/>
          <w:sz w:val="20"/>
          <w:szCs w:val="20"/>
        </w:rPr>
        <w:t xml:space="preserve">primary constraints </w:t>
      </w:r>
      <w:r w:rsidRPr="00D00CE4">
        <w:rPr>
          <w:color w:val="5F5F5F"/>
          <w:sz w:val="20"/>
          <w:szCs w:val="20"/>
        </w:rPr>
        <w:t>which would make the relevant discovery commercially viable and address their likelihood of occurrence</w:t>
      </w:r>
      <w:r w:rsidR="00E855D0">
        <w:rPr>
          <w:color w:val="5F5F5F"/>
          <w:sz w:val="20"/>
          <w:szCs w:val="20"/>
        </w:rPr>
        <w:t>, including:</w:t>
      </w:r>
    </w:p>
    <w:p w14:paraId="7CAD98DC" w14:textId="7E78C4D2" w:rsidR="00D05A14" w:rsidRPr="00D00CE4" w:rsidRDefault="00666229" w:rsidP="00D00CE4">
      <w:pPr>
        <w:pStyle w:val="ListParagraph"/>
        <w:widowControl/>
        <w:numPr>
          <w:ilvl w:val="0"/>
          <w:numId w:val="30"/>
        </w:numPr>
        <w:tabs>
          <w:tab w:val="left" w:pos="567"/>
        </w:tabs>
        <w:autoSpaceDE/>
        <w:autoSpaceDN/>
        <w:spacing w:after="120"/>
        <w:ind w:left="567"/>
        <w:rPr>
          <w:color w:val="5F5F5F"/>
          <w:sz w:val="20"/>
          <w:szCs w:val="20"/>
        </w:rPr>
      </w:pPr>
      <w:r>
        <w:rPr>
          <w:color w:val="5F5F5F"/>
          <w:sz w:val="20"/>
          <w:szCs w:val="20"/>
        </w:rPr>
        <w:t>details</w:t>
      </w:r>
      <w:r w:rsidRPr="00D00CE4">
        <w:rPr>
          <w:color w:val="5F5F5F"/>
          <w:sz w:val="20"/>
          <w:szCs w:val="20"/>
        </w:rPr>
        <w:t xml:space="preserve"> </w:t>
      </w:r>
      <w:r w:rsidR="00D05A14" w:rsidRPr="00D00CE4">
        <w:rPr>
          <w:color w:val="5F5F5F"/>
          <w:sz w:val="20"/>
          <w:szCs w:val="20"/>
        </w:rPr>
        <w:t>of changes which are likely to make development of the discovery commercially viable within 15 years</w:t>
      </w:r>
      <w:r w:rsidR="00F364A4">
        <w:rPr>
          <w:color w:val="5F5F5F"/>
          <w:sz w:val="20"/>
          <w:szCs w:val="20"/>
        </w:rPr>
        <w:t xml:space="preserve"> </w:t>
      </w:r>
      <w:r w:rsidR="00F364A4" w:rsidRPr="00D00CE4">
        <w:rPr>
          <w:color w:val="5F5F5F"/>
          <w:sz w:val="20"/>
          <w:szCs w:val="20"/>
        </w:rPr>
        <w:t xml:space="preserve">(e.g. technical appraisals, market conditions or </w:t>
      </w:r>
      <w:r w:rsidR="00F364A4">
        <w:rPr>
          <w:color w:val="5F5F5F"/>
          <w:sz w:val="20"/>
          <w:szCs w:val="20"/>
        </w:rPr>
        <w:t>access to third party infrastructure</w:t>
      </w:r>
      <w:r w:rsidR="00F364A4" w:rsidRPr="00D00CE4">
        <w:rPr>
          <w:color w:val="5F5F5F"/>
          <w:sz w:val="20"/>
          <w:szCs w:val="20"/>
        </w:rPr>
        <w:t>)</w:t>
      </w:r>
      <w:r w:rsidR="000125BB">
        <w:rPr>
          <w:color w:val="5F5F5F"/>
          <w:sz w:val="20"/>
          <w:szCs w:val="20"/>
        </w:rPr>
        <w:t>, and indicative timeframes</w:t>
      </w:r>
      <w:r w:rsidR="00C876AB">
        <w:rPr>
          <w:color w:val="5F5F5F"/>
          <w:sz w:val="20"/>
          <w:szCs w:val="20"/>
        </w:rPr>
        <w:t>;</w:t>
      </w:r>
    </w:p>
    <w:p w14:paraId="2E616C67" w14:textId="318B60FE" w:rsidR="00B422E4" w:rsidRPr="00D00CE4" w:rsidRDefault="00B422E4" w:rsidP="00C876AB">
      <w:pPr>
        <w:pStyle w:val="ListParagraph"/>
        <w:widowControl/>
        <w:numPr>
          <w:ilvl w:val="1"/>
          <w:numId w:val="30"/>
        </w:numPr>
        <w:tabs>
          <w:tab w:val="left" w:pos="567"/>
        </w:tabs>
        <w:autoSpaceDE/>
        <w:autoSpaceDN/>
        <w:spacing w:after="120"/>
        <w:ind w:left="851" w:firstLine="0"/>
        <w:rPr>
          <w:color w:val="5F5F5F"/>
          <w:sz w:val="20"/>
          <w:szCs w:val="20"/>
        </w:rPr>
      </w:pPr>
      <w:r>
        <w:rPr>
          <w:color w:val="5F5F5F"/>
          <w:sz w:val="20"/>
          <w:szCs w:val="20"/>
        </w:rPr>
        <w:t>information</w:t>
      </w:r>
      <w:r w:rsidRPr="00D00CE4">
        <w:rPr>
          <w:color w:val="5F5F5F"/>
          <w:sz w:val="20"/>
          <w:szCs w:val="20"/>
        </w:rPr>
        <w:t xml:space="preserve"> that such changes would be sufficient to make the project viable</w:t>
      </w:r>
      <w:r w:rsidR="00C876AB">
        <w:rPr>
          <w:color w:val="5F5F5F"/>
          <w:sz w:val="20"/>
          <w:szCs w:val="20"/>
        </w:rPr>
        <w:t>;</w:t>
      </w:r>
    </w:p>
    <w:p w14:paraId="3C9D6DAD" w14:textId="448E966E" w:rsidR="00D05A14" w:rsidRPr="00D00CE4" w:rsidRDefault="000125BB" w:rsidP="00D00CE4">
      <w:pPr>
        <w:pStyle w:val="ListParagraph"/>
        <w:widowControl/>
        <w:numPr>
          <w:ilvl w:val="0"/>
          <w:numId w:val="30"/>
        </w:numPr>
        <w:tabs>
          <w:tab w:val="left" w:pos="567"/>
        </w:tabs>
        <w:autoSpaceDE/>
        <w:autoSpaceDN/>
        <w:spacing w:after="120"/>
        <w:ind w:left="567"/>
        <w:rPr>
          <w:color w:val="5F5F5F"/>
          <w:sz w:val="20"/>
          <w:szCs w:val="20"/>
        </w:rPr>
      </w:pPr>
      <w:r>
        <w:rPr>
          <w:color w:val="5F5F5F"/>
          <w:sz w:val="20"/>
          <w:szCs w:val="20"/>
        </w:rPr>
        <w:t xml:space="preserve">the </w:t>
      </w:r>
      <w:r w:rsidR="00EE365D">
        <w:rPr>
          <w:color w:val="5F5F5F"/>
          <w:sz w:val="20"/>
          <w:szCs w:val="20"/>
        </w:rPr>
        <w:t xml:space="preserve">internally accepted </w:t>
      </w:r>
      <w:r w:rsidR="00D05A14" w:rsidRPr="00D00CE4">
        <w:rPr>
          <w:color w:val="5F5F5F"/>
          <w:sz w:val="20"/>
          <w:szCs w:val="20"/>
        </w:rPr>
        <w:t xml:space="preserve">economic criteria </w:t>
      </w:r>
      <w:r>
        <w:rPr>
          <w:color w:val="5F5F5F"/>
          <w:sz w:val="20"/>
          <w:szCs w:val="20"/>
        </w:rPr>
        <w:t xml:space="preserve">used by the applicant to </w:t>
      </w:r>
      <w:r w:rsidR="00736FEB" w:rsidRPr="00D00CE4">
        <w:rPr>
          <w:color w:val="5F5F5F"/>
          <w:sz w:val="20"/>
          <w:szCs w:val="20"/>
        </w:rPr>
        <w:t>asses</w:t>
      </w:r>
      <w:r w:rsidR="00736FEB">
        <w:rPr>
          <w:color w:val="5F5F5F"/>
          <w:sz w:val="20"/>
          <w:szCs w:val="20"/>
        </w:rPr>
        <w:t>s</w:t>
      </w:r>
      <w:r w:rsidR="00D05A14" w:rsidRPr="00D00CE4">
        <w:rPr>
          <w:color w:val="5F5F5F"/>
          <w:sz w:val="20"/>
          <w:szCs w:val="20"/>
        </w:rPr>
        <w:t xml:space="preserve"> commercial viability</w:t>
      </w:r>
      <w:r w:rsidR="00EE365D">
        <w:rPr>
          <w:color w:val="5F5F5F"/>
          <w:sz w:val="20"/>
          <w:szCs w:val="20"/>
        </w:rPr>
        <w:t xml:space="preserve"> if this is different to the Joint Authorities’ economic criteria</w:t>
      </w:r>
      <w:r w:rsidR="00B422E4">
        <w:rPr>
          <w:color w:val="5F5F5F"/>
          <w:sz w:val="20"/>
          <w:szCs w:val="20"/>
        </w:rPr>
        <w:t xml:space="preserve"> (see </w:t>
      </w:r>
      <w:hyperlink r:id="rId17" w:tooltip="Link to Guideline on NOPTA's website" w:history="1">
        <w:r w:rsidR="008672BC" w:rsidRPr="008672BC">
          <w:rPr>
            <w:i/>
            <w:color w:val="0563C1"/>
            <w:sz w:val="20"/>
            <w:szCs w:val="20"/>
            <w:u w:val="single"/>
            <w:lang w:val="en-AU"/>
          </w:rPr>
          <w:t>Guideline: Retention leases</w:t>
        </w:r>
      </w:hyperlink>
      <w:r w:rsidR="00B422E4">
        <w:rPr>
          <w:color w:val="5F5F5F"/>
          <w:sz w:val="20"/>
          <w:szCs w:val="20"/>
        </w:rPr>
        <w:t>)</w:t>
      </w:r>
      <w:r w:rsidR="00EE365D">
        <w:rPr>
          <w:color w:val="5F5F5F"/>
          <w:sz w:val="20"/>
          <w:szCs w:val="20"/>
        </w:rPr>
        <w:t>;</w:t>
      </w:r>
    </w:p>
    <w:p w14:paraId="7E8566BA" w14:textId="1A922263" w:rsidR="00D05A14" w:rsidRPr="00D00CE4" w:rsidRDefault="00666229" w:rsidP="00D00CE4">
      <w:pPr>
        <w:pStyle w:val="ListParagraph"/>
        <w:widowControl/>
        <w:numPr>
          <w:ilvl w:val="0"/>
          <w:numId w:val="30"/>
        </w:numPr>
        <w:tabs>
          <w:tab w:val="left" w:pos="567"/>
        </w:tabs>
        <w:autoSpaceDE/>
        <w:autoSpaceDN/>
        <w:spacing w:after="120"/>
        <w:ind w:left="567"/>
        <w:rPr>
          <w:color w:val="5F5F5F"/>
          <w:sz w:val="20"/>
          <w:szCs w:val="20"/>
        </w:rPr>
      </w:pPr>
      <w:r>
        <w:rPr>
          <w:color w:val="5F5F5F"/>
          <w:sz w:val="20"/>
          <w:szCs w:val="20"/>
        </w:rPr>
        <w:t xml:space="preserve">any other </w:t>
      </w:r>
      <w:r w:rsidR="00D05A14" w:rsidRPr="00D00CE4">
        <w:rPr>
          <w:color w:val="5F5F5F"/>
          <w:sz w:val="20"/>
          <w:szCs w:val="20"/>
        </w:rPr>
        <w:t xml:space="preserve">information the applicant wishes to be </w:t>
      </w:r>
      <w:r>
        <w:rPr>
          <w:color w:val="5F5F5F"/>
          <w:sz w:val="20"/>
          <w:szCs w:val="20"/>
        </w:rPr>
        <w:t xml:space="preserve">considered </w:t>
      </w:r>
      <w:r w:rsidR="00D05A14" w:rsidRPr="00D00CE4">
        <w:rPr>
          <w:color w:val="5F5F5F"/>
          <w:sz w:val="20"/>
          <w:szCs w:val="20"/>
        </w:rPr>
        <w:t>in the application</w:t>
      </w:r>
      <w:r w:rsidR="00736AFC">
        <w:rPr>
          <w:color w:val="5F5F5F"/>
          <w:sz w:val="20"/>
          <w:szCs w:val="20"/>
        </w:rPr>
        <w:t>.</w:t>
      </w:r>
      <w:r w:rsidR="00D05A14" w:rsidRPr="00D00CE4">
        <w:rPr>
          <w:color w:val="5F5F5F"/>
          <w:sz w:val="20"/>
          <w:szCs w:val="20"/>
        </w:rPr>
        <w:t xml:space="preserve"> </w:t>
      </w:r>
    </w:p>
    <w:p w14:paraId="3035DEEA" w14:textId="2857C473" w:rsidR="002D0C3D" w:rsidRPr="00D00CE4" w:rsidRDefault="002D0C3D" w:rsidP="00EA71F3">
      <w:pPr>
        <w:widowControl/>
        <w:tabs>
          <w:tab w:val="left" w:pos="567"/>
        </w:tabs>
        <w:autoSpaceDE/>
        <w:autoSpaceDN/>
        <w:spacing w:after="120"/>
        <w:ind w:left="142"/>
        <w:rPr>
          <w:color w:val="5F5F5F"/>
          <w:sz w:val="20"/>
          <w:szCs w:val="20"/>
        </w:rPr>
      </w:pPr>
      <w:r w:rsidRPr="00D00CE4">
        <w:rPr>
          <w:color w:val="5F5F5F"/>
          <w:sz w:val="20"/>
          <w:szCs w:val="20"/>
        </w:rPr>
        <w:t>Factors and assumptions which particularly impact on commercial viability (sensitivities) should be clearly identified and discussed. For example, a large possible range of development costs due to technical challenges, or dependence on access to third party infrastructure.</w:t>
      </w:r>
    </w:p>
    <w:p w14:paraId="559F0D19" w14:textId="3800C5D9" w:rsidR="00D05A14" w:rsidRPr="00D00CE4" w:rsidRDefault="00D05A14" w:rsidP="00D00CE4">
      <w:pPr>
        <w:widowControl/>
        <w:tabs>
          <w:tab w:val="left" w:pos="567"/>
        </w:tabs>
        <w:autoSpaceDE/>
        <w:autoSpaceDN/>
        <w:spacing w:after="120"/>
        <w:ind w:left="142"/>
        <w:rPr>
          <w:color w:val="5F5F5F"/>
          <w:sz w:val="20"/>
          <w:szCs w:val="20"/>
        </w:rPr>
      </w:pPr>
      <w:r w:rsidRPr="00D00CE4">
        <w:rPr>
          <w:color w:val="5F5F5F"/>
          <w:sz w:val="20"/>
          <w:szCs w:val="20"/>
        </w:rPr>
        <w:t>Where for reasons of commercial propriety it is not possible for a consortium (e.g. a Joint Venture) to provide commonly agreed</w:t>
      </w:r>
      <w:r w:rsidR="000125BB">
        <w:rPr>
          <w:color w:val="5F5F5F"/>
          <w:sz w:val="20"/>
          <w:szCs w:val="20"/>
        </w:rPr>
        <w:t xml:space="preserve"> information, for example</w:t>
      </w:r>
      <w:r w:rsidRPr="00D00CE4">
        <w:rPr>
          <w:color w:val="5F5F5F"/>
          <w:sz w:val="20"/>
          <w:szCs w:val="20"/>
        </w:rPr>
        <w:t xml:space="preserve"> estimates of project revenues and rate or return, separate data </w:t>
      </w:r>
      <w:r w:rsidR="00F17054">
        <w:rPr>
          <w:color w:val="5F5F5F"/>
          <w:sz w:val="20"/>
          <w:szCs w:val="20"/>
        </w:rPr>
        <w:t>should</w:t>
      </w:r>
      <w:r w:rsidRPr="00D00CE4">
        <w:rPr>
          <w:color w:val="5F5F5F"/>
          <w:sz w:val="20"/>
          <w:szCs w:val="20"/>
        </w:rPr>
        <w:t xml:space="preserve"> be provided by individual members of a joint venture, on an in</w:t>
      </w:r>
      <w:r w:rsidR="00F17054">
        <w:rPr>
          <w:color w:val="5F5F5F"/>
          <w:sz w:val="20"/>
          <w:szCs w:val="20"/>
        </w:rPr>
        <w:t>-</w:t>
      </w:r>
      <w:r w:rsidRPr="00D00CE4">
        <w:rPr>
          <w:color w:val="5F5F5F"/>
          <w:sz w:val="20"/>
          <w:szCs w:val="20"/>
        </w:rPr>
        <w:t>confidence basis.</w:t>
      </w:r>
    </w:p>
    <w:p w14:paraId="53217E16" w14:textId="1B8F0CD0" w:rsidR="00080BEF" w:rsidRDefault="00080BEF" w:rsidP="00DA1B78">
      <w:pPr>
        <w:pStyle w:val="List2"/>
        <w:keepNext/>
        <w:keepLines/>
        <w:spacing w:after="120" w:line="240" w:lineRule="auto"/>
        <w:ind w:left="142" w:firstLine="0"/>
        <w:contextualSpacing w:val="0"/>
        <w:rPr>
          <w:rFonts w:ascii="Calibri" w:eastAsia="Calibri" w:hAnsi="Calibri" w:cs="Calibri"/>
          <w:color w:val="5F5F5F"/>
          <w:sz w:val="20"/>
          <w:szCs w:val="20"/>
          <w:lang w:val="en-US"/>
        </w:rPr>
      </w:pPr>
      <w:r w:rsidRPr="00D00CE4">
        <w:rPr>
          <w:rFonts w:ascii="Calibri" w:eastAsia="Calibri" w:hAnsi="Calibri" w:cs="Calibri"/>
          <w:color w:val="5F5F5F"/>
          <w:sz w:val="20"/>
          <w:szCs w:val="20"/>
          <w:lang w:val="en-US"/>
        </w:rPr>
        <w:t>Where the estimated</w:t>
      </w:r>
      <w:r w:rsidR="00B422E4">
        <w:rPr>
          <w:rFonts w:ascii="Calibri" w:eastAsia="Calibri" w:hAnsi="Calibri" w:cs="Calibri"/>
          <w:color w:val="5F5F5F"/>
          <w:sz w:val="20"/>
          <w:szCs w:val="20"/>
          <w:lang w:val="en-US"/>
        </w:rPr>
        <w:t xml:space="preserve"> internal rate of return</w:t>
      </w:r>
      <w:r w:rsidRPr="00D00CE4">
        <w:rPr>
          <w:rFonts w:ascii="Calibri" w:eastAsia="Calibri" w:hAnsi="Calibri" w:cs="Calibri"/>
          <w:color w:val="5F5F5F"/>
          <w:sz w:val="20"/>
          <w:szCs w:val="20"/>
          <w:lang w:val="en-US"/>
        </w:rPr>
        <w:t xml:space="preserve"> </w:t>
      </w:r>
      <w:r w:rsidR="00B422E4">
        <w:rPr>
          <w:rFonts w:ascii="Calibri" w:eastAsia="Calibri" w:hAnsi="Calibri" w:cs="Calibri"/>
          <w:color w:val="5F5F5F"/>
          <w:sz w:val="20"/>
          <w:szCs w:val="20"/>
          <w:lang w:val="en-US"/>
        </w:rPr>
        <w:t>(</w:t>
      </w:r>
      <w:r w:rsidRPr="00D00CE4">
        <w:rPr>
          <w:rFonts w:ascii="Calibri" w:eastAsia="Calibri" w:hAnsi="Calibri" w:cs="Calibri"/>
          <w:color w:val="5F5F5F"/>
          <w:sz w:val="20"/>
          <w:szCs w:val="20"/>
          <w:lang w:val="en-US"/>
        </w:rPr>
        <w:t>IRR</w:t>
      </w:r>
      <w:r w:rsidR="00B422E4">
        <w:rPr>
          <w:rFonts w:ascii="Calibri" w:eastAsia="Calibri" w:hAnsi="Calibri" w:cs="Calibri"/>
          <w:color w:val="5F5F5F"/>
          <w:sz w:val="20"/>
          <w:szCs w:val="20"/>
          <w:lang w:val="en-US"/>
        </w:rPr>
        <w:t>)</w:t>
      </w:r>
      <w:r w:rsidRPr="00D00CE4">
        <w:rPr>
          <w:rFonts w:ascii="Calibri" w:eastAsia="Calibri" w:hAnsi="Calibri" w:cs="Calibri"/>
          <w:color w:val="5F5F5F"/>
          <w:sz w:val="20"/>
          <w:szCs w:val="20"/>
          <w:lang w:val="en-US"/>
        </w:rPr>
        <w:t xml:space="preserve"> is sufficient for the project to proceed under current market conditions and the applicant still does not believe the project is commercially viable, the applicant should provide evidence that there are other factors preventing commercial development of the resource (e.g. market issues or technical risks).</w:t>
      </w:r>
    </w:p>
    <w:p w14:paraId="121B91FE" w14:textId="533F052D" w:rsidR="004E42DC" w:rsidRDefault="00AF6656" w:rsidP="004E42DC">
      <w:pPr>
        <w:widowControl/>
        <w:tabs>
          <w:tab w:val="left" w:pos="567"/>
        </w:tabs>
        <w:autoSpaceDE/>
        <w:autoSpaceDN/>
        <w:spacing w:after="120"/>
        <w:ind w:left="142"/>
        <w:rPr>
          <w:color w:val="5F5F5F"/>
          <w:sz w:val="20"/>
          <w:szCs w:val="20"/>
        </w:rPr>
      </w:pPr>
      <w:r>
        <w:rPr>
          <w:color w:val="5F5F5F"/>
          <w:sz w:val="20"/>
          <w:szCs w:val="20"/>
        </w:rPr>
        <w:t>I</w:t>
      </w:r>
      <w:r w:rsidR="002948C1" w:rsidRPr="00D00CE4">
        <w:rPr>
          <w:color w:val="5F5F5F"/>
          <w:sz w:val="20"/>
          <w:szCs w:val="20"/>
        </w:rPr>
        <w:t xml:space="preserve">nformation, such as the domestic gas price, contract availability, access to markets, existing infrastructure and geotechnical considerations, may be tested by NOPTA using information supplied in the application, sought from the applicant as part of a request for further information, or sourced independently in </w:t>
      </w:r>
      <w:r w:rsidR="00470EC8">
        <w:rPr>
          <w:color w:val="5F5F5F"/>
          <w:sz w:val="20"/>
          <w:szCs w:val="20"/>
        </w:rPr>
        <w:t>a</w:t>
      </w:r>
      <w:r w:rsidR="00EC7E55">
        <w:rPr>
          <w:color w:val="5F5F5F"/>
          <w:sz w:val="20"/>
          <w:szCs w:val="20"/>
        </w:rPr>
        <w:t xml:space="preserve">ssessing </w:t>
      </w:r>
      <w:r w:rsidR="002948C1" w:rsidRPr="00D00CE4">
        <w:rPr>
          <w:color w:val="5F5F5F"/>
          <w:sz w:val="20"/>
          <w:szCs w:val="20"/>
        </w:rPr>
        <w:t>commerciality.</w:t>
      </w:r>
    </w:p>
    <w:p w14:paraId="6379CFB0" w14:textId="4E8AC1D8" w:rsidR="00080BEF" w:rsidRDefault="00F53523" w:rsidP="004E42DC">
      <w:pPr>
        <w:widowControl/>
        <w:tabs>
          <w:tab w:val="left" w:pos="567"/>
        </w:tabs>
        <w:autoSpaceDE/>
        <w:autoSpaceDN/>
        <w:spacing w:after="120"/>
        <w:ind w:left="142"/>
        <w:rPr>
          <w:color w:val="5F5F5F"/>
          <w:sz w:val="20"/>
          <w:szCs w:val="20"/>
        </w:rPr>
      </w:pPr>
      <w:r>
        <w:rPr>
          <w:color w:val="5F5F5F"/>
          <w:sz w:val="20"/>
          <w:szCs w:val="20"/>
        </w:rPr>
        <w:t xml:space="preserve">For renewals only, applicants </w:t>
      </w:r>
      <w:r w:rsidRPr="00F53523">
        <w:rPr>
          <w:color w:val="5F5F5F"/>
          <w:sz w:val="20"/>
          <w:szCs w:val="20"/>
        </w:rPr>
        <w:t xml:space="preserve">should include an overview of compliance with the title conditions, chapters 2, 4, 6, </w:t>
      </w:r>
      <w:r w:rsidR="00115195">
        <w:rPr>
          <w:color w:val="5F5F5F"/>
          <w:sz w:val="20"/>
          <w:szCs w:val="20"/>
        </w:rPr>
        <w:t xml:space="preserve">and </w:t>
      </w:r>
      <w:r w:rsidRPr="00F53523">
        <w:rPr>
          <w:color w:val="5F5F5F"/>
          <w:sz w:val="20"/>
          <w:szCs w:val="20"/>
        </w:rPr>
        <w:t>Part 7.1 of the OPGGS</w:t>
      </w:r>
      <w:r w:rsidR="006343F9">
        <w:rPr>
          <w:color w:val="5F5F5F"/>
          <w:sz w:val="20"/>
          <w:szCs w:val="20"/>
        </w:rPr>
        <w:t xml:space="preserve"> </w:t>
      </w:r>
      <w:r w:rsidRPr="00F53523">
        <w:rPr>
          <w:color w:val="5F5F5F"/>
          <w:sz w:val="20"/>
          <w:szCs w:val="20"/>
        </w:rPr>
        <w:t>A</w:t>
      </w:r>
      <w:r w:rsidR="006343F9">
        <w:rPr>
          <w:color w:val="5F5F5F"/>
          <w:sz w:val="20"/>
          <w:szCs w:val="20"/>
        </w:rPr>
        <w:t>ct</w:t>
      </w:r>
      <w:r w:rsidRPr="00F53523">
        <w:rPr>
          <w:color w:val="5F5F5F"/>
          <w:sz w:val="20"/>
          <w:szCs w:val="20"/>
        </w:rPr>
        <w:t xml:space="preserve"> and the associated regulations. If applicable, provide details of non-compliance (s</w:t>
      </w:r>
      <w:r w:rsidR="00CB558D">
        <w:rPr>
          <w:color w:val="5F5F5F"/>
          <w:sz w:val="20"/>
          <w:szCs w:val="20"/>
        </w:rPr>
        <w:t xml:space="preserve"> </w:t>
      </w:r>
      <w:r w:rsidRPr="00F53523">
        <w:rPr>
          <w:color w:val="5F5F5F"/>
          <w:sz w:val="20"/>
          <w:szCs w:val="20"/>
        </w:rPr>
        <w:t>154).</w:t>
      </w:r>
    </w:p>
    <w:p w14:paraId="2522670E" w14:textId="506C224C" w:rsidR="00E760AC" w:rsidRPr="00D00CE4" w:rsidRDefault="00E760AC" w:rsidP="004E42DC">
      <w:pPr>
        <w:widowControl/>
        <w:tabs>
          <w:tab w:val="left" w:pos="567"/>
        </w:tabs>
        <w:autoSpaceDE/>
        <w:autoSpaceDN/>
        <w:spacing w:after="120"/>
        <w:ind w:left="142"/>
        <w:rPr>
          <w:color w:val="5F5F5F"/>
          <w:sz w:val="20"/>
          <w:szCs w:val="20"/>
        </w:rPr>
      </w:pPr>
      <w:r>
        <w:rPr>
          <w:color w:val="5F5F5F"/>
          <w:sz w:val="20"/>
          <w:szCs w:val="20"/>
        </w:rPr>
        <w:t>Lessees should describe how compliance</w:t>
      </w:r>
      <w:r w:rsidR="00820A37">
        <w:rPr>
          <w:color w:val="5F5F5F"/>
          <w:sz w:val="20"/>
          <w:szCs w:val="20"/>
        </w:rPr>
        <w:t xml:space="preserve"> </w:t>
      </w:r>
      <w:r>
        <w:rPr>
          <w:color w:val="5F5F5F"/>
          <w:sz w:val="20"/>
          <w:szCs w:val="20"/>
        </w:rPr>
        <w:t>with the work program to date has made progress towards removing identified commercial barriers.</w:t>
      </w:r>
    </w:p>
    <w:p w14:paraId="5ED20482" w14:textId="77777777" w:rsidR="003475A0" w:rsidRPr="006343F9" w:rsidRDefault="003475A0" w:rsidP="006343F9">
      <w:pPr>
        <w:pStyle w:val="Heading2"/>
        <w:rPr>
          <w:color w:val="27629B"/>
        </w:rPr>
      </w:pPr>
      <w:bookmarkStart w:id="2" w:name="_Toc79759896"/>
      <w:r w:rsidRPr="006343F9">
        <w:rPr>
          <w:color w:val="27629B"/>
        </w:rPr>
        <w:t>Proposed work program</w:t>
      </w:r>
      <w:bookmarkEnd w:id="2"/>
    </w:p>
    <w:p w14:paraId="6B5039EC" w14:textId="6FE304B3" w:rsidR="0033185B" w:rsidRPr="00D00CE4" w:rsidRDefault="003475A0" w:rsidP="00736AFC">
      <w:pPr>
        <w:widowControl/>
        <w:tabs>
          <w:tab w:val="left" w:pos="567"/>
        </w:tabs>
        <w:autoSpaceDE/>
        <w:autoSpaceDN/>
        <w:spacing w:after="120"/>
        <w:ind w:left="142"/>
        <w:rPr>
          <w:color w:val="5F5F5F"/>
          <w:sz w:val="20"/>
          <w:szCs w:val="20"/>
        </w:rPr>
      </w:pPr>
      <w:r w:rsidRPr="00D00CE4">
        <w:rPr>
          <w:color w:val="5F5F5F"/>
          <w:sz w:val="20"/>
          <w:szCs w:val="20"/>
        </w:rPr>
        <w:t>Work programs are unique to each retention lease.</w:t>
      </w:r>
      <w:r w:rsidR="00F364A4">
        <w:rPr>
          <w:color w:val="5F5F5F"/>
          <w:sz w:val="20"/>
          <w:szCs w:val="20"/>
        </w:rPr>
        <w:t xml:space="preserve"> </w:t>
      </w:r>
      <w:r w:rsidR="0033185B" w:rsidRPr="00D00CE4">
        <w:rPr>
          <w:color w:val="5F5F5F"/>
          <w:sz w:val="20"/>
          <w:szCs w:val="20"/>
        </w:rPr>
        <w:t>Where a resource is located across two or more adjacent titles held by the same applicant</w:t>
      </w:r>
      <w:r w:rsidR="00CA3D28">
        <w:rPr>
          <w:color w:val="5F5F5F"/>
          <w:sz w:val="20"/>
          <w:szCs w:val="20"/>
        </w:rPr>
        <w:t>, and applications are being made for each of the titles,</w:t>
      </w:r>
      <w:r w:rsidR="0033185B" w:rsidRPr="00D00CE4">
        <w:rPr>
          <w:color w:val="5F5F5F"/>
          <w:sz w:val="20"/>
          <w:szCs w:val="20"/>
        </w:rPr>
        <w:t xml:space="preserve"> there should be a standalone work program </w:t>
      </w:r>
      <w:r w:rsidR="00CA3D28">
        <w:rPr>
          <w:color w:val="5F5F5F"/>
          <w:sz w:val="20"/>
          <w:szCs w:val="20"/>
        </w:rPr>
        <w:t>in</w:t>
      </w:r>
      <w:r w:rsidR="0033185B" w:rsidRPr="00D00CE4">
        <w:rPr>
          <w:color w:val="5F5F5F"/>
          <w:sz w:val="20"/>
          <w:szCs w:val="20"/>
        </w:rPr>
        <w:t xml:space="preserve"> each </w:t>
      </w:r>
      <w:r w:rsidR="00CA3D28">
        <w:rPr>
          <w:color w:val="5F5F5F"/>
          <w:sz w:val="20"/>
          <w:szCs w:val="20"/>
        </w:rPr>
        <w:t>application</w:t>
      </w:r>
      <w:r w:rsidR="0033185B" w:rsidRPr="00D00CE4">
        <w:rPr>
          <w:color w:val="5F5F5F"/>
          <w:sz w:val="20"/>
          <w:szCs w:val="20"/>
        </w:rPr>
        <w:t xml:space="preserve"> with work program activities and indicative expenditure specific to each</w:t>
      </w:r>
      <w:r w:rsidR="00CA3D28">
        <w:rPr>
          <w:color w:val="5F5F5F"/>
          <w:sz w:val="20"/>
          <w:szCs w:val="20"/>
        </w:rPr>
        <w:t xml:space="preserve"> title</w:t>
      </w:r>
      <w:r w:rsidR="0033185B" w:rsidRPr="00D00CE4">
        <w:rPr>
          <w:color w:val="5F5F5F"/>
          <w:sz w:val="20"/>
          <w:szCs w:val="20"/>
        </w:rPr>
        <w:t>.</w:t>
      </w:r>
    </w:p>
    <w:p w14:paraId="68832BD4" w14:textId="6929458A" w:rsidR="00D90D15" w:rsidRPr="00D00CE4" w:rsidRDefault="00F17054" w:rsidP="00C87467">
      <w:pPr>
        <w:spacing w:after="120"/>
        <w:ind w:left="142"/>
        <w:rPr>
          <w:color w:val="5F5F5F"/>
          <w:sz w:val="20"/>
          <w:szCs w:val="20"/>
        </w:rPr>
      </w:pPr>
      <w:r>
        <w:rPr>
          <w:color w:val="5F5F5F"/>
          <w:sz w:val="20"/>
          <w:szCs w:val="20"/>
        </w:rPr>
        <w:t xml:space="preserve">Applications must </w:t>
      </w:r>
      <w:r w:rsidR="00736FEB">
        <w:rPr>
          <w:color w:val="5F5F5F"/>
          <w:sz w:val="20"/>
          <w:szCs w:val="20"/>
        </w:rPr>
        <w:t>include</w:t>
      </w:r>
      <w:r>
        <w:rPr>
          <w:color w:val="5F5F5F"/>
          <w:sz w:val="20"/>
          <w:szCs w:val="20"/>
        </w:rPr>
        <w:t xml:space="preserve"> the completed proposed work </w:t>
      </w:r>
      <w:r w:rsidR="00F84F61">
        <w:rPr>
          <w:color w:val="5F5F5F"/>
          <w:sz w:val="20"/>
          <w:szCs w:val="20"/>
        </w:rPr>
        <w:t>program</w:t>
      </w:r>
      <w:r>
        <w:rPr>
          <w:color w:val="5F5F5F"/>
          <w:sz w:val="20"/>
          <w:szCs w:val="20"/>
        </w:rPr>
        <w:t xml:space="preserve"> and </w:t>
      </w:r>
      <w:r w:rsidR="00736FEB">
        <w:rPr>
          <w:color w:val="5F5F5F"/>
          <w:sz w:val="20"/>
          <w:szCs w:val="20"/>
        </w:rPr>
        <w:t>expenditure</w:t>
      </w:r>
      <w:r w:rsidR="00F84F61">
        <w:rPr>
          <w:color w:val="5F5F5F"/>
          <w:sz w:val="20"/>
          <w:szCs w:val="20"/>
        </w:rPr>
        <w:t xml:space="preserve"> </w:t>
      </w:r>
      <w:r>
        <w:rPr>
          <w:color w:val="5F5F5F"/>
          <w:sz w:val="20"/>
          <w:szCs w:val="20"/>
        </w:rPr>
        <w:t xml:space="preserve">table in the relevant Petroleum Retention Lease application form (grant or renewal). </w:t>
      </w:r>
      <w:r w:rsidR="00470EC8">
        <w:rPr>
          <w:color w:val="5F5F5F"/>
          <w:sz w:val="20"/>
          <w:szCs w:val="20"/>
        </w:rPr>
        <w:t>In addition, applications should contain a detailed discussion of how t</w:t>
      </w:r>
      <w:r w:rsidR="00D90D15" w:rsidRPr="00D00CE4">
        <w:rPr>
          <w:color w:val="5F5F5F"/>
          <w:sz w:val="20"/>
          <w:szCs w:val="20"/>
        </w:rPr>
        <w:t>he work program address</w:t>
      </w:r>
      <w:r w:rsidR="00470EC8">
        <w:rPr>
          <w:color w:val="5F5F5F"/>
          <w:sz w:val="20"/>
          <w:szCs w:val="20"/>
        </w:rPr>
        <w:t>es</w:t>
      </w:r>
      <w:r w:rsidR="00D90D15" w:rsidRPr="00D00CE4">
        <w:rPr>
          <w:color w:val="5F5F5F"/>
          <w:sz w:val="20"/>
          <w:szCs w:val="20"/>
        </w:rPr>
        <w:t xml:space="preserve"> the primary constraints to development of the petroleum resource that have been identified. It should identify key decision points that may result from activities, and include indicative</w:t>
      </w:r>
      <w:r w:rsidR="00F364A4">
        <w:rPr>
          <w:color w:val="5F5F5F"/>
          <w:sz w:val="20"/>
          <w:szCs w:val="20"/>
        </w:rPr>
        <w:t xml:space="preserve"> timing and </w:t>
      </w:r>
      <w:r w:rsidR="00D90D15" w:rsidRPr="00D00CE4">
        <w:rPr>
          <w:color w:val="5F5F5F"/>
          <w:sz w:val="20"/>
          <w:szCs w:val="20"/>
        </w:rPr>
        <w:t>expenditure.</w:t>
      </w:r>
    </w:p>
    <w:p w14:paraId="78A23530" w14:textId="0CDC4031" w:rsidR="001E532D" w:rsidRPr="00D00CE4" w:rsidRDefault="001E532D" w:rsidP="00C87467">
      <w:pPr>
        <w:spacing w:after="120"/>
        <w:ind w:left="142"/>
        <w:rPr>
          <w:color w:val="5F5F5F"/>
          <w:sz w:val="20"/>
          <w:szCs w:val="20"/>
        </w:rPr>
      </w:pPr>
      <w:r w:rsidRPr="00D00CE4">
        <w:rPr>
          <w:color w:val="5F5F5F"/>
          <w:sz w:val="20"/>
          <w:szCs w:val="20"/>
        </w:rPr>
        <w:t xml:space="preserve">The work program </w:t>
      </w:r>
      <w:r w:rsidR="00CA3D28">
        <w:rPr>
          <w:color w:val="5F5F5F"/>
          <w:sz w:val="20"/>
          <w:szCs w:val="20"/>
        </w:rPr>
        <w:t xml:space="preserve">activities </w:t>
      </w:r>
      <w:r w:rsidRPr="00D00CE4">
        <w:rPr>
          <w:color w:val="5F5F5F"/>
          <w:sz w:val="20"/>
          <w:szCs w:val="20"/>
        </w:rPr>
        <w:t>should address other areas where information on which to base commercial decisions is insufficient. For example, further seismic definition, appraisal drilling, environmental studies or other technical activities may be appropriate to better define the resource. All expected activities should be explicitly addressed</w:t>
      </w:r>
      <w:r w:rsidR="00CA3D28">
        <w:rPr>
          <w:color w:val="5F5F5F"/>
          <w:sz w:val="20"/>
          <w:szCs w:val="20"/>
        </w:rPr>
        <w:t xml:space="preserve"> as separate items</w:t>
      </w:r>
      <w:r w:rsidRPr="00D00CE4">
        <w:rPr>
          <w:color w:val="5F5F5F"/>
          <w:sz w:val="20"/>
          <w:szCs w:val="20"/>
        </w:rPr>
        <w:t>, including clear descriptions of the work to be undertaken where engineering, environmental or marketing studies are proposed.</w:t>
      </w:r>
    </w:p>
    <w:p w14:paraId="3FC97164" w14:textId="1BDBA687" w:rsidR="003475A0" w:rsidRPr="00D00CE4" w:rsidRDefault="003475A0" w:rsidP="00DA1B78">
      <w:pPr>
        <w:keepNext/>
        <w:keepLines/>
        <w:tabs>
          <w:tab w:val="left" w:pos="567"/>
        </w:tabs>
        <w:spacing w:after="120"/>
        <w:ind w:left="142"/>
        <w:rPr>
          <w:color w:val="5F5F5F"/>
          <w:sz w:val="20"/>
          <w:szCs w:val="20"/>
        </w:rPr>
      </w:pPr>
      <w:r w:rsidRPr="00D00CE4">
        <w:rPr>
          <w:color w:val="5F5F5F"/>
          <w:sz w:val="20"/>
          <w:szCs w:val="20"/>
        </w:rPr>
        <w:lastRenderedPageBreak/>
        <w:t xml:space="preserve">Applicants are expected to identify the phasing of activities. In general, a year-by-year breakdown for the five year retention lease term is not required. However, the work program should be consistent (with regards to timing, the activities proposed and the level of effort) with what a titleholder could be expected to reasonably carry out in order to </w:t>
      </w:r>
      <w:proofErr w:type="spellStart"/>
      <w:r w:rsidRPr="00D00CE4">
        <w:rPr>
          <w:color w:val="5F5F5F"/>
          <w:sz w:val="20"/>
          <w:szCs w:val="20"/>
        </w:rPr>
        <w:t>commercialise</w:t>
      </w:r>
      <w:proofErr w:type="spellEnd"/>
      <w:r w:rsidRPr="00D00CE4">
        <w:rPr>
          <w:color w:val="5F5F5F"/>
          <w:sz w:val="20"/>
          <w:szCs w:val="20"/>
        </w:rPr>
        <w:t xml:space="preserve"> the project in a timely manner. </w:t>
      </w:r>
      <w:r w:rsidR="00F364A4">
        <w:rPr>
          <w:color w:val="5F5F5F"/>
          <w:sz w:val="20"/>
          <w:szCs w:val="20"/>
        </w:rPr>
        <w:t>Estimated expenditure on each activity must be provided, in Australian dollars</w:t>
      </w:r>
    </w:p>
    <w:p w14:paraId="0300DE1E" w14:textId="36825CC5" w:rsidR="003475A0" w:rsidRPr="00D00CE4" w:rsidRDefault="003475A0" w:rsidP="00706053">
      <w:pPr>
        <w:widowControl/>
        <w:tabs>
          <w:tab w:val="left" w:pos="567"/>
        </w:tabs>
        <w:autoSpaceDE/>
        <w:autoSpaceDN/>
        <w:spacing w:after="120"/>
        <w:ind w:left="426" w:hanging="284"/>
        <w:rPr>
          <w:color w:val="5F5F5F"/>
          <w:sz w:val="20"/>
          <w:szCs w:val="20"/>
        </w:rPr>
      </w:pPr>
      <w:r w:rsidRPr="00D00CE4">
        <w:rPr>
          <w:color w:val="5F5F5F"/>
          <w:sz w:val="20"/>
          <w:szCs w:val="20"/>
        </w:rPr>
        <w:t>Proposed work programs may include, for example:</w:t>
      </w:r>
    </w:p>
    <w:p w14:paraId="5355CFC2" w14:textId="0101FF7D" w:rsidR="003475A0" w:rsidRPr="00D00CE4" w:rsidRDefault="003475A0" w:rsidP="00FF44CC">
      <w:pPr>
        <w:pStyle w:val="ListParagraph"/>
        <w:widowControl/>
        <w:numPr>
          <w:ilvl w:val="0"/>
          <w:numId w:val="30"/>
        </w:numPr>
        <w:tabs>
          <w:tab w:val="left" w:pos="567"/>
        </w:tabs>
        <w:autoSpaceDE/>
        <w:autoSpaceDN/>
        <w:spacing w:after="120"/>
        <w:ind w:left="567"/>
        <w:rPr>
          <w:color w:val="5F5F5F"/>
          <w:sz w:val="20"/>
          <w:szCs w:val="20"/>
        </w:rPr>
      </w:pPr>
      <w:r w:rsidRPr="00D00CE4">
        <w:rPr>
          <w:color w:val="5F5F5F"/>
          <w:sz w:val="20"/>
          <w:szCs w:val="20"/>
        </w:rPr>
        <w:t xml:space="preserve">project feasibility studies to bring the project closer to </w:t>
      </w:r>
      <w:r w:rsidR="005860EF">
        <w:rPr>
          <w:color w:val="5F5F5F"/>
          <w:sz w:val="20"/>
          <w:szCs w:val="20"/>
        </w:rPr>
        <w:t xml:space="preserve">FEED and </w:t>
      </w:r>
      <w:r w:rsidRPr="00D00CE4">
        <w:rPr>
          <w:color w:val="5F5F5F"/>
          <w:sz w:val="20"/>
          <w:szCs w:val="20"/>
        </w:rPr>
        <w:t>FID;</w:t>
      </w:r>
    </w:p>
    <w:p w14:paraId="1E101B6D" w14:textId="34F03D40" w:rsidR="003475A0" w:rsidRPr="00D00CE4" w:rsidRDefault="003475A0" w:rsidP="00FF44CC">
      <w:pPr>
        <w:pStyle w:val="ListParagraph"/>
        <w:widowControl/>
        <w:numPr>
          <w:ilvl w:val="0"/>
          <w:numId w:val="30"/>
        </w:numPr>
        <w:tabs>
          <w:tab w:val="left" w:pos="567"/>
        </w:tabs>
        <w:autoSpaceDE/>
        <w:autoSpaceDN/>
        <w:spacing w:after="120"/>
        <w:ind w:left="567"/>
        <w:rPr>
          <w:color w:val="5F5F5F"/>
          <w:sz w:val="20"/>
          <w:szCs w:val="20"/>
        </w:rPr>
      </w:pPr>
      <w:r w:rsidRPr="00D00CE4">
        <w:rPr>
          <w:color w:val="5F5F5F"/>
          <w:sz w:val="20"/>
          <w:szCs w:val="20"/>
        </w:rPr>
        <w:t xml:space="preserve">reviews of exploration data or proposals to undertake further appraisal or exploration activities to improve understanding of the hydrocarbon resources; </w:t>
      </w:r>
    </w:p>
    <w:p w14:paraId="2098C0EF" w14:textId="02A25CEA" w:rsidR="001A1D07" w:rsidRDefault="003475A0" w:rsidP="00FF44CC">
      <w:pPr>
        <w:pStyle w:val="ListParagraph"/>
        <w:widowControl/>
        <w:numPr>
          <w:ilvl w:val="0"/>
          <w:numId w:val="30"/>
        </w:numPr>
        <w:tabs>
          <w:tab w:val="left" w:pos="567"/>
        </w:tabs>
        <w:autoSpaceDE/>
        <w:autoSpaceDN/>
        <w:spacing w:after="120"/>
        <w:ind w:left="567"/>
        <w:rPr>
          <w:color w:val="5F5F5F"/>
          <w:sz w:val="20"/>
          <w:szCs w:val="20"/>
        </w:rPr>
      </w:pPr>
      <w:r w:rsidRPr="00D00CE4">
        <w:rPr>
          <w:color w:val="5F5F5F"/>
          <w:sz w:val="20"/>
          <w:szCs w:val="20"/>
        </w:rPr>
        <w:t>reviews of technology to assess potential reductions in capital costs</w:t>
      </w:r>
      <w:r w:rsidR="001A1D07">
        <w:rPr>
          <w:color w:val="5F5F5F"/>
          <w:sz w:val="20"/>
          <w:szCs w:val="20"/>
        </w:rPr>
        <w:t>; and</w:t>
      </w:r>
    </w:p>
    <w:p w14:paraId="6AF8D5D3" w14:textId="1C1280E0" w:rsidR="003475A0" w:rsidRDefault="001A1D07" w:rsidP="00FF44CC">
      <w:pPr>
        <w:pStyle w:val="ListParagraph"/>
        <w:widowControl/>
        <w:numPr>
          <w:ilvl w:val="0"/>
          <w:numId w:val="30"/>
        </w:numPr>
        <w:tabs>
          <w:tab w:val="left" w:pos="567"/>
        </w:tabs>
        <w:autoSpaceDE/>
        <w:autoSpaceDN/>
        <w:spacing w:after="120"/>
        <w:ind w:left="567"/>
        <w:rPr>
          <w:color w:val="5F5F5F"/>
          <w:sz w:val="20"/>
          <w:szCs w:val="20"/>
        </w:rPr>
      </w:pPr>
      <w:r>
        <w:rPr>
          <w:color w:val="5F5F5F"/>
          <w:sz w:val="20"/>
          <w:szCs w:val="20"/>
        </w:rPr>
        <w:t xml:space="preserve">development of a </w:t>
      </w:r>
      <w:r w:rsidR="00E760AC">
        <w:rPr>
          <w:color w:val="5F5F5F"/>
          <w:sz w:val="20"/>
          <w:szCs w:val="20"/>
        </w:rPr>
        <w:t xml:space="preserve">preliminary </w:t>
      </w:r>
      <w:r>
        <w:rPr>
          <w:color w:val="5F5F5F"/>
          <w:sz w:val="20"/>
          <w:szCs w:val="20"/>
        </w:rPr>
        <w:t>field development plan</w:t>
      </w:r>
      <w:r w:rsidR="003475A0" w:rsidRPr="00D00CE4">
        <w:rPr>
          <w:color w:val="5F5F5F"/>
          <w:sz w:val="20"/>
          <w:szCs w:val="20"/>
        </w:rPr>
        <w:t>.</w:t>
      </w:r>
    </w:p>
    <w:p w14:paraId="05CA1975" w14:textId="1FE85B6E" w:rsidR="00222264" w:rsidRPr="00333E12" w:rsidRDefault="00222264" w:rsidP="00FF44CC">
      <w:pPr>
        <w:widowControl/>
        <w:tabs>
          <w:tab w:val="left" w:pos="567"/>
        </w:tabs>
        <w:autoSpaceDE/>
        <w:autoSpaceDN/>
        <w:spacing w:after="120"/>
        <w:ind w:left="142"/>
        <w:rPr>
          <w:rFonts w:asciiTheme="majorHAnsi" w:eastAsiaTheme="majorEastAsia" w:hAnsiTheme="majorHAnsi" w:cstheme="majorBidi"/>
          <w:color w:val="365F91" w:themeColor="accent1" w:themeShade="BF"/>
        </w:rPr>
      </w:pPr>
      <w:r w:rsidRPr="00D00CE4">
        <w:rPr>
          <w:color w:val="5F5F5F"/>
          <w:sz w:val="20"/>
          <w:szCs w:val="20"/>
        </w:rPr>
        <w:t>Annual reporting of activities carried out by lessees is required through the annual title assessment reports</w:t>
      </w:r>
      <w:r>
        <w:rPr>
          <w:color w:val="5F5F5F"/>
          <w:sz w:val="20"/>
          <w:szCs w:val="20"/>
        </w:rPr>
        <w:t xml:space="preserve">. Where studies are undertaken to fulfill work program requirements detailed information on the results of the studies should be provided, including for </w:t>
      </w:r>
      <w:r w:rsidR="005860EF">
        <w:rPr>
          <w:color w:val="5F5F5F"/>
          <w:sz w:val="20"/>
          <w:szCs w:val="20"/>
        </w:rPr>
        <w:t>g</w:t>
      </w:r>
      <w:r>
        <w:rPr>
          <w:color w:val="5F5F5F"/>
          <w:sz w:val="20"/>
          <w:szCs w:val="20"/>
        </w:rPr>
        <w:t>eotechnical studies, commercial studies, and internal or third party reviews of development concepts</w:t>
      </w:r>
      <w:r w:rsidRPr="00D00CE4">
        <w:rPr>
          <w:color w:val="5F5F5F"/>
          <w:sz w:val="20"/>
          <w:szCs w:val="20"/>
        </w:rPr>
        <w:t>.</w:t>
      </w:r>
    </w:p>
    <w:p w14:paraId="23749506" w14:textId="118F7BFE" w:rsidR="00F80BB1" w:rsidRPr="00C01D4F" w:rsidRDefault="00F80BB1" w:rsidP="00FF44CC">
      <w:pPr>
        <w:pStyle w:val="Heading2"/>
        <w:ind w:left="142"/>
        <w:rPr>
          <w:color w:val="27629B"/>
        </w:rPr>
      </w:pPr>
      <w:r w:rsidRPr="00C01D4F">
        <w:rPr>
          <w:color w:val="27629B"/>
        </w:rPr>
        <w:t>E</w:t>
      </w:r>
      <w:r w:rsidR="00C01D4F">
        <w:rPr>
          <w:color w:val="27629B"/>
        </w:rPr>
        <w:t>xisting k</w:t>
      </w:r>
      <w:r w:rsidRPr="00C01D4F">
        <w:rPr>
          <w:color w:val="27629B"/>
        </w:rPr>
        <w:t xml:space="preserve">nowledge of the </w:t>
      </w:r>
      <w:r w:rsidR="00C01D4F">
        <w:rPr>
          <w:color w:val="27629B"/>
        </w:rPr>
        <w:t>f</w:t>
      </w:r>
      <w:r w:rsidRPr="00C01D4F">
        <w:rPr>
          <w:color w:val="27629B"/>
        </w:rPr>
        <w:t>ield</w:t>
      </w:r>
    </w:p>
    <w:p w14:paraId="3CA57CF8" w14:textId="0A73D845" w:rsidR="00AC5C02" w:rsidRPr="00D00CE4" w:rsidRDefault="00AC5C02" w:rsidP="00FF44CC">
      <w:pPr>
        <w:widowControl/>
        <w:tabs>
          <w:tab w:val="left" w:pos="567"/>
        </w:tabs>
        <w:autoSpaceDE/>
        <w:autoSpaceDN/>
        <w:spacing w:after="120"/>
        <w:ind w:left="142"/>
        <w:rPr>
          <w:color w:val="5F5F5F"/>
          <w:sz w:val="20"/>
          <w:szCs w:val="20"/>
        </w:rPr>
      </w:pPr>
      <w:r w:rsidRPr="00F53523">
        <w:rPr>
          <w:color w:val="5F5F5F"/>
          <w:sz w:val="20"/>
          <w:szCs w:val="20"/>
        </w:rPr>
        <w:t>A</w:t>
      </w:r>
      <w:r w:rsidRPr="00D00CE4">
        <w:rPr>
          <w:color w:val="5F5F5F"/>
          <w:sz w:val="20"/>
          <w:szCs w:val="20"/>
        </w:rPr>
        <w:t xml:space="preserve">pplicants should demonstrate existing knowledge of the field, including mapping and in-place and ultimate recoverable resource estimates at proved, probable and possible (1C/P90, 2C/P50 and 3C/P10) levels, and any critical uncertainties relating to these estimates. </w:t>
      </w:r>
      <w:r w:rsidR="00341250">
        <w:rPr>
          <w:color w:val="5F5F5F"/>
          <w:sz w:val="20"/>
          <w:szCs w:val="20"/>
        </w:rPr>
        <w:t xml:space="preserve">Resources should be presented in a tabular format. An example is shown in Table 1 in </w:t>
      </w:r>
      <w:r w:rsidR="00341250">
        <w:rPr>
          <w:b/>
          <w:color w:val="5F5F5F"/>
          <w:sz w:val="20"/>
          <w:szCs w:val="20"/>
        </w:rPr>
        <w:t xml:space="preserve">Attachment </w:t>
      </w:r>
      <w:r w:rsidR="00341250" w:rsidRPr="00341250">
        <w:rPr>
          <w:color w:val="5F5F5F"/>
          <w:sz w:val="20"/>
          <w:szCs w:val="20"/>
        </w:rPr>
        <w:t>A</w:t>
      </w:r>
      <w:r w:rsidR="00341250">
        <w:rPr>
          <w:color w:val="5F5F5F"/>
          <w:sz w:val="20"/>
          <w:szCs w:val="20"/>
        </w:rPr>
        <w:t xml:space="preserve">. </w:t>
      </w:r>
      <w:r w:rsidRPr="00341250">
        <w:rPr>
          <w:color w:val="5F5F5F"/>
          <w:sz w:val="20"/>
          <w:szCs w:val="20"/>
        </w:rPr>
        <w:t>Undrilled</w:t>
      </w:r>
      <w:r w:rsidRPr="00D00CE4">
        <w:rPr>
          <w:color w:val="5F5F5F"/>
          <w:sz w:val="20"/>
          <w:szCs w:val="20"/>
        </w:rPr>
        <w:t xml:space="preserve"> prospects should be separately identified. </w:t>
      </w:r>
    </w:p>
    <w:p w14:paraId="33B81614" w14:textId="77777777" w:rsidR="00AC5C02" w:rsidRPr="00D00CE4" w:rsidRDefault="00AC5C02" w:rsidP="00FF44CC">
      <w:pPr>
        <w:widowControl/>
        <w:tabs>
          <w:tab w:val="left" w:pos="567"/>
        </w:tabs>
        <w:autoSpaceDE/>
        <w:autoSpaceDN/>
        <w:spacing w:after="120"/>
        <w:ind w:left="142"/>
        <w:rPr>
          <w:color w:val="5F5F5F"/>
          <w:sz w:val="20"/>
          <w:szCs w:val="20"/>
        </w:rPr>
      </w:pPr>
      <w:r w:rsidRPr="00D00CE4">
        <w:rPr>
          <w:color w:val="5F5F5F"/>
          <w:sz w:val="20"/>
          <w:szCs w:val="20"/>
        </w:rPr>
        <w:t xml:space="preserve">ESRI Shapefile, Geodatabase file or a spreadsheet with the coordinate listing (latitude, longitude and datum) of pool/field should be provided. </w:t>
      </w:r>
    </w:p>
    <w:p w14:paraId="3833CAE4" w14:textId="2F30E196" w:rsidR="00AC5C02" w:rsidRPr="00D00CE4" w:rsidRDefault="00AC5C02" w:rsidP="00FF44CC">
      <w:pPr>
        <w:widowControl/>
        <w:tabs>
          <w:tab w:val="left" w:pos="567"/>
        </w:tabs>
        <w:autoSpaceDE/>
        <w:autoSpaceDN/>
        <w:spacing w:after="120"/>
        <w:ind w:left="142"/>
        <w:rPr>
          <w:color w:val="5F5F5F"/>
          <w:sz w:val="20"/>
          <w:szCs w:val="20"/>
        </w:rPr>
      </w:pPr>
      <w:r w:rsidRPr="00D00CE4">
        <w:rPr>
          <w:color w:val="5F5F5F"/>
          <w:sz w:val="20"/>
          <w:szCs w:val="20"/>
        </w:rPr>
        <w:t>The anticipated production profile, with a breakdown into gas, condensate, and oil phases for each level of certainty, should be provided and presented graphically and in a tabular form. Tables should be submitted in digital format (e.g. comma-separated values).</w:t>
      </w:r>
      <w:r w:rsidR="00FC21FD" w:rsidRPr="00D00CE4">
        <w:rPr>
          <w:color w:val="5F5F5F"/>
          <w:sz w:val="20"/>
          <w:szCs w:val="20"/>
        </w:rPr>
        <w:t xml:space="preserve"> These should provide support for the </w:t>
      </w:r>
      <w:r w:rsidR="00341250">
        <w:rPr>
          <w:color w:val="5F5F5F"/>
          <w:sz w:val="20"/>
          <w:szCs w:val="20"/>
        </w:rPr>
        <w:t xml:space="preserve">revenue streams in </w:t>
      </w:r>
      <w:r w:rsidR="00FC21FD" w:rsidRPr="00D00CE4">
        <w:rPr>
          <w:color w:val="5F5F5F"/>
          <w:sz w:val="20"/>
          <w:szCs w:val="20"/>
        </w:rPr>
        <w:t>project cash flows.</w:t>
      </w:r>
    </w:p>
    <w:p w14:paraId="35FB6D90" w14:textId="77777777" w:rsidR="00AC5C02" w:rsidRDefault="00AC5C02" w:rsidP="00FF44CC">
      <w:pPr>
        <w:widowControl/>
        <w:tabs>
          <w:tab w:val="left" w:pos="567"/>
        </w:tabs>
        <w:autoSpaceDE/>
        <w:autoSpaceDN/>
        <w:ind w:left="142"/>
        <w:contextualSpacing/>
        <w:rPr>
          <w:color w:val="5F5F5F"/>
          <w:sz w:val="20"/>
          <w:szCs w:val="20"/>
        </w:rPr>
      </w:pPr>
      <w:r w:rsidRPr="00D00CE4">
        <w:rPr>
          <w:color w:val="5F5F5F"/>
          <w:sz w:val="20"/>
          <w:szCs w:val="20"/>
        </w:rPr>
        <w:t>If these estimates differ from resource estimates previously provided to NOPTA, an explanation should be included for the difference.</w:t>
      </w:r>
    </w:p>
    <w:p w14:paraId="13F755D2" w14:textId="7EF9D009" w:rsidR="00251F21" w:rsidRPr="00C01D4F" w:rsidRDefault="00080BEF" w:rsidP="00DA1B78">
      <w:pPr>
        <w:pStyle w:val="Heading2"/>
        <w:keepNext/>
        <w:keepLines/>
        <w:ind w:left="0"/>
        <w:rPr>
          <w:color w:val="27629B"/>
        </w:rPr>
      </w:pPr>
      <w:r w:rsidRPr="00C01D4F">
        <w:rPr>
          <w:color w:val="27629B"/>
        </w:rPr>
        <w:t xml:space="preserve">Development </w:t>
      </w:r>
      <w:r w:rsidR="00C01D4F">
        <w:rPr>
          <w:color w:val="27629B"/>
        </w:rPr>
        <w:t>c</w:t>
      </w:r>
      <w:r w:rsidRPr="00C01D4F">
        <w:rPr>
          <w:color w:val="27629B"/>
        </w:rPr>
        <w:t xml:space="preserve">oncepts </w:t>
      </w:r>
    </w:p>
    <w:p w14:paraId="229E57F5" w14:textId="51570DD3" w:rsidR="00D91AD7" w:rsidRDefault="008116FE" w:rsidP="00DA1B78">
      <w:pPr>
        <w:keepNext/>
        <w:keepLines/>
        <w:widowControl/>
        <w:tabs>
          <w:tab w:val="left" w:pos="567"/>
        </w:tabs>
        <w:autoSpaceDE/>
        <w:autoSpaceDN/>
        <w:spacing w:after="120"/>
        <w:rPr>
          <w:color w:val="5F5F5F"/>
          <w:sz w:val="20"/>
          <w:szCs w:val="20"/>
        </w:rPr>
      </w:pPr>
      <w:r w:rsidRPr="008116FE">
        <w:rPr>
          <w:color w:val="5F5F5F"/>
          <w:sz w:val="20"/>
          <w:szCs w:val="20"/>
        </w:rPr>
        <w:t xml:space="preserve">An application should adequately consider all reasonable development concepts including </w:t>
      </w:r>
      <w:r w:rsidR="00115195">
        <w:rPr>
          <w:color w:val="5F5F5F"/>
          <w:sz w:val="20"/>
          <w:szCs w:val="20"/>
        </w:rPr>
        <w:t xml:space="preserve">oil, </w:t>
      </w:r>
      <w:r w:rsidRPr="008116FE">
        <w:rPr>
          <w:color w:val="5F5F5F"/>
          <w:sz w:val="20"/>
          <w:szCs w:val="20"/>
        </w:rPr>
        <w:t>domestic gas, liquefied natural gas and gas to liquids, as appropriate</w:t>
      </w:r>
      <w:r w:rsidR="002D0C3D">
        <w:rPr>
          <w:color w:val="5F5F5F"/>
          <w:sz w:val="20"/>
          <w:szCs w:val="20"/>
        </w:rPr>
        <w:t>.</w:t>
      </w:r>
      <w:r w:rsidRPr="008116FE">
        <w:rPr>
          <w:color w:val="5F5F5F"/>
          <w:sz w:val="20"/>
          <w:szCs w:val="20"/>
        </w:rPr>
        <w:t xml:space="preserve"> </w:t>
      </w:r>
      <w:r w:rsidR="002D0C3D">
        <w:rPr>
          <w:color w:val="5F5F5F"/>
          <w:sz w:val="20"/>
          <w:szCs w:val="20"/>
        </w:rPr>
        <w:t xml:space="preserve">This should include </w:t>
      </w:r>
      <w:r w:rsidR="00694483">
        <w:rPr>
          <w:color w:val="5F5F5F"/>
          <w:sz w:val="20"/>
          <w:szCs w:val="20"/>
        </w:rPr>
        <w:t>a</w:t>
      </w:r>
      <w:r w:rsidR="00D91AD7" w:rsidRPr="00D00CE4">
        <w:rPr>
          <w:color w:val="5F5F5F"/>
          <w:sz w:val="20"/>
          <w:szCs w:val="20"/>
        </w:rPr>
        <w:t xml:space="preserve"> detailed assessment, discussion and comparison of </w:t>
      </w:r>
      <w:r w:rsidR="002D0C3D">
        <w:rPr>
          <w:color w:val="5F5F5F"/>
          <w:sz w:val="20"/>
          <w:szCs w:val="20"/>
        </w:rPr>
        <w:t xml:space="preserve">the </w:t>
      </w:r>
      <w:r w:rsidR="00D91AD7" w:rsidRPr="00D00CE4">
        <w:rPr>
          <w:color w:val="5F5F5F"/>
          <w:sz w:val="20"/>
          <w:szCs w:val="20"/>
        </w:rPr>
        <w:t>option(s) including schematics, timeframes and advantages</w:t>
      </w:r>
      <w:r w:rsidR="002D0C3D">
        <w:rPr>
          <w:color w:val="5F5F5F"/>
          <w:sz w:val="20"/>
          <w:szCs w:val="20"/>
        </w:rPr>
        <w:t xml:space="preserve"> or disadvantage of</w:t>
      </w:r>
      <w:r w:rsidR="00D91AD7" w:rsidRPr="00D00CE4">
        <w:rPr>
          <w:color w:val="5F5F5F"/>
          <w:sz w:val="20"/>
          <w:szCs w:val="20"/>
        </w:rPr>
        <w:t xml:space="preserve"> each.</w:t>
      </w:r>
      <w:r w:rsidR="002D0C3D">
        <w:rPr>
          <w:color w:val="5F5F5F"/>
          <w:sz w:val="20"/>
          <w:szCs w:val="20"/>
        </w:rPr>
        <w:t xml:space="preserve"> </w:t>
      </w:r>
    </w:p>
    <w:p w14:paraId="79AA9C73" w14:textId="0C9547F5" w:rsidR="002D0C3D" w:rsidRPr="00D00CE4" w:rsidRDefault="002D0C3D" w:rsidP="002D0C3D">
      <w:pPr>
        <w:widowControl/>
        <w:tabs>
          <w:tab w:val="left" w:pos="567"/>
        </w:tabs>
        <w:autoSpaceDE/>
        <w:autoSpaceDN/>
        <w:spacing w:after="120"/>
        <w:rPr>
          <w:color w:val="5F5F5F"/>
          <w:sz w:val="20"/>
          <w:szCs w:val="20"/>
        </w:rPr>
      </w:pPr>
      <w:r w:rsidRPr="00D00CE4">
        <w:rPr>
          <w:color w:val="5F5F5F"/>
          <w:sz w:val="20"/>
          <w:szCs w:val="20"/>
        </w:rPr>
        <w:t xml:space="preserve">If a preferred development option has been identified, include information on the basis for selecting that option, along with details on all other options which were considered, referencing previous applications </w:t>
      </w:r>
      <w:r w:rsidR="00EA71F3">
        <w:rPr>
          <w:color w:val="5F5F5F"/>
          <w:sz w:val="20"/>
          <w:szCs w:val="20"/>
        </w:rPr>
        <w:t>where</w:t>
      </w:r>
      <w:r w:rsidRPr="00D00CE4">
        <w:rPr>
          <w:color w:val="5F5F5F"/>
          <w:sz w:val="20"/>
          <w:szCs w:val="20"/>
        </w:rPr>
        <w:t xml:space="preserve"> appropriate.</w:t>
      </w:r>
    </w:p>
    <w:p w14:paraId="4FCE980A" w14:textId="37B3E249" w:rsidR="002D0C3D" w:rsidRPr="00D00CE4" w:rsidRDefault="002D0C3D" w:rsidP="002D0C3D">
      <w:pPr>
        <w:widowControl/>
        <w:tabs>
          <w:tab w:val="left" w:pos="567"/>
        </w:tabs>
        <w:autoSpaceDE/>
        <w:autoSpaceDN/>
        <w:spacing w:after="120"/>
        <w:rPr>
          <w:color w:val="5F5F5F"/>
          <w:sz w:val="20"/>
          <w:szCs w:val="20"/>
        </w:rPr>
      </w:pPr>
      <w:r w:rsidRPr="00D00CE4">
        <w:rPr>
          <w:color w:val="5F5F5F"/>
          <w:sz w:val="20"/>
          <w:szCs w:val="20"/>
        </w:rPr>
        <w:t xml:space="preserve">Provide information </w:t>
      </w:r>
      <w:r>
        <w:rPr>
          <w:color w:val="5F5F5F"/>
          <w:sz w:val="20"/>
          <w:szCs w:val="20"/>
        </w:rPr>
        <w:t xml:space="preserve">on infrastructure </w:t>
      </w:r>
      <w:r w:rsidRPr="00C01D4F">
        <w:rPr>
          <w:color w:val="5F5F5F"/>
          <w:sz w:val="20"/>
          <w:szCs w:val="20"/>
        </w:rPr>
        <w:t xml:space="preserve">components </w:t>
      </w:r>
      <w:r w:rsidRPr="00C01D4F">
        <w:rPr>
          <w:bCs/>
          <w:color w:val="5F5F5F"/>
          <w:sz w:val="20"/>
          <w:szCs w:val="20"/>
        </w:rPr>
        <w:t xml:space="preserve">as per </w:t>
      </w:r>
      <w:r w:rsidR="002E7538" w:rsidRPr="00C01D4F">
        <w:rPr>
          <w:bCs/>
          <w:color w:val="5F5F5F"/>
          <w:sz w:val="20"/>
          <w:szCs w:val="20"/>
        </w:rPr>
        <w:t>T</w:t>
      </w:r>
      <w:r w:rsidRPr="00C01D4F">
        <w:rPr>
          <w:bCs/>
          <w:color w:val="5F5F5F"/>
          <w:sz w:val="20"/>
          <w:szCs w:val="20"/>
        </w:rPr>
        <w:t xml:space="preserve">able </w:t>
      </w:r>
      <w:r w:rsidR="00341250">
        <w:rPr>
          <w:bCs/>
          <w:color w:val="5F5F5F"/>
          <w:sz w:val="20"/>
          <w:szCs w:val="20"/>
        </w:rPr>
        <w:t>2</w:t>
      </w:r>
      <w:r w:rsidR="00341250" w:rsidRPr="00C01D4F">
        <w:rPr>
          <w:bCs/>
          <w:color w:val="5F5F5F"/>
          <w:sz w:val="20"/>
          <w:szCs w:val="20"/>
        </w:rPr>
        <w:t xml:space="preserve"> </w:t>
      </w:r>
      <w:r w:rsidR="00C01D4F" w:rsidRPr="00C01D4F">
        <w:rPr>
          <w:bCs/>
          <w:color w:val="5F5F5F"/>
          <w:sz w:val="20"/>
          <w:szCs w:val="20"/>
        </w:rPr>
        <w:t>at</w:t>
      </w:r>
      <w:r w:rsidRPr="00C01D4F">
        <w:rPr>
          <w:bCs/>
          <w:color w:val="5F5F5F"/>
          <w:sz w:val="20"/>
          <w:szCs w:val="20"/>
        </w:rPr>
        <w:t xml:space="preserve"> </w:t>
      </w:r>
      <w:hyperlink w:anchor="_Attachment_A" w:history="1">
        <w:r w:rsidR="002E7538" w:rsidRPr="002F016C">
          <w:rPr>
            <w:rStyle w:val="Hyperlink"/>
            <w:b/>
            <w:bCs/>
            <w:sz w:val="20"/>
            <w:szCs w:val="20"/>
          </w:rPr>
          <w:t>A</w:t>
        </w:r>
        <w:r w:rsidRPr="002F016C">
          <w:rPr>
            <w:rStyle w:val="Hyperlink"/>
            <w:b/>
            <w:bCs/>
            <w:sz w:val="20"/>
            <w:szCs w:val="20"/>
          </w:rPr>
          <w:t>ttachment</w:t>
        </w:r>
        <w:r w:rsidR="00C01D4F" w:rsidRPr="002F016C">
          <w:rPr>
            <w:rStyle w:val="Hyperlink"/>
            <w:b/>
            <w:sz w:val="20"/>
            <w:szCs w:val="20"/>
          </w:rPr>
          <w:t xml:space="preserve"> A</w:t>
        </w:r>
      </w:hyperlink>
      <w:r w:rsidRPr="009C31C9">
        <w:rPr>
          <w:color w:val="5F5F5F"/>
          <w:sz w:val="20"/>
          <w:szCs w:val="20"/>
        </w:rPr>
        <w:t>,</w:t>
      </w:r>
      <w:r w:rsidRPr="00D00CE4">
        <w:rPr>
          <w:color w:val="5F5F5F"/>
          <w:sz w:val="20"/>
          <w:szCs w:val="20"/>
        </w:rPr>
        <w:t xml:space="preserve"> </w:t>
      </w:r>
      <w:r>
        <w:rPr>
          <w:color w:val="5F5F5F"/>
          <w:sz w:val="20"/>
          <w:szCs w:val="20"/>
        </w:rPr>
        <w:t xml:space="preserve">separately </w:t>
      </w:r>
      <w:r w:rsidRPr="00D00CE4">
        <w:rPr>
          <w:color w:val="5F5F5F"/>
          <w:sz w:val="20"/>
          <w:szCs w:val="20"/>
        </w:rPr>
        <w:t>for each field/ shared facilities</w:t>
      </w:r>
      <w:r>
        <w:rPr>
          <w:color w:val="5F5F5F"/>
          <w:sz w:val="20"/>
          <w:szCs w:val="20"/>
        </w:rPr>
        <w:t>, and for each concept where appropriate</w:t>
      </w:r>
      <w:r w:rsidRPr="00D00CE4">
        <w:rPr>
          <w:color w:val="5F5F5F"/>
          <w:sz w:val="20"/>
          <w:szCs w:val="20"/>
        </w:rPr>
        <w:t>. Include cost estimates, in real units, specifying currency and cost estimate class. These should provide support for the cost estimates in the project cash flows. Provide annual operating costs and basis for assumption.</w:t>
      </w:r>
    </w:p>
    <w:p w14:paraId="0AE1805A" w14:textId="77777777" w:rsidR="005B4556" w:rsidRPr="00D00CE4" w:rsidRDefault="005B4556" w:rsidP="005B4556">
      <w:pPr>
        <w:widowControl/>
        <w:tabs>
          <w:tab w:val="left" w:pos="567"/>
        </w:tabs>
        <w:autoSpaceDE/>
        <w:autoSpaceDN/>
        <w:spacing w:after="120"/>
        <w:rPr>
          <w:color w:val="5F5F5F"/>
          <w:sz w:val="20"/>
          <w:szCs w:val="20"/>
        </w:rPr>
      </w:pPr>
      <w:r w:rsidRPr="00D00CE4">
        <w:rPr>
          <w:color w:val="5F5F5F"/>
          <w:sz w:val="20"/>
          <w:szCs w:val="20"/>
        </w:rPr>
        <w:t xml:space="preserve">Where the applicant refers to integration in a larger project as a development option, provide comprehensive supporting information on the project as a whole. This includes information on other fields (whether production </w:t>
      </w:r>
      <w:proofErr w:type="spellStart"/>
      <w:r w:rsidRPr="00D00CE4">
        <w:rPr>
          <w:color w:val="5F5F5F"/>
          <w:sz w:val="20"/>
          <w:szCs w:val="20"/>
        </w:rPr>
        <w:t>licences</w:t>
      </w:r>
      <w:proofErr w:type="spellEnd"/>
      <w:r w:rsidRPr="00D00CE4">
        <w:rPr>
          <w:color w:val="5F5F5F"/>
          <w:sz w:val="20"/>
          <w:szCs w:val="20"/>
        </w:rPr>
        <w:t xml:space="preserve"> or retention leases) which are intended to be developed through the same facilities, and the anticipated development path for the project including timeframes for each field.</w:t>
      </w:r>
    </w:p>
    <w:p w14:paraId="02F1A4E5" w14:textId="11791A08" w:rsidR="00916F20" w:rsidRPr="00D00CE4" w:rsidRDefault="005B4556" w:rsidP="00C01D4F">
      <w:pPr>
        <w:widowControl/>
        <w:tabs>
          <w:tab w:val="left" w:pos="567"/>
        </w:tabs>
        <w:autoSpaceDE/>
        <w:autoSpaceDN/>
        <w:spacing w:after="120"/>
        <w:rPr>
          <w:color w:val="5F5F5F"/>
          <w:sz w:val="20"/>
          <w:szCs w:val="20"/>
        </w:rPr>
      </w:pPr>
      <w:r w:rsidRPr="00D00CE4">
        <w:rPr>
          <w:color w:val="5F5F5F"/>
          <w:sz w:val="20"/>
          <w:szCs w:val="20"/>
        </w:rPr>
        <w:t>Applicants should provide evidence of preliminary negotiations, if any, with infrastructure owners and current understanding of likely access cost</w:t>
      </w:r>
      <w:r w:rsidR="002D0C3D">
        <w:rPr>
          <w:color w:val="5F5F5F"/>
          <w:sz w:val="20"/>
          <w:szCs w:val="20"/>
        </w:rPr>
        <w:t>s</w:t>
      </w:r>
      <w:r w:rsidRPr="00D00CE4">
        <w:rPr>
          <w:color w:val="5F5F5F"/>
          <w:sz w:val="20"/>
          <w:szCs w:val="20"/>
        </w:rPr>
        <w:t>.</w:t>
      </w:r>
    </w:p>
    <w:p w14:paraId="796231B3" w14:textId="75A35382" w:rsidR="002B6221" w:rsidRPr="00C01D4F" w:rsidRDefault="0016489B" w:rsidP="00C01D4F">
      <w:pPr>
        <w:pStyle w:val="Heading2"/>
        <w:ind w:left="0"/>
        <w:rPr>
          <w:color w:val="27629B"/>
        </w:rPr>
      </w:pPr>
      <w:r>
        <w:rPr>
          <w:color w:val="27629B"/>
        </w:rPr>
        <w:t>Prevailing market c</w:t>
      </w:r>
      <w:r w:rsidR="002B6221" w:rsidRPr="00C01D4F">
        <w:rPr>
          <w:color w:val="27629B"/>
        </w:rPr>
        <w:t>onditions</w:t>
      </w:r>
    </w:p>
    <w:p w14:paraId="4719A673" w14:textId="77777777" w:rsidR="002B6221" w:rsidRDefault="002B6221" w:rsidP="00C87467">
      <w:pPr>
        <w:spacing w:after="120"/>
        <w:rPr>
          <w:color w:val="5F5F5F"/>
          <w:sz w:val="20"/>
          <w:szCs w:val="20"/>
        </w:rPr>
      </w:pPr>
      <w:r w:rsidRPr="00E757A6">
        <w:rPr>
          <w:color w:val="5F5F5F"/>
          <w:sz w:val="20"/>
          <w:szCs w:val="20"/>
        </w:rPr>
        <w:t>Su</w:t>
      </w:r>
      <w:r>
        <w:rPr>
          <w:color w:val="5F5F5F"/>
          <w:sz w:val="20"/>
          <w:szCs w:val="20"/>
        </w:rPr>
        <w:t>pporting information including market access, prices and timing of potential market opportunities should be provided. Provide references to information sources.</w:t>
      </w:r>
    </w:p>
    <w:p w14:paraId="041A8CC9" w14:textId="16FD06A3" w:rsidR="00EA71F3" w:rsidRDefault="002B6221" w:rsidP="00C87467">
      <w:pPr>
        <w:widowControl/>
        <w:tabs>
          <w:tab w:val="left" w:pos="567"/>
        </w:tabs>
        <w:autoSpaceDE/>
        <w:autoSpaceDN/>
        <w:spacing w:after="120"/>
        <w:rPr>
          <w:color w:val="5F5F5F"/>
          <w:sz w:val="20"/>
          <w:szCs w:val="20"/>
        </w:rPr>
      </w:pPr>
      <w:r w:rsidRPr="00D00CE4">
        <w:rPr>
          <w:color w:val="5F5F5F"/>
          <w:sz w:val="20"/>
          <w:szCs w:val="20"/>
        </w:rPr>
        <w:t xml:space="preserve">Where the commercial viability is dependent upon securing customers, applicants should provide evidence of efforts made to obtain </w:t>
      </w:r>
      <w:r w:rsidR="00EA71F3">
        <w:rPr>
          <w:color w:val="5F5F5F"/>
          <w:sz w:val="20"/>
          <w:szCs w:val="20"/>
        </w:rPr>
        <w:t xml:space="preserve">sales </w:t>
      </w:r>
      <w:r w:rsidRPr="00D00CE4">
        <w:rPr>
          <w:color w:val="5F5F5F"/>
          <w:sz w:val="20"/>
          <w:szCs w:val="20"/>
        </w:rPr>
        <w:t>contracts, including any information on approaches by third parties</w:t>
      </w:r>
      <w:r w:rsidR="00EA71F3">
        <w:rPr>
          <w:color w:val="5F5F5F"/>
          <w:sz w:val="20"/>
          <w:szCs w:val="20"/>
        </w:rPr>
        <w:t xml:space="preserve">, </w:t>
      </w:r>
      <w:r w:rsidRPr="00D00CE4">
        <w:rPr>
          <w:color w:val="5F5F5F"/>
          <w:sz w:val="20"/>
          <w:szCs w:val="20"/>
        </w:rPr>
        <w:t>engagements with potential buyers and reasons for not proceeding.</w:t>
      </w:r>
      <w:r w:rsidR="00EA71F3">
        <w:rPr>
          <w:color w:val="5F5F5F"/>
          <w:sz w:val="20"/>
          <w:szCs w:val="20"/>
        </w:rPr>
        <w:t xml:space="preserve">  </w:t>
      </w:r>
    </w:p>
    <w:p w14:paraId="444A7A46" w14:textId="2E415614" w:rsidR="002B6221" w:rsidRDefault="00130191" w:rsidP="00C87467">
      <w:pPr>
        <w:widowControl/>
        <w:tabs>
          <w:tab w:val="left" w:pos="567"/>
        </w:tabs>
        <w:autoSpaceDE/>
        <w:autoSpaceDN/>
        <w:spacing w:after="120"/>
        <w:rPr>
          <w:color w:val="5F5F5F"/>
          <w:sz w:val="20"/>
          <w:szCs w:val="20"/>
        </w:rPr>
      </w:pPr>
      <w:r>
        <w:rPr>
          <w:color w:val="5F5F5F"/>
          <w:sz w:val="20"/>
          <w:szCs w:val="20"/>
        </w:rPr>
        <w:t>An assessment may also consider us</w:t>
      </w:r>
      <w:r w:rsidR="004E42DC">
        <w:rPr>
          <w:color w:val="5F5F5F"/>
          <w:sz w:val="20"/>
          <w:szCs w:val="20"/>
        </w:rPr>
        <w:t>ing</w:t>
      </w:r>
      <w:r w:rsidR="002B6221" w:rsidRPr="00D00CE4">
        <w:rPr>
          <w:color w:val="5F5F5F"/>
          <w:sz w:val="20"/>
          <w:szCs w:val="20"/>
        </w:rPr>
        <w:t xml:space="preserve"> a commodity price </w:t>
      </w:r>
      <w:r w:rsidR="004E42DC">
        <w:rPr>
          <w:color w:val="5F5F5F"/>
          <w:sz w:val="20"/>
          <w:szCs w:val="20"/>
        </w:rPr>
        <w:t xml:space="preserve">forecast </w:t>
      </w:r>
      <w:r w:rsidR="002B6221" w:rsidRPr="00D00CE4">
        <w:rPr>
          <w:color w:val="5F5F5F"/>
          <w:sz w:val="20"/>
          <w:szCs w:val="20"/>
        </w:rPr>
        <w:t>appropriate to the life of the field and will not necessarily accept the price used by the applicant in its assessment if it is considered unreasonable.</w:t>
      </w:r>
    </w:p>
    <w:p w14:paraId="37C095B1" w14:textId="1561E766" w:rsidR="00D4578F" w:rsidRPr="0016489B" w:rsidRDefault="0016489B" w:rsidP="0016489B">
      <w:pPr>
        <w:pStyle w:val="Heading2"/>
        <w:ind w:left="0"/>
        <w:rPr>
          <w:color w:val="27629B"/>
        </w:rPr>
      </w:pPr>
      <w:r>
        <w:rPr>
          <w:color w:val="27629B"/>
        </w:rPr>
        <w:t>Project e</w:t>
      </w:r>
      <w:r w:rsidR="002B6221" w:rsidRPr="0016489B">
        <w:rPr>
          <w:color w:val="27629B"/>
        </w:rPr>
        <w:t>conomics</w:t>
      </w:r>
    </w:p>
    <w:p w14:paraId="23DC3342" w14:textId="0E8C5BD0" w:rsidR="009B4DF7" w:rsidRPr="009B4DF7" w:rsidRDefault="009B4DF7" w:rsidP="009B4DF7">
      <w:pPr>
        <w:widowControl/>
        <w:tabs>
          <w:tab w:val="left" w:pos="567"/>
        </w:tabs>
        <w:autoSpaceDE/>
        <w:autoSpaceDN/>
        <w:spacing w:after="120"/>
        <w:rPr>
          <w:color w:val="5F5F5F"/>
          <w:sz w:val="20"/>
          <w:szCs w:val="20"/>
        </w:rPr>
      </w:pPr>
      <w:r w:rsidRPr="009B4DF7">
        <w:rPr>
          <w:color w:val="5F5F5F"/>
          <w:sz w:val="20"/>
          <w:szCs w:val="20"/>
        </w:rPr>
        <w:t xml:space="preserve">Cash flows for each viable development option </w:t>
      </w:r>
      <w:r w:rsidR="00EE365D">
        <w:rPr>
          <w:color w:val="5F5F5F"/>
          <w:sz w:val="20"/>
          <w:szCs w:val="20"/>
        </w:rPr>
        <w:t>must</w:t>
      </w:r>
      <w:r w:rsidRPr="009B4DF7">
        <w:rPr>
          <w:color w:val="5F5F5F"/>
          <w:sz w:val="20"/>
          <w:szCs w:val="20"/>
        </w:rPr>
        <w:t xml:space="preserve"> be provided based on 2C/P50 (proved and probable) resource estimates and current P50 estimates of capital expenditure</w:t>
      </w:r>
      <w:r w:rsidR="001621AF">
        <w:rPr>
          <w:color w:val="5F5F5F"/>
          <w:sz w:val="20"/>
          <w:szCs w:val="20"/>
        </w:rPr>
        <w:t xml:space="preserve"> (and cost class)</w:t>
      </w:r>
      <w:r w:rsidR="003C14E7">
        <w:rPr>
          <w:color w:val="5F5F5F"/>
          <w:sz w:val="20"/>
          <w:szCs w:val="20"/>
        </w:rPr>
        <w:t xml:space="preserve"> as </w:t>
      </w:r>
      <w:r w:rsidR="003C14E7" w:rsidRPr="0016489B">
        <w:rPr>
          <w:bCs/>
          <w:color w:val="5F5F5F"/>
          <w:sz w:val="20"/>
          <w:szCs w:val="20"/>
        </w:rPr>
        <w:t>per</w:t>
      </w:r>
      <w:r w:rsidR="000A16B5" w:rsidRPr="0016489B">
        <w:rPr>
          <w:bCs/>
          <w:color w:val="5F5F5F"/>
          <w:sz w:val="20"/>
          <w:szCs w:val="20"/>
        </w:rPr>
        <w:t xml:space="preserve"> Table </w:t>
      </w:r>
      <w:r w:rsidR="00341250">
        <w:rPr>
          <w:bCs/>
          <w:color w:val="5F5F5F"/>
          <w:sz w:val="20"/>
          <w:szCs w:val="20"/>
        </w:rPr>
        <w:t>3</w:t>
      </w:r>
      <w:r w:rsidR="00341250" w:rsidRPr="0016489B">
        <w:rPr>
          <w:bCs/>
          <w:color w:val="5F5F5F"/>
          <w:sz w:val="20"/>
          <w:szCs w:val="20"/>
        </w:rPr>
        <w:t xml:space="preserve"> </w:t>
      </w:r>
      <w:r w:rsidR="0016489B" w:rsidRPr="009C31C9">
        <w:rPr>
          <w:bCs/>
          <w:color w:val="5F5F5F"/>
          <w:sz w:val="20"/>
          <w:szCs w:val="20"/>
        </w:rPr>
        <w:t xml:space="preserve">at </w:t>
      </w:r>
      <w:hyperlink w:anchor="_Attachment_A_" w:history="1">
        <w:r w:rsidR="0016489B" w:rsidRPr="002F016C">
          <w:rPr>
            <w:rStyle w:val="Hyperlink"/>
            <w:b/>
            <w:bCs/>
            <w:sz w:val="20"/>
            <w:szCs w:val="20"/>
          </w:rPr>
          <w:t>Attachment A</w:t>
        </w:r>
        <w:r w:rsidRPr="002F016C">
          <w:rPr>
            <w:rStyle w:val="Hyperlink"/>
            <w:b/>
            <w:sz w:val="20"/>
            <w:szCs w:val="20"/>
          </w:rPr>
          <w:t>.</w:t>
        </w:r>
      </w:hyperlink>
      <w:r w:rsidRPr="009B4DF7">
        <w:rPr>
          <w:color w:val="5F5F5F"/>
          <w:sz w:val="20"/>
          <w:szCs w:val="20"/>
        </w:rPr>
        <w:t xml:space="preserve"> </w:t>
      </w:r>
    </w:p>
    <w:p w14:paraId="51A73EE5" w14:textId="35448792" w:rsidR="009B4DF7" w:rsidRPr="009B4DF7" w:rsidRDefault="009B4DF7" w:rsidP="00FF44CC">
      <w:pPr>
        <w:keepNext/>
        <w:keepLines/>
        <w:widowControl/>
        <w:tabs>
          <w:tab w:val="left" w:pos="567"/>
        </w:tabs>
        <w:autoSpaceDE/>
        <w:autoSpaceDN/>
        <w:spacing w:after="120"/>
        <w:ind w:left="142"/>
        <w:rPr>
          <w:color w:val="5F5F5F"/>
          <w:sz w:val="20"/>
          <w:szCs w:val="20"/>
        </w:rPr>
      </w:pPr>
      <w:bookmarkStart w:id="3" w:name="_Hlk80621141"/>
      <w:r w:rsidRPr="009B4DF7">
        <w:rPr>
          <w:color w:val="5F5F5F"/>
          <w:sz w:val="20"/>
          <w:szCs w:val="20"/>
        </w:rPr>
        <w:lastRenderedPageBreak/>
        <w:t>Where an applicant</w:t>
      </w:r>
      <w:r w:rsidR="00EA71F3">
        <w:rPr>
          <w:color w:val="5F5F5F"/>
          <w:sz w:val="20"/>
          <w:szCs w:val="20"/>
        </w:rPr>
        <w:t>’s internal economic assessment criteria</w:t>
      </w:r>
      <w:r w:rsidRPr="009B4DF7">
        <w:rPr>
          <w:color w:val="5F5F5F"/>
          <w:sz w:val="20"/>
          <w:szCs w:val="20"/>
        </w:rPr>
        <w:t xml:space="preserve"> relies on scenarios based on other levels of probability (e.g. 1C/P90 &amp; 3C/P10)</w:t>
      </w:r>
      <w:r w:rsidR="00EA71F3">
        <w:rPr>
          <w:color w:val="5F5F5F"/>
          <w:sz w:val="20"/>
          <w:szCs w:val="20"/>
        </w:rPr>
        <w:t>,</w:t>
      </w:r>
      <w:r w:rsidRPr="009B4DF7">
        <w:rPr>
          <w:color w:val="5F5F5F"/>
          <w:sz w:val="20"/>
          <w:szCs w:val="20"/>
        </w:rPr>
        <w:t xml:space="preserve"> cash flows for </w:t>
      </w:r>
      <w:r w:rsidR="00EA71F3">
        <w:rPr>
          <w:color w:val="5F5F5F"/>
          <w:sz w:val="20"/>
          <w:szCs w:val="20"/>
        </w:rPr>
        <w:t>these scenarios</w:t>
      </w:r>
      <w:r w:rsidRPr="009B4DF7">
        <w:rPr>
          <w:color w:val="5F5F5F"/>
          <w:sz w:val="20"/>
          <w:szCs w:val="20"/>
        </w:rPr>
        <w:t xml:space="preserve"> should also be provided</w:t>
      </w:r>
      <w:r w:rsidR="00EE365D">
        <w:rPr>
          <w:color w:val="5F5F5F"/>
          <w:sz w:val="20"/>
          <w:szCs w:val="20"/>
        </w:rPr>
        <w:t xml:space="preserve"> stating the sensitivity assumptions</w:t>
      </w:r>
      <w:r w:rsidR="001621AF">
        <w:rPr>
          <w:color w:val="5F5F5F"/>
          <w:sz w:val="20"/>
          <w:szCs w:val="20"/>
        </w:rPr>
        <w:t xml:space="preserve"> and capital cost class estimates</w:t>
      </w:r>
      <w:r w:rsidR="00EE365D">
        <w:rPr>
          <w:color w:val="5F5F5F"/>
          <w:sz w:val="20"/>
          <w:szCs w:val="20"/>
        </w:rPr>
        <w:t>. M</w:t>
      </w:r>
      <w:r w:rsidRPr="009B4DF7">
        <w:rPr>
          <w:color w:val="5F5F5F"/>
          <w:sz w:val="20"/>
          <w:szCs w:val="20"/>
        </w:rPr>
        <w:t>inimum economic thresholds</w:t>
      </w:r>
      <w:r w:rsidR="00EE365D">
        <w:rPr>
          <w:color w:val="5F5F5F"/>
          <w:sz w:val="20"/>
          <w:szCs w:val="20"/>
        </w:rPr>
        <w:t xml:space="preserve"> used by an applicant to determine commercial viability should be</w:t>
      </w:r>
      <w:r w:rsidRPr="009B4DF7">
        <w:rPr>
          <w:color w:val="5F5F5F"/>
          <w:sz w:val="20"/>
          <w:szCs w:val="20"/>
        </w:rPr>
        <w:t xml:space="preserve"> specified</w:t>
      </w:r>
      <w:r w:rsidR="00EE365D">
        <w:rPr>
          <w:color w:val="5F5F5F"/>
          <w:sz w:val="20"/>
          <w:szCs w:val="20"/>
        </w:rPr>
        <w:t xml:space="preserve"> and justified</w:t>
      </w:r>
      <w:r w:rsidRPr="009B4DF7">
        <w:rPr>
          <w:color w:val="5F5F5F"/>
          <w:sz w:val="20"/>
          <w:szCs w:val="20"/>
        </w:rPr>
        <w:t>.</w:t>
      </w:r>
    </w:p>
    <w:bookmarkEnd w:id="3"/>
    <w:p w14:paraId="78651973" w14:textId="5DA12282" w:rsidR="00943464" w:rsidRDefault="00943464" w:rsidP="00FF44CC">
      <w:pPr>
        <w:widowControl/>
        <w:tabs>
          <w:tab w:val="left" w:pos="567"/>
        </w:tabs>
        <w:autoSpaceDE/>
        <w:autoSpaceDN/>
        <w:spacing w:after="120"/>
        <w:ind w:left="142"/>
        <w:rPr>
          <w:color w:val="5F5F5F"/>
          <w:sz w:val="20"/>
          <w:szCs w:val="20"/>
        </w:rPr>
      </w:pPr>
      <w:r w:rsidRPr="00D00CE4">
        <w:rPr>
          <w:color w:val="5F5F5F"/>
          <w:sz w:val="20"/>
          <w:szCs w:val="20"/>
        </w:rPr>
        <w:t xml:space="preserve">NOPTA will </w:t>
      </w:r>
      <w:proofErr w:type="spellStart"/>
      <w:r w:rsidRPr="00D00CE4">
        <w:rPr>
          <w:color w:val="5F5F5F"/>
          <w:sz w:val="20"/>
          <w:szCs w:val="20"/>
        </w:rPr>
        <w:t>analyse</w:t>
      </w:r>
      <w:proofErr w:type="spellEnd"/>
      <w:r w:rsidRPr="00D00CE4">
        <w:rPr>
          <w:color w:val="5F5F5F"/>
          <w:sz w:val="20"/>
          <w:szCs w:val="20"/>
        </w:rPr>
        <w:t xml:space="preserve"> the extent to which there are reasonable grounds for adopting</w:t>
      </w:r>
      <w:r w:rsidR="00EA71F3">
        <w:rPr>
          <w:color w:val="5F5F5F"/>
          <w:sz w:val="20"/>
          <w:szCs w:val="20"/>
        </w:rPr>
        <w:t xml:space="preserve"> any</w:t>
      </w:r>
      <w:r w:rsidRPr="00D00CE4">
        <w:rPr>
          <w:color w:val="5F5F5F"/>
          <w:sz w:val="20"/>
          <w:szCs w:val="20"/>
        </w:rPr>
        <w:t xml:space="preserve"> alternative</w:t>
      </w:r>
      <w:r w:rsidR="00EA71F3">
        <w:rPr>
          <w:color w:val="5F5F5F"/>
          <w:sz w:val="20"/>
          <w:szCs w:val="20"/>
        </w:rPr>
        <w:t xml:space="preserve"> commercial viability </w:t>
      </w:r>
      <w:r w:rsidRPr="00D00CE4">
        <w:rPr>
          <w:color w:val="5F5F5F"/>
          <w:sz w:val="20"/>
          <w:szCs w:val="20"/>
        </w:rPr>
        <w:t xml:space="preserve">assumptions and methodologies. Applicants should provide more detailed information to support those parts of the application that are critical to </w:t>
      </w:r>
      <w:r w:rsidR="002E7538">
        <w:rPr>
          <w:color w:val="5F5F5F"/>
          <w:sz w:val="20"/>
          <w:szCs w:val="20"/>
        </w:rPr>
        <w:t>demonstrating to</w:t>
      </w:r>
      <w:r w:rsidR="002E7538" w:rsidRPr="00D00CE4">
        <w:rPr>
          <w:color w:val="5F5F5F"/>
          <w:sz w:val="20"/>
          <w:szCs w:val="20"/>
        </w:rPr>
        <w:t xml:space="preserve"> </w:t>
      </w:r>
      <w:r w:rsidRPr="00D00CE4">
        <w:rPr>
          <w:color w:val="5F5F5F"/>
          <w:sz w:val="20"/>
          <w:szCs w:val="20"/>
        </w:rPr>
        <w:t>the Joint Authority that the criteria in s</w:t>
      </w:r>
      <w:r w:rsidR="00CB558D">
        <w:rPr>
          <w:color w:val="5F5F5F"/>
          <w:sz w:val="20"/>
          <w:szCs w:val="20"/>
        </w:rPr>
        <w:t xml:space="preserve"> </w:t>
      </w:r>
      <w:r w:rsidRPr="00D00CE4">
        <w:rPr>
          <w:color w:val="5F5F5F"/>
          <w:sz w:val="20"/>
          <w:szCs w:val="20"/>
        </w:rPr>
        <w:t>142, s</w:t>
      </w:r>
      <w:r w:rsidR="00CB558D">
        <w:rPr>
          <w:color w:val="5F5F5F"/>
          <w:sz w:val="20"/>
          <w:szCs w:val="20"/>
        </w:rPr>
        <w:t xml:space="preserve"> </w:t>
      </w:r>
      <w:r w:rsidRPr="00D00CE4">
        <w:rPr>
          <w:color w:val="5F5F5F"/>
          <w:sz w:val="20"/>
          <w:szCs w:val="20"/>
        </w:rPr>
        <w:t>148 or s</w:t>
      </w:r>
      <w:r w:rsidR="00CB558D">
        <w:rPr>
          <w:color w:val="5F5F5F"/>
          <w:sz w:val="20"/>
          <w:szCs w:val="20"/>
        </w:rPr>
        <w:t xml:space="preserve"> </w:t>
      </w:r>
      <w:r w:rsidRPr="00D00CE4">
        <w:rPr>
          <w:color w:val="5F5F5F"/>
          <w:sz w:val="20"/>
          <w:szCs w:val="20"/>
        </w:rPr>
        <w:t>154 can be met.</w:t>
      </w:r>
    </w:p>
    <w:p w14:paraId="3ED3707B" w14:textId="128F08EE" w:rsidR="00943464" w:rsidRPr="00943464" w:rsidRDefault="00943464" w:rsidP="00FF44CC">
      <w:pPr>
        <w:ind w:left="142"/>
        <w:rPr>
          <w:color w:val="5F5F5F"/>
          <w:sz w:val="20"/>
          <w:szCs w:val="20"/>
        </w:rPr>
      </w:pPr>
      <w:r w:rsidRPr="00943464">
        <w:rPr>
          <w:color w:val="5F5F5F"/>
          <w:sz w:val="20"/>
          <w:szCs w:val="20"/>
        </w:rPr>
        <w:t>Information on the following assumptions should be included:</w:t>
      </w:r>
    </w:p>
    <w:p w14:paraId="508EFD64" w14:textId="235BF3A8"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Modelling a</w:t>
      </w:r>
      <w:r w:rsidR="00CB558D">
        <w:rPr>
          <w:color w:val="5F5F5F"/>
          <w:sz w:val="20"/>
          <w:szCs w:val="20"/>
        </w:rPr>
        <w:t>ssumptions about decline curves;</w:t>
      </w:r>
    </w:p>
    <w:p w14:paraId="189BD5F3" w14:textId="254BA437"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Product conversion rates</w:t>
      </w:r>
      <w:r w:rsidR="00222264">
        <w:rPr>
          <w:color w:val="5F5F5F"/>
          <w:sz w:val="20"/>
          <w:szCs w:val="20"/>
        </w:rPr>
        <w:t>, fuel and flare percentages, liquids content of gas as necessary. Raw gas profiles must be reconcila</w:t>
      </w:r>
      <w:r w:rsidR="00CB558D">
        <w:rPr>
          <w:color w:val="5F5F5F"/>
          <w:sz w:val="20"/>
          <w:szCs w:val="20"/>
        </w:rPr>
        <w:t>ble with sales product profiles;</w:t>
      </w:r>
    </w:p>
    <w:p w14:paraId="2D6B7EFB" w14:textId="04E6A58C"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Basis of</w:t>
      </w:r>
      <w:r w:rsidR="00CB558D">
        <w:rPr>
          <w:color w:val="5F5F5F"/>
          <w:sz w:val="20"/>
          <w:szCs w:val="20"/>
        </w:rPr>
        <w:t xml:space="preserve"> product(s) pricing assumptions;</w:t>
      </w:r>
    </w:p>
    <w:p w14:paraId="0FF32367" w14:textId="3C08BDCA"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Tariff assumptions by component as appropriate e.g. transportation, processing, capacity res</w:t>
      </w:r>
      <w:r w:rsidR="00CB558D">
        <w:rPr>
          <w:color w:val="5F5F5F"/>
          <w:sz w:val="20"/>
          <w:szCs w:val="20"/>
        </w:rPr>
        <w:t xml:space="preserve">ervation, capital repayment </w:t>
      </w:r>
      <w:r w:rsidR="00D85641">
        <w:rPr>
          <w:color w:val="5F5F5F"/>
          <w:sz w:val="20"/>
          <w:szCs w:val="20"/>
        </w:rPr>
        <w:t>etc.</w:t>
      </w:r>
      <w:r w:rsidR="00CB558D">
        <w:rPr>
          <w:color w:val="5F5F5F"/>
          <w:sz w:val="20"/>
          <w:szCs w:val="20"/>
        </w:rPr>
        <w:t>;</w:t>
      </w:r>
    </w:p>
    <w:p w14:paraId="7DA1CD14" w14:textId="626C57F2"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Depreciation method, lifetimes, and assumptio</w:t>
      </w:r>
      <w:r w:rsidR="00CB558D">
        <w:rPr>
          <w:color w:val="5F5F5F"/>
          <w:sz w:val="20"/>
          <w:szCs w:val="20"/>
        </w:rPr>
        <w:t>ns and formulae for calculation;</w:t>
      </w:r>
    </w:p>
    <w:p w14:paraId="43456DFA" w14:textId="675DC400" w:rsidR="00943464" w:rsidRPr="00943464" w:rsidRDefault="00943464" w:rsidP="00FF44CC">
      <w:pPr>
        <w:pStyle w:val="ListParagraph"/>
        <w:widowControl/>
        <w:numPr>
          <w:ilvl w:val="0"/>
          <w:numId w:val="30"/>
        </w:numPr>
        <w:tabs>
          <w:tab w:val="left" w:pos="567"/>
        </w:tabs>
        <w:autoSpaceDE/>
        <w:autoSpaceDN/>
        <w:ind w:left="567"/>
        <w:rPr>
          <w:color w:val="5F5F5F"/>
          <w:sz w:val="20"/>
          <w:szCs w:val="20"/>
        </w:rPr>
      </w:pPr>
      <w:r w:rsidRPr="00943464">
        <w:rPr>
          <w:color w:val="5F5F5F"/>
          <w:sz w:val="20"/>
          <w:szCs w:val="20"/>
        </w:rPr>
        <w:t>Inflation rates, exchange r</w:t>
      </w:r>
      <w:r w:rsidR="00CB558D">
        <w:rPr>
          <w:color w:val="5F5F5F"/>
          <w:sz w:val="20"/>
          <w:szCs w:val="20"/>
        </w:rPr>
        <w:t>ates and company tax provisions;</w:t>
      </w:r>
    </w:p>
    <w:p w14:paraId="5998F772" w14:textId="6FB1A303"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PRRT assumptions including GDP factor and long-term bond rate assumptions, ant</w:t>
      </w:r>
      <w:r w:rsidR="00CB558D">
        <w:rPr>
          <w:color w:val="5F5F5F"/>
          <w:sz w:val="20"/>
          <w:szCs w:val="20"/>
        </w:rPr>
        <w:t>icipated starting base expenses;</w:t>
      </w:r>
    </w:p>
    <w:p w14:paraId="5C59B245" w14:textId="3A1101CA" w:rsidR="00943464"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Discount rate (this should reflect the weighted average cost of capital</w:t>
      </w:r>
      <w:r w:rsidR="00EE365D">
        <w:rPr>
          <w:color w:val="5F5F5F"/>
          <w:sz w:val="20"/>
          <w:szCs w:val="20"/>
        </w:rPr>
        <w:t xml:space="preserve"> or the long term bond rate plus 5%</w:t>
      </w:r>
      <w:r w:rsidR="00CB558D">
        <w:rPr>
          <w:color w:val="5F5F5F"/>
          <w:sz w:val="20"/>
          <w:szCs w:val="20"/>
        </w:rPr>
        <w:t xml:space="preserve">); </w:t>
      </w:r>
      <w:r w:rsidRPr="00943464">
        <w:rPr>
          <w:color w:val="5F5F5F"/>
          <w:sz w:val="20"/>
          <w:szCs w:val="20"/>
        </w:rPr>
        <w:t>and</w:t>
      </w:r>
    </w:p>
    <w:p w14:paraId="6CDFB38F" w14:textId="14FD96CD" w:rsidR="0027382C" w:rsidRPr="00943464" w:rsidRDefault="00943464" w:rsidP="00FF44CC">
      <w:pPr>
        <w:pStyle w:val="ListParagraph"/>
        <w:widowControl/>
        <w:numPr>
          <w:ilvl w:val="0"/>
          <w:numId w:val="30"/>
        </w:numPr>
        <w:tabs>
          <w:tab w:val="left" w:pos="567"/>
        </w:tabs>
        <w:autoSpaceDE/>
        <w:autoSpaceDN/>
        <w:spacing w:after="120"/>
        <w:ind w:left="567"/>
        <w:rPr>
          <w:color w:val="5F5F5F"/>
          <w:sz w:val="20"/>
          <w:szCs w:val="20"/>
        </w:rPr>
      </w:pPr>
      <w:r w:rsidRPr="00943464">
        <w:rPr>
          <w:color w:val="5F5F5F"/>
          <w:sz w:val="20"/>
          <w:szCs w:val="20"/>
        </w:rPr>
        <w:t>Reference date.</w:t>
      </w:r>
    </w:p>
    <w:p w14:paraId="211F1770" w14:textId="5FF5EF4A" w:rsidR="00AA4330" w:rsidRPr="006C3EE0" w:rsidRDefault="00EB07CD" w:rsidP="00B3775F">
      <w:pPr>
        <w:pStyle w:val="Heading2"/>
        <w:ind w:left="119"/>
        <w:rPr>
          <w:color w:val="27629B"/>
        </w:rPr>
      </w:pPr>
      <w:r>
        <w:rPr>
          <w:color w:val="27629B"/>
        </w:rPr>
        <w:t>Q</w:t>
      </w:r>
      <w:r w:rsidR="005F4BDC">
        <w:rPr>
          <w:color w:val="27629B"/>
        </w:rPr>
        <w:t>uestions</w:t>
      </w:r>
    </w:p>
    <w:p w14:paraId="40D2F091" w14:textId="77777777" w:rsidR="00AA4330" w:rsidRDefault="005F4BDC" w:rsidP="00B3775F">
      <w:pPr>
        <w:pStyle w:val="BodyText"/>
        <w:spacing w:before="122"/>
        <w:ind w:left="119" w:right="611"/>
      </w:pPr>
      <w:r>
        <w:rPr>
          <w:color w:val="5F5F5F"/>
        </w:rPr>
        <w:t>If you have any questions about this factsheet, please contact NOPTA via</w:t>
      </w:r>
      <w:r>
        <w:rPr>
          <w:color w:val="5F5F5F"/>
          <w:spacing w:val="-3"/>
        </w:rPr>
        <w:t xml:space="preserve"> </w:t>
      </w:r>
      <w:hyperlink r:id="rId18">
        <w:r w:rsidRPr="006C3EE0">
          <w:rPr>
            <w:color w:val="0562C1"/>
            <w:u w:val="single" w:color="0562C1"/>
          </w:rPr>
          <w:t>titles</w:t>
        </w:r>
        <w:r>
          <w:rPr>
            <w:color w:val="0562C1"/>
            <w:u w:val="single" w:color="0562C1"/>
          </w:rPr>
          <w:t>@nopta.gov.au</w:t>
        </w:r>
        <w:r>
          <w:rPr>
            <w:color w:val="5F5F5F"/>
          </w:rPr>
          <w:t>.</w:t>
        </w:r>
      </w:hyperlink>
    </w:p>
    <w:p w14:paraId="280D3391" w14:textId="2C0B0E0D" w:rsidR="00266F07" w:rsidRPr="006C3EE0" w:rsidRDefault="00266F07" w:rsidP="006C3EE0">
      <w:pPr>
        <w:pStyle w:val="Heading2"/>
        <w:ind w:left="119"/>
        <w:rPr>
          <w:color w:val="27629B"/>
        </w:rPr>
      </w:pPr>
      <w:bookmarkStart w:id="4" w:name="_Hlk15570741"/>
      <w:r w:rsidRPr="006C3EE0">
        <w:rPr>
          <w:color w:val="27629B"/>
        </w:rPr>
        <w:t>Version history</w:t>
      </w:r>
    </w:p>
    <w:tbl>
      <w:tblPr>
        <w:tblStyle w:val="GridTable1Light11"/>
        <w:tblW w:w="4673" w:type="dxa"/>
        <w:tblLook w:val="0420" w:firstRow="1" w:lastRow="0" w:firstColumn="0" w:lastColumn="0" w:noHBand="0" w:noVBand="1"/>
      </w:tblPr>
      <w:tblGrid>
        <w:gridCol w:w="803"/>
        <w:gridCol w:w="1177"/>
        <w:gridCol w:w="2693"/>
      </w:tblGrid>
      <w:tr w:rsidR="00D51425" w:rsidRPr="00D51425" w14:paraId="79927FD9" w14:textId="77777777" w:rsidTr="00A711B3">
        <w:trPr>
          <w:cnfStyle w:val="100000000000" w:firstRow="1" w:lastRow="0" w:firstColumn="0" w:lastColumn="0" w:oddVBand="0" w:evenVBand="0" w:oddHBand="0" w:evenHBand="0" w:firstRowFirstColumn="0" w:firstRowLastColumn="0" w:lastRowFirstColumn="0" w:lastRowLastColumn="0"/>
          <w:tblHeader/>
        </w:trPr>
        <w:tc>
          <w:tcPr>
            <w:tcW w:w="803" w:type="dxa"/>
          </w:tcPr>
          <w:p w14:paraId="1D8007D0" w14:textId="77777777" w:rsidR="00266F07" w:rsidRPr="00065513" w:rsidRDefault="00266F07" w:rsidP="00886585">
            <w:pPr>
              <w:spacing w:before="60" w:after="60"/>
              <w:jc w:val="center"/>
              <w:rPr>
                <w:color w:val="5F5F5F"/>
                <w:sz w:val="16"/>
                <w:szCs w:val="16"/>
              </w:rPr>
            </w:pPr>
            <w:r w:rsidRPr="00065513">
              <w:rPr>
                <w:color w:val="5F5F5F"/>
                <w:sz w:val="16"/>
                <w:szCs w:val="16"/>
              </w:rPr>
              <w:t>Version</w:t>
            </w:r>
          </w:p>
        </w:tc>
        <w:tc>
          <w:tcPr>
            <w:tcW w:w="1177" w:type="dxa"/>
          </w:tcPr>
          <w:p w14:paraId="53B86AA3" w14:textId="77777777" w:rsidR="00266F07" w:rsidRPr="00065513" w:rsidRDefault="00266F07" w:rsidP="00886585">
            <w:pPr>
              <w:spacing w:before="60" w:after="60"/>
              <w:rPr>
                <w:color w:val="5F5F5F"/>
                <w:sz w:val="16"/>
                <w:szCs w:val="16"/>
              </w:rPr>
            </w:pPr>
            <w:r w:rsidRPr="00065513">
              <w:rPr>
                <w:color w:val="5F5F5F"/>
                <w:sz w:val="16"/>
                <w:szCs w:val="16"/>
              </w:rPr>
              <w:t>Date</w:t>
            </w:r>
          </w:p>
        </w:tc>
        <w:tc>
          <w:tcPr>
            <w:tcW w:w="2693" w:type="dxa"/>
          </w:tcPr>
          <w:p w14:paraId="64DFD245" w14:textId="77777777" w:rsidR="00266F07" w:rsidRPr="00065513" w:rsidRDefault="00266F07" w:rsidP="00886585">
            <w:pPr>
              <w:spacing w:before="60" w:after="60"/>
              <w:rPr>
                <w:color w:val="5F5F5F"/>
                <w:sz w:val="16"/>
                <w:szCs w:val="16"/>
              </w:rPr>
            </w:pPr>
            <w:r w:rsidRPr="00065513">
              <w:rPr>
                <w:color w:val="5F5F5F"/>
                <w:sz w:val="16"/>
                <w:szCs w:val="16"/>
              </w:rPr>
              <w:t>Comment</w:t>
            </w:r>
          </w:p>
        </w:tc>
      </w:tr>
      <w:tr w:rsidR="00D51425" w:rsidRPr="00D51425" w14:paraId="16D58476" w14:textId="77777777" w:rsidTr="00A711B3">
        <w:tc>
          <w:tcPr>
            <w:tcW w:w="803" w:type="dxa"/>
            <w:vAlign w:val="center"/>
          </w:tcPr>
          <w:p w14:paraId="043F9F6C" w14:textId="54CEC486" w:rsidR="00266F07" w:rsidRPr="00065513" w:rsidRDefault="009A73B9" w:rsidP="00886585">
            <w:pPr>
              <w:spacing w:after="60"/>
              <w:jc w:val="center"/>
              <w:rPr>
                <w:color w:val="5F5F5F"/>
                <w:sz w:val="16"/>
                <w:szCs w:val="16"/>
              </w:rPr>
            </w:pPr>
            <w:r>
              <w:rPr>
                <w:color w:val="5F5F5F"/>
                <w:sz w:val="16"/>
                <w:szCs w:val="16"/>
              </w:rPr>
              <w:t>1</w:t>
            </w:r>
            <w:r w:rsidR="00266F07" w:rsidRPr="00065513">
              <w:rPr>
                <w:color w:val="5F5F5F"/>
                <w:sz w:val="16"/>
                <w:szCs w:val="16"/>
              </w:rPr>
              <w:t>.0</w:t>
            </w:r>
          </w:p>
        </w:tc>
        <w:tc>
          <w:tcPr>
            <w:tcW w:w="1177" w:type="dxa"/>
            <w:vAlign w:val="center"/>
          </w:tcPr>
          <w:p w14:paraId="17D3A1D1" w14:textId="46131349" w:rsidR="00266F07" w:rsidRPr="00065513" w:rsidRDefault="004403C8" w:rsidP="009A73B9">
            <w:pPr>
              <w:tabs>
                <w:tab w:val="left" w:pos="371"/>
              </w:tabs>
              <w:spacing w:before="60" w:after="60"/>
              <w:rPr>
                <w:color w:val="5F5F5F"/>
                <w:sz w:val="16"/>
                <w:szCs w:val="16"/>
              </w:rPr>
            </w:pPr>
            <w:r>
              <w:rPr>
                <w:color w:val="5F5F5F"/>
                <w:sz w:val="16"/>
                <w:szCs w:val="16"/>
              </w:rPr>
              <w:t>February 2022</w:t>
            </w:r>
          </w:p>
        </w:tc>
        <w:tc>
          <w:tcPr>
            <w:tcW w:w="2693" w:type="dxa"/>
            <w:vAlign w:val="center"/>
          </w:tcPr>
          <w:p w14:paraId="2CF38F84" w14:textId="0EAD3098" w:rsidR="00266F07" w:rsidRPr="00065513" w:rsidRDefault="00266F07" w:rsidP="006C3EE0">
            <w:pPr>
              <w:spacing w:before="60" w:after="60"/>
              <w:rPr>
                <w:color w:val="5F5F5F"/>
                <w:sz w:val="16"/>
                <w:szCs w:val="16"/>
              </w:rPr>
            </w:pPr>
            <w:r w:rsidRPr="00065513">
              <w:rPr>
                <w:color w:val="5F5F5F"/>
                <w:sz w:val="16"/>
                <w:szCs w:val="16"/>
              </w:rPr>
              <w:t xml:space="preserve">Creation of </w:t>
            </w:r>
            <w:r w:rsidR="006C3EE0">
              <w:rPr>
                <w:color w:val="5F5F5F"/>
                <w:sz w:val="16"/>
                <w:szCs w:val="16"/>
              </w:rPr>
              <w:t>fact</w:t>
            </w:r>
            <w:r w:rsidRPr="00065513">
              <w:rPr>
                <w:color w:val="5F5F5F"/>
                <w:sz w:val="16"/>
                <w:szCs w:val="16"/>
              </w:rPr>
              <w:t>sheet</w:t>
            </w:r>
            <w:r w:rsidR="006C3EE0">
              <w:rPr>
                <w:color w:val="5F5F5F"/>
                <w:sz w:val="16"/>
                <w:szCs w:val="16"/>
              </w:rPr>
              <w:t>. Factsheet comes into effect on 2 March 2022</w:t>
            </w:r>
          </w:p>
        </w:tc>
      </w:tr>
      <w:bookmarkEnd w:id="4"/>
    </w:tbl>
    <w:p w14:paraId="6B940296" w14:textId="6823BE6C" w:rsidR="00642819" w:rsidRDefault="00642819">
      <w:pPr>
        <w:rPr>
          <w:b/>
        </w:rPr>
        <w:sectPr w:rsidR="00642819" w:rsidSect="009A73B9">
          <w:type w:val="continuous"/>
          <w:pgSz w:w="11910" w:h="16840"/>
          <w:pgMar w:top="2461" w:right="618" w:bottom="1134" w:left="601" w:header="6" w:footer="482" w:gutter="0"/>
          <w:cols w:num="2" w:space="720"/>
          <w:docGrid w:linePitch="299"/>
        </w:sectPr>
      </w:pPr>
    </w:p>
    <w:p w14:paraId="357F344F" w14:textId="77777777" w:rsidR="00AF4E7B" w:rsidRDefault="00AF4E7B" w:rsidP="00065513">
      <w:pPr>
        <w:spacing w:after="160" w:line="259" w:lineRule="auto"/>
        <w:sectPr w:rsidR="00AF4E7B" w:rsidSect="00046AF0">
          <w:headerReference w:type="even" r:id="rId19"/>
          <w:headerReference w:type="default" r:id="rId20"/>
          <w:headerReference w:type="first" r:id="rId21"/>
          <w:type w:val="continuous"/>
          <w:pgSz w:w="11910" w:h="16840"/>
          <w:pgMar w:top="1702" w:right="618" w:bottom="907" w:left="601" w:header="6" w:footer="482" w:gutter="0"/>
          <w:cols w:space="720"/>
        </w:sectPr>
      </w:pPr>
    </w:p>
    <w:p w14:paraId="225CF740" w14:textId="59273F37" w:rsidR="00C91E19" w:rsidRPr="00201E1B" w:rsidRDefault="00C91E19" w:rsidP="00A50C46">
      <w:pPr>
        <w:pStyle w:val="Heading1"/>
        <w:ind w:left="0"/>
        <w:rPr>
          <w:rFonts w:asciiTheme="minorHAnsi" w:hAnsiTheme="minorHAnsi" w:cstheme="minorHAnsi"/>
          <w:color w:val="27629B"/>
        </w:rPr>
      </w:pPr>
      <w:bookmarkStart w:id="5" w:name="_Attachment_A_"/>
      <w:bookmarkStart w:id="6" w:name="_Attachment_A_:"/>
      <w:bookmarkStart w:id="7" w:name="_Attachment_A"/>
      <w:bookmarkEnd w:id="5"/>
      <w:bookmarkEnd w:id="6"/>
      <w:bookmarkEnd w:id="7"/>
      <w:r w:rsidRPr="00201E1B">
        <w:rPr>
          <w:rStyle w:val="Heading1Char"/>
          <w:rFonts w:asciiTheme="minorHAnsi" w:hAnsiTheme="minorHAnsi" w:cstheme="minorHAnsi"/>
          <w:b/>
          <w:color w:val="27629B"/>
        </w:rPr>
        <w:lastRenderedPageBreak/>
        <w:t>Attachment A</w:t>
      </w:r>
    </w:p>
    <w:p w14:paraId="789F2D61" w14:textId="1D132C41" w:rsidR="00341250" w:rsidRDefault="00341250" w:rsidP="00201E1B">
      <w:pPr>
        <w:pStyle w:val="ListParagraph"/>
        <w:ind w:left="0" w:firstLine="0"/>
        <w:rPr>
          <w:rFonts w:asciiTheme="minorHAnsi" w:hAnsiTheme="minorHAnsi" w:cstheme="minorHAnsi"/>
          <w:b/>
          <w:bCs/>
        </w:rPr>
      </w:pPr>
    </w:p>
    <w:tbl>
      <w:tblPr>
        <w:tblW w:w="5000" w:type="pct"/>
        <w:tblLook w:val="04A0" w:firstRow="1" w:lastRow="0" w:firstColumn="1" w:lastColumn="0" w:noHBand="0" w:noVBand="1"/>
      </w:tblPr>
      <w:tblGrid>
        <w:gridCol w:w="3888"/>
        <w:gridCol w:w="754"/>
        <w:gridCol w:w="755"/>
        <w:gridCol w:w="757"/>
        <w:gridCol w:w="757"/>
        <w:gridCol w:w="757"/>
        <w:gridCol w:w="757"/>
        <w:gridCol w:w="757"/>
        <w:gridCol w:w="757"/>
        <w:gridCol w:w="742"/>
      </w:tblGrid>
      <w:tr w:rsidR="00341250" w:rsidRPr="006C4099" w14:paraId="40AACEDD" w14:textId="77777777" w:rsidTr="00CD2849">
        <w:trPr>
          <w:trHeight w:val="320"/>
        </w:trPr>
        <w:tc>
          <w:tcPr>
            <w:tcW w:w="132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4DA51F"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 xml:space="preserve">Field </w:t>
            </w:r>
            <w:r>
              <w:rPr>
                <w:rFonts w:asciiTheme="minorHAnsi" w:eastAsia="Times New Roman" w:hAnsiTheme="minorHAnsi" w:cstheme="minorHAnsi"/>
                <w:b/>
                <w:bCs/>
                <w:color w:val="000000"/>
                <w:sz w:val="20"/>
                <w:szCs w:val="20"/>
                <w:lang w:val="en-AU" w:eastAsia="en-AU"/>
              </w:rPr>
              <w:t>Name:</w:t>
            </w:r>
          </w:p>
        </w:tc>
        <w:tc>
          <w:tcPr>
            <w:tcW w:w="408" w:type="pct"/>
            <w:tcBorders>
              <w:top w:val="nil"/>
              <w:left w:val="nil"/>
              <w:bottom w:val="nil"/>
              <w:right w:val="nil"/>
            </w:tcBorders>
            <w:shd w:val="clear" w:color="auto" w:fill="auto"/>
            <w:noWrap/>
            <w:vAlign w:val="bottom"/>
            <w:hideMark/>
          </w:tcPr>
          <w:p w14:paraId="42C46A08"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p>
        </w:tc>
        <w:tc>
          <w:tcPr>
            <w:tcW w:w="408" w:type="pct"/>
            <w:tcBorders>
              <w:top w:val="nil"/>
              <w:left w:val="nil"/>
              <w:bottom w:val="nil"/>
              <w:right w:val="nil"/>
            </w:tcBorders>
            <w:shd w:val="clear" w:color="auto" w:fill="auto"/>
            <w:noWrap/>
            <w:vAlign w:val="bottom"/>
            <w:hideMark/>
          </w:tcPr>
          <w:p w14:paraId="04249199"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9F2422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DE05BAF"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132A250A"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52DBA9A7"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50084E4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69AFAEC4"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2" w:type="pct"/>
            <w:tcBorders>
              <w:top w:val="nil"/>
              <w:left w:val="nil"/>
              <w:bottom w:val="nil"/>
              <w:right w:val="nil"/>
            </w:tcBorders>
            <w:shd w:val="clear" w:color="auto" w:fill="auto"/>
            <w:noWrap/>
            <w:vAlign w:val="bottom"/>
            <w:hideMark/>
          </w:tcPr>
          <w:p w14:paraId="13D07F28"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r>
      <w:tr w:rsidR="00341250" w:rsidRPr="006C4099" w14:paraId="1972FC6D" w14:textId="77777777" w:rsidTr="00CD2849">
        <w:trPr>
          <w:trHeight w:val="320"/>
        </w:trPr>
        <w:tc>
          <w:tcPr>
            <w:tcW w:w="1328" w:type="pct"/>
            <w:tcBorders>
              <w:top w:val="nil"/>
              <w:left w:val="single" w:sz="8" w:space="0" w:color="auto"/>
              <w:bottom w:val="single" w:sz="8" w:space="0" w:color="auto"/>
              <w:right w:val="single" w:sz="8" w:space="0" w:color="auto"/>
            </w:tcBorders>
            <w:shd w:val="clear" w:color="auto" w:fill="auto"/>
            <w:noWrap/>
            <w:vAlign w:val="bottom"/>
            <w:hideMark/>
          </w:tcPr>
          <w:p w14:paraId="73CECA00"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Basin</w:t>
            </w:r>
            <w:r>
              <w:rPr>
                <w:rFonts w:asciiTheme="minorHAnsi" w:eastAsia="Times New Roman" w:hAnsiTheme="minorHAnsi" w:cstheme="minorHAnsi"/>
                <w:b/>
                <w:bCs/>
                <w:color w:val="000000"/>
                <w:sz w:val="20"/>
                <w:szCs w:val="20"/>
                <w:lang w:val="en-AU" w:eastAsia="en-AU"/>
              </w:rPr>
              <w:t>:</w:t>
            </w:r>
          </w:p>
        </w:tc>
        <w:tc>
          <w:tcPr>
            <w:tcW w:w="408" w:type="pct"/>
            <w:tcBorders>
              <w:top w:val="nil"/>
              <w:left w:val="nil"/>
              <w:bottom w:val="nil"/>
              <w:right w:val="nil"/>
            </w:tcBorders>
            <w:shd w:val="clear" w:color="auto" w:fill="auto"/>
            <w:noWrap/>
            <w:vAlign w:val="bottom"/>
            <w:hideMark/>
          </w:tcPr>
          <w:p w14:paraId="5F285A68"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p>
        </w:tc>
        <w:tc>
          <w:tcPr>
            <w:tcW w:w="408" w:type="pct"/>
            <w:tcBorders>
              <w:top w:val="nil"/>
              <w:left w:val="nil"/>
              <w:bottom w:val="nil"/>
              <w:right w:val="nil"/>
            </w:tcBorders>
            <w:shd w:val="clear" w:color="auto" w:fill="auto"/>
            <w:noWrap/>
            <w:vAlign w:val="bottom"/>
            <w:hideMark/>
          </w:tcPr>
          <w:p w14:paraId="2A214417"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593DE6F1"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36D19B6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24438F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E4AB83F"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38B122C"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944C7D4"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2" w:type="pct"/>
            <w:tcBorders>
              <w:top w:val="nil"/>
              <w:left w:val="nil"/>
              <w:bottom w:val="nil"/>
              <w:right w:val="nil"/>
            </w:tcBorders>
            <w:shd w:val="clear" w:color="auto" w:fill="auto"/>
            <w:noWrap/>
            <w:vAlign w:val="bottom"/>
            <w:hideMark/>
          </w:tcPr>
          <w:p w14:paraId="2EB2B914"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r>
      <w:tr w:rsidR="00341250" w:rsidRPr="006C4099" w14:paraId="5B8D6015" w14:textId="77777777" w:rsidTr="00CD2849">
        <w:trPr>
          <w:trHeight w:val="320"/>
        </w:trPr>
        <w:tc>
          <w:tcPr>
            <w:tcW w:w="1328" w:type="pct"/>
            <w:tcBorders>
              <w:top w:val="nil"/>
              <w:left w:val="single" w:sz="8" w:space="0" w:color="auto"/>
              <w:bottom w:val="single" w:sz="8" w:space="0" w:color="auto"/>
              <w:right w:val="single" w:sz="8" w:space="0" w:color="auto"/>
            </w:tcBorders>
            <w:shd w:val="clear" w:color="auto" w:fill="auto"/>
            <w:noWrap/>
            <w:vAlign w:val="bottom"/>
            <w:hideMark/>
          </w:tcPr>
          <w:p w14:paraId="6B4A9200"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Reference Date</w:t>
            </w:r>
            <w:r>
              <w:rPr>
                <w:rFonts w:asciiTheme="minorHAnsi" w:eastAsia="Times New Roman" w:hAnsiTheme="minorHAnsi" w:cstheme="minorHAnsi"/>
                <w:b/>
                <w:bCs/>
                <w:color w:val="000000"/>
                <w:sz w:val="20"/>
                <w:szCs w:val="20"/>
                <w:lang w:val="en-AU" w:eastAsia="en-AU"/>
              </w:rPr>
              <w:t>:</w:t>
            </w:r>
          </w:p>
        </w:tc>
        <w:tc>
          <w:tcPr>
            <w:tcW w:w="408" w:type="pct"/>
            <w:tcBorders>
              <w:top w:val="nil"/>
              <w:left w:val="nil"/>
              <w:bottom w:val="nil"/>
              <w:right w:val="nil"/>
            </w:tcBorders>
            <w:shd w:val="clear" w:color="auto" w:fill="auto"/>
            <w:noWrap/>
            <w:vAlign w:val="bottom"/>
            <w:hideMark/>
          </w:tcPr>
          <w:p w14:paraId="26CFF0E1"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p>
        </w:tc>
        <w:tc>
          <w:tcPr>
            <w:tcW w:w="408" w:type="pct"/>
            <w:tcBorders>
              <w:top w:val="nil"/>
              <w:left w:val="nil"/>
              <w:bottom w:val="nil"/>
              <w:right w:val="nil"/>
            </w:tcBorders>
            <w:shd w:val="clear" w:color="auto" w:fill="auto"/>
            <w:noWrap/>
            <w:vAlign w:val="bottom"/>
            <w:hideMark/>
          </w:tcPr>
          <w:p w14:paraId="1258AA5A"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6E8C0487"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C9693FA"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7B784B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66AF803"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70B93FE9"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DD5D00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2" w:type="pct"/>
            <w:tcBorders>
              <w:top w:val="nil"/>
              <w:left w:val="nil"/>
              <w:bottom w:val="nil"/>
              <w:right w:val="nil"/>
            </w:tcBorders>
            <w:shd w:val="clear" w:color="auto" w:fill="auto"/>
            <w:noWrap/>
            <w:vAlign w:val="bottom"/>
            <w:hideMark/>
          </w:tcPr>
          <w:p w14:paraId="5E9A2BC0"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r>
      <w:tr w:rsidR="00341250" w:rsidRPr="006C4099" w14:paraId="150C34C7" w14:textId="77777777" w:rsidTr="00CD2849">
        <w:trPr>
          <w:trHeight w:val="320"/>
        </w:trPr>
        <w:tc>
          <w:tcPr>
            <w:tcW w:w="1328" w:type="pct"/>
            <w:tcBorders>
              <w:top w:val="nil"/>
              <w:left w:val="single" w:sz="8" w:space="0" w:color="auto"/>
              <w:bottom w:val="single" w:sz="8" w:space="0" w:color="auto"/>
              <w:right w:val="single" w:sz="8" w:space="0" w:color="auto"/>
            </w:tcBorders>
            <w:shd w:val="clear" w:color="auto" w:fill="auto"/>
            <w:noWrap/>
            <w:vAlign w:val="bottom"/>
            <w:hideMark/>
          </w:tcPr>
          <w:p w14:paraId="59ABDEB8"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Reference Point</w:t>
            </w:r>
            <w:r w:rsidRPr="00CD2849">
              <w:rPr>
                <w:rFonts w:asciiTheme="minorHAnsi" w:eastAsia="Times New Roman" w:hAnsiTheme="minorHAnsi" w:cstheme="minorHAnsi"/>
                <w:b/>
                <w:bCs/>
                <w:color w:val="000000"/>
                <w:sz w:val="20"/>
                <w:szCs w:val="20"/>
                <w:vertAlign w:val="superscript"/>
                <w:lang w:val="en-AU" w:eastAsia="en-AU"/>
              </w:rPr>
              <w:t>#</w:t>
            </w:r>
            <w:r>
              <w:rPr>
                <w:rFonts w:asciiTheme="minorHAnsi" w:eastAsia="Times New Roman" w:hAnsiTheme="minorHAnsi" w:cstheme="minorHAnsi"/>
                <w:b/>
                <w:bCs/>
                <w:color w:val="000000"/>
                <w:sz w:val="20"/>
                <w:szCs w:val="20"/>
                <w:lang w:val="en-AU" w:eastAsia="en-AU"/>
              </w:rPr>
              <w:t>:</w:t>
            </w:r>
          </w:p>
        </w:tc>
        <w:tc>
          <w:tcPr>
            <w:tcW w:w="408" w:type="pct"/>
            <w:tcBorders>
              <w:top w:val="nil"/>
              <w:left w:val="nil"/>
              <w:bottom w:val="nil"/>
              <w:right w:val="nil"/>
            </w:tcBorders>
            <w:shd w:val="clear" w:color="auto" w:fill="auto"/>
            <w:noWrap/>
            <w:vAlign w:val="bottom"/>
            <w:hideMark/>
          </w:tcPr>
          <w:p w14:paraId="318C118F"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p>
        </w:tc>
        <w:tc>
          <w:tcPr>
            <w:tcW w:w="408" w:type="pct"/>
            <w:tcBorders>
              <w:top w:val="nil"/>
              <w:left w:val="nil"/>
              <w:bottom w:val="nil"/>
              <w:right w:val="nil"/>
            </w:tcBorders>
            <w:shd w:val="clear" w:color="auto" w:fill="auto"/>
            <w:noWrap/>
            <w:vAlign w:val="bottom"/>
            <w:hideMark/>
          </w:tcPr>
          <w:p w14:paraId="658A772F"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0C0B36E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5469DF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21275A09"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7DB5D96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4462C905"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nil"/>
              <w:right w:val="nil"/>
            </w:tcBorders>
            <w:shd w:val="clear" w:color="auto" w:fill="auto"/>
            <w:noWrap/>
            <w:vAlign w:val="bottom"/>
            <w:hideMark/>
          </w:tcPr>
          <w:p w14:paraId="1CC69511"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2" w:type="pct"/>
            <w:tcBorders>
              <w:top w:val="nil"/>
              <w:left w:val="nil"/>
              <w:bottom w:val="nil"/>
              <w:right w:val="nil"/>
            </w:tcBorders>
            <w:shd w:val="clear" w:color="auto" w:fill="auto"/>
            <w:noWrap/>
            <w:vAlign w:val="bottom"/>
            <w:hideMark/>
          </w:tcPr>
          <w:p w14:paraId="09517543"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r>
      <w:tr w:rsidR="00341250" w:rsidRPr="006C4099" w14:paraId="7B335456" w14:textId="77777777" w:rsidTr="00CD2849">
        <w:trPr>
          <w:trHeight w:val="320"/>
        </w:trPr>
        <w:tc>
          <w:tcPr>
            <w:tcW w:w="132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517AEE"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Project / Development Concept</w:t>
            </w:r>
            <w:r>
              <w:rPr>
                <w:rFonts w:asciiTheme="minorHAnsi" w:eastAsia="Times New Roman" w:hAnsiTheme="minorHAnsi" w:cstheme="minorHAnsi"/>
                <w:b/>
                <w:bCs/>
                <w:color w:val="000000"/>
                <w:sz w:val="20"/>
                <w:szCs w:val="20"/>
                <w:lang w:val="en-AU" w:eastAsia="en-AU"/>
              </w:rPr>
              <w:t xml:space="preserve"> Description:</w:t>
            </w:r>
          </w:p>
        </w:tc>
        <w:tc>
          <w:tcPr>
            <w:tcW w:w="408" w:type="pct"/>
            <w:tcBorders>
              <w:top w:val="nil"/>
              <w:left w:val="nil"/>
              <w:right w:val="nil"/>
            </w:tcBorders>
            <w:shd w:val="clear" w:color="auto" w:fill="auto"/>
            <w:noWrap/>
            <w:vAlign w:val="bottom"/>
            <w:hideMark/>
          </w:tcPr>
          <w:p w14:paraId="20E5BEA0"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p>
        </w:tc>
        <w:tc>
          <w:tcPr>
            <w:tcW w:w="408" w:type="pct"/>
            <w:tcBorders>
              <w:top w:val="nil"/>
              <w:left w:val="nil"/>
              <w:right w:val="nil"/>
            </w:tcBorders>
            <w:shd w:val="clear" w:color="auto" w:fill="auto"/>
            <w:noWrap/>
            <w:vAlign w:val="bottom"/>
            <w:hideMark/>
          </w:tcPr>
          <w:p w14:paraId="28CEC283"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1F08F2E2"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355A9308"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6EC765F5"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729F4FDA"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64C7551B"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right w:val="nil"/>
            </w:tcBorders>
            <w:shd w:val="clear" w:color="auto" w:fill="auto"/>
            <w:noWrap/>
            <w:vAlign w:val="bottom"/>
            <w:hideMark/>
          </w:tcPr>
          <w:p w14:paraId="4E18D0D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2" w:type="pct"/>
            <w:tcBorders>
              <w:top w:val="nil"/>
              <w:left w:val="nil"/>
              <w:right w:val="nil"/>
            </w:tcBorders>
            <w:shd w:val="clear" w:color="auto" w:fill="auto"/>
            <w:noWrap/>
            <w:vAlign w:val="bottom"/>
            <w:hideMark/>
          </w:tcPr>
          <w:p w14:paraId="29108E64"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r>
      <w:tr w:rsidR="00341250" w:rsidRPr="006C4099" w14:paraId="17ADB068" w14:textId="77777777" w:rsidTr="00CD2849">
        <w:trPr>
          <w:trHeight w:val="919"/>
        </w:trPr>
        <w:tc>
          <w:tcPr>
            <w:tcW w:w="5000" w:type="pct"/>
            <w:gridSpan w:val="10"/>
            <w:shd w:val="clear" w:color="auto" w:fill="auto"/>
            <w:noWrap/>
            <w:vAlign w:val="bottom"/>
          </w:tcPr>
          <w:p w14:paraId="7B37686A" w14:textId="77777777" w:rsidR="00341250" w:rsidRPr="00CD2849" w:rsidRDefault="00341250" w:rsidP="00CD2849">
            <w:pPr>
              <w:widowControl/>
              <w:autoSpaceDE/>
              <w:autoSpaceDN/>
              <w:spacing w:after="240"/>
              <w:jc w:val="center"/>
              <w:rPr>
                <w:rFonts w:asciiTheme="minorHAnsi" w:eastAsia="Times New Roman" w:hAnsiTheme="minorHAnsi" w:cstheme="minorHAnsi"/>
                <w:b/>
                <w:bCs/>
                <w:sz w:val="20"/>
                <w:szCs w:val="20"/>
                <w:lang w:val="en-AU" w:eastAsia="en-AU"/>
              </w:rPr>
            </w:pPr>
            <w:r w:rsidRPr="00CD2849">
              <w:rPr>
                <w:rFonts w:asciiTheme="minorHAnsi" w:eastAsia="Times New Roman" w:hAnsiTheme="minorHAnsi" w:cstheme="minorHAnsi"/>
                <w:b/>
                <w:bCs/>
                <w:sz w:val="20"/>
                <w:szCs w:val="20"/>
                <w:lang w:val="en-AU" w:eastAsia="en-AU"/>
              </w:rPr>
              <w:t>Table 1. Estimated resource volumes. Refer to notes below.</w:t>
            </w:r>
            <w:r>
              <w:rPr>
                <w:rFonts w:asciiTheme="minorHAnsi" w:eastAsia="Times New Roman" w:hAnsiTheme="minorHAnsi" w:cstheme="minorHAnsi"/>
                <w:b/>
                <w:bCs/>
                <w:sz w:val="20"/>
                <w:szCs w:val="20"/>
                <w:lang w:val="en-AU" w:eastAsia="en-AU"/>
              </w:rPr>
              <w:t xml:space="preserve"> PIIP: petroleum initially in place.</w:t>
            </w:r>
          </w:p>
        </w:tc>
      </w:tr>
      <w:tr w:rsidR="00341250" w:rsidRPr="006C4099" w14:paraId="34DB1D63" w14:textId="77777777" w:rsidTr="00CD2849">
        <w:trPr>
          <w:trHeight w:val="330"/>
        </w:trPr>
        <w:tc>
          <w:tcPr>
            <w:tcW w:w="1328" w:type="pct"/>
            <w:tcBorders>
              <w:left w:val="nil"/>
              <w:bottom w:val="nil"/>
              <w:right w:val="nil"/>
            </w:tcBorders>
            <w:shd w:val="clear" w:color="auto" w:fill="auto"/>
            <w:noWrap/>
            <w:vAlign w:val="bottom"/>
            <w:hideMark/>
          </w:tcPr>
          <w:p w14:paraId="7D555008"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8" w:type="pct"/>
            <w:tcBorders>
              <w:top w:val="nil"/>
              <w:left w:val="nil"/>
              <w:bottom w:val="single" w:sz="4" w:space="0" w:color="auto"/>
              <w:right w:val="nil"/>
            </w:tcBorders>
            <w:shd w:val="clear" w:color="auto" w:fill="auto"/>
            <w:noWrap/>
            <w:vAlign w:val="bottom"/>
            <w:hideMark/>
          </w:tcPr>
          <w:p w14:paraId="4CEC4355"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8" w:type="pct"/>
            <w:tcBorders>
              <w:top w:val="nil"/>
              <w:left w:val="nil"/>
              <w:bottom w:val="single" w:sz="4" w:space="0" w:color="auto"/>
              <w:right w:val="nil"/>
            </w:tcBorders>
            <w:shd w:val="clear" w:color="auto" w:fill="auto"/>
            <w:noWrap/>
            <w:vAlign w:val="bottom"/>
            <w:hideMark/>
          </w:tcPr>
          <w:p w14:paraId="1EDFFA9C" w14:textId="77777777" w:rsidR="00341250" w:rsidRDefault="00341250" w:rsidP="00CD2849">
            <w:pPr>
              <w:widowControl/>
              <w:autoSpaceDE/>
              <w:autoSpaceDN/>
              <w:spacing w:after="240"/>
              <w:rPr>
                <w:rFonts w:asciiTheme="minorHAnsi" w:eastAsia="Times New Roman" w:hAnsiTheme="minorHAnsi" w:cstheme="minorHAnsi"/>
                <w:sz w:val="20"/>
                <w:szCs w:val="20"/>
                <w:lang w:val="en-AU" w:eastAsia="en-AU"/>
              </w:rPr>
            </w:pPr>
          </w:p>
          <w:p w14:paraId="119DE746"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409" w:type="pct"/>
            <w:tcBorders>
              <w:top w:val="nil"/>
              <w:left w:val="nil"/>
              <w:bottom w:val="single" w:sz="4" w:space="0" w:color="auto"/>
              <w:right w:val="nil"/>
            </w:tcBorders>
            <w:shd w:val="clear" w:color="auto" w:fill="auto"/>
            <w:noWrap/>
            <w:vAlign w:val="bottom"/>
            <w:hideMark/>
          </w:tcPr>
          <w:p w14:paraId="71BE2F89" w14:textId="77777777" w:rsidR="00341250" w:rsidRPr="00CD2849" w:rsidRDefault="00341250" w:rsidP="00CD2849">
            <w:pPr>
              <w:widowControl/>
              <w:autoSpaceDE/>
              <w:autoSpaceDN/>
              <w:spacing w:after="240"/>
              <w:rPr>
                <w:rFonts w:asciiTheme="minorHAnsi" w:eastAsia="Times New Roman" w:hAnsiTheme="minorHAnsi" w:cstheme="minorHAnsi"/>
                <w:sz w:val="20"/>
                <w:szCs w:val="20"/>
                <w:lang w:val="en-AU" w:eastAsia="en-AU"/>
              </w:rPr>
            </w:pPr>
          </w:p>
        </w:tc>
        <w:tc>
          <w:tcPr>
            <w:tcW w:w="2448" w:type="pct"/>
            <w:gridSpan w:val="6"/>
            <w:tcBorders>
              <w:top w:val="single" w:sz="8" w:space="0" w:color="auto"/>
              <w:left w:val="single" w:sz="8" w:space="0" w:color="auto"/>
              <w:bottom w:val="single" w:sz="4" w:space="0" w:color="auto"/>
              <w:right w:val="single" w:sz="8" w:space="0" w:color="000000"/>
            </w:tcBorders>
            <w:shd w:val="clear" w:color="auto" w:fill="auto"/>
            <w:vAlign w:val="bottom"/>
            <w:hideMark/>
          </w:tcPr>
          <w:p w14:paraId="28328312"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Contingent Resource</w:t>
            </w:r>
            <w:r>
              <w:rPr>
                <w:rFonts w:asciiTheme="minorHAnsi" w:eastAsia="Times New Roman" w:hAnsiTheme="minorHAnsi" w:cstheme="minorHAnsi"/>
                <w:b/>
                <w:bCs/>
                <w:color w:val="000000"/>
                <w:sz w:val="20"/>
                <w:szCs w:val="20"/>
                <w:lang w:val="en-AU" w:eastAsia="en-AU"/>
              </w:rPr>
              <w:t xml:space="preserve">s </w:t>
            </w:r>
          </w:p>
        </w:tc>
      </w:tr>
      <w:tr w:rsidR="00341250" w:rsidRPr="006C4099" w14:paraId="4730094A" w14:textId="77777777" w:rsidTr="00CD2849">
        <w:trPr>
          <w:trHeight w:val="320"/>
        </w:trPr>
        <w:tc>
          <w:tcPr>
            <w:tcW w:w="1328" w:type="pct"/>
            <w:tcBorders>
              <w:top w:val="nil"/>
              <w:left w:val="nil"/>
              <w:bottom w:val="nil"/>
              <w:right w:val="single" w:sz="4" w:space="0" w:color="auto"/>
            </w:tcBorders>
            <w:shd w:val="clear" w:color="auto" w:fill="auto"/>
            <w:noWrap/>
            <w:vAlign w:val="bottom"/>
            <w:hideMark/>
          </w:tcPr>
          <w:p w14:paraId="55031C41"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p>
        </w:tc>
        <w:tc>
          <w:tcPr>
            <w:tcW w:w="122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5FD9C7"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PIIP</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32A446"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 xml:space="preserve">TUR </w:t>
            </w:r>
          </w:p>
        </w:tc>
        <w:tc>
          <w:tcPr>
            <w:tcW w:w="122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D4EA5F"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EUR</w:t>
            </w:r>
          </w:p>
        </w:tc>
      </w:tr>
      <w:tr w:rsidR="00341250" w:rsidRPr="006C4099" w14:paraId="0073F64A" w14:textId="77777777" w:rsidTr="00CD2849">
        <w:trPr>
          <w:trHeight w:val="320"/>
        </w:trPr>
        <w:tc>
          <w:tcPr>
            <w:tcW w:w="1328" w:type="pct"/>
            <w:tcBorders>
              <w:top w:val="nil"/>
              <w:left w:val="nil"/>
              <w:bottom w:val="single" w:sz="4" w:space="0" w:color="auto"/>
              <w:right w:val="single" w:sz="4" w:space="0" w:color="auto"/>
            </w:tcBorders>
            <w:shd w:val="clear" w:color="auto" w:fill="auto"/>
            <w:noWrap/>
            <w:vAlign w:val="bottom"/>
            <w:hideMark/>
          </w:tcPr>
          <w:p w14:paraId="18E1405D"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EF985"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1C</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0C9B"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2C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4D02"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3C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1022"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1C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5B85D"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2C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B871"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3C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9175"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1C</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6F724"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2C</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3FE69" w14:textId="77777777" w:rsidR="00341250" w:rsidRPr="00CD2849" w:rsidRDefault="00341250" w:rsidP="00CD2849">
            <w:pPr>
              <w:widowControl/>
              <w:autoSpaceDE/>
              <w:autoSpaceDN/>
              <w:spacing w:after="240"/>
              <w:jc w:val="center"/>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3C</w:t>
            </w:r>
          </w:p>
        </w:tc>
      </w:tr>
      <w:tr w:rsidR="00341250" w:rsidRPr="006C4099" w14:paraId="4C3279B8" w14:textId="77777777" w:rsidTr="00CD2849">
        <w:trPr>
          <w:trHeight w:val="310"/>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16D2"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Natural Gas</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815B"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36A3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F421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7FC7E"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7A31"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6C8F"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A415"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9678"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2F18"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r>
      <w:tr w:rsidR="00341250" w:rsidRPr="006C4099" w14:paraId="21071DF8" w14:textId="77777777" w:rsidTr="00CD2849">
        <w:trPr>
          <w:trHeight w:val="310"/>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650E"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Condensate</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A26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50F5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F524"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532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AACF"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894A"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974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34062"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E084"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r>
      <w:tr w:rsidR="00341250" w:rsidRPr="006C4099" w14:paraId="6116E5FB" w14:textId="77777777" w:rsidTr="00CD2849">
        <w:trPr>
          <w:trHeight w:val="310"/>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69CB"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NGLs</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85B27"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A8CE"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C52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5F6C3"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85F26"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6F325"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B114"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0F8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7268"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r>
      <w:tr w:rsidR="00341250" w:rsidRPr="006C4099" w14:paraId="236251F9" w14:textId="77777777" w:rsidTr="00CD2849">
        <w:trPr>
          <w:trHeight w:val="310"/>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C518"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Oil</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30DAB"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52A"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C277"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30A2"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BC26"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DD0B"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9D4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768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E86D"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r>
      <w:tr w:rsidR="00341250" w:rsidRPr="006C4099" w14:paraId="32661B53" w14:textId="77777777" w:rsidTr="00CD2849">
        <w:trPr>
          <w:trHeight w:val="320"/>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9607" w14:textId="77777777" w:rsidR="00341250" w:rsidRPr="00CD2849" w:rsidRDefault="00341250" w:rsidP="00CD2849">
            <w:pPr>
              <w:widowControl/>
              <w:autoSpaceDE/>
              <w:autoSpaceDN/>
              <w:spacing w:after="240"/>
              <w:rPr>
                <w:rFonts w:asciiTheme="minorHAnsi" w:eastAsia="Times New Roman" w:hAnsiTheme="minorHAnsi" w:cstheme="minorHAnsi"/>
                <w:b/>
                <w:bCs/>
                <w:color w:val="000000"/>
                <w:sz w:val="20"/>
                <w:szCs w:val="20"/>
                <w:lang w:val="en-AU" w:eastAsia="en-AU"/>
              </w:rPr>
            </w:pPr>
            <w:r w:rsidRPr="00CD2849">
              <w:rPr>
                <w:rFonts w:asciiTheme="minorHAnsi" w:eastAsia="Times New Roman" w:hAnsiTheme="minorHAnsi" w:cstheme="minorHAnsi"/>
                <w:b/>
                <w:bCs/>
                <w:color w:val="000000"/>
                <w:sz w:val="20"/>
                <w:szCs w:val="20"/>
                <w:lang w:val="en-AU" w:eastAsia="en-AU"/>
              </w:rPr>
              <w:t>Other</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3DFB"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5A78E"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9BAD0"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C1A9"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25339"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FA1F3"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C4DC"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1271B"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01F7" w14:textId="77777777" w:rsidR="00341250" w:rsidRPr="00CD2849" w:rsidRDefault="00341250" w:rsidP="00CD2849">
            <w:pPr>
              <w:widowControl/>
              <w:autoSpaceDE/>
              <w:autoSpaceDN/>
              <w:spacing w:after="240"/>
              <w:rPr>
                <w:rFonts w:asciiTheme="minorHAnsi" w:eastAsia="Times New Roman" w:hAnsiTheme="minorHAnsi" w:cstheme="minorHAnsi"/>
                <w:color w:val="000000"/>
                <w:sz w:val="20"/>
                <w:szCs w:val="20"/>
                <w:lang w:val="en-AU" w:eastAsia="en-AU"/>
              </w:rPr>
            </w:pPr>
            <w:r w:rsidRPr="00CD2849">
              <w:rPr>
                <w:rFonts w:asciiTheme="minorHAnsi" w:eastAsia="Times New Roman" w:hAnsiTheme="minorHAnsi" w:cstheme="minorHAnsi"/>
                <w:color w:val="000000"/>
                <w:sz w:val="20"/>
                <w:szCs w:val="20"/>
                <w:lang w:val="en-AU" w:eastAsia="en-AU"/>
              </w:rPr>
              <w:t> </w:t>
            </w:r>
          </w:p>
        </w:tc>
      </w:tr>
    </w:tbl>
    <w:p w14:paraId="12331AA5" w14:textId="77777777" w:rsidR="00341250" w:rsidRPr="00CD2849" w:rsidRDefault="00341250" w:rsidP="00341250">
      <w:pPr>
        <w:rPr>
          <w:rFonts w:asciiTheme="minorHAnsi" w:hAnsiTheme="minorHAnsi" w:cstheme="minorHAnsi"/>
          <w:b/>
          <w:bCs/>
          <w:sz w:val="20"/>
          <w:szCs w:val="20"/>
        </w:rPr>
      </w:pPr>
    </w:p>
    <w:p w14:paraId="4D91D719" w14:textId="77777777" w:rsidR="00341250" w:rsidRPr="00CD2849"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The reported volumes are expected to be in accordance with definitions and guidelines set out in the latest Petroleum Resources Management System, approved by the Society of Petroleum Engineers.</w:t>
      </w:r>
    </w:p>
    <w:p w14:paraId="6EF5CBE5" w14:textId="77777777" w:rsidR="00341250" w:rsidRPr="00CD2849"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 xml:space="preserve">Volumes reported at Standard Conditions, 60° F (15.56° C) and 1 atm (101.325 kPa); 1 </w:t>
      </w:r>
      <w:proofErr w:type="spellStart"/>
      <w:r w:rsidRPr="00CD2849">
        <w:rPr>
          <w:rFonts w:asciiTheme="minorHAnsi" w:hAnsiTheme="minorHAnsi" w:cstheme="minorHAnsi"/>
          <w:sz w:val="20"/>
          <w:szCs w:val="20"/>
        </w:rPr>
        <w:t>cf</w:t>
      </w:r>
      <w:proofErr w:type="spellEnd"/>
      <w:r w:rsidRPr="00CD2849">
        <w:rPr>
          <w:rFonts w:asciiTheme="minorHAnsi" w:hAnsiTheme="minorHAnsi" w:cstheme="minorHAnsi"/>
          <w:sz w:val="20"/>
          <w:szCs w:val="20"/>
        </w:rPr>
        <w:t xml:space="preserve"> = 0.02831685 m</w:t>
      </w:r>
      <w:r w:rsidRPr="00CD2849">
        <w:rPr>
          <w:rFonts w:asciiTheme="minorHAnsi" w:hAnsiTheme="minorHAnsi" w:cstheme="minorHAnsi"/>
          <w:sz w:val="20"/>
          <w:szCs w:val="20"/>
          <w:vertAlign w:val="superscript"/>
        </w:rPr>
        <w:t>3</w:t>
      </w:r>
      <w:r w:rsidRPr="00CD2849">
        <w:rPr>
          <w:rFonts w:asciiTheme="minorHAnsi" w:hAnsiTheme="minorHAnsi" w:cstheme="minorHAnsi"/>
          <w:sz w:val="20"/>
          <w:szCs w:val="20"/>
        </w:rPr>
        <w:t xml:space="preserve">; 1 </w:t>
      </w:r>
      <w:proofErr w:type="spellStart"/>
      <w:r w:rsidRPr="00CD2849">
        <w:rPr>
          <w:rFonts w:asciiTheme="minorHAnsi" w:hAnsiTheme="minorHAnsi" w:cstheme="minorHAnsi"/>
          <w:sz w:val="20"/>
          <w:szCs w:val="20"/>
        </w:rPr>
        <w:t>MM</w:t>
      </w:r>
      <w:r>
        <w:rPr>
          <w:rFonts w:asciiTheme="minorHAnsi" w:hAnsiTheme="minorHAnsi" w:cstheme="minorHAnsi"/>
          <w:sz w:val="20"/>
          <w:szCs w:val="20"/>
        </w:rPr>
        <w:t>b</w:t>
      </w:r>
      <w:r w:rsidRPr="00CD2849">
        <w:rPr>
          <w:rFonts w:asciiTheme="minorHAnsi" w:hAnsiTheme="minorHAnsi" w:cstheme="minorHAnsi"/>
          <w:sz w:val="20"/>
          <w:szCs w:val="20"/>
        </w:rPr>
        <w:t>bl</w:t>
      </w:r>
      <w:proofErr w:type="spellEnd"/>
      <w:r w:rsidRPr="00CD2849">
        <w:rPr>
          <w:rFonts w:asciiTheme="minorHAnsi" w:hAnsiTheme="minorHAnsi" w:cstheme="minorHAnsi"/>
          <w:sz w:val="20"/>
          <w:szCs w:val="20"/>
        </w:rPr>
        <w:t xml:space="preserve"> = 0.1589873 GL</w:t>
      </w:r>
    </w:p>
    <w:p w14:paraId="669C0D05" w14:textId="77777777" w:rsidR="00341250" w:rsidRPr="00CD2849"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Probabilistic (P90, P50 and P10) or deterministic (low, best and high) or deterministic (Proved, Proved plus Probable, or Proved plus Probable plus Possible) values for 1P, 2P or 3P and 1C, 2C and 3C estimates are acceptable under SPE PRMS Guidelines (2018).</w:t>
      </w:r>
    </w:p>
    <w:p w14:paraId="0BAC6A56" w14:textId="77777777" w:rsidR="00341250" w:rsidRPr="00CD2849"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Technical Ultimate Recovery (TUR) is assumed to be equivalent to Technically Recoverable Resources (2018 SPE PRMS 1.1.08 B) and defined as raw production (2018 SPE PRMS 3.2.1.3)</w:t>
      </w:r>
    </w:p>
    <w:p w14:paraId="70781FD5" w14:textId="77777777" w:rsidR="00341250" w:rsidRPr="00CD2849"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 xml:space="preserve">TUR Contingent Resources should be specified at the reference point (2018 SPE PRMS 3.2.3) i.e. </w:t>
      </w:r>
      <w:r>
        <w:rPr>
          <w:rFonts w:asciiTheme="minorHAnsi" w:hAnsiTheme="minorHAnsi" w:cstheme="minorHAnsi"/>
          <w:sz w:val="20"/>
          <w:szCs w:val="20"/>
        </w:rPr>
        <w:t>w</w:t>
      </w:r>
      <w:r w:rsidRPr="00CD2849">
        <w:rPr>
          <w:rFonts w:asciiTheme="minorHAnsi" w:hAnsiTheme="minorHAnsi" w:cstheme="minorHAnsi"/>
          <w:sz w:val="20"/>
          <w:szCs w:val="20"/>
        </w:rPr>
        <w:t xml:space="preserve">et gas, </w:t>
      </w:r>
      <w:r>
        <w:rPr>
          <w:rFonts w:asciiTheme="minorHAnsi" w:hAnsiTheme="minorHAnsi" w:cstheme="minorHAnsi"/>
          <w:sz w:val="20"/>
          <w:szCs w:val="20"/>
        </w:rPr>
        <w:t>d</w:t>
      </w:r>
      <w:r w:rsidRPr="00CD2849">
        <w:rPr>
          <w:rFonts w:asciiTheme="minorHAnsi" w:hAnsiTheme="minorHAnsi" w:cstheme="minorHAnsi"/>
          <w:sz w:val="20"/>
          <w:szCs w:val="20"/>
        </w:rPr>
        <w:t xml:space="preserve">ry </w:t>
      </w:r>
      <w:r>
        <w:rPr>
          <w:rFonts w:asciiTheme="minorHAnsi" w:hAnsiTheme="minorHAnsi" w:cstheme="minorHAnsi"/>
          <w:sz w:val="20"/>
          <w:szCs w:val="20"/>
        </w:rPr>
        <w:t>g</w:t>
      </w:r>
      <w:r w:rsidRPr="00CD2849">
        <w:rPr>
          <w:rFonts w:asciiTheme="minorHAnsi" w:hAnsiTheme="minorHAnsi" w:cstheme="minorHAnsi"/>
          <w:sz w:val="20"/>
          <w:szCs w:val="20"/>
        </w:rPr>
        <w:t xml:space="preserve">as, </w:t>
      </w:r>
      <w:r>
        <w:rPr>
          <w:rFonts w:asciiTheme="minorHAnsi" w:hAnsiTheme="minorHAnsi" w:cstheme="minorHAnsi"/>
          <w:sz w:val="20"/>
          <w:szCs w:val="20"/>
        </w:rPr>
        <w:t>c</w:t>
      </w:r>
      <w:r w:rsidRPr="00CD2849">
        <w:rPr>
          <w:rFonts w:asciiTheme="minorHAnsi" w:hAnsiTheme="minorHAnsi" w:cstheme="minorHAnsi"/>
          <w:sz w:val="20"/>
          <w:szCs w:val="20"/>
        </w:rPr>
        <w:t>ondensate or NGLs etc.</w:t>
      </w:r>
    </w:p>
    <w:p w14:paraId="12F8349C" w14:textId="77777777" w:rsidR="00341250" w:rsidRDefault="00341250" w:rsidP="00341250">
      <w:pPr>
        <w:pStyle w:val="ListParagraph"/>
        <w:numPr>
          <w:ilvl w:val="0"/>
          <w:numId w:val="34"/>
        </w:numPr>
        <w:rPr>
          <w:rFonts w:asciiTheme="minorHAnsi" w:hAnsiTheme="minorHAnsi" w:cstheme="minorHAnsi"/>
          <w:sz w:val="20"/>
          <w:szCs w:val="20"/>
        </w:rPr>
      </w:pPr>
      <w:r w:rsidRPr="00CD2849">
        <w:rPr>
          <w:rFonts w:asciiTheme="minorHAnsi" w:hAnsiTheme="minorHAnsi" w:cstheme="minorHAnsi"/>
          <w:sz w:val="20"/>
          <w:szCs w:val="20"/>
        </w:rPr>
        <w:t xml:space="preserve">Estimated Ultimate Recovery (EUR) is assumed to be equivalent to sales quantities (2018 SPE PRMS 3.2.1.3) and defined as production available for sales at the reference point  </w:t>
      </w:r>
    </w:p>
    <w:p w14:paraId="186232CF" w14:textId="570703AF" w:rsidR="00341250" w:rsidRPr="00341250" w:rsidRDefault="00341250" w:rsidP="00341250">
      <w:pPr>
        <w:pStyle w:val="ListParagraph"/>
        <w:numPr>
          <w:ilvl w:val="0"/>
          <w:numId w:val="34"/>
        </w:numPr>
        <w:rPr>
          <w:rFonts w:asciiTheme="minorHAnsi" w:hAnsiTheme="minorHAnsi" w:cstheme="minorHAnsi"/>
          <w:sz w:val="20"/>
          <w:szCs w:val="20"/>
        </w:rPr>
      </w:pPr>
      <w:r w:rsidRPr="00341250">
        <w:rPr>
          <w:rFonts w:asciiTheme="minorHAnsi" w:hAnsiTheme="minorHAnsi" w:cstheme="minorHAnsi"/>
          <w:b/>
          <w:bCs/>
          <w:sz w:val="20"/>
          <w:szCs w:val="20"/>
        </w:rPr>
        <w:t>#</w:t>
      </w:r>
      <w:r w:rsidRPr="00341250">
        <w:rPr>
          <w:rFonts w:asciiTheme="minorHAnsi" w:hAnsiTheme="minorHAnsi" w:cstheme="minorHAnsi"/>
          <w:sz w:val="20"/>
          <w:szCs w:val="20"/>
        </w:rPr>
        <w:t>Reference point (2018 SPE PRMS 3.2.1) is a defined location within a petroleum extraction and processing operation where the produced quantities are measured or assessed. A reference point is typically the point of sale to third parties or where custody is transferred to the entity’s midstream or downstream operations.</w:t>
      </w:r>
    </w:p>
    <w:p w14:paraId="204777FF" w14:textId="51B11259" w:rsidR="00A50C46" w:rsidRDefault="00201E1B" w:rsidP="00DA1B78">
      <w:pPr>
        <w:pStyle w:val="ListParagraph"/>
        <w:keepNext/>
        <w:keepLines/>
        <w:widowControl/>
        <w:ind w:left="284" w:firstLine="0"/>
        <w:rPr>
          <w:rFonts w:ascii="Arial" w:hAnsi="Arial" w:cs="Arial"/>
          <w:b/>
          <w:bCs/>
        </w:rPr>
      </w:pPr>
      <w:r w:rsidRPr="006366F6">
        <w:rPr>
          <w:rFonts w:asciiTheme="minorHAnsi" w:hAnsiTheme="minorHAnsi" w:cstheme="minorHAnsi"/>
          <w:b/>
          <w:bCs/>
        </w:rPr>
        <w:lastRenderedPageBreak/>
        <w:t xml:space="preserve">Table </w:t>
      </w:r>
      <w:r w:rsidR="00341250">
        <w:rPr>
          <w:rFonts w:asciiTheme="minorHAnsi" w:hAnsiTheme="minorHAnsi" w:cstheme="minorHAnsi"/>
          <w:b/>
          <w:bCs/>
        </w:rPr>
        <w:t>2</w:t>
      </w:r>
      <w:r w:rsidR="00C06E74">
        <w:rPr>
          <w:rFonts w:asciiTheme="minorHAnsi" w:hAnsiTheme="minorHAnsi" w:cstheme="minorHAnsi"/>
          <w:b/>
          <w:bCs/>
        </w:rPr>
        <w:t>:</w:t>
      </w:r>
    </w:p>
    <w:tbl>
      <w:tblPr>
        <w:tblStyle w:val="TableGrid"/>
        <w:tblW w:w="10207" w:type="dxa"/>
        <w:jc w:val="center"/>
        <w:tblLayout w:type="fixed"/>
        <w:tblLook w:val="04A0" w:firstRow="1" w:lastRow="0" w:firstColumn="1" w:lastColumn="0" w:noHBand="0" w:noVBand="1"/>
      </w:tblPr>
      <w:tblGrid>
        <w:gridCol w:w="2498"/>
        <w:gridCol w:w="2889"/>
        <w:gridCol w:w="2835"/>
        <w:gridCol w:w="1985"/>
      </w:tblGrid>
      <w:tr w:rsidR="00E423E4" w14:paraId="4F276FE4" w14:textId="77777777" w:rsidTr="00B627AE">
        <w:trPr>
          <w:trHeight w:val="390"/>
          <w:jc w:val="center"/>
        </w:trPr>
        <w:tc>
          <w:tcPr>
            <w:tcW w:w="10207" w:type="dxa"/>
            <w:gridSpan w:val="4"/>
            <w:shd w:val="clear" w:color="auto" w:fill="B8CCE4" w:themeFill="accent1" w:themeFillTint="66"/>
          </w:tcPr>
          <w:p w14:paraId="108B6828" w14:textId="77777777" w:rsidR="00E423E4" w:rsidRPr="00A33649" w:rsidRDefault="00E423E4" w:rsidP="00DA1B78">
            <w:pPr>
              <w:keepNext/>
              <w:keepLines/>
              <w:tabs>
                <w:tab w:val="left" w:pos="567"/>
              </w:tabs>
              <w:spacing w:after="120"/>
              <w:rPr>
                <w:b/>
                <w:bCs/>
                <w:sz w:val="20"/>
                <w:szCs w:val="20"/>
              </w:rPr>
            </w:pPr>
            <w:r w:rsidRPr="00A33649">
              <w:rPr>
                <w:b/>
                <w:bCs/>
                <w:sz w:val="20"/>
                <w:szCs w:val="20"/>
              </w:rPr>
              <w:t>Field:</w:t>
            </w:r>
          </w:p>
        </w:tc>
      </w:tr>
      <w:tr w:rsidR="00E423E4" w14:paraId="0B42FB35" w14:textId="77777777" w:rsidTr="00B627AE">
        <w:trPr>
          <w:trHeight w:val="390"/>
          <w:jc w:val="center"/>
        </w:trPr>
        <w:tc>
          <w:tcPr>
            <w:tcW w:w="10207" w:type="dxa"/>
            <w:gridSpan w:val="4"/>
            <w:shd w:val="clear" w:color="auto" w:fill="B8CCE4" w:themeFill="accent1" w:themeFillTint="66"/>
          </w:tcPr>
          <w:p w14:paraId="36FC61DC" w14:textId="77777777" w:rsidR="00E423E4" w:rsidRPr="00A33649" w:rsidRDefault="00E423E4" w:rsidP="00DA1B78">
            <w:pPr>
              <w:keepNext/>
              <w:keepLines/>
              <w:tabs>
                <w:tab w:val="left" w:pos="567"/>
              </w:tabs>
              <w:spacing w:after="120"/>
              <w:rPr>
                <w:b/>
                <w:bCs/>
                <w:sz w:val="20"/>
                <w:szCs w:val="20"/>
              </w:rPr>
            </w:pPr>
            <w:r w:rsidRPr="00A33649">
              <w:rPr>
                <w:b/>
                <w:bCs/>
                <w:sz w:val="20"/>
                <w:szCs w:val="20"/>
              </w:rPr>
              <w:t>Facility:</w:t>
            </w:r>
          </w:p>
        </w:tc>
      </w:tr>
      <w:tr w:rsidR="00E423E4" w14:paraId="14142585" w14:textId="77777777" w:rsidTr="00B627AE">
        <w:trPr>
          <w:trHeight w:val="382"/>
          <w:jc w:val="center"/>
        </w:trPr>
        <w:tc>
          <w:tcPr>
            <w:tcW w:w="10207" w:type="dxa"/>
            <w:gridSpan w:val="4"/>
            <w:shd w:val="clear" w:color="auto" w:fill="B8CCE4" w:themeFill="accent1" w:themeFillTint="66"/>
          </w:tcPr>
          <w:p w14:paraId="23ABE245" w14:textId="77777777" w:rsidR="00E423E4" w:rsidRPr="00A33649" w:rsidRDefault="00E423E4" w:rsidP="00DA1B78">
            <w:pPr>
              <w:keepNext/>
              <w:keepLines/>
              <w:tabs>
                <w:tab w:val="left" w:pos="567"/>
              </w:tabs>
              <w:spacing w:after="120"/>
              <w:rPr>
                <w:b/>
                <w:bCs/>
                <w:sz w:val="20"/>
                <w:szCs w:val="20"/>
              </w:rPr>
            </w:pPr>
            <w:r w:rsidRPr="00A33649">
              <w:rPr>
                <w:b/>
                <w:bCs/>
                <w:sz w:val="20"/>
                <w:szCs w:val="20"/>
              </w:rPr>
              <w:t xml:space="preserve">Development Concept: </w:t>
            </w:r>
          </w:p>
        </w:tc>
      </w:tr>
      <w:tr w:rsidR="00E423E4" w14:paraId="0CE83D98" w14:textId="77777777" w:rsidTr="00B627AE">
        <w:trPr>
          <w:trHeight w:val="382"/>
          <w:jc w:val="center"/>
        </w:trPr>
        <w:tc>
          <w:tcPr>
            <w:tcW w:w="10207" w:type="dxa"/>
            <w:gridSpan w:val="4"/>
            <w:shd w:val="clear" w:color="auto" w:fill="B8CCE4" w:themeFill="accent1" w:themeFillTint="66"/>
          </w:tcPr>
          <w:p w14:paraId="63F0187C" w14:textId="77777777" w:rsidR="00E423E4" w:rsidRPr="00A33649" w:rsidRDefault="00E423E4" w:rsidP="00DA1B78">
            <w:pPr>
              <w:keepNext/>
              <w:keepLines/>
              <w:tabs>
                <w:tab w:val="left" w:pos="567"/>
              </w:tabs>
              <w:spacing w:after="120"/>
              <w:rPr>
                <w:b/>
                <w:bCs/>
                <w:sz w:val="20"/>
                <w:szCs w:val="20"/>
              </w:rPr>
            </w:pPr>
            <w:r>
              <w:rPr>
                <w:b/>
                <w:bCs/>
                <w:sz w:val="20"/>
                <w:szCs w:val="20"/>
              </w:rPr>
              <w:t>Other Assumptions for example: Currency                             Cost Estimate Class</w:t>
            </w:r>
          </w:p>
        </w:tc>
      </w:tr>
      <w:tr w:rsidR="00E423E4" w14:paraId="7FC04BD3" w14:textId="77777777" w:rsidTr="00B627AE">
        <w:trPr>
          <w:trHeight w:val="367"/>
          <w:jc w:val="center"/>
        </w:trPr>
        <w:tc>
          <w:tcPr>
            <w:tcW w:w="5387" w:type="dxa"/>
            <w:gridSpan w:val="2"/>
            <w:shd w:val="clear" w:color="auto" w:fill="DBE5F1" w:themeFill="accent1" w:themeFillTint="33"/>
          </w:tcPr>
          <w:p w14:paraId="448F9CF3" w14:textId="77777777" w:rsidR="00E423E4" w:rsidRPr="00A33649" w:rsidRDefault="00E423E4" w:rsidP="00DA1B78">
            <w:pPr>
              <w:keepNext/>
              <w:keepLines/>
              <w:tabs>
                <w:tab w:val="left" w:pos="567"/>
              </w:tabs>
              <w:spacing w:after="120"/>
              <w:rPr>
                <w:b/>
                <w:bCs/>
                <w:sz w:val="20"/>
                <w:szCs w:val="20"/>
              </w:rPr>
            </w:pPr>
            <w:r w:rsidRPr="00A33649">
              <w:rPr>
                <w:b/>
                <w:bCs/>
                <w:sz w:val="20"/>
                <w:szCs w:val="20"/>
              </w:rPr>
              <w:t>Category</w:t>
            </w:r>
          </w:p>
        </w:tc>
        <w:tc>
          <w:tcPr>
            <w:tcW w:w="2835" w:type="dxa"/>
            <w:shd w:val="clear" w:color="auto" w:fill="DBE5F1" w:themeFill="accent1" w:themeFillTint="33"/>
          </w:tcPr>
          <w:p w14:paraId="548500F9" w14:textId="77777777" w:rsidR="00E423E4" w:rsidRPr="00A33649" w:rsidRDefault="00E423E4" w:rsidP="00DA1B78">
            <w:pPr>
              <w:keepNext/>
              <w:keepLines/>
              <w:tabs>
                <w:tab w:val="left" w:pos="567"/>
              </w:tabs>
              <w:spacing w:after="120"/>
              <w:rPr>
                <w:b/>
                <w:bCs/>
                <w:sz w:val="20"/>
                <w:szCs w:val="20"/>
              </w:rPr>
            </w:pPr>
            <w:r w:rsidRPr="00A33649">
              <w:rPr>
                <w:b/>
                <w:bCs/>
                <w:sz w:val="20"/>
                <w:szCs w:val="20"/>
              </w:rPr>
              <w:t>Description</w:t>
            </w:r>
          </w:p>
        </w:tc>
        <w:tc>
          <w:tcPr>
            <w:tcW w:w="1985" w:type="dxa"/>
            <w:shd w:val="clear" w:color="auto" w:fill="DBE5F1" w:themeFill="accent1" w:themeFillTint="33"/>
          </w:tcPr>
          <w:p w14:paraId="0D83437A" w14:textId="77777777" w:rsidR="00E423E4" w:rsidRPr="00A33649" w:rsidRDefault="00E423E4" w:rsidP="00DA1B78">
            <w:pPr>
              <w:keepNext/>
              <w:keepLines/>
              <w:tabs>
                <w:tab w:val="left" w:pos="567"/>
              </w:tabs>
              <w:spacing w:after="120"/>
              <w:rPr>
                <w:b/>
                <w:bCs/>
                <w:sz w:val="20"/>
                <w:szCs w:val="20"/>
              </w:rPr>
            </w:pPr>
            <w:r w:rsidRPr="00A33649">
              <w:rPr>
                <w:b/>
                <w:bCs/>
                <w:sz w:val="20"/>
                <w:szCs w:val="20"/>
              </w:rPr>
              <w:t>Cost</w:t>
            </w:r>
            <w:r>
              <w:rPr>
                <w:b/>
                <w:bCs/>
                <w:sz w:val="20"/>
                <w:szCs w:val="20"/>
              </w:rPr>
              <w:t xml:space="preserve"> (Real)</w:t>
            </w:r>
          </w:p>
        </w:tc>
      </w:tr>
      <w:tr w:rsidR="00E423E4" w14:paraId="28046DC5" w14:textId="77777777" w:rsidTr="00B627AE">
        <w:trPr>
          <w:trHeight w:val="367"/>
          <w:jc w:val="center"/>
        </w:trPr>
        <w:tc>
          <w:tcPr>
            <w:tcW w:w="2498" w:type="dxa"/>
            <w:vMerge w:val="restart"/>
          </w:tcPr>
          <w:p w14:paraId="0F29D9D0" w14:textId="77777777" w:rsidR="00E423E4" w:rsidRPr="00A33649" w:rsidRDefault="00E423E4" w:rsidP="00DA1B78">
            <w:pPr>
              <w:keepNext/>
              <w:keepLines/>
              <w:tabs>
                <w:tab w:val="left" w:pos="567"/>
              </w:tabs>
              <w:spacing w:after="120"/>
              <w:rPr>
                <w:sz w:val="20"/>
                <w:szCs w:val="20"/>
              </w:rPr>
            </w:pPr>
            <w:r w:rsidRPr="00A33649">
              <w:rPr>
                <w:sz w:val="20"/>
                <w:szCs w:val="20"/>
              </w:rPr>
              <w:t xml:space="preserve">Production rate </w:t>
            </w:r>
          </w:p>
        </w:tc>
        <w:tc>
          <w:tcPr>
            <w:tcW w:w="2889" w:type="dxa"/>
          </w:tcPr>
          <w:p w14:paraId="5395B34A" w14:textId="77777777" w:rsidR="00E423E4" w:rsidRPr="00A33649" w:rsidRDefault="00E423E4" w:rsidP="00DA1B78">
            <w:pPr>
              <w:keepNext/>
              <w:keepLines/>
              <w:tabs>
                <w:tab w:val="left" w:pos="567"/>
              </w:tabs>
              <w:spacing w:after="120"/>
              <w:rPr>
                <w:sz w:val="20"/>
                <w:szCs w:val="20"/>
              </w:rPr>
            </w:pPr>
            <w:r w:rsidRPr="00A33649">
              <w:rPr>
                <w:sz w:val="20"/>
                <w:szCs w:val="20"/>
              </w:rPr>
              <w:t>Maximum rate</w:t>
            </w:r>
            <w:r>
              <w:rPr>
                <w:sz w:val="20"/>
                <w:szCs w:val="20"/>
              </w:rPr>
              <w:t xml:space="preserve"> (</w:t>
            </w:r>
            <w:proofErr w:type="spellStart"/>
            <w:r>
              <w:rPr>
                <w:sz w:val="20"/>
                <w:szCs w:val="20"/>
              </w:rPr>
              <w:t>MMcsf</w:t>
            </w:r>
            <w:proofErr w:type="spellEnd"/>
            <w:r>
              <w:rPr>
                <w:sz w:val="20"/>
                <w:szCs w:val="20"/>
              </w:rPr>
              <w:t>/d)</w:t>
            </w:r>
          </w:p>
        </w:tc>
        <w:tc>
          <w:tcPr>
            <w:tcW w:w="2835" w:type="dxa"/>
            <w:shd w:val="clear" w:color="auto" w:fill="FFFFFF" w:themeFill="background1"/>
          </w:tcPr>
          <w:p w14:paraId="310BF699"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330027D2" w14:textId="77777777" w:rsidR="00E423E4" w:rsidRPr="00A33649" w:rsidRDefault="00E423E4" w:rsidP="00DA1B78">
            <w:pPr>
              <w:keepNext/>
              <w:keepLines/>
              <w:tabs>
                <w:tab w:val="left" w:pos="567"/>
              </w:tabs>
              <w:spacing w:after="120"/>
              <w:rPr>
                <w:sz w:val="20"/>
                <w:szCs w:val="20"/>
              </w:rPr>
            </w:pPr>
          </w:p>
        </w:tc>
      </w:tr>
      <w:tr w:rsidR="00E423E4" w14:paraId="28F274BD" w14:textId="77777777" w:rsidTr="00B627AE">
        <w:trPr>
          <w:trHeight w:val="319"/>
          <w:jc w:val="center"/>
        </w:trPr>
        <w:tc>
          <w:tcPr>
            <w:tcW w:w="2498" w:type="dxa"/>
            <w:vMerge/>
          </w:tcPr>
          <w:p w14:paraId="4CF3E72C" w14:textId="77777777" w:rsidR="00E423E4" w:rsidRPr="00A33649" w:rsidRDefault="00E423E4" w:rsidP="00DA1B78">
            <w:pPr>
              <w:keepNext/>
              <w:keepLines/>
              <w:tabs>
                <w:tab w:val="left" w:pos="567"/>
              </w:tabs>
              <w:spacing w:after="120"/>
              <w:rPr>
                <w:sz w:val="20"/>
                <w:szCs w:val="20"/>
              </w:rPr>
            </w:pPr>
          </w:p>
        </w:tc>
        <w:tc>
          <w:tcPr>
            <w:tcW w:w="2889" w:type="dxa"/>
          </w:tcPr>
          <w:p w14:paraId="43F85D33" w14:textId="77777777" w:rsidR="00E423E4" w:rsidRPr="00A33649" w:rsidRDefault="00E423E4" w:rsidP="00DA1B78">
            <w:pPr>
              <w:keepNext/>
              <w:keepLines/>
              <w:tabs>
                <w:tab w:val="left" w:pos="567"/>
              </w:tabs>
              <w:spacing w:after="120"/>
              <w:rPr>
                <w:sz w:val="20"/>
                <w:szCs w:val="20"/>
              </w:rPr>
            </w:pPr>
            <w:r w:rsidRPr="00A33649">
              <w:rPr>
                <w:sz w:val="20"/>
                <w:szCs w:val="20"/>
              </w:rPr>
              <w:t>Annual average</w:t>
            </w:r>
            <w:r>
              <w:rPr>
                <w:sz w:val="20"/>
                <w:szCs w:val="20"/>
              </w:rPr>
              <w:t xml:space="preserve"> (</w:t>
            </w:r>
            <w:proofErr w:type="spellStart"/>
            <w:r>
              <w:rPr>
                <w:sz w:val="20"/>
                <w:szCs w:val="20"/>
              </w:rPr>
              <w:t>MMscf</w:t>
            </w:r>
            <w:proofErr w:type="spellEnd"/>
            <w:r>
              <w:rPr>
                <w:sz w:val="20"/>
                <w:szCs w:val="20"/>
              </w:rPr>
              <w:t>/d)</w:t>
            </w:r>
          </w:p>
        </w:tc>
        <w:tc>
          <w:tcPr>
            <w:tcW w:w="2835" w:type="dxa"/>
            <w:shd w:val="clear" w:color="auto" w:fill="FFFFFF" w:themeFill="background1"/>
          </w:tcPr>
          <w:p w14:paraId="2A1C3BAE"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182A46FF" w14:textId="77777777" w:rsidR="00E423E4" w:rsidRPr="00A33649" w:rsidRDefault="00E423E4" w:rsidP="00DA1B78">
            <w:pPr>
              <w:keepNext/>
              <w:keepLines/>
              <w:tabs>
                <w:tab w:val="left" w:pos="567"/>
              </w:tabs>
              <w:spacing w:after="120"/>
              <w:rPr>
                <w:sz w:val="20"/>
                <w:szCs w:val="20"/>
              </w:rPr>
            </w:pPr>
          </w:p>
        </w:tc>
      </w:tr>
      <w:tr w:rsidR="00E423E4" w14:paraId="76011400" w14:textId="77777777" w:rsidTr="00DA1B78">
        <w:trPr>
          <w:trHeight w:val="277"/>
          <w:jc w:val="center"/>
        </w:trPr>
        <w:tc>
          <w:tcPr>
            <w:tcW w:w="2498" w:type="dxa"/>
          </w:tcPr>
          <w:p w14:paraId="787530CD" w14:textId="77777777" w:rsidR="00E423E4" w:rsidRPr="00A33649" w:rsidRDefault="00E423E4" w:rsidP="00DA1B78">
            <w:pPr>
              <w:keepNext/>
              <w:keepLines/>
              <w:tabs>
                <w:tab w:val="left" w:pos="567"/>
              </w:tabs>
              <w:spacing w:after="120"/>
              <w:rPr>
                <w:sz w:val="20"/>
                <w:szCs w:val="20"/>
              </w:rPr>
            </w:pPr>
            <w:r w:rsidRPr="00A33649">
              <w:rPr>
                <w:sz w:val="20"/>
                <w:szCs w:val="20"/>
              </w:rPr>
              <w:t xml:space="preserve">Water depth </w:t>
            </w:r>
          </w:p>
        </w:tc>
        <w:tc>
          <w:tcPr>
            <w:tcW w:w="2889" w:type="dxa"/>
          </w:tcPr>
          <w:p w14:paraId="42DE26E0" w14:textId="77777777" w:rsidR="00E423E4" w:rsidRPr="00A33649" w:rsidRDefault="00E423E4" w:rsidP="00DA1B78">
            <w:pPr>
              <w:keepNext/>
              <w:keepLines/>
              <w:tabs>
                <w:tab w:val="left" w:pos="567"/>
              </w:tabs>
              <w:spacing w:after="120"/>
              <w:rPr>
                <w:sz w:val="20"/>
                <w:szCs w:val="20"/>
              </w:rPr>
            </w:pPr>
            <w:r>
              <w:rPr>
                <w:sz w:val="20"/>
                <w:szCs w:val="20"/>
              </w:rPr>
              <w:t>(MSL/LAT/AHD)</w:t>
            </w:r>
          </w:p>
        </w:tc>
        <w:tc>
          <w:tcPr>
            <w:tcW w:w="2835" w:type="dxa"/>
            <w:shd w:val="clear" w:color="auto" w:fill="FFFFFF" w:themeFill="background1"/>
          </w:tcPr>
          <w:p w14:paraId="5F8649B2"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3DC62833" w14:textId="77777777" w:rsidR="00E423E4" w:rsidRPr="00A33649" w:rsidRDefault="00E423E4" w:rsidP="00DA1B78">
            <w:pPr>
              <w:keepNext/>
              <w:keepLines/>
              <w:tabs>
                <w:tab w:val="left" w:pos="567"/>
              </w:tabs>
              <w:spacing w:after="120"/>
              <w:rPr>
                <w:sz w:val="20"/>
                <w:szCs w:val="20"/>
              </w:rPr>
            </w:pPr>
          </w:p>
        </w:tc>
      </w:tr>
      <w:tr w:rsidR="00E423E4" w14:paraId="07937314" w14:textId="77777777" w:rsidTr="00B627AE">
        <w:trPr>
          <w:trHeight w:val="319"/>
          <w:jc w:val="center"/>
        </w:trPr>
        <w:tc>
          <w:tcPr>
            <w:tcW w:w="2498" w:type="dxa"/>
            <w:vMerge w:val="restart"/>
          </w:tcPr>
          <w:p w14:paraId="22693E49" w14:textId="77777777" w:rsidR="00E423E4" w:rsidRPr="00A33649" w:rsidRDefault="00E423E4" w:rsidP="00DA1B78">
            <w:pPr>
              <w:keepNext/>
              <w:keepLines/>
              <w:tabs>
                <w:tab w:val="left" w:pos="567"/>
              </w:tabs>
              <w:spacing w:after="120"/>
              <w:rPr>
                <w:sz w:val="20"/>
                <w:szCs w:val="20"/>
              </w:rPr>
            </w:pPr>
            <w:r w:rsidRPr="00A33649">
              <w:rPr>
                <w:sz w:val="20"/>
                <w:szCs w:val="20"/>
              </w:rPr>
              <w:t>Development wells</w:t>
            </w:r>
          </w:p>
        </w:tc>
        <w:tc>
          <w:tcPr>
            <w:tcW w:w="2889" w:type="dxa"/>
          </w:tcPr>
          <w:p w14:paraId="3A873AC8" w14:textId="77777777" w:rsidR="00E423E4" w:rsidRPr="00A33649" w:rsidRDefault="00E423E4" w:rsidP="00DA1B78">
            <w:pPr>
              <w:keepNext/>
              <w:keepLines/>
              <w:tabs>
                <w:tab w:val="left" w:pos="567"/>
              </w:tabs>
              <w:spacing w:after="120"/>
              <w:rPr>
                <w:sz w:val="20"/>
                <w:szCs w:val="20"/>
              </w:rPr>
            </w:pPr>
            <w:r w:rsidRPr="00A33649">
              <w:rPr>
                <w:sz w:val="20"/>
                <w:szCs w:val="20"/>
              </w:rPr>
              <w:t>Number of wells</w:t>
            </w:r>
          </w:p>
        </w:tc>
        <w:tc>
          <w:tcPr>
            <w:tcW w:w="2835" w:type="dxa"/>
          </w:tcPr>
          <w:p w14:paraId="70E6D056"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61D37098" w14:textId="77777777" w:rsidR="00E423E4" w:rsidRPr="00A33649" w:rsidRDefault="00E423E4" w:rsidP="00DA1B78">
            <w:pPr>
              <w:keepNext/>
              <w:keepLines/>
              <w:tabs>
                <w:tab w:val="left" w:pos="567"/>
              </w:tabs>
              <w:spacing w:after="120"/>
              <w:rPr>
                <w:sz w:val="20"/>
                <w:szCs w:val="20"/>
              </w:rPr>
            </w:pPr>
          </w:p>
        </w:tc>
      </w:tr>
      <w:tr w:rsidR="00E423E4" w14:paraId="5CD1AB7D" w14:textId="77777777" w:rsidTr="00B627AE">
        <w:trPr>
          <w:trHeight w:val="225"/>
          <w:jc w:val="center"/>
        </w:trPr>
        <w:tc>
          <w:tcPr>
            <w:tcW w:w="2498" w:type="dxa"/>
            <w:vMerge/>
          </w:tcPr>
          <w:p w14:paraId="3EB28368" w14:textId="77777777" w:rsidR="00E423E4" w:rsidRPr="00A33649" w:rsidRDefault="00E423E4" w:rsidP="00DA1B78">
            <w:pPr>
              <w:keepNext/>
              <w:keepLines/>
              <w:tabs>
                <w:tab w:val="left" w:pos="567"/>
              </w:tabs>
              <w:spacing w:after="120"/>
              <w:rPr>
                <w:sz w:val="20"/>
                <w:szCs w:val="20"/>
              </w:rPr>
            </w:pPr>
          </w:p>
        </w:tc>
        <w:tc>
          <w:tcPr>
            <w:tcW w:w="2889" w:type="dxa"/>
          </w:tcPr>
          <w:p w14:paraId="61680F03" w14:textId="77777777" w:rsidR="00E423E4" w:rsidRPr="00A33649" w:rsidRDefault="00E423E4" w:rsidP="00DA1B78">
            <w:pPr>
              <w:keepNext/>
              <w:keepLines/>
              <w:tabs>
                <w:tab w:val="left" w:pos="567"/>
              </w:tabs>
              <w:spacing w:after="120"/>
              <w:rPr>
                <w:sz w:val="20"/>
                <w:szCs w:val="20"/>
              </w:rPr>
            </w:pPr>
            <w:r w:rsidRPr="00A33649">
              <w:rPr>
                <w:sz w:val="20"/>
                <w:szCs w:val="20"/>
              </w:rPr>
              <w:t>Well type</w:t>
            </w:r>
          </w:p>
        </w:tc>
        <w:tc>
          <w:tcPr>
            <w:tcW w:w="2835" w:type="dxa"/>
          </w:tcPr>
          <w:p w14:paraId="7014C4F2"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67D47677" w14:textId="77777777" w:rsidR="00E423E4" w:rsidRPr="00A33649" w:rsidRDefault="00E423E4" w:rsidP="00DA1B78">
            <w:pPr>
              <w:keepNext/>
              <w:keepLines/>
              <w:tabs>
                <w:tab w:val="left" w:pos="567"/>
              </w:tabs>
              <w:spacing w:after="120"/>
              <w:rPr>
                <w:sz w:val="20"/>
                <w:szCs w:val="20"/>
              </w:rPr>
            </w:pPr>
          </w:p>
        </w:tc>
      </w:tr>
      <w:tr w:rsidR="00E423E4" w14:paraId="63A54C93" w14:textId="77777777" w:rsidTr="00B627AE">
        <w:trPr>
          <w:trHeight w:val="273"/>
          <w:jc w:val="center"/>
        </w:trPr>
        <w:tc>
          <w:tcPr>
            <w:tcW w:w="2498" w:type="dxa"/>
            <w:vMerge/>
          </w:tcPr>
          <w:p w14:paraId="72ACC8B4" w14:textId="77777777" w:rsidR="00E423E4" w:rsidRPr="00A33649" w:rsidRDefault="00E423E4" w:rsidP="00DA1B78">
            <w:pPr>
              <w:keepNext/>
              <w:keepLines/>
              <w:tabs>
                <w:tab w:val="left" w:pos="567"/>
              </w:tabs>
              <w:spacing w:after="120"/>
              <w:rPr>
                <w:sz w:val="20"/>
                <w:szCs w:val="20"/>
              </w:rPr>
            </w:pPr>
          </w:p>
        </w:tc>
        <w:tc>
          <w:tcPr>
            <w:tcW w:w="2889" w:type="dxa"/>
          </w:tcPr>
          <w:p w14:paraId="699C899D" w14:textId="77777777" w:rsidR="00E423E4" w:rsidRPr="00A33649" w:rsidRDefault="00E423E4" w:rsidP="00DA1B78">
            <w:pPr>
              <w:keepNext/>
              <w:keepLines/>
              <w:tabs>
                <w:tab w:val="left" w:pos="567"/>
              </w:tabs>
              <w:spacing w:after="120"/>
              <w:rPr>
                <w:sz w:val="20"/>
                <w:szCs w:val="20"/>
              </w:rPr>
            </w:pPr>
            <w:r w:rsidRPr="00A33649">
              <w:rPr>
                <w:sz w:val="20"/>
                <w:szCs w:val="20"/>
              </w:rPr>
              <w:t>Number of days</w:t>
            </w:r>
          </w:p>
        </w:tc>
        <w:tc>
          <w:tcPr>
            <w:tcW w:w="2835" w:type="dxa"/>
          </w:tcPr>
          <w:p w14:paraId="35583F5A"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15832814" w14:textId="77777777" w:rsidR="00E423E4" w:rsidRPr="00A33649" w:rsidRDefault="00E423E4" w:rsidP="00DA1B78">
            <w:pPr>
              <w:keepNext/>
              <w:keepLines/>
              <w:tabs>
                <w:tab w:val="left" w:pos="567"/>
              </w:tabs>
              <w:spacing w:after="120"/>
              <w:rPr>
                <w:sz w:val="20"/>
                <w:szCs w:val="20"/>
              </w:rPr>
            </w:pPr>
          </w:p>
        </w:tc>
      </w:tr>
      <w:tr w:rsidR="00E423E4" w14:paraId="6EAD12A2" w14:textId="77777777" w:rsidTr="00B627AE">
        <w:trPr>
          <w:trHeight w:val="273"/>
          <w:jc w:val="center"/>
        </w:trPr>
        <w:tc>
          <w:tcPr>
            <w:tcW w:w="2498" w:type="dxa"/>
            <w:vMerge w:val="restart"/>
          </w:tcPr>
          <w:p w14:paraId="57777DEA" w14:textId="77777777" w:rsidR="00E423E4" w:rsidRPr="00A33649" w:rsidRDefault="00E423E4" w:rsidP="00DA1B78">
            <w:pPr>
              <w:keepNext/>
              <w:keepLines/>
              <w:tabs>
                <w:tab w:val="left" w:pos="567"/>
              </w:tabs>
              <w:spacing w:after="120"/>
              <w:rPr>
                <w:sz w:val="20"/>
                <w:szCs w:val="20"/>
              </w:rPr>
            </w:pPr>
            <w:r w:rsidRPr="00A33649">
              <w:rPr>
                <w:sz w:val="20"/>
                <w:szCs w:val="20"/>
              </w:rPr>
              <w:t>Offshore pipelines</w:t>
            </w:r>
          </w:p>
        </w:tc>
        <w:tc>
          <w:tcPr>
            <w:tcW w:w="2889" w:type="dxa"/>
          </w:tcPr>
          <w:p w14:paraId="1E266409" w14:textId="77777777" w:rsidR="00E423E4" w:rsidRPr="00A33649" w:rsidRDefault="00E423E4" w:rsidP="00DA1B78">
            <w:pPr>
              <w:keepNext/>
              <w:keepLines/>
              <w:tabs>
                <w:tab w:val="left" w:pos="567"/>
              </w:tabs>
              <w:spacing w:after="120"/>
              <w:rPr>
                <w:sz w:val="20"/>
                <w:szCs w:val="20"/>
              </w:rPr>
            </w:pPr>
            <w:r w:rsidRPr="00A33649">
              <w:rPr>
                <w:sz w:val="20"/>
                <w:szCs w:val="20"/>
              </w:rPr>
              <w:t>Material</w:t>
            </w:r>
          </w:p>
        </w:tc>
        <w:tc>
          <w:tcPr>
            <w:tcW w:w="2835" w:type="dxa"/>
          </w:tcPr>
          <w:p w14:paraId="41D86192"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2523EFA3" w14:textId="77777777" w:rsidR="00E423E4" w:rsidRPr="00A33649" w:rsidRDefault="00E423E4" w:rsidP="00DA1B78">
            <w:pPr>
              <w:keepNext/>
              <w:keepLines/>
              <w:tabs>
                <w:tab w:val="left" w:pos="567"/>
              </w:tabs>
              <w:spacing w:after="120"/>
              <w:rPr>
                <w:sz w:val="20"/>
                <w:szCs w:val="20"/>
              </w:rPr>
            </w:pPr>
          </w:p>
        </w:tc>
      </w:tr>
      <w:tr w:rsidR="00E423E4" w14:paraId="3BBD0894" w14:textId="77777777" w:rsidTr="00B627AE">
        <w:trPr>
          <w:trHeight w:val="273"/>
          <w:jc w:val="center"/>
        </w:trPr>
        <w:tc>
          <w:tcPr>
            <w:tcW w:w="2498" w:type="dxa"/>
            <w:vMerge/>
          </w:tcPr>
          <w:p w14:paraId="00B0C991" w14:textId="77777777" w:rsidR="00E423E4" w:rsidRPr="00A33649" w:rsidRDefault="00E423E4" w:rsidP="00DA1B78">
            <w:pPr>
              <w:keepNext/>
              <w:keepLines/>
              <w:tabs>
                <w:tab w:val="left" w:pos="567"/>
              </w:tabs>
              <w:spacing w:after="120"/>
              <w:rPr>
                <w:sz w:val="20"/>
                <w:szCs w:val="20"/>
              </w:rPr>
            </w:pPr>
          </w:p>
        </w:tc>
        <w:tc>
          <w:tcPr>
            <w:tcW w:w="2889" w:type="dxa"/>
          </w:tcPr>
          <w:p w14:paraId="193164C5" w14:textId="77777777" w:rsidR="00E423E4" w:rsidRPr="00A33649" w:rsidRDefault="00E423E4" w:rsidP="00DA1B78">
            <w:pPr>
              <w:keepNext/>
              <w:keepLines/>
              <w:tabs>
                <w:tab w:val="left" w:pos="567"/>
              </w:tabs>
              <w:spacing w:after="120"/>
              <w:rPr>
                <w:sz w:val="20"/>
                <w:szCs w:val="20"/>
              </w:rPr>
            </w:pPr>
            <w:r w:rsidRPr="00A33649">
              <w:rPr>
                <w:sz w:val="20"/>
                <w:szCs w:val="20"/>
              </w:rPr>
              <w:t>Size</w:t>
            </w:r>
            <w:r>
              <w:rPr>
                <w:sz w:val="20"/>
                <w:szCs w:val="20"/>
              </w:rPr>
              <w:t>/Capacity</w:t>
            </w:r>
          </w:p>
        </w:tc>
        <w:tc>
          <w:tcPr>
            <w:tcW w:w="2835" w:type="dxa"/>
          </w:tcPr>
          <w:p w14:paraId="16F389AD" w14:textId="77777777" w:rsidR="00E423E4" w:rsidRPr="00A33649" w:rsidRDefault="00E423E4" w:rsidP="00DA1B78">
            <w:pPr>
              <w:keepNext/>
              <w:keepLines/>
              <w:tabs>
                <w:tab w:val="left" w:pos="567"/>
              </w:tabs>
              <w:spacing w:after="120"/>
              <w:rPr>
                <w:sz w:val="20"/>
                <w:szCs w:val="20"/>
              </w:rPr>
            </w:pPr>
          </w:p>
        </w:tc>
        <w:tc>
          <w:tcPr>
            <w:tcW w:w="1985" w:type="dxa"/>
            <w:shd w:val="clear" w:color="auto" w:fill="F2F2F2" w:themeFill="background1" w:themeFillShade="F2"/>
          </w:tcPr>
          <w:p w14:paraId="17F561FE" w14:textId="77777777" w:rsidR="00E423E4" w:rsidRPr="00A33649" w:rsidRDefault="00E423E4" w:rsidP="00DA1B78">
            <w:pPr>
              <w:keepNext/>
              <w:keepLines/>
              <w:tabs>
                <w:tab w:val="left" w:pos="567"/>
              </w:tabs>
              <w:spacing w:after="120"/>
              <w:rPr>
                <w:sz w:val="20"/>
                <w:szCs w:val="20"/>
              </w:rPr>
            </w:pPr>
          </w:p>
        </w:tc>
      </w:tr>
      <w:tr w:rsidR="00E423E4" w14:paraId="09C71E95" w14:textId="77777777" w:rsidTr="00B627AE">
        <w:trPr>
          <w:trHeight w:val="273"/>
          <w:jc w:val="center"/>
        </w:trPr>
        <w:tc>
          <w:tcPr>
            <w:tcW w:w="2498" w:type="dxa"/>
            <w:vMerge/>
          </w:tcPr>
          <w:p w14:paraId="5DFEF9E8" w14:textId="77777777" w:rsidR="00E423E4" w:rsidRPr="00A33649" w:rsidRDefault="00E423E4" w:rsidP="00DA1B78">
            <w:pPr>
              <w:keepNext/>
              <w:keepLines/>
              <w:tabs>
                <w:tab w:val="left" w:pos="567"/>
              </w:tabs>
              <w:spacing w:after="120"/>
              <w:rPr>
                <w:sz w:val="20"/>
                <w:szCs w:val="20"/>
              </w:rPr>
            </w:pPr>
          </w:p>
        </w:tc>
        <w:tc>
          <w:tcPr>
            <w:tcW w:w="2889" w:type="dxa"/>
          </w:tcPr>
          <w:p w14:paraId="19C61D3D" w14:textId="77777777" w:rsidR="00E423E4" w:rsidRPr="00A33649" w:rsidRDefault="00E423E4" w:rsidP="00DA1B78">
            <w:pPr>
              <w:keepNext/>
              <w:keepLines/>
              <w:tabs>
                <w:tab w:val="left" w:pos="567"/>
              </w:tabs>
              <w:spacing w:after="120"/>
              <w:rPr>
                <w:sz w:val="20"/>
                <w:szCs w:val="20"/>
              </w:rPr>
            </w:pPr>
            <w:r w:rsidRPr="00A33649">
              <w:rPr>
                <w:sz w:val="20"/>
                <w:szCs w:val="20"/>
              </w:rPr>
              <w:t>Distance</w:t>
            </w:r>
            <w:r>
              <w:rPr>
                <w:sz w:val="20"/>
                <w:szCs w:val="20"/>
              </w:rPr>
              <w:t xml:space="preserve"> (Km)</w:t>
            </w:r>
          </w:p>
        </w:tc>
        <w:tc>
          <w:tcPr>
            <w:tcW w:w="2835" w:type="dxa"/>
          </w:tcPr>
          <w:p w14:paraId="605C6C79" w14:textId="77777777" w:rsidR="00E423E4" w:rsidRPr="00A33649" w:rsidRDefault="00E423E4" w:rsidP="00DA1B78">
            <w:pPr>
              <w:keepNext/>
              <w:keepLines/>
              <w:tabs>
                <w:tab w:val="left" w:pos="567"/>
              </w:tabs>
              <w:spacing w:after="120"/>
              <w:rPr>
                <w:sz w:val="20"/>
                <w:szCs w:val="20"/>
              </w:rPr>
            </w:pPr>
          </w:p>
        </w:tc>
        <w:tc>
          <w:tcPr>
            <w:tcW w:w="1985" w:type="dxa"/>
            <w:shd w:val="clear" w:color="auto" w:fill="FFFFFF" w:themeFill="background1"/>
          </w:tcPr>
          <w:p w14:paraId="54BA4A74" w14:textId="77777777" w:rsidR="00E423E4" w:rsidRPr="00A33649" w:rsidRDefault="00E423E4" w:rsidP="00DA1B78">
            <w:pPr>
              <w:keepNext/>
              <w:keepLines/>
              <w:tabs>
                <w:tab w:val="left" w:pos="567"/>
              </w:tabs>
              <w:spacing w:after="120"/>
              <w:rPr>
                <w:sz w:val="20"/>
                <w:szCs w:val="20"/>
              </w:rPr>
            </w:pPr>
          </w:p>
        </w:tc>
      </w:tr>
      <w:tr w:rsidR="00E423E4" w14:paraId="038321A2" w14:textId="77777777" w:rsidTr="00B627AE">
        <w:trPr>
          <w:trHeight w:val="321"/>
          <w:jc w:val="center"/>
        </w:trPr>
        <w:tc>
          <w:tcPr>
            <w:tcW w:w="2498" w:type="dxa"/>
            <w:vMerge w:val="restart"/>
          </w:tcPr>
          <w:p w14:paraId="36ECF6D2" w14:textId="77777777" w:rsidR="00E423E4" w:rsidRPr="00A33649" w:rsidRDefault="00E423E4" w:rsidP="00DA1B78">
            <w:pPr>
              <w:keepNext/>
              <w:keepLines/>
              <w:tabs>
                <w:tab w:val="left" w:pos="567"/>
              </w:tabs>
              <w:spacing w:after="120"/>
              <w:rPr>
                <w:sz w:val="20"/>
                <w:szCs w:val="20"/>
              </w:rPr>
            </w:pPr>
            <w:r w:rsidRPr="00A33649">
              <w:rPr>
                <w:sz w:val="20"/>
                <w:szCs w:val="20"/>
              </w:rPr>
              <w:t>Rig</w:t>
            </w:r>
          </w:p>
        </w:tc>
        <w:tc>
          <w:tcPr>
            <w:tcW w:w="2889" w:type="dxa"/>
          </w:tcPr>
          <w:p w14:paraId="3BC5B513" w14:textId="77777777" w:rsidR="00E423E4" w:rsidRPr="00A33649" w:rsidRDefault="00E423E4" w:rsidP="00DA1B78">
            <w:pPr>
              <w:keepNext/>
              <w:keepLines/>
              <w:tabs>
                <w:tab w:val="left" w:pos="567"/>
              </w:tabs>
              <w:spacing w:after="120"/>
              <w:rPr>
                <w:sz w:val="20"/>
                <w:szCs w:val="20"/>
              </w:rPr>
            </w:pPr>
            <w:r w:rsidRPr="00A33649">
              <w:rPr>
                <w:sz w:val="20"/>
                <w:szCs w:val="20"/>
              </w:rPr>
              <w:t>Rig type</w:t>
            </w:r>
          </w:p>
        </w:tc>
        <w:tc>
          <w:tcPr>
            <w:tcW w:w="2835" w:type="dxa"/>
          </w:tcPr>
          <w:p w14:paraId="2AC06B20" w14:textId="77777777" w:rsidR="00E423E4" w:rsidRPr="00A33649" w:rsidRDefault="00E423E4" w:rsidP="00DA1B78">
            <w:pPr>
              <w:keepNext/>
              <w:keepLines/>
              <w:tabs>
                <w:tab w:val="left" w:pos="567"/>
              </w:tabs>
              <w:spacing w:after="120"/>
              <w:rPr>
                <w:sz w:val="20"/>
                <w:szCs w:val="20"/>
              </w:rPr>
            </w:pPr>
          </w:p>
        </w:tc>
        <w:tc>
          <w:tcPr>
            <w:tcW w:w="1985" w:type="dxa"/>
            <w:shd w:val="clear" w:color="auto" w:fill="FFFFFF" w:themeFill="background1"/>
          </w:tcPr>
          <w:p w14:paraId="32DA8092" w14:textId="77777777" w:rsidR="00E423E4" w:rsidRPr="00A33649" w:rsidRDefault="00E423E4" w:rsidP="00DA1B78">
            <w:pPr>
              <w:keepNext/>
              <w:keepLines/>
              <w:tabs>
                <w:tab w:val="left" w:pos="567"/>
              </w:tabs>
              <w:spacing w:after="120"/>
              <w:rPr>
                <w:sz w:val="20"/>
                <w:szCs w:val="20"/>
              </w:rPr>
            </w:pPr>
          </w:p>
        </w:tc>
      </w:tr>
      <w:tr w:rsidR="00E423E4" w14:paraId="54669FD5" w14:textId="77777777" w:rsidTr="00B627AE">
        <w:trPr>
          <w:trHeight w:val="369"/>
          <w:jc w:val="center"/>
        </w:trPr>
        <w:tc>
          <w:tcPr>
            <w:tcW w:w="2498" w:type="dxa"/>
            <w:vMerge/>
          </w:tcPr>
          <w:p w14:paraId="58ADE6FE" w14:textId="77777777" w:rsidR="00E423E4" w:rsidRPr="00A33649" w:rsidRDefault="00E423E4" w:rsidP="00DA1B78">
            <w:pPr>
              <w:keepNext/>
              <w:keepLines/>
              <w:tabs>
                <w:tab w:val="left" w:pos="567"/>
              </w:tabs>
              <w:spacing w:after="120"/>
              <w:rPr>
                <w:sz w:val="20"/>
                <w:szCs w:val="20"/>
              </w:rPr>
            </w:pPr>
          </w:p>
        </w:tc>
        <w:tc>
          <w:tcPr>
            <w:tcW w:w="2889" w:type="dxa"/>
          </w:tcPr>
          <w:p w14:paraId="22837F62" w14:textId="77777777" w:rsidR="00E423E4" w:rsidRPr="00A33649" w:rsidRDefault="00E423E4" w:rsidP="00DA1B78">
            <w:pPr>
              <w:keepNext/>
              <w:keepLines/>
              <w:tabs>
                <w:tab w:val="left" w:pos="567"/>
              </w:tabs>
              <w:spacing w:after="120"/>
              <w:rPr>
                <w:sz w:val="20"/>
                <w:szCs w:val="20"/>
              </w:rPr>
            </w:pPr>
            <w:r w:rsidRPr="00A33649">
              <w:rPr>
                <w:sz w:val="20"/>
                <w:szCs w:val="20"/>
              </w:rPr>
              <w:t>Est daily cost</w:t>
            </w:r>
            <w:r>
              <w:rPr>
                <w:sz w:val="20"/>
                <w:szCs w:val="20"/>
              </w:rPr>
              <w:t xml:space="preserve"> ($)</w:t>
            </w:r>
          </w:p>
        </w:tc>
        <w:tc>
          <w:tcPr>
            <w:tcW w:w="2835" w:type="dxa"/>
          </w:tcPr>
          <w:p w14:paraId="29BA95AA" w14:textId="77777777" w:rsidR="00E423E4" w:rsidRPr="00A33649" w:rsidRDefault="00E423E4" w:rsidP="00DA1B78">
            <w:pPr>
              <w:keepNext/>
              <w:keepLines/>
              <w:tabs>
                <w:tab w:val="left" w:pos="567"/>
              </w:tabs>
              <w:spacing w:after="120"/>
              <w:rPr>
                <w:sz w:val="20"/>
                <w:szCs w:val="20"/>
              </w:rPr>
            </w:pPr>
          </w:p>
        </w:tc>
        <w:tc>
          <w:tcPr>
            <w:tcW w:w="1985" w:type="dxa"/>
          </w:tcPr>
          <w:p w14:paraId="760C6409" w14:textId="77777777" w:rsidR="00E423E4" w:rsidRPr="00A33649" w:rsidRDefault="00E423E4" w:rsidP="00DA1B78">
            <w:pPr>
              <w:keepNext/>
              <w:keepLines/>
              <w:tabs>
                <w:tab w:val="left" w:pos="567"/>
              </w:tabs>
              <w:spacing w:after="120"/>
              <w:rPr>
                <w:sz w:val="20"/>
                <w:szCs w:val="20"/>
              </w:rPr>
            </w:pPr>
          </w:p>
        </w:tc>
      </w:tr>
      <w:tr w:rsidR="00E423E4" w14:paraId="1905D8E3" w14:textId="77777777" w:rsidTr="00B627AE">
        <w:trPr>
          <w:trHeight w:val="289"/>
          <w:jc w:val="center"/>
        </w:trPr>
        <w:tc>
          <w:tcPr>
            <w:tcW w:w="2498" w:type="dxa"/>
            <w:vMerge/>
          </w:tcPr>
          <w:p w14:paraId="000EA43F" w14:textId="77777777" w:rsidR="00E423E4" w:rsidRPr="00A33649" w:rsidRDefault="00E423E4" w:rsidP="00DA1B78">
            <w:pPr>
              <w:keepNext/>
              <w:keepLines/>
              <w:tabs>
                <w:tab w:val="left" w:pos="567"/>
              </w:tabs>
              <w:spacing w:after="120"/>
              <w:rPr>
                <w:sz w:val="20"/>
                <w:szCs w:val="20"/>
              </w:rPr>
            </w:pPr>
          </w:p>
        </w:tc>
        <w:tc>
          <w:tcPr>
            <w:tcW w:w="2889" w:type="dxa"/>
          </w:tcPr>
          <w:p w14:paraId="4CBFADA6" w14:textId="77777777" w:rsidR="00E423E4" w:rsidRPr="00A33649" w:rsidRDefault="00E423E4" w:rsidP="00DA1B78">
            <w:pPr>
              <w:keepNext/>
              <w:keepLines/>
              <w:tabs>
                <w:tab w:val="left" w:pos="567"/>
              </w:tabs>
              <w:spacing w:after="120"/>
              <w:rPr>
                <w:sz w:val="20"/>
                <w:szCs w:val="20"/>
              </w:rPr>
            </w:pPr>
            <w:r w:rsidRPr="00A33649">
              <w:rPr>
                <w:sz w:val="20"/>
                <w:szCs w:val="20"/>
              </w:rPr>
              <w:t>Mobilisation</w:t>
            </w:r>
            <w:r>
              <w:rPr>
                <w:sz w:val="20"/>
                <w:szCs w:val="20"/>
              </w:rPr>
              <w:t xml:space="preserve"> ($)</w:t>
            </w:r>
          </w:p>
        </w:tc>
        <w:tc>
          <w:tcPr>
            <w:tcW w:w="2835" w:type="dxa"/>
          </w:tcPr>
          <w:p w14:paraId="70758BF3" w14:textId="77777777" w:rsidR="00E423E4" w:rsidRPr="00A33649" w:rsidRDefault="00E423E4" w:rsidP="00DA1B78">
            <w:pPr>
              <w:keepNext/>
              <w:keepLines/>
              <w:tabs>
                <w:tab w:val="left" w:pos="567"/>
              </w:tabs>
              <w:spacing w:after="120"/>
              <w:rPr>
                <w:sz w:val="20"/>
                <w:szCs w:val="20"/>
              </w:rPr>
            </w:pPr>
          </w:p>
        </w:tc>
        <w:tc>
          <w:tcPr>
            <w:tcW w:w="1985" w:type="dxa"/>
          </w:tcPr>
          <w:p w14:paraId="6886DE2A" w14:textId="77777777" w:rsidR="00E423E4" w:rsidRPr="00A33649" w:rsidRDefault="00E423E4" w:rsidP="00DA1B78">
            <w:pPr>
              <w:keepNext/>
              <w:keepLines/>
              <w:tabs>
                <w:tab w:val="left" w:pos="567"/>
              </w:tabs>
              <w:spacing w:after="120"/>
              <w:rPr>
                <w:sz w:val="20"/>
                <w:szCs w:val="20"/>
              </w:rPr>
            </w:pPr>
          </w:p>
        </w:tc>
      </w:tr>
      <w:tr w:rsidR="00E423E4" w14:paraId="365D6DEF" w14:textId="77777777" w:rsidTr="00B627AE">
        <w:trPr>
          <w:trHeight w:val="337"/>
          <w:jc w:val="center"/>
        </w:trPr>
        <w:tc>
          <w:tcPr>
            <w:tcW w:w="2498" w:type="dxa"/>
            <w:vMerge/>
          </w:tcPr>
          <w:p w14:paraId="105E37F6" w14:textId="77777777" w:rsidR="00E423E4" w:rsidRPr="00A33649" w:rsidRDefault="00E423E4" w:rsidP="00DA1B78">
            <w:pPr>
              <w:keepNext/>
              <w:keepLines/>
              <w:tabs>
                <w:tab w:val="left" w:pos="567"/>
              </w:tabs>
              <w:spacing w:after="120"/>
              <w:rPr>
                <w:sz w:val="20"/>
                <w:szCs w:val="20"/>
              </w:rPr>
            </w:pPr>
          </w:p>
        </w:tc>
        <w:tc>
          <w:tcPr>
            <w:tcW w:w="2889" w:type="dxa"/>
          </w:tcPr>
          <w:p w14:paraId="09959463" w14:textId="77777777" w:rsidR="00E423E4" w:rsidRPr="00A33649" w:rsidRDefault="00E423E4" w:rsidP="00DA1B78">
            <w:pPr>
              <w:keepNext/>
              <w:keepLines/>
              <w:tabs>
                <w:tab w:val="left" w:pos="567"/>
              </w:tabs>
              <w:spacing w:after="120"/>
              <w:rPr>
                <w:sz w:val="20"/>
                <w:szCs w:val="20"/>
              </w:rPr>
            </w:pPr>
            <w:r w:rsidRPr="00A33649">
              <w:rPr>
                <w:sz w:val="20"/>
                <w:szCs w:val="20"/>
              </w:rPr>
              <w:t>Demobilisation</w:t>
            </w:r>
            <w:r>
              <w:rPr>
                <w:sz w:val="20"/>
                <w:szCs w:val="20"/>
              </w:rPr>
              <w:t xml:space="preserve"> ($)</w:t>
            </w:r>
          </w:p>
        </w:tc>
        <w:tc>
          <w:tcPr>
            <w:tcW w:w="2835" w:type="dxa"/>
          </w:tcPr>
          <w:p w14:paraId="4A6A6066" w14:textId="77777777" w:rsidR="00E423E4" w:rsidRPr="00A33649" w:rsidRDefault="00E423E4" w:rsidP="00DA1B78">
            <w:pPr>
              <w:keepNext/>
              <w:keepLines/>
              <w:tabs>
                <w:tab w:val="left" w:pos="567"/>
              </w:tabs>
              <w:spacing w:after="120"/>
              <w:rPr>
                <w:sz w:val="20"/>
                <w:szCs w:val="20"/>
              </w:rPr>
            </w:pPr>
          </w:p>
        </w:tc>
        <w:tc>
          <w:tcPr>
            <w:tcW w:w="1985" w:type="dxa"/>
          </w:tcPr>
          <w:p w14:paraId="6E00F900" w14:textId="77777777" w:rsidR="00E423E4" w:rsidRPr="00A33649" w:rsidRDefault="00E423E4" w:rsidP="00DA1B78">
            <w:pPr>
              <w:keepNext/>
              <w:keepLines/>
              <w:tabs>
                <w:tab w:val="left" w:pos="567"/>
              </w:tabs>
              <w:spacing w:after="120"/>
              <w:rPr>
                <w:sz w:val="20"/>
                <w:szCs w:val="20"/>
              </w:rPr>
            </w:pPr>
          </w:p>
        </w:tc>
      </w:tr>
      <w:tr w:rsidR="00E423E4" w14:paraId="4FCDFAF5" w14:textId="77777777" w:rsidTr="00B627AE">
        <w:trPr>
          <w:trHeight w:val="244"/>
          <w:jc w:val="center"/>
        </w:trPr>
        <w:tc>
          <w:tcPr>
            <w:tcW w:w="2498" w:type="dxa"/>
            <w:vMerge w:val="restart"/>
          </w:tcPr>
          <w:p w14:paraId="394F4A42" w14:textId="77777777" w:rsidR="00E423E4" w:rsidRPr="00A33649" w:rsidRDefault="00E423E4" w:rsidP="00DA1B78">
            <w:pPr>
              <w:keepNext/>
              <w:keepLines/>
              <w:tabs>
                <w:tab w:val="left" w:pos="567"/>
              </w:tabs>
              <w:spacing w:after="120"/>
              <w:rPr>
                <w:sz w:val="20"/>
                <w:szCs w:val="20"/>
              </w:rPr>
            </w:pPr>
            <w:r w:rsidRPr="00A33649">
              <w:rPr>
                <w:sz w:val="20"/>
                <w:szCs w:val="20"/>
              </w:rPr>
              <w:t>Subsea infrastructure components</w:t>
            </w:r>
          </w:p>
        </w:tc>
        <w:tc>
          <w:tcPr>
            <w:tcW w:w="2889" w:type="dxa"/>
          </w:tcPr>
          <w:p w14:paraId="31E0970D" w14:textId="77777777" w:rsidR="00E423E4" w:rsidRPr="00A33649" w:rsidRDefault="00E423E4" w:rsidP="00DA1B78">
            <w:pPr>
              <w:keepNext/>
              <w:keepLines/>
              <w:tabs>
                <w:tab w:val="left" w:pos="567"/>
              </w:tabs>
              <w:spacing w:after="120"/>
              <w:rPr>
                <w:sz w:val="20"/>
                <w:szCs w:val="20"/>
              </w:rPr>
            </w:pPr>
            <w:r w:rsidRPr="00A33649">
              <w:rPr>
                <w:sz w:val="20"/>
                <w:szCs w:val="20"/>
              </w:rPr>
              <w:t>Number of Manifolds</w:t>
            </w:r>
          </w:p>
        </w:tc>
        <w:tc>
          <w:tcPr>
            <w:tcW w:w="2835" w:type="dxa"/>
          </w:tcPr>
          <w:p w14:paraId="100F95BB" w14:textId="77777777" w:rsidR="00E423E4" w:rsidRPr="00A33649" w:rsidRDefault="00E423E4" w:rsidP="00DA1B78">
            <w:pPr>
              <w:keepNext/>
              <w:keepLines/>
              <w:tabs>
                <w:tab w:val="left" w:pos="567"/>
              </w:tabs>
              <w:spacing w:after="120"/>
              <w:rPr>
                <w:sz w:val="20"/>
                <w:szCs w:val="20"/>
              </w:rPr>
            </w:pPr>
          </w:p>
        </w:tc>
        <w:tc>
          <w:tcPr>
            <w:tcW w:w="1985" w:type="dxa"/>
          </w:tcPr>
          <w:p w14:paraId="40EFEFC4" w14:textId="77777777" w:rsidR="00E423E4" w:rsidRPr="00A33649" w:rsidRDefault="00E423E4" w:rsidP="00DA1B78">
            <w:pPr>
              <w:keepNext/>
              <w:keepLines/>
              <w:tabs>
                <w:tab w:val="left" w:pos="567"/>
              </w:tabs>
              <w:spacing w:after="120"/>
              <w:rPr>
                <w:sz w:val="20"/>
                <w:szCs w:val="20"/>
              </w:rPr>
            </w:pPr>
          </w:p>
        </w:tc>
      </w:tr>
      <w:tr w:rsidR="00E423E4" w14:paraId="0F5B9886" w14:textId="77777777" w:rsidTr="00B627AE">
        <w:trPr>
          <w:trHeight w:val="291"/>
          <w:jc w:val="center"/>
        </w:trPr>
        <w:tc>
          <w:tcPr>
            <w:tcW w:w="2498" w:type="dxa"/>
            <w:vMerge/>
          </w:tcPr>
          <w:p w14:paraId="2C217128" w14:textId="77777777" w:rsidR="00E423E4" w:rsidRPr="00A33649" w:rsidRDefault="00E423E4" w:rsidP="00DA1B78">
            <w:pPr>
              <w:keepNext/>
              <w:keepLines/>
              <w:tabs>
                <w:tab w:val="left" w:pos="567"/>
              </w:tabs>
              <w:spacing w:after="120"/>
              <w:rPr>
                <w:sz w:val="20"/>
                <w:szCs w:val="20"/>
              </w:rPr>
            </w:pPr>
          </w:p>
        </w:tc>
        <w:tc>
          <w:tcPr>
            <w:tcW w:w="2889" w:type="dxa"/>
          </w:tcPr>
          <w:p w14:paraId="19FED171" w14:textId="77777777" w:rsidR="00E423E4" w:rsidRPr="00A33649" w:rsidRDefault="00E423E4" w:rsidP="00DA1B78">
            <w:pPr>
              <w:keepNext/>
              <w:keepLines/>
              <w:tabs>
                <w:tab w:val="left" w:pos="567"/>
              </w:tabs>
              <w:spacing w:after="120"/>
              <w:rPr>
                <w:sz w:val="20"/>
                <w:szCs w:val="20"/>
              </w:rPr>
            </w:pPr>
            <w:r w:rsidRPr="00A33649">
              <w:rPr>
                <w:sz w:val="20"/>
                <w:szCs w:val="20"/>
              </w:rPr>
              <w:t>Number of flowlines</w:t>
            </w:r>
            <w:r>
              <w:rPr>
                <w:sz w:val="20"/>
                <w:szCs w:val="20"/>
              </w:rPr>
              <w:t xml:space="preserve"> (Km)</w:t>
            </w:r>
          </w:p>
        </w:tc>
        <w:tc>
          <w:tcPr>
            <w:tcW w:w="2835" w:type="dxa"/>
          </w:tcPr>
          <w:p w14:paraId="5FB5A195" w14:textId="77777777" w:rsidR="00E423E4" w:rsidRPr="00A33649" w:rsidRDefault="00E423E4" w:rsidP="00DA1B78">
            <w:pPr>
              <w:keepNext/>
              <w:keepLines/>
              <w:tabs>
                <w:tab w:val="left" w:pos="567"/>
              </w:tabs>
              <w:spacing w:after="120"/>
              <w:rPr>
                <w:sz w:val="20"/>
                <w:szCs w:val="20"/>
              </w:rPr>
            </w:pPr>
          </w:p>
        </w:tc>
        <w:tc>
          <w:tcPr>
            <w:tcW w:w="1985" w:type="dxa"/>
          </w:tcPr>
          <w:p w14:paraId="5604C08C" w14:textId="77777777" w:rsidR="00E423E4" w:rsidRPr="00A33649" w:rsidRDefault="00E423E4" w:rsidP="00DA1B78">
            <w:pPr>
              <w:keepNext/>
              <w:keepLines/>
              <w:tabs>
                <w:tab w:val="left" w:pos="567"/>
              </w:tabs>
              <w:spacing w:after="120"/>
              <w:rPr>
                <w:sz w:val="20"/>
                <w:szCs w:val="20"/>
              </w:rPr>
            </w:pPr>
          </w:p>
        </w:tc>
      </w:tr>
      <w:tr w:rsidR="00E423E4" w14:paraId="476166F3" w14:textId="77777777" w:rsidTr="00B627AE">
        <w:trPr>
          <w:trHeight w:val="339"/>
          <w:jc w:val="center"/>
        </w:trPr>
        <w:tc>
          <w:tcPr>
            <w:tcW w:w="2498" w:type="dxa"/>
            <w:vMerge w:val="restart"/>
          </w:tcPr>
          <w:p w14:paraId="47F7021A" w14:textId="77777777" w:rsidR="00E423E4" w:rsidRPr="00A33649" w:rsidRDefault="00E423E4" w:rsidP="00DA1B78">
            <w:pPr>
              <w:keepNext/>
              <w:keepLines/>
              <w:tabs>
                <w:tab w:val="left" w:pos="567"/>
              </w:tabs>
              <w:spacing w:after="120"/>
              <w:rPr>
                <w:sz w:val="20"/>
                <w:szCs w:val="20"/>
              </w:rPr>
            </w:pPr>
            <w:r w:rsidRPr="00A33649">
              <w:rPr>
                <w:sz w:val="20"/>
                <w:szCs w:val="20"/>
              </w:rPr>
              <w:t>Production facilities</w:t>
            </w:r>
          </w:p>
        </w:tc>
        <w:tc>
          <w:tcPr>
            <w:tcW w:w="2889" w:type="dxa"/>
          </w:tcPr>
          <w:p w14:paraId="6A188CD7" w14:textId="77777777" w:rsidR="00E423E4" w:rsidRPr="00A33649" w:rsidRDefault="00E423E4" w:rsidP="00DA1B78">
            <w:pPr>
              <w:keepNext/>
              <w:keepLines/>
              <w:tabs>
                <w:tab w:val="left" w:pos="567"/>
              </w:tabs>
              <w:spacing w:after="120"/>
              <w:rPr>
                <w:sz w:val="20"/>
                <w:szCs w:val="20"/>
              </w:rPr>
            </w:pPr>
            <w:r w:rsidRPr="00A33649">
              <w:rPr>
                <w:sz w:val="20"/>
                <w:szCs w:val="20"/>
              </w:rPr>
              <w:t>Facility type</w:t>
            </w:r>
          </w:p>
        </w:tc>
        <w:tc>
          <w:tcPr>
            <w:tcW w:w="2835" w:type="dxa"/>
          </w:tcPr>
          <w:p w14:paraId="4ADFF570" w14:textId="77777777" w:rsidR="00E423E4" w:rsidRPr="00A33649" w:rsidRDefault="00E423E4" w:rsidP="00DA1B78">
            <w:pPr>
              <w:keepNext/>
              <w:keepLines/>
              <w:tabs>
                <w:tab w:val="left" w:pos="567"/>
              </w:tabs>
              <w:spacing w:after="120"/>
              <w:rPr>
                <w:sz w:val="20"/>
                <w:szCs w:val="20"/>
              </w:rPr>
            </w:pPr>
          </w:p>
        </w:tc>
        <w:tc>
          <w:tcPr>
            <w:tcW w:w="1985" w:type="dxa"/>
          </w:tcPr>
          <w:p w14:paraId="0CD7A1A8" w14:textId="77777777" w:rsidR="00E423E4" w:rsidRPr="00A33649" w:rsidRDefault="00E423E4" w:rsidP="00DA1B78">
            <w:pPr>
              <w:keepNext/>
              <w:keepLines/>
              <w:tabs>
                <w:tab w:val="left" w:pos="567"/>
              </w:tabs>
              <w:spacing w:after="120"/>
              <w:rPr>
                <w:sz w:val="20"/>
                <w:szCs w:val="20"/>
              </w:rPr>
            </w:pPr>
          </w:p>
        </w:tc>
      </w:tr>
      <w:tr w:rsidR="00E423E4" w14:paraId="14225676" w14:textId="77777777" w:rsidTr="00B627AE">
        <w:trPr>
          <w:trHeight w:val="684"/>
          <w:jc w:val="center"/>
        </w:trPr>
        <w:tc>
          <w:tcPr>
            <w:tcW w:w="2498" w:type="dxa"/>
            <w:vMerge/>
          </w:tcPr>
          <w:p w14:paraId="7EB7459A" w14:textId="77777777" w:rsidR="00E423E4" w:rsidRPr="00A33649" w:rsidRDefault="00E423E4" w:rsidP="00DA1B78">
            <w:pPr>
              <w:keepNext/>
              <w:keepLines/>
              <w:tabs>
                <w:tab w:val="left" w:pos="567"/>
              </w:tabs>
              <w:spacing w:after="120"/>
              <w:rPr>
                <w:sz w:val="20"/>
                <w:szCs w:val="20"/>
              </w:rPr>
            </w:pPr>
          </w:p>
        </w:tc>
        <w:tc>
          <w:tcPr>
            <w:tcW w:w="2889" w:type="dxa"/>
          </w:tcPr>
          <w:p w14:paraId="57F6102B" w14:textId="77777777" w:rsidR="00E423E4" w:rsidRPr="00A33649" w:rsidRDefault="00E423E4" w:rsidP="00DA1B78">
            <w:pPr>
              <w:keepNext/>
              <w:keepLines/>
              <w:tabs>
                <w:tab w:val="left" w:pos="567"/>
              </w:tabs>
              <w:spacing w:after="120"/>
              <w:rPr>
                <w:sz w:val="20"/>
                <w:szCs w:val="20"/>
              </w:rPr>
            </w:pPr>
            <w:r>
              <w:rPr>
                <w:sz w:val="20"/>
                <w:szCs w:val="20"/>
              </w:rPr>
              <w:t>C</w:t>
            </w:r>
            <w:r w:rsidRPr="00A33649">
              <w:rPr>
                <w:sz w:val="20"/>
                <w:szCs w:val="20"/>
              </w:rPr>
              <w:t>apacities (water handling, raw gas rate, gas export rate, condensate handling)</w:t>
            </w:r>
          </w:p>
        </w:tc>
        <w:tc>
          <w:tcPr>
            <w:tcW w:w="2835" w:type="dxa"/>
          </w:tcPr>
          <w:p w14:paraId="15D718C4" w14:textId="77777777" w:rsidR="00E423E4" w:rsidRPr="00A33649" w:rsidRDefault="00E423E4" w:rsidP="00DA1B78">
            <w:pPr>
              <w:keepNext/>
              <w:keepLines/>
              <w:tabs>
                <w:tab w:val="left" w:pos="567"/>
              </w:tabs>
              <w:spacing w:after="120"/>
              <w:rPr>
                <w:sz w:val="20"/>
                <w:szCs w:val="20"/>
              </w:rPr>
            </w:pPr>
          </w:p>
        </w:tc>
        <w:tc>
          <w:tcPr>
            <w:tcW w:w="1985" w:type="dxa"/>
          </w:tcPr>
          <w:p w14:paraId="77DDD431" w14:textId="77777777" w:rsidR="00E423E4" w:rsidRPr="00A33649" w:rsidRDefault="00E423E4" w:rsidP="00DA1B78">
            <w:pPr>
              <w:keepNext/>
              <w:keepLines/>
              <w:tabs>
                <w:tab w:val="left" w:pos="567"/>
              </w:tabs>
              <w:spacing w:after="120"/>
              <w:rPr>
                <w:sz w:val="20"/>
                <w:szCs w:val="20"/>
              </w:rPr>
            </w:pPr>
          </w:p>
        </w:tc>
      </w:tr>
      <w:tr w:rsidR="00E423E4" w14:paraId="1F7B5E60" w14:textId="77777777" w:rsidTr="00B627AE">
        <w:trPr>
          <w:trHeight w:val="274"/>
          <w:jc w:val="center"/>
        </w:trPr>
        <w:tc>
          <w:tcPr>
            <w:tcW w:w="2498" w:type="dxa"/>
          </w:tcPr>
          <w:p w14:paraId="045BADAF" w14:textId="77777777" w:rsidR="00E423E4" w:rsidRPr="00A33649" w:rsidRDefault="00E423E4" w:rsidP="00DA1B78">
            <w:pPr>
              <w:keepNext/>
              <w:keepLines/>
              <w:tabs>
                <w:tab w:val="left" w:pos="567"/>
              </w:tabs>
              <w:spacing w:after="120"/>
              <w:rPr>
                <w:sz w:val="20"/>
                <w:szCs w:val="20"/>
              </w:rPr>
            </w:pPr>
            <w:r w:rsidRPr="00A33649">
              <w:rPr>
                <w:sz w:val="20"/>
                <w:szCs w:val="20"/>
              </w:rPr>
              <w:t>If Compression is expected</w:t>
            </w:r>
          </w:p>
        </w:tc>
        <w:tc>
          <w:tcPr>
            <w:tcW w:w="2889" w:type="dxa"/>
          </w:tcPr>
          <w:p w14:paraId="4C22CA9F" w14:textId="77777777" w:rsidR="00E423E4" w:rsidRPr="00A33649" w:rsidRDefault="00E423E4" w:rsidP="00DA1B78">
            <w:pPr>
              <w:keepNext/>
              <w:keepLines/>
              <w:tabs>
                <w:tab w:val="left" w:pos="567"/>
              </w:tabs>
              <w:spacing w:after="120"/>
              <w:rPr>
                <w:sz w:val="20"/>
                <w:szCs w:val="20"/>
              </w:rPr>
            </w:pPr>
            <w:r w:rsidRPr="00A33649">
              <w:rPr>
                <w:sz w:val="20"/>
                <w:szCs w:val="20"/>
              </w:rPr>
              <w:t>Timing</w:t>
            </w:r>
            <w:r>
              <w:rPr>
                <w:sz w:val="20"/>
                <w:szCs w:val="20"/>
              </w:rPr>
              <w:t xml:space="preserve"> (Year)</w:t>
            </w:r>
          </w:p>
        </w:tc>
        <w:tc>
          <w:tcPr>
            <w:tcW w:w="2835" w:type="dxa"/>
          </w:tcPr>
          <w:p w14:paraId="6DC40A81" w14:textId="77777777" w:rsidR="00E423E4" w:rsidRPr="00A33649" w:rsidRDefault="00E423E4" w:rsidP="00DA1B78">
            <w:pPr>
              <w:keepNext/>
              <w:keepLines/>
              <w:tabs>
                <w:tab w:val="left" w:pos="567"/>
              </w:tabs>
              <w:spacing w:after="120"/>
              <w:rPr>
                <w:sz w:val="20"/>
                <w:szCs w:val="20"/>
              </w:rPr>
            </w:pPr>
          </w:p>
        </w:tc>
        <w:tc>
          <w:tcPr>
            <w:tcW w:w="1985" w:type="dxa"/>
          </w:tcPr>
          <w:p w14:paraId="14D3E16A" w14:textId="77777777" w:rsidR="00E423E4" w:rsidRPr="00A33649" w:rsidRDefault="00E423E4" w:rsidP="00DA1B78">
            <w:pPr>
              <w:keepNext/>
              <w:keepLines/>
              <w:tabs>
                <w:tab w:val="left" w:pos="567"/>
              </w:tabs>
              <w:spacing w:after="120"/>
              <w:rPr>
                <w:sz w:val="20"/>
                <w:szCs w:val="20"/>
              </w:rPr>
            </w:pPr>
          </w:p>
        </w:tc>
      </w:tr>
      <w:tr w:rsidR="00E423E4" w14:paraId="73789227" w14:textId="77777777" w:rsidTr="00B627AE">
        <w:trPr>
          <w:trHeight w:val="416"/>
          <w:jc w:val="center"/>
        </w:trPr>
        <w:tc>
          <w:tcPr>
            <w:tcW w:w="2498" w:type="dxa"/>
          </w:tcPr>
          <w:p w14:paraId="5AE04B8F" w14:textId="77777777" w:rsidR="00E423E4" w:rsidRPr="00A33649" w:rsidRDefault="00E423E4" w:rsidP="00DA1B78">
            <w:pPr>
              <w:keepNext/>
              <w:keepLines/>
              <w:tabs>
                <w:tab w:val="left" w:pos="567"/>
              </w:tabs>
              <w:spacing w:after="120"/>
              <w:rPr>
                <w:sz w:val="20"/>
                <w:szCs w:val="20"/>
              </w:rPr>
            </w:pPr>
            <w:r w:rsidRPr="00A33649">
              <w:rPr>
                <w:sz w:val="20"/>
                <w:szCs w:val="20"/>
              </w:rPr>
              <w:t xml:space="preserve">Relocation and decommissioning </w:t>
            </w:r>
          </w:p>
        </w:tc>
        <w:tc>
          <w:tcPr>
            <w:tcW w:w="2889" w:type="dxa"/>
          </w:tcPr>
          <w:p w14:paraId="69BFA01D" w14:textId="77777777" w:rsidR="00E423E4" w:rsidRPr="00A33649" w:rsidRDefault="00E423E4" w:rsidP="00DA1B78">
            <w:pPr>
              <w:keepNext/>
              <w:keepLines/>
              <w:tabs>
                <w:tab w:val="left" w:pos="567"/>
              </w:tabs>
              <w:spacing w:after="120"/>
              <w:rPr>
                <w:sz w:val="20"/>
                <w:szCs w:val="20"/>
              </w:rPr>
            </w:pPr>
            <w:r w:rsidRPr="00A33649">
              <w:rPr>
                <w:sz w:val="20"/>
                <w:szCs w:val="20"/>
              </w:rPr>
              <w:t>Timing</w:t>
            </w:r>
            <w:r>
              <w:rPr>
                <w:sz w:val="20"/>
                <w:szCs w:val="20"/>
              </w:rPr>
              <w:t xml:space="preserve"> (Year)</w:t>
            </w:r>
          </w:p>
        </w:tc>
        <w:tc>
          <w:tcPr>
            <w:tcW w:w="2835" w:type="dxa"/>
          </w:tcPr>
          <w:p w14:paraId="776E5957" w14:textId="77777777" w:rsidR="00E423E4" w:rsidRPr="00A33649" w:rsidRDefault="00E423E4" w:rsidP="00DA1B78">
            <w:pPr>
              <w:keepNext/>
              <w:keepLines/>
              <w:tabs>
                <w:tab w:val="left" w:pos="567"/>
              </w:tabs>
              <w:spacing w:after="120"/>
              <w:rPr>
                <w:sz w:val="20"/>
                <w:szCs w:val="20"/>
              </w:rPr>
            </w:pPr>
          </w:p>
        </w:tc>
        <w:tc>
          <w:tcPr>
            <w:tcW w:w="1985" w:type="dxa"/>
          </w:tcPr>
          <w:p w14:paraId="5F665285" w14:textId="77777777" w:rsidR="00E423E4" w:rsidRPr="00A33649" w:rsidRDefault="00E423E4" w:rsidP="00DA1B78">
            <w:pPr>
              <w:keepNext/>
              <w:keepLines/>
              <w:tabs>
                <w:tab w:val="left" w:pos="567"/>
              </w:tabs>
              <w:spacing w:after="120"/>
              <w:rPr>
                <w:sz w:val="20"/>
                <w:szCs w:val="20"/>
              </w:rPr>
            </w:pPr>
          </w:p>
        </w:tc>
      </w:tr>
      <w:tr w:rsidR="00E423E4" w14:paraId="435FAE55" w14:textId="77777777" w:rsidTr="00B627AE">
        <w:trPr>
          <w:trHeight w:val="416"/>
          <w:jc w:val="center"/>
        </w:trPr>
        <w:tc>
          <w:tcPr>
            <w:tcW w:w="2498" w:type="dxa"/>
            <w:vMerge w:val="restart"/>
          </w:tcPr>
          <w:p w14:paraId="738BDA33" w14:textId="77777777" w:rsidR="00E423E4" w:rsidRPr="00A33649" w:rsidRDefault="00E423E4" w:rsidP="00DA1B78">
            <w:pPr>
              <w:keepNext/>
              <w:keepLines/>
              <w:tabs>
                <w:tab w:val="left" w:pos="567"/>
              </w:tabs>
              <w:spacing w:after="120"/>
              <w:rPr>
                <w:sz w:val="20"/>
                <w:szCs w:val="20"/>
              </w:rPr>
            </w:pPr>
            <w:r w:rsidRPr="00A33649">
              <w:rPr>
                <w:sz w:val="20"/>
                <w:szCs w:val="20"/>
              </w:rPr>
              <w:t>Cost Estimates</w:t>
            </w:r>
          </w:p>
        </w:tc>
        <w:tc>
          <w:tcPr>
            <w:tcW w:w="2889" w:type="dxa"/>
          </w:tcPr>
          <w:p w14:paraId="573ED66E" w14:textId="77777777" w:rsidR="00E423E4" w:rsidRPr="00A33649" w:rsidRDefault="00E423E4" w:rsidP="00DA1B78">
            <w:pPr>
              <w:keepNext/>
              <w:keepLines/>
              <w:tabs>
                <w:tab w:val="left" w:pos="567"/>
              </w:tabs>
              <w:spacing w:after="120"/>
              <w:rPr>
                <w:sz w:val="20"/>
                <w:szCs w:val="20"/>
              </w:rPr>
            </w:pPr>
            <w:r w:rsidRPr="00A33649">
              <w:rPr>
                <w:sz w:val="20"/>
                <w:szCs w:val="20"/>
              </w:rPr>
              <w:t>Pre-FEED</w:t>
            </w:r>
            <w:r>
              <w:rPr>
                <w:sz w:val="20"/>
                <w:szCs w:val="20"/>
              </w:rPr>
              <w:t xml:space="preserve"> ($)</w:t>
            </w:r>
          </w:p>
        </w:tc>
        <w:tc>
          <w:tcPr>
            <w:tcW w:w="2835" w:type="dxa"/>
          </w:tcPr>
          <w:p w14:paraId="20B51633" w14:textId="77777777" w:rsidR="00E423E4" w:rsidRPr="00A33649" w:rsidRDefault="00E423E4" w:rsidP="00DA1B78">
            <w:pPr>
              <w:keepNext/>
              <w:keepLines/>
              <w:tabs>
                <w:tab w:val="left" w:pos="567"/>
              </w:tabs>
              <w:spacing w:after="120"/>
              <w:rPr>
                <w:sz w:val="20"/>
                <w:szCs w:val="20"/>
              </w:rPr>
            </w:pPr>
          </w:p>
        </w:tc>
        <w:tc>
          <w:tcPr>
            <w:tcW w:w="1985" w:type="dxa"/>
          </w:tcPr>
          <w:p w14:paraId="5E216D01" w14:textId="77777777" w:rsidR="00E423E4" w:rsidRPr="00A33649" w:rsidRDefault="00E423E4" w:rsidP="00DA1B78">
            <w:pPr>
              <w:keepNext/>
              <w:keepLines/>
              <w:tabs>
                <w:tab w:val="left" w:pos="567"/>
              </w:tabs>
              <w:spacing w:after="120"/>
              <w:rPr>
                <w:sz w:val="20"/>
                <w:szCs w:val="20"/>
              </w:rPr>
            </w:pPr>
          </w:p>
        </w:tc>
      </w:tr>
      <w:tr w:rsidR="00E423E4" w14:paraId="075CADC4" w14:textId="77777777" w:rsidTr="00B627AE">
        <w:trPr>
          <w:trHeight w:val="416"/>
          <w:jc w:val="center"/>
        </w:trPr>
        <w:tc>
          <w:tcPr>
            <w:tcW w:w="2498" w:type="dxa"/>
            <w:vMerge/>
          </w:tcPr>
          <w:p w14:paraId="48AFCD18" w14:textId="77777777" w:rsidR="00E423E4" w:rsidRPr="00A33649" w:rsidRDefault="00E423E4" w:rsidP="00DA1B78">
            <w:pPr>
              <w:keepNext/>
              <w:keepLines/>
              <w:tabs>
                <w:tab w:val="left" w:pos="567"/>
              </w:tabs>
              <w:spacing w:after="120"/>
              <w:rPr>
                <w:sz w:val="20"/>
                <w:szCs w:val="20"/>
              </w:rPr>
            </w:pPr>
          </w:p>
        </w:tc>
        <w:tc>
          <w:tcPr>
            <w:tcW w:w="2889" w:type="dxa"/>
          </w:tcPr>
          <w:p w14:paraId="1B5BDFDF" w14:textId="77777777" w:rsidR="00E423E4" w:rsidRPr="00A33649" w:rsidRDefault="00E423E4" w:rsidP="00DA1B78">
            <w:pPr>
              <w:keepNext/>
              <w:keepLines/>
              <w:tabs>
                <w:tab w:val="left" w:pos="567"/>
              </w:tabs>
              <w:spacing w:after="120"/>
              <w:rPr>
                <w:sz w:val="20"/>
                <w:szCs w:val="20"/>
              </w:rPr>
            </w:pPr>
            <w:r w:rsidRPr="00A33649">
              <w:rPr>
                <w:sz w:val="20"/>
                <w:szCs w:val="20"/>
              </w:rPr>
              <w:t>Pre-FID</w:t>
            </w:r>
            <w:r>
              <w:rPr>
                <w:sz w:val="20"/>
                <w:szCs w:val="20"/>
              </w:rPr>
              <w:t xml:space="preserve"> ($)</w:t>
            </w:r>
          </w:p>
        </w:tc>
        <w:tc>
          <w:tcPr>
            <w:tcW w:w="2835" w:type="dxa"/>
          </w:tcPr>
          <w:p w14:paraId="2EA832CC" w14:textId="77777777" w:rsidR="00E423E4" w:rsidRPr="00A33649" w:rsidRDefault="00E423E4" w:rsidP="00DA1B78">
            <w:pPr>
              <w:keepNext/>
              <w:keepLines/>
              <w:tabs>
                <w:tab w:val="left" w:pos="567"/>
              </w:tabs>
              <w:spacing w:after="120"/>
              <w:rPr>
                <w:sz w:val="20"/>
                <w:szCs w:val="20"/>
              </w:rPr>
            </w:pPr>
          </w:p>
        </w:tc>
        <w:tc>
          <w:tcPr>
            <w:tcW w:w="1985" w:type="dxa"/>
          </w:tcPr>
          <w:p w14:paraId="05B18C36" w14:textId="77777777" w:rsidR="00E423E4" w:rsidRPr="00A33649" w:rsidRDefault="00E423E4" w:rsidP="00DA1B78">
            <w:pPr>
              <w:keepNext/>
              <w:keepLines/>
              <w:tabs>
                <w:tab w:val="left" w:pos="567"/>
              </w:tabs>
              <w:spacing w:after="120"/>
              <w:rPr>
                <w:sz w:val="20"/>
                <w:szCs w:val="20"/>
              </w:rPr>
            </w:pPr>
          </w:p>
        </w:tc>
      </w:tr>
      <w:tr w:rsidR="00E423E4" w14:paraId="0EB868C5" w14:textId="77777777" w:rsidTr="00B627AE">
        <w:trPr>
          <w:trHeight w:val="416"/>
          <w:jc w:val="center"/>
        </w:trPr>
        <w:tc>
          <w:tcPr>
            <w:tcW w:w="2498" w:type="dxa"/>
            <w:vMerge/>
          </w:tcPr>
          <w:p w14:paraId="0982E9E2" w14:textId="77777777" w:rsidR="00E423E4" w:rsidRPr="00A33649" w:rsidRDefault="00E423E4" w:rsidP="00DA1B78">
            <w:pPr>
              <w:keepNext/>
              <w:keepLines/>
              <w:tabs>
                <w:tab w:val="left" w:pos="567"/>
              </w:tabs>
              <w:spacing w:after="120"/>
              <w:rPr>
                <w:sz w:val="20"/>
                <w:szCs w:val="20"/>
              </w:rPr>
            </w:pPr>
          </w:p>
        </w:tc>
        <w:tc>
          <w:tcPr>
            <w:tcW w:w="2889" w:type="dxa"/>
          </w:tcPr>
          <w:p w14:paraId="7E5346FC" w14:textId="77777777" w:rsidR="00E423E4" w:rsidRPr="00A33649" w:rsidRDefault="00E423E4" w:rsidP="00DA1B78">
            <w:pPr>
              <w:keepNext/>
              <w:keepLines/>
              <w:tabs>
                <w:tab w:val="left" w:pos="567"/>
              </w:tabs>
              <w:spacing w:after="120"/>
              <w:rPr>
                <w:sz w:val="20"/>
                <w:szCs w:val="20"/>
              </w:rPr>
            </w:pPr>
            <w:r w:rsidRPr="00A33649">
              <w:rPr>
                <w:sz w:val="20"/>
                <w:szCs w:val="20"/>
              </w:rPr>
              <w:t>Future exploration</w:t>
            </w:r>
            <w:r>
              <w:rPr>
                <w:sz w:val="20"/>
                <w:szCs w:val="20"/>
              </w:rPr>
              <w:t>/appraisal ($)</w:t>
            </w:r>
          </w:p>
        </w:tc>
        <w:tc>
          <w:tcPr>
            <w:tcW w:w="2835" w:type="dxa"/>
          </w:tcPr>
          <w:p w14:paraId="5BD7211D" w14:textId="77777777" w:rsidR="00E423E4" w:rsidRPr="00A33649" w:rsidRDefault="00E423E4" w:rsidP="00DA1B78">
            <w:pPr>
              <w:keepNext/>
              <w:keepLines/>
              <w:tabs>
                <w:tab w:val="left" w:pos="567"/>
              </w:tabs>
              <w:spacing w:after="120"/>
              <w:rPr>
                <w:sz w:val="20"/>
                <w:szCs w:val="20"/>
              </w:rPr>
            </w:pPr>
          </w:p>
        </w:tc>
        <w:tc>
          <w:tcPr>
            <w:tcW w:w="1985" w:type="dxa"/>
          </w:tcPr>
          <w:p w14:paraId="671E4134" w14:textId="77777777" w:rsidR="00E423E4" w:rsidRPr="00A33649" w:rsidRDefault="00E423E4" w:rsidP="00DA1B78">
            <w:pPr>
              <w:keepNext/>
              <w:keepLines/>
              <w:tabs>
                <w:tab w:val="left" w:pos="567"/>
              </w:tabs>
              <w:spacing w:after="120"/>
              <w:rPr>
                <w:sz w:val="20"/>
                <w:szCs w:val="20"/>
              </w:rPr>
            </w:pPr>
          </w:p>
        </w:tc>
      </w:tr>
      <w:tr w:rsidR="00E423E4" w14:paraId="4E6E4D61" w14:textId="77777777" w:rsidTr="00B627AE">
        <w:trPr>
          <w:trHeight w:val="184"/>
          <w:jc w:val="center"/>
        </w:trPr>
        <w:tc>
          <w:tcPr>
            <w:tcW w:w="2498" w:type="dxa"/>
            <w:vMerge/>
          </w:tcPr>
          <w:p w14:paraId="5398113A" w14:textId="77777777" w:rsidR="00E423E4" w:rsidRPr="00A33649" w:rsidRDefault="00E423E4" w:rsidP="00DA1B78">
            <w:pPr>
              <w:keepNext/>
              <w:keepLines/>
              <w:tabs>
                <w:tab w:val="left" w:pos="567"/>
              </w:tabs>
              <w:spacing w:after="120"/>
              <w:rPr>
                <w:sz w:val="20"/>
                <w:szCs w:val="20"/>
              </w:rPr>
            </w:pPr>
          </w:p>
        </w:tc>
        <w:tc>
          <w:tcPr>
            <w:tcW w:w="2889" w:type="dxa"/>
          </w:tcPr>
          <w:p w14:paraId="0BD9B8BD" w14:textId="77777777" w:rsidR="00E423E4" w:rsidRPr="00A33649" w:rsidRDefault="00E423E4" w:rsidP="00DA1B78">
            <w:pPr>
              <w:keepNext/>
              <w:keepLines/>
              <w:tabs>
                <w:tab w:val="left" w:pos="567"/>
              </w:tabs>
              <w:spacing w:after="120"/>
              <w:rPr>
                <w:sz w:val="20"/>
                <w:szCs w:val="20"/>
              </w:rPr>
            </w:pPr>
            <w:r>
              <w:rPr>
                <w:sz w:val="20"/>
                <w:szCs w:val="20"/>
              </w:rPr>
              <w:t>Owners Costs (%)</w:t>
            </w:r>
          </w:p>
        </w:tc>
        <w:tc>
          <w:tcPr>
            <w:tcW w:w="2835" w:type="dxa"/>
          </w:tcPr>
          <w:p w14:paraId="3A90D5E5" w14:textId="77777777" w:rsidR="00E423E4" w:rsidRPr="00A33649" w:rsidRDefault="00E423E4" w:rsidP="00DA1B78">
            <w:pPr>
              <w:keepNext/>
              <w:keepLines/>
              <w:tabs>
                <w:tab w:val="left" w:pos="567"/>
              </w:tabs>
              <w:spacing w:after="120"/>
              <w:rPr>
                <w:sz w:val="20"/>
                <w:szCs w:val="20"/>
              </w:rPr>
            </w:pPr>
          </w:p>
        </w:tc>
        <w:tc>
          <w:tcPr>
            <w:tcW w:w="1985" w:type="dxa"/>
          </w:tcPr>
          <w:p w14:paraId="616A849C" w14:textId="77777777" w:rsidR="00E423E4" w:rsidRPr="00A33649" w:rsidRDefault="00E423E4" w:rsidP="00DA1B78">
            <w:pPr>
              <w:keepNext/>
              <w:keepLines/>
              <w:tabs>
                <w:tab w:val="left" w:pos="567"/>
              </w:tabs>
              <w:spacing w:after="120"/>
              <w:rPr>
                <w:sz w:val="20"/>
                <w:szCs w:val="20"/>
              </w:rPr>
            </w:pPr>
          </w:p>
        </w:tc>
      </w:tr>
      <w:tr w:rsidR="00E423E4" w14:paraId="366C2F7F" w14:textId="77777777" w:rsidTr="00B627AE">
        <w:trPr>
          <w:trHeight w:val="350"/>
          <w:jc w:val="center"/>
        </w:trPr>
        <w:tc>
          <w:tcPr>
            <w:tcW w:w="2498" w:type="dxa"/>
            <w:vMerge/>
          </w:tcPr>
          <w:p w14:paraId="789B73FA" w14:textId="77777777" w:rsidR="00E423E4" w:rsidRPr="00A33649" w:rsidRDefault="00E423E4" w:rsidP="00DA1B78">
            <w:pPr>
              <w:keepNext/>
              <w:keepLines/>
              <w:tabs>
                <w:tab w:val="left" w:pos="567"/>
              </w:tabs>
              <w:spacing w:after="120"/>
              <w:rPr>
                <w:sz w:val="20"/>
                <w:szCs w:val="20"/>
              </w:rPr>
            </w:pPr>
          </w:p>
        </w:tc>
        <w:tc>
          <w:tcPr>
            <w:tcW w:w="2889" w:type="dxa"/>
          </w:tcPr>
          <w:p w14:paraId="7EBD33AE" w14:textId="77777777" w:rsidR="00E423E4" w:rsidRPr="00A33649" w:rsidRDefault="00E423E4" w:rsidP="00DA1B78">
            <w:pPr>
              <w:keepNext/>
              <w:keepLines/>
              <w:tabs>
                <w:tab w:val="left" w:pos="567"/>
              </w:tabs>
              <w:spacing w:after="120"/>
              <w:rPr>
                <w:sz w:val="20"/>
                <w:szCs w:val="20"/>
              </w:rPr>
            </w:pPr>
            <w:r>
              <w:rPr>
                <w:sz w:val="20"/>
                <w:szCs w:val="20"/>
              </w:rPr>
              <w:t>Contingency (%)</w:t>
            </w:r>
          </w:p>
        </w:tc>
        <w:tc>
          <w:tcPr>
            <w:tcW w:w="2835" w:type="dxa"/>
          </w:tcPr>
          <w:p w14:paraId="3B748FC6" w14:textId="77777777" w:rsidR="00E423E4" w:rsidRPr="00A33649" w:rsidRDefault="00E423E4" w:rsidP="00DA1B78">
            <w:pPr>
              <w:keepNext/>
              <w:keepLines/>
              <w:tabs>
                <w:tab w:val="left" w:pos="567"/>
              </w:tabs>
              <w:spacing w:after="120"/>
              <w:rPr>
                <w:sz w:val="20"/>
                <w:szCs w:val="20"/>
              </w:rPr>
            </w:pPr>
          </w:p>
        </w:tc>
        <w:tc>
          <w:tcPr>
            <w:tcW w:w="1985" w:type="dxa"/>
          </w:tcPr>
          <w:p w14:paraId="01BC789F" w14:textId="77777777" w:rsidR="00E423E4" w:rsidRPr="00A33649" w:rsidRDefault="00E423E4" w:rsidP="00DA1B78">
            <w:pPr>
              <w:keepNext/>
              <w:keepLines/>
              <w:tabs>
                <w:tab w:val="left" w:pos="567"/>
              </w:tabs>
              <w:spacing w:after="120"/>
              <w:rPr>
                <w:sz w:val="20"/>
                <w:szCs w:val="20"/>
              </w:rPr>
            </w:pPr>
          </w:p>
        </w:tc>
      </w:tr>
      <w:tr w:rsidR="00E423E4" w14:paraId="2054FB51" w14:textId="77777777" w:rsidTr="00B627AE">
        <w:trPr>
          <w:trHeight w:val="350"/>
          <w:jc w:val="center"/>
        </w:trPr>
        <w:tc>
          <w:tcPr>
            <w:tcW w:w="2498" w:type="dxa"/>
            <w:vMerge/>
          </w:tcPr>
          <w:p w14:paraId="6F66FCC5" w14:textId="77777777" w:rsidR="00E423E4" w:rsidRPr="00A33649" w:rsidRDefault="00E423E4" w:rsidP="00DA1B78">
            <w:pPr>
              <w:keepNext/>
              <w:keepLines/>
              <w:tabs>
                <w:tab w:val="left" w:pos="567"/>
              </w:tabs>
              <w:spacing w:after="120"/>
              <w:rPr>
                <w:sz w:val="20"/>
                <w:szCs w:val="20"/>
              </w:rPr>
            </w:pPr>
          </w:p>
        </w:tc>
        <w:tc>
          <w:tcPr>
            <w:tcW w:w="2889" w:type="dxa"/>
          </w:tcPr>
          <w:p w14:paraId="5CFBF60B" w14:textId="77777777" w:rsidR="00E423E4" w:rsidRDefault="00E423E4" w:rsidP="00DA1B78">
            <w:pPr>
              <w:keepNext/>
              <w:keepLines/>
              <w:tabs>
                <w:tab w:val="left" w:pos="567"/>
              </w:tabs>
              <w:spacing w:after="120"/>
              <w:rPr>
                <w:sz w:val="20"/>
                <w:szCs w:val="20"/>
              </w:rPr>
            </w:pPr>
            <w:r>
              <w:rPr>
                <w:sz w:val="20"/>
                <w:szCs w:val="20"/>
              </w:rPr>
              <w:t>Annual Operating Costs ($)</w:t>
            </w:r>
          </w:p>
        </w:tc>
        <w:tc>
          <w:tcPr>
            <w:tcW w:w="2835" w:type="dxa"/>
          </w:tcPr>
          <w:p w14:paraId="491AF42A" w14:textId="77777777" w:rsidR="00E423E4" w:rsidRPr="00A33649" w:rsidRDefault="00E423E4" w:rsidP="00DA1B78">
            <w:pPr>
              <w:keepNext/>
              <w:keepLines/>
              <w:tabs>
                <w:tab w:val="left" w:pos="567"/>
              </w:tabs>
              <w:spacing w:after="120"/>
              <w:rPr>
                <w:sz w:val="20"/>
                <w:szCs w:val="20"/>
              </w:rPr>
            </w:pPr>
          </w:p>
        </w:tc>
        <w:tc>
          <w:tcPr>
            <w:tcW w:w="1985" w:type="dxa"/>
          </w:tcPr>
          <w:p w14:paraId="2A15C5E0" w14:textId="77777777" w:rsidR="00E423E4" w:rsidRPr="00A33649" w:rsidRDefault="00E423E4" w:rsidP="00DA1B78">
            <w:pPr>
              <w:keepNext/>
              <w:keepLines/>
              <w:tabs>
                <w:tab w:val="left" w:pos="567"/>
              </w:tabs>
              <w:spacing w:after="120"/>
              <w:rPr>
                <w:sz w:val="20"/>
                <w:szCs w:val="20"/>
              </w:rPr>
            </w:pPr>
          </w:p>
        </w:tc>
      </w:tr>
    </w:tbl>
    <w:p w14:paraId="0C92728A" w14:textId="78F39B58" w:rsidR="00916F20" w:rsidRPr="000A34BE" w:rsidRDefault="00916F20" w:rsidP="00AF4E7B">
      <w:pPr>
        <w:pStyle w:val="ListParagraph"/>
        <w:ind w:left="0"/>
        <w:rPr>
          <w:rFonts w:ascii="Arial" w:hAnsi="Arial" w:cs="Arial"/>
          <w:b/>
          <w:bCs/>
        </w:rPr>
      </w:pPr>
    </w:p>
    <w:p w14:paraId="50EC19EA" w14:textId="77777777" w:rsidR="00DA1B78" w:rsidRDefault="00DA1B78">
      <w:pPr>
        <w:rPr>
          <w:b/>
          <w:bCs/>
        </w:rPr>
      </w:pPr>
      <w:r>
        <w:rPr>
          <w:b/>
          <w:bCs/>
        </w:rPr>
        <w:br w:type="page"/>
      </w:r>
    </w:p>
    <w:p w14:paraId="6573B1E5" w14:textId="5DB13400" w:rsidR="00DA1B78" w:rsidRDefault="00DA1B78" w:rsidP="00DA1B78">
      <w:pPr>
        <w:spacing w:after="160" w:line="259" w:lineRule="auto"/>
        <w:ind w:left="993" w:right="1052"/>
      </w:pPr>
      <w:r w:rsidRPr="005337D1">
        <w:rPr>
          <w:b/>
          <w:bCs/>
        </w:rPr>
        <w:lastRenderedPageBreak/>
        <w:t xml:space="preserve">Table </w:t>
      </w:r>
      <w:r>
        <w:rPr>
          <w:b/>
          <w:bCs/>
        </w:rPr>
        <w:t>3</w:t>
      </w:r>
      <w:r w:rsidRPr="005337D1">
        <w:rPr>
          <w:b/>
          <w:bCs/>
        </w:rPr>
        <w:t>:</w:t>
      </w:r>
      <w:r w:rsidRPr="005337D1">
        <w:rPr>
          <w:bCs/>
        </w:rPr>
        <w:t xml:space="preserve"> </w:t>
      </w:r>
      <w:r>
        <w:rPr>
          <w:b/>
          <w:bCs/>
        </w:rPr>
        <w:t xml:space="preserve"> </w:t>
      </w:r>
      <w:r w:rsidRPr="005337D1">
        <w:t>The following data, where applicable, should be provided for each year of the project in nominal dollar, stating the reporting currency.</w:t>
      </w:r>
      <w:r>
        <w:t xml:space="preserve"> </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0"/>
        <w:gridCol w:w="850"/>
        <w:gridCol w:w="850"/>
        <w:gridCol w:w="850"/>
        <w:gridCol w:w="850"/>
        <w:gridCol w:w="850"/>
      </w:tblGrid>
      <w:tr w:rsidR="00E423E4" w:rsidRPr="009B488F" w14:paraId="50AE0685" w14:textId="77777777" w:rsidTr="00DA1B78">
        <w:trPr>
          <w:jc w:val="center"/>
        </w:trPr>
        <w:tc>
          <w:tcPr>
            <w:tcW w:w="8639"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18F64F" w14:textId="48B8E8CE" w:rsidR="00E423E4" w:rsidRPr="00A33649" w:rsidRDefault="00E423E4" w:rsidP="00341250">
            <w:pPr>
              <w:tabs>
                <w:tab w:val="left" w:pos="567"/>
              </w:tabs>
              <w:spacing w:before="60" w:after="60"/>
              <w:rPr>
                <w:rFonts w:cs="Times New Roman"/>
                <w:b/>
                <w:bCs/>
                <w:sz w:val="20"/>
                <w:szCs w:val="20"/>
              </w:rPr>
            </w:pPr>
            <w:r w:rsidRPr="00A33649">
              <w:rPr>
                <w:rFonts w:cs="Times New Roman"/>
                <w:b/>
                <w:bCs/>
                <w:sz w:val="20"/>
                <w:szCs w:val="20"/>
              </w:rPr>
              <w:t>Field:</w:t>
            </w:r>
          </w:p>
        </w:tc>
      </w:tr>
      <w:tr w:rsidR="00E423E4" w:rsidRPr="009B488F" w14:paraId="22C196ED" w14:textId="77777777" w:rsidTr="00DA1B78">
        <w:trPr>
          <w:jc w:val="center"/>
        </w:trPr>
        <w:tc>
          <w:tcPr>
            <w:tcW w:w="8639"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3D03A5" w14:textId="77777777" w:rsidR="00E423E4" w:rsidRPr="00A33649" w:rsidRDefault="00E423E4" w:rsidP="00886585">
            <w:pPr>
              <w:tabs>
                <w:tab w:val="left" w:pos="567"/>
              </w:tabs>
              <w:spacing w:before="60" w:after="60"/>
              <w:rPr>
                <w:b/>
                <w:bCs/>
                <w:sz w:val="20"/>
                <w:szCs w:val="20"/>
              </w:rPr>
            </w:pPr>
            <w:r w:rsidRPr="00A33649">
              <w:rPr>
                <w:rFonts w:cs="Times New Roman"/>
                <w:b/>
                <w:bCs/>
                <w:sz w:val="20"/>
                <w:szCs w:val="20"/>
              </w:rPr>
              <w:t>Development Concept:</w:t>
            </w:r>
          </w:p>
        </w:tc>
      </w:tr>
      <w:tr w:rsidR="00E423E4" w:rsidRPr="009B488F" w14:paraId="114E0BC9"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C7CE99"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Year</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4DAEE1"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Real</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3ACBC7"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PV</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84333"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26ADF5"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20XX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EC4CD9" w14:textId="77777777" w:rsidR="00E423E4" w:rsidRPr="00A33649" w:rsidRDefault="00E423E4" w:rsidP="00886585">
            <w:pPr>
              <w:tabs>
                <w:tab w:val="left" w:pos="567"/>
              </w:tabs>
              <w:spacing w:before="60" w:after="60"/>
              <w:rPr>
                <w:rFonts w:cs="Times New Roman"/>
                <w:b/>
                <w:bCs/>
                <w:sz w:val="20"/>
                <w:szCs w:val="20"/>
              </w:rPr>
            </w:pPr>
            <w:r w:rsidRPr="00A33649">
              <w:rPr>
                <w:rFonts w:cs="Times New Roman"/>
                <w:b/>
                <w:bCs/>
                <w:sz w:val="20"/>
                <w:szCs w:val="20"/>
              </w:rPr>
              <w:t>20XX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4CE731" w14:textId="77777777" w:rsidR="00E423E4" w:rsidRPr="00A33649" w:rsidRDefault="00E423E4" w:rsidP="00886585">
            <w:pPr>
              <w:tabs>
                <w:tab w:val="left" w:pos="567"/>
              </w:tabs>
              <w:spacing w:before="60" w:after="60"/>
              <w:rPr>
                <w:b/>
                <w:bCs/>
                <w:sz w:val="20"/>
                <w:szCs w:val="20"/>
              </w:rPr>
            </w:pPr>
            <w:r w:rsidRPr="00A33649">
              <w:rPr>
                <w:b/>
                <w:bCs/>
                <w:sz w:val="20"/>
                <w:szCs w:val="20"/>
              </w:rPr>
              <w:t>20XX</w:t>
            </w:r>
          </w:p>
        </w:tc>
      </w:tr>
      <w:tr w:rsidR="00E423E4" w:rsidRPr="009B488F" w14:paraId="1FB32F0E"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A26CE58"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Reporting currency (AUD, USD)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C70C3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2D6D2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C2629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4C1AE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B0318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682728" w14:textId="77777777" w:rsidR="00E423E4" w:rsidRPr="00F50FF1" w:rsidRDefault="00E423E4" w:rsidP="00886585">
            <w:pPr>
              <w:tabs>
                <w:tab w:val="left" w:pos="567"/>
              </w:tabs>
              <w:spacing w:before="60" w:after="60"/>
              <w:rPr>
                <w:rFonts w:cs="Times New Roman"/>
                <w:sz w:val="20"/>
                <w:szCs w:val="20"/>
              </w:rPr>
            </w:pPr>
          </w:p>
        </w:tc>
      </w:tr>
      <w:tr w:rsidR="00E423E4" w:rsidRPr="009B488F" w14:paraId="272DB927"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3820F9F0"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Raw gas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213B7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F2FE7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1860C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45E52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74AC6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0613AC" w14:textId="77777777" w:rsidR="00E423E4" w:rsidRPr="00F50FF1" w:rsidRDefault="00E423E4" w:rsidP="00886585">
            <w:pPr>
              <w:tabs>
                <w:tab w:val="left" w:pos="567"/>
              </w:tabs>
              <w:spacing w:before="60" w:after="60"/>
              <w:rPr>
                <w:rFonts w:cs="Times New Roman"/>
                <w:sz w:val="20"/>
                <w:szCs w:val="20"/>
              </w:rPr>
            </w:pPr>
          </w:p>
        </w:tc>
      </w:tr>
      <w:tr w:rsidR="00E423E4" w:rsidRPr="009B488F" w14:paraId="5FC01354"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024D6D3"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 xml:space="preserve">Feed gas net of fuel and flare, </w:t>
            </w:r>
            <w:proofErr w:type="spellStart"/>
            <w:r w:rsidRPr="00F50FF1">
              <w:rPr>
                <w:rFonts w:cs="Times New Roman"/>
                <w:sz w:val="20"/>
                <w:szCs w:val="20"/>
              </w:rPr>
              <w:t>inerts</w:t>
            </w:r>
            <w:proofErr w:type="spellEnd"/>
            <w:r w:rsidRPr="00F50FF1">
              <w:rPr>
                <w:rFonts w:cs="Times New Roman"/>
                <w:sz w:val="20"/>
                <w:szCs w:val="20"/>
              </w:rPr>
              <w:t xml:space="preserve"> and liquids content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522555"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6F0F1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A1A2D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F0FDA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3ED61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A72195" w14:textId="77777777" w:rsidR="00E423E4" w:rsidRPr="00F50FF1" w:rsidRDefault="00E423E4" w:rsidP="00886585">
            <w:pPr>
              <w:tabs>
                <w:tab w:val="left" w:pos="567"/>
              </w:tabs>
              <w:spacing w:before="60" w:after="60"/>
              <w:rPr>
                <w:rFonts w:cs="Times New Roman"/>
                <w:sz w:val="20"/>
                <w:szCs w:val="20"/>
              </w:rPr>
            </w:pPr>
          </w:p>
        </w:tc>
      </w:tr>
      <w:tr w:rsidR="00E423E4" w:rsidRPr="009B488F" w14:paraId="796C3554"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6B25691"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 xml:space="preserve">Annual production for each product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AFE12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5C6A6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6AF33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008FB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96556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7BFF7" w14:textId="77777777" w:rsidR="00E423E4" w:rsidRPr="00F50FF1" w:rsidRDefault="00E423E4" w:rsidP="00886585">
            <w:pPr>
              <w:tabs>
                <w:tab w:val="left" w:pos="567"/>
              </w:tabs>
              <w:spacing w:before="60" w:after="60"/>
              <w:rPr>
                <w:rFonts w:cs="Times New Roman"/>
                <w:sz w:val="20"/>
                <w:szCs w:val="20"/>
              </w:rPr>
            </w:pPr>
          </w:p>
        </w:tc>
      </w:tr>
      <w:tr w:rsidR="00E423E4" w:rsidRPr="009B488F" w14:paraId="62D0437C"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746C61C"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Price assumption for each product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2AFDE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5B900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B1928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4FCBA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452B9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A75E0F" w14:textId="77777777" w:rsidR="00E423E4" w:rsidRPr="00F50FF1" w:rsidRDefault="00E423E4" w:rsidP="00886585">
            <w:pPr>
              <w:tabs>
                <w:tab w:val="left" w:pos="567"/>
              </w:tabs>
              <w:spacing w:before="60" w:after="60"/>
              <w:rPr>
                <w:rFonts w:cs="Times New Roman"/>
                <w:sz w:val="20"/>
                <w:szCs w:val="20"/>
              </w:rPr>
            </w:pPr>
          </w:p>
        </w:tc>
      </w:tr>
      <w:tr w:rsidR="00E423E4" w:rsidRPr="009B488F" w14:paraId="13782684"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AB9C44F"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Annual revenue from each product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AD09D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FD36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3DDCC8"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4B8745"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15F1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FB083F" w14:textId="77777777" w:rsidR="00E423E4" w:rsidRPr="00F50FF1" w:rsidRDefault="00E423E4" w:rsidP="00886585">
            <w:pPr>
              <w:tabs>
                <w:tab w:val="left" w:pos="567"/>
              </w:tabs>
              <w:spacing w:before="60" w:after="60"/>
              <w:rPr>
                <w:rFonts w:cs="Times New Roman"/>
                <w:sz w:val="20"/>
                <w:szCs w:val="20"/>
              </w:rPr>
            </w:pPr>
          </w:p>
        </w:tc>
      </w:tr>
      <w:tr w:rsidR="00E423E4" w:rsidRPr="009B488F" w14:paraId="3CF34A6E"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36A5054"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Total revenue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9846BD"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DE782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56D6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32E97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32C33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78A232" w14:textId="77777777" w:rsidR="00E423E4" w:rsidRPr="00F50FF1" w:rsidRDefault="00E423E4" w:rsidP="00886585">
            <w:pPr>
              <w:tabs>
                <w:tab w:val="left" w:pos="567"/>
              </w:tabs>
              <w:spacing w:before="60" w:after="60"/>
              <w:rPr>
                <w:rFonts w:cs="Times New Roman"/>
                <w:sz w:val="20"/>
                <w:szCs w:val="20"/>
              </w:rPr>
            </w:pPr>
          </w:p>
        </w:tc>
      </w:tr>
      <w:tr w:rsidR="00E423E4" w:rsidRPr="009B488F" w14:paraId="0D61B017"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5C7B37E0"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Exploration &amp; appraisal CAPEX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1B650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FF1FB8"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70CAF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6EF3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B5205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A6D5B8" w14:textId="77777777" w:rsidR="00E423E4" w:rsidRPr="00F50FF1" w:rsidRDefault="00E423E4" w:rsidP="00886585">
            <w:pPr>
              <w:tabs>
                <w:tab w:val="left" w:pos="567"/>
              </w:tabs>
              <w:spacing w:before="60" w:after="60"/>
              <w:rPr>
                <w:rFonts w:cs="Times New Roman"/>
                <w:sz w:val="20"/>
                <w:szCs w:val="20"/>
              </w:rPr>
            </w:pPr>
          </w:p>
        </w:tc>
      </w:tr>
      <w:tr w:rsidR="00E423E4" w:rsidRPr="009B488F" w14:paraId="0A65BB28"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7AD1754"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Upstream CAPEX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64DB7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44381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28148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A97BC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FD71B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0EBE0" w14:textId="77777777" w:rsidR="00E423E4" w:rsidRPr="00F50FF1" w:rsidRDefault="00E423E4" w:rsidP="00886585">
            <w:pPr>
              <w:tabs>
                <w:tab w:val="left" w:pos="567"/>
              </w:tabs>
              <w:spacing w:before="60" w:after="60"/>
              <w:rPr>
                <w:rFonts w:cs="Times New Roman"/>
                <w:sz w:val="20"/>
                <w:szCs w:val="20"/>
              </w:rPr>
            </w:pPr>
          </w:p>
        </w:tc>
      </w:tr>
      <w:tr w:rsidR="00E423E4" w:rsidRPr="009B488F" w14:paraId="246019E7"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BC9ABA5"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Downstream CAPEX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CAC90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8F2DE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E16D6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301CB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B10D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52F3CE" w14:textId="77777777" w:rsidR="00E423E4" w:rsidRPr="00F50FF1" w:rsidRDefault="00E423E4" w:rsidP="00886585">
            <w:pPr>
              <w:tabs>
                <w:tab w:val="left" w:pos="567"/>
              </w:tabs>
              <w:spacing w:before="60" w:after="60"/>
              <w:rPr>
                <w:rFonts w:cs="Times New Roman"/>
                <w:sz w:val="20"/>
                <w:szCs w:val="20"/>
              </w:rPr>
            </w:pPr>
          </w:p>
        </w:tc>
      </w:tr>
      <w:tr w:rsidR="00E423E4" w:rsidRPr="009B488F" w14:paraId="734BB576"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5CE7442"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Exploration &amp; appraisal OPEX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4ECA7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B908F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99191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642D6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2F463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A4F4B0" w14:textId="77777777" w:rsidR="00E423E4" w:rsidRPr="00F50FF1" w:rsidRDefault="00E423E4" w:rsidP="00886585">
            <w:pPr>
              <w:tabs>
                <w:tab w:val="left" w:pos="567"/>
              </w:tabs>
              <w:spacing w:before="60" w:after="60"/>
              <w:rPr>
                <w:rFonts w:cs="Times New Roman"/>
                <w:sz w:val="20"/>
                <w:szCs w:val="20"/>
              </w:rPr>
            </w:pPr>
          </w:p>
        </w:tc>
      </w:tr>
      <w:tr w:rsidR="00E423E4" w:rsidRPr="009B488F" w14:paraId="0119C5F5"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3A7D728B"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Upstream OPEX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A00FF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907B6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AD2CC"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D58E4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C1615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C0FF95" w14:textId="77777777" w:rsidR="00E423E4" w:rsidRPr="00F50FF1" w:rsidRDefault="00E423E4" w:rsidP="00886585">
            <w:pPr>
              <w:tabs>
                <w:tab w:val="left" w:pos="567"/>
              </w:tabs>
              <w:spacing w:before="60" w:after="60"/>
              <w:rPr>
                <w:rFonts w:cs="Times New Roman"/>
                <w:sz w:val="20"/>
                <w:szCs w:val="20"/>
              </w:rPr>
            </w:pPr>
          </w:p>
        </w:tc>
      </w:tr>
      <w:tr w:rsidR="00E423E4" w:rsidRPr="009B488F" w14:paraId="4F2932E4"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54CBFEC7"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Downstream OPEX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F9E9A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860E1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D7D22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A568B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AE68B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F48F45" w14:textId="77777777" w:rsidR="00E423E4" w:rsidRPr="00F50FF1" w:rsidRDefault="00E423E4" w:rsidP="00886585">
            <w:pPr>
              <w:tabs>
                <w:tab w:val="left" w:pos="567"/>
              </w:tabs>
              <w:spacing w:before="60" w:after="60"/>
              <w:rPr>
                <w:rFonts w:cs="Times New Roman"/>
                <w:sz w:val="20"/>
                <w:szCs w:val="20"/>
              </w:rPr>
            </w:pPr>
          </w:p>
        </w:tc>
      </w:tr>
      <w:tr w:rsidR="00E423E4" w:rsidRPr="009B488F" w14:paraId="51D7E3CD"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A923316"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Tariff paid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BEC02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DED7C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0818C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AB41F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0E790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44A76D" w14:textId="77777777" w:rsidR="00E423E4" w:rsidRPr="00F50FF1" w:rsidRDefault="00E423E4" w:rsidP="00886585">
            <w:pPr>
              <w:tabs>
                <w:tab w:val="left" w:pos="567"/>
              </w:tabs>
              <w:spacing w:before="60" w:after="60"/>
              <w:rPr>
                <w:rFonts w:cs="Times New Roman"/>
                <w:sz w:val="20"/>
                <w:szCs w:val="20"/>
              </w:rPr>
            </w:pPr>
          </w:p>
        </w:tc>
      </w:tr>
      <w:tr w:rsidR="00E423E4" w:rsidRPr="009B488F" w14:paraId="77530129"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24B1C31"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Tariff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85732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9F292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F9DD5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ACF9F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FD7A4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47D212" w14:textId="77777777" w:rsidR="00E423E4" w:rsidRPr="00F50FF1" w:rsidRDefault="00E423E4" w:rsidP="00886585">
            <w:pPr>
              <w:tabs>
                <w:tab w:val="left" w:pos="567"/>
              </w:tabs>
              <w:spacing w:before="60" w:after="60"/>
              <w:rPr>
                <w:rFonts w:cs="Times New Roman"/>
                <w:sz w:val="20"/>
                <w:szCs w:val="20"/>
              </w:rPr>
            </w:pPr>
          </w:p>
        </w:tc>
      </w:tr>
      <w:tr w:rsidR="00E423E4" w:rsidRPr="009B488F" w14:paraId="1A68C6BB"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6606F37"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Abandonment less salvage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976B6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00CAED"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75C508"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4A31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C090E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82C914" w14:textId="77777777" w:rsidR="00E423E4" w:rsidRPr="00F50FF1" w:rsidRDefault="00E423E4" w:rsidP="00886585">
            <w:pPr>
              <w:tabs>
                <w:tab w:val="left" w:pos="567"/>
              </w:tabs>
              <w:spacing w:before="60" w:after="60"/>
              <w:rPr>
                <w:rFonts w:cs="Times New Roman"/>
                <w:sz w:val="20"/>
                <w:szCs w:val="20"/>
              </w:rPr>
            </w:pPr>
          </w:p>
        </w:tc>
      </w:tr>
      <w:tr w:rsidR="00E423E4" w:rsidRPr="009B488F" w14:paraId="50902A7B"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09CABD5"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Depreciation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78D12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DEAD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28049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45DD3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4378B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79FA9D" w14:textId="77777777" w:rsidR="00E423E4" w:rsidRPr="00F50FF1" w:rsidRDefault="00E423E4" w:rsidP="00886585">
            <w:pPr>
              <w:tabs>
                <w:tab w:val="left" w:pos="567"/>
              </w:tabs>
              <w:spacing w:before="60" w:after="60"/>
              <w:rPr>
                <w:rFonts w:cs="Times New Roman"/>
                <w:sz w:val="20"/>
                <w:szCs w:val="20"/>
              </w:rPr>
            </w:pPr>
          </w:p>
        </w:tc>
      </w:tr>
      <w:tr w:rsidR="00E423E4" w:rsidRPr="009B488F" w14:paraId="6AE339F1"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5BA9B88"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Royalty / excise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ED8AF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FA2345"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27BE3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BA48DC"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89EED2"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9BD264" w14:textId="77777777" w:rsidR="00E423E4" w:rsidRPr="00F50FF1" w:rsidRDefault="00E423E4" w:rsidP="00886585">
            <w:pPr>
              <w:tabs>
                <w:tab w:val="left" w:pos="567"/>
              </w:tabs>
              <w:spacing w:before="60" w:after="60"/>
              <w:rPr>
                <w:rFonts w:cs="Times New Roman"/>
                <w:sz w:val="20"/>
                <w:szCs w:val="20"/>
              </w:rPr>
            </w:pPr>
          </w:p>
        </w:tc>
      </w:tr>
      <w:tr w:rsidR="00E423E4" w:rsidRPr="009B488F" w14:paraId="3E342DBC"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A32B6E2"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PRRT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9EB7F7"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0483F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46FFF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71FF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F13FA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2316F2" w14:textId="77777777" w:rsidR="00E423E4" w:rsidRPr="00F50FF1" w:rsidRDefault="00E423E4" w:rsidP="00886585">
            <w:pPr>
              <w:tabs>
                <w:tab w:val="left" w:pos="567"/>
              </w:tabs>
              <w:spacing w:before="60" w:after="60"/>
              <w:rPr>
                <w:rFonts w:cs="Times New Roman"/>
                <w:sz w:val="20"/>
                <w:szCs w:val="20"/>
              </w:rPr>
            </w:pPr>
          </w:p>
        </w:tc>
      </w:tr>
      <w:tr w:rsidR="00E423E4" w:rsidRPr="009B488F" w14:paraId="216DB237"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2CB6DBE"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Net Cashflow Pre Tax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3E1A2C"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7EBF1C"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7666B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4E919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33CF9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AF416D" w14:textId="77777777" w:rsidR="00E423E4" w:rsidRPr="00F50FF1" w:rsidRDefault="00E423E4" w:rsidP="00886585">
            <w:pPr>
              <w:tabs>
                <w:tab w:val="left" w:pos="567"/>
              </w:tabs>
              <w:spacing w:before="60" w:after="60"/>
              <w:rPr>
                <w:rFonts w:cs="Times New Roman"/>
                <w:sz w:val="20"/>
                <w:szCs w:val="20"/>
              </w:rPr>
            </w:pPr>
          </w:p>
        </w:tc>
      </w:tr>
      <w:tr w:rsidR="00E423E4" w:rsidRPr="009B488F" w14:paraId="2AF5A60F"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85AA3A1"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Company tax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43FB15"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0412D3"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52D2FC"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74FF7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78602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0C8FCF" w14:textId="77777777" w:rsidR="00E423E4" w:rsidRPr="00F50FF1" w:rsidRDefault="00E423E4" w:rsidP="00886585">
            <w:pPr>
              <w:tabs>
                <w:tab w:val="left" w:pos="567"/>
              </w:tabs>
              <w:spacing w:before="60" w:after="60"/>
              <w:rPr>
                <w:rFonts w:cs="Times New Roman"/>
                <w:sz w:val="20"/>
                <w:szCs w:val="20"/>
              </w:rPr>
            </w:pPr>
          </w:p>
        </w:tc>
      </w:tr>
      <w:tr w:rsidR="00E423E4" w:rsidRPr="009B488F" w14:paraId="3A592134"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CF04738" w14:textId="77777777" w:rsidR="00E423E4" w:rsidRPr="00F50FF1" w:rsidRDefault="00E423E4" w:rsidP="00886585">
            <w:pPr>
              <w:tabs>
                <w:tab w:val="left" w:pos="567"/>
              </w:tabs>
              <w:spacing w:before="60" w:after="60"/>
              <w:rPr>
                <w:rFonts w:cs="Times New Roman"/>
                <w:sz w:val="20"/>
                <w:szCs w:val="20"/>
              </w:rPr>
            </w:pPr>
            <w:r w:rsidRPr="00F50FF1">
              <w:rPr>
                <w:rFonts w:cs="Times New Roman"/>
                <w:sz w:val="20"/>
                <w:szCs w:val="20"/>
              </w:rPr>
              <w:t>Net Cashflow Post Tax</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E90AE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543EC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F8F94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7F562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A108E"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F9FC84" w14:textId="77777777" w:rsidR="00E423E4" w:rsidRPr="00F50FF1" w:rsidRDefault="00E423E4" w:rsidP="00886585">
            <w:pPr>
              <w:tabs>
                <w:tab w:val="left" w:pos="567"/>
              </w:tabs>
              <w:spacing w:before="60" w:after="60"/>
              <w:rPr>
                <w:rFonts w:cs="Times New Roman"/>
                <w:sz w:val="20"/>
                <w:szCs w:val="20"/>
              </w:rPr>
            </w:pPr>
          </w:p>
        </w:tc>
      </w:tr>
      <w:tr w:rsidR="00E423E4" w:rsidRPr="009B488F" w14:paraId="3EECDED7"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85BAC26" w14:textId="77777777" w:rsidR="00E423E4" w:rsidRPr="00F50FF1" w:rsidRDefault="00E423E4" w:rsidP="00886585">
            <w:pPr>
              <w:tabs>
                <w:tab w:val="left" w:pos="567"/>
              </w:tabs>
              <w:spacing w:before="60" w:after="60"/>
              <w:rPr>
                <w:rFonts w:cs="Times New Roman"/>
                <w:sz w:val="20"/>
                <w:szCs w:val="20"/>
              </w:rPr>
            </w:pPr>
            <w:r>
              <w:rPr>
                <w:rFonts w:cs="Times New Roman"/>
                <w:sz w:val="20"/>
                <w:szCs w:val="20"/>
              </w:rPr>
              <w:t>NPV</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E7E2A1"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E168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E2086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6A85A9"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965746"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9ED8B8" w14:textId="77777777" w:rsidR="00E423E4" w:rsidRPr="00F50FF1" w:rsidRDefault="00E423E4" w:rsidP="00886585">
            <w:pPr>
              <w:tabs>
                <w:tab w:val="left" w:pos="567"/>
              </w:tabs>
              <w:spacing w:before="60" w:after="60"/>
              <w:rPr>
                <w:rFonts w:cs="Times New Roman"/>
                <w:sz w:val="20"/>
                <w:szCs w:val="20"/>
              </w:rPr>
            </w:pPr>
          </w:p>
        </w:tc>
      </w:tr>
      <w:tr w:rsidR="00E423E4" w:rsidRPr="009B488F" w14:paraId="27833A41" w14:textId="77777777" w:rsidTr="00DA1B78">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02DA956" w14:textId="77777777" w:rsidR="00E423E4" w:rsidRPr="00F50FF1" w:rsidRDefault="00E423E4" w:rsidP="00886585">
            <w:pPr>
              <w:tabs>
                <w:tab w:val="left" w:pos="567"/>
              </w:tabs>
              <w:spacing w:before="60" w:after="60"/>
              <w:rPr>
                <w:rFonts w:cs="Times New Roman"/>
                <w:sz w:val="20"/>
                <w:szCs w:val="20"/>
              </w:rPr>
            </w:pPr>
            <w:r>
              <w:rPr>
                <w:rFonts w:cs="Times New Roman"/>
                <w:sz w:val="20"/>
                <w:szCs w:val="20"/>
              </w:rPr>
              <w:t>IRR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C609CF"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72FB34"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1BCBCA"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5CC50"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5C014B" w14:textId="77777777" w:rsidR="00E423E4" w:rsidRPr="00F50FF1" w:rsidRDefault="00E423E4" w:rsidP="00886585">
            <w:pPr>
              <w:tabs>
                <w:tab w:val="left" w:pos="567"/>
              </w:tabs>
              <w:spacing w:before="60" w:after="60"/>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AA40C3" w14:textId="77777777" w:rsidR="00E423E4" w:rsidRPr="00F50FF1" w:rsidRDefault="00E423E4" w:rsidP="00886585">
            <w:pPr>
              <w:tabs>
                <w:tab w:val="left" w:pos="567"/>
              </w:tabs>
              <w:spacing w:before="60" w:after="60"/>
              <w:rPr>
                <w:rFonts w:cs="Times New Roman"/>
                <w:sz w:val="20"/>
                <w:szCs w:val="20"/>
              </w:rPr>
            </w:pPr>
          </w:p>
        </w:tc>
      </w:tr>
    </w:tbl>
    <w:p w14:paraId="2EDD6BCC" w14:textId="77777777" w:rsidR="00E965AB" w:rsidRDefault="00E965AB" w:rsidP="00065513">
      <w:pPr>
        <w:spacing w:after="160" w:line="259" w:lineRule="auto"/>
      </w:pPr>
    </w:p>
    <w:sectPr w:rsidR="00E965AB" w:rsidSect="009C31C9">
      <w:pgSz w:w="11910" w:h="16840"/>
      <w:pgMar w:top="1702" w:right="618" w:bottom="907" w:left="601" w:header="6" w:footer="4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9FBC" w14:textId="77777777" w:rsidR="001567C6" w:rsidRDefault="001567C6">
      <w:r>
        <w:separator/>
      </w:r>
    </w:p>
  </w:endnote>
  <w:endnote w:type="continuationSeparator" w:id="0">
    <w:p w14:paraId="388B9E12" w14:textId="77777777" w:rsidR="001567C6" w:rsidRDefault="0015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01" w14:textId="77777777" w:rsidR="002E6E5D" w:rsidRDefault="002E6E5D" w:rsidP="00B627AE">
    <w:pPr>
      <w:pStyle w:val="Footer"/>
      <w:tabs>
        <w:tab w:val="clear" w:pos="4513"/>
        <w:tab w:val="clear" w:pos="9026"/>
        <w:tab w:val="center" w:pos="4962"/>
        <w:tab w:val="right" w:pos="10632"/>
      </w:tabs>
      <w:ind w:left="142"/>
    </w:pPr>
    <w:r>
      <w:rPr>
        <w:noProof/>
        <w:lang w:val="en-AU" w:eastAsia="en-AU"/>
      </w:rPr>
      <mc:AlternateContent>
        <mc:Choice Requires="wps">
          <w:drawing>
            <wp:anchor distT="0" distB="0" distL="114300" distR="114300" simplePos="0" relativeHeight="251685888" behindDoc="0" locked="0" layoutInCell="1" allowOverlap="1" wp14:anchorId="51B90052" wp14:editId="7ADB94EE">
              <wp:simplePos x="0" y="0"/>
              <wp:positionH relativeFrom="margin">
                <wp:posOffset>9525</wp:posOffset>
              </wp:positionH>
              <wp:positionV relativeFrom="paragraph">
                <wp:posOffset>-36830</wp:posOffset>
              </wp:positionV>
              <wp:extent cx="6753225" cy="0"/>
              <wp:effectExtent l="0" t="0" r="0" b="0"/>
              <wp:wrapNone/>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ACD7" id="Line 4" o:spid="_x0000_s1026" alt="Title: horizontal line"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2.9pt" to="53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FB1B" w14:textId="77777777" w:rsidR="001567C6" w:rsidRDefault="001567C6">
      <w:r>
        <w:separator/>
      </w:r>
    </w:p>
  </w:footnote>
  <w:footnote w:type="continuationSeparator" w:id="0">
    <w:p w14:paraId="5407D301" w14:textId="77777777" w:rsidR="001567C6" w:rsidRDefault="0015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87B" w14:textId="77777777" w:rsidR="00B627AE" w:rsidRPr="0062559B" w:rsidRDefault="00B627AE" w:rsidP="00B627AE">
    <w:pPr>
      <w:pStyle w:val="Header"/>
      <w:tabs>
        <w:tab w:val="left" w:pos="6165"/>
        <w:tab w:val="right" w:pos="10408"/>
      </w:tabs>
      <w:spacing w:before="1200"/>
      <w:ind w:right="282"/>
      <w:rPr>
        <w:b/>
        <w:color w:val="FFFFFF" w:themeColor="background1"/>
        <w:sz w:val="52"/>
      </w:rPr>
    </w:pPr>
    <w:bookmarkStart w:id="0" w:name="_Hlk87961066"/>
    <w:r>
      <w:rPr>
        <w:b/>
        <w:noProof/>
        <w:color w:val="FFFFFF" w:themeColor="background1"/>
        <w:sz w:val="52"/>
      </w:rPr>
      <w:tab/>
    </w:r>
    <w:r>
      <w:rPr>
        <w:b/>
        <w:noProof/>
        <w:color w:val="FFFFFF" w:themeColor="background1"/>
        <w:sz w:val="52"/>
      </w:rPr>
      <w:tab/>
    </w:r>
    <w:r>
      <w:rPr>
        <w:b/>
        <w:noProof/>
        <w:color w:val="FFFFFF" w:themeColor="background1"/>
        <w:sz w:val="52"/>
      </w:rPr>
      <w:tab/>
    </w:r>
    <w:r w:rsidRPr="0062559B">
      <w:rPr>
        <w:b/>
        <w:noProof/>
        <w:color w:val="FFFFFF" w:themeColor="background1"/>
        <w:sz w:val="52"/>
      </w:rPr>
      <w:t>Fact Sheet</w:t>
    </w:r>
    <w:r w:rsidRPr="0062559B">
      <w:rPr>
        <w:b/>
        <w:noProof/>
        <w:color w:val="FFFFFF" w:themeColor="background1"/>
        <w:sz w:val="52"/>
      </w:rPr>
      <w:drawing>
        <wp:anchor distT="0" distB="0" distL="114300" distR="114300" simplePos="0" relativeHeight="251692032" behindDoc="1" locked="0" layoutInCell="1" allowOverlap="1" wp14:anchorId="706AABD2" wp14:editId="474E8E0D">
          <wp:simplePos x="0" y="0"/>
          <wp:positionH relativeFrom="page">
            <wp:posOffset>-100965</wp:posOffset>
          </wp:positionH>
          <wp:positionV relativeFrom="page">
            <wp:align>top</wp:align>
          </wp:positionV>
          <wp:extent cx="12349424" cy="15661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b="5703"/>
                  <a:stretch/>
                </pic:blipFill>
                <pic:spPr bwMode="auto">
                  <a:xfrm>
                    <a:off x="0" y="0"/>
                    <a:ext cx="12349424" cy="1566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4271AB40" w14:textId="329C4A35" w:rsidR="00B627AE" w:rsidRDefault="00B627AE" w:rsidP="00B627AE">
    <w:pPr>
      <w:pStyle w:val="BodyText"/>
      <w:spacing w:before="0" w:line="14" w:lineRule="auto"/>
      <w:ind w:left="0"/>
    </w:pPr>
    <w:r>
      <w:rPr>
        <w:noProof/>
        <w:lang w:val="en-AU" w:eastAsia="en-AU"/>
      </w:rPr>
      <w:drawing>
        <wp:anchor distT="0" distB="0" distL="0" distR="0" simplePos="0" relativeHeight="251689984" behindDoc="1" locked="0" layoutInCell="1" allowOverlap="1" wp14:anchorId="2BAC5ED1" wp14:editId="0EBE4674">
          <wp:simplePos x="0" y="0"/>
          <wp:positionH relativeFrom="page">
            <wp:posOffset>1270</wp:posOffset>
          </wp:positionH>
          <wp:positionV relativeFrom="page">
            <wp:posOffset>1904</wp:posOffset>
          </wp:positionV>
          <wp:extent cx="7559293" cy="1564917"/>
          <wp:effectExtent l="0" t="0" r="0" b="0"/>
          <wp:wrapNone/>
          <wp:docPr id="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1DC3824E" w14:textId="30D7B064" w:rsidR="00B627AE" w:rsidRDefault="00B627AE" w:rsidP="00B627AE">
    <w:pPr>
      <w:pStyle w:val="BodyText"/>
      <w:spacing w:before="0" w:line="14" w:lineRule="auto"/>
      <w:ind w:left="0"/>
    </w:pPr>
    <w:r>
      <w:rPr>
        <w:noProof/>
        <w:lang w:val="en-AU" w:eastAsia="en-AU"/>
      </w:rPr>
      <w:drawing>
        <wp:anchor distT="0" distB="0" distL="0" distR="0" simplePos="0" relativeHeight="251687936" behindDoc="1" locked="0" layoutInCell="1" allowOverlap="1" wp14:anchorId="34A19167" wp14:editId="3553FE46">
          <wp:simplePos x="0" y="0"/>
          <wp:positionH relativeFrom="page">
            <wp:posOffset>1270</wp:posOffset>
          </wp:positionH>
          <wp:positionV relativeFrom="page">
            <wp:posOffset>1904</wp:posOffset>
          </wp:positionV>
          <wp:extent cx="7559293" cy="15649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1CA4A719" w14:textId="4D613AFE" w:rsidR="005A5AB1" w:rsidRPr="00B627AE" w:rsidRDefault="005A5AB1" w:rsidP="00B62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53C4" w14:textId="3C349480" w:rsidR="005A5AB1" w:rsidRDefault="005A5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2C81" w14:textId="4831C7D8" w:rsidR="005A5AB1" w:rsidRDefault="005A5AB1" w:rsidP="00642819">
    <w:pPr>
      <w:pStyle w:val="Header"/>
      <w:rPr>
        <w:noProof/>
        <w:lang w:eastAsia="en-AU"/>
      </w:rPr>
    </w:pPr>
  </w:p>
  <w:p w14:paraId="3C5FACED" w14:textId="4E32F658" w:rsidR="005A5AB1" w:rsidRDefault="00DA1B78" w:rsidP="00642819">
    <w:pPr>
      <w:pStyle w:val="Header"/>
      <w:rPr>
        <w:noProof/>
        <w:lang w:eastAsia="en-AU"/>
      </w:rPr>
    </w:pPr>
    <w:r w:rsidRPr="00685495">
      <w:rPr>
        <w:noProof/>
        <w:lang w:val="en-AU" w:eastAsia="en-AU"/>
      </w:rPr>
      <w:drawing>
        <wp:anchor distT="0" distB="0" distL="114300" distR="114300" simplePos="0" relativeHeight="251671552" behindDoc="0" locked="0" layoutInCell="1" allowOverlap="1" wp14:anchorId="57F5A092" wp14:editId="04FE7BE2">
          <wp:simplePos x="0" y="0"/>
          <wp:positionH relativeFrom="margin">
            <wp:posOffset>4055110</wp:posOffset>
          </wp:positionH>
          <wp:positionV relativeFrom="paragraph">
            <wp:posOffset>28575</wp:posOffset>
          </wp:positionV>
          <wp:extent cx="2600325" cy="676275"/>
          <wp:effectExtent l="0" t="0" r="9525" b="9525"/>
          <wp:wrapSquare wrapText="bothSides"/>
          <wp:docPr id="4"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1AC8E" w14:textId="0A5DDEA4" w:rsidR="005A5AB1" w:rsidRDefault="005A5AB1" w:rsidP="002208CF">
    <w:pPr>
      <w:pStyle w:val="Header"/>
      <w:tabs>
        <w:tab w:val="right" w:pos="9070"/>
      </w:tabs>
    </w:pPr>
    <w:r>
      <w:tab/>
    </w:r>
    <w:r>
      <w:tab/>
    </w:r>
  </w:p>
  <w:p w14:paraId="7D3DBC67" w14:textId="77777777" w:rsidR="005A5AB1" w:rsidRPr="00642819" w:rsidRDefault="005A5AB1" w:rsidP="00642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6359" w14:textId="1BB9A67C" w:rsidR="005A5AB1" w:rsidRDefault="005A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3"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6"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7" w15:restartNumberingAfterBreak="0">
    <w:nsid w:val="2CF31D39"/>
    <w:multiLevelType w:val="hybridMultilevel"/>
    <w:tmpl w:val="ACC0B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909F2"/>
    <w:multiLevelType w:val="multilevel"/>
    <w:tmpl w:val="2ADEF9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323AF8"/>
    <w:multiLevelType w:val="hybridMultilevel"/>
    <w:tmpl w:val="A29A9A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5"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7" w15:restartNumberingAfterBreak="0">
    <w:nsid w:val="4F727D69"/>
    <w:multiLevelType w:val="hybridMultilevel"/>
    <w:tmpl w:val="7012EFB6"/>
    <w:lvl w:ilvl="0" w:tplc="3C2E2E58">
      <w:start w:val="1"/>
      <w:numFmt w:val="upperLetter"/>
      <w:lvlText w:val="%1)"/>
      <w:lvlJc w:val="left"/>
      <w:pPr>
        <w:ind w:left="479" w:hanging="360"/>
      </w:pPr>
      <w:rPr>
        <w:rFonts w:hint="default"/>
      </w:rPr>
    </w:lvl>
    <w:lvl w:ilvl="1" w:tplc="0C090019">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8" w15:restartNumberingAfterBreak="0">
    <w:nsid w:val="5025575D"/>
    <w:multiLevelType w:val="multilevel"/>
    <w:tmpl w:val="8DD6EA3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0" w15:restartNumberingAfterBreak="0">
    <w:nsid w:val="546E4A1D"/>
    <w:multiLevelType w:val="hybridMultilevel"/>
    <w:tmpl w:val="18AE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330A9"/>
    <w:multiLevelType w:val="hybridMultilevel"/>
    <w:tmpl w:val="9A82EA34"/>
    <w:lvl w:ilvl="0" w:tplc="0C090001">
      <w:start w:val="1"/>
      <w:numFmt w:val="bullet"/>
      <w:lvlText w:val=""/>
      <w:lvlJc w:val="left"/>
      <w:pPr>
        <w:ind w:left="720" w:hanging="360"/>
      </w:pPr>
      <w:rPr>
        <w:rFonts w:ascii="Symbol" w:hAnsi="Symbol" w:hint="default"/>
      </w:rPr>
    </w:lvl>
    <w:lvl w:ilvl="1" w:tplc="7DA83084">
      <w:start w:val="1"/>
      <w:numFmt w:val="bullet"/>
      <w:suff w:val="space"/>
      <w:lvlText w:val="o"/>
      <w:lvlJc w:val="left"/>
      <w:pPr>
        <w:ind w:left="1353"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3B361A"/>
    <w:multiLevelType w:val="hybridMultilevel"/>
    <w:tmpl w:val="7AD6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5"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26"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7"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8" w15:restartNumberingAfterBreak="0">
    <w:nsid w:val="6CCB0940"/>
    <w:multiLevelType w:val="hybridMultilevel"/>
    <w:tmpl w:val="34A2A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942D45"/>
    <w:multiLevelType w:val="hybridMultilevel"/>
    <w:tmpl w:val="EED05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
  </w:num>
  <w:num w:numId="3">
    <w:abstractNumId w:val="5"/>
  </w:num>
  <w:num w:numId="4">
    <w:abstractNumId w:val="27"/>
  </w:num>
  <w:num w:numId="5">
    <w:abstractNumId w:val="21"/>
  </w:num>
  <w:num w:numId="6">
    <w:abstractNumId w:val="0"/>
  </w:num>
  <w:num w:numId="7">
    <w:abstractNumId w:val="6"/>
  </w:num>
  <w:num w:numId="8">
    <w:abstractNumId w:val="14"/>
  </w:num>
  <w:num w:numId="9">
    <w:abstractNumId w:val="4"/>
  </w:num>
  <w:num w:numId="10">
    <w:abstractNumId w:val="29"/>
  </w:num>
  <w:num w:numId="11">
    <w:abstractNumId w:val="15"/>
  </w:num>
  <w:num w:numId="12">
    <w:abstractNumId w:val="19"/>
  </w:num>
  <w:num w:numId="13">
    <w:abstractNumId w:val="26"/>
  </w:num>
  <w:num w:numId="14">
    <w:abstractNumId w:val="32"/>
  </w:num>
  <w:num w:numId="15">
    <w:abstractNumId w:val="9"/>
  </w:num>
  <w:num w:numId="16">
    <w:abstractNumId w:val="24"/>
  </w:num>
  <w:num w:numId="17">
    <w:abstractNumId w:val="31"/>
  </w:num>
  <w:num w:numId="18">
    <w:abstractNumId w:val="8"/>
  </w:num>
  <w:num w:numId="19">
    <w:abstractNumId w:val="1"/>
  </w:num>
  <w:num w:numId="20">
    <w:abstractNumId w:val="13"/>
  </w:num>
  <w:num w:numId="21">
    <w:abstractNumId w:val="16"/>
  </w:num>
  <w:num w:numId="22">
    <w:abstractNumId w:val="11"/>
  </w:num>
  <w:num w:numId="23">
    <w:abstractNumId w:val="33"/>
  </w:num>
  <w:num w:numId="24">
    <w:abstractNumId w:val="3"/>
  </w:num>
  <w:num w:numId="25">
    <w:abstractNumId w:val="12"/>
  </w:num>
  <w:num w:numId="26">
    <w:abstractNumId w:val="30"/>
  </w:num>
  <w:num w:numId="27">
    <w:abstractNumId w:val="10"/>
  </w:num>
  <w:num w:numId="28">
    <w:abstractNumId w:val="17"/>
  </w:num>
  <w:num w:numId="29">
    <w:abstractNumId w:val="18"/>
  </w:num>
  <w:num w:numId="30">
    <w:abstractNumId w:val="22"/>
  </w:num>
  <w:num w:numId="31">
    <w:abstractNumId w:val="20"/>
  </w:num>
  <w:num w:numId="32">
    <w:abstractNumId w:val="23"/>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012B"/>
    <w:rsid w:val="00002F6C"/>
    <w:rsid w:val="0000383B"/>
    <w:rsid w:val="00004D4B"/>
    <w:rsid w:val="000125BB"/>
    <w:rsid w:val="00016588"/>
    <w:rsid w:val="00020250"/>
    <w:rsid w:val="00031849"/>
    <w:rsid w:val="00032839"/>
    <w:rsid w:val="00041AD6"/>
    <w:rsid w:val="00042D76"/>
    <w:rsid w:val="00045BE0"/>
    <w:rsid w:val="00046AF0"/>
    <w:rsid w:val="00046EA1"/>
    <w:rsid w:val="000472D4"/>
    <w:rsid w:val="00054436"/>
    <w:rsid w:val="00062C33"/>
    <w:rsid w:val="00065513"/>
    <w:rsid w:val="0006690D"/>
    <w:rsid w:val="00080BEF"/>
    <w:rsid w:val="000835DA"/>
    <w:rsid w:val="00091958"/>
    <w:rsid w:val="00095EEB"/>
    <w:rsid w:val="00096B5B"/>
    <w:rsid w:val="000A021A"/>
    <w:rsid w:val="000A1270"/>
    <w:rsid w:val="000A16B5"/>
    <w:rsid w:val="000A2469"/>
    <w:rsid w:val="000A34BE"/>
    <w:rsid w:val="000B0293"/>
    <w:rsid w:val="000B03B6"/>
    <w:rsid w:val="000B496F"/>
    <w:rsid w:val="000B4DE3"/>
    <w:rsid w:val="000B540D"/>
    <w:rsid w:val="000C0CBC"/>
    <w:rsid w:val="000C1646"/>
    <w:rsid w:val="000D3BA2"/>
    <w:rsid w:val="000E1043"/>
    <w:rsid w:val="000E11FF"/>
    <w:rsid w:val="000E2CFC"/>
    <w:rsid w:val="00102B03"/>
    <w:rsid w:val="00103DFD"/>
    <w:rsid w:val="0010682A"/>
    <w:rsid w:val="0011382B"/>
    <w:rsid w:val="00115195"/>
    <w:rsid w:val="00120E4C"/>
    <w:rsid w:val="00121D71"/>
    <w:rsid w:val="00130191"/>
    <w:rsid w:val="00132F68"/>
    <w:rsid w:val="00133D87"/>
    <w:rsid w:val="00141234"/>
    <w:rsid w:val="00151515"/>
    <w:rsid w:val="001567C6"/>
    <w:rsid w:val="00161677"/>
    <w:rsid w:val="001621AF"/>
    <w:rsid w:val="001634A2"/>
    <w:rsid w:val="0016489B"/>
    <w:rsid w:val="001660D7"/>
    <w:rsid w:val="00167AA0"/>
    <w:rsid w:val="00170BCA"/>
    <w:rsid w:val="001731DB"/>
    <w:rsid w:val="00173F4F"/>
    <w:rsid w:val="00191838"/>
    <w:rsid w:val="001A1960"/>
    <w:rsid w:val="001A1B97"/>
    <w:rsid w:val="001A1D07"/>
    <w:rsid w:val="001C4957"/>
    <w:rsid w:val="001D6172"/>
    <w:rsid w:val="001E0FBA"/>
    <w:rsid w:val="001E532D"/>
    <w:rsid w:val="001F5CD7"/>
    <w:rsid w:val="00201E1B"/>
    <w:rsid w:val="00206DDB"/>
    <w:rsid w:val="00214CCE"/>
    <w:rsid w:val="002208CF"/>
    <w:rsid w:val="00221341"/>
    <w:rsid w:val="00222264"/>
    <w:rsid w:val="00222291"/>
    <w:rsid w:val="00223EE0"/>
    <w:rsid w:val="0023046C"/>
    <w:rsid w:val="00230F2D"/>
    <w:rsid w:val="00232B78"/>
    <w:rsid w:val="00235741"/>
    <w:rsid w:val="00251F21"/>
    <w:rsid w:val="00256826"/>
    <w:rsid w:val="00266565"/>
    <w:rsid w:val="00266F07"/>
    <w:rsid w:val="0027084E"/>
    <w:rsid w:val="00270B3E"/>
    <w:rsid w:val="0027173F"/>
    <w:rsid w:val="002723B9"/>
    <w:rsid w:val="0027382C"/>
    <w:rsid w:val="00273D4F"/>
    <w:rsid w:val="0027766B"/>
    <w:rsid w:val="002807FF"/>
    <w:rsid w:val="00283581"/>
    <w:rsid w:val="00291B53"/>
    <w:rsid w:val="00292263"/>
    <w:rsid w:val="002932C2"/>
    <w:rsid w:val="002948C1"/>
    <w:rsid w:val="002A081C"/>
    <w:rsid w:val="002A3C2F"/>
    <w:rsid w:val="002A4780"/>
    <w:rsid w:val="002A73BA"/>
    <w:rsid w:val="002A775C"/>
    <w:rsid w:val="002B6221"/>
    <w:rsid w:val="002C1CFF"/>
    <w:rsid w:val="002C5917"/>
    <w:rsid w:val="002C673D"/>
    <w:rsid w:val="002D0C3D"/>
    <w:rsid w:val="002D2389"/>
    <w:rsid w:val="002E6E5D"/>
    <w:rsid w:val="002E7309"/>
    <w:rsid w:val="002E7538"/>
    <w:rsid w:val="002F016C"/>
    <w:rsid w:val="002F4CE2"/>
    <w:rsid w:val="002F5E0B"/>
    <w:rsid w:val="003041A0"/>
    <w:rsid w:val="003042CE"/>
    <w:rsid w:val="0030723B"/>
    <w:rsid w:val="0030783E"/>
    <w:rsid w:val="00307E0C"/>
    <w:rsid w:val="0031181D"/>
    <w:rsid w:val="00315DCE"/>
    <w:rsid w:val="00320798"/>
    <w:rsid w:val="0033185B"/>
    <w:rsid w:val="00333E12"/>
    <w:rsid w:val="003402CD"/>
    <w:rsid w:val="00341250"/>
    <w:rsid w:val="00346B79"/>
    <w:rsid w:val="003475A0"/>
    <w:rsid w:val="00353BFE"/>
    <w:rsid w:val="00356B87"/>
    <w:rsid w:val="00360793"/>
    <w:rsid w:val="003616D3"/>
    <w:rsid w:val="003637DE"/>
    <w:rsid w:val="00370488"/>
    <w:rsid w:val="00392EDF"/>
    <w:rsid w:val="003A47A8"/>
    <w:rsid w:val="003A771D"/>
    <w:rsid w:val="003B3DD7"/>
    <w:rsid w:val="003B52D2"/>
    <w:rsid w:val="003B5A09"/>
    <w:rsid w:val="003B70D8"/>
    <w:rsid w:val="003C14E7"/>
    <w:rsid w:val="003C1586"/>
    <w:rsid w:val="003C2E28"/>
    <w:rsid w:val="003E4853"/>
    <w:rsid w:val="003F5CE6"/>
    <w:rsid w:val="00407555"/>
    <w:rsid w:val="004116FD"/>
    <w:rsid w:val="004136BE"/>
    <w:rsid w:val="00415726"/>
    <w:rsid w:val="00421546"/>
    <w:rsid w:val="0042570D"/>
    <w:rsid w:val="00427258"/>
    <w:rsid w:val="00434E8A"/>
    <w:rsid w:val="004403C8"/>
    <w:rsid w:val="00443706"/>
    <w:rsid w:val="004551FB"/>
    <w:rsid w:val="00463712"/>
    <w:rsid w:val="00465932"/>
    <w:rsid w:val="00466608"/>
    <w:rsid w:val="00470EC8"/>
    <w:rsid w:val="0047224A"/>
    <w:rsid w:val="00472A0F"/>
    <w:rsid w:val="00472B1F"/>
    <w:rsid w:val="00476228"/>
    <w:rsid w:val="00483564"/>
    <w:rsid w:val="00483D15"/>
    <w:rsid w:val="00486A9D"/>
    <w:rsid w:val="00487712"/>
    <w:rsid w:val="00493E6A"/>
    <w:rsid w:val="0049429E"/>
    <w:rsid w:val="00495637"/>
    <w:rsid w:val="004A0B83"/>
    <w:rsid w:val="004A102C"/>
    <w:rsid w:val="004A2AB1"/>
    <w:rsid w:val="004A484E"/>
    <w:rsid w:val="004A7A5B"/>
    <w:rsid w:val="004A7DCB"/>
    <w:rsid w:val="004B18FA"/>
    <w:rsid w:val="004C7548"/>
    <w:rsid w:val="004C79A6"/>
    <w:rsid w:val="004E313B"/>
    <w:rsid w:val="004E42DC"/>
    <w:rsid w:val="004E7AF7"/>
    <w:rsid w:val="004F1D51"/>
    <w:rsid w:val="004F2319"/>
    <w:rsid w:val="004F2779"/>
    <w:rsid w:val="004F77B4"/>
    <w:rsid w:val="00506F97"/>
    <w:rsid w:val="00514D7B"/>
    <w:rsid w:val="00520F33"/>
    <w:rsid w:val="00521C91"/>
    <w:rsid w:val="00531752"/>
    <w:rsid w:val="005337D1"/>
    <w:rsid w:val="005376B8"/>
    <w:rsid w:val="005402B5"/>
    <w:rsid w:val="00543A97"/>
    <w:rsid w:val="005609C4"/>
    <w:rsid w:val="00562E8A"/>
    <w:rsid w:val="00574126"/>
    <w:rsid w:val="0057441D"/>
    <w:rsid w:val="00585F75"/>
    <w:rsid w:val="005860EF"/>
    <w:rsid w:val="00586A45"/>
    <w:rsid w:val="00592C63"/>
    <w:rsid w:val="0059487C"/>
    <w:rsid w:val="005A5AB1"/>
    <w:rsid w:val="005A7C0A"/>
    <w:rsid w:val="005B188E"/>
    <w:rsid w:val="005B2BAA"/>
    <w:rsid w:val="005B3AEA"/>
    <w:rsid w:val="005B4556"/>
    <w:rsid w:val="005B6612"/>
    <w:rsid w:val="005B77CF"/>
    <w:rsid w:val="005B7C07"/>
    <w:rsid w:val="005C0A79"/>
    <w:rsid w:val="005C0C1E"/>
    <w:rsid w:val="005D5EEA"/>
    <w:rsid w:val="005E05F5"/>
    <w:rsid w:val="005E2D88"/>
    <w:rsid w:val="005E389B"/>
    <w:rsid w:val="005F0807"/>
    <w:rsid w:val="005F19B9"/>
    <w:rsid w:val="005F4BDC"/>
    <w:rsid w:val="005F7AC7"/>
    <w:rsid w:val="00606180"/>
    <w:rsid w:val="00613019"/>
    <w:rsid w:val="006343F9"/>
    <w:rsid w:val="00642819"/>
    <w:rsid w:val="0064771A"/>
    <w:rsid w:val="00647F2D"/>
    <w:rsid w:val="006510B9"/>
    <w:rsid w:val="00655A8D"/>
    <w:rsid w:val="0065768B"/>
    <w:rsid w:val="0066089C"/>
    <w:rsid w:val="00662F16"/>
    <w:rsid w:val="00666229"/>
    <w:rsid w:val="00667392"/>
    <w:rsid w:val="00671C55"/>
    <w:rsid w:val="00682C30"/>
    <w:rsid w:val="006913C3"/>
    <w:rsid w:val="0069265E"/>
    <w:rsid w:val="00694483"/>
    <w:rsid w:val="00696045"/>
    <w:rsid w:val="006B0897"/>
    <w:rsid w:val="006C3EE0"/>
    <w:rsid w:val="006C6276"/>
    <w:rsid w:val="006E3717"/>
    <w:rsid w:val="0070025C"/>
    <w:rsid w:val="00706053"/>
    <w:rsid w:val="007074F3"/>
    <w:rsid w:val="007200C5"/>
    <w:rsid w:val="00726C52"/>
    <w:rsid w:val="00726D42"/>
    <w:rsid w:val="007277F9"/>
    <w:rsid w:val="00730653"/>
    <w:rsid w:val="007364F7"/>
    <w:rsid w:val="00736AFC"/>
    <w:rsid w:val="00736FEB"/>
    <w:rsid w:val="007425B2"/>
    <w:rsid w:val="00743E5F"/>
    <w:rsid w:val="0075592C"/>
    <w:rsid w:val="00762035"/>
    <w:rsid w:val="00762904"/>
    <w:rsid w:val="00762CC7"/>
    <w:rsid w:val="00763F1F"/>
    <w:rsid w:val="00776CB7"/>
    <w:rsid w:val="00777471"/>
    <w:rsid w:val="007810AF"/>
    <w:rsid w:val="00792C3E"/>
    <w:rsid w:val="007A605F"/>
    <w:rsid w:val="007B422E"/>
    <w:rsid w:val="007D1612"/>
    <w:rsid w:val="007D1638"/>
    <w:rsid w:val="007D5E7F"/>
    <w:rsid w:val="007D6842"/>
    <w:rsid w:val="007F08EF"/>
    <w:rsid w:val="007F6764"/>
    <w:rsid w:val="008051F0"/>
    <w:rsid w:val="008116FE"/>
    <w:rsid w:val="00815677"/>
    <w:rsid w:val="00820A37"/>
    <w:rsid w:val="00820E0A"/>
    <w:rsid w:val="00835A42"/>
    <w:rsid w:val="00846041"/>
    <w:rsid w:val="00851B0B"/>
    <w:rsid w:val="008551B7"/>
    <w:rsid w:val="008619D8"/>
    <w:rsid w:val="0086242B"/>
    <w:rsid w:val="008662B1"/>
    <w:rsid w:val="008672BC"/>
    <w:rsid w:val="008718BB"/>
    <w:rsid w:val="00880826"/>
    <w:rsid w:val="0088434F"/>
    <w:rsid w:val="00886585"/>
    <w:rsid w:val="00887AD2"/>
    <w:rsid w:val="00892C37"/>
    <w:rsid w:val="00894E24"/>
    <w:rsid w:val="008A145B"/>
    <w:rsid w:val="008C0D3B"/>
    <w:rsid w:val="008C4AF3"/>
    <w:rsid w:val="008C56B6"/>
    <w:rsid w:val="008D12B6"/>
    <w:rsid w:val="008E7F54"/>
    <w:rsid w:val="008F19F0"/>
    <w:rsid w:val="008F3988"/>
    <w:rsid w:val="008F5E8B"/>
    <w:rsid w:val="00905F91"/>
    <w:rsid w:val="0090650A"/>
    <w:rsid w:val="0091356A"/>
    <w:rsid w:val="00913DE2"/>
    <w:rsid w:val="00916467"/>
    <w:rsid w:val="00916F20"/>
    <w:rsid w:val="0092019D"/>
    <w:rsid w:val="00925793"/>
    <w:rsid w:val="00932539"/>
    <w:rsid w:val="00940A34"/>
    <w:rsid w:val="00943464"/>
    <w:rsid w:val="0095257F"/>
    <w:rsid w:val="00965A1F"/>
    <w:rsid w:val="009831D6"/>
    <w:rsid w:val="0098455E"/>
    <w:rsid w:val="0099051E"/>
    <w:rsid w:val="00994010"/>
    <w:rsid w:val="009A73B9"/>
    <w:rsid w:val="009B2E83"/>
    <w:rsid w:val="009B3BFC"/>
    <w:rsid w:val="009B3D07"/>
    <w:rsid w:val="009B4DF7"/>
    <w:rsid w:val="009C0E24"/>
    <w:rsid w:val="009C31C9"/>
    <w:rsid w:val="009C5A32"/>
    <w:rsid w:val="009D24CD"/>
    <w:rsid w:val="009D3C66"/>
    <w:rsid w:val="00A10B11"/>
    <w:rsid w:val="00A16CCF"/>
    <w:rsid w:val="00A2212A"/>
    <w:rsid w:val="00A24554"/>
    <w:rsid w:val="00A30683"/>
    <w:rsid w:val="00A35E6F"/>
    <w:rsid w:val="00A37937"/>
    <w:rsid w:val="00A37FA8"/>
    <w:rsid w:val="00A45817"/>
    <w:rsid w:val="00A50C46"/>
    <w:rsid w:val="00A5202A"/>
    <w:rsid w:val="00A54B78"/>
    <w:rsid w:val="00A61C1C"/>
    <w:rsid w:val="00A62544"/>
    <w:rsid w:val="00A67005"/>
    <w:rsid w:val="00A711B3"/>
    <w:rsid w:val="00A71BD6"/>
    <w:rsid w:val="00A7289A"/>
    <w:rsid w:val="00A763FF"/>
    <w:rsid w:val="00A77E91"/>
    <w:rsid w:val="00A94762"/>
    <w:rsid w:val="00A97443"/>
    <w:rsid w:val="00A978F8"/>
    <w:rsid w:val="00AA0C27"/>
    <w:rsid w:val="00AA11C7"/>
    <w:rsid w:val="00AA4330"/>
    <w:rsid w:val="00AB0558"/>
    <w:rsid w:val="00AB2417"/>
    <w:rsid w:val="00AB3BD2"/>
    <w:rsid w:val="00AC2E4B"/>
    <w:rsid w:val="00AC3771"/>
    <w:rsid w:val="00AC3825"/>
    <w:rsid w:val="00AC43BF"/>
    <w:rsid w:val="00AC5C02"/>
    <w:rsid w:val="00AC5C60"/>
    <w:rsid w:val="00AD38A6"/>
    <w:rsid w:val="00AE2784"/>
    <w:rsid w:val="00AE3458"/>
    <w:rsid w:val="00AE54FD"/>
    <w:rsid w:val="00AE6B4F"/>
    <w:rsid w:val="00AF0AE5"/>
    <w:rsid w:val="00AF4E7B"/>
    <w:rsid w:val="00AF6656"/>
    <w:rsid w:val="00B01E07"/>
    <w:rsid w:val="00B028A3"/>
    <w:rsid w:val="00B23863"/>
    <w:rsid w:val="00B23B62"/>
    <w:rsid w:val="00B2481B"/>
    <w:rsid w:val="00B31F23"/>
    <w:rsid w:val="00B33767"/>
    <w:rsid w:val="00B337FB"/>
    <w:rsid w:val="00B34BBF"/>
    <w:rsid w:val="00B35CD1"/>
    <w:rsid w:val="00B376EB"/>
    <w:rsid w:val="00B3775F"/>
    <w:rsid w:val="00B422E4"/>
    <w:rsid w:val="00B44F50"/>
    <w:rsid w:val="00B556B9"/>
    <w:rsid w:val="00B55D47"/>
    <w:rsid w:val="00B627AE"/>
    <w:rsid w:val="00B80E15"/>
    <w:rsid w:val="00B909FA"/>
    <w:rsid w:val="00B95029"/>
    <w:rsid w:val="00B95592"/>
    <w:rsid w:val="00BA2169"/>
    <w:rsid w:val="00BA6CE3"/>
    <w:rsid w:val="00BA711B"/>
    <w:rsid w:val="00BB24E4"/>
    <w:rsid w:val="00BB7182"/>
    <w:rsid w:val="00BC0C52"/>
    <w:rsid w:val="00BD1868"/>
    <w:rsid w:val="00BD2515"/>
    <w:rsid w:val="00BD3E46"/>
    <w:rsid w:val="00BD4E8D"/>
    <w:rsid w:val="00BD54FD"/>
    <w:rsid w:val="00BE60B5"/>
    <w:rsid w:val="00BE7FC3"/>
    <w:rsid w:val="00BF273A"/>
    <w:rsid w:val="00BF7CD1"/>
    <w:rsid w:val="00C004D8"/>
    <w:rsid w:val="00C01D4F"/>
    <w:rsid w:val="00C06E74"/>
    <w:rsid w:val="00C1538C"/>
    <w:rsid w:val="00C17F5C"/>
    <w:rsid w:val="00C247A4"/>
    <w:rsid w:val="00C37E9C"/>
    <w:rsid w:val="00C43A92"/>
    <w:rsid w:val="00C43AFE"/>
    <w:rsid w:val="00C473F0"/>
    <w:rsid w:val="00C56A9B"/>
    <w:rsid w:val="00C57819"/>
    <w:rsid w:val="00C64EBB"/>
    <w:rsid w:val="00C71D93"/>
    <w:rsid w:val="00C77749"/>
    <w:rsid w:val="00C86D9B"/>
    <w:rsid w:val="00C87467"/>
    <w:rsid w:val="00C876AB"/>
    <w:rsid w:val="00C9192C"/>
    <w:rsid w:val="00C91E19"/>
    <w:rsid w:val="00C95C54"/>
    <w:rsid w:val="00CA1992"/>
    <w:rsid w:val="00CA244C"/>
    <w:rsid w:val="00CA3D28"/>
    <w:rsid w:val="00CB0BAC"/>
    <w:rsid w:val="00CB558D"/>
    <w:rsid w:val="00CC1ECF"/>
    <w:rsid w:val="00CC2570"/>
    <w:rsid w:val="00CC774F"/>
    <w:rsid w:val="00CD049C"/>
    <w:rsid w:val="00CD18B4"/>
    <w:rsid w:val="00CE4E69"/>
    <w:rsid w:val="00CE5986"/>
    <w:rsid w:val="00CE6F77"/>
    <w:rsid w:val="00CF23AD"/>
    <w:rsid w:val="00CF2DF6"/>
    <w:rsid w:val="00D00CE4"/>
    <w:rsid w:val="00D01A05"/>
    <w:rsid w:val="00D0292A"/>
    <w:rsid w:val="00D05A14"/>
    <w:rsid w:val="00D07470"/>
    <w:rsid w:val="00D12A14"/>
    <w:rsid w:val="00D30FD8"/>
    <w:rsid w:val="00D3213D"/>
    <w:rsid w:val="00D34374"/>
    <w:rsid w:val="00D37D91"/>
    <w:rsid w:val="00D4578F"/>
    <w:rsid w:val="00D51425"/>
    <w:rsid w:val="00D5486D"/>
    <w:rsid w:val="00D55D7D"/>
    <w:rsid w:val="00D566EC"/>
    <w:rsid w:val="00D64669"/>
    <w:rsid w:val="00D74984"/>
    <w:rsid w:val="00D85641"/>
    <w:rsid w:val="00D85ABD"/>
    <w:rsid w:val="00D8691D"/>
    <w:rsid w:val="00D90D15"/>
    <w:rsid w:val="00D91AD7"/>
    <w:rsid w:val="00D923C5"/>
    <w:rsid w:val="00D9490E"/>
    <w:rsid w:val="00DA1B78"/>
    <w:rsid w:val="00DA52BF"/>
    <w:rsid w:val="00DB1A07"/>
    <w:rsid w:val="00DB3794"/>
    <w:rsid w:val="00DB7EC8"/>
    <w:rsid w:val="00DC3F62"/>
    <w:rsid w:val="00DC47D0"/>
    <w:rsid w:val="00DC5503"/>
    <w:rsid w:val="00DC5886"/>
    <w:rsid w:val="00DC59DA"/>
    <w:rsid w:val="00DC7D03"/>
    <w:rsid w:val="00DD2255"/>
    <w:rsid w:val="00DD3B41"/>
    <w:rsid w:val="00DD5DEC"/>
    <w:rsid w:val="00DD62B5"/>
    <w:rsid w:val="00DD727C"/>
    <w:rsid w:val="00DE2923"/>
    <w:rsid w:val="00DE36A6"/>
    <w:rsid w:val="00DE5A36"/>
    <w:rsid w:val="00DE5C63"/>
    <w:rsid w:val="00DE7CE5"/>
    <w:rsid w:val="00DF13AD"/>
    <w:rsid w:val="00DF77B7"/>
    <w:rsid w:val="00E01D4F"/>
    <w:rsid w:val="00E05120"/>
    <w:rsid w:val="00E166A0"/>
    <w:rsid w:val="00E25792"/>
    <w:rsid w:val="00E33DB6"/>
    <w:rsid w:val="00E341E2"/>
    <w:rsid w:val="00E342FB"/>
    <w:rsid w:val="00E37066"/>
    <w:rsid w:val="00E4055B"/>
    <w:rsid w:val="00E422AF"/>
    <w:rsid w:val="00E423E4"/>
    <w:rsid w:val="00E4575F"/>
    <w:rsid w:val="00E639EF"/>
    <w:rsid w:val="00E71410"/>
    <w:rsid w:val="00E7151F"/>
    <w:rsid w:val="00E757A6"/>
    <w:rsid w:val="00E760AC"/>
    <w:rsid w:val="00E8427C"/>
    <w:rsid w:val="00E855D0"/>
    <w:rsid w:val="00E91E15"/>
    <w:rsid w:val="00E96127"/>
    <w:rsid w:val="00E965AB"/>
    <w:rsid w:val="00E97C54"/>
    <w:rsid w:val="00E97FCA"/>
    <w:rsid w:val="00EA272C"/>
    <w:rsid w:val="00EA39C4"/>
    <w:rsid w:val="00EA4291"/>
    <w:rsid w:val="00EA71F3"/>
    <w:rsid w:val="00EA73E7"/>
    <w:rsid w:val="00EA7545"/>
    <w:rsid w:val="00EB07CD"/>
    <w:rsid w:val="00EB1BE0"/>
    <w:rsid w:val="00EB2F09"/>
    <w:rsid w:val="00EB4CA1"/>
    <w:rsid w:val="00EC7E55"/>
    <w:rsid w:val="00ED4697"/>
    <w:rsid w:val="00EE365D"/>
    <w:rsid w:val="00EE7507"/>
    <w:rsid w:val="00EF059B"/>
    <w:rsid w:val="00EF13B9"/>
    <w:rsid w:val="00EF16EA"/>
    <w:rsid w:val="00EF34A1"/>
    <w:rsid w:val="00EF62D5"/>
    <w:rsid w:val="00F042A2"/>
    <w:rsid w:val="00F124FE"/>
    <w:rsid w:val="00F15B19"/>
    <w:rsid w:val="00F16276"/>
    <w:rsid w:val="00F17054"/>
    <w:rsid w:val="00F203E7"/>
    <w:rsid w:val="00F204FD"/>
    <w:rsid w:val="00F22D80"/>
    <w:rsid w:val="00F26A59"/>
    <w:rsid w:val="00F27671"/>
    <w:rsid w:val="00F328B1"/>
    <w:rsid w:val="00F364A4"/>
    <w:rsid w:val="00F53523"/>
    <w:rsid w:val="00F67140"/>
    <w:rsid w:val="00F71474"/>
    <w:rsid w:val="00F7150E"/>
    <w:rsid w:val="00F718B3"/>
    <w:rsid w:val="00F72B06"/>
    <w:rsid w:val="00F758EA"/>
    <w:rsid w:val="00F80BB1"/>
    <w:rsid w:val="00F8339A"/>
    <w:rsid w:val="00F84F61"/>
    <w:rsid w:val="00F9453D"/>
    <w:rsid w:val="00F96B85"/>
    <w:rsid w:val="00FA164F"/>
    <w:rsid w:val="00FA2607"/>
    <w:rsid w:val="00FA4B31"/>
    <w:rsid w:val="00FA5F90"/>
    <w:rsid w:val="00FA73A5"/>
    <w:rsid w:val="00FB21F7"/>
    <w:rsid w:val="00FB3087"/>
    <w:rsid w:val="00FC21FD"/>
    <w:rsid w:val="00FC6C4E"/>
    <w:rsid w:val="00FC788D"/>
    <w:rsid w:val="00FD495D"/>
    <w:rsid w:val="00FE3E30"/>
    <w:rsid w:val="00FE685E"/>
    <w:rsid w:val="00FF44CC"/>
    <w:rsid w:val="00FF4625"/>
    <w:rsid w:val="00FF4804"/>
    <w:rsid w:val="4B9081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15:docId w15:val="{4370F9E9-86D0-4D60-8A5F-36B7B1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link w:val="Heading2Char"/>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semiHidden/>
    <w:unhideWhenUsed/>
    <w:qFormat/>
    <w:rsid w:val="003475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Heading4Char">
    <w:name w:val="Heading 4 Char"/>
    <w:basedOn w:val="DefaultParagraphFont"/>
    <w:link w:val="Heading4"/>
    <w:uiPriority w:val="9"/>
    <w:semiHidden/>
    <w:rsid w:val="003475A0"/>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9C31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1C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C3EE0"/>
    <w:rPr>
      <w:rFonts w:ascii="Calibri" w:eastAsia="Calibri" w:hAnsi="Calibri" w:cs="Calibri"/>
      <w:b/>
      <w:bCs/>
      <w:sz w:val="24"/>
      <w:szCs w:val="24"/>
    </w:rPr>
  </w:style>
  <w:style w:type="character" w:customStyle="1" w:styleId="BodyTextChar">
    <w:name w:val="Body Text Char"/>
    <w:basedOn w:val="DefaultParagraphFont"/>
    <w:link w:val="BodyText"/>
    <w:uiPriority w:val="1"/>
    <w:rsid w:val="00B627AE"/>
    <w:rPr>
      <w:rFonts w:ascii="Calibri" w:eastAsia="Calibri" w:hAnsi="Calibri" w:cs="Calibri"/>
      <w:sz w:val="20"/>
      <w:szCs w:val="20"/>
    </w:rPr>
  </w:style>
  <w:style w:type="character" w:styleId="UnresolvedMention">
    <w:name w:val="Unresolved Mention"/>
    <w:basedOn w:val="DefaultParagraphFont"/>
    <w:uiPriority w:val="99"/>
    <w:semiHidden/>
    <w:unhideWhenUsed/>
    <w:rsid w:val="00E9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48867555">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 w:id="211211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hyperlink" Target="mailto:titles@nopta.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comlaw.gov.au/Series/C2006A00014" TargetMode="External"/><Relationship Id="rId17" Type="http://schemas.openxmlformats.org/officeDocument/2006/relationships/hyperlink" Target="https://www.nopta.gov.au/_documents/guidelines/Retention-Lease-Guideline.pdf" TargetMode="External"/><Relationship Id="rId2" Type="http://schemas.openxmlformats.org/officeDocument/2006/relationships/customXml" Target="../customXml/item2.xml"/><Relationship Id="rId16" Type="http://schemas.openxmlformats.org/officeDocument/2006/relationships/hyperlink" Target="https://www.nopta.gov.au/_documents/guidelines/Retention-Lease-Guideline.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7012054d-3a07-4b40-940b-a148fc76e5c4">
      <Value>424</Value>
      <Value>13001</Value>
      <Value>12385</Value>
      <Value>125</Value>
      <Value>600</Value>
      <Value>4575</Value>
    </TaxCatchAll>
    <_dlc_DocId xmlns="7012054d-3a07-4b40-940b-a148fc76e5c4">NOPTANET-1686289485-921</_dlc_DocId>
    <_dlc_DocIdUrl xmlns="7012054d-3a07-4b40-940b-a148fc76e5c4">
      <Url>https://nopta.sharepoint.com/team/LCT/_layouts/15/DocIdRedir.aspx?ID=NOPTANET-1686289485-921</Url>
      <Description>NOPTANET-1686289485-921</Description>
    </_dlc_DocIdUrl>
    <_dlc_DocIdPersistId xmlns="7012054d-3a07-4b40-940b-a148fc76e5c4" xsi:nil="true"/>
    <SharedWithUsers xmlns="a8fdb9f5-4e6c-4c4a-a24d-2c5439f6d702">
      <UserInfo>
        <DisplayName>Nicole Filbay</DisplayName>
        <AccountId>63</AccountId>
        <AccountType/>
      </UserInfo>
      <UserInfo>
        <DisplayName>Rachel Fry</DisplayName>
        <AccountId>55</AccountId>
        <AccountType/>
      </UserInfo>
      <UserInfo>
        <DisplayName>Mark Price</DisplayName>
        <AccountId>75</AccountId>
        <AccountType/>
      </UserInfo>
      <UserInfo>
        <DisplayName>Jo Bell</DisplayName>
        <AccountId>33</AccountId>
        <AccountType/>
      </UserInfo>
    </SharedWithUsers>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Retention lease application content factsheet</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d3f18156-6d06-4b36-b33d-bc546f991cd2</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15b9859c-96bf-4788-bd3e-5289ca0376d3</TermId>
        </TermInfo>
        <TermInfo xmlns="http://schemas.microsoft.com/office/infopath/2007/PartnerControls">
          <TermName xmlns="http://schemas.microsoft.com/office/infopath/2007/PartnerControls">suitability</TermName>
          <TermId xmlns="http://schemas.microsoft.com/office/infopath/2007/PartnerControls">7354637d-bf35-4c9c-9690-2001a44ddb57</TermId>
        </TermInfo>
        <TermInfo xmlns="http://schemas.microsoft.com/office/infopath/2007/PartnerControls">
          <TermName xmlns="http://schemas.microsoft.com/office/infopath/2007/PartnerControls">Fit and proper person</TermName>
          <TermId xmlns="http://schemas.microsoft.com/office/infopath/2007/PartnerControls">f0657224-2a26-48c3-b7df-e254484ea8b0</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5aec22723ef92be49f75011597dc21db">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6d1970a631b6ec9264d65a4013c63a96"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8218-D506-4999-855C-3B0EFFF34BCB}">
  <ds:schemaRefs>
    <ds:schemaRef ds:uri="http://schemas.microsoft.com/sharepoint/v3/contenttype/forms"/>
  </ds:schemaRefs>
</ds:datastoreItem>
</file>

<file path=customXml/itemProps2.xml><?xml version="1.0" encoding="utf-8"?>
<ds:datastoreItem xmlns:ds="http://schemas.openxmlformats.org/officeDocument/2006/customXml" ds:itemID="{8CB567CE-5995-4093-BE2F-65458A93CBA6}">
  <ds:schemaRefs>
    <ds:schemaRef ds:uri="e1c7fc68-f963-4fbf-ab17-100a6bd4a79c"/>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a8fdb9f5-4e6c-4c4a-a24d-2c5439f6d702"/>
    <ds:schemaRef ds:uri="http://schemas.microsoft.com/sharepoint/v3/fields"/>
    <ds:schemaRef ds:uri="7012054d-3a07-4b40-940b-a148fc76e5c4"/>
    <ds:schemaRef ds:uri="http://www.w3.org/XML/1998/namespace"/>
  </ds:schemaRefs>
</ds:datastoreItem>
</file>

<file path=customXml/itemProps3.xml><?xml version="1.0" encoding="utf-8"?>
<ds:datastoreItem xmlns:ds="http://schemas.openxmlformats.org/officeDocument/2006/customXml" ds:itemID="{FB4C92A3-9EE2-4F4E-8BA4-A83609DD4436}">
  <ds:schemaRefs>
    <ds:schemaRef ds:uri="http://schemas.microsoft.com/sharepoint/events"/>
  </ds:schemaRefs>
</ds:datastoreItem>
</file>

<file path=customXml/itemProps4.xml><?xml version="1.0" encoding="utf-8"?>
<ds:datastoreItem xmlns:ds="http://schemas.openxmlformats.org/officeDocument/2006/customXml" ds:itemID="{C1DFD92A-5615-49D7-B85D-970A9504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77851-C84B-460A-A47C-83CB20ED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Shepherdson</dc:creator>
  <cp:keywords>Fit and proper person ; suitability ; guidance</cp:keywords>
  <cp:lastModifiedBy>Mark Price</cp:lastModifiedBy>
  <cp:revision>71</cp:revision>
  <cp:lastPrinted>2021-09-01T05:41:00Z</cp:lastPrinted>
  <dcterms:created xsi:type="dcterms:W3CDTF">2021-09-21T03:14:00Z</dcterms:created>
  <dcterms:modified xsi:type="dcterms:W3CDTF">2022-03-17T06:28:00Z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PDFium</vt:lpwstr>
  </property>
  <property fmtid="{D5CDD505-2E9C-101B-9397-08002B2CF9AE}" pid="4" name="LastSaved">
    <vt:filetime>2020-04-17T00:00:00Z</vt:filetime>
  </property>
  <property fmtid="{D5CDD505-2E9C-101B-9397-08002B2CF9AE}" pid="5" name="ContentTypeId">
    <vt:lpwstr>0x01010063547D135F865547B104B3688A6EB0DB004EBC41CBB87686458B4EADC66475DA23</vt:lpwstr>
  </property>
  <property fmtid="{D5CDD505-2E9C-101B-9397-08002B2CF9AE}" pid="6" name="BusinessFunction">
    <vt:lpwstr>4575</vt:lpwstr>
  </property>
  <property fmtid="{D5CDD505-2E9C-101B-9397-08002B2CF9AE}" pid="7" name="_dlc_DocIdItemGuid">
    <vt:lpwstr>d65b5d51-436e-4171-b0b3-fcaa9e62ce65</vt:lpwstr>
  </property>
  <property fmtid="{D5CDD505-2E9C-101B-9397-08002B2CF9AE}" pid="8" name="TaxKeyword">
    <vt:lpwstr>600;#guidance|15b9859c-96bf-4788-bd3e-5289ca0376d3;#13001;#suitability|7354637d-bf35-4c9c-9690-2001a44ddb57;#12385;#Fit and proper person|f0657224-2a26-48c3-b7df-e254484ea8b0</vt:lpwstr>
  </property>
  <property fmtid="{D5CDD505-2E9C-101B-9397-08002B2CF9AE}" pid="9" name="Titles">
    <vt:lpwstr/>
  </property>
  <property fmtid="{D5CDD505-2E9C-101B-9397-08002B2CF9AE}" pid="10" name="Title Type">
    <vt:lpwstr/>
  </property>
  <property fmtid="{D5CDD505-2E9C-101B-9397-08002B2CF9AE}" pid="11" name="DocumentType">
    <vt:lpwstr>125;#Fact Sheet|d3f18156-6d06-4b36-b33d-bc546f991cd2</vt:lpwstr>
  </property>
  <property fmtid="{D5CDD505-2E9C-101B-9397-08002B2CF9AE}" pid="12" name="Offshore Region">
    <vt:lpwstr/>
  </property>
  <property fmtid="{D5CDD505-2E9C-101B-9397-08002B2CF9AE}" pid="13" name="Application Library">
    <vt:lpwstr/>
  </property>
  <property fmtid="{D5CDD505-2E9C-101B-9397-08002B2CF9AE}" pid="14" name="Team">
    <vt:lpwstr>424;#Legislative Compliance|cb4b5b1d-0a66-42b0-ad54-d9e1e7b82ef0</vt:lpwstr>
  </property>
  <property fmtid="{D5CDD505-2E9C-101B-9397-08002B2CF9AE}" pid="15" name="DocHub_RegionCountry">
    <vt:lpwstr/>
  </property>
  <property fmtid="{D5CDD505-2E9C-101B-9397-08002B2CF9AE}" pid="16" name="DocHub_DocumentType">
    <vt:lpwstr>81;#Guideline|1cb7cffe-f5b4-42ac-8a71-3f61d9d0fa0a</vt:lpwstr>
  </property>
  <property fmtid="{D5CDD505-2E9C-101B-9397-08002B2CF9AE}" pid="17" name="DocHub_GroupsOtherEntities">
    <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295;#Policy Implementation|76a12992-328c-489f-9a4f-d0b6b90382c5</vt:lpwstr>
  </property>
  <property fmtid="{D5CDD505-2E9C-101B-9397-08002B2CF9AE}" pid="22" name="DocHub_WorkTopic">
    <vt:lpwstr>909;#Administrative Guidelines|f07964ad-13ca-4d49-8baf-8456f5b7da2d</vt:lpwstr>
  </property>
  <property fmtid="{D5CDD505-2E9C-101B-9397-08002B2CF9AE}" pid="23" name="DocHub_EnergyMineralResources">
    <vt:lpwstr/>
  </property>
  <property fmtid="{D5CDD505-2E9C-101B-9397-08002B2CF9AE}" pid="24" name="DocHub_Keywords">
    <vt:lpwstr/>
  </property>
  <property fmtid="{D5CDD505-2E9C-101B-9397-08002B2CF9AE}" pid="25" name="DocHub_State">
    <vt:lpwstr/>
  </property>
  <property fmtid="{D5CDD505-2E9C-101B-9397-08002B2CF9AE}" pid="26" name="DocHub_Year">
    <vt:lpwstr/>
  </property>
  <property fmtid="{D5CDD505-2E9C-101B-9397-08002B2CF9AE}" pid="27" name="pfcb0be319e247388db2251ff9d23f72">
    <vt:lpwstr/>
  </property>
  <property fmtid="{D5CDD505-2E9C-101B-9397-08002B2CF9AE}" pid="28" name="DocumentType_Note">
    <vt:lpwstr/>
  </property>
  <property fmtid="{D5CDD505-2E9C-101B-9397-08002B2CF9AE}" pid="29" name="Team_Note">
    <vt:lpwstr/>
  </property>
  <property fmtid="{D5CDD505-2E9C-101B-9397-08002B2CF9AE}" pid="30" name="Titles_Note">
    <vt:lpwstr/>
  </property>
  <property fmtid="{D5CDD505-2E9C-101B-9397-08002B2CF9AE}" pid="31" name="BusinessFunction_Note">
    <vt:lpwstr>Investigations|db88f4f7-d8f8-4999-a5c6-922185012830</vt:lpwstr>
  </property>
  <property fmtid="{D5CDD505-2E9C-101B-9397-08002B2CF9AE}" pid="32" name="g91dc4f691a04421b1edf463601fabf6">
    <vt:lpwstr/>
  </property>
  <property fmtid="{D5CDD505-2E9C-101B-9397-08002B2CF9AE}" pid="33" name="TaxKeywordTaxHTField">
    <vt:lpwstr>guidance|15b9859c-96bf-4788-bd3e-5289ca0376d3;suitability|7354637d-bf35-4c9c-9690-2001a44ddb57;Fit and proper person|f0657224-2a26-48c3-b7df-e254484ea8b0</vt:lpwstr>
  </property>
  <property fmtid="{D5CDD505-2E9C-101B-9397-08002B2CF9AE}" pid="34" name="m3f2ca6b2c9a4802967adedbb4af06ae">
    <vt:lpwstr/>
  </property>
  <property fmtid="{D5CDD505-2E9C-101B-9397-08002B2CF9AE}" pid="35" name="Application_x0020_Type">
    <vt:lpwstr/>
  </property>
  <property fmtid="{D5CDD505-2E9C-101B-9397-08002B2CF9AE}" pid="36" name="nb06a2a4bf21415da674e2de895c04d6">
    <vt:lpwstr/>
  </property>
  <property fmtid="{D5CDD505-2E9C-101B-9397-08002B2CF9AE}" pid="37" name="Application Type">
    <vt:lpwstr/>
  </property>
  <property fmtid="{D5CDD505-2E9C-101B-9397-08002B2CF9AE}" pid="38" name="SharedWithUsers">
    <vt:lpwstr>63;#Nicole Filbay;#55;#Rachel Fry;#75;#Mark Price;#33;#Jo Bell</vt:lpwstr>
  </property>
  <property fmtid="{D5CDD505-2E9C-101B-9397-08002B2CF9AE}" pid="39" name="DocHub_SittingPeriod">
    <vt:lpwstr/>
  </property>
  <property fmtid="{D5CDD505-2E9C-101B-9397-08002B2CF9AE}" pid="40" name="g7cee4c3f49f4a8d957fe196d6fcc5b5">
    <vt:lpwstr/>
  </property>
  <property fmtid="{D5CDD505-2E9C-101B-9397-08002B2CF9AE}" pid="41" name="f26de360fc5e40c78d93b560b6cc664b">
    <vt:lpwstr/>
  </property>
  <property fmtid="{D5CDD505-2E9C-101B-9397-08002B2CF9AE}" pid="42" name="DocHub_PDMSNumber">
    <vt:lpwstr/>
  </property>
  <property fmtid="{D5CDD505-2E9C-101B-9397-08002B2CF9AE}" pid="43" name="g04c65e7758e4a9bb076ed3b2f3b54e3">
    <vt:lpwstr/>
  </property>
  <property fmtid="{D5CDD505-2E9C-101B-9397-08002B2CF9AE}" pid="44" name="DocHub_LegalLexID">
    <vt:lpwstr/>
  </property>
  <property fmtid="{D5CDD505-2E9C-101B-9397-08002B2CF9AE}" pid="45" name="d34056e35d444dee82a795b7b19350c2">
    <vt:lpwstr/>
  </property>
  <property fmtid="{D5CDD505-2E9C-101B-9397-08002B2CF9AE}" pid="46" name="e63cd534a94446d68abe1904a0bcdfb2">
    <vt:lpwstr>Administrative Guidelines|f07964ad-13ca-4d49-8baf-8456f5b7da2d</vt:lpwstr>
  </property>
  <property fmtid="{D5CDD505-2E9C-101B-9397-08002B2CF9AE}" pid="47" name="TriggerFlowInfo">
    <vt:lpwstr/>
  </property>
  <property fmtid="{D5CDD505-2E9C-101B-9397-08002B2CF9AE}" pid="48" name="_docset_NoMedatataSyncRequired">
    <vt:lpwstr>False</vt:lpwstr>
  </property>
</Properties>
</file>