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0D49" w14:textId="4E728C1B" w:rsidR="00145881" w:rsidRDefault="007E2B29" w:rsidP="00193574">
      <w:pPr>
        <w:pStyle w:val="Heading1"/>
        <w:spacing w:before="10"/>
        <w:ind w:left="0"/>
        <w:rPr>
          <w:color w:val="27629B"/>
        </w:rPr>
      </w:pPr>
      <w:r>
        <w:rPr>
          <w:color w:val="27629B"/>
        </w:rPr>
        <w:t>D</w:t>
      </w:r>
      <w:r w:rsidR="006A0786">
        <w:rPr>
          <w:color w:val="27629B"/>
        </w:rPr>
        <w:t>eclaration of experience and d</w:t>
      </w:r>
      <w:r w:rsidR="00145881">
        <w:rPr>
          <w:color w:val="27629B"/>
        </w:rPr>
        <w:t>isclosures</w:t>
      </w:r>
    </w:p>
    <w:p w14:paraId="6FEF6E00" w14:textId="17D6DED7" w:rsidR="00145881" w:rsidRPr="000C0CBC" w:rsidRDefault="00145881" w:rsidP="00193574">
      <w:pPr>
        <w:widowControl/>
        <w:pBdr>
          <w:bottom w:val="single" w:sz="4" w:space="0" w:color="5F5F5F"/>
        </w:pBdr>
        <w:autoSpaceDE/>
        <w:autoSpaceDN/>
        <w:spacing w:before="120"/>
        <w:contextualSpacing/>
        <w:rPr>
          <w:rFonts w:eastAsia="Times New Roman"/>
          <w:color w:val="595959"/>
          <w:sz w:val="20"/>
          <w:szCs w:val="20"/>
          <w:lang w:val="en-AU"/>
        </w:rPr>
      </w:pPr>
      <w:r w:rsidRPr="000C0CBC">
        <w:rPr>
          <w:rFonts w:eastAsia="Times New Roman"/>
          <w:color w:val="5F5F5F"/>
          <w:sz w:val="20"/>
          <w:szCs w:val="24"/>
          <w:lang w:eastAsia="en-AU"/>
        </w:rPr>
        <w:t xml:space="preserve">All </w:t>
      </w:r>
      <w:r>
        <w:rPr>
          <w:rFonts w:eastAsia="Times New Roman"/>
          <w:color w:val="5F5F5F"/>
          <w:sz w:val="20"/>
          <w:szCs w:val="24"/>
          <w:lang w:eastAsia="en-AU"/>
        </w:rPr>
        <w:t>information</w:t>
      </w:r>
      <w:r w:rsidRPr="000C0CBC">
        <w:rPr>
          <w:rFonts w:eastAsia="Times New Roman"/>
          <w:color w:val="5F5F5F"/>
          <w:sz w:val="20"/>
          <w:szCs w:val="24"/>
          <w:lang w:eastAsia="en-AU"/>
        </w:rPr>
        <w:t xml:space="preserve"> </w:t>
      </w:r>
      <w:r w:rsidRPr="000C0CBC">
        <w:rPr>
          <w:rFonts w:eastAsia="Times New Roman"/>
          <w:color w:val="5F5F5F"/>
          <w:sz w:val="20"/>
          <w:szCs w:val="24"/>
          <w:lang w:val="en-AU"/>
        </w:rPr>
        <w:t xml:space="preserve">should be read in conjunction with the </w:t>
      </w:r>
      <w:hyperlink r:id="rId12" w:tooltip="Link to offshore petroleum and greenhouse gas act" w:history="1">
        <w:r w:rsidRPr="000C0CBC">
          <w:rPr>
            <w:rFonts w:eastAsia="Times New Roman"/>
            <w:i/>
            <w:color w:val="0563C1"/>
            <w:sz w:val="20"/>
            <w:szCs w:val="24"/>
            <w:u w:val="single"/>
            <w:lang w:val="en-AU"/>
          </w:rPr>
          <w:t>Offshore Petroleum and Greenhouse Gas Storage Act 2006</w:t>
        </w:r>
      </w:hyperlink>
      <w:r w:rsidRPr="000C0CBC">
        <w:rPr>
          <w:rFonts w:eastAsia="Times New Roman"/>
          <w:i/>
          <w:color w:val="5F5F5F"/>
          <w:sz w:val="20"/>
          <w:szCs w:val="24"/>
          <w:lang w:val="en-AU"/>
        </w:rPr>
        <w:t xml:space="preserve"> </w:t>
      </w:r>
      <w:r w:rsidRPr="000C0CBC">
        <w:rPr>
          <w:rFonts w:eastAsia="Times New Roman"/>
          <w:color w:val="5F5F5F"/>
          <w:sz w:val="20"/>
          <w:szCs w:val="24"/>
          <w:lang w:val="en-AU"/>
        </w:rPr>
        <w:t xml:space="preserve">(the </w:t>
      </w:r>
      <w:r>
        <w:rPr>
          <w:rFonts w:eastAsia="Times New Roman"/>
          <w:color w:val="5F5F5F"/>
          <w:sz w:val="20"/>
          <w:szCs w:val="24"/>
          <w:lang w:val="en-AU"/>
        </w:rPr>
        <w:t xml:space="preserve">OPGGS </w:t>
      </w:r>
      <w:r w:rsidRPr="000C0CBC">
        <w:rPr>
          <w:rFonts w:eastAsia="Times New Roman"/>
          <w:color w:val="5F5F5F"/>
          <w:sz w:val="20"/>
          <w:szCs w:val="24"/>
          <w:lang w:val="en-AU"/>
        </w:rPr>
        <w:t>Act), associated regulations, relevant guidelines</w:t>
      </w:r>
      <w:r w:rsidR="00BA5E9A">
        <w:rPr>
          <w:rFonts w:eastAsia="Times New Roman"/>
          <w:color w:val="5F5F5F"/>
          <w:sz w:val="20"/>
          <w:szCs w:val="24"/>
          <w:lang w:val="en-AU"/>
        </w:rPr>
        <w:t>, fact sheets</w:t>
      </w:r>
      <w:r w:rsidRPr="000C0CBC">
        <w:rPr>
          <w:rFonts w:eastAsia="Times New Roman"/>
          <w:color w:val="5F5F5F"/>
          <w:sz w:val="20"/>
          <w:szCs w:val="24"/>
          <w:lang w:val="en-AU"/>
        </w:rPr>
        <w:t xml:space="preserve"> and policies (available on </w:t>
      </w:r>
      <w:hyperlink r:id="rId13" w:tooltip="Link to NOPTA's website" w:history="1">
        <w:r w:rsidRPr="000C0CBC">
          <w:rPr>
            <w:rFonts w:eastAsia="Times New Roman"/>
            <w:color w:val="0563C1"/>
            <w:sz w:val="20"/>
            <w:szCs w:val="24"/>
            <w:u w:val="single"/>
            <w:lang w:val="en-AU"/>
          </w:rPr>
          <w:t>NOPTA’s website</w:t>
        </w:r>
      </w:hyperlink>
      <w:r w:rsidRPr="000C0CBC">
        <w:rPr>
          <w:rFonts w:eastAsia="Times New Roman"/>
          <w:color w:val="5F5F5F"/>
          <w:sz w:val="20"/>
          <w:szCs w:val="24"/>
          <w:lang w:val="en-AU"/>
        </w:rPr>
        <w:t>).</w:t>
      </w:r>
    </w:p>
    <w:p w14:paraId="4F5BF6F3" w14:textId="36D5E985" w:rsidR="00145881" w:rsidRDefault="00145881" w:rsidP="00193574">
      <w:pPr>
        <w:pStyle w:val="BodyText"/>
        <w:spacing w:before="0"/>
        <w:ind w:left="120" w:right="58"/>
        <w:rPr>
          <w:color w:val="5F5F5F"/>
        </w:rPr>
      </w:pPr>
    </w:p>
    <w:p w14:paraId="161DB959" w14:textId="77777777" w:rsidR="00145881" w:rsidRDefault="00145881" w:rsidP="00193574">
      <w:pPr>
        <w:pStyle w:val="BodyText"/>
        <w:spacing w:before="0"/>
        <w:ind w:left="120" w:right="58"/>
        <w:rPr>
          <w:color w:val="5F5F5F"/>
        </w:rPr>
        <w:sectPr w:rsidR="00145881" w:rsidSect="00A23F9F">
          <w:headerReference w:type="even" r:id="rId14"/>
          <w:headerReference w:type="default" r:id="rId15"/>
          <w:footerReference w:type="default" r:id="rId16"/>
          <w:headerReference w:type="first" r:id="rId17"/>
          <w:footerReference w:type="first" r:id="rId18"/>
          <w:type w:val="continuous"/>
          <w:pgSz w:w="11910" w:h="16840"/>
          <w:pgMar w:top="2461" w:right="680" w:bottom="680" w:left="680" w:header="6" w:footer="482" w:gutter="0"/>
          <w:cols w:space="720"/>
        </w:sectPr>
      </w:pPr>
    </w:p>
    <w:p w14:paraId="3B3D0F45" w14:textId="611A92E1" w:rsidR="00FB2FCD" w:rsidRDefault="005F779F" w:rsidP="00193574">
      <w:pPr>
        <w:pStyle w:val="List2"/>
        <w:spacing w:after="120" w:line="240" w:lineRule="auto"/>
        <w:ind w:left="0" w:firstLine="0"/>
        <w:contextualSpacing w:val="0"/>
        <w:rPr>
          <w:rFonts w:ascii="Calibri" w:eastAsia="Calibri" w:hAnsi="Calibri" w:cs="Calibri"/>
          <w:color w:val="5F5F5F"/>
          <w:sz w:val="20"/>
          <w:szCs w:val="20"/>
          <w:lang w:val="en-US"/>
        </w:rPr>
      </w:pPr>
      <w:r w:rsidRPr="4578D0E9">
        <w:rPr>
          <w:rFonts w:ascii="Calibri" w:eastAsia="Calibri" w:hAnsi="Calibri" w:cs="Calibri"/>
          <w:color w:val="5F5F5F"/>
          <w:sz w:val="20"/>
          <w:szCs w:val="20"/>
          <w:lang w:val="en-US"/>
        </w:rPr>
        <w:t xml:space="preserve">The purpose of this document is to provide </w:t>
      </w:r>
      <w:r w:rsidR="00BA5E9A">
        <w:rPr>
          <w:rFonts w:ascii="Calibri" w:eastAsia="Calibri" w:hAnsi="Calibri" w:cs="Calibri"/>
          <w:color w:val="5F5F5F"/>
          <w:sz w:val="20"/>
          <w:szCs w:val="20"/>
          <w:lang w:val="en-US"/>
        </w:rPr>
        <w:t>a set of frequently asked questions</w:t>
      </w:r>
      <w:r w:rsidR="00EF26A6">
        <w:rPr>
          <w:rFonts w:ascii="Calibri" w:eastAsia="Calibri" w:hAnsi="Calibri" w:cs="Calibri"/>
          <w:color w:val="5F5F5F"/>
          <w:sz w:val="20"/>
          <w:szCs w:val="20"/>
          <w:lang w:val="en-US"/>
        </w:rPr>
        <w:t xml:space="preserve"> in relation to </w:t>
      </w:r>
      <w:r w:rsidR="00FB2FCD" w:rsidRPr="4578D0E9">
        <w:rPr>
          <w:rFonts w:ascii="Calibri" w:eastAsia="Calibri" w:hAnsi="Calibri" w:cs="Calibri"/>
          <w:color w:val="5F5F5F"/>
          <w:sz w:val="20"/>
          <w:szCs w:val="20"/>
          <w:lang w:val="en-US"/>
        </w:rPr>
        <w:t xml:space="preserve">the information required to support the </w:t>
      </w:r>
      <w:r w:rsidR="00FB2FCD">
        <w:rPr>
          <w:rFonts w:ascii="Calibri" w:eastAsia="Calibri" w:hAnsi="Calibri" w:cs="Calibri"/>
          <w:color w:val="5F5F5F"/>
          <w:sz w:val="20"/>
          <w:szCs w:val="20"/>
          <w:lang w:val="en-US"/>
        </w:rPr>
        <w:t>Entry Stage A</w:t>
      </w:r>
      <w:r w:rsidR="00FB2FCD" w:rsidRPr="4578D0E9">
        <w:rPr>
          <w:rFonts w:ascii="Calibri" w:eastAsia="Calibri" w:hAnsi="Calibri" w:cs="Calibri"/>
          <w:color w:val="5F5F5F"/>
          <w:sz w:val="20"/>
          <w:szCs w:val="20"/>
          <w:lang w:val="en-US"/>
        </w:rPr>
        <w:t xml:space="preserve">ssessment of the </w:t>
      </w:r>
      <w:r w:rsidR="00FB2FCD">
        <w:rPr>
          <w:rFonts w:ascii="Calibri" w:eastAsia="Calibri" w:hAnsi="Calibri" w:cs="Calibri"/>
          <w:color w:val="5F5F5F"/>
          <w:sz w:val="20"/>
          <w:szCs w:val="20"/>
          <w:lang w:val="en-US"/>
        </w:rPr>
        <w:t>applicant or other person (as relevant)</w:t>
      </w:r>
      <w:r w:rsidR="00FB2FCD" w:rsidRPr="00431A4E">
        <w:rPr>
          <w:rFonts w:ascii="Calibri" w:eastAsia="Calibri" w:hAnsi="Calibri" w:cs="Calibri"/>
          <w:color w:val="5F5F5F"/>
          <w:sz w:val="20"/>
          <w:szCs w:val="20"/>
          <w:lang w:val="en-US"/>
        </w:rPr>
        <w:t xml:space="preserve"> </w:t>
      </w:r>
      <w:r w:rsidR="00FB2FCD">
        <w:rPr>
          <w:rFonts w:ascii="Calibri" w:eastAsia="Calibri" w:hAnsi="Calibri" w:cs="Calibri"/>
          <w:color w:val="5F5F5F"/>
          <w:sz w:val="20"/>
          <w:szCs w:val="20"/>
          <w:lang w:val="en-US"/>
        </w:rPr>
        <w:t xml:space="preserve">and change of circumstances declarations under section 695YC. Further details can be found in part </w:t>
      </w:r>
      <w:r w:rsidR="00FB2FCD" w:rsidRPr="00881BB8">
        <w:rPr>
          <w:rFonts w:ascii="Calibri" w:eastAsia="Calibri" w:hAnsi="Calibri" w:cs="Calibri"/>
          <w:color w:val="5F5F5F"/>
          <w:sz w:val="20"/>
          <w:szCs w:val="20"/>
          <w:lang w:val="en-US"/>
        </w:rPr>
        <w:t>4</w:t>
      </w:r>
      <w:r w:rsidR="00FB2FCD">
        <w:rPr>
          <w:rFonts w:ascii="Calibri" w:eastAsia="Calibri" w:hAnsi="Calibri" w:cs="Calibri"/>
          <w:color w:val="5F5F5F"/>
          <w:sz w:val="20"/>
          <w:szCs w:val="20"/>
          <w:lang w:val="en-US"/>
        </w:rPr>
        <w:t xml:space="preserve"> and 5</w:t>
      </w:r>
      <w:r w:rsidR="00FB2FCD" w:rsidRPr="00881BB8">
        <w:rPr>
          <w:rFonts w:ascii="Calibri" w:eastAsia="Calibri" w:hAnsi="Calibri" w:cs="Calibri"/>
          <w:color w:val="5F5F5F"/>
          <w:sz w:val="20"/>
          <w:szCs w:val="20"/>
          <w:lang w:val="en-US"/>
        </w:rPr>
        <w:t xml:space="preserve"> of </w:t>
      </w:r>
      <w:r w:rsidR="00FB2FCD" w:rsidRPr="00A02312">
        <w:rPr>
          <w:rFonts w:asciiTheme="minorHAnsi" w:eastAsia="Calibri" w:hAnsiTheme="minorHAnsi" w:cstheme="minorHAnsi"/>
          <w:color w:val="5F5F5F"/>
          <w:sz w:val="20"/>
          <w:szCs w:val="20"/>
          <w:lang w:val="en-US"/>
        </w:rPr>
        <w:t xml:space="preserve">the </w:t>
      </w:r>
      <w:hyperlink r:id="rId19" w:tooltip="Link to the Guideline on NOPTA's website" w:history="1">
        <w:r w:rsidR="005C7276" w:rsidRPr="005C7276">
          <w:rPr>
            <w:rStyle w:val="Hyperlink"/>
            <w:rFonts w:asciiTheme="minorHAnsi" w:hAnsiTheme="minorHAnsi" w:cstheme="minorHAnsi"/>
            <w:bCs/>
            <w:i/>
            <w:color w:val="0562C1"/>
            <w:sz w:val="20"/>
            <w:szCs w:val="20"/>
          </w:rPr>
          <w:t>Guideline: Applicant Suitability</w:t>
        </w:r>
      </w:hyperlink>
      <w:r w:rsidR="00EE163B" w:rsidRPr="005C7276">
        <w:rPr>
          <w:rFonts w:ascii="Calibri" w:eastAsia="Calibri" w:hAnsi="Calibri" w:cs="Calibri"/>
          <w:color w:val="5F5F5F"/>
          <w:lang w:val="en-US"/>
        </w:rPr>
        <w:t xml:space="preserve"> </w:t>
      </w:r>
      <w:r w:rsidR="00EE163B" w:rsidRPr="005C7276">
        <w:rPr>
          <w:rFonts w:ascii="Calibri" w:eastAsia="Calibri" w:hAnsi="Calibri" w:cs="Calibri"/>
          <w:color w:val="5F5F5F"/>
          <w:sz w:val="20"/>
          <w:szCs w:val="20"/>
          <w:lang w:val="en-US"/>
        </w:rPr>
        <w:t xml:space="preserve">and the </w:t>
      </w:r>
      <w:hyperlink r:id="rId20" w:tgtFrame="_blank" w:tooltip="Link to Fact Sheet on NOPTA's Website" w:history="1">
        <w:r w:rsidR="00193574" w:rsidRPr="005C7276">
          <w:rPr>
            <w:rStyle w:val="Hyperlink"/>
            <w:rFonts w:asciiTheme="minorHAnsi" w:hAnsiTheme="minorHAnsi" w:cstheme="minorHAnsi"/>
            <w:bCs/>
            <w:i/>
            <w:color w:val="0562C1"/>
            <w:sz w:val="20"/>
            <w:szCs w:val="20"/>
          </w:rPr>
          <w:t>Fact Sheet: Declaration of experience and disclosures</w:t>
        </w:r>
      </w:hyperlink>
      <w:r w:rsidR="00FB2FCD" w:rsidRPr="005C7276">
        <w:rPr>
          <w:rFonts w:ascii="Calibri" w:eastAsia="Calibri" w:hAnsi="Calibri" w:cs="Calibri"/>
          <w:color w:val="5F5F5F"/>
          <w:sz w:val="20"/>
          <w:szCs w:val="20"/>
          <w:lang w:val="en-US"/>
        </w:rPr>
        <w:t>.</w:t>
      </w:r>
    </w:p>
    <w:p w14:paraId="61713A2D" w14:textId="0AF7E546" w:rsidR="0027787C" w:rsidRPr="00390917" w:rsidRDefault="0027787C" w:rsidP="00193574">
      <w:pPr>
        <w:pStyle w:val="List2"/>
        <w:spacing w:after="120" w:line="240" w:lineRule="auto"/>
        <w:ind w:left="0" w:firstLine="0"/>
        <w:contextualSpacing w:val="0"/>
        <w:rPr>
          <w:rFonts w:asciiTheme="minorHAnsi" w:hAnsiTheme="minorHAnsi" w:cstheme="minorHAnsi"/>
          <w:i/>
          <w:color w:val="5F5F5F"/>
          <w:sz w:val="20"/>
          <w:szCs w:val="20"/>
        </w:rPr>
      </w:pPr>
      <w:r w:rsidRPr="00390917">
        <w:rPr>
          <w:rFonts w:asciiTheme="minorHAnsi" w:hAnsiTheme="minorHAnsi" w:cstheme="minorHAnsi"/>
          <w:b/>
          <w:i/>
          <w:color w:val="5F5F5F"/>
          <w:sz w:val="20"/>
          <w:szCs w:val="20"/>
        </w:rPr>
        <w:t xml:space="preserve">Please note: </w:t>
      </w:r>
      <w:r w:rsidRPr="00390917">
        <w:rPr>
          <w:rFonts w:asciiTheme="minorHAnsi" w:hAnsiTheme="minorHAnsi" w:cstheme="minorHAnsi"/>
          <w:i/>
          <w:color w:val="5F5F5F"/>
          <w:sz w:val="20"/>
          <w:szCs w:val="20"/>
        </w:rPr>
        <w:t>this document is intended as a guide only and should not be relied on as legal advice or regarded as a substitute for legal advice in individual cases.</w:t>
      </w:r>
      <w:r w:rsidR="00FB41BA" w:rsidRPr="00390917">
        <w:rPr>
          <w:rFonts w:asciiTheme="minorHAnsi" w:hAnsiTheme="minorHAnsi" w:cstheme="minorHAnsi"/>
          <w:i/>
          <w:color w:val="5F5F5F"/>
          <w:sz w:val="20"/>
          <w:szCs w:val="20"/>
        </w:rPr>
        <w:t xml:space="preserve"> Legislative references in this fact sheet relate to the OPGGS Act unless stated otherwise.  </w:t>
      </w:r>
    </w:p>
    <w:p w14:paraId="293BF883" w14:textId="77777777" w:rsidR="0027787C" w:rsidRDefault="0027787C" w:rsidP="00193574">
      <w:pPr>
        <w:pStyle w:val="Heading2"/>
        <w:ind w:left="0"/>
        <w:rPr>
          <w:color w:val="27629B"/>
        </w:rPr>
      </w:pPr>
      <w:r>
        <w:rPr>
          <w:color w:val="27629B"/>
        </w:rPr>
        <w:t>Overview</w:t>
      </w:r>
    </w:p>
    <w:p w14:paraId="3FD8F2FC" w14:textId="793D9651" w:rsidR="00191ED6" w:rsidRDefault="00145881" w:rsidP="00193574">
      <w:pPr>
        <w:spacing w:before="120" w:after="120"/>
        <w:rPr>
          <w:color w:val="5F5F5F"/>
          <w:sz w:val="20"/>
          <w:szCs w:val="20"/>
        </w:rPr>
      </w:pPr>
      <w:r>
        <w:rPr>
          <w:color w:val="5F5F5F"/>
          <w:sz w:val="20"/>
          <w:szCs w:val="20"/>
        </w:rPr>
        <w:t xml:space="preserve">The OPGGS Act </w:t>
      </w:r>
      <w:r w:rsidR="0038073E">
        <w:rPr>
          <w:color w:val="5F5F5F"/>
          <w:sz w:val="20"/>
          <w:szCs w:val="20"/>
        </w:rPr>
        <w:t xml:space="preserve">requires that </w:t>
      </w:r>
      <w:r>
        <w:rPr>
          <w:color w:val="5F5F5F"/>
          <w:sz w:val="20"/>
          <w:szCs w:val="20"/>
        </w:rPr>
        <w:t>the decision</w:t>
      </w:r>
      <w:r w:rsidR="00724743">
        <w:rPr>
          <w:color w:val="5F5F5F"/>
          <w:sz w:val="20"/>
          <w:szCs w:val="20"/>
        </w:rPr>
        <w:t>-</w:t>
      </w:r>
      <w:r>
        <w:rPr>
          <w:color w:val="5F5F5F"/>
          <w:sz w:val="20"/>
          <w:szCs w:val="20"/>
        </w:rPr>
        <w:t xml:space="preserve">maker must consider the matters in section 695YB </w:t>
      </w:r>
      <w:r w:rsidRPr="00EB07CD">
        <w:rPr>
          <w:color w:val="5F5F5F"/>
          <w:sz w:val="20"/>
          <w:szCs w:val="20"/>
        </w:rPr>
        <w:t>for the</w:t>
      </w:r>
      <w:r w:rsidR="00191ED6">
        <w:rPr>
          <w:color w:val="5F5F5F"/>
          <w:sz w:val="20"/>
          <w:szCs w:val="20"/>
        </w:rPr>
        <w:t>:</w:t>
      </w:r>
    </w:p>
    <w:p w14:paraId="18E1E54D" w14:textId="23ECB6F0" w:rsidR="00191ED6" w:rsidRPr="00BE4A5F" w:rsidRDefault="00145881" w:rsidP="00193574">
      <w:pPr>
        <w:pStyle w:val="ListParagraph"/>
        <w:numPr>
          <w:ilvl w:val="0"/>
          <w:numId w:val="22"/>
        </w:numPr>
        <w:spacing w:before="0" w:after="120"/>
        <w:ind w:left="426" w:hanging="357"/>
        <w:rPr>
          <w:color w:val="5F5F5F"/>
          <w:sz w:val="20"/>
          <w:szCs w:val="20"/>
        </w:rPr>
      </w:pPr>
      <w:r w:rsidRPr="00BE4A5F">
        <w:rPr>
          <w:color w:val="5F5F5F"/>
          <w:sz w:val="20"/>
          <w:szCs w:val="20"/>
        </w:rPr>
        <w:t>grant of certain titles</w:t>
      </w:r>
      <w:r w:rsidR="009A4C00" w:rsidRPr="00900938">
        <w:rPr>
          <w:sz w:val="16"/>
          <w:szCs w:val="16"/>
          <w:vertAlign w:val="superscript"/>
        </w:rPr>
        <w:footnoteReference w:id="2"/>
      </w:r>
      <w:r w:rsidRPr="00BE4A5F">
        <w:rPr>
          <w:color w:val="5F5F5F"/>
          <w:sz w:val="16"/>
          <w:szCs w:val="16"/>
        </w:rPr>
        <w:t xml:space="preserve"> </w:t>
      </w:r>
      <w:r w:rsidRPr="00BE4A5F">
        <w:rPr>
          <w:color w:val="5F5F5F"/>
          <w:sz w:val="20"/>
          <w:szCs w:val="20"/>
        </w:rPr>
        <w:t xml:space="preserve">(namely initial grants of petroleum exploration permits and </w:t>
      </w:r>
      <w:r w:rsidR="00CD336B" w:rsidRPr="00BE4A5F">
        <w:rPr>
          <w:color w:val="5F5F5F"/>
          <w:sz w:val="20"/>
          <w:szCs w:val="20"/>
        </w:rPr>
        <w:t>greenhouse gas</w:t>
      </w:r>
      <w:r w:rsidRPr="00BE4A5F">
        <w:rPr>
          <w:color w:val="5F5F5F"/>
          <w:sz w:val="20"/>
          <w:szCs w:val="20"/>
        </w:rPr>
        <w:t xml:space="preserve"> assessment permits</w:t>
      </w:r>
      <w:r w:rsidR="004342A8" w:rsidRPr="00900938">
        <w:rPr>
          <w:sz w:val="16"/>
          <w:szCs w:val="16"/>
          <w:vertAlign w:val="superscript"/>
        </w:rPr>
        <w:footnoteReference w:id="3"/>
      </w:r>
      <w:r w:rsidRPr="00BE4A5F">
        <w:rPr>
          <w:color w:val="5F5F5F"/>
          <w:sz w:val="16"/>
          <w:szCs w:val="16"/>
        </w:rPr>
        <w:t xml:space="preserve">, </w:t>
      </w:r>
      <w:r w:rsidR="0038073E" w:rsidRPr="0038073E">
        <w:rPr>
          <w:color w:val="5F5F5F"/>
          <w:sz w:val="20"/>
          <w:szCs w:val="20"/>
        </w:rPr>
        <w:t xml:space="preserve">cash-bid petroleum production </w:t>
      </w:r>
      <w:proofErr w:type="spellStart"/>
      <w:r w:rsidR="0038073E" w:rsidRPr="0038073E">
        <w:rPr>
          <w:color w:val="5F5F5F"/>
          <w:sz w:val="20"/>
          <w:szCs w:val="20"/>
        </w:rPr>
        <w:t>licences</w:t>
      </w:r>
      <w:proofErr w:type="spellEnd"/>
      <w:r w:rsidR="0038073E" w:rsidRPr="0038073E">
        <w:rPr>
          <w:color w:val="5F5F5F"/>
          <w:sz w:val="20"/>
          <w:szCs w:val="20"/>
        </w:rPr>
        <w:t xml:space="preserve">, </w:t>
      </w:r>
      <w:r w:rsidRPr="00BE4A5F">
        <w:rPr>
          <w:color w:val="5F5F5F"/>
          <w:sz w:val="20"/>
          <w:szCs w:val="20"/>
        </w:rPr>
        <w:t xml:space="preserve">infrastructure </w:t>
      </w:r>
      <w:proofErr w:type="spellStart"/>
      <w:r w:rsidRPr="00BE4A5F">
        <w:rPr>
          <w:color w:val="5F5F5F"/>
          <w:sz w:val="20"/>
          <w:szCs w:val="20"/>
        </w:rPr>
        <w:t>licences</w:t>
      </w:r>
      <w:proofErr w:type="spellEnd"/>
      <w:r w:rsidRPr="00BE4A5F">
        <w:rPr>
          <w:color w:val="5F5F5F"/>
          <w:sz w:val="20"/>
          <w:szCs w:val="20"/>
        </w:rPr>
        <w:t xml:space="preserve">, pipeline </w:t>
      </w:r>
      <w:proofErr w:type="spellStart"/>
      <w:r w:rsidRPr="00BE4A5F">
        <w:rPr>
          <w:color w:val="5F5F5F"/>
          <w:sz w:val="20"/>
          <w:szCs w:val="20"/>
        </w:rPr>
        <w:t>licences</w:t>
      </w:r>
      <w:proofErr w:type="spellEnd"/>
      <w:r w:rsidR="004342A8" w:rsidRPr="00900938">
        <w:rPr>
          <w:sz w:val="16"/>
          <w:szCs w:val="16"/>
          <w:vertAlign w:val="superscript"/>
        </w:rPr>
        <w:footnoteReference w:id="4"/>
      </w:r>
      <w:r w:rsidRPr="00BE4A5F">
        <w:rPr>
          <w:color w:val="5F5F5F"/>
          <w:sz w:val="16"/>
          <w:szCs w:val="16"/>
        </w:rPr>
        <w:t>),</w:t>
      </w:r>
      <w:r w:rsidRPr="00BE4A5F">
        <w:rPr>
          <w:sz w:val="16"/>
          <w:szCs w:val="16"/>
        </w:rPr>
        <w:t xml:space="preserve"> </w:t>
      </w:r>
    </w:p>
    <w:p w14:paraId="39B51D6E" w14:textId="72734B04" w:rsidR="00191ED6" w:rsidRPr="00BE4A5F" w:rsidRDefault="00145881" w:rsidP="00193574">
      <w:pPr>
        <w:pStyle w:val="ListParagraph"/>
        <w:numPr>
          <w:ilvl w:val="0"/>
          <w:numId w:val="22"/>
        </w:numPr>
        <w:spacing w:before="0" w:after="120"/>
        <w:ind w:left="426" w:hanging="357"/>
        <w:rPr>
          <w:color w:val="5F5F5F"/>
          <w:sz w:val="20"/>
          <w:szCs w:val="20"/>
        </w:rPr>
      </w:pPr>
      <w:r w:rsidRPr="00BE4A5F">
        <w:rPr>
          <w:color w:val="5F5F5F"/>
          <w:sz w:val="20"/>
          <w:szCs w:val="20"/>
        </w:rPr>
        <w:t xml:space="preserve">transfer of titles (section 478 and 529), and </w:t>
      </w:r>
    </w:p>
    <w:p w14:paraId="09B1C5AD" w14:textId="64862D35" w:rsidR="009A4C00" w:rsidRPr="00BE4A5F" w:rsidRDefault="00145881" w:rsidP="00193574">
      <w:pPr>
        <w:pStyle w:val="ListParagraph"/>
        <w:numPr>
          <w:ilvl w:val="0"/>
          <w:numId w:val="22"/>
        </w:numPr>
        <w:spacing w:before="0" w:after="120"/>
        <w:ind w:left="426" w:hanging="357"/>
        <w:rPr>
          <w:color w:val="5F5F5F"/>
          <w:sz w:val="20"/>
          <w:szCs w:val="20"/>
        </w:rPr>
      </w:pPr>
      <w:r w:rsidRPr="00BE4A5F">
        <w:rPr>
          <w:color w:val="5F5F5F"/>
          <w:sz w:val="20"/>
          <w:szCs w:val="20"/>
        </w:rPr>
        <w:t xml:space="preserve">approval of a change </w:t>
      </w:r>
      <w:r w:rsidR="00BA096B" w:rsidRPr="00BE4A5F">
        <w:rPr>
          <w:color w:val="5F5F5F"/>
          <w:sz w:val="20"/>
          <w:szCs w:val="20"/>
        </w:rPr>
        <w:t xml:space="preserve">in </w:t>
      </w:r>
      <w:r w:rsidRPr="00BE4A5F">
        <w:rPr>
          <w:color w:val="5F5F5F"/>
          <w:sz w:val="20"/>
          <w:szCs w:val="20"/>
        </w:rPr>
        <w:t>control of a registered titleholder (section 566D).</w:t>
      </w:r>
    </w:p>
    <w:p w14:paraId="7FA78BEA" w14:textId="6929867C" w:rsidR="00145881" w:rsidRPr="00BE4A5F" w:rsidRDefault="009A4C00" w:rsidP="00193574">
      <w:pPr>
        <w:pStyle w:val="List2"/>
        <w:spacing w:after="120" w:line="240" w:lineRule="auto"/>
        <w:ind w:left="0" w:firstLine="0"/>
        <w:contextualSpacing w:val="0"/>
        <w:rPr>
          <w:rFonts w:asciiTheme="minorHAnsi" w:hAnsiTheme="minorHAnsi" w:cstheme="minorHAnsi"/>
          <w:color w:val="5F5F5F"/>
          <w:sz w:val="20"/>
          <w:szCs w:val="20"/>
        </w:rPr>
      </w:pPr>
      <w:r w:rsidRPr="00BE4A5F">
        <w:rPr>
          <w:rFonts w:asciiTheme="minorHAnsi" w:hAnsiTheme="minorHAnsi" w:cstheme="minorHAnsi"/>
          <w:color w:val="5F5F5F"/>
          <w:sz w:val="20"/>
          <w:szCs w:val="20"/>
        </w:rPr>
        <w:t>(</w:t>
      </w:r>
      <w:r w:rsidR="00191ED6" w:rsidRPr="00BE4A5F">
        <w:rPr>
          <w:rFonts w:asciiTheme="minorHAnsi" w:hAnsiTheme="minorHAnsi" w:cstheme="minorHAnsi"/>
          <w:color w:val="5F5F5F"/>
          <w:sz w:val="20"/>
          <w:szCs w:val="20"/>
        </w:rPr>
        <w:t>These are collectively referred to as ‘relevant</w:t>
      </w:r>
      <w:r w:rsidRPr="00BE4A5F">
        <w:rPr>
          <w:rFonts w:asciiTheme="minorHAnsi" w:hAnsiTheme="minorHAnsi" w:cstheme="minorHAnsi"/>
          <w:color w:val="5F5F5F"/>
          <w:sz w:val="20"/>
          <w:szCs w:val="20"/>
        </w:rPr>
        <w:t xml:space="preserve"> </w:t>
      </w:r>
      <w:r w:rsidR="00191ED6" w:rsidRPr="00BE4A5F">
        <w:rPr>
          <w:rFonts w:asciiTheme="minorHAnsi" w:hAnsiTheme="minorHAnsi" w:cstheme="minorHAnsi"/>
          <w:color w:val="5F5F5F"/>
          <w:sz w:val="20"/>
          <w:szCs w:val="20"/>
        </w:rPr>
        <w:t>applications’ in this FAQ</w:t>
      </w:r>
      <w:r w:rsidRPr="00BE4A5F">
        <w:rPr>
          <w:rFonts w:asciiTheme="minorHAnsi" w:hAnsiTheme="minorHAnsi" w:cstheme="minorHAnsi"/>
          <w:color w:val="5F5F5F"/>
          <w:sz w:val="20"/>
          <w:szCs w:val="20"/>
        </w:rPr>
        <w:t>)</w:t>
      </w:r>
      <w:r w:rsidR="007E0431">
        <w:rPr>
          <w:rFonts w:asciiTheme="minorHAnsi" w:hAnsiTheme="minorHAnsi" w:cstheme="minorHAnsi"/>
          <w:color w:val="5F5F5F"/>
          <w:sz w:val="20"/>
          <w:szCs w:val="20"/>
        </w:rPr>
        <w:t>.</w:t>
      </w:r>
    </w:p>
    <w:p w14:paraId="05AD767B" w14:textId="77777777" w:rsidR="00EF26A6" w:rsidRDefault="00EF26A6" w:rsidP="00193574">
      <w:pPr>
        <w:spacing w:after="120"/>
        <w:rPr>
          <w:color w:val="5F5F5F"/>
          <w:sz w:val="20"/>
          <w:szCs w:val="20"/>
        </w:rPr>
      </w:pPr>
      <w:r>
        <w:rPr>
          <w:color w:val="5F5F5F"/>
          <w:sz w:val="20"/>
          <w:szCs w:val="20"/>
        </w:rPr>
        <w:t>Applicants or other persons (as relevant)</w:t>
      </w:r>
      <w:r w:rsidRPr="4578D0E9">
        <w:rPr>
          <w:color w:val="5F5F5F"/>
          <w:sz w:val="20"/>
          <w:szCs w:val="20"/>
        </w:rPr>
        <w:t xml:space="preserve"> are required to provide disclosures relating to past conduct relevant to </w:t>
      </w:r>
      <w:r>
        <w:rPr>
          <w:color w:val="5F5F5F"/>
          <w:sz w:val="20"/>
          <w:szCs w:val="20"/>
        </w:rPr>
        <w:t>the applicant or other person (as relevant).</w:t>
      </w:r>
    </w:p>
    <w:p w14:paraId="6E02C304" w14:textId="25EFE810" w:rsidR="00EF26A6" w:rsidRDefault="00EF26A6" w:rsidP="00193574">
      <w:pPr>
        <w:spacing w:after="120"/>
        <w:rPr>
          <w:color w:val="5F5F5F"/>
          <w:sz w:val="20"/>
          <w:szCs w:val="20"/>
        </w:rPr>
      </w:pPr>
      <w:r>
        <w:rPr>
          <w:color w:val="5F5F5F"/>
          <w:sz w:val="20"/>
          <w:szCs w:val="20"/>
        </w:rPr>
        <w:t xml:space="preserve">‘Other persons’ may be transferees (where the title is being transferred – see sections 478 and 529) or entities who will begin to control the registered holder’s petroleum </w:t>
      </w:r>
      <w:r w:rsidRPr="4578D0E9">
        <w:rPr>
          <w:color w:val="5F5F5F"/>
          <w:sz w:val="20"/>
          <w:szCs w:val="20"/>
        </w:rPr>
        <w:t>or GHG storage operations</w:t>
      </w:r>
      <w:r>
        <w:rPr>
          <w:color w:val="5F5F5F"/>
          <w:sz w:val="20"/>
          <w:szCs w:val="20"/>
        </w:rPr>
        <w:t xml:space="preserve"> (where there is a change in company control – see section 566D).</w:t>
      </w:r>
    </w:p>
    <w:p w14:paraId="70DB39FF" w14:textId="5179B547" w:rsidR="00EF26A6" w:rsidRDefault="00EF26A6" w:rsidP="00193574">
      <w:pPr>
        <w:pStyle w:val="Heading2"/>
        <w:keepLines/>
        <w:spacing w:before="0"/>
        <w:ind w:left="0"/>
        <w:rPr>
          <w:b w:val="0"/>
          <w:bCs w:val="0"/>
          <w:color w:val="5F5F5F"/>
          <w:sz w:val="20"/>
          <w:szCs w:val="20"/>
        </w:rPr>
      </w:pPr>
      <w:r w:rsidRPr="00A02312">
        <w:rPr>
          <w:b w:val="0"/>
          <w:bCs w:val="0"/>
          <w:color w:val="5F5F5F"/>
          <w:sz w:val="20"/>
          <w:szCs w:val="20"/>
        </w:rPr>
        <w:t>A declaration is used to provide information</w:t>
      </w:r>
      <w:r>
        <w:rPr>
          <w:b w:val="0"/>
          <w:bCs w:val="0"/>
          <w:color w:val="5F5F5F"/>
          <w:sz w:val="20"/>
          <w:szCs w:val="20"/>
        </w:rPr>
        <w:t xml:space="preserve"> against the provisions on s695YB and other relevant matters, for the decision maker to use in their assessment.</w:t>
      </w:r>
      <w:r w:rsidR="008D1792">
        <w:rPr>
          <w:b w:val="0"/>
          <w:bCs w:val="0"/>
          <w:color w:val="5F5F5F"/>
          <w:sz w:val="20"/>
          <w:szCs w:val="20"/>
        </w:rPr>
        <w:t xml:space="preserve"> </w:t>
      </w:r>
    </w:p>
    <w:p w14:paraId="2F6743C6" w14:textId="41EED7E1" w:rsidR="00B166B8" w:rsidRPr="00193574" w:rsidRDefault="00B166B8" w:rsidP="00193574">
      <w:pPr>
        <w:spacing w:before="120" w:after="120"/>
        <w:rPr>
          <w:color w:val="5F5F5F"/>
          <w:sz w:val="20"/>
          <w:szCs w:val="20"/>
        </w:rPr>
      </w:pPr>
      <w:r w:rsidRPr="00193574">
        <w:rPr>
          <w:color w:val="5F5F5F"/>
          <w:sz w:val="20"/>
          <w:szCs w:val="20"/>
        </w:rPr>
        <w:t xml:space="preserve">Section 695YC requires that NOPTA and the National Offshore Petroleum Safety and Environmental Management Authority (NOPSEMA) are notified of </w:t>
      </w:r>
      <w:r w:rsidR="00604145" w:rsidRPr="00193574">
        <w:rPr>
          <w:color w:val="5F5F5F"/>
          <w:sz w:val="20"/>
          <w:szCs w:val="20"/>
        </w:rPr>
        <w:t xml:space="preserve">certain </w:t>
      </w:r>
      <w:r w:rsidRPr="00193574">
        <w:rPr>
          <w:color w:val="5F5F5F"/>
          <w:sz w:val="20"/>
          <w:szCs w:val="20"/>
        </w:rPr>
        <w:t>events (change</w:t>
      </w:r>
      <w:r w:rsidRPr="008D1792">
        <w:t xml:space="preserve"> </w:t>
      </w:r>
      <w:r w:rsidRPr="00193574">
        <w:rPr>
          <w:color w:val="5F5F5F"/>
          <w:sz w:val="20"/>
          <w:szCs w:val="20"/>
        </w:rPr>
        <w:t>of circumstance).</w:t>
      </w:r>
    </w:p>
    <w:p w14:paraId="727A183A" w14:textId="77777777" w:rsidR="00FB41BA" w:rsidRPr="00FB41BA" w:rsidRDefault="00BA5E9A" w:rsidP="00193574">
      <w:pPr>
        <w:rPr>
          <w:b/>
          <w:bCs/>
          <w:i/>
          <w:iCs/>
          <w:color w:val="27629B"/>
          <w:sz w:val="8"/>
          <w:szCs w:val="8"/>
          <w:u w:color="000000"/>
        </w:rPr>
      </w:pPr>
      <w:r w:rsidRPr="00BA5E9A">
        <w:rPr>
          <w:b/>
          <w:bCs/>
          <w:color w:val="27629B"/>
          <w:sz w:val="24"/>
          <w:szCs w:val="24"/>
        </w:rPr>
        <w:t xml:space="preserve">Questions </w:t>
      </w:r>
      <w:r w:rsidR="001E2705">
        <w:rPr>
          <w:color w:val="27629B"/>
        </w:rPr>
        <w:br/>
      </w:r>
    </w:p>
    <w:p w14:paraId="1F311A7C" w14:textId="449DBD75" w:rsidR="00BA5E9A" w:rsidRPr="004A6374" w:rsidRDefault="00BA5E9A" w:rsidP="00193574">
      <w:pPr>
        <w:rPr>
          <w:rFonts w:eastAsiaTheme="majorEastAsia" w:cstheme="minorHAnsi"/>
          <w:b/>
          <w:color w:val="27639B"/>
          <w:sz w:val="24"/>
          <w:lang w:eastAsia="en-AU"/>
        </w:rPr>
      </w:pPr>
      <w:r w:rsidRPr="00BA5E9A">
        <w:rPr>
          <w:b/>
          <w:bCs/>
          <w:i/>
          <w:iCs/>
          <w:color w:val="27629B"/>
          <w:sz w:val="20"/>
          <w:szCs w:val="20"/>
          <w:u w:color="000000"/>
        </w:rPr>
        <w:t xml:space="preserve">Is there a requirement for existing titleholders to </w:t>
      </w:r>
      <w:r>
        <w:rPr>
          <w:b/>
          <w:bCs/>
          <w:i/>
          <w:iCs/>
          <w:color w:val="27629B"/>
          <w:sz w:val="20"/>
          <w:szCs w:val="20"/>
          <w:u w:color="000000"/>
        </w:rPr>
        <w:t>submit</w:t>
      </w:r>
      <w:r w:rsidRPr="00BA5E9A">
        <w:rPr>
          <w:b/>
          <w:bCs/>
          <w:i/>
          <w:iCs/>
          <w:color w:val="27629B"/>
          <w:sz w:val="20"/>
          <w:szCs w:val="20"/>
          <w:u w:color="000000"/>
        </w:rPr>
        <w:t xml:space="preserve"> a declaration on commencement of the Offshore Petroleum and Greenhouse Gas Storage </w:t>
      </w:r>
      <w:r>
        <w:rPr>
          <w:b/>
          <w:bCs/>
          <w:i/>
          <w:iCs/>
          <w:color w:val="27629B"/>
          <w:sz w:val="20"/>
          <w:szCs w:val="20"/>
          <w:u w:color="000000"/>
        </w:rPr>
        <w:t xml:space="preserve">Amendment </w:t>
      </w:r>
      <w:r w:rsidRPr="00BA5E9A">
        <w:rPr>
          <w:b/>
          <w:bCs/>
          <w:i/>
          <w:iCs/>
          <w:color w:val="27629B"/>
          <w:sz w:val="20"/>
          <w:szCs w:val="20"/>
          <w:u w:color="000000"/>
        </w:rPr>
        <w:t>(Titles Administration and Other Measures) Act 2021</w:t>
      </w:r>
      <w:r>
        <w:rPr>
          <w:b/>
          <w:bCs/>
          <w:i/>
          <w:iCs/>
          <w:color w:val="27629B"/>
          <w:sz w:val="20"/>
          <w:szCs w:val="20"/>
          <w:u w:color="000000"/>
        </w:rPr>
        <w:t xml:space="preserve"> (OPGGSA Amendment Act)</w:t>
      </w:r>
      <w:r w:rsidRPr="00BA5E9A">
        <w:rPr>
          <w:b/>
          <w:bCs/>
          <w:i/>
          <w:iCs/>
          <w:color w:val="27629B"/>
          <w:sz w:val="20"/>
          <w:szCs w:val="20"/>
          <w:u w:color="000000"/>
        </w:rPr>
        <w:t>?</w:t>
      </w:r>
    </w:p>
    <w:p w14:paraId="6DA24089" w14:textId="15D8E69F" w:rsidR="006A4E75" w:rsidRDefault="00191ED6" w:rsidP="00193574">
      <w:pPr>
        <w:spacing w:before="120" w:after="120"/>
        <w:rPr>
          <w:color w:val="5F5F5F"/>
          <w:sz w:val="20"/>
          <w:szCs w:val="20"/>
        </w:rPr>
      </w:pPr>
      <w:bookmarkStart w:id="5" w:name="_Hlk85190298"/>
      <w:r>
        <w:rPr>
          <w:color w:val="5F5F5F"/>
          <w:sz w:val="20"/>
          <w:szCs w:val="20"/>
        </w:rPr>
        <w:t xml:space="preserve">No. </w:t>
      </w:r>
      <w:r w:rsidR="00BA5E9A">
        <w:rPr>
          <w:color w:val="5F5F5F"/>
          <w:sz w:val="20"/>
          <w:szCs w:val="20"/>
        </w:rPr>
        <w:t>F</w:t>
      </w:r>
      <w:r w:rsidR="00BA5E9A" w:rsidRPr="00BA5E9A">
        <w:rPr>
          <w:color w:val="5F5F5F"/>
          <w:sz w:val="20"/>
          <w:szCs w:val="20"/>
        </w:rPr>
        <w:t>rom 2 March 2022</w:t>
      </w:r>
      <w:r w:rsidR="00BA5E9A">
        <w:rPr>
          <w:color w:val="5F5F5F"/>
          <w:sz w:val="20"/>
          <w:szCs w:val="20"/>
        </w:rPr>
        <w:t>,</w:t>
      </w:r>
      <w:r w:rsidR="00BA5E9A" w:rsidRPr="00BA5E9A">
        <w:rPr>
          <w:color w:val="5F5F5F"/>
          <w:sz w:val="20"/>
          <w:szCs w:val="20"/>
        </w:rPr>
        <w:t xml:space="preserve"> </w:t>
      </w:r>
      <w:r w:rsidR="00BA5E9A">
        <w:rPr>
          <w:color w:val="5F5F5F"/>
          <w:sz w:val="20"/>
          <w:szCs w:val="20"/>
        </w:rPr>
        <w:t>d</w:t>
      </w:r>
      <w:r w:rsidR="00BA5E9A" w:rsidRPr="00BA5E9A">
        <w:rPr>
          <w:color w:val="5F5F5F"/>
          <w:sz w:val="20"/>
          <w:szCs w:val="20"/>
        </w:rPr>
        <w:t xml:space="preserve">eclarations will be required to be submitted </w:t>
      </w:r>
      <w:r w:rsidR="00BA5E9A" w:rsidRPr="00BE4A5F">
        <w:rPr>
          <w:color w:val="5F5F5F"/>
          <w:sz w:val="20"/>
          <w:szCs w:val="20"/>
          <w:u w:val="single"/>
        </w:rPr>
        <w:t xml:space="preserve">at the time of making </w:t>
      </w:r>
      <w:r w:rsidR="00766C4C" w:rsidRPr="00BE4A5F">
        <w:rPr>
          <w:color w:val="5F5F5F"/>
          <w:sz w:val="20"/>
          <w:szCs w:val="20"/>
          <w:u w:val="single"/>
        </w:rPr>
        <w:t xml:space="preserve">a </w:t>
      </w:r>
      <w:r w:rsidR="00BA5E9A" w:rsidRPr="00BE4A5F">
        <w:rPr>
          <w:color w:val="5F5F5F"/>
          <w:sz w:val="20"/>
          <w:szCs w:val="20"/>
          <w:u w:val="single"/>
        </w:rPr>
        <w:t>relevant application</w:t>
      </w:r>
      <w:r w:rsidR="00BA5E9A">
        <w:rPr>
          <w:color w:val="5F5F5F"/>
          <w:sz w:val="20"/>
          <w:szCs w:val="20"/>
        </w:rPr>
        <w:t xml:space="preserve">. </w:t>
      </w:r>
    </w:p>
    <w:p w14:paraId="459F24FD" w14:textId="2BA8BBBB" w:rsidR="00BA5E9A" w:rsidRPr="00BA5E9A" w:rsidRDefault="00534B3F" w:rsidP="00193574">
      <w:pPr>
        <w:spacing w:after="120"/>
        <w:rPr>
          <w:color w:val="5F5F5F"/>
          <w:sz w:val="20"/>
          <w:szCs w:val="20"/>
        </w:rPr>
      </w:pPr>
      <w:bookmarkStart w:id="6" w:name="_Hlk85625726"/>
      <w:r>
        <w:rPr>
          <w:color w:val="5F5F5F"/>
          <w:sz w:val="20"/>
          <w:szCs w:val="20"/>
        </w:rPr>
        <w:t xml:space="preserve">The exception </w:t>
      </w:r>
      <w:r w:rsidR="006A4E75">
        <w:rPr>
          <w:color w:val="5F5F5F"/>
          <w:sz w:val="20"/>
          <w:szCs w:val="20"/>
        </w:rPr>
        <w:t xml:space="preserve">is the 2021 petroleum acreage release round </w:t>
      </w:r>
      <w:proofErr w:type="spellStart"/>
      <w:r w:rsidR="006A4E75">
        <w:rPr>
          <w:color w:val="5F5F5F"/>
          <w:sz w:val="20"/>
          <w:szCs w:val="20"/>
        </w:rPr>
        <w:t>gazetted</w:t>
      </w:r>
      <w:proofErr w:type="spellEnd"/>
      <w:r w:rsidR="006A4E75">
        <w:rPr>
          <w:color w:val="5F5F5F"/>
          <w:sz w:val="20"/>
          <w:szCs w:val="20"/>
        </w:rPr>
        <w:t xml:space="preserve"> in 2021 and closing on 3 March 202</w:t>
      </w:r>
      <w:r w:rsidR="004918C1">
        <w:rPr>
          <w:color w:val="5F5F5F"/>
          <w:sz w:val="20"/>
          <w:szCs w:val="20"/>
        </w:rPr>
        <w:t>2</w:t>
      </w:r>
      <w:r w:rsidR="006A4E75">
        <w:rPr>
          <w:color w:val="5F5F5F"/>
          <w:sz w:val="20"/>
          <w:szCs w:val="20"/>
        </w:rPr>
        <w:t xml:space="preserve">. </w:t>
      </w:r>
      <w:r w:rsidR="00A23390">
        <w:rPr>
          <w:color w:val="5F5F5F"/>
          <w:sz w:val="20"/>
          <w:szCs w:val="20"/>
        </w:rPr>
        <w:t>Submission requirements and assessment criteria for t</w:t>
      </w:r>
      <w:r w:rsidR="006A4E75">
        <w:rPr>
          <w:color w:val="5F5F5F"/>
          <w:sz w:val="20"/>
          <w:szCs w:val="20"/>
        </w:rPr>
        <w:t>his round will be in accordance with the gazettal notice and the legislation</w:t>
      </w:r>
      <w:r w:rsidR="00A23390">
        <w:rPr>
          <w:color w:val="5F5F5F"/>
          <w:sz w:val="20"/>
          <w:szCs w:val="20"/>
        </w:rPr>
        <w:t xml:space="preserve"> </w:t>
      </w:r>
      <w:r w:rsidR="00752C93">
        <w:rPr>
          <w:color w:val="5F5F5F"/>
          <w:sz w:val="20"/>
          <w:szCs w:val="20"/>
        </w:rPr>
        <w:t xml:space="preserve">that was </w:t>
      </w:r>
      <w:r w:rsidR="00A23390">
        <w:rPr>
          <w:color w:val="5F5F5F"/>
          <w:sz w:val="20"/>
          <w:szCs w:val="20"/>
        </w:rPr>
        <w:t xml:space="preserve">in force </w:t>
      </w:r>
      <w:r w:rsidR="006A4E75">
        <w:rPr>
          <w:color w:val="5F5F5F"/>
          <w:sz w:val="20"/>
          <w:szCs w:val="20"/>
        </w:rPr>
        <w:t>prior to 2 March 2022</w:t>
      </w:r>
      <w:r w:rsidR="008E41D5">
        <w:rPr>
          <w:rStyle w:val="FootnoteReference"/>
          <w:color w:val="5F5F5F"/>
          <w:sz w:val="20"/>
          <w:szCs w:val="20"/>
        </w:rPr>
        <w:footnoteReference w:id="5"/>
      </w:r>
      <w:r w:rsidR="006A4E75">
        <w:rPr>
          <w:color w:val="5F5F5F"/>
          <w:sz w:val="20"/>
          <w:szCs w:val="20"/>
        </w:rPr>
        <w:t>.</w:t>
      </w:r>
      <w:r w:rsidR="00A23390">
        <w:rPr>
          <w:color w:val="5F5F5F"/>
          <w:sz w:val="20"/>
          <w:szCs w:val="20"/>
        </w:rPr>
        <w:t xml:space="preserve"> That is, bids for the 2021 release round </w:t>
      </w:r>
      <w:r w:rsidR="00191ED6">
        <w:rPr>
          <w:color w:val="5F5F5F"/>
          <w:sz w:val="20"/>
          <w:szCs w:val="20"/>
        </w:rPr>
        <w:t xml:space="preserve">will not </w:t>
      </w:r>
      <w:r w:rsidR="00A23390">
        <w:rPr>
          <w:color w:val="5F5F5F"/>
          <w:sz w:val="20"/>
          <w:szCs w:val="20"/>
        </w:rPr>
        <w:t xml:space="preserve">require </w:t>
      </w:r>
      <w:r w:rsidR="00191ED6">
        <w:rPr>
          <w:color w:val="5F5F5F"/>
          <w:sz w:val="20"/>
          <w:szCs w:val="20"/>
        </w:rPr>
        <w:t xml:space="preserve">submission of </w:t>
      </w:r>
      <w:r w:rsidR="00A23390">
        <w:rPr>
          <w:color w:val="5F5F5F"/>
          <w:sz w:val="20"/>
          <w:szCs w:val="20"/>
        </w:rPr>
        <w:t>a declaration.</w:t>
      </w:r>
    </w:p>
    <w:bookmarkEnd w:id="5"/>
    <w:bookmarkEnd w:id="6"/>
    <w:p w14:paraId="363F1949" w14:textId="419877F4" w:rsidR="00BA5E9A" w:rsidRPr="00BA5E9A" w:rsidRDefault="00BA5E9A" w:rsidP="00193574">
      <w:pPr>
        <w:rPr>
          <w:b/>
          <w:bCs/>
          <w:i/>
          <w:iCs/>
          <w:color w:val="27629B"/>
          <w:sz w:val="20"/>
          <w:szCs w:val="20"/>
          <w:u w:color="000000"/>
        </w:rPr>
      </w:pPr>
      <w:r w:rsidRPr="00BA5E9A">
        <w:rPr>
          <w:b/>
          <w:bCs/>
          <w:i/>
          <w:iCs/>
          <w:color w:val="27629B"/>
          <w:sz w:val="20"/>
          <w:szCs w:val="20"/>
          <w:u w:color="000000"/>
        </w:rPr>
        <w:t xml:space="preserve">Do I need to submit a declaration for applications submitted to NOPTA prior to the commencement of the </w:t>
      </w:r>
      <w:r>
        <w:rPr>
          <w:b/>
          <w:bCs/>
          <w:i/>
          <w:iCs/>
          <w:color w:val="27629B"/>
          <w:sz w:val="20"/>
          <w:szCs w:val="20"/>
          <w:u w:color="000000"/>
        </w:rPr>
        <w:t>OPGGSA Amendment Act?</w:t>
      </w:r>
    </w:p>
    <w:p w14:paraId="04D45138" w14:textId="37CB5B73" w:rsidR="00BA5E9A" w:rsidRPr="00BA5E9A" w:rsidRDefault="00191ED6" w:rsidP="00193574">
      <w:pPr>
        <w:spacing w:before="120" w:after="120"/>
        <w:rPr>
          <w:color w:val="5F5F5F"/>
          <w:sz w:val="20"/>
          <w:szCs w:val="20"/>
        </w:rPr>
      </w:pPr>
      <w:r>
        <w:rPr>
          <w:color w:val="5F5F5F"/>
          <w:sz w:val="20"/>
          <w:szCs w:val="20"/>
        </w:rPr>
        <w:t xml:space="preserve">No. </w:t>
      </w:r>
      <w:r w:rsidR="00BA5E9A">
        <w:rPr>
          <w:color w:val="5F5F5F"/>
          <w:sz w:val="20"/>
          <w:szCs w:val="20"/>
        </w:rPr>
        <w:t>F</w:t>
      </w:r>
      <w:r w:rsidR="00BA5E9A" w:rsidRPr="00BA5E9A">
        <w:rPr>
          <w:color w:val="5F5F5F"/>
          <w:sz w:val="20"/>
          <w:szCs w:val="20"/>
        </w:rPr>
        <w:t>rom 2 March 2022</w:t>
      </w:r>
      <w:r w:rsidR="00BA5E9A">
        <w:rPr>
          <w:color w:val="5F5F5F"/>
          <w:sz w:val="20"/>
          <w:szCs w:val="20"/>
        </w:rPr>
        <w:t>,</w:t>
      </w:r>
      <w:r w:rsidR="00BA5E9A" w:rsidRPr="00BA5E9A">
        <w:rPr>
          <w:color w:val="5F5F5F"/>
          <w:sz w:val="20"/>
          <w:szCs w:val="20"/>
        </w:rPr>
        <w:t xml:space="preserve"> </w:t>
      </w:r>
      <w:r w:rsidR="00BA5E9A">
        <w:rPr>
          <w:color w:val="5F5F5F"/>
          <w:sz w:val="20"/>
          <w:szCs w:val="20"/>
        </w:rPr>
        <w:t>d</w:t>
      </w:r>
      <w:r w:rsidR="00BA5E9A" w:rsidRPr="00BA5E9A">
        <w:rPr>
          <w:color w:val="5F5F5F"/>
          <w:sz w:val="20"/>
          <w:szCs w:val="20"/>
        </w:rPr>
        <w:t xml:space="preserve">eclarations will be required to be submitted at the time of making </w:t>
      </w:r>
      <w:r w:rsidR="00766C4C">
        <w:rPr>
          <w:color w:val="5F5F5F"/>
          <w:sz w:val="20"/>
          <w:szCs w:val="20"/>
        </w:rPr>
        <w:t xml:space="preserve">a </w:t>
      </w:r>
      <w:r w:rsidR="00BA5E9A" w:rsidRPr="00BA5E9A">
        <w:rPr>
          <w:color w:val="5F5F5F"/>
          <w:sz w:val="20"/>
          <w:szCs w:val="20"/>
        </w:rPr>
        <w:t>relevant application</w:t>
      </w:r>
      <w:r w:rsidR="00BA5E9A">
        <w:rPr>
          <w:color w:val="5F5F5F"/>
          <w:sz w:val="20"/>
          <w:szCs w:val="20"/>
        </w:rPr>
        <w:t xml:space="preserve">. </w:t>
      </w:r>
      <w:r w:rsidR="00766C4C">
        <w:rPr>
          <w:color w:val="5F5F5F"/>
          <w:sz w:val="20"/>
          <w:szCs w:val="20"/>
        </w:rPr>
        <w:t xml:space="preserve">Applications submitted prior to 2 March 2022 will be assessed and decisions will be made under the legislation </w:t>
      </w:r>
      <w:r w:rsidR="00DC7A3A">
        <w:rPr>
          <w:color w:val="5F5F5F"/>
          <w:sz w:val="20"/>
          <w:szCs w:val="20"/>
        </w:rPr>
        <w:t>that was in force</w:t>
      </w:r>
      <w:r w:rsidR="00766C4C">
        <w:rPr>
          <w:color w:val="5F5F5F"/>
          <w:sz w:val="20"/>
          <w:szCs w:val="20"/>
        </w:rPr>
        <w:t xml:space="preserve"> at the time of submission.</w:t>
      </w:r>
    </w:p>
    <w:p w14:paraId="47BFDF07" w14:textId="2081C61C" w:rsidR="00B166B8" w:rsidRDefault="00B166B8" w:rsidP="00193574">
      <w:pPr>
        <w:rPr>
          <w:b/>
          <w:bCs/>
          <w:i/>
          <w:iCs/>
          <w:color w:val="27629B"/>
          <w:sz w:val="20"/>
          <w:szCs w:val="20"/>
          <w:u w:color="000000"/>
        </w:rPr>
      </w:pPr>
      <w:r>
        <w:rPr>
          <w:b/>
          <w:bCs/>
          <w:i/>
          <w:iCs/>
          <w:color w:val="27629B"/>
          <w:sz w:val="20"/>
          <w:szCs w:val="20"/>
          <w:u w:color="000000"/>
        </w:rPr>
        <w:t xml:space="preserve">Are </w:t>
      </w:r>
      <w:r w:rsidR="00EE163B">
        <w:rPr>
          <w:b/>
          <w:bCs/>
          <w:i/>
          <w:iCs/>
          <w:color w:val="27629B"/>
          <w:sz w:val="20"/>
          <w:szCs w:val="20"/>
          <w:u w:color="000000"/>
        </w:rPr>
        <w:t>declarations</w:t>
      </w:r>
      <w:r>
        <w:rPr>
          <w:b/>
          <w:bCs/>
          <w:i/>
          <w:iCs/>
          <w:color w:val="27629B"/>
          <w:sz w:val="20"/>
          <w:szCs w:val="20"/>
          <w:u w:color="000000"/>
        </w:rPr>
        <w:t xml:space="preserve"> </w:t>
      </w:r>
      <w:r w:rsidR="00887952">
        <w:rPr>
          <w:b/>
          <w:bCs/>
          <w:i/>
          <w:iCs/>
          <w:color w:val="27629B"/>
          <w:sz w:val="20"/>
          <w:szCs w:val="20"/>
          <w:u w:color="000000"/>
        </w:rPr>
        <w:t xml:space="preserve">made on a </w:t>
      </w:r>
      <w:r>
        <w:rPr>
          <w:b/>
          <w:bCs/>
          <w:i/>
          <w:iCs/>
          <w:color w:val="27629B"/>
          <w:sz w:val="20"/>
          <w:szCs w:val="20"/>
          <w:u w:color="000000"/>
        </w:rPr>
        <w:t xml:space="preserve">per company </w:t>
      </w:r>
      <w:r w:rsidR="00887952">
        <w:rPr>
          <w:b/>
          <w:bCs/>
          <w:i/>
          <w:iCs/>
          <w:color w:val="27629B"/>
          <w:sz w:val="20"/>
          <w:szCs w:val="20"/>
          <w:u w:color="000000"/>
        </w:rPr>
        <w:t xml:space="preserve">basis </w:t>
      </w:r>
      <w:r>
        <w:rPr>
          <w:b/>
          <w:bCs/>
          <w:i/>
          <w:iCs/>
          <w:color w:val="27629B"/>
          <w:sz w:val="20"/>
          <w:szCs w:val="20"/>
          <w:u w:color="000000"/>
        </w:rPr>
        <w:t xml:space="preserve">or </w:t>
      </w:r>
      <w:r w:rsidR="00887952">
        <w:rPr>
          <w:b/>
          <w:bCs/>
          <w:i/>
          <w:iCs/>
          <w:color w:val="27629B"/>
          <w:sz w:val="20"/>
          <w:szCs w:val="20"/>
          <w:u w:color="000000"/>
        </w:rPr>
        <w:t xml:space="preserve">per </w:t>
      </w:r>
      <w:r>
        <w:rPr>
          <w:b/>
          <w:bCs/>
          <w:i/>
          <w:iCs/>
          <w:color w:val="27629B"/>
          <w:sz w:val="20"/>
          <w:szCs w:val="20"/>
          <w:u w:color="000000"/>
        </w:rPr>
        <w:t>title?</w:t>
      </w:r>
    </w:p>
    <w:p w14:paraId="7C335D16" w14:textId="77777777" w:rsidR="00B166B8" w:rsidRDefault="00B166B8" w:rsidP="00193574">
      <w:pPr>
        <w:spacing w:before="120"/>
        <w:rPr>
          <w:color w:val="5F5F5F"/>
          <w:sz w:val="20"/>
          <w:szCs w:val="20"/>
        </w:rPr>
      </w:pPr>
      <w:r w:rsidRPr="00B166B8">
        <w:rPr>
          <w:color w:val="5F5F5F"/>
          <w:sz w:val="20"/>
          <w:szCs w:val="20"/>
        </w:rPr>
        <w:t xml:space="preserve">Declarations are made </w:t>
      </w:r>
      <w:r>
        <w:rPr>
          <w:color w:val="5F5F5F"/>
          <w:sz w:val="20"/>
          <w:szCs w:val="20"/>
        </w:rPr>
        <w:t>for each</w:t>
      </w:r>
      <w:r w:rsidRPr="00B166B8">
        <w:rPr>
          <w:color w:val="5F5F5F"/>
          <w:sz w:val="20"/>
          <w:szCs w:val="20"/>
        </w:rPr>
        <w:t xml:space="preserve"> company</w:t>
      </w:r>
      <w:r>
        <w:rPr>
          <w:color w:val="5F5F5F"/>
          <w:sz w:val="20"/>
          <w:szCs w:val="20"/>
        </w:rPr>
        <w:t xml:space="preserve">, rather than title. </w:t>
      </w:r>
    </w:p>
    <w:p w14:paraId="077FDBC1" w14:textId="19EB8423" w:rsidR="00766C4C" w:rsidRPr="00766C4C" w:rsidRDefault="00766C4C" w:rsidP="00193574">
      <w:pPr>
        <w:spacing w:before="120" w:after="120"/>
        <w:rPr>
          <w:b/>
          <w:bCs/>
          <w:i/>
          <w:iCs/>
          <w:color w:val="27629B"/>
          <w:sz w:val="20"/>
          <w:szCs w:val="20"/>
          <w:u w:color="000000"/>
        </w:rPr>
      </w:pPr>
      <w:r>
        <w:rPr>
          <w:b/>
          <w:bCs/>
          <w:i/>
          <w:iCs/>
          <w:color w:val="27629B"/>
          <w:sz w:val="20"/>
          <w:szCs w:val="20"/>
          <w:u w:color="000000"/>
        </w:rPr>
        <w:t>W</w:t>
      </w:r>
      <w:r w:rsidRPr="00766C4C">
        <w:rPr>
          <w:b/>
          <w:bCs/>
          <w:i/>
          <w:iCs/>
          <w:color w:val="27629B"/>
          <w:sz w:val="20"/>
          <w:szCs w:val="20"/>
          <w:u w:color="000000"/>
        </w:rPr>
        <w:t>ho is required to submit a declaration?</w:t>
      </w:r>
    </w:p>
    <w:p w14:paraId="73185174" w14:textId="77777777" w:rsidR="00EE163B" w:rsidRPr="00EB07CD" w:rsidRDefault="00EE163B" w:rsidP="00193574">
      <w:pPr>
        <w:spacing w:after="120"/>
        <w:rPr>
          <w:color w:val="5F5F5F"/>
          <w:sz w:val="20"/>
          <w:szCs w:val="20"/>
        </w:rPr>
      </w:pPr>
      <w:r w:rsidRPr="00EB07CD">
        <w:rPr>
          <w:color w:val="5F5F5F"/>
          <w:sz w:val="20"/>
          <w:szCs w:val="20"/>
        </w:rPr>
        <w:t>The persons who will be subject to a</w:t>
      </w:r>
      <w:r>
        <w:rPr>
          <w:color w:val="5F5F5F"/>
          <w:sz w:val="20"/>
          <w:szCs w:val="20"/>
        </w:rPr>
        <w:t>n experience and</w:t>
      </w:r>
      <w:r w:rsidRPr="00EB07CD">
        <w:rPr>
          <w:color w:val="5F5F5F"/>
          <w:sz w:val="20"/>
          <w:szCs w:val="20"/>
        </w:rPr>
        <w:t xml:space="preserve"> disclosure assessment will include:</w:t>
      </w:r>
    </w:p>
    <w:p w14:paraId="06F9D052" w14:textId="77777777" w:rsidR="00EE163B" w:rsidRDefault="00EE163B" w:rsidP="00193574">
      <w:pPr>
        <w:pStyle w:val="ListParagraph"/>
        <w:numPr>
          <w:ilvl w:val="0"/>
          <w:numId w:val="22"/>
        </w:numPr>
        <w:spacing w:before="0" w:after="120"/>
        <w:ind w:left="426" w:hanging="357"/>
        <w:rPr>
          <w:color w:val="5F5F5F"/>
          <w:sz w:val="20"/>
          <w:szCs w:val="20"/>
        </w:rPr>
      </w:pPr>
      <w:r>
        <w:rPr>
          <w:color w:val="5F5F5F"/>
          <w:sz w:val="20"/>
          <w:szCs w:val="20"/>
        </w:rPr>
        <w:t>the person who proposes to begin controlling a registered holder of a title;</w:t>
      </w:r>
    </w:p>
    <w:p w14:paraId="38B992F6" w14:textId="77777777" w:rsidR="00EE163B" w:rsidRDefault="00EE163B" w:rsidP="00193574">
      <w:pPr>
        <w:pStyle w:val="ListParagraph"/>
        <w:numPr>
          <w:ilvl w:val="0"/>
          <w:numId w:val="22"/>
        </w:numPr>
        <w:spacing w:before="0" w:after="120"/>
        <w:ind w:left="426" w:hanging="357"/>
        <w:rPr>
          <w:color w:val="5F5F5F"/>
          <w:sz w:val="20"/>
          <w:szCs w:val="20"/>
        </w:rPr>
      </w:pPr>
      <w:r w:rsidRPr="0090650A">
        <w:rPr>
          <w:color w:val="5F5F5F"/>
          <w:sz w:val="20"/>
          <w:szCs w:val="20"/>
        </w:rPr>
        <w:t xml:space="preserve">the applicant in relation </w:t>
      </w:r>
      <w:r>
        <w:rPr>
          <w:color w:val="5F5F5F"/>
          <w:sz w:val="20"/>
          <w:szCs w:val="20"/>
        </w:rPr>
        <w:t>to the grant, of certain titles</w:t>
      </w:r>
      <w:r w:rsidRPr="0090650A">
        <w:rPr>
          <w:color w:val="5F5F5F"/>
          <w:sz w:val="20"/>
          <w:szCs w:val="20"/>
        </w:rPr>
        <w:t>;</w:t>
      </w:r>
    </w:p>
    <w:p w14:paraId="4247B18C" w14:textId="77777777" w:rsidR="00EE163B" w:rsidRPr="0090650A" w:rsidRDefault="00EE163B" w:rsidP="00193574">
      <w:pPr>
        <w:pStyle w:val="ListParagraph"/>
        <w:numPr>
          <w:ilvl w:val="0"/>
          <w:numId w:val="22"/>
        </w:numPr>
        <w:spacing w:before="0" w:after="120"/>
        <w:ind w:left="426" w:hanging="357"/>
        <w:rPr>
          <w:color w:val="5F5F5F"/>
          <w:sz w:val="20"/>
          <w:szCs w:val="20"/>
        </w:rPr>
      </w:pPr>
      <w:r>
        <w:rPr>
          <w:color w:val="5F5F5F"/>
          <w:sz w:val="20"/>
          <w:szCs w:val="20"/>
        </w:rPr>
        <w:t>the transferee; and</w:t>
      </w:r>
    </w:p>
    <w:p w14:paraId="53731AF4" w14:textId="77777777" w:rsidR="00EE163B" w:rsidRPr="0090650A" w:rsidRDefault="00EE163B" w:rsidP="00193574">
      <w:pPr>
        <w:pStyle w:val="ListParagraph"/>
        <w:numPr>
          <w:ilvl w:val="0"/>
          <w:numId w:val="22"/>
        </w:numPr>
        <w:spacing w:before="0" w:after="120"/>
        <w:ind w:left="426" w:hanging="357"/>
        <w:rPr>
          <w:color w:val="5F5F5F"/>
          <w:sz w:val="20"/>
          <w:szCs w:val="20"/>
        </w:rPr>
      </w:pPr>
      <w:r w:rsidRPr="0090650A">
        <w:rPr>
          <w:color w:val="5F5F5F"/>
          <w:sz w:val="20"/>
          <w:szCs w:val="20"/>
        </w:rPr>
        <w:t>if the applicant is a body corporate,</w:t>
      </w:r>
      <w:r>
        <w:rPr>
          <w:color w:val="5F5F5F"/>
          <w:sz w:val="20"/>
          <w:szCs w:val="20"/>
        </w:rPr>
        <w:t xml:space="preserve"> the</w:t>
      </w:r>
      <w:r w:rsidRPr="0090650A">
        <w:rPr>
          <w:color w:val="5F5F5F"/>
          <w:sz w:val="20"/>
          <w:szCs w:val="20"/>
        </w:rPr>
        <w:t xml:space="preserve"> officer or officers of the applicant (within the meaning of the </w:t>
      </w:r>
      <w:r w:rsidRPr="00762CC7">
        <w:rPr>
          <w:i/>
          <w:iCs/>
          <w:color w:val="5F5F5F"/>
          <w:sz w:val="20"/>
          <w:szCs w:val="20"/>
        </w:rPr>
        <w:t>Corporations Act 2001</w:t>
      </w:r>
      <w:r w:rsidRPr="0090650A">
        <w:rPr>
          <w:color w:val="5F5F5F"/>
          <w:sz w:val="20"/>
          <w:szCs w:val="20"/>
        </w:rPr>
        <w:t>)</w:t>
      </w:r>
      <w:r>
        <w:rPr>
          <w:color w:val="5F5F5F"/>
          <w:sz w:val="20"/>
          <w:szCs w:val="20"/>
        </w:rPr>
        <w:t>.</w:t>
      </w:r>
      <w:r>
        <w:rPr>
          <w:rStyle w:val="FootnoteReference"/>
          <w:color w:val="5F5F5F"/>
          <w:sz w:val="20"/>
          <w:szCs w:val="20"/>
        </w:rPr>
        <w:footnoteReference w:id="6"/>
      </w:r>
    </w:p>
    <w:p w14:paraId="2215EB05" w14:textId="77777777" w:rsidR="00DC7A3A" w:rsidRPr="00DC7A3A" w:rsidRDefault="00DC7A3A" w:rsidP="00193574">
      <w:pPr>
        <w:keepNext/>
        <w:keepLines/>
        <w:rPr>
          <w:b/>
          <w:bCs/>
          <w:i/>
          <w:iCs/>
          <w:color w:val="27629B"/>
          <w:sz w:val="20"/>
          <w:szCs w:val="20"/>
          <w:u w:color="000000"/>
        </w:rPr>
      </w:pPr>
      <w:r w:rsidRPr="00DC7A3A">
        <w:rPr>
          <w:b/>
          <w:bCs/>
          <w:i/>
          <w:iCs/>
          <w:color w:val="27629B"/>
          <w:sz w:val="20"/>
          <w:szCs w:val="20"/>
          <w:u w:color="000000"/>
        </w:rPr>
        <w:lastRenderedPageBreak/>
        <w:t>For a company, who is an officer?</w:t>
      </w:r>
    </w:p>
    <w:p w14:paraId="35AAF036" w14:textId="39DC7943" w:rsidR="00CD0B1F" w:rsidRDefault="00DC7A3A" w:rsidP="00193574">
      <w:pPr>
        <w:pStyle w:val="definition"/>
        <w:keepNext/>
        <w:keepLines/>
        <w:shd w:val="clear" w:color="auto" w:fill="FFFFFF"/>
        <w:spacing w:before="120" w:beforeAutospacing="0" w:after="120" w:afterAutospacing="0"/>
        <w:rPr>
          <w:color w:val="5F5F5F"/>
          <w:sz w:val="20"/>
          <w:szCs w:val="20"/>
        </w:rPr>
      </w:pPr>
      <w:r w:rsidRPr="00DC7A3A">
        <w:rPr>
          <w:rFonts w:eastAsia="Calibri"/>
          <w:color w:val="5F5F5F"/>
          <w:sz w:val="20"/>
          <w:szCs w:val="20"/>
          <w:lang w:val="en-US" w:eastAsia="en-US"/>
        </w:rPr>
        <w:t xml:space="preserve">An officer of a corporation is defined under section 9 of the </w:t>
      </w:r>
      <w:r w:rsidRPr="00DC7A3A">
        <w:rPr>
          <w:rFonts w:eastAsia="Calibri"/>
          <w:i/>
          <w:iCs/>
          <w:color w:val="5F5F5F"/>
          <w:sz w:val="20"/>
          <w:szCs w:val="20"/>
          <w:lang w:val="en-US" w:eastAsia="en-US"/>
        </w:rPr>
        <w:t>Corporations Act 2001</w:t>
      </w:r>
      <w:r>
        <w:rPr>
          <w:rFonts w:eastAsia="Calibri"/>
          <w:color w:val="5F5F5F"/>
          <w:sz w:val="20"/>
          <w:szCs w:val="20"/>
          <w:lang w:val="en-US" w:eastAsia="en-US"/>
        </w:rPr>
        <w:t xml:space="preserve">. </w:t>
      </w:r>
      <w:r w:rsidRPr="00DC7A3A">
        <w:rPr>
          <w:color w:val="5F5F5F"/>
          <w:sz w:val="20"/>
          <w:szCs w:val="20"/>
        </w:rPr>
        <w:t xml:space="preserve">NOPTA considers key persons to </w:t>
      </w:r>
      <w:r>
        <w:rPr>
          <w:color w:val="5F5F5F"/>
          <w:sz w:val="20"/>
          <w:szCs w:val="20"/>
        </w:rPr>
        <w:t>include</w:t>
      </w:r>
      <w:r w:rsidRPr="00DC7A3A">
        <w:rPr>
          <w:color w:val="5F5F5F"/>
          <w:sz w:val="20"/>
          <w:szCs w:val="20"/>
        </w:rPr>
        <w:t xml:space="preserve"> the Chief Executive Officer</w:t>
      </w:r>
      <w:r>
        <w:rPr>
          <w:color w:val="5F5F5F"/>
          <w:sz w:val="20"/>
          <w:szCs w:val="20"/>
        </w:rPr>
        <w:t xml:space="preserve">, </w:t>
      </w:r>
      <w:r w:rsidRPr="00DC7A3A">
        <w:rPr>
          <w:color w:val="5F5F5F"/>
          <w:sz w:val="20"/>
          <w:szCs w:val="20"/>
        </w:rPr>
        <w:t>Managing Director, Chief Operating Officer, Chief Financial Officer, and holder of a Power of Attorney</w:t>
      </w:r>
      <w:r>
        <w:rPr>
          <w:color w:val="5F5F5F"/>
          <w:sz w:val="20"/>
          <w:szCs w:val="20"/>
        </w:rPr>
        <w:t xml:space="preserve"> relevant to the OPGGS Act</w:t>
      </w:r>
      <w:r w:rsidRPr="00DC7A3A">
        <w:rPr>
          <w:color w:val="5F5F5F"/>
          <w:sz w:val="20"/>
          <w:szCs w:val="20"/>
        </w:rPr>
        <w:t xml:space="preserve">. </w:t>
      </w:r>
    </w:p>
    <w:p w14:paraId="714AD67A" w14:textId="6733E72E" w:rsidR="00DC7A3A" w:rsidRPr="00CD0B1F" w:rsidRDefault="00DC7A3A" w:rsidP="00193574">
      <w:pPr>
        <w:pStyle w:val="definition"/>
        <w:shd w:val="clear" w:color="auto" w:fill="FFFFFF"/>
        <w:spacing w:before="0" w:beforeAutospacing="0" w:after="0" w:afterAutospacing="0"/>
        <w:rPr>
          <w:rFonts w:eastAsia="Calibri"/>
          <w:color w:val="5F5F5F"/>
          <w:sz w:val="20"/>
          <w:lang w:val="en-US" w:eastAsia="en-US"/>
        </w:rPr>
      </w:pPr>
      <w:r w:rsidRPr="00DC7A3A">
        <w:rPr>
          <w:rFonts w:eastAsia="Calibri"/>
          <w:b/>
          <w:bCs/>
          <w:i/>
          <w:iCs/>
          <w:color w:val="27629B"/>
          <w:sz w:val="20"/>
          <w:szCs w:val="20"/>
          <w:u w:color="000000"/>
          <w:lang w:val="en-US"/>
        </w:rPr>
        <w:t xml:space="preserve">Does a declaration need to be made for the </w:t>
      </w:r>
      <w:r w:rsidR="006E3D68">
        <w:rPr>
          <w:rFonts w:eastAsia="Calibri"/>
          <w:b/>
          <w:bCs/>
          <w:i/>
          <w:iCs/>
          <w:color w:val="27629B"/>
          <w:sz w:val="20"/>
          <w:szCs w:val="20"/>
          <w:u w:color="000000"/>
          <w:lang w:val="en-US"/>
        </w:rPr>
        <w:t>body corporate</w:t>
      </w:r>
      <w:r w:rsidR="006E3D68" w:rsidRPr="00DC7A3A">
        <w:rPr>
          <w:rFonts w:eastAsia="Calibri"/>
          <w:b/>
          <w:bCs/>
          <w:i/>
          <w:iCs/>
          <w:color w:val="27629B"/>
          <w:sz w:val="20"/>
          <w:szCs w:val="20"/>
          <w:u w:color="000000"/>
          <w:lang w:val="en-US"/>
        </w:rPr>
        <w:t xml:space="preserve"> </w:t>
      </w:r>
      <w:r w:rsidRPr="00DC7A3A">
        <w:rPr>
          <w:rFonts w:eastAsia="Calibri"/>
          <w:b/>
          <w:bCs/>
          <w:i/>
          <w:iCs/>
          <w:color w:val="27629B"/>
          <w:sz w:val="20"/>
          <w:szCs w:val="20"/>
          <w:u w:color="000000"/>
          <w:lang w:val="en-US"/>
        </w:rPr>
        <w:t>or just the officers?</w:t>
      </w:r>
    </w:p>
    <w:p w14:paraId="29D7BE03" w14:textId="66ADBFD3" w:rsidR="00CD0B1F" w:rsidRDefault="00DC7A3A" w:rsidP="00193574">
      <w:pPr>
        <w:spacing w:before="120" w:after="120"/>
        <w:rPr>
          <w:rFonts w:eastAsiaTheme="minorHAnsi"/>
          <w:color w:val="5F5F5F"/>
          <w:sz w:val="20"/>
          <w:szCs w:val="20"/>
          <w:lang w:val="en-AU" w:eastAsia="en-AU"/>
        </w:rPr>
      </w:pPr>
      <w:r w:rsidRPr="00DC7A3A">
        <w:rPr>
          <w:rFonts w:eastAsiaTheme="minorHAnsi"/>
          <w:color w:val="5F5F5F"/>
          <w:sz w:val="20"/>
          <w:szCs w:val="20"/>
          <w:lang w:val="en-AU" w:eastAsia="en-AU"/>
        </w:rPr>
        <w:t xml:space="preserve">Both the </w:t>
      </w:r>
      <w:r w:rsidR="006E3D68">
        <w:rPr>
          <w:rFonts w:eastAsiaTheme="minorHAnsi"/>
          <w:color w:val="5F5F5F"/>
          <w:sz w:val="20"/>
          <w:szCs w:val="20"/>
          <w:lang w:val="en-AU" w:eastAsia="en-AU"/>
        </w:rPr>
        <w:t>body corporate</w:t>
      </w:r>
      <w:r w:rsidR="006E3D68" w:rsidRPr="00DC7A3A">
        <w:rPr>
          <w:rFonts w:eastAsiaTheme="minorHAnsi"/>
          <w:color w:val="5F5F5F"/>
          <w:sz w:val="20"/>
          <w:szCs w:val="20"/>
          <w:lang w:val="en-AU" w:eastAsia="en-AU"/>
        </w:rPr>
        <w:t xml:space="preserve"> </w:t>
      </w:r>
      <w:r w:rsidRPr="00DC7A3A">
        <w:rPr>
          <w:rFonts w:eastAsiaTheme="minorHAnsi"/>
          <w:color w:val="5F5F5F"/>
          <w:sz w:val="20"/>
          <w:szCs w:val="20"/>
          <w:lang w:val="en-AU" w:eastAsia="en-AU"/>
        </w:rPr>
        <w:t xml:space="preserve">and </w:t>
      </w:r>
      <w:r>
        <w:rPr>
          <w:rFonts w:eastAsiaTheme="minorHAnsi"/>
          <w:color w:val="5F5F5F"/>
          <w:sz w:val="20"/>
          <w:szCs w:val="20"/>
          <w:lang w:val="en-AU" w:eastAsia="en-AU"/>
        </w:rPr>
        <w:t>its</w:t>
      </w:r>
      <w:r w:rsidRPr="00DC7A3A">
        <w:rPr>
          <w:rFonts w:eastAsiaTheme="minorHAnsi"/>
          <w:color w:val="5F5F5F"/>
          <w:sz w:val="20"/>
          <w:szCs w:val="20"/>
          <w:lang w:val="en-AU" w:eastAsia="en-AU"/>
        </w:rPr>
        <w:t xml:space="preserve"> officers are required to provide a declaration. This includes a Director, Secretary, and key persons. This will likely see multiple declarations per </w:t>
      </w:r>
      <w:r w:rsidRPr="00CD0B1F">
        <w:rPr>
          <w:color w:val="5F5F5F"/>
          <w:sz w:val="20"/>
          <w:szCs w:val="20"/>
        </w:rPr>
        <w:t>company.</w:t>
      </w:r>
      <w:r w:rsidRPr="00DC7A3A">
        <w:rPr>
          <w:rFonts w:eastAsiaTheme="minorHAnsi"/>
          <w:color w:val="5F5F5F"/>
          <w:sz w:val="20"/>
          <w:szCs w:val="20"/>
          <w:lang w:val="en-AU" w:eastAsia="en-AU"/>
        </w:rPr>
        <w:t xml:space="preserve"> </w:t>
      </w:r>
    </w:p>
    <w:p w14:paraId="25660D1C" w14:textId="219F3961" w:rsidR="006E3D68" w:rsidRDefault="006E3D68" w:rsidP="00193574">
      <w:pPr>
        <w:spacing w:before="120"/>
        <w:rPr>
          <w:color w:val="5F5F5F"/>
          <w:sz w:val="20"/>
          <w:szCs w:val="20"/>
        </w:rPr>
      </w:pPr>
      <w:r w:rsidRPr="4578D0E9">
        <w:rPr>
          <w:color w:val="5F5F5F"/>
          <w:sz w:val="20"/>
          <w:szCs w:val="20"/>
        </w:rPr>
        <w:t xml:space="preserve">The </w:t>
      </w:r>
      <w:r>
        <w:rPr>
          <w:color w:val="5F5F5F"/>
          <w:sz w:val="20"/>
          <w:szCs w:val="20"/>
        </w:rPr>
        <w:t>d</w:t>
      </w:r>
      <w:r w:rsidRPr="4578D0E9">
        <w:rPr>
          <w:color w:val="5F5F5F"/>
          <w:sz w:val="20"/>
          <w:szCs w:val="20"/>
        </w:rPr>
        <w:t>eclaration</w:t>
      </w:r>
      <w:r>
        <w:rPr>
          <w:color w:val="5F5F5F"/>
          <w:sz w:val="20"/>
          <w:szCs w:val="20"/>
        </w:rPr>
        <w:t xml:space="preserve"> form:</w:t>
      </w:r>
    </w:p>
    <w:p w14:paraId="5711AFE1" w14:textId="30F0D994" w:rsidR="006E3D68" w:rsidRDefault="006E3D68" w:rsidP="00193574">
      <w:pPr>
        <w:pStyle w:val="ListParagraph"/>
        <w:numPr>
          <w:ilvl w:val="0"/>
          <w:numId w:val="22"/>
        </w:numPr>
        <w:spacing w:after="120"/>
        <w:ind w:left="426" w:hanging="357"/>
        <w:rPr>
          <w:color w:val="5F5F5F"/>
          <w:sz w:val="20"/>
          <w:szCs w:val="20"/>
        </w:rPr>
      </w:pPr>
      <w:r w:rsidRPr="004112C1">
        <w:rPr>
          <w:color w:val="5F5F5F"/>
          <w:sz w:val="20"/>
          <w:szCs w:val="20"/>
        </w:rPr>
        <w:t>for a</w:t>
      </w:r>
      <w:r>
        <w:rPr>
          <w:color w:val="5F5F5F"/>
          <w:sz w:val="20"/>
          <w:szCs w:val="20"/>
        </w:rPr>
        <w:t xml:space="preserve"> natural</w:t>
      </w:r>
      <w:r w:rsidRPr="004112C1">
        <w:rPr>
          <w:color w:val="5F5F5F"/>
          <w:sz w:val="20"/>
          <w:szCs w:val="20"/>
        </w:rPr>
        <w:t xml:space="preserve"> person, including an officer of a body corporate</w:t>
      </w:r>
      <w:r>
        <w:rPr>
          <w:color w:val="5F5F5F"/>
          <w:sz w:val="20"/>
          <w:szCs w:val="20"/>
        </w:rPr>
        <w:t xml:space="preserve"> (not a body corporate) is </w:t>
      </w:r>
      <w:r w:rsidRPr="004112C1">
        <w:rPr>
          <w:color w:val="5F5F5F"/>
          <w:sz w:val="20"/>
          <w:szCs w:val="20"/>
        </w:rPr>
        <w:t xml:space="preserve">a </w:t>
      </w:r>
      <w:hyperlink r:id="rId21" w:tooltip="Link to form 8" w:history="1">
        <w:r w:rsidRPr="00BA6972">
          <w:rPr>
            <w:rStyle w:val="Hyperlink"/>
            <w:b/>
            <w:bCs/>
            <w:sz w:val="20"/>
            <w:szCs w:val="20"/>
          </w:rPr>
          <w:t>Form 8</w:t>
        </w:r>
      </w:hyperlink>
      <w:r w:rsidRPr="006A0208">
        <w:rPr>
          <w:color w:val="0562C1"/>
          <w:sz w:val="20"/>
          <w:szCs w:val="20"/>
        </w:rPr>
        <w:t>;</w:t>
      </w:r>
    </w:p>
    <w:p w14:paraId="5C953A3B" w14:textId="3AB7237D" w:rsidR="006E3D68" w:rsidRPr="004112C1" w:rsidRDefault="006E3D68" w:rsidP="00193574">
      <w:pPr>
        <w:pStyle w:val="ListParagraph"/>
        <w:numPr>
          <w:ilvl w:val="0"/>
          <w:numId w:val="22"/>
        </w:numPr>
        <w:spacing w:before="0" w:after="120"/>
        <w:ind w:left="426" w:hanging="357"/>
        <w:rPr>
          <w:color w:val="5F5F5F"/>
          <w:sz w:val="20"/>
          <w:szCs w:val="20"/>
        </w:rPr>
      </w:pPr>
      <w:r>
        <w:rPr>
          <w:color w:val="5F5F5F"/>
          <w:sz w:val="20"/>
          <w:szCs w:val="20"/>
        </w:rPr>
        <w:t xml:space="preserve">for a body corporate is a </w:t>
      </w:r>
      <w:hyperlink r:id="rId22" w:tooltip="Link to Form 9" w:history="1">
        <w:r w:rsidRPr="00BA6972">
          <w:rPr>
            <w:rStyle w:val="Hyperlink"/>
            <w:b/>
            <w:bCs/>
            <w:sz w:val="20"/>
            <w:szCs w:val="20"/>
          </w:rPr>
          <w:t>Form 9</w:t>
        </w:r>
      </w:hyperlink>
      <w:r>
        <w:rPr>
          <w:rStyle w:val="Hyperlink"/>
          <w:b/>
          <w:bCs/>
          <w:sz w:val="20"/>
          <w:szCs w:val="20"/>
        </w:rPr>
        <w:t>.</w:t>
      </w:r>
    </w:p>
    <w:p w14:paraId="01DE7A9B" w14:textId="59FB0A70" w:rsidR="00CD0B1F" w:rsidRPr="00CD0B1F" w:rsidRDefault="00CD0B1F" w:rsidP="00193574">
      <w:pPr>
        <w:spacing w:before="120"/>
        <w:rPr>
          <w:b/>
          <w:bCs/>
          <w:i/>
          <w:iCs/>
          <w:color w:val="27629B"/>
          <w:sz w:val="20"/>
          <w:szCs w:val="20"/>
          <w:u w:color="000000"/>
        </w:rPr>
      </w:pPr>
      <w:r w:rsidRPr="00CD0B1F">
        <w:rPr>
          <w:b/>
          <w:bCs/>
          <w:i/>
          <w:iCs/>
          <w:color w:val="27629B"/>
          <w:sz w:val="20"/>
          <w:szCs w:val="20"/>
          <w:u w:color="000000"/>
        </w:rPr>
        <w:t xml:space="preserve">Do all applicants need to make a declaration? </w:t>
      </w:r>
    </w:p>
    <w:p w14:paraId="40422279" w14:textId="3D9563B1" w:rsidR="00DC7A3A" w:rsidRDefault="00CD0B1F" w:rsidP="00193574">
      <w:pPr>
        <w:spacing w:before="120" w:after="120"/>
        <w:rPr>
          <w:rFonts w:eastAsiaTheme="minorHAnsi"/>
          <w:color w:val="5F5F5F"/>
          <w:sz w:val="20"/>
          <w:szCs w:val="20"/>
          <w:lang w:val="en-AU" w:eastAsia="en-AU"/>
        </w:rPr>
      </w:pPr>
      <w:r w:rsidRPr="00CD0B1F">
        <w:rPr>
          <w:rFonts w:eastAsiaTheme="minorHAnsi"/>
          <w:color w:val="5F5F5F"/>
          <w:sz w:val="20"/>
          <w:szCs w:val="20"/>
          <w:lang w:val="en-AU" w:eastAsia="en-AU"/>
        </w:rPr>
        <w:t>A declaration will be needed from each of the applicants, for example each</w:t>
      </w:r>
      <w:r>
        <w:rPr>
          <w:rFonts w:eastAsiaTheme="minorHAnsi"/>
          <w:color w:val="5F5F5F"/>
          <w:sz w:val="20"/>
          <w:szCs w:val="20"/>
          <w:lang w:val="en-AU" w:eastAsia="en-AU"/>
        </w:rPr>
        <w:t xml:space="preserve"> j</w:t>
      </w:r>
      <w:r w:rsidRPr="00CD0B1F">
        <w:rPr>
          <w:rFonts w:eastAsiaTheme="minorHAnsi"/>
          <w:color w:val="5F5F5F"/>
          <w:sz w:val="20"/>
          <w:szCs w:val="20"/>
          <w:lang w:val="en-AU" w:eastAsia="en-AU"/>
        </w:rPr>
        <w:t xml:space="preserve">oint </w:t>
      </w:r>
      <w:r>
        <w:rPr>
          <w:rFonts w:eastAsiaTheme="minorHAnsi"/>
          <w:color w:val="5F5F5F"/>
          <w:sz w:val="20"/>
          <w:szCs w:val="20"/>
          <w:lang w:val="en-AU" w:eastAsia="en-AU"/>
        </w:rPr>
        <w:t>v</w:t>
      </w:r>
      <w:r w:rsidRPr="00CD0B1F">
        <w:rPr>
          <w:rFonts w:eastAsiaTheme="minorHAnsi"/>
          <w:color w:val="5F5F5F"/>
          <w:sz w:val="20"/>
          <w:szCs w:val="20"/>
          <w:lang w:val="en-AU" w:eastAsia="en-AU"/>
        </w:rPr>
        <w:t xml:space="preserve">enture partner and the officers of each company. Where a party (for example for </w:t>
      </w:r>
      <w:r>
        <w:rPr>
          <w:rFonts w:eastAsiaTheme="minorHAnsi"/>
          <w:color w:val="5F5F5F"/>
          <w:sz w:val="20"/>
          <w:szCs w:val="20"/>
          <w:lang w:val="en-AU" w:eastAsia="en-AU"/>
        </w:rPr>
        <w:t xml:space="preserve">a </w:t>
      </w:r>
      <w:r w:rsidR="00797672">
        <w:rPr>
          <w:rFonts w:eastAsiaTheme="minorHAnsi"/>
          <w:color w:val="5F5F5F"/>
          <w:sz w:val="20"/>
          <w:szCs w:val="20"/>
          <w:lang w:val="en-AU" w:eastAsia="en-AU"/>
        </w:rPr>
        <w:t xml:space="preserve">transfer </w:t>
      </w:r>
      <w:r w:rsidR="00226111">
        <w:rPr>
          <w:rFonts w:eastAsiaTheme="minorHAnsi"/>
          <w:color w:val="5F5F5F"/>
          <w:sz w:val="20"/>
          <w:szCs w:val="20"/>
          <w:lang w:val="en-AU" w:eastAsia="en-AU"/>
        </w:rPr>
        <w:t xml:space="preserve">of title </w:t>
      </w:r>
      <w:r w:rsidR="00797672">
        <w:rPr>
          <w:rFonts w:eastAsiaTheme="minorHAnsi"/>
          <w:color w:val="5F5F5F"/>
          <w:sz w:val="20"/>
          <w:szCs w:val="20"/>
          <w:lang w:val="en-AU" w:eastAsia="en-AU"/>
        </w:rPr>
        <w:t xml:space="preserve">or </w:t>
      </w:r>
      <w:r w:rsidRPr="00CD0B1F">
        <w:rPr>
          <w:rFonts w:eastAsiaTheme="minorHAnsi"/>
          <w:color w:val="5F5F5F"/>
          <w:sz w:val="20"/>
          <w:szCs w:val="20"/>
          <w:lang w:val="en-AU" w:eastAsia="en-AU"/>
        </w:rPr>
        <w:t xml:space="preserve">change </w:t>
      </w:r>
      <w:r w:rsidR="00797672">
        <w:rPr>
          <w:rFonts w:eastAsiaTheme="minorHAnsi"/>
          <w:color w:val="5F5F5F"/>
          <w:sz w:val="20"/>
          <w:szCs w:val="20"/>
          <w:lang w:val="en-AU" w:eastAsia="en-AU"/>
        </w:rPr>
        <w:t xml:space="preserve">in </w:t>
      </w:r>
      <w:r w:rsidRPr="00CD0B1F">
        <w:rPr>
          <w:rFonts w:eastAsiaTheme="minorHAnsi"/>
          <w:color w:val="5F5F5F"/>
          <w:sz w:val="20"/>
          <w:szCs w:val="20"/>
          <w:lang w:val="en-AU" w:eastAsia="en-AU"/>
        </w:rPr>
        <w:t>control</w:t>
      </w:r>
      <w:r>
        <w:rPr>
          <w:rFonts w:eastAsiaTheme="minorHAnsi"/>
          <w:color w:val="5F5F5F"/>
          <w:sz w:val="20"/>
          <w:szCs w:val="20"/>
          <w:lang w:val="en-AU" w:eastAsia="en-AU"/>
        </w:rPr>
        <w:t xml:space="preserve"> application</w:t>
      </w:r>
      <w:r w:rsidRPr="00CD0B1F">
        <w:rPr>
          <w:rFonts w:eastAsiaTheme="minorHAnsi"/>
          <w:color w:val="5F5F5F"/>
          <w:sz w:val="20"/>
          <w:szCs w:val="20"/>
          <w:lang w:val="en-AU" w:eastAsia="en-AU"/>
        </w:rPr>
        <w:t>) is not the applicant</w:t>
      </w:r>
      <w:r>
        <w:rPr>
          <w:rFonts w:eastAsiaTheme="minorHAnsi"/>
          <w:color w:val="5F5F5F"/>
          <w:sz w:val="20"/>
          <w:szCs w:val="20"/>
          <w:lang w:val="en-AU" w:eastAsia="en-AU"/>
        </w:rPr>
        <w:t>,</w:t>
      </w:r>
      <w:r w:rsidRPr="00CD0B1F">
        <w:rPr>
          <w:rFonts w:eastAsiaTheme="minorHAnsi"/>
          <w:color w:val="5F5F5F"/>
          <w:sz w:val="20"/>
          <w:szCs w:val="20"/>
          <w:lang w:val="en-AU" w:eastAsia="en-AU"/>
        </w:rPr>
        <w:t xml:space="preserve"> a declaration may be sought from </w:t>
      </w:r>
      <w:r w:rsidR="00226111">
        <w:rPr>
          <w:rFonts w:eastAsiaTheme="minorHAnsi"/>
          <w:color w:val="5F5F5F"/>
          <w:sz w:val="20"/>
          <w:szCs w:val="20"/>
          <w:lang w:val="en-AU" w:eastAsia="en-AU"/>
        </w:rPr>
        <w:t xml:space="preserve">the </w:t>
      </w:r>
      <w:r w:rsidRPr="00CD0B1F">
        <w:rPr>
          <w:rFonts w:eastAsiaTheme="minorHAnsi"/>
          <w:color w:val="5F5F5F"/>
          <w:sz w:val="20"/>
          <w:szCs w:val="20"/>
          <w:lang w:val="en-AU" w:eastAsia="en-AU"/>
        </w:rPr>
        <w:t>other part</w:t>
      </w:r>
      <w:r w:rsidR="00226111">
        <w:rPr>
          <w:rFonts w:eastAsiaTheme="minorHAnsi"/>
          <w:color w:val="5F5F5F"/>
          <w:sz w:val="20"/>
          <w:szCs w:val="20"/>
          <w:lang w:val="en-AU" w:eastAsia="en-AU"/>
        </w:rPr>
        <w:t>y</w:t>
      </w:r>
      <w:r w:rsidRPr="00CD0B1F">
        <w:rPr>
          <w:rFonts w:eastAsiaTheme="minorHAnsi"/>
          <w:color w:val="5F5F5F"/>
          <w:sz w:val="20"/>
          <w:szCs w:val="20"/>
          <w:lang w:val="en-AU" w:eastAsia="en-AU"/>
        </w:rPr>
        <w:t>.</w:t>
      </w:r>
    </w:p>
    <w:p w14:paraId="224CE08F" w14:textId="1ECFF1F5" w:rsidR="00CD0B1F" w:rsidRDefault="00397813" w:rsidP="00193574">
      <w:pPr>
        <w:rPr>
          <w:b/>
          <w:bCs/>
          <w:i/>
          <w:iCs/>
          <w:color w:val="27629B"/>
          <w:sz w:val="20"/>
          <w:szCs w:val="20"/>
          <w:u w:color="000000"/>
        </w:rPr>
      </w:pPr>
      <w:r w:rsidRPr="00397813">
        <w:rPr>
          <w:b/>
          <w:bCs/>
          <w:i/>
          <w:iCs/>
          <w:color w:val="27629B"/>
          <w:sz w:val="20"/>
          <w:szCs w:val="20"/>
          <w:u w:color="000000"/>
        </w:rPr>
        <w:t xml:space="preserve">Do I need to make a declaration for each company </w:t>
      </w:r>
      <w:r w:rsidR="00C16858">
        <w:rPr>
          <w:b/>
          <w:bCs/>
          <w:i/>
          <w:iCs/>
          <w:color w:val="27629B"/>
          <w:sz w:val="20"/>
          <w:szCs w:val="20"/>
          <w:u w:color="000000"/>
        </w:rPr>
        <w:t xml:space="preserve">for which </w:t>
      </w:r>
      <w:r w:rsidRPr="00397813">
        <w:rPr>
          <w:b/>
          <w:bCs/>
          <w:i/>
          <w:iCs/>
          <w:color w:val="27629B"/>
          <w:sz w:val="20"/>
          <w:szCs w:val="20"/>
          <w:u w:color="000000"/>
        </w:rPr>
        <w:t>I am a company Secretary or Director?</w:t>
      </w:r>
    </w:p>
    <w:p w14:paraId="5DA2590F" w14:textId="2A81FA2E" w:rsidR="00397813" w:rsidRDefault="00397813" w:rsidP="00193574">
      <w:pPr>
        <w:spacing w:before="120" w:after="120"/>
        <w:rPr>
          <w:rFonts w:eastAsiaTheme="minorHAnsi"/>
          <w:color w:val="5F5F5F"/>
          <w:sz w:val="20"/>
          <w:szCs w:val="20"/>
          <w:lang w:val="en-AU" w:eastAsia="en-AU"/>
        </w:rPr>
      </w:pPr>
      <w:bookmarkStart w:id="7" w:name="_Hlk85191931"/>
      <w:r w:rsidRPr="00397813">
        <w:rPr>
          <w:rFonts w:eastAsiaTheme="minorHAnsi"/>
          <w:color w:val="5F5F5F"/>
          <w:sz w:val="20"/>
          <w:szCs w:val="20"/>
          <w:lang w:val="en-AU" w:eastAsia="en-AU"/>
        </w:rPr>
        <w:t xml:space="preserve">A </w:t>
      </w:r>
      <w:r>
        <w:rPr>
          <w:rFonts w:eastAsiaTheme="minorHAnsi"/>
          <w:color w:val="5F5F5F"/>
          <w:sz w:val="20"/>
          <w:szCs w:val="20"/>
          <w:lang w:val="en-AU" w:eastAsia="en-AU"/>
        </w:rPr>
        <w:t xml:space="preserve">separate declaration is required for each company </w:t>
      </w:r>
      <w:r w:rsidR="00C16858">
        <w:rPr>
          <w:rFonts w:eastAsiaTheme="minorHAnsi"/>
          <w:color w:val="5F5F5F"/>
          <w:sz w:val="20"/>
          <w:szCs w:val="20"/>
          <w:lang w:val="en-AU" w:eastAsia="en-AU"/>
        </w:rPr>
        <w:t xml:space="preserve">for which </w:t>
      </w:r>
      <w:r>
        <w:rPr>
          <w:rFonts w:eastAsiaTheme="minorHAnsi"/>
          <w:color w:val="5F5F5F"/>
          <w:sz w:val="20"/>
          <w:szCs w:val="20"/>
          <w:lang w:val="en-AU" w:eastAsia="en-AU"/>
        </w:rPr>
        <w:t xml:space="preserve">a person is a company </w:t>
      </w:r>
      <w:r w:rsidRPr="00397813">
        <w:rPr>
          <w:rFonts w:eastAsiaTheme="minorHAnsi"/>
          <w:color w:val="5F5F5F"/>
          <w:sz w:val="20"/>
          <w:szCs w:val="20"/>
          <w:lang w:val="en-AU" w:eastAsia="en-AU"/>
        </w:rPr>
        <w:t xml:space="preserve">Secretary or Director. </w:t>
      </w:r>
    </w:p>
    <w:p w14:paraId="241BB3BA" w14:textId="259125B1" w:rsidR="00397813" w:rsidRDefault="00397813" w:rsidP="00193574">
      <w:pPr>
        <w:spacing w:after="120"/>
        <w:rPr>
          <w:b/>
          <w:bCs/>
          <w:i/>
          <w:iCs/>
          <w:color w:val="27629B"/>
          <w:sz w:val="20"/>
          <w:szCs w:val="20"/>
          <w:u w:color="000000"/>
        </w:rPr>
      </w:pPr>
      <w:r w:rsidRPr="00397813">
        <w:rPr>
          <w:b/>
          <w:bCs/>
          <w:i/>
          <w:iCs/>
          <w:color w:val="27629B"/>
          <w:sz w:val="20"/>
          <w:szCs w:val="20"/>
          <w:u w:color="000000"/>
        </w:rPr>
        <w:t>If a person has already provided a declaration, do they need to provide a new declaration for each new application?</w:t>
      </w:r>
    </w:p>
    <w:p w14:paraId="234F07F2" w14:textId="53BD9F19" w:rsidR="00293725" w:rsidRDefault="00397813" w:rsidP="00193574">
      <w:pPr>
        <w:keepNext/>
        <w:keepLines/>
        <w:spacing w:after="120"/>
        <w:rPr>
          <w:rFonts w:eastAsiaTheme="minorHAnsi"/>
          <w:color w:val="5F5F5F"/>
          <w:sz w:val="20"/>
          <w:szCs w:val="20"/>
          <w:lang w:val="en-AU" w:eastAsia="en-AU"/>
        </w:rPr>
      </w:pPr>
      <w:bookmarkStart w:id="8" w:name="_Hlk85625995"/>
      <w:r w:rsidRPr="00397813">
        <w:rPr>
          <w:rFonts w:eastAsiaTheme="minorHAnsi"/>
          <w:color w:val="5F5F5F"/>
          <w:sz w:val="20"/>
          <w:szCs w:val="20"/>
          <w:lang w:val="en-AU" w:eastAsia="en-AU"/>
        </w:rPr>
        <w:t xml:space="preserve">Declarations </w:t>
      </w:r>
      <w:r>
        <w:rPr>
          <w:rFonts w:eastAsiaTheme="minorHAnsi"/>
          <w:color w:val="5F5F5F"/>
          <w:sz w:val="20"/>
          <w:szCs w:val="20"/>
          <w:lang w:val="en-AU" w:eastAsia="en-AU"/>
        </w:rPr>
        <w:t>are</w:t>
      </w:r>
      <w:r w:rsidRPr="00397813">
        <w:rPr>
          <w:rFonts w:eastAsiaTheme="minorHAnsi"/>
          <w:color w:val="5F5F5F"/>
          <w:sz w:val="20"/>
          <w:szCs w:val="20"/>
          <w:lang w:val="en-AU" w:eastAsia="en-AU"/>
        </w:rPr>
        <w:t xml:space="preserve"> required </w:t>
      </w:r>
      <w:r>
        <w:rPr>
          <w:rFonts w:eastAsiaTheme="minorHAnsi"/>
          <w:color w:val="5F5F5F"/>
          <w:sz w:val="20"/>
          <w:szCs w:val="20"/>
          <w:lang w:val="en-AU" w:eastAsia="en-AU"/>
        </w:rPr>
        <w:t xml:space="preserve">to be submitted </w:t>
      </w:r>
      <w:r w:rsidRPr="00397813">
        <w:rPr>
          <w:rFonts w:eastAsiaTheme="minorHAnsi"/>
          <w:color w:val="5F5F5F"/>
          <w:sz w:val="20"/>
          <w:szCs w:val="20"/>
          <w:lang w:val="en-AU" w:eastAsia="en-AU"/>
        </w:rPr>
        <w:t xml:space="preserve">if the applicant or other person (as relevant) has not previously made a declaration. If a previous </w:t>
      </w:r>
      <w:r>
        <w:rPr>
          <w:rFonts w:eastAsiaTheme="minorHAnsi"/>
          <w:color w:val="5F5F5F"/>
          <w:sz w:val="20"/>
          <w:szCs w:val="20"/>
          <w:lang w:val="en-AU" w:eastAsia="en-AU"/>
        </w:rPr>
        <w:t>d</w:t>
      </w:r>
      <w:r w:rsidRPr="00397813">
        <w:rPr>
          <w:rFonts w:eastAsiaTheme="minorHAnsi"/>
          <w:color w:val="5F5F5F"/>
          <w:sz w:val="20"/>
          <w:szCs w:val="20"/>
          <w:lang w:val="en-AU" w:eastAsia="en-AU"/>
        </w:rPr>
        <w:t>eclaration has been made, and</w:t>
      </w:r>
    </w:p>
    <w:p w14:paraId="37FEA0CD" w14:textId="77777777" w:rsidR="00293725" w:rsidRDefault="00397813" w:rsidP="00193574">
      <w:pPr>
        <w:pStyle w:val="ListParagraph"/>
        <w:numPr>
          <w:ilvl w:val="0"/>
          <w:numId w:val="22"/>
        </w:numPr>
        <w:spacing w:before="0" w:after="120"/>
        <w:ind w:left="426" w:hanging="357"/>
        <w:rPr>
          <w:rFonts w:eastAsiaTheme="minorHAnsi"/>
          <w:color w:val="5F5F5F"/>
          <w:sz w:val="20"/>
          <w:szCs w:val="20"/>
          <w:lang w:val="en-AU" w:eastAsia="en-AU"/>
        </w:rPr>
      </w:pPr>
      <w:r w:rsidRPr="00397813">
        <w:rPr>
          <w:rFonts w:eastAsiaTheme="minorHAnsi"/>
          <w:color w:val="5F5F5F"/>
          <w:sz w:val="20"/>
          <w:szCs w:val="20"/>
          <w:lang w:val="en-AU" w:eastAsia="en-AU"/>
        </w:rPr>
        <w:t xml:space="preserve">a </w:t>
      </w:r>
      <w:r w:rsidRPr="005F52A1">
        <w:rPr>
          <w:color w:val="5F5F5F"/>
          <w:sz w:val="20"/>
          <w:szCs w:val="20"/>
        </w:rPr>
        <w:t>change</w:t>
      </w:r>
      <w:r w:rsidRPr="00397813">
        <w:rPr>
          <w:rFonts w:eastAsiaTheme="minorHAnsi"/>
          <w:color w:val="5F5F5F"/>
          <w:sz w:val="20"/>
          <w:szCs w:val="20"/>
          <w:lang w:val="en-AU" w:eastAsia="en-AU"/>
        </w:rPr>
        <w:t xml:space="preserve"> of circumstances has not occurred, </w:t>
      </w:r>
      <w:r w:rsidR="00293725">
        <w:rPr>
          <w:rFonts w:eastAsiaTheme="minorHAnsi"/>
          <w:color w:val="5F5F5F"/>
          <w:sz w:val="20"/>
          <w:szCs w:val="20"/>
          <w:lang w:val="en-AU" w:eastAsia="en-AU"/>
        </w:rPr>
        <w:t>and</w:t>
      </w:r>
    </w:p>
    <w:p w14:paraId="1B978333" w14:textId="78E51347" w:rsidR="0018777E" w:rsidRDefault="00293725" w:rsidP="00193574">
      <w:pPr>
        <w:pStyle w:val="ListParagraph"/>
        <w:numPr>
          <w:ilvl w:val="0"/>
          <w:numId w:val="22"/>
        </w:numPr>
        <w:spacing w:before="0" w:after="120"/>
        <w:ind w:left="426" w:hanging="357"/>
        <w:rPr>
          <w:rFonts w:eastAsiaTheme="minorHAnsi"/>
          <w:color w:val="5F5F5F"/>
          <w:sz w:val="20"/>
          <w:szCs w:val="20"/>
          <w:lang w:val="en-AU" w:eastAsia="en-AU"/>
        </w:rPr>
      </w:pPr>
      <w:r w:rsidRPr="00193574">
        <w:rPr>
          <w:color w:val="5F5F5F"/>
          <w:sz w:val="20"/>
          <w:szCs w:val="20"/>
        </w:rPr>
        <w:t>all</w:t>
      </w:r>
      <w:r>
        <w:rPr>
          <w:rFonts w:eastAsiaTheme="minorHAnsi"/>
          <w:color w:val="5F5F5F"/>
          <w:sz w:val="20"/>
          <w:szCs w:val="20"/>
          <w:lang w:val="en-AU" w:eastAsia="en-AU"/>
        </w:rPr>
        <w:t xml:space="preserve"> </w:t>
      </w:r>
      <w:r w:rsidRPr="005F52A1">
        <w:rPr>
          <w:color w:val="5F5F5F"/>
          <w:sz w:val="20"/>
          <w:szCs w:val="20"/>
        </w:rPr>
        <w:t>other</w:t>
      </w:r>
      <w:r>
        <w:rPr>
          <w:rFonts w:eastAsiaTheme="minorHAnsi"/>
          <w:color w:val="5F5F5F"/>
          <w:sz w:val="20"/>
          <w:szCs w:val="20"/>
          <w:lang w:val="en-AU" w:eastAsia="en-AU"/>
        </w:rPr>
        <w:t xml:space="preserve"> information in the original declaration remains true and correct</w:t>
      </w:r>
      <w:r w:rsidR="0018777E">
        <w:rPr>
          <w:rFonts w:eastAsiaTheme="minorHAnsi"/>
          <w:color w:val="5F5F5F"/>
          <w:sz w:val="20"/>
          <w:szCs w:val="20"/>
          <w:lang w:val="en-AU" w:eastAsia="en-AU"/>
        </w:rPr>
        <w:t>,</w:t>
      </w:r>
    </w:p>
    <w:p w14:paraId="25872C32" w14:textId="5A840749" w:rsidR="008D1792" w:rsidRDefault="00397813" w:rsidP="005C7276">
      <w:pPr>
        <w:spacing w:after="120"/>
        <w:rPr>
          <w:rFonts w:eastAsiaTheme="minorHAnsi"/>
          <w:color w:val="5F5F5F"/>
          <w:sz w:val="20"/>
          <w:szCs w:val="20"/>
          <w:lang w:val="en-AU" w:eastAsia="en-AU"/>
        </w:rPr>
      </w:pPr>
      <w:r w:rsidRPr="0018777E">
        <w:rPr>
          <w:rFonts w:eastAsiaTheme="minorHAnsi"/>
          <w:color w:val="5F5F5F"/>
          <w:sz w:val="20"/>
          <w:szCs w:val="20"/>
          <w:lang w:val="en-AU" w:eastAsia="en-AU"/>
        </w:rPr>
        <w:t>the previous declaration can be referenced. If a change of circumstance form</w:t>
      </w:r>
      <w:r w:rsidR="00851261">
        <w:rPr>
          <w:rFonts w:eastAsiaTheme="minorHAnsi"/>
          <w:color w:val="5F5F5F"/>
          <w:sz w:val="20"/>
          <w:szCs w:val="20"/>
          <w:lang w:val="en-AU" w:eastAsia="en-AU"/>
        </w:rPr>
        <w:t>(s)</w:t>
      </w:r>
      <w:r w:rsidRPr="0018777E">
        <w:rPr>
          <w:rFonts w:eastAsiaTheme="minorHAnsi"/>
          <w:color w:val="5F5F5F"/>
          <w:sz w:val="20"/>
          <w:szCs w:val="20"/>
          <w:lang w:val="en-AU" w:eastAsia="en-AU"/>
        </w:rPr>
        <w:t xml:space="preserve"> has been submitted, this form may </w:t>
      </w:r>
      <w:r w:rsidR="00293725" w:rsidRPr="0018777E">
        <w:rPr>
          <w:rFonts w:eastAsiaTheme="minorHAnsi"/>
          <w:color w:val="5F5F5F"/>
          <w:sz w:val="20"/>
          <w:szCs w:val="20"/>
          <w:lang w:val="en-AU" w:eastAsia="en-AU"/>
        </w:rPr>
        <w:t xml:space="preserve">also </w:t>
      </w:r>
      <w:r w:rsidRPr="0018777E">
        <w:rPr>
          <w:rFonts w:eastAsiaTheme="minorHAnsi"/>
          <w:color w:val="5F5F5F"/>
          <w:sz w:val="20"/>
          <w:szCs w:val="20"/>
          <w:lang w:val="en-AU" w:eastAsia="en-AU"/>
        </w:rPr>
        <w:t>be referenced in the application.</w:t>
      </w:r>
      <w:r w:rsidR="008D1792">
        <w:rPr>
          <w:rFonts w:eastAsiaTheme="minorHAnsi"/>
          <w:color w:val="5F5F5F"/>
          <w:sz w:val="20"/>
          <w:szCs w:val="20"/>
          <w:lang w:val="en-AU" w:eastAsia="en-AU"/>
        </w:rPr>
        <w:t xml:space="preserve"> </w:t>
      </w:r>
    </w:p>
    <w:p w14:paraId="2E44DFF4" w14:textId="082788DD" w:rsidR="002444FE" w:rsidRPr="00853E75" w:rsidRDefault="002444FE" w:rsidP="00193574">
      <w:pPr>
        <w:keepNext/>
        <w:keepLines/>
        <w:spacing w:before="120" w:after="120"/>
        <w:rPr>
          <w:b/>
          <w:bCs/>
          <w:i/>
          <w:iCs/>
          <w:color w:val="27629B"/>
          <w:sz w:val="12"/>
          <w:szCs w:val="12"/>
          <w:u w:color="000000"/>
        </w:rPr>
      </w:pPr>
      <w:r>
        <w:rPr>
          <w:rFonts w:eastAsiaTheme="minorHAnsi"/>
          <w:color w:val="5F5F5F"/>
          <w:sz w:val="20"/>
          <w:szCs w:val="20"/>
          <w:lang w:val="en-AU" w:eastAsia="en-AU"/>
        </w:rPr>
        <w:t>If any information in the original declaration is no longer accurate, but does not constitute an event in respect of which notice must be provided under section 695YC (for example, details of the person’s experience in petroleum exploration or recovery; relevant contraventions of the OPGGS Act; title cancellations), the applicant or other person (as relevant) is expected to submit a new declaration under section 695YB at the time of making a relevant application.</w:t>
      </w:r>
      <w:r>
        <w:rPr>
          <w:rFonts w:eastAsiaTheme="minorHAnsi"/>
          <w:color w:val="5F5F5F"/>
          <w:sz w:val="20"/>
          <w:szCs w:val="20"/>
          <w:lang w:val="en-AU" w:eastAsia="en-AU"/>
        </w:rPr>
        <w:br/>
      </w:r>
    </w:p>
    <w:p w14:paraId="2350604B" w14:textId="77777777" w:rsidR="002444FE" w:rsidRPr="00B166B8" w:rsidRDefault="002444FE" w:rsidP="00193574">
      <w:pPr>
        <w:spacing w:before="120" w:after="120"/>
        <w:rPr>
          <w:b/>
          <w:bCs/>
          <w:i/>
          <w:iCs/>
          <w:color w:val="27629B"/>
          <w:sz w:val="20"/>
          <w:szCs w:val="20"/>
          <w:u w:color="000000"/>
        </w:rPr>
      </w:pPr>
      <w:r w:rsidRPr="00B166B8">
        <w:rPr>
          <w:b/>
          <w:bCs/>
          <w:i/>
          <w:iCs/>
          <w:color w:val="27629B"/>
          <w:sz w:val="20"/>
          <w:szCs w:val="20"/>
          <w:u w:color="000000"/>
        </w:rPr>
        <w:t>How long is a declaration valid for?</w:t>
      </w:r>
    </w:p>
    <w:p w14:paraId="5D8AF01E" w14:textId="77777777" w:rsidR="002444FE" w:rsidRPr="00B166B8" w:rsidRDefault="002444FE" w:rsidP="00193574">
      <w:pPr>
        <w:spacing w:before="120" w:after="120"/>
        <w:rPr>
          <w:rFonts w:eastAsiaTheme="minorHAnsi"/>
          <w:color w:val="5F5F5F"/>
          <w:sz w:val="20"/>
          <w:szCs w:val="20"/>
          <w:lang w:val="en-AU" w:eastAsia="en-AU"/>
        </w:rPr>
      </w:pPr>
      <w:bookmarkStart w:id="9" w:name="_Hlk85626068"/>
      <w:r w:rsidRPr="00B166B8">
        <w:rPr>
          <w:rFonts w:eastAsiaTheme="minorHAnsi"/>
          <w:color w:val="5F5F5F"/>
          <w:sz w:val="20"/>
          <w:szCs w:val="20"/>
          <w:lang w:val="en-AU" w:eastAsia="en-AU"/>
        </w:rPr>
        <w:t>Declarations do not expire (unless the person is no longer associated with the company</w:t>
      </w:r>
      <w:r>
        <w:rPr>
          <w:rFonts w:eastAsiaTheme="minorHAnsi"/>
          <w:color w:val="5F5F5F"/>
          <w:sz w:val="20"/>
          <w:szCs w:val="20"/>
          <w:lang w:val="en-AU" w:eastAsia="en-AU"/>
        </w:rPr>
        <w:t xml:space="preserve"> or the person provides a new declaration for the reasons set out in the section above</w:t>
      </w:r>
      <w:r w:rsidRPr="00B166B8">
        <w:rPr>
          <w:rFonts w:eastAsiaTheme="minorHAnsi"/>
          <w:color w:val="5F5F5F"/>
          <w:sz w:val="20"/>
          <w:szCs w:val="20"/>
          <w:lang w:val="en-AU" w:eastAsia="en-AU"/>
        </w:rPr>
        <w:t xml:space="preserve">). If </w:t>
      </w:r>
      <w:r>
        <w:rPr>
          <w:rFonts w:eastAsiaTheme="minorHAnsi"/>
          <w:color w:val="5F5F5F"/>
          <w:sz w:val="20"/>
          <w:szCs w:val="20"/>
          <w:lang w:val="en-AU" w:eastAsia="en-AU"/>
        </w:rPr>
        <w:t xml:space="preserve">notice of an event is required to be given </w:t>
      </w:r>
      <w:r w:rsidRPr="00B166B8">
        <w:rPr>
          <w:rFonts w:eastAsiaTheme="minorHAnsi"/>
          <w:color w:val="5F5F5F"/>
          <w:sz w:val="20"/>
          <w:szCs w:val="20"/>
          <w:lang w:val="en-AU" w:eastAsia="en-AU"/>
        </w:rPr>
        <w:t xml:space="preserve">under section 695YC, </w:t>
      </w:r>
      <w:r>
        <w:rPr>
          <w:rFonts w:eastAsiaTheme="minorHAnsi"/>
          <w:color w:val="5F5F5F"/>
          <w:sz w:val="20"/>
          <w:szCs w:val="20"/>
          <w:lang w:val="en-AU" w:eastAsia="en-AU"/>
        </w:rPr>
        <w:t>a</w:t>
      </w:r>
      <w:r w:rsidRPr="00B166B8">
        <w:rPr>
          <w:rFonts w:eastAsiaTheme="minorHAnsi"/>
          <w:color w:val="5F5F5F"/>
          <w:sz w:val="20"/>
          <w:szCs w:val="20"/>
          <w:lang w:val="en-AU" w:eastAsia="en-AU"/>
        </w:rPr>
        <w:t xml:space="preserve"> change of circumstance form </w:t>
      </w:r>
      <w:r>
        <w:rPr>
          <w:rFonts w:eastAsiaTheme="minorHAnsi"/>
          <w:color w:val="5F5F5F"/>
          <w:sz w:val="20"/>
          <w:szCs w:val="20"/>
          <w:lang w:val="en-AU" w:eastAsia="en-AU"/>
        </w:rPr>
        <w:t xml:space="preserve">must </w:t>
      </w:r>
      <w:r w:rsidRPr="00B166B8">
        <w:rPr>
          <w:rFonts w:eastAsiaTheme="minorHAnsi"/>
          <w:color w:val="5F5F5F"/>
          <w:sz w:val="20"/>
          <w:szCs w:val="20"/>
          <w:lang w:val="en-AU" w:eastAsia="en-AU"/>
        </w:rPr>
        <w:t>be submitted and will be read in conjunction with the original declaration</w:t>
      </w:r>
      <w:r>
        <w:t>.</w:t>
      </w:r>
    </w:p>
    <w:bookmarkEnd w:id="9"/>
    <w:p w14:paraId="362A84B1" w14:textId="77777777" w:rsidR="002444FE" w:rsidRPr="00B166B8" w:rsidRDefault="002444FE" w:rsidP="00193574">
      <w:pPr>
        <w:spacing w:after="120"/>
        <w:rPr>
          <w:b/>
          <w:bCs/>
          <w:i/>
          <w:iCs/>
          <w:color w:val="27629B"/>
          <w:sz w:val="20"/>
          <w:szCs w:val="20"/>
          <w:u w:color="000000"/>
        </w:rPr>
      </w:pPr>
      <w:r w:rsidRPr="00B166B8">
        <w:rPr>
          <w:b/>
          <w:bCs/>
          <w:i/>
          <w:iCs/>
          <w:color w:val="27629B"/>
          <w:sz w:val="20"/>
          <w:szCs w:val="20"/>
          <w:u w:color="000000"/>
        </w:rPr>
        <w:t xml:space="preserve">If a new </w:t>
      </w:r>
      <w:r>
        <w:rPr>
          <w:b/>
          <w:bCs/>
          <w:i/>
          <w:iCs/>
          <w:color w:val="27629B"/>
          <w:sz w:val="20"/>
          <w:szCs w:val="20"/>
          <w:u w:color="000000"/>
        </w:rPr>
        <w:t>officer of a corporation (e.g. Director)</w:t>
      </w:r>
      <w:r w:rsidRPr="00B166B8">
        <w:rPr>
          <w:b/>
          <w:bCs/>
          <w:i/>
          <w:iCs/>
          <w:color w:val="27629B"/>
          <w:sz w:val="20"/>
          <w:szCs w:val="20"/>
          <w:u w:color="000000"/>
        </w:rPr>
        <w:t xml:space="preserve"> is appointed when an application is under assessment, do they need to submit a declaration?</w:t>
      </w:r>
    </w:p>
    <w:p w14:paraId="18315351" w14:textId="77777777" w:rsidR="002444FE" w:rsidRPr="00B166B8" w:rsidRDefault="002444FE" w:rsidP="00193574">
      <w:pPr>
        <w:rPr>
          <w:rFonts w:eastAsiaTheme="minorHAnsi"/>
          <w:color w:val="5F5F5F"/>
          <w:sz w:val="20"/>
          <w:szCs w:val="20"/>
          <w:lang w:val="en-AU" w:eastAsia="en-AU"/>
        </w:rPr>
      </w:pPr>
      <w:r>
        <w:rPr>
          <w:rFonts w:eastAsiaTheme="minorHAnsi"/>
          <w:color w:val="5F5F5F"/>
          <w:sz w:val="20"/>
          <w:szCs w:val="20"/>
          <w:lang w:val="en-AU" w:eastAsia="en-AU"/>
        </w:rPr>
        <w:t>F</w:t>
      </w:r>
      <w:r w:rsidRPr="00B166B8">
        <w:rPr>
          <w:rFonts w:eastAsiaTheme="minorHAnsi"/>
          <w:color w:val="5F5F5F"/>
          <w:sz w:val="20"/>
          <w:szCs w:val="20"/>
          <w:lang w:val="en-AU" w:eastAsia="en-AU"/>
        </w:rPr>
        <w:t xml:space="preserve">or all </w:t>
      </w:r>
      <w:r>
        <w:rPr>
          <w:rFonts w:eastAsiaTheme="minorHAnsi"/>
          <w:color w:val="5F5F5F"/>
          <w:sz w:val="20"/>
          <w:szCs w:val="20"/>
          <w:lang w:val="en-AU" w:eastAsia="en-AU"/>
        </w:rPr>
        <w:t xml:space="preserve">relevant </w:t>
      </w:r>
      <w:r w:rsidRPr="00B166B8">
        <w:rPr>
          <w:rFonts w:eastAsiaTheme="minorHAnsi"/>
          <w:color w:val="5F5F5F"/>
          <w:sz w:val="20"/>
          <w:szCs w:val="20"/>
          <w:lang w:val="en-AU" w:eastAsia="en-AU"/>
        </w:rPr>
        <w:t xml:space="preserve">applications where </w:t>
      </w:r>
      <w:r>
        <w:rPr>
          <w:rFonts w:eastAsiaTheme="minorHAnsi"/>
          <w:color w:val="5F5F5F"/>
          <w:sz w:val="20"/>
          <w:szCs w:val="20"/>
          <w:lang w:val="en-AU" w:eastAsia="en-AU"/>
        </w:rPr>
        <w:t xml:space="preserve">the matters in </w:t>
      </w:r>
      <w:r w:rsidRPr="00B166B8">
        <w:rPr>
          <w:rFonts w:eastAsiaTheme="minorHAnsi"/>
          <w:color w:val="5F5F5F"/>
          <w:sz w:val="20"/>
          <w:szCs w:val="20"/>
          <w:lang w:val="en-AU" w:eastAsia="en-AU"/>
        </w:rPr>
        <w:t>section 695YB of the OPGGS Act</w:t>
      </w:r>
      <w:r>
        <w:rPr>
          <w:rFonts w:eastAsiaTheme="minorHAnsi"/>
          <w:color w:val="5F5F5F"/>
          <w:sz w:val="20"/>
          <w:szCs w:val="20"/>
          <w:lang w:val="en-AU" w:eastAsia="en-AU"/>
        </w:rPr>
        <w:t xml:space="preserve"> must be taken into account by the decision-maker, i</w:t>
      </w:r>
      <w:r w:rsidRPr="00B166B8">
        <w:rPr>
          <w:rFonts w:eastAsiaTheme="minorHAnsi"/>
          <w:color w:val="5F5F5F"/>
          <w:sz w:val="20"/>
          <w:szCs w:val="20"/>
          <w:lang w:val="en-AU" w:eastAsia="en-AU"/>
        </w:rPr>
        <w:t>t is up to the applicant to identify</w:t>
      </w:r>
      <w:r>
        <w:rPr>
          <w:rFonts w:eastAsiaTheme="minorHAnsi"/>
          <w:color w:val="5F5F5F"/>
          <w:sz w:val="20"/>
          <w:szCs w:val="20"/>
          <w:lang w:val="en-AU" w:eastAsia="en-AU"/>
        </w:rPr>
        <w:t xml:space="preserve">, </w:t>
      </w:r>
      <w:r w:rsidRPr="00B166B8">
        <w:rPr>
          <w:rFonts w:eastAsiaTheme="minorHAnsi"/>
          <w:color w:val="5F5F5F"/>
          <w:sz w:val="20"/>
          <w:szCs w:val="20"/>
          <w:lang w:val="en-AU" w:eastAsia="en-AU"/>
        </w:rPr>
        <w:t>and submit</w:t>
      </w:r>
      <w:r>
        <w:rPr>
          <w:rFonts w:eastAsiaTheme="minorHAnsi"/>
          <w:color w:val="5F5F5F"/>
          <w:sz w:val="20"/>
          <w:szCs w:val="20"/>
          <w:lang w:val="en-AU" w:eastAsia="en-AU"/>
        </w:rPr>
        <w:t xml:space="preserve"> a</w:t>
      </w:r>
      <w:r w:rsidRPr="00B166B8">
        <w:rPr>
          <w:rFonts w:eastAsiaTheme="minorHAnsi"/>
          <w:color w:val="5F5F5F"/>
          <w:sz w:val="20"/>
          <w:szCs w:val="20"/>
          <w:lang w:val="en-AU" w:eastAsia="en-AU"/>
        </w:rPr>
        <w:t xml:space="preserve"> declaration</w:t>
      </w:r>
      <w:r>
        <w:rPr>
          <w:rFonts w:eastAsiaTheme="minorHAnsi"/>
          <w:color w:val="5F5F5F"/>
          <w:sz w:val="20"/>
          <w:szCs w:val="20"/>
          <w:lang w:val="en-AU" w:eastAsia="en-AU"/>
        </w:rPr>
        <w:t xml:space="preserve"> for newly appointed officers.</w:t>
      </w:r>
    </w:p>
    <w:p w14:paraId="37561C2C" w14:textId="77777777" w:rsidR="002444FE" w:rsidRPr="00136C29" w:rsidRDefault="002444FE" w:rsidP="00193574">
      <w:pPr>
        <w:spacing w:before="120"/>
      </w:pPr>
      <w:bookmarkStart w:id="10" w:name="_Hlk85626134"/>
      <w:r w:rsidRPr="00B166B8">
        <w:rPr>
          <w:rFonts w:eastAsiaTheme="minorHAnsi"/>
          <w:color w:val="5F5F5F"/>
          <w:sz w:val="20"/>
          <w:szCs w:val="20"/>
          <w:lang w:val="en-AU" w:eastAsia="en-AU"/>
        </w:rPr>
        <w:t>For applications</w:t>
      </w:r>
      <w:r>
        <w:rPr>
          <w:rFonts w:eastAsiaTheme="minorHAnsi"/>
          <w:color w:val="5F5F5F"/>
          <w:sz w:val="20"/>
          <w:szCs w:val="20"/>
          <w:lang w:val="en-AU" w:eastAsia="en-AU"/>
        </w:rPr>
        <w:t xml:space="preserve"> for which the matters in section 695YB are not required to be taken into account by the decision-maker</w:t>
      </w:r>
      <w:r w:rsidRPr="00B166B8">
        <w:rPr>
          <w:rFonts w:eastAsiaTheme="minorHAnsi"/>
          <w:color w:val="5F5F5F"/>
          <w:sz w:val="20"/>
          <w:szCs w:val="20"/>
          <w:lang w:val="en-AU" w:eastAsia="en-AU"/>
        </w:rPr>
        <w:t xml:space="preserve">, a change of circumstances form would need to be submitted for the new </w:t>
      </w:r>
      <w:r>
        <w:rPr>
          <w:rFonts w:eastAsiaTheme="minorHAnsi"/>
          <w:color w:val="5F5F5F"/>
          <w:sz w:val="20"/>
          <w:szCs w:val="20"/>
          <w:lang w:val="en-AU" w:eastAsia="en-AU"/>
        </w:rPr>
        <w:t>officers</w:t>
      </w:r>
      <w:r w:rsidRPr="00B166B8">
        <w:rPr>
          <w:rFonts w:eastAsiaTheme="minorHAnsi"/>
          <w:color w:val="5F5F5F"/>
          <w:sz w:val="20"/>
          <w:szCs w:val="20"/>
          <w:lang w:val="en-AU" w:eastAsia="en-AU"/>
        </w:rPr>
        <w:t xml:space="preserve"> if any of the matters </w:t>
      </w:r>
      <w:r>
        <w:rPr>
          <w:rFonts w:eastAsiaTheme="minorHAnsi"/>
          <w:color w:val="5F5F5F"/>
          <w:sz w:val="20"/>
          <w:szCs w:val="20"/>
          <w:lang w:val="en-AU" w:eastAsia="en-AU"/>
        </w:rPr>
        <w:t>set out in section 695YC</w:t>
      </w:r>
      <w:r w:rsidRPr="00B166B8">
        <w:rPr>
          <w:rFonts w:eastAsiaTheme="minorHAnsi"/>
          <w:color w:val="5F5F5F"/>
          <w:sz w:val="20"/>
          <w:szCs w:val="20"/>
          <w:lang w:val="en-AU" w:eastAsia="en-AU"/>
        </w:rPr>
        <w:t xml:space="preserve"> relate to them. If not, the new </w:t>
      </w:r>
      <w:r>
        <w:rPr>
          <w:rFonts w:eastAsiaTheme="minorHAnsi"/>
          <w:color w:val="5F5F5F"/>
          <w:sz w:val="20"/>
          <w:szCs w:val="20"/>
          <w:lang w:val="en-AU" w:eastAsia="en-AU"/>
        </w:rPr>
        <w:t>officer</w:t>
      </w:r>
      <w:r w:rsidRPr="00B166B8">
        <w:rPr>
          <w:rFonts w:eastAsiaTheme="minorHAnsi"/>
          <w:color w:val="5F5F5F"/>
          <w:sz w:val="20"/>
          <w:szCs w:val="20"/>
          <w:lang w:val="en-AU" w:eastAsia="en-AU"/>
        </w:rPr>
        <w:t xml:space="preserve"> will submit a </w:t>
      </w:r>
      <w:r>
        <w:rPr>
          <w:rFonts w:eastAsiaTheme="minorHAnsi"/>
          <w:color w:val="5F5F5F"/>
          <w:sz w:val="20"/>
          <w:szCs w:val="20"/>
          <w:lang w:val="en-AU" w:eastAsia="en-AU"/>
        </w:rPr>
        <w:t xml:space="preserve">section 695YB </w:t>
      </w:r>
      <w:r w:rsidRPr="00B166B8">
        <w:rPr>
          <w:rFonts w:eastAsiaTheme="minorHAnsi"/>
          <w:color w:val="5F5F5F"/>
          <w:sz w:val="20"/>
          <w:szCs w:val="20"/>
          <w:lang w:val="en-AU" w:eastAsia="en-AU"/>
        </w:rPr>
        <w:t xml:space="preserve">declaration with the next </w:t>
      </w:r>
      <w:r>
        <w:rPr>
          <w:rFonts w:eastAsiaTheme="minorHAnsi"/>
          <w:color w:val="5F5F5F"/>
          <w:sz w:val="20"/>
          <w:szCs w:val="20"/>
          <w:lang w:val="en-AU" w:eastAsia="en-AU"/>
        </w:rPr>
        <w:t xml:space="preserve">relevant </w:t>
      </w:r>
      <w:r w:rsidRPr="00B166B8">
        <w:rPr>
          <w:rFonts w:eastAsiaTheme="minorHAnsi"/>
          <w:color w:val="5F5F5F"/>
          <w:sz w:val="20"/>
          <w:szCs w:val="20"/>
          <w:lang w:val="en-AU" w:eastAsia="en-AU"/>
        </w:rPr>
        <w:t>application the company submits.</w:t>
      </w:r>
      <w:r w:rsidRPr="00F71EE9">
        <w:t xml:space="preserve"> </w:t>
      </w:r>
      <w:r w:rsidRPr="003D7148">
        <w:t xml:space="preserve"> </w:t>
      </w:r>
    </w:p>
    <w:bookmarkEnd w:id="10"/>
    <w:p w14:paraId="7D83A457" w14:textId="77777777" w:rsidR="002444FE" w:rsidRDefault="002444FE" w:rsidP="00193574">
      <w:pPr>
        <w:pStyle w:val="Heading2"/>
        <w:ind w:left="0"/>
      </w:pPr>
      <w:r>
        <w:rPr>
          <w:color w:val="27629B"/>
        </w:rPr>
        <w:t>Questions</w:t>
      </w:r>
    </w:p>
    <w:p w14:paraId="3E448E13" w14:textId="77777777" w:rsidR="002444FE" w:rsidRPr="00820415" w:rsidRDefault="002444FE" w:rsidP="00193574">
      <w:pPr>
        <w:spacing w:after="120"/>
        <w:rPr>
          <w:color w:val="5F5F5F"/>
          <w:sz w:val="20"/>
          <w:szCs w:val="20"/>
        </w:rPr>
      </w:pPr>
      <w:r w:rsidRPr="00820415">
        <w:rPr>
          <w:color w:val="5F5F5F"/>
          <w:sz w:val="20"/>
          <w:szCs w:val="20"/>
        </w:rPr>
        <w:t xml:space="preserve">If you have any </w:t>
      </w:r>
      <w:r>
        <w:rPr>
          <w:color w:val="5F5F5F"/>
          <w:sz w:val="20"/>
          <w:szCs w:val="20"/>
        </w:rPr>
        <w:t xml:space="preserve">further </w:t>
      </w:r>
      <w:r w:rsidRPr="00820415">
        <w:rPr>
          <w:color w:val="5F5F5F"/>
          <w:sz w:val="20"/>
          <w:szCs w:val="20"/>
        </w:rPr>
        <w:t>questions, please contact NOPTA via</w:t>
      </w:r>
      <w:r w:rsidRPr="00820415">
        <w:rPr>
          <w:color w:val="5F5F5F"/>
          <w:spacing w:val="-3"/>
          <w:sz w:val="20"/>
          <w:szCs w:val="20"/>
        </w:rPr>
        <w:t xml:space="preserve"> </w:t>
      </w:r>
      <w:hyperlink r:id="rId23">
        <w:r w:rsidRPr="00820415">
          <w:rPr>
            <w:color w:val="0562C1"/>
            <w:sz w:val="20"/>
            <w:szCs w:val="20"/>
            <w:u w:val="single" w:color="0562C1"/>
          </w:rPr>
          <w:t>titles@nopta.gov.au</w:t>
        </w:r>
        <w:r w:rsidRPr="00820415">
          <w:rPr>
            <w:color w:val="5F5F5F"/>
            <w:sz w:val="20"/>
            <w:szCs w:val="20"/>
          </w:rPr>
          <w:t>.</w:t>
        </w:r>
      </w:hyperlink>
      <w:r>
        <w:rPr>
          <w:color w:val="5F5F5F"/>
          <w:sz w:val="20"/>
          <w:szCs w:val="20"/>
        </w:rPr>
        <w:t xml:space="preserve"> </w:t>
      </w:r>
    </w:p>
    <w:p w14:paraId="670B3B1A" w14:textId="77777777" w:rsidR="002444FE" w:rsidRPr="00B80880" w:rsidRDefault="002444FE" w:rsidP="00193574">
      <w:pPr>
        <w:keepNext/>
        <w:keepLines/>
        <w:spacing w:line="259" w:lineRule="auto"/>
        <w:outlineLvl w:val="1"/>
        <w:rPr>
          <w:b/>
          <w:color w:val="27639B"/>
          <w:sz w:val="24"/>
          <w:lang w:eastAsia="en-AU"/>
        </w:rPr>
      </w:pPr>
      <w:bookmarkStart w:id="11" w:name="_Hlk15570741"/>
      <w:r>
        <w:rPr>
          <w:b/>
          <w:color w:val="27639B"/>
          <w:sz w:val="24"/>
          <w:lang w:eastAsia="en-AU"/>
        </w:rPr>
        <w:br/>
      </w:r>
      <w:r w:rsidRPr="00B80880">
        <w:rPr>
          <w:b/>
          <w:color w:val="27639B"/>
          <w:sz w:val="24"/>
          <w:lang w:eastAsia="en-AU"/>
        </w:rPr>
        <w:t xml:space="preserve">Version </w:t>
      </w:r>
      <w:r>
        <w:rPr>
          <w:b/>
          <w:color w:val="27639B"/>
          <w:sz w:val="24"/>
          <w:lang w:eastAsia="en-AU"/>
        </w:rPr>
        <w:t>h</w:t>
      </w:r>
      <w:r w:rsidRPr="00B80880">
        <w:rPr>
          <w:b/>
          <w:color w:val="27639B"/>
          <w:sz w:val="24"/>
          <w:lang w:eastAsia="en-AU"/>
        </w:rPr>
        <w:t>istory</w:t>
      </w:r>
    </w:p>
    <w:tbl>
      <w:tblPr>
        <w:tblStyle w:val="GridTable1Light11"/>
        <w:tblW w:w="4673" w:type="dxa"/>
        <w:tblLook w:val="0420" w:firstRow="1" w:lastRow="0" w:firstColumn="0" w:lastColumn="0" w:noHBand="0" w:noVBand="1"/>
      </w:tblPr>
      <w:tblGrid>
        <w:gridCol w:w="803"/>
        <w:gridCol w:w="1177"/>
        <w:gridCol w:w="2693"/>
      </w:tblGrid>
      <w:tr w:rsidR="002444FE" w:rsidRPr="00D51425" w14:paraId="5B3606A8" w14:textId="77777777" w:rsidTr="00205893">
        <w:trPr>
          <w:cnfStyle w:val="100000000000" w:firstRow="1" w:lastRow="0" w:firstColumn="0" w:lastColumn="0" w:oddVBand="0" w:evenVBand="0" w:oddHBand="0" w:evenHBand="0" w:firstRowFirstColumn="0" w:firstRowLastColumn="0" w:lastRowFirstColumn="0" w:lastRowLastColumn="0"/>
          <w:tblHeader/>
        </w:trPr>
        <w:tc>
          <w:tcPr>
            <w:tcW w:w="803" w:type="dxa"/>
          </w:tcPr>
          <w:p w14:paraId="34E74A3C" w14:textId="77777777" w:rsidR="002444FE" w:rsidRPr="00FC7D95" w:rsidRDefault="002444FE" w:rsidP="00193574">
            <w:pPr>
              <w:spacing w:before="60" w:after="60"/>
              <w:jc w:val="center"/>
              <w:rPr>
                <w:color w:val="5F5F5F"/>
                <w:sz w:val="16"/>
                <w:szCs w:val="16"/>
              </w:rPr>
            </w:pPr>
            <w:r w:rsidRPr="00FC7D95">
              <w:rPr>
                <w:color w:val="5F5F5F"/>
                <w:sz w:val="16"/>
                <w:szCs w:val="16"/>
              </w:rPr>
              <w:t>Version</w:t>
            </w:r>
          </w:p>
        </w:tc>
        <w:tc>
          <w:tcPr>
            <w:tcW w:w="1177" w:type="dxa"/>
          </w:tcPr>
          <w:p w14:paraId="2817A7F4" w14:textId="77777777" w:rsidR="002444FE" w:rsidRPr="00FC7D95" w:rsidRDefault="002444FE" w:rsidP="00193574">
            <w:pPr>
              <w:spacing w:before="60" w:after="60"/>
              <w:rPr>
                <w:color w:val="5F5F5F"/>
                <w:sz w:val="16"/>
                <w:szCs w:val="16"/>
              </w:rPr>
            </w:pPr>
            <w:r w:rsidRPr="00FC7D95">
              <w:rPr>
                <w:color w:val="5F5F5F"/>
                <w:sz w:val="16"/>
                <w:szCs w:val="16"/>
              </w:rPr>
              <w:t>Date</w:t>
            </w:r>
          </w:p>
        </w:tc>
        <w:tc>
          <w:tcPr>
            <w:tcW w:w="2693" w:type="dxa"/>
          </w:tcPr>
          <w:p w14:paraId="2E931269" w14:textId="77777777" w:rsidR="002444FE" w:rsidRPr="00FC7D95" w:rsidRDefault="002444FE" w:rsidP="00193574">
            <w:pPr>
              <w:spacing w:before="60" w:after="60"/>
              <w:rPr>
                <w:color w:val="5F5F5F"/>
                <w:sz w:val="16"/>
                <w:szCs w:val="16"/>
              </w:rPr>
            </w:pPr>
            <w:r w:rsidRPr="00FC7D95">
              <w:rPr>
                <w:color w:val="5F5F5F"/>
                <w:sz w:val="16"/>
                <w:szCs w:val="16"/>
              </w:rPr>
              <w:t>Comment</w:t>
            </w:r>
          </w:p>
        </w:tc>
      </w:tr>
      <w:tr w:rsidR="002444FE" w:rsidRPr="00D51425" w14:paraId="3B8674B6" w14:textId="77777777" w:rsidTr="00205893">
        <w:tc>
          <w:tcPr>
            <w:tcW w:w="803" w:type="dxa"/>
            <w:vAlign w:val="center"/>
          </w:tcPr>
          <w:p w14:paraId="42AA43EE" w14:textId="0C6535BD" w:rsidR="002444FE" w:rsidRPr="00FC7D95" w:rsidRDefault="00174064" w:rsidP="00193574">
            <w:pPr>
              <w:spacing w:after="60"/>
              <w:jc w:val="center"/>
              <w:rPr>
                <w:color w:val="5F5F5F"/>
                <w:sz w:val="16"/>
                <w:szCs w:val="16"/>
              </w:rPr>
            </w:pPr>
            <w:r>
              <w:rPr>
                <w:color w:val="5F5F5F"/>
                <w:sz w:val="16"/>
                <w:szCs w:val="16"/>
              </w:rPr>
              <w:t>1</w:t>
            </w:r>
            <w:r w:rsidR="002444FE" w:rsidRPr="00FC7D95">
              <w:rPr>
                <w:color w:val="5F5F5F"/>
                <w:sz w:val="16"/>
                <w:szCs w:val="16"/>
              </w:rPr>
              <w:t>.0</w:t>
            </w:r>
          </w:p>
        </w:tc>
        <w:tc>
          <w:tcPr>
            <w:tcW w:w="1177" w:type="dxa"/>
            <w:vAlign w:val="center"/>
          </w:tcPr>
          <w:p w14:paraId="18FCE6B1" w14:textId="5D5A03E4" w:rsidR="002444FE" w:rsidRPr="00FC7D95" w:rsidRDefault="008B739D" w:rsidP="00193574">
            <w:pPr>
              <w:tabs>
                <w:tab w:val="left" w:pos="371"/>
              </w:tabs>
              <w:spacing w:before="60" w:after="60"/>
              <w:jc w:val="center"/>
              <w:rPr>
                <w:color w:val="5F5F5F"/>
                <w:sz w:val="16"/>
                <w:szCs w:val="16"/>
              </w:rPr>
            </w:pPr>
            <w:r>
              <w:rPr>
                <w:color w:val="5F5F5F"/>
                <w:sz w:val="16"/>
                <w:szCs w:val="16"/>
              </w:rPr>
              <w:t>February 2022</w:t>
            </w:r>
          </w:p>
        </w:tc>
        <w:tc>
          <w:tcPr>
            <w:tcW w:w="2693" w:type="dxa"/>
            <w:vAlign w:val="center"/>
          </w:tcPr>
          <w:p w14:paraId="392AD6FD" w14:textId="77777777" w:rsidR="002444FE" w:rsidRPr="00FC7D95" w:rsidRDefault="002444FE" w:rsidP="00193574">
            <w:pPr>
              <w:spacing w:before="60" w:after="60"/>
              <w:rPr>
                <w:color w:val="5F5F5F"/>
                <w:sz w:val="16"/>
                <w:szCs w:val="16"/>
              </w:rPr>
            </w:pPr>
            <w:r w:rsidRPr="00FC7D95">
              <w:rPr>
                <w:color w:val="5F5F5F"/>
                <w:sz w:val="16"/>
                <w:szCs w:val="16"/>
              </w:rPr>
              <w:t xml:space="preserve">Creation of </w:t>
            </w:r>
            <w:r>
              <w:rPr>
                <w:color w:val="5F5F5F"/>
                <w:sz w:val="16"/>
                <w:szCs w:val="16"/>
              </w:rPr>
              <w:t xml:space="preserve">the FAQs </w:t>
            </w:r>
          </w:p>
        </w:tc>
      </w:tr>
      <w:bookmarkEnd w:id="11"/>
    </w:tbl>
    <w:p w14:paraId="4C5FCB25" w14:textId="30384AED" w:rsidR="00397813" w:rsidRPr="0018777E" w:rsidRDefault="00397813" w:rsidP="00193574">
      <w:pPr>
        <w:keepNext/>
        <w:keepLines/>
        <w:spacing w:after="120"/>
        <w:rPr>
          <w:rFonts w:eastAsiaTheme="minorHAnsi"/>
          <w:color w:val="5F5F5F"/>
          <w:sz w:val="20"/>
          <w:szCs w:val="20"/>
          <w:lang w:val="en-AU" w:eastAsia="en-AU"/>
        </w:rPr>
      </w:pPr>
    </w:p>
    <w:bookmarkEnd w:id="8"/>
    <w:bookmarkEnd w:id="7"/>
    <w:sectPr w:rsidR="00397813" w:rsidRPr="0018777E" w:rsidSect="00A23F9F">
      <w:headerReference w:type="even" r:id="rId24"/>
      <w:headerReference w:type="first" r:id="rId25"/>
      <w:type w:val="continuous"/>
      <w:pgSz w:w="11910" w:h="16840"/>
      <w:pgMar w:top="2461" w:right="680" w:bottom="851" w:left="680" w:header="6" w:footer="505"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456C" w14:textId="77777777" w:rsidR="00AE3FD4" w:rsidRDefault="00AE3FD4">
      <w:r>
        <w:separator/>
      </w:r>
    </w:p>
  </w:endnote>
  <w:endnote w:type="continuationSeparator" w:id="0">
    <w:p w14:paraId="18E81F91" w14:textId="77777777" w:rsidR="00AE3FD4" w:rsidRDefault="00AE3FD4">
      <w:r>
        <w:continuationSeparator/>
      </w:r>
    </w:p>
  </w:endnote>
  <w:endnote w:type="continuationNotice" w:id="1">
    <w:p w14:paraId="24AF4CF1" w14:textId="77777777" w:rsidR="00AE3FD4" w:rsidRDefault="00AE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90556694"/>
  <w:bookmarkStart w:id="4" w:name="_Hlk90556695"/>
  <w:p w14:paraId="0A9C0CB1" w14:textId="5B933B8A" w:rsidR="005F52A1" w:rsidRPr="00120819" w:rsidRDefault="00120819" w:rsidP="00120819">
    <w:pPr>
      <w:pStyle w:val="Footer"/>
      <w:tabs>
        <w:tab w:val="clear" w:pos="4513"/>
        <w:tab w:val="clear" w:pos="9026"/>
        <w:tab w:val="center" w:pos="4962"/>
        <w:tab w:val="right" w:pos="10632"/>
      </w:tabs>
    </w:pPr>
    <w:r w:rsidRPr="006C550A">
      <w:rPr>
        <w:noProof/>
        <w:sz w:val="4"/>
        <w:szCs w:val="4"/>
        <w:lang w:val="en-AU" w:eastAsia="en-AU"/>
      </w:rPr>
      <mc:AlternateContent>
        <mc:Choice Requires="wps">
          <w:drawing>
            <wp:inline distT="0" distB="0" distL="0" distR="0" wp14:anchorId="29125D72" wp14:editId="4097944A">
              <wp:extent cx="6753225" cy="0"/>
              <wp:effectExtent l="0" t="0" r="0" b="0"/>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596026" id="Line 4"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53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" strokecolor="#27639b">
              <w10:anchorlock/>
            </v:line>
          </w:pict>
        </mc:Fallback>
      </mc:AlternateContent>
    </w:r>
    <w:r w:rsidRPr="00061F3C">
      <w:t>www.nopta.gov.au</w:t>
    </w:r>
    <w:r>
      <w:tab/>
    </w:r>
    <w:r>
      <w:tab/>
      <w:t>Version 1.0</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8252"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A9D8" id="Line 4" o:spid="_x0000_s1026" alt="Title: horizontal line"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35pt" to="49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9E2E" w14:textId="77777777" w:rsidR="00AE3FD4" w:rsidRDefault="00AE3FD4">
      <w:r>
        <w:separator/>
      </w:r>
    </w:p>
  </w:footnote>
  <w:footnote w:type="continuationSeparator" w:id="0">
    <w:p w14:paraId="40398CA4" w14:textId="77777777" w:rsidR="00AE3FD4" w:rsidRDefault="00AE3FD4">
      <w:r>
        <w:continuationSeparator/>
      </w:r>
    </w:p>
  </w:footnote>
  <w:footnote w:type="continuationNotice" w:id="1">
    <w:p w14:paraId="6479B384" w14:textId="77777777" w:rsidR="00AE3FD4" w:rsidRDefault="00AE3FD4"/>
  </w:footnote>
  <w:footnote w:id="2">
    <w:p w14:paraId="3E9D6637" w14:textId="77777777" w:rsidR="009A4C00" w:rsidRPr="00193574" w:rsidRDefault="009A4C00" w:rsidP="00193574">
      <w:pPr>
        <w:pStyle w:val="FootnoteText"/>
        <w:rPr>
          <w:color w:val="5F5F5F"/>
          <w:sz w:val="14"/>
          <w:szCs w:val="14"/>
          <w:lang w:val="en-AU"/>
        </w:rPr>
      </w:pPr>
      <w:r w:rsidRPr="00193574">
        <w:rPr>
          <w:rStyle w:val="FootnoteReference"/>
          <w:color w:val="5F5F5F"/>
          <w:sz w:val="14"/>
          <w:szCs w:val="14"/>
        </w:rPr>
        <w:footnoteRef/>
      </w:r>
      <w:r w:rsidRPr="00193574">
        <w:rPr>
          <w:color w:val="5F5F5F"/>
          <w:sz w:val="14"/>
          <w:szCs w:val="14"/>
        </w:rPr>
        <w:t xml:space="preserve"> </w:t>
      </w:r>
      <w:r w:rsidRPr="00193574">
        <w:rPr>
          <w:color w:val="5F5F5F"/>
          <w:sz w:val="14"/>
          <w:szCs w:val="14"/>
          <w:lang w:val="en-AU"/>
        </w:rPr>
        <w:t>See sections 105, 111, 116, 117, 179, 180, 199, 221, 222, 298, 305, 306.</w:t>
      </w:r>
    </w:p>
  </w:footnote>
  <w:footnote w:id="3">
    <w:p w14:paraId="11E001BF" w14:textId="4BCEB208" w:rsidR="004342A8" w:rsidRPr="00193574" w:rsidRDefault="004342A8" w:rsidP="00193574">
      <w:pPr>
        <w:pStyle w:val="FootnoteText"/>
        <w:rPr>
          <w:sz w:val="14"/>
          <w:szCs w:val="14"/>
          <w:lang w:val="en-AU"/>
        </w:rPr>
      </w:pPr>
      <w:r w:rsidRPr="00193574">
        <w:rPr>
          <w:rStyle w:val="FootnoteReference"/>
          <w:sz w:val="14"/>
          <w:szCs w:val="14"/>
        </w:rPr>
        <w:footnoteRef/>
      </w:r>
      <w:r w:rsidRPr="00193574">
        <w:rPr>
          <w:sz w:val="14"/>
          <w:szCs w:val="14"/>
        </w:rPr>
        <w:t xml:space="preserve"> </w:t>
      </w:r>
      <w:r w:rsidRPr="00193574">
        <w:rPr>
          <w:color w:val="5F5F5F"/>
          <w:sz w:val="14"/>
          <w:szCs w:val="14"/>
          <w:lang w:val="en-AU"/>
        </w:rPr>
        <w:t>With the exception of consolidated work-bid GHG assessment permits and cross-boundary GHG assessment permits.</w:t>
      </w:r>
    </w:p>
  </w:footnote>
  <w:footnote w:id="4">
    <w:p w14:paraId="37BDFBA1" w14:textId="0E03735B" w:rsidR="00193574" w:rsidRPr="00193574" w:rsidRDefault="004342A8" w:rsidP="00193574">
      <w:pPr>
        <w:pStyle w:val="FootnoteText"/>
        <w:keepNext/>
        <w:keepLines/>
        <w:rPr>
          <w:sz w:val="14"/>
          <w:szCs w:val="14"/>
          <w:lang w:val="en-AU"/>
        </w:rPr>
      </w:pPr>
      <w:r w:rsidRPr="00193574">
        <w:rPr>
          <w:rStyle w:val="FootnoteReference"/>
          <w:sz w:val="14"/>
          <w:szCs w:val="14"/>
        </w:rPr>
        <w:footnoteRef/>
      </w:r>
      <w:r w:rsidRPr="00193574">
        <w:rPr>
          <w:sz w:val="14"/>
          <w:szCs w:val="14"/>
        </w:rPr>
        <w:t xml:space="preserve"> </w:t>
      </w:r>
      <w:r w:rsidRPr="00193574">
        <w:rPr>
          <w:color w:val="5F5F5F"/>
          <w:sz w:val="14"/>
          <w:szCs w:val="14"/>
          <w:lang w:val="en-AU"/>
        </w:rPr>
        <w:t>Section 695YB only applies if the applicant is not the petroleum production licence holder or the GHG injection licence holder.</w:t>
      </w:r>
    </w:p>
  </w:footnote>
  <w:footnote w:id="5">
    <w:p w14:paraId="77221617" w14:textId="73D50EA3" w:rsidR="008E41D5" w:rsidRPr="00193574" w:rsidRDefault="008E41D5" w:rsidP="00193574">
      <w:pPr>
        <w:pStyle w:val="FootnoteText"/>
        <w:ind w:left="142" w:hanging="142"/>
        <w:rPr>
          <w:color w:val="5F5F5F"/>
          <w:sz w:val="14"/>
          <w:szCs w:val="14"/>
          <w:lang w:val="en-AU"/>
        </w:rPr>
      </w:pPr>
      <w:r w:rsidRPr="00193574">
        <w:rPr>
          <w:rStyle w:val="FootnoteReference"/>
          <w:sz w:val="14"/>
          <w:szCs w:val="14"/>
        </w:rPr>
        <w:footnoteRef/>
      </w:r>
      <w:r w:rsidRPr="00193574">
        <w:rPr>
          <w:sz w:val="14"/>
          <w:szCs w:val="14"/>
        </w:rPr>
        <w:t xml:space="preserve"> </w:t>
      </w:r>
      <w:r w:rsidRPr="00193574">
        <w:rPr>
          <w:color w:val="5F5F5F"/>
          <w:sz w:val="14"/>
          <w:szCs w:val="14"/>
          <w:lang w:val="en-AU"/>
        </w:rPr>
        <w:t xml:space="preserve">See </w:t>
      </w:r>
      <w:r w:rsidR="004918C1" w:rsidRPr="00193574">
        <w:rPr>
          <w:color w:val="5F5F5F"/>
          <w:sz w:val="14"/>
          <w:szCs w:val="14"/>
          <w:lang w:val="en-AU"/>
        </w:rPr>
        <w:t xml:space="preserve">item </w:t>
      </w:r>
      <w:r w:rsidRPr="00193574">
        <w:rPr>
          <w:color w:val="5F5F5F"/>
          <w:sz w:val="14"/>
          <w:szCs w:val="14"/>
          <w:lang w:val="en-AU"/>
        </w:rPr>
        <w:t>237(2) of the Offshore Petroleum and Greenhouse Gas Storage Amendment (Titles Administration and Other Measures) Act 2021.</w:t>
      </w:r>
    </w:p>
  </w:footnote>
  <w:footnote w:id="6">
    <w:p w14:paraId="01DDED58" w14:textId="77777777" w:rsidR="00EE163B" w:rsidRPr="00781B99" w:rsidRDefault="00EE163B" w:rsidP="00193574">
      <w:pPr>
        <w:pStyle w:val="FootnoteText"/>
        <w:ind w:left="142" w:hanging="142"/>
        <w:rPr>
          <w:lang w:val="en-AU"/>
        </w:rPr>
      </w:pPr>
      <w:r w:rsidRPr="00193574">
        <w:rPr>
          <w:color w:val="5F5F5F"/>
          <w:sz w:val="16"/>
          <w:szCs w:val="16"/>
          <w:vertAlign w:val="superscript"/>
          <w:lang w:val="en-AU"/>
        </w:rPr>
        <w:footnoteRef/>
      </w:r>
      <w:r w:rsidRPr="00193574">
        <w:rPr>
          <w:color w:val="5F5F5F"/>
          <w:sz w:val="16"/>
          <w:szCs w:val="16"/>
          <w:vertAlign w:val="superscript"/>
          <w:lang w:val="en-AU"/>
        </w:rPr>
        <w:t xml:space="preserve"> </w:t>
      </w:r>
      <w:r w:rsidRPr="00193574">
        <w:rPr>
          <w:color w:val="5F5F5F"/>
          <w:sz w:val="14"/>
          <w:szCs w:val="14"/>
          <w:lang w:val="en-AU"/>
        </w:rPr>
        <w:t>See section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1F5A" w14:textId="1E0A2E52" w:rsidR="00BC7B71" w:rsidRDefault="00BC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2836" w14:textId="079FC94C" w:rsidR="00390917" w:rsidRPr="0062559B" w:rsidRDefault="00390917" w:rsidP="00390917">
    <w:pPr>
      <w:pStyle w:val="Header"/>
      <w:tabs>
        <w:tab w:val="clear" w:pos="4513"/>
        <w:tab w:val="clear" w:pos="9026"/>
        <w:tab w:val="right" w:pos="10348"/>
        <w:tab w:val="right" w:pos="10408"/>
      </w:tabs>
      <w:spacing w:before="480"/>
      <w:ind w:right="282"/>
      <w:rPr>
        <w:b/>
        <w:color w:val="FFFFFF" w:themeColor="background1"/>
        <w:sz w:val="52"/>
      </w:rPr>
    </w:pPr>
    <w:bookmarkStart w:id="0" w:name="_Hlk87961066"/>
    <w:bookmarkStart w:id="1" w:name="_Hlk90556622"/>
    <w:bookmarkStart w:id="2" w:name="_Hlk90556623"/>
    <w:r>
      <w:rPr>
        <w:b/>
        <w:noProof/>
        <w:color w:val="FFFFFF" w:themeColor="background1"/>
        <w:sz w:val="52"/>
      </w:rPr>
      <w:tab/>
    </w:r>
    <w:r>
      <w:rPr>
        <w:b/>
        <w:noProof/>
        <w:color w:val="FFFFFF" w:themeColor="background1"/>
        <w:sz w:val="52"/>
      </w:rPr>
      <w:tab/>
    </w:r>
    <w:r>
      <w:rPr>
        <w:b/>
        <w:noProof/>
        <w:color w:val="FFFFFF" w:themeColor="background1"/>
        <w:sz w:val="52"/>
      </w:rPr>
      <w:tab/>
    </w:r>
    <w:r w:rsidRPr="0062559B">
      <w:rPr>
        <w:b/>
        <w:noProof/>
        <w:color w:val="FFFFFF" w:themeColor="background1"/>
        <w:sz w:val="52"/>
      </w:rPr>
      <w:t>F</w:t>
    </w:r>
    <w:r w:rsidRPr="0062559B">
      <w:rPr>
        <w:b/>
        <w:noProof/>
        <w:color w:val="FFFFFF" w:themeColor="background1"/>
        <w:sz w:val="52"/>
      </w:rPr>
      <w:drawing>
        <wp:anchor distT="0" distB="0" distL="114300" distR="114300" simplePos="0" relativeHeight="251699213" behindDoc="1" locked="0" layoutInCell="1" allowOverlap="1" wp14:anchorId="22BCCDEA" wp14:editId="40344055">
          <wp:simplePos x="0" y="0"/>
          <wp:positionH relativeFrom="page">
            <wp:posOffset>-100965</wp:posOffset>
          </wp:positionH>
          <wp:positionV relativeFrom="page">
            <wp:align>top</wp:align>
          </wp:positionV>
          <wp:extent cx="12349424" cy="15661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b="5703"/>
                  <a:stretch/>
                </pic:blipFill>
                <pic:spPr bwMode="auto">
                  <a:xfrm>
                    <a:off x="0" y="0"/>
                    <a:ext cx="12349424" cy="1566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color w:val="FFFFFF" w:themeColor="background1"/>
        <w:sz w:val="52"/>
      </w:rPr>
      <w:t>requently Asked Questions</w:t>
    </w:r>
  </w:p>
  <w:bookmarkEnd w:id="0"/>
  <w:p w14:paraId="29365977" w14:textId="77777777" w:rsidR="00390917" w:rsidRDefault="00390917" w:rsidP="00390917">
    <w:pPr>
      <w:pStyle w:val="BodyText"/>
      <w:spacing w:before="0" w:line="14" w:lineRule="auto"/>
      <w:ind w:left="0"/>
    </w:pPr>
    <w:r>
      <w:rPr>
        <w:noProof/>
        <w:lang w:val="en-AU" w:eastAsia="en-AU"/>
      </w:rPr>
      <w:drawing>
        <wp:anchor distT="0" distB="0" distL="0" distR="0" simplePos="0" relativeHeight="251698189" behindDoc="1" locked="0" layoutInCell="1" allowOverlap="1" wp14:anchorId="2F94CACE" wp14:editId="7A351713">
          <wp:simplePos x="0" y="0"/>
          <wp:positionH relativeFrom="page">
            <wp:posOffset>1270</wp:posOffset>
          </wp:positionH>
          <wp:positionV relativeFrom="page">
            <wp:posOffset>1904</wp:posOffset>
          </wp:positionV>
          <wp:extent cx="7559293" cy="156491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2512E667" w14:textId="77777777" w:rsidR="00390917" w:rsidRDefault="00390917" w:rsidP="00390917">
    <w:pPr>
      <w:pStyle w:val="BodyText"/>
      <w:spacing w:before="0" w:line="14" w:lineRule="auto"/>
      <w:ind w:left="0"/>
    </w:pPr>
    <w:r>
      <w:rPr>
        <w:noProof/>
        <w:lang w:val="en-AU" w:eastAsia="en-AU"/>
      </w:rPr>
      <w:drawing>
        <wp:anchor distT="0" distB="0" distL="0" distR="0" simplePos="0" relativeHeight="251697165" behindDoc="1" locked="0" layoutInCell="1" allowOverlap="1" wp14:anchorId="61C336BA" wp14:editId="19175D1B">
          <wp:simplePos x="0" y="0"/>
          <wp:positionH relativeFrom="page">
            <wp:posOffset>1270</wp:posOffset>
          </wp:positionH>
          <wp:positionV relativeFrom="page">
            <wp:posOffset>1904</wp:posOffset>
          </wp:positionV>
          <wp:extent cx="7559293" cy="156491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611DB6EC" w14:textId="77777777" w:rsidR="00390917" w:rsidRPr="00B627AE" w:rsidRDefault="00390917" w:rsidP="00390917">
    <w:pPr>
      <w:pStyle w:val="Header"/>
    </w:pPr>
  </w:p>
  <w:bookmarkEnd w:id="1"/>
  <w:bookmarkEnd w:id="2"/>
  <w:p w14:paraId="4F9D66A0" w14:textId="4BFF7874" w:rsidR="00BC7B71" w:rsidRDefault="00BC7B71">
    <w:pPr>
      <w:pStyle w:val="BodyText"/>
      <w:spacing w:before="0" w:line="1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D556" w14:textId="369F72F7" w:rsidR="00BC7B71" w:rsidRDefault="00BC7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065" w14:textId="722B1D1E" w:rsidR="00BC7B71" w:rsidRDefault="00BC7B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075" w14:textId="17FA235B"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5542524"/>
    <w:multiLevelType w:val="hybridMultilevel"/>
    <w:tmpl w:val="968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8"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9"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4"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5"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6"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17"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8"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2"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4"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7" w15:restartNumberingAfterBreak="0">
    <w:nsid w:val="661912BF"/>
    <w:multiLevelType w:val="hybridMultilevel"/>
    <w:tmpl w:val="AB88E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29"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0"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B404AD"/>
    <w:multiLevelType w:val="hybridMultilevel"/>
    <w:tmpl w:val="2B36145C"/>
    <w:lvl w:ilvl="0" w:tplc="0C090015">
      <w:start w:val="1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3"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
  </w:num>
  <w:num w:numId="3">
    <w:abstractNumId w:val="7"/>
  </w:num>
  <w:num w:numId="4">
    <w:abstractNumId w:val="32"/>
  </w:num>
  <w:num w:numId="5">
    <w:abstractNumId w:val="25"/>
  </w:num>
  <w:num w:numId="6">
    <w:abstractNumId w:val="0"/>
  </w:num>
  <w:num w:numId="7">
    <w:abstractNumId w:val="8"/>
  </w:num>
  <w:num w:numId="8">
    <w:abstractNumId w:val="21"/>
  </w:num>
  <w:num w:numId="9">
    <w:abstractNumId w:val="6"/>
  </w:num>
  <w:num w:numId="10">
    <w:abstractNumId w:val="33"/>
  </w:num>
  <w:num w:numId="11">
    <w:abstractNumId w:val="22"/>
  </w:num>
  <w:num w:numId="12">
    <w:abstractNumId w:val="24"/>
  </w:num>
  <w:num w:numId="13">
    <w:abstractNumId w:val="29"/>
  </w:num>
  <w:num w:numId="14">
    <w:abstractNumId w:val="35"/>
  </w:num>
  <w:num w:numId="15">
    <w:abstractNumId w:val="11"/>
  </w:num>
  <w:num w:numId="16">
    <w:abstractNumId w:val="26"/>
  </w:num>
  <w:num w:numId="17">
    <w:abstractNumId w:val="34"/>
  </w:num>
  <w:num w:numId="18">
    <w:abstractNumId w:val="10"/>
  </w:num>
  <w:num w:numId="19">
    <w:abstractNumId w:val="1"/>
  </w:num>
  <w:num w:numId="20">
    <w:abstractNumId w:val="20"/>
  </w:num>
  <w:num w:numId="21">
    <w:abstractNumId w:val="23"/>
  </w:num>
  <w:num w:numId="22">
    <w:abstractNumId w:val="13"/>
  </w:num>
  <w:num w:numId="23">
    <w:abstractNumId w:val="36"/>
  </w:num>
  <w:num w:numId="24">
    <w:abstractNumId w:val="5"/>
  </w:num>
  <w:num w:numId="25">
    <w:abstractNumId w:val="19"/>
  </w:num>
  <w:num w:numId="26">
    <w:abstractNumId w:val="2"/>
  </w:num>
  <w:num w:numId="27">
    <w:abstractNumId w:val="9"/>
  </w:num>
  <w:num w:numId="28">
    <w:abstractNumId w:val="16"/>
  </w:num>
  <w:num w:numId="29">
    <w:abstractNumId w:val="17"/>
  </w:num>
  <w:num w:numId="30">
    <w:abstractNumId w:val="12"/>
  </w:num>
  <w:num w:numId="31">
    <w:abstractNumId w:val="18"/>
  </w:num>
  <w:num w:numId="32">
    <w:abstractNumId w:val="15"/>
  </w:num>
  <w:num w:numId="33">
    <w:abstractNumId w:val="30"/>
  </w:num>
  <w:num w:numId="34">
    <w:abstractNumId w:val="14"/>
  </w:num>
  <w:num w:numId="35">
    <w:abstractNumId w:val="31"/>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D4B"/>
    <w:rsid w:val="00016588"/>
    <w:rsid w:val="00023161"/>
    <w:rsid w:val="00031849"/>
    <w:rsid w:val="00032839"/>
    <w:rsid w:val="000416C3"/>
    <w:rsid w:val="00041AD6"/>
    <w:rsid w:val="00042D76"/>
    <w:rsid w:val="00046AF0"/>
    <w:rsid w:val="00046EA1"/>
    <w:rsid w:val="000472D4"/>
    <w:rsid w:val="00054436"/>
    <w:rsid w:val="00062C33"/>
    <w:rsid w:val="000754AE"/>
    <w:rsid w:val="00081647"/>
    <w:rsid w:val="00082871"/>
    <w:rsid w:val="00086426"/>
    <w:rsid w:val="00091958"/>
    <w:rsid w:val="00095EEB"/>
    <w:rsid w:val="00096B5B"/>
    <w:rsid w:val="000A021A"/>
    <w:rsid w:val="000A1270"/>
    <w:rsid w:val="000A2469"/>
    <w:rsid w:val="000B0293"/>
    <w:rsid w:val="000B03B6"/>
    <w:rsid w:val="000B1A1C"/>
    <w:rsid w:val="000B496F"/>
    <w:rsid w:val="000B4DE3"/>
    <w:rsid w:val="000B540D"/>
    <w:rsid w:val="000C0CBC"/>
    <w:rsid w:val="000C1646"/>
    <w:rsid w:val="000C3FCB"/>
    <w:rsid w:val="000D2A29"/>
    <w:rsid w:val="000D3BA2"/>
    <w:rsid w:val="000E1043"/>
    <w:rsid w:val="000E11FF"/>
    <w:rsid w:val="000E2CFC"/>
    <w:rsid w:val="00102B03"/>
    <w:rsid w:val="00103DFD"/>
    <w:rsid w:val="00111A42"/>
    <w:rsid w:val="0011618C"/>
    <w:rsid w:val="00120819"/>
    <w:rsid w:val="00120E4C"/>
    <w:rsid w:val="00121D71"/>
    <w:rsid w:val="00132F68"/>
    <w:rsid w:val="00133D87"/>
    <w:rsid w:val="001340EA"/>
    <w:rsid w:val="00141234"/>
    <w:rsid w:val="00145881"/>
    <w:rsid w:val="00150D88"/>
    <w:rsid w:val="00151515"/>
    <w:rsid w:val="00154E35"/>
    <w:rsid w:val="00161677"/>
    <w:rsid w:val="001634A2"/>
    <w:rsid w:val="00164F51"/>
    <w:rsid w:val="001660D7"/>
    <w:rsid w:val="00170BCA"/>
    <w:rsid w:val="001731DB"/>
    <w:rsid w:val="00174064"/>
    <w:rsid w:val="0018777E"/>
    <w:rsid w:val="001906C3"/>
    <w:rsid w:val="00191838"/>
    <w:rsid w:val="00191ED6"/>
    <w:rsid w:val="00192ACF"/>
    <w:rsid w:val="00193574"/>
    <w:rsid w:val="001A1B97"/>
    <w:rsid w:val="001A4E4A"/>
    <w:rsid w:val="001A56D6"/>
    <w:rsid w:val="001B38A6"/>
    <w:rsid w:val="001C3329"/>
    <w:rsid w:val="001C4957"/>
    <w:rsid w:val="001D57D8"/>
    <w:rsid w:val="001D6172"/>
    <w:rsid w:val="001E0FBA"/>
    <w:rsid w:val="001E2705"/>
    <w:rsid w:val="001E382A"/>
    <w:rsid w:val="001F5CD7"/>
    <w:rsid w:val="00201E29"/>
    <w:rsid w:val="00206DDB"/>
    <w:rsid w:val="00214BCF"/>
    <w:rsid w:val="00214CCE"/>
    <w:rsid w:val="002208CF"/>
    <w:rsid w:val="00222291"/>
    <w:rsid w:val="00226111"/>
    <w:rsid w:val="00227331"/>
    <w:rsid w:val="0023046C"/>
    <w:rsid w:val="00230DF5"/>
    <w:rsid w:val="00234170"/>
    <w:rsid w:val="00235741"/>
    <w:rsid w:val="00237152"/>
    <w:rsid w:val="00240552"/>
    <w:rsid w:val="002444FE"/>
    <w:rsid w:val="00250A7B"/>
    <w:rsid w:val="00256826"/>
    <w:rsid w:val="002577B5"/>
    <w:rsid w:val="002642DE"/>
    <w:rsid w:val="00266565"/>
    <w:rsid w:val="00266F07"/>
    <w:rsid w:val="00270536"/>
    <w:rsid w:val="0027084E"/>
    <w:rsid w:val="00270B3E"/>
    <w:rsid w:val="0027173F"/>
    <w:rsid w:val="002723B9"/>
    <w:rsid w:val="00273D4F"/>
    <w:rsid w:val="00273EBF"/>
    <w:rsid w:val="0027766B"/>
    <w:rsid w:val="0027787C"/>
    <w:rsid w:val="002807FF"/>
    <w:rsid w:val="002828DA"/>
    <w:rsid w:val="00291B53"/>
    <w:rsid w:val="00293725"/>
    <w:rsid w:val="00294B08"/>
    <w:rsid w:val="002A081C"/>
    <w:rsid w:val="002A3C2F"/>
    <w:rsid w:val="002A4780"/>
    <w:rsid w:val="002A73BA"/>
    <w:rsid w:val="002A775C"/>
    <w:rsid w:val="002B00BC"/>
    <w:rsid w:val="002C0B56"/>
    <w:rsid w:val="002C1CFF"/>
    <w:rsid w:val="002C5917"/>
    <w:rsid w:val="002D2389"/>
    <w:rsid w:val="002D52FF"/>
    <w:rsid w:val="002E7309"/>
    <w:rsid w:val="002F3BCB"/>
    <w:rsid w:val="002F4CE2"/>
    <w:rsid w:val="002F4F57"/>
    <w:rsid w:val="002F5E0B"/>
    <w:rsid w:val="0030723B"/>
    <w:rsid w:val="00316CB2"/>
    <w:rsid w:val="003305A3"/>
    <w:rsid w:val="003402CD"/>
    <w:rsid w:val="00346B79"/>
    <w:rsid w:val="00353202"/>
    <w:rsid w:val="00353E8E"/>
    <w:rsid w:val="00356B87"/>
    <w:rsid w:val="00360793"/>
    <w:rsid w:val="003616D3"/>
    <w:rsid w:val="003637DE"/>
    <w:rsid w:val="00370488"/>
    <w:rsid w:val="0037159B"/>
    <w:rsid w:val="0038073E"/>
    <w:rsid w:val="00385C2E"/>
    <w:rsid w:val="00386C06"/>
    <w:rsid w:val="00390917"/>
    <w:rsid w:val="00392EDF"/>
    <w:rsid w:val="00397813"/>
    <w:rsid w:val="003A771D"/>
    <w:rsid w:val="003B33D4"/>
    <w:rsid w:val="003B3DD7"/>
    <w:rsid w:val="003B43CB"/>
    <w:rsid w:val="003B5A09"/>
    <w:rsid w:val="003B70D8"/>
    <w:rsid w:val="003C1586"/>
    <w:rsid w:val="003E1C13"/>
    <w:rsid w:val="003E4853"/>
    <w:rsid w:val="003F5CE6"/>
    <w:rsid w:val="003F6C61"/>
    <w:rsid w:val="003F7F32"/>
    <w:rsid w:val="00410CD6"/>
    <w:rsid w:val="004136BE"/>
    <w:rsid w:val="00415726"/>
    <w:rsid w:val="004157A7"/>
    <w:rsid w:val="00415BE7"/>
    <w:rsid w:val="0042570D"/>
    <w:rsid w:val="0042600C"/>
    <w:rsid w:val="00427258"/>
    <w:rsid w:val="004342A8"/>
    <w:rsid w:val="00434E8A"/>
    <w:rsid w:val="00443706"/>
    <w:rsid w:val="0044669D"/>
    <w:rsid w:val="004524BE"/>
    <w:rsid w:val="00452F6F"/>
    <w:rsid w:val="00454710"/>
    <w:rsid w:val="004551FB"/>
    <w:rsid w:val="00461A3C"/>
    <w:rsid w:val="00463712"/>
    <w:rsid w:val="00465932"/>
    <w:rsid w:val="00466608"/>
    <w:rsid w:val="0047224A"/>
    <w:rsid w:val="00472A0F"/>
    <w:rsid w:val="004744E0"/>
    <w:rsid w:val="00474874"/>
    <w:rsid w:val="00476228"/>
    <w:rsid w:val="00483D15"/>
    <w:rsid w:val="00486A9D"/>
    <w:rsid w:val="00487712"/>
    <w:rsid w:val="004918C1"/>
    <w:rsid w:val="00493E6A"/>
    <w:rsid w:val="0049429E"/>
    <w:rsid w:val="00495637"/>
    <w:rsid w:val="004A0B83"/>
    <w:rsid w:val="004A102C"/>
    <w:rsid w:val="004A2AB1"/>
    <w:rsid w:val="004A484E"/>
    <w:rsid w:val="004A7A5B"/>
    <w:rsid w:val="004A7DCB"/>
    <w:rsid w:val="004B18FA"/>
    <w:rsid w:val="004C7548"/>
    <w:rsid w:val="004C79A6"/>
    <w:rsid w:val="004C7F13"/>
    <w:rsid w:val="004E313B"/>
    <w:rsid w:val="004E7AF7"/>
    <w:rsid w:val="004F1D51"/>
    <w:rsid w:val="004F2319"/>
    <w:rsid w:val="004F6ADE"/>
    <w:rsid w:val="004F77B4"/>
    <w:rsid w:val="00501FB3"/>
    <w:rsid w:val="005022C2"/>
    <w:rsid w:val="00506F97"/>
    <w:rsid w:val="00515F5C"/>
    <w:rsid w:val="00521C91"/>
    <w:rsid w:val="00527DF1"/>
    <w:rsid w:val="005309A7"/>
    <w:rsid w:val="00531752"/>
    <w:rsid w:val="00534B3F"/>
    <w:rsid w:val="005376B8"/>
    <w:rsid w:val="005609C4"/>
    <w:rsid w:val="00562E8A"/>
    <w:rsid w:val="00572CF6"/>
    <w:rsid w:val="0057441D"/>
    <w:rsid w:val="00576FA1"/>
    <w:rsid w:val="00586A45"/>
    <w:rsid w:val="00592C63"/>
    <w:rsid w:val="0059487C"/>
    <w:rsid w:val="005B188E"/>
    <w:rsid w:val="005B2BAA"/>
    <w:rsid w:val="005B3AEA"/>
    <w:rsid w:val="005B76C9"/>
    <w:rsid w:val="005B77CF"/>
    <w:rsid w:val="005B7C07"/>
    <w:rsid w:val="005C0A79"/>
    <w:rsid w:val="005C0C1E"/>
    <w:rsid w:val="005C5469"/>
    <w:rsid w:val="005C7276"/>
    <w:rsid w:val="005D5E57"/>
    <w:rsid w:val="005D5EEA"/>
    <w:rsid w:val="005E0EE5"/>
    <w:rsid w:val="005E2D88"/>
    <w:rsid w:val="005E389B"/>
    <w:rsid w:val="005E3D04"/>
    <w:rsid w:val="005E6177"/>
    <w:rsid w:val="005F0807"/>
    <w:rsid w:val="005F19B9"/>
    <w:rsid w:val="005F4BDC"/>
    <w:rsid w:val="005F52A1"/>
    <w:rsid w:val="005F779F"/>
    <w:rsid w:val="005F7AC7"/>
    <w:rsid w:val="006012C1"/>
    <w:rsid w:val="00604145"/>
    <w:rsid w:val="00606180"/>
    <w:rsid w:val="00612A1F"/>
    <w:rsid w:val="00613019"/>
    <w:rsid w:val="00615B3E"/>
    <w:rsid w:val="00627249"/>
    <w:rsid w:val="00641218"/>
    <w:rsid w:val="00642819"/>
    <w:rsid w:val="0064771A"/>
    <w:rsid w:val="00647F2D"/>
    <w:rsid w:val="00655A8D"/>
    <w:rsid w:val="0065768B"/>
    <w:rsid w:val="0066089C"/>
    <w:rsid w:val="0066193D"/>
    <w:rsid w:val="00662F16"/>
    <w:rsid w:val="00667392"/>
    <w:rsid w:val="00671C55"/>
    <w:rsid w:val="00677D59"/>
    <w:rsid w:val="00682C30"/>
    <w:rsid w:val="0069137B"/>
    <w:rsid w:val="006913C3"/>
    <w:rsid w:val="0069265E"/>
    <w:rsid w:val="006A0786"/>
    <w:rsid w:val="006A37EE"/>
    <w:rsid w:val="006A4E75"/>
    <w:rsid w:val="006A7F8C"/>
    <w:rsid w:val="006B09F5"/>
    <w:rsid w:val="006C5B0E"/>
    <w:rsid w:val="006C6276"/>
    <w:rsid w:val="006C7E17"/>
    <w:rsid w:val="006D5CA6"/>
    <w:rsid w:val="006E3717"/>
    <w:rsid w:val="006E3D68"/>
    <w:rsid w:val="006E7D9B"/>
    <w:rsid w:val="006F7284"/>
    <w:rsid w:val="0070025C"/>
    <w:rsid w:val="007074F3"/>
    <w:rsid w:val="007108AE"/>
    <w:rsid w:val="0071588C"/>
    <w:rsid w:val="007200C5"/>
    <w:rsid w:val="00724743"/>
    <w:rsid w:val="00726D42"/>
    <w:rsid w:val="007277F9"/>
    <w:rsid w:val="00730653"/>
    <w:rsid w:val="00733BB0"/>
    <w:rsid w:val="007425B2"/>
    <w:rsid w:val="00743E5F"/>
    <w:rsid w:val="00752C93"/>
    <w:rsid w:val="00762904"/>
    <w:rsid w:val="00762CC7"/>
    <w:rsid w:val="00763F1F"/>
    <w:rsid w:val="00766C4C"/>
    <w:rsid w:val="00776CB7"/>
    <w:rsid w:val="007810AF"/>
    <w:rsid w:val="00792C3E"/>
    <w:rsid w:val="00797672"/>
    <w:rsid w:val="007A605F"/>
    <w:rsid w:val="007B422E"/>
    <w:rsid w:val="007B7D4E"/>
    <w:rsid w:val="007C48BF"/>
    <w:rsid w:val="007D1612"/>
    <w:rsid w:val="007D1638"/>
    <w:rsid w:val="007D4752"/>
    <w:rsid w:val="007D5E7F"/>
    <w:rsid w:val="007D6842"/>
    <w:rsid w:val="007D72F3"/>
    <w:rsid w:val="007D7E29"/>
    <w:rsid w:val="007E0431"/>
    <w:rsid w:val="007E0E30"/>
    <w:rsid w:val="007E2B29"/>
    <w:rsid w:val="007F08EF"/>
    <w:rsid w:val="007F21E9"/>
    <w:rsid w:val="007F6764"/>
    <w:rsid w:val="007F6C45"/>
    <w:rsid w:val="008030F4"/>
    <w:rsid w:val="008051F0"/>
    <w:rsid w:val="00815677"/>
    <w:rsid w:val="00816A1C"/>
    <w:rsid w:val="00820415"/>
    <w:rsid w:val="00820E62"/>
    <w:rsid w:val="00833FC6"/>
    <w:rsid w:val="00835A42"/>
    <w:rsid w:val="00846041"/>
    <w:rsid w:val="00851261"/>
    <w:rsid w:val="00851B0B"/>
    <w:rsid w:val="00853E75"/>
    <w:rsid w:val="008551B7"/>
    <w:rsid w:val="0085744F"/>
    <w:rsid w:val="008619D8"/>
    <w:rsid w:val="0086242B"/>
    <w:rsid w:val="008662B1"/>
    <w:rsid w:val="008718BB"/>
    <w:rsid w:val="00875CF1"/>
    <w:rsid w:val="00876DDB"/>
    <w:rsid w:val="00880826"/>
    <w:rsid w:val="0088434F"/>
    <w:rsid w:val="00884A74"/>
    <w:rsid w:val="00887952"/>
    <w:rsid w:val="00887AD2"/>
    <w:rsid w:val="00892C37"/>
    <w:rsid w:val="008932E5"/>
    <w:rsid w:val="00894E24"/>
    <w:rsid w:val="008953AB"/>
    <w:rsid w:val="008B739D"/>
    <w:rsid w:val="008C0D3B"/>
    <w:rsid w:val="008C4AF3"/>
    <w:rsid w:val="008C56B6"/>
    <w:rsid w:val="008D1792"/>
    <w:rsid w:val="008D6474"/>
    <w:rsid w:val="008E41D5"/>
    <w:rsid w:val="008E7F54"/>
    <w:rsid w:val="008F027F"/>
    <w:rsid w:val="008F19F0"/>
    <w:rsid w:val="008F5E8B"/>
    <w:rsid w:val="00900938"/>
    <w:rsid w:val="0090650A"/>
    <w:rsid w:val="009069DE"/>
    <w:rsid w:val="0091356A"/>
    <w:rsid w:val="00913DE2"/>
    <w:rsid w:val="00915A2D"/>
    <w:rsid w:val="00916467"/>
    <w:rsid w:val="0092019D"/>
    <w:rsid w:val="00925793"/>
    <w:rsid w:val="00932539"/>
    <w:rsid w:val="0093438E"/>
    <w:rsid w:val="0093767C"/>
    <w:rsid w:val="009377A5"/>
    <w:rsid w:val="00940A34"/>
    <w:rsid w:val="0096077B"/>
    <w:rsid w:val="00965A1F"/>
    <w:rsid w:val="0097277C"/>
    <w:rsid w:val="00973E1D"/>
    <w:rsid w:val="009831D6"/>
    <w:rsid w:val="0098455E"/>
    <w:rsid w:val="0099051E"/>
    <w:rsid w:val="009907CE"/>
    <w:rsid w:val="009A4C00"/>
    <w:rsid w:val="009B2E83"/>
    <w:rsid w:val="009B3BFC"/>
    <w:rsid w:val="009B3D07"/>
    <w:rsid w:val="009C6B45"/>
    <w:rsid w:val="009C7D14"/>
    <w:rsid w:val="009D24CD"/>
    <w:rsid w:val="009D3C66"/>
    <w:rsid w:val="00A008AB"/>
    <w:rsid w:val="00A10B11"/>
    <w:rsid w:val="00A2212A"/>
    <w:rsid w:val="00A23390"/>
    <w:rsid w:val="00A23F9F"/>
    <w:rsid w:val="00A24554"/>
    <w:rsid w:val="00A24562"/>
    <w:rsid w:val="00A30683"/>
    <w:rsid w:val="00A3380C"/>
    <w:rsid w:val="00A35100"/>
    <w:rsid w:val="00A35E6F"/>
    <w:rsid w:val="00A37FA8"/>
    <w:rsid w:val="00A45817"/>
    <w:rsid w:val="00A50648"/>
    <w:rsid w:val="00A51156"/>
    <w:rsid w:val="00A54B78"/>
    <w:rsid w:val="00A61C1C"/>
    <w:rsid w:val="00A67005"/>
    <w:rsid w:val="00A67108"/>
    <w:rsid w:val="00A71BD6"/>
    <w:rsid w:val="00A763FF"/>
    <w:rsid w:val="00A77E91"/>
    <w:rsid w:val="00A861E5"/>
    <w:rsid w:val="00A94762"/>
    <w:rsid w:val="00A978F8"/>
    <w:rsid w:val="00AA0C27"/>
    <w:rsid w:val="00AA11C7"/>
    <w:rsid w:val="00AA36EA"/>
    <w:rsid w:val="00AA4330"/>
    <w:rsid w:val="00AA5D68"/>
    <w:rsid w:val="00AA73E7"/>
    <w:rsid w:val="00AB0558"/>
    <w:rsid w:val="00AB1F51"/>
    <w:rsid w:val="00AB3BD2"/>
    <w:rsid w:val="00AC2E4B"/>
    <w:rsid w:val="00AC3771"/>
    <w:rsid w:val="00AC43BF"/>
    <w:rsid w:val="00AD2694"/>
    <w:rsid w:val="00AD38A6"/>
    <w:rsid w:val="00AD39C7"/>
    <w:rsid w:val="00AD6D33"/>
    <w:rsid w:val="00AE2784"/>
    <w:rsid w:val="00AE3FD4"/>
    <w:rsid w:val="00AE54FD"/>
    <w:rsid w:val="00AE5ABB"/>
    <w:rsid w:val="00AE6050"/>
    <w:rsid w:val="00AE6150"/>
    <w:rsid w:val="00AE6B4F"/>
    <w:rsid w:val="00AF0AE5"/>
    <w:rsid w:val="00B018C7"/>
    <w:rsid w:val="00B01E07"/>
    <w:rsid w:val="00B07DC5"/>
    <w:rsid w:val="00B166B8"/>
    <w:rsid w:val="00B23863"/>
    <w:rsid w:val="00B23B62"/>
    <w:rsid w:val="00B2481B"/>
    <w:rsid w:val="00B24CA1"/>
    <w:rsid w:val="00B31F23"/>
    <w:rsid w:val="00B337FB"/>
    <w:rsid w:val="00B33FC0"/>
    <w:rsid w:val="00B34BBF"/>
    <w:rsid w:val="00B35CD1"/>
    <w:rsid w:val="00B376EB"/>
    <w:rsid w:val="00B3775F"/>
    <w:rsid w:val="00B44F50"/>
    <w:rsid w:val="00B46FDA"/>
    <w:rsid w:val="00B556B9"/>
    <w:rsid w:val="00B56B72"/>
    <w:rsid w:val="00B776CC"/>
    <w:rsid w:val="00B7783B"/>
    <w:rsid w:val="00B80E15"/>
    <w:rsid w:val="00B81965"/>
    <w:rsid w:val="00B8652B"/>
    <w:rsid w:val="00B909FA"/>
    <w:rsid w:val="00B95029"/>
    <w:rsid w:val="00BA096B"/>
    <w:rsid w:val="00BA2169"/>
    <w:rsid w:val="00BA5E9A"/>
    <w:rsid w:val="00BA6972"/>
    <w:rsid w:val="00BA6CE3"/>
    <w:rsid w:val="00BB0967"/>
    <w:rsid w:val="00BB24E4"/>
    <w:rsid w:val="00BB47E6"/>
    <w:rsid w:val="00BB7182"/>
    <w:rsid w:val="00BC0C52"/>
    <w:rsid w:val="00BC206A"/>
    <w:rsid w:val="00BC29CA"/>
    <w:rsid w:val="00BC7B71"/>
    <w:rsid w:val="00BD1868"/>
    <w:rsid w:val="00BD2515"/>
    <w:rsid w:val="00BD3E46"/>
    <w:rsid w:val="00BD54FD"/>
    <w:rsid w:val="00BE1E5C"/>
    <w:rsid w:val="00BE4A5F"/>
    <w:rsid w:val="00BE60B5"/>
    <w:rsid w:val="00BE7FC3"/>
    <w:rsid w:val="00BF1D87"/>
    <w:rsid w:val="00BF7CD1"/>
    <w:rsid w:val="00C01B95"/>
    <w:rsid w:val="00C040C2"/>
    <w:rsid w:val="00C04551"/>
    <w:rsid w:val="00C1159A"/>
    <w:rsid w:val="00C14294"/>
    <w:rsid w:val="00C16858"/>
    <w:rsid w:val="00C17476"/>
    <w:rsid w:val="00C17F5C"/>
    <w:rsid w:val="00C247A4"/>
    <w:rsid w:val="00C37E9C"/>
    <w:rsid w:val="00C43A92"/>
    <w:rsid w:val="00C43AFE"/>
    <w:rsid w:val="00C46262"/>
    <w:rsid w:val="00C473F0"/>
    <w:rsid w:val="00C52E84"/>
    <w:rsid w:val="00C55868"/>
    <w:rsid w:val="00C56A9B"/>
    <w:rsid w:val="00C57819"/>
    <w:rsid w:val="00C62750"/>
    <w:rsid w:val="00C64EBB"/>
    <w:rsid w:val="00C66DBD"/>
    <w:rsid w:val="00C71D93"/>
    <w:rsid w:val="00C73FC0"/>
    <w:rsid w:val="00C77749"/>
    <w:rsid w:val="00C824B8"/>
    <w:rsid w:val="00C84007"/>
    <w:rsid w:val="00C86D9B"/>
    <w:rsid w:val="00C9192C"/>
    <w:rsid w:val="00CA244C"/>
    <w:rsid w:val="00CB0BAC"/>
    <w:rsid w:val="00CB2E9E"/>
    <w:rsid w:val="00CC6955"/>
    <w:rsid w:val="00CC774F"/>
    <w:rsid w:val="00CD049C"/>
    <w:rsid w:val="00CD0B1F"/>
    <w:rsid w:val="00CD18B4"/>
    <w:rsid w:val="00CD336B"/>
    <w:rsid w:val="00CE3BB5"/>
    <w:rsid w:val="00CE4E69"/>
    <w:rsid w:val="00CE5526"/>
    <w:rsid w:val="00CE5986"/>
    <w:rsid w:val="00CE6F77"/>
    <w:rsid w:val="00CF23AD"/>
    <w:rsid w:val="00CF3916"/>
    <w:rsid w:val="00D01A05"/>
    <w:rsid w:val="00D07470"/>
    <w:rsid w:val="00D21162"/>
    <w:rsid w:val="00D3213D"/>
    <w:rsid w:val="00D34374"/>
    <w:rsid w:val="00D41DE7"/>
    <w:rsid w:val="00D43689"/>
    <w:rsid w:val="00D51425"/>
    <w:rsid w:val="00D52222"/>
    <w:rsid w:val="00D5486D"/>
    <w:rsid w:val="00D55D7D"/>
    <w:rsid w:val="00D64669"/>
    <w:rsid w:val="00D74984"/>
    <w:rsid w:val="00D84B1C"/>
    <w:rsid w:val="00D8691D"/>
    <w:rsid w:val="00D869BE"/>
    <w:rsid w:val="00D90DD0"/>
    <w:rsid w:val="00D923C5"/>
    <w:rsid w:val="00D92E74"/>
    <w:rsid w:val="00D9490E"/>
    <w:rsid w:val="00DA52BF"/>
    <w:rsid w:val="00DB1A07"/>
    <w:rsid w:val="00DB7EC8"/>
    <w:rsid w:val="00DC3F62"/>
    <w:rsid w:val="00DC47D0"/>
    <w:rsid w:val="00DC5886"/>
    <w:rsid w:val="00DC59DA"/>
    <w:rsid w:val="00DC7A3A"/>
    <w:rsid w:val="00DC7D03"/>
    <w:rsid w:val="00DD5DEC"/>
    <w:rsid w:val="00DD727C"/>
    <w:rsid w:val="00DE2923"/>
    <w:rsid w:val="00DE36A6"/>
    <w:rsid w:val="00DE5C63"/>
    <w:rsid w:val="00DE793C"/>
    <w:rsid w:val="00DE7CE5"/>
    <w:rsid w:val="00DF0BC8"/>
    <w:rsid w:val="00DF13AD"/>
    <w:rsid w:val="00DF6DC9"/>
    <w:rsid w:val="00DF77B7"/>
    <w:rsid w:val="00E01D4F"/>
    <w:rsid w:val="00E04B60"/>
    <w:rsid w:val="00E05120"/>
    <w:rsid w:val="00E22130"/>
    <w:rsid w:val="00E24B09"/>
    <w:rsid w:val="00E33DB6"/>
    <w:rsid w:val="00E341E2"/>
    <w:rsid w:val="00E342FB"/>
    <w:rsid w:val="00E40725"/>
    <w:rsid w:val="00E422AF"/>
    <w:rsid w:val="00E43C47"/>
    <w:rsid w:val="00E453ED"/>
    <w:rsid w:val="00E4575F"/>
    <w:rsid w:val="00E53713"/>
    <w:rsid w:val="00E639EF"/>
    <w:rsid w:val="00E7151F"/>
    <w:rsid w:val="00E74F03"/>
    <w:rsid w:val="00E8427C"/>
    <w:rsid w:val="00E91E15"/>
    <w:rsid w:val="00E96127"/>
    <w:rsid w:val="00E965AB"/>
    <w:rsid w:val="00E97C54"/>
    <w:rsid w:val="00EA39C4"/>
    <w:rsid w:val="00EA6F37"/>
    <w:rsid w:val="00EA7545"/>
    <w:rsid w:val="00EB07CD"/>
    <w:rsid w:val="00EB1EAC"/>
    <w:rsid w:val="00EB2F09"/>
    <w:rsid w:val="00EC39AA"/>
    <w:rsid w:val="00ED4697"/>
    <w:rsid w:val="00EE057D"/>
    <w:rsid w:val="00EE163B"/>
    <w:rsid w:val="00EE3A61"/>
    <w:rsid w:val="00EE69F9"/>
    <w:rsid w:val="00EE7507"/>
    <w:rsid w:val="00EF059B"/>
    <w:rsid w:val="00EF16EA"/>
    <w:rsid w:val="00EF26A6"/>
    <w:rsid w:val="00EF34A1"/>
    <w:rsid w:val="00EF62D5"/>
    <w:rsid w:val="00EF7913"/>
    <w:rsid w:val="00F10A80"/>
    <w:rsid w:val="00F124FE"/>
    <w:rsid w:val="00F15B19"/>
    <w:rsid w:val="00F16276"/>
    <w:rsid w:val="00F203E7"/>
    <w:rsid w:val="00F204FD"/>
    <w:rsid w:val="00F22D80"/>
    <w:rsid w:val="00F260F4"/>
    <w:rsid w:val="00F26A59"/>
    <w:rsid w:val="00F26DF0"/>
    <w:rsid w:val="00F27671"/>
    <w:rsid w:val="00F339AC"/>
    <w:rsid w:val="00F40EFD"/>
    <w:rsid w:val="00F57666"/>
    <w:rsid w:val="00F67140"/>
    <w:rsid w:val="00F71474"/>
    <w:rsid w:val="00F7150E"/>
    <w:rsid w:val="00F758EA"/>
    <w:rsid w:val="00F77D19"/>
    <w:rsid w:val="00F8339A"/>
    <w:rsid w:val="00F92659"/>
    <w:rsid w:val="00F92BA0"/>
    <w:rsid w:val="00F9390C"/>
    <w:rsid w:val="00FA2607"/>
    <w:rsid w:val="00FA4B31"/>
    <w:rsid w:val="00FA5F90"/>
    <w:rsid w:val="00FA73A5"/>
    <w:rsid w:val="00FB21F7"/>
    <w:rsid w:val="00FB2FCD"/>
    <w:rsid w:val="00FB3087"/>
    <w:rsid w:val="00FB41BA"/>
    <w:rsid w:val="00FC1B92"/>
    <w:rsid w:val="00FC788D"/>
    <w:rsid w:val="00FC7D95"/>
    <w:rsid w:val="00FD495D"/>
    <w:rsid w:val="00FE3E30"/>
    <w:rsid w:val="00FE57FE"/>
    <w:rsid w:val="00FE685E"/>
    <w:rsid w:val="00FF4625"/>
    <w:rsid w:val="00FF4804"/>
    <w:rsid w:val="1638FE8D"/>
    <w:rsid w:val="4578D0E9"/>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15:docId w15:val="{4370F9E9-86D0-4D60-8A5F-36B7B1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link w:val="Heading2Char"/>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unhideWhenUsed/>
    <w:rsid w:val="00D869BE"/>
    <w:rPr>
      <w:color w:val="605E5C"/>
      <w:shd w:val="clear" w:color="auto" w:fill="E1DFDD"/>
    </w:rPr>
  </w:style>
  <w:style w:type="character" w:styleId="Mention">
    <w:name w:val="Mention"/>
    <w:basedOn w:val="DefaultParagraphFont"/>
    <w:uiPriority w:val="99"/>
    <w:unhideWhenUsed/>
    <w:rsid w:val="00D869BE"/>
    <w:rPr>
      <w:color w:val="2B579A"/>
      <w:shd w:val="clear" w:color="auto" w:fill="E1DFDD"/>
    </w:rPr>
  </w:style>
  <w:style w:type="character" w:customStyle="1" w:styleId="Heading2Char">
    <w:name w:val="Heading 2 Char"/>
    <w:basedOn w:val="DefaultParagraphFont"/>
    <w:link w:val="Heading2"/>
    <w:uiPriority w:val="9"/>
    <w:rsid w:val="00EF26A6"/>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90917"/>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pta.gov.au/forms/nopta-forms/notification_nomination/Form-8-Natural-Person-Declaration.docx" TargetMode="External"/><Relationship Id="rId7" Type="http://schemas.openxmlformats.org/officeDocument/2006/relationships/styles" Target="styles.xml"/><Relationship Id="rId12" Type="http://schemas.openxmlformats.org/officeDocument/2006/relationships/hyperlink" Target="http://www.comlaw.gov.au/Series/C2006A00014"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opta.gov.au/_documents/fact-sheets/Declaration-of-experience-and-disclosures-fact-she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titles@nopta.gov.au" TargetMode="External"/><Relationship Id="rId10" Type="http://schemas.openxmlformats.org/officeDocument/2006/relationships/footnotes" Target="footnotes.xml"/><Relationship Id="rId19" Type="http://schemas.openxmlformats.org/officeDocument/2006/relationships/hyperlink" Target="https://www.nopta.gov.au/_documents/guidelines/Applicant-Suitability-Guideli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opta.gov.au/forms/nopta-forms/notification_nomination/Form-9-Body-Corporate-Declaration.doc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5aec22723ef92be49f75011597dc21db">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6d1970a631b6ec9264d65a4013c63a96"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IconOverlay xmlns="http://schemas.microsoft.com/sharepoint/v4" xsi:nil="true"/>
    <OfNationalSignificance xmlns="7012054d-3a07-4b40-940b-a148fc76e5c4">No</OfNationalSignificance>
    <DocumentSetDescription xmlns="http://schemas.microsoft.com/sharepoint/v3">Declarations FAQ</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TaxCatchAll xmlns="7012054d-3a07-4b40-940b-a148fc76e5c4">
      <Value>424</Value>
      <Value>13001</Value>
      <Value>12385</Value>
      <Value>125</Value>
      <Value>600</Value>
      <Value>4575</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d3f18156-6d06-4b36-b33d-bc546f991cd2</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15b9859c-96bf-4788-bd3e-5289ca0376d3</TermId>
        </TermInfo>
        <TermInfo xmlns="http://schemas.microsoft.com/office/infopath/2007/PartnerControls">
          <TermName xmlns="http://schemas.microsoft.com/office/infopath/2007/PartnerControls">suitability</TermName>
          <TermId xmlns="http://schemas.microsoft.com/office/infopath/2007/PartnerControls">7354637d-bf35-4c9c-9690-2001a44ddb57</TermId>
        </TermInfo>
        <TermInfo xmlns="http://schemas.microsoft.com/office/infopath/2007/PartnerControls">
          <TermName xmlns="http://schemas.microsoft.com/office/infopath/2007/PartnerControls">Fit and proper person</TermName>
          <TermId xmlns="http://schemas.microsoft.com/office/infopath/2007/PartnerControls">f0657224-2a26-48c3-b7df-e254484ea8b0</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_dlc_DocId xmlns="7012054d-3a07-4b40-940b-a148fc76e5c4">NOPTANET-1686289485-926</_dlc_DocId>
    <_dlc_DocIdUrl xmlns="7012054d-3a07-4b40-940b-a148fc76e5c4">
      <Url>https://nopta.sharepoint.com/team/LCT/_layouts/15/DocIdRedir.aspx?ID=NOPTANET-1686289485-926</Url>
      <Description>NOPTANET-1686289485-926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7FE1-97D4-4A74-BA48-8321BB495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567CE-5995-4093-BE2F-65458A93CBA6}">
  <ds:schemaRefs>
    <ds:schemaRef ds:uri="http://purl.org/dc/terms/"/>
    <ds:schemaRef ds:uri="http://purl.org/dc/dcmitype/"/>
    <ds:schemaRef ds:uri="http://schemas.microsoft.com/office/infopath/2007/PartnerControls"/>
    <ds:schemaRef ds:uri="7012054d-3a07-4b40-940b-a148fc76e5c4"/>
    <ds:schemaRef ds:uri="http://schemas.microsoft.com/office/2006/documentManagement/types"/>
    <ds:schemaRef ds:uri="http://purl.org/dc/elements/1.1/"/>
    <ds:schemaRef ds:uri="http://schemas.microsoft.com/office/2006/metadata/properties"/>
    <ds:schemaRef ds:uri="a8fdb9f5-4e6c-4c4a-a24d-2c5439f6d702"/>
    <ds:schemaRef ds:uri="http://schemas.openxmlformats.org/package/2006/metadata/core-properties"/>
    <ds:schemaRef ds:uri="http://schemas.microsoft.com/sharepoint/v3"/>
    <ds:schemaRef ds:uri="e1c7fc68-f963-4fbf-ab17-100a6bd4a79c"/>
    <ds:schemaRef ds:uri="http://schemas.microsoft.com/sharepoint/v4"/>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993EC63-6AF4-43DF-AC69-E466A8351888}">
  <ds:schemaRefs>
    <ds:schemaRef ds:uri="http://schemas.microsoft.com/sharepoint/events"/>
  </ds:schemaRefs>
</ds:datastoreItem>
</file>

<file path=customXml/itemProps4.xml><?xml version="1.0" encoding="utf-8"?>
<ds:datastoreItem xmlns:ds="http://schemas.openxmlformats.org/officeDocument/2006/customXml" ds:itemID="{1512EF87-F4CD-48E6-B627-D26A4AB946C2}">
  <ds:schemaRefs>
    <ds:schemaRef ds:uri="http://schemas.openxmlformats.org/officeDocument/2006/bibliography"/>
  </ds:schemaRefs>
</ds:datastoreItem>
</file>

<file path=customXml/itemProps5.xml><?xml version="1.0" encoding="utf-8"?>
<ds:datastoreItem xmlns:ds="http://schemas.openxmlformats.org/officeDocument/2006/customXml" ds:itemID="{5C848218-D506-4999-855C-3B0EFFF34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Shepherdson</dc:creator>
  <cp:keywords>Fit and proper person ; suitability ; guidance</cp:keywords>
  <cp:lastModifiedBy>Mark Price</cp:lastModifiedBy>
  <cp:revision>33</cp:revision>
  <cp:lastPrinted>2021-03-11T06:08:00Z</cp:lastPrinted>
  <dcterms:created xsi:type="dcterms:W3CDTF">2021-12-13T21:52:00Z</dcterms:created>
  <dcterms:modified xsi:type="dcterms:W3CDTF">2022-03-17T06:23:00Z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PDFium</vt:lpwstr>
  </property>
  <property fmtid="{D5CDD505-2E9C-101B-9397-08002B2CF9AE}" pid="4" name="LastSaved">
    <vt:filetime>2020-04-17T00:00:00Z</vt:filetime>
  </property>
  <property fmtid="{D5CDD505-2E9C-101B-9397-08002B2CF9AE}" pid="5" name="ContentTypeId">
    <vt:lpwstr>0x01010063547D135F865547B104B3688A6EB0DB004EBC41CBB87686458B4EADC66475DA23</vt:lpwstr>
  </property>
  <property fmtid="{D5CDD505-2E9C-101B-9397-08002B2CF9AE}" pid="6" name="BusinessFunction">
    <vt:lpwstr>4575</vt:lpwstr>
  </property>
  <property fmtid="{D5CDD505-2E9C-101B-9397-08002B2CF9AE}" pid="7" name="_dlc_DocIdItemGuid">
    <vt:lpwstr>4aad0586-183a-47f9-b8fc-7a51f1a0dae4</vt:lpwstr>
  </property>
  <property fmtid="{D5CDD505-2E9C-101B-9397-08002B2CF9AE}" pid="8" name="TaxKeyword">
    <vt:lpwstr>600;#guidance|15b9859c-96bf-4788-bd3e-5289ca0376d3;#13001;#suitability|7354637d-bf35-4c9c-9690-2001a44ddb57;#12385;#Fit and proper person|f0657224-2a26-48c3-b7df-e254484ea8b0</vt:lpwstr>
  </property>
  <property fmtid="{D5CDD505-2E9C-101B-9397-08002B2CF9AE}" pid="9" name="Titles">
    <vt:lpwstr/>
  </property>
  <property fmtid="{D5CDD505-2E9C-101B-9397-08002B2CF9AE}" pid="10" name="Title Type">
    <vt:lpwstr/>
  </property>
  <property fmtid="{D5CDD505-2E9C-101B-9397-08002B2CF9AE}" pid="11" name="DocumentType">
    <vt:lpwstr>125;#Fact Sheet|d3f18156-6d06-4b36-b33d-bc546f991cd2</vt:lpwstr>
  </property>
  <property fmtid="{D5CDD505-2E9C-101B-9397-08002B2CF9AE}" pid="12" name="Offshore Region">
    <vt:lpwstr/>
  </property>
  <property fmtid="{D5CDD505-2E9C-101B-9397-08002B2CF9AE}" pid="13" name="Application Library">
    <vt:lpwstr/>
  </property>
  <property fmtid="{D5CDD505-2E9C-101B-9397-08002B2CF9AE}" pid="14" name="Team">
    <vt:lpwstr>424;#Legislative Compliance|cb4b5b1d-0a66-42b0-ad54-d9e1e7b82ef0</vt:lpwstr>
  </property>
  <property fmtid="{D5CDD505-2E9C-101B-9397-08002B2CF9AE}" pid="15" name="DocHub_RegionCountry">
    <vt:lpwstr/>
  </property>
  <property fmtid="{D5CDD505-2E9C-101B-9397-08002B2CF9AE}" pid="16" name="DocHub_DocumentType">
    <vt:lpwstr>81;#Guideline|1cb7cffe-f5b4-42ac-8a71-3f61d9d0fa0a</vt:lpwstr>
  </property>
  <property fmtid="{D5CDD505-2E9C-101B-9397-08002B2CF9AE}" pid="17" name="DocHub_GroupsOtherEntities">
    <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295;#Policy Implementation|76a12992-328c-489f-9a4f-d0b6b90382c5</vt:lpwstr>
  </property>
  <property fmtid="{D5CDD505-2E9C-101B-9397-08002B2CF9AE}" pid="22" name="DocHub_WorkTopic">
    <vt:lpwstr>909;#Administrative Guidelines|f07964ad-13ca-4d49-8baf-8456f5b7da2d</vt:lpwstr>
  </property>
  <property fmtid="{D5CDD505-2E9C-101B-9397-08002B2CF9AE}" pid="23" name="DocHub_EnergyMineralResources">
    <vt:lpwstr/>
  </property>
  <property fmtid="{D5CDD505-2E9C-101B-9397-08002B2CF9AE}" pid="24" name="DocHub_Keywords">
    <vt:lpwstr>4370;#Guidelines|a1720634-6d02-4f32-b65e-c77019388e52</vt:lpwstr>
  </property>
  <property fmtid="{D5CDD505-2E9C-101B-9397-08002B2CF9AE}" pid="25" name="DocHub_State">
    <vt:lpwstr/>
  </property>
  <property fmtid="{D5CDD505-2E9C-101B-9397-08002B2CF9AE}" pid="26" name="DocHub_Year">
    <vt:lpwstr>4052;#2021|712d5b50-1b62-44de-9d3e-74234783b265</vt:lpwstr>
  </property>
  <property fmtid="{D5CDD505-2E9C-101B-9397-08002B2CF9AE}" pid="27" name="_CopySource">
    <vt:lpwstr>Declaration - Experience and disclosures V1.1.docx</vt:lpwstr>
  </property>
  <property fmtid="{D5CDD505-2E9C-101B-9397-08002B2CF9AE}" pid="28" name="TriggerFlowInfo">
    <vt:lpwstr/>
  </property>
  <property fmtid="{D5CDD505-2E9C-101B-9397-08002B2CF9AE}" pid="29" name="_docset_NoMedatataSyncRequired">
    <vt:lpwstr>False</vt:lpwstr>
  </property>
</Properties>
</file>