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90D49" w14:textId="5E2490F9" w:rsidR="00145881" w:rsidRDefault="00EC6C0E" w:rsidP="00145881">
      <w:pPr>
        <w:pStyle w:val="Heading1"/>
        <w:spacing w:before="10"/>
        <w:rPr>
          <w:color w:val="27629B"/>
        </w:rPr>
      </w:pPr>
      <w:r>
        <w:rPr>
          <w:color w:val="27629B"/>
        </w:rPr>
        <w:t>Change in Control of a Registered Titleholder</w:t>
      </w:r>
    </w:p>
    <w:p w14:paraId="6FEF6E00" w14:textId="397F019F" w:rsidR="00145881" w:rsidRPr="000C0CBC" w:rsidRDefault="00145881" w:rsidP="00145881">
      <w:pPr>
        <w:widowControl/>
        <w:pBdr>
          <w:bottom w:val="single" w:sz="4" w:space="1" w:color="5F5F5F"/>
        </w:pBdr>
        <w:autoSpaceDE/>
        <w:autoSpaceDN/>
        <w:spacing w:before="120"/>
        <w:ind w:left="142"/>
        <w:contextualSpacing/>
        <w:rPr>
          <w:rFonts w:eastAsia="Times New Roman"/>
          <w:color w:val="595959"/>
          <w:sz w:val="20"/>
          <w:szCs w:val="20"/>
          <w:lang w:val="en-AU"/>
        </w:rPr>
      </w:pPr>
      <w:r w:rsidRPr="000C0CBC">
        <w:rPr>
          <w:rFonts w:eastAsia="Times New Roman"/>
          <w:color w:val="5F5F5F"/>
          <w:sz w:val="20"/>
          <w:szCs w:val="24"/>
          <w:lang w:eastAsia="en-AU"/>
        </w:rPr>
        <w:t xml:space="preserve">All </w:t>
      </w:r>
      <w:r>
        <w:rPr>
          <w:rFonts w:eastAsia="Times New Roman"/>
          <w:color w:val="5F5F5F"/>
          <w:sz w:val="20"/>
          <w:szCs w:val="24"/>
          <w:lang w:eastAsia="en-AU"/>
        </w:rPr>
        <w:t>information</w:t>
      </w:r>
      <w:r w:rsidRPr="000C0CBC">
        <w:rPr>
          <w:rFonts w:eastAsia="Times New Roman"/>
          <w:color w:val="5F5F5F"/>
          <w:sz w:val="20"/>
          <w:szCs w:val="24"/>
          <w:lang w:eastAsia="en-AU"/>
        </w:rPr>
        <w:t xml:space="preserve"> </w:t>
      </w:r>
      <w:r w:rsidRPr="000C0CBC">
        <w:rPr>
          <w:rFonts w:eastAsia="Times New Roman"/>
          <w:color w:val="5F5F5F"/>
          <w:sz w:val="20"/>
          <w:szCs w:val="24"/>
          <w:lang w:val="en-AU"/>
        </w:rPr>
        <w:t xml:space="preserve">should be read in conjunction with the </w:t>
      </w:r>
      <w:hyperlink r:id="rId12" w:tooltip="Link to offshore petroleum and greenhouse gas act" w:history="1">
        <w:r w:rsidRPr="000C0CBC">
          <w:rPr>
            <w:rFonts w:eastAsia="Times New Roman"/>
            <w:i/>
            <w:color w:val="0563C1"/>
            <w:sz w:val="20"/>
            <w:szCs w:val="24"/>
            <w:u w:val="single"/>
            <w:lang w:val="en-AU"/>
          </w:rPr>
          <w:t>Offshore Petroleum and Greenhouse Gas Storage Act 2006</w:t>
        </w:r>
      </w:hyperlink>
      <w:r w:rsidRPr="000C0CBC">
        <w:rPr>
          <w:rFonts w:eastAsia="Times New Roman"/>
          <w:i/>
          <w:color w:val="5F5F5F"/>
          <w:sz w:val="20"/>
          <w:szCs w:val="24"/>
          <w:lang w:val="en-AU"/>
        </w:rPr>
        <w:t xml:space="preserve"> </w:t>
      </w:r>
      <w:r w:rsidRPr="000C0CBC">
        <w:rPr>
          <w:rFonts w:eastAsia="Times New Roman"/>
          <w:color w:val="5F5F5F"/>
          <w:sz w:val="20"/>
          <w:szCs w:val="24"/>
          <w:lang w:val="en-AU"/>
        </w:rPr>
        <w:t xml:space="preserve">(the </w:t>
      </w:r>
      <w:r>
        <w:rPr>
          <w:rFonts w:eastAsia="Times New Roman"/>
          <w:color w:val="5F5F5F"/>
          <w:sz w:val="20"/>
          <w:szCs w:val="24"/>
          <w:lang w:val="en-AU"/>
        </w:rPr>
        <w:t xml:space="preserve">OPGGS </w:t>
      </w:r>
      <w:r w:rsidRPr="000C0CBC">
        <w:rPr>
          <w:rFonts w:eastAsia="Times New Roman"/>
          <w:color w:val="5F5F5F"/>
          <w:sz w:val="20"/>
          <w:szCs w:val="24"/>
          <w:lang w:val="en-AU"/>
        </w:rPr>
        <w:t xml:space="preserve">Act), associated regulations, relevant guidelines and policies (available on </w:t>
      </w:r>
      <w:hyperlink r:id="rId13" w:tooltip="Link to NOPTA's website" w:history="1">
        <w:r w:rsidRPr="000C0CBC">
          <w:rPr>
            <w:rFonts w:eastAsia="Times New Roman"/>
            <w:color w:val="0563C1"/>
            <w:sz w:val="20"/>
            <w:szCs w:val="24"/>
            <w:u w:val="single"/>
            <w:lang w:val="en-AU"/>
          </w:rPr>
          <w:t>NOPTA’s website</w:t>
        </w:r>
      </w:hyperlink>
      <w:r w:rsidRPr="000C0CBC">
        <w:rPr>
          <w:rFonts w:eastAsia="Times New Roman"/>
          <w:color w:val="5F5F5F"/>
          <w:sz w:val="20"/>
          <w:szCs w:val="24"/>
          <w:lang w:val="en-AU"/>
        </w:rPr>
        <w:t>).</w:t>
      </w:r>
    </w:p>
    <w:p w14:paraId="4F5BF6F3" w14:textId="77777777" w:rsidR="00145881" w:rsidRDefault="00145881" w:rsidP="00145881">
      <w:pPr>
        <w:pStyle w:val="BodyText"/>
        <w:spacing w:before="0"/>
        <w:ind w:left="120" w:right="282"/>
        <w:rPr>
          <w:color w:val="5F5F5F"/>
        </w:rPr>
      </w:pPr>
    </w:p>
    <w:p w14:paraId="161DB959" w14:textId="77777777" w:rsidR="00145881" w:rsidRDefault="00145881" w:rsidP="00145881">
      <w:pPr>
        <w:pStyle w:val="BodyText"/>
        <w:spacing w:before="0"/>
        <w:ind w:left="120" w:right="282"/>
        <w:rPr>
          <w:color w:val="5F5F5F"/>
        </w:rPr>
        <w:sectPr w:rsidR="00145881" w:rsidSect="000C0CBC">
          <w:headerReference w:type="even" r:id="rId14"/>
          <w:headerReference w:type="default" r:id="rId15"/>
          <w:footerReference w:type="default" r:id="rId16"/>
          <w:headerReference w:type="first" r:id="rId17"/>
          <w:footerReference w:type="first" r:id="rId18"/>
          <w:type w:val="continuous"/>
          <w:pgSz w:w="11910" w:h="16840"/>
          <w:pgMar w:top="2460" w:right="620" w:bottom="680" w:left="600" w:header="3" w:footer="480" w:gutter="0"/>
          <w:cols w:space="720"/>
        </w:sectPr>
      </w:pPr>
    </w:p>
    <w:p w14:paraId="2BB70540" w14:textId="34127096" w:rsidR="005F779F" w:rsidRDefault="005F779F" w:rsidP="00820415">
      <w:pPr>
        <w:pStyle w:val="List2"/>
        <w:spacing w:after="120" w:line="240" w:lineRule="auto"/>
        <w:ind w:left="142" w:firstLine="0"/>
        <w:contextualSpacing w:val="0"/>
        <w:rPr>
          <w:rFonts w:ascii="Calibri" w:eastAsia="Calibri" w:hAnsi="Calibri" w:cs="Calibri"/>
          <w:color w:val="5F5F5F"/>
          <w:sz w:val="20"/>
          <w:szCs w:val="20"/>
          <w:lang w:val="en-US"/>
        </w:rPr>
      </w:pPr>
      <w:r w:rsidRPr="4578D0E9">
        <w:rPr>
          <w:rFonts w:ascii="Calibri" w:eastAsia="Calibri" w:hAnsi="Calibri" w:cs="Calibri"/>
          <w:color w:val="5F5F5F"/>
          <w:sz w:val="20"/>
          <w:szCs w:val="20"/>
          <w:lang w:val="en-US"/>
        </w:rPr>
        <w:t xml:space="preserve">The purpose of this document is to provide </w:t>
      </w:r>
      <w:r w:rsidR="00EC6C0E">
        <w:rPr>
          <w:rFonts w:ascii="Calibri" w:eastAsia="Calibri" w:hAnsi="Calibri" w:cs="Calibri"/>
          <w:color w:val="5F5F5F"/>
          <w:sz w:val="20"/>
          <w:szCs w:val="20"/>
          <w:lang w:val="en-US"/>
        </w:rPr>
        <w:t>additional information about what constitutes ‘control</w:t>
      </w:r>
      <w:r w:rsidR="00531DBC">
        <w:rPr>
          <w:rFonts w:ascii="Calibri" w:eastAsia="Calibri" w:hAnsi="Calibri" w:cs="Calibri"/>
          <w:color w:val="5F5F5F"/>
          <w:sz w:val="20"/>
          <w:szCs w:val="20"/>
          <w:lang w:val="en-US"/>
        </w:rPr>
        <w:t>’</w:t>
      </w:r>
      <w:r w:rsidR="00EC6C0E">
        <w:rPr>
          <w:rFonts w:ascii="Calibri" w:eastAsia="Calibri" w:hAnsi="Calibri" w:cs="Calibri"/>
          <w:color w:val="5F5F5F"/>
          <w:sz w:val="20"/>
          <w:szCs w:val="20"/>
          <w:lang w:val="en-US"/>
        </w:rPr>
        <w:t xml:space="preserve"> of and ‘</w:t>
      </w:r>
      <w:r w:rsidR="003108B7">
        <w:rPr>
          <w:rFonts w:ascii="Calibri" w:eastAsia="Calibri" w:hAnsi="Calibri" w:cs="Calibri"/>
          <w:color w:val="5F5F5F"/>
          <w:sz w:val="20"/>
          <w:szCs w:val="20"/>
          <w:lang w:val="en-US"/>
        </w:rPr>
        <w:t xml:space="preserve">a </w:t>
      </w:r>
      <w:r w:rsidR="00EC6C0E">
        <w:rPr>
          <w:rFonts w:ascii="Calibri" w:eastAsia="Calibri" w:hAnsi="Calibri" w:cs="Calibri"/>
          <w:color w:val="5F5F5F"/>
          <w:sz w:val="20"/>
          <w:szCs w:val="20"/>
          <w:lang w:val="en-US"/>
        </w:rPr>
        <w:t>change in control</w:t>
      </w:r>
      <w:r w:rsidR="00531DBC">
        <w:rPr>
          <w:rFonts w:ascii="Calibri" w:eastAsia="Calibri" w:hAnsi="Calibri" w:cs="Calibri"/>
          <w:color w:val="5F5F5F"/>
          <w:sz w:val="20"/>
          <w:szCs w:val="20"/>
          <w:lang w:val="en-US"/>
        </w:rPr>
        <w:t>’</w:t>
      </w:r>
      <w:r w:rsidR="00EC6C0E">
        <w:rPr>
          <w:rFonts w:ascii="Calibri" w:eastAsia="Calibri" w:hAnsi="Calibri" w:cs="Calibri"/>
          <w:color w:val="5F5F5F"/>
          <w:sz w:val="20"/>
          <w:szCs w:val="20"/>
          <w:lang w:val="en-US"/>
        </w:rPr>
        <w:t xml:space="preserve"> of a company who is a registered holder</w:t>
      </w:r>
      <w:r w:rsidR="003B3F39">
        <w:rPr>
          <w:rFonts w:ascii="Calibri" w:eastAsia="Calibri" w:hAnsi="Calibri" w:cs="Calibri"/>
          <w:color w:val="5F5F5F"/>
          <w:sz w:val="20"/>
          <w:szCs w:val="20"/>
          <w:lang w:val="en-US"/>
        </w:rPr>
        <w:t xml:space="preserve"> of a title</w:t>
      </w:r>
      <w:r w:rsidR="00966EF1">
        <w:rPr>
          <w:rFonts w:ascii="Calibri" w:eastAsia="Calibri" w:hAnsi="Calibri" w:cs="Calibri"/>
          <w:color w:val="5F5F5F"/>
          <w:sz w:val="20"/>
          <w:szCs w:val="20"/>
          <w:lang w:val="en-US"/>
        </w:rPr>
        <w:t xml:space="preserve"> (or </w:t>
      </w:r>
      <w:r w:rsidR="00966EF1">
        <w:rPr>
          <w:rFonts w:ascii="Calibri" w:eastAsia="Calibri" w:hAnsi="Calibri" w:cs="Calibri"/>
          <w:b/>
          <w:bCs/>
          <w:color w:val="5F5F5F"/>
          <w:sz w:val="20"/>
          <w:szCs w:val="20"/>
          <w:lang w:val="en-US"/>
        </w:rPr>
        <w:t>registered titleholder</w:t>
      </w:r>
      <w:r w:rsidR="00966EF1" w:rsidRPr="00966EF1">
        <w:rPr>
          <w:rFonts w:ascii="Calibri" w:eastAsia="Calibri" w:hAnsi="Calibri" w:cs="Calibri"/>
          <w:color w:val="5F5F5F"/>
          <w:sz w:val="20"/>
          <w:szCs w:val="20"/>
          <w:lang w:val="en-US"/>
        </w:rPr>
        <w:t>)</w:t>
      </w:r>
      <w:r w:rsidR="00EC6C0E">
        <w:rPr>
          <w:rFonts w:ascii="Calibri" w:eastAsia="Calibri" w:hAnsi="Calibri" w:cs="Calibri"/>
          <w:color w:val="5F5F5F"/>
          <w:sz w:val="20"/>
          <w:szCs w:val="20"/>
          <w:lang w:val="en-US"/>
        </w:rPr>
        <w:t xml:space="preserve">, as set out in Part 5A of the OPGGS Act. It also provides examples </w:t>
      </w:r>
      <w:r w:rsidR="00531DBC">
        <w:rPr>
          <w:rFonts w:ascii="Calibri" w:eastAsia="Calibri" w:hAnsi="Calibri" w:cs="Calibri"/>
          <w:color w:val="5F5F5F"/>
          <w:sz w:val="20"/>
          <w:szCs w:val="20"/>
          <w:lang w:val="en-US"/>
        </w:rPr>
        <w:t xml:space="preserve">to illustrate how </w:t>
      </w:r>
      <w:r w:rsidR="00E46C29">
        <w:rPr>
          <w:rFonts w:ascii="Calibri" w:eastAsia="Calibri" w:hAnsi="Calibri" w:cs="Calibri"/>
          <w:color w:val="5F5F5F"/>
          <w:sz w:val="20"/>
          <w:szCs w:val="20"/>
          <w:lang w:val="en-US"/>
        </w:rPr>
        <w:t xml:space="preserve">some of </w:t>
      </w:r>
      <w:r w:rsidR="00531DBC">
        <w:rPr>
          <w:rFonts w:ascii="Calibri" w:eastAsia="Calibri" w:hAnsi="Calibri" w:cs="Calibri"/>
          <w:color w:val="5F5F5F"/>
          <w:sz w:val="20"/>
          <w:szCs w:val="20"/>
          <w:lang w:val="en-US"/>
        </w:rPr>
        <w:t xml:space="preserve">the </w:t>
      </w:r>
      <w:r w:rsidR="00E46C29">
        <w:rPr>
          <w:rFonts w:ascii="Calibri" w:eastAsia="Calibri" w:hAnsi="Calibri" w:cs="Calibri"/>
          <w:color w:val="5F5F5F"/>
          <w:sz w:val="20"/>
          <w:szCs w:val="20"/>
          <w:lang w:val="en-US"/>
        </w:rPr>
        <w:t xml:space="preserve">other change in control </w:t>
      </w:r>
      <w:r w:rsidR="00531DBC">
        <w:rPr>
          <w:rFonts w:ascii="Calibri" w:eastAsia="Calibri" w:hAnsi="Calibri" w:cs="Calibri"/>
          <w:color w:val="5F5F5F"/>
          <w:sz w:val="20"/>
          <w:szCs w:val="20"/>
          <w:lang w:val="en-US"/>
        </w:rPr>
        <w:t>provisions work</w:t>
      </w:r>
      <w:r w:rsidR="00E46C29">
        <w:rPr>
          <w:rFonts w:ascii="Calibri" w:eastAsia="Calibri" w:hAnsi="Calibri" w:cs="Calibri"/>
          <w:color w:val="5F5F5F"/>
          <w:sz w:val="20"/>
          <w:szCs w:val="20"/>
          <w:lang w:val="en-US"/>
        </w:rPr>
        <w:t xml:space="preserve">, as outlined in </w:t>
      </w:r>
      <w:r w:rsidRPr="4578D0E9">
        <w:rPr>
          <w:rFonts w:ascii="Calibri" w:eastAsia="Calibri" w:hAnsi="Calibri" w:cs="Calibri"/>
          <w:color w:val="5F5F5F"/>
          <w:sz w:val="20"/>
          <w:szCs w:val="20"/>
          <w:lang w:val="en-US"/>
        </w:rPr>
        <w:t xml:space="preserve">the </w:t>
      </w:r>
      <w:hyperlink r:id="rId19" w:tooltip="Link to the Guideline on NOPTA's website" w:history="1">
        <w:r w:rsidR="004A19EB" w:rsidRPr="008B7055">
          <w:rPr>
            <w:rFonts w:asciiTheme="minorHAnsi" w:eastAsia="Times New Roman" w:hAnsiTheme="minorHAnsi" w:cstheme="minorHAnsi"/>
            <w:i/>
            <w:color w:val="0563C1"/>
            <w:sz w:val="20"/>
            <w:szCs w:val="20"/>
            <w:u w:val="single"/>
          </w:rPr>
          <w:t>Guideline: Transfers, Dealings, Change in Control and Other Titleholder Transactions</w:t>
        </w:r>
      </w:hyperlink>
      <w:r w:rsidR="007B0A6A" w:rsidRPr="008B7055">
        <w:rPr>
          <w:rFonts w:asciiTheme="minorHAnsi" w:eastAsia="Times New Roman" w:hAnsiTheme="minorHAnsi" w:cstheme="minorHAnsi"/>
          <w:iCs/>
          <w:color w:val="0563C1"/>
          <w:sz w:val="20"/>
          <w:szCs w:val="20"/>
        </w:rPr>
        <w:t>.</w:t>
      </w:r>
    </w:p>
    <w:p w14:paraId="61713A2D" w14:textId="77777777" w:rsidR="0027787C" w:rsidRPr="003B43CB" w:rsidRDefault="0027787C" w:rsidP="0027787C">
      <w:pPr>
        <w:keepNext/>
        <w:keepLines/>
        <w:spacing w:after="120" w:line="259" w:lineRule="auto"/>
        <w:ind w:left="142"/>
        <w:outlineLvl w:val="1"/>
        <w:rPr>
          <w:i/>
          <w:color w:val="5F5F5F"/>
          <w:sz w:val="20"/>
          <w:szCs w:val="20"/>
        </w:rPr>
      </w:pPr>
      <w:r w:rsidRPr="003B43CB">
        <w:rPr>
          <w:b/>
          <w:i/>
          <w:color w:val="5F5F5F"/>
          <w:sz w:val="20"/>
          <w:szCs w:val="20"/>
        </w:rPr>
        <w:t xml:space="preserve">Please note: </w:t>
      </w:r>
      <w:r w:rsidRPr="003B43CB">
        <w:rPr>
          <w:i/>
          <w:color w:val="5F5F5F"/>
          <w:sz w:val="20"/>
          <w:szCs w:val="20"/>
        </w:rPr>
        <w:t>this document is intended as a guide only and should not be relied on as legal advice or regarded as a substitute for legal advice in individual cases.</w:t>
      </w:r>
    </w:p>
    <w:p w14:paraId="293BF883" w14:textId="77777777" w:rsidR="0027787C" w:rsidRDefault="0027787C" w:rsidP="0027787C">
      <w:pPr>
        <w:pStyle w:val="Heading2"/>
        <w:rPr>
          <w:color w:val="27629B"/>
        </w:rPr>
      </w:pPr>
      <w:r>
        <w:rPr>
          <w:color w:val="27629B"/>
        </w:rPr>
        <w:t>Overview</w:t>
      </w:r>
    </w:p>
    <w:p w14:paraId="6C7C7596" w14:textId="5167CCC0" w:rsidR="00531DBC" w:rsidRPr="00531DBC" w:rsidRDefault="00082E7B" w:rsidP="00531DBC">
      <w:pPr>
        <w:keepNext/>
        <w:keepLines/>
        <w:spacing w:after="120" w:line="259" w:lineRule="auto"/>
        <w:ind w:left="142"/>
        <w:outlineLvl w:val="1"/>
        <w:rPr>
          <w:color w:val="5F5F5F"/>
          <w:sz w:val="20"/>
          <w:szCs w:val="20"/>
          <w:lang w:val="en-AU"/>
        </w:rPr>
      </w:pPr>
      <w:r>
        <w:rPr>
          <w:color w:val="5F5F5F"/>
          <w:sz w:val="20"/>
          <w:szCs w:val="20"/>
          <w:lang w:val="en-AU"/>
        </w:rPr>
        <w:t>Chapter</w:t>
      </w:r>
      <w:r w:rsidR="00531DBC" w:rsidRPr="00531DBC">
        <w:rPr>
          <w:color w:val="5F5F5F"/>
          <w:sz w:val="20"/>
          <w:szCs w:val="20"/>
          <w:lang w:val="en-AU"/>
        </w:rPr>
        <w:t xml:space="preserve"> 5A of the OPGGS Act sets out the legislative provisions relating to a change in control </w:t>
      </w:r>
      <w:r w:rsidR="00E46C29">
        <w:rPr>
          <w:color w:val="5F5F5F"/>
          <w:sz w:val="20"/>
          <w:szCs w:val="20"/>
          <w:lang w:val="en-AU"/>
        </w:rPr>
        <w:t xml:space="preserve">(or ownership) </w:t>
      </w:r>
      <w:r w:rsidR="00531DBC" w:rsidRPr="00531DBC">
        <w:rPr>
          <w:color w:val="5F5F5F"/>
          <w:sz w:val="20"/>
          <w:szCs w:val="20"/>
          <w:lang w:val="en-AU"/>
        </w:rPr>
        <w:t xml:space="preserve">of a registered holder of </w:t>
      </w:r>
      <w:r w:rsidR="000137BA" w:rsidRPr="00531DBC">
        <w:rPr>
          <w:color w:val="5F5F5F"/>
          <w:sz w:val="20"/>
          <w:szCs w:val="20"/>
          <w:lang w:val="en-AU"/>
        </w:rPr>
        <w:t>a pipeline or infrastructure licence;</w:t>
      </w:r>
      <w:r w:rsidR="000137BA">
        <w:rPr>
          <w:color w:val="5F5F5F"/>
          <w:sz w:val="20"/>
          <w:szCs w:val="20"/>
          <w:lang w:val="en-AU"/>
        </w:rPr>
        <w:t xml:space="preserve"> </w:t>
      </w:r>
      <w:r w:rsidR="00531DBC" w:rsidRPr="00531DBC">
        <w:rPr>
          <w:color w:val="5F5F5F"/>
          <w:sz w:val="20"/>
          <w:szCs w:val="20"/>
          <w:lang w:val="en-AU"/>
        </w:rPr>
        <w:t xml:space="preserve">a petroleum exploration permit, retention lease or production licence; or a </w:t>
      </w:r>
      <w:r>
        <w:rPr>
          <w:color w:val="5F5F5F"/>
          <w:sz w:val="20"/>
          <w:szCs w:val="20"/>
          <w:lang w:val="en-AU"/>
        </w:rPr>
        <w:t>greenhouse gas (</w:t>
      </w:r>
      <w:r w:rsidR="00531DBC" w:rsidRPr="00531DBC">
        <w:rPr>
          <w:color w:val="5F5F5F"/>
          <w:sz w:val="20"/>
          <w:szCs w:val="20"/>
          <w:lang w:val="en-AU"/>
        </w:rPr>
        <w:t>GHG</w:t>
      </w:r>
      <w:r>
        <w:rPr>
          <w:color w:val="5F5F5F"/>
          <w:sz w:val="20"/>
          <w:szCs w:val="20"/>
          <w:lang w:val="en-AU"/>
        </w:rPr>
        <w:t>)</w:t>
      </w:r>
      <w:r w:rsidR="00531DBC" w:rsidRPr="00531DBC">
        <w:rPr>
          <w:color w:val="5F5F5F"/>
          <w:sz w:val="20"/>
          <w:szCs w:val="20"/>
          <w:lang w:val="en-AU"/>
        </w:rPr>
        <w:t xml:space="preserve"> assessment permit; holding lease or injection licence.</w:t>
      </w:r>
    </w:p>
    <w:p w14:paraId="7DB7EEBA" w14:textId="1468CB83" w:rsidR="00531DBC" w:rsidRPr="00531DBC" w:rsidRDefault="00A115B9" w:rsidP="00531DBC">
      <w:pPr>
        <w:keepNext/>
        <w:keepLines/>
        <w:spacing w:after="120" w:line="259" w:lineRule="auto"/>
        <w:ind w:left="142"/>
        <w:outlineLvl w:val="1"/>
        <w:rPr>
          <w:color w:val="5F5F5F"/>
          <w:sz w:val="20"/>
          <w:szCs w:val="20"/>
          <w:lang w:val="en-AU"/>
        </w:rPr>
      </w:pPr>
      <w:r w:rsidRPr="00A115B9">
        <w:rPr>
          <w:color w:val="5F5F5F"/>
          <w:sz w:val="20"/>
          <w:szCs w:val="20"/>
          <w:lang w:val="en-AU"/>
        </w:rPr>
        <w:t xml:space="preserve">A change in control under </w:t>
      </w:r>
      <w:r w:rsidR="00082E7B">
        <w:rPr>
          <w:color w:val="5F5F5F"/>
          <w:sz w:val="20"/>
          <w:szCs w:val="20"/>
          <w:lang w:val="en-AU"/>
        </w:rPr>
        <w:t>Chapter</w:t>
      </w:r>
      <w:r w:rsidRPr="00A115B9">
        <w:rPr>
          <w:color w:val="5F5F5F"/>
          <w:sz w:val="20"/>
          <w:szCs w:val="20"/>
          <w:lang w:val="en-AU"/>
        </w:rPr>
        <w:t xml:space="preserve"> 5A of the OPGGS Act is a commercial transaction or agreement that is </w:t>
      </w:r>
      <w:r w:rsidRPr="00A115B9">
        <w:rPr>
          <w:color w:val="5F5F5F"/>
          <w:sz w:val="20"/>
          <w:szCs w:val="20"/>
          <w:u w:val="single"/>
          <w:lang w:val="en-AU"/>
        </w:rPr>
        <w:t>not</w:t>
      </w:r>
      <w:r w:rsidRPr="00A115B9">
        <w:rPr>
          <w:color w:val="5F5F5F"/>
          <w:sz w:val="20"/>
          <w:szCs w:val="20"/>
          <w:lang w:val="en-AU"/>
        </w:rPr>
        <w:t xml:space="preserve"> captured by the </w:t>
      </w:r>
      <w:r>
        <w:rPr>
          <w:color w:val="5F5F5F"/>
          <w:sz w:val="20"/>
          <w:szCs w:val="20"/>
          <w:lang w:val="en-AU"/>
        </w:rPr>
        <w:t xml:space="preserve">transfer of title or the </w:t>
      </w:r>
      <w:r w:rsidRPr="00A115B9">
        <w:rPr>
          <w:color w:val="5F5F5F"/>
          <w:sz w:val="20"/>
          <w:szCs w:val="20"/>
          <w:lang w:val="en-AU"/>
        </w:rPr>
        <w:t xml:space="preserve">dealing provisions in Parts </w:t>
      </w:r>
      <w:r>
        <w:rPr>
          <w:color w:val="5F5F5F"/>
          <w:sz w:val="20"/>
          <w:szCs w:val="20"/>
          <w:lang w:val="en-AU"/>
        </w:rPr>
        <w:t xml:space="preserve">4.3, </w:t>
      </w:r>
      <w:r w:rsidRPr="00A115B9">
        <w:rPr>
          <w:color w:val="5F5F5F"/>
          <w:sz w:val="20"/>
          <w:szCs w:val="20"/>
          <w:lang w:val="en-AU"/>
        </w:rPr>
        <w:t>4.6</w:t>
      </w:r>
      <w:r>
        <w:rPr>
          <w:color w:val="5F5F5F"/>
          <w:sz w:val="20"/>
          <w:szCs w:val="20"/>
          <w:lang w:val="en-AU"/>
        </w:rPr>
        <w:t>, 5.3</w:t>
      </w:r>
      <w:r w:rsidRPr="00A115B9">
        <w:rPr>
          <w:color w:val="5F5F5F"/>
          <w:sz w:val="20"/>
          <w:szCs w:val="20"/>
          <w:lang w:val="en-AU"/>
        </w:rPr>
        <w:t xml:space="preserve"> and 5.6 of the OPGGS Act.</w:t>
      </w:r>
    </w:p>
    <w:p w14:paraId="1529CCEE" w14:textId="77C53565" w:rsidR="00145881" w:rsidRPr="001F5CD7" w:rsidRDefault="00531DBC" w:rsidP="00145881">
      <w:pPr>
        <w:pStyle w:val="Heading2"/>
        <w:ind w:left="119"/>
        <w:rPr>
          <w:color w:val="27629B"/>
        </w:rPr>
      </w:pPr>
      <w:r>
        <w:rPr>
          <w:color w:val="27629B"/>
        </w:rPr>
        <w:t>Definition of ‘control’</w:t>
      </w:r>
    </w:p>
    <w:p w14:paraId="0751EA34" w14:textId="77777777" w:rsidR="00531DBC" w:rsidRPr="00531DBC" w:rsidRDefault="00531DBC" w:rsidP="00531DBC">
      <w:pPr>
        <w:spacing w:after="120"/>
        <w:ind w:left="113"/>
        <w:rPr>
          <w:color w:val="5F5F5F"/>
          <w:sz w:val="20"/>
          <w:szCs w:val="20"/>
          <w:lang w:val="en-AU"/>
        </w:rPr>
      </w:pPr>
      <w:bookmarkStart w:id="1" w:name="_Ref80354043"/>
      <w:r w:rsidRPr="00531DBC">
        <w:rPr>
          <w:color w:val="5F5F5F"/>
          <w:sz w:val="20"/>
          <w:szCs w:val="20"/>
          <w:lang w:val="en-AU"/>
        </w:rPr>
        <w:t xml:space="preserve">A person </w:t>
      </w:r>
      <w:r w:rsidRPr="00531DBC">
        <w:rPr>
          <w:b/>
          <w:bCs/>
          <w:color w:val="5F5F5F"/>
          <w:sz w:val="20"/>
          <w:szCs w:val="20"/>
          <w:lang w:val="en-AU"/>
        </w:rPr>
        <w:t>‘controls’</w:t>
      </w:r>
      <w:r w:rsidRPr="00531DBC">
        <w:rPr>
          <w:color w:val="5F5F5F"/>
          <w:sz w:val="20"/>
          <w:szCs w:val="20"/>
          <w:lang w:val="en-AU"/>
        </w:rPr>
        <w:t xml:space="preserve"> the registered titleholder where the person either (s 566B(1)):</w:t>
      </w:r>
      <w:bookmarkEnd w:id="1"/>
    </w:p>
    <w:p w14:paraId="6C928E9A" w14:textId="77777777" w:rsidR="00531DBC" w:rsidRPr="00531DBC" w:rsidRDefault="00531DBC" w:rsidP="00531DBC">
      <w:pPr>
        <w:numPr>
          <w:ilvl w:val="2"/>
          <w:numId w:val="18"/>
        </w:numPr>
        <w:spacing w:after="120"/>
        <w:ind w:left="567" w:hanging="362"/>
        <w:rPr>
          <w:color w:val="5F5F5F"/>
          <w:sz w:val="20"/>
          <w:szCs w:val="20"/>
          <w:lang w:val="en-AU"/>
        </w:rPr>
      </w:pPr>
      <w:r w:rsidRPr="00531DBC">
        <w:rPr>
          <w:color w:val="5F5F5F"/>
          <w:sz w:val="20"/>
          <w:szCs w:val="20"/>
          <w:lang w:val="en-AU"/>
        </w:rPr>
        <w:t>holds the power to exercise, or control the exercise of, 20 per cent or more of the voting rights in the registered holder; or</w:t>
      </w:r>
    </w:p>
    <w:p w14:paraId="4D758F3F" w14:textId="77777777" w:rsidR="00531DBC" w:rsidRPr="00531DBC" w:rsidRDefault="00531DBC" w:rsidP="00531DBC">
      <w:pPr>
        <w:numPr>
          <w:ilvl w:val="2"/>
          <w:numId w:val="18"/>
        </w:numPr>
        <w:spacing w:after="120"/>
        <w:ind w:left="567" w:hanging="362"/>
        <w:rPr>
          <w:color w:val="5F5F5F"/>
          <w:sz w:val="20"/>
          <w:szCs w:val="20"/>
          <w:lang w:val="en-AU"/>
        </w:rPr>
      </w:pPr>
      <w:r w:rsidRPr="00531DBC">
        <w:rPr>
          <w:color w:val="5F5F5F"/>
          <w:sz w:val="20"/>
          <w:szCs w:val="20"/>
          <w:lang w:val="en-AU"/>
        </w:rPr>
        <w:t>holds, or holds an interest in, 20 per cent or more of the issued securities in the registered holder.</w:t>
      </w:r>
    </w:p>
    <w:p w14:paraId="4968533F" w14:textId="7DD30688" w:rsidR="00E46C29" w:rsidRPr="00E46C29" w:rsidRDefault="00E46C29" w:rsidP="00E46C29">
      <w:pPr>
        <w:pStyle w:val="Heading3"/>
        <w:rPr>
          <w:iCs/>
          <w:color w:val="27629B"/>
          <w:sz w:val="20"/>
          <w:szCs w:val="20"/>
          <w:u w:val="none"/>
        </w:rPr>
      </w:pPr>
      <w:r w:rsidRPr="00E46C29">
        <w:rPr>
          <w:iCs/>
          <w:color w:val="27629B"/>
          <w:sz w:val="20"/>
          <w:szCs w:val="20"/>
          <w:u w:val="none"/>
        </w:rPr>
        <w:t>Acting jointly or alone</w:t>
      </w:r>
    </w:p>
    <w:p w14:paraId="320553E8" w14:textId="51371688" w:rsidR="00531DBC" w:rsidRPr="00531DBC" w:rsidRDefault="00531DBC" w:rsidP="00531DBC">
      <w:pPr>
        <w:spacing w:after="120"/>
        <w:ind w:left="113"/>
        <w:rPr>
          <w:color w:val="5F5F5F"/>
          <w:sz w:val="20"/>
          <w:szCs w:val="20"/>
          <w:lang w:val="en-AU"/>
        </w:rPr>
      </w:pPr>
      <w:r w:rsidRPr="00531DBC">
        <w:rPr>
          <w:color w:val="5F5F5F"/>
          <w:sz w:val="20"/>
          <w:szCs w:val="20"/>
          <w:lang w:val="en-AU"/>
        </w:rPr>
        <w:t xml:space="preserve">This includes where the person is either acting alone or jointly with one or more other person(s). A person </w:t>
      </w:r>
      <w:r w:rsidRPr="00531DBC">
        <w:rPr>
          <w:b/>
          <w:bCs/>
          <w:color w:val="5F5F5F"/>
          <w:sz w:val="20"/>
          <w:szCs w:val="20"/>
          <w:lang w:val="en-AU"/>
        </w:rPr>
        <w:t>‘acts jointly’</w:t>
      </w:r>
      <w:r w:rsidRPr="00531DBC">
        <w:rPr>
          <w:color w:val="5F5F5F"/>
          <w:sz w:val="20"/>
          <w:szCs w:val="20"/>
          <w:lang w:val="en-AU"/>
        </w:rPr>
        <w:t xml:space="preserve"> with another person(s) where the person acts or is accustomed to acting in agreement with, or in accordance with the wishes of, the other person(s) (s 566B(2)).</w:t>
      </w:r>
    </w:p>
    <w:p w14:paraId="1170B3F7" w14:textId="230C16EC" w:rsidR="00531DBC" w:rsidRPr="00531DBC" w:rsidRDefault="00531DBC" w:rsidP="00531DBC">
      <w:pPr>
        <w:spacing w:after="120"/>
        <w:ind w:left="113"/>
        <w:rPr>
          <w:color w:val="5F5F5F"/>
          <w:sz w:val="20"/>
          <w:szCs w:val="20"/>
          <w:lang w:val="en-AU"/>
        </w:rPr>
      </w:pPr>
      <w:r w:rsidRPr="00531DBC">
        <w:rPr>
          <w:color w:val="5F5F5F"/>
          <w:sz w:val="20"/>
          <w:szCs w:val="20"/>
          <w:lang w:val="en-AU"/>
        </w:rPr>
        <w:t xml:space="preserve">For example, two or more related bodies corporate or joint venture partners that collectively acquire or dispose of voting rights or issued securities in a titleholder may acquire control of—and consequently trigger the definition of a </w:t>
      </w:r>
      <w:r w:rsidRPr="00531DBC">
        <w:rPr>
          <w:b/>
          <w:bCs/>
          <w:i/>
          <w:iCs/>
          <w:color w:val="5F5F5F"/>
          <w:sz w:val="20"/>
          <w:szCs w:val="20"/>
          <w:lang w:val="en-AU"/>
        </w:rPr>
        <w:t>change in control</w:t>
      </w:r>
      <w:r w:rsidRPr="00531DBC">
        <w:rPr>
          <w:color w:val="5F5F5F"/>
          <w:sz w:val="20"/>
          <w:szCs w:val="20"/>
          <w:lang w:val="en-AU"/>
        </w:rPr>
        <w:t xml:space="preserve"> of—the registered titleholder, even if each body or partner will individually hold a percentage of voting rights or issued securities that is less than 20</w:t>
      </w:r>
      <w:r w:rsidR="00F73BF1">
        <w:rPr>
          <w:color w:val="5F5F5F"/>
          <w:sz w:val="20"/>
          <w:szCs w:val="20"/>
          <w:lang w:val="en-AU"/>
        </w:rPr>
        <w:t> </w:t>
      </w:r>
      <w:r w:rsidRPr="00531DBC">
        <w:rPr>
          <w:color w:val="5F5F5F"/>
          <w:sz w:val="20"/>
          <w:szCs w:val="20"/>
          <w:lang w:val="en-AU"/>
        </w:rPr>
        <w:t>per</w:t>
      </w:r>
      <w:r w:rsidR="00F73BF1">
        <w:rPr>
          <w:color w:val="5F5F5F"/>
          <w:sz w:val="20"/>
          <w:szCs w:val="20"/>
          <w:lang w:val="en-AU"/>
        </w:rPr>
        <w:t> </w:t>
      </w:r>
      <w:r w:rsidRPr="00531DBC">
        <w:rPr>
          <w:color w:val="5F5F5F"/>
          <w:sz w:val="20"/>
          <w:szCs w:val="20"/>
          <w:lang w:val="en-AU"/>
        </w:rPr>
        <w:t>cent.</w:t>
      </w:r>
    </w:p>
    <w:p w14:paraId="2DA77AB8" w14:textId="3ED453D4" w:rsidR="00E46C29" w:rsidRPr="00E46C29" w:rsidRDefault="00E46C29" w:rsidP="00E46C29">
      <w:pPr>
        <w:pStyle w:val="Heading3"/>
        <w:rPr>
          <w:iCs/>
          <w:color w:val="27629B"/>
          <w:sz w:val="20"/>
          <w:szCs w:val="20"/>
          <w:u w:val="none"/>
        </w:rPr>
      </w:pPr>
      <w:r w:rsidRPr="00E46C29">
        <w:rPr>
          <w:iCs/>
          <w:color w:val="27629B"/>
          <w:sz w:val="20"/>
          <w:szCs w:val="20"/>
          <w:u w:val="none"/>
        </w:rPr>
        <w:t>Voting rights &amp; issued securities</w:t>
      </w:r>
    </w:p>
    <w:p w14:paraId="59AF9ED2" w14:textId="442A8119" w:rsidR="00145881" w:rsidRDefault="00531DBC" w:rsidP="00531DBC">
      <w:pPr>
        <w:spacing w:after="120"/>
        <w:ind w:left="113"/>
        <w:rPr>
          <w:color w:val="5F5F5F"/>
          <w:sz w:val="20"/>
          <w:szCs w:val="20"/>
          <w:lang w:val="en-AU"/>
        </w:rPr>
      </w:pPr>
      <w:r w:rsidRPr="00531DBC">
        <w:rPr>
          <w:color w:val="5F5F5F"/>
          <w:sz w:val="20"/>
          <w:szCs w:val="20"/>
          <w:lang w:val="en-AU"/>
        </w:rPr>
        <w:t>The terms ‘</w:t>
      </w:r>
      <w:r w:rsidRPr="00531DBC">
        <w:rPr>
          <w:b/>
          <w:bCs/>
          <w:color w:val="5F5F5F"/>
          <w:sz w:val="20"/>
          <w:szCs w:val="20"/>
          <w:lang w:val="en-AU"/>
        </w:rPr>
        <w:t>voting rights</w:t>
      </w:r>
      <w:r w:rsidRPr="00531DBC">
        <w:rPr>
          <w:color w:val="5F5F5F"/>
          <w:sz w:val="20"/>
          <w:szCs w:val="20"/>
          <w:lang w:val="en-AU"/>
        </w:rPr>
        <w:t>’ and ‘</w:t>
      </w:r>
      <w:r w:rsidRPr="00531DBC">
        <w:rPr>
          <w:b/>
          <w:bCs/>
          <w:color w:val="5F5F5F"/>
          <w:sz w:val="20"/>
          <w:szCs w:val="20"/>
          <w:lang w:val="en-AU"/>
        </w:rPr>
        <w:t>issued securities</w:t>
      </w:r>
      <w:r w:rsidRPr="00531DBC">
        <w:rPr>
          <w:color w:val="5F5F5F"/>
          <w:sz w:val="20"/>
          <w:szCs w:val="20"/>
          <w:lang w:val="en-AU"/>
        </w:rPr>
        <w:t>’ are not defined in the OPGGS Act and therefore their ordinary meanings apply.</w:t>
      </w:r>
    </w:p>
    <w:p w14:paraId="34913562" w14:textId="1CAFCD9B" w:rsidR="00110EFE" w:rsidRDefault="00110EFE" w:rsidP="00110EFE">
      <w:pPr>
        <w:pStyle w:val="Heading2"/>
        <w:ind w:left="119"/>
        <w:rPr>
          <w:color w:val="5F5F5F"/>
          <w:sz w:val="20"/>
          <w:szCs w:val="20"/>
          <w:lang w:val="en-AU"/>
        </w:rPr>
      </w:pPr>
      <w:r>
        <w:rPr>
          <w:color w:val="27629B"/>
        </w:rPr>
        <w:t>Definition of ‘change in control’</w:t>
      </w:r>
    </w:p>
    <w:p w14:paraId="722757C6" w14:textId="50FA7CC3" w:rsidR="00531DBC" w:rsidRPr="00531DBC" w:rsidRDefault="00531DBC" w:rsidP="00531DBC">
      <w:pPr>
        <w:spacing w:after="120"/>
        <w:ind w:left="113"/>
        <w:rPr>
          <w:color w:val="5F5F5F"/>
          <w:sz w:val="20"/>
          <w:szCs w:val="20"/>
          <w:lang w:val="en-AU"/>
        </w:rPr>
      </w:pPr>
      <w:r w:rsidRPr="00531DBC">
        <w:rPr>
          <w:color w:val="5F5F5F"/>
          <w:sz w:val="20"/>
          <w:szCs w:val="20"/>
          <w:lang w:val="en-AU"/>
        </w:rPr>
        <w:t xml:space="preserve">A </w:t>
      </w:r>
      <w:r w:rsidRPr="00531DBC">
        <w:rPr>
          <w:b/>
          <w:bCs/>
          <w:color w:val="5F5F5F"/>
          <w:sz w:val="20"/>
          <w:szCs w:val="20"/>
          <w:lang w:val="en-AU"/>
        </w:rPr>
        <w:t>‘change in control’</w:t>
      </w:r>
      <w:r w:rsidRPr="00531DBC">
        <w:rPr>
          <w:color w:val="5F5F5F"/>
          <w:sz w:val="20"/>
          <w:szCs w:val="20"/>
          <w:lang w:val="en-AU"/>
        </w:rPr>
        <w:t xml:space="preserve"> occurs where (s 566B(4)):</w:t>
      </w:r>
    </w:p>
    <w:p w14:paraId="6A5F3E37" w14:textId="77777777" w:rsidR="00531DBC" w:rsidRPr="00531DBC" w:rsidRDefault="00531DBC" w:rsidP="00531DBC">
      <w:pPr>
        <w:numPr>
          <w:ilvl w:val="2"/>
          <w:numId w:val="18"/>
        </w:numPr>
        <w:spacing w:after="120"/>
        <w:ind w:left="567" w:hanging="362"/>
        <w:rPr>
          <w:color w:val="5F5F5F"/>
          <w:sz w:val="20"/>
          <w:szCs w:val="20"/>
          <w:lang w:val="en-AU"/>
        </w:rPr>
      </w:pPr>
      <w:r w:rsidRPr="00531DBC">
        <w:rPr>
          <w:color w:val="5F5F5F"/>
          <w:sz w:val="20"/>
          <w:szCs w:val="20"/>
          <w:lang w:val="en-AU"/>
        </w:rPr>
        <w:t xml:space="preserve">one or more other persons, alone or acting jointly, </w:t>
      </w:r>
      <w:r w:rsidRPr="0005287A">
        <w:rPr>
          <w:b/>
          <w:bCs/>
          <w:color w:val="5F5F5F"/>
          <w:sz w:val="20"/>
          <w:szCs w:val="20"/>
          <w:lang w:val="en-AU"/>
        </w:rPr>
        <w:t>begin</w:t>
      </w:r>
      <w:r w:rsidRPr="00531DBC">
        <w:rPr>
          <w:color w:val="5F5F5F"/>
          <w:sz w:val="20"/>
          <w:szCs w:val="20"/>
          <w:lang w:val="en-AU"/>
        </w:rPr>
        <w:t xml:space="preserve"> to control the registered titleholder by acquiring voting rights or issued securities in the titleholder so that the person(s) holds at least 20 per cent of the voting rights or issued securities; or</w:t>
      </w:r>
    </w:p>
    <w:p w14:paraId="62E2A469" w14:textId="77777777" w:rsidR="00531DBC" w:rsidRPr="00531DBC" w:rsidRDefault="00531DBC" w:rsidP="00531DBC">
      <w:pPr>
        <w:numPr>
          <w:ilvl w:val="2"/>
          <w:numId w:val="18"/>
        </w:numPr>
        <w:spacing w:after="120"/>
        <w:ind w:left="567" w:hanging="362"/>
        <w:rPr>
          <w:color w:val="5F5F5F"/>
          <w:sz w:val="20"/>
          <w:szCs w:val="20"/>
          <w:lang w:val="en-AU"/>
        </w:rPr>
      </w:pPr>
      <w:r w:rsidRPr="00531DBC">
        <w:rPr>
          <w:color w:val="5F5F5F"/>
          <w:sz w:val="20"/>
          <w:szCs w:val="20"/>
          <w:lang w:val="en-AU"/>
        </w:rPr>
        <w:t xml:space="preserve">one or more other persons, alone or acting jointly, who currently controls the registered titleholder </w:t>
      </w:r>
      <w:r w:rsidRPr="0005287A">
        <w:rPr>
          <w:b/>
          <w:bCs/>
          <w:color w:val="5F5F5F"/>
          <w:sz w:val="20"/>
          <w:szCs w:val="20"/>
          <w:lang w:val="en-AU"/>
        </w:rPr>
        <w:t>ceases</w:t>
      </w:r>
      <w:r w:rsidRPr="00531DBC">
        <w:rPr>
          <w:color w:val="5F5F5F"/>
          <w:sz w:val="20"/>
          <w:szCs w:val="20"/>
          <w:lang w:val="en-AU"/>
        </w:rPr>
        <w:t xml:space="preserve"> to control the registered titleholder by disposing voting rights or issued securities in the titleholder so that the person(s) cease to hold at least 20 per cent of the voting rights or issued securities.</w:t>
      </w:r>
    </w:p>
    <w:p w14:paraId="1485414C" w14:textId="52DDB60A" w:rsidR="00E46C29" w:rsidRPr="00E46C29" w:rsidRDefault="00E46C29" w:rsidP="00E46C29">
      <w:pPr>
        <w:pStyle w:val="Heading3"/>
        <w:rPr>
          <w:iCs/>
          <w:color w:val="27629B"/>
          <w:sz w:val="20"/>
          <w:szCs w:val="20"/>
          <w:u w:val="none"/>
        </w:rPr>
      </w:pPr>
      <w:bookmarkStart w:id="2" w:name="_Ref79056869"/>
      <w:r w:rsidRPr="00E46C29">
        <w:rPr>
          <w:iCs/>
          <w:color w:val="27629B"/>
          <w:sz w:val="20"/>
          <w:szCs w:val="20"/>
          <w:u w:val="none"/>
        </w:rPr>
        <w:t>Control versus ownership</w:t>
      </w:r>
    </w:p>
    <w:p w14:paraId="2BCA4795" w14:textId="5939ABEB" w:rsidR="00531DBC" w:rsidRPr="00531DBC" w:rsidRDefault="00531DBC" w:rsidP="00531DBC">
      <w:pPr>
        <w:spacing w:after="120"/>
        <w:ind w:left="113"/>
        <w:rPr>
          <w:color w:val="5F5F5F"/>
          <w:sz w:val="20"/>
          <w:szCs w:val="20"/>
          <w:lang w:val="en-AU"/>
        </w:rPr>
      </w:pPr>
      <w:r w:rsidRPr="00531DBC">
        <w:rPr>
          <w:color w:val="5F5F5F"/>
          <w:sz w:val="20"/>
          <w:szCs w:val="20"/>
          <w:lang w:val="en-AU"/>
        </w:rPr>
        <w:t>‘</w:t>
      </w:r>
      <w:r w:rsidRPr="00531DBC">
        <w:rPr>
          <w:b/>
          <w:bCs/>
          <w:color w:val="5F5F5F"/>
          <w:sz w:val="20"/>
          <w:szCs w:val="20"/>
          <w:lang w:val="en-AU"/>
        </w:rPr>
        <w:t>Control</w:t>
      </w:r>
      <w:r w:rsidRPr="00531DBC">
        <w:rPr>
          <w:color w:val="5F5F5F"/>
          <w:sz w:val="20"/>
          <w:szCs w:val="20"/>
          <w:lang w:val="en-AU"/>
        </w:rPr>
        <w:t>’ of a registered titleholder captures both ‘control’ and ‘ownership’. A ‘</w:t>
      </w:r>
      <w:r w:rsidRPr="00531DBC">
        <w:rPr>
          <w:b/>
          <w:bCs/>
          <w:color w:val="5F5F5F"/>
          <w:sz w:val="20"/>
          <w:szCs w:val="20"/>
          <w:lang w:val="en-AU"/>
        </w:rPr>
        <w:t>change in control</w:t>
      </w:r>
      <w:r w:rsidRPr="00531DBC">
        <w:rPr>
          <w:color w:val="5F5F5F"/>
          <w:sz w:val="20"/>
          <w:szCs w:val="20"/>
          <w:lang w:val="en-AU"/>
        </w:rPr>
        <w:t>’ of a titleholder therefore applies both to persons who propose to:</w:t>
      </w:r>
      <w:bookmarkEnd w:id="2"/>
    </w:p>
    <w:p w14:paraId="0A28E723" w14:textId="77777777" w:rsidR="00531DBC" w:rsidRPr="00531DBC" w:rsidRDefault="00531DBC" w:rsidP="00531DBC">
      <w:pPr>
        <w:numPr>
          <w:ilvl w:val="2"/>
          <w:numId w:val="18"/>
        </w:numPr>
        <w:spacing w:after="120"/>
        <w:ind w:left="567" w:hanging="362"/>
        <w:rPr>
          <w:color w:val="5F5F5F"/>
          <w:sz w:val="20"/>
          <w:szCs w:val="20"/>
          <w:lang w:val="en-AU"/>
        </w:rPr>
      </w:pPr>
      <w:r w:rsidRPr="00531DBC">
        <w:rPr>
          <w:color w:val="5F5F5F"/>
          <w:sz w:val="20"/>
          <w:szCs w:val="20"/>
          <w:lang w:val="en-AU"/>
        </w:rPr>
        <w:t>be in a position to exercise control or influence over the titleholder (control); and</w:t>
      </w:r>
    </w:p>
    <w:p w14:paraId="5E37F28B" w14:textId="77777777" w:rsidR="00531DBC" w:rsidRPr="00531DBC" w:rsidRDefault="00531DBC" w:rsidP="00531DBC">
      <w:pPr>
        <w:numPr>
          <w:ilvl w:val="2"/>
          <w:numId w:val="18"/>
        </w:numPr>
        <w:spacing w:after="120"/>
        <w:ind w:left="567" w:hanging="362"/>
        <w:rPr>
          <w:color w:val="5F5F5F"/>
          <w:sz w:val="20"/>
          <w:szCs w:val="20"/>
          <w:lang w:val="en-AU"/>
        </w:rPr>
      </w:pPr>
      <w:r w:rsidRPr="00531DBC">
        <w:rPr>
          <w:color w:val="5F5F5F"/>
          <w:sz w:val="20"/>
          <w:szCs w:val="20"/>
          <w:lang w:val="en-AU"/>
        </w:rPr>
        <w:t>hold a substantial interest in the titleholder but may not be able to exercise such control or influence (ownership).</w:t>
      </w:r>
    </w:p>
    <w:p w14:paraId="0D2AFC54" w14:textId="1F6F71CD" w:rsidR="00531DBC" w:rsidRDefault="00531DBC" w:rsidP="00531DBC">
      <w:pPr>
        <w:spacing w:after="120"/>
        <w:ind w:left="113"/>
        <w:rPr>
          <w:color w:val="5F5F5F"/>
          <w:sz w:val="20"/>
          <w:szCs w:val="20"/>
          <w:lang w:val="en-AU"/>
        </w:rPr>
      </w:pPr>
      <w:r w:rsidRPr="00531DBC">
        <w:rPr>
          <w:color w:val="5F5F5F"/>
          <w:sz w:val="20"/>
          <w:szCs w:val="20"/>
          <w:lang w:val="en-AU"/>
        </w:rPr>
        <w:t>For example, a person may acquire 20 per cent of the shares in a titleholder and thereby become a significant source of the financial resources available to the titleholder. However, the person may be unable to exercise control or influence over the titleholder because of the nature of those shares (for example, the shares do not confer voting rights).</w:t>
      </w:r>
    </w:p>
    <w:p w14:paraId="7478B536" w14:textId="331D153E" w:rsidR="00110EFE" w:rsidRPr="00E46C29" w:rsidRDefault="00110EFE" w:rsidP="00E46C29">
      <w:pPr>
        <w:pStyle w:val="Heading3"/>
        <w:rPr>
          <w:iCs/>
          <w:color w:val="27629B"/>
          <w:sz w:val="20"/>
          <w:szCs w:val="20"/>
          <w:u w:val="none"/>
        </w:rPr>
      </w:pPr>
      <w:r w:rsidRPr="00E46C29">
        <w:rPr>
          <w:iCs/>
          <w:color w:val="27629B"/>
          <w:sz w:val="20"/>
          <w:szCs w:val="20"/>
          <w:u w:val="none"/>
        </w:rPr>
        <w:t>Examples of a change in control</w:t>
      </w:r>
    </w:p>
    <w:p w14:paraId="77645AB6" w14:textId="151A005F" w:rsidR="00531DBC" w:rsidRPr="00531DBC" w:rsidRDefault="00531DBC" w:rsidP="00531DBC">
      <w:pPr>
        <w:spacing w:after="120"/>
        <w:ind w:left="113"/>
        <w:rPr>
          <w:color w:val="5F5F5F"/>
          <w:sz w:val="20"/>
          <w:szCs w:val="20"/>
          <w:lang w:val="en-AU"/>
        </w:rPr>
      </w:pPr>
      <w:r w:rsidRPr="00531DBC">
        <w:rPr>
          <w:color w:val="5F5F5F"/>
          <w:sz w:val="20"/>
          <w:szCs w:val="20"/>
          <w:lang w:val="en-AU"/>
        </w:rPr>
        <w:t>The following are examples of transactions that effect a change in control of a registered titleholder, involving persons either beginning or ceasing to control the titleholder or both:</w:t>
      </w:r>
    </w:p>
    <w:p w14:paraId="5FF8EBF4" w14:textId="77777777" w:rsidR="00531DBC" w:rsidRPr="00531DBC" w:rsidRDefault="00531DBC" w:rsidP="00531DBC">
      <w:pPr>
        <w:numPr>
          <w:ilvl w:val="2"/>
          <w:numId w:val="18"/>
        </w:numPr>
        <w:spacing w:after="120"/>
        <w:ind w:left="567" w:hanging="362"/>
        <w:rPr>
          <w:color w:val="5F5F5F"/>
          <w:sz w:val="20"/>
          <w:szCs w:val="20"/>
          <w:lang w:val="en-AU"/>
        </w:rPr>
      </w:pPr>
      <w:r w:rsidRPr="00531DBC">
        <w:rPr>
          <w:color w:val="5F5F5F"/>
          <w:sz w:val="20"/>
          <w:szCs w:val="20"/>
          <w:lang w:val="en-AU"/>
        </w:rPr>
        <w:t xml:space="preserve">Entity A holds 100 per cent of the shares in a titleholder but transfers all its shares to Entity B. Entity A ceases to control the titleholder and Entity B begins to control the titleholder. </w:t>
      </w:r>
    </w:p>
    <w:p w14:paraId="6B80E8F2" w14:textId="77777777" w:rsidR="00531DBC" w:rsidRPr="00531DBC" w:rsidRDefault="00531DBC" w:rsidP="004C1EBF">
      <w:pPr>
        <w:keepLines/>
        <w:numPr>
          <w:ilvl w:val="2"/>
          <w:numId w:val="18"/>
        </w:numPr>
        <w:spacing w:after="120"/>
        <w:ind w:left="567" w:hanging="363"/>
        <w:rPr>
          <w:color w:val="5F5F5F"/>
          <w:sz w:val="20"/>
          <w:szCs w:val="20"/>
          <w:lang w:val="en-AU"/>
        </w:rPr>
      </w:pPr>
      <w:r w:rsidRPr="00531DBC">
        <w:rPr>
          <w:color w:val="5F5F5F"/>
          <w:sz w:val="20"/>
          <w:szCs w:val="20"/>
          <w:lang w:val="en-AU"/>
        </w:rPr>
        <w:lastRenderedPageBreak/>
        <w:t xml:space="preserve">Entity A holds 100 per cent of the shares in a titleholder and transfers 20 per cent of its shares to Entity B. Entity A neither begins nor ceases to control the titleholder (Entity A retains control), but Entity B begins to control the titleholder. </w:t>
      </w:r>
    </w:p>
    <w:p w14:paraId="4B758F0A" w14:textId="77777777" w:rsidR="00531DBC" w:rsidRPr="00531DBC" w:rsidRDefault="00531DBC" w:rsidP="00531DBC">
      <w:pPr>
        <w:numPr>
          <w:ilvl w:val="2"/>
          <w:numId w:val="18"/>
        </w:numPr>
        <w:spacing w:after="120"/>
        <w:ind w:left="567" w:hanging="362"/>
        <w:rPr>
          <w:color w:val="5F5F5F"/>
          <w:sz w:val="20"/>
          <w:szCs w:val="20"/>
          <w:lang w:val="en-AU"/>
        </w:rPr>
      </w:pPr>
      <w:r w:rsidRPr="00531DBC">
        <w:rPr>
          <w:color w:val="5F5F5F"/>
          <w:sz w:val="20"/>
          <w:szCs w:val="20"/>
          <w:lang w:val="en-AU"/>
        </w:rPr>
        <w:t>Entity A and Entity B each hold 50 per cent of the shares in a titleholder. Entity A transfers all of its shares to Entity B. Entity A ceases to control the titleholder, but Entity B neither begins nor ceases to control the titleholder (Entity B retains control).</w:t>
      </w:r>
    </w:p>
    <w:p w14:paraId="08280F6E" w14:textId="6D2A92B8" w:rsidR="00531DBC" w:rsidRPr="00A115B9" w:rsidRDefault="00531DBC" w:rsidP="00531DBC">
      <w:pPr>
        <w:numPr>
          <w:ilvl w:val="2"/>
          <w:numId w:val="18"/>
        </w:numPr>
        <w:spacing w:after="120"/>
        <w:ind w:left="567" w:hanging="362"/>
        <w:rPr>
          <w:color w:val="5F5F5F"/>
          <w:sz w:val="20"/>
          <w:szCs w:val="20"/>
        </w:rPr>
      </w:pPr>
      <w:bookmarkStart w:id="3" w:name="_Hlk90464915"/>
      <w:r w:rsidRPr="00531DBC">
        <w:rPr>
          <w:color w:val="5F5F5F"/>
          <w:sz w:val="20"/>
          <w:szCs w:val="20"/>
          <w:lang w:val="en-AU"/>
        </w:rPr>
        <w:t>Entity A and Entity B each hold 50 per cent of the shares in a titleholder. Entity A transfers 40 per cent of its shares to Entity C. Entity A ceases to control the titleholder, Entity B neither begins nor ceases to control the titleholder (Entity B retains control)</w:t>
      </w:r>
      <w:bookmarkEnd w:id="3"/>
      <w:r w:rsidRPr="00531DBC">
        <w:rPr>
          <w:color w:val="5F5F5F"/>
          <w:sz w:val="20"/>
          <w:szCs w:val="20"/>
          <w:lang w:val="en-AU"/>
        </w:rPr>
        <w:t xml:space="preserve"> and Entity C begins to control the titleholder (see </w:t>
      </w:r>
      <w:r w:rsidR="00110EFE">
        <w:rPr>
          <w:b/>
          <w:color w:val="5F5F5F"/>
          <w:sz w:val="20"/>
          <w:szCs w:val="20"/>
          <w:lang w:val="en-AU"/>
        </w:rPr>
        <w:t>Appendix</w:t>
      </w:r>
      <w:r w:rsidRPr="00531DBC">
        <w:rPr>
          <w:b/>
          <w:bCs/>
          <w:color w:val="5F5F5F"/>
          <w:sz w:val="20"/>
          <w:szCs w:val="20"/>
          <w:lang w:val="en-AU"/>
        </w:rPr>
        <w:t xml:space="preserve"> 1</w:t>
      </w:r>
      <w:r w:rsidRPr="00531DBC">
        <w:rPr>
          <w:color w:val="5F5F5F"/>
          <w:sz w:val="20"/>
          <w:szCs w:val="20"/>
          <w:lang w:val="en-AU"/>
        </w:rPr>
        <w:t>).</w:t>
      </w:r>
    </w:p>
    <w:p w14:paraId="17E7A113" w14:textId="77777777" w:rsidR="00A115B9" w:rsidRDefault="00A115B9" w:rsidP="004D4E3B">
      <w:pPr>
        <w:spacing w:after="120"/>
        <w:ind w:left="142"/>
        <w:rPr>
          <w:color w:val="5F5F5F"/>
          <w:sz w:val="20"/>
          <w:szCs w:val="20"/>
        </w:rPr>
      </w:pPr>
      <w:bookmarkStart w:id="4" w:name="_Ref80354060"/>
      <w:r w:rsidRPr="00A115B9">
        <w:rPr>
          <w:b/>
          <w:bCs/>
          <w:color w:val="5F5F5F"/>
          <w:sz w:val="20"/>
          <w:szCs w:val="20"/>
        </w:rPr>
        <w:t>Note:</w:t>
      </w:r>
      <w:r>
        <w:rPr>
          <w:color w:val="5F5F5F"/>
          <w:sz w:val="20"/>
          <w:szCs w:val="20"/>
        </w:rPr>
        <w:t xml:space="preserve"> </w:t>
      </w:r>
      <w:r w:rsidRPr="00A115B9">
        <w:rPr>
          <w:color w:val="5F5F5F"/>
          <w:sz w:val="20"/>
          <w:szCs w:val="20"/>
        </w:rPr>
        <w:t>If a person currently controls a titleholder (for example, the person holds 20 per cent of the shares in the titleholder) and proposes to increase its shareholding, the person is not required to apply for approval because the person already controls the titleholder—there is no change in control.</w:t>
      </w:r>
    </w:p>
    <w:p w14:paraId="154B9448" w14:textId="4DBAF220" w:rsidR="00A115B9" w:rsidRDefault="00A115B9" w:rsidP="004D4E3B">
      <w:pPr>
        <w:spacing w:after="120"/>
        <w:ind w:left="142"/>
        <w:rPr>
          <w:color w:val="5F5F5F"/>
          <w:sz w:val="20"/>
          <w:szCs w:val="20"/>
        </w:rPr>
      </w:pPr>
      <w:r w:rsidRPr="00A115B9">
        <w:rPr>
          <w:color w:val="5F5F5F"/>
          <w:sz w:val="20"/>
          <w:szCs w:val="20"/>
        </w:rPr>
        <w:t>Similarly, a person who controls a titleholder may dispose of its shares in the titleholder without approval, provided that the person does not cease to control the titleholder by decreasing its shareholding to less than 20 per cent.</w:t>
      </w:r>
      <w:bookmarkEnd w:id="4"/>
    </w:p>
    <w:p w14:paraId="4E4850FD" w14:textId="77777777" w:rsidR="00DD62FE" w:rsidRDefault="00A115B9" w:rsidP="00DD62FE">
      <w:pPr>
        <w:pStyle w:val="Heading2"/>
        <w:ind w:left="119"/>
        <w:rPr>
          <w:b w:val="0"/>
          <w:bCs w:val="0"/>
          <w:color w:val="5F5F5F"/>
          <w:sz w:val="20"/>
          <w:szCs w:val="20"/>
        </w:rPr>
      </w:pPr>
      <w:r>
        <w:rPr>
          <w:color w:val="27629B"/>
        </w:rPr>
        <w:t>A</w:t>
      </w:r>
      <w:r w:rsidR="00110EFE">
        <w:rPr>
          <w:color w:val="27629B"/>
        </w:rPr>
        <w:t>pplications required</w:t>
      </w:r>
      <w:r w:rsidR="00145881">
        <w:rPr>
          <w:color w:val="27629B"/>
        </w:rPr>
        <w:t xml:space="preserve"> </w:t>
      </w:r>
      <w:r w:rsidR="001E2705">
        <w:rPr>
          <w:color w:val="27629B"/>
        </w:rPr>
        <w:br/>
      </w:r>
      <w:r w:rsidR="00110EFE" w:rsidRPr="00110EFE">
        <w:rPr>
          <w:b w:val="0"/>
          <w:bCs w:val="0"/>
          <w:color w:val="5F5F5F"/>
          <w:sz w:val="20"/>
          <w:szCs w:val="20"/>
        </w:rPr>
        <w:t>Separate applications must be made with respect to each registered titleholder company that will be subject to a change in control, rather than with respect to each title.</w:t>
      </w:r>
    </w:p>
    <w:p w14:paraId="6B5897D1" w14:textId="77777777" w:rsidR="00DD62FE" w:rsidRDefault="00DD62FE" w:rsidP="00DD62FE">
      <w:pPr>
        <w:pStyle w:val="Heading2"/>
        <w:ind w:left="119"/>
        <w:rPr>
          <w:b w:val="0"/>
          <w:bCs w:val="0"/>
          <w:color w:val="5F5F5F"/>
          <w:sz w:val="20"/>
          <w:szCs w:val="20"/>
          <w:lang w:val="en-AU"/>
        </w:rPr>
      </w:pPr>
      <w:r w:rsidRPr="00DD62FE">
        <w:rPr>
          <w:b w:val="0"/>
          <w:bCs w:val="0"/>
          <w:color w:val="5F5F5F"/>
          <w:sz w:val="20"/>
          <w:szCs w:val="20"/>
          <w:lang w:val="en-AU"/>
        </w:rPr>
        <w:t>Therefore:</w:t>
      </w:r>
    </w:p>
    <w:p w14:paraId="65B370BE" w14:textId="4A3F3248" w:rsidR="00DD62FE" w:rsidRPr="00DD62FE" w:rsidRDefault="00DD62FE" w:rsidP="00DD62FE">
      <w:pPr>
        <w:numPr>
          <w:ilvl w:val="2"/>
          <w:numId w:val="18"/>
        </w:numPr>
        <w:spacing w:after="120"/>
        <w:ind w:left="567" w:hanging="362"/>
        <w:rPr>
          <w:color w:val="5F5F5F"/>
          <w:sz w:val="20"/>
          <w:szCs w:val="20"/>
          <w:lang w:val="en-AU"/>
        </w:rPr>
      </w:pPr>
      <w:r w:rsidRPr="00DD62FE">
        <w:rPr>
          <w:color w:val="5F5F5F"/>
          <w:sz w:val="20"/>
          <w:szCs w:val="20"/>
          <w:lang w:val="en-AU"/>
        </w:rPr>
        <w:t>if a company is the registered holder of more than one title, only one application is required to be made for approval of the change in control in respect of the registered titleholder company</w:t>
      </w:r>
      <w:r>
        <w:rPr>
          <w:color w:val="5F5F5F"/>
          <w:sz w:val="20"/>
          <w:szCs w:val="20"/>
          <w:lang w:val="en-AU"/>
        </w:rPr>
        <w:t xml:space="preserve"> (see </w:t>
      </w:r>
      <w:r w:rsidRPr="00DD62FE">
        <w:rPr>
          <w:color w:val="5F5F5F"/>
          <w:sz w:val="20"/>
          <w:szCs w:val="20"/>
          <w:lang w:val="en-AU"/>
        </w:rPr>
        <w:t>example 1 below).</w:t>
      </w:r>
    </w:p>
    <w:p w14:paraId="0E20780E" w14:textId="129B1907" w:rsidR="00DD62FE" w:rsidRPr="00DD62FE" w:rsidRDefault="00DD62FE" w:rsidP="00DD62FE">
      <w:pPr>
        <w:numPr>
          <w:ilvl w:val="2"/>
          <w:numId w:val="18"/>
        </w:numPr>
        <w:spacing w:after="120"/>
        <w:ind w:left="567" w:hanging="362"/>
        <w:rPr>
          <w:color w:val="5F5F5F"/>
          <w:sz w:val="20"/>
          <w:szCs w:val="20"/>
          <w:lang w:val="en-AU"/>
        </w:rPr>
      </w:pPr>
      <w:r w:rsidRPr="00DD62FE">
        <w:rPr>
          <w:color w:val="5F5F5F"/>
          <w:sz w:val="20"/>
          <w:szCs w:val="20"/>
          <w:lang w:val="en-AU"/>
        </w:rPr>
        <w:t>If a single transaction involves a change in control of more than one company who is a registered titleholder, separate applications for approval of change in control must be made in respect of each registered titleholder company</w:t>
      </w:r>
      <w:r>
        <w:rPr>
          <w:color w:val="5F5F5F"/>
          <w:sz w:val="20"/>
          <w:szCs w:val="20"/>
          <w:lang w:val="en-AU"/>
        </w:rPr>
        <w:t xml:space="preserve"> (see </w:t>
      </w:r>
      <w:r w:rsidRPr="00DD62FE">
        <w:rPr>
          <w:color w:val="5F5F5F"/>
          <w:sz w:val="20"/>
          <w:szCs w:val="20"/>
          <w:lang w:val="en-AU"/>
        </w:rPr>
        <w:t>example 2</w:t>
      </w:r>
      <w:r>
        <w:rPr>
          <w:color w:val="5F5F5F"/>
          <w:sz w:val="20"/>
          <w:szCs w:val="20"/>
          <w:lang w:val="en-AU"/>
        </w:rPr>
        <w:t xml:space="preserve"> below)</w:t>
      </w:r>
      <w:r w:rsidRPr="00DD62FE">
        <w:rPr>
          <w:color w:val="5F5F5F"/>
          <w:sz w:val="20"/>
          <w:szCs w:val="20"/>
          <w:lang w:val="en-AU"/>
        </w:rPr>
        <w:t>.</w:t>
      </w:r>
    </w:p>
    <w:p w14:paraId="408B7225" w14:textId="0259FEFC" w:rsidR="00145881" w:rsidRDefault="00110EFE" w:rsidP="001E2705">
      <w:pPr>
        <w:pStyle w:val="Heading2"/>
        <w:ind w:left="119"/>
        <w:rPr>
          <w:iCs/>
          <w:color w:val="27629B"/>
          <w:sz w:val="20"/>
          <w:szCs w:val="20"/>
        </w:rPr>
      </w:pPr>
      <w:r>
        <w:rPr>
          <w:i/>
          <w:iCs/>
          <w:color w:val="27629B"/>
          <w:sz w:val="20"/>
          <w:szCs w:val="20"/>
        </w:rPr>
        <w:t xml:space="preserve">Example 1: </w:t>
      </w:r>
      <w:r w:rsidRPr="00110EFE">
        <w:rPr>
          <w:i/>
          <w:iCs/>
          <w:color w:val="27629B"/>
          <w:sz w:val="20"/>
          <w:szCs w:val="20"/>
        </w:rPr>
        <w:t>change in control in respect of one company which is a registered holder of multiple titles</w:t>
      </w:r>
    </w:p>
    <w:p w14:paraId="58CCE173" w14:textId="15377ACB" w:rsidR="00145881" w:rsidRPr="005E389B" w:rsidRDefault="00110EFE" w:rsidP="00820415">
      <w:pPr>
        <w:spacing w:after="120"/>
        <w:ind w:left="113"/>
        <w:rPr>
          <w:color w:val="5F5F5F"/>
          <w:sz w:val="20"/>
          <w:szCs w:val="20"/>
        </w:rPr>
      </w:pPr>
      <w:r w:rsidRPr="00110EFE">
        <w:rPr>
          <w:color w:val="5F5F5F"/>
          <w:sz w:val="20"/>
          <w:szCs w:val="20"/>
          <w:lang w:val="en-AU"/>
        </w:rPr>
        <w:t xml:space="preserve">Entity A holds 100 per cent of the shares in Entity B which is the registered holder of three production licences. Entity A </w:t>
      </w:r>
      <w:r w:rsidRPr="00110EFE">
        <w:rPr>
          <w:color w:val="5F5F5F"/>
          <w:sz w:val="20"/>
          <w:szCs w:val="20"/>
          <w:lang w:val="en-AU"/>
        </w:rPr>
        <w:t>enters into an agreement to sell its controlling interest in Entity B to Entity C. When the agreement comes into effect, Entity A will cease to control the registered titleholder (Entity B) and Entity C will begin to control the registered titleholder.</w:t>
      </w:r>
      <w:r w:rsidRPr="00110EFE">
        <w:rPr>
          <w:color w:val="5F5F5F"/>
          <w:sz w:val="20"/>
          <w:szCs w:val="20"/>
          <w:lang w:val="en-AU"/>
        </w:rPr>
        <w:br/>
      </w:r>
      <w:r w:rsidRPr="00110EFE">
        <w:rPr>
          <w:color w:val="5F5F5F"/>
          <w:sz w:val="20"/>
          <w:szCs w:val="20"/>
          <w:lang w:val="en-AU"/>
        </w:rPr>
        <w:br/>
        <w:t>One application is required because the proposed change in control only relates to one company which is a registered titleholder – Entity B. Separate applications are not required in respect of each production licence held by Entity B. (Note, both Entity A and Entity C are eligible to submit the application as both are either beginning or ceasing to control Entity B.)</w:t>
      </w:r>
    </w:p>
    <w:p w14:paraId="46F1E426" w14:textId="58ACFB69" w:rsidR="00145881" w:rsidRPr="00C17F5C" w:rsidRDefault="00110EFE" w:rsidP="00145881">
      <w:pPr>
        <w:pStyle w:val="Heading3"/>
        <w:rPr>
          <w:iCs/>
          <w:color w:val="27629B"/>
          <w:sz w:val="20"/>
          <w:szCs w:val="20"/>
          <w:u w:val="none"/>
        </w:rPr>
      </w:pPr>
      <w:r>
        <w:rPr>
          <w:iCs/>
          <w:color w:val="27629B"/>
          <w:sz w:val="20"/>
          <w:szCs w:val="20"/>
          <w:u w:val="none"/>
        </w:rPr>
        <w:t xml:space="preserve">Example 2: </w:t>
      </w:r>
      <w:r w:rsidRPr="00110EFE">
        <w:rPr>
          <w:iCs/>
          <w:color w:val="27629B"/>
          <w:sz w:val="20"/>
          <w:szCs w:val="20"/>
          <w:u w:val="none"/>
          <w:lang w:val="en-AU"/>
        </w:rPr>
        <w:t>change in control in respect of multiple companies who are registered holders</w:t>
      </w:r>
    </w:p>
    <w:p w14:paraId="5A214B78" w14:textId="77777777" w:rsidR="00E8055E" w:rsidRDefault="00E8055E" w:rsidP="00DD62FE">
      <w:pPr>
        <w:pStyle w:val="BodyText"/>
        <w:ind w:left="142"/>
        <w:rPr>
          <w:color w:val="5F5F5F"/>
          <w:lang w:val="en-AU"/>
        </w:rPr>
      </w:pPr>
      <w:r w:rsidRPr="00E8055E">
        <w:rPr>
          <w:color w:val="5F5F5F"/>
          <w:lang w:val="en-AU"/>
        </w:rPr>
        <w:t>Entity A holds 100 per cent of the shares in Entity B and Entity C, which are jointly the registered holders of three production licences. Entity A enters into an agreement to sell its controlling interest in Entities B and C to Entity D. When the agreement comes into effect, Entity A will cease to control the registered titleholders (Entities B and C) and Entity D will begin to control the registered titleholders.</w:t>
      </w:r>
      <w:r w:rsidRPr="00E8055E">
        <w:rPr>
          <w:color w:val="5F5F5F"/>
          <w:lang w:val="en-AU"/>
        </w:rPr>
        <w:br/>
      </w:r>
      <w:r w:rsidRPr="00E8055E">
        <w:rPr>
          <w:color w:val="5F5F5F"/>
          <w:lang w:val="en-AU"/>
        </w:rPr>
        <w:br/>
        <w:t>Separate applications are required to be submitted in respect of Entity B and Entity C who are both companies who are registered titleholders, however separate applications are not required in respect of each production licence held by those registered titleholders. Therefore, a total of two applications will be required.</w:t>
      </w:r>
    </w:p>
    <w:p w14:paraId="46525C99" w14:textId="0F746523" w:rsidR="00145881" w:rsidRPr="00235741" w:rsidRDefault="00E8055E" w:rsidP="00145881">
      <w:pPr>
        <w:pStyle w:val="Heading2"/>
        <w:spacing w:before="120"/>
        <w:ind w:left="119"/>
        <w:rPr>
          <w:color w:val="27629B"/>
        </w:rPr>
      </w:pPr>
      <w:bookmarkStart w:id="5" w:name="_Hlk85801474"/>
      <w:r w:rsidRPr="00E8055E">
        <w:rPr>
          <w:color w:val="27629B"/>
          <w:lang w:val="en-AU"/>
        </w:rPr>
        <w:t>Operation of the tracing provision</w:t>
      </w:r>
      <w:bookmarkEnd w:id="5"/>
      <w:r w:rsidR="00DD62FE">
        <w:rPr>
          <w:color w:val="27629B"/>
          <w:lang w:val="en-AU"/>
        </w:rPr>
        <w:t xml:space="preserve"> (s566Z)</w:t>
      </w:r>
    </w:p>
    <w:p w14:paraId="2BC4EB3E" w14:textId="78FCFB72" w:rsidR="00DD62FE" w:rsidRDefault="00DD62FE" w:rsidP="00E8055E">
      <w:pPr>
        <w:spacing w:after="120"/>
        <w:ind w:left="113"/>
        <w:rPr>
          <w:color w:val="5F5F5F"/>
          <w:sz w:val="20"/>
          <w:szCs w:val="20"/>
          <w:lang w:val="en-AU"/>
        </w:rPr>
      </w:pPr>
      <w:r w:rsidRPr="00DD62FE">
        <w:rPr>
          <w:color w:val="5F5F5F"/>
          <w:sz w:val="20"/>
          <w:szCs w:val="20"/>
          <w:lang w:val="en-AU"/>
        </w:rPr>
        <w:t xml:space="preserve">Section 566Z enables a change in control of a registered holder of a title to be traced to a change in control of the companies, trusts or partnerships that control the titleholder. </w:t>
      </w:r>
    </w:p>
    <w:p w14:paraId="225DD166" w14:textId="5E4BDC42" w:rsidR="00DD62FE" w:rsidRDefault="00DD62FE" w:rsidP="00E8055E">
      <w:pPr>
        <w:spacing w:after="120"/>
        <w:ind w:left="113"/>
        <w:rPr>
          <w:color w:val="5F5F5F"/>
          <w:sz w:val="20"/>
          <w:szCs w:val="20"/>
          <w:lang w:val="en-AU"/>
        </w:rPr>
      </w:pPr>
      <w:r w:rsidRPr="00DD62FE">
        <w:rPr>
          <w:color w:val="5F5F5F"/>
          <w:sz w:val="20"/>
          <w:szCs w:val="20"/>
          <w:lang w:val="en-AU"/>
        </w:rPr>
        <w:t xml:space="preserve">The tracing provisions operate to extend the group of persons </w:t>
      </w:r>
      <w:r w:rsidR="003108B7">
        <w:rPr>
          <w:color w:val="5F5F5F"/>
          <w:sz w:val="20"/>
          <w:szCs w:val="20"/>
          <w:lang w:val="en-AU"/>
        </w:rPr>
        <w:t xml:space="preserve">deemed to </w:t>
      </w:r>
      <w:r w:rsidRPr="00DD62FE">
        <w:rPr>
          <w:color w:val="5F5F5F"/>
          <w:sz w:val="20"/>
          <w:szCs w:val="20"/>
          <w:lang w:val="en-AU"/>
        </w:rPr>
        <w:t xml:space="preserve">control a registered holder of a title </w:t>
      </w:r>
      <w:r w:rsidR="003108B7">
        <w:rPr>
          <w:color w:val="5F5F5F"/>
          <w:sz w:val="20"/>
          <w:szCs w:val="20"/>
          <w:lang w:val="en-AU"/>
        </w:rPr>
        <w:t xml:space="preserve">such </w:t>
      </w:r>
      <w:r w:rsidRPr="00DD62FE">
        <w:rPr>
          <w:color w:val="5F5F5F"/>
          <w:sz w:val="20"/>
          <w:szCs w:val="20"/>
          <w:lang w:val="en-AU"/>
        </w:rPr>
        <w:t xml:space="preserve">that a person </w:t>
      </w:r>
      <w:r w:rsidR="003108B7">
        <w:rPr>
          <w:color w:val="5F5F5F"/>
          <w:sz w:val="20"/>
          <w:szCs w:val="20"/>
          <w:lang w:val="en-AU"/>
        </w:rPr>
        <w:t xml:space="preserve">so deemed </w:t>
      </w:r>
      <w:r w:rsidRPr="00DD62FE">
        <w:rPr>
          <w:color w:val="5F5F5F"/>
          <w:sz w:val="20"/>
          <w:szCs w:val="20"/>
          <w:lang w:val="en-AU"/>
        </w:rPr>
        <w:t>can be traced all the way though the chain of ownership</w:t>
      </w:r>
    </w:p>
    <w:p w14:paraId="783BC854" w14:textId="244B3FE2" w:rsidR="00145881" w:rsidRPr="003108B7" w:rsidRDefault="00145881" w:rsidP="003108B7">
      <w:pPr>
        <w:keepNext/>
        <w:keepLines/>
        <w:spacing w:line="259" w:lineRule="auto"/>
        <w:ind w:left="142"/>
        <w:outlineLvl w:val="1"/>
        <w:rPr>
          <w:b/>
          <w:color w:val="27639B"/>
          <w:sz w:val="24"/>
          <w:lang w:eastAsia="en-AU"/>
        </w:rPr>
      </w:pPr>
      <w:r w:rsidRPr="003108B7">
        <w:rPr>
          <w:b/>
          <w:color w:val="27639B"/>
          <w:sz w:val="24"/>
          <w:lang w:eastAsia="en-AU"/>
        </w:rPr>
        <w:t>Questions</w:t>
      </w:r>
    </w:p>
    <w:p w14:paraId="28812492" w14:textId="77777777" w:rsidR="00145881" w:rsidRPr="00820415" w:rsidRDefault="00145881" w:rsidP="00820415">
      <w:pPr>
        <w:spacing w:after="120"/>
        <w:ind w:left="113"/>
        <w:rPr>
          <w:color w:val="5F5F5F"/>
          <w:sz w:val="20"/>
          <w:szCs w:val="20"/>
        </w:rPr>
      </w:pPr>
      <w:r w:rsidRPr="00820415">
        <w:rPr>
          <w:color w:val="5F5F5F"/>
          <w:sz w:val="20"/>
          <w:szCs w:val="20"/>
        </w:rPr>
        <w:t>If you have any questions about this factsheet, please contact NOPTA via</w:t>
      </w:r>
      <w:r w:rsidRPr="00820415">
        <w:rPr>
          <w:color w:val="5F5F5F"/>
          <w:spacing w:val="-3"/>
          <w:sz w:val="20"/>
          <w:szCs w:val="20"/>
        </w:rPr>
        <w:t xml:space="preserve"> </w:t>
      </w:r>
      <w:hyperlink r:id="rId20">
        <w:r w:rsidRPr="00820415">
          <w:rPr>
            <w:color w:val="0562C1"/>
            <w:sz w:val="20"/>
            <w:szCs w:val="20"/>
            <w:u w:val="single" w:color="0562C1"/>
          </w:rPr>
          <w:t>titles@nopta.gov.au</w:t>
        </w:r>
        <w:r w:rsidRPr="00820415">
          <w:rPr>
            <w:color w:val="5F5F5F"/>
            <w:sz w:val="20"/>
            <w:szCs w:val="20"/>
          </w:rPr>
          <w:t>.</w:t>
        </w:r>
      </w:hyperlink>
    </w:p>
    <w:p w14:paraId="48DEB25C" w14:textId="434C2547" w:rsidR="00145881" w:rsidRPr="00B80880" w:rsidRDefault="005309A7" w:rsidP="00CD336B">
      <w:pPr>
        <w:keepNext/>
        <w:keepLines/>
        <w:spacing w:line="259" w:lineRule="auto"/>
        <w:ind w:left="142"/>
        <w:outlineLvl w:val="1"/>
        <w:rPr>
          <w:b/>
          <w:color w:val="27639B"/>
          <w:sz w:val="24"/>
          <w:lang w:eastAsia="en-AU"/>
        </w:rPr>
      </w:pPr>
      <w:bookmarkStart w:id="6" w:name="_Hlk15570741"/>
      <w:r>
        <w:rPr>
          <w:b/>
          <w:color w:val="27639B"/>
          <w:sz w:val="24"/>
          <w:lang w:eastAsia="en-AU"/>
        </w:rPr>
        <w:br/>
      </w:r>
      <w:r w:rsidR="00145881" w:rsidRPr="00B80880">
        <w:rPr>
          <w:b/>
          <w:color w:val="27639B"/>
          <w:sz w:val="24"/>
          <w:lang w:eastAsia="en-AU"/>
        </w:rPr>
        <w:t xml:space="preserve">Version </w:t>
      </w:r>
      <w:r w:rsidR="00145881">
        <w:rPr>
          <w:b/>
          <w:color w:val="27639B"/>
          <w:sz w:val="24"/>
          <w:lang w:eastAsia="en-AU"/>
        </w:rPr>
        <w:t>h</w:t>
      </w:r>
      <w:r w:rsidR="00145881" w:rsidRPr="00B80880">
        <w:rPr>
          <w:b/>
          <w:color w:val="27639B"/>
          <w:sz w:val="24"/>
          <w:lang w:eastAsia="en-AU"/>
        </w:rPr>
        <w:t>istory</w:t>
      </w:r>
    </w:p>
    <w:tbl>
      <w:tblPr>
        <w:tblStyle w:val="GridTable1Light11"/>
        <w:tblW w:w="4673" w:type="dxa"/>
        <w:tblLook w:val="0420" w:firstRow="1" w:lastRow="0" w:firstColumn="0" w:lastColumn="0" w:noHBand="0" w:noVBand="1"/>
      </w:tblPr>
      <w:tblGrid>
        <w:gridCol w:w="803"/>
        <w:gridCol w:w="1177"/>
        <w:gridCol w:w="2693"/>
      </w:tblGrid>
      <w:tr w:rsidR="00145881" w:rsidRPr="00D51425" w14:paraId="11F18B63" w14:textId="77777777" w:rsidTr="00627249">
        <w:trPr>
          <w:cnfStyle w:val="100000000000" w:firstRow="1" w:lastRow="0" w:firstColumn="0" w:lastColumn="0" w:oddVBand="0" w:evenVBand="0" w:oddHBand="0" w:evenHBand="0" w:firstRowFirstColumn="0" w:firstRowLastColumn="0" w:lastRowFirstColumn="0" w:lastRowLastColumn="0"/>
          <w:tblHeader/>
        </w:trPr>
        <w:tc>
          <w:tcPr>
            <w:tcW w:w="803" w:type="dxa"/>
          </w:tcPr>
          <w:p w14:paraId="226D4F49" w14:textId="77777777" w:rsidR="00145881" w:rsidRPr="00FC7D95" w:rsidRDefault="00145881" w:rsidP="00B24CA1">
            <w:pPr>
              <w:spacing w:before="60" w:after="60"/>
              <w:jc w:val="center"/>
              <w:rPr>
                <w:color w:val="5F5F5F"/>
                <w:sz w:val="16"/>
                <w:szCs w:val="16"/>
              </w:rPr>
            </w:pPr>
            <w:r w:rsidRPr="00FC7D95">
              <w:rPr>
                <w:color w:val="5F5F5F"/>
                <w:sz w:val="16"/>
                <w:szCs w:val="16"/>
              </w:rPr>
              <w:t>Version</w:t>
            </w:r>
          </w:p>
        </w:tc>
        <w:tc>
          <w:tcPr>
            <w:tcW w:w="1177" w:type="dxa"/>
          </w:tcPr>
          <w:p w14:paraId="56877185" w14:textId="77777777" w:rsidR="00145881" w:rsidRPr="00FC7D95" w:rsidRDefault="00145881" w:rsidP="00B24CA1">
            <w:pPr>
              <w:spacing w:before="60" w:after="60"/>
              <w:rPr>
                <w:color w:val="5F5F5F"/>
                <w:sz w:val="16"/>
                <w:szCs w:val="16"/>
              </w:rPr>
            </w:pPr>
            <w:r w:rsidRPr="00FC7D95">
              <w:rPr>
                <w:color w:val="5F5F5F"/>
                <w:sz w:val="16"/>
                <w:szCs w:val="16"/>
              </w:rPr>
              <w:t>Date</w:t>
            </w:r>
          </w:p>
        </w:tc>
        <w:tc>
          <w:tcPr>
            <w:tcW w:w="2693" w:type="dxa"/>
          </w:tcPr>
          <w:p w14:paraId="251AD887" w14:textId="77777777" w:rsidR="00145881" w:rsidRPr="00FC7D95" w:rsidRDefault="00145881" w:rsidP="00B24CA1">
            <w:pPr>
              <w:spacing w:before="60" w:after="60"/>
              <w:rPr>
                <w:color w:val="5F5F5F"/>
                <w:sz w:val="16"/>
                <w:szCs w:val="16"/>
              </w:rPr>
            </w:pPr>
            <w:r w:rsidRPr="00FC7D95">
              <w:rPr>
                <w:color w:val="5F5F5F"/>
                <w:sz w:val="16"/>
                <w:szCs w:val="16"/>
              </w:rPr>
              <w:t>Comment</w:t>
            </w:r>
          </w:p>
        </w:tc>
      </w:tr>
      <w:tr w:rsidR="00145881" w:rsidRPr="00D51425" w14:paraId="2EE94DB3" w14:textId="77777777" w:rsidTr="00627249">
        <w:tc>
          <w:tcPr>
            <w:tcW w:w="803" w:type="dxa"/>
            <w:vAlign w:val="center"/>
          </w:tcPr>
          <w:p w14:paraId="7A7D0E5B" w14:textId="0D765B60" w:rsidR="00145881" w:rsidRPr="00FC7D95" w:rsidRDefault="00C36D89" w:rsidP="00B24CA1">
            <w:pPr>
              <w:spacing w:after="60"/>
              <w:jc w:val="center"/>
              <w:rPr>
                <w:color w:val="5F5F5F"/>
                <w:sz w:val="16"/>
                <w:szCs w:val="16"/>
              </w:rPr>
            </w:pPr>
            <w:r>
              <w:rPr>
                <w:color w:val="5F5F5F"/>
                <w:sz w:val="16"/>
                <w:szCs w:val="16"/>
              </w:rPr>
              <w:t>1</w:t>
            </w:r>
            <w:r w:rsidR="00145881" w:rsidRPr="00FC7D95">
              <w:rPr>
                <w:color w:val="5F5F5F"/>
                <w:sz w:val="16"/>
                <w:szCs w:val="16"/>
              </w:rPr>
              <w:t>.0</w:t>
            </w:r>
          </w:p>
        </w:tc>
        <w:tc>
          <w:tcPr>
            <w:tcW w:w="1177" w:type="dxa"/>
            <w:vAlign w:val="center"/>
          </w:tcPr>
          <w:p w14:paraId="2A9CBE82" w14:textId="1B22B0C2" w:rsidR="00145881" w:rsidRPr="00FC7D95" w:rsidRDefault="008C1E3C" w:rsidP="007E2B29">
            <w:pPr>
              <w:tabs>
                <w:tab w:val="left" w:pos="371"/>
              </w:tabs>
              <w:spacing w:before="60" w:after="60"/>
              <w:jc w:val="center"/>
              <w:rPr>
                <w:color w:val="5F5F5F"/>
                <w:sz w:val="16"/>
                <w:szCs w:val="16"/>
              </w:rPr>
            </w:pPr>
            <w:r>
              <w:rPr>
                <w:color w:val="5F5F5F"/>
                <w:sz w:val="16"/>
                <w:szCs w:val="16"/>
              </w:rPr>
              <w:t>February 2022</w:t>
            </w:r>
          </w:p>
        </w:tc>
        <w:tc>
          <w:tcPr>
            <w:tcW w:w="2693" w:type="dxa"/>
            <w:vAlign w:val="center"/>
          </w:tcPr>
          <w:p w14:paraId="5A454808" w14:textId="3B720EA5" w:rsidR="00145881" w:rsidRPr="00FC7D95" w:rsidRDefault="00145881" w:rsidP="00B24CA1">
            <w:pPr>
              <w:spacing w:before="60" w:after="60"/>
              <w:rPr>
                <w:color w:val="5F5F5F"/>
                <w:sz w:val="16"/>
                <w:szCs w:val="16"/>
              </w:rPr>
            </w:pPr>
            <w:r w:rsidRPr="00FC7D95">
              <w:rPr>
                <w:color w:val="5F5F5F"/>
                <w:sz w:val="16"/>
                <w:szCs w:val="16"/>
              </w:rPr>
              <w:t xml:space="preserve">Creation of </w:t>
            </w:r>
            <w:r w:rsidR="003108B7">
              <w:rPr>
                <w:color w:val="5F5F5F"/>
                <w:sz w:val="16"/>
                <w:szCs w:val="16"/>
              </w:rPr>
              <w:t>fact</w:t>
            </w:r>
            <w:r w:rsidRPr="00FC7D95">
              <w:rPr>
                <w:color w:val="5F5F5F"/>
                <w:sz w:val="16"/>
                <w:szCs w:val="16"/>
              </w:rPr>
              <w:t>sheet</w:t>
            </w:r>
          </w:p>
        </w:tc>
      </w:tr>
      <w:bookmarkEnd w:id="6"/>
    </w:tbl>
    <w:p w14:paraId="4A9F0A4D" w14:textId="77777777" w:rsidR="00A50648" w:rsidRDefault="00A50648" w:rsidP="00145881">
      <w:pPr>
        <w:rPr>
          <w:b/>
        </w:rPr>
        <w:sectPr w:rsidR="00A50648" w:rsidSect="004D4E3B">
          <w:type w:val="continuous"/>
          <w:pgSz w:w="11910" w:h="16840"/>
          <w:pgMar w:top="2461" w:right="618" w:bottom="1560" w:left="601" w:header="6" w:footer="548" w:gutter="0"/>
          <w:cols w:num="2" w:space="720"/>
        </w:sectPr>
      </w:pPr>
    </w:p>
    <w:p w14:paraId="0DCAA294" w14:textId="1482E665" w:rsidR="00E965AB" w:rsidRDefault="00E8055E" w:rsidP="00E8055E">
      <w:pPr>
        <w:pStyle w:val="Heading2"/>
        <w:spacing w:before="120"/>
        <w:ind w:left="119"/>
        <w:rPr>
          <w:color w:val="27629B"/>
          <w:lang w:val="en-AU"/>
        </w:rPr>
      </w:pPr>
      <w:r>
        <w:rPr>
          <w:color w:val="27629B"/>
          <w:lang w:val="en-AU"/>
        </w:rPr>
        <w:lastRenderedPageBreak/>
        <w:t>Appendix 1</w:t>
      </w:r>
    </w:p>
    <w:p w14:paraId="7CCD61B1" w14:textId="52B0C764" w:rsidR="00E8055E" w:rsidRDefault="00E8055E" w:rsidP="00E8055E">
      <w:pPr>
        <w:rPr>
          <w:lang w:val="en-AU"/>
        </w:rPr>
      </w:pPr>
      <w:r w:rsidRPr="00E8055E">
        <w:rPr>
          <w:noProof/>
          <w:lang w:val="en-AU"/>
        </w:rPr>
        <w:drawing>
          <wp:inline distT="0" distB="0" distL="0" distR="0" wp14:anchorId="23D4FE7C" wp14:editId="28F178B7">
            <wp:extent cx="6724476" cy="3022979"/>
            <wp:effectExtent l="0" t="0" r="635" b="635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21"/>
                    <a:stretch>
                      <a:fillRect/>
                    </a:stretch>
                  </pic:blipFill>
                  <pic:spPr>
                    <a:xfrm>
                      <a:off x="0" y="0"/>
                      <a:ext cx="6755676" cy="3037005"/>
                    </a:xfrm>
                    <a:prstGeom prst="rect">
                      <a:avLst/>
                    </a:prstGeom>
                  </pic:spPr>
                </pic:pic>
              </a:graphicData>
            </a:graphic>
          </wp:inline>
        </w:drawing>
      </w:r>
    </w:p>
    <w:p w14:paraId="62DE2908" w14:textId="02D0A83A" w:rsidR="00E8055E" w:rsidRDefault="00E8055E" w:rsidP="00E8055E">
      <w:pPr>
        <w:rPr>
          <w:color w:val="5F5F5F"/>
          <w:sz w:val="20"/>
          <w:szCs w:val="20"/>
        </w:rPr>
      </w:pPr>
    </w:p>
    <w:p w14:paraId="19D25DDD" w14:textId="123FFF3A" w:rsidR="002A2052" w:rsidRPr="00A115B9" w:rsidRDefault="002A2052" w:rsidP="00E8055E">
      <w:pPr>
        <w:rPr>
          <w:color w:val="5F5F5F"/>
          <w:sz w:val="20"/>
          <w:szCs w:val="20"/>
        </w:rPr>
      </w:pPr>
      <w:r>
        <w:rPr>
          <w:color w:val="5F5F5F"/>
          <w:sz w:val="20"/>
          <w:szCs w:val="20"/>
          <w:lang w:val="en-AU"/>
        </w:rPr>
        <w:t xml:space="preserve">In this example, </w:t>
      </w:r>
      <w:r w:rsidRPr="002A2052">
        <w:rPr>
          <w:color w:val="5F5F5F"/>
          <w:sz w:val="20"/>
          <w:szCs w:val="20"/>
          <w:lang w:val="en-AU"/>
        </w:rPr>
        <w:t xml:space="preserve">Entity A and Entity B each hold 50 per cent of the shares in </w:t>
      </w:r>
      <w:r w:rsidR="00125057">
        <w:rPr>
          <w:color w:val="5F5F5F"/>
          <w:sz w:val="20"/>
          <w:szCs w:val="20"/>
          <w:lang w:val="en-AU"/>
        </w:rPr>
        <w:t>company ABC WA-123-P Pty Ltd, who is the registered holder of Petroleum Exploration Permit WA-123-P</w:t>
      </w:r>
      <w:r w:rsidRPr="002A2052">
        <w:rPr>
          <w:color w:val="5F5F5F"/>
          <w:sz w:val="20"/>
          <w:szCs w:val="20"/>
          <w:lang w:val="en-AU"/>
        </w:rPr>
        <w:t>. Entity A transfers 40 per cent of its shares</w:t>
      </w:r>
      <w:r w:rsidR="00125057">
        <w:rPr>
          <w:color w:val="5F5F5F"/>
          <w:sz w:val="20"/>
          <w:szCs w:val="20"/>
          <w:lang w:val="en-AU"/>
        </w:rPr>
        <w:t xml:space="preserve"> in company ABC WA-123-P Pty Ltd</w:t>
      </w:r>
      <w:r w:rsidRPr="002A2052">
        <w:rPr>
          <w:color w:val="5F5F5F"/>
          <w:sz w:val="20"/>
          <w:szCs w:val="20"/>
          <w:lang w:val="en-AU"/>
        </w:rPr>
        <w:t xml:space="preserve"> to Entity C</w:t>
      </w:r>
      <w:r w:rsidR="00125057">
        <w:rPr>
          <w:color w:val="5F5F5F"/>
          <w:sz w:val="20"/>
          <w:szCs w:val="20"/>
          <w:lang w:val="en-AU"/>
        </w:rPr>
        <w:t>, reducing its shareholding to 10 per cent</w:t>
      </w:r>
      <w:r w:rsidRPr="002A2052">
        <w:rPr>
          <w:color w:val="5F5F5F"/>
          <w:sz w:val="20"/>
          <w:szCs w:val="20"/>
          <w:lang w:val="en-AU"/>
        </w:rPr>
        <w:t>. Entity A ceases to control the titleholder</w:t>
      </w:r>
      <w:r w:rsidR="00125057">
        <w:rPr>
          <w:color w:val="5F5F5F"/>
          <w:sz w:val="20"/>
          <w:szCs w:val="20"/>
          <w:lang w:val="en-AU"/>
        </w:rPr>
        <w:t xml:space="preserve"> (&lt;20 per cent shareholding)</w:t>
      </w:r>
      <w:r w:rsidRPr="002A2052">
        <w:rPr>
          <w:color w:val="5F5F5F"/>
          <w:sz w:val="20"/>
          <w:szCs w:val="20"/>
          <w:lang w:val="en-AU"/>
        </w:rPr>
        <w:t xml:space="preserve">, Entity B neither begins nor ceases to control the titleholder (Entity B retains </w:t>
      </w:r>
      <w:r w:rsidR="00125057">
        <w:rPr>
          <w:color w:val="5F5F5F"/>
          <w:sz w:val="20"/>
          <w:szCs w:val="20"/>
          <w:lang w:val="en-AU"/>
        </w:rPr>
        <w:t xml:space="preserve">a 50 per cent </w:t>
      </w:r>
      <w:r w:rsidR="00EF0FDC">
        <w:rPr>
          <w:color w:val="5F5F5F"/>
          <w:sz w:val="20"/>
          <w:szCs w:val="20"/>
          <w:lang w:val="en-AU"/>
        </w:rPr>
        <w:t>shareholding</w:t>
      </w:r>
      <w:r w:rsidRPr="002A2052">
        <w:rPr>
          <w:color w:val="5F5F5F"/>
          <w:sz w:val="20"/>
          <w:szCs w:val="20"/>
          <w:lang w:val="en-AU"/>
        </w:rPr>
        <w:t>)</w:t>
      </w:r>
      <w:r w:rsidR="00125057">
        <w:rPr>
          <w:color w:val="5F5F5F"/>
          <w:sz w:val="20"/>
          <w:szCs w:val="20"/>
          <w:lang w:val="en-AU"/>
        </w:rPr>
        <w:t xml:space="preserve"> and </w:t>
      </w:r>
      <w:r w:rsidR="00125057" w:rsidRPr="00531DBC">
        <w:rPr>
          <w:color w:val="5F5F5F"/>
          <w:sz w:val="20"/>
          <w:szCs w:val="20"/>
          <w:lang w:val="en-AU"/>
        </w:rPr>
        <w:t>Entity C begins to control the titleholder</w:t>
      </w:r>
      <w:r w:rsidR="00125057">
        <w:rPr>
          <w:color w:val="5F5F5F"/>
          <w:sz w:val="20"/>
          <w:szCs w:val="20"/>
          <w:lang w:val="en-AU"/>
        </w:rPr>
        <w:t xml:space="preserve"> (by acquiring a 40</w:t>
      </w:r>
      <w:r w:rsidR="00EF0FDC">
        <w:rPr>
          <w:color w:val="5F5F5F"/>
          <w:sz w:val="20"/>
          <w:szCs w:val="20"/>
          <w:lang w:val="en-AU"/>
        </w:rPr>
        <w:t xml:space="preserve"> per cent</w:t>
      </w:r>
      <w:r w:rsidR="00125057">
        <w:rPr>
          <w:color w:val="5F5F5F"/>
          <w:sz w:val="20"/>
          <w:szCs w:val="20"/>
          <w:lang w:val="en-AU"/>
        </w:rPr>
        <w:t xml:space="preserve"> shareholding).</w:t>
      </w:r>
    </w:p>
    <w:p w14:paraId="5754398D" w14:textId="50673267" w:rsidR="00E8055E" w:rsidRDefault="00E8055E">
      <w:pPr>
        <w:rPr>
          <w:rFonts w:cstheme="minorBidi"/>
        </w:rPr>
      </w:pPr>
      <w:r>
        <w:rPr>
          <w:rFonts w:cstheme="minorBidi"/>
        </w:rPr>
        <w:br w:type="page"/>
      </w:r>
    </w:p>
    <w:p w14:paraId="22056792" w14:textId="1BEBE6AD" w:rsidR="00E8055E" w:rsidRPr="00E8055E" w:rsidRDefault="00E8055E" w:rsidP="00E8055E">
      <w:pPr>
        <w:pStyle w:val="Heading2"/>
        <w:spacing w:before="120"/>
        <w:ind w:left="119"/>
        <w:rPr>
          <w:color w:val="27629B"/>
          <w:lang w:val="en-AU"/>
        </w:rPr>
      </w:pPr>
      <w:r w:rsidRPr="00E8055E">
        <w:rPr>
          <w:color w:val="27629B"/>
          <w:lang w:val="en-AU"/>
        </w:rPr>
        <w:lastRenderedPageBreak/>
        <w:t>Appendix 2</w:t>
      </w:r>
    </w:p>
    <w:p w14:paraId="43FD3272" w14:textId="69BE937E" w:rsidR="00E8055E" w:rsidRDefault="00E8055E" w:rsidP="00E8055E">
      <w:pPr>
        <w:rPr>
          <w:lang w:val="en-AU"/>
        </w:rPr>
      </w:pPr>
      <w:r w:rsidRPr="00E8055E">
        <w:rPr>
          <w:noProof/>
          <w:lang w:val="en-AU"/>
        </w:rPr>
        <w:drawing>
          <wp:inline distT="0" distB="0" distL="0" distR="0" wp14:anchorId="27AF7BC1" wp14:editId="0EBA9387">
            <wp:extent cx="5998191" cy="4702164"/>
            <wp:effectExtent l="0" t="0" r="3175" b="381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22"/>
                    <a:stretch>
                      <a:fillRect/>
                    </a:stretch>
                  </pic:blipFill>
                  <pic:spPr>
                    <a:xfrm>
                      <a:off x="0" y="0"/>
                      <a:ext cx="6018961" cy="4718446"/>
                    </a:xfrm>
                    <a:prstGeom prst="rect">
                      <a:avLst/>
                    </a:prstGeom>
                  </pic:spPr>
                </pic:pic>
              </a:graphicData>
            </a:graphic>
          </wp:inline>
        </w:drawing>
      </w:r>
    </w:p>
    <w:p w14:paraId="4F2D2B87" w14:textId="12EBC352" w:rsidR="003108B7" w:rsidRDefault="003108B7" w:rsidP="00E8055E">
      <w:pPr>
        <w:rPr>
          <w:lang w:val="en-AU"/>
        </w:rPr>
      </w:pPr>
    </w:p>
    <w:p w14:paraId="10F9D8CD" w14:textId="71734DDF" w:rsidR="003108B7" w:rsidRPr="00E8055E" w:rsidRDefault="003108B7" w:rsidP="003108B7">
      <w:pPr>
        <w:spacing w:after="120"/>
        <w:ind w:left="113"/>
        <w:rPr>
          <w:color w:val="5F5F5F"/>
          <w:sz w:val="20"/>
          <w:szCs w:val="20"/>
          <w:lang w:val="en-AU"/>
        </w:rPr>
      </w:pPr>
      <w:r w:rsidRPr="00E8055E">
        <w:rPr>
          <w:color w:val="5F5F5F"/>
          <w:sz w:val="20"/>
          <w:szCs w:val="20"/>
          <w:lang w:val="en-AU"/>
        </w:rPr>
        <w:t>In th</w:t>
      </w:r>
      <w:r>
        <w:rPr>
          <w:color w:val="5F5F5F"/>
          <w:sz w:val="20"/>
          <w:szCs w:val="20"/>
          <w:lang w:val="en-AU"/>
        </w:rPr>
        <w:t>is</w:t>
      </w:r>
      <w:r w:rsidRPr="00E8055E">
        <w:rPr>
          <w:color w:val="5F5F5F"/>
          <w:sz w:val="20"/>
          <w:szCs w:val="20"/>
          <w:lang w:val="en-AU"/>
        </w:rPr>
        <w:t xml:space="preserve"> example</w:t>
      </w:r>
      <w:r>
        <w:rPr>
          <w:color w:val="5F5F5F"/>
          <w:sz w:val="20"/>
          <w:szCs w:val="20"/>
          <w:lang w:val="en-AU"/>
        </w:rPr>
        <w:t>,</w:t>
      </w:r>
      <w:r w:rsidRPr="00E8055E">
        <w:rPr>
          <w:color w:val="5F5F5F"/>
          <w:sz w:val="20"/>
          <w:szCs w:val="20"/>
          <w:lang w:val="en-AU"/>
        </w:rPr>
        <w:t xml:space="preserve"> Entity Global Limited (EGL) holds 100 per cent of shares in Entity Australia Pty Ltd (EA) which in turn holds 100 per cent of shares in three subsidiaries each of whom hold offshore petroleum titles.</w:t>
      </w:r>
    </w:p>
    <w:p w14:paraId="5BFED8DC" w14:textId="77777777" w:rsidR="003108B7" w:rsidRPr="00E8055E" w:rsidRDefault="003108B7" w:rsidP="003108B7">
      <w:pPr>
        <w:spacing w:after="120"/>
        <w:ind w:left="113"/>
        <w:rPr>
          <w:color w:val="5F5F5F"/>
          <w:sz w:val="20"/>
          <w:szCs w:val="20"/>
          <w:lang w:val="en-AU"/>
        </w:rPr>
      </w:pPr>
      <w:r w:rsidRPr="00E8055E">
        <w:rPr>
          <w:color w:val="5F5F5F"/>
          <w:sz w:val="20"/>
          <w:szCs w:val="20"/>
          <w:lang w:val="en-AU"/>
        </w:rPr>
        <w:t>The s 566Z tracing provision operates so that effective control of the three companies, which are registered holders of offshore petroleum titles, can be traced up through the chain of companies to EGL.</w:t>
      </w:r>
    </w:p>
    <w:p w14:paraId="7EC6C2D0" w14:textId="77777777" w:rsidR="003108B7" w:rsidRDefault="003108B7" w:rsidP="003108B7">
      <w:pPr>
        <w:spacing w:after="120"/>
        <w:ind w:left="113"/>
        <w:rPr>
          <w:color w:val="5F5F5F"/>
          <w:sz w:val="20"/>
          <w:szCs w:val="20"/>
          <w:lang w:val="en-AU"/>
        </w:rPr>
      </w:pPr>
      <w:r w:rsidRPr="00E8055E">
        <w:rPr>
          <w:color w:val="5F5F5F"/>
          <w:sz w:val="20"/>
          <w:szCs w:val="20"/>
          <w:lang w:val="en-AU"/>
        </w:rPr>
        <w:t>If EGL wishes to sell 100 per cent of its shares in EA to XYZ Pty Ltd, EGL would cease to control, and XYZ Pty Ltd would begin to control, the companies who are registered holders of offshore petroleum titles.</w:t>
      </w:r>
    </w:p>
    <w:p w14:paraId="79B0DC21" w14:textId="1E810E5D" w:rsidR="003108B7" w:rsidRPr="003108B7" w:rsidRDefault="003108B7" w:rsidP="003108B7">
      <w:pPr>
        <w:spacing w:after="120"/>
        <w:ind w:left="113"/>
        <w:rPr>
          <w:color w:val="5F5F5F"/>
          <w:sz w:val="20"/>
          <w:szCs w:val="20"/>
          <w:lang w:val="en-AU"/>
        </w:rPr>
      </w:pPr>
      <w:r w:rsidRPr="00E8055E">
        <w:rPr>
          <w:color w:val="5F5F5F"/>
          <w:sz w:val="20"/>
          <w:szCs w:val="20"/>
          <w:lang w:val="en-AU"/>
        </w:rPr>
        <w:t xml:space="preserve">This transaction would therefore be subject to the change in control provisions and require the Titles Administrator’s approval. XYZ Pty and EGL are </w:t>
      </w:r>
      <w:r>
        <w:rPr>
          <w:color w:val="5F5F5F"/>
          <w:sz w:val="20"/>
          <w:szCs w:val="20"/>
          <w:lang w:val="en-AU"/>
        </w:rPr>
        <w:t xml:space="preserve">both </w:t>
      </w:r>
      <w:r w:rsidRPr="00E8055E">
        <w:rPr>
          <w:color w:val="5F5F5F"/>
          <w:sz w:val="20"/>
          <w:szCs w:val="20"/>
          <w:lang w:val="en-AU"/>
        </w:rPr>
        <w:t>eligible to apply for approval of the proposed change in control (s 566C) because XYZ Pty Ltd is proposing to begin controlling the titleholders and EGL is proposing to cease controlling the titleholders.</w:t>
      </w:r>
      <w:r w:rsidR="00EF0FDC">
        <w:rPr>
          <w:color w:val="5F5F5F"/>
          <w:sz w:val="20"/>
          <w:szCs w:val="20"/>
          <w:lang w:val="en-AU"/>
        </w:rPr>
        <w:t xml:space="preserve"> EA is not eligible to apply as it is neither beginning or ceasing to control a registered holder of a title – it is the subject of the transaction in question.</w:t>
      </w:r>
    </w:p>
    <w:sectPr w:rsidR="003108B7" w:rsidRPr="003108B7" w:rsidSect="004D4E3B">
      <w:headerReference w:type="even" r:id="rId23"/>
      <w:headerReference w:type="default" r:id="rId24"/>
      <w:headerReference w:type="first" r:id="rId25"/>
      <w:pgSz w:w="11910" w:h="16840"/>
      <w:pgMar w:top="1418" w:right="618" w:bottom="1560" w:left="601" w:header="6"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EA11" w14:textId="77777777" w:rsidR="006E6FC4" w:rsidRDefault="006E6FC4">
      <w:r>
        <w:separator/>
      </w:r>
    </w:p>
  </w:endnote>
  <w:endnote w:type="continuationSeparator" w:id="0">
    <w:p w14:paraId="73A2130D" w14:textId="77777777" w:rsidR="006E6FC4" w:rsidRDefault="006E6FC4">
      <w:r>
        <w:continuationSeparator/>
      </w:r>
    </w:p>
  </w:endnote>
  <w:endnote w:type="continuationNotice" w:id="1">
    <w:p w14:paraId="4312160A" w14:textId="77777777" w:rsidR="006E6FC4" w:rsidRDefault="006E6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AD5C" w14:textId="77777777" w:rsidR="00BC7B71" w:rsidRDefault="00BC7B71" w:rsidP="004D4E3B">
    <w:pPr>
      <w:pStyle w:val="Footer"/>
      <w:tabs>
        <w:tab w:val="clear" w:pos="4513"/>
        <w:tab w:val="clear" w:pos="9026"/>
        <w:tab w:val="center" w:pos="4962"/>
        <w:tab w:val="right" w:pos="10632"/>
      </w:tabs>
      <w:ind w:left="142"/>
    </w:pPr>
    <w:r>
      <w:rPr>
        <w:noProof/>
        <w:lang w:val="en-AU" w:eastAsia="en-AU"/>
      </w:rPr>
      <mc:AlternateContent>
        <mc:Choice Requires="wps">
          <w:drawing>
            <wp:anchor distT="0" distB="0" distL="114300" distR="114300" simplePos="0" relativeHeight="251658242" behindDoc="0" locked="0" layoutInCell="1" allowOverlap="1" wp14:anchorId="2C14D0C0" wp14:editId="0817C8CC">
              <wp:simplePos x="0" y="0"/>
              <wp:positionH relativeFrom="margin">
                <wp:posOffset>47626</wp:posOffset>
              </wp:positionH>
              <wp:positionV relativeFrom="paragraph">
                <wp:posOffset>-16510</wp:posOffset>
              </wp:positionV>
              <wp:extent cx="6705600" cy="0"/>
              <wp:effectExtent l="0" t="0" r="0" b="0"/>
              <wp:wrapNone/>
              <wp:docPr id="9"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0"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CE5CE" id="Line 4" o:spid="_x0000_s1026" alt="Title: horizontal line"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5pt,-1.3pt" to="53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KR2AEAAIsDAAAOAAAAZHJzL2Uyb0RvYy54bWysU01vEzEQvSPxHyzfyW4CSekqm0qklEuA&#10;SC29T2zvroXXY9lOdsOvZ+ykaYFbxcXyfD2/eTNe3oy9YQflg0Zb8+mk5ExZgVLbtuY/Hu7efeQs&#10;RLASDFpV86MK/Gb19s1ycJWaYYdGKs8IxIZqcDXvYnRVUQTRqR7CBJ2yFGzQ9xDJ9G0hPQyE3pti&#10;VpaLYkAvnUehQiDv7SnIVxm/aZSI35smqMhMzYlbzKfP5y6dxWoJVevBdVqcacArWPSgLT16gbqF&#10;CGzv9T9QvRYeAzZxIrAvsGm0ULkH6mZa/tXNfQdO5V5InOAuMoX/Byu+HbaeaVnza84s9DSijbaK&#10;fSCtdDRkduj1L7QRDDMUSYoNLlRUuLZbn3oWo713GxQ/A7O47sC2KjN/ODqqn6aK4o+SZARH7+6G&#10;rygpB/YRs3xj43vWGO0eU2ECJ4nYmOd1vMxLjZEJci6uyvmipLGKp1gBVYJIhc6H+EVhz9Kl5pl7&#10;8sNhE2Ki9JyS3BbvtDF5HYxlA+kxn80zg4BGyxRMacG3u7Xx7AC0ULOrxfvrT7k/irxM87i3MoN1&#10;CuTn8z2CNqc7PW7sWZakxEnTHcrj1j/JRRPPLM/bmVbqpZ2rn//Q6jcAAAD//wMAUEsDBBQABgAI&#10;AAAAIQAm2D+m2wAAAAgBAAAPAAAAZHJzL2Rvd25yZXYueG1sTI/BTsMwEETvSPyDtUjcWocUQhWy&#10;qRAIiVtEqSqObryJI+J1FDtt+HtccaDHnRnNvik2s+3FkUbfOUa4WyYgiGunO24Rdp9vizUIHxRr&#10;1TsmhB/ysCmvrwqVa3fiDzpuQytiCftcIZgQhlxKXxuyyi/dQBy9xo1WhXiOrdSjOsVy28s0STJp&#10;Vcfxg1EDvRiqv7eTRaj06qvZ7at1w68T3VPqzL56R7y9mZ+fQASaw38YzvgRHcrIdHATay96hMeH&#10;GERYpBmIs51kq6gc/hRZFvJyQPkLAAD//wMAUEsBAi0AFAAGAAgAAAAhALaDOJL+AAAA4QEAABMA&#10;AAAAAAAAAAAAAAAAAAAAAFtDb250ZW50X1R5cGVzXS54bWxQSwECLQAUAAYACAAAACEAOP0h/9YA&#10;AACUAQAACwAAAAAAAAAAAAAAAAAvAQAAX3JlbHMvLnJlbHNQSwECLQAUAAYACAAAACEAF9rikdgB&#10;AACLAwAADgAAAAAAAAAAAAAAAAAuAgAAZHJzL2Uyb0RvYy54bWxQSwECLQAUAAYACAAAACEAJtg/&#10;ptsAAAAIAQAADwAAAAAAAAAAAAAAAAAyBAAAZHJzL2Rvd25yZXYueG1sUEsFBgAAAAAEAAQA8wAA&#10;ADoFAAAAAA==&#10;" strokecolor="#27639b">
              <w10:wrap anchorx="margin"/>
            </v:line>
          </w:pict>
        </mc:Fallback>
      </mc:AlternateContent>
    </w:r>
    <w:r w:rsidRPr="00061F3C">
      <w:t>www.nopta.gov.au</w:t>
    </w:r>
    <w:r>
      <w:tab/>
    </w:r>
    <w:r>
      <w:tab/>
      <w:t>Version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13E5" w14:textId="35CFCE34" w:rsidR="00BC7B71" w:rsidRDefault="00BC7B71" w:rsidP="00DF6DC9">
    <w:pPr>
      <w:pStyle w:val="Footer"/>
      <w:tabs>
        <w:tab w:val="clear" w:pos="4513"/>
        <w:tab w:val="clear" w:pos="9026"/>
        <w:tab w:val="center" w:pos="4962"/>
        <w:tab w:val="right" w:pos="9922"/>
      </w:tabs>
    </w:pPr>
    <w:r>
      <w:rPr>
        <w:noProof/>
        <w:lang w:val="en-AU" w:eastAsia="en-AU"/>
      </w:rPr>
      <mc:AlternateContent>
        <mc:Choice Requires="wps">
          <w:drawing>
            <wp:anchor distT="0" distB="0" distL="114300" distR="114300" simplePos="0" relativeHeight="251658252" behindDoc="0" locked="0" layoutInCell="1" allowOverlap="1" wp14:anchorId="4144FB9A" wp14:editId="0E751AD7">
              <wp:simplePos x="0" y="0"/>
              <wp:positionH relativeFrom="margin">
                <wp:posOffset>-7620</wp:posOffset>
              </wp:positionH>
              <wp:positionV relativeFrom="paragraph">
                <wp:posOffset>-80645</wp:posOffset>
              </wp:positionV>
              <wp:extent cx="6350000" cy="12700"/>
              <wp:effectExtent l="0" t="0" r="31750" b="25400"/>
              <wp:wrapNone/>
              <wp:docPr id="19"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000" cy="1270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9627" id="Line 4" o:spid="_x0000_s1026" alt="Title: horizontal line" style="position:absolute;flip:y;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6.35pt" to="499.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833QEAAJADAAAOAAAAZHJzL2Uyb0RvYy54bWysU02P0zAQvSPxHyzfados7dKo6Up0WS6F&#10;rbQL96ntJBaOx7LdpuXXM3ZDYeGGyMHyfL1588ZZ3Z16w47KB4225rPJlDNlBUpt25p/eX54846z&#10;EMFKMGhVzc8q8Lv161erwVWqxA6NVJ4RiA3V4GrexeiqogiiUz2ECTplKdig7yGS6dtCehgIvTdF&#10;OZ0uigG9dB6FCoG895cgX2f8plEiPjZNUJGZmhO3mE+fz306i/UKqtaD67QYacA/sOhBW2p6hbqH&#10;COzg9V9QvRYeAzZxIrAvsGm0UHkGmmY2/WOapw6cyrOQOMFdZQr/D1Z8Pu4805J2t+TMQk872mqr&#10;2FsSS0dDZodef0cbwTBDkSTZ4EJFlRu782locbJPboviW2AWNx3YVmXqz2dH9bNUUbwoSUZw1Hg/&#10;fEJJOXCImPU7Nb5njdHuaypM4KQRO+WFna8LU6fIBDkXN/MpfZwJis3KW7qmXlAlmFTsfIgfFfYs&#10;XWqe+Sc/HLchXlJ/piS3xQdtDPmhMpYNNV/Oy3lmEdBomYIpFny73xjPjkCvqrxd3Czfj31fpHk8&#10;WJnBOgXyw3iPoM3lTjyNHaVJalx03aM873zillSiteeBxiea3tXvds769SOtfwAAAP//AwBQSwME&#10;FAAGAAgAAAAhAN1fbZ/eAAAACgEAAA8AAABkcnMvZG93bnJldi54bWxMj0FPwzAMhe9I/IfISNy2&#10;dAWxrjSdEAiJW8WYJo5Z4zYVjVM16Vb+PR4XOFn2e3r+XrGdXS9OOIbOk4LVMgGBVHvTUatg//G6&#10;yECEqMno3hMq+MYA2/L6qtC58Wd6x9MutoJDKORagY1xyKUMtUWnw9IPSKw1fnQ68jq20oz6zOGu&#10;l2mSPEinO+IPVg/4bLH+2k1OQWXuPpv9ocoaepnwHlNvD9WbUrc389MjiIhz/DPDBZ/RoWSmo5/I&#10;BNErWKxSdv7ONQg2bDYZdzleLskaZFnI/xXKHwAAAP//AwBQSwECLQAUAAYACAAAACEAtoM4kv4A&#10;AADhAQAAEwAAAAAAAAAAAAAAAAAAAAAAW0NvbnRlbnRfVHlwZXNdLnhtbFBLAQItABQABgAIAAAA&#10;IQA4/SH/1gAAAJQBAAALAAAAAAAAAAAAAAAAAC8BAABfcmVscy8ucmVsc1BLAQItABQABgAIAAAA&#10;IQDAwa833QEAAJADAAAOAAAAAAAAAAAAAAAAAC4CAABkcnMvZTJvRG9jLnhtbFBLAQItABQABgAI&#10;AAAAIQDdX22f3gAAAAoBAAAPAAAAAAAAAAAAAAAAADcEAABkcnMvZG93bnJldi54bWxQSwUGAAAA&#10;AAQABADzAAAAQgUAAAAA&#10;" strokecolor="#27639b">
              <w10:wrap anchorx="margin"/>
            </v:line>
          </w:pict>
        </mc:Fallback>
      </mc:AlternateContent>
    </w:r>
    <w:r w:rsidRPr="00061F3C">
      <w:t>www.nopta.gov.au</w:t>
    </w:r>
    <w:r>
      <w:tab/>
    </w:r>
    <w:r>
      <w:tab/>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B84BF" w14:textId="77777777" w:rsidR="006E6FC4" w:rsidRDefault="006E6FC4">
      <w:r>
        <w:separator/>
      </w:r>
    </w:p>
  </w:footnote>
  <w:footnote w:type="continuationSeparator" w:id="0">
    <w:p w14:paraId="6A2D477F" w14:textId="77777777" w:rsidR="006E6FC4" w:rsidRDefault="006E6FC4">
      <w:r>
        <w:continuationSeparator/>
      </w:r>
    </w:p>
  </w:footnote>
  <w:footnote w:type="continuationNotice" w:id="1">
    <w:p w14:paraId="75E55BD3" w14:textId="77777777" w:rsidR="006E6FC4" w:rsidRDefault="006E6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1F5A" w14:textId="71A1169A" w:rsidR="00BC7B71" w:rsidRDefault="00BC7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1014" w14:textId="1C3108DF" w:rsidR="004C1EBF" w:rsidRPr="0062559B" w:rsidRDefault="00D354E3" w:rsidP="00D354E3">
    <w:pPr>
      <w:pStyle w:val="Header"/>
      <w:tabs>
        <w:tab w:val="left" w:pos="6165"/>
        <w:tab w:val="right" w:pos="10408"/>
      </w:tabs>
      <w:spacing w:before="1200"/>
      <w:ind w:right="282"/>
      <w:rPr>
        <w:b/>
        <w:color w:val="FFFFFF" w:themeColor="background1"/>
        <w:sz w:val="52"/>
      </w:rPr>
    </w:pPr>
    <w:bookmarkStart w:id="0" w:name="_Hlk87961066"/>
    <w:r>
      <w:rPr>
        <w:b/>
        <w:noProof/>
        <w:color w:val="FFFFFF" w:themeColor="background1"/>
        <w:sz w:val="52"/>
      </w:rPr>
      <w:tab/>
    </w:r>
    <w:r>
      <w:rPr>
        <w:b/>
        <w:noProof/>
        <w:color w:val="FFFFFF" w:themeColor="background1"/>
        <w:sz w:val="52"/>
      </w:rPr>
      <w:tab/>
    </w:r>
    <w:r>
      <w:rPr>
        <w:b/>
        <w:noProof/>
        <w:color w:val="FFFFFF" w:themeColor="background1"/>
        <w:sz w:val="52"/>
      </w:rPr>
      <w:tab/>
    </w:r>
    <w:r w:rsidR="004C1EBF" w:rsidRPr="0062559B">
      <w:rPr>
        <w:b/>
        <w:noProof/>
        <w:color w:val="FFFFFF" w:themeColor="background1"/>
        <w:sz w:val="52"/>
      </w:rPr>
      <w:t>Fact Sheet</w:t>
    </w:r>
    <w:r w:rsidR="004C1EBF" w:rsidRPr="0062559B">
      <w:rPr>
        <w:b/>
        <w:noProof/>
        <w:color w:val="FFFFFF" w:themeColor="background1"/>
        <w:sz w:val="52"/>
      </w:rPr>
      <w:drawing>
        <wp:anchor distT="0" distB="0" distL="114300" distR="114300" simplePos="0" relativeHeight="251699213" behindDoc="1" locked="0" layoutInCell="1" allowOverlap="1" wp14:anchorId="104FF5CF" wp14:editId="6695CB5B">
          <wp:simplePos x="0" y="0"/>
          <wp:positionH relativeFrom="page">
            <wp:posOffset>-100965</wp:posOffset>
          </wp:positionH>
          <wp:positionV relativeFrom="page">
            <wp:align>top</wp:align>
          </wp:positionV>
          <wp:extent cx="12349424" cy="156615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b="5703"/>
                  <a:stretch/>
                </pic:blipFill>
                <pic:spPr bwMode="auto">
                  <a:xfrm>
                    <a:off x="0" y="0"/>
                    <a:ext cx="12349424" cy="15661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0"/>
  <w:p w14:paraId="34FAB073" w14:textId="4BED1272" w:rsidR="004C1EBF" w:rsidRDefault="004C1EBF" w:rsidP="004C1EBF">
    <w:pPr>
      <w:pStyle w:val="BodyText"/>
      <w:spacing w:before="0" w:line="14" w:lineRule="auto"/>
      <w:ind w:left="0"/>
    </w:pPr>
    <w:r>
      <w:rPr>
        <w:noProof/>
        <w:lang w:val="en-AU" w:eastAsia="en-AU"/>
      </w:rPr>
      <w:drawing>
        <wp:anchor distT="0" distB="0" distL="0" distR="0" simplePos="0" relativeHeight="251697165" behindDoc="1" locked="0" layoutInCell="1" allowOverlap="1" wp14:anchorId="1BA75500" wp14:editId="7D74ACE6">
          <wp:simplePos x="0" y="0"/>
          <wp:positionH relativeFrom="page">
            <wp:posOffset>1270</wp:posOffset>
          </wp:positionH>
          <wp:positionV relativeFrom="page">
            <wp:posOffset>1904</wp:posOffset>
          </wp:positionV>
          <wp:extent cx="7559293" cy="1564917"/>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559293" cy="1564917"/>
                  </a:xfrm>
                  <a:prstGeom prst="rect">
                    <a:avLst/>
                  </a:prstGeom>
                </pic:spPr>
              </pic:pic>
            </a:graphicData>
          </a:graphic>
        </wp:anchor>
      </w:drawing>
    </w:r>
  </w:p>
  <w:p w14:paraId="4F9D66A0" w14:textId="04BD177B" w:rsidR="00BC7B71" w:rsidRDefault="00BC7B71">
    <w:pPr>
      <w:pStyle w:val="BodyText"/>
      <w:spacing w:before="0" w:line="14" w:lineRule="auto"/>
      <w:ind w:left="0"/>
    </w:pPr>
    <w:r>
      <w:rPr>
        <w:noProof/>
        <w:lang w:val="en-AU" w:eastAsia="en-AU"/>
      </w:rPr>
      <w:drawing>
        <wp:anchor distT="0" distB="0" distL="0" distR="0" simplePos="0" relativeHeight="251658241" behindDoc="1" locked="0" layoutInCell="1" allowOverlap="1" wp14:anchorId="62DD58A2" wp14:editId="609E183D">
          <wp:simplePos x="0" y="0"/>
          <wp:positionH relativeFrom="page">
            <wp:posOffset>1270</wp:posOffset>
          </wp:positionH>
          <wp:positionV relativeFrom="page">
            <wp:posOffset>1904</wp:posOffset>
          </wp:positionV>
          <wp:extent cx="7559293" cy="156491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559293" cy="156491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D556" w14:textId="4E1AB510" w:rsidR="00BC7B71" w:rsidRDefault="00BC7B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8065" w14:textId="7AD46224" w:rsidR="00BC7B71" w:rsidRDefault="00BC7B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E6A3" w14:textId="40C5F10B" w:rsidR="00BC7B71" w:rsidRPr="00DF6DC9" w:rsidRDefault="00BC7B71" w:rsidP="00EB1EAC">
    <w:pPr>
      <w:pStyle w:val="Header"/>
      <w:rPr>
        <w:rFonts w:ascii="Arial Black" w:hAnsi="Arial Black"/>
        <w:sz w:val="24"/>
        <w:szCs w:val="28"/>
      </w:rPr>
    </w:pPr>
  </w:p>
  <w:p w14:paraId="4471AC8E" w14:textId="0DC5767C" w:rsidR="00BC7B71" w:rsidRDefault="00BC7B71" w:rsidP="002208CF">
    <w:pPr>
      <w:pStyle w:val="Header"/>
      <w:tabs>
        <w:tab w:val="right" w:pos="907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9075" w14:textId="60E98D08" w:rsidR="00BC7B71" w:rsidRDefault="00BC7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4C4"/>
    <w:multiLevelType w:val="multilevel"/>
    <w:tmpl w:val="9A20348E"/>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A75E1"/>
    <w:multiLevelType w:val="hybridMultilevel"/>
    <w:tmpl w:val="1FEE3E9A"/>
    <w:lvl w:ilvl="0" w:tplc="0C090019">
      <w:start w:val="1"/>
      <w:numFmt w:val="lowerLetter"/>
      <w:lvlText w:val="%1."/>
      <w:lvlJc w:val="left"/>
      <w:pPr>
        <w:ind w:left="2628" w:hanging="360"/>
      </w:pPr>
    </w:lvl>
    <w:lvl w:ilvl="1" w:tplc="0C090019">
      <w:start w:val="1"/>
      <w:numFmt w:val="lowerLetter"/>
      <w:lvlText w:val="%2."/>
      <w:lvlJc w:val="left"/>
      <w:pPr>
        <w:ind w:left="3282" w:hanging="360"/>
      </w:pPr>
    </w:lvl>
    <w:lvl w:ilvl="2" w:tplc="0C09001B">
      <w:start w:val="1"/>
      <w:numFmt w:val="lowerRoman"/>
      <w:lvlText w:val="%3."/>
      <w:lvlJc w:val="right"/>
      <w:pPr>
        <w:ind w:left="4002" w:hanging="180"/>
      </w:pPr>
    </w:lvl>
    <w:lvl w:ilvl="3" w:tplc="0C09000F" w:tentative="1">
      <w:start w:val="1"/>
      <w:numFmt w:val="decimal"/>
      <w:lvlText w:val="%4."/>
      <w:lvlJc w:val="left"/>
      <w:pPr>
        <w:ind w:left="4722" w:hanging="360"/>
      </w:pPr>
    </w:lvl>
    <w:lvl w:ilvl="4" w:tplc="0C090019" w:tentative="1">
      <w:start w:val="1"/>
      <w:numFmt w:val="lowerLetter"/>
      <w:lvlText w:val="%5."/>
      <w:lvlJc w:val="left"/>
      <w:pPr>
        <w:ind w:left="5442" w:hanging="360"/>
      </w:pPr>
    </w:lvl>
    <w:lvl w:ilvl="5" w:tplc="0C09001B" w:tentative="1">
      <w:start w:val="1"/>
      <w:numFmt w:val="lowerRoman"/>
      <w:lvlText w:val="%6."/>
      <w:lvlJc w:val="right"/>
      <w:pPr>
        <w:ind w:left="6162" w:hanging="180"/>
      </w:pPr>
    </w:lvl>
    <w:lvl w:ilvl="6" w:tplc="0C09000F" w:tentative="1">
      <w:start w:val="1"/>
      <w:numFmt w:val="decimal"/>
      <w:lvlText w:val="%7."/>
      <w:lvlJc w:val="left"/>
      <w:pPr>
        <w:ind w:left="6882" w:hanging="360"/>
      </w:pPr>
    </w:lvl>
    <w:lvl w:ilvl="7" w:tplc="0C090019" w:tentative="1">
      <w:start w:val="1"/>
      <w:numFmt w:val="lowerLetter"/>
      <w:lvlText w:val="%8."/>
      <w:lvlJc w:val="left"/>
      <w:pPr>
        <w:ind w:left="7602" w:hanging="360"/>
      </w:pPr>
    </w:lvl>
    <w:lvl w:ilvl="8" w:tplc="0C09001B" w:tentative="1">
      <w:start w:val="1"/>
      <w:numFmt w:val="lowerRoman"/>
      <w:lvlText w:val="%9."/>
      <w:lvlJc w:val="right"/>
      <w:pPr>
        <w:ind w:left="8322" w:hanging="180"/>
      </w:pPr>
    </w:lvl>
  </w:abstractNum>
  <w:abstractNum w:abstractNumId="2" w15:restartNumberingAfterBreak="0">
    <w:nsid w:val="04BB2CD9"/>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DB635D"/>
    <w:multiLevelType w:val="hybridMultilevel"/>
    <w:tmpl w:val="750A6598"/>
    <w:lvl w:ilvl="0" w:tplc="05D4DF3E">
      <w:numFmt w:val="bullet"/>
      <w:lvlText w:val=""/>
      <w:lvlJc w:val="left"/>
      <w:pPr>
        <w:ind w:left="479" w:hanging="360"/>
      </w:pPr>
      <w:rPr>
        <w:rFonts w:ascii="Symbol" w:eastAsia="Symbol" w:hAnsi="Symbol" w:cs="Symbol" w:hint="default"/>
        <w:color w:val="5F5F5F"/>
        <w:w w:val="99"/>
        <w:sz w:val="20"/>
        <w:szCs w:val="20"/>
      </w:rPr>
    </w:lvl>
    <w:lvl w:ilvl="1" w:tplc="FB384132">
      <w:numFmt w:val="bullet"/>
      <w:lvlText w:val="•"/>
      <w:lvlJc w:val="left"/>
      <w:pPr>
        <w:ind w:left="933" w:hanging="360"/>
      </w:pPr>
      <w:rPr>
        <w:rFonts w:hint="default"/>
      </w:rPr>
    </w:lvl>
    <w:lvl w:ilvl="2" w:tplc="7584CB1C">
      <w:numFmt w:val="bullet"/>
      <w:lvlText w:val="•"/>
      <w:lvlJc w:val="left"/>
      <w:pPr>
        <w:ind w:left="1387" w:hanging="360"/>
      </w:pPr>
      <w:rPr>
        <w:rFonts w:hint="default"/>
      </w:rPr>
    </w:lvl>
    <w:lvl w:ilvl="3" w:tplc="76922636">
      <w:numFmt w:val="bullet"/>
      <w:lvlText w:val="•"/>
      <w:lvlJc w:val="left"/>
      <w:pPr>
        <w:ind w:left="1841" w:hanging="360"/>
      </w:pPr>
      <w:rPr>
        <w:rFonts w:hint="default"/>
      </w:rPr>
    </w:lvl>
    <w:lvl w:ilvl="4" w:tplc="27BA6658">
      <w:numFmt w:val="bullet"/>
      <w:lvlText w:val="•"/>
      <w:lvlJc w:val="left"/>
      <w:pPr>
        <w:ind w:left="2294" w:hanging="360"/>
      </w:pPr>
      <w:rPr>
        <w:rFonts w:hint="default"/>
      </w:rPr>
    </w:lvl>
    <w:lvl w:ilvl="5" w:tplc="CD18CCFA">
      <w:numFmt w:val="bullet"/>
      <w:lvlText w:val="•"/>
      <w:lvlJc w:val="left"/>
      <w:pPr>
        <w:ind w:left="2748" w:hanging="360"/>
      </w:pPr>
      <w:rPr>
        <w:rFonts w:hint="default"/>
      </w:rPr>
    </w:lvl>
    <w:lvl w:ilvl="6" w:tplc="0E067120">
      <w:numFmt w:val="bullet"/>
      <w:lvlText w:val="•"/>
      <w:lvlJc w:val="left"/>
      <w:pPr>
        <w:ind w:left="3202" w:hanging="360"/>
      </w:pPr>
      <w:rPr>
        <w:rFonts w:hint="default"/>
      </w:rPr>
    </w:lvl>
    <w:lvl w:ilvl="7" w:tplc="36A85BE8">
      <w:numFmt w:val="bullet"/>
      <w:lvlText w:val="•"/>
      <w:lvlJc w:val="left"/>
      <w:pPr>
        <w:ind w:left="3655" w:hanging="360"/>
      </w:pPr>
      <w:rPr>
        <w:rFonts w:hint="default"/>
      </w:rPr>
    </w:lvl>
    <w:lvl w:ilvl="8" w:tplc="306AB084">
      <w:numFmt w:val="bullet"/>
      <w:lvlText w:val="•"/>
      <w:lvlJc w:val="left"/>
      <w:pPr>
        <w:ind w:left="4109" w:hanging="360"/>
      </w:pPr>
      <w:rPr>
        <w:rFonts w:hint="default"/>
      </w:rPr>
    </w:lvl>
  </w:abstractNum>
  <w:abstractNum w:abstractNumId="4" w15:restartNumberingAfterBreak="0">
    <w:nsid w:val="06AD4EB4"/>
    <w:multiLevelType w:val="hybridMultilevel"/>
    <w:tmpl w:val="8164783C"/>
    <w:lvl w:ilvl="0" w:tplc="14BA952C">
      <w:start w:val="1"/>
      <w:numFmt w:val="decimal"/>
      <w:lvlText w:val="%1."/>
      <w:lvlJc w:val="left"/>
      <w:pPr>
        <w:ind w:left="360" w:hanging="360"/>
      </w:pPr>
      <w:rPr>
        <w:rFonts w:ascii="Times New Roman" w:hAnsi="Times New Roman" w:cs="Times New Roman" w:hint="default"/>
        <w:b/>
        <w:i w:val="0"/>
        <w:color w:val="4F6228"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0D20144"/>
    <w:multiLevelType w:val="hybridMultilevel"/>
    <w:tmpl w:val="F370B736"/>
    <w:lvl w:ilvl="0" w:tplc="0C090001">
      <w:start w:val="1"/>
      <w:numFmt w:val="bullet"/>
      <w:pStyle w:val="ListBullet3"/>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435001"/>
    <w:multiLevelType w:val="hybridMultilevel"/>
    <w:tmpl w:val="F0E06E62"/>
    <w:lvl w:ilvl="0" w:tplc="2804874C">
      <w:start w:val="1"/>
      <w:numFmt w:val="lowerRoman"/>
      <w:lvlText w:val="(%1)"/>
      <w:lvlJc w:val="left"/>
      <w:pPr>
        <w:ind w:left="479" w:hanging="360"/>
      </w:pPr>
      <w:rPr>
        <w:rFonts w:ascii="Calibri" w:eastAsia="Calibri" w:hAnsi="Calibri" w:cs="Calibri" w:hint="default"/>
        <w:color w:val="5F5F5F"/>
        <w:spacing w:val="-1"/>
        <w:w w:val="99"/>
        <w:sz w:val="20"/>
        <w:szCs w:val="20"/>
      </w:rPr>
    </w:lvl>
    <w:lvl w:ilvl="1" w:tplc="190E8F64">
      <w:numFmt w:val="bullet"/>
      <w:lvlText w:val="•"/>
      <w:lvlJc w:val="left"/>
      <w:pPr>
        <w:ind w:left="933" w:hanging="360"/>
      </w:pPr>
      <w:rPr>
        <w:rFonts w:hint="default"/>
      </w:rPr>
    </w:lvl>
    <w:lvl w:ilvl="2" w:tplc="8E6C6494">
      <w:numFmt w:val="bullet"/>
      <w:lvlText w:val="•"/>
      <w:lvlJc w:val="left"/>
      <w:pPr>
        <w:ind w:left="1387" w:hanging="360"/>
      </w:pPr>
      <w:rPr>
        <w:rFonts w:hint="default"/>
      </w:rPr>
    </w:lvl>
    <w:lvl w:ilvl="3" w:tplc="E5742F3A">
      <w:numFmt w:val="bullet"/>
      <w:lvlText w:val="•"/>
      <w:lvlJc w:val="left"/>
      <w:pPr>
        <w:ind w:left="1841" w:hanging="360"/>
      </w:pPr>
      <w:rPr>
        <w:rFonts w:hint="default"/>
      </w:rPr>
    </w:lvl>
    <w:lvl w:ilvl="4" w:tplc="3E24396C">
      <w:numFmt w:val="bullet"/>
      <w:lvlText w:val="•"/>
      <w:lvlJc w:val="left"/>
      <w:pPr>
        <w:ind w:left="2294" w:hanging="360"/>
      </w:pPr>
      <w:rPr>
        <w:rFonts w:hint="default"/>
      </w:rPr>
    </w:lvl>
    <w:lvl w:ilvl="5" w:tplc="39A82CD4">
      <w:numFmt w:val="bullet"/>
      <w:lvlText w:val="•"/>
      <w:lvlJc w:val="left"/>
      <w:pPr>
        <w:ind w:left="2748" w:hanging="360"/>
      </w:pPr>
      <w:rPr>
        <w:rFonts w:hint="default"/>
      </w:rPr>
    </w:lvl>
    <w:lvl w:ilvl="6" w:tplc="3AC87E70">
      <w:numFmt w:val="bullet"/>
      <w:lvlText w:val="•"/>
      <w:lvlJc w:val="left"/>
      <w:pPr>
        <w:ind w:left="3202" w:hanging="360"/>
      </w:pPr>
      <w:rPr>
        <w:rFonts w:hint="default"/>
      </w:rPr>
    </w:lvl>
    <w:lvl w:ilvl="7" w:tplc="2EA4D5E0">
      <w:numFmt w:val="bullet"/>
      <w:lvlText w:val="•"/>
      <w:lvlJc w:val="left"/>
      <w:pPr>
        <w:ind w:left="3655" w:hanging="360"/>
      </w:pPr>
      <w:rPr>
        <w:rFonts w:hint="default"/>
      </w:rPr>
    </w:lvl>
    <w:lvl w:ilvl="8" w:tplc="6E8A0102">
      <w:numFmt w:val="bullet"/>
      <w:lvlText w:val="•"/>
      <w:lvlJc w:val="left"/>
      <w:pPr>
        <w:ind w:left="4109" w:hanging="360"/>
      </w:pPr>
      <w:rPr>
        <w:rFonts w:hint="default"/>
      </w:rPr>
    </w:lvl>
  </w:abstractNum>
  <w:abstractNum w:abstractNumId="7" w15:restartNumberingAfterBreak="0">
    <w:nsid w:val="22C056F8"/>
    <w:multiLevelType w:val="hybridMultilevel"/>
    <w:tmpl w:val="5EF44070"/>
    <w:lvl w:ilvl="0" w:tplc="0C09000F">
      <w:start w:val="1"/>
      <w:numFmt w:val="decimal"/>
      <w:lvlText w:val="%1."/>
      <w:lvlJc w:val="left"/>
      <w:pPr>
        <w:ind w:left="839" w:hanging="360"/>
      </w:pPr>
    </w:lvl>
    <w:lvl w:ilvl="1" w:tplc="0C090019" w:tentative="1">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8" w15:restartNumberingAfterBreak="0">
    <w:nsid w:val="27617E3C"/>
    <w:multiLevelType w:val="hybridMultilevel"/>
    <w:tmpl w:val="14B4AE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0777EF"/>
    <w:multiLevelType w:val="multilevel"/>
    <w:tmpl w:val="A58A1E82"/>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15E2DBA"/>
    <w:multiLevelType w:val="hybridMultilevel"/>
    <w:tmpl w:val="8E0261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BB144B"/>
    <w:multiLevelType w:val="hybridMultilevel"/>
    <w:tmpl w:val="9140ACC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33323AF8"/>
    <w:multiLevelType w:val="hybridMultilevel"/>
    <w:tmpl w:val="A29A9A68"/>
    <w:lvl w:ilvl="0" w:tplc="0C090001">
      <w:start w:val="1"/>
      <w:numFmt w:val="bullet"/>
      <w:lvlText w:val=""/>
      <w:lvlJc w:val="left"/>
      <w:pPr>
        <w:ind w:left="117" w:hanging="360"/>
      </w:pPr>
      <w:rPr>
        <w:rFonts w:ascii="Symbol" w:hAnsi="Symbol" w:hint="default"/>
      </w:rPr>
    </w:lvl>
    <w:lvl w:ilvl="1" w:tplc="0C090003" w:tentative="1">
      <w:start w:val="1"/>
      <w:numFmt w:val="bullet"/>
      <w:lvlText w:val="o"/>
      <w:lvlJc w:val="left"/>
      <w:pPr>
        <w:ind w:left="837" w:hanging="360"/>
      </w:pPr>
      <w:rPr>
        <w:rFonts w:ascii="Courier New" w:hAnsi="Courier New" w:cs="Courier New" w:hint="default"/>
      </w:rPr>
    </w:lvl>
    <w:lvl w:ilvl="2" w:tplc="0C090005" w:tentative="1">
      <w:start w:val="1"/>
      <w:numFmt w:val="bullet"/>
      <w:lvlText w:val=""/>
      <w:lvlJc w:val="left"/>
      <w:pPr>
        <w:ind w:left="1557" w:hanging="360"/>
      </w:pPr>
      <w:rPr>
        <w:rFonts w:ascii="Wingdings" w:hAnsi="Wingdings" w:hint="default"/>
      </w:rPr>
    </w:lvl>
    <w:lvl w:ilvl="3" w:tplc="0C090001" w:tentative="1">
      <w:start w:val="1"/>
      <w:numFmt w:val="bullet"/>
      <w:lvlText w:val=""/>
      <w:lvlJc w:val="left"/>
      <w:pPr>
        <w:ind w:left="2277" w:hanging="360"/>
      </w:pPr>
      <w:rPr>
        <w:rFonts w:ascii="Symbol" w:hAnsi="Symbol" w:hint="default"/>
      </w:rPr>
    </w:lvl>
    <w:lvl w:ilvl="4" w:tplc="0C090003" w:tentative="1">
      <w:start w:val="1"/>
      <w:numFmt w:val="bullet"/>
      <w:lvlText w:val="o"/>
      <w:lvlJc w:val="left"/>
      <w:pPr>
        <w:ind w:left="2997" w:hanging="360"/>
      </w:pPr>
      <w:rPr>
        <w:rFonts w:ascii="Courier New" w:hAnsi="Courier New" w:cs="Courier New" w:hint="default"/>
      </w:rPr>
    </w:lvl>
    <w:lvl w:ilvl="5" w:tplc="0C090005" w:tentative="1">
      <w:start w:val="1"/>
      <w:numFmt w:val="bullet"/>
      <w:lvlText w:val=""/>
      <w:lvlJc w:val="left"/>
      <w:pPr>
        <w:ind w:left="3717" w:hanging="360"/>
      </w:pPr>
      <w:rPr>
        <w:rFonts w:ascii="Wingdings" w:hAnsi="Wingdings" w:hint="default"/>
      </w:rPr>
    </w:lvl>
    <w:lvl w:ilvl="6" w:tplc="0C090001" w:tentative="1">
      <w:start w:val="1"/>
      <w:numFmt w:val="bullet"/>
      <w:lvlText w:val=""/>
      <w:lvlJc w:val="left"/>
      <w:pPr>
        <w:ind w:left="4437" w:hanging="360"/>
      </w:pPr>
      <w:rPr>
        <w:rFonts w:ascii="Symbol" w:hAnsi="Symbol" w:hint="default"/>
      </w:rPr>
    </w:lvl>
    <w:lvl w:ilvl="7" w:tplc="0C090003" w:tentative="1">
      <w:start w:val="1"/>
      <w:numFmt w:val="bullet"/>
      <w:lvlText w:val="o"/>
      <w:lvlJc w:val="left"/>
      <w:pPr>
        <w:ind w:left="5157" w:hanging="360"/>
      </w:pPr>
      <w:rPr>
        <w:rFonts w:ascii="Courier New" w:hAnsi="Courier New" w:cs="Courier New" w:hint="default"/>
      </w:rPr>
    </w:lvl>
    <w:lvl w:ilvl="8" w:tplc="0C090005" w:tentative="1">
      <w:start w:val="1"/>
      <w:numFmt w:val="bullet"/>
      <w:lvlText w:val=""/>
      <w:lvlJc w:val="left"/>
      <w:pPr>
        <w:ind w:left="5877" w:hanging="360"/>
      </w:pPr>
      <w:rPr>
        <w:rFonts w:ascii="Wingdings" w:hAnsi="Wingdings" w:hint="default"/>
      </w:rPr>
    </w:lvl>
  </w:abstractNum>
  <w:abstractNum w:abstractNumId="13" w15:restartNumberingAfterBreak="0">
    <w:nsid w:val="33B323B5"/>
    <w:multiLevelType w:val="hybridMultilevel"/>
    <w:tmpl w:val="055612F4"/>
    <w:lvl w:ilvl="0" w:tplc="DF02D02E">
      <w:start w:val="1"/>
      <w:numFmt w:val="lowerRoman"/>
      <w:lvlText w:val="(%1)"/>
      <w:lvlJc w:val="left"/>
      <w:pPr>
        <w:ind w:left="839" w:hanging="720"/>
      </w:pPr>
      <w:rPr>
        <w:rFonts w:hint="default"/>
      </w:rPr>
    </w:lvl>
    <w:lvl w:ilvl="1" w:tplc="0C090019" w:tentative="1">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14" w15:restartNumberingAfterBreak="0">
    <w:nsid w:val="34085528"/>
    <w:multiLevelType w:val="hybridMultilevel"/>
    <w:tmpl w:val="457C1E4A"/>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15" w15:restartNumberingAfterBreak="0">
    <w:nsid w:val="358B5DEE"/>
    <w:multiLevelType w:val="hybridMultilevel"/>
    <w:tmpl w:val="B998931E"/>
    <w:lvl w:ilvl="0" w:tplc="62A24BAE">
      <w:start w:val="1"/>
      <w:numFmt w:val="lowerLetter"/>
      <w:lvlText w:val="(%1)"/>
      <w:lvlJc w:val="left"/>
      <w:pPr>
        <w:ind w:left="1310" w:hanging="360"/>
      </w:pPr>
      <w:rPr>
        <w:rFonts w:hint="default"/>
      </w:rPr>
    </w:lvl>
    <w:lvl w:ilvl="1" w:tplc="0C090019" w:tentative="1">
      <w:start w:val="1"/>
      <w:numFmt w:val="lowerLetter"/>
      <w:lvlText w:val="%2."/>
      <w:lvlJc w:val="left"/>
      <w:pPr>
        <w:ind w:left="2030" w:hanging="360"/>
      </w:pPr>
    </w:lvl>
    <w:lvl w:ilvl="2" w:tplc="0C09001B" w:tentative="1">
      <w:start w:val="1"/>
      <w:numFmt w:val="lowerRoman"/>
      <w:lvlText w:val="%3."/>
      <w:lvlJc w:val="right"/>
      <w:pPr>
        <w:ind w:left="2750" w:hanging="180"/>
      </w:pPr>
    </w:lvl>
    <w:lvl w:ilvl="3" w:tplc="0C09000F" w:tentative="1">
      <w:start w:val="1"/>
      <w:numFmt w:val="decimal"/>
      <w:lvlText w:val="%4."/>
      <w:lvlJc w:val="left"/>
      <w:pPr>
        <w:ind w:left="3470" w:hanging="360"/>
      </w:pPr>
    </w:lvl>
    <w:lvl w:ilvl="4" w:tplc="0C090019" w:tentative="1">
      <w:start w:val="1"/>
      <w:numFmt w:val="lowerLetter"/>
      <w:lvlText w:val="%5."/>
      <w:lvlJc w:val="left"/>
      <w:pPr>
        <w:ind w:left="4190" w:hanging="360"/>
      </w:pPr>
    </w:lvl>
    <w:lvl w:ilvl="5" w:tplc="0C09001B" w:tentative="1">
      <w:start w:val="1"/>
      <w:numFmt w:val="lowerRoman"/>
      <w:lvlText w:val="%6."/>
      <w:lvlJc w:val="right"/>
      <w:pPr>
        <w:ind w:left="4910" w:hanging="180"/>
      </w:pPr>
    </w:lvl>
    <w:lvl w:ilvl="6" w:tplc="0C09000F" w:tentative="1">
      <w:start w:val="1"/>
      <w:numFmt w:val="decimal"/>
      <w:lvlText w:val="%7."/>
      <w:lvlJc w:val="left"/>
      <w:pPr>
        <w:ind w:left="5630" w:hanging="360"/>
      </w:pPr>
    </w:lvl>
    <w:lvl w:ilvl="7" w:tplc="0C090019" w:tentative="1">
      <w:start w:val="1"/>
      <w:numFmt w:val="lowerLetter"/>
      <w:lvlText w:val="%8."/>
      <w:lvlJc w:val="left"/>
      <w:pPr>
        <w:ind w:left="6350" w:hanging="360"/>
      </w:pPr>
    </w:lvl>
    <w:lvl w:ilvl="8" w:tplc="0C09001B" w:tentative="1">
      <w:start w:val="1"/>
      <w:numFmt w:val="lowerRoman"/>
      <w:lvlText w:val="%9."/>
      <w:lvlJc w:val="right"/>
      <w:pPr>
        <w:ind w:left="7070" w:hanging="180"/>
      </w:pPr>
    </w:lvl>
  </w:abstractNum>
  <w:abstractNum w:abstractNumId="16" w15:restartNumberingAfterBreak="0">
    <w:nsid w:val="359E1E27"/>
    <w:multiLevelType w:val="hybridMultilevel"/>
    <w:tmpl w:val="6B984558"/>
    <w:lvl w:ilvl="0" w:tplc="43D0155A">
      <w:start w:val="1"/>
      <w:numFmt w:val="lowerRoman"/>
      <w:lvlText w:val="(%1)"/>
      <w:lvlJc w:val="left"/>
      <w:pPr>
        <w:ind w:left="2080" w:hanging="720"/>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17" w15:restartNumberingAfterBreak="0">
    <w:nsid w:val="382B06F2"/>
    <w:multiLevelType w:val="hybridMultilevel"/>
    <w:tmpl w:val="49E8E0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D523C3A"/>
    <w:multiLevelType w:val="hybridMultilevel"/>
    <w:tmpl w:val="7BB41F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4C29DB"/>
    <w:multiLevelType w:val="hybridMultilevel"/>
    <w:tmpl w:val="656444C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4BDB614B"/>
    <w:multiLevelType w:val="hybridMultilevel"/>
    <w:tmpl w:val="9140CAF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2" w15:restartNumberingAfterBreak="0">
    <w:nsid w:val="4BEA099B"/>
    <w:multiLevelType w:val="hybridMultilevel"/>
    <w:tmpl w:val="7940FEC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4DD6632D"/>
    <w:multiLevelType w:val="hybridMultilevel"/>
    <w:tmpl w:val="D2B62DE4"/>
    <w:lvl w:ilvl="0" w:tplc="89D2CAE8">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4" w15:restartNumberingAfterBreak="0">
    <w:nsid w:val="53603F75"/>
    <w:multiLevelType w:val="hybridMultilevel"/>
    <w:tmpl w:val="4BB8244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5" w15:restartNumberingAfterBreak="0">
    <w:nsid w:val="58A02BBB"/>
    <w:multiLevelType w:val="hybridMultilevel"/>
    <w:tmpl w:val="8214BC34"/>
    <w:lvl w:ilvl="0" w:tplc="8D601526">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6D6EFC"/>
    <w:multiLevelType w:val="hybridMultilevel"/>
    <w:tmpl w:val="17101F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E976D3"/>
    <w:multiLevelType w:val="hybridMultilevel"/>
    <w:tmpl w:val="849E269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8" w15:restartNumberingAfterBreak="0">
    <w:nsid w:val="666D20F7"/>
    <w:multiLevelType w:val="hybridMultilevel"/>
    <w:tmpl w:val="AED6E820"/>
    <w:lvl w:ilvl="0" w:tplc="CF8CE378">
      <w:start w:val="1"/>
      <w:numFmt w:val="lowerLetter"/>
      <w:lvlText w:val="(%1)"/>
      <w:lvlJc w:val="left"/>
      <w:pPr>
        <w:ind w:left="544" w:hanging="425"/>
      </w:pPr>
      <w:rPr>
        <w:rFonts w:ascii="Calibri" w:eastAsia="Calibri" w:hAnsi="Calibri" w:cs="Calibri" w:hint="default"/>
        <w:b/>
        <w:bCs/>
        <w:color w:val="2A6C8F"/>
        <w:w w:val="99"/>
        <w:sz w:val="20"/>
        <w:szCs w:val="20"/>
      </w:rPr>
    </w:lvl>
    <w:lvl w:ilvl="1" w:tplc="0C241658">
      <w:numFmt w:val="bullet"/>
      <w:lvlText w:val="•"/>
      <w:lvlJc w:val="left"/>
      <w:pPr>
        <w:ind w:left="988" w:hanging="425"/>
      </w:pPr>
      <w:rPr>
        <w:rFonts w:hint="default"/>
      </w:rPr>
    </w:lvl>
    <w:lvl w:ilvl="2" w:tplc="7E62D404">
      <w:numFmt w:val="bullet"/>
      <w:lvlText w:val="•"/>
      <w:lvlJc w:val="left"/>
      <w:pPr>
        <w:ind w:left="1437" w:hanging="425"/>
      </w:pPr>
      <w:rPr>
        <w:rFonts w:hint="default"/>
      </w:rPr>
    </w:lvl>
    <w:lvl w:ilvl="3" w:tplc="5456DD02">
      <w:numFmt w:val="bullet"/>
      <w:lvlText w:val="•"/>
      <w:lvlJc w:val="left"/>
      <w:pPr>
        <w:ind w:left="1886" w:hanging="425"/>
      </w:pPr>
      <w:rPr>
        <w:rFonts w:hint="default"/>
      </w:rPr>
    </w:lvl>
    <w:lvl w:ilvl="4" w:tplc="51FED694">
      <w:numFmt w:val="bullet"/>
      <w:lvlText w:val="•"/>
      <w:lvlJc w:val="left"/>
      <w:pPr>
        <w:ind w:left="2335" w:hanging="425"/>
      </w:pPr>
      <w:rPr>
        <w:rFonts w:hint="default"/>
      </w:rPr>
    </w:lvl>
    <w:lvl w:ilvl="5" w:tplc="692080DC">
      <w:numFmt w:val="bullet"/>
      <w:lvlText w:val="•"/>
      <w:lvlJc w:val="left"/>
      <w:pPr>
        <w:ind w:left="2783" w:hanging="425"/>
      </w:pPr>
      <w:rPr>
        <w:rFonts w:hint="default"/>
      </w:rPr>
    </w:lvl>
    <w:lvl w:ilvl="6" w:tplc="F3A46FB6">
      <w:numFmt w:val="bullet"/>
      <w:lvlText w:val="•"/>
      <w:lvlJc w:val="left"/>
      <w:pPr>
        <w:ind w:left="3232" w:hanging="425"/>
      </w:pPr>
      <w:rPr>
        <w:rFonts w:hint="default"/>
      </w:rPr>
    </w:lvl>
    <w:lvl w:ilvl="7" w:tplc="093449F6">
      <w:numFmt w:val="bullet"/>
      <w:lvlText w:val="•"/>
      <w:lvlJc w:val="left"/>
      <w:pPr>
        <w:ind w:left="3681" w:hanging="425"/>
      </w:pPr>
      <w:rPr>
        <w:rFonts w:hint="default"/>
      </w:rPr>
    </w:lvl>
    <w:lvl w:ilvl="8" w:tplc="B9F0A994">
      <w:numFmt w:val="bullet"/>
      <w:lvlText w:val="•"/>
      <w:lvlJc w:val="left"/>
      <w:pPr>
        <w:ind w:left="4130" w:hanging="425"/>
      </w:pPr>
      <w:rPr>
        <w:rFonts w:hint="default"/>
      </w:rPr>
    </w:lvl>
  </w:abstractNum>
  <w:abstractNum w:abstractNumId="29" w15:restartNumberingAfterBreak="0">
    <w:nsid w:val="670F6AE9"/>
    <w:multiLevelType w:val="hybridMultilevel"/>
    <w:tmpl w:val="FCC6E190"/>
    <w:lvl w:ilvl="0" w:tplc="E9E46960">
      <w:start w:val="1"/>
      <w:numFmt w:val="lowerLetter"/>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30" w15:restartNumberingAfterBreak="0">
    <w:nsid w:val="67F91476"/>
    <w:multiLevelType w:val="multilevel"/>
    <w:tmpl w:val="68B4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A33A10"/>
    <w:multiLevelType w:val="hybridMultilevel"/>
    <w:tmpl w:val="DCBEE928"/>
    <w:lvl w:ilvl="0" w:tplc="DF02E092">
      <w:numFmt w:val="bullet"/>
      <w:lvlText w:val="-"/>
      <w:lvlJc w:val="left"/>
      <w:pPr>
        <w:ind w:left="479" w:hanging="360"/>
      </w:pPr>
      <w:rPr>
        <w:rFonts w:ascii="Calibri" w:eastAsia="Calibri" w:hAnsi="Calibri" w:cs="Calibri" w:hint="default"/>
        <w:color w:val="27629B"/>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32" w15:restartNumberingAfterBreak="0">
    <w:nsid w:val="71534FEC"/>
    <w:multiLevelType w:val="hybridMultilevel"/>
    <w:tmpl w:val="2190F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1C1313"/>
    <w:multiLevelType w:val="hybridMultilevel"/>
    <w:tmpl w:val="05AAAD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F5D687B"/>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617206"/>
    <w:multiLevelType w:val="hybridMultilevel"/>
    <w:tmpl w:val="7DB0289A"/>
    <w:lvl w:ilvl="0" w:tplc="BEB6BF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3"/>
  </w:num>
  <w:num w:numId="3">
    <w:abstractNumId w:val="6"/>
  </w:num>
  <w:num w:numId="4">
    <w:abstractNumId w:val="31"/>
  </w:num>
  <w:num w:numId="5">
    <w:abstractNumId w:val="25"/>
  </w:num>
  <w:num w:numId="6">
    <w:abstractNumId w:val="0"/>
  </w:num>
  <w:num w:numId="7">
    <w:abstractNumId w:val="7"/>
  </w:num>
  <w:num w:numId="8">
    <w:abstractNumId w:val="21"/>
  </w:num>
  <w:num w:numId="9">
    <w:abstractNumId w:val="5"/>
  </w:num>
  <w:num w:numId="10">
    <w:abstractNumId w:val="32"/>
  </w:num>
  <w:num w:numId="11">
    <w:abstractNumId w:val="22"/>
  </w:num>
  <w:num w:numId="12">
    <w:abstractNumId w:val="24"/>
  </w:num>
  <w:num w:numId="13">
    <w:abstractNumId w:val="29"/>
  </w:num>
  <w:num w:numId="14">
    <w:abstractNumId w:val="34"/>
  </w:num>
  <w:num w:numId="15">
    <w:abstractNumId w:val="10"/>
  </w:num>
  <w:num w:numId="16">
    <w:abstractNumId w:val="27"/>
  </w:num>
  <w:num w:numId="17">
    <w:abstractNumId w:val="33"/>
  </w:num>
  <w:num w:numId="18">
    <w:abstractNumId w:val="9"/>
  </w:num>
  <w:num w:numId="19">
    <w:abstractNumId w:val="1"/>
  </w:num>
  <w:num w:numId="20">
    <w:abstractNumId w:val="20"/>
  </w:num>
  <w:num w:numId="21">
    <w:abstractNumId w:val="23"/>
  </w:num>
  <w:num w:numId="22">
    <w:abstractNumId w:val="12"/>
  </w:num>
  <w:num w:numId="23">
    <w:abstractNumId w:val="35"/>
  </w:num>
  <w:num w:numId="24">
    <w:abstractNumId w:val="4"/>
  </w:num>
  <w:num w:numId="25">
    <w:abstractNumId w:val="18"/>
  </w:num>
  <w:num w:numId="26">
    <w:abstractNumId w:val="2"/>
  </w:num>
  <w:num w:numId="27">
    <w:abstractNumId w:val="8"/>
  </w:num>
  <w:num w:numId="28">
    <w:abstractNumId w:val="15"/>
  </w:num>
  <w:num w:numId="29">
    <w:abstractNumId w:val="16"/>
  </w:num>
  <w:num w:numId="30">
    <w:abstractNumId w:val="11"/>
  </w:num>
  <w:num w:numId="31">
    <w:abstractNumId w:val="17"/>
  </w:num>
  <w:num w:numId="32">
    <w:abstractNumId w:val="14"/>
  </w:num>
  <w:num w:numId="33">
    <w:abstractNumId w:val="30"/>
  </w:num>
  <w:num w:numId="34">
    <w:abstractNumId w:val="13"/>
  </w:num>
  <w:num w:numId="35">
    <w:abstractNumId w:val="26"/>
  </w:num>
  <w:num w:numId="36">
    <w:abstractNumId w:val="19"/>
  </w:num>
  <w:num w:numId="37">
    <w:abstractNumId w:val="9"/>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30"/>
    <w:rsid w:val="0000153A"/>
    <w:rsid w:val="00002F6C"/>
    <w:rsid w:val="0000383B"/>
    <w:rsid w:val="00004D4B"/>
    <w:rsid w:val="000137BA"/>
    <w:rsid w:val="00016588"/>
    <w:rsid w:val="00031849"/>
    <w:rsid w:val="00032839"/>
    <w:rsid w:val="000416C3"/>
    <w:rsid w:val="00041AD6"/>
    <w:rsid w:val="00042D76"/>
    <w:rsid w:val="00046AF0"/>
    <w:rsid w:val="00046EA1"/>
    <w:rsid w:val="000472D4"/>
    <w:rsid w:val="0005287A"/>
    <w:rsid w:val="00054436"/>
    <w:rsid w:val="00062C33"/>
    <w:rsid w:val="000737DF"/>
    <w:rsid w:val="000754AE"/>
    <w:rsid w:val="00081647"/>
    <w:rsid w:val="00082871"/>
    <w:rsid w:val="00082E7B"/>
    <w:rsid w:val="00086426"/>
    <w:rsid w:val="00091958"/>
    <w:rsid w:val="00095EEB"/>
    <w:rsid w:val="00096B5B"/>
    <w:rsid w:val="000A021A"/>
    <w:rsid w:val="000A1270"/>
    <w:rsid w:val="000A2469"/>
    <w:rsid w:val="000B0293"/>
    <w:rsid w:val="000B03B6"/>
    <w:rsid w:val="000B1A1C"/>
    <w:rsid w:val="000B496F"/>
    <w:rsid w:val="000B4DE3"/>
    <w:rsid w:val="000B540D"/>
    <w:rsid w:val="000C0CBC"/>
    <w:rsid w:val="000C1646"/>
    <w:rsid w:val="000C3FCB"/>
    <w:rsid w:val="000D2A29"/>
    <w:rsid w:val="000D3BA2"/>
    <w:rsid w:val="000E1043"/>
    <w:rsid w:val="000E11FF"/>
    <w:rsid w:val="000E2CFC"/>
    <w:rsid w:val="00102B03"/>
    <w:rsid w:val="00103DFD"/>
    <w:rsid w:val="00110EFE"/>
    <w:rsid w:val="00111A42"/>
    <w:rsid w:val="00120E4C"/>
    <w:rsid w:val="00121D71"/>
    <w:rsid w:val="00125057"/>
    <w:rsid w:val="00132F68"/>
    <w:rsid w:val="00133D87"/>
    <w:rsid w:val="001340EA"/>
    <w:rsid w:val="00141234"/>
    <w:rsid w:val="00145881"/>
    <w:rsid w:val="00151515"/>
    <w:rsid w:val="00154E35"/>
    <w:rsid w:val="00161677"/>
    <w:rsid w:val="001634A2"/>
    <w:rsid w:val="00164F51"/>
    <w:rsid w:val="001660D7"/>
    <w:rsid w:val="00170BCA"/>
    <w:rsid w:val="001731DB"/>
    <w:rsid w:val="001906C3"/>
    <w:rsid w:val="00191838"/>
    <w:rsid w:val="00192ACF"/>
    <w:rsid w:val="001A1B97"/>
    <w:rsid w:val="001A4E4A"/>
    <w:rsid w:val="001A56D6"/>
    <w:rsid w:val="001B38A6"/>
    <w:rsid w:val="001C3329"/>
    <w:rsid w:val="001C4957"/>
    <w:rsid w:val="001D57D8"/>
    <w:rsid w:val="001D6172"/>
    <w:rsid w:val="001E0FBA"/>
    <w:rsid w:val="001E2705"/>
    <w:rsid w:val="001E382A"/>
    <w:rsid w:val="001F5CD7"/>
    <w:rsid w:val="00201E29"/>
    <w:rsid w:val="00206DDB"/>
    <w:rsid w:val="00214BCF"/>
    <w:rsid w:val="00214CCE"/>
    <w:rsid w:val="002208CF"/>
    <w:rsid w:val="0022195F"/>
    <w:rsid w:val="00222291"/>
    <w:rsid w:val="00227331"/>
    <w:rsid w:val="0023046C"/>
    <w:rsid w:val="00234170"/>
    <w:rsid w:val="00235741"/>
    <w:rsid w:val="00237152"/>
    <w:rsid w:val="00240552"/>
    <w:rsid w:val="002418D3"/>
    <w:rsid w:val="00256826"/>
    <w:rsid w:val="002642DE"/>
    <w:rsid w:val="00266565"/>
    <w:rsid w:val="00266F07"/>
    <w:rsid w:val="00270536"/>
    <w:rsid w:val="0027084E"/>
    <w:rsid w:val="00270B3E"/>
    <w:rsid w:val="0027173F"/>
    <w:rsid w:val="002723B9"/>
    <w:rsid w:val="00273D4F"/>
    <w:rsid w:val="00273EBF"/>
    <w:rsid w:val="0027766B"/>
    <w:rsid w:val="0027787C"/>
    <w:rsid w:val="002807FF"/>
    <w:rsid w:val="002828DA"/>
    <w:rsid w:val="00291B53"/>
    <w:rsid w:val="00294B08"/>
    <w:rsid w:val="002A0502"/>
    <w:rsid w:val="002A081C"/>
    <w:rsid w:val="002A2052"/>
    <w:rsid w:val="002A3C2F"/>
    <w:rsid w:val="002A4780"/>
    <w:rsid w:val="002A73BA"/>
    <w:rsid w:val="002A775C"/>
    <w:rsid w:val="002B00BC"/>
    <w:rsid w:val="002C0B56"/>
    <w:rsid w:val="002C1CFF"/>
    <w:rsid w:val="002C5917"/>
    <w:rsid w:val="002D2389"/>
    <w:rsid w:val="002D52FF"/>
    <w:rsid w:val="002E01D9"/>
    <w:rsid w:val="002E7309"/>
    <w:rsid w:val="002F3BCB"/>
    <w:rsid w:val="002F4CE2"/>
    <w:rsid w:val="002F4F57"/>
    <w:rsid w:val="002F5E0B"/>
    <w:rsid w:val="0030723B"/>
    <w:rsid w:val="003108B7"/>
    <w:rsid w:val="00316CB2"/>
    <w:rsid w:val="003305A3"/>
    <w:rsid w:val="003402CD"/>
    <w:rsid w:val="00346B79"/>
    <w:rsid w:val="00353202"/>
    <w:rsid w:val="00353E8E"/>
    <w:rsid w:val="00356B87"/>
    <w:rsid w:val="00360793"/>
    <w:rsid w:val="003616D3"/>
    <w:rsid w:val="003637DE"/>
    <w:rsid w:val="00370488"/>
    <w:rsid w:val="0037159B"/>
    <w:rsid w:val="00385C2E"/>
    <w:rsid w:val="00386C06"/>
    <w:rsid w:val="00392EDF"/>
    <w:rsid w:val="003A771D"/>
    <w:rsid w:val="003B33D4"/>
    <w:rsid w:val="003B3DD7"/>
    <w:rsid w:val="003B3F39"/>
    <w:rsid w:val="003B43CB"/>
    <w:rsid w:val="003B5036"/>
    <w:rsid w:val="003B5A09"/>
    <w:rsid w:val="003B70D8"/>
    <w:rsid w:val="003C1586"/>
    <w:rsid w:val="003E1C13"/>
    <w:rsid w:val="003E4853"/>
    <w:rsid w:val="003F3CFB"/>
    <w:rsid w:val="003F5CE6"/>
    <w:rsid w:val="003F6C61"/>
    <w:rsid w:val="003F7F32"/>
    <w:rsid w:val="00410CD6"/>
    <w:rsid w:val="004136BE"/>
    <w:rsid w:val="00415726"/>
    <w:rsid w:val="004157A7"/>
    <w:rsid w:val="00415BE7"/>
    <w:rsid w:val="00422361"/>
    <w:rsid w:val="0042570D"/>
    <w:rsid w:val="00427258"/>
    <w:rsid w:val="00434E8A"/>
    <w:rsid w:val="00443706"/>
    <w:rsid w:val="0044669D"/>
    <w:rsid w:val="004524BE"/>
    <w:rsid w:val="00454710"/>
    <w:rsid w:val="004551FB"/>
    <w:rsid w:val="00463712"/>
    <w:rsid w:val="00465932"/>
    <w:rsid w:val="00466608"/>
    <w:rsid w:val="0047224A"/>
    <w:rsid w:val="00472A0F"/>
    <w:rsid w:val="00474874"/>
    <w:rsid w:val="00476228"/>
    <w:rsid w:val="00483D15"/>
    <w:rsid w:val="00486A9D"/>
    <w:rsid w:val="00487712"/>
    <w:rsid w:val="00493E6A"/>
    <w:rsid w:val="0049429E"/>
    <w:rsid w:val="00495637"/>
    <w:rsid w:val="004A0B83"/>
    <w:rsid w:val="004A102C"/>
    <w:rsid w:val="004A19EB"/>
    <w:rsid w:val="004A2AB1"/>
    <w:rsid w:val="004A484E"/>
    <w:rsid w:val="004A7A5B"/>
    <w:rsid w:val="004A7DCB"/>
    <w:rsid w:val="004B18FA"/>
    <w:rsid w:val="004C1EBF"/>
    <w:rsid w:val="004C7548"/>
    <w:rsid w:val="004C79A6"/>
    <w:rsid w:val="004D4E3B"/>
    <w:rsid w:val="004E313B"/>
    <w:rsid w:val="004E7AF7"/>
    <w:rsid w:val="004F1D51"/>
    <w:rsid w:val="004F2319"/>
    <w:rsid w:val="004F6ADE"/>
    <w:rsid w:val="004F77B4"/>
    <w:rsid w:val="00501FB3"/>
    <w:rsid w:val="00506F97"/>
    <w:rsid w:val="00515F5C"/>
    <w:rsid w:val="00521C91"/>
    <w:rsid w:val="00527DF1"/>
    <w:rsid w:val="005309A7"/>
    <w:rsid w:val="00531752"/>
    <w:rsid w:val="00531DBC"/>
    <w:rsid w:val="005376B8"/>
    <w:rsid w:val="005609C4"/>
    <w:rsid w:val="00562E8A"/>
    <w:rsid w:val="0057441D"/>
    <w:rsid w:val="00586A45"/>
    <w:rsid w:val="00592C63"/>
    <w:rsid w:val="0059487C"/>
    <w:rsid w:val="005B188E"/>
    <w:rsid w:val="005B2BAA"/>
    <w:rsid w:val="005B3AEA"/>
    <w:rsid w:val="005B77CF"/>
    <w:rsid w:val="005B7C07"/>
    <w:rsid w:val="005C0A79"/>
    <w:rsid w:val="005C0C1E"/>
    <w:rsid w:val="005C5469"/>
    <w:rsid w:val="005D5E57"/>
    <w:rsid w:val="005D5EEA"/>
    <w:rsid w:val="005E0EE5"/>
    <w:rsid w:val="005E2D88"/>
    <w:rsid w:val="005E389B"/>
    <w:rsid w:val="005E6177"/>
    <w:rsid w:val="005F0807"/>
    <w:rsid w:val="005F19B9"/>
    <w:rsid w:val="005F4BDC"/>
    <w:rsid w:val="005F779F"/>
    <w:rsid w:val="005F7AC7"/>
    <w:rsid w:val="006012C1"/>
    <w:rsid w:val="00606180"/>
    <w:rsid w:val="00612A1F"/>
    <w:rsid w:val="00613019"/>
    <w:rsid w:val="00627249"/>
    <w:rsid w:val="00641218"/>
    <w:rsid w:val="00642819"/>
    <w:rsid w:val="0064771A"/>
    <w:rsid w:val="00647F2D"/>
    <w:rsid w:val="00655A8D"/>
    <w:rsid w:val="0065768B"/>
    <w:rsid w:val="0066089C"/>
    <w:rsid w:val="00662F16"/>
    <w:rsid w:val="00667392"/>
    <w:rsid w:val="00671C55"/>
    <w:rsid w:val="00677D59"/>
    <w:rsid w:val="00682C30"/>
    <w:rsid w:val="0069137B"/>
    <w:rsid w:val="006913C3"/>
    <w:rsid w:val="0069265E"/>
    <w:rsid w:val="006A0786"/>
    <w:rsid w:val="006A37EE"/>
    <w:rsid w:val="006A7F8C"/>
    <w:rsid w:val="006B09F5"/>
    <w:rsid w:val="006C5B0E"/>
    <w:rsid w:val="006C6276"/>
    <w:rsid w:val="006C7E17"/>
    <w:rsid w:val="006D5CA6"/>
    <w:rsid w:val="006E3717"/>
    <w:rsid w:val="006E6FC4"/>
    <w:rsid w:val="006E7D9B"/>
    <w:rsid w:val="006F7284"/>
    <w:rsid w:val="0070025C"/>
    <w:rsid w:val="007074F3"/>
    <w:rsid w:val="007108AE"/>
    <w:rsid w:val="007128AA"/>
    <w:rsid w:val="007200C5"/>
    <w:rsid w:val="00724743"/>
    <w:rsid w:val="00726D42"/>
    <w:rsid w:val="007277F9"/>
    <w:rsid w:val="00730653"/>
    <w:rsid w:val="007425B2"/>
    <w:rsid w:val="00743E5F"/>
    <w:rsid w:val="00762904"/>
    <w:rsid w:val="00762CC7"/>
    <w:rsid w:val="00763F1F"/>
    <w:rsid w:val="00776CB7"/>
    <w:rsid w:val="007810AF"/>
    <w:rsid w:val="00792C3E"/>
    <w:rsid w:val="007A605F"/>
    <w:rsid w:val="007B0A6A"/>
    <w:rsid w:val="007B422E"/>
    <w:rsid w:val="007B7D4E"/>
    <w:rsid w:val="007C48BF"/>
    <w:rsid w:val="007D1612"/>
    <w:rsid w:val="007D1638"/>
    <w:rsid w:val="007D4752"/>
    <w:rsid w:val="007D5E7F"/>
    <w:rsid w:val="007D6842"/>
    <w:rsid w:val="007D72F3"/>
    <w:rsid w:val="007D7E29"/>
    <w:rsid w:val="007E0E30"/>
    <w:rsid w:val="007E2B29"/>
    <w:rsid w:val="007F08EF"/>
    <w:rsid w:val="007F21E9"/>
    <w:rsid w:val="007F6764"/>
    <w:rsid w:val="007F6C45"/>
    <w:rsid w:val="00802760"/>
    <w:rsid w:val="008051F0"/>
    <w:rsid w:val="00815677"/>
    <w:rsid w:val="00816A1C"/>
    <w:rsid w:val="00820415"/>
    <w:rsid w:val="00833FC6"/>
    <w:rsid w:val="00835A42"/>
    <w:rsid w:val="00846041"/>
    <w:rsid w:val="00851B0B"/>
    <w:rsid w:val="008551B7"/>
    <w:rsid w:val="0085744F"/>
    <w:rsid w:val="008619D8"/>
    <w:rsid w:val="0086242B"/>
    <w:rsid w:val="008662B1"/>
    <w:rsid w:val="008718BB"/>
    <w:rsid w:val="00875CF1"/>
    <w:rsid w:val="00876DDB"/>
    <w:rsid w:val="00880826"/>
    <w:rsid w:val="0088434F"/>
    <w:rsid w:val="00884A74"/>
    <w:rsid w:val="00887AD2"/>
    <w:rsid w:val="00892C37"/>
    <w:rsid w:val="008932E5"/>
    <w:rsid w:val="00894E24"/>
    <w:rsid w:val="008953AB"/>
    <w:rsid w:val="008B7055"/>
    <w:rsid w:val="008C0D3B"/>
    <w:rsid w:val="008C1E3C"/>
    <w:rsid w:val="008C4AF3"/>
    <w:rsid w:val="008C56B6"/>
    <w:rsid w:val="008D6474"/>
    <w:rsid w:val="008E7F54"/>
    <w:rsid w:val="008F027F"/>
    <w:rsid w:val="008F19F0"/>
    <w:rsid w:val="008F5E8B"/>
    <w:rsid w:val="0090650A"/>
    <w:rsid w:val="009069DE"/>
    <w:rsid w:val="0091356A"/>
    <w:rsid w:val="00913DE2"/>
    <w:rsid w:val="00915A2D"/>
    <w:rsid w:val="00916467"/>
    <w:rsid w:val="0092019D"/>
    <w:rsid w:val="00925793"/>
    <w:rsid w:val="00932539"/>
    <w:rsid w:val="0093438E"/>
    <w:rsid w:val="0093767C"/>
    <w:rsid w:val="009377A5"/>
    <w:rsid w:val="00940A34"/>
    <w:rsid w:val="00944A72"/>
    <w:rsid w:val="0096077B"/>
    <w:rsid w:val="00965A1F"/>
    <w:rsid w:val="00966EF1"/>
    <w:rsid w:val="0097277C"/>
    <w:rsid w:val="00973E1D"/>
    <w:rsid w:val="009831D6"/>
    <w:rsid w:val="0098455E"/>
    <w:rsid w:val="0099051E"/>
    <w:rsid w:val="009B2E83"/>
    <w:rsid w:val="009B3BFC"/>
    <w:rsid w:val="009B3D07"/>
    <w:rsid w:val="009C6B45"/>
    <w:rsid w:val="009C7D14"/>
    <w:rsid w:val="009D24CD"/>
    <w:rsid w:val="009D3C66"/>
    <w:rsid w:val="00A008AB"/>
    <w:rsid w:val="00A10B11"/>
    <w:rsid w:val="00A115B9"/>
    <w:rsid w:val="00A2212A"/>
    <w:rsid w:val="00A24554"/>
    <w:rsid w:val="00A24562"/>
    <w:rsid w:val="00A30683"/>
    <w:rsid w:val="00A3380C"/>
    <w:rsid w:val="00A35100"/>
    <w:rsid w:val="00A35E6F"/>
    <w:rsid w:val="00A37FA8"/>
    <w:rsid w:val="00A45817"/>
    <w:rsid w:val="00A50648"/>
    <w:rsid w:val="00A51156"/>
    <w:rsid w:val="00A54B78"/>
    <w:rsid w:val="00A61C1C"/>
    <w:rsid w:val="00A67005"/>
    <w:rsid w:val="00A67108"/>
    <w:rsid w:val="00A71BD6"/>
    <w:rsid w:val="00A763FF"/>
    <w:rsid w:val="00A77E91"/>
    <w:rsid w:val="00A861E5"/>
    <w:rsid w:val="00A94762"/>
    <w:rsid w:val="00A978F8"/>
    <w:rsid w:val="00AA0C27"/>
    <w:rsid w:val="00AA11C7"/>
    <w:rsid w:val="00AA36EA"/>
    <w:rsid w:val="00AA4330"/>
    <w:rsid w:val="00AA5D68"/>
    <w:rsid w:val="00AA73E7"/>
    <w:rsid w:val="00AB0558"/>
    <w:rsid w:val="00AB3BD2"/>
    <w:rsid w:val="00AC2E4B"/>
    <w:rsid w:val="00AC3771"/>
    <w:rsid w:val="00AC43BF"/>
    <w:rsid w:val="00AD38A6"/>
    <w:rsid w:val="00AD39C7"/>
    <w:rsid w:val="00AD6D33"/>
    <w:rsid w:val="00AE2784"/>
    <w:rsid w:val="00AE54FD"/>
    <w:rsid w:val="00AE5ABB"/>
    <w:rsid w:val="00AE6050"/>
    <w:rsid w:val="00AE6150"/>
    <w:rsid w:val="00AE6B4F"/>
    <w:rsid w:val="00AF0AE5"/>
    <w:rsid w:val="00B018C7"/>
    <w:rsid w:val="00B01E07"/>
    <w:rsid w:val="00B07DC5"/>
    <w:rsid w:val="00B23863"/>
    <w:rsid w:val="00B23B62"/>
    <w:rsid w:val="00B2481B"/>
    <w:rsid w:val="00B24CA1"/>
    <w:rsid w:val="00B31F23"/>
    <w:rsid w:val="00B337FB"/>
    <w:rsid w:val="00B33FC0"/>
    <w:rsid w:val="00B34BBF"/>
    <w:rsid w:val="00B35CD1"/>
    <w:rsid w:val="00B376EB"/>
    <w:rsid w:val="00B3775F"/>
    <w:rsid w:val="00B44F50"/>
    <w:rsid w:val="00B556B9"/>
    <w:rsid w:val="00B776CC"/>
    <w:rsid w:val="00B7783B"/>
    <w:rsid w:val="00B80E15"/>
    <w:rsid w:val="00B81965"/>
    <w:rsid w:val="00B8652B"/>
    <w:rsid w:val="00B909FA"/>
    <w:rsid w:val="00B95029"/>
    <w:rsid w:val="00BA2169"/>
    <w:rsid w:val="00BA6CE3"/>
    <w:rsid w:val="00BB0967"/>
    <w:rsid w:val="00BB24E4"/>
    <w:rsid w:val="00BB47E6"/>
    <w:rsid w:val="00BB7182"/>
    <w:rsid w:val="00BC0C52"/>
    <w:rsid w:val="00BC206A"/>
    <w:rsid w:val="00BC29CA"/>
    <w:rsid w:val="00BC7B71"/>
    <w:rsid w:val="00BD1868"/>
    <w:rsid w:val="00BD2515"/>
    <w:rsid w:val="00BD3E46"/>
    <w:rsid w:val="00BD54FD"/>
    <w:rsid w:val="00BE1E5C"/>
    <w:rsid w:val="00BE60B5"/>
    <w:rsid w:val="00BE7FC3"/>
    <w:rsid w:val="00BF1D87"/>
    <w:rsid w:val="00BF74C3"/>
    <w:rsid w:val="00BF7CD1"/>
    <w:rsid w:val="00C01B95"/>
    <w:rsid w:val="00C040C2"/>
    <w:rsid w:val="00C04551"/>
    <w:rsid w:val="00C1159A"/>
    <w:rsid w:val="00C17476"/>
    <w:rsid w:val="00C17F5C"/>
    <w:rsid w:val="00C247A4"/>
    <w:rsid w:val="00C36D89"/>
    <w:rsid w:val="00C37E9C"/>
    <w:rsid w:val="00C43A92"/>
    <w:rsid w:val="00C43AFE"/>
    <w:rsid w:val="00C46262"/>
    <w:rsid w:val="00C473F0"/>
    <w:rsid w:val="00C55868"/>
    <w:rsid w:val="00C56A9B"/>
    <w:rsid w:val="00C57819"/>
    <w:rsid w:val="00C62750"/>
    <w:rsid w:val="00C64EBB"/>
    <w:rsid w:val="00C66DBD"/>
    <w:rsid w:val="00C71D93"/>
    <w:rsid w:val="00C77749"/>
    <w:rsid w:val="00C824B8"/>
    <w:rsid w:val="00C84007"/>
    <w:rsid w:val="00C86D9B"/>
    <w:rsid w:val="00C9192C"/>
    <w:rsid w:val="00CA244C"/>
    <w:rsid w:val="00CB0BAC"/>
    <w:rsid w:val="00CB2E9E"/>
    <w:rsid w:val="00CC6955"/>
    <w:rsid w:val="00CC774F"/>
    <w:rsid w:val="00CD049C"/>
    <w:rsid w:val="00CD18B4"/>
    <w:rsid w:val="00CD336B"/>
    <w:rsid w:val="00CE3BB5"/>
    <w:rsid w:val="00CE4E69"/>
    <w:rsid w:val="00CE5526"/>
    <w:rsid w:val="00CE5986"/>
    <w:rsid w:val="00CE6F77"/>
    <w:rsid w:val="00CF23AD"/>
    <w:rsid w:val="00CF3916"/>
    <w:rsid w:val="00D01A05"/>
    <w:rsid w:val="00D07470"/>
    <w:rsid w:val="00D21162"/>
    <w:rsid w:val="00D3213D"/>
    <w:rsid w:val="00D34374"/>
    <w:rsid w:val="00D354E3"/>
    <w:rsid w:val="00D43689"/>
    <w:rsid w:val="00D51425"/>
    <w:rsid w:val="00D52222"/>
    <w:rsid w:val="00D5486D"/>
    <w:rsid w:val="00D55D7D"/>
    <w:rsid w:val="00D64669"/>
    <w:rsid w:val="00D74984"/>
    <w:rsid w:val="00D84B1C"/>
    <w:rsid w:val="00D8691D"/>
    <w:rsid w:val="00D90DD0"/>
    <w:rsid w:val="00D923C5"/>
    <w:rsid w:val="00D923DD"/>
    <w:rsid w:val="00D92E74"/>
    <w:rsid w:val="00D9490E"/>
    <w:rsid w:val="00DA52BF"/>
    <w:rsid w:val="00DB1A07"/>
    <w:rsid w:val="00DB7EC8"/>
    <w:rsid w:val="00DC3F62"/>
    <w:rsid w:val="00DC47D0"/>
    <w:rsid w:val="00DC5886"/>
    <w:rsid w:val="00DC59DA"/>
    <w:rsid w:val="00DC7D03"/>
    <w:rsid w:val="00DD5DEC"/>
    <w:rsid w:val="00DD62FE"/>
    <w:rsid w:val="00DD727C"/>
    <w:rsid w:val="00DE2923"/>
    <w:rsid w:val="00DE36A6"/>
    <w:rsid w:val="00DE5C63"/>
    <w:rsid w:val="00DE793C"/>
    <w:rsid w:val="00DE7CE5"/>
    <w:rsid w:val="00DF13AD"/>
    <w:rsid w:val="00DF6DC9"/>
    <w:rsid w:val="00DF77B7"/>
    <w:rsid w:val="00E01D4F"/>
    <w:rsid w:val="00E04B60"/>
    <w:rsid w:val="00E05120"/>
    <w:rsid w:val="00E22130"/>
    <w:rsid w:val="00E24B09"/>
    <w:rsid w:val="00E33DB6"/>
    <w:rsid w:val="00E341E2"/>
    <w:rsid w:val="00E342FB"/>
    <w:rsid w:val="00E40725"/>
    <w:rsid w:val="00E422AF"/>
    <w:rsid w:val="00E43C47"/>
    <w:rsid w:val="00E453ED"/>
    <w:rsid w:val="00E4575F"/>
    <w:rsid w:val="00E46C29"/>
    <w:rsid w:val="00E639EF"/>
    <w:rsid w:val="00E7151F"/>
    <w:rsid w:val="00E74F03"/>
    <w:rsid w:val="00E8055E"/>
    <w:rsid w:val="00E80FA3"/>
    <w:rsid w:val="00E8427C"/>
    <w:rsid w:val="00E91E15"/>
    <w:rsid w:val="00E96127"/>
    <w:rsid w:val="00E965AB"/>
    <w:rsid w:val="00E97C54"/>
    <w:rsid w:val="00EA39C4"/>
    <w:rsid w:val="00EA7545"/>
    <w:rsid w:val="00EB07CD"/>
    <w:rsid w:val="00EB1EAC"/>
    <w:rsid w:val="00EB2F09"/>
    <w:rsid w:val="00EC39AA"/>
    <w:rsid w:val="00EC6C0E"/>
    <w:rsid w:val="00ED4697"/>
    <w:rsid w:val="00EE057D"/>
    <w:rsid w:val="00EE3A61"/>
    <w:rsid w:val="00EE69F9"/>
    <w:rsid w:val="00EE7507"/>
    <w:rsid w:val="00EF059B"/>
    <w:rsid w:val="00EF0FDC"/>
    <w:rsid w:val="00EF16EA"/>
    <w:rsid w:val="00EF34A1"/>
    <w:rsid w:val="00EF62D5"/>
    <w:rsid w:val="00EF7913"/>
    <w:rsid w:val="00F10A80"/>
    <w:rsid w:val="00F124FE"/>
    <w:rsid w:val="00F15B19"/>
    <w:rsid w:val="00F16276"/>
    <w:rsid w:val="00F203E7"/>
    <w:rsid w:val="00F204FD"/>
    <w:rsid w:val="00F22D80"/>
    <w:rsid w:val="00F260F4"/>
    <w:rsid w:val="00F26A59"/>
    <w:rsid w:val="00F26DF0"/>
    <w:rsid w:val="00F27671"/>
    <w:rsid w:val="00F339AC"/>
    <w:rsid w:val="00F40EFD"/>
    <w:rsid w:val="00F67140"/>
    <w:rsid w:val="00F71474"/>
    <w:rsid w:val="00F7150E"/>
    <w:rsid w:val="00F73BF1"/>
    <w:rsid w:val="00F758EA"/>
    <w:rsid w:val="00F77D19"/>
    <w:rsid w:val="00F8339A"/>
    <w:rsid w:val="00F92BA0"/>
    <w:rsid w:val="00F9390C"/>
    <w:rsid w:val="00FA2607"/>
    <w:rsid w:val="00FA4B31"/>
    <w:rsid w:val="00FA5F90"/>
    <w:rsid w:val="00FA73A5"/>
    <w:rsid w:val="00FB21F7"/>
    <w:rsid w:val="00FB3087"/>
    <w:rsid w:val="00FC1B92"/>
    <w:rsid w:val="00FC788D"/>
    <w:rsid w:val="00FC7D95"/>
    <w:rsid w:val="00FD495D"/>
    <w:rsid w:val="00FE3E30"/>
    <w:rsid w:val="00FE57FE"/>
    <w:rsid w:val="00FE685E"/>
    <w:rsid w:val="00FF4625"/>
    <w:rsid w:val="00FF4804"/>
    <w:rsid w:val="1638FE8D"/>
    <w:rsid w:val="4578D0E9"/>
    <w:rsid w:val="4B9081B6"/>
    <w:rsid w:val="4C21B583"/>
    <w:rsid w:val="74D16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22F6"/>
  <w15:docId w15:val="{4370F9E9-86D0-4D60-8A5F-36B7B1F6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qFormat/>
    <w:pPr>
      <w:spacing w:before="5"/>
      <w:ind w:left="120"/>
      <w:outlineLvl w:val="0"/>
    </w:pPr>
    <w:rPr>
      <w:b/>
      <w:bCs/>
      <w:sz w:val="44"/>
      <w:szCs w:val="44"/>
    </w:rPr>
  </w:style>
  <w:style w:type="paragraph" w:styleId="Heading2">
    <w:name w:val="heading 2"/>
    <w:basedOn w:val="Normal"/>
    <w:uiPriority w:val="9"/>
    <w:unhideWhenUsed/>
    <w:qFormat/>
    <w:pPr>
      <w:spacing w:before="117"/>
      <w:ind w:left="120"/>
      <w:outlineLvl w:val="1"/>
    </w:pPr>
    <w:rPr>
      <w:b/>
      <w:bCs/>
      <w:sz w:val="24"/>
      <w:szCs w:val="24"/>
    </w:rPr>
  </w:style>
  <w:style w:type="paragraph" w:styleId="Heading3">
    <w:name w:val="heading 3"/>
    <w:basedOn w:val="Normal"/>
    <w:uiPriority w:val="9"/>
    <w:unhideWhenUsed/>
    <w:qFormat/>
    <w:pPr>
      <w:spacing w:before="117"/>
      <w:ind w:left="119"/>
      <w:outlineLvl w:val="2"/>
    </w:pPr>
    <w:rPr>
      <w:b/>
      <w:bCs/>
      <w:i/>
      <w:u w:val="single" w:color="000000"/>
    </w:rPr>
  </w:style>
  <w:style w:type="paragraph" w:styleId="Heading4">
    <w:name w:val="heading 4"/>
    <w:basedOn w:val="Normal"/>
    <w:next w:val="Normal"/>
    <w:link w:val="Heading4Char"/>
    <w:uiPriority w:val="9"/>
    <w:unhideWhenUsed/>
    <w:qFormat/>
    <w:rsid w:val="00AD6D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79"/>
    </w:pPr>
    <w:rPr>
      <w:sz w:val="20"/>
      <w:szCs w:val="20"/>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pPr>
      <w:spacing w:before="120"/>
      <w:ind w:left="479"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B337FB"/>
    <w:pPr>
      <w:tabs>
        <w:tab w:val="center" w:pos="4513"/>
        <w:tab w:val="right" w:pos="9026"/>
      </w:tabs>
    </w:pPr>
  </w:style>
  <w:style w:type="character" w:customStyle="1" w:styleId="HeaderChar">
    <w:name w:val="Header Char"/>
    <w:basedOn w:val="DefaultParagraphFont"/>
    <w:link w:val="Header"/>
    <w:rsid w:val="00B337FB"/>
    <w:rPr>
      <w:rFonts w:ascii="Calibri" w:eastAsia="Calibri" w:hAnsi="Calibri" w:cs="Calibri"/>
    </w:rPr>
  </w:style>
  <w:style w:type="paragraph" w:styleId="Footer">
    <w:name w:val="footer"/>
    <w:basedOn w:val="Normal"/>
    <w:link w:val="FooterChar"/>
    <w:uiPriority w:val="99"/>
    <w:unhideWhenUsed/>
    <w:rsid w:val="00B337FB"/>
    <w:pPr>
      <w:tabs>
        <w:tab w:val="center" w:pos="4513"/>
        <w:tab w:val="right" w:pos="9026"/>
      </w:tabs>
    </w:pPr>
  </w:style>
  <w:style w:type="character" w:customStyle="1" w:styleId="FooterChar">
    <w:name w:val="Footer Char"/>
    <w:basedOn w:val="DefaultParagraphFont"/>
    <w:link w:val="Footer"/>
    <w:uiPriority w:val="99"/>
    <w:rsid w:val="00B337FB"/>
    <w:rPr>
      <w:rFonts w:ascii="Calibri" w:eastAsia="Calibri" w:hAnsi="Calibri" w:cs="Calibri"/>
    </w:rPr>
  </w:style>
  <w:style w:type="character" w:styleId="CommentReference">
    <w:name w:val="annotation reference"/>
    <w:basedOn w:val="DefaultParagraphFont"/>
    <w:uiPriority w:val="99"/>
    <w:unhideWhenUsed/>
    <w:rsid w:val="00A71BD6"/>
    <w:rPr>
      <w:sz w:val="16"/>
      <w:szCs w:val="16"/>
    </w:rPr>
  </w:style>
  <w:style w:type="paragraph" w:styleId="CommentText">
    <w:name w:val="annotation text"/>
    <w:basedOn w:val="Normal"/>
    <w:link w:val="CommentTextChar"/>
    <w:uiPriority w:val="99"/>
    <w:unhideWhenUsed/>
    <w:rsid w:val="00A71BD6"/>
    <w:rPr>
      <w:sz w:val="20"/>
      <w:szCs w:val="20"/>
    </w:rPr>
  </w:style>
  <w:style w:type="character" w:customStyle="1" w:styleId="CommentTextChar">
    <w:name w:val="Comment Text Char"/>
    <w:basedOn w:val="DefaultParagraphFont"/>
    <w:link w:val="CommentText"/>
    <w:uiPriority w:val="99"/>
    <w:rsid w:val="00A71B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1BD6"/>
    <w:rPr>
      <w:b/>
      <w:bCs/>
    </w:rPr>
  </w:style>
  <w:style w:type="character" w:customStyle="1" w:styleId="CommentSubjectChar">
    <w:name w:val="Comment Subject Char"/>
    <w:basedOn w:val="CommentTextChar"/>
    <w:link w:val="CommentSubject"/>
    <w:uiPriority w:val="99"/>
    <w:semiHidden/>
    <w:rsid w:val="00A71BD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71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BD6"/>
    <w:rPr>
      <w:rFonts w:ascii="Segoe UI" w:eastAsia="Calibri" w:hAnsi="Segoe UI" w:cs="Segoe UI"/>
      <w:sz w:val="18"/>
      <w:szCs w:val="18"/>
    </w:rPr>
  </w:style>
  <w:style w:type="paragraph" w:styleId="Revision">
    <w:name w:val="Revision"/>
    <w:hidden/>
    <w:uiPriority w:val="99"/>
    <w:semiHidden/>
    <w:rsid w:val="00916467"/>
    <w:pPr>
      <w:widowControl/>
      <w:autoSpaceDE/>
      <w:autoSpaceDN/>
    </w:pPr>
    <w:rPr>
      <w:rFonts w:ascii="Calibri" w:eastAsia="Calibri" w:hAnsi="Calibri" w:cs="Calibri"/>
    </w:rPr>
  </w:style>
  <w:style w:type="paragraph" w:styleId="FootnoteText">
    <w:name w:val="footnote text"/>
    <w:basedOn w:val="Normal"/>
    <w:link w:val="FootnoteTextChar"/>
    <w:unhideWhenUsed/>
    <w:rsid w:val="000D3BA2"/>
    <w:rPr>
      <w:sz w:val="20"/>
      <w:szCs w:val="20"/>
    </w:rPr>
  </w:style>
  <w:style w:type="character" w:customStyle="1" w:styleId="FootnoteTextChar">
    <w:name w:val="Footnote Text Char"/>
    <w:basedOn w:val="DefaultParagraphFont"/>
    <w:link w:val="FootnoteText"/>
    <w:rsid w:val="000D3BA2"/>
    <w:rPr>
      <w:rFonts w:ascii="Calibri" w:eastAsia="Calibri" w:hAnsi="Calibri" w:cs="Calibri"/>
      <w:sz w:val="20"/>
      <w:szCs w:val="20"/>
    </w:rPr>
  </w:style>
  <w:style w:type="character" w:styleId="FootnoteReference">
    <w:name w:val="footnote reference"/>
    <w:basedOn w:val="DefaultParagraphFont"/>
    <w:unhideWhenUsed/>
    <w:rsid w:val="000D3BA2"/>
    <w:rPr>
      <w:vertAlign w:val="superscript"/>
    </w:rPr>
  </w:style>
  <w:style w:type="character" w:styleId="Hyperlink">
    <w:name w:val="Hyperlink"/>
    <w:basedOn w:val="DefaultParagraphFont"/>
    <w:uiPriority w:val="99"/>
    <w:unhideWhenUsed/>
    <w:rsid w:val="0086242B"/>
    <w:rPr>
      <w:color w:val="0000FF" w:themeColor="hyperlink"/>
      <w:u w:val="single"/>
    </w:rPr>
  </w:style>
  <w:style w:type="character" w:customStyle="1" w:styleId="UnresolvedMention1">
    <w:name w:val="Unresolved Mention1"/>
    <w:basedOn w:val="DefaultParagraphFont"/>
    <w:uiPriority w:val="99"/>
    <w:semiHidden/>
    <w:unhideWhenUsed/>
    <w:rsid w:val="0086242B"/>
    <w:rPr>
      <w:color w:val="605E5C"/>
      <w:shd w:val="clear" w:color="auto" w:fill="E1DFDD"/>
    </w:rPr>
  </w:style>
  <w:style w:type="character" w:styleId="FollowedHyperlink">
    <w:name w:val="FollowedHyperlink"/>
    <w:basedOn w:val="DefaultParagraphFont"/>
    <w:uiPriority w:val="99"/>
    <w:semiHidden/>
    <w:unhideWhenUsed/>
    <w:rsid w:val="0086242B"/>
    <w:rPr>
      <w:color w:val="800080" w:themeColor="followedHyperlink"/>
      <w:u w:val="single"/>
    </w:rPr>
  </w:style>
  <w:style w:type="paragraph" w:customStyle="1" w:styleId="Heading21">
    <w:name w:val="Heading 21"/>
    <w:basedOn w:val="Normal"/>
    <w:next w:val="Normal"/>
    <w:unhideWhenUsed/>
    <w:qFormat/>
    <w:rsid w:val="00C37E9C"/>
    <w:pPr>
      <w:keepNext/>
      <w:keepLines/>
      <w:widowControl/>
      <w:autoSpaceDE/>
      <w:autoSpaceDN/>
      <w:spacing w:before="120" w:after="120"/>
      <w:outlineLvl w:val="1"/>
    </w:pPr>
    <w:rPr>
      <w:rFonts w:ascii="Arial" w:eastAsia="Times New Roman" w:hAnsi="Arial" w:cs="Times New Roman"/>
      <w:b/>
      <w:bCs/>
      <w:szCs w:val="26"/>
      <w:u w:val="single"/>
      <w:lang w:val="en-AU" w:eastAsia="en-AU"/>
    </w:rPr>
  </w:style>
  <w:style w:type="paragraph" w:styleId="ListBullet3">
    <w:name w:val="List Bullet 3"/>
    <w:basedOn w:val="Normal"/>
    <w:uiPriority w:val="99"/>
    <w:semiHidden/>
    <w:unhideWhenUsed/>
    <w:rsid w:val="00C37E9C"/>
    <w:pPr>
      <w:widowControl/>
      <w:numPr>
        <w:numId w:val="9"/>
      </w:numPr>
      <w:autoSpaceDE/>
      <w:autoSpaceDN/>
      <w:spacing w:after="160" w:line="259" w:lineRule="auto"/>
      <w:contextualSpacing/>
    </w:pPr>
    <w:rPr>
      <w:rFonts w:asciiTheme="minorHAnsi" w:eastAsiaTheme="minorHAnsi" w:hAnsiTheme="minorHAnsi" w:cstheme="minorBidi"/>
      <w:lang w:val="en-AU"/>
    </w:rPr>
  </w:style>
  <w:style w:type="paragraph" w:customStyle="1" w:styleId="Default">
    <w:name w:val="Default"/>
    <w:uiPriority w:val="99"/>
    <w:rsid w:val="002C1CFF"/>
    <w:pPr>
      <w:widowControl/>
      <w:adjustRightInd w:val="0"/>
    </w:pPr>
    <w:rPr>
      <w:rFonts w:ascii="Arial" w:hAnsi="Arial" w:cs="Arial"/>
      <w:color w:val="000000"/>
      <w:sz w:val="24"/>
      <w:szCs w:val="24"/>
      <w:lang w:val="en-AU"/>
    </w:rPr>
  </w:style>
  <w:style w:type="table" w:customStyle="1" w:styleId="GridTable1Light11">
    <w:name w:val="Grid Table 1 Light11"/>
    <w:basedOn w:val="TableNormal"/>
    <w:next w:val="GridTable1Light"/>
    <w:uiPriority w:val="46"/>
    <w:rsid w:val="00266F07"/>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266F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2">
    <w:name w:val="List 2"/>
    <w:basedOn w:val="Normal"/>
    <w:uiPriority w:val="99"/>
    <w:semiHidden/>
    <w:unhideWhenUsed/>
    <w:rsid w:val="00046AF0"/>
    <w:pPr>
      <w:widowControl/>
      <w:autoSpaceDE/>
      <w:autoSpaceDN/>
      <w:spacing w:after="160" w:line="259" w:lineRule="auto"/>
      <w:ind w:left="566" w:hanging="283"/>
      <w:contextualSpacing/>
    </w:pPr>
    <w:rPr>
      <w:rFonts w:ascii="Times New Roman" w:eastAsiaTheme="minorHAnsi" w:hAnsi="Times New Roman" w:cs="Times New Roman"/>
      <w:sz w:val="24"/>
      <w:szCs w:val="24"/>
      <w:lang w:val="en-AU"/>
    </w:rPr>
  </w:style>
  <w:style w:type="table" w:styleId="TableGrid">
    <w:name w:val="Table Grid"/>
    <w:basedOn w:val="TableNormal"/>
    <w:uiPriority w:val="39"/>
    <w:rsid w:val="00046AF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6AF0"/>
    <w:rPr>
      <w:color w:val="808080"/>
    </w:rPr>
  </w:style>
  <w:style w:type="paragraph" w:styleId="EndnoteText">
    <w:name w:val="endnote text"/>
    <w:basedOn w:val="Normal"/>
    <w:link w:val="EndnoteTextChar"/>
    <w:uiPriority w:val="99"/>
    <w:semiHidden/>
    <w:unhideWhenUsed/>
    <w:rsid w:val="00046AF0"/>
    <w:pPr>
      <w:widowControl/>
      <w:autoSpaceDE/>
      <w:autoSpaceDN/>
    </w:pPr>
    <w:rPr>
      <w:rFonts w:ascii="Times New Roman" w:eastAsiaTheme="minorHAnsi" w:hAnsi="Times New Roman" w:cs="Times New Roman"/>
      <w:sz w:val="20"/>
      <w:szCs w:val="20"/>
      <w:lang w:val="en-AU"/>
    </w:rPr>
  </w:style>
  <w:style w:type="character" w:customStyle="1" w:styleId="EndnoteTextChar">
    <w:name w:val="Endnote Text Char"/>
    <w:basedOn w:val="DefaultParagraphFont"/>
    <w:link w:val="EndnoteText"/>
    <w:uiPriority w:val="99"/>
    <w:semiHidden/>
    <w:rsid w:val="00046AF0"/>
    <w:rPr>
      <w:rFonts w:ascii="Times New Roman" w:hAnsi="Times New Roman" w:cs="Times New Roman"/>
      <w:sz w:val="20"/>
      <w:szCs w:val="20"/>
      <w:lang w:val="en-AU"/>
    </w:rPr>
  </w:style>
  <w:style w:type="character" w:styleId="EndnoteReference">
    <w:name w:val="endnote reference"/>
    <w:basedOn w:val="DefaultParagraphFont"/>
    <w:uiPriority w:val="99"/>
    <w:semiHidden/>
    <w:unhideWhenUsed/>
    <w:rsid w:val="00046AF0"/>
    <w:rPr>
      <w:vertAlign w:val="superscript"/>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521C91"/>
    <w:rPr>
      <w:rFonts w:ascii="Calibri" w:eastAsia="Calibri" w:hAnsi="Calibri" w:cs="Calibri"/>
    </w:rPr>
  </w:style>
  <w:style w:type="paragraph" w:customStyle="1" w:styleId="paragraphsub">
    <w:name w:val="paragraph(sub)"/>
    <w:aliases w:val="aa"/>
    <w:basedOn w:val="Normal"/>
    <w:rsid w:val="008C56B6"/>
    <w:pPr>
      <w:widowControl/>
      <w:tabs>
        <w:tab w:val="right" w:pos="1985"/>
      </w:tabs>
      <w:autoSpaceDE/>
      <w:autoSpaceDN/>
      <w:spacing w:before="40"/>
      <w:ind w:left="2098" w:hanging="2098"/>
    </w:pPr>
    <w:rPr>
      <w:rFonts w:ascii="Times New Roman" w:eastAsia="Times New Roman" w:hAnsi="Times New Roman" w:cs="Times New Roman"/>
      <w:szCs w:val="20"/>
      <w:lang w:val="en-AU" w:eastAsia="en-AU"/>
    </w:rPr>
  </w:style>
  <w:style w:type="paragraph" w:customStyle="1" w:styleId="paragraph">
    <w:name w:val="paragraph"/>
    <w:aliases w:val="a"/>
    <w:basedOn w:val="Normal"/>
    <w:link w:val="paragraphChar"/>
    <w:rsid w:val="008C56B6"/>
    <w:pPr>
      <w:widowControl/>
      <w:tabs>
        <w:tab w:val="right" w:pos="1531"/>
      </w:tabs>
      <w:autoSpaceDE/>
      <w:autoSpaceDN/>
      <w:spacing w:before="40"/>
      <w:ind w:left="1644" w:hanging="1644"/>
    </w:pPr>
    <w:rPr>
      <w:rFonts w:ascii="Times New Roman" w:eastAsia="Times New Roman" w:hAnsi="Times New Roman" w:cs="Times New Roman"/>
      <w:szCs w:val="20"/>
      <w:lang w:val="en-AU" w:eastAsia="en-AU"/>
    </w:rPr>
  </w:style>
  <w:style w:type="character" w:customStyle="1" w:styleId="paragraphChar">
    <w:name w:val="paragraph Char"/>
    <w:aliases w:val="a Char"/>
    <w:link w:val="paragraph"/>
    <w:rsid w:val="008C56B6"/>
    <w:rPr>
      <w:rFonts w:ascii="Times New Roman" w:eastAsia="Times New Roman" w:hAnsi="Times New Roman" w:cs="Times New Roman"/>
      <w:szCs w:val="20"/>
      <w:lang w:val="en-AU" w:eastAsia="en-AU"/>
    </w:rPr>
  </w:style>
  <w:style w:type="paragraph" w:customStyle="1" w:styleId="subsection">
    <w:name w:val="subsection"/>
    <w:aliases w:val="ss"/>
    <w:basedOn w:val="Normal"/>
    <w:link w:val="subsectionChar"/>
    <w:rsid w:val="008C56B6"/>
    <w:pPr>
      <w:widowControl/>
      <w:tabs>
        <w:tab w:val="right" w:pos="1021"/>
      </w:tabs>
      <w:autoSpaceDE/>
      <w:autoSpaceDN/>
      <w:spacing w:before="180"/>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link w:val="subsection"/>
    <w:rsid w:val="008C56B6"/>
    <w:rPr>
      <w:rFonts w:ascii="Times New Roman" w:eastAsia="Times New Roman" w:hAnsi="Times New Roman" w:cs="Times New Roman"/>
      <w:szCs w:val="20"/>
      <w:lang w:val="en-AU" w:eastAsia="en-AU"/>
    </w:rPr>
  </w:style>
  <w:style w:type="character" w:customStyle="1" w:styleId="Heading1Char">
    <w:name w:val="Heading 1 Char"/>
    <w:basedOn w:val="DefaultParagraphFont"/>
    <w:link w:val="Heading1"/>
    <w:rsid w:val="00DA52BF"/>
    <w:rPr>
      <w:rFonts w:ascii="Calibri" w:eastAsia="Calibri" w:hAnsi="Calibri" w:cs="Calibri"/>
      <w:b/>
      <w:bCs/>
      <w:sz w:val="44"/>
      <w:szCs w:val="44"/>
    </w:rPr>
  </w:style>
  <w:style w:type="table" w:customStyle="1" w:styleId="GridTable1Light1">
    <w:name w:val="Grid Table 1 Light1"/>
    <w:basedOn w:val="TableNormal"/>
    <w:next w:val="GridTable1Light"/>
    <w:uiPriority w:val="46"/>
    <w:rsid w:val="00E965AB"/>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1">
    <w:name w:val="Table Grid21"/>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A978F8"/>
    <w:pPr>
      <w:widowControl/>
      <w:autoSpaceDE/>
      <w:autoSpaceDN/>
      <w:spacing w:before="100" w:beforeAutospacing="1" w:after="100" w:afterAutospacing="1"/>
    </w:pPr>
    <w:rPr>
      <w:rFonts w:eastAsiaTheme="minorHAnsi"/>
      <w:lang w:val="en-AU" w:eastAsia="en-AU"/>
    </w:rPr>
  </w:style>
  <w:style w:type="paragraph" w:customStyle="1" w:styleId="paragraphsub0">
    <w:name w:val="paragraphsub"/>
    <w:basedOn w:val="Normal"/>
    <w:rsid w:val="00A978F8"/>
    <w:pPr>
      <w:widowControl/>
      <w:autoSpaceDE/>
      <w:autoSpaceDN/>
      <w:spacing w:before="100" w:beforeAutospacing="1" w:after="100" w:afterAutospacing="1"/>
    </w:pPr>
    <w:rPr>
      <w:rFonts w:eastAsiaTheme="minorHAnsi"/>
      <w:lang w:val="en-AU" w:eastAsia="en-AU"/>
    </w:rPr>
  </w:style>
  <w:style w:type="character" w:customStyle="1" w:styleId="UnresolvedMention10">
    <w:name w:val="Unresolved Mention1"/>
    <w:basedOn w:val="DefaultParagraphFont"/>
    <w:uiPriority w:val="99"/>
    <w:semiHidden/>
    <w:unhideWhenUsed/>
    <w:rsid w:val="008D6474"/>
    <w:rPr>
      <w:color w:val="605E5C"/>
      <w:shd w:val="clear" w:color="auto" w:fill="E1DFDD"/>
    </w:rPr>
  </w:style>
  <w:style w:type="character" w:customStyle="1" w:styleId="Heading4Char">
    <w:name w:val="Heading 4 Char"/>
    <w:basedOn w:val="DefaultParagraphFont"/>
    <w:link w:val="Heading4"/>
    <w:uiPriority w:val="9"/>
    <w:rsid w:val="00AD6D33"/>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531DBC"/>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A1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12801">
      <w:bodyDiv w:val="1"/>
      <w:marLeft w:val="0"/>
      <w:marRight w:val="0"/>
      <w:marTop w:val="0"/>
      <w:marBottom w:val="0"/>
      <w:divBdr>
        <w:top w:val="none" w:sz="0" w:space="0" w:color="auto"/>
        <w:left w:val="none" w:sz="0" w:space="0" w:color="auto"/>
        <w:bottom w:val="none" w:sz="0" w:space="0" w:color="auto"/>
        <w:right w:val="none" w:sz="0" w:space="0" w:color="auto"/>
      </w:divBdr>
    </w:div>
    <w:div w:id="837578980">
      <w:bodyDiv w:val="1"/>
      <w:marLeft w:val="0"/>
      <w:marRight w:val="0"/>
      <w:marTop w:val="0"/>
      <w:marBottom w:val="0"/>
      <w:divBdr>
        <w:top w:val="none" w:sz="0" w:space="0" w:color="auto"/>
        <w:left w:val="none" w:sz="0" w:space="0" w:color="auto"/>
        <w:bottom w:val="none" w:sz="0" w:space="0" w:color="auto"/>
        <w:right w:val="none" w:sz="0" w:space="0" w:color="auto"/>
      </w:divBdr>
    </w:div>
    <w:div w:id="877817093">
      <w:bodyDiv w:val="1"/>
      <w:marLeft w:val="0"/>
      <w:marRight w:val="0"/>
      <w:marTop w:val="0"/>
      <w:marBottom w:val="0"/>
      <w:divBdr>
        <w:top w:val="none" w:sz="0" w:space="0" w:color="auto"/>
        <w:left w:val="none" w:sz="0" w:space="0" w:color="auto"/>
        <w:bottom w:val="none" w:sz="0" w:space="0" w:color="auto"/>
        <w:right w:val="none" w:sz="0" w:space="0" w:color="auto"/>
      </w:divBdr>
    </w:div>
    <w:div w:id="1196431917">
      <w:bodyDiv w:val="1"/>
      <w:marLeft w:val="0"/>
      <w:marRight w:val="0"/>
      <w:marTop w:val="0"/>
      <w:marBottom w:val="0"/>
      <w:divBdr>
        <w:top w:val="none" w:sz="0" w:space="0" w:color="auto"/>
        <w:left w:val="none" w:sz="0" w:space="0" w:color="auto"/>
        <w:bottom w:val="none" w:sz="0" w:space="0" w:color="auto"/>
        <w:right w:val="none" w:sz="0" w:space="0" w:color="auto"/>
      </w:divBdr>
      <w:divsChild>
        <w:div w:id="1102726377">
          <w:marLeft w:val="0"/>
          <w:marRight w:val="0"/>
          <w:marTop w:val="0"/>
          <w:marBottom w:val="0"/>
          <w:divBdr>
            <w:top w:val="none" w:sz="0" w:space="0" w:color="auto"/>
            <w:left w:val="none" w:sz="0" w:space="0" w:color="auto"/>
            <w:bottom w:val="none" w:sz="0" w:space="0" w:color="auto"/>
            <w:right w:val="none" w:sz="0" w:space="0" w:color="auto"/>
          </w:divBdr>
        </w:div>
      </w:divsChild>
    </w:div>
    <w:div w:id="1212696445">
      <w:bodyDiv w:val="1"/>
      <w:marLeft w:val="0"/>
      <w:marRight w:val="0"/>
      <w:marTop w:val="0"/>
      <w:marBottom w:val="0"/>
      <w:divBdr>
        <w:top w:val="none" w:sz="0" w:space="0" w:color="auto"/>
        <w:left w:val="none" w:sz="0" w:space="0" w:color="auto"/>
        <w:bottom w:val="none" w:sz="0" w:space="0" w:color="auto"/>
        <w:right w:val="none" w:sz="0" w:space="0" w:color="auto"/>
      </w:divBdr>
    </w:div>
    <w:div w:id="1359771309">
      <w:bodyDiv w:val="1"/>
      <w:marLeft w:val="0"/>
      <w:marRight w:val="0"/>
      <w:marTop w:val="0"/>
      <w:marBottom w:val="0"/>
      <w:divBdr>
        <w:top w:val="none" w:sz="0" w:space="0" w:color="auto"/>
        <w:left w:val="none" w:sz="0" w:space="0" w:color="auto"/>
        <w:bottom w:val="none" w:sz="0" w:space="0" w:color="auto"/>
        <w:right w:val="none" w:sz="0" w:space="0" w:color="auto"/>
      </w:divBdr>
    </w:div>
    <w:div w:id="1581670672">
      <w:bodyDiv w:val="1"/>
      <w:marLeft w:val="0"/>
      <w:marRight w:val="0"/>
      <w:marTop w:val="0"/>
      <w:marBottom w:val="0"/>
      <w:divBdr>
        <w:top w:val="none" w:sz="0" w:space="0" w:color="auto"/>
        <w:left w:val="none" w:sz="0" w:space="0" w:color="auto"/>
        <w:bottom w:val="none" w:sz="0" w:space="0" w:color="auto"/>
        <w:right w:val="none" w:sz="0" w:space="0" w:color="auto"/>
      </w:divBdr>
    </w:div>
    <w:div w:id="1687756859">
      <w:bodyDiv w:val="1"/>
      <w:marLeft w:val="0"/>
      <w:marRight w:val="0"/>
      <w:marTop w:val="0"/>
      <w:marBottom w:val="0"/>
      <w:divBdr>
        <w:top w:val="none" w:sz="0" w:space="0" w:color="auto"/>
        <w:left w:val="none" w:sz="0" w:space="0" w:color="auto"/>
        <w:bottom w:val="none" w:sz="0" w:space="0" w:color="auto"/>
        <w:right w:val="none" w:sz="0" w:space="0" w:color="auto"/>
      </w:divBdr>
    </w:div>
    <w:div w:id="1811896730">
      <w:bodyDiv w:val="1"/>
      <w:marLeft w:val="0"/>
      <w:marRight w:val="0"/>
      <w:marTop w:val="0"/>
      <w:marBottom w:val="0"/>
      <w:divBdr>
        <w:top w:val="none" w:sz="0" w:space="0" w:color="auto"/>
        <w:left w:val="none" w:sz="0" w:space="0" w:color="auto"/>
        <w:bottom w:val="none" w:sz="0" w:space="0" w:color="auto"/>
        <w:right w:val="none" w:sz="0" w:space="0" w:color="auto"/>
      </w:divBdr>
    </w:div>
    <w:div w:id="1837761425">
      <w:bodyDiv w:val="1"/>
      <w:marLeft w:val="0"/>
      <w:marRight w:val="0"/>
      <w:marTop w:val="0"/>
      <w:marBottom w:val="0"/>
      <w:divBdr>
        <w:top w:val="none" w:sz="0" w:space="0" w:color="auto"/>
        <w:left w:val="none" w:sz="0" w:space="0" w:color="auto"/>
        <w:bottom w:val="none" w:sz="0" w:space="0" w:color="auto"/>
        <w:right w:val="none" w:sz="0" w:space="0" w:color="auto"/>
      </w:divBdr>
    </w:div>
    <w:div w:id="1970821574">
      <w:bodyDiv w:val="1"/>
      <w:marLeft w:val="0"/>
      <w:marRight w:val="0"/>
      <w:marTop w:val="0"/>
      <w:marBottom w:val="0"/>
      <w:divBdr>
        <w:top w:val="none" w:sz="0" w:space="0" w:color="auto"/>
        <w:left w:val="none" w:sz="0" w:space="0" w:color="auto"/>
        <w:bottom w:val="none" w:sz="0" w:space="0" w:color="auto"/>
        <w:right w:val="none" w:sz="0" w:space="0" w:color="auto"/>
      </w:divBdr>
    </w:div>
    <w:div w:id="2100520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pta.gov.a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www.comlaw.gov.au/Series/C2006A00014"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titles@nopt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nopta.gov.au/_documents/guidelines/Transfers-Dealings-Change-in-Control-and-Other-Titleholder-Transactio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7012054d-3a07-4b40-940b-a148fc76e5c4" xsi:nil="true"/>
    <TaxCatchAll xmlns="7012054d-3a07-4b40-940b-a148fc76e5c4">
      <Value>424</Value>
      <Value>600</Value>
      <Value>125</Value>
      <Value>13466</Value>
      <Value>4575</Value>
      <Value>4743</Value>
    </TaxCatchAll>
    <_dlc_DocId xmlns="7012054d-3a07-4b40-940b-a148fc76e5c4">NOPTANET-1686289485-923</_dlc_DocId>
    <_dlc_DocIdUrl xmlns="7012054d-3a07-4b40-940b-a148fc76e5c4">
      <Url>https://nopta.sharepoint.com/team/LCT/_layouts/15/DocIdRedir.aspx?ID=NOPTANET-1686289485-923</Url>
      <Description>NOPTANET-1686289485-923</Description>
    </_dlc_DocIdUrl>
    <BusinessFunction_Note xmlns="7012054d-3a07-4b40-940b-a148fc76e5c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0aba567e-029a-4f4e-8490-2b79d5a5a825</TermId>
        </TermInfo>
      </Terms>
    </BusinessFunction_Note>
    <CaveatCategory xmlns="7012054d-3a07-4b40-940b-a148fc76e5c4">DLM: For Official Use Only</CaveatCategory>
    <FormatVersion xmlns="7012054d-3a07-4b40-940b-a148fc76e5c4">2013</FormatVersion>
    <RecordKeywords xmlns="7012054d-3a07-4b40-940b-a148fc76e5c4" xsi:nil="true"/>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AGRkMSDescription xmlns="7012054d-3a07-4b40-940b-a148fc76e5c4" xsi:nil="true"/>
    <Team_Note xmlns="7012054d-3a07-4b40-940b-a148fc76e5c4">
      <Terms xmlns="http://schemas.microsoft.com/office/infopath/2007/PartnerControls">
        <TermInfo xmlns="http://schemas.microsoft.com/office/infopath/2007/PartnerControls">
          <TermName xmlns="http://schemas.microsoft.com/office/infopath/2007/PartnerControls">Legislative Compliance</TermName>
          <TermId xmlns="http://schemas.microsoft.com/office/infopath/2007/PartnerControls">cb4b5b1d-0a66-42b0-ad54-d9e1e7b82ef0</TermId>
        </TermInfo>
      </Terms>
    </Team_Note>
    <CaveatText xmlns="7012054d-3a07-4b40-940b-a148fc76e5c4">PSPF</CaveatText>
    <SpatialCoverage xmlns="7012054d-3a07-4b40-940b-a148fc76e5c4">Commonwealth of Australia</SpatialCoverage>
    <NameScheme xmlns="7012054d-3a07-4b40-940b-a148fc76e5c4" xsi:nil="true"/>
    <m3f2ca6b2c9a4802967adedbb4af06ae xmlns="7012054d-3a07-4b40-940b-a148fc76e5c4">
      <Terms xmlns="http://schemas.microsoft.com/office/infopath/2007/PartnerControls"/>
    </m3f2ca6b2c9a4802967adedbb4af06ae>
    <RightsStatus xmlns="7012054d-3a07-4b40-940b-a148fc76e5c4">Open</RightsStatus>
    <AssignedTo xmlns="http://schemas.microsoft.com/sharepoint/v3">
      <UserInfo>
        <DisplayName/>
        <AccountId xsi:nil="true"/>
        <AccountType/>
      </UserInfo>
    </AssignedTo>
    <KeywordScheme xmlns="7012054d-3a07-4b40-940b-a148fc76e5c4" xsi:nil="true"/>
    <FormatName xmlns="7012054d-3a07-4b40-940b-a148fc76e5c4">Word</FormatName>
    <RecordContactDetails xmlns="7012054d-3a07-4b40-940b-a148fc76e5c4" xsi:nil="true"/>
    <_Status xmlns="http://schemas.microsoft.com/sharepoint/v3/fields">Not Started</_Status>
    <Quantity xmlns="7012054d-3a07-4b40-940b-a148fc76e5c4" xsi:nil="true"/>
    <Medium xmlns="7012054d-3a07-4b40-940b-a148fc76e5c4">Digital File</Medium>
    <DocumentForm xmlns="7012054d-3a07-4b40-940b-a148fc76e5c4" xsi:nil="true"/>
    <OfNationalSignificance xmlns="7012054d-3a07-4b40-940b-a148fc76e5c4">No</OfNationalSignificance>
    <DocumentSetDescription xmlns="http://schemas.microsoft.com/sharepoint/v3">Change in Control factsheet</DocumentSetDescription>
    <KeywordID xmlns="7012054d-3a07-4b40-940b-a148fc76e5c4" xsi:nil="true"/>
    <FormatRegistry xmlns="7012054d-3a07-4b40-940b-a148fc76e5c4">System generated</FormatRegistry>
    <Entity xmlns="7012054d-3a07-4b40-940b-a148fc76e5c4" xsi:nil="true"/>
    <Precedence xmlns="7012054d-3a07-4b40-940b-a148fc76e5c4" xsi:nil="true"/>
    <Identifier xmlns="7012054d-3a07-4b40-940b-a148fc76e5c4">0</Identifier>
    <RecordContact xmlns="7012054d-3a07-4b40-940b-a148fc76e5c4">
      <UserInfo>
        <DisplayName/>
        <AccountId xsi:nil="true"/>
        <AccountType/>
      </UserInfo>
    </RecordContact>
    <RecordExtentUnits xmlns="7012054d-3a07-4b40-940b-a148fc76e5c4" xsi:nil="true"/>
    <RecordExtent xmlns="7012054d-3a07-4b40-940b-a148fc76e5c4" xsi:nil="true"/>
    <DocumentType_Note xmlns="7012054d-3a07-4b40-940b-a148fc76e5c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d3f18156-6d06-4b36-b33d-bc546f991cd2</TermId>
        </TermInfo>
      </Terms>
    </DocumentType_Note>
    <pfcb0be319e247388db2251ff9d23f72 xmlns="7012054d-3a07-4b40-940b-a148fc76e5c4">
      <Terms xmlns="http://schemas.microsoft.com/office/infopath/2007/PartnerControls"/>
    </pfcb0be319e247388db2251ff9d23f72>
    <AGRkMSLanguage xmlns="7012054d-3a07-4b40-940b-a148fc76e5c4">en-au</AGRkMSLanguage>
    <MessageDigest xmlns="7012054d-3a07-4b40-940b-a148fc76e5c4" xsi:nil="true"/>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15b9859c-96bf-4788-bd3e-5289ca0376d3</TermId>
        </TermInfo>
        <TermInfo xmlns="http://schemas.microsoft.com/office/infopath/2007/PartnerControls">
          <TermName xmlns="http://schemas.microsoft.com/office/infopath/2007/PartnerControls">change in control</TermName>
          <TermId xmlns="http://schemas.microsoft.com/office/infopath/2007/PartnerControls">19073827-40b5-4c20-bcf1-7c0234099093</TermId>
        </TermInfo>
        <TermInfo xmlns="http://schemas.microsoft.com/office/infopath/2007/PartnerControls">
          <TermName xmlns="http://schemas.microsoft.com/office/infopath/2007/PartnerControls">Fact Sheet</TermName>
          <TermId xmlns="http://schemas.microsoft.com/office/infopath/2007/PartnerControls">c8106091-7e43-4935-8b69-58d4615415a2</TermId>
        </TermInfo>
      </Terms>
    </TaxKeywordTaxHTField>
    <g91dc4f691a04421b1edf463601fabf6 xmlns="7012054d-3a07-4b40-940b-a148fc76e5c4">
      <Terms xmlns="http://schemas.microsoft.com/office/infopath/2007/PartnerControls"/>
    </g91dc4f691a04421b1edf463601fabf6>
    <KeywordSchemeType xmlns="7012054d-3a07-4b40-940b-a148fc76e5c4" xsi:nil="true"/>
    <CreatingApplicationName xmlns="7012054d-3a07-4b40-940b-a148fc76e5c4">Microsoft Word</CreatingApplicationName>
    <Units xmlns="7012054d-3a07-4b40-940b-a148fc76e5c4">KB</Units>
    <Titles_Note xmlns="7012054d-3a07-4b40-940b-a148fc76e5c4">
      <Terms xmlns="http://schemas.microsoft.com/office/infopath/2007/PartnerControls"/>
    </Titles_Note>
    <SecurityClassification xmlns="7012054d-3a07-4b40-940b-a148fc76e5c4">OFFICIAL</SecurityClassification>
    <Jurisdiction xmlns="7012054d-3a07-4b40-940b-a148fc76e5c4">
      <Value>AU</Value>
    </Jurisdiction>
    <IdentifierScheme xmlns="7012054d-3a07-4b40-940b-a148fc76e5c4">RecordPoint</IdentifierSchem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4EBC41CBB87686458B4EADC66475DA23" ma:contentTypeVersion="2624" ma:contentTypeDescription="Create a new document." ma:contentTypeScope="" ma:versionID="5aec22723ef92be49f75011597dc21db">
  <xsd:schema xmlns:xsd="http://www.w3.org/2001/XMLSchema" xmlns:xs="http://www.w3.org/2001/XMLSchema" xmlns:p="http://schemas.microsoft.com/office/2006/metadata/properties" xmlns:ns1="http://schemas.microsoft.com/sharepoint/v3" xmlns:ns2="7012054d-3a07-4b40-940b-a148fc76e5c4" xmlns:ns3="http://schemas.microsoft.com/sharepoint/v3/fields" xmlns:ns4="e1c7fc68-f963-4fbf-ab17-100a6bd4a79c" xmlns:ns5="a8fdb9f5-4e6c-4c4a-a24d-2c5439f6d702" xmlns:ns6="http://schemas.microsoft.com/sharepoint/v4" targetNamespace="http://schemas.microsoft.com/office/2006/metadata/properties" ma:root="true" ma:fieldsID="6d1970a631b6ec9264d65a4013c63a96" ns1:_="" ns2:_="" ns3:_="" ns4:_="" ns5:_="" ns6:_="">
    <xsd:import namespace="http://schemas.microsoft.com/sharepoint/v3"/>
    <xsd:import namespace="7012054d-3a07-4b40-940b-a148fc76e5c4"/>
    <xsd:import namespace="http://schemas.microsoft.com/sharepoint/v3/fields"/>
    <xsd:import namespace="e1c7fc68-f963-4fbf-ab17-100a6bd4a79c"/>
    <xsd:import namespace="a8fdb9f5-4e6c-4c4a-a24d-2c5439f6d702"/>
    <xsd:import namespace="http://schemas.microsoft.com/sharepoint/v4"/>
    <xsd:element name="properties">
      <xsd:complexType>
        <xsd:sequence>
          <xsd:element name="documentManagement">
            <xsd:complexType>
              <xsd:all>
                <xsd:element ref="ns2:AGRkMSDescription" minOccurs="0"/>
                <xsd:element ref="ns2:SecurityClassification"/>
                <xsd:element ref="ns2:RightsType"/>
                <xsd:element ref="ns2:RightsStatus"/>
                <xsd:element ref="ns2:OfNationalSignificance"/>
                <xsd:element ref="ns1:AssignedTo" minOccurs="0"/>
                <xsd:element ref="ns3:_Status" minOccurs="0"/>
                <xsd:element ref="ns1:DocumentSetDescription"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TaxCatchAllLabel" minOccurs="0"/>
                <xsd:element ref="ns2:TaxKeywordTaxHTField" minOccurs="0"/>
                <xsd:element ref="ns3:_DCDateCreated"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5" nillable="true" ma:displayName="Assigned To" ma:list="UserInfo" ma:SearchPeopleOnly="false" ma:SharePointGroup="0" ma:internalName="Assigned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17"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hidden="true" ma:internalName="AGRkMSDescription" ma:readOnly="false">
      <xsd:simpleType>
        <xsd:restriction base="dms:Note"/>
      </xsd:simpleType>
    </xsd:element>
    <xsd:element name="SecurityClassification" ma:index="9"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11" ma:displayName="Rights Status" ma:default="Open" ma:format="Dropdown"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OfNationalSignificance" ma:index="13" ma:displayName="Of National Significance" ma:format="Dropdown" ma:internalName="OfNationalSignificance" ma:readOnly="false">
      <xsd:simpleType>
        <xsd:restriction base="dms:Choice">
          <xsd:enumeration value="Yes"/>
          <xsd:enumeration value="No"/>
        </xsd:restriction>
      </xsd:simpleType>
    </xsd:element>
    <xsd:element name="Team_Note" ma:index="18" nillable="true" ma:taxonomy="true" ma:internalName="Team_Note" ma:taxonomyFieldName="Team" ma:displayName="Team" ma:readOnly="false"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nillable="true"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TaxCatchAllLabel" ma:index="69"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KeywordTaxHTField" ma:index="70"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nillable="true" ma:displayName="Status" ma:default="Not Started" ma:format="Dropdown"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DCDateCreated" ma:index="71"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c7fc68-f963-4fbf-ab17-100a6bd4a79c"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db9f5-4e6c-4c4a-a24d-2c5439f6d702" elementFormDefault="qualified">
    <xsd:import namespace="http://schemas.microsoft.com/office/2006/documentManagement/types"/>
    <xsd:import namespace="http://schemas.microsoft.com/office/infopath/2007/PartnerControls"/>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2"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1C6C-2664-4E8D-8BBA-D2B3B4F80AE9}">
  <ds:schemaRefs>
    <ds:schemaRef ds:uri="http://schemas.microsoft.com/sharepoint/events"/>
  </ds:schemaRefs>
</ds:datastoreItem>
</file>

<file path=customXml/itemProps2.xml><?xml version="1.0" encoding="utf-8"?>
<ds:datastoreItem xmlns:ds="http://schemas.openxmlformats.org/officeDocument/2006/customXml" ds:itemID="{8CB567CE-5995-4093-BE2F-65458A93CBA6}">
  <ds:schemaRefs>
    <ds:schemaRef ds:uri="http://schemas.microsoft.com/office/2006/metadata/properties"/>
    <ds:schemaRef ds:uri="http://schemas.microsoft.com/office/infopath/2007/PartnerControls"/>
    <ds:schemaRef ds:uri="http://schemas.microsoft.com/sharepoint/v4"/>
    <ds:schemaRef ds:uri="7012054d-3a07-4b40-940b-a148fc76e5c4"/>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5C848218-D506-4999-855C-3B0EFFF34BCB}">
  <ds:schemaRefs>
    <ds:schemaRef ds:uri="http://schemas.microsoft.com/sharepoint/v3/contenttype/forms"/>
  </ds:schemaRefs>
</ds:datastoreItem>
</file>

<file path=customXml/itemProps4.xml><?xml version="1.0" encoding="utf-8"?>
<ds:datastoreItem xmlns:ds="http://schemas.openxmlformats.org/officeDocument/2006/customXml" ds:itemID="{59938BB1-5065-47E9-90A5-7E1AFB6C1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http://schemas.microsoft.com/sharepoint/v3/fields"/>
    <ds:schemaRef ds:uri="e1c7fc68-f963-4fbf-ab17-100a6bd4a79c"/>
    <ds:schemaRef ds:uri="a8fdb9f5-4e6c-4c4a-a24d-2c5439f6d7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B11E80-5EC4-474B-8C99-A6E4D2DC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Shepherdson</dc:creator>
  <cp:keywords>change in control; Fact Sheet; guidance</cp:keywords>
  <cp:lastModifiedBy>Mark Price</cp:lastModifiedBy>
  <cp:revision>26</cp:revision>
  <cp:lastPrinted>2021-03-11T06:08:00Z</cp:lastPrinted>
  <dcterms:created xsi:type="dcterms:W3CDTF">2021-10-22T04:52:00Z</dcterms:created>
  <dcterms:modified xsi:type="dcterms:W3CDTF">2022-03-17T06:19:00Z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PDFium</vt:lpwstr>
  </property>
  <property fmtid="{D5CDD505-2E9C-101B-9397-08002B2CF9AE}" pid="4" name="LastSaved">
    <vt:filetime>2020-04-17T00:00:00Z</vt:filetime>
  </property>
  <property fmtid="{D5CDD505-2E9C-101B-9397-08002B2CF9AE}" pid="5" name="ContentTypeId">
    <vt:lpwstr>0x01010063547D135F865547B104B3688A6EB0DB004EBC41CBB87686458B4EADC66475DA23</vt:lpwstr>
  </property>
  <property fmtid="{D5CDD505-2E9C-101B-9397-08002B2CF9AE}" pid="6" name="BusinessFunction">
    <vt:lpwstr>4575</vt:lpwstr>
  </property>
  <property fmtid="{D5CDD505-2E9C-101B-9397-08002B2CF9AE}" pid="7" name="_dlc_DocIdItemGuid">
    <vt:lpwstr>ba35782b-3773-452e-9ff3-99521f3844ea</vt:lpwstr>
  </property>
  <property fmtid="{D5CDD505-2E9C-101B-9397-08002B2CF9AE}" pid="8" name="TaxKeyword">
    <vt:lpwstr>600;#guidance|15b9859c-96bf-4788-bd3e-5289ca0376d3;#13466;#change in control|19073827-40b5-4c20-bcf1-7c0234099093;#4743;#Fact Sheet|c8106091-7e43-4935-8b69-58d4615415a2</vt:lpwstr>
  </property>
  <property fmtid="{D5CDD505-2E9C-101B-9397-08002B2CF9AE}" pid="9" name="Titles">
    <vt:lpwstr/>
  </property>
  <property fmtid="{D5CDD505-2E9C-101B-9397-08002B2CF9AE}" pid="10" name="Title Type">
    <vt:lpwstr/>
  </property>
  <property fmtid="{D5CDD505-2E9C-101B-9397-08002B2CF9AE}" pid="11" name="DocumentType">
    <vt:lpwstr>125;#Fact Sheet|d3f18156-6d06-4b36-b33d-bc546f991cd2</vt:lpwstr>
  </property>
  <property fmtid="{D5CDD505-2E9C-101B-9397-08002B2CF9AE}" pid="12" name="Offshore Region">
    <vt:lpwstr/>
  </property>
  <property fmtid="{D5CDD505-2E9C-101B-9397-08002B2CF9AE}" pid="13" name="Application Library">
    <vt:lpwstr/>
  </property>
  <property fmtid="{D5CDD505-2E9C-101B-9397-08002B2CF9AE}" pid="14" name="Team">
    <vt:lpwstr>424;#Legislative Compliance|cb4b5b1d-0a66-42b0-ad54-d9e1e7b82ef0</vt:lpwstr>
  </property>
  <property fmtid="{D5CDD505-2E9C-101B-9397-08002B2CF9AE}" pid="15" name="DocHub_RegionCountry">
    <vt:lpwstr/>
  </property>
  <property fmtid="{D5CDD505-2E9C-101B-9397-08002B2CF9AE}" pid="16" name="DocHub_DocumentType">
    <vt:lpwstr>81;#Guideline|1cb7cffe-f5b4-42ac-8a71-3f61d9d0fa0a</vt:lpwstr>
  </property>
  <property fmtid="{D5CDD505-2E9C-101B-9397-08002B2CF9AE}" pid="17" name="DocHub_GroupsOtherEntities">
    <vt:lpwstr/>
  </property>
  <property fmtid="{D5CDD505-2E9C-101B-9397-08002B2CF9AE}" pid="18" name="DocHub_SecurityClassification">
    <vt:lpwstr>1;#OFFICIAL|6106d03b-a1a0-4e30-9d91-d5e9fb4314f9</vt:lpwstr>
  </property>
  <property fmtid="{D5CDD505-2E9C-101B-9397-08002B2CF9AE}" pid="19" name="DocHub_GovernmentEntities">
    <vt:lpwstr/>
  </property>
  <property fmtid="{D5CDD505-2E9C-101B-9397-08002B2CF9AE}" pid="20" name="DocHub_OrganisationEntities">
    <vt:lpwstr/>
  </property>
  <property fmtid="{D5CDD505-2E9C-101B-9397-08002B2CF9AE}" pid="21" name="DocHub_WorkActivity">
    <vt:lpwstr>295;#Policy Implementation|76a12992-328c-489f-9a4f-d0b6b90382c5</vt:lpwstr>
  </property>
  <property fmtid="{D5CDD505-2E9C-101B-9397-08002B2CF9AE}" pid="22" name="DocHub_WorkTopic">
    <vt:lpwstr>909;#Administrative Guidelines|f07964ad-13ca-4d49-8baf-8456f5b7da2d</vt:lpwstr>
  </property>
  <property fmtid="{D5CDD505-2E9C-101B-9397-08002B2CF9AE}" pid="23" name="DocHub_EnergyMineralResources">
    <vt:lpwstr/>
  </property>
  <property fmtid="{D5CDD505-2E9C-101B-9397-08002B2CF9AE}" pid="24" name="DocHub_Keywords">
    <vt:lpwstr>4370;#Guidelines|a1720634-6d02-4f32-b65e-c77019388e52</vt:lpwstr>
  </property>
  <property fmtid="{D5CDD505-2E9C-101B-9397-08002B2CF9AE}" pid="25" name="DocHub_State">
    <vt:lpwstr/>
  </property>
  <property fmtid="{D5CDD505-2E9C-101B-9397-08002B2CF9AE}" pid="26" name="DocHub_Year">
    <vt:lpwstr>4052;#2021|712d5b50-1b62-44de-9d3e-74234783b265</vt:lpwstr>
  </property>
  <property fmtid="{D5CDD505-2E9C-101B-9397-08002B2CF9AE}" pid="27" name="_CopySource">
    <vt:lpwstr>Declaration - Experience and disclosures V1.1.docx</vt:lpwstr>
  </property>
  <property fmtid="{D5CDD505-2E9C-101B-9397-08002B2CF9AE}" pid="28" name="TriggerFlowInfo">
    <vt:lpwstr/>
  </property>
  <property fmtid="{D5CDD505-2E9C-101B-9397-08002B2CF9AE}" pid="29" name="_docset_NoMedatataSyncRequired">
    <vt:lpwstr>False</vt:lpwstr>
  </property>
</Properties>
</file>