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8446" w14:textId="77777777" w:rsidR="00717680" w:rsidRDefault="00717680" w:rsidP="00B3773D">
      <w:pPr>
        <w:pStyle w:val="Heading1"/>
        <w:spacing w:before="0" w:after="120"/>
      </w:pPr>
      <w:r w:rsidRPr="00717680">
        <w:t xml:space="preserve">Pipeline licences </w:t>
      </w:r>
    </w:p>
    <w:p w14:paraId="5145AA12" w14:textId="0D71658D" w:rsidR="00363B0D" w:rsidRDefault="00363B0D" w:rsidP="002F7749">
      <w:pPr>
        <w:pBdr>
          <w:bottom w:val="single" w:sz="4" w:space="6" w:color="565751"/>
        </w:pBdr>
        <w:spacing w:after="120"/>
        <w:rPr>
          <w:szCs w:val="20"/>
        </w:rPr>
      </w:pPr>
      <w:r w:rsidRPr="00D74E55">
        <w:rPr>
          <w:szCs w:val="20"/>
          <w:lang w:val="en-US" w:eastAsia="en-AU"/>
        </w:rPr>
        <w:t xml:space="preserve">All fact sheets </w:t>
      </w:r>
      <w:r w:rsidRPr="00D74E55">
        <w:rPr>
          <w:szCs w:val="20"/>
        </w:rPr>
        <w:t xml:space="preserve">should be read in conjunction with the </w:t>
      </w:r>
      <w:hyperlink r:id="rId11">
        <w:r w:rsidRPr="0F01EE56">
          <w:rPr>
            <w:rStyle w:val="Hyperlink"/>
            <w:i/>
            <w:iCs/>
            <w:szCs w:val="20"/>
          </w:rPr>
          <w:t>Offshore Petroleum and Greenhouse Gas Storage Act 2006</w:t>
        </w:r>
      </w:hyperlink>
      <w:r w:rsidRPr="0F01EE56">
        <w:rPr>
          <w:i/>
          <w:iCs/>
          <w:szCs w:val="20"/>
        </w:rPr>
        <w:t xml:space="preserve"> </w:t>
      </w:r>
      <w:r w:rsidRPr="004D06B7">
        <w:t>(</w:t>
      </w:r>
      <w:r w:rsidRPr="002F7749">
        <w:rPr>
          <w:rStyle w:val="Strong"/>
        </w:rPr>
        <w:t>the OPGGS Act</w:t>
      </w:r>
      <w:r w:rsidRPr="004D06B7">
        <w:t>), associated regulations, relevant guidelines and policies (available on</w:t>
      </w:r>
      <w:r w:rsidRPr="00D74E55">
        <w:rPr>
          <w:szCs w:val="20"/>
        </w:rPr>
        <w:t xml:space="preserve"> </w:t>
      </w:r>
      <w:hyperlink r:id="rId12">
        <w:r w:rsidRPr="0F01EE56">
          <w:rPr>
            <w:rStyle w:val="Hyperlink"/>
            <w:szCs w:val="20"/>
          </w:rPr>
          <w:t>NOPTA’s website</w:t>
        </w:r>
      </w:hyperlink>
      <w:r w:rsidRPr="00D74E55">
        <w:rPr>
          <w:szCs w:val="20"/>
        </w:rPr>
        <w:t>).</w:t>
      </w:r>
    </w:p>
    <w:p w14:paraId="2BE5BA62" w14:textId="77777777" w:rsidR="00D93C15" w:rsidRDefault="00D93C15" w:rsidP="00D93C15">
      <w:pPr>
        <w:sectPr w:rsidR="00D93C15" w:rsidSect="005D16BE">
          <w:headerReference w:type="even" r:id="rId13"/>
          <w:headerReference w:type="default" r:id="rId14"/>
          <w:footerReference w:type="even" r:id="rId15"/>
          <w:footerReference w:type="default" r:id="rId16"/>
          <w:headerReference w:type="first" r:id="rId17"/>
          <w:footerReference w:type="first" r:id="rId18"/>
          <w:pgSz w:w="11906" w:h="16838"/>
          <w:pgMar w:top="2410" w:right="851" w:bottom="851" w:left="851" w:header="709" w:footer="454" w:gutter="0"/>
          <w:cols w:space="708"/>
          <w:docGrid w:linePitch="360"/>
        </w:sectPr>
      </w:pPr>
    </w:p>
    <w:p w14:paraId="5F599536" w14:textId="77777777" w:rsidR="00717680" w:rsidRPr="00826831" w:rsidRDefault="00717680" w:rsidP="00717680">
      <w:pPr>
        <w:rPr>
          <w:color w:val="595959" w:themeColor="text1" w:themeTint="A6"/>
          <w:szCs w:val="20"/>
        </w:rPr>
      </w:pPr>
      <w:r w:rsidRPr="00826831">
        <w:rPr>
          <w:color w:val="595959" w:themeColor="text1" w:themeTint="A6"/>
          <w:szCs w:val="20"/>
        </w:rPr>
        <w:t xml:space="preserve">Part 2.6 of the </w:t>
      </w:r>
      <w:r>
        <w:rPr>
          <w:color w:val="595959" w:themeColor="text1" w:themeTint="A6"/>
          <w:szCs w:val="20"/>
        </w:rPr>
        <w:t xml:space="preserve">OPGGS </w:t>
      </w:r>
      <w:r w:rsidRPr="00826831">
        <w:rPr>
          <w:color w:val="595959" w:themeColor="text1" w:themeTint="A6"/>
          <w:szCs w:val="20"/>
        </w:rPr>
        <w:t xml:space="preserve">Act allows a person to apply for a pipeline licence. </w:t>
      </w:r>
    </w:p>
    <w:p w14:paraId="0ABE1A1A" w14:textId="2DE8F12D" w:rsidR="00717680" w:rsidRPr="00826831" w:rsidRDefault="00717680" w:rsidP="00717680">
      <w:pPr>
        <w:rPr>
          <w:color w:val="595959" w:themeColor="text1" w:themeTint="A6"/>
          <w:szCs w:val="20"/>
        </w:rPr>
      </w:pPr>
      <w:r w:rsidRPr="00826831">
        <w:rPr>
          <w:color w:val="595959" w:themeColor="text1" w:themeTint="A6"/>
          <w:szCs w:val="20"/>
        </w:rPr>
        <w:t>This fact sheet provides detailed information of the requirements and processes involved in obtaining a pipeline licence</w:t>
      </w:r>
      <w:r>
        <w:rPr>
          <w:color w:val="595959" w:themeColor="text1" w:themeTint="A6"/>
          <w:szCs w:val="20"/>
        </w:rPr>
        <w:t>. It</w:t>
      </w:r>
      <w:r w:rsidRPr="00826831">
        <w:rPr>
          <w:color w:val="595959" w:themeColor="text1" w:themeTint="A6"/>
          <w:szCs w:val="20"/>
        </w:rPr>
        <w:t xml:space="preserve"> should be read in conjunction with the above legislation</w:t>
      </w:r>
      <w:r>
        <w:rPr>
          <w:color w:val="595959" w:themeColor="text1" w:themeTint="A6"/>
          <w:szCs w:val="20"/>
        </w:rPr>
        <w:t xml:space="preserve">, the </w:t>
      </w:r>
      <w:r w:rsidR="003C5E4A" w:rsidRPr="00522EEF">
        <w:rPr>
          <w:szCs w:val="20"/>
        </w:rPr>
        <w:t>approved form</w:t>
      </w:r>
      <w:r w:rsidRPr="00826831">
        <w:rPr>
          <w:color w:val="595959" w:themeColor="text1" w:themeTint="A6"/>
          <w:szCs w:val="20"/>
        </w:rPr>
        <w:t xml:space="preserve"> and </w:t>
      </w:r>
      <w:r>
        <w:rPr>
          <w:color w:val="595959" w:themeColor="text1" w:themeTint="A6"/>
          <w:szCs w:val="20"/>
        </w:rPr>
        <w:t>the</w:t>
      </w:r>
      <w:r w:rsidRPr="00F8711D">
        <w:rPr>
          <w:b/>
          <w:bCs/>
          <w:color w:val="595959" w:themeColor="text1" w:themeTint="A6"/>
          <w:szCs w:val="20"/>
        </w:rPr>
        <w:t> </w:t>
      </w:r>
      <w:r w:rsidR="00DF6146">
        <w:t xml:space="preserve">related forms guidance available on </w:t>
      </w:r>
      <w:r w:rsidDel="003C5E4A">
        <w:fldChar w:fldCharType="begin"/>
      </w:r>
      <w:r w:rsidDel="003C5E4A">
        <w:fldChar w:fldCharType="separate"/>
      </w:r>
      <w:r w:rsidR="00DF6146" w:rsidRPr="00431F5A">
        <w:rPr>
          <w:rStyle w:val="Hyperlink"/>
        </w:rPr>
        <w:t>NOPTA’s website</w:t>
      </w:r>
      <w:r w:rsidDel="003C5E4A">
        <w:fldChar w:fldCharType="end"/>
      </w:r>
      <w:r w:rsidRPr="00826831">
        <w:rPr>
          <w:color w:val="595959" w:themeColor="text1" w:themeTint="A6"/>
          <w:szCs w:val="20"/>
        </w:rPr>
        <w:t>.</w:t>
      </w:r>
    </w:p>
    <w:p w14:paraId="39FC16FC" w14:textId="77777777" w:rsidR="00717680" w:rsidRPr="00AC6365" w:rsidRDefault="00717680" w:rsidP="00B3773D">
      <w:pPr>
        <w:pStyle w:val="Heading2"/>
      </w:pPr>
      <w:r w:rsidRPr="00AC6365">
        <w:t>When is a pipeline licence required?</w:t>
      </w:r>
    </w:p>
    <w:p w14:paraId="170A9C96" w14:textId="4C87F091" w:rsidR="00717680" w:rsidRPr="00826831" w:rsidRDefault="00717680" w:rsidP="00717680">
      <w:pPr>
        <w:rPr>
          <w:color w:val="595959" w:themeColor="text1" w:themeTint="A6"/>
          <w:szCs w:val="20"/>
        </w:rPr>
      </w:pPr>
      <w:r w:rsidRPr="00826831">
        <w:rPr>
          <w:color w:val="595959" w:themeColor="text1" w:themeTint="A6"/>
          <w:szCs w:val="20"/>
        </w:rPr>
        <w:t xml:space="preserve">A pipeline licence is required for pipes, or a system of pipes, that convey petroleum. A </w:t>
      </w:r>
      <w:r w:rsidRPr="00656059">
        <w:rPr>
          <w:color w:val="595959" w:themeColor="text1" w:themeTint="A6"/>
          <w:szCs w:val="20"/>
        </w:rPr>
        <w:t>pipeline licence is not required for secondary lines</w:t>
      </w:r>
      <w:r>
        <w:rPr>
          <w:color w:val="595959" w:themeColor="text1" w:themeTint="A6"/>
          <w:szCs w:val="20"/>
        </w:rPr>
        <w:t>.</w:t>
      </w:r>
    </w:p>
    <w:p w14:paraId="0D25F492" w14:textId="77777777" w:rsidR="00717680" w:rsidRPr="00B3773D" w:rsidRDefault="00717680" w:rsidP="00B3773D">
      <w:pPr>
        <w:pStyle w:val="Heading3"/>
      </w:pPr>
      <w:r w:rsidRPr="00B3773D">
        <w:t>What is a secondary line?</w:t>
      </w:r>
    </w:p>
    <w:p w14:paraId="042442DC" w14:textId="77777777" w:rsidR="00717680" w:rsidRPr="00826831" w:rsidRDefault="00717680" w:rsidP="00B3773D">
      <w:pPr>
        <w:spacing w:after="120"/>
        <w:rPr>
          <w:color w:val="595959" w:themeColor="text1" w:themeTint="A6"/>
          <w:szCs w:val="20"/>
        </w:rPr>
      </w:pPr>
      <w:r w:rsidRPr="00826831">
        <w:rPr>
          <w:color w:val="595959" w:themeColor="text1" w:themeTint="A6"/>
          <w:szCs w:val="20"/>
        </w:rPr>
        <w:t xml:space="preserve">A secondary line is defined in the </w:t>
      </w:r>
      <w:r>
        <w:rPr>
          <w:color w:val="595959" w:themeColor="text1" w:themeTint="A6"/>
          <w:szCs w:val="20"/>
        </w:rPr>
        <w:t xml:space="preserve">OPGGS </w:t>
      </w:r>
      <w:r w:rsidRPr="00826831">
        <w:rPr>
          <w:color w:val="595959" w:themeColor="text1" w:themeTint="A6"/>
          <w:szCs w:val="20"/>
        </w:rPr>
        <w:t>Act to be:</w:t>
      </w:r>
    </w:p>
    <w:p w14:paraId="7E259FC6" w14:textId="77777777" w:rsidR="00717680" w:rsidRPr="00826831" w:rsidRDefault="00717680" w:rsidP="003C5E4A">
      <w:pPr>
        <w:pStyle w:val="Bullets"/>
        <w:numPr>
          <w:ilvl w:val="0"/>
          <w:numId w:val="4"/>
        </w:numPr>
        <w:spacing w:before="120" w:after="120"/>
        <w:ind w:left="567" w:hanging="357"/>
        <w:contextualSpacing w:val="0"/>
        <w:rPr>
          <w:color w:val="595959" w:themeColor="text1" w:themeTint="A6"/>
          <w:sz w:val="20"/>
          <w:szCs w:val="20"/>
        </w:rPr>
      </w:pPr>
      <w:r w:rsidRPr="00826831">
        <w:rPr>
          <w:color w:val="595959" w:themeColor="text1" w:themeTint="A6"/>
          <w:sz w:val="20"/>
          <w:szCs w:val="20"/>
        </w:rPr>
        <w:t xml:space="preserve">a pipe, or system of pipes, that returns petroleum to a reservoir (e.g., re-injection lines) </w:t>
      </w:r>
    </w:p>
    <w:p w14:paraId="046F756E" w14:textId="77777777" w:rsidR="00717680" w:rsidRPr="00826831" w:rsidRDefault="00717680" w:rsidP="003C5E4A">
      <w:pPr>
        <w:pStyle w:val="Bullets"/>
        <w:numPr>
          <w:ilvl w:val="0"/>
          <w:numId w:val="4"/>
        </w:numPr>
        <w:spacing w:before="120" w:after="120"/>
        <w:ind w:left="567" w:hanging="357"/>
        <w:contextualSpacing w:val="0"/>
        <w:rPr>
          <w:color w:val="595959" w:themeColor="text1" w:themeTint="A6"/>
          <w:sz w:val="20"/>
          <w:szCs w:val="20"/>
        </w:rPr>
      </w:pPr>
      <w:r w:rsidRPr="00826831">
        <w:rPr>
          <w:color w:val="595959" w:themeColor="text1" w:themeTint="A6"/>
          <w:sz w:val="20"/>
          <w:szCs w:val="20"/>
        </w:rPr>
        <w:t xml:space="preserve">a pipe that conveys petroleum for use in exploration operations </w:t>
      </w:r>
    </w:p>
    <w:p w14:paraId="42F8B23C" w14:textId="2FEE83B0" w:rsidR="00717680" w:rsidRPr="00826831" w:rsidRDefault="00717680" w:rsidP="003C5E4A">
      <w:pPr>
        <w:pStyle w:val="Bullets"/>
        <w:numPr>
          <w:ilvl w:val="0"/>
          <w:numId w:val="4"/>
        </w:numPr>
        <w:spacing w:before="120" w:after="120"/>
        <w:ind w:left="567" w:hanging="357"/>
        <w:contextualSpacing w:val="0"/>
        <w:rPr>
          <w:color w:val="595959" w:themeColor="text1" w:themeTint="A6"/>
          <w:sz w:val="20"/>
          <w:szCs w:val="20"/>
        </w:rPr>
      </w:pPr>
      <w:r w:rsidRPr="00826831">
        <w:rPr>
          <w:color w:val="595959" w:themeColor="text1" w:themeTint="A6"/>
          <w:sz w:val="20"/>
          <w:szCs w:val="20"/>
        </w:rPr>
        <w:t>a pipe that conveys petroleum for use in recovery operations (e.g.</w:t>
      </w:r>
      <w:r w:rsidR="00CF2190">
        <w:rPr>
          <w:color w:val="595959" w:themeColor="text1" w:themeTint="A6"/>
          <w:sz w:val="20"/>
          <w:szCs w:val="20"/>
        </w:rPr>
        <w:t>,</w:t>
      </w:r>
      <w:r w:rsidRPr="00826831">
        <w:rPr>
          <w:color w:val="595959" w:themeColor="text1" w:themeTint="A6"/>
          <w:sz w:val="20"/>
          <w:szCs w:val="20"/>
        </w:rPr>
        <w:t xml:space="preserve"> fuel gas lines feeding platforms that use the fuel gas to run turbines) </w:t>
      </w:r>
    </w:p>
    <w:p w14:paraId="59DA8741" w14:textId="6C3ED02D" w:rsidR="00717680" w:rsidRPr="00826831" w:rsidRDefault="00717680" w:rsidP="003C5E4A">
      <w:pPr>
        <w:pStyle w:val="Bullets"/>
        <w:numPr>
          <w:ilvl w:val="0"/>
          <w:numId w:val="4"/>
        </w:numPr>
        <w:spacing w:before="120" w:after="120"/>
        <w:ind w:left="567" w:hanging="357"/>
        <w:contextualSpacing w:val="0"/>
        <w:rPr>
          <w:color w:val="595959" w:themeColor="text1" w:themeTint="A6"/>
          <w:sz w:val="20"/>
          <w:szCs w:val="20"/>
        </w:rPr>
      </w:pPr>
      <w:r w:rsidRPr="00826831">
        <w:rPr>
          <w:color w:val="595959" w:themeColor="text1" w:themeTint="A6"/>
          <w:sz w:val="20"/>
          <w:szCs w:val="20"/>
        </w:rPr>
        <w:t>a pipe that conveys petroleum that is to be flared or vented (e.g.</w:t>
      </w:r>
      <w:r w:rsidR="00CF2190">
        <w:rPr>
          <w:color w:val="595959" w:themeColor="text1" w:themeTint="A6"/>
          <w:sz w:val="20"/>
          <w:szCs w:val="20"/>
        </w:rPr>
        <w:t>,</w:t>
      </w:r>
      <w:r w:rsidRPr="00826831">
        <w:rPr>
          <w:color w:val="595959" w:themeColor="text1" w:themeTint="A6"/>
          <w:sz w:val="20"/>
          <w:szCs w:val="20"/>
        </w:rPr>
        <w:t xml:space="preserve"> pipes that feed a subsea vent) </w:t>
      </w:r>
    </w:p>
    <w:p w14:paraId="2F83B230" w14:textId="77777777" w:rsidR="00717680" w:rsidRPr="00826831" w:rsidRDefault="00717680" w:rsidP="00B3773D">
      <w:pPr>
        <w:pStyle w:val="Bullets"/>
        <w:numPr>
          <w:ilvl w:val="0"/>
          <w:numId w:val="4"/>
        </w:numPr>
        <w:spacing w:before="120" w:after="120"/>
        <w:ind w:left="567"/>
        <w:rPr>
          <w:color w:val="595959" w:themeColor="text1" w:themeTint="A6"/>
          <w:sz w:val="20"/>
          <w:szCs w:val="20"/>
        </w:rPr>
      </w:pPr>
      <w:r w:rsidRPr="00826831">
        <w:rPr>
          <w:color w:val="595959" w:themeColor="text1" w:themeTint="A6"/>
          <w:sz w:val="20"/>
          <w:szCs w:val="20"/>
        </w:rPr>
        <w:t>a pipe that conveys petroleum from a well, wherever located, to a terminal station without passing through another terminal station.</w:t>
      </w:r>
    </w:p>
    <w:p w14:paraId="6A57B2A7" w14:textId="77777777" w:rsidR="00717680" w:rsidRPr="00826831" w:rsidRDefault="00717680" w:rsidP="003C5E4A">
      <w:pPr>
        <w:spacing w:before="240"/>
        <w:rPr>
          <w:color w:val="595959" w:themeColor="text1" w:themeTint="A6"/>
          <w:szCs w:val="20"/>
        </w:rPr>
      </w:pPr>
      <w:r w:rsidRPr="00826831">
        <w:rPr>
          <w:color w:val="595959" w:themeColor="text1" w:themeTint="A6"/>
          <w:szCs w:val="20"/>
        </w:rPr>
        <w:t>A terminal station is one that is declared by NOPTA, which can be a specified pumping station, a specified tank station or a specified valve station. The decision to declare any of these to be a terminal station is on a case-by-case basis.</w:t>
      </w:r>
    </w:p>
    <w:p w14:paraId="416D9AFE" w14:textId="77777777" w:rsidR="00717680" w:rsidRPr="000872B9" w:rsidRDefault="00717680" w:rsidP="00717680">
      <w:pPr>
        <w:pStyle w:val="Bullets"/>
        <w:numPr>
          <w:ilvl w:val="0"/>
          <w:numId w:val="0"/>
        </w:numPr>
        <w:spacing w:before="120" w:after="120"/>
        <w:rPr>
          <w:color w:val="595959" w:themeColor="text1" w:themeTint="A6"/>
          <w:sz w:val="20"/>
          <w:szCs w:val="20"/>
        </w:rPr>
      </w:pPr>
      <w:r w:rsidRPr="00826831">
        <w:rPr>
          <w:color w:val="595959" w:themeColor="text1" w:themeTint="A6"/>
          <w:sz w:val="20"/>
          <w:szCs w:val="20"/>
        </w:rPr>
        <w:t xml:space="preserve">If a decision is made to declare a station as a terminal station, the pipe downstream of the terminal station will not be a secondary line. Consequently, the pipe downstream of the terminal station will require a pipeline licence. </w:t>
      </w:r>
    </w:p>
    <w:p w14:paraId="24DFD273" w14:textId="77777777" w:rsidR="00717680" w:rsidRPr="00105979" w:rsidRDefault="00717680" w:rsidP="00B3773D">
      <w:pPr>
        <w:pStyle w:val="Heading2"/>
      </w:pPr>
      <w:r w:rsidRPr="00105979">
        <w:t xml:space="preserve">Who can apply for a pipeline licence? </w:t>
      </w:r>
    </w:p>
    <w:p w14:paraId="399946E4" w14:textId="77777777" w:rsidR="00717680" w:rsidRPr="00826831" w:rsidRDefault="00717680" w:rsidP="00717680">
      <w:pPr>
        <w:rPr>
          <w:color w:val="595959" w:themeColor="text1" w:themeTint="A6"/>
          <w:szCs w:val="20"/>
          <w:lang w:eastAsia="en-AU"/>
        </w:rPr>
      </w:pPr>
      <w:r w:rsidRPr="00826831">
        <w:rPr>
          <w:color w:val="595959" w:themeColor="text1" w:themeTint="A6"/>
          <w:szCs w:val="20"/>
          <w:lang w:eastAsia="en-AU"/>
        </w:rPr>
        <w:t xml:space="preserve">A person (individual or body corporate, or a group of any of these) may apply for a pipeline licence. </w:t>
      </w:r>
    </w:p>
    <w:p w14:paraId="48416CBF" w14:textId="77777777" w:rsidR="00717680" w:rsidRPr="00826831" w:rsidRDefault="00717680" w:rsidP="00717680">
      <w:pPr>
        <w:keepNext/>
        <w:keepLines/>
        <w:rPr>
          <w:color w:val="595959" w:themeColor="text1" w:themeTint="A6"/>
          <w:szCs w:val="20"/>
          <w:lang w:eastAsia="en-AU"/>
        </w:rPr>
      </w:pPr>
      <w:r w:rsidRPr="00826831">
        <w:rPr>
          <w:color w:val="595959" w:themeColor="text1" w:themeTint="A6"/>
          <w:szCs w:val="20"/>
          <w:lang w:eastAsia="en-AU"/>
        </w:rPr>
        <w:t xml:space="preserve">However, the legislative framework provides the titleholder of the production licence, from where the pipeline starts, a preferential right to be granted a pipeline licence. If the applicant for the pipeline licence is different to the collective titleholders of the production licence, the titleholders of the production licence have the right to submit their own application for a pipeline licence and request that the original pipeline licence application be rejected. Only after substantial consultation will the Joint Authority offer the pipeline licence to an applicant who is not the holder of the production licence. </w:t>
      </w:r>
    </w:p>
    <w:p w14:paraId="10F5C603" w14:textId="77777777" w:rsidR="00717680" w:rsidRPr="00BD68D6" w:rsidRDefault="00717680" w:rsidP="00B3773D">
      <w:pPr>
        <w:pStyle w:val="Heading2"/>
      </w:pPr>
      <w:r w:rsidRPr="00BD68D6">
        <w:t>How do I apply for a pipeline licence?</w:t>
      </w:r>
    </w:p>
    <w:p w14:paraId="3FBA26C6" w14:textId="645AA074" w:rsidR="00717680" w:rsidRPr="00826831" w:rsidRDefault="00717680" w:rsidP="00717680">
      <w:pPr>
        <w:rPr>
          <w:szCs w:val="20"/>
          <w:lang w:eastAsia="en-AU"/>
        </w:rPr>
      </w:pPr>
      <w:r w:rsidRPr="00826831">
        <w:rPr>
          <w:color w:val="5F5F5F"/>
          <w:szCs w:val="20"/>
          <w:lang w:eastAsia="en-AU"/>
        </w:rPr>
        <w:t xml:space="preserve">The application form for a pipeline licence can be found on </w:t>
      </w:r>
      <w:hyperlink r:id="rId19" w:history="1">
        <w:r w:rsidRPr="000B4ECD">
          <w:rPr>
            <w:rStyle w:val="Hyperlink"/>
            <w:szCs w:val="20"/>
            <w:lang w:eastAsia="en-AU"/>
          </w:rPr>
          <w:t>NOPTA’s website</w:t>
        </w:r>
      </w:hyperlink>
      <w:r w:rsidRPr="00826831">
        <w:rPr>
          <w:color w:val="5F5F5F"/>
          <w:szCs w:val="20"/>
          <w:lang w:eastAsia="en-AU"/>
        </w:rPr>
        <w:t xml:space="preserve"> at and can be submitted electronically to </w:t>
      </w:r>
      <w:hyperlink r:id="rId20" w:history="1">
        <w:r w:rsidRPr="00826831">
          <w:rPr>
            <w:rStyle w:val="Hyperlink"/>
            <w:szCs w:val="20"/>
            <w:lang w:eastAsia="en-AU"/>
          </w:rPr>
          <w:t>titles@nopta.gov.au</w:t>
        </w:r>
      </w:hyperlink>
      <w:r w:rsidRPr="00826831">
        <w:rPr>
          <w:szCs w:val="20"/>
          <w:lang w:eastAsia="en-AU"/>
        </w:rPr>
        <w:t xml:space="preserve"> </w:t>
      </w:r>
      <w:r w:rsidRPr="00826831">
        <w:rPr>
          <w:color w:val="5F5F5F"/>
          <w:szCs w:val="20"/>
          <w:lang w:eastAsia="en-AU"/>
        </w:rPr>
        <w:t xml:space="preserve">or in hard copy to NOPTA’s Perth office. </w:t>
      </w:r>
    </w:p>
    <w:p w14:paraId="636E50EB" w14:textId="77777777" w:rsidR="00717680" w:rsidRPr="00BD68D6" w:rsidRDefault="00717680" w:rsidP="00B3773D">
      <w:pPr>
        <w:pStyle w:val="Heading2"/>
      </w:pPr>
      <w:bookmarkStart w:id="0" w:name="_Hlk526427160"/>
      <w:r w:rsidRPr="00BD68D6">
        <w:t>Is there other information I should include?</w:t>
      </w:r>
    </w:p>
    <w:p w14:paraId="1A234328" w14:textId="77777777" w:rsidR="00717680" w:rsidRPr="00826831" w:rsidRDefault="00717680" w:rsidP="00717680">
      <w:pPr>
        <w:rPr>
          <w:rFonts w:cstheme="minorHAnsi"/>
          <w:color w:val="595959" w:themeColor="text1" w:themeTint="A6"/>
          <w:szCs w:val="20"/>
          <w:lang w:eastAsia="en-AU"/>
        </w:rPr>
      </w:pPr>
      <w:r w:rsidRPr="00826831">
        <w:rPr>
          <w:rFonts w:cstheme="minorHAnsi"/>
          <w:color w:val="595959" w:themeColor="text1" w:themeTint="A6"/>
          <w:szCs w:val="20"/>
          <w:lang w:eastAsia="en-AU"/>
        </w:rPr>
        <w:t>The information required to accompany an application is significant. It is expected that information surrounding the steps taken to minimise the interference of the pipeline on other activities also be included.</w:t>
      </w:r>
    </w:p>
    <w:p w14:paraId="55D40BB4" w14:textId="77777777" w:rsidR="00717680" w:rsidRDefault="00717680" w:rsidP="00717680">
      <w:pPr>
        <w:rPr>
          <w:rFonts w:cstheme="minorHAnsi"/>
          <w:color w:val="595959" w:themeColor="text1" w:themeTint="A6"/>
          <w:szCs w:val="20"/>
          <w:lang w:eastAsia="en-AU"/>
        </w:rPr>
      </w:pPr>
      <w:r w:rsidRPr="00826831">
        <w:rPr>
          <w:rFonts w:cstheme="minorHAnsi"/>
          <w:color w:val="595959" w:themeColor="text1" w:themeTint="A6"/>
          <w:szCs w:val="20"/>
          <w:lang w:eastAsia="en-AU"/>
        </w:rPr>
        <w:t>A detailed summary of consultation with third parties should include the identities of third parties, dates when they were contacted, issues raised, completed and proposed resolutions as well as intentions for further consultation.</w:t>
      </w:r>
    </w:p>
    <w:p w14:paraId="42D1DEBE" w14:textId="77777777" w:rsidR="00717680" w:rsidRPr="00105979" w:rsidRDefault="00717680" w:rsidP="00B3773D">
      <w:pPr>
        <w:pStyle w:val="Heading2"/>
      </w:pPr>
      <w:r w:rsidRPr="00105979">
        <w:t>More information</w:t>
      </w:r>
    </w:p>
    <w:p w14:paraId="085AFD83" w14:textId="77777777" w:rsidR="00717680" w:rsidRPr="00826831" w:rsidRDefault="00717680" w:rsidP="00717680">
      <w:pPr>
        <w:rPr>
          <w:szCs w:val="20"/>
        </w:rPr>
      </w:pPr>
      <w:r w:rsidRPr="00826831">
        <w:rPr>
          <w:color w:val="5F5F5F"/>
          <w:szCs w:val="20"/>
        </w:rPr>
        <w:t xml:space="preserve">If you have any specific questions, please contact NOPTA via </w:t>
      </w:r>
      <w:hyperlink r:id="rId21" w:history="1">
        <w:r w:rsidRPr="00826831">
          <w:rPr>
            <w:rStyle w:val="Hyperlink"/>
            <w:szCs w:val="20"/>
            <w:lang w:eastAsia="en-AU"/>
          </w:rPr>
          <w:t>titles@nopta.gov.au</w:t>
        </w:r>
      </w:hyperlink>
      <w:r w:rsidRPr="00826831">
        <w:rPr>
          <w:color w:val="5F5F5F"/>
          <w:szCs w:val="20"/>
        </w:rPr>
        <w:t>.</w:t>
      </w:r>
    </w:p>
    <w:p w14:paraId="25BC3FF1" w14:textId="77777777" w:rsidR="00717680" w:rsidRPr="002F7749" w:rsidRDefault="00717680" w:rsidP="0019432C">
      <w:r w:rsidRPr="002F7749">
        <w:rPr>
          <w:rStyle w:val="Strong"/>
          <w:sz w:val="18"/>
          <w:szCs w:val="20"/>
        </w:rPr>
        <w:t>Please note:</w:t>
      </w:r>
      <w:r w:rsidRPr="002F7749">
        <w:rPr>
          <w:sz w:val="16"/>
          <w:szCs w:val="16"/>
          <w:lang w:eastAsia="en-AU"/>
        </w:rPr>
        <w:t xml:space="preserve"> </w:t>
      </w:r>
      <w:r w:rsidRPr="002F7749">
        <w:rPr>
          <w:lang w:eastAsia="en-AU"/>
        </w:rPr>
        <w:t>this document is intended as a guide only and should not be relied on as legal advice or regarded as a substitute for legal advice in individual cases.</w:t>
      </w:r>
      <w:bookmarkEnd w:id="0"/>
      <w:r w:rsidRPr="002F7749">
        <w:t xml:space="preserve"> </w:t>
      </w:r>
    </w:p>
    <w:p w14:paraId="41EDC09D" w14:textId="77777777" w:rsidR="00717680" w:rsidRDefault="00717680" w:rsidP="00B3773D">
      <w:pPr>
        <w:pStyle w:val="Heading2"/>
      </w:pPr>
      <w:bookmarkStart w:id="1" w:name="_Hlk15570741"/>
      <w:r w:rsidRPr="00105979">
        <w:t>Version History</w:t>
      </w:r>
    </w:p>
    <w:tbl>
      <w:tblPr>
        <w:tblStyle w:val="GridTable1Light1"/>
        <w:tblW w:w="4815" w:type="dxa"/>
        <w:tblLayout w:type="fixed"/>
        <w:tblCellMar>
          <w:left w:w="57" w:type="dxa"/>
          <w:right w:w="57" w:type="dxa"/>
        </w:tblCellMar>
        <w:tblLook w:val="0420" w:firstRow="1" w:lastRow="0" w:firstColumn="0" w:lastColumn="0" w:noHBand="0" w:noVBand="1"/>
      </w:tblPr>
      <w:tblGrid>
        <w:gridCol w:w="792"/>
        <w:gridCol w:w="1330"/>
        <w:gridCol w:w="2693"/>
      </w:tblGrid>
      <w:tr w:rsidR="00717680" w:rsidRPr="002F7749" w14:paraId="1CC06F68" w14:textId="77777777" w:rsidTr="00C71154">
        <w:trPr>
          <w:cnfStyle w:val="100000000000" w:firstRow="1" w:lastRow="0" w:firstColumn="0" w:lastColumn="0" w:oddVBand="0" w:evenVBand="0" w:oddHBand="0" w:evenHBand="0" w:firstRowFirstColumn="0" w:firstRowLastColumn="0" w:lastRowFirstColumn="0" w:lastRowLastColumn="0"/>
          <w:tblHeader/>
        </w:trPr>
        <w:tc>
          <w:tcPr>
            <w:tcW w:w="792" w:type="dxa"/>
          </w:tcPr>
          <w:p w14:paraId="59032C7D" w14:textId="77777777" w:rsidR="00717680" w:rsidRPr="002F7749" w:rsidRDefault="00717680" w:rsidP="00717680">
            <w:pPr>
              <w:spacing w:before="60" w:after="60"/>
              <w:jc w:val="center"/>
              <w:rPr>
                <w:rFonts w:cs="Calibri"/>
                <w:color w:val="5F5F5F"/>
                <w:sz w:val="16"/>
                <w:szCs w:val="16"/>
              </w:rPr>
            </w:pPr>
            <w:r w:rsidRPr="002F7749">
              <w:rPr>
                <w:rFonts w:cs="Calibri"/>
                <w:color w:val="5F5F5F"/>
                <w:sz w:val="16"/>
                <w:szCs w:val="16"/>
              </w:rPr>
              <w:t>Version</w:t>
            </w:r>
          </w:p>
        </w:tc>
        <w:tc>
          <w:tcPr>
            <w:tcW w:w="1330" w:type="dxa"/>
          </w:tcPr>
          <w:p w14:paraId="69CE8F00" w14:textId="77777777" w:rsidR="00717680" w:rsidRPr="002F7749" w:rsidRDefault="00717680" w:rsidP="00FE1B58">
            <w:pPr>
              <w:spacing w:before="60" w:after="60"/>
              <w:rPr>
                <w:rFonts w:cs="Calibri"/>
                <w:color w:val="5F5F5F"/>
                <w:sz w:val="16"/>
                <w:szCs w:val="16"/>
              </w:rPr>
            </w:pPr>
            <w:r w:rsidRPr="002F7749">
              <w:rPr>
                <w:rFonts w:cs="Calibri"/>
                <w:color w:val="5F5F5F"/>
                <w:sz w:val="16"/>
                <w:szCs w:val="16"/>
              </w:rPr>
              <w:t>Date</w:t>
            </w:r>
          </w:p>
        </w:tc>
        <w:tc>
          <w:tcPr>
            <w:tcW w:w="2693" w:type="dxa"/>
          </w:tcPr>
          <w:p w14:paraId="3450D9CD" w14:textId="77777777" w:rsidR="00717680" w:rsidRPr="002F7749" w:rsidRDefault="00717680" w:rsidP="00717680">
            <w:pPr>
              <w:spacing w:before="60" w:after="60"/>
              <w:jc w:val="center"/>
              <w:rPr>
                <w:rFonts w:cs="Calibri"/>
                <w:color w:val="5F5F5F"/>
                <w:sz w:val="16"/>
                <w:szCs w:val="16"/>
              </w:rPr>
            </w:pPr>
            <w:r w:rsidRPr="002F7749">
              <w:rPr>
                <w:rFonts w:cs="Calibri"/>
                <w:color w:val="5F5F5F"/>
                <w:sz w:val="16"/>
                <w:szCs w:val="16"/>
              </w:rPr>
              <w:t>Comment</w:t>
            </w:r>
          </w:p>
        </w:tc>
      </w:tr>
      <w:tr w:rsidR="00717680" w:rsidRPr="002F7749" w14:paraId="68809ABA" w14:textId="77777777" w:rsidTr="00C71154">
        <w:tc>
          <w:tcPr>
            <w:tcW w:w="792" w:type="dxa"/>
          </w:tcPr>
          <w:p w14:paraId="18B543BB" w14:textId="676A1578" w:rsidR="00717680" w:rsidRPr="002F7749" w:rsidRDefault="00717680" w:rsidP="00FE1B58">
            <w:pPr>
              <w:spacing w:before="60" w:after="60"/>
              <w:jc w:val="center"/>
              <w:rPr>
                <w:rFonts w:cs="Calibri"/>
                <w:color w:val="5F5F5F"/>
                <w:sz w:val="16"/>
                <w:szCs w:val="16"/>
              </w:rPr>
            </w:pPr>
            <w:r w:rsidRPr="002F7749">
              <w:rPr>
                <w:rFonts w:cs="Calibri"/>
                <w:color w:val="5F5F5F"/>
                <w:sz w:val="16"/>
                <w:szCs w:val="16"/>
              </w:rPr>
              <w:t>4.0</w:t>
            </w:r>
          </w:p>
        </w:tc>
        <w:tc>
          <w:tcPr>
            <w:tcW w:w="1330" w:type="dxa"/>
          </w:tcPr>
          <w:p w14:paraId="7CF4235D" w14:textId="4219BA23" w:rsidR="00717680" w:rsidRPr="002F7749" w:rsidRDefault="00D32435" w:rsidP="00FE1B58">
            <w:pPr>
              <w:tabs>
                <w:tab w:val="left" w:pos="371"/>
              </w:tabs>
              <w:spacing w:before="60" w:after="60"/>
              <w:rPr>
                <w:rFonts w:cs="Calibri"/>
                <w:color w:val="5F5F5F"/>
                <w:sz w:val="16"/>
                <w:szCs w:val="16"/>
                <w:highlight w:val="yellow"/>
              </w:rPr>
            </w:pPr>
            <w:r w:rsidRPr="00D32435">
              <w:rPr>
                <w:rFonts w:cs="Calibri"/>
                <w:color w:val="5F5F5F"/>
                <w:sz w:val="16"/>
                <w:szCs w:val="16"/>
              </w:rPr>
              <w:t>31</w:t>
            </w:r>
            <w:r w:rsidR="00717680" w:rsidRPr="00D32435">
              <w:rPr>
                <w:rFonts w:cs="Calibri"/>
                <w:color w:val="5F5F5F"/>
                <w:sz w:val="16"/>
                <w:szCs w:val="16"/>
              </w:rPr>
              <w:t>/</w:t>
            </w:r>
            <w:r w:rsidR="00FE1B58" w:rsidRPr="00D32435">
              <w:rPr>
                <w:rFonts w:cs="Calibri"/>
                <w:color w:val="5F5F5F"/>
                <w:sz w:val="16"/>
                <w:szCs w:val="16"/>
              </w:rPr>
              <w:t>03/2026</w:t>
            </w:r>
          </w:p>
        </w:tc>
        <w:tc>
          <w:tcPr>
            <w:tcW w:w="2693" w:type="dxa"/>
            <w:vAlign w:val="center"/>
          </w:tcPr>
          <w:p w14:paraId="3CFD9D19" w14:textId="2C991DDB" w:rsidR="00717680" w:rsidRPr="00C71154" w:rsidRDefault="00717680" w:rsidP="00717680">
            <w:pPr>
              <w:spacing w:before="60" w:after="60"/>
              <w:rPr>
                <w:rFonts w:cs="Calibri"/>
                <w:color w:val="5F5F5F"/>
                <w:sz w:val="16"/>
                <w:szCs w:val="16"/>
              </w:rPr>
            </w:pPr>
            <w:r w:rsidRPr="00C71154">
              <w:rPr>
                <w:rFonts w:cs="Calibri"/>
                <w:color w:val="5F5F5F"/>
                <w:sz w:val="16"/>
                <w:szCs w:val="16"/>
              </w:rPr>
              <w:t>Update to</w:t>
            </w:r>
            <w:r w:rsidR="00DF6146" w:rsidRPr="00C71154">
              <w:rPr>
                <w:rFonts w:cs="Calibri"/>
                <w:color w:val="5F5F5F"/>
                <w:sz w:val="16"/>
                <w:szCs w:val="16"/>
              </w:rPr>
              <w:t xml:space="preserve"> forms guidance reference</w:t>
            </w:r>
            <w:r w:rsidR="00FE1B58" w:rsidRPr="00C71154">
              <w:rPr>
                <w:rFonts w:cs="Calibri"/>
                <w:color w:val="5F5F5F"/>
                <w:sz w:val="16"/>
                <w:szCs w:val="16"/>
              </w:rPr>
              <w:t>.</w:t>
            </w:r>
            <w:r w:rsidRPr="00C71154">
              <w:rPr>
                <w:rFonts w:cs="Calibri"/>
                <w:color w:val="5F5F5F"/>
                <w:sz w:val="16"/>
                <w:szCs w:val="16"/>
              </w:rPr>
              <w:t xml:space="preserve"> layout, format and links.</w:t>
            </w:r>
          </w:p>
        </w:tc>
      </w:tr>
      <w:tr w:rsidR="00717680" w:rsidRPr="002F7749" w14:paraId="60D4B2DC" w14:textId="77777777" w:rsidTr="00C71154">
        <w:tc>
          <w:tcPr>
            <w:tcW w:w="792" w:type="dxa"/>
            <w:vAlign w:val="center"/>
          </w:tcPr>
          <w:p w14:paraId="1D7EABC5" w14:textId="77777777" w:rsidR="00717680" w:rsidRPr="002F7749" w:rsidRDefault="00717680" w:rsidP="00717680">
            <w:pPr>
              <w:spacing w:before="60" w:after="60"/>
              <w:jc w:val="center"/>
              <w:rPr>
                <w:rFonts w:cs="Calibri"/>
                <w:color w:val="5F5F5F"/>
                <w:sz w:val="16"/>
                <w:szCs w:val="16"/>
              </w:rPr>
            </w:pPr>
            <w:r w:rsidRPr="002F7749">
              <w:rPr>
                <w:rFonts w:cs="Calibri"/>
                <w:color w:val="5F5F5F"/>
                <w:sz w:val="16"/>
                <w:szCs w:val="16"/>
              </w:rPr>
              <w:t>3.0</w:t>
            </w:r>
          </w:p>
        </w:tc>
        <w:tc>
          <w:tcPr>
            <w:tcW w:w="1330" w:type="dxa"/>
          </w:tcPr>
          <w:p w14:paraId="1F9066E1" w14:textId="77777777" w:rsidR="00717680" w:rsidRPr="002F7749" w:rsidRDefault="00717680" w:rsidP="00FE1B58">
            <w:pPr>
              <w:tabs>
                <w:tab w:val="left" w:pos="371"/>
              </w:tabs>
              <w:spacing w:before="60" w:after="60"/>
              <w:rPr>
                <w:rFonts w:cs="Calibri"/>
                <w:color w:val="5F5F5F"/>
                <w:sz w:val="16"/>
                <w:szCs w:val="16"/>
              </w:rPr>
            </w:pPr>
            <w:r w:rsidRPr="002F7749">
              <w:rPr>
                <w:rFonts w:cs="Calibri"/>
                <w:color w:val="5F5F5F"/>
                <w:sz w:val="16"/>
                <w:szCs w:val="16"/>
              </w:rPr>
              <w:t>17/02/2023</w:t>
            </w:r>
          </w:p>
        </w:tc>
        <w:tc>
          <w:tcPr>
            <w:tcW w:w="2693" w:type="dxa"/>
            <w:vAlign w:val="center"/>
          </w:tcPr>
          <w:p w14:paraId="01C79611" w14:textId="65941D66" w:rsidR="00717680" w:rsidRPr="002F7749" w:rsidRDefault="00717680" w:rsidP="00717680">
            <w:pPr>
              <w:spacing w:before="60" w:after="60"/>
              <w:rPr>
                <w:rFonts w:cs="Calibri"/>
                <w:color w:val="5F5F5F"/>
                <w:sz w:val="16"/>
                <w:szCs w:val="16"/>
              </w:rPr>
            </w:pPr>
            <w:r w:rsidRPr="002F7749">
              <w:rPr>
                <w:rFonts w:cs="Calibri"/>
                <w:color w:val="5F5F5F"/>
                <w:sz w:val="16"/>
                <w:szCs w:val="16"/>
              </w:rPr>
              <w:t>Update hyperlinks</w:t>
            </w:r>
          </w:p>
        </w:tc>
      </w:tr>
      <w:bookmarkEnd w:id="1"/>
    </w:tbl>
    <w:p w14:paraId="72C96DF3" w14:textId="77777777" w:rsidR="00363B0D" w:rsidRPr="00C71154" w:rsidRDefault="00363B0D" w:rsidP="00717680">
      <w:pPr>
        <w:spacing w:before="0" w:after="0"/>
        <w:rPr>
          <w:sz w:val="8"/>
          <w:szCs w:val="10"/>
        </w:rPr>
      </w:pPr>
    </w:p>
    <w:sectPr w:rsidR="00363B0D" w:rsidRPr="00C71154" w:rsidSect="005D16BE">
      <w:headerReference w:type="default" r:id="rId22"/>
      <w:type w:val="continuous"/>
      <w:pgSz w:w="11906" w:h="16838"/>
      <w:pgMar w:top="2552" w:right="851" w:bottom="851" w:left="851"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E78B" w14:textId="77777777" w:rsidR="00A6539B" w:rsidRDefault="00A6539B" w:rsidP="00C83270">
      <w:pPr>
        <w:spacing w:before="0" w:after="0"/>
      </w:pPr>
      <w:r>
        <w:separator/>
      </w:r>
    </w:p>
  </w:endnote>
  <w:endnote w:type="continuationSeparator" w:id="0">
    <w:p w14:paraId="652C3538" w14:textId="77777777" w:rsidR="00A6539B" w:rsidRDefault="00A6539B" w:rsidP="00C8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5824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3CD2A" id="_x0000_t202" coordsize="21600,21600" o:spt="202" path="m,l,21600r21600,l21600,xe">
              <v:stroke joinstyle="miter"/>
              <v:path gradientshapeok="t" o:connecttype="rect"/>
            </v:shapetype>
            <v:shape id="Text Box 11" o:spid="_x0000_s1027"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7A98917D" w:rsidR="00363B0D" w:rsidRDefault="00363B0D" w:rsidP="00522EEF">
    <w:pPr>
      <w:pStyle w:val="Footer"/>
      <w:tabs>
        <w:tab w:val="clear" w:pos="4513"/>
        <w:tab w:val="clear" w:pos="9026"/>
        <w:tab w:val="left" w:pos="0"/>
        <w:tab w:val="center" w:pos="4860"/>
        <w:tab w:val="right" w:pos="10204"/>
      </w:tabs>
      <w:spacing w:before="0" w:after="0"/>
    </w:pPr>
    <w:r w:rsidRPr="00FF29A1">
      <w:rPr>
        <w:noProof/>
        <w:lang w:eastAsia="en-AU"/>
      </w:rPr>
      <mc:AlternateContent>
        <mc:Choice Requires="wps">
          <w:drawing>
            <wp:anchor distT="0" distB="0" distL="114300" distR="114300" simplePos="0" relativeHeight="251658241" behindDoc="0" locked="0" layoutInCell="1" allowOverlap="1" wp14:anchorId="041148A9" wp14:editId="205DBA41">
              <wp:simplePos x="0" y="0"/>
              <wp:positionH relativeFrom="margin">
                <wp:posOffset>0</wp:posOffset>
              </wp:positionH>
              <wp:positionV relativeFrom="paragraph">
                <wp:posOffset>-76200</wp:posOffset>
              </wp:positionV>
              <wp:extent cx="6505575" cy="9525"/>
              <wp:effectExtent l="0" t="0" r="28575" b="28575"/>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5575" cy="9525"/>
                      </a:xfrm>
                      <a:prstGeom prst="line">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CCB1B2" id="Line 4"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pt" to="512.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" strokecolor="#5b9bd5 [3208]" strokeweight="1.5pt">
              <v:stroke joinstyle="miter"/>
              <w10:wrap anchorx="margin"/>
            </v:line>
          </w:pict>
        </mc:Fallback>
      </mc:AlternateContent>
    </w:r>
    <w:hyperlink r:id="rId1" w:history="1">
      <w:r w:rsidRPr="00B729DE">
        <w:rPr>
          <w:rStyle w:val="Hyperlink"/>
        </w:rPr>
        <w:t>www.nopta.gov.au</w:t>
      </w:r>
    </w:hyperlink>
    <w:r>
      <w:t xml:space="preserve"> </w:t>
    </w:r>
    <w:r>
      <w:tab/>
    </w:r>
    <w:r>
      <w:tab/>
    </w:r>
    <w:r w:rsidRPr="00FE1B58">
      <w:t xml:space="preserve">Version </w:t>
    </w:r>
    <w:r w:rsidR="00717680" w:rsidRPr="00C71154">
      <w:t>4</w:t>
    </w:r>
    <w:r w:rsidRPr="00C71154">
      <w:t xml:space="preserve">: </w:t>
    </w:r>
    <w:r w:rsidR="00FE1B58" w:rsidRPr="00FE1B58">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58245"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2AF3" id="_x0000_t202" coordsize="21600,21600" o:spt="202" path="m,l,21600r21600,l21600,xe">
              <v:stroke joinstyle="miter"/>
              <v:path gradientshapeok="t" o:connecttype="rect"/>
            </v:shapetype>
            <v:shape id="Text Box 10" o:spid="_x0000_s1029"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558E" w14:textId="77777777" w:rsidR="00A6539B" w:rsidRDefault="00A6539B" w:rsidP="00C83270">
      <w:pPr>
        <w:spacing w:before="0" w:after="0"/>
      </w:pPr>
      <w:r>
        <w:separator/>
      </w:r>
    </w:p>
  </w:footnote>
  <w:footnote w:type="continuationSeparator" w:id="0">
    <w:p w14:paraId="647F8F4F" w14:textId="77777777" w:rsidR="00A6539B" w:rsidRDefault="00A6539B" w:rsidP="00C832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58244"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B75F9"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1E567B79" w:rsidR="00363B0D" w:rsidRDefault="00363B0D" w:rsidP="00E00065">
    <w:pPr>
      <w:pStyle w:val="Header"/>
    </w:pPr>
    <w:r>
      <w:rPr>
        <w:noProof/>
      </w:rPr>
      <w:drawing>
        <wp:anchor distT="0" distB="0" distL="114300" distR="114300" simplePos="0" relativeHeight="251658242" behindDoc="0" locked="0" layoutInCell="1" allowOverlap="1" wp14:anchorId="49C77CE8" wp14:editId="050FB0F1">
          <wp:simplePos x="0" y="0"/>
          <wp:positionH relativeFrom="page">
            <wp:posOffset>-17145</wp:posOffset>
          </wp:positionH>
          <wp:positionV relativeFrom="page">
            <wp:posOffset>-26670</wp:posOffset>
          </wp:positionV>
          <wp:extent cx="7563600" cy="1562400"/>
          <wp:effectExtent l="0" t="0" r="0" b="0"/>
          <wp:wrapNone/>
          <wp:docPr id="2041049594" name="Picture 204104959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58243"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70031"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3E6" w14:textId="4207733E" w:rsidR="00C83270" w:rsidRDefault="00C83270">
    <w:pPr>
      <w:pStyle w:val="Header"/>
    </w:pPr>
    <w:r>
      <w:rPr>
        <w:noProof/>
      </w:rPr>
      <w:drawing>
        <wp:anchor distT="0" distB="0" distL="114300" distR="114300" simplePos="0" relativeHeight="251658240" behindDoc="0" locked="0" layoutInCell="1" allowOverlap="1" wp14:anchorId="32DCF2B5" wp14:editId="56255FBE">
          <wp:simplePos x="0" y="0"/>
          <wp:positionH relativeFrom="page">
            <wp:posOffset>-17145</wp:posOffset>
          </wp:positionH>
          <wp:positionV relativeFrom="page">
            <wp:posOffset>-34877</wp:posOffset>
          </wp:positionV>
          <wp:extent cx="7617125" cy="1562100"/>
          <wp:effectExtent l="0" t="0" r="3175" b="0"/>
          <wp:wrapNone/>
          <wp:docPr id="1540753803" name="Picture 15407538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1712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4C73FD"/>
    <w:multiLevelType w:val="hybridMultilevel"/>
    <w:tmpl w:val="0B3407A0"/>
    <w:lvl w:ilvl="0" w:tplc="C54EC1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7F58E7"/>
    <w:multiLevelType w:val="hybridMultilevel"/>
    <w:tmpl w:val="D4FECA80"/>
    <w:lvl w:ilvl="0" w:tplc="0AD280B8">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0CE7EE8"/>
    <w:multiLevelType w:val="hybridMultilevel"/>
    <w:tmpl w:val="CEDC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2"/>
  </w:num>
  <w:num w:numId="2" w16cid:durableId="1027488242">
    <w:abstractNumId w:val="0"/>
  </w:num>
  <w:num w:numId="3" w16cid:durableId="1040402204">
    <w:abstractNumId w:val="1"/>
  </w:num>
  <w:num w:numId="4" w16cid:durableId="334308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32659"/>
    <w:rsid w:val="00041771"/>
    <w:rsid w:val="0008417E"/>
    <w:rsid w:val="000B5610"/>
    <w:rsid w:val="000F4F81"/>
    <w:rsid w:val="00143B46"/>
    <w:rsid w:val="00177C18"/>
    <w:rsid w:val="0019432C"/>
    <w:rsid w:val="001D22B6"/>
    <w:rsid w:val="00214F0F"/>
    <w:rsid w:val="00291338"/>
    <w:rsid w:val="00291376"/>
    <w:rsid w:val="002A25F0"/>
    <w:rsid w:val="002D635D"/>
    <w:rsid w:val="002F7749"/>
    <w:rsid w:val="00313765"/>
    <w:rsid w:val="00363B0D"/>
    <w:rsid w:val="00374005"/>
    <w:rsid w:val="0037786E"/>
    <w:rsid w:val="003C5E4A"/>
    <w:rsid w:val="00417798"/>
    <w:rsid w:val="004E197A"/>
    <w:rsid w:val="00502176"/>
    <w:rsid w:val="00522EEF"/>
    <w:rsid w:val="00551840"/>
    <w:rsid w:val="00552A0B"/>
    <w:rsid w:val="005A6D6C"/>
    <w:rsid w:val="005B61F3"/>
    <w:rsid w:val="005D16BE"/>
    <w:rsid w:val="005D4B8B"/>
    <w:rsid w:val="00622B44"/>
    <w:rsid w:val="00637F77"/>
    <w:rsid w:val="0068115C"/>
    <w:rsid w:val="00717680"/>
    <w:rsid w:val="00794552"/>
    <w:rsid w:val="00794A12"/>
    <w:rsid w:val="00832BF4"/>
    <w:rsid w:val="008E3E2D"/>
    <w:rsid w:val="008F3BD8"/>
    <w:rsid w:val="009576B7"/>
    <w:rsid w:val="00975109"/>
    <w:rsid w:val="009861E9"/>
    <w:rsid w:val="00A20756"/>
    <w:rsid w:val="00A6539B"/>
    <w:rsid w:val="00A661E4"/>
    <w:rsid w:val="00B14888"/>
    <w:rsid w:val="00B3773D"/>
    <w:rsid w:val="00B40084"/>
    <w:rsid w:val="00B400F6"/>
    <w:rsid w:val="00B659EC"/>
    <w:rsid w:val="00B925AD"/>
    <w:rsid w:val="00C71154"/>
    <w:rsid w:val="00C83270"/>
    <w:rsid w:val="00CF2190"/>
    <w:rsid w:val="00D32435"/>
    <w:rsid w:val="00D514F4"/>
    <w:rsid w:val="00D93C15"/>
    <w:rsid w:val="00D97E22"/>
    <w:rsid w:val="00DF6146"/>
    <w:rsid w:val="00E00065"/>
    <w:rsid w:val="00E03F48"/>
    <w:rsid w:val="00E053E4"/>
    <w:rsid w:val="00E431EB"/>
    <w:rsid w:val="00E75C9E"/>
    <w:rsid w:val="00EA7075"/>
    <w:rsid w:val="00EA7EE7"/>
    <w:rsid w:val="00EC5FDE"/>
    <w:rsid w:val="00F11C2E"/>
    <w:rsid w:val="00F3268C"/>
    <w:rsid w:val="00FD4F89"/>
    <w:rsid w:val="00FE1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3D"/>
    <w:pPr>
      <w:spacing w:before="120" w:after="240" w:line="240" w:lineRule="auto"/>
    </w:pPr>
    <w:rPr>
      <w:rFonts w:ascii="Aptos" w:hAnsi="Aptos"/>
      <w:color w:val="565751"/>
      <w:sz w:val="20"/>
    </w:rPr>
  </w:style>
  <w:style w:type="paragraph" w:styleId="Heading1">
    <w:name w:val="heading 1"/>
    <w:basedOn w:val="Title"/>
    <w:next w:val="Normal"/>
    <w:link w:val="Heading1Char"/>
    <w:uiPriority w:val="9"/>
    <w:qFormat/>
    <w:rsid w:val="00B3773D"/>
    <w:pPr>
      <w:outlineLvl w:val="0"/>
    </w:pPr>
    <w:rPr>
      <w:rFonts w:ascii="Aptos Display" w:hAnsi="Aptos Display"/>
      <w:b w:val="0"/>
      <w:sz w:val="52"/>
    </w:rPr>
  </w:style>
  <w:style w:type="paragraph" w:styleId="Heading2">
    <w:name w:val="heading 2"/>
    <w:basedOn w:val="Heading1"/>
    <w:next w:val="Normal"/>
    <w:link w:val="Heading2Char"/>
    <w:autoRedefine/>
    <w:unhideWhenUsed/>
    <w:qFormat/>
    <w:rsid w:val="00B3773D"/>
    <w:pPr>
      <w:spacing w:before="240" w:after="120"/>
      <w:outlineLvl w:val="1"/>
    </w:pPr>
    <w:rPr>
      <w:rFonts w:ascii="Aptos" w:hAnsi="Aptos"/>
      <w:b/>
      <w:sz w:val="24"/>
    </w:rPr>
  </w:style>
  <w:style w:type="paragraph" w:styleId="Heading3">
    <w:name w:val="heading 3"/>
    <w:basedOn w:val="Normal"/>
    <w:next w:val="Normal"/>
    <w:link w:val="Heading3Char"/>
    <w:autoRedefine/>
    <w:uiPriority w:val="9"/>
    <w:unhideWhenUsed/>
    <w:qFormat/>
    <w:rsid w:val="00B3773D"/>
    <w:pPr>
      <w:keepNext/>
      <w:keepLines/>
      <w:outlineLvl w:val="2"/>
    </w:pPr>
    <w:rPr>
      <w:rFonts w:cstheme="majorBidi"/>
      <w:bCs/>
      <w:iCs/>
      <w:color w:val="27639B"/>
      <w:sz w:val="22"/>
      <w:u w:val="single"/>
      <w:lang w:val="en-US"/>
    </w:rPr>
  </w:style>
  <w:style w:type="paragraph" w:styleId="Heading4">
    <w:name w:val="heading 4"/>
    <w:basedOn w:val="Normal"/>
    <w:next w:val="Normal"/>
    <w:link w:val="Heading4Char"/>
    <w:autoRedefine/>
    <w:uiPriority w:val="9"/>
    <w:unhideWhenUsed/>
    <w:qFormat/>
    <w:rsid w:val="00551840"/>
    <w:pPr>
      <w:keepNext/>
      <w:keepLines/>
      <w:spacing w:before="100" w:beforeAutospacing="1" w:after="100" w:afterAutospacing="1"/>
      <w:outlineLvl w:val="3"/>
    </w:pPr>
    <w:rPr>
      <w:rFonts w:asciiTheme="majorHAnsi" w:eastAsiaTheme="majorEastAsia" w:hAnsiTheme="majorHAnsi" w:cstheme="majorBidi"/>
      <w:i/>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B3773D"/>
    <w:rPr>
      <w:rFonts w:ascii="Aptos Display" w:eastAsiaTheme="majorEastAsia" w:hAnsi="Aptos Display" w:cstheme="majorBidi"/>
      <w:color w:val="27639B"/>
      <w:spacing w:val="-10"/>
      <w:kern w:val="28"/>
      <w:sz w:val="52"/>
      <w:szCs w:val="56"/>
    </w:rPr>
  </w:style>
  <w:style w:type="character" w:customStyle="1" w:styleId="Heading2Char">
    <w:name w:val="Heading 2 Char"/>
    <w:basedOn w:val="DefaultParagraphFont"/>
    <w:link w:val="Heading2"/>
    <w:rsid w:val="00B3773D"/>
    <w:rPr>
      <w:rFonts w:ascii="Aptos" w:eastAsiaTheme="majorEastAsia" w:hAnsi="Aptos" w:cstheme="majorBidi"/>
      <w:b/>
      <w:color w:val="27639B"/>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B3773D"/>
    <w:rPr>
      <w:rFonts w:ascii="Aptos" w:hAnsi="Aptos" w:cstheme="majorBidi"/>
      <w:bCs/>
      <w:iCs/>
      <w:color w:val="27639B"/>
      <w:u w:val="single"/>
      <w:lang w:val="en-US"/>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basedOn w:val="Normal"/>
    <w:link w:val="ListParagraphChar"/>
    <w:uiPriority w:val="34"/>
    <w:qFormat/>
    <w:rsid w:val="00D93C15"/>
    <w:pPr>
      <w:ind w:left="720"/>
      <w:contextualSpacing/>
    </w:pPr>
  </w:style>
  <w:style w:type="paragraph" w:customStyle="1" w:styleId="bullet">
    <w:name w:val="bullet"/>
    <w:basedOn w:val="ListParagraph"/>
    <w:link w:val="bulletChar"/>
    <w:autoRedefine/>
    <w:qFormat/>
    <w:rsid w:val="00E431EB"/>
    <w:pPr>
      <w:numPr>
        <w:numId w:val="1"/>
      </w:numPr>
      <w:ind w:left="357" w:hanging="357"/>
      <w:contextualSpacing w:val="0"/>
    </w:pPr>
  </w:style>
  <w:style w:type="character" w:customStyle="1" w:styleId="ListParagraphChar">
    <w:name w:val="List Paragraph Char"/>
    <w:basedOn w:val="DefaultParagraphFont"/>
    <w:link w:val="ListParagraph"/>
    <w:uiPriority w:val="34"/>
    <w:rsid w:val="00177C18"/>
    <w:rPr>
      <w:color w:val="565751"/>
      <w:sz w:val="20"/>
    </w:rPr>
  </w:style>
  <w:style w:type="character" w:customStyle="1" w:styleId="bulletChar">
    <w:name w:val="bullet Char"/>
    <w:basedOn w:val="ListParagraphChar"/>
    <w:link w:val="bullet"/>
    <w:rsid w:val="00E431EB"/>
    <w:rPr>
      <w:color w:val="565751"/>
      <w:sz w:val="20"/>
    </w:rPr>
  </w:style>
  <w:style w:type="character" w:customStyle="1" w:styleId="Heading4Char">
    <w:name w:val="Heading 4 Char"/>
    <w:basedOn w:val="DefaultParagraphFont"/>
    <w:link w:val="Heading4"/>
    <w:uiPriority w:val="9"/>
    <w:rsid w:val="00551840"/>
    <w:rPr>
      <w:rFonts w:asciiTheme="majorHAnsi" w:eastAsiaTheme="majorEastAsia" w:hAnsiTheme="majorHAnsi" w:cstheme="majorBidi"/>
      <w:i/>
      <w:iCs/>
      <w:color w:val="2F5496" w:themeColor="accent1" w:themeShade="BF"/>
      <w:sz w:val="20"/>
      <w:u w:val="single"/>
    </w:rPr>
  </w:style>
  <w:style w:type="paragraph" w:customStyle="1" w:styleId="Bullets">
    <w:name w:val="Bullets"/>
    <w:basedOn w:val="ListBullet"/>
    <w:link w:val="BulletsChar"/>
    <w:rsid w:val="00717680"/>
  </w:style>
  <w:style w:type="paragraph" w:styleId="ListBullet">
    <w:name w:val="List Bullet"/>
    <w:basedOn w:val="Normal"/>
    <w:uiPriority w:val="99"/>
    <w:semiHidden/>
    <w:unhideWhenUsed/>
    <w:rsid w:val="00717680"/>
    <w:pPr>
      <w:numPr>
        <w:numId w:val="2"/>
      </w:numPr>
      <w:spacing w:before="0" w:after="0"/>
      <w:contextualSpacing/>
    </w:pPr>
    <w:rPr>
      <w:color w:val="auto"/>
      <w:sz w:val="22"/>
    </w:rPr>
  </w:style>
  <w:style w:type="character" w:customStyle="1" w:styleId="BulletsChar">
    <w:name w:val="Bullets Char"/>
    <w:basedOn w:val="DefaultParagraphFont"/>
    <w:link w:val="Bullets"/>
    <w:rsid w:val="00717680"/>
  </w:style>
  <w:style w:type="table" w:customStyle="1" w:styleId="GridTable1Light1">
    <w:name w:val="Grid Table 1 Light1"/>
    <w:basedOn w:val="TableNormal"/>
    <w:next w:val="GridTable1Light"/>
    <w:uiPriority w:val="46"/>
    <w:rsid w:val="00717680"/>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176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F7749"/>
    <w:rPr>
      <w:rFonts w:ascii="Aptos" w:hAnsi="Aptos"/>
      <w:b/>
      <w:bCs/>
    </w:rPr>
  </w:style>
  <w:style w:type="paragraph" w:styleId="Revision">
    <w:name w:val="Revision"/>
    <w:hidden/>
    <w:uiPriority w:val="99"/>
    <w:semiHidden/>
    <w:rsid w:val="00DF6146"/>
    <w:pPr>
      <w:spacing w:after="0" w:line="240" w:lineRule="auto"/>
    </w:pPr>
    <w:rPr>
      <w:rFonts w:ascii="Aptos" w:hAnsi="Aptos"/>
      <w:color w:val="56575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itles@nopta.gov.au" TargetMode="External"/><Relationship Id="rId7" Type="http://schemas.openxmlformats.org/officeDocument/2006/relationships/settings" Target="settings.xml"/><Relationship Id="rId12" Type="http://schemas.openxmlformats.org/officeDocument/2006/relationships/hyperlink" Target="http://www.nopt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itles@nopt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opta.gov.au/forms-and-templates/petroleum-and-greenhouse-gas-for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125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https://nopta.sharepoint.com/WST/_layouts/15/DocIdRedir.aspx?ID=NOPTANET-716839524-11015</Url>
      <Description>NOPTANET-716839524-11015</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Jurisdiction xmlns="7012054d-3a07-4b40-940b-a148fc76e5c4">
      <Value>AU</Value>
    </Jurisdiction>
    <CaveatCategory xmlns="7012054d-3a07-4b40-940b-a148fc76e5c4">DLM: For Official Use Only</CaveatCategory>
    <_dlc_DocId xmlns="7012054d-3a07-4b40-940b-a148fc76e5c4">NOPTANET-716839524-11015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1114B-24D2-4067-930B-934C9D5AD467}">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8DBB3CD7-091C-4975-9F12-49E6052F92DD}">
  <ds:schemaRefs>
    <ds:schemaRef ds:uri="http://schemas.microsoft.com/sharepoint/v3/contenttype/forms"/>
  </ds:schemaRefs>
</ds:datastoreItem>
</file>

<file path=customXml/itemProps3.xml><?xml version="1.0" encoding="utf-8"?>
<ds:datastoreItem xmlns:ds="http://schemas.openxmlformats.org/officeDocument/2006/customXml" ds:itemID="{FEFA36CD-0EBF-4417-BE4E-1BCC404517A3}">
  <ds:schemaRefs>
    <ds:schemaRef ds:uri="http://schemas.microsoft.com/sharepoint/events"/>
  </ds:schemaRefs>
</ds:datastoreItem>
</file>

<file path=customXml/itemProps4.xml><?xml version="1.0" encoding="utf-8"?>
<ds:datastoreItem xmlns:ds="http://schemas.openxmlformats.org/officeDocument/2006/customXml" ds:itemID="{1F02DF79-A1EB-48E6-BF54-1195DEE71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3376</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Links>
    <vt:vector size="36" baseType="variant">
      <vt:variant>
        <vt:i4>4587571</vt:i4>
      </vt:variant>
      <vt:variant>
        <vt:i4>15</vt:i4>
      </vt:variant>
      <vt:variant>
        <vt:i4>0</vt:i4>
      </vt:variant>
      <vt:variant>
        <vt:i4>5</vt:i4>
      </vt:variant>
      <vt:variant>
        <vt:lpwstr>mailto:titles@nopta.gov.au</vt:lpwstr>
      </vt:variant>
      <vt:variant>
        <vt:lpwstr/>
      </vt:variant>
      <vt:variant>
        <vt:i4>4587571</vt:i4>
      </vt:variant>
      <vt:variant>
        <vt:i4>12</vt:i4>
      </vt:variant>
      <vt:variant>
        <vt:i4>0</vt:i4>
      </vt:variant>
      <vt:variant>
        <vt:i4>5</vt:i4>
      </vt:variant>
      <vt:variant>
        <vt:lpwstr>mailto:titles@nopta.gov.au</vt:lpwstr>
      </vt:variant>
      <vt:variant>
        <vt:lpwstr/>
      </vt:variant>
      <vt:variant>
        <vt:i4>1704011</vt:i4>
      </vt:variant>
      <vt:variant>
        <vt:i4>9</vt:i4>
      </vt:variant>
      <vt:variant>
        <vt:i4>0</vt:i4>
      </vt:variant>
      <vt:variant>
        <vt:i4>5</vt:i4>
      </vt:variant>
      <vt:variant>
        <vt:lpwstr>https://www.nopta.gov.au/forms-and-templates/petroleum-and-greenhouse-gas-forms.html</vt:lpwstr>
      </vt:variant>
      <vt:variant>
        <vt:lpwstr/>
      </vt:variant>
      <vt:variant>
        <vt:i4>720977</vt:i4>
      </vt:variant>
      <vt:variant>
        <vt:i4>3</vt:i4>
      </vt:variant>
      <vt:variant>
        <vt:i4>0</vt:i4>
      </vt:variant>
      <vt:variant>
        <vt:i4>5</vt:i4>
      </vt:variant>
      <vt:variant>
        <vt:lpwstr>http://www.nopta.gov.au/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2026-03-22T22:51:00Z</dcterms:created>
  <dcterms:modified xsi:type="dcterms:W3CDTF">2026-03-22T22:51:00Z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Point_RecordNumberSubmitted">
    <vt:lpwstr>R0000164496</vt:lpwstr>
  </property>
  <property fmtid="{D5CDD505-2E9C-101B-9397-08002B2CF9AE}" pid="4" name="LastSaved">
    <vt:filetime>2024-04-10T00:00:00Z</vt:filetime>
  </property>
  <property fmtid="{D5CDD505-2E9C-101B-9397-08002B2CF9AE}" pid="5" name="OfNationalSignificance">
    <vt:lpwstr>No</vt:lpwstr>
  </property>
  <property fmtid="{D5CDD505-2E9C-101B-9397-08002B2CF9AE}" pid="6" name="ComplianceAssetId">
    <vt:lpwstr/>
  </property>
  <property fmtid="{D5CDD505-2E9C-101B-9397-08002B2CF9AE}" pid="7" name="Titles">
    <vt:lpwstr/>
  </property>
  <property fmtid="{D5CDD505-2E9C-101B-9397-08002B2CF9AE}" pid="8" name="Title Type">
    <vt:lpwstr/>
  </property>
  <property fmtid="{D5CDD505-2E9C-101B-9397-08002B2CF9AE}" pid="9" name="MSIP_Label_93cd4f2a-0040-47df-a467-7cba635d669c_ContentBits">
    <vt:lpwstr>0</vt:lpwstr>
  </property>
  <property fmtid="{D5CDD505-2E9C-101B-9397-08002B2CF9AE}" pid="10" name="RecordPoint_ActiveItemSiteId">
    <vt:lpwstr>{d02ec70a-6101-41fa-8072-ecbec6fd4fd8}</vt:lpwstr>
  </property>
  <property fmtid="{D5CDD505-2E9C-101B-9397-08002B2CF9AE}" pid="11" name="NodRecalculate">
    <vt:bool>true</vt:bool>
  </property>
  <property fmtid="{D5CDD505-2E9C-101B-9397-08002B2CF9AE}" pid="12" name="Offshore Region">
    <vt:lpwstr/>
  </property>
  <property fmtid="{D5CDD505-2E9C-101B-9397-08002B2CF9AE}" pid="13" name="MSIP_Label_e1435138-3fd2-487f-a40f-8ee2b61234c9_ActionId">
    <vt:lpwstr>16d76e3c-e1de-4e5b-a8a3-6751c7cb267d</vt:lpwstr>
  </property>
  <property fmtid="{D5CDD505-2E9C-101B-9397-08002B2CF9AE}" pid="14" name="Offshore_x0020_Region">
    <vt:lpwstr/>
  </property>
  <property fmtid="{D5CDD505-2E9C-101B-9397-08002B2CF9AE}" pid="15" name="URL">
    <vt:lpwstr/>
  </property>
  <property fmtid="{D5CDD505-2E9C-101B-9397-08002B2CF9AE}" pid="16" name="ClassificationContentMarkingFooterShapeIds">
    <vt:lpwstr>b,c,d,e,f,10</vt:lpwstr>
  </property>
  <property fmtid="{D5CDD505-2E9C-101B-9397-08002B2CF9AE}" pid="17" name="NodDocumentUtility">
    <vt:lpwstr>;#External;#</vt:lpwstr>
  </property>
  <property fmtid="{D5CDD505-2E9C-101B-9397-08002B2CF9AE}" pid="18" name="MSIP_Label_e1435138-3fd2-487f-a40f-8ee2b61234c9_Name">
    <vt:lpwstr>e1435138-3fd2-487f-a40f-8ee2b61234c9</vt:lpwstr>
  </property>
  <property fmtid="{D5CDD505-2E9C-101B-9397-08002B2CF9AE}" pid="19" name="xd_Signature">
    <vt:bool>false</vt:bool>
  </property>
  <property fmtid="{D5CDD505-2E9C-101B-9397-08002B2CF9AE}" pid="20" name="Application Library">
    <vt:lpwstr/>
  </property>
  <property fmtid="{D5CDD505-2E9C-101B-9397-08002B2CF9AE}" pid="21" name="ClassificationContentMarkingHeaderShapeIds">
    <vt:lpwstr>1,2,3,4,9,a</vt:lpwstr>
  </property>
  <property fmtid="{D5CDD505-2E9C-101B-9397-08002B2CF9AE}" pid="22" name="MSIP_Label_93cd4f2a-0040-47df-a467-7cba635d669c_ActionId">
    <vt:lpwstr>6d648ca7-ae83-42a8-a286-be92b74773d0</vt:lpwstr>
  </property>
  <property fmtid="{D5CDD505-2E9C-101B-9397-08002B2CF9AE}" pid="23" name="Created">
    <vt:filetime>2023-02-14T00:00:00Z</vt:filetime>
  </property>
  <property fmtid="{D5CDD505-2E9C-101B-9397-08002B2CF9AE}" pid="24" name="ClassificationContentMarkingFooterFontProps">
    <vt:lpwstr>#ff0000,11,Arial</vt:lpwstr>
  </property>
  <property fmtid="{D5CDD505-2E9C-101B-9397-08002B2CF9AE}" pid="25" name="MSIP_Label_e1435138-3fd2-487f-a40f-8ee2b61234c9_Enabled">
    <vt:lpwstr>true</vt:lpwstr>
  </property>
  <property fmtid="{D5CDD505-2E9C-101B-9397-08002B2CF9AE}" pid="26" name="MSIP_Label_93cd4f2a-0040-47df-a467-7cba635d669c_Enabled">
    <vt:lpwstr>true</vt:lpwstr>
  </property>
  <property fmtid="{D5CDD505-2E9C-101B-9397-08002B2CF9AE}" pid="27" name="RecordPoint_ActiveItemWebId">
    <vt:lpwstr>{534ecb78-ceec-4263-97fc-d32ad715d31f}</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Factsheet</vt:lpwstr>
  </property>
  <property fmtid="{D5CDD505-2E9C-101B-9397-08002B2CF9AE}" pid="32" name="NodAuthors">
    <vt:lpwstr>1317;#i:0#.f|membership|anita.cloherty@nopta.gov.au</vt:lpwstr>
  </property>
  <property fmtid="{D5CDD505-2E9C-101B-9397-08002B2CF9AE}" pid="33" name="MSIP_Label_e1435138-3fd2-487f-a40f-8ee2b61234c9_SetDate">
    <vt:lpwstr>2022-01-21T04:22:41Z</vt:lpwstr>
  </property>
  <property fmtid="{D5CDD505-2E9C-101B-9397-08002B2CF9AE}" pid="34" name="Business Function">
    <vt:lpwstr>764;#Reviews|5fe29a63-56af-46cc-ae65-434b63cde2b7</vt:lpwstr>
  </property>
  <property fmtid="{D5CDD505-2E9C-101B-9397-08002B2CF9AE}" pid="35" name="_dlc_DocIdItemGuid">
    <vt:lpwstr>0b22e09d-137e-4248-b936-4507ddd653a6</vt:lpwstr>
  </property>
  <property fmtid="{D5CDD505-2E9C-101B-9397-08002B2CF9AE}" pid="36" name="MSIP_Label_93cd4f2a-0040-47df-a467-7cba635d669c_SetDate">
    <vt:lpwstr>2024-02-19T06:50:55Z</vt:lpwstr>
  </property>
  <property fmtid="{D5CDD505-2E9C-101B-9397-08002B2CF9AE}" pid="37" name="MSIP_Label_e1435138-3fd2-487f-a40f-8ee2b61234c9_SiteId">
    <vt:lpwstr>2940859f-ee86-4ee3-848f-02ac9eba62b2</vt:lpwstr>
  </property>
  <property fmtid="{D5CDD505-2E9C-101B-9397-08002B2CF9AE}" pid="38" name="MSIP_Label_e1435138-3fd2-487f-a40f-8ee2b61234c9_Method">
    <vt:lpwstr>Privileged</vt:lpwstr>
  </property>
  <property fmtid="{D5CDD505-2E9C-101B-9397-08002B2CF9AE}" pid="39" name="DocumentType">
    <vt:lpwstr>125;#Fact Sheet|d3f18156-6d06-4b36-b33d-bc546f991cd2</vt:lpwstr>
  </property>
  <property fmtid="{D5CDD505-2E9C-101B-9397-08002B2CF9AE}" pid="40" name="TriggerFlowInfo">
    <vt:lpwstr/>
  </property>
  <property fmtid="{D5CDD505-2E9C-101B-9397-08002B2CF9AE}" pid="41" name="RecordPoint_ActiveItemUniqueId">
    <vt:lpwstr>{d5b71334-00e2-487a-aefc-84304204e32c}</vt:lpwstr>
  </property>
  <property fmtid="{D5CDD505-2E9C-101B-9397-08002B2CF9AE}" pid="42" name="NodTeamOwner">
    <vt:lpwstr>Titles</vt:lpwstr>
  </property>
  <property fmtid="{D5CDD505-2E9C-101B-9397-08002B2CF9AE}" pid="43" name="ClassificationContentMarkingFooterText">
    <vt:lpwstr>OFFICIAL</vt:lpwstr>
  </property>
  <property fmtid="{D5CDD505-2E9C-101B-9397-08002B2CF9AE}" pid="44" name="Title_x0020_Type">
    <vt:lpwstr/>
  </property>
  <property fmtid="{D5CDD505-2E9C-101B-9397-08002B2CF9AE}" pid="45" name="NodRisk">
    <vt:lpwstr>Low</vt:lpwstr>
  </property>
  <property fmtid="{D5CDD505-2E9C-101B-9397-08002B2CF9AE}" pid="46" name="ClassificationContentMarkingHeaderText">
    <vt:lpwstr>OFFICIAL</vt:lpwstr>
  </property>
  <property fmtid="{D5CDD505-2E9C-101B-9397-08002B2CF9AE}" pid="47" name="MSIP_Label_93cd4f2a-0040-47df-a467-7cba635d669c_Method">
    <vt:lpwstr>Standard</vt:lpwstr>
  </property>
  <property fmtid="{D5CDD505-2E9C-101B-9397-08002B2CF9AE}" pid="48" name="MSIP_Label_93cd4f2a-0040-47df-a467-7cba635d669c_SiteId">
    <vt:lpwstr>2940859f-ee86-4ee3-848f-02ac9eba62b2</vt:lpwstr>
  </property>
  <property fmtid="{D5CDD505-2E9C-101B-9397-08002B2CF9AE}" pid="49" name="MSIP_Label_e1435138-3fd2-487f-a40f-8ee2b61234c9_ContentBits">
    <vt:lpwstr>3</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MSIP_Label_93cd4f2a-0040-47df-a467-7cba635d669c_Name">
    <vt:lpwstr>OFFICIAL - NOPTA</vt:lpwstr>
  </property>
  <property fmtid="{D5CDD505-2E9C-101B-9397-08002B2CF9AE}" pid="54" name="RecordPoint_WorkflowType">
    <vt:lpwstr>ActiveSubmitStub</vt:lpwstr>
  </property>
  <property fmtid="{D5CDD505-2E9C-101B-9397-08002B2CF9AE}" pid="55" name="ClassificationContentMarkingHeaderFontProps">
    <vt:lpwstr>#ff0000,11,Arial</vt:lpwstr>
  </property>
  <property fmtid="{D5CDD505-2E9C-101B-9397-08002B2CF9AE}" pid="56" name="TemplateUrl">
    <vt:lpwstr/>
  </property>
  <property fmtid="{D5CDD505-2E9C-101B-9397-08002B2CF9AE}" pid="57" name="_ExtendedDescription">
    <vt:lpwstr/>
  </property>
  <property fmtid="{D5CDD505-2E9C-101B-9397-08002B2CF9AE}" pid="58" name="RecordPoint_ActiveItemListId">
    <vt:lpwstr>{478775bc-9c4f-4f34-ba66-087519ae94a1}</vt:lpwstr>
  </property>
  <property fmtid="{D5CDD505-2E9C-101B-9397-08002B2CF9AE}" pid="59" name="RecordPoint_SubmissionCompleted">
    <vt:lpwstr>2018-10-04T13:09:04.9781436+08:00</vt:lpwstr>
  </property>
  <property fmtid="{D5CDD505-2E9C-101B-9397-08002B2CF9AE}" pid="60" name="Comments">
    <vt:lpwstr/>
  </property>
  <property fmtid="{D5CDD505-2E9C-101B-9397-08002B2CF9AE}" pid="61" name="_docset_NoMedatataSyncRequired">
    <vt:lpwstr>False</vt:lpwstr>
  </property>
  <property fmtid="{D5CDD505-2E9C-101B-9397-08002B2CF9AE}" pid="62" name="docLang">
    <vt:lpwstr>en</vt:lpwstr>
  </property>
</Properties>
</file>