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7552" w14:textId="77777777" w:rsidR="00170AA9" w:rsidRPr="00502AB7" w:rsidRDefault="00170AA9" w:rsidP="002B0A45">
      <w:pPr>
        <w:pStyle w:val="Heading1"/>
        <w:spacing w:before="0"/>
        <w:rPr>
          <w:b w:val="0"/>
          <w:bCs/>
          <w:sz w:val="52"/>
          <w:szCs w:val="52"/>
        </w:rPr>
      </w:pPr>
      <w:r w:rsidRPr="00502AB7">
        <w:rPr>
          <w:b w:val="0"/>
          <w:bCs/>
          <w:sz w:val="52"/>
          <w:szCs w:val="52"/>
        </w:rPr>
        <w:t xml:space="preserve">Key Greenhouse Gas Operations </w:t>
      </w:r>
    </w:p>
    <w:p w14:paraId="11E96AC0" w14:textId="0F07DDFA" w:rsidR="00760394" w:rsidRPr="00D932DD" w:rsidRDefault="00760394" w:rsidP="00E25923">
      <w:pPr>
        <w:pBdr>
          <w:bottom w:val="single" w:sz="4" w:space="1" w:color="auto"/>
        </w:pBdr>
        <w:spacing w:before="0"/>
        <w:rPr>
          <w:szCs w:val="20"/>
        </w:rPr>
      </w:pPr>
      <w:r w:rsidRPr="00D932DD">
        <w:rPr>
          <w:szCs w:val="20"/>
          <w:lang w:val="en-US" w:eastAsia="en-AU"/>
        </w:rPr>
        <w:t xml:space="preserve">All fact sheets </w:t>
      </w:r>
      <w:r w:rsidRPr="00D932DD">
        <w:rPr>
          <w:szCs w:val="20"/>
        </w:rPr>
        <w:t xml:space="preserve">should be read in conjunction with the </w:t>
      </w:r>
      <w:hyperlink r:id="rId12">
        <w:r w:rsidRPr="00D932DD">
          <w:rPr>
            <w:rStyle w:val="Hyperlink"/>
            <w:i/>
            <w:iCs/>
            <w:szCs w:val="20"/>
          </w:rPr>
          <w:t>Offshore Petroleum and Greenhouse Gas Storage Act 2006</w:t>
        </w:r>
      </w:hyperlink>
      <w:r w:rsidRPr="00D932DD">
        <w:rPr>
          <w:i/>
          <w:iCs/>
          <w:szCs w:val="20"/>
        </w:rPr>
        <w:t xml:space="preserve"> </w:t>
      </w:r>
      <w:r w:rsidRPr="00D932DD">
        <w:t>(</w:t>
      </w:r>
      <w:r w:rsidRPr="00502AB7">
        <w:rPr>
          <w:rStyle w:val="Strong"/>
        </w:rPr>
        <w:t>the OPGGS Act</w:t>
      </w:r>
      <w:r w:rsidRPr="00D932DD">
        <w:t>), associated regulations, relevant guidelines and policies (available on</w:t>
      </w:r>
      <w:r w:rsidRPr="00D932DD">
        <w:rPr>
          <w:szCs w:val="20"/>
        </w:rPr>
        <w:t xml:space="preserve"> </w:t>
      </w:r>
      <w:hyperlink r:id="rId13">
        <w:r w:rsidRPr="00D932DD">
          <w:rPr>
            <w:rStyle w:val="Hyperlink"/>
            <w:szCs w:val="20"/>
          </w:rPr>
          <w:t>NOPTA’s website</w:t>
        </w:r>
      </w:hyperlink>
      <w:r w:rsidRPr="00D932DD">
        <w:rPr>
          <w:szCs w:val="20"/>
        </w:rPr>
        <w:t>).</w:t>
      </w:r>
    </w:p>
    <w:p w14:paraId="42B0FC46" w14:textId="77777777" w:rsidR="00760394" w:rsidRPr="00D932DD" w:rsidRDefault="00760394" w:rsidP="00E25923">
      <w:pPr>
        <w:pBdr>
          <w:bottom w:val="single" w:sz="4" w:space="1" w:color="auto"/>
        </w:pBdr>
        <w:sectPr w:rsidR="00760394" w:rsidRPr="00D932DD" w:rsidSect="00E5690F">
          <w:headerReference w:type="even" r:id="rId14"/>
          <w:headerReference w:type="default" r:id="rId15"/>
          <w:footerReference w:type="even" r:id="rId16"/>
          <w:footerReference w:type="default" r:id="rId17"/>
          <w:headerReference w:type="first" r:id="rId18"/>
          <w:footerReference w:type="first" r:id="rId19"/>
          <w:pgSz w:w="11906" w:h="16838"/>
          <w:pgMar w:top="2552" w:right="851" w:bottom="851" w:left="851" w:header="709" w:footer="454" w:gutter="0"/>
          <w:cols w:space="708"/>
          <w:docGrid w:linePitch="360"/>
        </w:sectPr>
      </w:pPr>
    </w:p>
    <w:p w14:paraId="006E3128" w14:textId="77777777" w:rsidR="0056397A" w:rsidRPr="00D932DD" w:rsidRDefault="0056397A" w:rsidP="00EF41A9">
      <w:pPr>
        <w:rPr>
          <w:rFonts w:eastAsia="Times New Roman" w:cstheme="minorHAnsi"/>
          <w:color w:val="5F5F5F"/>
        </w:rPr>
      </w:pPr>
      <w:r w:rsidRPr="00D932DD">
        <w:rPr>
          <w:rFonts w:eastAsia="Times New Roman" w:cstheme="minorHAnsi"/>
          <w:color w:val="5F5F5F"/>
        </w:rPr>
        <w:t>A greenhouse gas (</w:t>
      </w:r>
      <w:r w:rsidRPr="00D932DD">
        <w:rPr>
          <w:rFonts w:eastAsia="Times New Roman" w:cstheme="minorHAnsi"/>
          <w:b/>
          <w:bCs/>
          <w:color w:val="5F5F5F"/>
        </w:rPr>
        <w:t>GHG</w:t>
      </w:r>
      <w:r w:rsidRPr="00D932DD">
        <w:rPr>
          <w:rFonts w:eastAsia="Times New Roman" w:cstheme="minorHAnsi"/>
          <w:color w:val="5F5F5F"/>
        </w:rPr>
        <w:t>) assessment permittee or holding lessee must seek prior approval from the responsible Commonwealth Minster (</w:t>
      </w:r>
      <w:r w:rsidRPr="00502AB7">
        <w:rPr>
          <w:rStyle w:val="Strong"/>
        </w:rPr>
        <w:t>RCM</w:t>
      </w:r>
      <w:r w:rsidRPr="00D932DD">
        <w:rPr>
          <w:rFonts w:eastAsia="Times New Roman" w:cstheme="minorHAnsi"/>
          <w:color w:val="5F5F5F"/>
        </w:rPr>
        <w:t>) to undertake a key GHG operation. An application for approval is made to the RCM, as relevant, under sections 292, 292A, 321 or 321A of the</w:t>
      </w:r>
      <w:r w:rsidRPr="00D932DD">
        <w:rPr>
          <w:rFonts w:eastAsia="Times New Roman" w:cstheme="minorHAnsi"/>
          <w:b/>
          <w:bCs/>
          <w:color w:val="5F5F5F"/>
        </w:rPr>
        <w:t xml:space="preserve"> </w:t>
      </w:r>
      <w:r w:rsidRPr="00D932DD">
        <w:rPr>
          <w:rFonts w:eastAsia="Times New Roman" w:cstheme="minorHAnsi"/>
          <w:color w:val="5F5F5F"/>
        </w:rPr>
        <w:t xml:space="preserve">OPGGS Act. </w:t>
      </w:r>
    </w:p>
    <w:p w14:paraId="1E60859A" w14:textId="77777777" w:rsidR="0056397A" w:rsidRPr="00D932DD" w:rsidRDefault="0056397A" w:rsidP="003E658B">
      <w:pPr>
        <w:rPr>
          <w:rFonts w:eastAsia="Times New Roman"/>
        </w:rPr>
      </w:pPr>
      <w:r w:rsidRPr="00D932DD">
        <w:t>The OPPGS Act describes how the GHG and petroleum industries coexist, including in some circumstances where a GHG operation could impact</w:t>
      </w:r>
      <w:r w:rsidRPr="00D932DD">
        <w:rPr>
          <w:rStyle w:val="FootnoteReference"/>
          <w:color w:val="5F5F5F"/>
          <w:szCs w:val="18"/>
        </w:rPr>
        <w:footnoteReference w:id="1"/>
      </w:r>
      <w:r w:rsidRPr="00D932DD">
        <w:t xml:space="preserve"> on petroleum operations.</w:t>
      </w:r>
      <w:r w:rsidRPr="00D932DD" w:rsidDel="007407A5">
        <w:rPr>
          <w:rFonts w:eastAsia="Times New Roman"/>
        </w:rPr>
        <w:t xml:space="preserve"> </w:t>
      </w:r>
    </w:p>
    <w:p w14:paraId="220F3153" w14:textId="77777777" w:rsidR="0056397A" w:rsidRPr="00D932DD" w:rsidRDefault="0056397A" w:rsidP="003E658B">
      <w:pPr>
        <w:pStyle w:val="Heading2"/>
      </w:pPr>
      <w:r w:rsidRPr="00D932DD">
        <w:t>Definition of key GHG operations</w:t>
      </w:r>
    </w:p>
    <w:p w14:paraId="3BE414BE" w14:textId="77777777" w:rsidR="0056397A" w:rsidRPr="00D932DD" w:rsidRDefault="0056397A" w:rsidP="002B0A45">
      <w:pPr>
        <w:spacing w:after="120"/>
        <w:rPr>
          <w:rFonts w:eastAsia="Times New Roman" w:cstheme="minorHAnsi"/>
          <w:color w:val="5F5F5F"/>
          <w:szCs w:val="20"/>
        </w:rPr>
      </w:pPr>
      <w:r w:rsidRPr="00D932DD">
        <w:rPr>
          <w:rFonts w:eastAsia="Times New Roman" w:cstheme="minorHAnsi"/>
          <w:color w:val="5F5F5F"/>
          <w:szCs w:val="20"/>
        </w:rPr>
        <w:t>Under the definition in section 7 of the OPGGS Act a key GHG operation includes:</w:t>
      </w:r>
    </w:p>
    <w:p w14:paraId="37FCA3D3" w14:textId="77777777" w:rsidR="0056397A" w:rsidRPr="002613E7" w:rsidRDefault="0056397A" w:rsidP="00E502DD">
      <w:pPr>
        <w:pStyle w:val="bullet"/>
      </w:pPr>
      <w:r w:rsidRPr="002613E7">
        <w:t>make a well</w:t>
      </w:r>
    </w:p>
    <w:p w14:paraId="7225B795" w14:textId="77777777" w:rsidR="0056397A" w:rsidRPr="002613E7" w:rsidRDefault="0056397A" w:rsidP="00E502DD">
      <w:pPr>
        <w:pStyle w:val="bullet"/>
      </w:pPr>
      <w:r w:rsidRPr="002613E7">
        <w:t>inject a GHG substance, air, petroleum, or water on an appraisal basis</w:t>
      </w:r>
    </w:p>
    <w:p w14:paraId="2C00B87B" w14:textId="77777777" w:rsidR="0056397A" w:rsidRPr="002613E7" w:rsidRDefault="0056397A" w:rsidP="00E502DD">
      <w:pPr>
        <w:pStyle w:val="bullet"/>
      </w:pPr>
      <w:r w:rsidRPr="002613E7">
        <w:t>store a GHG substance, air, petroleum, or water on an appraisal basis</w:t>
      </w:r>
    </w:p>
    <w:p w14:paraId="32B20925" w14:textId="77777777" w:rsidR="0056397A" w:rsidRPr="002613E7" w:rsidRDefault="0056397A" w:rsidP="00E502DD">
      <w:pPr>
        <w:pStyle w:val="bullet"/>
      </w:pPr>
      <w:r w:rsidRPr="002613E7">
        <w:t>a seismic survey or survey of any kind</w:t>
      </w:r>
    </w:p>
    <w:p w14:paraId="7315AEB3" w14:textId="77777777" w:rsidR="0056397A" w:rsidRPr="002613E7" w:rsidRDefault="0056397A" w:rsidP="00E502DD">
      <w:pPr>
        <w:pStyle w:val="bullet"/>
      </w:pPr>
      <w:r w:rsidRPr="002613E7">
        <w:t>monitor behaviour of a GHG substance, air, petroleum, or water</w:t>
      </w:r>
    </w:p>
    <w:p w14:paraId="21DBF633" w14:textId="77777777" w:rsidR="0056397A" w:rsidRPr="002613E7" w:rsidRDefault="0056397A" w:rsidP="00E502DD">
      <w:pPr>
        <w:pStyle w:val="bullet"/>
      </w:pPr>
      <w:r w:rsidRPr="002613E7">
        <w:t>baseline investigation</w:t>
      </w:r>
    </w:p>
    <w:p w14:paraId="0E80CF08" w14:textId="77777777" w:rsidR="0056397A" w:rsidRPr="002613E7" w:rsidRDefault="0056397A" w:rsidP="00E502DD">
      <w:pPr>
        <w:pStyle w:val="bullet"/>
      </w:pPr>
      <w:r w:rsidRPr="002613E7">
        <w:t>take a sample of the seabed or subsoil</w:t>
      </w:r>
    </w:p>
    <w:p w14:paraId="7E932AD6" w14:textId="77777777" w:rsidR="0056397A" w:rsidRPr="002613E7" w:rsidRDefault="0056397A" w:rsidP="00E502DD">
      <w:pPr>
        <w:pStyle w:val="bullet"/>
      </w:pPr>
      <w:r w:rsidRPr="002613E7">
        <w:t>or as specified in the regulations</w:t>
      </w:r>
      <w:r w:rsidRPr="002613E7">
        <w:rPr>
          <w:rStyle w:val="FootnoteReference"/>
          <w:vertAlign w:val="baseline"/>
        </w:rPr>
        <w:footnoteReference w:id="2"/>
      </w:r>
    </w:p>
    <w:p w14:paraId="6EDF5823" w14:textId="77777777" w:rsidR="0056397A" w:rsidRPr="00D932DD" w:rsidRDefault="0056397A" w:rsidP="003E658B">
      <w:pPr>
        <w:pStyle w:val="Heading2"/>
      </w:pPr>
      <w:r w:rsidRPr="00D932DD">
        <w:t>Approval of key GHG operations</w:t>
      </w:r>
    </w:p>
    <w:p w14:paraId="3F1F29B4" w14:textId="13F21266" w:rsidR="0056397A" w:rsidRPr="008D5738" w:rsidRDefault="0056397A" w:rsidP="00EF41A9">
      <w:pPr>
        <w:rPr>
          <w:rFonts w:eastAsia="Times New Roman" w:cstheme="minorHAnsi"/>
          <w:color w:val="5F5F5F"/>
          <w:spacing w:val="-2"/>
          <w:szCs w:val="20"/>
        </w:rPr>
      </w:pPr>
      <w:r w:rsidRPr="008D5738">
        <w:rPr>
          <w:rFonts w:eastAsia="Times New Roman" w:cstheme="minorHAnsi"/>
          <w:color w:val="5F5F5F"/>
          <w:spacing w:val="-2"/>
          <w:szCs w:val="20"/>
        </w:rPr>
        <w:t xml:space="preserve">The RCM must have regard to the impact (if any) that a key GHG operation could have on a petroleum operation (see subsection 292(4) or 292A(4), 321(4) or 321A(4)). </w:t>
      </w:r>
    </w:p>
    <w:p w14:paraId="298FC472" w14:textId="766AE466" w:rsidR="0056397A" w:rsidRDefault="0056397A" w:rsidP="00EF41A9">
      <w:pPr>
        <w:rPr>
          <w:rFonts w:eastAsia="Times New Roman" w:cstheme="minorHAnsi"/>
          <w:color w:val="5F5F5F"/>
          <w:szCs w:val="20"/>
        </w:rPr>
      </w:pPr>
      <w:bookmarkStart w:id="0" w:name="_Ref86830740"/>
      <w:r w:rsidRPr="00D932DD">
        <w:rPr>
          <w:rFonts w:eastAsia="Times New Roman" w:cstheme="minorHAnsi"/>
          <w:color w:val="5F5F5F"/>
          <w:szCs w:val="20"/>
        </w:rPr>
        <w:t xml:space="preserve">If the RCM is satisfied that there is no significant risk to a petroleum operation, </w:t>
      </w:r>
      <w:r w:rsidR="0026482B">
        <w:rPr>
          <w:rFonts w:eastAsia="Times New Roman" w:cstheme="minorHAnsi"/>
          <w:color w:val="5F5F5F"/>
          <w:szCs w:val="20"/>
        </w:rPr>
        <w:t xml:space="preserve">but if the </w:t>
      </w:r>
      <w:r w:rsidRPr="00D932DD">
        <w:rPr>
          <w:rFonts w:eastAsia="Times New Roman" w:cstheme="minorHAnsi"/>
          <w:color w:val="5F5F5F"/>
          <w:szCs w:val="20"/>
        </w:rPr>
        <w:t>operation is to inject or store a substance into part of a geological formation</w:t>
      </w:r>
      <w:r w:rsidR="006631FB">
        <w:rPr>
          <w:rFonts w:eastAsia="Times New Roman" w:cstheme="minorHAnsi"/>
          <w:color w:val="5F5F5F"/>
          <w:szCs w:val="20"/>
        </w:rPr>
        <w:t xml:space="preserve"> the RCM bust have regard to the composition</w:t>
      </w:r>
      <w:r w:rsidR="00766EF0">
        <w:rPr>
          <w:rFonts w:eastAsia="Times New Roman" w:cstheme="minorHAnsi"/>
          <w:color w:val="5F5F5F"/>
          <w:szCs w:val="20"/>
        </w:rPr>
        <w:t xml:space="preserve"> of the substance and</w:t>
      </w:r>
      <w:r w:rsidR="00E632E2">
        <w:rPr>
          <w:rFonts w:eastAsia="Times New Roman" w:cstheme="minorHAnsi"/>
          <w:color w:val="5F5F5F"/>
          <w:szCs w:val="20"/>
        </w:rPr>
        <w:t xml:space="preserve"> lastly the RCM must have regard to </w:t>
      </w:r>
      <w:r w:rsidRPr="00D932DD">
        <w:rPr>
          <w:rFonts w:eastAsia="Times New Roman" w:cstheme="minorHAnsi"/>
          <w:color w:val="5F5F5F"/>
          <w:szCs w:val="20"/>
        </w:rPr>
        <w:t>the public interest.</w:t>
      </w:r>
    </w:p>
    <w:p w14:paraId="0B700C07" w14:textId="7330B5CD" w:rsidR="0056397A" w:rsidRPr="00D932DD" w:rsidRDefault="0056397A" w:rsidP="004268CD">
      <w:pPr>
        <w:keepNext/>
        <w:keepLines/>
        <w:rPr>
          <w:rFonts w:eastAsia="Times New Roman" w:cstheme="minorHAnsi"/>
          <w:color w:val="5F5F5F"/>
          <w:szCs w:val="20"/>
        </w:rPr>
      </w:pPr>
      <w:r w:rsidRPr="00D932DD">
        <w:rPr>
          <w:rFonts w:eastAsia="Times New Roman" w:cstheme="minorHAnsi"/>
          <w:color w:val="5F5F5F"/>
          <w:szCs w:val="20"/>
        </w:rPr>
        <w:t>If the RCM is satisfied that there is a significant risk of an impact of the key GHG operations on petroleum operations that are being or could be carried on under and existing or future petroleum title, whether the impact is a significant</w:t>
      </w:r>
      <w:r w:rsidRPr="00D932DD">
        <w:rPr>
          <w:rFonts w:eastAsia="Times New Roman" w:cstheme="minorHAnsi"/>
          <w:i/>
          <w:iCs/>
          <w:color w:val="5F5F5F"/>
          <w:szCs w:val="20"/>
        </w:rPr>
        <w:t xml:space="preserve"> </w:t>
      </w:r>
      <w:r w:rsidRPr="00D932DD">
        <w:rPr>
          <w:rFonts w:eastAsia="Times New Roman" w:cstheme="minorHAnsi"/>
          <w:color w:val="5F5F5F"/>
          <w:szCs w:val="20"/>
        </w:rPr>
        <w:t>adverse impact and there is a significant risk of it occurring. This is referred to as significant risk of significant adverse impact (</w:t>
      </w:r>
      <w:r w:rsidRPr="00B20555">
        <w:rPr>
          <w:rStyle w:val="Strong"/>
        </w:rPr>
        <w:t>SROSAI</w:t>
      </w:r>
      <w:r w:rsidRPr="00D932DD">
        <w:rPr>
          <w:rFonts w:eastAsia="Times New Roman" w:cstheme="minorHAnsi"/>
          <w:color w:val="5F5F5F"/>
          <w:szCs w:val="20"/>
        </w:rPr>
        <w:t>) in the OPGGS Act and regulations</w:t>
      </w:r>
      <w:r w:rsidRPr="00D932DD">
        <w:rPr>
          <w:rStyle w:val="FootnoteReference"/>
          <w:rFonts w:cstheme="minorHAnsi"/>
          <w:color w:val="5F5F5F"/>
          <w:szCs w:val="20"/>
        </w:rPr>
        <w:t>2</w:t>
      </w:r>
      <w:r w:rsidRPr="00D932DD">
        <w:rPr>
          <w:rFonts w:eastAsia="Times New Roman" w:cstheme="minorHAnsi"/>
          <w:color w:val="5F5F5F"/>
          <w:szCs w:val="20"/>
        </w:rPr>
        <w:t>.</w:t>
      </w:r>
      <w:bookmarkEnd w:id="0"/>
    </w:p>
    <w:p w14:paraId="2421FDCE" w14:textId="77777777" w:rsidR="0056397A" w:rsidRPr="00D932DD" w:rsidRDefault="0056397A" w:rsidP="003E658B">
      <w:pPr>
        <w:pStyle w:val="Heading2"/>
      </w:pPr>
      <w:r w:rsidRPr="00D932DD">
        <w:t>Applications</w:t>
      </w:r>
    </w:p>
    <w:p w14:paraId="47129503" w14:textId="78739374" w:rsidR="0056397A" w:rsidRPr="00D932DD" w:rsidRDefault="0056397A" w:rsidP="008F25AF">
      <w:pPr>
        <w:rPr>
          <w:rFonts w:eastAsia="Times New Roman" w:cstheme="minorHAnsi"/>
          <w:color w:val="5F5F5F"/>
          <w:szCs w:val="20"/>
        </w:rPr>
      </w:pPr>
      <w:r w:rsidRPr="00D932DD">
        <w:rPr>
          <w:rFonts w:eastAsia="Times New Roman" w:cstheme="minorHAnsi"/>
          <w:color w:val="5F5F5F"/>
          <w:szCs w:val="20"/>
        </w:rPr>
        <w:t xml:space="preserve">An application can encompass one or more key GHG operations that occur during the same time frame. For example, drilling, testing, and taking core samples from a well or carrying out a site survey that includes seabed sampling and geophysical surveying. </w:t>
      </w:r>
    </w:p>
    <w:p w14:paraId="2EEB7160" w14:textId="0BE11580" w:rsidR="0056397A" w:rsidRPr="00D932DD" w:rsidRDefault="0016004D" w:rsidP="00E502DD">
      <w:proofErr w:type="gramStart"/>
      <w:r>
        <w:rPr>
          <w:b/>
          <w:bCs/>
        </w:rPr>
        <w:t>However</w:t>
      </w:r>
      <w:proofErr w:type="gramEnd"/>
      <w:r>
        <w:rPr>
          <w:b/>
          <w:bCs/>
        </w:rPr>
        <w:t xml:space="preserve"> </w:t>
      </w:r>
      <w:r w:rsidR="0056397A" w:rsidRPr="00D932DD">
        <w:t xml:space="preserve">it is recommended applicants do not submit one application with respect to multiple activity types and timeframes/phases of activity. </w:t>
      </w:r>
    </w:p>
    <w:p w14:paraId="19694F30" w14:textId="77777777" w:rsidR="0056397A" w:rsidRPr="00D932DD" w:rsidRDefault="0056397A" w:rsidP="00702479">
      <w:pPr>
        <w:spacing w:after="120"/>
        <w:rPr>
          <w:rFonts w:eastAsia="Times New Roman" w:cstheme="minorHAnsi"/>
          <w:color w:val="5F5F5F"/>
          <w:szCs w:val="20"/>
        </w:rPr>
      </w:pPr>
      <w:r w:rsidRPr="00D932DD">
        <w:rPr>
          <w:rFonts w:eastAsia="Times New Roman" w:cstheme="minorHAnsi"/>
          <w:color w:val="5F5F5F"/>
          <w:szCs w:val="20"/>
        </w:rPr>
        <w:t xml:space="preserve">A key GHG operation application should include the following information: </w:t>
      </w:r>
    </w:p>
    <w:p w14:paraId="780F99B5" w14:textId="77777777" w:rsidR="0056397A" w:rsidRPr="00D932DD" w:rsidRDefault="0056397A" w:rsidP="00482C74">
      <w:pPr>
        <w:pStyle w:val="Heading3"/>
      </w:pPr>
      <w:r w:rsidRPr="00D932DD">
        <w:t>For all operations</w:t>
      </w:r>
    </w:p>
    <w:p w14:paraId="0988BA94" w14:textId="77777777" w:rsidR="0056397A" w:rsidRPr="00D932DD" w:rsidRDefault="0056397A" w:rsidP="00E502DD">
      <w:pPr>
        <w:pStyle w:val="bullet"/>
      </w:pPr>
      <w:r w:rsidRPr="00D932DD">
        <w:t>objective of the proposed key GHG operation, including linkages to work program commitments and/or how the operation will assist in progressing the status of the project (e.g., towards a declaration of storage formation/injection licence/site plan)</w:t>
      </w:r>
    </w:p>
    <w:p w14:paraId="5D6A8320" w14:textId="394DC861" w:rsidR="0056397A" w:rsidRPr="00D932DD" w:rsidRDefault="0056397A" w:rsidP="00E502DD">
      <w:pPr>
        <w:pStyle w:val="bullet"/>
      </w:pPr>
      <w:r w:rsidRPr="00D932DD">
        <w:t xml:space="preserve">a detailed submission against each of the relevant legislative criteria relevant to the application assessment and decision making, e.g., subsections 292(4), (7) and (8) or subsections 292A(4), (7) and (8) (reasoning should be provided if the applicant considers that there is no adverse impact for example consultation with other titleholders), </w:t>
      </w:r>
    </w:p>
    <w:p w14:paraId="5A3547C7" w14:textId="77777777" w:rsidR="0056397A" w:rsidRPr="00D932DD" w:rsidRDefault="0056397A" w:rsidP="00E502DD">
      <w:pPr>
        <w:pStyle w:val="bullet"/>
      </w:pPr>
      <w:r w:rsidRPr="00D932DD">
        <w:t>an estimate of the proposed timeline and duration of the operation</w:t>
      </w:r>
    </w:p>
    <w:p w14:paraId="490F7F60" w14:textId="77777777" w:rsidR="0056397A" w:rsidRPr="00D932DD" w:rsidRDefault="0056397A" w:rsidP="00E5690F">
      <w:pPr>
        <w:pStyle w:val="bullet"/>
        <w:keepLines/>
      </w:pPr>
      <w:r w:rsidRPr="00D932DD">
        <w:lastRenderedPageBreak/>
        <w:t xml:space="preserve">where an applicant submits there will be a significant risk of an adverse impact evidence of written agreement with relevant petroleum titleholders </w:t>
      </w:r>
    </w:p>
    <w:p w14:paraId="0C8CB08C" w14:textId="77777777" w:rsidR="0056397A" w:rsidRPr="00D932DD" w:rsidRDefault="0056397A" w:rsidP="004268CD">
      <w:pPr>
        <w:pStyle w:val="List2"/>
        <w:spacing w:before="120" w:after="240"/>
        <w:ind w:left="0" w:firstLine="0"/>
        <w:contextualSpacing w:val="0"/>
        <w:rPr>
          <w:rFonts w:cstheme="minorHAnsi"/>
          <w:color w:val="5F5F5F"/>
          <w:sz w:val="20"/>
          <w:szCs w:val="24"/>
        </w:rPr>
      </w:pPr>
      <w:r w:rsidRPr="00D932DD">
        <w:rPr>
          <w:rFonts w:cstheme="minorHAnsi"/>
          <w:color w:val="5F5F5F"/>
          <w:sz w:val="20"/>
          <w:szCs w:val="24"/>
        </w:rPr>
        <w:t xml:space="preserve">The information included in key GHG operation application will depend on the nature of the operational activity. Early engagement with NOPTA is recommended to help facilitate the application process. </w:t>
      </w:r>
    </w:p>
    <w:p w14:paraId="0C5D95A6" w14:textId="77777777" w:rsidR="0056397A" w:rsidRPr="00D932DD" w:rsidRDefault="0056397A" w:rsidP="00E5690F">
      <w:pPr>
        <w:pStyle w:val="List2"/>
        <w:spacing w:before="120" w:after="120"/>
        <w:ind w:left="0" w:firstLine="0"/>
        <w:contextualSpacing w:val="0"/>
        <w:rPr>
          <w:rFonts w:cstheme="minorHAnsi"/>
          <w:color w:val="5F5F5F"/>
          <w:sz w:val="20"/>
          <w:szCs w:val="24"/>
        </w:rPr>
      </w:pPr>
      <w:r w:rsidRPr="00D932DD">
        <w:rPr>
          <w:rFonts w:cstheme="minorHAnsi"/>
          <w:color w:val="5F5F5F"/>
          <w:sz w:val="20"/>
          <w:szCs w:val="24"/>
        </w:rPr>
        <w:t xml:space="preserve">Information requirements for applications for specific operations should include: </w:t>
      </w:r>
    </w:p>
    <w:p w14:paraId="7D42A9EA" w14:textId="77777777" w:rsidR="0056397A" w:rsidRPr="00D932DD" w:rsidRDefault="0056397A" w:rsidP="00482C74">
      <w:pPr>
        <w:pStyle w:val="Heading3"/>
      </w:pPr>
      <w:r w:rsidRPr="00D932DD">
        <w:t>For drilling</w:t>
      </w:r>
    </w:p>
    <w:p w14:paraId="017D6116" w14:textId="176FD8C8" w:rsidR="0056397A" w:rsidRPr="00D932DD" w:rsidRDefault="0056397A" w:rsidP="00E502DD">
      <w:pPr>
        <w:pStyle w:val="bullet"/>
      </w:pPr>
      <w:r w:rsidRPr="00D932DD">
        <w:t xml:space="preserve">operational details for any drilling – location of well (exact co-ordinates and well path if deviated), estimated of number of drilling days and expected operational window, operational footprint (in terms of rig type, anchor placement, support vessels, etc.) </w:t>
      </w:r>
    </w:p>
    <w:p w14:paraId="42022BD6" w14:textId="57E95A8D" w:rsidR="0056397A" w:rsidRPr="00D932DD" w:rsidRDefault="0056397A" w:rsidP="00E502DD">
      <w:pPr>
        <w:pStyle w:val="bullet"/>
      </w:pPr>
      <w:r w:rsidRPr="00D932DD">
        <w:t>map showing the well details and operational footprint outline</w:t>
      </w:r>
      <w:r w:rsidR="00E43D2E">
        <w:t xml:space="preserve"> </w:t>
      </w:r>
      <w:r w:rsidRPr="00D932DD">
        <w:t>d above and including graticular blocks, petroleum and GHG titles, and any infrastructure in the area</w:t>
      </w:r>
    </w:p>
    <w:p w14:paraId="685875FA" w14:textId="77777777" w:rsidR="0056397A" w:rsidRPr="00D932DD" w:rsidRDefault="0056397A" w:rsidP="00E502DD">
      <w:pPr>
        <w:pStyle w:val="bullet"/>
      </w:pPr>
      <w:r w:rsidRPr="00D932DD">
        <w:t>geological information in support of selection of the well location, target depth/ formation, summary of any proposed injection tests (substance, indicative depth, and volumes), information about any coring (including side-wall cores) etc</w:t>
      </w:r>
    </w:p>
    <w:p w14:paraId="24B2D6D5" w14:textId="77777777" w:rsidR="0056397A" w:rsidRPr="00D932DD" w:rsidRDefault="0056397A" w:rsidP="00E502DD">
      <w:pPr>
        <w:pStyle w:val="bullet"/>
      </w:pPr>
      <w:r w:rsidRPr="00D932DD">
        <w:t>an assessment of the likelihood of encountering/ entering hydrocarbon bearing formations during drilling; if this occurs, the submission should address any risks of damage to a formation(s) and how would those risks be mitigated/managed.</w:t>
      </w:r>
    </w:p>
    <w:p w14:paraId="7BE86924" w14:textId="77777777" w:rsidR="0056397A" w:rsidRPr="00D932DD" w:rsidRDefault="0056397A" w:rsidP="00482C74">
      <w:pPr>
        <w:pStyle w:val="Heading3"/>
      </w:pPr>
      <w:r w:rsidRPr="00D932DD">
        <w:t>For seismic acquisition</w:t>
      </w:r>
    </w:p>
    <w:p w14:paraId="1E167A06" w14:textId="77777777" w:rsidR="0056397A" w:rsidRPr="00D932DD" w:rsidRDefault="0056397A" w:rsidP="00E502DD">
      <w:pPr>
        <w:pStyle w:val="bullet"/>
      </w:pPr>
      <w:r w:rsidRPr="00D932DD">
        <w:t xml:space="preserve">operational details for any seismic acquisition – location of survey (exact co-ordinates including information about acquisition and operational areas), estimated of number of operational days, expected operational window, type of vessel, streamer length, support vessels, etc </w:t>
      </w:r>
    </w:p>
    <w:p w14:paraId="5F53FA0A" w14:textId="77777777" w:rsidR="0056397A" w:rsidRPr="00D932DD" w:rsidRDefault="0056397A" w:rsidP="00E502DD">
      <w:pPr>
        <w:pStyle w:val="bullet"/>
      </w:pPr>
      <w:r w:rsidRPr="00D932DD">
        <w:t>map showing the survey details outlined above and including graticular blocks, petroleum and GHG titles, and any infrastructure in the area.</w:t>
      </w:r>
    </w:p>
    <w:p w14:paraId="33AC44E0" w14:textId="0665542C" w:rsidR="0056397A" w:rsidRPr="00D932DD" w:rsidRDefault="0056397A" w:rsidP="00E5690F">
      <w:pPr>
        <w:pStyle w:val="Heading3"/>
      </w:pPr>
      <w:r w:rsidRPr="00D932DD">
        <w:t>For site surveys, baseline investigations or monitoring</w:t>
      </w:r>
    </w:p>
    <w:p w14:paraId="72DB06C9" w14:textId="77777777" w:rsidR="0056397A" w:rsidRPr="00D932DD" w:rsidRDefault="0056397A" w:rsidP="00E25923">
      <w:pPr>
        <w:pStyle w:val="bullet"/>
        <w:keepNext/>
        <w:keepLines/>
      </w:pPr>
      <w:r w:rsidRPr="00D932DD">
        <w:t>operational details for the activity – location of activity (exact co-ordinates of operational area), estimated of number of operational days, expected operational window, details of each component of the activity, types of sampling, the substance/s being monitored and monitoring method/s, support vessels, etc</w:t>
      </w:r>
    </w:p>
    <w:p w14:paraId="57A03CD0" w14:textId="77777777" w:rsidR="0056397A" w:rsidRPr="00D932DD" w:rsidRDefault="0056397A" w:rsidP="00E5690F">
      <w:pPr>
        <w:pStyle w:val="bullet"/>
      </w:pPr>
      <w:r w:rsidRPr="00D932DD">
        <w:t>map showing the details outlined above and including graticular blocks, petroleum and GHG titles, and any infrastructure in the area</w:t>
      </w:r>
    </w:p>
    <w:p w14:paraId="3949D1B4" w14:textId="77777777" w:rsidR="0056397A" w:rsidRPr="00D932DD" w:rsidRDefault="0056397A" w:rsidP="00E5690F">
      <w:pPr>
        <w:pStyle w:val="bullet"/>
      </w:pPr>
      <w:r w:rsidRPr="00D932DD">
        <w:t>geological information in support of selection of the location of the site survey/baseline investigation or monitoring, target depth/formation (if relevant).</w:t>
      </w:r>
    </w:p>
    <w:p w14:paraId="5FFEAD92" w14:textId="77777777" w:rsidR="0056397A" w:rsidRPr="00D932DD" w:rsidRDefault="0056397A" w:rsidP="003E658B">
      <w:pPr>
        <w:pStyle w:val="Heading2"/>
      </w:pPr>
      <w:r w:rsidRPr="00D932DD">
        <w:t>How do I apply?</w:t>
      </w:r>
    </w:p>
    <w:p w14:paraId="4855A94F" w14:textId="77777777" w:rsidR="0056397A" w:rsidRPr="00D932DD" w:rsidRDefault="0056397A" w:rsidP="007F762B">
      <w:pPr>
        <w:spacing w:before="0" w:after="120"/>
        <w:rPr>
          <w:rFonts w:eastAsia="Times New Roman" w:cstheme="minorHAnsi"/>
          <w:color w:val="5F5F5F"/>
          <w:szCs w:val="20"/>
        </w:rPr>
      </w:pPr>
      <w:r w:rsidRPr="00D932DD">
        <w:rPr>
          <w:rFonts w:eastAsia="Times New Roman" w:cstheme="minorHAnsi"/>
          <w:color w:val="5F5F5F"/>
          <w:szCs w:val="20"/>
        </w:rPr>
        <w:t xml:space="preserve">Applicants can apply in writing to NOPTA at </w:t>
      </w:r>
      <w:hyperlink r:id="rId20" w:history="1">
        <w:r w:rsidRPr="00D932DD">
          <w:rPr>
            <w:rStyle w:val="Hyperlink"/>
            <w:color w:val="0563C1"/>
            <w:szCs w:val="20"/>
          </w:rPr>
          <w:t>ghg@nopta.gov.au</w:t>
        </w:r>
      </w:hyperlink>
      <w:r w:rsidRPr="00D932DD">
        <w:rPr>
          <w:rFonts w:eastAsia="Times New Roman" w:cstheme="minorHAnsi"/>
          <w:color w:val="5F5F5F"/>
          <w:szCs w:val="20"/>
        </w:rPr>
        <w:t>.</w:t>
      </w:r>
    </w:p>
    <w:p w14:paraId="194D0B6D" w14:textId="77777777" w:rsidR="0056397A" w:rsidRPr="00D932DD" w:rsidRDefault="0056397A" w:rsidP="00905DC2">
      <w:pPr>
        <w:spacing w:before="0" w:after="0"/>
        <w:rPr>
          <w:rFonts w:eastAsia="Times New Roman" w:cstheme="minorHAnsi"/>
          <w:color w:val="5F5F5F"/>
          <w:szCs w:val="20"/>
        </w:rPr>
      </w:pPr>
      <w:r w:rsidRPr="00D932DD">
        <w:rPr>
          <w:rFonts w:eastAsia="Times New Roman"/>
          <w:color w:val="5F5F5F"/>
          <w:szCs w:val="20"/>
        </w:rPr>
        <w:t xml:space="preserve">Applicants are also reminded of their responsibility to consider any </w:t>
      </w:r>
      <w:hyperlink r:id="rId21">
        <w:r w:rsidRPr="00D932DD">
          <w:rPr>
            <w:rStyle w:val="Hyperlink"/>
            <w:rFonts w:eastAsia="Times New Roman"/>
            <w:color w:val="0563C1"/>
            <w:szCs w:val="20"/>
          </w:rPr>
          <w:t>other regulatory requirements</w:t>
        </w:r>
      </w:hyperlink>
      <w:r w:rsidRPr="00D932DD">
        <w:rPr>
          <w:rFonts w:eastAsia="Times New Roman"/>
          <w:color w:val="5F5F5F"/>
          <w:szCs w:val="20"/>
        </w:rPr>
        <w:t xml:space="preserve"> which may be required in relation to key GHG operations.</w:t>
      </w:r>
    </w:p>
    <w:p w14:paraId="3BBC1244" w14:textId="77777777" w:rsidR="0056397A" w:rsidRPr="00D932DD" w:rsidRDefault="0056397A" w:rsidP="003E658B">
      <w:pPr>
        <w:pStyle w:val="Heading2"/>
      </w:pPr>
      <w:r w:rsidRPr="00D932DD">
        <w:t xml:space="preserve">More information </w:t>
      </w:r>
    </w:p>
    <w:p w14:paraId="1438A6AC" w14:textId="6025EB53" w:rsidR="00A723AA" w:rsidRPr="00116C77" w:rsidRDefault="00A723AA" w:rsidP="00DD1A70">
      <w:pPr>
        <w:spacing w:before="0" w:after="120"/>
        <w:rPr>
          <w:rFonts w:eastAsia="Times New Roman" w:cstheme="minorHAnsi"/>
          <w:color w:val="5F5F5F"/>
          <w:szCs w:val="20"/>
        </w:rPr>
      </w:pPr>
      <w:r w:rsidRPr="00116C77">
        <w:rPr>
          <w:rFonts w:eastAsia="Times New Roman" w:cstheme="minorHAnsi"/>
          <w:color w:val="5F5F5F"/>
          <w:szCs w:val="20"/>
        </w:rPr>
        <w:t>This fact</w:t>
      </w:r>
      <w:r w:rsidR="005F701A">
        <w:rPr>
          <w:rFonts w:eastAsia="Times New Roman" w:cstheme="minorHAnsi"/>
          <w:color w:val="5F5F5F"/>
          <w:szCs w:val="20"/>
        </w:rPr>
        <w:t xml:space="preserve"> </w:t>
      </w:r>
      <w:r w:rsidRPr="00116C77">
        <w:rPr>
          <w:rFonts w:eastAsia="Times New Roman" w:cstheme="minorHAnsi"/>
          <w:color w:val="5F5F5F"/>
          <w:szCs w:val="20"/>
        </w:rPr>
        <w:t xml:space="preserve">sheet should be read in conjunction with: </w:t>
      </w:r>
    </w:p>
    <w:p w14:paraId="3EAAD1B1" w14:textId="55027C3B" w:rsidR="00A723AA" w:rsidRPr="00E90CC3" w:rsidRDefault="00A723AA" w:rsidP="00E90CC3">
      <w:pPr>
        <w:pStyle w:val="List2"/>
        <w:numPr>
          <w:ilvl w:val="0"/>
          <w:numId w:val="3"/>
        </w:numPr>
        <w:ind w:left="357" w:hanging="357"/>
        <w:contextualSpacing w:val="0"/>
        <w:rPr>
          <w:rFonts w:cstheme="minorHAnsi"/>
          <w:color w:val="5F5F5F"/>
          <w:sz w:val="20"/>
        </w:rPr>
      </w:pPr>
      <w:hyperlink r:id="rId22" w:history="1">
        <w:r w:rsidRPr="00E90CC3">
          <w:rPr>
            <w:rStyle w:val="Hyperlink"/>
            <w:rFonts w:cstheme="minorHAnsi"/>
            <w:sz w:val="20"/>
          </w:rPr>
          <w:t>Greenhouse</w:t>
        </w:r>
        <w:r w:rsidR="00E6655E" w:rsidRPr="00E90CC3">
          <w:rPr>
            <w:rStyle w:val="Hyperlink"/>
            <w:rFonts w:cstheme="minorHAnsi"/>
            <w:sz w:val="20"/>
          </w:rPr>
          <w:t xml:space="preserve"> gas search authority, special authority and research consents</w:t>
        </w:r>
        <w:r w:rsidRPr="00E90CC3">
          <w:rPr>
            <w:rStyle w:val="Hyperlink"/>
            <w:rFonts w:cstheme="minorHAnsi"/>
            <w:sz w:val="20"/>
          </w:rPr>
          <w:t xml:space="preserve"> </w:t>
        </w:r>
        <w:r w:rsidR="005F701A">
          <w:rPr>
            <w:rStyle w:val="Hyperlink"/>
            <w:rFonts w:cstheme="minorHAnsi"/>
            <w:sz w:val="20"/>
          </w:rPr>
          <w:t>f</w:t>
        </w:r>
        <w:r w:rsidRPr="00E90CC3">
          <w:rPr>
            <w:rStyle w:val="Hyperlink"/>
            <w:rFonts w:cstheme="minorHAnsi"/>
            <w:sz w:val="20"/>
          </w:rPr>
          <w:t>act</w:t>
        </w:r>
        <w:r w:rsidR="004420AD" w:rsidRPr="004420AD">
          <w:rPr>
            <w:rStyle w:val="Hyperlink"/>
            <w:rFonts w:cstheme="minorHAnsi"/>
            <w:sz w:val="20"/>
          </w:rPr>
          <w:t xml:space="preserve"> </w:t>
        </w:r>
        <w:r w:rsidRPr="00E90CC3">
          <w:rPr>
            <w:rStyle w:val="Hyperlink"/>
            <w:rFonts w:cstheme="minorHAnsi"/>
            <w:sz w:val="20"/>
          </w:rPr>
          <w:t>sheet</w:t>
        </w:r>
      </w:hyperlink>
      <w:r w:rsidRPr="00E90CC3">
        <w:rPr>
          <w:rFonts w:cstheme="minorHAnsi"/>
          <w:color w:val="5F5F5F"/>
          <w:sz w:val="20"/>
        </w:rPr>
        <w:t xml:space="preserve">. </w:t>
      </w:r>
    </w:p>
    <w:p w14:paraId="49F003A9" w14:textId="5B64CE21" w:rsidR="00A723AA" w:rsidRPr="00E90CC3" w:rsidRDefault="004C00A1" w:rsidP="00E90CC3">
      <w:pPr>
        <w:pStyle w:val="List2"/>
        <w:numPr>
          <w:ilvl w:val="0"/>
          <w:numId w:val="3"/>
        </w:numPr>
        <w:ind w:left="357" w:hanging="357"/>
        <w:contextualSpacing w:val="0"/>
        <w:rPr>
          <w:rFonts w:cstheme="minorHAnsi"/>
          <w:color w:val="5F5F5F"/>
          <w:sz w:val="20"/>
        </w:rPr>
      </w:pPr>
      <w:r w:rsidRPr="00B95083">
        <w:rPr>
          <w:sz w:val="20"/>
        </w:rPr>
        <w:t xml:space="preserve">the related forms guidance available on </w:t>
      </w:r>
      <w:hyperlink r:id="rId23" w:tooltip="Link to forms page on NOPTA's website" w:history="1">
        <w:r w:rsidRPr="00B95083">
          <w:rPr>
            <w:rStyle w:val="Hyperlink"/>
            <w:sz w:val="20"/>
          </w:rPr>
          <w:t>NOPTA’s website</w:t>
        </w:r>
      </w:hyperlink>
      <w:r w:rsidR="00A723AA" w:rsidRPr="00E90CC3">
        <w:rPr>
          <w:rFonts w:cstheme="minorHAnsi"/>
          <w:color w:val="5F5F5F"/>
          <w:sz w:val="20"/>
        </w:rPr>
        <w:t xml:space="preserve">. </w:t>
      </w:r>
    </w:p>
    <w:p w14:paraId="43E18A34" w14:textId="4544BB01" w:rsidR="007052A2" w:rsidRDefault="00BF188A" w:rsidP="00BF188A">
      <w:pPr>
        <w:pStyle w:val="ListParagraph"/>
        <w:numPr>
          <w:ilvl w:val="0"/>
          <w:numId w:val="5"/>
        </w:numPr>
        <w:spacing w:before="0" w:after="0"/>
        <w:ind w:left="360"/>
        <w:rPr>
          <w:rFonts w:eastAsia="Times New Roman" w:cstheme="minorHAnsi"/>
          <w:color w:val="5F5F5F"/>
          <w:szCs w:val="20"/>
        </w:rPr>
      </w:pPr>
      <w:hyperlink r:id="rId24" w:history="1">
        <w:r w:rsidRPr="00E90CC3">
          <w:rPr>
            <w:rStyle w:val="Hyperlink"/>
            <w:rFonts w:eastAsia="Times New Roman" w:cstheme="minorHAnsi"/>
            <w:szCs w:val="20"/>
          </w:rPr>
          <w:t>SROSAI fact sheet</w:t>
        </w:r>
      </w:hyperlink>
      <w:r w:rsidRPr="00E90CC3">
        <w:rPr>
          <w:rFonts w:eastAsia="Times New Roman" w:cstheme="minorHAnsi"/>
          <w:color w:val="5F5F5F"/>
          <w:szCs w:val="20"/>
        </w:rPr>
        <w:t xml:space="preserve"> </w:t>
      </w:r>
    </w:p>
    <w:p w14:paraId="391580FD" w14:textId="5C9D00FA" w:rsidR="0056397A" w:rsidRPr="00D932DD" w:rsidRDefault="0056397A" w:rsidP="0056397A">
      <w:pPr>
        <w:rPr>
          <w:rFonts w:eastAsia="Times New Roman" w:cstheme="minorHAnsi"/>
          <w:color w:val="5F5F5F"/>
          <w:szCs w:val="20"/>
        </w:rPr>
      </w:pPr>
      <w:r w:rsidRPr="00116C77">
        <w:rPr>
          <w:rFonts w:eastAsia="Times New Roman" w:cstheme="minorHAnsi"/>
          <w:color w:val="5F5F5F"/>
          <w:szCs w:val="20"/>
        </w:rPr>
        <w:t>If you have any specific questions, please</w:t>
      </w:r>
      <w:r w:rsidRPr="00D932DD">
        <w:rPr>
          <w:rFonts w:eastAsia="Times New Roman" w:cstheme="minorHAnsi"/>
          <w:color w:val="5F5F5F"/>
          <w:szCs w:val="20"/>
        </w:rPr>
        <w:t xml:space="preserve"> contact NOPTA via </w:t>
      </w:r>
      <w:hyperlink r:id="rId25" w:history="1">
        <w:r w:rsidRPr="00D932DD">
          <w:rPr>
            <w:rStyle w:val="Hyperlink"/>
            <w:szCs w:val="20"/>
          </w:rPr>
          <w:t>ghg@nopta.gov.au</w:t>
        </w:r>
      </w:hyperlink>
      <w:r w:rsidRPr="00D932DD">
        <w:rPr>
          <w:rFonts w:eastAsia="Times New Roman" w:cstheme="minorHAnsi"/>
          <w:color w:val="5F5F5F"/>
          <w:szCs w:val="20"/>
        </w:rPr>
        <w:t>.</w:t>
      </w:r>
    </w:p>
    <w:p w14:paraId="09022BED" w14:textId="77777777" w:rsidR="0056397A" w:rsidRPr="00D932DD" w:rsidRDefault="0056397A" w:rsidP="0056397A">
      <w:pPr>
        <w:rPr>
          <w:rFonts w:eastAsia="Times New Roman" w:cstheme="minorHAnsi"/>
          <w:iCs/>
          <w:color w:val="5F5F5F"/>
          <w:sz w:val="18"/>
          <w:szCs w:val="18"/>
        </w:rPr>
      </w:pPr>
      <w:r w:rsidRPr="00D932DD">
        <w:rPr>
          <w:rFonts w:eastAsia="Times New Roman" w:cstheme="minorHAnsi"/>
          <w:b/>
          <w:iCs/>
          <w:color w:val="5F5F5F"/>
          <w:sz w:val="18"/>
          <w:szCs w:val="18"/>
        </w:rPr>
        <w:t>Please note:</w:t>
      </w:r>
      <w:r w:rsidRPr="00D932DD">
        <w:rPr>
          <w:rFonts w:eastAsia="Times New Roman" w:cstheme="minorHAnsi"/>
          <w:iCs/>
          <w:color w:val="5F5F5F"/>
          <w:sz w:val="18"/>
          <w:szCs w:val="18"/>
        </w:rPr>
        <w:t xml:space="preserve"> this document is intended as a guide only and should not be relied on as legal advice or regarded as a substitute for legal advice in individual cases.</w:t>
      </w:r>
    </w:p>
    <w:p w14:paraId="335BD78C" w14:textId="77777777" w:rsidR="0056397A" w:rsidRPr="00D932DD" w:rsidRDefault="0056397A" w:rsidP="003E658B">
      <w:pPr>
        <w:pStyle w:val="Heading2"/>
      </w:pPr>
      <w:r w:rsidRPr="00D932DD">
        <w:t>Version History</w:t>
      </w:r>
    </w:p>
    <w:tbl>
      <w:tblPr>
        <w:tblStyle w:val="GridTable1Light1"/>
        <w:tblW w:w="4815" w:type="dxa"/>
        <w:tblCellMar>
          <w:left w:w="57" w:type="dxa"/>
          <w:right w:w="57" w:type="dxa"/>
        </w:tblCellMar>
        <w:tblLook w:val="0420" w:firstRow="1" w:lastRow="0" w:firstColumn="0" w:lastColumn="0" w:noHBand="0" w:noVBand="1"/>
        <w:tblCaption w:val="Version history"/>
        <w:tblDescription w:val="Version, date and comments"/>
      </w:tblPr>
      <w:tblGrid>
        <w:gridCol w:w="785"/>
        <w:gridCol w:w="1322"/>
        <w:gridCol w:w="2708"/>
      </w:tblGrid>
      <w:tr w:rsidR="0056397A" w:rsidRPr="00D932DD" w14:paraId="3BAE9182" w14:textId="77777777" w:rsidTr="00E5690F">
        <w:trPr>
          <w:cnfStyle w:val="100000000000" w:firstRow="1" w:lastRow="0" w:firstColumn="0" w:lastColumn="0" w:oddVBand="0" w:evenVBand="0" w:oddHBand="0" w:evenHBand="0" w:firstRowFirstColumn="0" w:firstRowLastColumn="0" w:lastRowFirstColumn="0" w:lastRowLastColumn="0"/>
          <w:tblHeader/>
        </w:trPr>
        <w:tc>
          <w:tcPr>
            <w:tcW w:w="785" w:type="dxa"/>
          </w:tcPr>
          <w:p w14:paraId="6568F564" w14:textId="77777777" w:rsidR="0056397A" w:rsidRPr="00D932DD" w:rsidRDefault="0056397A" w:rsidP="00E5690F">
            <w:pPr>
              <w:spacing w:before="60" w:after="60"/>
              <w:rPr>
                <w:rFonts w:cs="Calibri"/>
                <w:color w:val="5F5F5F"/>
                <w:sz w:val="16"/>
                <w:szCs w:val="16"/>
              </w:rPr>
            </w:pPr>
            <w:bookmarkStart w:id="1" w:name="_Hlk18501739"/>
            <w:r w:rsidRPr="00D932DD">
              <w:rPr>
                <w:rFonts w:cs="Calibri"/>
                <w:color w:val="5F5F5F"/>
                <w:sz w:val="16"/>
                <w:szCs w:val="16"/>
              </w:rPr>
              <w:t>Version</w:t>
            </w:r>
          </w:p>
        </w:tc>
        <w:tc>
          <w:tcPr>
            <w:tcW w:w="1322" w:type="dxa"/>
          </w:tcPr>
          <w:p w14:paraId="069AEDE0" w14:textId="77777777" w:rsidR="0056397A" w:rsidRPr="00D932DD" w:rsidRDefault="0056397A" w:rsidP="00E5690F">
            <w:pPr>
              <w:spacing w:before="60" w:after="60"/>
              <w:rPr>
                <w:rFonts w:cs="Calibri"/>
                <w:color w:val="5F5F5F"/>
                <w:sz w:val="16"/>
                <w:szCs w:val="16"/>
              </w:rPr>
            </w:pPr>
            <w:r w:rsidRPr="00D932DD">
              <w:rPr>
                <w:rFonts w:cs="Calibri"/>
                <w:color w:val="5F5F5F"/>
                <w:sz w:val="16"/>
                <w:szCs w:val="16"/>
              </w:rPr>
              <w:t>Date</w:t>
            </w:r>
          </w:p>
        </w:tc>
        <w:tc>
          <w:tcPr>
            <w:tcW w:w="2708" w:type="dxa"/>
          </w:tcPr>
          <w:p w14:paraId="00A4571D" w14:textId="77777777" w:rsidR="0056397A" w:rsidRPr="00D932DD" w:rsidRDefault="0056397A" w:rsidP="00E5690F">
            <w:pPr>
              <w:spacing w:before="60" w:after="60"/>
              <w:rPr>
                <w:rFonts w:cs="Calibri"/>
                <w:color w:val="5F5F5F"/>
                <w:sz w:val="16"/>
                <w:szCs w:val="16"/>
              </w:rPr>
            </w:pPr>
            <w:r w:rsidRPr="00D932DD">
              <w:rPr>
                <w:rFonts w:cs="Calibri"/>
                <w:color w:val="5F5F5F"/>
                <w:sz w:val="16"/>
                <w:szCs w:val="16"/>
              </w:rPr>
              <w:t>Comment</w:t>
            </w:r>
          </w:p>
        </w:tc>
      </w:tr>
      <w:tr w:rsidR="0056397A" w:rsidRPr="00D932DD" w14:paraId="42C0B384" w14:textId="77777777" w:rsidTr="00E5690F">
        <w:tc>
          <w:tcPr>
            <w:tcW w:w="785" w:type="dxa"/>
          </w:tcPr>
          <w:p w14:paraId="3310F4E1" w14:textId="77777777" w:rsidR="0056397A" w:rsidRPr="00DC32A0" w:rsidRDefault="0056397A" w:rsidP="00E5690F">
            <w:pPr>
              <w:spacing w:before="60" w:after="60"/>
              <w:rPr>
                <w:rFonts w:cs="Calibri"/>
                <w:color w:val="5F5F5F"/>
                <w:sz w:val="16"/>
                <w:szCs w:val="16"/>
              </w:rPr>
            </w:pPr>
            <w:r w:rsidRPr="00DC32A0">
              <w:rPr>
                <w:rFonts w:cs="Calibri"/>
                <w:color w:val="5F5F5F"/>
                <w:sz w:val="16"/>
                <w:szCs w:val="16"/>
              </w:rPr>
              <w:t>4.0</w:t>
            </w:r>
          </w:p>
        </w:tc>
        <w:tc>
          <w:tcPr>
            <w:tcW w:w="1322" w:type="dxa"/>
          </w:tcPr>
          <w:p w14:paraId="2C8F3A13" w14:textId="0A058A94" w:rsidR="0056397A" w:rsidRPr="00DC32A0" w:rsidRDefault="00DC32A0" w:rsidP="00E5690F">
            <w:pPr>
              <w:tabs>
                <w:tab w:val="left" w:pos="371"/>
              </w:tabs>
              <w:spacing w:before="60" w:after="60"/>
              <w:rPr>
                <w:rFonts w:cs="Calibri"/>
                <w:color w:val="5F5F5F"/>
                <w:sz w:val="16"/>
                <w:szCs w:val="16"/>
              </w:rPr>
            </w:pPr>
            <w:r w:rsidRPr="00DC32A0">
              <w:rPr>
                <w:rFonts w:cs="Calibri"/>
                <w:color w:val="5F5F5F"/>
                <w:sz w:val="16"/>
                <w:szCs w:val="16"/>
              </w:rPr>
              <w:t>31</w:t>
            </w:r>
            <w:r w:rsidR="0056397A" w:rsidRPr="00DC32A0">
              <w:rPr>
                <w:rFonts w:cs="Calibri"/>
                <w:color w:val="5F5F5F"/>
                <w:sz w:val="16"/>
                <w:szCs w:val="16"/>
              </w:rPr>
              <w:t>/</w:t>
            </w:r>
            <w:r w:rsidR="002D0B88" w:rsidRPr="00DC32A0">
              <w:rPr>
                <w:rFonts w:cs="Calibri"/>
                <w:color w:val="5F5F5F"/>
                <w:sz w:val="16"/>
                <w:szCs w:val="16"/>
              </w:rPr>
              <w:t>0</w:t>
            </w:r>
            <w:r w:rsidR="00E15045" w:rsidRPr="00DC32A0">
              <w:rPr>
                <w:rFonts w:cs="Calibri"/>
                <w:color w:val="5F5F5F"/>
                <w:sz w:val="16"/>
                <w:szCs w:val="16"/>
              </w:rPr>
              <w:t>3</w:t>
            </w:r>
            <w:r w:rsidR="0056397A" w:rsidRPr="00DC32A0">
              <w:rPr>
                <w:rFonts w:cs="Calibri"/>
                <w:color w:val="5F5F5F"/>
                <w:sz w:val="16"/>
                <w:szCs w:val="16"/>
              </w:rPr>
              <w:t>/202</w:t>
            </w:r>
            <w:r w:rsidR="00E15045" w:rsidRPr="00DC32A0">
              <w:rPr>
                <w:rFonts w:cs="Calibri"/>
                <w:color w:val="5F5F5F"/>
                <w:sz w:val="16"/>
                <w:szCs w:val="16"/>
              </w:rPr>
              <w:t>6</w:t>
            </w:r>
          </w:p>
        </w:tc>
        <w:tc>
          <w:tcPr>
            <w:tcW w:w="2708" w:type="dxa"/>
            <w:vAlign w:val="center"/>
          </w:tcPr>
          <w:p w14:paraId="0DB3B8AE" w14:textId="31D0E675" w:rsidR="0056397A" w:rsidRPr="00D932DD" w:rsidRDefault="0056397A" w:rsidP="00E5690F">
            <w:pPr>
              <w:spacing w:before="60" w:after="60"/>
              <w:rPr>
                <w:rFonts w:cs="Calibri"/>
                <w:color w:val="5F5F5F"/>
                <w:sz w:val="16"/>
                <w:szCs w:val="16"/>
              </w:rPr>
            </w:pPr>
            <w:r w:rsidRPr="00D932DD">
              <w:rPr>
                <w:rFonts w:cs="Calibri"/>
                <w:color w:val="5F5F5F"/>
                <w:sz w:val="16"/>
                <w:szCs w:val="16"/>
              </w:rPr>
              <w:t xml:space="preserve">Update to </w:t>
            </w:r>
            <w:r w:rsidR="00B428F3">
              <w:rPr>
                <w:rFonts w:cs="Calibri"/>
                <w:color w:val="5F5F5F"/>
                <w:sz w:val="16"/>
                <w:szCs w:val="16"/>
              </w:rPr>
              <w:t xml:space="preserve">forms guidance reference, </w:t>
            </w:r>
            <w:r w:rsidR="00974A26" w:rsidRPr="00D932DD">
              <w:rPr>
                <w:rFonts w:cs="Calibri"/>
                <w:color w:val="5F5F5F"/>
                <w:sz w:val="16"/>
                <w:szCs w:val="16"/>
              </w:rPr>
              <w:t xml:space="preserve">format, layout, links, </w:t>
            </w:r>
            <w:r w:rsidRPr="00D932DD">
              <w:rPr>
                <w:rFonts w:cs="Calibri"/>
                <w:color w:val="5F5F5F"/>
                <w:sz w:val="16"/>
                <w:szCs w:val="16"/>
              </w:rPr>
              <w:t>remove</w:t>
            </w:r>
            <w:r w:rsidR="00974A26">
              <w:rPr>
                <w:rFonts w:cs="Calibri"/>
                <w:color w:val="5F5F5F"/>
                <w:sz w:val="16"/>
                <w:szCs w:val="16"/>
              </w:rPr>
              <w:t>d</w:t>
            </w:r>
            <w:r w:rsidRPr="00D932DD">
              <w:rPr>
                <w:rFonts w:cs="Calibri"/>
                <w:color w:val="5F5F5F"/>
                <w:sz w:val="16"/>
                <w:szCs w:val="16"/>
              </w:rPr>
              <w:t xml:space="preserve"> reference to CBA</w:t>
            </w:r>
            <w:r w:rsidR="00974A26">
              <w:rPr>
                <w:rFonts w:cs="Calibri"/>
                <w:color w:val="5F5F5F"/>
                <w:sz w:val="16"/>
                <w:szCs w:val="16"/>
              </w:rPr>
              <w:t>,</w:t>
            </w:r>
            <w:r w:rsidRPr="00D932DD">
              <w:rPr>
                <w:rFonts w:cs="Calibri"/>
                <w:color w:val="5F5F5F"/>
                <w:sz w:val="16"/>
                <w:szCs w:val="16"/>
              </w:rPr>
              <w:t xml:space="preserve"> </w:t>
            </w:r>
            <w:r w:rsidR="00974A26">
              <w:rPr>
                <w:rFonts w:cs="Calibri"/>
                <w:color w:val="5F5F5F"/>
                <w:sz w:val="16"/>
                <w:szCs w:val="16"/>
              </w:rPr>
              <w:t>add</w:t>
            </w:r>
            <w:r w:rsidR="00B428F3">
              <w:rPr>
                <w:rFonts w:cs="Calibri"/>
                <w:color w:val="5F5F5F"/>
                <w:sz w:val="16"/>
                <w:szCs w:val="16"/>
              </w:rPr>
              <w:t>ed</w:t>
            </w:r>
            <w:r w:rsidR="00FD173D">
              <w:rPr>
                <w:rFonts w:cs="Calibri"/>
                <w:color w:val="5F5F5F"/>
                <w:sz w:val="16"/>
                <w:szCs w:val="16"/>
              </w:rPr>
              <w:t xml:space="preserve"> </w:t>
            </w:r>
            <w:r w:rsidRPr="00D932DD">
              <w:rPr>
                <w:rFonts w:cs="Calibri"/>
                <w:color w:val="5F5F5F"/>
                <w:sz w:val="16"/>
                <w:szCs w:val="16"/>
              </w:rPr>
              <w:t>reference to SROSAI fact sheet</w:t>
            </w:r>
          </w:p>
        </w:tc>
      </w:tr>
      <w:tr w:rsidR="0056397A" w:rsidRPr="00D932DD" w14:paraId="001B6CD7" w14:textId="77777777" w:rsidTr="00E5690F">
        <w:tc>
          <w:tcPr>
            <w:tcW w:w="785" w:type="dxa"/>
          </w:tcPr>
          <w:p w14:paraId="75B3B3A7" w14:textId="77777777" w:rsidR="0056397A" w:rsidRPr="00D932DD" w:rsidRDefault="0056397A" w:rsidP="00E5690F">
            <w:pPr>
              <w:spacing w:before="60" w:after="60"/>
              <w:rPr>
                <w:rFonts w:cs="Calibri"/>
                <w:color w:val="5F5F5F"/>
                <w:sz w:val="16"/>
                <w:szCs w:val="16"/>
              </w:rPr>
            </w:pPr>
            <w:r w:rsidRPr="00D932DD">
              <w:rPr>
                <w:rFonts w:cs="Calibri"/>
                <w:color w:val="5F5F5F"/>
                <w:sz w:val="16"/>
                <w:szCs w:val="16"/>
              </w:rPr>
              <w:t>3.0</w:t>
            </w:r>
          </w:p>
        </w:tc>
        <w:tc>
          <w:tcPr>
            <w:tcW w:w="1322" w:type="dxa"/>
          </w:tcPr>
          <w:p w14:paraId="0A0012AB" w14:textId="77777777" w:rsidR="0056397A" w:rsidRPr="00D932DD" w:rsidRDefault="0056397A" w:rsidP="00E5690F">
            <w:pPr>
              <w:tabs>
                <w:tab w:val="left" w:pos="371"/>
              </w:tabs>
              <w:spacing w:before="60" w:after="60"/>
              <w:rPr>
                <w:rFonts w:cs="Calibri"/>
                <w:color w:val="5F5F5F"/>
                <w:sz w:val="16"/>
                <w:szCs w:val="16"/>
                <w:highlight w:val="yellow"/>
              </w:rPr>
            </w:pPr>
            <w:r w:rsidRPr="00D932DD">
              <w:rPr>
                <w:rFonts w:cs="Calibri"/>
                <w:color w:val="5F5F5F"/>
                <w:sz w:val="16"/>
                <w:szCs w:val="16"/>
              </w:rPr>
              <w:t>30/08/2024</w:t>
            </w:r>
          </w:p>
        </w:tc>
        <w:tc>
          <w:tcPr>
            <w:tcW w:w="2708" w:type="dxa"/>
            <w:vAlign w:val="center"/>
          </w:tcPr>
          <w:p w14:paraId="3FD8ED7B" w14:textId="77777777" w:rsidR="0056397A" w:rsidRPr="00D932DD" w:rsidRDefault="0056397A" w:rsidP="00E5690F">
            <w:pPr>
              <w:spacing w:before="60" w:after="60"/>
              <w:rPr>
                <w:rFonts w:cs="Calibri"/>
                <w:color w:val="5F5F5F"/>
                <w:sz w:val="16"/>
                <w:szCs w:val="16"/>
                <w:highlight w:val="yellow"/>
              </w:rPr>
            </w:pPr>
            <w:r w:rsidRPr="00D932DD">
              <w:rPr>
                <w:rFonts w:cs="Calibri"/>
                <w:color w:val="5F5F5F"/>
                <w:sz w:val="16"/>
                <w:szCs w:val="16"/>
              </w:rPr>
              <w:t>Update to format, layout, links, reviewed text to include cross-boundary authority</w:t>
            </w:r>
          </w:p>
        </w:tc>
      </w:tr>
      <w:bookmarkEnd w:id="1"/>
    </w:tbl>
    <w:p w14:paraId="1998FD7D" w14:textId="77777777" w:rsidR="00760394" w:rsidRPr="00D932DD" w:rsidRDefault="00760394" w:rsidP="00E5690F">
      <w:pPr>
        <w:spacing w:before="60" w:after="60"/>
      </w:pPr>
    </w:p>
    <w:sectPr w:rsidR="00760394" w:rsidRPr="00D932DD" w:rsidSect="00E5690F">
      <w:headerReference w:type="even" r:id="rId26"/>
      <w:headerReference w:type="default" r:id="rId27"/>
      <w:footerReference w:type="even" r:id="rId28"/>
      <w:headerReference w:type="first" r:id="rId29"/>
      <w:footerReference w:type="first" r:id="rId30"/>
      <w:type w:val="continuous"/>
      <w:pgSz w:w="11906" w:h="16838"/>
      <w:pgMar w:top="2552" w:right="851" w:bottom="851" w:left="851" w:header="709" w:footer="45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8B3B" w14:textId="77777777" w:rsidR="004C4085" w:rsidRDefault="004C4085" w:rsidP="00760394">
      <w:pPr>
        <w:spacing w:before="0" w:after="0"/>
      </w:pPr>
      <w:r>
        <w:separator/>
      </w:r>
    </w:p>
  </w:endnote>
  <w:endnote w:type="continuationSeparator" w:id="0">
    <w:p w14:paraId="798F4184" w14:textId="77777777" w:rsidR="004C4085" w:rsidRDefault="004C4085" w:rsidP="007603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77777777" w:rsidR="00760394" w:rsidRDefault="00760394">
    <w:pPr>
      <w:pStyle w:val="Footer"/>
    </w:pPr>
    <w:r>
      <w:rPr>
        <w:noProof/>
      </w:rPr>
      <mc:AlternateContent>
        <mc:Choice Requires="wps">
          <w:drawing>
            <wp:anchor distT="0" distB="0" distL="0" distR="0" simplePos="0" relativeHeight="251658246" behindDoc="0" locked="0" layoutInCell="1" allowOverlap="1" wp14:anchorId="0D25AEF2" wp14:editId="79B53315">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25AEF2" id="_x0000_t202" coordsize="21600,21600" o:spt="202" path="m,l,21600r21600,l21600,xe">
              <v:stroke joinstyle="miter"/>
              <v:path gradientshapeok="t" o:connecttype="rect"/>
            </v:shapetype>
            <v:shape id="Text Box 11" o:spid="_x0000_s1027"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3E48DCD2" w:rsidR="00760394" w:rsidRPr="006F39EB" w:rsidRDefault="00760394" w:rsidP="00E5690F">
    <w:pPr>
      <w:pStyle w:val="Footer"/>
      <w:tabs>
        <w:tab w:val="clear" w:pos="4513"/>
        <w:tab w:val="clear" w:pos="9026"/>
        <w:tab w:val="left" w:pos="0"/>
        <w:tab w:val="center" w:pos="4860"/>
        <w:tab w:val="right" w:pos="10204"/>
      </w:tabs>
      <w:spacing w:before="0" w:after="0"/>
      <w:jc w:val="center"/>
    </w:pPr>
    <w:r w:rsidRPr="006F39EB">
      <w:rPr>
        <w:noProof/>
        <w:lang w:eastAsia="en-AU"/>
      </w:rPr>
      <mc:AlternateContent>
        <mc:Choice Requires="wps">
          <w:drawing>
            <wp:anchor distT="0" distB="0" distL="114300" distR="114300" simplePos="0" relativeHeight="251658240" behindDoc="0" locked="0" layoutInCell="1" allowOverlap="1" wp14:anchorId="37759D2C" wp14:editId="1B826AFF">
              <wp:simplePos x="0" y="0"/>
              <wp:positionH relativeFrom="margin">
                <wp:align>left</wp:align>
              </wp:positionH>
              <wp:positionV relativeFrom="paragraph">
                <wp:posOffset>-69729</wp:posOffset>
              </wp:positionV>
              <wp:extent cx="652157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57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rto="http://schemas.microsoft.com/office/word/2006/arto">
          <w:pict>
            <v:line id="Line 4"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alt="&quot;&quot;" o:spid="_x0000_s1026" strokecolor="#375623 [1609]" strokeweight="1.5pt" from="0,-5.5pt" to="513.5pt,-5.5pt" w14:anchorId="69859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">
              <v:stroke joinstyle="miter"/>
              <w10:wrap anchorx="margin"/>
            </v:line>
          </w:pict>
        </mc:Fallback>
      </mc:AlternateContent>
    </w:r>
    <w:hyperlink r:id="rId1" w:history="1">
      <w:r w:rsidRPr="006F39EB">
        <w:rPr>
          <w:rStyle w:val="Hyperlink"/>
        </w:rPr>
        <w:t>www.nopta.gov.au</w:t>
      </w:r>
    </w:hyperlink>
    <w:r w:rsidRPr="006F39EB">
      <w:t xml:space="preserve"> </w:t>
    </w:r>
    <w:r w:rsidRPr="006F39EB">
      <w:tab/>
    </w:r>
    <w:r w:rsidRPr="006F39EB">
      <w:tab/>
    </w:r>
    <w:r w:rsidRPr="00A83F92">
      <w:t xml:space="preserve">Version </w:t>
    </w:r>
    <w:r w:rsidR="00A83F92" w:rsidRPr="00A83F92">
      <w:t>4</w:t>
    </w:r>
    <w:r w:rsidRPr="00A83F92">
      <w:t xml:space="preserve">: </w:t>
    </w:r>
    <w:r w:rsidR="00173CE1">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7777777" w:rsidR="00760394" w:rsidRDefault="00760394">
    <w:pPr>
      <w:pStyle w:val="Footer"/>
    </w:pPr>
    <w:r>
      <w:rPr>
        <w:noProof/>
      </w:rPr>
      <mc:AlternateContent>
        <mc:Choice Requires="wps">
          <w:drawing>
            <wp:anchor distT="0" distB="0" distL="0" distR="0" simplePos="0" relativeHeight="251658245" behindDoc="0" locked="0" layoutInCell="1" allowOverlap="1" wp14:anchorId="5A58E7E0" wp14:editId="1FC4717D">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8E7E0" id="_x0000_t202" coordsize="21600,21600" o:spt="202" path="m,l,21600r21600,l21600,xe">
              <v:stroke joinstyle="miter"/>
              <v:path gradientshapeok="t" o:connecttype="rect"/>
            </v:shapetype>
            <v:shape id="Text Box 10" o:spid="_x0000_s102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04DD" w14:textId="77777777" w:rsidR="008F25AF" w:rsidRDefault="008F25AF">
    <w:pPr>
      <w:pStyle w:val="Footer"/>
    </w:pPr>
    <w:r>
      <w:rPr>
        <w:noProof/>
      </w:rPr>
      <mc:AlternateContent>
        <mc:Choice Requires="wps">
          <w:drawing>
            <wp:anchor distT="0" distB="0" distL="0" distR="0" simplePos="0" relativeHeight="251658252" behindDoc="0" locked="0" layoutInCell="1" allowOverlap="1" wp14:anchorId="678EB79C" wp14:editId="6926D5BA">
              <wp:simplePos x="635" y="635"/>
              <wp:positionH relativeFrom="column">
                <wp:align>center</wp:align>
              </wp:positionH>
              <wp:positionV relativeFrom="paragraph">
                <wp:posOffset>635</wp:posOffset>
              </wp:positionV>
              <wp:extent cx="443865" cy="443865"/>
              <wp:effectExtent l="0" t="0" r="18415" b="10795"/>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BF656" w14:textId="77777777" w:rsidR="008F25AF" w:rsidRPr="00AE1C7B" w:rsidRDefault="008F25AF">
                          <w:pPr>
                            <w:rPr>
                              <w:rFonts w:eastAsia="Arial" w:cs="Arial"/>
                              <w:color w:val="FF0000"/>
                            </w:rPr>
                          </w:pPr>
                          <w:r w:rsidRPr="00AE1C7B">
                            <w:rPr>
                              <w:rFonts w:eastAsia="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EB79C" id="_x0000_t202" coordsize="21600,21600" o:spt="202" path="m,l,21600r21600,l21600,xe">
              <v:stroke joinstyle="miter"/>
              <v:path gradientshapeok="t" o:connecttype="rect"/>
            </v:shapetype>
            <v:shape id="Text Box 14" o:spid="_x0000_s1032" type="#_x0000_t202" alt="OFFI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A2BF656" w14:textId="77777777" w:rsidR="008F25AF" w:rsidRPr="00AE1C7B" w:rsidRDefault="008F25AF">
                    <w:pPr>
                      <w:rPr>
                        <w:rFonts w:eastAsia="Arial" w:cs="Arial"/>
                        <w:color w:val="FF0000"/>
                      </w:rPr>
                    </w:pPr>
                    <w:r w:rsidRPr="00AE1C7B">
                      <w:rPr>
                        <w:rFonts w:eastAsia="Arial" w:cs="Arial"/>
                        <w:color w:val="FF0000"/>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E0BF" w14:textId="77777777" w:rsidR="008F25AF" w:rsidRDefault="008F25AF">
    <w:pPr>
      <w:pStyle w:val="Footer"/>
    </w:pPr>
    <w:r>
      <w:rPr>
        <w:noProof/>
      </w:rPr>
      <mc:AlternateContent>
        <mc:Choice Requires="wps">
          <w:drawing>
            <wp:anchor distT="0" distB="0" distL="0" distR="0" simplePos="0" relativeHeight="251658251" behindDoc="0" locked="0" layoutInCell="1" allowOverlap="1" wp14:anchorId="614C9520" wp14:editId="5201D453">
              <wp:simplePos x="635" y="635"/>
              <wp:positionH relativeFrom="column">
                <wp:align>center</wp:align>
              </wp:positionH>
              <wp:positionV relativeFrom="paragraph">
                <wp:posOffset>635</wp:posOffset>
              </wp:positionV>
              <wp:extent cx="443865" cy="443865"/>
              <wp:effectExtent l="0" t="0" r="18415" b="10795"/>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62F16" w14:textId="77777777" w:rsidR="008F25AF" w:rsidRPr="00AE1C7B" w:rsidRDefault="008F25AF">
                          <w:pPr>
                            <w:rPr>
                              <w:rFonts w:eastAsia="Arial" w:cs="Arial"/>
                              <w:color w:val="FF0000"/>
                            </w:rPr>
                          </w:pPr>
                          <w:r w:rsidRPr="00AE1C7B">
                            <w:rPr>
                              <w:rFonts w:eastAsia="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4C9520" id="_x0000_t202" coordsize="21600,21600" o:spt="202" path="m,l,21600r21600,l21600,xe">
              <v:stroke joinstyle="miter"/>
              <v:path gradientshapeok="t" o:connecttype="rect"/>
            </v:shapetype>
            <v:shape id="Text Box 13" o:spid="_x0000_s1034" type="#_x0000_t202" alt="OFFI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32162F16" w14:textId="77777777" w:rsidR="008F25AF" w:rsidRPr="00AE1C7B" w:rsidRDefault="008F25AF">
                    <w:pPr>
                      <w:rPr>
                        <w:rFonts w:eastAsia="Arial" w:cs="Arial"/>
                        <w:color w:val="FF0000"/>
                      </w:rPr>
                    </w:pPr>
                    <w:r w:rsidRPr="00AE1C7B">
                      <w:rPr>
                        <w:rFonts w:eastAsia="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1D05" w14:textId="77777777" w:rsidR="004C4085" w:rsidRDefault="004C4085" w:rsidP="00760394">
      <w:pPr>
        <w:spacing w:before="0" w:after="0"/>
      </w:pPr>
      <w:r>
        <w:separator/>
      </w:r>
    </w:p>
  </w:footnote>
  <w:footnote w:type="continuationSeparator" w:id="0">
    <w:p w14:paraId="73824E30" w14:textId="77777777" w:rsidR="004C4085" w:rsidRDefault="004C4085" w:rsidP="00760394">
      <w:pPr>
        <w:spacing w:before="0" w:after="0"/>
      </w:pPr>
      <w:r>
        <w:continuationSeparator/>
      </w:r>
    </w:p>
  </w:footnote>
  <w:footnote w:id="1">
    <w:p w14:paraId="119B1839" w14:textId="705B0BCB" w:rsidR="0056397A" w:rsidRPr="002338E7" w:rsidRDefault="0056397A" w:rsidP="008207E0">
      <w:pPr>
        <w:spacing w:before="0" w:after="0"/>
        <w:rPr>
          <w:color w:val="5F5F5F"/>
          <w:spacing w:val="-4"/>
          <w:sz w:val="16"/>
          <w:szCs w:val="16"/>
        </w:rPr>
      </w:pPr>
      <w:r w:rsidRPr="002338E7">
        <w:rPr>
          <w:rStyle w:val="FootnoteReference"/>
          <w:sz w:val="16"/>
          <w:szCs w:val="16"/>
        </w:rPr>
        <w:footnoteRef/>
      </w:r>
      <w:r w:rsidRPr="002338E7">
        <w:rPr>
          <w:sz w:val="16"/>
          <w:szCs w:val="16"/>
        </w:rPr>
        <w:t xml:space="preserve"> </w:t>
      </w:r>
      <w:r w:rsidRPr="002338E7">
        <w:rPr>
          <w:color w:val="5F5F5F"/>
          <w:spacing w:val="-4"/>
          <w:sz w:val="16"/>
          <w:szCs w:val="16"/>
        </w:rPr>
        <w:t xml:space="preserve">‘Impacts’ </w:t>
      </w:r>
      <w:proofErr w:type="gramStart"/>
      <w:r w:rsidRPr="002338E7">
        <w:rPr>
          <w:color w:val="5F5F5F"/>
          <w:spacing w:val="-4"/>
          <w:sz w:val="16"/>
          <w:szCs w:val="16"/>
        </w:rPr>
        <w:t>are considered to be</w:t>
      </w:r>
      <w:proofErr w:type="gramEnd"/>
      <w:r w:rsidRPr="002338E7">
        <w:rPr>
          <w:color w:val="5F5F5F"/>
          <w:spacing w:val="-4"/>
          <w:sz w:val="16"/>
          <w:szCs w:val="16"/>
        </w:rPr>
        <w:t xml:space="preserve"> only those that result in an adverse impact.</w:t>
      </w:r>
    </w:p>
  </w:footnote>
  <w:footnote w:id="2">
    <w:p w14:paraId="05FD058C" w14:textId="77777777" w:rsidR="0056397A" w:rsidRPr="002338E7" w:rsidRDefault="0056397A" w:rsidP="008207E0">
      <w:pPr>
        <w:spacing w:before="0" w:after="0"/>
        <w:rPr>
          <w:sz w:val="22"/>
          <w:szCs w:val="24"/>
        </w:rPr>
      </w:pPr>
      <w:r w:rsidRPr="002338E7">
        <w:rPr>
          <w:rStyle w:val="FootnoteReference"/>
          <w:sz w:val="16"/>
          <w:szCs w:val="16"/>
        </w:rPr>
        <w:footnoteRef/>
      </w:r>
      <w:r w:rsidRPr="002338E7">
        <w:rPr>
          <w:sz w:val="16"/>
          <w:szCs w:val="16"/>
        </w:rPr>
        <w:t xml:space="preserve"> </w:t>
      </w:r>
      <w:hyperlink r:id="rId1" w:history="1">
        <w:r w:rsidRPr="002338E7">
          <w:rPr>
            <w:rStyle w:val="Hyperlink"/>
            <w:i/>
            <w:iCs/>
            <w:sz w:val="16"/>
            <w:szCs w:val="16"/>
          </w:rPr>
          <w:t>Offshore Petroleum and Greenhouse Gas Storage (Greenhouse Gas Injection and Storage) Regulations 2023</w:t>
        </w:r>
      </w:hyperlink>
      <w:r w:rsidRPr="002338E7">
        <w:rPr>
          <w:color w:val="5F5F5F"/>
          <w:sz w:val="16"/>
          <w:szCs w:val="16"/>
        </w:rPr>
        <w:t xml:space="preserve"> (</w:t>
      </w:r>
      <w:r w:rsidRPr="002338E7">
        <w:rPr>
          <w:b/>
          <w:bCs/>
          <w:color w:val="5F5F5F"/>
          <w:sz w:val="16"/>
          <w:szCs w:val="16"/>
        </w:rPr>
        <w:t>GHG Regulations</w:t>
      </w:r>
      <w:r w:rsidRPr="002338E7">
        <w:rPr>
          <w:color w:val="5F5F5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77777777" w:rsidR="00760394" w:rsidRDefault="00760394">
    <w:pPr>
      <w:pStyle w:val="Header"/>
    </w:pPr>
    <w:r>
      <w:rPr>
        <w:noProof/>
      </w:rPr>
      <mc:AlternateContent>
        <mc:Choice Requires="wps">
          <w:drawing>
            <wp:anchor distT="0" distB="0" distL="0" distR="0" simplePos="0" relativeHeight="251658243" behindDoc="0" locked="0" layoutInCell="1" allowOverlap="1" wp14:anchorId="022EC3F6" wp14:editId="57206811">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2EC3F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26599E22" w:rsidR="00760394" w:rsidRDefault="00760394">
    <w:pPr>
      <w:pStyle w:val="Header"/>
    </w:pPr>
    <w:r>
      <w:rPr>
        <w:noProof/>
      </w:rPr>
      <w:drawing>
        <wp:anchor distT="0" distB="0" distL="114300" distR="114300" simplePos="0" relativeHeight="251658241" behindDoc="0" locked="0" layoutInCell="1" allowOverlap="1" wp14:anchorId="1F4F6BBA" wp14:editId="7B00386D">
          <wp:simplePos x="0" y="0"/>
          <wp:positionH relativeFrom="page">
            <wp:posOffset>-17145</wp:posOffset>
          </wp:positionH>
          <wp:positionV relativeFrom="page">
            <wp:posOffset>-26670</wp:posOffset>
          </wp:positionV>
          <wp:extent cx="7563600" cy="1562400"/>
          <wp:effectExtent l="0" t="0" r="0" b="0"/>
          <wp:wrapNone/>
          <wp:docPr id="690684670" name="Picture 690684670"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77777777" w:rsidR="00760394" w:rsidRDefault="00760394">
    <w:pPr>
      <w:pStyle w:val="Header"/>
    </w:pPr>
    <w:r>
      <w:rPr>
        <w:noProof/>
      </w:rPr>
      <mc:AlternateContent>
        <mc:Choice Requires="wps">
          <w:drawing>
            <wp:anchor distT="0" distB="0" distL="0" distR="0" simplePos="0" relativeHeight="251658242" behindDoc="0" locked="0" layoutInCell="1" allowOverlap="1" wp14:anchorId="5646CDB4" wp14:editId="754E5D29">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46CDB4"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30F" w14:textId="77777777" w:rsidR="008F25AF" w:rsidRDefault="008F25AF">
    <w:pPr>
      <w:pStyle w:val="Header"/>
    </w:pPr>
    <w:r>
      <w:rPr>
        <w:noProof/>
      </w:rPr>
      <mc:AlternateContent>
        <mc:Choice Requires="wps">
          <w:drawing>
            <wp:anchor distT="0" distB="0" distL="0" distR="0" simplePos="0" relativeHeight="251658249" behindDoc="0" locked="0" layoutInCell="1" allowOverlap="1" wp14:anchorId="5261D50B" wp14:editId="0E36DD3E">
              <wp:simplePos x="635" y="635"/>
              <wp:positionH relativeFrom="column">
                <wp:align>center</wp:align>
              </wp:positionH>
              <wp:positionV relativeFrom="paragraph">
                <wp:posOffset>635</wp:posOffset>
              </wp:positionV>
              <wp:extent cx="443865" cy="443865"/>
              <wp:effectExtent l="0" t="0" r="18415" b="1079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A803C" w14:textId="77777777" w:rsidR="008F25AF" w:rsidRPr="00AE1C7B" w:rsidRDefault="008F25AF">
                          <w:pPr>
                            <w:rPr>
                              <w:rFonts w:eastAsia="Arial" w:cs="Arial"/>
                              <w:color w:val="FF0000"/>
                            </w:rPr>
                          </w:pPr>
                          <w:r w:rsidRPr="00AE1C7B">
                            <w:rPr>
                              <w:rFonts w:eastAsia="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61D50B" id="_x0000_t202" coordsize="21600,21600" o:spt="202" path="m,l,21600r21600,l21600,xe">
              <v:stroke joinstyle="miter"/>
              <v:path gradientshapeok="t" o:connecttype="rect"/>
            </v:shapetype>
            <v:shape id="Text Box 7" o:spid="_x0000_s1030" type="#_x0000_t202" alt="OFFI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6CA803C" w14:textId="77777777" w:rsidR="008F25AF" w:rsidRPr="00AE1C7B" w:rsidRDefault="008F25AF">
                    <w:pPr>
                      <w:rPr>
                        <w:rFonts w:eastAsia="Arial" w:cs="Arial"/>
                        <w:color w:val="FF0000"/>
                      </w:rPr>
                    </w:pPr>
                    <w:r w:rsidRPr="00AE1C7B">
                      <w:rPr>
                        <w:rFonts w:eastAsia="Arial" w:cs="Arial"/>
                        <w:color w:val="FF000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10B8" w14:textId="77777777" w:rsidR="008F25AF" w:rsidRDefault="008F25AF">
    <w:pPr>
      <w:pStyle w:val="Header"/>
    </w:pPr>
    <w:r>
      <w:rPr>
        <w:noProof/>
      </w:rPr>
      <mc:AlternateContent>
        <mc:Choice Requires="wps">
          <w:drawing>
            <wp:anchor distT="0" distB="0" distL="0" distR="0" simplePos="0" relativeHeight="251658250" behindDoc="0" locked="0" layoutInCell="1" allowOverlap="1" wp14:anchorId="69D2499F" wp14:editId="435F3825">
              <wp:simplePos x="630555" y="450850"/>
              <wp:positionH relativeFrom="column">
                <wp:align>center</wp:align>
              </wp:positionH>
              <wp:positionV relativeFrom="paragraph">
                <wp:posOffset>635</wp:posOffset>
              </wp:positionV>
              <wp:extent cx="443865" cy="443865"/>
              <wp:effectExtent l="0" t="0" r="18415" b="10795"/>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BFC16" w14:textId="77777777" w:rsidR="008F25AF" w:rsidRPr="00AE1C7B" w:rsidRDefault="008F25AF">
                          <w:pPr>
                            <w:rPr>
                              <w:rFonts w:eastAsia="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D2499F" id="_x0000_t202" coordsize="21600,21600" o:spt="202" path="m,l,21600r21600,l21600,xe">
              <v:stroke joinstyle="miter"/>
              <v:path gradientshapeok="t" o:connecttype="rect"/>
            </v:shapetype>
            <v:shape id="Text Box 9" o:spid="_x0000_s1031" type="#_x0000_t202" alt="OFFI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54BFC16" w14:textId="77777777" w:rsidR="008F25AF" w:rsidRPr="00AE1C7B" w:rsidRDefault="008F25AF">
                    <w:pPr>
                      <w:rPr>
                        <w:rFonts w:eastAsia="Arial" w:cs="Arial"/>
                        <w:color w:val="FF0000"/>
                      </w:rPr>
                    </w:pPr>
                  </w:p>
                </w:txbxContent>
              </v:textbox>
              <w10:wrap type="square"/>
            </v:shape>
          </w:pict>
        </mc:Fallback>
      </mc:AlternateContent>
    </w:r>
    <w:r>
      <w:rPr>
        <w:noProof/>
      </w:rPr>
      <w:drawing>
        <wp:anchor distT="0" distB="0" distL="114300" distR="114300" simplePos="0" relativeHeight="251658247" behindDoc="0" locked="0" layoutInCell="1" allowOverlap="1" wp14:anchorId="36F9C60C" wp14:editId="272F95B3">
          <wp:simplePos x="0" y="0"/>
          <wp:positionH relativeFrom="page">
            <wp:align>center</wp:align>
          </wp:positionH>
          <wp:positionV relativeFrom="page">
            <wp:align>top</wp:align>
          </wp:positionV>
          <wp:extent cx="7563600" cy="1562400"/>
          <wp:effectExtent l="0" t="0" r="0" b="0"/>
          <wp:wrapNone/>
          <wp:docPr id="1417944477" name="Picture 14179444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p w14:paraId="6E2639FC" w14:textId="77777777" w:rsidR="008F25AF" w:rsidRDefault="008F25AF">
    <w:pPr>
      <w:pStyle w:val="Header"/>
    </w:pPr>
  </w:p>
  <w:p w14:paraId="4B8B675E" w14:textId="77777777" w:rsidR="008F25AF" w:rsidRPr="007900EC" w:rsidRDefault="008F25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F211" w14:textId="77777777" w:rsidR="008F25AF" w:rsidRDefault="008F25AF">
    <w:pPr>
      <w:pStyle w:val="Header"/>
    </w:pPr>
    <w:r>
      <w:rPr>
        <w:noProof/>
      </w:rPr>
      <mc:AlternateContent>
        <mc:Choice Requires="wps">
          <w:drawing>
            <wp:anchor distT="0" distB="0" distL="0" distR="0" simplePos="0" relativeHeight="251658248" behindDoc="0" locked="0" layoutInCell="1" allowOverlap="1" wp14:anchorId="6AE4D659" wp14:editId="67FFF450">
              <wp:simplePos x="635" y="635"/>
              <wp:positionH relativeFrom="column">
                <wp:align>center</wp:align>
              </wp:positionH>
              <wp:positionV relativeFrom="paragraph">
                <wp:posOffset>635</wp:posOffset>
              </wp:positionV>
              <wp:extent cx="443865" cy="443865"/>
              <wp:effectExtent l="0" t="0" r="18415" b="1079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65980" w14:textId="77777777" w:rsidR="008F25AF" w:rsidRPr="00AE1C7B" w:rsidRDefault="008F25AF">
                          <w:pPr>
                            <w:rPr>
                              <w:rFonts w:eastAsia="Arial" w:cs="Arial"/>
                              <w:color w:val="FF0000"/>
                            </w:rPr>
                          </w:pPr>
                          <w:r w:rsidRPr="00AE1C7B">
                            <w:rPr>
                              <w:rFonts w:eastAsia="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E4D659" id="_x0000_t202" coordsize="21600,21600" o:spt="202" path="m,l,21600r21600,l21600,xe">
              <v:stroke joinstyle="miter"/>
              <v:path gradientshapeok="t" o:connecttype="rect"/>
            </v:shapetype>
            <v:shape id="Text Box 5" o:spid="_x0000_s1033"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1B65980" w14:textId="77777777" w:rsidR="008F25AF" w:rsidRPr="00AE1C7B" w:rsidRDefault="008F25AF">
                    <w:pPr>
                      <w:rPr>
                        <w:rFonts w:eastAsia="Arial" w:cs="Arial"/>
                        <w:color w:val="FF0000"/>
                      </w:rPr>
                    </w:pPr>
                    <w:r w:rsidRPr="00AE1C7B">
                      <w:rPr>
                        <w:rFonts w:eastAsia="Arial" w:cs="Arial"/>
                        <w:color w:val="FF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92"/>
    <w:multiLevelType w:val="hybridMultilevel"/>
    <w:tmpl w:val="C2E2C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5B5F9C"/>
    <w:multiLevelType w:val="multilevel"/>
    <w:tmpl w:val="E91691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FF6DBB"/>
    <w:multiLevelType w:val="hybridMultilevel"/>
    <w:tmpl w:val="D32A6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7F58E7"/>
    <w:multiLevelType w:val="hybridMultilevel"/>
    <w:tmpl w:val="B3CE628A"/>
    <w:lvl w:ilvl="0" w:tplc="ADA4ED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B450F6"/>
    <w:multiLevelType w:val="hybridMultilevel"/>
    <w:tmpl w:val="F6C0B678"/>
    <w:lvl w:ilvl="0" w:tplc="955C8020">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442730"/>
    <w:multiLevelType w:val="multilevel"/>
    <w:tmpl w:val="E91691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7641564">
    <w:abstractNumId w:val="3"/>
  </w:num>
  <w:num w:numId="2" w16cid:durableId="1193152201">
    <w:abstractNumId w:val="0"/>
  </w:num>
  <w:num w:numId="3" w16cid:durableId="1854109391">
    <w:abstractNumId w:val="1"/>
  </w:num>
  <w:num w:numId="4" w16cid:durableId="1817454820">
    <w:abstractNumId w:val="5"/>
  </w:num>
  <w:num w:numId="5" w16cid:durableId="1831404167">
    <w:abstractNumId w:val="2"/>
  </w:num>
  <w:num w:numId="6" w16cid:durableId="672072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2461D"/>
    <w:rsid w:val="0004257C"/>
    <w:rsid w:val="00073D7A"/>
    <w:rsid w:val="00094D47"/>
    <w:rsid w:val="000C2795"/>
    <w:rsid w:val="000C496B"/>
    <w:rsid w:val="000C7CBE"/>
    <w:rsid w:val="000D093F"/>
    <w:rsid w:val="000F4F81"/>
    <w:rsid w:val="00116C77"/>
    <w:rsid w:val="0016004D"/>
    <w:rsid w:val="00170AA9"/>
    <w:rsid w:val="00173022"/>
    <w:rsid w:val="00173CE1"/>
    <w:rsid w:val="00183FEE"/>
    <w:rsid w:val="00205A60"/>
    <w:rsid w:val="00227391"/>
    <w:rsid w:val="002338E7"/>
    <w:rsid w:val="00242050"/>
    <w:rsid w:val="002613E7"/>
    <w:rsid w:val="0026482B"/>
    <w:rsid w:val="00280C08"/>
    <w:rsid w:val="002A3113"/>
    <w:rsid w:val="002B0A45"/>
    <w:rsid w:val="002D0B88"/>
    <w:rsid w:val="003121F4"/>
    <w:rsid w:val="0031518B"/>
    <w:rsid w:val="00361F53"/>
    <w:rsid w:val="003720B4"/>
    <w:rsid w:val="00390DB8"/>
    <w:rsid w:val="00394504"/>
    <w:rsid w:val="003B4501"/>
    <w:rsid w:val="003B5270"/>
    <w:rsid w:val="003E658B"/>
    <w:rsid w:val="003F03F7"/>
    <w:rsid w:val="004160DE"/>
    <w:rsid w:val="004268CD"/>
    <w:rsid w:val="004420AD"/>
    <w:rsid w:val="0046120F"/>
    <w:rsid w:val="00470A9E"/>
    <w:rsid w:val="00482C74"/>
    <w:rsid w:val="0049142D"/>
    <w:rsid w:val="004A4E36"/>
    <w:rsid w:val="004C00A1"/>
    <w:rsid w:val="004C4085"/>
    <w:rsid w:val="004D3E89"/>
    <w:rsid w:val="004E197A"/>
    <w:rsid w:val="004F39F9"/>
    <w:rsid w:val="00502AB7"/>
    <w:rsid w:val="005366C4"/>
    <w:rsid w:val="005531CD"/>
    <w:rsid w:val="0056397A"/>
    <w:rsid w:val="00571CDF"/>
    <w:rsid w:val="00583814"/>
    <w:rsid w:val="005E1179"/>
    <w:rsid w:val="005F3471"/>
    <w:rsid w:val="005F701A"/>
    <w:rsid w:val="0062274C"/>
    <w:rsid w:val="006356DE"/>
    <w:rsid w:val="00641450"/>
    <w:rsid w:val="006631FB"/>
    <w:rsid w:val="00674D44"/>
    <w:rsid w:val="006B3A4A"/>
    <w:rsid w:val="006E22C3"/>
    <w:rsid w:val="006E7628"/>
    <w:rsid w:val="006F39EB"/>
    <w:rsid w:val="00702479"/>
    <w:rsid w:val="007052A2"/>
    <w:rsid w:val="00706E8D"/>
    <w:rsid w:val="00733A23"/>
    <w:rsid w:val="00760394"/>
    <w:rsid w:val="00766EF0"/>
    <w:rsid w:val="00775C49"/>
    <w:rsid w:val="00794A12"/>
    <w:rsid w:val="007A3F30"/>
    <w:rsid w:val="007A58FD"/>
    <w:rsid w:val="007D5487"/>
    <w:rsid w:val="007F1F64"/>
    <w:rsid w:val="007F762B"/>
    <w:rsid w:val="00805F06"/>
    <w:rsid w:val="00812D3D"/>
    <w:rsid w:val="008160A8"/>
    <w:rsid w:val="008207E0"/>
    <w:rsid w:val="0084150C"/>
    <w:rsid w:val="008658AB"/>
    <w:rsid w:val="00876238"/>
    <w:rsid w:val="008806AD"/>
    <w:rsid w:val="008D5738"/>
    <w:rsid w:val="008F25AF"/>
    <w:rsid w:val="008F3BD8"/>
    <w:rsid w:val="00905DC2"/>
    <w:rsid w:val="009223DA"/>
    <w:rsid w:val="00974A26"/>
    <w:rsid w:val="00983206"/>
    <w:rsid w:val="009861E9"/>
    <w:rsid w:val="009942B6"/>
    <w:rsid w:val="009A4EE3"/>
    <w:rsid w:val="009D3387"/>
    <w:rsid w:val="00A0284E"/>
    <w:rsid w:val="00A34F3E"/>
    <w:rsid w:val="00A723AA"/>
    <w:rsid w:val="00A77904"/>
    <w:rsid w:val="00A83F92"/>
    <w:rsid w:val="00B15F81"/>
    <w:rsid w:val="00B20555"/>
    <w:rsid w:val="00B212C9"/>
    <w:rsid w:val="00B32FD0"/>
    <w:rsid w:val="00B428F3"/>
    <w:rsid w:val="00B55673"/>
    <w:rsid w:val="00B62E74"/>
    <w:rsid w:val="00B65FB6"/>
    <w:rsid w:val="00B8370E"/>
    <w:rsid w:val="00B84CB3"/>
    <w:rsid w:val="00B879D5"/>
    <w:rsid w:val="00B925AD"/>
    <w:rsid w:val="00B95083"/>
    <w:rsid w:val="00B96822"/>
    <w:rsid w:val="00BA6D9B"/>
    <w:rsid w:val="00BB39A5"/>
    <w:rsid w:val="00BB77E9"/>
    <w:rsid w:val="00BF0C32"/>
    <w:rsid w:val="00BF188A"/>
    <w:rsid w:val="00C0315A"/>
    <w:rsid w:val="00C327ED"/>
    <w:rsid w:val="00C44473"/>
    <w:rsid w:val="00C51245"/>
    <w:rsid w:val="00C650D6"/>
    <w:rsid w:val="00C74D70"/>
    <w:rsid w:val="00C8292A"/>
    <w:rsid w:val="00CA63D2"/>
    <w:rsid w:val="00CC7F5E"/>
    <w:rsid w:val="00CF0C0C"/>
    <w:rsid w:val="00D23335"/>
    <w:rsid w:val="00D43968"/>
    <w:rsid w:val="00D514F4"/>
    <w:rsid w:val="00D77C3D"/>
    <w:rsid w:val="00D84D7F"/>
    <w:rsid w:val="00D864E7"/>
    <w:rsid w:val="00D932DD"/>
    <w:rsid w:val="00D93981"/>
    <w:rsid w:val="00DA6125"/>
    <w:rsid w:val="00DC32A0"/>
    <w:rsid w:val="00DC5F83"/>
    <w:rsid w:val="00DD1A70"/>
    <w:rsid w:val="00DE6F50"/>
    <w:rsid w:val="00DF7929"/>
    <w:rsid w:val="00E15045"/>
    <w:rsid w:val="00E25923"/>
    <w:rsid w:val="00E43D2E"/>
    <w:rsid w:val="00E502DD"/>
    <w:rsid w:val="00E5690F"/>
    <w:rsid w:val="00E632E2"/>
    <w:rsid w:val="00E6655E"/>
    <w:rsid w:val="00E86058"/>
    <w:rsid w:val="00E90CC3"/>
    <w:rsid w:val="00EF17B9"/>
    <w:rsid w:val="00EF41A9"/>
    <w:rsid w:val="00F10A81"/>
    <w:rsid w:val="00F400AE"/>
    <w:rsid w:val="00F4535D"/>
    <w:rsid w:val="00F63AA9"/>
    <w:rsid w:val="00F86D1C"/>
    <w:rsid w:val="00FB5A5E"/>
    <w:rsid w:val="00FB6F11"/>
    <w:rsid w:val="00FB75C3"/>
    <w:rsid w:val="00FD173D"/>
    <w:rsid w:val="00FE74B9"/>
    <w:rsid w:val="00FF34D2"/>
    <w:rsid w:val="1C97A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A9"/>
    <w:pPr>
      <w:spacing w:before="120" w:after="240" w:line="240" w:lineRule="auto"/>
    </w:pPr>
    <w:rPr>
      <w:rFonts w:ascii="Aptos" w:hAnsi="Aptos"/>
      <w:color w:val="565751"/>
      <w:sz w:val="20"/>
    </w:rPr>
  </w:style>
  <w:style w:type="paragraph" w:styleId="Heading1">
    <w:name w:val="heading 1"/>
    <w:basedOn w:val="Title"/>
    <w:next w:val="Normal"/>
    <w:link w:val="Heading1Char"/>
    <w:uiPriority w:val="9"/>
    <w:qFormat/>
    <w:rsid w:val="00C51245"/>
    <w:pPr>
      <w:outlineLvl w:val="0"/>
    </w:pPr>
    <w:rPr>
      <w:rFonts w:ascii="Aptos Display" w:hAnsi="Aptos Display"/>
      <w:color w:val="385623"/>
    </w:rPr>
  </w:style>
  <w:style w:type="paragraph" w:styleId="Heading2">
    <w:name w:val="heading 2"/>
    <w:basedOn w:val="Normal"/>
    <w:next w:val="Normal"/>
    <w:link w:val="Heading2Char"/>
    <w:autoRedefine/>
    <w:unhideWhenUsed/>
    <w:qFormat/>
    <w:rsid w:val="003E658B"/>
    <w:pPr>
      <w:keepNext/>
      <w:keepLines/>
      <w:spacing w:before="240"/>
      <w:contextualSpacing/>
      <w:outlineLvl w:val="1"/>
    </w:pPr>
    <w:rPr>
      <w:rFonts w:eastAsiaTheme="majorEastAsia" w:cstheme="minorHAnsi"/>
      <w:b/>
      <w:color w:val="385623"/>
      <w:sz w:val="24"/>
      <w:lang w:eastAsia="en-AU"/>
    </w:rPr>
  </w:style>
  <w:style w:type="paragraph" w:styleId="Heading3">
    <w:name w:val="heading 3"/>
    <w:basedOn w:val="Normal"/>
    <w:next w:val="Normal"/>
    <w:link w:val="Heading3Char"/>
    <w:autoRedefine/>
    <w:uiPriority w:val="9"/>
    <w:unhideWhenUsed/>
    <w:qFormat/>
    <w:rsid w:val="00482C74"/>
    <w:pPr>
      <w:keepNext/>
      <w:spacing w:after="12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B15F81"/>
    <w:pPr>
      <w:keepNext/>
      <w:keepLines/>
      <w:outlineLvl w:val="3"/>
    </w:pPr>
    <w:rPr>
      <w:rFonts w:eastAsiaTheme="majorEastAsia" w:cstheme="majorBidi"/>
      <w:color w:val="3856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C51245"/>
    <w:rPr>
      <w:rFonts w:ascii="Aptos Display" w:eastAsiaTheme="majorEastAsia" w:hAnsi="Aptos Display" w:cstheme="majorBidi"/>
      <w:b/>
      <w:color w:val="385623"/>
      <w:spacing w:val="-10"/>
      <w:kern w:val="28"/>
      <w:sz w:val="44"/>
      <w:szCs w:val="56"/>
    </w:rPr>
  </w:style>
  <w:style w:type="character" w:customStyle="1" w:styleId="Heading2Char">
    <w:name w:val="Heading 2 Char"/>
    <w:basedOn w:val="DefaultParagraphFont"/>
    <w:link w:val="Heading2"/>
    <w:rsid w:val="003E658B"/>
    <w:rPr>
      <w:rFonts w:ascii="Aptos" w:eastAsiaTheme="majorEastAsia" w:hAnsi="Aptos" w:cstheme="minorHAnsi"/>
      <w:b/>
      <w:color w:val="385623"/>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nhideWhenUsed/>
    <w:rsid w:val="00760394"/>
    <w:pPr>
      <w:tabs>
        <w:tab w:val="center" w:pos="4513"/>
        <w:tab w:val="right" w:pos="9026"/>
      </w:tabs>
    </w:pPr>
  </w:style>
  <w:style w:type="character" w:customStyle="1" w:styleId="FooterChar">
    <w:name w:val="Footer Char"/>
    <w:basedOn w:val="DefaultParagraphFont"/>
    <w:link w:val="Footer"/>
    <w:rsid w:val="00760394"/>
  </w:style>
  <w:style w:type="character" w:customStyle="1" w:styleId="Heading3Char">
    <w:name w:val="Heading 3 Char"/>
    <w:basedOn w:val="DefaultParagraphFont"/>
    <w:link w:val="Heading3"/>
    <w:uiPriority w:val="9"/>
    <w:rsid w:val="00482C74"/>
    <w:rPr>
      <w:rFonts w:ascii="Aptos" w:eastAsiaTheme="majorEastAsia" w:hAnsi="Aptos" w:cstheme="majorBidi"/>
      <w:b/>
      <w:color w:val="565751"/>
      <w:sz w:val="20"/>
      <w:szCs w:val="24"/>
    </w:rPr>
  </w:style>
  <w:style w:type="paragraph" w:styleId="Title">
    <w:name w:val="Title"/>
    <w:basedOn w:val="Normal"/>
    <w:next w:val="Normal"/>
    <w:link w:val="TitleChar"/>
    <w:uiPriority w:val="10"/>
    <w:qFormat/>
    <w:rsid w:val="00760394"/>
    <w:pPr>
      <w:spacing w:after="120"/>
    </w:pPr>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2"/>
    <w:link w:val="bulletChar"/>
    <w:qFormat/>
    <w:rsid w:val="00B96822"/>
    <w:pPr>
      <w:numPr>
        <w:numId w:val="6"/>
      </w:numPr>
      <w:spacing w:after="120"/>
      <w:ind w:left="567" w:hanging="357"/>
      <w:contextualSpacing w:val="0"/>
    </w:pPr>
    <w:rPr>
      <w:rFonts w:cstheme="minorHAnsi"/>
      <w:color w:val="5F5F5F"/>
      <w:sz w:val="20"/>
    </w:rPr>
  </w:style>
  <w:style w:type="character" w:customStyle="1" w:styleId="bulletChar">
    <w:name w:val="bullet Char"/>
    <w:basedOn w:val="DefaultParagraphFont"/>
    <w:link w:val="bullet"/>
    <w:rsid w:val="00B96822"/>
    <w:rPr>
      <w:rFonts w:ascii="Aptos" w:eastAsia="Times New Roman" w:hAnsi="Aptos" w:cstheme="minorHAnsi"/>
      <w:color w:val="5F5F5F"/>
      <w:kern w:val="0"/>
      <w:sz w:val="20"/>
      <w:szCs w:val="20"/>
      <w14:ligatures w14:val="none"/>
    </w:rPr>
  </w:style>
  <w:style w:type="paragraph" w:styleId="ListParagraph">
    <w:name w:val="List Paragraph"/>
    <w:basedOn w:val="Normal"/>
    <w:link w:val="ListParagraphChar"/>
    <w:uiPriority w:val="34"/>
    <w:qFormat/>
    <w:rsid w:val="00760394"/>
    <w:pPr>
      <w:ind w:left="720"/>
      <w:contextualSpacing/>
    </w:pPr>
  </w:style>
  <w:style w:type="character" w:customStyle="1" w:styleId="Heading4Char">
    <w:name w:val="Heading 4 Char"/>
    <w:basedOn w:val="DefaultParagraphFont"/>
    <w:link w:val="Heading4"/>
    <w:uiPriority w:val="9"/>
    <w:rsid w:val="00B15F81"/>
    <w:rPr>
      <w:rFonts w:ascii="Aptos" w:eastAsiaTheme="majorEastAsia" w:hAnsi="Aptos" w:cstheme="majorBidi"/>
      <w:color w:val="385623"/>
      <w:sz w:val="20"/>
      <w:u w:val="single"/>
    </w:rPr>
  </w:style>
  <w:style w:type="character" w:customStyle="1" w:styleId="ListParagraphChar">
    <w:name w:val="List Paragraph Char"/>
    <w:basedOn w:val="DefaultParagraphFont"/>
    <w:link w:val="ListParagraph"/>
    <w:uiPriority w:val="34"/>
    <w:rsid w:val="003720B4"/>
    <w:rPr>
      <w:color w:val="565751"/>
      <w:sz w:val="20"/>
    </w:rPr>
  </w:style>
  <w:style w:type="character" w:styleId="CommentReference">
    <w:name w:val="annotation reference"/>
    <w:basedOn w:val="DefaultParagraphFont"/>
    <w:uiPriority w:val="99"/>
    <w:semiHidden/>
    <w:unhideWhenUsed/>
    <w:rsid w:val="0056397A"/>
    <w:rPr>
      <w:sz w:val="16"/>
      <w:szCs w:val="16"/>
    </w:rPr>
  </w:style>
  <w:style w:type="paragraph" w:styleId="CommentText">
    <w:name w:val="annotation text"/>
    <w:basedOn w:val="Normal"/>
    <w:link w:val="CommentTextChar"/>
    <w:uiPriority w:val="99"/>
    <w:unhideWhenUsed/>
    <w:rsid w:val="0056397A"/>
    <w:pPr>
      <w:spacing w:before="0" w:after="0"/>
    </w:pPr>
    <w:rPr>
      <w:rFonts w:eastAsia="Times New Roman" w:cs="Times New Roman"/>
      <w:color w:val="auto"/>
      <w:kern w:val="0"/>
      <w:sz w:val="22"/>
      <w:szCs w:val="20"/>
      <w14:ligatures w14:val="none"/>
    </w:rPr>
  </w:style>
  <w:style w:type="character" w:customStyle="1" w:styleId="CommentTextChar">
    <w:name w:val="Comment Text Char"/>
    <w:basedOn w:val="DefaultParagraphFont"/>
    <w:link w:val="CommentText"/>
    <w:uiPriority w:val="99"/>
    <w:rsid w:val="0056397A"/>
    <w:rPr>
      <w:rFonts w:ascii="Aptos" w:eastAsia="Times New Roman" w:hAnsi="Aptos" w:cs="Times New Roman"/>
      <w:kern w:val="0"/>
      <w:szCs w:val="20"/>
      <w14:ligatures w14:val="none"/>
    </w:rPr>
  </w:style>
  <w:style w:type="paragraph" w:styleId="FootnoteText">
    <w:name w:val="footnote text"/>
    <w:basedOn w:val="Normal"/>
    <w:link w:val="FootnoteTextChar"/>
    <w:uiPriority w:val="99"/>
    <w:semiHidden/>
    <w:unhideWhenUsed/>
    <w:rsid w:val="0056397A"/>
    <w:pPr>
      <w:spacing w:before="0" w:after="0"/>
    </w:pPr>
    <w:rPr>
      <w:rFonts w:eastAsia="Times New Roman" w:cs="Times New Roman"/>
      <w:color w:val="auto"/>
      <w:kern w:val="0"/>
      <w:sz w:val="22"/>
      <w:szCs w:val="20"/>
      <w14:ligatures w14:val="none"/>
    </w:rPr>
  </w:style>
  <w:style w:type="character" w:customStyle="1" w:styleId="FootnoteTextChar">
    <w:name w:val="Footnote Text Char"/>
    <w:basedOn w:val="DefaultParagraphFont"/>
    <w:link w:val="FootnoteText"/>
    <w:uiPriority w:val="99"/>
    <w:semiHidden/>
    <w:rsid w:val="0056397A"/>
    <w:rPr>
      <w:rFonts w:ascii="Aptos" w:eastAsia="Times New Roman" w:hAnsi="Aptos" w:cs="Times New Roman"/>
      <w:kern w:val="0"/>
      <w:szCs w:val="20"/>
      <w14:ligatures w14:val="none"/>
    </w:rPr>
  </w:style>
  <w:style w:type="character" w:styleId="FootnoteReference">
    <w:name w:val="footnote reference"/>
    <w:basedOn w:val="DefaultParagraphFont"/>
    <w:semiHidden/>
    <w:unhideWhenUsed/>
    <w:rsid w:val="0056397A"/>
    <w:rPr>
      <w:vertAlign w:val="superscript"/>
    </w:rPr>
  </w:style>
  <w:style w:type="paragraph" w:styleId="List2">
    <w:name w:val="List 2"/>
    <w:basedOn w:val="Normal"/>
    <w:uiPriority w:val="99"/>
    <w:unhideWhenUsed/>
    <w:rsid w:val="0056397A"/>
    <w:pPr>
      <w:spacing w:before="0" w:after="0"/>
      <w:ind w:left="566" w:hanging="283"/>
      <w:contextualSpacing/>
    </w:pPr>
    <w:rPr>
      <w:rFonts w:eastAsia="Times New Roman" w:cs="Times New Roman"/>
      <w:color w:val="auto"/>
      <w:kern w:val="0"/>
      <w:sz w:val="22"/>
      <w:szCs w:val="20"/>
      <w14:ligatures w14:val="none"/>
    </w:rPr>
  </w:style>
  <w:style w:type="table" w:customStyle="1" w:styleId="GridTable1Light1">
    <w:name w:val="Grid Table 1 Light1"/>
    <w:basedOn w:val="TableNormal"/>
    <w:next w:val="GridTable1Light"/>
    <w:uiPriority w:val="46"/>
    <w:rsid w:val="0056397A"/>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5639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D173D"/>
    <w:pPr>
      <w:spacing w:after="0" w:line="240" w:lineRule="auto"/>
    </w:pPr>
    <w:rPr>
      <w:rFonts w:ascii="Aptos" w:hAnsi="Aptos"/>
      <w:color w:val="565751"/>
      <w:sz w:val="20"/>
    </w:rPr>
  </w:style>
  <w:style w:type="character" w:styleId="UnresolvedMention">
    <w:name w:val="Unresolved Mention"/>
    <w:basedOn w:val="DefaultParagraphFont"/>
    <w:uiPriority w:val="99"/>
    <w:semiHidden/>
    <w:unhideWhenUsed/>
    <w:rsid w:val="009223DA"/>
    <w:rPr>
      <w:color w:val="605E5C"/>
      <w:shd w:val="clear" w:color="auto" w:fill="E1DFDD"/>
    </w:rPr>
  </w:style>
  <w:style w:type="character" w:styleId="FollowedHyperlink">
    <w:name w:val="FollowedHyperlink"/>
    <w:basedOn w:val="DefaultParagraphFont"/>
    <w:uiPriority w:val="99"/>
    <w:semiHidden/>
    <w:unhideWhenUsed/>
    <w:rsid w:val="004420AD"/>
    <w:rPr>
      <w:color w:val="954F72" w:themeColor="followedHyperlink"/>
      <w:u w:val="single"/>
    </w:rPr>
  </w:style>
  <w:style w:type="character" w:styleId="Strong">
    <w:name w:val="Strong"/>
    <w:basedOn w:val="DefaultParagraphFont"/>
    <w:uiPriority w:val="22"/>
    <w:qFormat/>
    <w:rsid w:val="00502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industry.gov.au/data-and-publications/2021-offshore-greenhouse-gas-storage-acreage-release/key-information-for-applicants"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yperlink" Target="mailto:ghg@nopta.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hg@nopta.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guidelines-and-factsheets/offshore-petroleum-and-greenhouse-gas-fact-sheets.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opta.gov.au/forms-and-templates/petroleum-and-greenhouse-gas-forms.html"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guidelines-and-factsheets/offshore-petroleum-and-greenhouse-gas-fact-sheets.html" TargetMode="External"/><Relationship Id="rId27" Type="http://schemas.openxmlformats.org/officeDocument/2006/relationships/header" Target="header5.xm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F2023L01551/asmade/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125</Value>
      <Value>424</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https://nopta.sharepoint.com/WST/_layouts/15/DocIdRedir.aspx?ID=NOPTANET-716839524-11013</Url>
      <Description>NOPTANET-716839524-11013</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Jurisdiction xmlns="7012054d-3a07-4b40-940b-a148fc76e5c4">
      <Value>AU</Value>
    </Jurisdiction>
    <CaveatCategory xmlns="7012054d-3a07-4b40-940b-a148fc76e5c4">DLM: For Official Use Only</CaveatCategory>
    <_dlc_DocId xmlns="7012054d-3a07-4b40-940b-a148fc76e5c4">NOPTANET-716839524-11013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B2F913-93FD-48F3-BBF3-B8055B18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B06DB-4C04-4649-A7C5-0B9DFE6BEC97}">
  <ds:schemaRefs>
    <ds:schemaRef ds:uri="http://schemas.openxmlformats.org/officeDocument/2006/bibliography"/>
  </ds:schemaRefs>
</ds:datastoreItem>
</file>

<file path=customXml/itemProps3.xml><?xml version="1.0" encoding="utf-8"?>
<ds:datastoreItem xmlns:ds="http://schemas.openxmlformats.org/officeDocument/2006/customXml" ds:itemID="{632E8FF8-393A-4FD3-9395-324FAB01F6F6}">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356CC6E8-567A-4EAE-A08A-B6EED3DF54C6}">
  <ds:schemaRefs>
    <ds:schemaRef ds:uri="http://schemas.microsoft.com/sharepoint/v3/contenttype/forms"/>
  </ds:schemaRefs>
</ds:datastoreItem>
</file>

<file path=customXml/itemProps5.xml><?xml version="1.0" encoding="utf-8"?>
<ds:datastoreItem xmlns:ds="http://schemas.openxmlformats.org/officeDocument/2006/customXml" ds:itemID="{E52FBA62-3CBE-4D84-9DFD-9393E98AF7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6289</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Links>
    <vt:vector size="60" baseType="variant">
      <vt:variant>
        <vt:i4>7143446</vt:i4>
      </vt:variant>
      <vt:variant>
        <vt:i4>33</vt:i4>
      </vt:variant>
      <vt:variant>
        <vt:i4>0</vt:i4>
      </vt:variant>
      <vt:variant>
        <vt:i4>5</vt:i4>
      </vt:variant>
      <vt:variant>
        <vt:lpwstr>mailto:ghg@nopta.gov.au</vt:lpwstr>
      </vt:variant>
      <vt:variant>
        <vt:lpwstr/>
      </vt:variant>
      <vt:variant>
        <vt:i4>6094856</vt:i4>
      </vt:variant>
      <vt:variant>
        <vt:i4>30</vt:i4>
      </vt:variant>
      <vt:variant>
        <vt:i4>0</vt:i4>
      </vt:variant>
      <vt:variant>
        <vt:i4>5</vt:i4>
      </vt:variant>
      <vt:variant>
        <vt:lpwstr>https://www.nopta.gov.au/guidelines-and-factsheets/offshore-petroleum-and-greenhouse-gas-fact-sheets.html</vt:lpwstr>
      </vt:variant>
      <vt:variant>
        <vt:lpwstr/>
      </vt:variant>
      <vt:variant>
        <vt:i4>1704011</vt:i4>
      </vt:variant>
      <vt:variant>
        <vt:i4>24</vt:i4>
      </vt:variant>
      <vt:variant>
        <vt:i4>0</vt:i4>
      </vt:variant>
      <vt:variant>
        <vt:i4>5</vt:i4>
      </vt:variant>
      <vt:variant>
        <vt:lpwstr>https://www.nopta.gov.au/forms-and-templates/petroleum-and-greenhouse-gas-forms.html</vt:lpwstr>
      </vt:variant>
      <vt:variant>
        <vt:lpwstr/>
      </vt:variant>
      <vt:variant>
        <vt:i4>6094856</vt:i4>
      </vt:variant>
      <vt:variant>
        <vt:i4>21</vt:i4>
      </vt:variant>
      <vt:variant>
        <vt:i4>0</vt:i4>
      </vt:variant>
      <vt:variant>
        <vt:i4>5</vt:i4>
      </vt:variant>
      <vt:variant>
        <vt:lpwstr>https://www.nopta.gov.au/guidelines-and-factsheets/offshore-petroleum-and-greenhouse-gas-fact-sheets.html</vt:lpwstr>
      </vt:variant>
      <vt:variant>
        <vt:lpwstr/>
      </vt:variant>
      <vt:variant>
        <vt:i4>1507332</vt:i4>
      </vt:variant>
      <vt:variant>
        <vt:i4>18</vt:i4>
      </vt:variant>
      <vt:variant>
        <vt:i4>0</vt:i4>
      </vt:variant>
      <vt:variant>
        <vt:i4>5</vt:i4>
      </vt:variant>
      <vt:variant>
        <vt:lpwstr>https://www.industry.gov.au/data-and-publications/2021-offshore-greenhouse-gas-storage-acreage-release/key-information-for-applicants</vt:lpwstr>
      </vt:variant>
      <vt:variant>
        <vt:lpwstr/>
      </vt:variant>
      <vt:variant>
        <vt:i4>7143446</vt:i4>
      </vt:variant>
      <vt:variant>
        <vt:i4>15</vt:i4>
      </vt:variant>
      <vt:variant>
        <vt:i4>0</vt:i4>
      </vt:variant>
      <vt:variant>
        <vt:i4>5</vt:i4>
      </vt:variant>
      <vt:variant>
        <vt:lpwstr>mailto:ghg@nopta.gov.au</vt:lpwstr>
      </vt:variant>
      <vt:variant>
        <vt:lpwstr/>
      </vt:variant>
      <vt:variant>
        <vt:i4>720977</vt:i4>
      </vt:variant>
      <vt:variant>
        <vt:i4>3</vt:i4>
      </vt:variant>
      <vt:variant>
        <vt:i4>0</vt:i4>
      </vt:variant>
      <vt:variant>
        <vt:i4>5</vt:i4>
      </vt:variant>
      <vt:variant>
        <vt:lpwstr>http://www.nopta.gov.au/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3014717</vt:i4>
      </vt:variant>
      <vt:variant>
        <vt:i4>0</vt:i4>
      </vt:variant>
      <vt:variant>
        <vt:i4>0</vt:i4>
      </vt:variant>
      <vt:variant>
        <vt:i4>5</vt:i4>
      </vt:variant>
      <vt:variant>
        <vt:lpwstr>https://www.legislation.gov.au/F2023L01551/asmade/text</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2026-03-22T22:49:00Z</dcterms:created>
  <dcterms:modified xsi:type="dcterms:W3CDTF">2026-03-22T22:49:00Z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2026-03-19T05:25:52Z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47935479-5b74-4e12-ae59-14bb7249c4cf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R0000164496</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Title Type">
    <vt:lpwstr/>
  </property>
  <property fmtid="{D5CDD505-2E9C-101B-9397-08002B2CF9AE}" pid="16" name="RecordPoint_ActiveItemSiteId">
    <vt:lpwstr>{d02ec70a-6101-41fa-8072-ecbec6fd4fd8}</vt:lpwstr>
  </property>
  <property fmtid="{D5CDD505-2E9C-101B-9397-08002B2CF9AE}" pid="17" name="NodRecalculate">
    <vt:bool>false</vt:bool>
  </property>
  <property fmtid="{D5CDD505-2E9C-101B-9397-08002B2CF9AE}" pid="18" name="Offshore Region">
    <vt:lpwstr/>
  </property>
  <property fmtid="{D5CDD505-2E9C-101B-9397-08002B2CF9AE}" pid="19" name="MSIP_Label_e1435138-3fd2-487f-a40f-8ee2b61234c9_ActionId">
    <vt:lpwstr>ab1eb6e7-93bc-47a8-9c84-1576646cde44</vt:lpwstr>
  </property>
  <property fmtid="{D5CDD505-2E9C-101B-9397-08002B2CF9AE}" pid="20" name="Offshore_x0020_Region">
    <vt:lpwstr/>
  </property>
  <property fmtid="{D5CDD505-2E9C-101B-9397-08002B2CF9AE}" pid="21" name="URL">
    <vt:lpwstr/>
  </property>
  <property fmtid="{D5CDD505-2E9C-101B-9397-08002B2CF9AE}" pid="22" name="ClassificationContentMarkingFooterShapeIds">
    <vt:lpwstr>a,b,c,d,e,f</vt:lpwstr>
  </property>
  <property fmtid="{D5CDD505-2E9C-101B-9397-08002B2CF9AE}" pid="23" name="NodDocumentUtility">
    <vt:lpwstr>;#Internal;#</vt:lpwstr>
  </property>
  <property fmtid="{D5CDD505-2E9C-101B-9397-08002B2CF9AE}" pid="24" name="xd_Signature">
    <vt:bool>false</vt:bool>
  </property>
  <property fmtid="{D5CDD505-2E9C-101B-9397-08002B2CF9AE}" pid="25" name="MSIP_Label_e1435138-3fd2-487f-a40f-8ee2b61234c9_Name">
    <vt:lpwstr>e1435138-3fd2-487f-a40f-8ee2b61234c9</vt:lpwstr>
  </property>
  <property fmtid="{D5CDD505-2E9C-101B-9397-08002B2CF9AE}" pid="26" name="Application Library">
    <vt:lpwstr/>
  </property>
  <property fmtid="{D5CDD505-2E9C-101B-9397-08002B2CF9AE}" pid="27" name="ClassificationContentMarkingHeaderShapeIds">
    <vt:lpwstr>2,3,4,5,7,9</vt:lpwstr>
  </property>
  <property fmtid="{D5CDD505-2E9C-101B-9397-08002B2CF9AE}" pid="28" name="AssignedTo">
    <vt:lpwstr/>
  </property>
  <property fmtid="{D5CDD505-2E9C-101B-9397-08002B2CF9AE}" pid="29" name="ClassificationContentMarkingFooterFontProps">
    <vt:lpwstr>#ff0000,11,Arial</vt:lpwstr>
  </property>
  <property fmtid="{D5CDD505-2E9C-101B-9397-08002B2CF9AE}" pid="30" name="MSIP_Label_e1435138-3fd2-487f-a40f-8ee2b61234c9_Enabled">
    <vt:lpwstr>true</vt:lpwstr>
  </property>
  <property fmtid="{D5CDD505-2E9C-101B-9397-08002B2CF9AE}" pid="31" name="RecordPoint_ActiveItemWebId">
    <vt:lpwstr>{534ecb78-ceec-4263-97fc-d32ad715d31f}</vt:lpwstr>
  </property>
  <property fmtid="{D5CDD505-2E9C-101B-9397-08002B2CF9AE}" pid="32" name="Team">
    <vt:lpwstr>424;#Legislative Compliance|cb4b5b1d-0a66-42b0-ad54-d9e1e7b82ef0</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Factsheet</vt:lpwstr>
  </property>
  <property fmtid="{D5CDD505-2E9C-101B-9397-08002B2CF9AE}" pid="36" name="MSIP_Label_e1435138-3fd2-487f-a40f-8ee2b61234c9_SetDate">
    <vt:lpwstr>2022-01-20T01:37:46Z</vt:lpwstr>
  </property>
  <property fmtid="{D5CDD505-2E9C-101B-9397-08002B2CF9AE}" pid="37" name="Business Function">
    <vt:lpwstr>573;#External Guidance|b09c6caf-08fd-461c-b4ef-37c1e36f5aed</vt:lpwstr>
  </property>
  <property fmtid="{D5CDD505-2E9C-101B-9397-08002B2CF9AE}" pid="38" name="_dlc_DocIdItemGuid">
    <vt:lpwstr>4f347cfb-1c15-40a9-916b-84a5c0a88c0f</vt:lpwstr>
  </property>
  <property fmtid="{D5CDD505-2E9C-101B-9397-08002B2CF9AE}" pid="39" name="MSIP_Label_e1435138-3fd2-487f-a40f-8ee2b61234c9_SiteId">
    <vt:lpwstr>2940859f-ee86-4ee3-848f-02ac9eba62b2</vt:lpwstr>
  </property>
  <property fmtid="{D5CDD505-2E9C-101B-9397-08002B2CF9AE}" pid="40" name="DocumentType">
    <vt:lpwstr>125;#Fact Sheet|d3f18156-6d06-4b36-b33d-bc546f991cd2</vt:lpwstr>
  </property>
  <property fmtid="{D5CDD505-2E9C-101B-9397-08002B2CF9AE}" pid="41" name="MSIP_Label_e1435138-3fd2-487f-a40f-8ee2b61234c9_Method">
    <vt:lpwstr>Privileged</vt:lpwstr>
  </property>
  <property fmtid="{D5CDD505-2E9C-101B-9397-08002B2CF9AE}" pid="42" name="TriggerFlowInfo">
    <vt:lpwstr/>
  </property>
  <property fmtid="{D5CDD505-2E9C-101B-9397-08002B2CF9AE}" pid="43" name="RecordPoint_ActiveItemUniqueId">
    <vt:lpwstr>{d5b71334-00e2-487a-aefc-84304204e32c}</vt:lpwstr>
  </property>
  <property fmtid="{D5CDD505-2E9C-101B-9397-08002B2CF9AE}" pid="44" name="NodTeamOwner">
    <vt:lpwstr>Titles</vt:lpwstr>
  </property>
  <property fmtid="{D5CDD505-2E9C-101B-9397-08002B2CF9AE}" pid="45" name="ClassificationContentMarkingFooterText">
    <vt:lpwstr>OFFICIAL</vt:lpwstr>
  </property>
  <property fmtid="{D5CDD505-2E9C-101B-9397-08002B2CF9AE}" pid="46" name="Title_x0020_Type">
    <vt:lpwstr/>
  </property>
  <property fmtid="{D5CDD505-2E9C-101B-9397-08002B2CF9AE}" pid="47" name="Order">
    <vt:r8>474100</vt:r8>
  </property>
  <property fmtid="{D5CDD505-2E9C-101B-9397-08002B2CF9AE}" pid="48" name="NodRisk">
    <vt:lpwstr>Low</vt:lpwstr>
  </property>
  <property fmtid="{D5CDD505-2E9C-101B-9397-08002B2CF9AE}" pid="49" name="ClassificationContentMarkingHeaderText">
    <vt:lpwstr>OFFICIAL</vt:lpwstr>
  </property>
  <property fmtid="{D5CDD505-2E9C-101B-9397-08002B2CF9AE}" pid="50" name="MSIP_Label_e1435138-3fd2-487f-a40f-8ee2b61234c9_ContentBits">
    <vt:lpwstr>3</vt:lpwstr>
  </property>
  <property fmtid="{D5CDD505-2E9C-101B-9397-08002B2CF9AE}" pid="51" name="xd_ProgID">
    <vt:lpwstr/>
  </property>
  <property fmtid="{D5CDD505-2E9C-101B-9397-08002B2CF9AE}" pid="52" name="MediaServiceImageTags">
    <vt:lpwstr/>
  </property>
  <property fmtid="{D5CDD505-2E9C-101B-9397-08002B2CF9AE}" pid="53" name="ContentTypeId">
    <vt:lpwstr>0x01010063547D135F865547B104B3688A6EB0DB1400F03BA615DEB94544B0E4AA523FDA1B39</vt:lpwstr>
  </property>
  <property fmtid="{D5CDD505-2E9C-101B-9397-08002B2CF9AE}" pid="54" name="RecordPoint_WorkflowType">
    <vt:lpwstr>ActiveSubmitStub</vt:lpwstr>
  </property>
  <property fmtid="{D5CDD505-2E9C-101B-9397-08002B2CF9AE}" pid="55" name="TemplateUrl">
    <vt:lpwstr/>
  </property>
  <property fmtid="{D5CDD505-2E9C-101B-9397-08002B2CF9AE}" pid="56" name="ClassificationContentMarkingHeaderFontProps">
    <vt:lpwstr>#ff0000,11,Arial</vt:lpwstr>
  </property>
  <property fmtid="{D5CDD505-2E9C-101B-9397-08002B2CF9AE}" pid="57" name="_ExtendedDescription">
    <vt:lpwstr/>
  </property>
  <property fmtid="{D5CDD505-2E9C-101B-9397-08002B2CF9AE}" pid="58" name="RecordPoint_ActiveItemListId">
    <vt:lpwstr>{478775bc-9c4f-4f34-ba66-087519ae94a1}</vt:lpwstr>
  </property>
  <property fmtid="{D5CDD505-2E9C-101B-9397-08002B2CF9AE}" pid="59" name="RecordPoint_SubmissionCompleted">
    <vt:lpwstr>2018-10-04T13:09:04.9781436+08:00</vt:lpwstr>
  </property>
  <property fmtid="{D5CDD505-2E9C-101B-9397-08002B2CF9AE}" pid="60" name="Comments">
    <vt:lpwstr/>
  </property>
  <property fmtid="{D5CDD505-2E9C-101B-9397-08002B2CF9AE}" pid="61" name="_docset_NoMedatataSyncRequired">
    <vt:lpwstr>False</vt:lpwstr>
  </property>
  <property fmtid="{D5CDD505-2E9C-101B-9397-08002B2CF9AE}" pid="62" name="docLang">
    <vt:lpwstr>en</vt:lpwstr>
  </property>
</Properties>
</file>